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64C3B" w14:textId="77777777" w:rsidR="00FF6CD9" w:rsidRPr="00243291" w:rsidRDefault="00FF6CD9" w:rsidP="00FF6CD9">
      <w:pPr>
        <w:spacing w:after="0" w:line="276" w:lineRule="auto"/>
        <w:jc w:val="both"/>
        <w:rPr>
          <w:rFonts w:ascii="Verdana" w:eastAsia="Calibri" w:hAnsi="Verdana" w:cs="Times New Roman"/>
          <w:lang w:eastAsia="es-MX"/>
        </w:rPr>
      </w:pPr>
      <w:bookmarkStart w:id="0" w:name="_Hlk143780582"/>
      <w:r w:rsidRPr="00243291">
        <w:rPr>
          <w:rFonts w:ascii="Verdana" w:eastAsia="Calibri" w:hAnsi="Verdana" w:cs="Arial"/>
          <w:b/>
          <w:bCs/>
          <w:lang w:val="es-ES_tradnl" w:eastAsia="es-ES"/>
        </w:rPr>
        <w:t xml:space="preserve">DOCUMENTOS TIPO – Generalidades – </w:t>
      </w:r>
      <w:r w:rsidRPr="00243291">
        <w:rPr>
          <w:rFonts w:ascii="Verdana" w:eastAsia="Aptos" w:hAnsi="Verdana" w:cs="Times New Roman"/>
          <w:b/>
          <w:bCs/>
          <w:lang w:val="es-ES_tradnl" w:eastAsia="es-ES"/>
        </w:rPr>
        <w:t xml:space="preserve">Obligatoriedad </w:t>
      </w:r>
    </w:p>
    <w:p w14:paraId="678763C0" w14:textId="77777777" w:rsidR="00FF6CD9" w:rsidRPr="00243291" w:rsidRDefault="00FF6CD9" w:rsidP="00FF6CD9">
      <w:pPr>
        <w:snapToGrid w:val="0"/>
        <w:spacing w:after="0" w:line="240" w:lineRule="auto"/>
        <w:jc w:val="both"/>
        <w:rPr>
          <w:rFonts w:ascii="Verdana" w:eastAsia="Calibri" w:hAnsi="Verdana" w:cs="Arial"/>
          <w:b/>
          <w:bCs/>
          <w:lang w:val="es-ES_tradnl" w:eastAsia="es-ES"/>
        </w:rPr>
      </w:pPr>
    </w:p>
    <w:p w14:paraId="500AA14E" w14:textId="77777777" w:rsidR="00FF6CD9" w:rsidRPr="00243291" w:rsidRDefault="00FF6CD9" w:rsidP="00FF6CD9">
      <w:pPr>
        <w:snapToGrid w:val="0"/>
        <w:spacing w:after="0" w:line="240" w:lineRule="auto"/>
        <w:jc w:val="both"/>
        <w:rPr>
          <w:rFonts w:ascii="Verdana" w:eastAsia="Calibri" w:hAnsi="Verdana" w:cs="Arial"/>
          <w:sz w:val="20"/>
          <w:szCs w:val="20"/>
          <w:lang w:val="es-ES_tradnl" w:eastAsia="es-MX"/>
        </w:rPr>
      </w:pPr>
      <w:r w:rsidRPr="00243291">
        <w:rPr>
          <w:rFonts w:ascii="Verdana" w:eastAsia="Calibri" w:hAnsi="Verdana" w:cs="Arial"/>
          <w:sz w:val="20"/>
          <w:szCs w:val="20"/>
          <w:lang w:val="es-ES_tradnl" w:eastAsia="es-MX"/>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42DAFE09" w14:textId="77777777" w:rsidR="00FF6CD9" w:rsidRDefault="00FF6CD9" w:rsidP="00FF6CD9">
      <w:pPr>
        <w:jc w:val="both"/>
        <w:rPr>
          <w:rFonts w:ascii="Verdana" w:eastAsia="Times New Roman" w:hAnsi="Verdana" w:cs="Calibri"/>
          <w:szCs w:val="20"/>
          <w:bdr w:val="none" w:sz="0" w:space="0" w:color="auto" w:frame="1"/>
          <w:lang w:val="es-ES_tradnl" w:eastAsia="es-CO"/>
        </w:rPr>
      </w:pPr>
    </w:p>
    <w:p w14:paraId="66506ACC" w14:textId="77777777" w:rsidR="00FF6CD9" w:rsidRPr="00B310DA" w:rsidRDefault="00FF6CD9" w:rsidP="00FF6CD9">
      <w:pPr>
        <w:spacing w:after="0"/>
        <w:jc w:val="both"/>
        <w:rPr>
          <w:rFonts w:ascii="Verdana" w:eastAsia="Calibri" w:hAnsi="Verdana" w:cs="Times New Roman"/>
          <w:b/>
          <w:bCs/>
          <w:lang w:val="es-ES"/>
        </w:rPr>
      </w:pPr>
      <w:r w:rsidRPr="00B310DA">
        <w:rPr>
          <w:rFonts w:ascii="Verdana" w:eastAsia="Calibri" w:hAnsi="Verdana" w:cs="Times New Roman"/>
          <w:b/>
          <w:bCs/>
          <w:lang w:val="es-ES"/>
        </w:rPr>
        <w:t>DOCUMENTOS TIPO – Inalterabilidad – Alcance</w:t>
      </w:r>
    </w:p>
    <w:p w14:paraId="361DF18C" w14:textId="77777777" w:rsidR="00FF6CD9" w:rsidRPr="00B310DA" w:rsidRDefault="00FF6CD9" w:rsidP="00FF6CD9">
      <w:pPr>
        <w:spacing w:after="0" w:line="240" w:lineRule="auto"/>
        <w:jc w:val="both"/>
        <w:rPr>
          <w:rFonts w:ascii="Verdana" w:eastAsia="Calibri" w:hAnsi="Verdana" w:cs="Times New Roman"/>
          <w:b/>
          <w:bCs/>
          <w:lang w:val="es-ES"/>
        </w:rPr>
      </w:pPr>
    </w:p>
    <w:p w14:paraId="35C84EBE" w14:textId="77777777" w:rsidR="00FF6CD9" w:rsidRDefault="00FF6CD9" w:rsidP="00FF6CD9">
      <w:pPr>
        <w:tabs>
          <w:tab w:val="center" w:pos="4419"/>
          <w:tab w:val="right" w:pos="8838"/>
        </w:tabs>
        <w:spacing w:after="0" w:line="240" w:lineRule="auto"/>
        <w:jc w:val="both"/>
        <w:rPr>
          <w:rFonts w:ascii="Verdana" w:eastAsia="Calibri" w:hAnsi="Verdana" w:cs="Arial"/>
          <w:color w:val="000000"/>
          <w:sz w:val="20"/>
          <w:szCs w:val="20"/>
          <w:lang w:val="es-ES"/>
        </w:rPr>
      </w:pPr>
      <w:r w:rsidRPr="00B310DA">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B310DA">
        <w:rPr>
          <w:rFonts w:ascii="Verdana" w:eastAsia="Calibri" w:hAnsi="Verdana" w:cs="Arial"/>
          <w:i/>
          <w:iCs/>
          <w:color w:val="000000"/>
          <w:sz w:val="20"/>
          <w:szCs w:val="20"/>
          <w:lang w:val="es-ES"/>
        </w:rPr>
        <w:t>Documentos del Proceso</w:t>
      </w:r>
      <w:r w:rsidRPr="00B310DA">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081A26B" w14:textId="77777777" w:rsidR="00FF6CD9" w:rsidRPr="00B310DA" w:rsidRDefault="00FF6CD9" w:rsidP="00FF6CD9">
      <w:pPr>
        <w:tabs>
          <w:tab w:val="center" w:pos="4419"/>
          <w:tab w:val="right" w:pos="8838"/>
        </w:tabs>
        <w:spacing w:after="0" w:line="240" w:lineRule="auto"/>
        <w:jc w:val="both"/>
        <w:rPr>
          <w:rFonts w:ascii="Verdana" w:eastAsia="Calibri" w:hAnsi="Verdana" w:cs="Arial"/>
          <w:color w:val="000000"/>
          <w:sz w:val="20"/>
          <w:szCs w:val="20"/>
          <w:lang w:val="es-ES"/>
        </w:rPr>
      </w:pPr>
    </w:p>
    <w:p w14:paraId="6840C314" w14:textId="77777777" w:rsidR="00FF6CD9" w:rsidRDefault="00FF6CD9" w:rsidP="00FF6CD9">
      <w:pPr>
        <w:spacing w:after="0" w:line="240" w:lineRule="auto"/>
        <w:jc w:val="both"/>
        <w:rPr>
          <w:rFonts w:ascii="Verdana" w:eastAsia="Calibri" w:hAnsi="Verdana" w:cs="Arial"/>
          <w:sz w:val="20"/>
          <w:szCs w:val="20"/>
          <w:lang w:val="es-ES_tradnl"/>
        </w:rPr>
      </w:pPr>
      <w:r w:rsidRPr="00B310DA">
        <w:rPr>
          <w:rFonts w:ascii="Verdana" w:eastAsia="Calibri" w:hAnsi="Verdana" w:cs="Arial"/>
          <w:sz w:val="20"/>
          <w:szCs w:val="20"/>
          <w:lang w:val="es-ES_tradnl"/>
        </w:rPr>
        <w:t>(…)</w:t>
      </w:r>
    </w:p>
    <w:p w14:paraId="1788B8CD" w14:textId="77777777" w:rsidR="00FF6CD9" w:rsidRPr="00B310DA" w:rsidRDefault="00FF6CD9" w:rsidP="00FF6CD9">
      <w:pPr>
        <w:spacing w:after="0" w:line="240" w:lineRule="auto"/>
        <w:jc w:val="both"/>
        <w:rPr>
          <w:rFonts w:ascii="Verdana" w:eastAsia="Calibri" w:hAnsi="Verdana" w:cs="Arial"/>
          <w:sz w:val="20"/>
          <w:szCs w:val="20"/>
          <w:lang w:val="es-ES_tradnl"/>
        </w:rPr>
      </w:pPr>
    </w:p>
    <w:p w14:paraId="73263E7A" w14:textId="77777777" w:rsidR="00FF6CD9" w:rsidRPr="00B310DA" w:rsidRDefault="00FF6CD9" w:rsidP="00FF6CD9">
      <w:pPr>
        <w:spacing w:after="0" w:line="240" w:lineRule="auto"/>
        <w:jc w:val="both"/>
        <w:rPr>
          <w:rFonts w:ascii="Verdana" w:eastAsia="Calibri" w:hAnsi="Verdana" w:cs="Arial"/>
          <w:color w:val="000000"/>
          <w:sz w:val="20"/>
          <w:szCs w:val="20"/>
          <w:lang w:val="es-ES"/>
        </w:rPr>
      </w:pPr>
      <w:r w:rsidRPr="00B310DA">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1D37BC64" w14:textId="77777777" w:rsidR="00FF6CD9" w:rsidRPr="00B310DA" w:rsidRDefault="00FF6CD9" w:rsidP="00FF6CD9">
      <w:pPr>
        <w:spacing w:after="0" w:line="240" w:lineRule="auto"/>
        <w:jc w:val="both"/>
        <w:rPr>
          <w:rFonts w:ascii="Verdana" w:eastAsia="Calibri" w:hAnsi="Verdana" w:cs="Arial"/>
          <w:color w:val="000000"/>
          <w:sz w:val="20"/>
          <w:szCs w:val="20"/>
          <w:lang w:val="es-ES"/>
        </w:rPr>
      </w:pPr>
    </w:p>
    <w:p w14:paraId="7E431BB8" w14:textId="77777777" w:rsidR="00FF6CD9" w:rsidRDefault="00FF6CD9" w:rsidP="00FF6CD9">
      <w:pPr>
        <w:spacing w:after="0" w:line="240" w:lineRule="auto"/>
        <w:jc w:val="both"/>
        <w:rPr>
          <w:rFonts w:ascii="Verdana" w:eastAsia="Calibri" w:hAnsi="Verdana" w:cs="Arial"/>
          <w:color w:val="000000"/>
          <w:sz w:val="20"/>
          <w:szCs w:val="20"/>
          <w:lang w:val="es-ES"/>
        </w:rPr>
      </w:pPr>
      <w:r w:rsidRPr="00B310DA">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B310DA">
        <w:rPr>
          <w:rFonts w:ascii="Verdana" w:eastAsia="Calibri" w:hAnsi="Verdana" w:cs="Arial"/>
          <w:color w:val="000000"/>
          <w:sz w:val="20"/>
          <w:szCs w:val="20"/>
          <w:lang w:val="es-ES"/>
        </w:rPr>
        <w:lastRenderedPageBreak/>
        <w:t xml:space="preserve">interpretativos incorrectos que se buscó erradicar con la introducción de la herramienta analizada. </w:t>
      </w:r>
    </w:p>
    <w:p w14:paraId="6F8B686A" w14:textId="77777777" w:rsidR="00FF6CD9" w:rsidRPr="00B310DA" w:rsidRDefault="00FF6CD9" w:rsidP="00FF6CD9">
      <w:pPr>
        <w:spacing w:after="0" w:line="240" w:lineRule="auto"/>
        <w:jc w:val="both"/>
        <w:rPr>
          <w:rFonts w:ascii="Verdana" w:eastAsia="Calibri" w:hAnsi="Verdana" w:cs="Arial"/>
          <w:color w:val="000000"/>
          <w:sz w:val="20"/>
          <w:szCs w:val="20"/>
          <w:lang w:val="es-ES"/>
        </w:rPr>
      </w:pPr>
    </w:p>
    <w:p w14:paraId="52318D0A" w14:textId="77777777" w:rsidR="00FF6CD9" w:rsidRDefault="00FF6CD9" w:rsidP="00FF6CD9">
      <w:pPr>
        <w:spacing w:after="0" w:line="240" w:lineRule="auto"/>
        <w:jc w:val="both"/>
        <w:rPr>
          <w:rFonts w:ascii="Verdana" w:eastAsia="Calibri" w:hAnsi="Verdana" w:cs="Arial"/>
          <w:color w:val="000000"/>
          <w:sz w:val="20"/>
          <w:szCs w:val="20"/>
          <w:lang w:val="es-ES"/>
        </w:rPr>
      </w:pPr>
      <w:r w:rsidRPr="00B310DA">
        <w:rPr>
          <w:rFonts w:ascii="Verdana" w:eastAsia="Calibri" w:hAnsi="Verdana" w:cs="Arial"/>
          <w:color w:val="000000"/>
          <w:sz w:val="20"/>
          <w:szCs w:val="20"/>
          <w:lang w:val="es-ES"/>
        </w:rPr>
        <w:t>(…)</w:t>
      </w:r>
    </w:p>
    <w:p w14:paraId="51FC8D14" w14:textId="77777777" w:rsidR="00FF6CD9" w:rsidRPr="00B310DA" w:rsidRDefault="00FF6CD9" w:rsidP="00FF6CD9">
      <w:pPr>
        <w:spacing w:after="0" w:line="240" w:lineRule="auto"/>
        <w:jc w:val="both"/>
        <w:rPr>
          <w:rFonts w:ascii="Verdana" w:eastAsia="Calibri" w:hAnsi="Verdana" w:cs="Arial"/>
          <w:color w:val="000000"/>
          <w:sz w:val="20"/>
          <w:szCs w:val="20"/>
          <w:lang w:val="es-ES"/>
        </w:rPr>
      </w:pPr>
    </w:p>
    <w:p w14:paraId="60BD06F0" w14:textId="77777777" w:rsidR="00FF6CD9" w:rsidRDefault="00FF6CD9" w:rsidP="00FF6CD9">
      <w:pPr>
        <w:spacing w:after="0" w:line="240" w:lineRule="auto"/>
        <w:jc w:val="both"/>
        <w:rPr>
          <w:rFonts w:ascii="Verdana" w:eastAsia="Calibri" w:hAnsi="Verdana" w:cs="Arial"/>
          <w:color w:val="000000"/>
          <w:sz w:val="20"/>
          <w:szCs w:val="20"/>
          <w:lang w:val="es-ES"/>
        </w:rPr>
      </w:pPr>
      <w:r w:rsidRPr="00B310DA">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B310DA">
        <w:rPr>
          <w:rFonts w:ascii="Verdana" w:eastAsia="Aptos" w:hAnsi="Verdana" w:cs="Arial"/>
          <w:sz w:val="20"/>
          <w:szCs w:val="20"/>
        </w:rPr>
        <w:t>–[</w:t>
      </w:r>
      <w:r w:rsidRPr="00B310DA">
        <w:rPr>
          <w:rFonts w:ascii="Verdana" w:eastAsia="Aptos" w:hAnsi="Verdana" w:cs="Arial"/>
          <w:sz w:val="20"/>
          <w:szCs w:val="20"/>
          <w:highlight w:val="lightGray"/>
        </w:rPr>
        <w:t>texto de ejemplo</w:t>
      </w:r>
      <w:r w:rsidRPr="00B310DA">
        <w:rPr>
          <w:rFonts w:ascii="Verdana" w:eastAsia="Aptos" w:hAnsi="Verdana" w:cs="Arial"/>
          <w:sz w:val="20"/>
          <w:szCs w:val="20"/>
        </w:rPr>
        <w:t xml:space="preserve">]– </w:t>
      </w:r>
      <w:r w:rsidRPr="00B310DA">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EC01AC0" w14:textId="77777777" w:rsidR="00FF6CD9" w:rsidRDefault="00FF6CD9" w:rsidP="00FF6CD9">
      <w:pPr>
        <w:jc w:val="both"/>
        <w:rPr>
          <w:rFonts w:ascii="Verdana" w:eastAsia="Times New Roman" w:hAnsi="Verdana" w:cs="Calibri"/>
          <w:szCs w:val="20"/>
          <w:bdr w:val="none" w:sz="0" w:space="0" w:color="auto" w:frame="1"/>
          <w:lang w:val="es-ES" w:eastAsia="es-CO"/>
        </w:rPr>
      </w:pPr>
    </w:p>
    <w:p w14:paraId="3ACF115D" w14:textId="77777777" w:rsidR="00FF6CD9" w:rsidRPr="00336218" w:rsidRDefault="00FF6CD9" w:rsidP="00FF6CD9">
      <w:pPr>
        <w:jc w:val="both"/>
        <w:rPr>
          <w:rFonts w:ascii="Verdana" w:eastAsia="Times New Roman" w:hAnsi="Verdana" w:cs="Calibri"/>
          <w:b/>
          <w:bCs/>
          <w:szCs w:val="20"/>
          <w:bdr w:val="none" w:sz="0" w:space="0" w:color="auto" w:frame="1"/>
          <w:lang w:eastAsia="es-CO"/>
        </w:rPr>
      </w:pPr>
      <w:r w:rsidRPr="00336218">
        <w:rPr>
          <w:rFonts w:ascii="Verdana" w:eastAsia="Times New Roman" w:hAnsi="Verdana" w:cs="Calibri"/>
          <w:b/>
          <w:bCs/>
          <w:szCs w:val="20"/>
          <w:bdr w:val="none" w:sz="0" w:space="0" w:color="auto" w:frame="1"/>
          <w:lang w:eastAsia="es-CO"/>
        </w:rPr>
        <w:t>REQUISITOS HABILITANTES - Adecuación y proporcionalidad – Estandarización -</w:t>
      </w:r>
      <w:r>
        <w:rPr>
          <w:rFonts w:ascii="Verdana" w:eastAsia="Times New Roman" w:hAnsi="Verdana" w:cs="Calibri"/>
          <w:b/>
          <w:bCs/>
          <w:szCs w:val="20"/>
          <w:bdr w:val="none" w:sz="0" w:space="0" w:color="auto" w:frame="1"/>
          <w:lang w:eastAsia="es-CO"/>
        </w:rPr>
        <w:t xml:space="preserve"> </w:t>
      </w:r>
      <w:r w:rsidRPr="00336218">
        <w:rPr>
          <w:rFonts w:ascii="Verdana" w:eastAsia="Times New Roman" w:hAnsi="Verdana" w:cs="Calibri"/>
          <w:b/>
          <w:bCs/>
          <w:szCs w:val="20"/>
          <w:bdr w:val="none" w:sz="0" w:space="0" w:color="auto" w:frame="1"/>
          <w:lang w:eastAsia="es-CO"/>
        </w:rPr>
        <w:t>Documentos tipo</w:t>
      </w:r>
      <w:r>
        <w:rPr>
          <w:rFonts w:ascii="Verdana" w:eastAsia="Times New Roman" w:hAnsi="Verdana" w:cs="Calibri"/>
          <w:b/>
          <w:bCs/>
          <w:szCs w:val="20"/>
          <w:bdr w:val="none" w:sz="0" w:space="0" w:color="auto" w:frame="1"/>
          <w:lang w:eastAsia="es-CO"/>
        </w:rPr>
        <w:t xml:space="preserve"> - </w:t>
      </w:r>
      <w:r w:rsidRPr="002603D8">
        <w:rPr>
          <w:rFonts w:ascii="Verdana" w:eastAsia="Times New Roman" w:hAnsi="Verdana" w:cs="Calibri"/>
          <w:b/>
          <w:bCs/>
          <w:szCs w:val="20"/>
          <w:bdr w:val="none" w:sz="0" w:space="0" w:color="auto" w:frame="1"/>
          <w:lang w:eastAsia="es-CO"/>
        </w:rPr>
        <w:t>Sistema de Gestión de Seguridad y Salud en el Trabajo (SG-SST)</w:t>
      </w:r>
    </w:p>
    <w:p w14:paraId="34D9FFEB" w14:textId="77777777" w:rsidR="00FF6CD9" w:rsidRPr="00CA5963" w:rsidRDefault="00FF6CD9" w:rsidP="00FF6CD9">
      <w:pPr>
        <w:spacing w:after="120" w:line="240" w:lineRule="auto"/>
        <w:jc w:val="both"/>
        <w:rPr>
          <w:rFonts w:ascii="Verdana" w:eastAsia="Verdana" w:hAnsi="Verdana" w:cs="Verdana"/>
          <w:sz w:val="20"/>
          <w:szCs w:val="20"/>
        </w:rPr>
      </w:pPr>
      <w:r w:rsidRPr="00CA5963">
        <w:rPr>
          <w:rFonts w:ascii="Verdana" w:eastAsia="Verdana" w:hAnsi="Verdana" w:cs="Verdana"/>
          <w:sz w:val="20"/>
          <w:szCs w:val="20"/>
        </w:rPr>
        <w:t>Los requisitos habilitantes deben ser adecuados y proporcionales a la naturaleza y al valor del contrato, y su estandarización es precisamente la finalidad que persiguen los documentos tipo.</w:t>
      </w:r>
    </w:p>
    <w:p w14:paraId="2A3B99C3" w14:textId="77777777" w:rsidR="00FF6CD9" w:rsidRPr="00CA5963" w:rsidRDefault="00FF6CD9" w:rsidP="00FF6CD9">
      <w:pPr>
        <w:spacing w:after="120" w:line="240" w:lineRule="auto"/>
        <w:jc w:val="both"/>
        <w:rPr>
          <w:rFonts w:ascii="Verdana" w:eastAsia="Verdana" w:hAnsi="Verdana" w:cs="Verdana"/>
          <w:sz w:val="20"/>
          <w:szCs w:val="20"/>
        </w:rPr>
      </w:pPr>
      <w:r w:rsidRPr="00CA5963">
        <w:rPr>
          <w:rFonts w:ascii="Verdana" w:eastAsia="Verdana" w:hAnsi="Verdana" w:cs="Verdana"/>
          <w:sz w:val="20"/>
          <w:szCs w:val="20"/>
        </w:rPr>
        <w:t>La implementación del Sistema de Gestión de Seguridad y Salud en el Trabajo es una obligación legal sustantiva de todo empleador, exigible con independencia de que participe o no en un proceso de contratación estatal, y cuya vigilancia corresponde al Ministerio del Trabajo. Su incumplimiento genera las consecuencias previstas en el régimen laboral y de riesgos laborales, no en el estatuto contractual.</w:t>
      </w:r>
    </w:p>
    <w:p w14:paraId="4B869AF1" w14:textId="77777777" w:rsidR="00FF6CD9" w:rsidRPr="00CA5963" w:rsidRDefault="00FF6CD9" w:rsidP="00FF6CD9">
      <w:pPr>
        <w:spacing w:after="120" w:line="240" w:lineRule="auto"/>
        <w:jc w:val="both"/>
        <w:rPr>
          <w:rFonts w:ascii="Verdana" w:eastAsia="Verdana" w:hAnsi="Verdana" w:cs="Verdana"/>
          <w:sz w:val="20"/>
          <w:szCs w:val="20"/>
        </w:rPr>
      </w:pPr>
      <w:r w:rsidRPr="00CA5963">
        <w:rPr>
          <w:rFonts w:ascii="Verdana" w:eastAsia="Verdana" w:hAnsi="Verdana" w:cs="Verdana"/>
          <w:sz w:val="20"/>
          <w:szCs w:val="20"/>
        </w:rPr>
        <w:t>El requisito habilitante, en cambio, es una condición de admisión al proceso de selección que determina quién puede ser evaluado y quién queda excluido. Su fuente no es la ley laboral sino el pliego de condiciones, y en los procesos regidos por documentos tipo esa fuente está cerrada y estandarizada.</w:t>
      </w:r>
    </w:p>
    <w:p w14:paraId="05F2E5DF" w14:textId="77777777" w:rsidR="00FF6CD9" w:rsidRPr="00CA5963" w:rsidRDefault="00FF6CD9" w:rsidP="00FF6CD9">
      <w:pPr>
        <w:spacing w:after="120" w:line="240" w:lineRule="auto"/>
        <w:jc w:val="both"/>
        <w:rPr>
          <w:rFonts w:ascii="Verdana" w:eastAsia="Verdana" w:hAnsi="Verdana" w:cs="Verdana"/>
          <w:sz w:val="20"/>
          <w:szCs w:val="20"/>
        </w:rPr>
      </w:pPr>
      <w:r w:rsidRPr="00CA5963">
        <w:rPr>
          <w:rFonts w:ascii="Verdana" w:eastAsia="Verdana" w:hAnsi="Verdana" w:cs="Verdana"/>
          <w:sz w:val="20"/>
          <w:szCs w:val="20"/>
        </w:rPr>
        <w:t>De ahí que la existencia del deber sustantivo no habilite a la entidad a convertirlo en condición de habilitación ni a definir por sí misma el porcentaje de cumplimiento, la certificación idónea y el momento de acreditación, pues ello equivaldría a crear un requisito habilitante nuevo. Tampoco puede hacerlo por la vía de exigir soportes adicionales, expresamente prohibida.</w:t>
      </w:r>
    </w:p>
    <w:p w14:paraId="52695914" w14:textId="77777777" w:rsidR="00FF6CD9" w:rsidRPr="00CA5963" w:rsidRDefault="00FF6CD9" w:rsidP="00FF6CD9">
      <w:pPr>
        <w:jc w:val="both"/>
        <w:rPr>
          <w:lang w:val="es-ES" w:eastAsia="es-CO"/>
        </w:rPr>
      </w:pPr>
    </w:p>
    <w:p w14:paraId="2E8B2F88" w14:textId="77777777" w:rsidR="00FF6CD9" w:rsidRPr="00B251DE" w:rsidRDefault="00FF6CD9" w:rsidP="00FF6CD9">
      <w:pPr>
        <w:spacing w:after="0" w:line="276" w:lineRule="auto"/>
        <w:jc w:val="both"/>
        <w:rPr>
          <w:rFonts w:ascii="Verdana" w:eastAsia="Calibri" w:hAnsi="Verdana" w:cs="Times New Roman"/>
          <w:lang w:eastAsia="es-MX"/>
        </w:rPr>
      </w:pPr>
      <w:r w:rsidRPr="00243291">
        <w:rPr>
          <w:rFonts w:ascii="Verdana" w:eastAsia="Calibri" w:hAnsi="Verdana" w:cs="Arial"/>
          <w:b/>
          <w:bCs/>
          <w:lang w:val="es-ES_tradnl" w:eastAsia="es-ES"/>
        </w:rPr>
        <w:t xml:space="preserve">DOCUMENTOS TIPO – </w:t>
      </w:r>
      <w:r>
        <w:rPr>
          <w:rFonts w:ascii="Verdana" w:eastAsia="Calibri" w:hAnsi="Verdana" w:cs="Arial"/>
          <w:b/>
          <w:bCs/>
          <w:lang w:val="es-ES_tradnl" w:eastAsia="es-ES"/>
        </w:rPr>
        <w:t>Inalterabilidad</w:t>
      </w:r>
      <w:r w:rsidRPr="00243291">
        <w:rPr>
          <w:rFonts w:ascii="Verdana" w:eastAsia="Calibri" w:hAnsi="Verdana" w:cs="Arial"/>
          <w:b/>
          <w:bCs/>
          <w:lang w:val="es-ES_tradnl" w:eastAsia="es-ES"/>
        </w:rPr>
        <w:t xml:space="preserve"> – </w:t>
      </w:r>
      <w:r>
        <w:rPr>
          <w:rFonts w:ascii="Verdana" w:eastAsia="Aptos" w:hAnsi="Verdana" w:cs="Times New Roman"/>
          <w:b/>
          <w:bCs/>
          <w:lang w:val="es-ES_tradnl" w:eastAsia="es-ES"/>
        </w:rPr>
        <w:t>Principio de economía – Documentos adicionales</w:t>
      </w:r>
    </w:p>
    <w:p w14:paraId="2CAB3106" w14:textId="77777777" w:rsidR="00FF6CD9" w:rsidRPr="00392DFA" w:rsidRDefault="00FF6CD9" w:rsidP="00FF6CD9">
      <w:pPr>
        <w:spacing w:before="120" w:after="120" w:line="240" w:lineRule="auto"/>
        <w:jc w:val="both"/>
        <w:rPr>
          <w:rFonts w:ascii="Verdana" w:eastAsia="Aptos" w:hAnsi="Verdana" w:cs="Arial"/>
          <w:sz w:val="20"/>
          <w:szCs w:val="20"/>
        </w:rPr>
      </w:pPr>
      <w:r w:rsidRPr="00392DFA">
        <w:rPr>
          <w:rFonts w:ascii="Verdana" w:eastAsia="Aptos" w:hAnsi="Verdana" w:cs="Arial"/>
          <w:sz w:val="20"/>
          <w:szCs w:val="20"/>
        </w:rPr>
        <w:t xml:space="preserve">En relación con el principio constitucional </w:t>
      </w:r>
      <w:r w:rsidRPr="00392DFA">
        <w:rPr>
          <w:rFonts w:ascii="Verdana" w:eastAsia="Aptos" w:hAnsi="Verdana" w:cs="Arial"/>
          <w:i/>
          <w:iCs/>
          <w:sz w:val="20"/>
          <w:szCs w:val="20"/>
        </w:rPr>
        <w:t>sub examine</w:t>
      </w:r>
      <w:r w:rsidRPr="00392DFA">
        <w:rPr>
          <w:rFonts w:ascii="Verdana" w:eastAsia="Aptos" w:hAnsi="Verdana" w:cs="Arial"/>
          <w:sz w:val="20"/>
          <w:szCs w:val="20"/>
        </w:rPr>
        <w:t xml:space="preserve">, la Corte Constitucional explica que “(…) por disposición del artículo 228 Superior, las formas no deben convertirse en un obstáculo para la efectividad del derecho sustancial, sino que deben propender por </w:t>
      </w:r>
      <w:r w:rsidRPr="00392DFA">
        <w:rPr>
          <w:rFonts w:ascii="Verdana" w:eastAsia="Aptos" w:hAnsi="Verdana" w:cs="Arial"/>
          <w:sz w:val="20"/>
          <w:szCs w:val="20"/>
        </w:rPr>
        <w:lastRenderedPageBreak/>
        <w:t xml:space="preserve">su realización. Es decir, que las normas procesales son un medio para lograr la efectividad de los derechos subjetivos y no fines en sí mismas”. </w:t>
      </w:r>
    </w:p>
    <w:p w14:paraId="3E848AFF" w14:textId="77777777" w:rsidR="00FF6CD9" w:rsidRPr="00392DFA" w:rsidRDefault="00FF6CD9" w:rsidP="00FF6CD9">
      <w:pPr>
        <w:spacing w:before="120" w:after="120" w:line="240" w:lineRule="auto"/>
        <w:jc w:val="both"/>
        <w:rPr>
          <w:rFonts w:ascii="Verdana" w:eastAsia="Calibri" w:hAnsi="Verdana" w:cs="Arial"/>
          <w:sz w:val="20"/>
          <w:szCs w:val="20"/>
          <w:lang w:val="es-ES"/>
        </w:rPr>
      </w:pPr>
      <w:r w:rsidRPr="00392DFA">
        <w:rPr>
          <w:rFonts w:ascii="Verdana" w:eastAsia="Calibri" w:hAnsi="Verdana" w:cs="Arial"/>
          <w:sz w:val="20"/>
          <w:szCs w:val="20"/>
          <w:lang w:val="es-ES"/>
        </w:rPr>
        <w:t xml:space="preserve">Además, las entidades estatales deben garantizar el </w:t>
      </w:r>
      <w:r w:rsidRPr="00392DFA">
        <w:rPr>
          <w:rFonts w:ascii="Verdana" w:eastAsia="Calibri" w:hAnsi="Verdana" w:cs="Arial"/>
          <w:i/>
          <w:iCs/>
          <w:sz w:val="20"/>
          <w:szCs w:val="20"/>
          <w:lang w:val="es-ES"/>
        </w:rPr>
        <w:t>principio de economía</w:t>
      </w:r>
      <w:r w:rsidRPr="00392DFA">
        <w:rPr>
          <w:rFonts w:ascii="Verdana" w:eastAsia="Calibri" w:hAnsi="Verdana" w:cs="Arial"/>
          <w:sz w:val="20"/>
          <w:szCs w:val="20"/>
          <w:lang w:val="es-ES"/>
        </w:rPr>
        <w:t xml:space="preserve">, del cual se desprende que no pueden exigir documentos o requisitos más allá de los que permitan la Constitución, la ley y los reglamentos. Este postulado ha sido recogido no solo en la contratación estatal sino además en la normativa </w:t>
      </w:r>
      <w:proofErr w:type="spellStart"/>
      <w:r w:rsidRPr="00392DFA">
        <w:rPr>
          <w:rFonts w:ascii="Verdana" w:eastAsia="Calibri" w:hAnsi="Verdana" w:cs="Arial"/>
          <w:sz w:val="20"/>
          <w:szCs w:val="20"/>
          <w:lang w:val="es-ES"/>
        </w:rPr>
        <w:t>antitrámites</w:t>
      </w:r>
      <w:proofErr w:type="spellEnd"/>
      <w:r w:rsidRPr="00392DFA">
        <w:rPr>
          <w:rFonts w:ascii="Verdana" w:eastAsia="Calibri" w:hAnsi="Verdana" w:cs="Arial"/>
          <w:sz w:val="20"/>
          <w:szCs w:val="20"/>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7DD52DFA" w14:textId="77777777" w:rsidR="00FF6CD9" w:rsidRPr="002603D8" w:rsidRDefault="00FF6CD9" w:rsidP="00FF6CD9">
      <w:pPr>
        <w:spacing w:before="120" w:after="120" w:line="240" w:lineRule="auto"/>
        <w:jc w:val="both"/>
        <w:rPr>
          <w:rFonts w:ascii="Verdana" w:eastAsia="Calibri" w:hAnsi="Verdana" w:cs="Arial"/>
          <w:sz w:val="20"/>
          <w:szCs w:val="20"/>
          <w:lang w:val="es-ES"/>
        </w:rPr>
      </w:pPr>
      <w:r>
        <w:rPr>
          <w:rFonts w:ascii="Verdana" w:eastAsia="Verdana" w:hAnsi="Verdana" w:cs="Verdana"/>
          <w:sz w:val="20"/>
          <w:szCs w:val="20"/>
        </w:rPr>
        <w:t>E</w:t>
      </w:r>
      <w:r w:rsidRPr="00392DFA">
        <w:rPr>
          <w:rFonts w:ascii="Verdana" w:eastAsia="Verdana" w:hAnsi="Verdana" w:cs="Verdana"/>
          <w:sz w:val="20"/>
          <w:szCs w:val="20"/>
        </w:rPr>
        <w:t xml:space="preserve">n el Concepto C-512 del 7 de mayo de 2026, se precisó que la inalterabilidad de los Documentos Tipo “es una manifestación en mayor grado de las potestades regladas”, lo que implica una reducción de la discrecionalidad de la Administración al momento de estructurar el proceso de contratación. En ese sentido, señaló que cada entidad sometida a estos documentos debe realizar una “aplicación o constatación irrestricta de las reglas y condiciones dispuestas en estos”, salvo aquellos aspectos respecto de los cuales el propio Documento Tipo permita algún margen de decisión. </w:t>
      </w:r>
    </w:p>
    <w:p w14:paraId="7651CBC0" w14:textId="77777777" w:rsidR="00FF6CD9" w:rsidRPr="00392DFA" w:rsidRDefault="00FF6CD9" w:rsidP="00FF6CD9">
      <w:pPr>
        <w:jc w:val="both"/>
        <w:rPr>
          <w:rFonts w:ascii="Verdana" w:eastAsia="Times New Roman" w:hAnsi="Verdana" w:cs="Calibri"/>
          <w:b/>
          <w:bCs/>
          <w:szCs w:val="20"/>
          <w:bdr w:val="none" w:sz="0" w:space="0" w:color="auto" w:frame="1"/>
          <w:lang w:val="es-ES_tradnl" w:eastAsia="es-CO"/>
        </w:rPr>
      </w:pPr>
      <w:r w:rsidRPr="00392DFA">
        <w:rPr>
          <w:rFonts w:ascii="Verdana" w:eastAsia="Times New Roman" w:hAnsi="Verdana" w:cs="Calibri"/>
          <w:b/>
          <w:bCs/>
          <w:szCs w:val="20"/>
          <w:bdr w:val="none" w:sz="0" w:space="0" w:color="auto" w:frame="1"/>
          <w:lang w:val="es-ES_tradnl" w:eastAsia="es-CO"/>
        </w:rPr>
        <w:t>BIENES Y SERVICIOS ADICIONALES – Interventoría – Sector social – Documento Base – Numeral 10.1.1</w:t>
      </w:r>
    </w:p>
    <w:p w14:paraId="3B026F39" w14:textId="77777777" w:rsidR="00FF6CD9" w:rsidRPr="00387046" w:rsidRDefault="00FF6CD9" w:rsidP="00FF6CD9">
      <w:pPr>
        <w:spacing w:line="240" w:lineRule="auto"/>
        <w:jc w:val="both"/>
        <w:rPr>
          <w:rFonts w:ascii="Verdana" w:hAnsi="Verdana"/>
          <w:sz w:val="20"/>
          <w:szCs w:val="20"/>
        </w:rPr>
      </w:pPr>
      <w:r w:rsidRPr="00387046">
        <w:rPr>
          <w:rFonts w:ascii="Verdana" w:hAnsi="Verdana"/>
          <w:sz w:val="20"/>
          <w:szCs w:val="20"/>
        </w:rPr>
        <w:t>En ese sentido, si, conforme al alcance integral del proyecto, la entidad determina que este corresponde a un proceso de contratación de interventoría de infraestructura social  y que, adicionalmente, comprende actividades que no se encuentran incluidas en la matriz de experiencia aplicable, dichas actividades podrían considerarse obras, bienes o servicios adicionales en los términos del artículo 4 de la Resolución 953 de 2025, siempre que se cumplan las condiciones previstas en dicha disposición. En tal evento, la entidad deberá aplicar los Documentos Tipo correspondientes a proceso de contratación de interventoría de infraestructura social y, excepcionalmente, si considera necesario exigir experiencia adicional para acreditar la idoneidad del contratista respecto de las actividades que no estén contempladas en la matriz de experiencia aplicable, deberá observar los parámetros establecidos en el citado artículo.</w:t>
      </w:r>
    </w:p>
    <w:p w14:paraId="6771BBE4" w14:textId="77777777" w:rsidR="00FF6CD9" w:rsidRPr="00387046" w:rsidRDefault="00FF6CD9" w:rsidP="00FF6CD9">
      <w:pPr>
        <w:spacing w:line="240" w:lineRule="auto"/>
        <w:jc w:val="both"/>
        <w:rPr>
          <w:rFonts w:ascii="Verdana" w:hAnsi="Verdana"/>
          <w:sz w:val="20"/>
          <w:szCs w:val="20"/>
        </w:rPr>
      </w:pPr>
      <w:r w:rsidRPr="00387046">
        <w:rPr>
          <w:rFonts w:ascii="Verdana" w:hAnsi="Verdana"/>
          <w:sz w:val="20"/>
          <w:szCs w:val="20"/>
        </w:rPr>
        <w:t>Adicionalmente, deberá tenerse en cuenta que, de conformidad con el parágrafo 1 del artículo 4 de la Resolución 953 de 2025, cuando el objeto contractual incluya actividades comprendidas en otros Documentos Tipo expedidos por la Agencia Nacional de Contratación Pública – Colombia Compra Eficiente, la entidad deberá aplicar las reglas de combinación de experiencia previstas en el numeral 10.1.1 del Documento Base correspondiente. Por tanto, deberá distinguir entre la incorporación de experiencia adicional, relativa a actividades no contempladas en las matrices de experiencia vigentes, y la combinación de experiencia, aplicable cuando el objeto contractual comprenda actividades reguladas por otros Documentos Tipo.</w:t>
      </w:r>
    </w:p>
    <w:p w14:paraId="11420009" w14:textId="77777777" w:rsidR="00FF6CD9" w:rsidRPr="00387046" w:rsidRDefault="00FF6CD9" w:rsidP="00FF6CD9">
      <w:pPr>
        <w:shd w:val="clear" w:color="auto" w:fill="FFFFFF"/>
        <w:spacing w:after="0" w:line="276" w:lineRule="auto"/>
        <w:ind w:right="709"/>
        <w:jc w:val="both"/>
        <w:textAlignment w:val="baseline"/>
        <w:rPr>
          <w:rFonts w:ascii="Verdana" w:eastAsia="Times New Roman" w:hAnsi="Verdana" w:cs="Calibri"/>
          <w:sz w:val="24"/>
          <w:bdr w:val="none" w:sz="0" w:space="0" w:color="auto" w:frame="1"/>
          <w:lang w:eastAsia="es-CO"/>
        </w:rPr>
      </w:pPr>
    </w:p>
    <w:p w14:paraId="2C080375" w14:textId="77777777" w:rsidR="00FF6CD9" w:rsidRDefault="00FF6CD9" w:rsidP="00FF6CD9">
      <w:pPr>
        <w:shd w:val="clear" w:color="auto" w:fill="FFFFFF"/>
        <w:spacing w:after="0" w:line="240" w:lineRule="auto"/>
        <w:jc w:val="both"/>
        <w:textAlignment w:val="baseline"/>
        <w:rPr>
          <w:rFonts w:ascii="Verdana" w:eastAsia="Times New Roman" w:hAnsi="Verdana" w:cs="Calibri"/>
          <w:b/>
          <w:bCs/>
          <w:bdr w:val="none" w:sz="0" w:space="0" w:color="auto" w:frame="1"/>
          <w:lang w:val="es-MX" w:eastAsia="es-CO"/>
        </w:rPr>
      </w:pPr>
      <w:r w:rsidRPr="00243291">
        <w:rPr>
          <w:rFonts w:ascii="Verdana" w:eastAsia="Times New Roman" w:hAnsi="Verdana" w:cs="Calibri"/>
          <w:b/>
          <w:bCs/>
          <w:bdr w:val="none" w:sz="0" w:space="0" w:color="auto" w:frame="1"/>
          <w:lang w:val="es-MX" w:eastAsia="es-CO"/>
        </w:rPr>
        <w:t>DOCUMENTOS TIPO – Infraestructura social – Documento válidos para acreditar experiencia</w:t>
      </w:r>
    </w:p>
    <w:p w14:paraId="4A795D18" w14:textId="77777777" w:rsidR="00FF6CD9" w:rsidRPr="00806E77" w:rsidRDefault="00FF6CD9" w:rsidP="00FF6CD9">
      <w:pPr>
        <w:shd w:val="clear" w:color="auto" w:fill="FFFFFF"/>
        <w:spacing w:after="0" w:line="240" w:lineRule="auto"/>
        <w:jc w:val="both"/>
        <w:textAlignment w:val="baseline"/>
        <w:rPr>
          <w:rFonts w:ascii="Verdana" w:eastAsia="Times New Roman" w:hAnsi="Verdana" w:cs="Calibri"/>
          <w:b/>
          <w:bCs/>
          <w:bdr w:val="none" w:sz="0" w:space="0" w:color="auto" w:frame="1"/>
          <w:lang w:val="es-MX" w:eastAsia="es-CO"/>
        </w:rPr>
      </w:pPr>
    </w:p>
    <w:p w14:paraId="2CF54766" w14:textId="77777777" w:rsidR="00FF6CD9" w:rsidRPr="00806E77" w:rsidRDefault="00FF6CD9" w:rsidP="00FF6CD9">
      <w:pPr>
        <w:spacing w:after="120" w:line="240" w:lineRule="auto"/>
        <w:jc w:val="both"/>
        <w:rPr>
          <w:rFonts w:ascii="Verdana" w:eastAsia="Aptos" w:hAnsi="Verdana" w:cs="Arial"/>
          <w:sz w:val="20"/>
          <w:szCs w:val="20"/>
        </w:rPr>
      </w:pPr>
      <w:r w:rsidRPr="00806E77">
        <w:rPr>
          <w:rFonts w:ascii="Verdana" w:eastAsia="Calibri" w:hAnsi="Verdana" w:cs="Arial"/>
          <w:sz w:val="20"/>
          <w:szCs w:val="20"/>
        </w:rPr>
        <w:t>De igual manera, el literal A del numeral 10.1.1 del documento base dispone que la entidad debe incluir sin modificar, la actividad o actividades válidas para acreditar la experiencia general o específica señaladas en la Matriz 1 – Experiencia.</w:t>
      </w:r>
      <w:r w:rsidRPr="00806E77">
        <w:rPr>
          <w:rFonts w:ascii="Verdana" w:eastAsia="Aptos" w:hAnsi="Verdana" w:cs="Arial"/>
          <w:sz w:val="20"/>
          <w:szCs w:val="20"/>
        </w:rPr>
        <w:t xml:space="preserve"> De esta forma, la experiencia evaluable es únicamente la relacionada con la actividad señalada en este literal, por lo cual corresponde a las señaladas en la matriz 1 que son válidas para acreditar la experiencia general y específica. </w:t>
      </w:r>
    </w:p>
    <w:p w14:paraId="58C0DA30" w14:textId="77777777" w:rsidR="00FF6CD9" w:rsidRPr="00806E77" w:rsidRDefault="00FF6CD9" w:rsidP="00FF6CD9">
      <w:pPr>
        <w:spacing w:after="120" w:line="240" w:lineRule="auto"/>
        <w:jc w:val="both"/>
        <w:rPr>
          <w:rFonts w:ascii="Verdana" w:eastAsia="Aptos" w:hAnsi="Verdana" w:cs="Arial"/>
          <w:sz w:val="20"/>
          <w:szCs w:val="20"/>
        </w:rPr>
      </w:pPr>
      <w:r w:rsidRPr="00806E77">
        <w:rPr>
          <w:rFonts w:ascii="Verdana" w:eastAsia="Aptos" w:hAnsi="Verdana" w:cs="Arial"/>
          <w:sz w:val="20"/>
          <w:szCs w:val="20"/>
        </w:rPr>
        <w:t xml:space="preserve">Lo anterior significa que para acreditar la experiencia señalada en la matriz 1, los contratos mediante los cuales se adquirió deben cumplir las características del numeral 10.1.1 del documento base, particularmente el literal A. Es decir, deben referirse a la actividad que la entidad definió como objeto del procedimiento contractual, que como el mismo literal indica, debe diligenciarse exclusivamente de acuerdo con lo señalado en la matriz de experiencia, que es inalterable. </w:t>
      </w:r>
    </w:p>
    <w:p w14:paraId="797F3DDF" w14:textId="77777777" w:rsidR="00FF6CD9" w:rsidRPr="00806E77" w:rsidRDefault="00FF6CD9" w:rsidP="00FF6CD9">
      <w:pPr>
        <w:spacing w:after="120" w:line="240" w:lineRule="auto"/>
        <w:jc w:val="both"/>
        <w:rPr>
          <w:rFonts w:ascii="Verdana" w:eastAsia="Calibri" w:hAnsi="Verdana" w:cs="Arial"/>
          <w:sz w:val="20"/>
          <w:szCs w:val="20"/>
        </w:rPr>
      </w:pPr>
      <w:r w:rsidRPr="00806E77">
        <w:rPr>
          <w:rFonts w:ascii="Verdana" w:eastAsia="Calibri" w:hAnsi="Verdana" w:cs="Arial"/>
          <w:sz w:val="20"/>
          <w:szCs w:val="20"/>
        </w:rPr>
        <w:t xml:space="preserve">Ahora bien, esto no significa que se desconozca la función del Clasificador de Bienes y Servicios ni del RUP. Por el contrario, los documentos tipo exigen que la experiencia acreditada también guarde correspondencia con la clasificación UNSPSC. </w:t>
      </w:r>
    </w:p>
    <w:p w14:paraId="21759D6F" w14:textId="77777777" w:rsidR="00FF6CD9" w:rsidRPr="00243291" w:rsidRDefault="00FF6CD9" w:rsidP="00FF6CD9">
      <w:pPr>
        <w:widowControl w:val="0"/>
        <w:autoSpaceDE w:val="0"/>
        <w:autoSpaceDN w:val="0"/>
        <w:spacing w:after="0" w:line="276" w:lineRule="auto"/>
        <w:jc w:val="both"/>
        <w:rPr>
          <w:rFonts w:ascii="Verdana" w:eastAsia="Arial" w:hAnsi="Verdana" w:cs="Arial"/>
          <w:bCs/>
          <w:lang w:val="es-ES" w:eastAsia="es-MX"/>
        </w:rPr>
      </w:pPr>
    </w:p>
    <w:p w14:paraId="382563BF" w14:textId="77777777" w:rsidR="00FF6CD9" w:rsidRDefault="00FF6CD9" w:rsidP="00FF6CD9">
      <w:pPr>
        <w:spacing w:after="0" w:line="240" w:lineRule="auto"/>
        <w:jc w:val="both"/>
        <w:rPr>
          <w:rFonts w:ascii="Verdana" w:eastAsia="Geomanist Light" w:hAnsi="Verdana" w:cs="Arial"/>
        </w:rPr>
      </w:pPr>
      <w:r w:rsidRPr="00243291">
        <w:rPr>
          <w:rFonts w:ascii="Verdana" w:eastAsia="Times New Roman" w:hAnsi="Verdana" w:cs="Calibri"/>
          <w:b/>
          <w:bCs/>
          <w:bdr w:val="none" w:sz="0" w:space="0" w:color="auto" w:frame="1"/>
          <w:lang w:val="es-MX" w:eastAsia="es-CO"/>
        </w:rPr>
        <w:t>DOCUMENTOS TIPO – Infraestructura social – Características de los contratos – Acreditar experiencia –</w:t>
      </w:r>
      <w:r>
        <w:rPr>
          <w:rFonts w:ascii="Verdana" w:eastAsia="Times New Roman" w:hAnsi="Verdana" w:cs="Calibri"/>
          <w:b/>
          <w:bCs/>
          <w:bdr w:val="none" w:sz="0" w:space="0" w:color="auto" w:frame="1"/>
          <w:lang w:val="es-MX" w:eastAsia="es-CO"/>
        </w:rPr>
        <w:t xml:space="preserve"> Numeral 10.1.2.</w:t>
      </w:r>
    </w:p>
    <w:p w14:paraId="0D70679D" w14:textId="77777777" w:rsidR="00FF6CD9" w:rsidRPr="00CA5963" w:rsidRDefault="00FF6CD9" w:rsidP="00FF6CD9">
      <w:pPr>
        <w:spacing w:after="0"/>
        <w:jc w:val="both"/>
        <w:rPr>
          <w:rFonts w:ascii="Verdana" w:hAnsi="Verdana"/>
          <w:color w:val="6699FF"/>
          <w:sz w:val="20"/>
          <w:szCs w:val="20"/>
        </w:rPr>
      </w:pPr>
    </w:p>
    <w:p w14:paraId="2C43A19E" w14:textId="77777777" w:rsidR="00FF6CD9" w:rsidRPr="00CA5963" w:rsidRDefault="00FF6CD9" w:rsidP="00FF6CD9">
      <w:pPr>
        <w:spacing w:after="120" w:line="240" w:lineRule="auto"/>
        <w:jc w:val="both"/>
        <w:rPr>
          <w:rFonts w:ascii="Verdana" w:eastAsia="Calibri" w:hAnsi="Verdana" w:cs="Arial"/>
          <w:sz w:val="20"/>
          <w:szCs w:val="20"/>
        </w:rPr>
      </w:pPr>
      <w:r w:rsidRPr="00CA5963">
        <w:rPr>
          <w:rFonts w:ascii="Verdana" w:eastAsia="Calibri" w:hAnsi="Verdana" w:cs="Arial"/>
          <w:sz w:val="20"/>
          <w:szCs w:val="20"/>
        </w:rPr>
        <w:t xml:space="preserve">En este sentido el numeral “10.1.2 </w:t>
      </w:r>
      <w:r w:rsidRPr="00CA5963">
        <w:rPr>
          <w:rFonts w:ascii="Verdana" w:eastAsia="Arial" w:hAnsi="Verdana" w:cs="Arial"/>
          <w:sz w:val="20"/>
          <w:szCs w:val="20"/>
        </w:rPr>
        <w:t>CONSIDERACIONES PARA LA VALIDEZ DE LA EXPERIENCIA DEL PROPONENTE</w:t>
      </w:r>
      <w:r w:rsidRPr="00CA5963">
        <w:rPr>
          <w:rFonts w:ascii="Verdana" w:eastAsia="Calibri" w:hAnsi="Verdana" w:cs="Arial"/>
          <w:sz w:val="20"/>
          <w:szCs w:val="20"/>
        </w:rPr>
        <w:t xml:space="preserve">” del documento base </w:t>
      </w:r>
      <w:r w:rsidRPr="00CA5963">
        <w:rPr>
          <w:rFonts w:ascii="Verdana" w:eastAsia="Calibri" w:hAnsi="Verdana" w:cs="Arial"/>
          <w:color w:val="000000"/>
          <w:sz w:val="20"/>
          <w:szCs w:val="20"/>
        </w:rPr>
        <w:t xml:space="preserve">indica unos aspectos que la entidad tendrá en cuenta para analizar la experiencia acreditada y que la misma sea válida como experiencia requerida. Para efectos de esta solicitud, resultan relevantes los literales A y B de ese numeral. </w:t>
      </w:r>
    </w:p>
    <w:p w14:paraId="399BEAFD" w14:textId="77777777" w:rsidR="00FF6CD9" w:rsidRPr="00CA5963" w:rsidRDefault="00FF6CD9" w:rsidP="00FF6CD9">
      <w:pPr>
        <w:autoSpaceDE w:val="0"/>
        <w:autoSpaceDN w:val="0"/>
        <w:adjustRightInd w:val="0"/>
        <w:spacing w:before="120" w:after="240" w:line="240" w:lineRule="auto"/>
        <w:jc w:val="both"/>
        <w:rPr>
          <w:rFonts w:ascii="Verdana" w:eastAsia="Arial" w:hAnsi="Verdana" w:cs="Arial"/>
          <w:sz w:val="20"/>
          <w:szCs w:val="20"/>
          <w:lang w:eastAsia="es-ES"/>
        </w:rPr>
      </w:pPr>
      <w:r w:rsidRPr="00CA5963">
        <w:rPr>
          <w:rFonts w:ascii="Verdana" w:eastAsia="Calibri" w:hAnsi="Verdana" w:cs="Arial"/>
          <w:color w:val="000000"/>
          <w:sz w:val="20"/>
          <w:szCs w:val="20"/>
        </w:rPr>
        <w:t>En el primero se menciona que “</w:t>
      </w:r>
      <w:r w:rsidRPr="00CA5963">
        <w:rPr>
          <w:rFonts w:ascii="Verdana" w:eastAsia="Arial" w:hAnsi="Verdana" w:cs="Arial"/>
          <w:sz w:val="20"/>
          <w:szCs w:val="20"/>
          <w:lang w:eastAsia="es-ES"/>
        </w:rPr>
        <w:t>En el Clasificador de Bienes y Servicios el segmento correspondiente para la clasificación de la experiencia es el 80 y/o 81</w:t>
      </w:r>
      <w:r w:rsidRPr="00CA5963">
        <w:rPr>
          <w:rFonts w:ascii="Verdana" w:eastAsia="Verdana" w:hAnsi="Verdana" w:cs="Verdana"/>
          <w:sz w:val="20"/>
          <w:szCs w:val="20"/>
          <w:lang w:val="es-MX"/>
        </w:rPr>
        <w:t xml:space="preserve">”. El segundo literal –B– indica que </w:t>
      </w:r>
      <w:r w:rsidRPr="00CA5963">
        <w:rPr>
          <w:rFonts w:ascii="Verdana" w:eastAsia="Aptos" w:hAnsi="Verdana" w:cs="Times New Roman"/>
          <w:sz w:val="20"/>
          <w:szCs w:val="20"/>
          <w:lang w:val="es-MX"/>
        </w:rPr>
        <w:t>la “</w:t>
      </w:r>
      <w:r w:rsidRPr="00CA5963">
        <w:rPr>
          <w:rFonts w:ascii="Verdana" w:eastAsia="Arial" w:hAnsi="Verdana" w:cs="Arial"/>
          <w:sz w:val="20"/>
          <w:szCs w:val="20"/>
          <w:lang w:eastAsia="es-ES"/>
        </w:rPr>
        <w:t>La Entidad únicamente podrá exigir para la verificación de la experiencia los contratos celebrados por el interesado, identificados con el Clasificador de Bienes y Servicios hasta el tercer nivel</w:t>
      </w:r>
      <w:r w:rsidRPr="00CA5963">
        <w:rPr>
          <w:rFonts w:ascii="Verdana" w:eastAsia="Calibri" w:hAnsi="Verdana" w:cs="Arial"/>
          <w:color w:val="000000"/>
          <w:sz w:val="20"/>
          <w:szCs w:val="20"/>
        </w:rPr>
        <w:t xml:space="preserve">”. </w:t>
      </w:r>
    </w:p>
    <w:p w14:paraId="2D92B56B" w14:textId="77777777" w:rsidR="00FF6CD9" w:rsidRPr="00CA5963" w:rsidRDefault="00FF6CD9" w:rsidP="00FF6CD9">
      <w:pPr>
        <w:spacing w:after="120" w:line="240" w:lineRule="auto"/>
        <w:jc w:val="both"/>
        <w:rPr>
          <w:rFonts w:ascii="Verdana" w:eastAsia="Calibri" w:hAnsi="Verdana" w:cs="Arial"/>
          <w:color w:val="000000"/>
          <w:sz w:val="20"/>
          <w:szCs w:val="20"/>
        </w:rPr>
      </w:pPr>
      <w:r w:rsidRPr="00CA5963">
        <w:rPr>
          <w:rFonts w:ascii="Verdana" w:eastAsia="Calibri" w:hAnsi="Verdana" w:cs="Arial"/>
          <w:color w:val="000000"/>
          <w:sz w:val="20"/>
          <w:szCs w:val="20"/>
        </w:rPr>
        <w:t>Asimismo, el numeral 10.1.3 dispone que los contratos aportados “deben estar clasificados en alguno de los siguientes códigos” y ordena a la entidad exigir contratos identificados con el Clasificador de Bienes y Servicios “hasta el tercer nivel que sean concordantes con el objeto principal del objeto a ejecutar”.</w:t>
      </w:r>
    </w:p>
    <w:p w14:paraId="7046849D" w14:textId="77777777" w:rsidR="00FF6CD9" w:rsidRDefault="00FF6CD9" w:rsidP="00FF6CD9">
      <w:pPr>
        <w:spacing w:after="0"/>
        <w:jc w:val="both"/>
        <w:rPr>
          <w:rFonts w:ascii="Verdana" w:hAnsi="Verdana"/>
          <w:color w:val="6699FF"/>
        </w:rPr>
      </w:pPr>
    </w:p>
    <w:p w14:paraId="5C5A6475" w14:textId="77777777" w:rsidR="00FF6CD9" w:rsidRDefault="00FF6CD9" w:rsidP="00FF6CD9">
      <w:pPr>
        <w:spacing w:after="0"/>
        <w:jc w:val="both"/>
        <w:rPr>
          <w:rFonts w:ascii="Verdana" w:hAnsi="Verdana"/>
          <w:color w:val="6699FF"/>
        </w:rPr>
      </w:pPr>
    </w:p>
    <w:p w14:paraId="12CCCC3A" w14:textId="77777777" w:rsidR="00FF6CD9" w:rsidRDefault="00FF6CD9" w:rsidP="00FF6CD9">
      <w:pPr>
        <w:spacing w:after="0"/>
        <w:jc w:val="both"/>
        <w:rPr>
          <w:rFonts w:ascii="Verdana" w:hAnsi="Verdana"/>
          <w:color w:val="6699FF"/>
        </w:rPr>
      </w:pPr>
    </w:p>
    <w:p w14:paraId="55C379E0" w14:textId="77777777" w:rsidR="00FF6CD9" w:rsidRDefault="00FF6CD9" w:rsidP="00FF6CD9">
      <w:pPr>
        <w:spacing w:after="0"/>
        <w:jc w:val="both"/>
        <w:rPr>
          <w:rFonts w:ascii="Verdana" w:hAnsi="Verdana"/>
          <w:color w:val="6699FF"/>
        </w:rPr>
      </w:pPr>
    </w:p>
    <w:p w14:paraId="4727780B" w14:textId="77777777" w:rsidR="00FF6CD9" w:rsidRDefault="00FF6CD9" w:rsidP="00FF6CD9">
      <w:pPr>
        <w:spacing w:after="0"/>
        <w:jc w:val="both"/>
        <w:rPr>
          <w:rFonts w:ascii="Verdana" w:hAnsi="Verdana"/>
          <w:color w:val="6699FF"/>
        </w:rPr>
      </w:pPr>
    </w:p>
    <w:p w14:paraId="50350687" w14:textId="77777777" w:rsidR="00FF6CD9" w:rsidRDefault="00FF6CD9" w:rsidP="00FF6CD9">
      <w:pPr>
        <w:spacing w:after="0"/>
        <w:jc w:val="both"/>
        <w:rPr>
          <w:rFonts w:ascii="Verdana" w:hAnsi="Verdana"/>
          <w:color w:val="6699FF"/>
        </w:rPr>
      </w:pPr>
    </w:p>
    <w:p w14:paraId="1D483C4A" w14:textId="77777777" w:rsidR="00FF6CD9" w:rsidRPr="00F16B2B" w:rsidRDefault="00FF6CD9" w:rsidP="00FF6CD9">
      <w:pPr>
        <w:spacing w:after="0"/>
        <w:jc w:val="both"/>
        <w:rPr>
          <w:rFonts w:ascii="Verdana" w:hAnsi="Verdana"/>
          <w:color w:val="6699FF"/>
        </w:rPr>
      </w:pPr>
    </w:p>
    <w:p w14:paraId="391D4E69" w14:textId="6F69B11C" w:rsidR="0066141F" w:rsidRDefault="00FF6CD9" w:rsidP="0066141F">
      <w:pPr>
        <w:spacing w:after="0"/>
      </w:pPr>
      <w:r>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7BB633DE" wp14:editId="31D9204E">
            <wp:simplePos x="0" y="0"/>
            <wp:positionH relativeFrom="margin">
              <wp:posOffset>2980690</wp:posOffset>
            </wp:positionH>
            <wp:positionV relativeFrom="margin">
              <wp:posOffset>112395</wp:posOffset>
            </wp:positionV>
            <wp:extent cx="3136265" cy="864870"/>
            <wp:effectExtent l="0" t="0" r="635" b="0"/>
            <wp:wrapSquare wrapText="bothSides"/>
            <wp:docPr id="170818831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188319"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36265" cy="864870"/>
                    </a:xfrm>
                    <a:prstGeom prst="rect">
                      <a:avLst/>
                    </a:prstGeom>
                  </pic:spPr>
                </pic:pic>
              </a:graphicData>
            </a:graphic>
            <wp14:sizeRelH relativeFrom="margin">
              <wp14:pctWidth>0</wp14:pctWidth>
            </wp14:sizeRelH>
            <wp14:sizeRelV relativeFrom="margin">
              <wp14:pctHeight>0</wp14:pctHeight>
            </wp14:sizeRelV>
          </wp:anchor>
        </w:drawing>
      </w:r>
      <w:r w:rsidRPr="00FF6CD9">
        <w:rPr>
          <w:rFonts w:ascii="Verdana" w:eastAsia="Verdana" w:hAnsi="Verdana" w:cs="Verdana"/>
        </w:rPr>
        <w:t>Bogotá D.C., 26 Octubre 2026</w:t>
      </w:r>
      <w:r w:rsidR="0066141F">
        <w:tab/>
      </w:r>
    </w:p>
    <w:p w14:paraId="171B6779" w14:textId="5A07919A" w:rsidR="000E6CA0" w:rsidRPr="000E6CA0" w:rsidRDefault="000E6CA0" w:rsidP="0066141F">
      <w:pPr>
        <w:spacing w:after="0"/>
        <w:rPr>
          <w:rFonts w:ascii="Verdana" w:eastAsia="Verdana" w:hAnsi="Verdana" w:cs="Verdana"/>
        </w:rPr>
      </w:pPr>
    </w:p>
    <w:p w14:paraId="3455DCA0" w14:textId="7AE4558B" w:rsidR="0066141F" w:rsidRPr="00E96005" w:rsidRDefault="0066141F" w:rsidP="0066141F">
      <w:pPr>
        <w:spacing w:after="0" w:line="276" w:lineRule="auto"/>
        <w:rPr>
          <w:rFonts w:ascii="Verdana" w:eastAsia="Calibri" w:hAnsi="Verdana" w:cs="Arial"/>
          <w:lang w:val="es-ES" w:eastAsia="es-ES"/>
        </w:rPr>
      </w:pPr>
      <w:r w:rsidRPr="00E87F7A">
        <w:rPr>
          <w:rFonts w:ascii="Verdana" w:eastAsia="Calibri" w:hAnsi="Verdana" w:cs="Arial"/>
          <w:lang w:val="es-ES" w:eastAsia="es-ES"/>
        </w:rPr>
        <w:t>Señor</w:t>
      </w:r>
    </w:p>
    <w:p w14:paraId="5CFDAEBB" w14:textId="77777777" w:rsidR="0066141F" w:rsidRPr="00E96005" w:rsidRDefault="0066141F" w:rsidP="0066141F">
      <w:pPr>
        <w:spacing w:after="0" w:line="276" w:lineRule="auto"/>
        <w:rPr>
          <w:rFonts w:ascii="Verdana" w:eastAsia="Calibri" w:hAnsi="Verdana" w:cs="Arial"/>
          <w:b/>
          <w:bCs/>
          <w:lang w:eastAsia="es-ES"/>
        </w:rPr>
      </w:pPr>
      <w:r w:rsidRPr="00E96005">
        <w:rPr>
          <w:rFonts w:ascii="Verdana" w:eastAsia="Calibri" w:hAnsi="Verdana" w:cs="Arial"/>
          <w:b/>
          <w:bCs/>
          <w:lang w:eastAsia="es-ES"/>
        </w:rPr>
        <w:t xml:space="preserve">Carlos Alberto Gómez Montenegro </w:t>
      </w:r>
    </w:p>
    <w:p w14:paraId="0B251627" w14:textId="77777777" w:rsidR="0066141F" w:rsidRPr="00E96005" w:rsidRDefault="0066141F" w:rsidP="0066141F">
      <w:pPr>
        <w:spacing w:after="0" w:line="276" w:lineRule="auto"/>
        <w:rPr>
          <w:rFonts w:ascii="Verdana" w:eastAsia="Calibri" w:hAnsi="Verdana" w:cs="Arial"/>
          <w:lang w:eastAsia="es-ES"/>
        </w:rPr>
      </w:pPr>
      <w:r w:rsidRPr="00E96005">
        <w:rPr>
          <w:rFonts w:ascii="Verdana" w:eastAsia="Calibri" w:hAnsi="Verdana" w:cs="Arial"/>
          <w:lang w:eastAsia="es-ES"/>
        </w:rPr>
        <w:t>Representante Legal</w:t>
      </w:r>
    </w:p>
    <w:p w14:paraId="28CF7DF5" w14:textId="77777777" w:rsidR="0066141F" w:rsidRPr="00D27F2A" w:rsidRDefault="0066141F" w:rsidP="0066141F">
      <w:pPr>
        <w:spacing w:after="0" w:line="276" w:lineRule="auto"/>
        <w:rPr>
          <w:rFonts w:ascii="Verdana" w:hAnsi="Verdana"/>
        </w:rPr>
      </w:pPr>
      <w:r w:rsidRPr="00E96005">
        <w:rPr>
          <w:rFonts w:ascii="Verdana" w:eastAsia="Calibri" w:hAnsi="Verdana" w:cs="Arial"/>
          <w:lang w:eastAsia="es-ES"/>
        </w:rPr>
        <w:t xml:space="preserve">Montenegro </w:t>
      </w:r>
      <w:r>
        <w:rPr>
          <w:rFonts w:ascii="Verdana" w:eastAsia="Calibri" w:hAnsi="Verdana" w:cs="Arial"/>
          <w:lang w:eastAsia="es-ES"/>
        </w:rPr>
        <w:t>y</w:t>
      </w:r>
      <w:r w:rsidRPr="00E96005">
        <w:rPr>
          <w:rFonts w:ascii="Verdana" w:eastAsia="Calibri" w:hAnsi="Verdana" w:cs="Arial"/>
          <w:lang w:eastAsia="es-ES"/>
        </w:rPr>
        <w:t xml:space="preserve"> Compañía S.A.S.</w:t>
      </w:r>
    </w:p>
    <w:p w14:paraId="3B1FE4CA" w14:textId="77777777" w:rsidR="0066141F" w:rsidRPr="003034A8" w:rsidRDefault="0066141F" w:rsidP="0066141F">
      <w:pPr>
        <w:spacing w:after="0" w:line="276" w:lineRule="auto"/>
        <w:rPr>
          <w:rFonts w:ascii="Verdana" w:hAnsi="Verdana"/>
          <w:color w:val="6699FF"/>
        </w:rPr>
      </w:pPr>
      <w:r w:rsidRPr="00D27F2A">
        <w:rPr>
          <w:rFonts w:ascii="Verdana" w:hAnsi="Verdana"/>
          <w:color w:val="000000" w:themeColor="text1"/>
        </w:rPr>
        <w:t>Floridablanca, Santander</w:t>
      </w: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114"/>
      </w:tblGrid>
      <w:tr w:rsidR="0066141F" w:rsidRPr="003034A8" w14:paraId="6741D3D7" w14:textId="77777777" w:rsidTr="00D16AA4">
        <w:trPr>
          <w:trHeight w:val="488"/>
        </w:trPr>
        <w:tc>
          <w:tcPr>
            <w:tcW w:w="3119" w:type="dxa"/>
          </w:tcPr>
          <w:p w14:paraId="5198E97B" w14:textId="77777777" w:rsidR="0066141F" w:rsidRPr="003034A8" w:rsidRDefault="0066141F" w:rsidP="00D16AA4">
            <w:pPr>
              <w:spacing w:line="276" w:lineRule="auto"/>
              <w:jc w:val="both"/>
              <w:rPr>
                <w:rFonts w:ascii="Verdana" w:eastAsia="Calibri" w:hAnsi="Verdana" w:cs="Arial"/>
                <w:b/>
                <w:bCs/>
                <w:lang w:val="es-ES_tradnl" w:eastAsia="es-ES_tradnl"/>
              </w:rPr>
            </w:pPr>
          </w:p>
        </w:tc>
        <w:tc>
          <w:tcPr>
            <w:tcW w:w="6114" w:type="dxa"/>
            <w:hideMark/>
          </w:tcPr>
          <w:p w14:paraId="7241F430" w14:textId="77777777" w:rsidR="0066141F" w:rsidRPr="003034A8" w:rsidRDefault="0066141F" w:rsidP="00D16AA4">
            <w:pPr>
              <w:spacing w:line="276" w:lineRule="auto"/>
              <w:jc w:val="both"/>
              <w:rPr>
                <w:rFonts w:ascii="Verdana" w:eastAsia="Calibri" w:hAnsi="Verdana" w:cs="Arial"/>
                <w:b/>
                <w:bCs/>
                <w:lang w:val="es-ES" w:eastAsia="es-ES"/>
              </w:rPr>
            </w:pPr>
            <w:r w:rsidRPr="062DF579">
              <w:rPr>
                <w:rFonts w:ascii="Verdana" w:eastAsia="Calibri" w:hAnsi="Verdana" w:cs="Arial"/>
                <w:b/>
                <w:bCs/>
                <w:lang w:val="es-ES" w:eastAsia="es-ES"/>
              </w:rPr>
              <w:t>Concepto C – 1</w:t>
            </w:r>
            <w:r>
              <w:rPr>
                <w:rFonts w:ascii="Verdana" w:eastAsia="Calibri" w:hAnsi="Verdana" w:cs="Arial"/>
                <w:b/>
                <w:bCs/>
                <w:lang w:val="es-ES" w:eastAsia="es-ES"/>
              </w:rPr>
              <w:t>454</w:t>
            </w:r>
            <w:r w:rsidRPr="062DF579">
              <w:rPr>
                <w:rFonts w:ascii="Verdana" w:eastAsia="Calibri" w:hAnsi="Verdana" w:cs="Arial"/>
                <w:b/>
                <w:bCs/>
                <w:lang w:val="es-ES" w:eastAsia="es-ES"/>
              </w:rPr>
              <w:t xml:space="preserve"> de 2026</w:t>
            </w:r>
          </w:p>
        </w:tc>
      </w:tr>
      <w:tr w:rsidR="0066141F" w:rsidRPr="00E0705C" w14:paraId="2B7E6476" w14:textId="77777777" w:rsidTr="00D16AA4">
        <w:trPr>
          <w:trHeight w:val="999"/>
        </w:trPr>
        <w:tc>
          <w:tcPr>
            <w:tcW w:w="3119" w:type="dxa"/>
            <w:hideMark/>
          </w:tcPr>
          <w:p w14:paraId="6368C96D" w14:textId="77777777" w:rsidR="0066141F" w:rsidRPr="00375AFD" w:rsidRDefault="0066141F" w:rsidP="00D16AA4">
            <w:pPr>
              <w:spacing w:line="276" w:lineRule="auto"/>
              <w:jc w:val="both"/>
              <w:rPr>
                <w:rFonts w:ascii="Verdana" w:eastAsia="Calibri" w:hAnsi="Verdana" w:cs="Arial"/>
                <w:lang w:val="es-ES_tradnl" w:eastAsia="es-ES_tradnl"/>
              </w:rPr>
            </w:pPr>
            <w:r w:rsidRPr="00375AFD">
              <w:rPr>
                <w:rFonts w:ascii="Verdana" w:eastAsia="Calibri" w:hAnsi="Verdana" w:cs="Arial"/>
                <w:b/>
                <w:lang w:val="es-ES_tradnl" w:eastAsia="es-ES_tradnl"/>
              </w:rPr>
              <w:t>Temas:</w:t>
            </w:r>
            <w:r w:rsidRPr="00375AFD">
              <w:rPr>
                <w:rFonts w:ascii="Verdana" w:eastAsia="Calibri" w:hAnsi="Verdana" w:cs="Arial"/>
                <w:lang w:val="es-ES_tradnl" w:eastAsia="es-ES_tradnl"/>
              </w:rPr>
              <w:t xml:space="preserve">                   </w:t>
            </w:r>
          </w:p>
        </w:tc>
        <w:tc>
          <w:tcPr>
            <w:tcW w:w="6114" w:type="dxa"/>
          </w:tcPr>
          <w:p w14:paraId="34C0D4F0" w14:textId="556F34C0" w:rsidR="0066141F" w:rsidRPr="001C1540" w:rsidRDefault="0066141F" w:rsidP="001C1540">
            <w:pPr>
              <w:spacing w:line="276" w:lineRule="auto"/>
              <w:jc w:val="both"/>
              <w:rPr>
                <w:rFonts w:ascii="Verdana" w:eastAsia="Aptos" w:hAnsi="Verdana" w:cs="Times New Roman"/>
                <w:lang w:val="es-ES_tradnl" w:eastAsia="es-ES"/>
              </w:rPr>
            </w:pPr>
            <w:r w:rsidRPr="001C1540">
              <w:rPr>
                <w:rFonts w:ascii="Verdana" w:eastAsia="Calibri" w:hAnsi="Verdana" w:cs="Arial"/>
                <w:lang w:val="es-ES_tradnl" w:eastAsia="es-ES"/>
              </w:rPr>
              <w:t xml:space="preserve">DOCUMENTOS TIPO – Generalidades – </w:t>
            </w:r>
            <w:r w:rsidRPr="001C1540">
              <w:rPr>
                <w:rFonts w:ascii="Verdana" w:eastAsia="Aptos" w:hAnsi="Verdana" w:cs="Times New Roman"/>
                <w:lang w:val="es-ES_tradnl" w:eastAsia="es-ES"/>
              </w:rPr>
              <w:t>Obligatoriedad /</w:t>
            </w:r>
            <w:r w:rsidR="001C1540" w:rsidRPr="001C1540">
              <w:rPr>
                <w:rFonts w:ascii="Verdana" w:eastAsia="Aptos" w:hAnsi="Verdana" w:cs="Times New Roman"/>
                <w:lang w:val="es-ES_tradnl" w:eastAsia="es-ES"/>
              </w:rPr>
              <w:t xml:space="preserve"> </w:t>
            </w:r>
            <w:r w:rsidR="001C1540" w:rsidRPr="001C1540">
              <w:rPr>
                <w:rFonts w:ascii="Verdana" w:eastAsia="Calibri" w:hAnsi="Verdana" w:cs="Times New Roman"/>
                <w:lang w:val="es-ES"/>
              </w:rPr>
              <w:t>DOCUMENTOS TIPO – Inalterabilidad – Alcance</w:t>
            </w:r>
            <w:r w:rsidR="001C1540">
              <w:rPr>
                <w:rFonts w:ascii="Verdana" w:eastAsia="Calibri" w:hAnsi="Verdana" w:cs="Times New Roman"/>
                <w:lang w:val="es-ES"/>
              </w:rPr>
              <w:t xml:space="preserve"> </w:t>
            </w:r>
            <w:r w:rsidR="001C1540" w:rsidRPr="001C1540">
              <w:rPr>
                <w:rFonts w:ascii="Verdana" w:eastAsia="Times New Roman" w:hAnsi="Verdana" w:cs="Calibri"/>
                <w:szCs w:val="20"/>
                <w:bdr w:val="none" w:sz="0" w:space="0" w:color="auto" w:frame="1"/>
                <w:lang w:eastAsia="es-CO"/>
              </w:rPr>
              <w:t xml:space="preserve">/ REQUISITOS HABILITANTES - Adecuación y proporcionalidad – Estandarización - Documentos tipo - Sistema de Gestión de Seguridad y Salud en el Trabajo (SG-SST) / </w:t>
            </w:r>
            <w:r w:rsidR="001C1540" w:rsidRPr="001C1540">
              <w:rPr>
                <w:rFonts w:ascii="Verdana" w:eastAsia="Calibri" w:hAnsi="Verdana" w:cs="Arial"/>
                <w:lang w:val="es-ES_tradnl" w:eastAsia="es-ES"/>
              </w:rPr>
              <w:t xml:space="preserve">DOCUMENTOS TIPO – Inalterabilidad – </w:t>
            </w:r>
            <w:r w:rsidR="001C1540" w:rsidRPr="001C1540">
              <w:rPr>
                <w:rFonts w:ascii="Verdana" w:eastAsia="Aptos" w:hAnsi="Verdana" w:cs="Times New Roman"/>
                <w:lang w:val="es-ES_tradnl" w:eastAsia="es-ES"/>
              </w:rPr>
              <w:t xml:space="preserve">Principio de economía – Documentos adicionales / </w:t>
            </w:r>
            <w:r w:rsidRPr="001C1540">
              <w:rPr>
                <w:rFonts w:ascii="Verdana" w:eastAsia="Times New Roman" w:hAnsi="Verdana" w:cs="Calibri"/>
                <w:szCs w:val="20"/>
                <w:bdr w:val="none" w:sz="0" w:space="0" w:color="auto" w:frame="1"/>
                <w:lang w:val="es-ES_tradnl" w:eastAsia="es-CO"/>
              </w:rPr>
              <w:t>BIENES Y SERVICIOS ADICIONALES – Interventoría – Sector social – Documento Base – Numeral 10.1.1/</w:t>
            </w:r>
            <w:r w:rsidRPr="001C1540">
              <w:rPr>
                <w:rFonts w:ascii="Verdana" w:eastAsia="Aptos" w:hAnsi="Verdana" w:cs="Times New Roman"/>
                <w:lang w:val="es-ES_tradnl" w:eastAsia="es-ES"/>
              </w:rPr>
              <w:t xml:space="preserve"> </w:t>
            </w:r>
            <w:r w:rsidRPr="001C1540">
              <w:rPr>
                <w:rFonts w:ascii="Verdana" w:eastAsia="Times New Roman" w:hAnsi="Verdana" w:cs="Calibri"/>
                <w:bdr w:val="none" w:sz="0" w:space="0" w:color="auto" w:frame="1"/>
                <w:lang w:val="es-MX" w:eastAsia="es-CO"/>
              </w:rPr>
              <w:t xml:space="preserve">DOCUMENTOS TIPO – Infraestructura social – Documento válidos para acreditar experiencia/  DOCUMENTOS TIPO – Infraestructura social – </w:t>
            </w:r>
            <w:r w:rsidR="001C1540" w:rsidRPr="001C1540">
              <w:rPr>
                <w:rFonts w:ascii="Verdana" w:eastAsia="Times New Roman" w:hAnsi="Verdana" w:cs="Calibri"/>
                <w:bdr w:val="none" w:sz="0" w:space="0" w:color="auto" w:frame="1"/>
                <w:lang w:val="es-MX" w:eastAsia="es-CO"/>
              </w:rPr>
              <w:t>Características</w:t>
            </w:r>
            <w:r w:rsidRPr="001C1540">
              <w:rPr>
                <w:rFonts w:ascii="Verdana" w:eastAsia="Times New Roman" w:hAnsi="Verdana" w:cs="Calibri"/>
                <w:bdr w:val="none" w:sz="0" w:space="0" w:color="auto" w:frame="1"/>
                <w:lang w:val="es-MX" w:eastAsia="es-CO"/>
              </w:rPr>
              <w:t xml:space="preserve"> de los contratos – Acreditar experiencia – Numeral 10.1.2.</w:t>
            </w:r>
          </w:p>
          <w:p w14:paraId="64B5BF72" w14:textId="77777777" w:rsidR="0066141F" w:rsidRPr="00806E77" w:rsidRDefault="0066141F" w:rsidP="00D16AA4">
            <w:pPr>
              <w:jc w:val="both"/>
              <w:rPr>
                <w:rFonts w:ascii="Verdana" w:eastAsia="Calibri" w:hAnsi="Verdana" w:cs="Times New Roman"/>
                <w:bCs/>
                <w:color w:val="0070C0"/>
              </w:rPr>
            </w:pPr>
          </w:p>
        </w:tc>
      </w:tr>
      <w:tr w:rsidR="0066141F" w:rsidRPr="00C14F81" w14:paraId="58EAC024" w14:textId="77777777" w:rsidTr="00D16AA4">
        <w:trPr>
          <w:trHeight w:val="93"/>
        </w:trPr>
        <w:tc>
          <w:tcPr>
            <w:tcW w:w="3119" w:type="dxa"/>
            <w:hideMark/>
          </w:tcPr>
          <w:p w14:paraId="2AE0D9DC" w14:textId="77777777" w:rsidR="0066141F" w:rsidRPr="0043467D" w:rsidRDefault="0066141F" w:rsidP="00D16AA4">
            <w:pPr>
              <w:spacing w:line="276" w:lineRule="auto"/>
              <w:jc w:val="both"/>
              <w:rPr>
                <w:rFonts w:ascii="Verdana" w:eastAsia="Calibri" w:hAnsi="Verdana" w:cs="Arial"/>
                <w:b/>
                <w:lang w:val="es-ES_tradnl" w:eastAsia="es-ES_tradnl"/>
              </w:rPr>
            </w:pPr>
            <w:r w:rsidRPr="0043467D">
              <w:rPr>
                <w:rFonts w:ascii="Verdana" w:eastAsia="Calibri" w:hAnsi="Verdana" w:cs="Arial"/>
                <w:b/>
                <w:lang w:val="es-ES_tradnl" w:eastAsia="es-ES_tradnl"/>
              </w:rPr>
              <w:t xml:space="preserve">Radicación:               </w:t>
            </w:r>
          </w:p>
        </w:tc>
        <w:tc>
          <w:tcPr>
            <w:tcW w:w="6114" w:type="dxa"/>
          </w:tcPr>
          <w:p w14:paraId="0F12A258" w14:textId="77777777" w:rsidR="0066141F" w:rsidRPr="00E0705C" w:rsidRDefault="0066141F" w:rsidP="00D16AA4">
            <w:pPr>
              <w:spacing w:line="276" w:lineRule="auto"/>
              <w:jc w:val="both"/>
              <w:rPr>
                <w:rFonts w:ascii="Verdana" w:eastAsia="Calibri" w:hAnsi="Verdana" w:cs="Arial"/>
                <w:bCs/>
                <w:lang w:eastAsia="es-ES_tradnl"/>
              </w:rPr>
            </w:pPr>
            <w:r w:rsidRPr="00E0705C">
              <w:rPr>
                <w:rFonts w:ascii="Verdana" w:eastAsia="Calibri" w:hAnsi="Verdana" w:cs="Arial"/>
                <w:bCs/>
                <w:lang w:val="es-ES_tradnl" w:eastAsia="es-ES_tradnl"/>
              </w:rPr>
              <w:t xml:space="preserve">Respuesta a consulta con radicado </w:t>
            </w:r>
            <w:r w:rsidRPr="00E0705C">
              <w:rPr>
                <w:rFonts w:ascii="Verdana" w:eastAsia="Calibri" w:hAnsi="Verdana" w:cs="Arial"/>
                <w:bCs/>
                <w:lang w:eastAsia="es-ES_tradnl"/>
              </w:rPr>
              <w:t>No. 1_2026_09_15_012297</w:t>
            </w:r>
          </w:p>
        </w:tc>
      </w:tr>
    </w:tbl>
    <w:p w14:paraId="40DA0B6E" w14:textId="77777777" w:rsidR="0066141F" w:rsidRPr="002E6765" w:rsidRDefault="0066141F" w:rsidP="0066141F">
      <w:pPr>
        <w:spacing w:after="0" w:line="276" w:lineRule="auto"/>
        <w:jc w:val="both"/>
        <w:rPr>
          <w:rFonts w:ascii="Verdana" w:eastAsia="Calibri" w:hAnsi="Verdana" w:cs="Arial"/>
          <w:bCs/>
          <w:lang w:val="es-ES_tradnl" w:eastAsia="es-ES_tradnl"/>
        </w:rPr>
      </w:pPr>
    </w:p>
    <w:p w14:paraId="07F55973" w14:textId="77777777" w:rsidR="0066141F" w:rsidRPr="00E0705C" w:rsidRDefault="0066141F" w:rsidP="0066141F">
      <w:pPr>
        <w:spacing w:after="0" w:line="276" w:lineRule="auto"/>
        <w:jc w:val="both"/>
        <w:rPr>
          <w:rFonts w:ascii="Verdana" w:eastAsia="Calibri" w:hAnsi="Verdana" w:cs="Arial"/>
          <w:bCs/>
          <w:lang w:val="es-ES" w:eastAsia="es-ES"/>
        </w:rPr>
      </w:pPr>
      <w:r w:rsidRPr="00E0705C">
        <w:rPr>
          <w:rFonts w:ascii="Verdana" w:eastAsia="Calibri" w:hAnsi="Verdana" w:cs="Arial"/>
          <w:bCs/>
          <w:lang w:val="es-ES" w:eastAsia="es-ES"/>
        </w:rPr>
        <w:t xml:space="preserve">Estimados Señor </w:t>
      </w:r>
      <w:r w:rsidRPr="00E0705C">
        <w:rPr>
          <w:rFonts w:ascii="Verdana" w:eastAsia="Calibri" w:hAnsi="Verdana" w:cs="Arial"/>
          <w:bCs/>
          <w:lang w:eastAsia="es-ES"/>
        </w:rPr>
        <w:t>Carlos Alberto</w:t>
      </w:r>
      <w:r w:rsidRPr="00E0705C">
        <w:rPr>
          <w:rFonts w:ascii="Verdana" w:eastAsia="Calibri" w:hAnsi="Verdana" w:cs="Arial"/>
          <w:bCs/>
          <w:lang w:val="es-ES" w:eastAsia="es-ES"/>
        </w:rPr>
        <w:t xml:space="preserve">, cordial saludo:  </w:t>
      </w:r>
    </w:p>
    <w:p w14:paraId="6A754620" w14:textId="77777777" w:rsidR="0066141F" w:rsidRPr="002E6765" w:rsidRDefault="0066141F" w:rsidP="0066141F">
      <w:pPr>
        <w:tabs>
          <w:tab w:val="left" w:pos="3768"/>
        </w:tabs>
        <w:spacing w:after="0" w:line="276" w:lineRule="auto"/>
        <w:jc w:val="both"/>
        <w:rPr>
          <w:rFonts w:ascii="Verdana" w:eastAsia="Calibri" w:hAnsi="Verdana" w:cs="Arial"/>
          <w:bCs/>
          <w:lang w:val="es-ES" w:eastAsia="es-ES"/>
        </w:rPr>
      </w:pPr>
      <w:r w:rsidRPr="002E6765">
        <w:rPr>
          <w:rFonts w:ascii="Verdana" w:eastAsia="Calibri" w:hAnsi="Verdana" w:cs="Arial"/>
          <w:bCs/>
          <w:lang w:val="es-ES" w:eastAsia="es-ES"/>
        </w:rPr>
        <w:tab/>
      </w:r>
    </w:p>
    <w:p w14:paraId="3010200E" w14:textId="77777777" w:rsidR="0066141F" w:rsidRPr="002E6765" w:rsidRDefault="0066141F" w:rsidP="0066141F">
      <w:pPr>
        <w:spacing w:after="0" w:line="276" w:lineRule="auto"/>
        <w:jc w:val="both"/>
        <w:rPr>
          <w:rFonts w:ascii="Verdana" w:eastAsia="Calibri" w:hAnsi="Verdana" w:cs="Arial"/>
          <w:lang w:val="es-ES" w:eastAsia="es-ES"/>
        </w:rPr>
      </w:pPr>
      <w:r w:rsidRPr="002E6765">
        <w:rPr>
          <w:rFonts w:ascii="Verdana" w:eastAsia="Calibri" w:hAnsi="Verdana" w:cs="Arial"/>
          <w:lang w:val="es-ES" w:eastAsia="es-ES"/>
        </w:rPr>
        <w:t>En ejercicio de la competencia otorgada por los artículos 3, numeral 5º, y 11, numeral 8º, del Decreto Ley 4170 de 2011,</w:t>
      </w:r>
      <w:r w:rsidRPr="002E6765">
        <w:rPr>
          <w:rFonts w:ascii="Verdana" w:eastAsia="Arial MT" w:hAnsi="Verdana" w:cs="Arial MT"/>
          <w:lang w:val="es-ES" w:eastAsia="es-ES"/>
        </w:rPr>
        <w:t xml:space="preserve"> </w:t>
      </w:r>
      <w:r w:rsidRPr="002E6765">
        <w:rPr>
          <w:rFonts w:ascii="Verdana" w:eastAsia="Calibri" w:hAnsi="Verdana" w:cs="Arial"/>
        </w:rPr>
        <w:t xml:space="preserve">así como lo establecido en el artículo 4 de la Resolución 1707 de 2018 expedida por esta Entidad, </w:t>
      </w:r>
      <w:r w:rsidRPr="002E6765">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 xml:space="preserve">15 de septiembre </w:t>
      </w:r>
      <w:r w:rsidRPr="002E6765">
        <w:rPr>
          <w:rFonts w:ascii="Verdana" w:eastAsia="Calibri" w:hAnsi="Verdana" w:cs="Arial"/>
          <w:lang w:val="es-ES" w:eastAsia="es-ES"/>
        </w:rPr>
        <w:t xml:space="preserve">de 2026, en la cual manifiesta lo siguiente: </w:t>
      </w:r>
      <w:bookmarkStart w:id="1" w:name="_Hlk95313578"/>
    </w:p>
    <w:p w14:paraId="75AA782C" w14:textId="77777777" w:rsidR="0066141F" w:rsidRPr="002E6765" w:rsidRDefault="0066141F" w:rsidP="0066141F">
      <w:pPr>
        <w:spacing w:after="0" w:line="276" w:lineRule="auto"/>
        <w:jc w:val="both"/>
        <w:rPr>
          <w:rFonts w:ascii="Verdana" w:eastAsia="Calibri" w:hAnsi="Verdana" w:cs="Arial"/>
          <w:bCs/>
          <w:lang w:val="es-ES" w:eastAsia="es-ES"/>
        </w:rPr>
      </w:pPr>
    </w:p>
    <w:bookmarkEnd w:id="1"/>
    <w:p w14:paraId="27D12DF1" w14:textId="77777777" w:rsidR="0066141F" w:rsidRDefault="0066141F" w:rsidP="0066141F">
      <w:pPr>
        <w:spacing w:after="0" w:line="240" w:lineRule="auto"/>
        <w:ind w:left="709" w:right="709"/>
        <w:jc w:val="both"/>
        <w:rPr>
          <w:rFonts w:ascii="Verdana" w:eastAsia="Calibri" w:hAnsi="Verdana" w:cs="Arial"/>
          <w:i/>
          <w:iCs/>
          <w:sz w:val="21"/>
          <w:szCs w:val="21"/>
          <w:lang w:val="es-ES" w:eastAsia="es-ES"/>
        </w:rPr>
      </w:pPr>
      <w:r w:rsidRPr="002E6765">
        <w:rPr>
          <w:rFonts w:ascii="Verdana" w:eastAsia="Calibri" w:hAnsi="Verdana" w:cs="Arial"/>
          <w:i/>
          <w:iCs/>
          <w:sz w:val="21"/>
          <w:szCs w:val="21"/>
          <w:lang w:val="es-ES" w:eastAsia="es-ES"/>
        </w:rPr>
        <w:t>“(…)</w:t>
      </w:r>
    </w:p>
    <w:p w14:paraId="1EDC3711" w14:textId="77777777" w:rsidR="0066141F" w:rsidRDefault="0066141F" w:rsidP="0066141F">
      <w:pPr>
        <w:spacing w:after="0" w:line="240" w:lineRule="auto"/>
        <w:ind w:left="709" w:right="709"/>
        <w:jc w:val="both"/>
        <w:rPr>
          <w:rFonts w:ascii="Verdana" w:eastAsia="Calibri" w:hAnsi="Verdana" w:cs="Arial"/>
          <w:i/>
          <w:iCs/>
          <w:sz w:val="21"/>
          <w:szCs w:val="21"/>
          <w:lang w:val="es-ES" w:eastAsia="es-ES"/>
        </w:rPr>
      </w:pPr>
    </w:p>
    <w:p w14:paraId="013949B7"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r w:rsidRPr="001F70CC">
        <w:rPr>
          <w:rFonts w:ascii="Verdana" w:eastAsia="Calibri" w:hAnsi="Verdana" w:cs="Arial"/>
          <w:i/>
          <w:iCs/>
          <w:sz w:val="21"/>
          <w:szCs w:val="21"/>
          <w:lang w:eastAsia="es-ES"/>
        </w:rPr>
        <w:lastRenderedPageBreak/>
        <w:t xml:space="preserve">IV. PREGUNTAS DE DERECHO CUYA RESPUESTA SE SOLICITA </w:t>
      </w:r>
    </w:p>
    <w:p w14:paraId="0DCDB059"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p>
    <w:p w14:paraId="26F30905" w14:textId="77777777" w:rsidR="0066141F" w:rsidRPr="00C2366E" w:rsidRDefault="0066141F" w:rsidP="0066141F">
      <w:pPr>
        <w:pStyle w:val="Prrafodelista"/>
        <w:numPr>
          <w:ilvl w:val="0"/>
          <w:numId w:val="19"/>
        </w:numPr>
        <w:spacing w:after="0" w:line="240" w:lineRule="auto"/>
        <w:ind w:right="709"/>
        <w:jc w:val="both"/>
        <w:rPr>
          <w:rFonts w:ascii="Verdana" w:eastAsia="Calibri" w:hAnsi="Verdana" w:cs="Arial"/>
          <w:i/>
          <w:iCs/>
          <w:sz w:val="21"/>
          <w:szCs w:val="21"/>
          <w:lang w:eastAsia="es-ES"/>
        </w:rPr>
      </w:pPr>
      <w:r w:rsidRPr="00C2366E">
        <w:rPr>
          <w:rFonts w:ascii="Verdana" w:eastAsia="Calibri" w:hAnsi="Verdana" w:cs="Arial"/>
          <w:i/>
          <w:iCs/>
          <w:sz w:val="21"/>
          <w:szCs w:val="21"/>
          <w:lang w:eastAsia="es-ES"/>
        </w:rPr>
        <w:t>Inalterabilidad y creación de requisitos adicionales.</w:t>
      </w:r>
    </w:p>
    <w:p w14:paraId="54ADDD1E" w14:textId="77777777" w:rsidR="0066141F" w:rsidRDefault="0066141F" w:rsidP="0066141F">
      <w:pPr>
        <w:spacing w:after="0" w:line="240" w:lineRule="auto"/>
        <w:ind w:left="709" w:right="709"/>
        <w:jc w:val="both"/>
        <w:rPr>
          <w:rFonts w:ascii="Verdana" w:eastAsia="Calibri" w:hAnsi="Verdana" w:cs="Arial"/>
          <w:i/>
          <w:iCs/>
          <w:sz w:val="21"/>
          <w:szCs w:val="21"/>
          <w:lang w:val="es-ES" w:eastAsia="es-ES"/>
        </w:rPr>
      </w:pPr>
    </w:p>
    <w:p w14:paraId="2D08B75B"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r w:rsidRPr="00C2366E">
        <w:rPr>
          <w:rFonts w:ascii="Verdana" w:eastAsia="Calibri" w:hAnsi="Verdana" w:cs="Arial"/>
          <w:i/>
          <w:iCs/>
          <w:sz w:val="21"/>
          <w:szCs w:val="21"/>
          <w:lang w:eastAsia="es-ES"/>
        </w:rPr>
        <w:t xml:space="preserve">En un proceso de selección cobijado obligatoriamente por un Documento Tipo, ¿puede la entidad estatal incorporar como requisito habilitante una condición que no esté prevista expresamente en el Documento Tipo, pero que considere necesaria con fundamento en la autonomía de estructuración, la necesidad técnica del proyecto, la gestión del riesgo o la conveniencia administrativa? En caso negativo, ¿debe existir una habilitación expresa dentro del Documento Tipo que permita introducir esa condición? </w:t>
      </w:r>
    </w:p>
    <w:p w14:paraId="426EEBFC"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p>
    <w:p w14:paraId="345FF8CA" w14:textId="77777777" w:rsidR="0066141F" w:rsidRPr="00C2366E" w:rsidRDefault="0066141F" w:rsidP="0066141F">
      <w:pPr>
        <w:pStyle w:val="Prrafodelista"/>
        <w:numPr>
          <w:ilvl w:val="0"/>
          <w:numId w:val="19"/>
        </w:numPr>
        <w:spacing w:after="0" w:line="240" w:lineRule="auto"/>
        <w:ind w:right="709"/>
        <w:jc w:val="both"/>
        <w:rPr>
          <w:rFonts w:ascii="Verdana" w:eastAsia="Calibri" w:hAnsi="Verdana" w:cs="Arial"/>
          <w:i/>
          <w:iCs/>
          <w:sz w:val="21"/>
          <w:szCs w:val="21"/>
          <w:lang w:eastAsia="es-ES"/>
        </w:rPr>
      </w:pPr>
      <w:r w:rsidRPr="00C2366E">
        <w:rPr>
          <w:rFonts w:ascii="Verdana" w:eastAsia="Calibri" w:hAnsi="Verdana" w:cs="Arial"/>
          <w:i/>
          <w:iCs/>
          <w:sz w:val="21"/>
          <w:szCs w:val="21"/>
          <w:lang w:eastAsia="es-ES"/>
        </w:rPr>
        <w:t xml:space="preserve">Diferencia entre deber legal sustantivo y medio de acreditación precontractual. </w:t>
      </w:r>
    </w:p>
    <w:p w14:paraId="60D839D8"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p>
    <w:p w14:paraId="622FF2DA"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r w:rsidRPr="00C2366E">
        <w:rPr>
          <w:rFonts w:ascii="Verdana" w:eastAsia="Calibri" w:hAnsi="Verdana" w:cs="Arial"/>
          <w:i/>
          <w:iCs/>
          <w:sz w:val="21"/>
          <w:szCs w:val="21"/>
          <w:lang w:eastAsia="es-ES"/>
        </w:rPr>
        <w:t xml:space="preserve">Cuando una norma legal impone al proponente un deber sustantivo —por ejemplo, una obligación relacionada con la organización empresarial o el ejercicio legal de una profesión—, ¿puede la entidad, dentro de un proceso regido por Documento Tipo, establecer unilateralmente un medio de prueba, un período histórico de acreditación o un soporte documental adicional no previsto por el estándar y convertirlo en requisito habilitante? ¿Debe distinguirse entre la existencia del deber sustantivo y la facultad de establecer su forma de verificación durante la selección? </w:t>
      </w:r>
    </w:p>
    <w:p w14:paraId="648477CD"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p>
    <w:p w14:paraId="48F4CECF" w14:textId="77777777" w:rsidR="0066141F" w:rsidRPr="00C2366E" w:rsidRDefault="0066141F" w:rsidP="0066141F">
      <w:pPr>
        <w:pStyle w:val="Prrafodelista"/>
        <w:numPr>
          <w:ilvl w:val="0"/>
          <w:numId w:val="19"/>
        </w:numPr>
        <w:spacing w:after="0" w:line="240" w:lineRule="auto"/>
        <w:ind w:right="709"/>
        <w:jc w:val="both"/>
        <w:rPr>
          <w:rFonts w:ascii="Verdana" w:eastAsia="Calibri" w:hAnsi="Verdana" w:cs="Arial"/>
          <w:i/>
          <w:iCs/>
          <w:sz w:val="21"/>
          <w:szCs w:val="21"/>
          <w:lang w:eastAsia="es-ES"/>
        </w:rPr>
      </w:pPr>
      <w:r w:rsidRPr="00C2366E">
        <w:rPr>
          <w:rFonts w:ascii="Verdana" w:eastAsia="Calibri" w:hAnsi="Verdana" w:cs="Arial"/>
          <w:i/>
          <w:iCs/>
          <w:sz w:val="21"/>
          <w:szCs w:val="21"/>
          <w:lang w:eastAsia="es-ES"/>
        </w:rPr>
        <w:t xml:space="preserve">Requisitos de seguridad y salud en el trabajo. </w:t>
      </w:r>
    </w:p>
    <w:p w14:paraId="72AEC525"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p>
    <w:p w14:paraId="35CE1680"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r w:rsidRPr="00C2366E">
        <w:rPr>
          <w:rFonts w:ascii="Verdana" w:eastAsia="Calibri" w:hAnsi="Verdana" w:cs="Arial"/>
          <w:i/>
          <w:iCs/>
          <w:sz w:val="21"/>
          <w:szCs w:val="21"/>
          <w:lang w:eastAsia="es-ES"/>
        </w:rPr>
        <w:t xml:space="preserve">¿Puede una entidad sometida al Documento Tipo establecer como requisito habilitante un porcentaje mínimo de cumplimiento del Sistema de Gestión de Seguridad y Salud en el Trabajo (SG-SST), certificado por la Administradora de Riesgos Laborales, cuando tal porcentaje, certificación y momento de acreditación no aparecen expresamente previstos en el Documento Tipo aplicable? ¿Qué diferencia jurídica debe hacerse entre una obligación legal del empleador y un criterio habilitante creado específicamente para la fase precontractual? </w:t>
      </w:r>
    </w:p>
    <w:p w14:paraId="3E42024B"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p>
    <w:p w14:paraId="055ED044" w14:textId="77777777" w:rsidR="0066141F" w:rsidRPr="00C2366E" w:rsidRDefault="0066141F" w:rsidP="0066141F">
      <w:pPr>
        <w:pStyle w:val="Prrafodelista"/>
        <w:numPr>
          <w:ilvl w:val="0"/>
          <w:numId w:val="19"/>
        </w:numPr>
        <w:spacing w:after="0" w:line="240" w:lineRule="auto"/>
        <w:ind w:right="709"/>
        <w:jc w:val="both"/>
        <w:rPr>
          <w:rFonts w:ascii="Verdana" w:eastAsia="Calibri" w:hAnsi="Verdana" w:cs="Arial"/>
          <w:i/>
          <w:iCs/>
          <w:sz w:val="21"/>
          <w:szCs w:val="21"/>
          <w:lang w:eastAsia="es-ES"/>
        </w:rPr>
      </w:pPr>
      <w:r w:rsidRPr="00C2366E">
        <w:rPr>
          <w:rFonts w:ascii="Verdana" w:eastAsia="Calibri" w:hAnsi="Verdana" w:cs="Arial"/>
          <w:i/>
          <w:iCs/>
          <w:sz w:val="21"/>
          <w:szCs w:val="21"/>
          <w:lang w:eastAsia="es-ES"/>
        </w:rPr>
        <w:t xml:space="preserve">Experiencia adicional del artículo 4 de la Resolución 953 de 2025. </w:t>
      </w:r>
    </w:p>
    <w:p w14:paraId="21686C17"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p>
    <w:p w14:paraId="3E07685A"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r w:rsidRPr="00C2366E">
        <w:rPr>
          <w:rFonts w:ascii="Verdana" w:eastAsia="Calibri" w:hAnsi="Verdana" w:cs="Arial"/>
          <w:i/>
          <w:iCs/>
          <w:sz w:val="21"/>
          <w:szCs w:val="21"/>
          <w:lang w:eastAsia="es-ES"/>
        </w:rPr>
        <w:t xml:space="preserve">¿Cuál es el alcance exacto de la habilitación contenida en el artículo 4 de la Resolución 953 de 2025 para incorporar experiencia relacionada con obras, bienes o servicios adicionales? En particular: (i) ¿qué debe entenderse por “obras, bienes o servicios adicionales” frente a </w:t>
      </w:r>
      <w:r w:rsidRPr="00C2366E">
        <w:rPr>
          <w:rFonts w:ascii="Verdana" w:eastAsia="Calibri" w:hAnsi="Verdana" w:cs="Arial"/>
          <w:i/>
          <w:iCs/>
          <w:sz w:val="21"/>
          <w:szCs w:val="21"/>
          <w:lang w:eastAsia="es-ES"/>
        </w:rPr>
        <w:lastRenderedPageBreak/>
        <w:t>actividades, componentes, especificaciones o partidas que normalmente integran una obra de infraestructura social?; (</w:t>
      </w:r>
      <w:proofErr w:type="spellStart"/>
      <w:r w:rsidRPr="00C2366E">
        <w:rPr>
          <w:rFonts w:ascii="Verdana" w:eastAsia="Calibri" w:hAnsi="Verdana" w:cs="Arial"/>
          <w:i/>
          <w:iCs/>
          <w:sz w:val="21"/>
          <w:szCs w:val="21"/>
          <w:lang w:eastAsia="es-ES"/>
        </w:rPr>
        <w:t>ii</w:t>
      </w:r>
      <w:proofErr w:type="spellEnd"/>
      <w:r w:rsidRPr="00C2366E">
        <w:rPr>
          <w:rFonts w:ascii="Verdana" w:eastAsia="Calibri" w:hAnsi="Verdana" w:cs="Arial"/>
          <w:i/>
          <w:iCs/>
          <w:sz w:val="21"/>
          <w:szCs w:val="21"/>
          <w:lang w:eastAsia="es-ES"/>
        </w:rPr>
        <w:t>) ¿qué criterios deben acreditarse para considerar que la actividad adicional justifica el tratamiento excepcional?; (</w:t>
      </w:r>
      <w:proofErr w:type="spellStart"/>
      <w:r w:rsidRPr="00C2366E">
        <w:rPr>
          <w:rFonts w:ascii="Verdana" w:eastAsia="Calibri" w:hAnsi="Verdana" w:cs="Arial"/>
          <w:i/>
          <w:iCs/>
          <w:sz w:val="21"/>
          <w:szCs w:val="21"/>
          <w:lang w:eastAsia="es-ES"/>
        </w:rPr>
        <w:t>iii</w:t>
      </w:r>
      <w:proofErr w:type="spellEnd"/>
      <w:r w:rsidRPr="00C2366E">
        <w:rPr>
          <w:rFonts w:ascii="Verdana" w:eastAsia="Calibri" w:hAnsi="Verdana" w:cs="Arial"/>
          <w:i/>
          <w:iCs/>
          <w:sz w:val="21"/>
          <w:szCs w:val="21"/>
          <w:lang w:eastAsia="es-ES"/>
        </w:rPr>
        <w:t>) ¿qué contenido mínimo debe tener el estudio de mercado o sector requerido por esa disposición?; y (</w:t>
      </w:r>
      <w:proofErr w:type="spellStart"/>
      <w:r w:rsidRPr="00C2366E">
        <w:rPr>
          <w:rFonts w:ascii="Verdana" w:eastAsia="Calibri" w:hAnsi="Verdana" w:cs="Arial"/>
          <w:i/>
          <w:iCs/>
          <w:sz w:val="21"/>
          <w:szCs w:val="21"/>
          <w:lang w:eastAsia="es-ES"/>
        </w:rPr>
        <w:t>iv</w:t>
      </w:r>
      <w:proofErr w:type="spellEnd"/>
      <w:r w:rsidRPr="00C2366E">
        <w:rPr>
          <w:rFonts w:ascii="Verdana" w:eastAsia="Calibri" w:hAnsi="Verdana" w:cs="Arial"/>
          <w:i/>
          <w:iCs/>
          <w:sz w:val="21"/>
          <w:szCs w:val="21"/>
          <w:lang w:eastAsia="es-ES"/>
        </w:rPr>
        <w:t xml:space="preserve">) ¿cómo opera la regla según la cual la entidad puede reemplazar como máximo una actividad secundaria y no puede solicitar más de tres actividades en total, incluida la principal? </w:t>
      </w:r>
    </w:p>
    <w:p w14:paraId="3D3B0ECD"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p>
    <w:p w14:paraId="1DB39A9A" w14:textId="77777777" w:rsidR="0066141F" w:rsidRPr="0003532D" w:rsidRDefault="0066141F" w:rsidP="0066141F">
      <w:pPr>
        <w:pStyle w:val="Prrafodelista"/>
        <w:numPr>
          <w:ilvl w:val="0"/>
          <w:numId w:val="19"/>
        </w:numPr>
        <w:spacing w:after="0" w:line="240" w:lineRule="auto"/>
        <w:ind w:right="709"/>
        <w:jc w:val="both"/>
        <w:rPr>
          <w:rFonts w:ascii="Verdana" w:eastAsia="Calibri" w:hAnsi="Verdana" w:cs="Arial"/>
          <w:i/>
          <w:iCs/>
          <w:sz w:val="21"/>
          <w:szCs w:val="21"/>
          <w:lang w:eastAsia="es-ES"/>
        </w:rPr>
      </w:pPr>
      <w:r w:rsidRPr="0003532D">
        <w:rPr>
          <w:rFonts w:ascii="Verdana" w:eastAsia="Calibri" w:hAnsi="Verdana" w:cs="Arial"/>
          <w:i/>
          <w:iCs/>
          <w:sz w:val="21"/>
          <w:szCs w:val="21"/>
          <w:lang w:eastAsia="es-ES"/>
        </w:rPr>
        <w:t xml:space="preserve">Clasificación UNSPSC y experiencia adicional. </w:t>
      </w:r>
    </w:p>
    <w:p w14:paraId="0E3ECE68"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p>
    <w:p w14:paraId="1A8111B3"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r w:rsidRPr="0003532D">
        <w:rPr>
          <w:rFonts w:ascii="Verdana" w:eastAsia="Calibri" w:hAnsi="Verdana" w:cs="Arial"/>
          <w:i/>
          <w:iCs/>
          <w:sz w:val="21"/>
          <w:szCs w:val="21"/>
          <w:lang w:eastAsia="es-ES"/>
        </w:rPr>
        <w:t xml:space="preserve">Cuando la experiencia ordinaria del Documento Base se clasifica en los segmentos 80 y/o 81 hasta el tercer nivel, ¿puede una entidad exigir, para una supuesta experiencia adicional autorizada por el artículo 4 de la Resolución 953 de 2025, un código perteneciente a otro segmento del Clasificador UNSPSC? En caso afirmativo, ¿qué requisitos debe cumplir esa exigencia para ser compatible con el Documento Tipo y cómo debe demostrarse que el código adicional está directamente relacionado con la obra, bien o servicio que justifica la excepción? 6. Formatos, anexos y soportes documentales adicionales. ¿Puede una entidad territorial sometida a los Documentos Tipo crear y exigir un formato, declaración, certificación o anexo institucional propio como requisito habilitante cuando dicho documento no se encuentre dentro de los formatos, formularios y anexos adoptados por Colombia Compra Eficiente, aun cuando la entidad fundamente la exigencia en políticas internas, circulares, programas de transparencia, sistemas de administración del riesgo o normas generales anticorrupción? ¿Qué debe entenderse por la excepción que permite modificaciones únicamente en los aspectos expresamente autorizados por el Documento Tipo? </w:t>
      </w:r>
    </w:p>
    <w:p w14:paraId="6490B00E"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p>
    <w:p w14:paraId="1DBEF37D" w14:textId="77777777" w:rsidR="0066141F" w:rsidRPr="009C3E70" w:rsidRDefault="0066141F" w:rsidP="0066141F">
      <w:pPr>
        <w:pStyle w:val="Prrafodelista"/>
        <w:numPr>
          <w:ilvl w:val="0"/>
          <w:numId w:val="19"/>
        </w:numPr>
        <w:spacing w:after="0" w:line="240" w:lineRule="auto"/>
        <w:ind w:right="709"/>
        <w:jc w:val="both"/>
        <w:rPr>
          <w:rFonts w:ascii="Verdana" w:eastAsia="Calibri" w:hAnsi="Verdana" w:cs="Arial"/>
          <w:i/>
          <w:iCs/>
          <w:sz w:val="21"/>
          <w:szCs w:val="21"/>
          <w:lang w:eastAsia="es-ES"/>
        </w:rPr>
      </w:pPr>
      <w:r w:rsidRPr="009C3E70">
        <w:rPr>
          <w:rFonts w:ascii="Verdana" w:eastAsia="Calibri" w:hAnsi="Verdana" w:cs="Arial"/>
          <w:i/>
          <w:iCs/>
          <w:sz w:val="21"/>
          <w:szCs w:val="21"/>
          <w:lang w:eastAsia="es-ES"/>
        </w:rPr>
        <w:t xml:space="preserve">Efectos de la falta de habilitación expresa. </w:t>
      </w:r>
    </w:p>
    <w:p w14:paraId="418FB330"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p>
    <w:p w14:paraId="40DA1BCB" w14:textId="77777777" w:rsidR="0066141F" w:rsidRDefault="0066141F" w:rsidP="0066141F">
      <w:pPr>
        <w:spacing w:after="0" w:line="240" w:lineRule="auto"/>
        <w:ind w:left="709" w:right="709"/>
        <w:jc w:val="both"/>
        <w:rPr>
          <w:rFonts w:ascii="Verdana" w:eastAsia="Calibri" w:hAnsi="Verdana" w:cs="Arial"/>
          <w:i/>
          <w:iCs/>
          <w:sz w:val="21"/>
          <w:szCs w:val="21"/>
          <w:lang w:eastAsia="es-ES"/>
        </w:rPr>
      </w:pPr>
      <w:r w:rsidRPr="009C3E70">
        <w:rPr>
          <w:rFonts w:ascii="Verdana" w:eastAsia="Calibri" w:hAnsi="Verdana" w:cs="Arial"/>
          <w:i/>
          <w:iCs/>
          <w:sz w:val="21"/>
          <w:szCs w:val="21"/>
          <w:lang w:eastAsia="es-ES"/>
        </w:rPr>
        <w:t>Si una entidad incorpora en los documentos de un proceso sometido a Documento Tipo un requisito, soporte o criterio que no tenga habilitación expresa en el estándar, ¿cuál es la consecuencia jurídica dentro del régimen de contratación estatal? En particular, ¿debe considerarse una modificación no autorizada del Documento Tipo, una condición ineficaz, una exigencia susceptible de exclusión mediante adenda o una situación que debe ser valorada bajo los principios de transparencia, selección objetiva, igualdad, libre concurrencia y proporcionalidad?</w:t>
      </w:r>
    </w:p>
    <w:p w14:paraId="0A690F0B" w14:textId="77777777" w:rsidR="0066141F" w:rsidRPr="009C3E70" w:rsidRDefault="0066141F" w:rsidP="0066141F">
      <w:pPr>
        <w:spacing w:after="0" w:line="240" w:lineRule="auto"/>
        <w:ind w:left="709" w:right="709"/>
        <w:jc w:val="both"/>
        <w:rPr>
          <w:rFonts w:ascii="Verdana" w:eastAsia="Calibri" w:hAnsi="Verdana" w:cs="Arial"/>
          <w:i/>
          <w:iCs/>
          <w:sz w:val="21"/>
          <w:szCs w:val="21"/>
          <w:lang w:val="es-ES" w:eastAsia="es-ES"/>
        </w:rPr>
      </w:pPr>
    </w:p>
    <w:p w14:paraId="7B72D9BB" w14:textId="77777777" w:rsidR="0066141F" w:rsidRPr="002E6765" w:rsidRDefault="0066141F" w:rsidP="0066141F">
      <w:pPr>
        <w:spacing w:after="0" w:line="240" w:lineRule="auto"/>
        <w:ind w:left="709" w:right="709"/>
        <w:jc w:val="both"/>
        <w:rPr>
          <w:rFonts w:ascii="Verdana" w:eastAsia="Calibri" w:hAnsi="Verdana" w:cs="Arial"/>
          <w:i/>
          <w:iCs/>
          <w:sz w:val="21"/>
          <w:szCs w:val="21"/>
          <w:lang w:val="es-ES" w:eastAsia="es-ES"/>
        </w:rPr>
      </w:pPr>
      <w:r w:rsidRPr="002E6765">
        <w:rPr>
          <w:rFonts w:ascii="Verdana" w:eastAsia="Calibri" w:hAnsi="Verdana" w:cs="Arial"/>
          <w:i/>
          <w:iCs/>
          <w:sz w:val="21"/>
          <w:szCs w:val="21"/>
          <w:lang w:val="es-ES" w:eastAsia="es-ES"/>
        </w:rPr>
        <w:t>(…)</w:t>
      </w:r>
      <w:r w:rsidRPr="002E6765">
        <w:rPr>
          <w:rFonts w:ascii="Verdana" w:eastAsia="Calibri" w:hAnsi="Verdana" w:cs="Arial"/>
          <w:i/>
          <w:iCs/>
          <w:sz w:val="21"/>
          <w:szCs w:val="21"/>
          <w:lang w:eastAsia="es-ES"/>
        </w:rPr>
        <w:t>”</w:t>
      </w:r>
    </w:p>
    <w:p w14:paraId="0017D8BE" w14:textId="77777777" w:rsidR="0066141F" w:rsidRPr="002E6765" w:rsidRDefault="0066141F" w:rsidP="0066141F">
      <w:pPr>
        <w:spacing w:after="0" w:line="276" w:lineRule="auto"/>
        <w:ind w:left="709" w:right="709"/>
        <w:jc w:val="both"/>
        <w:rPr>
          <w:rFonts w:ascii="Verdana" w:eastAsia="Times New Roman" w:hAnsi="Verdana" w:cs="Times New Roman"/>
          <w:lang w:eastAsia="es-CO"/>
        </w:rPr>
      </w:pPr>
    </w:p>
    <w:p w14:paraId="2DE2A39A" w14:textId="77777777" w:rsidR="0066141F" w:rsidRPr="002E6765" w:rsidRDefault="0066141F" w:rsidP="0066141F">
      <w:pPr>
        <w:spacing w:after="120" w:line="276" w:lineRule="auto"/>
        <w:ind w:firstLine="709"/>
        <w:jc w:val="both"/>
        <w:rPr>
          <w:rFonts w:ascii="Verdana" w:eastAsia="Calibri" w:hAnsi="Verdana" w:cs="Arial"/>
          <w:lang w:val="es-ES_tradnl" w:eastAsia="es-ES_tradnl"/>
        </w:rPr>
      </w:pPr>
      <w:r w:rsidRPr="002E6765">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6765">
        <w:rPr>
          <w:rFonts w:ascii="Verdana" w:eastAsia="Calibri" w:hAnsi="Verdana" w:cs="Arial"/>
          <w:lang w:val="es-ES_tradnl" w:eastAsia="es-ES_tradnl"/>
        </w:rPr>
        <w:tab/>
      </w:r>
    </w:p>
    <w:p w14:paraId="6AAB15B9" w14:textId="77777777" w:rsidR="0066141F" w:rsidRPr="002E6765" w:rsidRDefault="0066141F" w:rsidP="0066141F">
      <w:pPr>
        <w:spacing w:after="0" w:line="276" w:lineRule="auto"/>
        <w:ind w:firstLine="708"/>
        <w:jc w:val="both"/>
        <w:rPr>
          <w:rFonts w:ascii="Verdana" w:eastAsia="Calibri" w:hAnsi="Verdana" w:cs="Arial"/>
          <w:lang w:val="es-ES" w:eastAsia="es-ES"/>
        </w:rPr>
      </w:pPr>
      <w:r w:rsidRPr="002E6765">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06D4C53" w14:textId="77777777" w:rsidR="0066141F" w:rsidRPr="002E6765" w:rsidRDefault="0066141F" w:rsidP="0066141F">
      <w:pPr>
        <w:spacing w:after="0" w:line="276" w:lineRule="auto"/>
        <w:ind w:firstLine="709"/>
        <w:jc w:val="both"/>
        <w:rPr>
          <w:rFonts w:ascii="Verdana" w:eastAsia="Calibri" w:hAnsi="Verdana" w:cs="Arial"/>
          <w:lang w:val="es-ES" w:eastAsia="es-ES"/>
        </w:rPr>
      </w:pPr>
    </w:p>
    <w:p w14:paraId="3C15D821" w14:textId="77777777" w:rsidR="0066141F" w:rsidRPr="002E6765" w:rsidRDefault="0066141F" w:rsidP="0066141F">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2E6765">
        <w:rPr>
          <w:rFonts w:ascii="Verdana" w:eastAsia="Century Gothic" w:hAnsi="Verdana" w:cs="Century Gothic"/>
          <w:b/>
          <w:bCs/>
          <w:lang w:val="es-ES"/>
        </w:rPr>
        <w:t>Problema planteado:</w:t>
      </w:r>
    </w:p>
    <w:p w14:paraId="2D114ADF" w14:textId="77777777" w:rsidR="0066141F" w:rsidRPr="002E6765" w:rsidRDefault="0066141F" w:rsidP="0066141F">
      <w:pPr>
        <w:tabs>
          <w:tab w:val="left" w:pos="426"/>
        </w:tabs>
        <w:spacing w:after="0" w:line="276" w:lineRule="auto"/>
        <w:jc w:val="both"/>
        <w:rPr>
          <w:rFonts w:ascii="Verdana" w:eastAsia="Century Gothic" w:hAnsi="Verdana" w:cs="Century Gothic"/>
          <w:lang w:val="es-ES"/>
        </w:rPr>
      </w:pPr>
    </w:p>
    <w:p w14:paraId="0B722189" w14:textId="77777777" w:rsidR="0066141F" w:rsidRPr="00277EE6" w:rsidRDefault="0066141F" w:rsidP="0066141F">
      <w:pPr>
        <w:spacing w:after="0" w:line="276" w:lineRule="auto"/>
        <w:contextualSpacing/>
        <w:jc w:val="both"/>
        <w:rPr>
          <w:rFonts w:ascii="Verdana" w:eastAsia="Century Gothic" w:hAnsi="Verdana" w:cs="Century Gothic"/>
        </w:rPr>
      </w:pPr>
      <w:r w:rsidRPr="00971CC3">
        <w:rPr>
          <w:rFonts w:ascii="Verdana" w:eastAsia="Century Gothic" w:hAnsi="Verdana" w:cs="Century Gothic"/>
        </w:rPr>
        <w:t xml:space="preserve">De acuerdo con el contenido de su solicitud, esta Agencia resolverá el siguiente problema jurídico: I). </w:t>
      </w:r>
      <w:r w:rsidRPr="00971CC3">
        <w:rPr>
          <w:rFonts w:ascii="Verdana" w:eastAsia="Century Gothic" w:hAnsi="Verdana" w:cs="Century Gothic"/>
          <w:lang w:val="es-ES_tradnl"/>
        </w:rPr>
        <w:t xml:space="preserve">¿Cuál es el alcance de la regla de inalterabilidad de los documentos tipo en relación con la posibilidad de que las Entidades Estatales incluyan </w:t>
      </w:r>
      <w:r w:rsidRPr="00971CC3">
        <w:rPr>
          <w:rFonts w:ascii="Verdana" w:eastAsia="Calibri" w:hAnsi="Verdana" w:cs="Arial"/>
          <w:lang w:eastAsia="es-ES"/>
        </w:rPr>
        <w:t>condiciones no previstas en los requisitos habilitantes</w:t>
      </w:r>
      <w:r w:rsidRPr="00971CC3">
        <w:rPr>
          <w:rFonts w:ascii="Verdana" w:eastAsia="Century Gothic" w:hAnsi="Verdana" w:cs="Century Gothic"/>
          <w:lang w:val="es-ES_tradnl"/>
        </w:rPr>
        <w:t>?</w:t>
      </w:r>
      <w:r>
        <w:rPr>
          <w:rFonts w:ascii="Verdana" w:eastAsia="Calibri" w:hAnsi="Verdana" w:cs="Arial"/>
          <w:bCs/>
          <w:lang w:val="es-ES_tradnl" w:eastAsia="es-ES_tradnl"/>
        </w:rPr>
        <w:t xml:space="preserve">, </w:t>
      </w:r>
      <w:r w:rsidRPr="00971CC3">
        <w:rPr>
          <w:rFonts w:ascii="Verdana" w:eastAsia="Calibri" w:hAnsi="Verdana" w:cs="Arial"/>
          <w:bCs/>
          <w:lang w:val="es-ES_tradnl" w:eastAsia="es-ES_tradnl"/>
        </w:rPr>
        <w:t>II</w:t>
      </w:r>
      <w:r>
        <w:rPr>
          <w:rFonts w:ascii="Verdana" w:eastAsia="Calibri" w:hAnsi="Verdana" w:cs="Arial"/>
          <w:bCs/>
          <w:lang w:val="es-ES_tradnl" w:eastAsia="es-ES_tradnl"/>
        </w:rPr>
        <w:t xml:space="preserve">). </w:t>
      </w:r>
      <w:r w:rsidRPr="004A7B37">
        <w:rPr>
          <w:rFonts w:ascii="Verdana" w:eastAsia="Calibri" w:hAnsi="Verdana" w:cs="Arial"/>
          <w:bCs/>
          <w:lang w:eastAsia="es-ES_tradnl"/>
        </w:rPr>
        <w:t xml:space="preserve"> </w:t>
      </w:r>
      <w:r>
        <w:rPr>
          <w:rFonts w:ascii="Verdana" w:eastAsia="Calibri" w:hAnsi="Verdana" w:cs="Arial"/>
          <w:bCs/>
          <w:lang w:eastAsia="es-ES_tradnl"/>
        </w:rPr>
        <w:t>¿P</w:t>
      </w:r>
      <w:r w:rsidRPr="004A7B37">
        <w:rPr>
          <w:rFonts w:ascii="Verdana" w:eastAsia="Calibri" w:hAnsi="Verdana" w:cs="Arial"/>
          <w:bCs/>
          <w:lang w:eastAsia="es-ES_tradnl"/>
        </w:rPr>
        <w:t>uede la entidad estatal establecer medios de prueba, períodos históricos de acreditación o soportes documentales adicionales no previstos en el Documento Tipo?</w:t>
      </w:r>
      <w:r>
        <w:rPr>
          <w:rFonts w:ascii="Verdana" w:eastAsia="Calibri" w:hAnsi="Verdana" w:cs="Arial"/>
          <w:bCs/>
          <w:lang w:eastAsia="es-ES_tradnl"/>
        </w:rPr>
        <w:t xml:space="preserve">, III). </w:t>
      </w:r>
      <w:r w:rsidRPr="00894618">
        <w:rPr>
          <w:rFonts w:ascii="Verdana" w:eastAsia="Calibri" w:hAnsi="Verdana" w:cs="Arial"/>
          <w:bCs/>
          <w:lang w:eastAsia="es-ES_tradnl"/>
        </w:rPr>
        <w:t>¿Puede la entidad estatal exigir, como requisito habilitante, un porcentaje mínimo de cumplimiento del SG-SST certificado por la ARL, no previsto en el Documento Tipo, por tratarse de una obligación legal del empleador?</w:t>
      </w:r>
      <w:r>
        <w:rPr>
          <w:rFonts w:ascii="Verdana" w:eastAsia="Calibri" w:hAnsi="Verdana" w:cs="Arial"/>
          <w:bCs/>
          <w:lang w:eastAsia="es-ES_tradnl"/>
        </w:rPr>
        <w:t xml:space="preserve">, IV). </w:t>
      </w:r>
      <w:r w:rsidRPr="001133BC">
        <w:rPr>
          <w:rFonts w:ascii="Verdana" w:eastAsia="Calibri" w:hAnsi="Verdana" w:cs="Arial"/>
          <w:bCs/>
          <w:lang w:eastAsia="es-ES_tradnl"/>
        </w:rPr>
        <w:t>¿Cuál es el alcance exacto de la habilitación contenida en el artículo 4 de la Resolución 953 de 2025 para incorporar experiencia relacionada con obras, bienes o servicios adicionales?</w:t>
      </w:r>
      <w:r>
        <w:rPr>
          <w:rFonts w:ascii="Verdana" w:eastAsia="Calibri" w:hAnsi="Verdana" w:cs="Arial"/>
          <w:bCs/>
          <w:lang w:eastAsia="es-ES_tradnl"/>
        </w:rPr>
        <w:t xml:space="preserve">, V). </w:t>
      </w:r>
      <w:r w:rsidRPr="00EB0EBF">
        <w:rPr>
          <w:rFonts w:ascii="Verdana" w:eastAsia="Calibri" w:hAnsi="Verdana" w:cs="Arial"/>
          <w:bCs/>
          <w:lang w:val="es-ES" w:eastAsia="es-ES_tradnl"/>
        </w:rPr>
        <w:t xml:space="preserve">¿Puede una entidad estatal exigir, como experiencia adicional en los términos del artículo 4 de la Resolución 953 de 2025, la acreditación de un código del Clasificador UNSPSC perteneciente a un segmento distinto de los segmentos 80 y/o 81, cuando la experiencia ordinaria prevista en </w:t>
      </w:r>
      <w:r w:rsidRPr="00EB0EBF">
        <w:rPr>
          <w:rFonts w:ascii="Verdana" w:eastAsia="Calibri" w:hAnsi="Verdana" w:cs="Arial"/>
          <w:bCs/>
          <w:lang w:val="es-ES" w:eastAsia="es-ES_tradnl"/>
        </w:rPr>
        <w:lastRenderedPageBreak/>
        <w:t xml:space="preserve">el Documento Base se encuentra clasificada en dichos segmentos hasta el tercer nivel? </w:t>
      </w:r>
      <w:r>
        <w:rPr>
          <w:rFonts w:ascii="Verdana" w:eastAsia="Calibri" w:hAnsi="Verdana" w:cs="Arial"/>
          <w:bCs/>
          <w:lang w:val="es-ES" w:eastAsia="es-ES_tradnl"/>
        </w:rPr>
        <w:t xml:space="preserve">y VI) </w:t>
      </w:r>
      <w:r w:rsidRPr="00835F2F">
        <w:rPr>
          <w:rFonts w:ascii="Verdana" w:eastAsia="Century Gothic" w:hAnsi="Verdana" w:cs="Century Gothic"/>
        </w:rPr>
        <w:t>Frente a discrepancias entre los documentos tipo y lo señalado por la entidad estatal en los documentos del proceso de contratación, ¿qué debe prevalecer?</w:t>
      </w:r>
    </w:p>
    <w:p w14:paraId="347D340D" w14:textId="77777777" w:rsidR="0066141F" w:rsidRDefault="0066141F" w:rsidP="0066141F">
      <w:pPr>
        <w:spacing w:after="0" w:line="276" w:lineRule="auto"/>
        <w:jc w:val="both"/>
        <w:rPr>
          <w:rFonts w:ascii="Verdana" w:eastAsia="Calibri" w:hAnsi="Verdana" w:cs="Arial"/>
          <w:bCs/>
          <w:lang w:val="es-ES_tradnl" w:eastAsia="es-ES_tradnl"/>
        </w:rPr>
      </w:pPr>
    </w:p>
    <w:p w14:paraId="4242A1CD" w14:textId="77777777" w:rsidR="0066141F" w:rsidRPr="00E52DA0" w:rsidRDefault="0066141F" w:rsidP="0066141F">
      <w:pPr>
        <w:pStyle w:val="Prrafodelista"/>
        <w:numPr>
          <w:ilvl w:val="0"/>
          <w:numId w:val="16"/>
        </w:numPr>
        <w:spacing w:line="276" w:lineRule="auto"/>
        <w:jc w:val="both"/>
        <w:rPr>
          <w:rFonts w:ascii="Verdana" w:eastAsia="Century Gothic" w:hAnsi="Verdana" w:cs="Century Gothic"/>
        </w:rPr>
      </w:pPr>
      <w:r w:rsidRPr="00991803">
        <w:rPr>
          <w:rFonts w:ascii="Verdana" w:eastAsia="Century Gothic" w:hAnsi="Verdana" w:cs="Century Gothic"/>
          <w:b/>
          <w:bCs/>
        </w:rPr>
        <w:t>Respuesta:</w:t>
      </w:r>
    </w:p>
    <w:p w14:paraId="11460F77" w14:textId="77777777" w:rsidR="0066141F" w:rsidRPr="00E52DA0" w:rsidRDefault="0066141F" w:rsidP="0066141F">
      <w:pPr>
        <w:pStyle w:val="Prrafodelista"/>
        <w:spacing w:line="276" w:lineRule="auto"/>
        <w:ind w:left="360"/>
        <w:jc w:val="both"/>
        <w:rPr>
          <w:rFonts w:ascii="Verdana" w:eastAsia="Century Gothic" w:hAnsi="Verdana" w:cs="Century Gothic"/>
        </w:rPr>
      </w:pPr>
    </w:p>
    <w:tbl>
      <w:tblPr>
        <w:tblStyle w:val="Tablaconcuadrcula1"/>
        <w:tblW w:w="89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926"/>
      </w:tblGrid>
      <w:tr w:rsidR="0066141F" w:rsidRPr="00C14F81" w14:paraId="1AA45301" w14:textId="77777777" w:rsidTr="00D16AA4">
        <w:trPr>
          <w:trHeight w:val="1057"/>
        </w:trPr>
        <w:tc>
          <w:tcPr>
            <w:tcW w:w="8926" w:type="dxa"/>
            <w:tcBorders>
              <w:top w:val="dotted" w:sz="4" w:space="0" w:color="auto"/>
              <w:left w:val="dotted" w:sz="4" w:space="0" w:color="auto"/>
              <w:bottom w:val="dotted" w:sz="4" w:space="0" w:color="auto"/>
              <w:right w:val="dotted" w:sz="4" w:space="0" w:color="auto"/>
            </w:tcBorders>
          </w:tcPr>
          <w:p w14:paraId="47CC017A" w14:textId="77777777" w:rsidR="0066141F" w:rsidRPr="003862AC" w:rsidRDefault="0066141F" w:rsidP="00D16AA4">
            <w:pPr>
              <w:tabs>
                <w:tab w:val="center" w:pos="4419"/>
                <w:tab w:val="right" w:pos="8838"/>
              </w:tabs>
              <w:snapToGrid w:val="0"/>
              <w:spacing w:after="120" w:line="276" w:lineRule="auto"/>
              <w:jc w:val="both"/>
              <w:rPr>
                <w:rFonts w:ascii="Verdana" w:eastAsia="Calibri" w:hAnsi="Verdana" w:cs="Arial"/>
                <w:color w:val="000000"/>
                <w:lang w:val="es-ES_tradnl"/>
              </w:rPr>
            </w:pPr>
            <w:r>
              <w:rPr>
                <w:rFonts w:ascii="Verdana" w:eastAsia="Calibri" w:hAnsi="Verdana" w:cs="Times New Roman"/>
              </w:rPr>
              <w:t xml:space="preserve">I). </w:t>
            </w:r>
            <w:r w:rsidRPr="003862AC">
              <w:rPr>
                <w:rFonts w:ascii="Verdana" w:eastAsia="Calibri" w:hAnsi="Verdana" w:cs="Arial"/>
                <w:color w:val="000000"/>
                <w:lang w:val="es-ES_tradnl"/>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862AC">
              <w:rPr>
                <w:rFonts w:ascii="Verdana" w:eastAsia="Calibri" w:hAnsi="Verdana" w:cs="Arial"/>
                <w:i/>
                <w:iCs/>
                <w:color w:val="000000"/>
                <w:lang w:val="es-ES_tradnl"/>
              </w:rPr>
              <w:t>Documentos del Proceso</w:t>
            </w:r>
            <w:r w:rsidRPr="003862AC">
              <w:rPr>
                <w:rFonts w:ascii="Verdana" w:eastAsia="Calibri" w:hAnsi="Verdana" w:cs="Arial"/>
                <w:color w:val="00000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8617677" w14:textId="77777777" w:rsidR="0066141F" w:rsidRPr="003862AC" w:rsidRDefault="0066141F" w:rsidP="00D16AA4">
            <w:pPr>
              <w:snapToGrid w:val="0"/>
              <w:spacing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4E0AA891" w14:textId="77777777" w:rsidR="0066141F" w:rsidRPr="003862AC" w:rsidRDefault="0066141F" w:rsidP="00D16AA4">
            <w:pPr>
              <w:snapToGrid w:val="0"/>
              <w:spacing w:after="120" w:line="276" w:lineRule="auto"/>
              <w:ind w:firstLine="708"/>
              <w:jc w:val="both"/>
              <w:rPr>
                <w:rFonts w:ascii="Verdana" w:eastAsia="Calibri" w:hAnsi="Verdana" w:cs="Arial"/>
                <w:color w:val="000000"/>
                <w:lang w:val="es-ES_tradnl"/>
              </w:rPr>
            </w:pPr>
            <w:r w:rsidRPr="003862AC">
              <w:rPr>
                <w:rFonts w:ascii="Verdana" w:eastAsia="Calibri" w:hAnsi="Verdana" w:cs="Arial"/>
                <w:lang w:val="es-ES_tradnl"/>
              </w:rPr>
              <w:t xml:space="preserve">La parte introductoria de los documentos base de los documentos tipo disponen que los aspectos incluidos en corchetes y resaltados en gris </w:t>
            </w:r>
            <w:r w:rsidRPr="003862AC">
              <w:rPr>
                <w:rFonts w:ascii="Verdana" w:eastAsia="Aptos" w:hAnsi="Verdana" w:cs="Arial"/>
                <w:lang w:val="es-ES_tradnl"/>
              </w:rPr>
              <w:t>–[</w:t>
            </w:r>
            <w:r w:rsidRPr="003862AC">
              <w:rPr>
                <w:rFonts w:ascii="Verdana" w:eastAsia="Aptos" w:hAnsi="Verdana" w:cs="Arial"/>
                <w:highlight w:val="lightGray"/>
                <w:lang w:val="es-ES_tradnl"/>
              </w:rPr>
              <w:t>texto de ejemplo</w:t>
            </w:r>
            <w:r w:rsidRPr="003862AC">
              <w:rPr>
                <w:rFonts w:ascii="Verdana" w:eastAsia="Aptos" w:hAnsi="Verdana" w:cs="Arial"/>
                <w:lang w:val="es-ES_tradnl"/>
              </w:rPr>
              <w:t xml:space="preserve">]– </w:t>
            </w:r>
            <w:r w:rsidRPr="003862AC">
              <w:rPr>
                <w:rFonts w:ascii="Verdana" w:eastAsia="Calibri" w:hAnsi="Verdana" w:cs="Arial"/>
                <w:lang w:val="es-ES_tradnl"/>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w:t>
            </w:r>
            <w:r w:rsidRPr="003862AC">
              <w:rPr>
                <w:rFonts w:ascii="Verdana" w:eastAsia="Calibri" w:hAnsi="Verdana" w:cs="Arial"/>
                <w:lang w:val="es-ES_tradnl"/>
              </w:rPr>
              <w:lastRenderedPageBreak/>
              <w:t xml:space="preserve">que se diligenciará en los documentos tipo, de acuerdo con su necesidad y las instrucciones de los mismos documentos tipo. </w:t>
            </w:r>
          </w:p>
          <w:p w14:paraId="09F1ADE7" w14:textId="77777777" w:rsidR="0066141F" w:rsidRDefault="0066141F" w:rsidP="00D16AA4">
            <w:pPr>
              <w:snapToGrid w:val="0"/>
              <w:spacing w:after="120" w:line="276" w:lineRule="auto"/>
              <w:ind w:firstLine="709"/>
              <w:jc w:val="both"/>
              <w:rPr>
                <w:rFonts w:ascii="Verdana" w:eastAsia="Calibri" w:hAnsi="Verdana" w:cs="Arial"/>
                <w:bCs/>
                <w:lang w:val="es-ES_tradnl"/>
              </w:rPr>
            </w:pPr>
            <w:r w:rsidRPr="003862AC">
              <w:rPr>
                <w:rFonts w:ascii="Verdana" w:eastAsia="Calibri" w:hAnsi="Verdana" w:cs="Arial"/>
                <w:bCs/>
                <w:lang w:val="es-ES_tradn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17A927A0" w14:textId="77777777" w:rsidR="0066141F" w:rsidRPr="00256626" w:rsidRDefault="0066141F" w:rsidP="00D16AA4">
            <w:pPr>
              <w:snapToGrid w:val="0"/>
              <w:spacing w:after="120" w:line="276" w:lineRule="auto"/>
              <w:ind w:firstLine="709"/>
              <w:jc w:val="both"/>
              <w:rPr>
                <w:rFonts w:ascii="Verdana" w:eastAsia="Calibri" w:hAnsi="Verdana" w:cs="Arial"/>
                <w:bCs/>
                <w:lang w:val="es-ES_tradnl"/>
              </w:rPr>
            </w:pPr>
            <w:r w:rsidRPr="00A4504E">
              <w:rPr>
                <w:rFonts w:ascii="Verdana" w:eastAsia="Calibri" w:hAnsi="Verdana" w:cs="Arial"/>
              </w:rPr>
              <w:t xml:space="preserve">Ahora bien, en relación con su consulta, resulta pertinente acudir, a modo de ejemplo, a la parte inicial del Documento Base de Interventoría de Obra Pública del Sector Social, </w:t>
            </w:r>
            <w:r>
              <w:rPr>
                <w:rFonts w:ascii="Verdana" w:eastAsia="Calibri" w:hAnsi="Verdana" w:cs="Arial"/>
              </w:rPr>
              <w:t>e</w:t>
            </w:r>
            <w:r w:rsidRPr="00D91E18">
              <w:rPr>
                <w:rFonts w:ascii="Verdana" w:eastAsia="Calibri" w:hAnsi="Verdana" w:cs="Arial"/>
              </w:rPr>
              <w:t>l documento dispone lo siguiente:</w:t>
            </w:r>
          </w:p>
          <w:p w14:paraId="4F61DB26" w14:textId="77777777" w:rsidR="0066141F" w:rsidRPr="008139A5" w:rsidRDefault="0066141F" w:rsidP="00D16AA4">
            <w:pPr>
              <w:jc w:val="both"/>
              <w:rPr>
                <w:rFonts w:ascii="Verdana" w:eastAsia="Calibri" w:hAnsi="Verdana" w:cs="Arial"/>
                <w:sz w:val="20"/>
                <w:szCs w:val="20"/>
                <w:lang w:val="es-ES_tradnl"/>
              </w:rPr>
            </w:pPr>
          </w:p>
          <w:p w14:paraId="78211938" w14:textId="77777777" w:rsidR="0066141F" w:rsidRPr="008139A5" w:rsidRDefault="0066141F" w:rsidP="00D16AA4">
            <w:pPr>
              <w:ind w:left="709" w:right="709"/>
              <w:jc w:val="both"/>
              <w:rPr>
                <w:rFonts w:ascii="Verdana" w:eastAsia="Arial" w:hAnsi="Verdana" w:cs="Arial"/>
                <w:sz w:val="20"/>
                <w:szCs w:val="20"/>
              </w:rPr>
            </w:pPr>
            <w:r w:rsidRPr="008139A5">
              <w:rPr>
                <w:rFonts w:ascii="Verdana" w:eastAsia="Arial" w:hAnsi="Verdana" w:cs="Arial"/>
                <w:sz w:val="20"/>
                <w:szCs w:val="20"/>
                <w:highlight w:val="lightGray"/>
              </w:rPr>
              <w:t>[Los aspectos incluidos en corchetes y resaltados en gris deben ser diligenciados por la Entidad]</w:t>
            </w:r>
          </w:p>
          <w:p w14:paraId="28D16012" w14:textId="77777777" w:rsidR="0066141F" w:rsidRPr="008139A5" w:rsidRDefault="0066141F" w:rsidP="00D16AA4">
            <w:pPr>
              <w:ind w:left="709" w:right="709"/>
              <w:jc w:val="both"/>
              <w:rPr>
                <w:rFonts w:ascii="Verdana" w:eastAsia="Arial" w:hAnsi="Verdana" w:cs="Arial"/>
              </w:rPr>
            </w:pPr>
          </w:p>
          <w:p w14:paraId="035F6D95" w14:textId="77777777" w:rsidR="0066141F" w:rsidRPr="001C7590" w:rsidRDefault="0066141F" w:rsidP="00D16AA4">
            <w:pPr>
              <w:snapToGrid w:val="0"/>
              <w:spacing w:after="120" w:line="276" w:lineRule="auto"/>
              <w:jc w:val="both"/>
              <w:rPr>
                <w:rFonts w:ascii="Verdana" w:eastAsia="Calibri" w:hAnsi="Verdana" w:cs="Arial"/>
                <w:bCs/>
              </w:rPr>
            </w:pPr>
            <w:r w:rsidRPr="001C7590">
              <w:rPr>
                <w:rFonts w:ascii="Verdana" w:eastAsia="Calibri" w:hAnsi="Verdana" w:cs="Arial"/>
                <w:bCs/>
              </w:rPr>
              <w:t>En particular, respecto de los requisitos habilitantes, el Documento Base de Interventoría de Obra Pública del Sector Social establece expresamente las reglas que deben observar las entidades estatales para su verificación, así como la prohibición de exigir requisitos diferentes a los previstos en los Documentos Tipo. Al respecto, señala lo siguiente:</w:t>
            </w:r>
          </w:p>
          <w:p w14:paraId="7EFB94D6" w14:textId="77777777" w:rsidR="0066141F" w:rsidRPr="008139A5" w:rsidRDefault="0066141F" w:rsidP="00D16AA4">
            <w:pPr>
              <w:pStyle w:val="InviasNormal"/>
              <w:ind w:left="709" w:right="709"/>
              <w:jc w:val="both"/>
              <w:rPr>
                <w:rFonts w:ascii="Verdana" w:eastAsia="Arial" w:hAnsi="Verdana" w:cs="Arial"/>
                <w:sz w:val="20"/>
                <w:szCs w:val="20"/>
                <w:lang w:val="es-CO"/>
              </w:rPr>
            </w:pPr>
            <w:r w:rsidRPr="008139A5">
              <w:rPr>
                <w:rFonts w:ascii="Verdana" w:hAnsi="Verdana"/>
                <w:sz w:val="20"/>
                <w:szCs w:val="22"/>
                <w:highlight w:val="lightGray"/>
                <w:lang w:val="es-MX"/>
              </w:rPr>
              <w:t>[La Entidad debe adaptar este capítulo al</w:t>
            </w:r>
            <w:r w:rsidRPr="008139A5" w:rsidDel="00526B5E">
              <w:rPr>
                <w:rFonts w:ascii="Verdana" w:hAnsi="Verdana"/>
                <w:sz w:val="20"/>
                <w:szCs w:val="22"/>
                <w:highlight w:val="lightGray"/>
                <w:lang w:val="es-MX"/>
              </w:rPr>
              <w:t xml:space="preserve"> </w:t>
            </w:r>
            <w:r w:rsidRPr="008139A5">
              <w:rPr>
                <w:rFonts w:ascii="Verdana" w:hAnsi="Verdana"/>
                <w:sz w:val="20"/>
                <w:szCs w:val="22"/>
                <w:highlight w:val="lightGray"/>
                <w:lang w:val="es-MX"/>
              </w:rPr>
              <w:t>SECOP II, en los términos definidos en las Guías de Colombia Compra Eficiente</w:t>
            </w:r>
            <w:r w:rsidRPr="008139A5">
              <w:rPr>
                <w:rFonts w:ascii="Verdana" w:eastAsia="Arial" w:hAnsi="Verdana" w:cs="Arial"/>
                <w:sz w:val="20"/>
                <w:szCs w:val="20"/>
                <w:highlight w:val="lightGray"/>
                <w:lang w:val="es-CO"/>
              </w:rPr>
              <w:t>]</w:t>
            </w:r>
            <w:r w:rsidRPr="008139A5">
              <w:rPr>
                <w:rFonts w:ascii="Verdana" w:eastAsia="Arial" w:hAnsi="Verdana" w:cs="Arial"/>
                <w:sz w:val="20"/>
                <w:szCs w:val="20"/>
                <w:lang w:val="es-CO"/>
              </w:rPr>
              <w:t xml:space="preserve">La Entidad verificará los requisitos habilitantes dentro del término señalado en el Cronograma del Pliego de Condiciones, de acuerdo con los soportes documentales que acompañan la propuesta presentada. </w:t>
            </w:r>
          </w:p>
          <w:p w14:paraId="1489E04A" w14:textId="77777777" w:rsidR="0066141F" w:rsidRPr="006C0E58" w:rsidRDefault="0066141F" w:rsidP="00D16AA4">
            <w:pPr>
              <w:pStyle w:val="InviasNormal"/>
              <w:ind w:left="709" w:right="709"/>
              <w:jc w:val="both"/>
              <w:rPr>
                <w:rFonts w:ascii="Verdana" w:eastAsia="Arial" w:hAnsi="Verdana" w:cs="Arial"/>
                <w:sz w:val="20"/>
                <w:szCs w:val="20"/>
                <w:lang w:val="es-ES"/>
              </w:rPr>
            </w:pPr>
            <w:r w:rsidRPr="006C0E58">
              <w:rPr>
                <w:rFonts w:ascii="Verdana" w:eastAsia="Arial" w:hAnsi="Verdana" w:cs="Arial"/>
                <w:sz w:val="20"/>
                <w:szCs w:val="20"/>
                <w:lang w:val="es-ES"/>
              </w:rPr>
              <w:t>Los requisitos habilitantes serán objeto de verificación. Por lo tanto, si la propuesta cumple con todos los aspectos se evaluarán como “</w:t>
            </w:r>
            <w:r w:rsidRPr="006C0E58">
              <w:rPr>
                <w:rFonts w:ascii="Verdana" w:eastAsia="Arial" w:hAnsi="Verdana" w:cs="Arial"/>
                <w:i/>
                <w:sz w:val="20"/>
                <w:szCs w:val="20"/>
                <w:lang w:val="es-ES"/>
              </w:rPr>
              <w:t>cumple</w:t>
            </w:r>
            <w:r w:rsidRPr="006C0E58">
              <w:rPr>
                <w:rFonts w:ascii="Verdana" w:eastAsia="Arial" w:hAnsi="Verdana" w:cs="Arial"/>
                <w:sz w:val="20"/>
                <w:szCs w:val="20"/>
                <w:lang w:val="es-ES"/>
              </w:rPr>
              <w:t>”. En caso contrario se evaluará como “</w:t>
            </w:r>
            <w:r w:rsidRPr="006C0E58">
              <w:rPr>
                <w:rFonts w:ascii="Verdana" w:eastAsia="Arial" w:hAnsi="Verdana" w:cs="Arial"/>
                <w:i/>
                <w:sz w:val="20"/>
                <w:szCs w:val="20"/>
                <w:lang w:val="es-ES"/>
              </w:rPr>
              <w:t>no cumple</w:t>
            </w:r>
            <w:r w:rsidRPr="006C0E58">
              <w:rPr>
                <w:rFonts w:ascii="Verdana" w:eastAsia="Arial" w:hAnsi="Verdana" w:cs="Arial"/>
                <w:sz w:val="20"/>
                <w:szCs w:val="20"/>
                <w:lang w:val="es-ES"/>
              </w:rPr>
              <w:t xml:space="preserve">”. </w:t>
            </w:r>
          </w:p>
          <w:p w14:paraId="086E24D1" w14:textId="77777777" w:rsidR="0066141F" w:rsidRPr="008139A5" w:rsidRDefault="0066141F" w:rsidP="00D16AA4">
            <w:pPr>
              <w:pStyle w:val="InviasNormal"/>
              <w:ind w:left="709" w:right="709"/>
              <w:jc w:val="both"/>
              <w:rPr>
                <w:rFonts w:ascii="Verdana" w:eastAsia="Arial" w:hAnsi="Verdana" w:cs="Arial"/>
                <w:sz w:val="20"/>
                <w:szCs w:val="20"/>
                <w:lang w:val="es-CO"/>
              </w:rPr>
            </w:pPr>
            <w:r w:rsidRPr="008139A5">
              <w:rPr>
                <w:rFonts w:ascii="Verdana" w:eastAsia="Arial" w:hAnsi="Verdana" w:cs="Arial"/>
                <w:sz w:val="20"/>
                <w:szCs w:val="20"/>
                <w:lang w:val="es-CO"/>
              </w:rPr>
              <w:t xml:space="preserve">De conformidad con la normativa aplicable, la Entidad realizará la verificación de requisitos habilitantes de los Proponentes (personas naturales o jurídicas nacionales o extranjeras domiciliadas o con Sucursal en Colombia, Proponentes Plurales) con base en la información contenida en el Registro Único de Proponentes (RUP) y los documentos señalados en los Documentos Tipo. </w:t>
            </w:r>
          </w:p>
          <w:p w14:paraId="048726AB" w14:textId="77777777" w:rsidR="0066141F" w:rsidRPr="008139A5" w:rsidRDefault="0066141F" w:rsidP="00D16AA4">
            <w:pPr>
              <w:pStyle w:val="InviasNormal"/>
              <w:ind w:left="709" w:right="709"/>
              <w:jc w:val="both"/>
              <w:rPr>
                <w:rFonts w:ascii="Verdana" w:eastAsia="Arial" w:hAnsi="Verdana" w:cs="Arial"/>
                <w:sz w:val="20"/>
                <w:szCs w:val="20"/>
              </w:rPr>
            </w:pPr>
            <w:r w:rsidRPr="008139A5">
              <w:rPr>
                <w:rFonts w:ascii="Verdana" w:eastAsia="Arial" w:hAnsi="Verdana" w:cs="Arial"/>
                <w:b/>
                <w:bCs/>
                <w:sz w:val="20"/>
                <w:szCs w:val="20"/>
                <w:u w:val="single"/>
                <w:lang w:val="es-CO"/>
              </w:rPr>
              <w:lastRenderedPageBreak/>
              <w:t>La Entidad no podrá exigir requisitos habilitantes diferentes a los señalados en los Documentos Tipo.</w:t>
            </w:r>
            <w:bookmarkStart w:id="2" w:name="_Toc508384708"/>
            <w:bookmarkStart w:id="3" w:name="_Toc508385148"/>
            <w:bookmarkStart w:id="4" w:name="_Toc508385205"/>
            <w:bookmarkStart w:id="5" w:name="_Toc508385268"/>
            <w:bookmarkStart w:id="6" w:name="_Toc508463028"/>
            <w:bookmarkStart w:id="7" w:name="_Toc508384709"/>
            <w:bookmarkStart w:id="8" w:name="_Toc508385149"/>
            <w:bookmarkStart w:id="9" w:name="_Toc508385206"/>
            <w:bookmarkStart w:id="10" w:name="_Toc508385269"/>
            <w:bookmarkStart w:id="11" w:name="_Toc508463029"/>
            <w:bookmarkStart w:id="12" w:name="_Toc508384710"/>
            <w:bookmarkStart w:id="13" w:name="_Toc508385150"/>
            <w:bookmarkStart w:id="14" w:name="_Toc508385207"/>
            <w:bookmarkStart w:id="15" w:name="_Toc508385270"/>
            <w:bookmarkStart w:id="16" w:name="_Toc508463030"/>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8139A5">
              <w:rPr>
                <w:rFonts w:ascii="Verdana" w:eastAsia="Arial" w:hAnsi="Verdana" w:cs="Arial"/>
                <w:b/>
                <w:bCs/>
                <w:sz w:val="20"/>
                <w:szCs w:val="20"/>
                <w:lang w:val="es-CO"/>
              </w:rPr>
              <w:t xml:space="preserve"> </w:t>
            </w:r>
            <w:r>
              <w:rPr>
                <w:rFonts w:ascii="Verdana" w:eastAsia="Arial" w:hAnsi="Verdana" w:cs="Arial"/>
                <w:sz w:val="20"/>
                <w:szCs w:val="20"/>
                <w:lang w:val="es-CO"/>
              </w:rPr>
              <w:t>(Negrilla y subrayado fuera del texto original).</w:t>
            </w:r>
          </w:p>
          <w:p w14:paraId="4FE31F33" w14:textId="77777777" w:rsidR="0066141F" w:rsidRDefault="0066141F" w:rsidP="00D16AA4">
            <w:pPr>
              <w:snapToGrid w:val="0"/>
              <w:spacing w:line="276" w:lineRule="auto"/>
              <w:ind w:firstLine="709"/>
              <w:jc w:val="both"/>
              <w:rPr>
                <w:rFonts w:ascii="Verdana" w:eastAsia="Calibri" w:hAnsi="Verdana" w:cs="Times New Roman"/>
              </w:rPr>
            </w:pPr>
            <w:r w:rsidRPr="00B05DCA">
              <w:rPr>
                <w:rFonts w:ascii="Verdana" w:eastAsia="Calibri" w:hAnsi="Verdana" w:cs="Times New Roman"/>
              </w:rPr>
              <w:t>Como puede apreciarse, el apartado correspondiente a los requisitos habilitantes permite a las entidades estatales adaptar el capítulo a SECOP II, de conformidad con los términos definidos en las guías de Colombia Compra Eficiente. No obstante, esta facultad se limita a los aspectos expresamente autorizados en el Documento Tipo y no habilita a las entidades para incorporar requisitos habilitantes adicionales o modificar los establecidos en dicho instrumento.</w:t>
            </w:r>
          </w:p>
          <w:p w14:paraId="5730C064" w14:textId="77777777" w:rsidR="0066141F" w:rsidRPr="00B05DCA" w:rsidRDefault="0066141F" w:rsidP="00D16AA4">
            <w:pPr>
              <w:snapToGrid w:val="0"/>
              <w:spacing w:line="276" w:lineRule="auto"/>
              <w:ind w:firstLine="709"/>
              <w:jc w:val="both"/>
              <w:rPr>
                <w:rFonts w:ascii="Verdana" w:eastAsia="Calibri" w:hAnsi="Verdana" w:cs="Times New Roman"/>
              </w:rPr>
            </w:pPr>
          </w:p>
          <w:p w14:paraId="0451A681" w14:textId="77777777" w:rsidR="0066141F" w:rsidRDefault="0066141F" w:rsidP="00D16AA4">
            <w:pPr>
              <w:snapToGrid w:val="0"/>
              <w:spacing w:line="276" w:lineRule="auto"/>
              <w:ind w:firstLine="709"/>
              <w:jc w:val="both"/>
              <w:rPr>
                <w:rFonts w:ascii="Verdana" w:eastAsia="Calibri" w:hAnsi="Verdana" w:cs="Times New Roman"/>
              </w:rPr>
            </w:pPr>
            <w:r w:rsidRPr="00B05DCA">
              <w:rPr>
                <w:rFonts w:ascii="Verdana" w:eastAsia="Calibri" w:hAnsi="Verdana" w:cs="Times New Roman"/>
              </w:rPr>
              <w:t>En ese sentido, las entidades estatales deben verificar los requisitos habilitantes con fundamento en las condiciones y los soportes documentales previstos en los Documentos Tipo, sin establecer exigencias que restrinjan la participación de los proponentes o alteren las reglas definidas por la Agencia Nacional de Contratación Pública – Colombia Compra Eficiente. Por tanto, cualquier adaptación del capítulo deberá atender las instrucciones del Documento Tipo y limitarse a los ajustes necesarios para su aplicación en SECOP II, sin modificar su contenido sustancial.</w:t>
            </w:r>
          </w:p>
          <w:p w14:paraId="4B6D6519" w14:textId="77777777" w:rsidR="0066141F" w:rsidRPr="00B05DCA" w:rsidRDefault="0066141F" w:rsidP="00D16AA4">
            <w:pPr>
              <w:snapToGrid w:val="0"/>
              <w:spacing w:line="276" w:lineRule="auto"/>
              <w:ind w:firstLine="709"/>
              <w:jc w:val="both"/>
              <w:rPr>
                <w:rFonts w:ascii="Verdana" w:eastAsia="Calibri" w:hAnsi="Verdana" w:cs="Times New Roman"/>
              </w:rPr>
            </w:pPr>
          </w:p>
          <w:p w14:paraId="3ECC5FCD" w14:textId="77777777" w:rsidR="0066141F" w:rsidRDefault="0066141F" w:rsidP="00D16AA4">
            <w:pPr>
              <w:snapToGrid w:val="0"/>
              <w:spacing w:line="276" w:lineRule="auto"/>
              <w:ind w:firstLine="709"/>
              <w:jc w:val="both"/>
              <w:rPr>
                <w:rFonts w:ascii="Verdana" w:eastAsia="Calibri" w:hAnsi="Verdana" w:cs="Times New Roman"/>
              </w:rPr>
            </w:pPr>
            <w:r w:rsidRPr="00B05DCA">
              <w:rPr>
                <w:rFonts w:ascii="Verdana" w:eastAsia="Calibri" w:hAnsi="Verdana" w:cs="Times New Roman"/>
              </w:rPr>
              <w:t>De esta manera, la posibilidad de diligenciar o adaptar determinados apartados no puede interpretarse como una autorización para modificar los requisitos habilitantes, pues estos forman parte de los contenidos sujetos a la regla de inalterabilidad de los Documentos Tipo.</w:t>
            </w:r>
          </w:p>
          <w:p w14:paraId="41840EA5" w14:textId="77777777" w:rsidR="0066141F" w:rsidRDefault="0066141F" w:rsidP="00D16AA4">
            <w:pPr>
              <w:snapToGrid w:val="0"/>
              <w:spacing w:line="276" w:lineRule="auto"/>
              <w:ind w:firstLine="709"/>
              <w:jc w:val="both"/>
              <w:rPr>
                <w:rFonts w:ascii="Verdana" w:eastAsia="Calibri" w:hAnsi="Verdana" w:cs="Times New Roman"/>
              </w:rPr>
            </w:pPr>
          </w:p>
          <w:p w14:paraId="02329B40" w14:textId="77777777" w:rsidR="0066141F" w:rsidRPr="003F43EA" w:rsidRDefault="0066141F" w:rsidP="00D16AA4">
            <w:pPr>
              <w:spacing w:after="120" w:line="276" w:lineRule="auto"/>
              <w:jc w:val="both"/>
              <w:rPr>
                <w:rFonts w:ascii="Verdana" w:eastAsia="Verdana" w:hAnsi="Verdana" w:cs="Verdana"/>
              </w:rPr>
            </w:pPr>
            <w:r>
              <w:rPr>
                <w:rFonts w:ascii="Verdana" w:eastAsia="Calibri" w:hAnsi="Verdana" w:cs="Times New Roman"/>
              </w:rPr>
              <w:t xml:space="preserve">II). </w:t>
            </w:r>
            <w:r w:rsidRPr="002932C6">
              <w:rPr>
                <w:rFonts w:ascii="Verdana" w:eastAsia="Verdana" w:hAnsi="Verdana" w:cs="Verdana"/>
              </w:rPr>
              <w:t>D</w:t>
            </w:r>
            <w:r w:rsidRPr="003F43EA">
              <w:rPr>
                <w:rFonts w:ascii="Verdana" w:eastAsia="Verdana" w:hAnsi="Verdana" w:cs="Verdana"/>
              </w:rPr>
              <w:t xml:space="preserve">e conformidad con el artículo 1 de la Ley 2022 de 2020 y las disposiciones que regulan los Documentos Tipo, cuando un proceso de selección se encuentra sometido a estos instrumentos, las entidades estatales deben sujetarse a las condiciones allí establecidas. En consecuencia, no resulta jurídicamente procedente los criterios establecidos en los Documentos Tipo, salvo en aquellos aspectos en los que estos expresamente permitan su diligenciamiento o determinación por parte de la entidad. </w:t>
            </w:r>
          </w:p>
          <w:p w14:paraId="6A7A886A" w14:textId="77777777" w:rsidR="0066141F" w:rsidRPr="003F43EA" w:rsidRDefault="0066141F" w:rsidP="00D16AA4">
            <w:pPr>
              <w:spacing w:after="120" w:line="276" w:lineRule="auto"/>
              <w:jc w:val="both"/>
              <w:rPr>
                <w:rFonts w:ascii="Verdana" w:eastAsia="Verdana" w:hAnsi="Verdana" w:cs="Verdana"/>
              </w:rPr>
            </w:pPr>
            <w:r w:rsidRPr="003F43EA">
              <w:rPr>
                <w:rFonts w:ascii="Verdana" w:eastAsia="Verdana" w:hAnsi="Verdana" w:cs="Verdana"/>
              </w:rPr>
              <w:t xml:space="preserve">        Sobre el particular, la Agencia Nacional de Contratación Pública – Colombia Compra Eficiente, en el Concepto C-512 del 7 de mayo de 2026, precisó que la inalterabilidad de los Documentos Tipo “es una manifestación en mayor grado de las potestades regladas”, lo que implica una reducción de la </w:t>
            </w:r>
            <w:r w:rsidRPr="003F43EA">
              <w:rPr>
                <w:rFonts w:ascii="Verdana" w:eastAsia="Verdana" w:hAnsi="Verdana" w:cs="Verdana"/>
              </w:rPr>
              <w:lastRenderedPageBreak/>
              <w:t xml:space="preserve">discrecionalidad de la Administración al momento de estructurar el proceso de contratación. En ese sentido, señaló que cada entidad sometida a estos documentos debe realizar una “aplicación o constatación irrestricta de las reglas y condiciones dispuestas en estos”, salvo aquellos aspectos respecto de los cuales el propio Documento Tipo permita algún margen de decisión. </w:t>
            </w:r>
          </w:p>
          <w:p w14:paraId="79D0441E" w14:textId="77777777" w:rsidR="0066141F" w:rsidRPr="003F43EA" w:rsidRDefault="0066141F" w:rsidP="00D16AA4">
            <w:pPr>
              <w:spacing w:after="120" w:line="276" w:lineRule="auto"/>
              <w:jc w:val="both"/>
              <w:rPr>
                <w:rFonts w:ascii="Verdana" w:eastAsia="Verdana" w:hAnsi="Verdana" w:cs="Verdana"/>
              </w:rPr>
            </w:pPr>
            <w:r w:rsidRPr="003F43EA">
              <w:rPr>
                <w:rFonts w:ascii="Verdana" w:eastAsia="Verdana" w:hAnsi="Verdana" w:cs="Verdana"/>
              </w:rPr>
              <w:t xml:space="preserve">         Asimismo, el citado concepto señala que las entidades estatales no pueden incluir o modificar condiciones habilitantes, factores técnicos y económicos de escogencia o sistemas de ponderación diferentes de los previstos en los Documentos Tipo. Por ello, la entidad no puede establecer requisitos adicionales ni modificar la metodología de evaluación con el propósito de precisar o complementar dichas condiciones. </w:t>
            </w:r>
          </w:p>
          <w:p w14:paraId="45D21C2C" w14:textId="77777777" w:rsidR="0066141F" w:rsidRPr="003F43EA" w:rsidRDefault="0066141F" w:rsidP="00D16AA4">
            <w:pPr>
              <w:spacing w:after="120" w:line="276" w:lineRule="auto"/>
              <w:jc w:val="both"/>
              <w:rPr>
                <w:rFonts w:ascii="Verdana" w:eastAsia="Verdana" w:hAnsi="Verdana" w:cs="Verdana"/>
              </w:rPr>
            </w:pPr>
            <w:r w:rsidRPr="003F43EA">
              <w:rPr>
                <w:rFonts w:ascii="Verdana" w:eastAsia="Verdana" w:hAnsi="Verdana" w:cs="Verdana"/>
              </w:rPr>
              <w:t xml:space="preserve">         Lo anterior también encuentra fundamento en el principio de economía, en virtud del cual las entidades estatales no pueden exigir documentos, requisitos o actuaciones distintos de aquellos que resulten necesarios y que estén autorizados por la Constitución, la ley y los reglamentos. En este sentido, el Concepto C-512 de 2026 destaca que la exigencia de documentación innecesaria desconoce dicho principio y se opone a la finalidad de simplificación y racionalización de los procedimientos administrativos.</w:t>
            </w:r>
          </w:p>
          <w:p w14:paraId="288FA5C4" w14:textId="77777777" w:rsidR="0066141F" w:rsidRDefault="0066141F" w:rsidP="00D16AA4">
            <w:pPr>
              <w:spacing w:after="120" w:line="276" w:lineRule="auto"/>
              <w:jc w:val="both"/>
              <w:rPr>
                <w:rFonts w:ascii="Verdana" w:eastAsia="Verdana" w:hAnsi="Verdana" w:cs="Verdana"/>
              </w:rPr>
            </w:pPr>
            <w:r w:rsidRPr="003F43EA">
              <w:rPr>
                <w:rFonts w:ascii="Verdana" w:eastAsia="Verdana" w:hAnsi="Verdana" w:cs="Verdana"/>
              </w:rPr>
              <w:t xml:space="preserve">         No obstante, la regla de inalterabilidad no significa que la entidad carezca absolutamente de facultades para diligenciar o definir aspectos del proceso. El propio Concepto C-512 de 2026 y como ya se precisó en el numeral I, reconoce que los Documentos Tipo contienen espacios —por ejemplo, textos entre corchetes y resaltados en gris— que deben ser diligenciados por la entidad de acuerdo con sus necesidades y con las instrucciones contenidas en el respectivo Documento Tipo. </w:t>
            </w:r>
          </w:p>
          <w:p w14:paraId="29D72B9E" w14:textId="77777777" w:rsidR="0066141F" w:rsidRPr="00CC77CD" w:rsidRDefault="0066141F" w:rsidP="00D16AA4">
            <w:pPr>
              <w:spacing w:after="120" w:line="276" w:lineRule="auto"/>
              <w:jc w:val="both"/>
              <w:rPr>
                <w:rFonts w:ascii="Verdana" w:eastAsia="Verdana" w:hAnsi="Verdana" w:cs="Verdana"/>
              </w:rPr>
            </w:pPr>
            <w:r>
              <w:rPr>
                <w:rFonts w:ascii="Verdana" w:eastAsia="Verdana" w:hAnsi="Verdana" w:cs="Verdana"/>
              </w:rPr>
              <w:t>III).</w:t>
            </w:r>
            <w:r w:rsidRPr="00CC77CD">
              <w:rPr>
                <w:rFonts w:ascii="Century Gothic" w:eastAsia="Times New Roman" w:hAnsi="Century Gothic" w:cs="Times New Roman"/>
                <w:color w:val="000000"/>
                <w:sz w:val="24"/>
                <w:szCs w:val="24"/>
                <w:lang w:eastAsia="es-CO"/>
              </w:rPr>
              <w:t xml:space="preserve"> </w:t>
            </w:r>
            <w:r w:rsidRPr="00CC77CD">
              <w:rPr>
                <w:rFonts w:ascii="Verdana" w:eastAsia="Verdana" w:hAnsi="Verdana" w:cs="Verdana"/>
              </w:rPr>
              <w:t>Una entidad sometida al Documento Tipo no puede establecer como requisito habilitante un porcentaje mínimo de cumplimiento del Sistema de Gestión de Seguridad y Salud en el Trabajo, ni exigir su certificación por la Administradora de Riesgos Laborales como condición de habilitación, por cuanto tal exigencia no está prevista en el Documento Base aplicable.</w:t>
            </w:r>
          </w:p>
          <w:p w14:paraId="3EB116F4" w14:textId="77777777" w:rsidR="0066141F" w:rsidRPr="00CC77CD" w:rsidRDefault="0066141F" w:rsidP="00D16AA4">
            <w:pPr>
              <w:spacing w:after="120" w:line="276" w:lineRule="auto"/>
              <w:ind w:firstLine="709"/>
              <w:jc w:val="both"/>
              <w:rPr>
                <w:rFonts w:ascii="Verdana" w:eastAsia="Verdana" w:hAnsi="Verdana" w:cs="Verdana"/>
              </w:rPr>
            </w:pPr>
            <w:r w:rsidRPr="00CC77CD">
              <w:rPr>
                <w:rFonts w:ascii="Verdana" w:eastAsia="Verdana" w:hAnsi="Verdana" w:cs="Verdana"/>
              </w:rPr>
              <w:t xml:space="preserve">Los documentos tipo expedidos por esta Agencia en ejercicio de la potestad otorgada por la Ley 2022 de 2020 son de obligatoria observancia para las Entidades Estatales sometidas al Estatuto General de Contratación de la Administración Pública, y se rigen por la regla de inalterabilidad: solo pueden </w:t>
            </w:r>
            <w:r w:rsidRPr="00CC77CD">
              <w:rPr>
                <w:rFonts w:ascii="Verdana" w:eastAsia="Verdana" w:hAnsi="Verdana" w:cs="Verdana"/>
              </w:rPr>
              <w:lastRenderedPageBreak/>
              <w:t>modificarse en los aspectos que ellos mismos lo permitan, esto es, los contenidos entre corchetes y resaltados en gris, siguiendo las instrucciones allí dispuestas.</w:t>
            </w:r>
          </w:p>
          <w:p w14:paraId="2ACA5E37" w14:textId="77777777" w:rsidR="0066141F" w:rsidRPr="00CC77CD" w:rsidRDefault="0066141F" w:rsidP="00D16AA4">
            <w:pPr>
              <w:spacing w:after="120" w:line="276" w:lineRule="auto"/>
              <w:ind w:firstLine="709"/>
              <w:jc w:val="both"/>
              <w:rPr>
                <w:rFonts w:ascii="Verdana" w:eastAsia="Verdana" w:hAnsi="Verdana" w:cs="Verdana"/>
              </w:rPr>
            </w:pPr>
            <w:r w:rsidRPr="00CC77CD">
              <w:rPr>
                <w:rFonts w:ascii="Verdana" w:eastAsia="Verdana" w:hAnsi="Verdana" w:cs="Verdana"/>
              </w:rPr>
              <w:t>El propio Documento Base lo establece de manera expresa en sus normas de interpretación, al disponer que las entidades estatales contratantes no podrán incluir o modificar dentro de los documentos del proceso las condiciones habilitantes, los factores técnicos y económicos de escogencia y los sistemas de ponderación distintos a los señalados en los Documentos Tipo, y que estos son inalterables, sin que sea posible exigir soportes o requisitos adicionales salvo autorización expresa.</w:t>
            </w:r>
          </w:p>
          <w:p w14:paraId="308D3A13" w14:textId="77777777" w:rsidR="0066141F" w:rsidRDefault="0066141F" w:rsidP="00D16AA4">
            <w:pPr>
              <w:spacing w:after="120" w:line="276" w:lineRule="auto"/>
              <w:ind w:firstLine="709"/>
              <w:jc w:val="both"/>
              <w:rPr>
                <w:rFonts w:ascii="Verdana" w:eastAsia="Verdana" w:hAnsi="Verdana" w:cs="Verdana"/>
              </w:rPr>
            </w:pPr>
            <w:r w:rsidRPr="00CC77CD">
              <w:rPr>
                <w:rFonts w:ascii="Verdana" w:eastAsia="Verdana" w:hAnsi="Verdana" w:cs="Verdana"/>
              </w:rPr>
              <w:t>Los requisitos habilitantes previstos en el Documento Tipo son taxativos y se limitan a la capacidad jurídica, la experiencia, la capacidad financiera y organizacional y la capacidad residual, acreditables en los términos y con los documentos allí señalados. El cumplimiento del SG-SST no figura entre ellos, de modo que su incorporación constituiría una alteración prohibida.</w:t>
            </w:r>
          </w:p>
          <w:p w14:paraId="34F9B96E" w14:textId="77777777" w:rsidR="0066141F" w:rsidRDefault="0066141F" w:rsidP="00D16AA4">
            <w:pPr>
              <w:spacing w:after="120" w:line="276" w:lineRule="auto"/>
              <w:ind w:firstLine="709"/>
              <w:jc w:val="both"/>
              <w:rPr>
                <w:rFonts w:ascii="Verdana" w:eastAsia="Verdana" w:hAnsi="Verdana" w:cs="Verdana"/>
              </w:rPr>
            </w:pPr>
            <w:r w:rsidRPr="00CC77CD">
              <w:rPr>
                <w:rFonts w:ascii="Verdana" w:eastAsia="Verdana" w:hAnsi="Verdana" w:cs="Verdana"/>
              </w:rPr>
              <w:t>Los requisitos habilitantes deben ser adecuados y proporcionales a la naturaleza y al valor del contrato, y su estandarización es precisamente la finalidad que persiguen los documentos tipo.</w:t>
            </w:r>
          </w:p>
          <w:p w14:paraId="6B4B7239" w14:textId="77777777" w:rsidR="0066141F" w:rsidRDefault="0066141F" w:rsidP="00D16AA4">
            <w:pPr>
              <w:spacing w:after="120" w:line="276" w:lineRule="auto"/>
              <w:ind w:firstLine="709"/>
              <w:jc w:val="both"/>
              <w:rPr>
                <w:rFonts w:ascii="Verdana" w:eastAsia="Verdana" w:hAnsi="Verdana" w:cs="Verdana"/>
              </w:rPr>
            </w:pPr>
            <w:r w:rsidRPr="00CC77CD">
              <w:rPr>
                <w:rFonts w:ascii="Verdana" w:eastAsia="Verdana" w:hAnsi="Verdana" w:cs="Verdana"/>
              </w:rPr>
              <w:t>La implementación del Sistema de Gestión de Seguridad y Salud en el Trabajo es una obligación legal sustantiva de todo empleador, exigible con independencia de que participe o no en un proceso de contratación estatal, y cuya vigilancia corresponde al Ministerio del Trabajo. Su incumplimiento genera las consecuencias previstas en el régimen laboral y de riesgos laborales, no en el estatuto contractual.</w:t>
            </w:r>
          </w:p>
          <w:p w14:paraId="4869D690" w14:textId="77777777" w:rsidR="0066141F" w:rsidRDefault="0066141F" w:rsidP="00D16AA4">
            <w:pPr>
              <w:spacing w:after="120" w:line="276" w:lineRule="auto"/>
              <w:ind w:firstLine="709"/>
              <w:jc w:val="both"/>
              <w:rPr>
                <w:rFonts w:ascii="Verdana" w:eastAsia="Verdana" w:hAnsi="Verdana" w:cs="Verdana"/>
              </w:rPr>
            </w:pPr>
            <w:r w:rsidRPr="00CC77CD">
              <w:rPr>
                <w:rFonts w:ascii="Verdana" w:eastAsia="Verdana" w:hAnsi="Verdana" w:cs="Verdana"/>
              </w:rPr>
              <w:t>El requisito habilitante, en cambio, es una condición de admisión al proceso de selección que determina quién puede ser evaluado y quién queda excluido. Su fuente no es la ley laboral sino el pliego de condiciones, y en los procesos regidos por documentos tipo esa fuente está cerrada y estandarizada.</w:t>
            </w:r>
          </w:p>
          <w:p w14:paraId="1F5934D8" w14:textId="77777777" w:rsidR="0066141F" w:rsidRDefault="0066141F" w:rsidP="00D16AA4">
            <w:pPr>
              <w:spacing w:after="120" w:line="276" w:lineRule="auto"/>
              <w:ind w:firstLine="709"/>
              <w:jc w:val="both"/>
              <w:rPr>
                <w:rFonts w:ascii="Verdana" w:eastAsia="Verdana" w:hAnsi="Verdana" w:cs="Verdana"/>
              </w:rPr>
            </w:pPr>
            <w:r w:rsidRPr="00CC77CD">
              <w:rPr>
                <w:rFonts w:ascii="Verdana" w:eastAsia="Verdana" w:hAnsi="Verdana" w:cs="Verdana"/>
              </w:rPr>
              <w:t>De ahí que la existencia del deber sustantivo no habilite a la entidad a convertirlo en condición de habilitación ni a definir por sí misma el porcentaje de cumplimiento, la certificación idónea y el momento de acreditación, pues ello equivaldría a crear un requisito habilitante nuevo. Tampoco puede hacerlo por la vía de exigir soportes adicionales, expresamente prohibida.</w:t>
            </w:r>
          </w:p>
          <w:p w14:paraId="3C4D16D7" w14:textId="77777777" w:rsidR="0066141F" w:rsidRPr="00CC77CD" w:rsidRDefault="0066141F" w:rsidP="00D16AA4">
            <w:pPr>
              <w:spacing w:after="120" w:line="276" w:lineRule="auto"/>
              <w:ind w:firstLine="709"/>
              <w:jc w:val="both"/>
              <w:rPr>
                <w:rFonts w:ascii="Verdana" w:eastAsia="Verdana" w:hAnsi="Verdana" w:cs="Verdana"/>
              </w:rPr>
            </w:pPr>
            <w:r w:rsidRPr="00CC77CD">
              <w:rPr>
                <w:rFonts w:ascii="Verdana" w:eastAsia="Verdana" w:hAnsi="Verdana" w:cs="Verdana"/>
              </w:rPr>
              <w:lastRenderedPageBreak/>
              <w:t>Lo anterior no significa que la entidad carezca de instrumentos. El cumplimiento de las obligaciones en materia de seguridad y salud en el trabajo es exigible y verificable durante la ejecución del contrato, a través de la supervisión o la interventoría y de las obligaciones del contratista previstas en el Anexo Técnico. Adicionalmente, el Documento Base ya contempla la acreditación del pago de los aportes al Sistema de Seguridad Social Integral y parafiscales mediante el Formato 6, conforme al artículo 50 de la Ley 789 de 2002, que es el mecanismo estandarizado para esa materia en la fase precontractual.</w:t>
            </w:r>
          </w:p>
          <w:p w14:paraId="7471FDCF" w14:textId="77777777" w:rsidR="0066141F" w:rsidRPr="00A55F76" w:rsidRDefault="0066141F" w:rsidP="00D16AA4">
            <w:pPr>
              <w:spacing w:before="120" w:after="120" w:line="276" w:lineRule="auto"/>
              <w:jc w:val="both"/>
              <w:rPr>
                <w:rFonts w:ascii="Verdana" w:hAnsi="Verdana"/>
              </w:rPr>
            </w:pPr>
            <w:r>
              <w:rPr>
                <w:rFonts w:ascii="Verdana" w:eastAsia="Calibri" w:hAnsi="Verdana" w:cs="Arial"/>
                <w:bCs/>
                <w:lang w:eastAsia="es-ES_tradnl"/>
              </w:rPr>
              <w:t xml:space="preserve">IV). </w:t>
            </w:r>
            <w:r w:rsidRPr="00A55F76">
              <w:rPr>
                <w:rFonts w:ascii="Verdana" w:eastAsia="Calibri" w:hAnsi="Verdana" w:cs="Arial"/>
                <w:bCs/>
                <w:lang w:eastAsia="es-ES_tradnl"/>
              </w:rPr>
              <w:t xml:space="preserve">Cuando </w:t>
            </w:r>
            <w:r w:rsidRPr="00A55F76">
              <w:rPr>
                <w:rFonts w:ascii="Verdana" w:hAnsi="Verdana"/>
              </w:rPr>
              <w:t>el objeto contractual incluya obras, bienes o servicios adicionales a la interventoría obra pública de infraestructura de social, la entidad estatal deberá aplicar los Documentos Tipo y, excepcionalmente, podrá exigir experiencia adicional para evaluar la idoneidad del contratista respecto de aquellas actividades que no se encuentren incluidas en la matriz de experiencia aplicable, siempre que observe los parámetros establecidos en dicha disposición.</w:t>
            </w:r>
          </w:p>
          <w:p w14:paraId="5422E7E2" w14:textId="77777777" w:rsidR="0066141F" w:rsidRDefault="0066141F" w:rsidP="00D16AA4">
            <w:pPr>
              <w:spacing w:before="120" w:after="120" w:line="276" w:lineRule="auto"/>
              <w:ind w:firstLine="709"/>
              <w:jc w:val="both"/>
              <w:rPr>
                <w:rFonts w:ascii="Verdana" w:hAnsi="Verdana"/>
              </w:rPr>
            </w:pPr>
            <w:r w:rsidRPr="00A55F76">
              <w:rPr>
                <w:rFonts w:ascii="Verdana" w:hAnsi="Verdana"/>
              </w:rPr>
              <w:t>En efecto, el referido artículo dispone:</w:t>
            </w:r>
          </w:p>
          <w:p w14:paraId="5A26A257" w14:textId="77777777" w:rsidR="0066141F" w:rsidRPr="00A90BA1" w:rsidRDefault="0066141F" w:rsidP="00D16AA4">
            <w:pPr>
              <w:spacing w:before="120" w:after="120"/>
              <w:ind w:left="731" w:right="741"/>
              <w:jc w:val="both"/>
              <w:rPr>
                <w:rFonts w:ascii="Verdana" w:hAnsi="Verdana"/>
                <w:sz w:val="20"/>
                <w:szCs w:val="20"/>
              </w:rPr>
            </w:pPr>
            <w:r>
              <w:rPr>
                <w:rFonts w:ascii="Verdana" w:hAnsi="Verdana"/>
                <w:sz w:val="20"/>
                <w:szCs w:val="20"/>
              </w:rPr>
              <w:t>“</w:t>
            </w:r>
            <w:r w:rsidRPr="00A90BA1">
              <w:rPr>
                <w:rFonts w:ascii="Verdana" w:hAnsi="Verdana"/>
                <w:sz w:val="20"/>
                <w:szCs w:val="20"/>
              </w:rPr>
              <w:t xml:space="preserve">Artículo 4. Obras, bienes o servicios adicionales a la interventoría de obra pública de infraestructura social. Cuando el objeto contractual incluya la interventoría a obras, bienes o servicios adicionales a la de obra pública de infraestructura social, la Entidad Estatal deberá aplicar los documentos tipo. Si de manera excepcional requiere incluir experiencia adicional para evaluar la idoneidad respecto de la interventoría de obras, bienes o servicios adicionales a la obra pública de infraestructura social, deberá seguir los siguientes parámetros: </w:t>
            </w:r>
          </w:p>
          <w:p w14:paraId="172ECA43" w14:textId="77777777" w:rsidR="0066141F" w:rsidRPr="00A90BA1" w:rsidRDefault="0066141F" w:rsidP="00D16AA4">
            <w:pPr>
              <w:spacing w:before="120" w:after="120"/>
              <w:ind w:left="709" w:right="709"/>
              <w:jc w:val="both"/>
              <w:rPr>
                <w:rFonts w:ascii="Verdana" w:hAnsi="Verdana"/>
                <w:sz w:val="20"/>
                <w:szCs w:val="20"/>
              </w:rPr>
            </w:pPr>
            <w:r w:rsidRPr="00A90BA1">
              <w:rPr>
                <w:rFonts w:ascii="Verdana" w:hAnsi="Verdana"/>
                <w:sz w:val="20"/>
                <w:szCs w:val="20"/>
              </w:rPr>
              <w:t xml:space="preserve">1. Demostrar en los estudios previos que ha verificado las condiciones de mercado para la interventoría de las obras, bienes o servicios adicionales al componente de obra pública de infraestructura social, de tal manera que </w:t>
            </w:r>
            <w:proofErr w:type="spellStart"/>
            <w:r w:rsidRPr="00A90BA1">
              <w:rPr>
                <w:rFonts w:ascii="Verdana" w:hAnsi="Verdana"/>
                <w:sz w:val="20"/>
                <w:szCs w:val="20"/>
              </w:rPr>
              <w:t>laexperiencia</w:t>
            </w:r>
            <w:proofErr w:type="spellEnd"/>
            <w:r w:rsidRPr="00A90BA1">
              <w:rPr>
                <w:rFonts w:ascii="Verdana" w:hAnsi="Verdana"/>
                <w:sz w:val="20"/>
                <w:szCs w:val="20"/>
              </w:rPr>
              <w:t xml:space="preserve"> adicional que se exija para dicha interventoría procure la pluralidad de oferentes y no limite la concurrencia al proceso de contratación. Para tal efecto, la entidad realizará el estudio previo y el análisis del sector en los términos de los artículos 2.2.1.1.1.6.1 y 2.2.1.1.1.6.2 del Decreto 1082 de 2015, o la norma que los adicione, complemente o sustituya. </w:t>
            </w:r>
          </w:p>
          <w:p w14:paraId="791219F8" w14:textId="77777777" w:rsidR="0066141F" w:rsidRPr="00A90BA1" w:rsidRDefault="0066141F" w:rsidP="00D16AA4">
            <w:pPr>
              <w:spacing w:before="120" w:after="120"/>
              <w:ind w:left="709" w:right="709"/>
              <w:jc w:val="both"/>
              <w:rPr>
                <w:rFonts w:ascii="Verdana" w:hAnsi="Verdana"/>
                <w:sz w:val="20"/>
                <w:szCs w:val="20"/>
              </w:rPr>
            </w:pPr>
            <w:r w:rsidRPr="00A90BA1">
              <w:rPr>
                <w:rFonts w:ascii="Verdana" w:hAnsi="Verdana"/>
                <w:sz w:val="20"/>
                <w:szCs w:val="20"/>
              </w:rPr>
              <w:t xml:space="preserve">2. Conservar los requisitos exigidos en los documentos tipo. </w:t>
            </w:r>
          </w:p>
          <w:p w14:paraId="467B30AF" w14:textId="77777777" w:rsidR="0066141F" w:rsidRPr="00A90BA1" w:rsidRDefault="0066141F" w:rsidP="00D16AA4">
            <w:pPr>
              <w:spacing w:before="120" w:after="120"/>
              <w:ind w:left="709" w:right="709"/>
              <w:jc w:val="both"/>
              <w:rPr>
                <w:rFonts w:ascii="Verdana" w:hAnsi="Verdana"/>
                <w:sz w:val="20"/>
                <w:szCs w:val="20"/>
              </w:rPr>
            </w:pPr>
            <w:r w:rsidRPr="00A90BA1">
              <w:rPr>
                <w:rFonts w:ascii="Verdana" w:hAnsi="Verdana"/>
                <w:sz w:val="20"/>
                <w:szCs w:val="20"/>
              </w:rPr>
              <w:t xml:space="preserve">3. Abstenerse de pedir experiencia exclusiva con Entidades Estatales, experiencia previa en un territorio específico, limitada en el tiempo o que incluya volúmenes o cantidades de obra específica. </w:t>
            </w:r>
          </w:p>
          <w:p w14:paraId="7F07917F" w14:textId="77777777" w:rsidR="0066141F" w:rsidRPr="00A90BA1" w:rsidRDefault="0066141F" w:rsidP="00D16AA4">
            <w:pPr>
              <w:spacing w:before="120" w:after="120"/>
              <w:ind w:left="709" w:right="709"/>
              <w:jc w:val="both"/>
              <w:rPr>
                <w:rFonts w:ascii="Verdana" w:hAnsi="Verdana"/>
                <w:sz w:val="20"/>
                <w:szCs w:val="20"/>
              </w:rPr>
            </w:pPr>
            <w:r w:rsidRPr="00A90BA1">
              <w:rPr>
                <w:rFonts w:ascii="Verdana" w:hAnsi="Verdana"/>
                <w:sz w:val="20"/>
                <w:szCs w:val="20"/>
              </w:rPr>
              <w:lastRenderedPageBreak/>
              <w:t xml:space="preserve">4. Clasificar la experiencia requerida solo hasta el tercer nivel del Clasificador de Bienes y Servicios e incluir exclusivamente los códigos que estén relacionados directamente con el objeto a contratar. </w:t>
            </w:r>
          </w:p>
          <w:p w14:paraId="6065B2DD" w14:textId="77777777" w:rsidR="0066141F" w:rsidRPr="00A90BA1" w:rsidRDefault="0066141F" w:rsidP="00D16AA4">
            <w:pPr>
              <w:spacing w:before="120" w:after="120"/>
              <w:ind w:left="709" w:right="709"/>
              <w:jc w:val="both"/>
              <w:rPr>
                <w:rFonts w:ascii="Verdana" w:hAnsi="Verdana"/>
                <w:sz w:val="20"/>
                <w:szCs w:val="20"/>
              </w:rPr>
            </w:pPr>
            <w:r w:rsidRPr="00A90BA1">
              <w:rPr>
                <w:rFonts w:ascii="Verdana" w:hAnsi="Verdana"/>
                <w:sz w:val="20"/>
                <w:szCs w:val="20"/>
              </w:rPr>
              <w:t xml:space="preserve">Parágrafo 1°. En los casos que el objeto contractual incluya actividades abarcadas por otros documentos tipo expedidos por la Agencia Nacional de Contratación Pública - Colombia Compra Eficiente, la Entidad Estatal aplicará las reglas de combinación de experiencia previstas en el numeral 10.1.1 del documento base. </w:t>
            </w:r>
          </w:p>
          <w:p w14:paraId="388BC0B2" w14:textId="77777777" w:rsidR="0066141F" w:rsidRPr="00A90BA1" w:rsidRDefault="0066141F" w:rsidP="00D16AA4">
            <w:pPr>
              <w:spacing w:before="120" w:after="120"/>
              <w:ind w:left="709" w:right="709"/>
              <w:jc w:val="both"/>
              <w:rPr>
                <w:rFonts w:ascii="Verdana" w:hAnsi="Verdana"/>
                <w:sz w:val="20"/>
                <w:szCs w:val="20"/>
              </w:rPr>
            </w:pPr>
            <w:r w:rsidRPr="00A90BA1">
              <w:rPr>
                <w:rFonts w:ascii="Verdana" w:hAnsi="Verdana"/>
                <w:sz w:val="20"/>
                <w:szCs w:val="20"/>
              </w:rPr>
              <w:t xml:space="preserve">Parágrafo 2°. Para los efectos de este artículo se entiende por "obras, bienes o servicios adicionales" aquellas actividades que no están incluidas en la matriz de experiencia de los documentos tipo de infraestructura social aplicable o de otras matrices de experiencia de documentos tipo adoptados por esta Agencia que se encuentren vigentes, pero que están relacionadas con el contrato a ejecutar. </w:t>
            </w:r>
          </w:p>
          <w:p w14:paraId="646C4288" w14:textId="77777777" w:rsidR="0066141F" w:rsidRPr="00A90BA1" w:rsidRDefault="0066141F" w:rsidP="00D16AA4">
            <w:pPr>
              <w:spacing w:before="120" w:after="120"/>
              <w:ind w:left="709" w:right="709"/>
              <w:jc w:val="both"/>
              <w:rPr>
                <w:rFonts w:ascii="Verdana" w:hAnsi="Verdana"/>
                <w:sz w:val="20"/>
                <w:szCs w:val="20"/>
              </w:rPr>
            </w:pPr>
            <w:r w:rsidRPr="00A90BA1">
              <w:rPr>
                <w:rFonts w:ascii="Verdana" w:hAnsi="Verdana"/>
                <w:sz w:val="20"/>
                <w:szCs w:val="20"/>
              </w:rPr>
              <w:t xml:space="preserve">Parágrafo 3°. Para la aplicación de este artículo, se entiende por experiencia adicional </w:t>
            </w:r>
            <w:proofErr w:type="spellStart"/>
            <w:r w:rsidRPr="00A90BA1">
              <w:rPr>
                <w:rFonts w:ascii="Verdana" w:hAnsi="Verdana"/>
                <w:sz w:val="20"/>
                <w:szCs w:val="20"/>
              </w:rPr>
              <w:t>aqueila</w:t>
            </w:r>
            <w:proofErr w:type="spellEnd"/>
            <w:r w:rsidRPr="00A90BA1">
              <w:rPr>
                <w:rFonts w:ascii="Verdana" w:hAnsi="Verdana"/>
                <w:sz w:val="20"/>
                <w:szCs w:val="20"/>
              </w:rPr>
              <w:t xml:space="preserve"> que no está definida en la matriz de experiencia de infraestructura social aplicable o de otras matrices de experiencia de documentos tipo adoptados por esta Agencia que se encuentren vigentes, pero que la Entidad Estatal considera necesaria para garantizar la idoneidad del contratista para la ejecución del proyecto, puesto que está relacionada con el objeto a ejecutar. </w:t>
            </w:r>
          </w:p>
          <w:p w14:paraId="28413B64" w14:textId="77777777" w:rsidR="0066141F" w:rsidRPr="00A90BA1" w:rsidRDefault="0066141F" w:rsidP="00D16AA4">
            <w:pPr>
              <w:spacing w:before="120" w:after="120"/>
              <w:ind w:left="709" w:right="709"/>
              <w:jc w:val="both"/>
              <w:rPr>
                <w:rFonts w:ascii="Verdana" w:hAnsi="Verdana"/>
                <w:sz w:val="20"/>
                <w:szCs w:val="20"/>
              </w:rPr>
            </w:pPr>
            <w:r w:rsidRPr="00A90BA1">
              <w:rPr>
                <w:rFonts w:ascii="Verdana" w:hAnsi="Verdana"/>
                <w:sz w:val="20"/>
                <w:szCs w:val="20"/>
              </w:rPr>
              <w:t>Parágrafo 4°. En caso de que la entidad considere pertinente incorporar experiencia relacionada con obras, bienes o servicios adicionales a la interventoría, podrá reemplazar como máximo una (1) de las actividades secundarias. Para esta incorporación, deberán observarse las mismas reglas establecidas para las actividades secundarias contenidas en el numeral 10.1.1 del Documento Base. En todo caso, deberá tenerse en cuenta que la entidad</w:t>
            </w:r>
            <w:r>
              <w:rPr>
                <w:rFonts w:ascii="Verdana" w:hAnsi="Verdana"/>
                <w:sz w:val="20"/>
                <w:szCs w:val="20"/>
              </w:rPr>
              <w:t xml:space="preserve"> </w:t>
            </w:r>
            <w:r w:rsidRPr="00BB71FF">
              <w:rPr>
                <w:rFonts w:ascii="Verdana" w:hAnsi="Verdana"/>
                <w:sz w:val="20"/>
                <w:szCs w:val="20"/>
              </w:rPr>
              <w:t>no podrá solicitar más de tres actividades en total, incluyendo la actividad principal. Por lo tanto, además de la actividad principal, deberá determinar si exige dos actividades secundarias o una actividad secundaria y una adicional. En ningún caso deberá entenderse que la inclusión de una actividad adicional equivale al procedimiento establecido para la combinación de experiencia. Para este último caso, se deberá aplicar lo establecido en el numeral i del literal A del numeral 10.1.1 del documento base.</w:t>
            </w:r>
            <w:r>
              <w:rPr>
                <w:rFonts w:ascii="Verdana" w:hAnsi="Verdana"/>
                <w:sz w:val="20"/>
                <w:szCs w:val="20"/>
              </w:rPr>
              <w:t>”.</w:t>
            </w:r>
          </w:p>
          <w:p w14:paraId="699038F4" w14:textId="77777777" w:rsidR="0066141F" w:rsidRDefault="0066141F" w:rsidP="00D16AA4">
            <w:pPr>
              <w:ind w:firstLine="708"/>
              <w:jc w:val="both"/>
              <w:rPr>
                <w:rFonts w:ascii="Verdana" w:hAnsi="Verdana"/>
              </w:rPr>
            </w:pPr>
            <w:r w:rsidRPr="00AD02C5">
              <w:rPr>
                <w:rFonts w:ascii="Verdana" w:hAnsi="Verdana"/>
              </w:rPr>
              <w:t xml:space="preserve">En ese sentido, si, conforme al alcance integral del proyecto, la entidad determina que este corresponde a un proceso de contratación de interventoría de infraestructura social  y que, adicionalmente, comprende actividades que no se encuentran incluidas en la matriz de experiencia aplicable, dichas actividades podrían considerarse obras, bienes o servicios adicionales en los términos del artículo 4 de la Resolución 953 de 2025, siempre que se cumplan las condiciones previstas en dicha disposición. En tal evento, la entidad deberá aplicar los Documentos Tipo correspondientes a proceso de contratación de </w:t>
            </w:r>
            <w:r w:rsidRPr="00AD02C5">
              <w:rPr>
                <w:rFonts w:ascii="Verdana" w:hAnsi="Verdana"/>
              </w:rPr>
              <w:lastRenderedPageBreak/>
              <w:t>interventoría de infraestructura social y, excepcionalmente, si considera necesario exigir experiencia adicional para acreditar la idoneidad del contratista respecto de las actividades que no estén contempladas en la matriz de experiencia aplicable, deberá observar los parámetros establecidos en el citado artículo.</w:t>
            </w:r>
          </w:p>
          <w:p w14:paraId="5CE5C95F" w14:textId="77777777" w:rsidR="0066141F" w:rsidRDefault="0066141F" w:rsidP="00D16AA4">
            <w:pPr>
              <w:ind w:firstLine="708"/>
              <w:jc w:val="both"/>
              <w:rPr>
                <w:rFonts w:ascii="Verdana" w:hAnsi="Verdana"/>
              </w:rPr>
            </w:pPr>
            <w:r w:rsidRPr="00EB023F">
              <w:rPr>
                <w:rFonts w:ascii="Verdana" w:hAnsi="Verdana"/>
              </w:rPr>
              <w:t>Adicionalmente, deberá tenerse en cuenta que, de conformidad con el parágrafo 1 del artículo 4 de la Resolución 953 de 2025, cuando el objeto contractual incluya actividades comprendidas en otros Documentos Tipo expedidos por la Agencia Nacional de Contratación Pública – Colombia Compra Eficiente, la entidad deberá aplicar las reglas de combinación de experiencia previstas en el numeral 10.1.1 del Documento Base correspondiente. Por tanto, deberá distinguir entre la incorporación de experiencia adicional, relativa a actividades no contempladas en las matrices de experiencia vigentes, y la combinación de experiencia, aplicable cuando el objeto contractual comprenda actividades reguladas por otros Documentos Tipo.</w:t>
            </w:r>
          </w:p>
          <w:p w14:paraId="766B2E74" w14:textId="77777777" w:rsidR="0066141F" w:rsidRDefault="0066141F" w:rsidP="00D16AA4">
            <w:pPr>
              <w:ind w:firstLine="708"/>
              <w:jc w:val="both"/>
              <w:rPr>
                <w:rFonts w:ascii="Verdana" w:hAnsi="Verdana"/>
              </w:rPr>
            </w:pPr>
          </w:p>
          <w:p w14:paraId="08E21C65" w14:textId="77777777" w:rsidR="0066141F" w:rsidRPr="00BE26A9" w:rsidRDefault="0066141F" w:rsidP="00D16AA4">
            <w:pPr>
              <w:ind w:firstLine="708"/>
              <w:jc w:val="both"/>
              <w:rPr>
                <w:rFonts w:ascii="Verdana" w:eastAsia="Calibri" w:hAnsi="Verdana" w:cs="Times New Roman"/>
              </w:rPr>
            </w:pPr>
            <w:r w:rsidRPr="00BE26A9">
              <w:rPr>
                <w:rFonts w:ascii="Verdana" w:eastAsia="Calibri" w:hAnsi="Verdana" w:cs="Times New Roman"/>
              </w:rPr>
              <w:t>Con el fin de ejemplificar el análisis del objeto de la consulta, se tomará como referencia la Matriz de Experiencia del Documento Tipo de interventoría de obra pública de infraestructura social del sector cultura, recreación y deporte, la cual establece, dentro de las “Reglas para definir la experiencia exigible en el proceso de contratación”, lo siguiente:</w:t>
            </w:r>
          </w:p>
          <w:p w14:paraId="6567F2BB" w14:textId="77777777" w:rsidR="0066141F" w:rsidRPr="00BE26A9" w:rsidRDefault="0066141F" w:rsidP="00D16AA4">
            <w:pPr>
              <w:ind w:firstLine="708"/>
              <w:jc w:val="both"/>
              <w:rPr>
                <w:rFonts w:ascii="Verdana" w:eastAsia="Calibri" w:hAnsi="Verdana" w:cs="Times New Roman"/>
                <w:highlight w:val="yellow"/>
              </w:rPr>
            </w:pPr>
          </w:p>
          <w:p w14:paraId="5FD7D7EF" w14:textId="77777777" w:rsidR="0066141F" w:rsidRPr="0082680F" w:rsidRDefault="0066141F" w:rsidP="00D16AA4">
            <w:pPr>
              <w:ind w:left="720" w:right="474"/>
              <w:contextualSpacing/>
              <w:jc w:val="both"/>
              <w:rPr>
                <w:rFonts w:ascii="Verdana" w:eastAsia="Calibri" w:hAnsi="Verdana" w:cs="Times New Roman"/>
                <w:i/>
                <w:iCs/>
                <w:sz w:val="20"/>
                <w:szCs w:val="20"/>
                <w:lang w:val="es-ES"/>
              </w:rPr>
            </w:pPr>
            <w:r w:rsidRPr="0082680F">
              <w:rPr>
                <w:rFonts w:ascii="Verdana" w:eastAsia="Calibri" w:hAnsi="Verdana" w:cs="Times New Roman"/>
                <w:i/>
                <w:iCs/>
                <w:sz w:val="20"/>
                <w:szCs w:val="20"/>
                <w:lang w:val="es-ES"/>
              </w:rPr>
              <w:t>“</w:t>
            </w:r>
            <w:r w:rsidRPr="0082680F">
              <w:rPr>
                <w:rFonts w:ascii="Verdana" w:eastAsia="Calibri" w:hAnsi="Verdana" w:cs="Times New Roman"/>
                <w:i/>
                <w:iCs/>
                <w:sz w:val="20"/>
                <w:szCs w:val="20"/>
              </w:rPr>
              <w:t xml:space="preserve">vi) Cuando el objeto del proceso de contratación </w:t>
            </w:r>
            <w:proofErr w:type="gramStart"/>
            <w:r w:rsidRPr="0082680F">
              <w:rPr>
                <w:rFonts w:ascii="Verdana" w:eastAsia="Calibri" w:hAnsi="Verdana" w:cs="Times New Roman"/>
                <w:i/>
                <w:iCs/>
                <w:sz w:val="20"/>
                <w:szCs w:val="20"/>
              </w:rPr>
              <w:t>contemple</w:t>
            </w:r>
            <w:proofErr w:type="gramEnd"/>
            <w:r w:rsidRPr="0082680F">
              <w:rPr>
                <w:rFonts w:ascii="Verdana" w:eastAsia="Calibri" w:hAnsi="Verdana" w:cs="Times New Roman"/>
                <w:i/>
                <w:iCs/>
                <w:sz w:val="20"/>
                <w:szCs w:val="20"/>
              </w:rPr>
              <w:t xml:space="preserve"> la ejecución de dos o más “Actividades a Contratar” (ej.: 1.1 y 2.1), la entidad procederá de acuerdo con lo indicado en el Documento Base en relación con la combinación de experiencia.</w:t>
            </w:r>
            <w:r w:rsidRPr="0082680F">
              <w:rPr>
                <w:rFonts w:ascii="Verdana" w:eastAsia="Calibri" w:hAnsi="Verdana" w:cs="Times New Roman"/>
                <w:i/>
                <w:iCs/>
                <w:sz w:val="20"/>
                <w:szCs w:val="20"/>
                <w:lang w:val="es-ES"/>
              </w:rPr>
              <w:t>”</w:t>
            </w:r>
            <w:r w:rsidRPr="0082680F">
              <w:rPr>
                <w:rFonts w:ascii="Verdana" w:eastAsia="Calibri" w:hAnsi="Verdana" w:cs="Times New Roman"/>
                <w:i/>
                <w:iCs/>
                <w:sz w:val="20"/>
                <w:szCs w:val="20"/>
              </w:rPr>
              <w:t>.</w:t>
            </w:r>
          </w:p>
          <w:p w14:paraId="7683CA28" w14:textId="77777777" w:rsidR="0066141F" w:rsidRPr="00E752CC" w:rsidRDefault="0066141F" w:rsidP="00D16AA4">
            <w:pPr>
              <w:spacing w:line="276" w:lineRule="auto"/>
              <w:ind w:right="474"/>
              <w:contextualSpacing/>
              <w:jc w:val="both"/>
              <w:rPr>
                <w:rFonts w:ascii="Verdana" w:eastAsia="Calibri" w:hAnsi="Verdana" w:cs="Times New Roman"/>
                <w:i/>
                <w:iCs/>
                <w:lang w:val="es-ES"/>
              </w:rPr>
            </w:pPr>
          </w:p>
          <w:p w14:paraId="38EF54AC" w14:textId="77777777" w:rsidR="0066141F" w:rsidRPr="00D84F99" w:rsidRDefault="0066141F" w:rsidP="00D16AA4">
            <w:pPr>
              <w:spacing w:line="276" w:lineRule="auto"/>
              <w:ind w:firstLine="709"/>
              <w:jc w:val="both"/>
              <w:rPr>
                <w:rFonts w:ascii="Verdana" w:eastAsia="Calibri" w:hAnsi="Verdana" w:cs="Times New Roman"/>
              </w:rPr>
            </w:pPr>
            <w:r w:rsidRPr="00D84F99">
              <w:rPr>
                <w:rFonts w:ascii="Verdana" w:eastAsia="Calibri" w:hAnsi="Verdana" w:cs="Times New Roman"/>
              </w:rPr>
              <w:t xml:space="preserve">De esta forma, según se indica cuando el objeto de contratación contemple la ejecución de dos (2) o más actividades, en este caso previstas en la Matriz – Experiencia del sector cultura, recreación y deporte, se aplicará lo dispuesto en el documento base. Concretamente, el numeral 10.1.1 “CARACTERÍSTICAS DE LOS CONTRATOS PRESENTADOS PARA ACREDITAR LA EXPERIENCIA DEL PROPONENTE”, en el que se indican las reglas que deben tener en cuenta las entidades estatales y los particulares en caso de que se soliciten combinaciones de diferentes actividades a contratar de una misma o de diferentes matrices de experiencia. </w:t>
            </w:r>
          </w:p>
          <w:p w14:paraId="509012F0" w14:textId="77777777" w:rsidR="0066141F" w:rsidRPr="00D84F99" w:rsidRDefault="0066141F" w:rsidP="00D16AA4">
            <w:pPr>
              <w:spacing w:line="276" w:lineRule="auto"/>
              <w:ind w:left="720" w:firstLine="709"/>
              <w:rPr>
                <w:rFonts w:ascii="Verdana" w:eastAsia="Calibri" w:hAnsi="Verdana" w:cs="Times New Roman"/>
                <w:lang w:val="es-ES"/>
              </w:rPr>
            </w:pPr>
          </w:p>
          <w:p w14:paraId="423373D4" w14:textId="77777777" w:rsidR="0066141F" w:rsidRPr="00D84F99" w:rsidRDefault="0066141F" w:rsidP="00D16AA4">
            <w:pPr>
              <w:spacing w:line="276" w:lineRule="auto"/>
              <w:ind w:firstLine="709"/>
              <w:jc w:val="both"/>
              <w:rPr>
                <w:rFonts w:ascii="Verdana" w:eastAsia="Calibri" w:hAnsi="Verdana" w:cs="Times New Roman"/>
                <w:lang w:val="es-ES"/>
              </w:rPr>
            </w:pPr>
            <w:r w:rsidRPr="00D84F99">
              <w:rPr>
                <w:rFonts w:ascii="Verdana" w:eastAsia="Calibri" w:hAnsi="Verdana" w:cs="Times New Roman"/>
                <w:lang w:val="es-ES"/>
              </w:rPr>
              <w:t>Debe indicarse que, en este supuesto, (</w:t>
            </w:r>
            <w:r w:rsidRPr="00D84F99">
              <w:rPr>
                <w:rFonts w:ascii="Verdana" w:eastAsia="Calibri" w:hAnsi="Verdana" w:cs="Times New Roman"/>
                <w:b/>
                <w:bCs/>
                <w:i/>
                <w:iCs/>
                <w:lang w:val="es-ES"/>
              </w:rPr>
              <w:t>y concretamente para responder las preguntas de su solicitud</w:t>
            </w:r>
            <w:r w:rsidRPr="00D84F99">
              <w:rPr>
                <w:rFonts w:ascii="Verdana" w:eastAsia="Calibri" w:hAnsi="Verdana" w:cs="Times New Roman"/>
                <w:lang w:val="es-ES"/>
              </w:rPr>
              <w:t xml:space="preserve">), aplican las siguientes reglas contenidas en el numeral 3.5.2 “Características de los contratos presentados </w:t>
            </w:r>
            <w:r w:rsidRPr="00D84F99">
              <w:rPr>
                <w:rFonts w:ascii="Verdana" w:eastAsia="Calibri" w:hAnsi="Verdana" w:cs="Times New Roman"/>
                <w:lang w:val="es-ES"/>
              </w:rPr>
              <w:lastRenderedPageBreak/>
              <w:t>para acreditar la experiencia exigida” del documento tipo de licitación de obra pública de infraestructura social:</w:t>
            </w:r>
          </w:p>
          <w:p w14:paraId="4AEF6268" w14:textId="77777777" w:rsidR="0066141F" w:rsidRPr="00D84F99" w:rsidRDefault="0066141F" w:rsidP="00D16AA4">
            <w:pPr>
              <w:spacing w:line="276" w:lineRule="auto"/>
              <w:jc w:val="both"/>
              <w:rPr>
                <w:rFonts w:ascii="Verdana" w:eastAsia="Calibri" w:hAnsi="Verdana" w:cs="Times New Roman"/>
                <w:lang w:val="es-ES"/>
              </w:rPr>
            </w:pPr>
          </w:p>
          <w:p w14:paraId="5C9F1A2E" w14:textId="77777777" w:rsidR="0066141F" w:rsidRPr="007E35D0" w:rsidRDefault="0066141F" w:rsidP="00D16AA4">
            <w:pPr>
              <w:spacing w:after="120"/>
              <w:ind w:left="709" w:right="709"/>
              <w:jc w:val="both"/>
              <w:rPr>
                <w:rFonts w:ascii="Verdana" w:eastAsia="Calibri" w:hAnsi="Verdana" w:cs="Times New Roman"/>
                <w:sz w:val="20"/>
                <w:szCs w:val="20"/>
                <w:lang w:val="es-ES"/>
              </w:rPr>
            </w:pPr>
            <w:r w:rsidRPr="007E35D0">
              <w:rPr>
                <w:rFonts w:ascii="Verdana" w:eastAsia="Calibri" w:hAnsi="Verdana" w:cs="Times New Roman"/>
                <w:sz w:val="20"/>
                <w:szCs w:val="20"/>
                <w:lang w:val="es-ES"/>
              </w:rPr>
              <w:t xml:space="preserve"> “ (…)</w:t>
            </w:r>
          </w:p>
          <w:p w14:paraId="5EBC2DDA" w14:textId="77777777" w:rsidR="0066141F" w:rsidRPr="007E35D0" w:rsidRDefault="0066141F" w:rsidP="00D16AA4">
            <w:pPr>
              <w:spacing w:after="120"/>
              <w:ind w:left="709" w:right="709"/>
              <w:jc w:val="both"/>
              <w:rPr>
                <w:rFonts w:ascii="Verdana" w:eastAsia="Calibri" w:hAnsi="Verdana" w:cs="Times New Roman"/>
                <w:sz w:val="20"/>
                <w:szCs w:val="20"/>
                <w:highlight w:val="yellow"/>
                <w:lang w:val="es-ES"/>
              </w:rPr>
            </w:pPr>
            <w:proofErr w:type="spellStart"/>
            <w:r w:rsidRPr="007E35D0">
              <w:rPr>
                <w:rFonts w:ascii="Verdana" w:eastAsia="Calibri" w:hAnsi="Verdana" w:cs="Times New Roman"/>
                <w:sz w:val="20"/>
                <w:szCs w:val="20"/>
                <w:lang w:val="es-ES"/>
              </w:rPr>
              <w:t>ii</w:t>
            </w:r>
            <w:proofErr w:type="spellEnd"/>
            <w:r w:rsidRPr="007E35D0">
              <w:rPr>
                <w:rFonts w:ascii="Verdana" w:eastAsia="Calibri" w:hAnsi="Verdana" w:cs="Times New Roman"/>
                <w:sz w:val="20"/>
                <w:szCs w:val="20"/>
                <w:lang w:val="es-ES"/>
              </w:rPr>
              <w:t>).</w:t>
            </w:r>
            <w:r w:rsidRPr="007E35D0">
              <w:rPr>
                <w:rFonts w:ascii="Verdana" w:eastAsia="Arial" w:hAnsi="Verdana" w:cs="Arial"/>
                <w:sz w:val="20"/>
                <w:szCs w:val="20"/>
                <w:lang w:val="es-MX"/>
              </w:rPr>
              <w:t xml:space="preserve"> </w:t>
            </w:r>
            <w:r w:rsidRPr="007E35D0">
              <w:rPr>
                <w:rFonts w:ascii="Verdana" w:eastAsia="Arial" w:hAnsi="Verdana" w:cs="Arial"/>
                <w:sz w:val="20"/>
                <w:szCs w:val="20"/>
                <w:highlight w:val="lightGray"/>
                <w:lang w:val="es-MX"/>
              </w:rPr>
              <w:t>para la acreditación de la experiencia exigida en la actividad secundaria, si la Entidad desagrega el valor de las actividades, la comprobación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r w:rsidRPr="007E35D0">
              <w:rPr>
                <w:rFonts w:ascii="Verdana" w:eastAsia="Arial" w:hAnsi="Verdana" w:cs="Arial"/>
                <w:sz w:val="20"/>
                <w:szCs w:val="20"/>
                <w:lang w:val="es-MX"/>
              </w:rPr>
              <w:t xml:space="preserve"> </w:t>
            </w:r>
          </w:p>
          <w:p w14:paraId="7437E78C" w14:textId="77777777" w:rsidR="0066141F" w:rsidRPr="007E35D0" w:rsidRDefault="0066141F" w:rsidP="00D16AA4">
            <w:pPr>
              <w:spacing w:after="120"/>
              <w:ind w:right="709" w:firstLine="708"/>
              <w:jc w:val="both"/>
              <w:rPr>
                <w:rFonts w:ascii="Verdana" w:eastAsia="Calibri" w:hAnsi="Verdana" w:cs="Times New Roman"/>
                <w:sz w:val="20"/>
                <w:szCs w:val="20"/>
              </w:rPr>
            </w:pPr>
            <w:r w:rsidRPr="007E35D0">
              <w:rPr>
                <w:rFonts w:ascii="Verdana" w:eastAsia="Calibri" w:hAnsi="Verdana" w:cs="Times New Roman"/>
                <w:sz w:val="20"/>
                <w:szCs w:val="20"/>
              </w:rPr>
              <w:t>(…)</w:t>
            </w:r>
          </w:p>
          <w:p w14:paraId="1FBAE085" w14:textId="77777777" w:rsidR="0066141F" w:rsidRPr="007E35D0" w:rsidRDefault="0066141F" w:rsidP="00D16AA4">
            <w:pPr>
              <w:spacing w:after="120"/>
              <w:ind w:left="709" w:right="709"/>
              <w:jc w:val="both"/>
              <w:rPr>
                <w:rFonts w:ascii="Verdana" w:eastAsia="Calibri" w:hAnsi="Verdana" w:cs="Times New Roman"/>
                <w:sz w:val="20"/>
                <w:szCs w:val="20"/>
                <w:lang w:val="es-ES"/>
              </w:rPr>
            </w:pPr>
            <w:proofErr w:type="spellStart"/>
            <w:r w:rsidRPr="007E35D0">
              <w:rPr>
                <w:rFonts w:ascii="Verdana" w:eastAsia="Calibri" w:hAnsi="Verdana" w:cs="Times New Roman"/>
                <w:sz w:val="20"/>
                <w:szCs w:val="20"/>
                <w:lang w:val="es-ES"/>
              </w:rPr>
              <w:t>iv</w:t>
            </w:r>
            <w:proofErr w:type="spellEnd"/>
            <w:r w:rsidRPr="007E35D0">
              <w:rPr>
                <w:rFonts w:ascii="Verdana" w:eastAsia="Calibri" w:hAnsi="Verdana" w:cs="Times New Roman"/>
                <w:sz w:val="20"/>
                <w:szCs w:val="20"/>
                <w:lang w:val="es-ES"/>
              </w:rPr>
              <w:t>)</w:t>
            </w:r>
            <w:r w:rsidRPr="007E35D0">
              <w:rPr>
                <w:rFonts w:ascii="Verdana" w:eastAsia="Calibri" w:hAnsi="Verdana" w:cs="Times New Roman"/>
                <w:sz w:val="20"/>
                <w:szCs w:val="20"/>
                <w:lang w:val="es-ES"/>
              </w:rPr>
              <w:tab/>
              <w:t>Si en la actividad secundaria se solicita la experiencia específica y esta contempla más de un requisito, la Entidad escogerá solo la que sea de mayor relevancia para el proyecto a ejecutar.</w:t>
            </w:r>
          </w:p>
          <w:p w14:paraId="5F440F21" w14:textId="77777777" w:rsidR="0066141F" w:rsidRPr="007E35D0" w:rsidRDefault="0066141F" w:rsidP="00D16AA4">
            <w:pPr>
              <w:spacing w:after="120"/>
              <w:ind w:left="709" w:right="709"/>
              <w:jc w:val="both"/>
              <w:rPr>
                <w:rFonts w:ascii="Verdana" w:eastAsia="Calibri" w:hAnsi="Verdana" w:cs="Times New Roman"/>
                <w:sz w:val="20"/>
                <w:szCs w:val="20"/>
                <w:lang w:val="es-ES"/>
              </w:rPr>
            </w:pPr>
            <w:r w:rsidRPr="007E35D0">
              <w:rPr>
                <w:rFonts w:ascii="Verdana" w:eastAsia="Calibri" w:hAnsi="Verdana" w:cs="Times New Roman"/>
                <w:sz w:val="20"/>
                <w:szCs w:val="20"/>
                <w:lang w:val="es-ES"/>
              </w:rPr>
              <w:t>v)</w:t>
            </w:r>
            <w:r w:rsidRPr="007E35D0">
              <w:rPr>
                <w:rFonts w:ascii="Verdana" w:eastAsia="Calibri" w:hAnsi="Verdana" w:cs="Times New Roman"/>
                <w:sz w:val="20"/>
                <w:szCs w:val="20"/>
                <w:lang w:val="es-ES"/>
              </w:rPr>
              <w:tab/>
              <w:t>En los casos en que la Entidad opte por la exigencia de la experiencia específica o general para las actividades distintas a la actividad principal, deberá incluirse la siguiente nota:</w:t>
            </w:r>
          </w:p>
          <w:p w14:paraId="51054366" w14:textId="77777777" w:rsidR="0066141F" w:rsidRPr="007E35D0" w:rsidRDefault="0066141F" w:rsidP="00D16AA4">
            <w:pPr>
              <w:spacing w:after="120"/>
              <w:ind w:left="709" w:right="709"/>
              <w:jc w:val="both"/>
              <w:rPr>
                <w:rFonts w:ascii="Verdana" w:eastAsia="Calibri" w:hAnsi="Verdana" w:cs="Times New Roman"/>
                <w:sz w:val="20"/>
                <w:szCs w:val="20"/>
                <w:lang w:val="es-ES"/>
              </w:rPr>
            </w:pPr>
            <w:r w:rsidRPr="007E35D0">
              <w:rPr>
                <w:rFonts w:ascii="Verdana" w:eastAsia="Calibri" w:hAnsi="Verdana" w:cs="Times New Roman"/>
                <w:sz w:val="20"/>
                <w:szCs w:val="20"/>
                <w:lang w:val="es-ES"/>
              </w:rPr>
              <w:t>“Nota 21: Para el caso de Experiencias combinadas un Proponente podrá acreditar la experiencia en una o más actividades con un contrato o con contratos distintos”.</w:t>
            </w:r>
          </w:p>
          <w:p w14:paraId="51F774CC" w14:textId="77777777" w:rsidR="0066141F" w:rsidRPr="00E676D9" w:rsidRDefault="0066141F" w:rsidP="00D16AA4">
            <w:pPr>
              <w:spacing w:line="276" w:lineRule="auto"/>
              <w:ind w:firstLine="709"/>
              <w:contextualSpacing/>
              <w:jc w:val="both"/>
              <w:rPr>
                <w:rFonts w:ascii="Verdana" w:eastAsia="Calibri" w:hAnsi="Verdana" w:cs="Times New Roman"/>
                <w:lang w:val="es-ES"/>
              </w:rPr>
            </w:pPr>
            <w:r w:rsidRPr="00E676D9">
              <w:rPr>
                <w:rFonts w:ascii="Verdana" w:eastAsia="Times New Roman" w:hAnsi="Verdana" w:cs="Arial"/>
                <w:lang w:eastAsia="es-ES"/>
              </w:rPr>
              <w:t>De acuerdo con los numerales señalados</w:t>
            </w:r>
            <w:r w:rsidRPr="00E676D9">
              <w:rPr>
                <w:rFonts w:ascii="Verdana" w:eastAsia="Times New Roman" w:hAnsi="Verdana" w:cs="Arial"/>
                <w:color w:val="000000"/>
                <w:lang w:eastAsia="es-ES"/>
              </w:rPr>
              <w:t xml:space="preserve">, </w:t>
            </w:r>
            <w:r w:rsidRPr="00E676D9">
              <w:rPr>
                <w:rFonts w:ascii="Verdana" w:eastAsia="Calibri" w:hAnsi="Verdana" w:cs="Times New Roman"/>
                <w:lang w:val="es-ES"/>
              </w:rPr>
              <w:t>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1D48A0A9" w14:textId="77777777" w:rsidR="0066141F" w:rsidRDefault="0066141F" w:rsidP="00D16AA4">
            <w:pPr>
              <w:spacing w:line="276" w:lineRule="auto"/>
              <w:ind w:firstLine="709"/>
              <w:contextualSpacing/>
              <w:jc w:val="both"/>
              <w:rPr>
                <w:rFonts w:ascii="Verdana" w:eastAsia="Calibri" w:hAnsi="Verdana" w:cs="Times New Roman"/>
                <w:lang w:val="es-ES"/>
              </w:rPr>
            </w:pPr>
            <w:r w:rsidRPr="00E676D9">
              <w:rPr>
                <w:rFonts w:ascii="Verdana" w:eastAsia="Calibri" w:hAnsi="Verdana" w:cs="Times New Roman"/>
                <w:lang w:val="es-ES"/>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w:t>
            </w:r>
          </w:p>
          <w:p w14:paraId="0648321D" w14:textId="77777777" w:rsidR="0066141F" w:rsidRPr="00E676D9" w:rsidRDefault="0066141F" w:rsidP="00D16AA4">
            <w:pPr>
              <w:spacing w:line="276" w:lineRule="auto"/>
              <w:ind w:firstLine="709"/>
              <w:contextualSpacing/>
              <w:jc w:val="both"/>
              <w:rPr>
                <w:rFonts w:ascii="Verdana" w:eastAsia="Calibri" w:hAnsi="Verdana" w:cs="Times New Roman"/>
                <w:lang w:val="es-ES"/>
              </w:rPr>
            </w:pPr>
          </w:p>
          <w:p w14:paraId="1AB7374A" w14:textId="77777777" w:rsidR="0066141F" w:rsidRPr="00E676D9" w:rsidRDefault="0066141F" w:rsidP="00D16AA4">
            <w:pPr>
              <w:spacing w:line="276" w:lineRule="auto"/>
              <w:ind w:firstLine="709"/>
              <w:contextualSpacing/>
              <w:jc w:val="both"/>
              <w:rPr>
                <w:rFonts w:ascii="Verdana" w:eastAsia="Calibri" w:hAnsi="Verdana" w:cs="Times New Roman"/>
                <w:lang w:val="es-ES"/>
              </w:rPr>
            </w:pPr>
            <w:r w:rsidRPr="00E676D9">
              <w:rPr>
                <w:rFonts w:ascii="Verdana" w:eastAsia="Calibri" w:hAnsi="Verdana" w:cs="Times New Roman"/>
              </w:rPr>
              <w:t xml:space="preserve">Si en la actividad secundaria se solicita la experiencia específica, y esta contempla más de un requisito, </w:t>
            </w:r>
            <w:r w:rsidRPr="00E676D9">
              <w:rPr>
                <w:rFonts w:ascii="Verdana" w:eastAsia="Calibri" w:hAnsi="Verdana" w:cs="Times New Roman"/>
                <w:lang w:val="es-ES"/>
              </w:rPr>
              <w:t xml:space="preserve">la entidad solo podrá fijar un requisito de experiencia específica, que en este caso será el de mayor relevancia para el proyecto. De acuerdo con esto, será la entidad la que debe definir cuál es el requisito de mayor relevancia para el proyecto a desarrollar, por lo que solo </w:t>
            </w:r>
            <w:r w:rsidRPr="00E676D9">
              <w:rPr>
                <w:rFonts w:ascii="Verdana" w:eastAsia="Calibri" w:hAnsi="Verdana" w:cs="Times New Roman"/>
                <w:lang w:val="es-ES"/>
              </w:rPr>
              <w:lastRenderedPageBreak/>
              <w:t>podrá incluir un requisito de experiencia específica en relación con la actividad secundaria.</w:t>
            </w:r>
          </w:p>
          <w:p w14:paraId="01D0C091" w14:textId="77777777" w:rsidR="0066141F" w:rsidRDefault="0066141F" w:rsidP="00D16AA4">
            <w:pPr>
              <w:spacing w:line="276" w:lineRule="auto"/>
              <w:ind w:firstLine="709"/>
              <w:contextualSpacing/>
              <w:jc w:val="both"/>
              <w:rPr>
                <w:rFonts w:ascii="Verdana" w:eastAsia="Calibri" w:hAnsi="Verdana" w:cs="Times New Roman"/>
              </w:rPr>
            </w:pPr>
            <w:r w:rsidRPr="00E676D9">
              <w:rPr>
                <w:rFonts w:ascii="Verdana" w:eastAsia="Calibri" w:hAnsi="Verdana" w:cs="Times New Roman"/>
              </w:rPr>
              <w:t xml:space="preserve">En el evento que la entidad opte por exigir experiencia específica para las actividades distintas a la actividad principal, deberá incluir la nota que se señala en el numeral v). </w:t>
            </w:r>
          </w:p>
          <w:p w14:paraId="4078345F" w14:textId="77777777" w:rsidR="0066141F" w:rsidRDefault="0066141F" w:rsidP="00D16AA4">
            <w:pPr>
              <w:spacing w:line="276" w:lineRule="auto"/>
              <w:contextualSpacing/>
              <w:jc w:val="both"/>
              <w:rPr>
                <w:rFonts w:ascii="Verdana" w:eastAsia="Calibri" w:hAnsi="Verdana" w:cs="Times New Roman"/>
              </w:rPr>
            </w:pPr>
          </w:p>
          <w:p w14:paraId="38198662" w14:textId="77777777" w:rsidR="00911898" w:rsidRPr="00911898" w:rsidRDefault="0066141F" w:rsidP="00911898">
            <w:pPr>
              <w:spacing w:after="120" w:line="276" w:lineRule="auto"/>
              <w:ind w:firstLine="709"/>
              <w:jc w:val="both"/>
              <w:rPr>
                <w:rFonts w:ascii="Verdana" w:eastAsia="Calibri" w:hAnsi="Verdana"/>
              </w:rPr>
            </w:pPr>
            <w:r>
              <w:rPr>
                <w:rFonts w:ascii="Verdana" w:eastAsia="Calibri" w:hAnsi="Verdana" w:cs="Times New Roman"/>
              </w:rPr>
              <w:t xml:space="preserve">V). </w:t>
            </w:r>
            <w:r w:rsidR="00911898" w:rsidRPr="00911898">
              <w:rPr>
                <w:rFonts w:ascii="Verdana" w:eastAsia="Calibri" w:hAnsi="Verdana"/>
              </w:rPr>
              <w:t xml:space="preserve">Los documentos tipo señalados establecen que los contratos aportados para acreditar la experiencia deben corresponder a las actividades de experiencia general y específica definidas por la entidad conforme con la Matriz 1 – Experiencia. Asimismo, señalan que, para fijar las condiciones que deben cumplir los contratos aportados en términos de actividades ejecutadas, las entidades deberán emplear la Matriz 1 – Experiencia, documento que estandariza las condiciones de experiencia general y/o específica que deben requerir las entidades estatales de acuerdo con: i) el tipo de infraestructura social en la que se realizarán las labores de interventoría; </w:t>
            </w:r>
            <w:proofErr w:type="spellStart"/>
            <w:r w:rsidR="00911898" w:rsidRPr="00911898">
              <w:rPr>
                <w:rFonts w:ascii="Verdana" w:eastAsia="Calibri" w:hAnsi="Verdana"/>
              </w:rPr>
              <w:t>ii</w:t>
            </w:r>
            <w:proofErr w:type="spellEnd"/>
            <w:r w:rsidR="00911898" w:rsidRPr="00911898">
              <w:rPr>
                <w:rFonts w:ascii="Verdana" w:eastAsia="Calibri" w:hAnsi="Verdana"/>
              </w:rPr>
              <w:t xml:space="preserve">) la actividad a contratar, y </w:t>
            </w:r>
            <w:proofErr w:type="spellStart"/>
            <w:r w:rsidR="00911898" w:rsidRPr="00911898">
              <w:rPr>
                <w:rFonts w:ascii="Verdana" w:eastAsia="Calibri" w:hAnsi="Verdana"/>
              </w:rPr>
              <w:t>iii</w:t>
            </w:r>
            <w:proofErr w:type="spellEnd"/>
            <w:r w:rsidR="00911898" w:rsidRPr="00911898">
              <w:rPr>
                <w:rFonts w:ascii="Verdana" w:eastAsia="Calibri" w:hAnsi="Verdana"/>
              </w:rPr>
              <w:t>) la cuantía del proceso de contratación.</w:t>
            </w:r>
          </w:p>
          <w:p w14:paraId="46451F77" w14:textId="77777777" w:rsidR="00911898" w:rsidRPr="00911898" w:rsidRDefault="00911898" w:rsidP="00911898">
            <w:pPr>
              <w:spacing w:after="120" w:line="276" w:lineRule="auto"/>
              <w:ind w:firstLine="709"/>
              <w:jc w:val="both"/>
              <w:rPr>
                <w:rFonts w:ascii="Verdana" w:eastAsia="Calibri" w:hAnsi="Verdana" w:cs="Times New Roman"/>
              </w:rPr>
            </w:pPr>
            <w:r w:rsidRPr="00911898">
              <w:rPr>
                <w:rFonts w:ascii="Verdana" w:eastAsia="Calibri" w:hAnsi="Verdana" w:cs="Times New Roman"/>
              </w:rPr>
              <w:t>De igual manera, el literal A del numeral 10.1.1 del Documento Base dispone que la entidad debe incluir, sin modificar, la actividad o actividades válidas para acreditar la experiencia general o específica señaladas en la Matriz 1 – Experiencia. De esta forma, la experiencia evaluable es únicamente la relacionada con las actividades señaladas en dicho literal, de acuerdo con las previstas en la matriz para acreditar la experiencia general y específica.</w:t>
            </w:r>
          </w:p>
          <w:p w14:paraId="64D4E51B" w14:textId="77777777" w:rsidR="00911898" w:rsidRPr="00911898" w:rsidRDefault="00911898" w:rsidP="00911898">
            <w:pPr>
              <w:spacing w:after="120" w:line="276" w:lineRule="auto"/>
              <w:ind w:firstLine="709"/>
              <w:jc w:val="both"/>
              <w:rPr>
                <w:rFonts w:ascii="Verdana" w:eastAsia="Calibri" w:hAnsi="Verdana" w:cs="Times New Roman"/>
              </w:rPr>
            </w:pPr>
            <w:r w:rsidRPr="00911898">
              <w:rPr>
                <w:rFonts w:ascii="Verdana" w:eastAsia="Calibri" w:hAnsi="Verdana" w:cs="Times New Roman"/>
              </w:rPr>
              <w:t>Lo anterior significa que, para acreditar la experiencia señalada en la Matriz 1 – Experiencia, los contratos mediante los cuales se adquirió deben cumplir las características del numeral 3.5.1 del Documento Base, particularmente lo dispuesto en el literal A. Es decir, deben referirse a la actividad que la entidad definió como válida para acreditar la experiencia en el proceso de contratación, la cual, como indica el mismo literal, debe diligenciarse exclusivamente de acuerdo con lo señalado en la Matriz 1 – Experiencia, que es inalterable.</w:t>
            </w:r>
          </w:p>
          <w:p w14:paraId="56662495" w14:textId="77777777" w:rsidR="00911898" w:rsidRPr="00911898" w:rsidRDefault="00911898" w:rsidP="00911898">
            <w:pPr>
              <w:spacing w:after="120" w:line="276" w:lineRule="auto"/>
              <w:ind w:firstLine="709"/>
              <w:jc w:val="both"/>
              <w:rPr>
                <w:rFonts w:ascii="Verdana" w:eastAsia="Calibri" w:hAnsi="Verdana" w:cs="Times New Roman"/>
              </w:rPr>
            </w:pPr>
            <w:r w:rsidRPr="00911898">
              <w:rPr>
                <w:rFonts w:ascii="Verdana" w:eastAsia="Calibri" w:hAnsi="Verdana" w:cs="Times New Roman"/>
              </w:rPr>
              <w:t>Ahora bien, esto no significa que se desconozca la función del Clasificador de Bienes y Servicios ni del Registro Único de Proponentes (RUP). Por el contrario, los documentos tipo exigen que la experiencia acreditada también guarde correspondencia con la clasificación UNSPSC.</w:t>
            </w:r>
          </w:p>
          <w:p w14:paraId="279657EC" w14:textId="77777777" w:rsidR="00911898" w:rsidRPr="00911898" w:rsidRDefault="00911898" w:rsidP="00911898">
            <w:pPr>
              <w:spacing w:after="120" w:line="276" w:lineRule="auto"/>
              <w:ind w:firstLine="709"/>
              <w:jc w:val="both"/>
              <w:rPr>
                <w:rFonts w:ascii="Verdana" w:eastAsia="Calibri" w:hAnsi="Verdana" w:cs="Times New Roman"/>
              </w:rPr>
            </w:pPr>
            <w:r w:rsidRPr="00911898">
              <w:rPr>
                <w:rFonts w:ascii="Verdana" w:eastAsia="Calibri" w:hAnsi="Verdana" w:cs="Times New Roman"/>
              </w:rPr>
              <w:lastRenderedPageBreak/>
              <w:t>En este sentido, el numeral 10.1.2, «Consideraciones para la validez de la experiencia del proponente», del Documento Base establece aspectos que la entidad debe tener en cuenta para analizar la experiencia acreditada y determinar si es válida para satisfacer el requisito exigido. Para efectos de esta solicitud, resultan relevantes los literales A y B de dicho numeral.</w:t>
            </w:r>
          </w:p>
          <w:p w14:paraId="4DB7D2DF" w14:textId="77777777" w:rsidR="00911898" w:rsidRPr="00911898" w:rsidRDefault="00911898" w:rsidP="00911898">
            <w:pPr>
              <w:spacing w:after="120" w:line="276" w:lineRule="auto"/>
              <w:ind w:firstLine="709"/>
              <w:jc w:val="both"/>
              <w:rPr>
                <w:rFonts w:ascii="Verdana" w:eastAsia="Calibri" w:hAnsi="Verdana" w:cs="Times New Roman"/>
              </w:rPr>
            </w:pPr>
            <w:r w:rsidRPr="00911898">
              <w:rPr>
                <w:rFonts w:ascii="Verdana" w:eastAsia="Calibri" w:hAnsi="Verdana" w:cs="Times New Roman"/>
              </w:rPr>
              <w:t>El literal A señala que «En el Clasificador de Bienes y Servicios el segmento correspondiente para la clasificación de la experiencia es el 80 y/o 81». Por su parte, el literal B indica que «La Entidad únicamente podrá exigir para la verificación de la experiencia los contratos celebrados por el interesado, identificados con el Clasificador de Bienes y Servicios hasta el tercer nivel».</w:t>
            </w:r>
          </w:p>
          <w:p w14:paraId="2021A28F" w14:textId="77777777" w:rsidR="00911898" w:rsidRPr="00911898" w:rsidRDefault="00911898" w:rsidP="00911898">
            <w:pPr>
              <w:spacing w:after="120" w:line="276" w:lineRule="auto"/>
              <w:ind w:firstLine="709"/>
              <w:jc w:val="both"/>
              <w:rPr>
                <w:rFonts w:ascii="Verdana" w:eastAsia="Calibri" w:hAnsi="Verdana" w:cs="Times New Roman"/>
              </w:rPr>
            </w:pPr>
            <w:r w:rsidRPr="00911898">
              <w:rPr>
                <w:rFonts w:ascii="Verdana" w:eastAsia="Calibri" w:hAnsi="Verdana" w:cs="Times New Roman"/>
              </w:rPr>
              <w:t>Asimismo, el numeral 10.1.3 dispone que los contratos aportados deben estar clasificados en alguno de los códigos allí establecidos y ordena a la entidad exigir contratos identificados con el Clasificador de Bienes y Servicios hasta el tercer nivel, que sean concordantes con el objeto principal del contrato a ejecutar.</w:t>
            </w:r>
          </w:p>
          <w:p w14:paraId="456610DB" w14:textId="77777777" w:rsidR="00911898" w:rsidRPr="00911898" w:rsidRDefault="00911898" w:rsidP="00911898">
            <w:pPr>
              <w:spacing w:after="120" w:line="276" w:lineRule="auto"/>
              <w:ind w:firstLine="709"/>
              <w:jc w:val="both"/>
              <w:rPr>
                <w:rFonts w:ascii="Verdana" w:eastAsia="Calibri" w:hAnsi="Verdana" w:cs="Times New Roman"/>
              </w:rPr>
            </w:pPr>
            <w:r w:rsidRPr="00911898">
              <w:rPr>
                <w:rFonts w:ascii="Verdana" w:eastAsia="Calibri" w:hAnsi="Verdana" w:cs="Times New Roman"/>
              </w:rPr>
              <w:t>En consecuencia, los documentos tipo para contratar la interventoría de obra pública de infraestructura social – versión 2 no prevén una acreditación de la experiencia basada exclusivamente en las actividades descritas en la Matriz 1 – Experiencia, ni una validación sustentada únicamente en los códigos UNSPSC contenidos en el RUP. La acreditación del requisito habilitante exige la concurrencia de ambos elementos. Por una parte, que los contratos correspondan a las actividades de experiencia general y específica definidas en la Matriz 1 – Experiencia y, por otra, que se encuentren clasificados en los códigos UNSPSC exigidos por la entidad, de conformidad con las reglas establecidas en el Documento Base y la normativa que regula el Registro Único de Proponentes (RUP).</w:t>
            </w:r>
          </w:p>
          <w:p w14:paraId="77A17147" w14:textId="77777777" w:rsidR="00911898" w:rsidRPr="00911898" w:rsidRDefault="00911898" w:rsidP="00911898">
            <w:pPr>
              <w:spacing w:after="120" w:line="276" w:lineRule="auto"/>
              <w:ind w:firstLine="709"/>
              <w:jc w:val="both"/>
              <w:rPr>
                <w:rFonts w:ascii="Verdana" w:eastAsia="Calibri" w:hAnsi="Verdana" w:cs="Times New Roman"/>
              </w:rPr>
            </w:pPr>
            <w:r w:rsidRPr="00911898">
              <w:rPr>
                <w:rFonts w:ascii="Verdana" w:eastAsia="Calibri" w:hAnsi="Verdana" w:cs="Times New Roman"/>
              </w:rPr>
              <w:t>Sin perjuicio de lo anterior, cuando se invoque la posibilidad de exigir experiencia adicional al amparo del artículo 4 de la Resolución 953 de 2025, será necesario analizar el alcance de esta disposición en concordancia con las reglas del Documento Tipo. En particular, deberá establecerse si la experiencia adicional puede comprender códigos pertenecientes a segmentos distintos de los segmentos 80 y/o 81, cuáles son los presupuestos que habilitan esa exigencia y de qué manera debe justificarse su relación directa con la obra, el bien o el servicio que fundamenta la excepción.</w:t>
            </w:r>
          </w:p>
          <w:p w14:paraId="3BE61EA1" w14:textId="121D8FE4" w:rsidR="007A68C2" w:rsidRPr="00911898" w:rsidRDefault="00911898" w:rsidP="00911898">
            <w:pPr>
              <w:spacing w:after="120" w:line="276" w:lineRule="auto"/>
              <w:ind w:firstLine="709"/>
              <w:jc w:val="both"/>
              <w:rPr>
                <w:rFonts w:ascii="Verdana" w:eastAsia="Calibri" w:hAnsi="Verdana" w:cs="Times New Roman"/>
              </w:rPr>
            </w:pPr>
            <w:r w:rsidRPr="00911898">
              <w:rPr>
                <w:rFonts w:ascii="Verdana" w:eastAsia="Calibri" w:hAnsi="Verdana" w:cs="Times New Roman"/>
              </w:rPr>
              <w:lastRenderedPageBreak/>
              <w:t>Lo anterior, teniendo en cuenta que la habilitación excepcional prevista en el artículo 4 de la Resolución 953 de 2025 no puede interpretarse aisladamente de las reglas del Documento Base sobre la validez de la experiencia. En consecuencia, la posibilidad de exigir experiencia adicional no autoriza, por sí sola, a desconocer la regla general según la cual los segmentos correspondientes a la clasificación de la experiencia en los procesos de interventoría son el 80 y/o 81, ni a trasladar automáticamente al requisito de experiencia del interventor los códigos correspondientes al bien, obra o servicio material objeto de la interventoría. Por tanto, deberá determinarse si existe fundamento normativo para exigir códigos de otros segmentos y si estos guardan relación directa con el servicio de interventoría y con la actividad adicional que sustenta la excepción.</w:t>
            </w:r>
          </w:p>
          <w:p w14:paraId="6BA88769" w14:textId="77777777" w:rsidR="0066141F" w:rsidRPr="001B698C" w:rsidRDefault="0066141F" w:rsidP="00D16AA4">
            <w:pPr>
              <w:snapToGrid w:val="0"/>
              <w:spacing w:after="120" w:line="276" w:lineRule="auto"/>
              <w:jc w:val="both"/>
              <w:rPr>
                <w:rFonts w:ascii="Verdana" w:eastAsia="Calibri" w:hAnsi="Verdana" w:cs="Arial"/>
                <w:color w:val="000000"/>
                <w:lang w:val="es-ES"/>
              </w:rPr>
            </w:pPr>
            <w:r>
              <w:rPr>
                <w:rFonts w:ascii="Verdana" w:eastAsia="Calibri" w:hAnsi="Verdana" w:cs="Arial"/>
                <w:color w:val="000000"/>
                <w:lang w:val="es-ES"/>
              </w:rPr>
              <w:t>VI). E</w:t>
            </w:r>
            <w:r w:rsidRPr="001B698C">
              <w:rPr>
                <w:rFonts w:ascii="Verdana" w:eastAsia="Calibri" w:hAnsi="Verdana" w:cs="Arial"/>
                <w:color w:val="000000"/>
                <w:lang w:val="es-ES"/>
              </w:rPr>
              <w:t>n caso de presentarse discrepancias entre las disposiciones de los Documentos Tipo y las estipulaciones incorporadas por la entidad en los documentos del proceso de contratación, prevalecerá lo establecido en los primeros, de conformidad con las reglas de aplicación de los Documentos Tipo. En consecuencia, las entidades estatales deben sujetar sus actuaciones a las condiciones y requisitos estandarizados por la Agencia Nacional de Contratación Pública – Colombia Compra Eficiente, sin introducir modificaciones que no estén expresamente autorizadas.</w:t>
            </w:r>
          </w:p>
          <w:p w14:paraId="3B5FA6DE" w14:textId="77777777" w:rsidR="0066141F" w:rsidRPr="00A92DB5" w:rsidRDefault="0066141F" w:rsidP="00D16AA4">
            <w:pPr>
              <w:snapToGrid w:val="0"/>
              <w:spacing w:after="120" w:line="276" w:lineRule="auto"/>
              <w:ind w:firstLine="709"/>
              <w:jc w:val="both"/>
              <w:rPr>
                <w:rFonts w:ascii="Verdana" w:eastAsia="Calibri" w:hAnsi="Verdana" w:cs="Arial"/>
                <w:color w:val="000000"/>
                <w:lang w:val="es-ES"/>
              </w:rPr>
            </w:pPr>
            <w:r w:rsidRPr="001B698C">
              <w:rPr>
                <w:rFonts w:ascii="Verdana" w:eastAsia="Calibri" w:hAnsi="Verdana" w:cs="Arial"/>
                <w:color w:val="000000"/>
                <w:lang w:val="es-ES"/>
              </w:rPr>
              <w:t xml:space="preserve">Finalmente, se precisa que los ciudadanos y los interesados o participantes en los procesos de contratación estatal pueden poner en conocimiento de las autoridades de control o judiciales competentes los hechos que consideren constitutivos de presuntas irregularidades en la aplicación de los Documentos Tipo. Para tal efecto, podrán acudir, según corresponda, a la Procuraduría General de la Nación, la Contraloría General de la República o la </w:t>
            </w:r>
            <w:proofErr w:type="gramStart"/>
            <w:r w:rsidRPr="001B698C">
              <w:rPr>
                <w:rFonts w:ascii="Verdana" w:eastAsia="Calibri" w:hAnsi="Verdana" w:cs="Arial"/>
                <w:color w:val="000000"/>
                <w:lang w:val="es-ES"/>
              </w:rPr>
              <w:t>Fiscalía General</w:t>
            </w:r>
            <w:proofErr w:type="gramEnd"/>
            <w:r w:rsidRPr="001B698C">
              <w:rPr>
                <w:rFonts w:ascii="Verdana" w:eastAsia="Calibri" w:hAnsi="Verdana" w:cs="Arial"/>
                <w:color w:val="000000"/>
                <w:lang w:val="es-ES"/>
              </w:rPr>
              <w:t xml:space="preserve"> de la Nación, a fin de que, en el marco de sus competencias, evalúen los hechos denunciados y determinen la procedencia de adelantar las actuaciones e investigaciones correspondientes. Lo anterior, sin perjuicio de las competencias de las demás autoridades que deban intervenir de acuerdo con la naturaleza de los hechos.</w:t>
            </w:r>
          </w:p>
          <w:p w14:paraId="5F915B1A" w14:textId="77777777" w:rsidR="0066141F" w:rsidRPr="00E676D9" w:rsidRDefault="0066141F" w:rsidP="00D16AA4">
            <w:pPr>
              <w:spacing w:line="276" w:lineRule="auto"/>
              <w:contextualSpacing/>
              <w:jc w:val="both"/>
              <w:rPr>
                <w:rFonts w:ascii="Verdana" w:eastAsia="Calibri" w:hAnsi="Verdana" w:cs="Times New Roman"/>
                <w:lang w:val="es-ES"/>
              </w:rPr>
            </w:pPr>
            <w:r>
              <w:rPr>
                <w:rFonts w:ascii="Verdana" w:eastAsia="Calibri" w:hAnsi="Verdana" w:cs="Times New Roman"/>
                <w:lang w:val="es-ES"/>
              </w:rPr>
              <w:t xml:space="preserve">VII). </w:t>
            </w:r>
            <w:r w:rsidRPr="00E676D9">
              <w:rPr>
                <w:rFonts w:ascii="Verdana" w:eastAsia="Calibri" w:hAnsi="Verdana" w:cs="Times New Roman"/>
                <w:lang w:val="es-ES"/>
              </w:rPr>
              <w:t xml:space="preserve">Finalmente, debe advertirse que, el análisis requerido para resolver problemas específicos en torno a la contratación de las entidades estatales debe ser realizado por quienes tengan interés en ello. De esta manera, las afirmaciones </w:t>
            </w:r>
            <w:r w:rsidRPr="00E676D9">
              <w:rPr>
                <w:rFonts w:ascii="Verdana" w:eastAsia="Times New Roman" w:hAnsi="Verdana" w:cs="Arial"/>
                <w:lang w:eastAsia="es-ES"/>
              </w:rPr>
              <w:t xml:space="preserve">aquí realizadas no pueden ser interpretadas como juicios de valor </w:t>
            </w:r>
            <w:r w:rsidRPr="00E676D9">
              <w:rPr>
                <w:rFonts w:ascii="Verdana" w:eastAsia="Times New Roman" w:hAnsi="Verdana" w:cs="Arial"/>
                <w:lang w:eastAsia="es-ES"/>
              </w:rPr>
              <w:lastRenderedPageBreak/>
              <w:t>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660E715" w14:textId="77777777" w:rsidR="0066141F" w:rsidRDefault="0066141F" w:rsidP="00D16AA4">
            <w:pPr>
              <w:ind w:firstLine="708"/>
              <w:jc w:val="both"/>
              <w:rPr>
                <w:rFonts w:ascii="Verdana" w:eastAsia="Times New Roman" w:hAnsi="Verdana" w:cs="Arial"/>
                <w:lang w:eastAsia="es-ES"/>
              </w:rPr>
            </w:pPr>
            <w:r w:rsidRPr="00E676D9">
              <w:rPr>
                <w:rFonts w:ascii="Verdana" w:eastAsia="Times New Roman"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E8E0D63" w14:textId="77777777" w:rsidR="0066141F" w:rsidRPr="000D22AB" w:rsidRDefault="0066141F" w:rsidP="00D16AA4">
            <w:pPr>
              <w:ind w:firstLine="708"/>
              <w:jc w:val="both"/>
            </w:pPr>
          </w:p>
        </w:tc>
      </w:tr>
    </w:tbl>
    <w:p w14:paraId="2D10FE25" w14:textId="77777777" w:rsidR="0066141F" w:rsidRPr="00C14F81" w:rsidRDefault="0066141F" w:rsidP="0066141F">
      <w:pPr>
        <w:tabs>
          <w:tab w:val="left" w:pos="142"/>
          <w:tab w:val="left" w:pos="284"/>
        </w:tabs>
        <w:spacing w:before="240" w:after="0" w:line="276" w:lineRule="auto"/>
        <w:ind w:left="142" w:hanging="142"/>
        <w:jc w:val="both"/>
        <w:rPr>
          <w:rFonts w:ascii="Verdana" w:eastAsia="Century Gothic" w:hAnsi="Verdana" w:cs="Century Gothic"/>
          <w:b/>
          <w:bCs/>
          <w:color w:val="6699FF"/>
          <w:lang w:val="es-ES"/>
        </w:rPr>
      </w:pPr>
    </w:p>
    <w:p w14:paraId="7FF28E6E" w14:textId="77777777" w:rsidR="0066141F" w:rsidRPr="0028088A" w:rsidRDefault="0066141F" w:rsidP="0066141F">
      <w:pPr>
        <w:numPr>
          <w:ilvl w:val="0"/>
          <w:numId w:val="16"/>
        </w:numPr>
        <w:tabs>
          <w:tab w:val="left" w:pos="142"/>
          <w:tab w:val="left" w:pos="284"/>
        </w:tabs>
        <w:spacing w:before="240" w:after="0" w:line="276" w:lineRule="auto"/>
        <w:contextualSpacing/>
        <w:jc w:val="both"/>
        <w:rPr>
          <w:rFonts w:ascii="Verdana" w:eastAsia="Calibri" w:hAnsi="Verdana" w:cs="Arial"/>
          <w:lang w:val="es-ES" w:eastAsia="es-MX"/>
        </w:rPr>
      </w:pPr>
      <w:r w:rsidRPr="0028088A">
        <w:rPr>
          <w:rFonts w:ascii="Verdana" w:eastAsia="Century Gothic" w:hAnsi="Verdana" w:cs="Century Gothic"/>
          <w:b/>
          <w:bCs/>
          <w:lang w:val="es-ES"/>
        </w:rPr>
        <w:t>Razones de la respuesta:</w:t>
      </w:r>
    </w:p>
    <w:p w14:paraId="174F0C9F" w14:textId="77777777" w:rsidR="0066141F" w:rsidRPr="0028088A" w:rsidRDefault="0066141F" w:rsidP="0066141F">
      <w:pPr>
        <w:tabs>
          <w:tab w:val="left" w:pos="142"/>
          <w:tab w:val="left" w:pos="284"/>
        </w:tabs>
        <w:spacing w:after="0" w:line="276" w:lineRule="auto"/>
        <w:contextualSpacing/>
        <w:jc w:val="both"/>
        <w:rPr>
          <w:rFonts w:ascii="Verdana" w:eastAsia="Century Gothic" w:hAnsi="Verdana" w:cs="Century Gothic"/>
          <w:b/>
          <w:bCs/>
          <w:lang w:val="es-ES"/>
        </w:rPr>
      </w:pPr>
    </w:p>
    <w:p w14:paraId="4EA3F093" w14:textId="77777777" w:rsidR="0066141F" w:rsidRDefault="0066141F" w:rsidP="0066141F">
      <w:pPr>
        <w:tabs>
          <w:tab w:val="left" w:pos="142"/>
          <w:tab w:val="left" w:pos="284"/>
        </w:tabs>
        <w:spacing w:after="0" w:line="276" w:lineRule="auto"/>
        <w:contextualSpacing/>
        <w:jc w:val="both"/>
        <w:rPr>
          <w:rFonts w:ascii="Verdana" w:eastAsia="Calibri" w:hAnsi="Verdana" w:cs="Arial"/>
          <w:lang w:val="es-ES" w:eastAsia="es-MX"/>
        </w:rPr>
      </w:pPr>
      <w:r w:rsidRPr="0028088A">
        <w:rPr>
          <w:rFonts w:ascii="Verdana" w:eastAsia="Calibri" w:hAnsi="Verdana" w:cs="Arial"/>
          <w:lang w:val="es-ES" w:eastAsia="es-MX"/>
        </w:rPr>
        <w:t xml:space="preserve">Lo anterior se sustenta en las siguientes consideraciones: </w:t>
      </w:r>
    </w:p>
    <w:p w14:paraId="025115D1" w14:textId="77777777" w:rsidR="0066141F" w:rsidRDefault="0066141F" w:rsidP="0066141F">
      <w:pPr>
        <w:tabs>
          <w:tab w:val="left" w:pos="142"/>
          <w:tab w:val="left" w:pos="284"/>
        </w:tabs>
        <w:spacing w:after="0" w:line="276" w:lineRule="auto"/>
        <w:contextualSpacing/>
        <w:jc w:val="both"/>
        <w:rPr>
          <w:rFonts w:ascii="Verdana" w:eastAsia="Calibri" w:hAnsi="Verdana" w:cs="Arial"/>
          <w:lang w:val="es-ES" w:eastAsia="es-MX"/>
        </w:rPr>
      </w:pPr>
    </w:p>
    <w:p w14:paraId="7BBEA14E" w14:textId="77777777" w:rsidR="0066141F" w:rsidRPr="00243291" w:rsidRDefault="0066141F" w:rsidP="0066141F">
      <w:pPr>
        <w:spacing w:after="120" w:line="276" w:lineRule="auto"/>
        <w:jc w:val="both"/>
        <w:rPr>
          <w:rFonts w:ascii="Verdana" w:eastAsia="Aptos" w:hAnsi="Verdana" w:cs="Arial"/>
          <w:lang w:eastAsia="es-MX"/>
        </w:rPr>
      </w:pPr>
      <w:r w:rsidRPr="00243291">
        <w:rPr>
          <w:rFonts w:ascii="Verdana" w:eastAsia="Aptos" w:hAnsi="Verdana" w:cs="Arial"/>
          <w:lang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B3F17E3" w14:textId="77777777" w:rsidR="0066141F" w:rsidRPr="00243291" w:rsidRDefault="0066141F" w:rsidP="0066141F">
      <w:pPr>
        <w:spacing w:after="120" w:line="276" w:lineRule="auto"/>
        <w:ind w:firstLine="708"/>
        <w:jc w:val="both"/>
        <w:rPr>
          <w:rFonts w:ascii="Verdana" w:eastAsia="Aptos" w:hAnsi="Verdana" w:cs="Arial"/>
          <w:lang w:eastAsia="es-MX"/>
        </w:rPr>
      </w:pPr>
      <w:r w:rsidRPr="00243291">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E843543" w14:textId="77777777" w:rsidR="0066141F" w:rsidRPr="00243291" w:rsidRDefault="0066141F" w:rsidP="0066141F">
      <w:pPr>
        <w:spacing w:after="120" w:line="276" w:lineRule="auto"/>
        <w:ind w:firstLine="708"/>
        <w:jc w:val="both"/>
        <w:rPr>
          <w:rFonts w:ascii="Verdana" w:eastAsia="Times New Roman" w:hAnsi="Verdana" w:cs="Times New Roman"/>
          <w:color w:val="000000"/>
          <w:lang w:eastAsia="es-CO"/>
        </w:rPr>
      </w:pPr>
      <w:r w:rsidRPr="00243291">
        <w:rPr>
          <w:rFonts w:ascii="Verdana" w:eastAsia="Aptos" w:hAnsi="Verdana" w:cs="Arial"/>
          <w:lang w:eastAsia="es-MX"/>
        </w:rPr>
        <w:lastRenderedPageBreak/>
        <w:t xml:space="preserve">En el sector social, </w:t>
      </w:r>
      <w:r w:rsidRPr="00243291">
        <w:rPr>
          <w:rFonts w:ascii="Verdana" w:eastAsia="Calibri" w:hAnsi="Verdana" w:cs="Arial"/>
          <w:lang w:val="es-MX" w:eastAsia="es-MX"/>
        </w:rPr>
        <w:t xml:space="preserve">la Agencia Nacional de Contratación Pública – Colombia Compra </w:t>
      </w:r>
      <w:r w:rsidRPr="00243291">
        <w:rPr>
          <w:rFonts w:ascii="Verdana" w:eastAsia="Calibri" w:hAnsi="Verdana" w:cs="Arial"/>
          <w:lang w:eastAsia="es-MX"/>
        </w:rPr>
        <w:t xml:space="preserve">Eficiente </w:t>
      </w:r>
      <w:r w:rsidRPr="00243291">
        <w:rPr>
          <w:rFonts w:ascii="Verdana" w:eastAsia="Times New Roman" w:hAnsi="Verdana" w:cs="Times New Roman"/>
          <w:color w:val="000000"/>
          <w:lang w:eastAsia="es-CO"/>
        </w:rPr>
        <w:t>en el segundo semestre del año 2025 adoptó las siguientes Resoluciones para contratar obra pública y concurso de méritos:</w:t>
      </w:r>
    </w:p>
    <w:p w14:paraId="50FBFDFE" w14:textId="77777777" w:rsidR="0066141F" w:rsidRPr="00243291" w:rsidRDefault="0066141F" w:rsidP="0066141F">
      <w:pPr>
        <w:spacing w:after="120" w:line="276" w:lineRule="auto"/>
        <w:ind w:firstLine="708"/>
        <w:jc w:val="both"/>
        <w:rPr>
          <w:rFonts w:ascii="Verdana" w:eastAsia="Times New Roman" w:hAnsi="Verdana" w:cs="Times New Roman"/>
          <w:color w:val="000000"/>
          <w:lang w:eastAsia="es-CO"/>
        </w:rPr>
      </w:pPr>
      <w:r w:rsidRPr="00243291">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6E4BCB05" w14:textId="77777777" w:rsidR="0066141F" w:rsidRPr="00243291" w:rsidRDefault="0066141F" w:rsidP="0066141F">
      <w:pPr>
        <w:spacing w:after="120" w:line="276" w:lineRule="auto"/>
        <w:ind w:firstLine="708"/>
        <w:jc w:val="both"/>
        <w:rPr>
          <w:rFonts w:ascii="Verdana" w:eastAsia="Times New Roman" w:hAnsi="Verdana" w:cs="Times New Roman"/>
          <w:color w:val="000000"/>
          <w:lang w:eastAsia="es-CO"/>
        </w:rPr>
      </w:pPr>
      <w:r w:rsidRPr="00243291">
        <w:rPr>
          <w:rFonts w:ascii="Verdana" w:eastAsia="Times New Roman" w:hAnsi="Verdana" w:cs="Times New Roman"/>
          <w:color w:val="000000"/>
          <w:lang w:eastAsia="es-CO"/>
        </w:rPr>
        <w:t xml:space="preserve"> </w:t>
      </w:r>
      <w:proofErr w:type="spellStart"/>
      <w:r w:rsidRPr="00243291">
        <w:rPr>
          <w:rFonts w:ascii="Verdana" w:eastAsia="Times New Roman" w:hAnsi="Verdana" w:cs="Times New Roman"/>
          <w:color w:val="000000"/>
          <w:lang w:eastAsia="es-CO"/>
        </w:rPr>
        <w:t>ii</w:t>
      </w:r>
      <w:proofErr w:type="spellEnd"/>
      <w:r w:rsidRPr="00243291">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6CB85F2C" w14:textId="77777777" w:rsidR="0066141F" w:rsidRPr="00243291" w:rsidRDefault="0066141F" w:rsidP="0066141F">
      <w:pPr>
        <w:spacing w:after="120" w:line="276" w:lineRule="auto"/>
        <w:ind w:firstLine="708"/>
        <w:jc w:val="both"/>
        <w:rPr>
          <w:rFonts w:ascii="Verdana" w:eastAsia="Times New Roman" w:hAnsi="Verdana" w:cs="Times New Roman"/>
          <w:color w:val="000000"/>
          <w:lang w:eastAsia="es-CO"/>
        </w:rPr>
      </w:pPr>
      <w:proofErr w:type="spellStart"/>
      <w:r w:rsidRPr="00243291">
        <w:rPr>
          <w:rFonts w:ascii="Verdana" w:eastAsia="Times New Roman" w:hAnsi="Verdana" w:cs="Times New Roman"/>
          <w:color w:val="000000"/>
          <w:lang w:eastAsia="es-CO"/>
        </w:rPr>
        <w:t>iii</w:t>
      </w:r>
      <w:proofErr w:type="spellEnd"/>
      <w:r w:rsidRPr="00243291">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78280B99" w14:textId="77777777" w:rsidR="0066141F" w:rsidRPr="00243291" w:rsidRDefault="0066141F" w:rsidP="0066141F">
      <w:pPr>
        <w:spacing w:after="120" w:line="276" w:lineRule="auto"/>
        <w:ind w:firstLine="708"/>
        <w:jc w:val="both"/>
        <w:rPr>
          <w:rFonts w:ascii="Verdana" w:eastAsia="Times New Roman" w:hAnsi="Verdana" w:cs="Times New Roman"/>
          <w:color w:val="000000"/>
          <w:lang w:eastAsia="es-CO"/>
        </w:rPr>
      </w:pPr>
      <w:proofErr w:type="spellStart"/>
      <w:r w:rsidRPr="00243291">
        <w:rPr>
          <w:rFonts w:ascii="Verdana" w:eastAsia="Times New Roman" w:hAnsi="Verdana" w:cs="Times New Roman"/>
          <w:color w:val="000000"/>
          <w:lang w:eastAsia="es-CO"/>
        </w:rPr>
        <w:t>iv</w:t>
      </w:r>
      <w:proofErr w:type="spellEnd"/>
      <w:r w:rsidRPr="00243291">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3351ED16" w14:textId="77777777" w:rsidR="0066141F" w:rsidRPr="00243291" w:rsidRDefault="0066141F" w:rsidP="0066141F">
      <w:pPr>
        <w:spacing w:after="120" w:line="276" w:lineRule="auto"/>
        <w:ind w:firstLine="708"/>
        <w:jc w:val="both"/>
        <w:rPr>
          <w:rFonts w:ascii="Verdana" w:eastAsia="Times New Roman" w:hAnsi="Verdana" w:cs="Times New Roman"/>
          <w:color w:val="000000"/>
          <w:lang w:eastAsia="es-CO"/>
        </w:rPr>
      </w:pPr>
      <w:r w:rsidRPr="00243291">
        <w:rPr>
          <w:rFonts w:ascii="Verdana" w:eastAsia="Times New Roman" w:hAnsi="Verdana" w:cs="Times New Roman"/>
          <w:color w:val="000000"/>
          <w:lang w:eastAsia="es-CO"/>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w:t>
      </w:r>
      <w:r w:rsidRPr="00243291">
        <w:rPr>
          <w:rFonts w:ascii="Verdana" w:eastAsia="Times New Roman" w:hAnsi="Verdana" w:cs="Times New Roman"/>
          <w:color w:val="000000"/>
          <w:lang w:eastAsia="es-CO"/>
        </w:rPr>
        <w:lastRenderedPageBreak/>
        <w:t>relacionados con el sector educación, salud, cultura, recreación y deporte, institucional y vivienda y se deroga la Resolución 798 del 29 de diciembre de 2023".</w:t>
      </w:r>
      <w:r w:rsidRPr="00243291">
        <w:rPr>
          <w:rFonts w:ascii="Verdana" w:eastAsia="Aptos" w:hAnsi="Verdana" w:cs="Times New Roman"/>
          <w:lang w:eastAsia="es-MX"/>
        </w:rPr>
        <w:t xml:space="preserve"> </w:t>
      </w:r>
    </w:p>
    <w:p w14:paraId="69012C3F" w14:textId="77777777" w:rsidR="0066141F" w:rsidRPr="002A657B" w:rsidRDefault="0066141F" w:rsidP="0066141F">
      <w:pPr>
        <w:spacing w:after="120" w:line="276" w:lineRule="auto"/>
        <w:ind w:firstLine="708"/>
        <w:jc w:val="both"/>
        <w:textAlignment w:val="baseline"/>
        <w:rPr>
          <w:rFonts w:ascii="Verdana" w:eastAsia="Calibri" w:hAnsi="Verdana" w:cs="Arial"/>
          <w:lang w:eastAsia="es-MX"/>
        </w:rPr>
      </w:pPr>
      <w:r w:rsidRPr="00243291">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243291">
        <w:rPr>
          <w:rFonts w:ascii="Verdana" w:eastAsia="Calibri" w:hAnsi="Verdana" w:cs="Arial"/>
          <w:vertAlign w:val="superscript"/>
          <w:lang w:eastAsia="es-MX"/>
        </w:rPr>
        <w:footnoteReference w:id="2"/>
      </w:r>
      <w:r>
        <w:rPr>
          <w:rFonts w:ascii="Verdana" w:eastAsia="Calibri" w:hAnsi="Verdana" w:cs="Arial"/>
          <w:lang w:eastAsia="es-MX"/>
        </w:rPr>
        <w:t>.</w:t>
      </w:r>
    </w:p>
    <w:p w14:paraId="6D0B631F" w14:textId="77777777" w:rsidR="0066141F" w:rsidRPr="00BE7387" w:rsidRDefault="0066141F" w:rsidP="0066141F">
      <w:pPr>
        <w:spacing w:after="0" w:line="276" w:lineRule="auto"/>
        <w:jc w:val="both"/>
        <w:rPr>
          <w:rFonts w:ascii="Verdana" w:eastAsia="Calibri" w:hAnsi="Verdana" w:cs="Arial"/>
          <w:lang w:val="es-ES"/>
        </w:rPr>
      </w:pPr>
      <w:r w:rsidRPr="0028088A">
        <w:rPr>
          <w:rFonts w:ascii="Verdana" w:eastAsia="Aptos" w:hAnsi="Verdana" w:cs="Arial"/>
          <w:lang w:eastAsia="es-MX"/>
        </w:rPr>
        <w:t xml:space="preserve">I). </w:t>
      </w:r>
      <w:r>
        <w:rPr>
          <w:rFonts w:ascii="Verdana" w:eastAsia="Arial" w:hAnsi="Verdana" w:cs="Arial"/>
          <w:lang w:val="es-ES"/>
        </w:rPr>
        <w:t xml:space="preserve">  </w:t>
      </w:r>
      <w:r w:rsidRPr="003862AC">
        <w:rPr>
          <w:rFonts w:ascii="Verdana" w:eastAsia="Calibri" w:hAnsi="Verdana" w:cs="Arial"/>
          <w:color w:val="000000"/>
          <w:lang w:val="es-ES_tradnl"/>
        </w:rPr>
        <w:t>Todas las resoluciones</w:t>
      </w:r>
      <w:r w:rsidRPr="003862AC">
        <w:rPr>
          <w:rFonts w:ascii="Verdana" w:eastAsia="Calibri" w:hAnsi="Verdana" w:cs="Arial"/>
          <w:color w:val="000000"/>
          <w:vertAlign w:val="superscript"/>
          <w:lang w:val="es-ES_tradnl"/>
        </w:rPr>
        <w:footnoteReference w:id="3"/>
      </w:r>
      <w:r w:rsidRPr="003862AC">
        <w:rPr>
          <w:rFonts w:ascii="Verdana" w:eastAsia="Calibri" w:hAnsi="Verdana" w:cs="Arial"/>
          <w:color w:val="000000"/>
          <w:lang w:val="es-ES_tradnl"/>
        </w:rPr>
        <w:t xml:space="preserve"> expedidas por la Agencia Nacional de Contratación Pública – Colombia Compra Eficiente, mediante las cuales se adoptaron los </w:t>
      </w:r>
      <w:r w:rsidRPr="003862AC">
        <w:rPr>
          <w:rFonts w:ascii="Verdana" w:eastAsia="Calibri" w:hAnsi="Verdana" w:cs="Arial"/>
          <w:color w:val="000000"/>
          <w:lang w:val="es-ES_tradnl"/>
        </w:rPr>
        <w:lastRenderedPageBreak/>
        <w:t xml:space="preserve">documentos tipo, consagran la regla de la inalterabilidad. Esta prohibición consiste en que las entidades estatales no pueden incluir o modificar en los </w:t>
      </w:r>
      <w:r w:rsidRPr="003862AC">
        <w:rPr>
          <w:rFonts w:ascii="Verdana" w:eastAsia="Calibri" w:hAnsi="Verdana" w:cs="Arial"/>
          <w:i/>
          <w:iCs/>
          <w:color w:val="000000"/>
          <w:lang w:val="es-ES_tradnl"/>
        </w:rPr>
        <w:t>Documentos del Proceso</w:t>
      </w:r>
      <w:r w:rsidRPr="003862AC">
        <w:rPr>
          <w:rFonts w:ascii="Verdana" w:eastAsia="Calibri" w:hAnsi="Verdana" w:cs="Arial"/>
          <w:color w:val="00000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8E68E3A" w14:textId="77777777" w:rsidR="0066141F" w:rsidRPr="003862AC" w:rsidRDefault="0066141F" w:rsidP="0066141F">
      <w:pPr>
        <w:spacing w:before="120"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6FEB2B8C" w14:textId="77777777" w:rsidR="0066141F" w:rsidRPr="003862AC" w:rsidRDefault="0066141F" w:rsidP="0066141F">
      <w:pPr>
        <w:spacing w:before="120"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3862AC">
        <w:rPr>
          <w:rFonts w:ascii="Verdana" w:eastAsia="Calibri" w:hAnsi="Verdana" w:cs="Arial"/>
          <w:vertAlign w:val="superscript"/>
          <w:lang w:val="es-ES_tradnl"/>
        </w:rPr>
        <w:footnoteReference w:id="4"/>
      </w:r>
      <w:r w:rsidRPr="003862AC">
        <w:rPr>
          <w:rFonts w:ascii="Verdana" w:eastAsia="Calibri" w:hAnsi="Verdana" w:cs="Arial"/>
          <w:lang w:val="es-ES_tradnl"/>
        </w:rPr>
        <w:t xml:space="preserve">. Cada entidad pública sujeta a los documentos tipo </w:t>
      </w:r>
      <w:r w:rsidRPr="003862AC">
        <w:rPr>
          <w:rFonts w:ascii="Verdana" w:eastAsia="Calibri" w:hAnsi="Verdana" w:cs="Arial"/>
          <w:lang w:val="es-ES_tradnl"/>
        </w:rPr>
        <w:lastRenderedPageBreak/>
        <w:t xml:space="preserve">deberá hacer una aplicación o constatación irrestricta de las reglas y condiciones dispuestas en estos, salvo que las mismas posibilitan la discrecionalidad en determinados aspectos. </w:t>
      </w:r>
    </w:p>
    <w:p w14:paraId="2BF289F4" w14:textId="77777777" w:rsidR="0066141F" w:rsidRPr="003862AC" w:rsidRDefault="0066141F" w:rsidP="0066141F">
      <w:pPr>
        <w:spacing w:before="120" w:after="120" w:line="276" w:lineRule="auto"/>
        <w:ind w:firstLine="709"/>
        <w:jc w:val="both"/>
        <w:rPr>
          <w:rFonts w:ascii="Verdana" w:eastAsia="Calibri" w:hAnsi="Verdana" w:cs="Arial"/>
          <w:lang w:val="es-ES"/>
        </w:rPr>
      </w:pPr>
      <w:r w:rsidRPr="7A527A7F">
        <w:rPr>
          <w:rFonts w:ascii="Verdana" w:eastAsia="Calibri" w:hAnsi="Verdana" w:cs="Arial"/>
          <w:lang w:val="es-ES"/>
        </w:rPr>
        <w:t xml:space="preserve">Además, las entidades estatales deben garantizar el </w:t>
      </w:r>
      <w:r w:rsidRPr="7A527A7F">
        <w:rPr>
          <w:rFonts w:ascii="Verdana" w:eastAsia="Calibri" w:hAnsi="Verdana" w:cs="Arial"/>
          <w:i/>
          <w:iCs/>
          <w:lang w:val="es-ES"/>
        </w:rPr>
        <w:t>principio de economía</w:t>
      </w:r>
      <w:r w:rsidRPr="7A527A7F">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7A527A7F">
        <w:rPr>
          <w:rFonts w:ascii="Verdana" w:eastAsia="Calibri" w:hAnsi="Verdana" w:cs="Arial"/>
          <w:vertAlign w:val="superscript"/>
          <w:lang w:val="es-ES"/>
        </w:rPr>
        <w:footnoteReference w:id="5"/>
      </w:r>
      <w:r w:rsidRPr="7A527A7F">
        <w:rPr>
          <w:rFonts w:ascii="Verdana" w:eastAsia="Calibri" w:hAnsi="Verdana" w:cs="Arial"/>
          <w:lang w:val="es-ES"/>
        </w:rPr>
        <w:t xml:space="preserve"> sino además en la normativa </w:t>
      </w:r>
      <w:proofErr w:type="spellStart"/>
      <w:r w:rsidRPr="7A527A7F">
        <w:rPr>
          <w:rFonts w:ascii="Verdana" w:eastAsia="Calibri" w:hAnsi="Verdana" w:cs="Arial"/>
          <w:lang w:val="es-ES"/>
        </w:rPr>
        <w:t>antitrámites</w:t>
      </w:r>
      <w:proofErr w:type="spellEnd"/>
      <w:r w:rsidRPr="7A527A7F">
        <w:rPr>
          <w:rFonts w:ascii="Verdana" w:eastAsia="Calibri" w:hAnsi="Verdana" w:cs="Arial"/>
          <w:vertAlign w:val="superscript"/>
          <w:lang w:val="es-ES"/>
        </w:rPr>
        <w:footnoteReference w:id="6"/>
      </w:r>
      <w:r w:rsidRPr="7A527A7F">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12A3254B" w14:textId="77777777" w:rsidR="0066141F" w:rsidRPr="003862AC" w:rsidRDefault="0066141F" w:rsidP="0066141F">
      <w:pPr>
        <w:spacing w:after="120" w:line="276" w:lineRule="auto"/>
        <w:ind w:firstLine="708"/>
        <w:jc w:val="both"/>
        <w:rPr>
          <w:rFonts w:ascii="Verdana" w:eastAsia="Calibri" w:hAnsi="Verdana" w:cs="Arial"/>
          <w:color w:val="000000"/>
          <w:lang w:val="es-ES_tradnl"/>
        </w:rPr>
      </w:pPr>
      <w:r w:rsidRPr="003862AC">
        <w:rPr>
          <w:rFonts w:ascii="Verdana" w:eastAsia="Calibri" w:hAnsi="Verdana" w:cs="Arial"/>
          <w:color w:val="000000"/>
          <w:lang w:val="es-ES_tradnl"/>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w:t>
      </w:r>
      <w:r w:rsidRPr="003862AC">
        <w:rPr>
          <w:rFonts w:ascii="Verdana" w:eastAsia="Calibri" w:hAnsi="Verdana" w:cs="Arial"/>
          <w:color w:val="000000"/>
          <w:lang w:val="es-ES_tradnl"/>
        </w:rPr>
        <w:lastRenderedPageBreak/>
        <w:t>como tipo, modelo, norma, patrón o referencia”</w:t>
      </w:r>
      <w:r w:rsidRPr="003862AC">
        <w:rPr>
          <w:rFonts w:ascii="Verdana" w:eastAsia="Calibri" w:hAnsi="Verdana" w:cs="Arial"/>
          <w:color w:val="000000"/>
          <w:vertAlign w:val="superscript"/>
          <w:lang w:val="es-ES_tradnl"/>
        </w:rPr>
        <w:footnoteReference w:id="7"/>
      </w:r>
      <w:r w:rsidRPr="003862AC">
        <w:rPr>
          <w:rFonts w:ascii="Verdana" w:eastAsia="Calibri" w:hAnsi="Verdana" w:cs="Arial"/>
          <w:color w:val="000000"/>
          <w:lang w:val="es-ES_tradnl"/>
        </w:rPr>
        <w:t xml:space="preserve">. Si las autoridades pudiesen agregar, eliminar o modificar todos y cada uno de los aspectos contenidos en los pliegos tipo, estos documentos, llanamente, no podrían ser llamados pliegos tipo. </w:t>
      </w:r>
    </w:p>
    <w:p w14:paraId="17DA64F2" w14:textId="77777777" w:rsidR="0066141F" w:rsidRPr="003862AC" w:rsidRDefault="0066141F" w:rsidP="0066141F">
      <w:pPr>
        <w:spacing w:after="120" w:line="276" w:lineRule="auto"/>
        <w:ind w:firstLine="708"/>
        <w:jc w:val="both"/>
        <w:rPr>
          <w:rFonts w:ascii="Verdana" w:eastAsia="Calibri" w:hAnsi="Verdana" w:cs="Arial"/>
          <w:color w:val="000000"/>
          <w:lang w:val="es-ES_tradnl"/>
        </w:rPr>
      </w:pPr>
      <w:r w:rsidRPr="003862AC">
        <w:rPr>
          <w:rFonts w:ascii="Verdana" w:eastAsia="Calibri" w:hAnsi="Verdana" w:cs="Arial"/>
          <w:color w:val="000000"/>
          <w:lang w:val="es-ES_tradnl"/>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305F6252" w14:textId="77777777" w:rsidR="0066141F" w:rsidRPr="003862AC" w:rsidRDefault="0066141F" w:rsidP="0066141F">
      <w:pPr>
        <w:spacing w:after="120" w:line="276" w:lineRule="auto"/>
        <w:ind w:firstLine="708"/>
        <w:jc w:val="both"/>
        <w:rPr>
          <w:rFonts w:ascii="Verdana" w:eastAsia="Calibri" w:hAnsi="Verdana" w:cs="Arial"/>
          <w:color w:val="000000"/>
          <w:lang w:val="es-ES_tradnl"/>
        </w:rPr>
      </w:pPr>
      <w:r w:rsidRPr="003862AC">
        <w:rPr>
          <w:rFonts w:ascii="Verdana" w:eastAsia="Calibri" w:hAnsi="Verdana" w:cs="Arial"/>
          <w:color w:val="000000"/>
          <w:lang w:val="es-ES_tradnl"/>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564BA56D" w14:textId="77777777" w:rsidR="0066141F" w:rsidRPr="003862AC" w:rsidRDefault="0066141F" w:rsidP="0066141F">
      <w:pPr>
        <w:spacing w:after="120" w:line="276" w:lineRule="auto"/>
        <w:ind w:firstLine="708"/>
        <w:jc w:val="both"/>
        <w:rPr>
          <w:rFonts w:ascii="Verdana" w:eastAsia="Calibri" w:hAnsi="Verdana" w:cs="Arial"/>
          <w:color w:val="000000"/>
          <w:lang w:val="es-ES_tradnl"/>
        </w:rPr>
      </w:pPr>
      <w:r w:rsidRPr="003862AC">
        <w:rPr>
          <w:rFonts w:ascii="Verdana" w:eastAsia="Calibri" w:hAnsi="Verdana" w:cs="Arial"/>
          <w:lang w:val="es-ES_tradnl"/>
        </w:rPr>
        <w:t xml:space="preserve">No obstante, la parte introductoria de los documentos base de los documentos tipo disponen que los aspectos incluidos en corchetes y resaltados en gris </w:t>
      </w:r>
      <w:r w:rsidRPr="003862AC">
        <w:rPr>
          <w:rFonts w:ascii="Verdana" w:eastAsia="Aptos" w:hAnsi="Verdana" w:cs="Arial"/>
          <w:lang w:val="es-ES_tradnl"/>
        </w:rPr>
        <w:t>–[</w:t>
      </w:r>
      <w:r w:rsidRPr="003862AC">
        <w:rPr>
          <w:rFonts w:ascii="Verdana" w:eastAsia="Aptos" w:hAnsi="Verdana" w:cs="Arial"/>
          <w:highlight w:val="lightGray"/>
          <w:lang w:val="es-ES_tradnl"/>
        </w:rPr>
        <w:t>texto de ejemplo</w:t>
      </w:r>
      <w:r w:rsidRPr="003862AC">
        <w:rPr>
          <w:rFonts w:ascii="Verdana" w:eastAsia="Aptos" w:hAnsi="Verdana" w:cs="Arial"/>
          <w:lang w:val="es-ES_tradnl"/>
        </w:rPr>
        <w:t xml:space="preserve">]– </w:t>
      </w:r>
      <w:r w:rsidRPr="003862AC">
        <w:rPr>
          <w:rFonts w:ascii="Verdana" w:eastAsia="Calibri" w:hAnsi="Verdana" w:cs="Arial"/>
          <w:lang w:val="es-ES_tradnl"/>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F1624EF" w14:textId="77777777" w:rsidR="0066141F" w:rsidRPr="003862AC" w:rsidRDefault="0066141F" w:rsidP="0066141F">
      <w:pPr>
        <w:spacing w:after="120" w:line="276" w:lineRule="auto"/>
        <w:ind w:firstLine="708"/>
        <w:jc w:val="both"/>
        <w:rPr>
          <w:rFonts w:ascii="Aptos" w:eastAsia="Aptos" w:hAnsi="Aptos" w:cs="Times New Roman"/>
          <w:kern w:val="2"/>
          <w:sz w:val="24"/>
          <w:szCs w:val="24"/>
          <w:lang w:val="es-ES_tradnl"/>
          <w14:ligatures w14:val="standardContextual"/>
        </w:rPr>
      </w:pPr>
      <w:r w:rsidRPr="003862AC">
        <w:rPr>
          <w:rFonts w:ascii="Verdana" w:eastAsia="Calibri" w:hAnsi="Verdana" w:cs="Arial"/>
          <w:lang w:val="es-ES_tradnl"/>
        </w:rPr>
        <w:t xml:space="preserve">Debe indicarse que, la regla de inalterabilidad que recae sobre los documentos tipo, también se encuentra consagrada de forma expresa en el documento base. Así, en el aparte sobre las normas de interpretación del pliego </w:t>
      </w:r>
      <w:r w:rsidRPr="003862AC">
        <w:rPr>
          <w:rFonts w:ascii="Verdana" w:eastAsia="Calibri" w:hAnsi="Verdana" w:cs="Arial"/>
          <w:lang w:val="es-ES_tradnl"/>
        </w:rPr>
        <w:lastRenderedPageBreak/>
        <w:t xml:space="preserve">de condiciones, el literal I del numeral 1.17 del pliego tipo de los documentos tipo de licitación de obra pública de infraestructura de transporte dispone lo siguiente: </w:t>
      </w:r>
      <w:r w:rsidRPr="003862AC">
        <w:rPr>
          <w:rFonts w:ascii="Verdana" w:eastAsia="Calibri" w:hAnsi="Verdana" w:cs="Arial"/>
          <w:i/>
          <w:iCs/>
          <w:lang w:val="es-ES_tradnl"/>
        </w:rPr>
        <w:t>“</w:t>
      </w:r>
      <w:r w:rsidRPr="003862AC">
        <w:rPr>
          <w:rFonts w:ascii="Verdana" w:eastAsia="Aptos" w:hAnsi="Verdana" w:cs="Times New Roman"/>
          <w:i/>
          <w:iCs/>
          <w:kern w:val="2"/>
          <w:lang w:val="es-ES_tradnl"/>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3862AC">
        <w:rPr>
          <w:rFonts w:ascii="Verdana" w:eastAsia="Aptos" w:hAnsi="Verdana" w:cs="Times New Roman"/>
          <w:i/>
          <w:iCs/>
          <w:kern w:val="2"/>
          <w:vertAlign w:val="superscript"/>
          <w:lang w:val="es-ES_tradnl"/>
          <w14:ligatures w14:val="standardContextual"/>
        </w:rPr>
        <w:footnoteReference w:id="8"/>
      </w:r>
      <w:r w:rsidRPr="003862AC">
        <w:rPr>
          <w:rFonts w:ascii="Verdana" w:eastAsia="Aptos" w:hAnsi="Verdana" w:cs="Times New Roman"/>
          <w:i/>
          <w:iCs/>
          <w:kern w:val="2"/>
          <w:lang w:val="es-ES_tradnl"/>
          <w14:ligatures w14:val="standardContextual"/>
        </w:rPr>
        <w:t>.</w:t>
      </w:r>
      <w:r w:rsidRPr="003862AC">
        <w:rPr>
          <w:rFonts w:ascii="Aptos" w:eastAsia="Aptos" w:hAnsi="Aptos" w:cs="Times New Roman"/>
          <w:kern w:val="2"/>
          <w:sz w:val="24"/>
          <w:szCs w:val="24"/>
          <w:lang w:val="es-ES_tradnl"/>
          <w14:ligatures w14:val="standardContextual"/>
        </w:rPr>
        <w:t xml:space="preserve"> </w:t>
      </w:r>
    </w:p>
    <w:p w14:paraId="7F93B299" w14:textId="77777777" w:rsidR="0066141F" w:rsidRPr="003862AC" w:rsidRDefault="0066141F" w:rsidP="0066141F">
      <w:pPr>
        <w:spacing w:before="120" w:after="120" w:line="276" w:lineRule="auto"/>
        <w:ind w:firstLine="709"/>
        <w:jc w:val="both"/>
        <w:rPr>
          <w:rFonts w:ascii="Verdana" w:eastAsia="Calibri" w:hAnsi="Verdana" w:cs="Arial"/>
          <w:bCs/>
          <w:lang w:val="es-ES_tradnl"/>
        </w:rPr>
      </w:pPr>
      <w:r w:rsidRPr="003862AC">
        <w:rPr>
          <w:rFonts w:ascii="Verdana" w:eastAsia="Calibri" w:hAnsi="Verdana" w:cs="Arial"/>
          <w:bCs/>
          <w:lang w:val="es-ES_tradn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60378640" w14:textId="77777777" w:rsidR="0066141F" w:rsidRPr="00484531" w:rsidRDefault="0066141F" w:rsidP="0066141F">
      <w:pPr>
        <w:spacing w:before="120" w:after="120" w:line="276" w:lineRule="auto"/>
        <w:ind w:firstLine="709"/>
        <w:jc w:val="both"/>
        <w:rPr>
          <w:rFonts w:ascii="Verdana" w:eastAsia="Calibri" w:hAnsi="Verdana" w:cs="Arial"/>
          <w:lang w:val="es-ES"/>
        </w:rPr>
      </w:pPr>
      <w:r w:rsidRPr="7A527A7F">
        <w:rPr>
          <w:rFonts w:ascii="Verdana" w:eastAsia="Calibri" w:hAnsi="Verdana" w:cs="Arial"/>
          <w:lang w:val="es-ES"/>
        </w:rPr>
        <w:t xml:space="preserve">Esta regla de inalterabilidad </w:t>
      </w:r>
      <w:r w:rsidRPr="7A527A7F">
        <w:rPr>
          <w:rFonts w:ascii="Verdana" w:eastAsia="Calibri" w:hAnsi="Verdana" w:cs="Arial"/>
          <w:i/>
          <w:iCs/>
          <w:lang w:val="es-ES"/>
        </w:rPr>
        <w:t>también aplica a los formatos, formularios, anexos y matrices</w:t>
      </w:r>
      <w:r w:rsidRPr="7A527A7F">
        <w:rPr>
          <w:rFonts w:ascii="Verdana" w:eastAsia="Calibri" w:hAnsi="Verdana" w:cs="Arial"/>
          <w:lang w:val="es-ES"/>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4D262A07" w14:textId="77777777" w:rsidR="0066141F" w:rsidRPr="00484531" w:rsidRDefault="0066141F" w:rsidP="0066141F">
      <w:pPr>
        <w:snapToGrid w:val="0"/>
        <w:spacing w:after="120" w:line="276" w:lineRule="auto"/>
        <w:ind w:firstLine="709"/>
        <w:jc w:val="both"/>
        <w:rPr>
          <w:rFonts w:ascii="Verdana" w:eastAsia="Calibri" w:hAnsi="Verdana" w:cs="Arial"/>
          <w:lang w:val="es-ES"/>
        </w:rPr>
      </w:pPr>
      <w:r w:rsidRPr="7A527A7F">
        <w:rPr>
          <w:rFonts w:ascii="Verdana" w:eastAsia="Calibri" w:hAnsi="Verdana" w:cs="Arial"/>
          <w:lang w:val="es-ES"/>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4C273425" w14:textId="77777777" w:rsidR="0066141F" w:rsidRPr="00484531" w:rsidRDefault="0066141F" w:rsidP="0066141F">
      <w:pPr>
        <w:snapToGrid w:val="0"/>
        <w:spacing w:after="120" w:line="276" w:lineRule="auto"/>
        <w:ind w:firstLine="709"/>
        <w:jc w:val="both"/>
        <w:rPr>
          <w:rFonts w:ascii="Verdana" w:eastAsia="Calibri" w:hAnsi="Verdana" w:cs="Arial"/>
          <w:bCs/>
          <w:lang w:val="es-ES_tradnl"/>
        </w:rPr>
      </w:pPr>
      <w:r w:rsidRPr="00484531">
        <w:rPr>
          <w:rFonts w:ascii="Verdana" w:eastAsia="Calibri" w:hAnsi="Verdana" w:cs="Arial"/>
        </w:rPr>
        <w:t>Ahora bien, en relación con su consulta, resulta pertinente acudir, a modo de ejemplo, a la parte inicial del Documento Base de Interventoría de Obra Pública del Sector Social, el documento dispone lo siguiente:</w:t>
      </w:r>
    </w:p>
    <w:p w14:paraId="170854F9" w14:textId="77777777" w:rsidR="0066141F" w:rsidRPr="00484531" w:rsidRDefault="0066141F" w:rsidP="0066141F">
      <w:pPr>
        <w:ind w:left="709" w:right="709"/>
        <w:jc w:val="both"/>
        <w:rPr>
          <w:rFonts w:ascii="Verdana" w:eastAsia="Arial" w:hAnsi="Verdana" w:cs="Arial"/>
          <w:sz w:val="20"/>
          <w:szCs w:val="20"/>
        </w:rPr>
      </w:pPr>
      <w:r w:rsidRPr="00484531">
        <w:rPr>
          <w:rFonts w:ascii="Verdana" w:eastAsia="Arial" w:hAnsi="Verdana" w:cs="Arial"/>
          <w:sz w:val="20"/>
          <w:szCs w:val="20"/>
          <w:highlight w:val="lightGray"/>
        </w:rPr>
        <w:lastRenderedPageBreak/>
        <w:t>[Los aspectos incluidos en corchetes y resaltados en gris deben ser diligenciados por la Entidad]</w:t>
      </w:r>
    </w:p>
    <w:p w14:paraId="35B08CA7" w14:textId="77777777" w:rsidR="0066141F" w:rsidRPr="00484531" w:rsidRDefault="0066141F" w:rsidP="0066141F">
      <w:pPr>
        <w:snapToGrid w:val="0"/>
        <w:spacing w:after="120" w:line="276" w:lineRule="auto"/>
        <w:ind w:firstLine="708"/>
        <w:jc w:val="both"/>
        <w:rPr>
          <w:rFonts w:ascii="Verdana" w:eastAsia="Calibri" w:hAnsi="Verdana" w:cs="Arial"/>
          <w:bCs/>
        </w:rPr>
      </w:pPr>
      <w:r w:rsidRPr="00484531">
        <w:rPr>
          <w:rFonts w:ascii="Verdana" w:eastAsia="Calibri" w:hAnsi="Verdana" w:cs="Arial"/>
          <w:bCs/>
        </w:rPr>
        <w:t>En particular, respecto de los requisitos habilitantes, el Documento Base de Interventoría de Obra Pública del Sector Social establece expresamente las reglas que deben observar las entidades estatales para su verificación, así como la prohibición de exigir requisitos diferentes a los previstos en los Documentos Tipo. Al respecto, señala lo siguiente:</w:t>
      </w:r>
    </w:p>
    <w:p w14:paraId="5110C559" w14:textId="77777777" w:rsidR="0066141F" w:rsidRPr="00484531" w:rsidRDefault="0066141F" w:rsidP="0066141F">
      <w:pPr>
        <w:pStyle w:val="InviasNormal"/>
        <w:ind w:left="709" w:right="709"/>
        <w:jc w:val="both"/>
        <w:rPr>
          <w:rFonts w:ascii="Verdana" w:eastAsia="Arial" w:hAnsi="Verdana" w:cs="Arial"/>
          <w:sz w:val="20"/>
          <w:szCs w:val="20"/>
          <w:lang w:val="es-CO"/>
        </w:rPr>
      </w:pPr>
      <w:r w:rsidRPr="00484531">
        <w:rPr>
          <w:rFonts w:ascii="Verdana" w:hAnsi="Verdana"/>
          <w:sz w:val="20"/>
          <w:szCs w:val="22"/>
          <w:highlight w:val="lightGray"/>
          <w:lang w:val="es-MX"/>
        </w:rPr>
        <w:t>[La Entidad debe adaptar este capítulo al</w:t>
      </w:r>
      <w:r w:rsidRPr="00484531" w:rsidDel="00526B5E">
        <w:rPr>
          <w:rFonts w:ascii="Verdana" w:hAnsi="Verdana"/>
          <w:sz w:val="20"/>
          <w:szCs w:val="22"/>
          <w:highlight w:val="lightGray"/>
          <w:lang w:val="es-MX"/>
        </w:rPr>
        <w:t xml:space="preserve"> </w:t>
      </w:r>
      <w:r w:rsidRPr="00484531">
        <w:rPr>
          <w:rFonts w:ascii="Verdana" w:hAnsi="Verdana"/>
          <w:sz w:val="20"/>
          <w:szCs w:val="22"/>
          <w:highlight w:val="lightGray"/>
          <w:lang w:val="es-MX"/>
        </w:rPr>
        <w:t>SECOP II, en los términos definidos en las Guías de Colombia Compra Eficiente</w:t>
      </w:r>
      <w:r w:rsidRPr="00484531">
        <w:rPr>
          <w:rFonts w:ascii="Verdana" w:eastAsia="Arial" w:hAnsi="Verdana" w:cs="Arial"/>
          <w:sz w:val="20"/>
          <w:szCs w:val="20"/>
          <w:highlight w:val="lightGray"/>
          <w:lang w:val="es-CO"/>
        </w:rPr>
        <w:t>]</w:t>
      </w:r>
      <w:r w:rsidRPr="00484531">
        <w:rPr>
          <w:rFonts w:ascii="Verdana" w:eastAsia="Arial" w:hAnsi="Verdana" w:cs="Arial"/>
          <w:sz w:val="20"/>
          <w:szCs w:val="20"/>
          <w:lang w:val="es-CO"/>
        </w:rPr>
        <w:t xml:space="preserve">La Entidad verificará los requisitos habilitantes dentro del término señalado en el Cronograma del Pliego de Condiciones, de acuerdo con los soportes documentales que acompañan la propuesta presentada. </w:t>
      </w:r>
    </w:p>
    <w:p w14:paraId="0B6FC9A4" w14:textId="77777777" w:rsidR="0066141F" w:rsidRPr="000E6CA0" w:rsidRDefault="0066141F" w:rsidP="0066141F">
      <w:pPr>
        <w:pStyle w:val="InviasNormal"/>
        <w:ind w:left="709" w:right="709"/>
        <w:jc w:val="both"/>
        <w:rPr>
          <w:rFonts w:ascii="Verdana" w:eastAsia="Arial" w:hAnsi="Verdana" w:cs="Arial"/>
          <w:sz w:val="20"/>
          <w:szCs w:val="20"/>
          <w:lang w:val="es-ES"/>
        </w:rPr>
      </w:pPr>
      <w:r w:rsidRPr="000E6CA0">
        <w:rPr>
          <w:rFonts w:ascii="Verdana" w:eastAsia="Arial" w:hAnsi="Verdana" w:cs="Arial"/>
          <w:sz w:val="20"/>
          <w:szCs w:val="20"/>
          <w:lang w:val="es-ES"/>
        </w:rPr>
        <w:t>Los requisitos habilitantes serán objeto de verificación. Por lo tanto, si la propuesta cumple con todos los aspectos se evaluarán como “</w:t>
      </w:r>
      <w:r w:rsidRPr="000E6CA0">
        <w:rPr>
          <w:rFonts w:ascii="Verdana" w:eastAsia="Arial" w:hAnsi="Verdana" w:cs="Arial"/>
          <w:i/>
          <w:sz w:val="20"/>
          <w:szCs w:val="20"/>
          <w:lang w:val="es-ES"/>
        </w:rPr>
        <w:t>cumple</w:t>
      </w:r>
      <w:r w:rsidRPr="000E6CA0">
        <w:rPr>
          <w:rFonts w:ascii="Verdana" w:eastAsia="Arial" w:hAnsi="Verdana" w:cs="Arial"/>
          <w:sz w:val="20"/>
          <w:szCs w:val="20"/>
          <w:lang w:val="es-ES"/>
        </w:rPr>
        <w:t>”. En caso contrario se evaluará como “</w:t>
      </w:r>
      <w:r w:rsidRPr="000E6CA0">
        <w:rPr>
          <w:rFonts w:ascii="Verdana" w:eastAsia="Arial" w:hAnsi="Verdana" w:cs="Arial"/>
          <w:i/>
          <w:sz w:val="20"/>
          <w:szCs w:val="20"/>
          <w:lang w:val="es-ES"/>
        </w:rPr>
        <w:t>no cumple</w:t>
      </w:r>
      <w:r w:rsidRPr="000E6CA0">
        <w:rPr>
          <w:rFonts w:ascii="Verdana" w:eastAsia="Arial" w:hAnsi="Verdana" w:cs="Arial"/>
          <w:sz w:val="20"/>
          <w:szCs w:val="20"/>
          <w:lang w:val="es-ES"/>
        </w:rPr>
        <w:t xml:space="preserve">”. </w:t>
      </w:r>
    </w:p>
    <w:p w14:paraId="5A97580B" w14:textId="77777777" w:rsidR="0066141F" w:rsidRPr="00484531" w:rsidRDefault="0066141F" w:rsidP="0066141F">
      <w:pPr>
        <w:pStyle w:val="InviasNormal"/>
        <w:ind w:left="709" w:right="709"/>
        <w:jc w:val="both"/>
        <w:rPr>
          <w:rFonts w:ascii="Verdana" w:eastAsia="Arial" w:hAnsi="Verdana" w:cs="Arial"/>
          <w:sz w:val="20"/>
          <w:szCs w:val="20"/>
          <w:lang w:val="es-CO"/>
        </w:rPr>
      </w:pPr>
      <w:r w:rsidRPr="00484531">
        <w:rPr>
          <w:rFonts w:ascii="Verdana" w:eastAsia="Arial" w:hAnsi="Verdana" w:cs="Arial"/>
          <w:sz w:val="20"/>
          <w:szCs w:val="20"/>
          <w:lang w:val="es-CO"/>
        </w:rPr>
        <w:t xml:space="preserve">De conformidad con la normativa aplicable, la Entidad realizará la verificación de requisitos habilitantes de los Proponentes (personas naturales o jurídicas nacionales o extranjeras domiciliadas o con Sucursal en Colombia, Proponentes Plurales) con base en la información contenida en el Registro Único de Proponentes (RUP) y los documentos señalados en los Documentos Tipo. </w:t>
      </w:r>
    </w:p>
    <w:p w14:paraId="7B197210" w14:textId="77777777" w:rsidR="0066141F" w:rsidRPr="00484531" w:rsidRDefault="0066141F" w:rsidP="0066141F">
      <w:pPr>
        <w:pStyle w:val="InviasNormal"/>
        <w:ind w:left="709" w:right="709"/>
        <w:jc w:val="both"/>
        <w:rPr>
          <w:rFonts w:ascii="Verdana" w:eastAsia="Arial" w:hAnsi="Verdana" w:cs="Arial"/>
          <w:sz w:val="20"/>
          <w:szCs w:val="20"/>
        </w:rPr>
      </w:pPr>
      <w:r w:rsidRPr="00484531">
        <w:rPr>
          <w:rFonts w:ascii="Verdana" w:eastAsia="Arial" w:hAnsi="Verdana" w:cs="Arial"/>
          <w:b/>
          <w:bCs/>
          <w:sz w:val="20"/>
          <w:szCs w:val="20"/>
          <w:u w:val="single"/>
          <w:lang w:val="es-CO"/>
        </w:rPr>
        <w:t>La Entidad no podrá exigir requisitos habilitantes diferentes a los señalados en los Documentos Tipo.</w:t>
      </w:r>
      <w:r w:rsidRPr="00484531">
        <w:rPr>
          <w:rFonts w:ascii="Verdana" w:eastAsia="Arial" w:hAnsi="Verdana" w:cs="Arial"/>
          <w:b/>
          <w:bCs/>
          <w:sz w:val="20"/>
          <w:szCs w:val="20"/>
          <w:lang w:val="es-CO"/>
        </w:rPr>
        <w:t xml:space="preserve"> </w:t>
      </w:r>
      <w:r w:rsidRPr="00484531">
        <w:rPr>
          <w:rFonts w:ascii="Verdana" w:eastAsia="Arial" w:hAnsi="Verdana" w:cs="Arial"/>
          <w:sz w:val="20"/>
          <w:szCs w:val="20"/>
          <w:lang w:val="es-CO"/>
        </w:rPr>
        <w:t>(Negrilla y subrayado fuera del texto original).</w:t>
      </w:r>
    </w:p>
    <w:p w14:paraId="1A39C860" w14:textId="77777777" w:rsidR="0066141F" w:rsidRPr="00484531" w:rsidRDefault="0066141F" w:rsidP="0066141F">
      <w:pPr>
        <w:snapToGrid w:val="0"/>
        <w:spacing w:line="276" w:lineRule="auto"/>
        <w:ind w:firstLine="709"/>
        <w:jc w:val="both"/>
        <w:rPr>
          <w:rFonts w:ascii="Verdana" w:eastAsia="Calibri" w:hAnsi="Verdana" w:cs="Times New Roman"/>
        </w:rPr>
      </w:pPr>
      <w:r w:rsidRPr="00484531">
        <w:rPr>
          <w:rFonts w:ascii="Verdana" w:eastAsia="Calibri" w:hAnsi="Verdana" w:cs="Times New Roman"/>
        </w:rPr>
        <w:t>Como puede apreciarse, el apartado correspondiente a los requisitos habilitantes permite a las entidades estatales adaptar el capítulo a SECOP II, de conformidad con los términos definidos en las guías de Colombia Compra Eficiente. No obstante, esta facultad se limita a los aspectos expresamente autorizados en el Documento Tipo y no habilita a las entidades para incorporar requisitos habilitantes adicionales o modificar los establecidos en dicho instrumento.</w:t>
      </w:r>
    </w:p>
    <w:p w14:paraId="35C8C864" w14:textId="77777777" w:rsidR="0066141F" w:rsidRPr="00484531" w:rsidRDefault="0066141F" w:rsidP="0066141F">
      <w:pPr>
        <w:snapToGrid w:val="0"/>
        <w:spacing w:line="276" w:lineRule="auto"/>
        <w:ind w:firstLine="709"/>
        <w:jc w:val="both"/>
        <w:rPr>
          <w:rFonts w:ascii="Verdana" w:eastAsia="Calibri" w:hAnsi="Verdana" w:cs="Times New Roman"/>
        </w:rPr>
      </w:pPr>
      <w:r w:rsidRPr="00484531">
        <w:rPr>
          <w:rFonts w:ascii="Verdana" w:eastAsia="Calibri" w:hAnsi="Verdana" w:cs="Times New Roman"/>
        </w:rPr>
        <w:t xml:space="preserve">En ese sentido, las entidades estatales deben verificar los requisitos habilitantes con fundamento en las condiciones y los soportes documentales previstos en los Documentos Tipo, sin establecer exigencias que restrinjan la participación de los proponentes o alteren las reglas definidas por la Agencia Nacional de Contratación Pública – Colombia Compra Eficiente. Por tanto, </w:t>
      </w:r>
      <w:r w:rsidRPr="00484531">
        <w:rPr>
          <w:rFonts w:ascii="Verdana" w:eastAsia="Calibri" w:hAnsi="Verdana" w:cs="Times New Roman"/>
        </w:rPr>
        <w:lastRenderedPageBreak/>
        <w:t>cualquier adaptación del capítulo deberá atender las instrucciones del Documento Tipo y limitarse a los ajustes necesarios para su aplicación en SECOP II, sin modificar su contenido sustancial.</w:t>
      </w:r>
    </w:p>
    <w:p w14:paraId="72BC8309" w14:textId="77777777" w:rsidR="0066141F" w:rsidRPr="00484531" w:rsidRDefault="0066141F" w:rsidP="0066141F">
      <w:pPr>
        <w:snapToGrid w:val="0"/>
        <w:spacing w:line="276" w:lineRule="auto"/>
        <w:ind w:firstLine="709"/>
        <w:jc w:val="both"/>
        <w:rPr>
          <w:rFonts w:ascii="Verdana" w:eastAsia="Calibri" w:hAnsi="Verdana" w:cs="Times New Roman"/>
        </w:rPr>
      </w:pPr>
      <w:r w:rsidRPr="00484531">
        <w:rPr>
          <w:rFonts w:ascii="Verdana" w:eastAsia="Calibri" w:hAnsi="Verdana" w:cs="Times New Roman"/>
        </w:rPr>
        <w:t>De esta manera, la posibilidad de diligenciar o adaptar determinados apartados no puede interpretarse como una autorización para modificar los requisitos habilitantes, pues estos forman parte de los contenidos sujetos a la regla de inalterabilidad de los Documentos Tipo.</w:t>
      </w:r>
    </w:p>
    <w:p w14:paraId="44FBE0E3" w14:textId="77777777" w:rsidR="0066141F" w:rsidRPr="00484531" w:rsidRDefault="0066141F" w:rsidP="0066141F">
      <w:pPr>
        <w:spacing w:before="120" w:after="120" w:line="276" w:lineRule="auto"/>
        <w:ind w:firstLine="709"/>
        <w:jc w:val="both"/>
        <w:rPr>
          <w:rFonts w:ascii="Verdana" w:eastAsia="Calibri" w:hAnsi="Verdana" w:cs="Arial"/>
          <w:lang w:val="es-MX"/>
        </w:rPr>
      </w:pPr>
      <w:r w:rsidRPr="00484531">
        <w:rPr>
          <w:rFonts w:ascii="Verdana" w:eastAsia="Calibri" w:hAnsi="Verdana" w:cs="Arial"/>
          <w:bCs/>
          <w:color w:val="000000" w:themeColor="text1"/>
        </w:rPr>
        <w:t xml:space="preserve">II). </w:t>
      </w:r>
      <w:r w:rsidRPr="00484531">
        <w:rPr>
          <w:rFonts w:ascii="Verdana" w:eastAsia="Calibri" w:hAnsi="Verdana" w:cs="Arial"/>
          <w:bCs/>
          <w:lang w:val="es-MX"/>
        </w:rPr>
        <w:t>Como se ha venido reiterando,</w:t>
      </w:r>
      <w:r w:rsidRPr="00484531">
        <w:rPr>
          <w:rFonts w:ascii="Verdana" w:eastAsia="Calibri" w:hAnsi="Verdana" w:cs="Arial"/>
          <w:lang w:val="es-MX"/>
        </w:rPr>
        <w:t xml:space="preserve">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0DEF3E9B" w14:textId="77777777" w:rsidR="0066141F" w:rsidRPr="00484531" w:rsidRDefault="0066141F" w:rsidP="0066141F">
      <w:pPr>
        <w:spacing w:before="120" w:after="120" w:line="276" w:lineRule="auto"/>
        <w:ind w:firstLine="709"/>
        <w:jc w:val="both"/>
        <w:rPr>
          <w:rFonts w:ascii="Verdana" w:eastAsia="Aptos" w:hAnsi="Verdana" w:cs="Arial"/>
        </w:rPr>
      </w:pPr>
      <w:r w:rsidRPr="00484531">
        <w:rPr>
          <w:rFonts w:ascii="Verdana" w:eastAsia="Aptos" w:hAnsi="Verdana" w:cs="Arial"/>
        </w:rPr>
        <w:t xml:space="preserve">En relación con el principio constitucional </w:t>
      </w:r>
      <w:r w:rsidRPr="00484531">
        <w:rPr>
          <w:rFonts w:ascii="Verdana" w:eastAsia="Aptos" w:hAnsi="Verdana" w:cs="Arial"/>
          <w:i/>
          <w:iCs/>
        </w:rPr>
        <w:t>sub examine</w:t>
      </w:r>
      <w:r w:rsidRPr="00484531">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484531">
        <w:rPr>
          <w:rFonts w:ascii="Verdana" w:eastAsia="Aptos" w:hAnsi="Verdana" w:cs="Arial"/>
          <w:vertAlign w:val="superscript"/>
        </w:rPr>
        <w:footnoteReference w:id="9"/>
      </w:r>
      <w:r w:rsidRPr="00484531">
        <w:rPr>
          <w:rFonts w:ascii="Verdana" w:eastAsia="Aptos" w:hAnsi="Verdana" w:cs="Arial"/>
        </w:rPr>
        <w:t xml:space="preserve">. </w:t>
      </w:r>
    </w:p>
    <w:p w14:paraId="2E41877E" w14:textId="77777777" w:rsidR="0066141F" w:rsidRPr="00484531" w:rsidRDefault="0066141F" w:rsidP="0066141F">
      <w:pPr>
        <w:spacing w:before="120" w:after="120" w:line="276" w:lineRule="auto"/>
        <w:ind w:firstLine="709"/>
        <w:jc w:val="both"/>
        <w:rPr>
          <w:rFonts w:ascii="Verdana" w:eastAsia="Calibri" w:hAnsi="Verdana" w:cs="Arial"/>
          <w:lang w:val="es-ES"/>
        </w:rPr>
      </w:pPr>
      <w:r w:rsidRPr="00484531">
        <w:rPr>
          <w:rFonts w:ascii="Verdana" w:eastAsia="Calibri" w:hAnsi="Verdana" w:cs="Arial"/>
          <w:lang w:val="es-ES"/>
        </w:rPr>
        <w:t xml:space="preserve">Además, las entidades estatales deben garantizar el </w:t>
      </w:r>
      <w:r w:rsidRPr="00484531">
        <w:rPr>
          <w:rFonts w:ascii="Verdana" w:eastAsia="Calibri" w:hAnsi="Verdana" w:cs="Arial"/>
          <w:i/>
          <w:iCs/>
          <w:lang w:val="es-ES"/>
        </w:rPr>
        <w:t>principio de economía</w:t>
      </w:r>
      <w:r w:rsidRPr="00484531">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484531">
        <w:rPr>
          <w:rFonts w:ascii="Verdana" w:eastAsia="Calibri" w:hAnsi="Verdana" w:cs="Arial"/>
          <w:vertAlign w:val="superscript"/>
          <w:lang w:val="es-ES"/>
        </w:rPr>
        <w:footnoteReference w:id="10"/>
      </w:r>
      <w:r w:rsidRPr="00484531">
        <w:rPr>
          <w:rFonts w:ascii="Verdana" w:eastAsia="Calibri" w:hAnsi="Verdana" w:cs="Arial"/>
          <w:lang w:val="es-ES"/>
        </w:rPr>
        <w:t xml:space="preserve"> sino además en la </w:t>
      </w:r>
      <w:r w:rsidRPr="00484531">
        <w:rPr>
          <w:rFonts w:ascii="Verdana" w:eastAsia="Calibri" w:hAnsi="Verdana" w:cs="Arial"/>
          <w:lang w:val="es-ES"/>
        </w:rPr>
        <w:lastRenderedPageBreak/>
        <w:t xml:space="preserve">normativa </w:t>
      </w:r>
      <w:proofErr w:type="spellStart"/>
      <w:r w:rsidRPr="00484531">
        <w:rPr>
          <w:rFonts w:ascii="Verdana" w:eastAsia="Calibri" w:hAnsi="Verdana" w:cs="Arial"/>
          <w:lang w:val="es-ES"/>
        </w:rPr>
        <w:t>antitrámites</w:t>
      </w:r>
      <w:proofErr w:type="spellEnd"/>
      <w:r w:rsidRPr="00484531">
        <w:rPr>
          <w:rFonts w:ascii="Verdana" w:eastAsia="Calibri" w:hAnsi="Verdana" w:cs="Arial"/>
          <w:vertAlign w:val="superscript"/>
          <w:lang w:val="es-ES"/>
        </w:rPr>
        <w:footnoteReference w:id="11"/>
      </w:r>
      <w:r w:rsidRPr="00484531">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22F7B5AE" w14:textId="77777777" w:rsidR="0066141F" w:rsidRPr="00484531" w:rsidRDefault="0066141F" w:rsidP="0066141F">
      <w:pPr>
        <w:spacing w:before="120" w:after="120" w:line="276" w:lineRule="auto"/>
        <w:ind w:firstLine="709"/>
        <w:jc w:val="both"/>
        <w:rPr>
          <w:rFonts w:ascii="Verdana" w:eastAsia="Calibri" w:hAnsi="Verdana" w:cs="Arial"/>
          <w:lang w:val="es-ES"/>
        </w:rPr>
      </w:pPr>
      <w:r w:rsidRPr="00484531">
        <w:rPr>
          <w:rFonts w:ascii="Verdana" w:eastAsia="Verdana" w:hAnsi="Verdana" w:cs="Verdana"/>
        </w:rPr>
        <w:t xml:space="preserve">En el Concepto C-512 del 7 de mayo de 2026, se precisó que la inalterabilidad de los Documentos Tipo “es una manifestación en mayor grado de las potestades regladas”, lo que implica una reducción de la discrecionalidad de la Administración al momento de estructurar el proceso de contratación. En ese sentido, señaló que cada entidad sometida a estos documentos debe realizar una “aplicación o constatación irrestricta de las reglas y condiciones dispuestas en estos”, salvo aquellos aspectos respecto de los cuales el propio Documento Tipo permita algún margen de decisión. </w:t>
      </w:r>
    </w:p>
    <w:p w14:paraId="1401A3F0" w14:textId="77777777" w:rsidR="0066141F" w:rsidRPr="00484531" w:rsidRDefault="0066141F" w:rsidP="0066141F">
      <w:pPr>
        <w:spacing w:before="120" w:after="120" w:line="276" w:lineRule="auto"/>
        <w:ind w:firstLine="709"/>
        <w:jc w:val="both"/>
        <w:rPr>
          <w:rFonts w:ascii="Verdana" w:eastAsia="Verdana" w:hAnsi="Verdana" w:cs="Verdana"/>
        </w:rPr>
      </w:pPr>
      <w:r w:rsidRPr="00484531">
        <w:rPr>
          <w:rFonts w:ascii="Verdana" w:eastAsia="Verdana" w:hAnsi="Verdana" w:cs="Verdana"/>
        </w:rPr>
        <w:t>Asimismo, el citado concepto señala que las entidades estatales no pueden incluir o modificar condiciones habilitantes, factores técnicos y económicos de escogencia o sistemas de ponderación diferentes de los previstos en los Documentos Tipo. Por ello, la entidad no puede establecer requisitos adicionales ni modificar la metodología de evaluación con el propósito de precisar o complementar dichas condiciones. Lo anterior también encuentra fundamento en el principio de economía, en virtud del cual las entidades estatales no pueden exigir documentos, requisitos o actuaciones distintos de aquellos que resulten necesarios y que estén autorizados por la Constitución, la ley y los reglamentos. En este sentido, el Concepto C-512 de 2026 destaca que la exigencia de documentación innecesaria desconoce dicho principio y se opone a la finalidad de simplificación y racionalización de los procedimientos administrativos.</w:t>
      </w:r>
    </w:p>
    <w:p w14:paraId="1DFAEBDB" w14:textId="77777777" w:rsidR="0066141F" w:rsidRPr="00484531" w:rsidRDefault="0066141F" w:rsidP="0066141F">
      <w:pPr>
        <w:spacing w:after="120" w:line="276" w:lineRule="auto"/>
        <w:jc w:val="both"/>
        <w:rPr>
          <w:rFonts w:ascii="Verdana" w:eastAsia="Verdana" w:hAnsi="Verdana" w:cs="Verdana"/>
        </w:rPr>
      </w:pPr>
      <w:r w:rsidRPr="00484531">
        <w:rPr>
          <w:rFonts w:ascii="Verdana" w:eastAsia="Verdana" w:hAnsi="Verdana" w:cs="Verdana"/>
        </w:rPr>
        <w:t xml:space="preserve">         No obstante, la regla de inalterabilidad no significa que la entidad carezca absolutamente de facultades para diligenciar o definir aspectos del proceso. El propio Concepto C-512 de 2026 y como ya se precisó en el numeral I, reconoce </w:t>
      </w:r>
      <w:r w:rsidRPr="00484531">
        <w:rPr>
          <w:rFonts w:ascii="Verdana" w:eastAsia="Verdana" w:hAnsi="Verdana" w:cs="Verdana"/>
        </w:rPr>
        <w:lastRenderedPageBreak/>
        <w:t xml:space="preserve">que los Documentos Tipo contienen espacios —por ejemplo, textos entre corchetes y resaltados en gris— que deben ser diligenciados por la entidad de acuerdo con sus necesidades y con las instrucciones contenidas en el respectivo Documento Tipo. </w:t>
      </w:r>
    </w:p>
    <w:p w14:paraId="3E36F6D7" w14:textId="77777777" w:rsidR="0066141F" w:rsidRPr="00484531" w:rsidRDefault="0066141F" w:rsidP="0066141F">
      <w:pPr>
        <w:spacing w:after="120" w:line="276" w:lineRule="auto"/>
        <w:jc w:val="both"/>
        <w:rPr>
          <w:rFonts w:ascii="Verdana" w:eastAsia="Verdana" w:hAnsi="Verdana" w:cs="Verdana"/>
        </w:rPr>
      </w:pPr>
      <w:r w:rsidRPr="00484531">
        <w:rPr>
          <w:rFonts w:ascii="Verdana" w:eastAsia="Aptos" w:hAnsi="Verdana" w:cs="Arial"/>
        </w:rPr>
        <w:t xml:space="preserve">III). </w:t>
      </w:r>
      <w:r w:rsidRPr="00484531">
        <w:rPr>
          <w:rFonts w:ascii="Verdana" w:eastAsia="Verdana" w:hAnsi="Verdana" w:cs="Verdana"/>
        </w:rPr>
        <w:t xml:space="preserve"> Una entidad estatal sometida a los Documentos Tipo no puede establecer como requisito habilitante un porcentaje mínimo de cumplimiento del Sistema de Gestión de Seguridad y Salud en el Trabajo (SG-SST), certificado por la Administradora de Riesgos Laborales (ARL), cuando dicha exigencia no se encuentra prevista en el Documento Tipo aplicable. Lo anterior, por cuanto las entidades estatales deben sujetarse a las condiciones de participación y a los requisitos habilitantes definidos en estos instrumentos, sin que les sea dado incorporar exigencias adicionales que modifiquen las reglas estandarizadas para la selección de contratistas.</w:t>
      </w:r>
    </w:p>
    <w:p w14:paraId="5DA87E7B" w14:textId="77777777" w:rsidR="0066141F" w:rsidRPr="00484531" w:rsidRDefault="0066141F" w:rsidP="0066141F">
      <w:pPr>
        <w:spacing w:after="120" w:line="276" w:lineRule="auto"/>
        <w:ind w:firstLine="708"/>
        <w:jc w:val="both"/>
        <w:rPr>
          <w:rFonts w:ascii="Verdana" w:eastAsia="Verdana" w:hAnsi="Verdana" w:cs="Verdana"/>
        </w:rPr>
      </w:pPr>
      <w:r w:rsidRPr="00484531">
        <w:rPr>
          <w:rFonts w:ascii="Verdana" w:eastAsia="Verdana" w:hAnsi="Verdana" w:cs="Verdana"/>
        </w:rPr>
        <w:t>En ese sentido, si bien la implementación del SG-SST constituye una obligación legal para los empleadores, esta circunstancia no faculta a la entidad contratante para establecer, de manera autónoma, un porcentaje mínimo de cumplimiento, determinar una certificación específica como medio obligatorio de acreditación o fijar una oportunidad particular para su presentación como condición para habilitar a los proponentes. Tales exigencias, cuando no están contempladas en el Documento Tipo, exceden la facultad de diligenciamiento y adaptación reconocida a las entidades estatales y pueden introducir condiciones de participación distintas de las previamente establecidas.</w:t>
      </w:r>
    </w:p>
    <w:p w14:paraId="24090F80" w14:textId="77777777" w:rsidR="0066141F" w:rsidRPr="00484531" w:rsidRDefault="0066141F" w:rsidP="0066141F">
      <w:pPr>
        <w:spacing w:after="120" w:line="276" w:lineRule="auto"/>
        <w:ind w:firstLine="708"/>
        <w:jc w:val="both"/>
        <w:rPr>
          <w:rFonts w:ascii="Verdana" w:eastAsia="Verdana" w:hAnsi="Verdana" w:cs="Verdana"/>
        </w:rPr>
      </w:pPr>
      <w:r w:rsidRPr="00484531">
        <w:rPr>
          <w:rFonts w:ascii="Verdana" w:eastAsia="Verdana" w:hAnsi="Verdana" w:cs="Verdana"/>
        </w:rPr>
        <w:t>Por consiguiente, es necesario diferenciar entre la obligación legal de implementar y mantener el SG-SST, cuyo cumplimiento resulta exigible en los términos de la normativa aplicable, y la posibilidad de exigir su acreditación como requisito habilitante dentro de un procedimiento de selección sometido a Documentos Tipo. Esta última posibilidad debe sujetarse estrictamente a las condiciones previstas en el documento aplicable, en observancia de la regla de inalterabilidad que rige estos instrumentos.</w:t>
      </w:r>
    </w:p>
    <w:p w14:paraId="0AA45AAD" w14:textId="77777777" w:rsidR="0066141F" w:rsidRPr="00484531" w:rsidRDefault="0066141F" w:rsidP="0066141F">
      <w:pPr>
        <w:spacing w:after="120" w:line="276" w:lineRule="auto"/>
        <w:ind w:firstLine="708"/>
        <w:jc w:val="both"/>
        <w:rPr>
          <w:rFonts w:ascii="Verdana" w:eastAsia="Verdana" w:hAnsi="Verdana" w:cs="Verdana"/>
        </w:rPr>
      </w:pPr>
      <w:r w:rsidRPr="00484531">
        <w:rPr>
          <w:rFonts w:ascii="Verdana" w:eastAsia="Verdana" w:hAnsi="Verdana" w:cs="Verdana"/>
        </w:rPr>
        <w:t>De ahí que la existencia del deber sustantivo no habilite a la entidad a convertirlo en condición de habilitación ni a definir por sí misma el porcentaje de cumplimiento, la certificación idónea y el momento de acreditación, pues ello equivaldría a crear un requisito habilitante nuevo. Tampoco puede hacerlo por la vía de exigir soportes adicionales, expresamente prohibida.</w:t>
      </w:r>
    </w:p>
    <w:p w14:paraId="5E3742A9" w14:textId="77777777" w:rsidR="0066141F" w:rsidRPr="00484531" w:rsidRDefault="0066141F" w:rsidP="0066141F">
      <w:pPr>
        <w:spacing w:after="120" w:line="276" w:lineRule="auto"/>
        <w:ind w:firstLine="709"/>
        <w:jc w:val="both"/>
        <w:rPr>
          <w:rFonts w:ascii="Verdana" w:eastAsia="Verdana" w:hAnsi="Verdana" w:cs="Verdana"/>
        </w:rPr>
      </w:pPr>
      <w:r w:rsidRPr="00484531">
        <w:rPr>
          <w:rFonts w:ascii="Verdana" w:eastAsia="Verdana" w:hAnsi="Verdana" w:cs="Verdana"/>
        </w:rPr>
        <w:lastRenderedPageBreak/>
        <w:t>Lo anterior no significa que la entidad carezca de instrumentos. El cumplimiento de las obligaciones en materia de seguridad y salud en el trabajo es exigible y verificable durante la ejecución del contrato, a través de la supervisión o la interventoría y de las obligaciones del contratista previstas en el Anexo Técnico. Adicionalmente, el Documento Base ya contempla la acreditación del pago de los aportes al Sistema de Seguridad Social Integral y parafiscales mediante el Formato 6, conforme al artículo 50 de la Ley 789 de 2002, que es el mecanismo estandarizado para esa materia en la fase precontractual.</w:t>
      </w:r>
    </w:p>
    <w:p w14:paraId="090546DB" w14:textId="77777777" w:rsidR="0066141F" w:rsidRPr="003862AC" w:rsidRDefault="0066141F" w:rsidP="0066141F">
      <w:pPr>
        <w:tabs>
          <w:tab w:val="center" w:pos="4419"/>
          <w:tab w:val="right" w:pos="8838"/>
        </w:tabs>
        <w:snapToGrid w:val="0"/>
        <w:spacing w:after="120" w:line="276" w:lineRule="auto"/>
        <w:jc w:val="both"/>
        <w:rPr>
          <w:rFonts w:ascii="Verdana" w:eastAsia="Calibri" w:hAnsi="Verdana" w:cs="Arial"/>
          <w:color w:val="000000"/>
          <w:lang w:val="es-ES_tradnl"/>
        </w:rPr>
      </w:pPr>
      <w:r w:rsidRPr="00484531">
        <w:rPr>
          <w:rFonts w:ascii="Verdana" w:hAnsi="Verdana"/>
        </w:rPr>
        <w:t xml:space="preserve">IV). </w:t>
      </w:r>
      <w:r>
        <w:rPr>
          <w:rFonts w:ascii="Verdana" w:eastAsia="Calibri" w:hAnsi="Verdana" w:cs="Times New Roman"/>
        </w:rPr>
        <w:t xml:space="preserve">I). </w:t>
      </w:r>
      <w:r w:rsidRPr="003862AC">
        <w:rPr>
          <w:rFonts w:ascii="Verdana" w:eastAsia="Calibri" w:hAnsi="Verdana" w:cs="Arial"/>
          <w:color w:val="000000"/>
          <w:lang w:val="es-ES_tradnl"/>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862AC">
        <w:rPr>
          <w:rFonts w:ascii="Verdana" w:eastAsia="Calibri" w:hAnsi="Verdana" w:cs="Arial"/>
          <w:i/>
          <w:iCs/>
          <w:color w:val="000000"/>
          <w:lang w:val="es-ES_tradnl"/>
        </w:rPr>
        <w:t>Documentos del Proceso</w:t>
      </w:r>
      <w:r w:rsidRPr="003862AC">
        <w:rPr>
          <w:rFonts w:ascii="Verdana" w:eastAsia="Calibri" w:hAnsi="Verdana" w:cs="Arial"/>
          <w:color w:val="00000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A7C03E5" w14:textId="77777777" w:rsidR="0066141F" w:rsidRPr="003862AC" w:rsidRDefault="0066141F" w:rsidP="0066141F">
      <w:pPr>
        <w:snapToGrid w:val="0"/>
        <w:spacing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72AE34D7" w14:textId="77777777" w:rsidR="0066141F" w:rsidRPr="003862AC" w:rsidRDefault="0066141F" w:rsidP="0066141F">
      <w:pPr>
        <w:snapToGrid w:val="0"/>
        <w:spacing w:after="120" w:line="276" w:lineRule="auto"/>
        <w:ind w:firstLine="708"/>
        <w:jc w:val="both"/>
        <w:rPr>
          <w:rFonts w:ascii="Verdana" w:eastAsia="Calibri" w:hAnsi="Verdana" w:cs="Arial"/>
          <w:color w:val="000000"/>
          <w:lang w:val="es-ES_tradnl"/>
        </w:rPr>
      </w:pPr>
      <w:r w:rsidRPr="003862AC">
        <w:rPr>
          <w:rFonts w:ascii="Verdana" w:eastAsia="Calibri" w:hAnsi="Verdana" w:cs="Arial"/>
          <w:lang w:val="es-ES_tradnl"/>
        </w:rPr>
        <w:t xml:space="preserve">La parte introductoria de los documentos base de los documentos tipo disponen que los aspectos incluidos en corchetes y resaltados en gris </w:t>
      </w:r>
      <w:r w:rsidRPr="003862AC">
        <w:rPr>
          <w:rFonts w:ascii="Verdana" w:eastAsia="Aptos" w:hAnsi="Verdana" w:cs="Arial"/>
          <w:lang w:val="es-ES_tradnl"/>
        </w:rPr>
        <w:t>–[</w:t>
      </w:r>
      <w:r w:rsidRPr="003862AC">
        <w:rPr>
          <w:rFonts w:ascii="Verdana" w:eastAsia="Aptos" w:hAnsi="Verdana" w:cs="Arial"/>
          <w:highlight w:val="lightGray"/>
          <w:lang w:val="es-ES_tradnl"/>
        </w:rPr>
        <w:t>texto de ejemplo</w:t>
      </w:r>
      <w:r w:rsidRPr="003862AC">
        <w:rPr>
          <w:rFonts w:ascii="Verdana" w:eastAsia="Aptos" w:hAnsi="Verdana" w:cs="Arial"/>
          <w:lang w:val="es-ES_tradnl"/>
        </w:rPr>
        <w:t xml:space="preserve">]– </w:t>
      </w:r>
      <w:r w:rsidRPr="003862AC">
        <w:rPr>
          <w:rFonts w:ascii="Verdana" w:eastAsia="Calibri" w:hAnsi="Verdana" w:cs="Arial"/>
          <w:lang w:val="es-ES_tradnl"/>
        </w:rPr>
        <w:t xml:space="preserve">deben ser diligenciados por la entidad. Excepcionalmente le corresponde al proponente consignar la información incluida en corchetes y resaltada en gris, como, por ejemplo, los formatos que requieren de la firma del </w:t>
      </w:r>
      <w:r w:rsidRPr="003862AC">
        <w:rPr>
          <w:rFonts w:ascii="Verdana" w:eastAsia="Calibri" w:hAnsi="Verdana" w:cs="Arial"/>
          <w:lang w:val="es-ES_tradnl"/>
        </w:rPr>
        <w:lastRenderedPageBreak/>
        <w:t xml:space="preserve">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02E1557" w14:textId="77777777" w:rsidR="0066141F" w:rsidRDefault="0066141F" w:rsidP="0066141F">
      <w:pPr>
        <w:snapToGrid w:val="0"/>
        <w:spacing w:after="120" w:line="276" w:lineRule="auto"/>
        <w:ind w:firstLine="709"/>
        <w:jc w:val="both"/>
        <w:rPr>
          <w:rFonts w:ascii="Verdana" w:eastAsia="Calibri" w:hAnsi="Verdana" w:cs="Arial"/>
          <w:bCs/>
          <w:lang w:val="es-ES_tradnl"/>
        </w:rPr>
      </w:pPr>
      <w:r w:rsidRPr="003862AC">
        <w:rPr>
          <w:rFonts w:ascii="Verdana" w:eastAsia="Calibri" w:hAnsi="Verdana" w:cs="Arial"/>
          <w:bCs/>
          <w:lang w:val="es-ES_tradn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22F5808D" w14:textId="77777777" w:rsidR="0066141F" w:rsidRPr="00256626" w:rsidRDefault="0066141F" w:rsidP="0066141F">
      <w:pPr>
        <w:snapToGrid w:val="0"/>
        <w:spacing w:after="120" w:line="276" w:lineRule="auto"/>
        <w:ind w:firstLine="709"/>
        <w:jc w:val="both"/>
        <w:rPr>
          <w:rFonts w:ascii="Verdana" w:eastAsia="Calibri" w:hAnsi="Verdana" w:cs="Arial"/>
          <w:bCs/>
          <w:lang w:val="es-ES_tradnl"/>
        </w:rPr>
      </w:pPr>
      <w:r w:rsidRPr="00A4504E">
        <w:rPr>
          <w:rFonts w:ascii="Verdana" w:eastAsia="Calibri" w:hAnsi="Verdana" w:cs="Arial"/>
        </w:rPr>
        <w:t xml:space="preserve">Ahora bien, en relación con su consulta, resulta pertinente acudir, a modo de ejemplo, a la parte inicial del Documento Base de Interventoría de Obra Pública del Sector Social, </w:t>
      </w:r>
      <w:r>
        <w:rPr>
          <w:rFonts w:ascii="Verdana" w:eastAsia="Calibri" w:hAnsi="Verdana" w:cs="Arial"/>
        </w:rPr>
        <w:t>e</w:t>
      </w:r>
      <w:r w:rsidRPr="00D91E18">
        <w:rPr>
          <w:rFonts w:ascii="Verdana" w:eastAsia="Calibri" w:hAnsi="Verdana" w:cs="Arial"/>
        </w:rPr>
        <w:t>l documento dispone lo siguiente:</w:t>
      </w:r>
    </w:p>
    <w:p w14:paraId="3F5161D0" w14:textId="77777777" w:rsidR="0066141F" w:rsidRPr="008139A5" w:rsidRDefault="0066141F" w:rsidP="0066141F">
      <w:pPr>
        <w:jc w:val="both"/>
        <w:rPr>
          <w:rFonts w:ascii="Verdana" w:eastAsia="Calibri" w:hAnsi="Verdana" w:cs="Arial"/>
          <w:sz w:val="20"/>
          <w:szCs w:val="20"/>
          <w:lang w:val="es-ES_tradnl"/>
        </w:rPr>
      </w:pPr>
    </w:p>
    <w:p w14:paraId="30223212" w14:textId="77777777" w:rsidR="0066141F" w:rsidRPr="008139A5" w:rsidRDefault="0066141F" w:rsidP="0066141F">
      <w:pPr>
        <w:ind w:left="709" w:right="709"/>
        <w:jc w:val="both"/>
        <w:rPr>
          <w:rFonts w:ascii="Verdana" w:eastAsia="Arial" w:hAnsi="Verdana" w:cs="Arial"/>
          <w:sz w:val="20"/>
          <w:szCs w:val="20"/>
        </w:rPr>
      </w:pPr>
      <w:r w:rsidRPr="008139A5">
        <w:rPr>
          <w:rFonts w:ascii="Verdana" w:eastAsia="Arial" w:hAnsi="Verdana" w:cs="Arial"/>
          <w:sz w:val="20"/>
          <w:szCs w:val="20"/>
          <w:highlight w:val="lightGray"/>
        </w:rPr>
        <w:t>[Los aspectos incluidos en corchetes y resaltados en gris deben ser diligenciados por la Entidad]</w:t>
      </w:r>
    </w:p>
    <w:p w14:paraId="2AE79749" w14:textId="77777777" w:rsidR="0066141F" w:rsidRPr="008139A5" w:rsidRDefault="0066141F" w:rsidP="0066141F">
      <w:pPr>
        <w:spacing w:after="0" w:line="240" w:lineRule="auto"/>
        <w:ind w:left="709" w:right="709"/>
        <w:jc w:val="both"/>
        <w:rPr>
          <w:rFonts w:ascii="Verdana" w:eastAsia="Arial" w:hAnsi="Verdana" w:cs="Arial"/>
        </w:rPr>
      </w:pPr>
    </w:p>
    <w:p w14:paraId="11A38E95" w14:textId="77777777" w:rsidR="0066141F" w:rsidRPr="001C7590" w:rsidRDefault="0066141F" w:rsidP="0066141F">
      <w:pPr>
        <w:snapToGrid w:val="0"/>
        <w:spacing w:after="120" w:line="276" w:lineRule="auto"/>
        <w:jc w:val="both"/>
        <w:rPr>
          <w:rFonts w:ascii="Verdana" w:eastAsia="Calibri" w:hAnsi="Verdana" w:cs="Arial"/>
          <w:bCs/>
        </w:rPr>
      </w:pPr>
      <w:r w:rsidRPr="001C7590">
        <w:rPr>
          <w:rFonts w:ascii="Verdana" w:eastAsia="Calibri" w:hAnsi="Verdana" w:cs="Arial"/>
          <w:bCs/>
        </w:rPr>
        <w:t>En particular, respecto de los requisitos habilitantes, el Documento Base de Interventoría de Obra Pública del Sector Social establece expresamente las reglas que deben observar las entidades estatales para su verificación, así como la prohibición de exigir requisitos diferentes a los previstos en los Documentos Tipo. Al respecto, señala lo siguiente:</w:t>
      </w:r>
    </w:p>
    <w:p w14:paraId="4AA1B369" w14:textId="77777777" w:rsidR="0066141F" w:rsidRPr="008139A5" w:rsidRDefault="0066141F" w:rsidP="0066141F">
      <w:pPr>
        <w:pStyle w:val="InviasNormal"/>
        <w:ind w:left="709" w:right="709"/>
        <w:jc w:val="both"/>
        <w:rPr>
          <w:rFonts w:ascii="Verdana" w:eastAsia="Arial" w:hAnsi="Verdana" w:cs="Arial"/>
          <w:sz w:val="20"/>
          <w:szCs w:val="20"/>
          <w:lang w:val="es-CO"/>
        </w:rPr>
      </w:pPr>
      <w:r w:rsidRPr="008139A5">
        <w:rPr>
          <w:rFonts w:ascii="Verdana" w:hAnsi="Verdana"/>
          <w:sz w:val="20"/>
          <w:szCs w:val="22"/>
          <w:highlight w:val="lightGray"/>
          <w:lang w:val="es-MX"/>
        </w:rPr>
        <w:t>[La Entidad debe adaptar este capítulo al</w:t>
      </w:r>
      <w:r w:rsidRPr="008139A5" w:rsidDel="00526B5E">
        <w:rPr>
          <w:rFonts w:ascii="Verdana" w:hAnsi="Verdana"/>
          <w:sz w:val="20"/>
          <w:szCs w:val="22"/>
          <w:highlight w:val="lightGray"/>
          <w:lang w:val="es-MX"/>
        </w:rPr>
        <w:t xml:space="preserve"> </w:t>
      </w:r>
      <w:r w:rsidRPr="008139A5">
        <w:rPr>
          <w:rFonts w:ascii="Verdana" w:hAnsi="Verdana"/>
          <w:sz w:val="20"/>
          <w:szCs w:val="22"/>
          <w:highlight w:val="lightGray"/>
          <w:lang w:val="es-MX"/>
        </w:rPr>
        <w:t>SECOP II, en los términos definidos en las Guías de Colombia Compra Eficiente</w:t>
      </w:r>
      <w:r w:rsidRPr="008139A5">
        <w:rPr>
          <w:rFonts w:ascii="Verdana" w:eastAsia="Arial" w:hAnsi="Verdana" w:cs="Arial"/>
          <w:sz w:val="20"/>
          <w:szCs w:val="20"/>
          <w:highlight w:val="lightGray"/>
          <w:lang w:val="es-CO"/>
        </w:rPr>
        <w:t>]</w:t>
      </w:r>
      <w:r w:rsidRPr="008139A5">
        <w:rPr>
          <w:rFonts w:ascii="Verdana" w:eastAsia="Arial" w:hAnsi="Verdana" w:cs="Arial"/>
          <w:sz w:val="20"/>
          <w:szCs w:val="20"/>
          <w:lang w:val="es-CO"/>
        </w:rPr>
        <w:t xml:space="preserve">La Entidad verificará los requisitos habilitantes dentro del término señalado en el Cronograma del Pliego de Condiciones, de acuerdo con los soportes documentales que acompañan la propuesta presentada. </w:t>
      </w:r>
    </w:p>
    <w:p w14:paraId="386C8F59" w14:textId="77777777" w:rsidR="0066141F" w:rsidRPr="000E6CA0" w:rsidRDefault="0066141F" w:rsidP="0066141F">
      <w:pPr>
        <w:pStyle w:val="InviasNormal"/>
        <w:ind w:left="709" w:right="709"/>
        <w:jc w:val="both"/>
        <w:rPr>
          <w:rFonts w:ascii="Verdana" w:eastAsia="Arial" w:hAnsi="Verdana" w:cs="Arial"/>
          <w:sz w:val="20"/>
          <w:szCs w:val="20"/>
          <w:lang w:val="es-ES"/>
        </w:rPr>
      </w:pPr>
      <w:r w:rsidRPr="000E6CA0">
        <w:rPr>
          <w:rFonts w:ascii="Verdana" w:eastAsia="Arial" w:hAnsi="Verdana" w:cs="Arial"/>
          <w:sz w:val="20"/>
          <w:szCs w:val="20"/>
          <w:lang w:val="es-ES"/>
        </w:rPr>
        <w:t>Los requisitos habilitantes serán objeto de verificación. Por lo tanto, si la propuesta cumple con todos los aspectos se evaluarán como “</w:t>
      </w:r>
      <w:r w:rsidRPr="000E6CA0">
        <w:rPr>
          <w:rFonts w:ascii="Verdana" w:eastAsia="Arial" w:hAnsi="Verdana" w:cs="Arial"/>
          <w:i/>
          <w:sz w:val="20"/>
          <w:szCs w:val="20"/>
          <w:lang w:val="es-ES"/>
        </w:rPr>
        <w:t>cumple</w:t>
      </w:r>
      <w:r w:rsidRPr="000E6CA0">
        <w:rPr>
          <w:rFonts w:ascii="Verdana" w:eastAsia="Arial" w:hAnsi="Verdana" w:cs="Arial"/>
          <w:sz w:val="20"/>
          <w:szCs w:val="20"/>
          <w:lang w:val="es-ES"/>
        </w:rPr>
        <w:t>”. En caso contrario se evaluará como “</w:t>
      </w:r>
      <w:r w:rsidRPr="000E6CA0">
        <w:rPr>
          <w:rFonts w:ascii="Verdana" w:eastAsia="Arial" w:hAnsi="Verdana" w:cs="Arial"/>
          <w:i/>
          <w:sz w:val="20"/>
          <w:szCs w:val="20"/>
          <w:lang w:val="es-ES"/>
        </w:rPr>
        <w:t>no cumple</w:t>
      </w:r>
      <w:r w:rsidRPr="000E6CA0">
        <w:rPr>
          <w:rFonts w:ascii="Verdana" w:eastAsia="Arial" w:hAnsi="Verdana" w:cs="Arial"/>
          <w:sz w:val="20"/>
          <w:szCs w:val="20"/>
          <w:lang w:val="es-ES"/>
        </w:rPr>
        <w:t xml:space="preserve">”. </w:t>
      </w:r>
    </w:p>
    <w:p w14:paraId="37C418C2" w14:textId="77777777" w:rsidR="0066141F" w:rsidRPr="008139A5" w:rsidRDefault="0066141F" w:rsidP="0066141F">
      <w:pPr>
        <w:pStyle w:val="InviasNormal"/>
        <w:ind w:left="709" w:right="709"/>
        <w:jc w:val="both"/>
        <w:rPr>
          <w:rFonts w:ascii="Verdana" w:eastAsia="Arial" w:hAnsi="Verdana" w:cs="Arial"/>
          <w:sz w:val="20"/>
          <w:szCs w:val="20"/>
          <w:lang w:val="es-CO"/>
        </w:rPr>
      </w:pPr>
      <w:r w:rsidRPr="008139A5">
        <w:rPr>
          <w:rFonts w:ascii="Verdana" w:eastAsia="Arial" w:hAnsi="Verdana" w:cs="Arial"/>
          <w:sz w:val="20"/>
          <w:szCs w:val="20"/>
          <w:lang w:val="es-CO"/>
        </w:rPr>
        <w:t xml:space="preserve">De conformidad con la normativa aplicable, la Entidad realizará la verificación de requisitos habilitantes de los Proponentes (personas naturales o jurídicas nacionales o extranjeras domiciliadas o con Sucursal en Colombia, Proponentes Plurales) con base en la información contenida en el Registro Único de Proponentes (RUP) y los documentos señalados en los Documentos Tipo. </w:t>
      </w:r>
    </w:p>
    <w:p w14:paraId="78F692A1" w14:textId="77777777" w:rsidR="0066141F" w:rsidRPr="008139A5" w:rsidRDefault="0066141F" w:rsidP="0066141F">
      <w:pPr>
        <w:pStyle w:val="InviasNormal"/>
        <w:ind w:left="709" w:right="709"/>
        <w:jc w:val="both"/>
        <w:rPr>
          <w:rFonts w:ascii="Verdana" w:eastAsia="Arial" w:hAnsi="Verdana" w:cs="Arial"/>
          <w:sz w:val="20"/>
          <w:szCs w:val="20"/>
        </w:rPr>
      </w:pPr>
      <w:r w:rsidRPr="008139A5">
        <w:rPr>
          <w:rFonts w:ascii="Verdana" w:eastAsia="Arial" w:hAnsi="Verdana" w:cs="Arial"/>
          <w:b/>
          <w:bCs/>
          <w:sz w:val="20"/>
          <w:szCs w:val="20"/>
          <w:u w:val="single"/>
          <w:lang w:val="es-CO"/>
        </w:rPr>
        <w:lastRenderedPageBreak/>
        <w:t>La Entidad no podrá exigir requisitos habilitantes diferentes a los señalados en los Documentos Tipo.</w:t>
      </w:r>
      <w:r w:rsidRPr="008139A5">
        <w:rPr>
          <w:rFonts w:ascii="Verdana" w:eastAsia="Arial" w:hAnsi="Verdana" w:cs="Arial"/>
          <w:b/>
          <w:bCs/>
          <w:sz w:val="20"/>
          <w:szCs w:val="20"/>
          <w:lang w:val="es-CO"/>
        </w:rPr>
        <w:t xml:space="preserve"> </w:t>
      </w:r>
      <w:r>
        <w:rPr>
          <w:rFonts w:ascii="Verdana" w:eastAsia="Arial" w:hAnsi="Verdana" w:cs="Arial"/>
          <w:sz w:val="20"/>
          <w:szCs w:val="20"/>
          <w:lang w:val="es-CO"/>
        </w:rPr>
        <w:t>(Negrilla y subrayado fuera del texto original).</w:t>
      </w:r>
    </w:p>
    <w:p w14:paraId="2664279F" w14:textId="77777777" w:rsidR="0066141F" w:rsidRDefault="0066141F" w:rsidP="0066141F">
      <w:pPr>
        <w:snapToGrid w:val="0"/>
        <w:spacing w:line="276" w:lineRule="auto"/>
        <w:ind w:firstLine="709"/>
        <w:jc w:val="both"/>
        <w:rPr>
          <w:rFonts w:ascii="Verdana" w:eastAsia="Calibri" w:hAnsi="Verdana" w:cs="Times New Roman"/>
        </w:rPr>
      </w:pPr>
      <w:r w:rsidRPr="00B05DCA">
        <w:rPr>
          <w:rFonts w:ascii="Verdana" w:eastAsia="Calibri" w:hAnsi="Verdana" w:cs="Times New Roman"/>
        </w:rPr>
        <w:t>Como puede apreciarse, el apartado correspondiente a los requisitos habilitantes permite a las entidades estatales adaptar el capítulo a SECOP II, de conformidad con los términos definidos en las guías de Colombia Compra Eficiente. No obstante, esta facultad se limita a los aspectos expresamente autorizados en el Documento Tipo y no habilita a las entidades para incorporar requisitos habilitantes adicionales o modificar los establecidos en dicho instrumento.</w:t>
      </w:r>
    </w:p>
    <w:p w14:paraId="6B50BF6C" w14:textId="77777777" w:rsidR="0066141F" w:rsidRPr="00B05DCA" w:rsidRDefault="0066141F" w:rsidP="0066141F">
      <w:pPr>
        <w:snapToGrid w:val="0"/>
        <w:spacing w:after="0" w:line="276" w:lineRule="auto"/>
        <w:ind w:firstLine="709"/>
        <w:jc w:val="both"/>
        <w:rPr>
          <w:rFonts w:ascii="Verdana" w:eastAsia="Calibri" w:hAnsi="Verdana" w:cs="Times New Roman"/>
        </w:rPr>
      </w:pPr>
    </w:p>
    <w:p w14:paraId="13CC8913" w14:textId="77777777" w:rsidR="0066141F" w:rsidRDefault="0066141F" w:rsidP="0066141F">
      <w:pPr>
        <w:snapToGrid w:val="0"/>
        <w:spacing w:line="276" w:lineRule="auto"/>
        <w:ind w:firstLine="709"/>
        <w:jc w:val="both"/>
        <w:rPr>
          <w:rFonts w:ascii="Verdana" w:eastAsia="Calibri" w:hAnsi="Verdana" w:cs="Times New Roman"/>
        </w:rPr>
      </w:pPr>
      <w:r w:rsidRPr="00B05DCA">
        <w:rPr>
          <w:rFonts w:ascii="Verdana" w:eastAsia="Calibri" w:hAnsi="Verdana" w:cs="Times New Roman"/>
        </w:rPr>
        <w:t>En ese sentido, las entidades estatales deben verificar los requisitos habilitantes con fundamento en las condiciones y los soportes documentales previstos en los Documentos Tipo, sin establecer exigencias que restrinjan la participación de los proponentes o alteren las reglas definidas por la Agencia Nacional de Contratación Pública – Colombia Compra Eficiente. Por tanto, cualquier adaptación del capítulo deberá atender las instrucciones del Documento Tipo y limitarse a los ajustes necesarios para su aplicación en SECOP II, sin modificar su contenido sustancial.</w:t>
      </w:r>
    </w:p>
    <w:p w14:paraId="28B354AD" w14:textId="77777777" w:rsidR="0066141F" w:rsidRPr="00B05DCA" w:rsidRDefault="0066141F" w:rsidP="0066141F">
      <w:pPr>
        <w:snapToGrid w:val="0"/>
        <w:spacing w:after="0" w:line="276" w:lineRule="auto"/>
        <w:ind w:firstLine="709"/>
        <w:jc w:val="both"/>
        <w:rPr>
          <w:rFonts w:ascii="Verdana" w:eastAsia="Calibri" w:hAnsi="Verdana" w:cs="Times New Roman"/>
        </w:rPr>
      </w:pPr>
    </w:p>
    <w:p w14:paraId="02C44239" w14:textId="77777777" w:rsidR="0066141F" w:rsidRDefault="0066141F" w:rsidP="0066141F">
      <w:pPr>
        <w:snapToGrid w:val="0"/>
        <w:spacing w:line="276" w:lineRule="auto"/>
        <w:ind w:firstLine="709"/>
        <w:jc w:val="both"/>
        <w:rPr>
          <w:rFonts w:ascii="Verdana" w:eastAsia="Calibri" w:hAnsi="Verdana" w:cs="Times New Roman"/>
        </w:rPr>
      </w:pPr>
      <w:r w:rsidRPr="00B05DCA">
        <w:rPr>
          <w:rFonts w:ascii="Verdana" w:eastAsia="Calibri" w:hAnsi="Verdana" w:cs="Times New Roman"/>
        </w:rPr>
        <w:t>De esta manera, la posibilidad de diligenciar o adaptar determinados apartados no puede interpretarse como una autorización para modificar los requisitos habilitantes, pues estos forman parte de los contenidos sujetos a la regla de inalterabilidad de los Documentos Tipo.</w:t>
      </w:r>
    </w:p>
    <w:p w14:paraId="3E2D4239" w14:textId="77777777" w:rsidR="0066141F" w:rsidRDefault="0066141F" w:rsidP="0066141F">
      <w:pPr>
        <w:snapToGrid w:val="0"/>
        <w:spacing w:line="276" w:lineRule="auto"/>
        <w:ind w:firstLine="709"/>
        <w:jc w:val="both"/>
        <w:rPr>
          <w:rFonts w:ascii="Verdana" w:eastAsia="Calibri" w:hAnsi="Verdana" w:cs="Times New Roman"/>
        </w:rPr>
      </w:pPr>
    </w:p>
    <w:p w14:paraId="6952636B" w14:textId="77777777" w:rsidR="0066141F" w:rsidRPr="003F43EA" w:rsidRDefault="0066141F" w:rsidP="0066141F">
      <w:pPr>
        <w:spacing w:after="120" w:line="276" w:lineRule="auto"/>
        <w:jc w:val="both"/>
        <w:rPr>
          <w:rFonts w:ascii="Verdana" w:eastAsia="Verdana" w:hAnsi="Verdana" w:cs="Verdana"/>
        </w:rPr>
      </w:pPr>
      <w:r>
        <w:rPr>
          <w:rFonts w:ascii="Verdana" w:eastAsia="Calibri" w:hAnsi="Verdana" w:cs="Times New Roman"/>
        </w:rPr>
        <w:t xml:space="preserve">II). </w:t>
      </w:r>
      <w:r w:rsidRPr="002932C6">
        <w:rPr>
          <w:rFonts w:ascii="Verdana" w:eastAsia="Verdana" w:hAnsi="Verdana" w:cs="Verdana"/>
        </w:rPr>
        <w:t>D</w:t>
      </w:r>
      <w:r w:rsidRPr="003F43EA">
        <w:rPr>
          <w:rFonts w:ascii="Verdana" w:eastAsia="Verdana" w:hAnsi="Verdana" w:cs="Verdana"/>
        </w:rPr>
        <w:t xml:space="preserve">e conformidad con el artículo 1 de la Ley 2022 de 2020 y las disposiciones que regulan los Documentos Tipo, cuando un proceso de selección se encuentra sometido a estos instrumentos, las entidades estatales deben sujetarse a las condiciones allí establecidas. En consecuencia, no resulta jurídicamente procedente los criterios establecidos en los Documentos Tipo, salvo en aquellos aspectos en los que estos expresamente permitan su diligenciamiento o determinación por parte de la entidad. </w:t>
      </w:r>
    </w:p>
    <w:p w14:paraId="18BCE121" w14:textId="77777777" w:rsidR="0066141F" w:rsidRPr="003F43EA" w:rsidRDefault="0066141F" w:rsidP="0066141F">
      <w:pPr>
        <w:spacing w:after="120" w:line="276" w:lineRule="auto"/>
        <w:jc w:val="both"/>
        <w:rPr>
          <w:rFonts w:ascii="Verdana" w:eastAsia="Verdana" w:hAnsi="Verdana" w:cs="Verdana"/>
        </w:rPr>
      </w:pPr>
      <w:r w:rsidRPr="003F43EA">
        <w:rPr>
          <w:rFonts w:ascii="Verdana" w:eastAsia="Verdana" w:hAnsi="Verdana" w:cs="Verdana"/>
        </w:rPr>
        <w:t xml:space="preserve">        Sobre el particular, la Agencia Nacional de Contratación Pública – Colombia Compra Eficiente, en el Concepto C-512 del 7 de mayo de 2026, precisó que la </w:t>
      </w:r>
      <w:r w:rsidRPr="003F43EA">
        <w:rPr>
          <w:rFonts w:ascii="Verdana" w:eastAsia="Verdana" w:hAnsi="Verdana" w:cs="Verdana"/>
        </w:rPr>
        <w:lastRenderedPageBreak/>
        <w:t xml:space="preserve">inalterabilidad de los Documentos Tipo “es una manifestación en mayor grado de las potestades regladas”, lo que implica una reducción de la discrecionalidad de la Administración al momento de estructurar el proceso de contratación. En ese sentido, señaló que cada entidad sometida a estos documentos debe realizar una “aplicación o constatación irrestricta de las reglas y condiciones dispuestas en estos”, salvo aquellos aspectos respecto de los cuales el propio Documento Tipo permita algún margen de decisión. </w:t>
      </w:r>
    </w:p>
    <w:p w14:paraId="21157FFD" w14:textId="77777777" w:rsidR="0066141F" w:rsidRPr="003F43EA" w:rsidRDefault="0066141F" w:rsidP="0066141F">
      <w:pPr>
        <w:spacing w:after="120" w:line="276" w:lineRule="auto"/>
        <w:jc w:val="both"/>
        <w:rPr>
          <w:rFonts w:ascii="Verdana" w:eastAsia="Verdana" w:hAnsi="Verdana" w:cs="Verdana"/>
        </w:rPr>
      </w:pPr>
      <w:r w:rsidRPr="003F43EA">
        <w:rPr>
          <w:rFonts w:ascii="Verdana" w:eastAsia="Verdana" w:hAnsi="Verdana" w:cs="Verdana"/>
        </w:rPr>
        <w:t xml:space="preserve">         Asimismo, el citado concepto señala que las entidades estatales no pueden incluir o modificar condiciones habilitantes, factores técnicos y económicos de escogencia o sistemas de ponderación diferentes de los previstos en los Documentos Tipo. Por ello, la entidad no puede establecer requisitos adicionales ni modificar la metodología de evaluación con el propósito de precisar o complementar dichas condiciones. </w:t>
      </w:r>
    </w:p>
    <w:p w14:paraId="50DBCDF2" w14:textId="77777777" w:rsidR="0066141F" w:rsidRPr="003F43EA" w:rsidRDefault="0066141F" w:rsidP="0066141F">
      <w:pPr>
        <w:spacing w:after="120" w:line="276" w:lineRule="auto"/>
        <w:jc w:val="both"/>
        <w:rPr>
          <w:rFonts w:ascii="Verdana" w:eastAsia="Verdana" w:hAnsi="Verdana" w:cs="Verdana"/>
        </w:rPr>
      </w:pPr>
      <w:r w:rsidRPr="003F43EA">
        <w:rPr>
          <w:rFonts w:ascii="Verdana" w:eastAsia="Verdana" w:hAnsi="Verdana" w:cs="Verdana"/>
        </w:rPr>
        <w:t xml:space="preserve">         Lo anterior también encuentra fundamento en el principio de economía, en virtud del cual las entidades estatales no pueden exigir documentos, requisitos o actuaciones distintos de aquellos que resulten necesarios y que estén autorizados por la Constitución, la ley y los reglamentos. En este sentido, el Concepto C-512 de 2026 destaca que la exigencia de documentación innecesaria desconoce dicho principio y se opone a la finalidad de simplificación y racionalización de los procedimientos administrativos.</w:t>
      </w:r>
    </w:p>
    <w:p w14:paraId="1B78B03B" w14:textId="77777777" w:rsidR="0066141F" w:rsidRDefault="0066141F" w:rsidP="0066141F">
      <w:pPr>
        <w:spacing w:after="120" w:line="276" w:lineRule="auto"/>
        <w:jc w:val="both"/>
        <w:rPr>
          <w:rFonts w:ascii="Verdana" w:eastAsia="Verdana" w:hAnsi="Verdana" w:cs="Verdana"/>
        </w:rPr>
      </w:pPr>
      <w:r w:rsidRPr="003F43EA">
        <w:rPr>
          <w:rFonts w:ascii="Verdana" w:eastAsia="Verdana" w:hAnsi="Verdana" w:cs="Verdana"/>
        </w:rPr>
        <w:t xml:space="preserve">         No obstante, la regla de inalterabilidad no significa que la entidad carezca absolutamente de facultades para diligenciar o definir aspectos del proceso. El propio Concepto C-512 de 2026 y como ya se precisó en el numeral I, reconoce que los Documentos Tipo contienen espacios —por ejemplo, textos entre corchetes y resaltados en gris— que deben ser diligenciados por la entidad de acuerdo con sus necesidades y con las instrucciones contenidas en el respectivo Documento Tipo. </w:t>
      </w:r>
    </w:p>
    <w:p w14:paraId="000D8FD2" w14:textId="77777777" w:rsidR="0066141F" w:rsidRPr="00CC77CD" w:rsidRDefault="0066141F" w:rsidP="0066141F">
      <w:pPr>
        <w:spacing w:after="120" w:line="276" w:lineRule="auto"/>
        <w:jc w:val="both"/>
        <w:rPr>
          <w:rFonts w:ascii="Verdana" w:eastAsia="Verdana" w:hAnsi="Verdana" w:cs="Verdana"/>
        </w:rPr>
      </w:pPr>
      <w:r>
        <w:rPr>
          <w:rFonts w:ascii="Verdana" w:eastAsia="Verdana" w:hAnsi="Verdana" w:cs="Verdana"/>
        </w:rPr>
        <w:t>III).</w:t>
      </w:r>
      <w:r w:rsidRPr="00CC77CD">
        <w:rPr>
          <w:rFonts w:ascii="Century Gothic" w:eastAsia="Times New Roman" w:hAnsi="Century Gothic" w:cs="Times New Roman"/>
          <w:color w:val="000000"/>
          <w:sz w:val="24"/>
          <w:szCs w:val="24"/>
          <w:lang w:eastAsia="es-CO"/>
        </w:rPr>
        <w:t xml:space="preserve"> </w:t>
      </w:r>
      <w:r w:rsidRPr="00CC77CD">
        <w:rPr>
          <w:rFonts w:ascii="Verdana" w:eastAsia="Verdana" w:hAnsi="Verdana" w:cs="Verdana"/>
        </w:rPr>
        <w:t>Una entidad sometida al Documento Tipo no puede establecer como requisito habilitante un porcentaje mínimo de cumplimiento del Sistema de Gestión de Seguridad y Salud en el Trabajo, ni exigir su certificación por la Administradora de Riesgos Laborales como condición de habilitación, por cuanto tal exigencia no está prevista en el Documento Base aplicable.</w:t>
      </w:r>
    </w:p>
    <w:p w14:paraId="23530A3D" w14:textId="77777777" w:rsidR="0066141F" w:rsidRPr="00CC77CD" w:rsidRDefault="0066141F" w:rsidP="0066141F">
      <w:pPr>
        <w:spacing w:after="120" w:line="276" w:lineRule="auto"/>
        <w:ind w:firstLine="709"/>
        <w:jc w:val="both"/>
        <w:rPr>
          <w:rFonts w:ascii="Verdana" w:eastAsia="Verdana" w:hAnsi="Verdana" w:cs="Verdana"/>
        </w:rPr>
      </w:pPr>
      <w:r w:rsidRPr="00CC77CD">
        <w:rPr>
          <w:rFonts w:ascii="Verdana" w:eastAsia="Verdana" w:hAnsi="Verdana" w:cs="Verdana"/>
        </w:rPr>
        <w:t xml:space="preserve">Los documentos tipo expedidos por esta Agencia en ejercicio de la potestad otorgada por la Ley 2022 de 2020 son de obligatoria observancia para </w:t>
      </w:r>
      <w:r w:rsidRPr="00CC77CD">
        <w:rPr>
          <w:rFonts w:ascii="Verdana" w:eastAsia="Verdana" w:hAnsi="Verdana" w:cs="Verdana"/>
        </w:rPr>
        <w:lastRenderedPageBreak/>
        <w:t>las Entidades Estatales sometidas al Estatuto General de Contratación de la Administración Pública, y se rigen por la regla de inalterabilidad: solo pueden modificarse en los aspectos que ellos mismos lo permitan, esto es, los contenidos entre corchetes y resaltados en gris, siguiendo las instrucciones allí dispuestas.</w:t>
      </w:r>
    </w:p>
    <w:p w14:paraId="43BC7A50" w14:textId="77777777" w:rsidR="0066141F" w:rsidRPr="00CC77CD" w:rsidRDefault="0066141F" w:rsidP="0066141F">
      <w:pPr>
        <w:spacing w:after="120" w:line="276" w:lineRule="auto"/>
        <w:ind w:firstLine="709"/>
        <w:jc w:val="both"/>
        <w:rPr>
          <w:rFonts w:ascii="Verdana" w:eastAsia="Verdana" w:hAnsi="Verdana" w:cs="Verdana"/>
        </w:rPr>
      </w:pPr>
      <w:r w:rsidRPr="00CC77CD">
        <w:rPr>
          <w:rFonts w:ascii="Verdana" w:eastAsia="Verdana" w:hAnsi="Verdana" w:cs="Verdana"/>
        </w:rPr>
        <w:t>El propio Documento Base lo establece de manera expresa en sus normas de interpretación, al disponer que las entidades estatales contratantes no podrán incluir o modificar dentro de los documentos del proceso las condiciones habilitantes, los factores técnicos y económicos de escogencia y los sistemas de ponderación distintos a los señalados en los Documentos Tipo, y que estos son inalterables, sin que sea posible exigir soportes o requisitos adicionales salvo autorización expresa.</w:t>
      </w:r>
    </w:p>
    <w:p w14:paraId="30AD205C" w14:textId="77777777" w:rsidR="0066141F" w:rsidRDefault="0066141F" w:rsidP="0066141F">
      <w:pPr>
        <w:spacing w:after="120" w:line="276" w:lineRule="auto"/>
        <w:ind w:firstLine="709"/>
        <w:jc w:val="both"/>
        <w:rPr>
          <w:rFonts w:ascii="Verdana" w:eastAsia="Verdana" w:hAnsi="Verdana" w:cs="Verdana"/>
        </w:rPr>
      </w:pPr>
      <w:r w:rsidRPr="00CC77CD">
        <w:rPr>
          <w:rFonts w:ascii="Verdana" w:eastAsia="Verdana" w:hAnsi="Verdana" w:cs="Verdana"/>
        </w:rPr>
        <w:t>Los requisitos habilitantes previstos en el Documento Tipo son taxativos y se limitan a la capacidad jurídica, la experiencia, la capacidad financiera y organizacional y la capacidad residual, acreditables en los términos y con los documentos allí señalados. El cumplimiento del SG-SST no figura entre ellos, de modo que su incorporación constituiría una alteración prohibida.</w:t>
      </w:r>
    </w:p>
    <w:p w14:paraId="7CBF4654" w14:textId="77777777" w:rsidR="0066141F" w:rsidRDefault="0066141F" w:rsidP="0066141F">
      <w:pPr>
        <w:spacing w:after="120" w:line="276" w:lineRule="auto"/>
        <w:ind w:firstLine="709"/>
        <w:jc w:val="both"/>
        <w:rPr>
          <w:rFonts w:ascii="Verdana" w:eastAsia="Verdana" w:hAnsi="Verdana" w:cs="Verdana"/>
        </w:rPr>
      </w:pPr>
      <w:r w:rsidRPr="00CC77CD">
        <w:rPr>
          <w:rFonts w:ascii="Verdana" w:eastAsia="Verdana" w:hAnsi="Verdana" w:cs="Verdana"/>
        </w:rPr>
        <w:t>Los requisitos habilitantes deben ser adecuados y proporcionales a la naturaleza y al valor del contrato, y su estandarización es precisamente la finalidad que persiguen los documentos tipo.</w:t>
      </w:r>
    </w:p>
    <w:p w14:paraId="50FA0DB5" w14:textId="77777777" w:rsidR="0066141F" w:rsidRDefault="0066141F" w:rsidP="0066141F">
      <w:pPr>
        <w:spacing w:after="120" w:line="276" w:lineRule="auto"/>
        <w:ind w:firstLine="709"/>
        <w:jc w:val="both"/>
        <w:rPr>
          <w:rFonts w:ascii="Verdana" w:eastAsia="Verdana" w:hAnsi="Verdana" w:cs="Verdana"/>
        </w:rPr>
      </w:pPr>
      <w:r w:rsidRPr="00CC77CD">
        <w:rPr>
          <w:rFonts w:ascii="Verdana" w:eastAsia="Verdana" w:hAnsi="Verdana" w:cs="Verdana"/>
        </w:rPr>
        <w:t>La implementación del Sistema de Gestión de Seguridad y Salud en el Trabajo es una obligación legal sustantiva de todo empleador, exigible con independencia de que participe o no en un proceso de contratación estatal, y cuya vigilancia corresponde al Ministerio del Trabajo. Su incumplimiento genera las consecuencias previstas en el régimen laboral y de riesgos laborales, no en el estatuto contractual.</w:t>
      </w:r>
    </w:p>
    <w:p w14:paraId="23ECC913" w14:textId="77777777" w:rsidR="0066141F" w:rsidRDefault="0066141F" w:rsidP="0066141F">
      <w:pPr>
        <w:spacing w:after="120" w:line="276" w:lineRule="auto"/>
        <w:ind w:firstLine="709"/>
        <w:jc w:val="both"/>
        <w:rPr>
          <w:rFonts w:ascii="Verdana" w:eastAsia="Verdana" w:hAnsi="Verdana" w:cs="Verdana"/>
        </w:rPr>
      </w:pPr>
      <w:r w:rsidRPr="00CC77CD">
        <w:rPr>
          <w:rFonts w:ascii="Verdana" w:eastAsia="Verdana" w:hAnsi="Verdana" w:cs="Verdana"/>
        </w:rPr>
        <w:t>El requisito habilitante, en cambio, es una condición de admisión al proceso de selección que determina quién puede ser evaluado y quién queda excluido. Su fuente no es la ley laboral sino el pliego de condiciones, y en los procesos regidos por documentos tipo esa fuente está cerrada y estandarizada.</w:t>
      </w:r>
    </w:p>
    <w:p w14:paraId="4DEA9C18" w14:textId="77777777" w:rsidR="0066141F" w:rsidRDefault="0066141F" w:rsidP="0066141F">
      <w:pPr>
        <w:spacing w:after="120" w:line="276" w:lineRule="auto"/>
        <w:ind w:firstLine="709"/>
        <w:jc w:val="both"/>
        <w:rPr>
          <w:rFonts w:ascii="Verdana" w:eastAsia="Verdana" w:hAnsi="Verdana" w:cs="Verdana"/>
        </w:rPr>
      </w:pPr>
      <w:r w:rsidRPr="00CC77CD">
        <w:rPr>
          <w:rFonts w:ascii="Verdana" w:eastAsia="Verdana" w:hAnsi="Verdana" w:cs="Verdana"/>
        </w:rPr>
        <w:t>De ahí que la existencia del deber sustantivo no habilite a la entidad a convertirlo en condición de habilitación ni a definir por sí misma el porcentaje de cumplimiento, la certificación idónea y el momento de acreditación, pues ello equivaldría a crear un requisito habilitante nuevo. Tampoco puede hacerlo por la vía de exigir soportes adicionales, expresamente prohibida.</w:t>
      </w:r>
    </w:p>
    <w:p w14:paraId="3C73156B" w14:textId="77777777" w:rsidR="0066141F" w:rsidRPr="00CC77CD" w:rsidRDefault="0066141F" w:rsidP="0066141F">
      <w:pPr>
        <w:spacing w:after="120" w:line="276" w:lineRule="auto"/>
        <w:ind w:firstLine="709"/>
        <w:jc w:val="both"/>
        <w:rPr>
          <w:rFonts w:ascii="Verdana" w:eastAsia="Verdana" w:hAnsi="Verdana" w:cs="Verdana"/>
        </w:rPr>
      </w:pPr>
      <w:r w:rsidRPr="00CC77CD">
        <w:rPr>
          <w:rFonts w:ascii="Verdana" w:eastAsia="Verdana" w:hAnsi="Verdana" w:cs="Verdana"/>
        </w:rPr>
        <w:lastRenderedPageBreak/>
        <w:t>Lo anterior no significa que la entidad carezca de instrumentos. El cumplimiento de las obligaciones en materia de seguridad y salud en el trabajo es exigible y verificable durante la ejecución del contrato, a través de la supervisión o la interventoría y de las obligaciones del contratista previstas en el Anexo Técnico. Adicionalmente, el Documento Base ya contempla la acreditación del pago de los aportes al Sistema de Seguridad Social Integral y parafiscales mediante el Formato 6, conforme al artículo 50 de la Ley 789 de 2002, que es el mecanismo estandarizado para esa materia en la fase precontractual.</w:t>
      </w:r>
    </w:p>
    <w:p w14:paraId="26097567" w14:textId="77777777" w:rsidR="0066141F" w:rsidRPr="00A55F76" w:rsidRDefault="0066141F" w:rsidP="0066141F">
      <w:pPr>
        <w:spacing w:before="120" w:after="120" w:line="276" w:lineRule="auto"/>
        <w:jc w:val="both"/>
        <w:rPr>
          <w:rFonts w:ascii="Verdana" w:hAnsi="Verdana"/>
        </w:rPr>
      </w:pPr>
      <w:r>
        <w:rPr>
          <w:rFonts w:ascii="Verdana" w:eastAsia="Calibri" w:hAnsi="Verdana" w:cs="Arial"/>
          <w:bCs/>
          <w:lang w:eastAsia="es-ES_tradnl"/>
        </w:rPr>
        <w:t xml:space="preserve">IV). </w:t>
      </w:r>
      <w:r w:rsidRPr="00A55F76">
        <w:rPr>
          <w:rFonts w:ascii="Verdana" w:eastAsia="Calibri" w:hAnsi="Verdana" w:cs="Arial"/>
          <w:bCs/>
          <w:lang w:eastAsia="es-ES_tradnl"/>
        </w:rPr>
        <w:t xml:space="preserve">Cuando </w:t>
      </w:r>
      <w:r w:rsidRPr="00A55F76">
        <w:rPr>
          <w:rFonts w:ascii="Verdana" w:hAnsi="Verdana"/>
        </w:rPr>
        <w:t>el objeto contractual incluya obras, bienes o servicios adicionales a la interventoría obra pública de infraestructura de social, la entidad estatal deberá aplicar los Documentos Tipo y, excepcionalmente, podrá exigir experiencia adicional para evaluar la idoneidad del contratista respecto de aquellas actividades que no se encuentren incluidas en la matriz de experiencia aplicable, siempre que observe los parámetros establecidos en dicha disposición.</w:t>
      </w:r>
    </w:p>
    <w:p w14:paraId="53E9A77D" w14:textId="77777777" w:rsidR="0066141F" w:rsidRDefault="0066141F" w:rsidP="0066141F">
      <w:pPr>
        <w:spacing w:before="120" w:after="120" w:line="276" w:lineRule="auto"/>
        <w:ind w:firstLine="709"/>
        <w:jc w:val="both"/>
        <w:rPr>
          <w:rFonts w:ascii="Verdana" w:hAnsi="Verdana"/>
        </w:rPr>
      </w:pPr>
      <w:r w:rsidRPr="00A55F76">
        <w:rPr>
          <w:rFonts w:ascii="Verdana" w:hAnsi="Verdana"/>
        </w:rPr>
        <w:t>En efecto, el referido artículo dispone:</w:t>
      </w:r>
    </w:p>
    <w:p w14:paraId="45CB53A8" w14:textId="77777777" w:rsidR="0066141F" w:rsidRPr="00A90BA1" w:rsidRDefault="0066141F" w:rsidP="0066141F">
      <w:pPr>
        <w:spacing w:before="120" w:after="120" w:line="276" w:lineRule="auto"/>
        <w:ind w:left="731" w:right="741"/>
        <w:jc w:val="both"/>
        <w:rPr>
          <w:rFonts w:ascii="Verdana" w:hAnsi="Verdana"/>
          <w:sz w:val="20"/>
          <w:szCs w:val="20"/>
        </w:rPr>
      </w:pPr>
      <w:r>
        <w:rPr>
          <w:rFonts w:ascii="Verdana" w:hAnsi="Verdana"/>
          <w:sz w:val="20"/>
          <w:szCs w:val="20"/>
        </w:rPr>
        <w:t>“</w:t>
      </w:r>
      <w:r w:rsidRPr="00A90BA1">
        <w:rPr>
          <w:rFonts w:ascii="Verdana" w:hAnsi="Verdana"/>
          <w:sz w:val="20"/>
          <w:szCs w:val="20"/>
        </w:rPr>
        <w:t xml:space="preserve">Artículo 4. Obras, bienes o servicios adicionales a la interventoría de obra pública de infraestructura social. Cuando el objeto contractual incluya la interventoría a obras, bienes o servicios adicionales a la de obra pública de infraestructura social, la Entidad Estatal deberá aplicar los documentos tipo. Si de manera excepcional requiere incluir experiencia adicional para evaluar la idoneidad respecto de la interventoría de obras, bienes o servicios adicionales a la obra pública de infraestructura social, deberá seguir los siguientes parámetros: </w:t>
      </w:r>
    </w:p>
    <w:p w14:paraId="2455276E" w14:textId="77777777" w:rsidR="0066141F" w:rsidRPr="00A90BA1" w:rsidRDefault="0066141F" w:rsidP="0066141F">
      <w:pPr>
        <w:spacing w:before="120" w:after="120" w:line="276" w:lineRule="auto"/>
        <w:ind w:left="709" w:right="709"/>
        <w:jc w:val="both"/>
        <w:rPr>
          <w:rFonts w:ascii="Verdana" w:hAnsi="Verdana"/>
          <w:sz w:val="20"/>
          <w:szCs w:val="20"/>
        </w:rPr>
      </w:pPr>
      <w:r w:rsidRPr="00A90BA1">
        <w:rPr>
          <w:rFonts w:ascii="Verdana" w:hAnsi="Verdana"/>
          <w:sz w:val="20"/>
          <w:szCs w:val="20"/>
        </w:rPr>
        <w:t xml:space="preserve">1. Demostrar en los estudios previos que ha verificado las condiciones de mercado para la interventoría de las obras, bienes o servicios adicionales al componente de obra pública de infraestructura social, de tal manera que </w:t>
      </w:r>
      <w:proofErr w:type="spellStart"/>
      <w:r w:rsidRPr="00A90BA1">
        <w:rPr>
          <w:rFonts w:ascii="Verdana" w:hAnsi="Verdana"/>
          <w:sz w:val="20"/>
          <w:szCs w:val="20"/>
        </w:rPr>
        <w:t>laexperiencia</w:t>
      </w:r>
      <w:proofErr w:type="spellEnd"/>
      <w:r w:rsidRPr="00A90BA1">
        <w:rPr>
          <w:rFonts w:ascii="Verdana" w:hAnsi="Verdana"/>
          <w:sz w:val="20"/>
          <w:szCs w:val="20"/>
        </w:rPr>
        <w:t xml:space="preserve"> adicional que se exija para dicha interventoría procure la pluralidad de oferentes y no limite la concurrencia al proceso de contratación. Para tal efecto, la entidad realizará el estudio previo y el análisis del sector en los términos de los artículos 2.2.1.1.1.6.1 y 2.2.1.1.1.6.2 del Decreto 1082 de 2015, o la norma que los adicione, complemente o sustituya. </w:t>
      </w:r>
    </w:p>
    <w:p w14:paraId="71D660CE" w14:textId="77777777" w:rsidR="0066141F" w:rsidRPr="00A90BA1" w:rsidRDefault="0066141F" w:rsidP="0066141F">
      <w:pPr>
        <w:spacing w:before="120" w:after="120" w:line="276" w:lineRule="auto"/>
        <w:ind w:left="709" w:right="709"/>
        <w:jc w:val="both"/>
        <w:rPr>
          <w:rFonts w:ascii="Verdana" w:hAnsi="Verdana"/>
          <w:sz w:val="20"/>
          <w:szCs w:val="20"/>
        </w:rPr>
      </w:pPr>
      <w:r w:rsidRPr="00A90BA1">
        <w:rPr>
          <w:rFonts w:ascii="Verdana" w:hAnsi="Verdana"/>
          <w:sz w:val="20"/>
          <w:szCs w:val="20"/>
        </w:rPr>
        <w:t xml:space="preserve">2. Conservar los requisitos exigidos en los documentos tipo. </w:t>
      </w:r>
    </w:p>
    <w:p w14:paraId="484CA15E" w14:textId="77777777" w:rsidR="0066141F" w:rsidRPr="00A90BA1" w:rsidRDefault="0066141F" w:rsidP="0066141F">
      <w:pPr>
        <w:spacing w:before="120" w:after="120" w:line="276" w:lineRule="auto"/>
        <w:ind w:left="709" w:right="709"/>
        <w:jc w:val="both"/>
        <w:rPr>
          <w:rFonts w:ascii="Verdana" w:hAnsi="Verdana"/>
          <w:sz w:val="20"/>
          <w:szCs w:val="20"/>
        </w:rPr>
      </w:pPr>
      <w:r w:rsidRPr="00A90BA1">
        <w:rPr>
          <w:rFonts w:ascii="Verdana" w:hAnsi="Verdana"/>
          <w:sz w:val="20"/>
          <w:szCs w:val="20"/>
        </w:rPr>
        <w:lastRenderedPageBreak/>
        <w:t xml:space="preserve">3. Abstenerse de pedir experiencia exclusiva con Entidades Estatales, experiencia previa en un territorio específico, limitada en el tiempo o que incluya volúmenes o cantidades de obra específica. </w:t>
      </w:r>
    </w:p>
    <w:p w14:paraId="3ED76798" w14:textId="77777777" w:rsidR="0066141F" w:rsidRPr="00A90BA1" w:rsidRDefault="0066141F" w:rsidP="0066141F">
      <w:pPr>
        <w:spacing w:before="120" w:after="120" w:line="276" w:lineRule="auto"/>
        <w:ind w:left="709" w:right="709"/>
        <w:jc w:val="both"/>
        <w:rPr>
          <w:rFonts w:ascii="Verdana" w:hAnsi="Verdana"/>
          <w:sz w:val="20"/>
          <w:szCs w:val="20"/>
        </w:rPr>
      </w:pPr>
      <w:r w:rsidRPr="00A90BA1">
        <w:rPr>
          <w:rFonts w:ascii="Verdana" w:hAnsi="Verdana"/>
          <w:sz w:val="20"/>
          <w:szCs w:val="20"/>
        </w:rPr>
        <w:t xml:space="preserve">4. Clasificar la experiencia requerida solo hasta el tercer nivel del Clasificador de Bienes y Servicios e incluir exclusivamente los códigos que estén relacionados directamente con el objeto a contratar. </w:t>
      </w:r>
    </w:p>
    <w:p w14:paraId="68AE00E4" w14:textId="77777777" w:rsidR="0066141F" w:rsidRPr="00A90BA1" w:rsidRDefault="0066141F" w:rsidP="0066141F">
      <w:pPr>
        <w:spacing w:before="120" w:after="120" w:line="276" w:lineRule="auto"/>
        <w:ind w:left="709" w:right="709"/>
        <w:jc w:val="both"/>
        <w:rPr>
          <w:rFonts w:ascii="Verdana" w:hAnsi="Verdana"/>
          <w:sz w:val="20"/>
          <w:szCs w:val="20"/>
        </w:rPr>
      </w:pPr>
      <w:r w:rsidRPr="00A90BA1">
        <w:rPr>
          <w:rFonts w:ascii="Verdana" w:hAnsi="Verdana"/>
          <w:sz w:val="20"/>
          <w:szCs w:val="20"/>
        </w:rPr>
        <w:t xml:space="preserve">Parágrafo 1°. En los casos que el objeto contractual incluya actividades abarcadas por otros documentos tipo expedidos por la Agencia Nacional de Contratación Pública - Colombia Compra Eficiente, la Entidad Estatal aplicará las reglas de combinación de experiencia previstas en el numeral 10.1.1 del documento base. </w:t>
      </w:r>
    </w:p>
    <w:p w14:paraId="76652063" w14:textId="77777777" w:rsidR="0066141F" w:rsidRPr="00A90BA1" w:rsidRDefault="0066141F" w:rsidP="0066141F">
      <w:pPr>
        <w:spacing w:before="120" w:after="120" w:line="276" w:lineRule="auto"/>
        <w:ind w:left="709" w:right="709"/>
        <w:jc w:val="both"/>
        <w:rPr>
          <w:rFonts w:ascii="Verdana" w:hAnsi="Verdana"/>
          <w:sz w:val="20"/>
          <w:szCs w:val="20"/>
        </w:rPr>
      </w:pPr>
      <w:r w:rsidRPr="00A90BA1">
        <w:rPr>
          <w:rFonts w:ascii="Verdana" w:hAnsi="Verdana"/>
          <w:sz w:val="20"/>
          <w:szCs w:val="20"/>
        </w:rPr>
        <w:t xml:space="preserve">Parágrafo 2°. Para los efectos de este artículo se entiende por "obras, bienes o servicios adicionales" aquellas actividades que no están incluidas en la matriz de experiencia de los documentos tipo de infraestructura social aplicable o de otras matrices de experiencia de documentos tipo adoptados por esta Agencia que se encuentren vigentes, pero que están relacionadas con el contrato a ejecutar. </w:t>
      </w:r>
    </w:p>
    <w:p w14:paraId="209875F2" w14:textId="77777777" w:rsidR="0066141F" w:rsidRPr="00A90BA1" w:rsidRDefault="0066141F" w:rsidP="0066141F">
      <w:pPr>
        <w:spacing w:before="120" w:after="120" w:line="276" w:lineRule="auto"/>
        <w:ind w:left="709" w:right="709"/>
        <w:jc w:val="both"/>
        <w:rPr>
          <w:rFonts w:ascii="Verdana" w:hAnsi="Verdana"/>
          <w:sz w:val="20"/>
          <w:szCs w:val="20"/>
        </w:rPr>
      </w:pPr>
      <w:r w:rsidRPr="00A90BA1">
        <w:rPr>
          <w:rFonts w:ascii="Verdana" w:hAnsi="Verdana"/>
          <w:sz w:val="20"/>
          <w:szCs w:val="20"/>
        </w:rPr>
        <w:t xml:space="preserve">Parágrafo 3°. Para la aplicación de este artículo, se entiende por experiencia adicional </w:t>
      </w:r>
      <w:proofErr w:type="spellStart"/>
      <w:r w:rsidRPr="00A90BA1">
        <w:rPr>
          <w:rFonts w:ascii="Verdana" w:hAnsi="Verdana"/>
          <w:sz w:val="20"/>
          <w:szCs w:val="20"/>
        </w:rPr>
        <w:t>aqueila</w:t>
      </w:r>
      <w:proofErr w:type="spellEnd"/>
      <w:r w:rsidRPr="00A90BA1">
        <w:rPr>
          <w:rFonts w:ascii="Verdana" w:hAnsi="Verdana"/>
          <w:sz w:val="20"/>
          <w:szCs w:val="20"/>
        </w:rPr>
        <w:t xml:space="preserve"> que no está definida en la matriz de experiencia de infraestructura social aplicable o de otras matrices de experiencia de documentos tipo adoptados por esta Agencia que se encuentren vigentes, pero que la Entidad Estatal considera necesaria para garantizar la idoneidad del contratista para la ejecución del proyecto, puesto que está relacionada con el objeto a ejecutar. </w:t>
      </w:r>
    </w:p>
    <w:p w14:paraId="13F181AF" w14:textId="77777777" w:rsidR="0066141F" w:rsidRPr="00A90BA1" w:rsidRDefault="0066141F" w:rsidP="0066141F">
      <w:pPr>
        <w:spacing w:before="120" w:after="120" w:line="276" w:lineRule="auto"/>
        <w:ind w:left="709" w:right="709"/>
        <w:jc w:val="both"/>
        <w:rPr>
          <w:rFonts w:ascii="Verdana" w:hAnsi="Verdana"/>
          <w:sz w:val="20"/>
          <w:szCs w:val="20"/>
        </w:rPr>
      </w:pPr>
      <w:r w:rsidRPr="00A90BA1">
        <w:rPr>
          <w:rFonts w:ascii="Verdana" w:hAnsi="Verdana"/>
          <w:sz w:val="20"/>
          <w:szCs w:val="20"/>
        </w:rPr>
        <w:t>Parágrafo 4°. En caso de que la entidad considere pertinente incorporar experiencia relacionada con obras, bienes o servicios adicionales a la interventoría, podrá reemplazar como máximo una (1) de las actividades secundarias. Para esta incorporación, deberán observarse las mismas reglas establecidas para las actividades secundarias contenidas en el numeral 10.1.1 del Documento Base. En todo caso, deberá tenerse en cuenta que la entidad</w:t>
      </w:r>
      <w:r>
        <w:rPr>
          <w:rFonts w:ascii="Verdana" w:hAnsi="Verdana"/>
          <w:sz w:val="20"/>
          <w:szCs w:val="20"/>
        </w:rPr>
        <w:t xml:space="preserve"> </w:t>
      </w:r>
      <w:r w:rsidRPr="00BB71FF">
        <w:rPr>
          <w:rFonts w:ascii="Verdana" w:hAnsi="Verdana"/>
          <w:sz w:val="20"/>
          <w:szCs w:val="20"/>
        </w:rPr>
        <w:t>no podrá solicitar más de tres actividades en total, incluyendo la actividad principal. Por lo tanto, además de la actividad principal, deberá determinar si exige dos actividades secundarias o una actividad secundaria y una adicional. En ningún caso deberá entenderse que la inclusión de una actividad adicional equivale al procedimiento establecido para la combinación de experiencia. Para este último caso, se deberá aplicar lo establecido en el numeral i del literal A del numeral 10.1.1 del documento base.</w:t>
      </w:r>
      <w:r>
        <w:rPr>
          <w:rFonts w:ascii="Verdana" w:hAnsi="Verdana"/>
          <w:sz w:val="20"/>
          <w:szCs w:val="20"/>
        </w:rPr>
        <w:t>”.</w:t>
      </w:r>
    </w:p>
    <w:p w14:paraId="3308D5F7" w14:textId="77777777" w:rsidR="0066141F" w:rsidRDefault="0066141F" w:rsidP="0066141F">
      <w:pPr>
        <w:ind w:firstLine="708"/>
        <w:jc w:val="both"/>
        <w:rPr>
          <w:rFonts w:ascii="Verdana" w:hAnsi="Verdana"/>
        </w:rPr>
      </w:pPr>
      <w:r w:rsidRPr="00AD02C5">
        <w:rPr>
          <w:rFonts w:ascii="Verdana" w:hAnsi="Verdana"/>
        </w:rPr>
        <w:lastRenderedPageBreak/>
        <w:t>En ese sentido, si, conforme al alcance integral del proyecto, la entidad determina que este corresponde a un proceso de contratación de interventoría de infraestructura social  y que, adicionalmente, comprende actividades que no se encuentran incluidas en la matriz de experiencia aplicable, dichas actividades podrían considerarse obras, bienes o servicios adicionales en los términos del artículo 4 de la Resolución 953 de 2025, siempre que se cumplan las condiciones previstas en dicha disposición. En tal evento, la entidad deberá aplicar los Documentos Tipo correspondientes a proceso de contratación de interventoría de infraestructura social y, excepcionalmente, si considera necesario exigir experiencia adicional para acreditar la idoneidad del contratista respecto de las actividades que no estén contempladas en la matriz de experiencia aplicable, deberá observar los parámetros establecidos en el citado artículo.</w:t>
      </w:r>
    </w:p>
    <w:p w14:paraId="750531D4" w14:textId="77777777" w:rsidR="0066141F" w:rsidRDefault="0066141F" w:rsidP="0066141F">
      <w:pPr>
        <w:ind w:firstLine="708"/>
        <w:jc w:val="both"/>
        <w:rPr>
          <w:rFonts w:ascii="Verdana" w:hAnsi="Verdana"/>
        </w:rPr>
      </w:pPr>
      <w:r w:rsidRPr="00EB023F">
        <w:rPr>
          <w:rFonts w:ascii="Verdana" w:hAnsi="Verdana"/>
        </w:rPr>
        <w:t>Adicionalmente, deberá tenerse en cuenta que, de conformidad con el parágrafo 1 del artículo 4 de la Resolución 953 de 2025, cuando el objeto contractual incluya actividades comprendidas en otros Documentos Tipo expedidos por la Agencia Nacional de Contratación Pública – Colombia Compra Eficiente, la entidad deberá aplicar las reglas de combinación de experiencia previstas en el numeral 10.1.1 del Documento Base correspondiente. Por tanto, deberá distinguir entre la incorporación de experiencia adicional, relativa a actividades no contempladas en las matrices de experiencia vigentes, y la combinación de experiencia, aplicable cuando el objeto contractual comprenda actividades reguladas por otros Documentos Tipo.</w:t>
      </w:r>
    </w:p>
    <w:p w14:paraId="63558EB2" w14:textId="77777777" w:rsidR="0066141F" w:rsidRPr="0041406C" w:rsidRDefault="0066141F" w:rsidP="0066141F">
      <w:pPr>
        <w:ind w:firstLine="708"/>
        <w:jc w:val="both"/>
        <w:rPr>
          <w:rFonts w:ascii="Verdana" w:eastAsia="Calibri" w:hAnsi="Verdana" w:cs="Times New Roman"/>
        </w:rPr>
      </w:pPr>
      <w:r w:rsidRPr="00BE26A9">
        <w:rPr>
          <w:rFonts w:ascii="Verdana" w:eastAsia="Calibri" w:hAnsi="Verdana" w:cs="Times New Roman"/>
        </w:rPr>
        <w:t>Con el fin de ejemplificar el análisis del objeto de la consulta, se tomará como referencia la Matriz de Experiencia del Documento Tipo de interventoría de obra pública de infraestructura social del sector cultura, recreación y deporte, la cual establece, dentro de las “Reglas para definir la experiencia exigible en el proceso de contratación”, lo siguiente:</w:t>
      </w:r>
    </w:p>
    <w:p w14:paraId="64502618" w14:textId="77777777" w:rsidR="0066141F" w:rsidRPr="00365BDF" w:rsidRDefault="0066141F" w:rsidP="0066141F">
      <w:pPr>
        <w:spacing w:line="276" w:lineRule="auto"/>
        <w:ind w:left="720" w:right="474"/>
        <w:contextualSpacing/>
        <w:jc w:val="both"/>
        <w:rPr>
          <w:rFonts w:ascii="Verdana" w:eastAsia="Calibri" w:hAnsi="Verdana" w:cs="Times New Roman"/>
          <w:i/>
          <w:iCs/>
          <w:sz w:val="20"/>
          <w:szCs w:val="20"/>
          <w:lang w:val="es-ES"/>
        </w:rPr>
      </w:pPr>
      <w:r w:rsidRPr="00365BDF">
        <w:rPr>
          <w:rFonts w:ascii="Verdana" w:eastAsia="Calibri" w:hAnsi="Verdana" w:cs="Times New Roman"/>
          <w:i/>
          <w:iCs/>
          <w:sz w:val="20"/>
          <w:szCs w:val="20"/>
          <w:lang w:val="es-ES"/>
        </w:rPr>
        <w:t>“</w:t>
      </w:r>
      <w:r w:rsidRPr="00365BDF">
        <w:rPr>
          <w:rFonts w:ascii="Verdana" w:eastAsia="Calibri" w:hAnsi="Verdana" w:cs="Times New Roman"/>
          <w:i/>
          <w:iCs/>
          <w:sz w:val="20"/>
          <w:szCs w:val="20"/>
        </w:rPr>
        <w:t xml:space="preserve">vi) Cuando el objeto del proceso de contratación </w:t>
      </w:r>
      <w:proofErr w:type="gramStart"/>
      <w:r w:rsidRPr="00365BDF">
        <w:rPr>
          <w:rFonts w:ascii="Verdana" w:eastAsia="Calibri" w:hAnsi="Verdana" w:cs="Times New Roman"/>
          <w:i/>
          <w:iCs/>
          <w:sz w:val="20"/>
          <w:szCs w:val="20"/>
        </w:rPr>
        <w:t>contemple</w:t>
      </w:r>
      <w:proofErr w:type="gramEnd"/>
      <w:r w:rsidRPr="00365BDF">
        <w:rPr>
          <w:rFonts w:ascii="Verdana" w:eastAsia="Calibri" w:hAnsi="Verdana" w:cs="Times New Roman"/>
          <w:i/>
          <w:iCs/>
          <w:sz w:val="20"/>
          <w:szCs w:val="20"/>
        </w:rPr>
        <w:t xml:space="preserve"> la ejecución de dos o más “Actividades a Contratar” (ej.: 1.1 y 2.1), la entidad procederá de acuerdo con lo indicado en el Documento Base en relación con la combinación de experiencia.</w:t>
      </w:r>
      <w:r w:rsidRPr="00365BDF">
        <w:rPr>
          <w:rFonts w:ascii="Verdana" w:eastAsia="Calibri" w:hAnsi="Verdana" w:cs="Times New Roman"/>
          <w:i/>
          <w:iCs/>
          <w:sz w:val="20"/>
          <w:szCs w:val="20"/>
          <w:lang w:val="es-ES"/>
        </w:rPr>
        <w:t>”</w:t>
      </w:r>
      <w:r w:rsidRPr="00365BDF">
        <w:rPr>
          <w:rFonts w:ascii="Verdana" w:eastAsia="Calibri" w:hAnsi="Verdana" w:cs="Times New Roman"/>
          <w:i/>
          <w:iCs/>
          <w:sz w:val="20"/>
          <w:szCs w:val="20"/>
        </w:rPr>
        <w:t>.</w:t>
      </w:r>
    </w:p>
    <w:p w14:paraId="71D241FB" w14:textId="77777777" w:rsidR="0066141F" w:rsidRPr="00E752CC" w:rsidRDefault="0066141F" w:rsidP="0066141F">
      <w:pPr>
        <w:spacing w:line="276" w:lineRule="auto"/>
        <w:ind w:right="474"/>
        <w:contextualSpacing/>
        <w:jc w:val="both"/>
        <w:rPr>
          <w:rFonts w:ascii="Verdana" w:eastAsia="Calibri" w:hAnsi="Verdana" w:cs="Times New Roman"/>
          <w:i/>
          <w:iCs/>
          <w:lang w:val="es-ES"/>
        </w:rPr>
      </w:pPr>
    </w:p>
    <w:p w14:paraId="2A3A1D2A" w14:textId="77777777" w:rsidR="0066141F" w:rsidRPr="00365BDF" w:rsidRDefault="0066141F" w:rsidP="0066141F">
      <w:pPr>
        <w:spacing w:line="276" w:lineRule="auto"/>
        <w:ind w:firstLine="709"/>
        <w:jc w:val="both"/>
        <w:rPr>
          <w:rFonts w:ascii="Verdana" w:eastAsia="Calibri" w:hAnsi="Verdana" w:cs="Times New Roman"/>
        </w:rPr>
      </w:pPr>
      <w:r w:rsidRPr="00D84F99">
        <w:rPr>
          <w:rFonts w:ascii="Verdana" w:eastAsia="Calibri" w:hAnsi="Verdana" w:cs="Times New Roman"/>
        </w:rPr>
        <w:t xml:space="preserve">De esta forma, según se indica cuando el objeto de contratación contemple la ejecución de dos (2) o más actividades, en este caso previstas en la Matriz – Experiencia del sector cultura, recreación y deporte, se aplicará lo dispuesto en el documento base. Concretamente, el numeral 10.1.1 “CARACTERÍSTICAS DE LOS CONTRATOS PRESENTADOS PARA ACREDITAR LA </w:t>
      </w:r>
      <w:r w:rsidRPr="00D84F99">
        <w:rPr>
          <w:rFonts w:ascii="Verdana" w:eastAsia="Calibri" w:hAnsi="Verdana" w:cs="Times New Roman"/>
        </w:rPr>
        <w:lastRenderedPageBreak/>
        <w:t xml:space="preserve">EXPERIENCIA DEL PROPONENTE”, en el que se indican las reglas que deben tener en cuenta las entidades estatales y los particulares en caso de que se soliciten combinaciones de diferentes actividades a contratar de una misma o de diferentes matrices de experiencia. </w:t>
      </w:r>
    </w:p>
    <w:p w14:paraId="127DAC27" w14:textId="77777777" w:rsidR="0066141F" w:rsidRPr="00D84F99" w:rsidRDefault="0066141F" w:rsidP="0066141F">
      <w:pPr>
        <w:spacing w:line="276" w:lineRule="auto"/>
        <w:ind w:firstLine="709"/>
        <w:jc w:val="both"/>
        <w:rPr>
          <w:rFonts w:ascii="Verdana" w:eastAsia="Calibri" w:hAnsi="Verdana" w:cs="Times New Roman"/>
          <w:lang w:val="es-ES"/>
        </w:rPr>
      </w:pPr>
      <w:r w:rsidRPr="00D84F99">
        <w:rPr>
          <w:rFonts w:ascii="Verdana" w:eastAsia="Calibri" w:hAnsi="Verdana" w:cs="Times New Roman"/>
          <w:lang w:val="es-ES"/>
        </w:rPr>
        <w:t>Debe indicarse que, en este supuesto, (</w:t>
      </w:r>
      <w:r w:rsidRPr="00D84F99">
        <w:rPr>
          <w:rFonts w:ascii="Verdana" w:eastAsia="Calibri" w:hAnsi="Verdana" w:cs="Times New Roman"/>
          <w:b/>
          <w:bCs/>
          <w:i/>
          <w:iCs/>
          <w:lang w:val="es-ES"/>
        </w:rPr>
        <w:t>y concretamente para responder las preguntas de su solicitud</w:t>
      </w:r>
      <w:r w:rsidRPr="00D84F99">
        <w:rPr>
          <w:rFonts w:ascii="Verdana" w:eastAsia="Calibri" w:hAnsi="Verdana" w:cs="Times New Roman"/>
          <w:lang w:val="es-ES"/>
        </w:rPr>
        <w:t>), aplican las siguientes reglas contenidas en el numeral 3.5.2 “Características de los contratos presentados para acreditar la experiencia exigida” del documento tipo de licitación de obra pública de infraestructura social:</w:t>
      </w:r>
    </w:p>
    <w:p w14:paraId="7A420A1D" w14:textId="77777777" w:rsidR="0066141F" w:rsidRPr="00365BDF" w:rsidRDefault="0066141F" w:rsidP="0066141F">
      <w:pPr>
        <w:spacing w:after="120" w:line="240" w:lineRule="auto"/>
        <w:ind w:left="709" w:right="709"/>
        <w:jc w:val="both"/>
        <w:rPr>
          <w:rFonts w:ascii="Verdana" w:eastAsia="Calibri" w:hAnsi="Verdana" w:cs="Times New Roman"/>
          <w:sz w:val="20"/>
          <w:szCs w:val="20"/>
          <w:lang w:val="es-ES"/>
        </w:rPr>
      </w:pPr>
      <w:r w:rsidRPr="00365BDF">
        <w:rPr>
          <w:rFonts w:ascii="Verdana" w:eastAsia="Calibri" w:hAnsi="Verdana" w:cs="Times New Roman"/>
          <w:sz w:val="20"/>
          <w:szCs w:val="20"/>
          <w:lang w:val="es-ES"/>
        </w:rPr>
        <w:t xml:space="preserve"> “ (…)</w:t>
      </w:r>
    </w:p>
    <w:p w14:paraId="528AF258" w14:textId="77777777" w:rsidR="0066141F" w:rsidRPr="00365BDF" w:rsidRDefault="0066141F" w:rsidP="0066141F">
      <w:pPr>
        <w:spacing w:after="120" w:line="240" w:lineRule="auto"/>
        <w:ind w:left="709" w:right="709"/>
        <w:jc w:val="both"/>
        <w:rPr>
          <w:rFonts w:ascii="Verdana" w:eastAsia="Calibri" w:hAnsi="Verdana" w:cs="Times New Roman"/>
          <w:sz w:val="20"/>
          <w:szCs w:val="20"/>
          <w:highlight w:val="yellow"/>
          <w:lang w:val="es-ES"/>
        </w:rPr>
      </w:pPr>
      <w:proofErr w:type="spellStart"/>
      <w:r w:rsidRPr="00365BDF">
        <w:rPr>
          <w:rFonts w:ascii="Verdana" w:eastAsia="Calibri" w:hAnsi="Verdana" w:cs="Times New Roman"/>
          <w:sz w:val="20"/>
          <w:szCs w:val="20"/>
          <w:lang w:val="es-ES"/>
        </w:rPr>
        <w:t>ii</w:t>
      </w:r>
      <w:proofErr w:type="spellEnd"/>
      <w:r w:rsidRPr="00365BDF">
        <w:rPr>
          <w:rFonts w:ascii="Verdana" w:eastAsia="Calibri" w:hAnsi="Verdana" w:cs="Times New Roman"/>
          <w:sz w:val="20"/>
          <w:szCs w:val="20"/>
          <w:lang w:val="es-ES"/>
        </w:rPr>
        <w:t>).</w:t>
      </w:r>
      <w:r w:rsidRPr="00365BDF">
        <w:rPr>
          <w:rFonts w:ascii="Verdana" w:eastAsia="Arial" w:hAnsi="Verdana" w:cs="Arial"/>
          <w:sz w:val="20"/>
          <w:szCs w:val="20"/>
          <w:lang w:val="es-MX"/>
        </w:rPr>
        <w:t xml:space="preserve"> </w:t>
      </w:r>
      <w:r w:rsidRPr="00365BDF">
        <w:rPr>
          <w:rFonts w:ascii="Verdana" w:eastAsia="Arial" w:hAnsi="Verdana" w:cs="Arial"/>
          <w:sz w:val="20"/>
          <w:szCs w:val="20"/>
          <w:highlight w:val="lightGray"/>
          <w:lang w:val="es-MX"/>
        </w:rPr>
        <w:t>para la acreditación de la experiencia exigida en la actividad secundaria, si la Entidad desagrega el valor de las actividades, la comprobación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r w:rsidRPr="00365BDF">
        <w:rPr>
          <w:rFonts w:ascii="Verdana" w:eastAsia="Arial" w:hAnsi="Verdana" w:cs="Arial"/>
          <w:sz w:val="20"/>
          <w:szCs w:val="20"/>
          <w:lang w:val="es-MX"/>
        </w:rPr>
        <w:t xml:space="preserve"> </w:t>
      </w:r>
    </w:p>
    <w:p w14:paraId="378004E4" w14:textId="77777777" w:rsidR="0066141F" w:rsidRPr="00365BDF" w:rsidRDefault="0066141F" w:rsidP="0066141F">
      <w:pPr>
        <w:spacing w:after="120" w:line="240" w:lineRule="auto"/>
        <w:ind w:right="709" w:firstLine="708"/>
        <w:jc w:val="both"/>
        <w:rPr>
          <w:rFonts w:ascii="Verdana" w:eastAsia="Calibri" w:hAnsi="Verdana" w:cs="Times New Roman"/>
          <w:sz w:val="20"/>
          <w:szCs w:val="20"/>
        </w:rPr>
      </w:pPr>
      <w:r w:rsidRPr="00365BDF">
        <w:rPr>
          <w:rFonts w:ascii="Verdana" w:eastAsia="Calibri" w:hAnsi="Verdana" w:cs="Times New Roman"/>
          <w:sz w:val="20"/>
          <w:szCs w:val="20"/>
        </w:rPr>
        <w:t>(…)</w:t>
      </w:r>
    </w:p>
    <w:p w14:paraId="45488062" w14:textId="77777777" w:rsidR="0066141F" w:rsidRPr="00365BDF" w:rsidRDefault="0066141F" w:rsidP="0066141F">
      <w:pPr>
        <w:spacing w:after="120" w:line="240" w:lineRule="auto"/>
        <w:ind w:left="709" w:right="709"/>
        <w:jc w:val="both"/>
        <w:rPr>
          <w:rFonts w:ascii="Verdana" w:eastAsia="Calibri" w:hAnsi="Verdana" w:cs="Times New Roman"/>
          <w:sz w:val="20"/>
          <w:szCs w:val="20"/>
          <w:lang w:val="es-ES"/>
        </w:rPr>
      </w:pPr>
      <w:proofErr w:type="spellStart"/>
      <w:r w:rsidRPr="00365BDF">
        <w:rPr>
          <w:rFonts w:ascii="Verdana" w:eastAsia="Calibri" w:hAnsi="Verdana" w:cs="Times New Roman"/>
          <w:sz w:val="20"/>
          <w:szCs w:val="20"/>
          <w:lang w:val="es-ES"/>
        </w:rPr>
        <w:t>iv</w:t>
      </w:r>
      <w:proofErr w:type="spellEnd"/>
      <w:r w:rsidRPr="00365BDF">
        <w:rPr>
          <w:rFonts w:ascii="Verdana" w:eastAsia="Calibri" w:hAnsi="Verdana" w:cs="Times New Roman"/>
          <w:sz w:val="20"/>
          <w:szCs w:val="20"/>
          <w:lang w:val="es-ES"/>
        </w:rPr>
        <w:t>)</w:t>
      </w:r>
      <w:r w:rsidRPr="00365BDF">
        <w:rPr>
          <w:rFonts w:ascii="Verdana" w:eastAsia="Calibri" w:hAnsi="Verdana" w:cs="Times New Roman"/>
          <w:sz w:val="20"/>
          <w:szCs w:val="20"/>
          <w:lang w:val="es-ES"/>
        </w:rPr>
        <w:tab/>
        <w:t>Si en la actividad secundaria se solicita la experiencia específica y esta contempla más de un requisito, la Entidad escogerá solo la que sea de mayor relevancia para el proyecto a ejecutar.</w:t>
      </w:r>
    </w:p>
    <w:p w14:paraId="09721C7A" w14:textId="77777777" w:rsidR="0066141F" w:rsidRPr="00365BDF" w:rsidRDefault="0066141F" w:rsidP="0066141F">
      <w:pPr>
        <w:spacing w:after="120" w:line="240" w:lineRule="auto"/>
        <w:ind w:left="709" w:right="709"/>
        <w:jc w:val="both"/>
        <w:rPr>
          <w:rFonts w:ascii="Verdana" w:eastAsia="Calibri" w:hAnsi="Verdana" w:cs="Times New Roman"/>
          <w:sz w:val="20"/>
          <w:szCs w:val="20"/>
          <w:lang w:val="es-ES"/>
        </w:rPr>
      </w:pPr>
      <w:r w:rsidRPr="00365BDF">
        <w:rPr>
          <w:rFonts w:ascii="Verdana" w:eastAsia="Calibri" w:hAnsi="Verdana" w:cs="Times New Roman"/>
          <w:sz w:val="20"/>
          <w:szCs w:val="20"/>
          <w:lang w:val="es-ES"/>
        </w:rPr>
        <w:t>v)</w:t>
      </w:r>
      <w:r w:rsidRPr="00365BDF">
        <w:rPr>
          <w:rFonts w:ascii="Verdana" w:eastAsia="Calibri" w:hAnsi="Verdana" w:cs="Times New Roman"/>
          <w:sz w:val="20"/>
          <w:szCs w:val="20"/>
          <w:lang w:val="es-ES"/>
        </w:rPr>
        <w:tab/>
        <w:t>En los casos en que la Entidad opte por la exigencia de la experiencia específica o general para las actividades distintas a la actividad principal, deberá incluirse la siguiente nota:</w:t>
      </w:r>
    </w:p>
    <w:p w14:paraId="79BB24DF" w14:textId="77777777" w:rsidR="0066141F" w:rsidRPr="00365BDF" w:rsidRDefault="0066141F" w:rsidP="0066141F">
      <w:pPr>
        <w:spacing w:after="120" w:line="240" w:lineRule="auto"/>
        <w:ind w:left="709" w:right="709"/>
        <w:jc w:val="both"/>
        <w:rPr>
          <w:rFonts w:ascii="Verdana" w:eastAsia="Calibri" w:hAnsi="Verdana" w:cs="Times New Roman"/>
          <w:sz w:val="20"/>
          <w:szCs w:val="20"/>
          <w:lang w:val="es-ES"/>
        </w:rPr>
      </w:pPr>
      <w:r w:rsidRPr="00365BDF">
        <w:rPr>
          <w:rFonts w:ascii="Verdana" w:eastAsia="Calibri" w:hAnsi="Verdana" w:cs="Times New Roman"/>
          <w:sz w:val="20"/>
          <w:szCs w:val="20"/>
          <w:lang w:val="es-ES"/>
        </w:rPr>
        <w:t>“Nota 21: Para el caso de Experiencias combinadas un Proponente podrá acreditar la experiencia en una o más actividades con un contrato o con contratos distintos”.</w:t>
      </w:r>
    </w:p>
    <w:p w14:paraId="1B8273D4" w14:textId="77777777" w:rsidR="0066141F" w:rsidRPr="00E676D9" w:rsidRDefault="0066141F" w:rsidP="0066141F">
      <w:pPr>
        <w:spacing w:before="240" w:line="276" w:lineRule="auto"/>
        <w:ind w:firstLine="709"/>
        <w:contextualSpacing/>
        <w:jc w:val="both"/>
        <w:rPr>
          <w:rFonts w:ascii="Verdana" w:eastAsia="Calibri" w:hAnsi="Verdana" w:cs="Times New Roman"/>
          <w:lang w:val="es-ES"/>
        </w:rPr>
      </w:pPr>
      <w:r w:rsidRPr="00E676D9">
        <w:rPr>
          <w:rFonts w:ascii="Verdana" w:eastAsia="Times New Roman" w:hAnsi="Verdana" w:cs="Arial"/>
          <w:lang w:eastAsia="es-ES"/>
        </w:rPr>
        <w:t>De acuerdo con los numerales señalados</w:t>
      </w:r>
      <w:r w:rsidRPr="00E676D9">
        <w:rPr>
          <w:rFonts w:ascii="Verdana" w:eastAsia="Times New Roman" w:hAnsi="Verdana" w:cs="Arial"/>
          <w:color w:val="000000"/>
          <w:lang w:eastAsia="es-ES"/>
        </w:rPr>
        <w:t xml:space="preserve">, </w:t>
      </w:r>
      <w:r w:rsidRPr="00E676D9">
        <w:rPr>
          <w:rFonts w:ascii="Verdana" w:eastAsia="Calibri" w:hAnsi="Verdana" w:cs="Times New Roman"/>
          <w:lang w:val="es-ES"/>
        </w:rPr>
        <w:t>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76A24662" w14:textId="77777777" w:rsidR="0066141F" w:rsidRPr="00E676D9" w:rsidRDefault="0066141F" w:rsidP="0066141F">
      <w:pPr>
        <w:spacing w:before="240" w:line="276" w:lineRule="auto"/>
        <w:ind w:firstLine="709"/>
        <w:contextualSpacing/>
        <w:jc w:val="both"/>
        <w:rPr>
          <w:rFonts w:ascii="Verdana" w:eastAsia="Calibri" w:hAnsi="Verdana" w:cs="Times New Roman"/>
          <w:lang w:val="es-ES"/>
        </w:rPr>
      </w:pPr>
      <w:r w:rsidRPr="00E676D9">
        <w:rPr>
          <w:rFonts w:ascii="Verdana" w:eastAsia="Calibri" w:hAnsi="Verdana" w:cs="Times New Roman"/>
          <w:lang w:val="es-ES"/>
        </w:rPr>
        <w:t xml:space="preserve">Lo anterior implica que, para el caso de la actividad principal, deberá tenerse en cuenta el 100% del Presupuesto Oficial, y para la(s) actividad(es) </w:t>
      </w:r>
      <w:r w:rsidRPr="00E676D9">
        <w:rPr>
          <w:rFonts w:ascii="Verdana" w:eastAsia="Calibri" w:hAnsi="Verdana" w:cs="Times New Roman"/>
          <w:lang w:val="es-ES"/>
        </w:rPr>
        <w:lastRenderedPageBreak/>
        <w:t>secundaria(s), la acreditación frente al Presupuesto Oficial deberá realizarse de for</w:t>
      </w:r>
      <w:r>
        <w:rPr>
          <w:rFonts w:ascii="Verdana" w:eastAsia="Calibri" w:hAnsi="Verdana" w:cs="Times New Roman"/>
          <w:lang w:val="es-ES"/>
        </w:rPr>
        <w:t>m</w:t>
      </w:r>
      <w:r w:rsidRPr="00E676D9">
        <w:rPr>
          <w:rFonts w:ascii="Verdana" w:eastAsia="Calibri" w:hAnsi="Verdana" w:cs="Times New Roman"/>
          <w:lang w:val="es-ES"/>
        </w:rPr>
        <w:t xml:space="preserve">a proporcional, conforme al valor de cada actividad secundaria. </w:t>
      </w:r>
    </w:p>
    <w:p w14:paraId="4A730A8C" w14:textId="77777777" w:rsidR="0066141F" w:rsidRPr="00E676D9" w:rsidRDefault="0066141F" w:rsidP="0066141F">
      <w:pPr>
        <w:spacing w:before="240" w:line="276" w:lineRule="auto"/>
        <w:ind w:firstLine="709"/>
        <w:contextualSpacing/>
        <w:jc w:val="both"/>
        <w:rPr>
          <w:rFonts w:ascii="Verdana" w:eastAsia="Calibri" w:hAnsi="Verdana" w:cs="Times New Roman"/>
          <w:lang w:val="es-ES"/>
        </w:rPr>
      </w:pPr>
      <w:r w:rsidRPr="00E676D9">
        <w:rPr>
          <w:rFonts w:ascii="Verdana" w:eastAsia="Calibri" w:hAnsi="Verdana" w:cs="Times New Roman"/>
        </w:rPr>
        <w:t xml:space="preserve">Si en la actividad secundaria se solicita la experiencia específica, y esta contempla más de un requisito, </w:t>
      </w:r>
      <w:r w:rsidRPr="00E676D9">
        <w:rPr>
          <w:rFonts w:ascii="Verdana" w:eastAsia="Calibri" w:hAnsi="Verdana" w:cs="Times New Roman"/>
          <w:lang w:val="es-ES"/>
        </w:rPr>
        <w:t>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p w14:paraId="3A687AE5" w14:textId="77777777" w:rsidR="0066141F" w:rsidRDefault="0066141F" w:rsidP="0066141F">
      <w:pPr>
        <w:spacing w:before="240" w:line="276" w:lineRule="auto"/>
        <w:ind w:firstLine="709"/>
        <w:contextualSpacing/>
        <w:jc w:val="both"/>
        <w:rPr>
          <w:rFonts w:ascii="Verdana" w:eastAsia="Calibri" w:hAnsi="Verdana" w:cs="Times New Roman"/>
        </w:rPr>
      </w:pPr>
      <w:r w:rsidRPr="00E676D9">
        <w:rPr>
          <w:rFonts w:ascii="Verdana" w:eastAsia="Calibri" w:hAnsi="Verdana" w:cs="Times New Roman"/>
        </w:rPr>
        <w:t xml:space="preserve">En el evento que la entidad opte por exigir experiencia específica para las actividades distintas a la actividad principal, deberá incluir la nota que se señala en el numeral v). </w:t>
      </w:r>
    </w:p>
    <w:p w14:paraId="12B3CA64" w14:textId="77777777" w:rsidR="00014F1B" w:rsidRPr="00911898" w:rsidRDefault="00014F1B" w:rsidP="00014F1B">
      <w:pPr>
        <w:spacing w:after="120" w:line="276" w:lineRule="auto"/>
        <w:ind w:firstLine="709"/>
        <w:jc w:val="both"/>
        <w:rPr>
          <w:rFonts w:ascii="Verdana" w:eastAsia="Calibri" w:hAnsi="Verdana"/>
        </w:rPr>
      </w:pPr>
      <w:r w:rsidRPr="00911898">
        <w:rPr>
          <w:rFonts w:ascii="Verdana" w:eastAsia="Calibri" w:hAnsi="Verdana"/>
        </w:rPr>
        <w:t xml:space="preserve">Los documentos tipo señalados establecen que los contratos aportados para acreditar la experiencia deben corresponder a las actividades de experiencia general y específica definidas por la entidad conforme con la Matriz 1 – Experiencia. Asimismo, señalan que, para fijar las condiciones que deben cumplir los contratos aportados en términos de actividades ejecutadas, las entidades deberán emplear la Matriz 1 – Experiencia, documento que estandariza las condiciones de experiencia general y/o específica que deben requerir las entidades estatales de acuerdo con: i) el tipo de infraestructura social en la que se realizarán las labores de interventoría; </w:t>
      </w:r>
      <w:proofErr w:type="spellStart"/>
      <w:r w:rsidRPr="00911898">
        <w:rPr>
          <w:rFonts w:ascii="Verdana" w:eastAsia="Calibri" w:hAnsi="Verdana"/>
        </w:rPr>
        <w:t>ii</w:t>
      </w:r>
      <w:proofErr w:type="spellEnd"/>
      <w:r w:rsidRPr="00911898">
        <w:rPr>
          <w:rFonts w:ascii="Verdana" w:eastAsia="Calibri" w:hAnsi="Verdana"/>
        </w:rPr>
        <w:t xml:space="preserve">) la actividad a contratar, y </w:t>
      </w:r>
      <w:proofErr w:type="spellStart"/>
      <w:r w:rsidRPr="00911898">
        <w:rPr>
          <w:rFonts w:ascii="Verdana" w:eastAsia="Calibri" w:hAnsi="Verdana"/>
        </w:rPr>
        <w:t>iii</w:t>
      </w:r>
      <w:proofErr w:type="spellEnd"/>
      <w:r w:rsidRPr="00911898">
        <w:rPr>
          <w:rFonts w:ascii="Verdana" w:eastAsia="Calibri" w:hAnsi="Verdana"/>
        </w:rPr>
        <w:t>) la cuantía del proceso de contratación.</w:t>
      </w:r>
    </w:p>
    <w:p w14:paraId="16680A64" w14:textId="77777777" w:rsidR="00014F1B" w:rsidRPr="00911898" w:rsidRDefault="00014F1B" w:rsidP="00014F1B">
      <w:pPr>
        <w:spacing w:after="120" w:line="276" w:lineRule="auto"/>
        <w:ind w:firstLine="709"/>
        <w:jc w:val="both"/>
        <w:rPr>
          <w:rFonts w:ascii="Verdana" w:eastAsia="Calibri" w:hAnsi="Verdana" w:cs="Times New Roman"/>
        </w:rPr>
      </w:pPr>
      <w:r w:rsidRPr="00911898">
        <w:rPr>
          <w:rFonts w:ascii="Verdana" w:eastAsia="Calibri" w:hAnsi="Verdana" w:cs="Times New Roman"/>
        </w:rPr>
        <w:t>De igual manera, el literal A del numeral 10.1.1 del Documento Base dispone que la entidad debe incluir, sin modificar, la actividad o actividades válidas para acreditar la experiencia general o específica señaladas en la Matriz 1 – Experiencia. De esta forma, la experiencia evaluable es únicamente la relacionada con las actividades señaladas en dicho literal, de acuerdo con las previstas en la matriz para acreditar la experiencia general y específica.</w:t>
      </w:r>
    </w:p>
    <w:p w14:paraId="30634A50" w14:textId="77777777" w:rsidR="00014F1B" w:rsidRPr="00911898" w:rsidRDefault="00014F1B" w:rsidP="00014F1B">
      <w:pPr>
        <w:spacing w:after="120" w:line="276" w:lineRule="auto"/>
        <w:ind w:firstLine="709"/>
        <w:jc w:val="both"/>
        <w:rPr>
          <w:rFonts w:ascii="Verdana" w:eastAsia="Calibri" w:hAnsi="Verdana" w:cs="Times New Roman"/>
        </w:rPr>
      </w:pPr>
      <w:r w:rsidRPr="00911898">
        <w:rPr>
          <w:rFonts w:ascii="Verdana" w:eastAsia="Calibri" w:hAnsi="Verdana" w:cs="Times New Roman"/>
        </w:rPr>
        <w:t>Lo anterior significa que, para acreditar la experiencia señalada en la Matriz 1 – Experiencia, los contratos mediante los cuales se adquirió deben cumplir las características del numeral 3.5.1 del Documento Base, particularmente lo dispuesto en el literal A. Es decir, deben referirse a la actividad que la entidad definió como válida para acreditar la experiencia en el proceso de contratación, la cual, como indica el mismo literal, debe diligenciarse exclusivamente de acuerdo con lo señalado en la Matriz 1 – Experiencia, que es inalterable.</w:t>
      </w:r>
    </w:p>
    <w:p w14:paraId="6C26AA70" w14:textId="77777777" w:rsidR="00014F1B" w:rsidRPr="00911898" w:rsidRDefault="00014F1B" w:rsidP="00014F1B">
      <w:pPr>
        <w:spacing w:after="120" w:line="276" w:lineRule="auto"/>
        <w:ind w:firstLine="709"/>
        <w:jc w:val="both"/>
        <w:rPr>
          <w:rFonts w:ascii="Verdana" w:eastAsia="Calibri" w:hAnsi="Verdana" w:cs="Times New Roman"/>
        </w:rPr>
      </w:pPr>
      <w:r w:rsidRPr="00911898">
        <w:rPr>
          <w:rFonts w:ascii="Verdana" w:eastAsia="Calibri" w:hAnsi="Verdana" w:cs="Times New Roman"/>
        </w:rPr>
        <w:lastRenderedPageBreak/>
        <w:t>Ahora bien, esto no significa que se desconozca la función del Clasificador de Bienes y Servicios ni del Registro Único de Proponentes (RUP). Por el contrario, los documentos tipo exigen que la experiencia acreditada también guarde correspondencia con la clasificación UNSPSC.</w:t>
      </w:r>
    </w:p>
    <w:p w14:paraId="2265808D" w14:textId="77777777" w:rsidR="00014F1B" w:rsidRPr="00911898" w:rsidRDefault="00014F1B" w:rsidP="00014F1B">
      <w:pPr>
        <w:spacing w:after="120" w:line="276" w:lineRule="auto"/>
        <w:ind w:firstLine="709"/>
        <w:jc w:val="both"/>
        <w:rPr>
          <w:rFonts w:ascii="Verdana" w:eastAsia="Calibri" w:hAnsi="Verdana" w:cs="Times New Roman"/>
        </w:rPr>
      </w:pPr>
      <w:r w:rsidRPr="00911898">
        <w:rPr>
          <w:rFonts w:ascii="Verdana" w:eastAsia="Calibri" w:hAnsi="Verdana" w:cs="Times New Roman"/>
        </w:rPr>
        <w:t>En este sentido, el numeral 10.1.2, «Consideraciones para la validez de la experiencia del proponente», del Documento Base establece aspectos que la entidad debe tener en cuenta para analizar la experiencia acreditada y determinar si es válida para satisfacer el requisito exigido. Para efectos de esta solicitud, resultan relevantes los literales A y B de dicho numeral.</w:t>
      </w:r>
    </w:p>
    <w:p w14:paraId="2B01706C" w14:textId="77777777" w:rsidR="00014F1B" w:rsidRPr="00911898" w:rsidRDefault="00014F1B" w:rsidP="00014F1B">
      <w:pPr>
        <w:spacing w:after="120" w:line="276" w:lineRule="auto"/>
        <w:ind w:firstLine="709"/>
        <w:jc w:val="both"/>
        <w:rPr>
          <w:rFonts w:ascii="Verdana" w:eastAsia="Calibri" w:hAnsi="Verdana" w:cs="Times New Roman"/>
        </w:rPr>
      </w:pPr>
      <w:r w:rsidRPr="00911898">
        <w:rPr>
          <w:rFonts w:ascii="Verdana" w:eastAsia="Calibri" w:hAnsi="Verdana" w:cs="Times New Roman"/>
        </w:rPr>
        <w:t>El literal A señala que «En el Clasificador de Bienes y Servicios el segmento correspondiente para la clasificación de la experiencia es el 80 y/o 81». Por su parte, el literal B indica que «La Entidad únicamente podrá exigir para la verificación de la experiencia los contratos celebrados por el interesado, identificados con el Clasificador de Bienes y Servicios hasta el tercer nivel».</w:t>
      </w:r>
    </w:p>
    <w:p w14:paraId="7142B8D9" w14:textId="77777777" w:rsidR="00014F1B" w:rsidRPr="00911898" w:rsidRDefault="00014F1B" w:rsidP="00014F1B">
      <w:pPr>
        <w:spacing w:after="120" w:line="276" w:lineRule="auto"/>
        <w:ind w:firstLine="709"/>
        <w:jc w:val="both"/>
        <w:rPr>
          <w:rFonts w:ascii="Verdana" w:eastAsia="Calibri" w:hAnsi="Verdana" w:cs="Times New Roman"/>
        </w:rPr>
      </w:pPr>
      <w:r w:rsidRPr="00911898">
        <w:rPr>
          <w:rFonts w:ascii="Verdana" w:eastAsia="Calibri" w:hAnsi="Verdana" w:cs="Times New Roman"/>
        </w:rPr>
        <w:t>Asimismo, el numeral 10.1.3 dispone que los contratos aportados deben estar clasificados en alguno de los códigos allí establecidos y ordena a la entidad exigir contratos identificados con el Clasificador de Bienes y Servicios hasta el tercer nivel, que sean concordantes con el objeto principal del contrato a ejecutar.</w:t>
      </w:r>
    </w:p>
    <w:p w14:paraId="27BA3FF7" w14:textId="77777777" w:rsidR="00014F1B" w:rsidRPr="00911898" w:rsidRDefault="00014F1B" w:rsidP="00014F1B">
      <w:pPr>
        <w:spacing w:after="120" w:line="276" w:lineRule="auto"/>
        <w:ind w:firstLine="709"/>
        <w:jc w:val="both"/>
        <w:rPr>
          <w:rFonts w:ascii="Verdana" w:eastAsia="Calibri" w:hAnsi="Verdana" w:cs="Times New Roman"/>
        </w:rPr>
      </w:pPr>
      <w:r w:rsidRPr="00911898">
        <w:rPr>
          <w:rFonts w:ascii="Verdana" w:eastAsia="Calibri" w:hAnsi="Verdana" w:cs="Times New Roman"/>
        </w:rPr>
        <w:t>En consecuencia, los documentos tipo para contratar la interventoría de obra pública de infraestructura social – versión 2 no prevén una acreditación de la experiencia basada exclusivamente en las actividades descritas en la Matriz 1 – Experiencia, ni una validación sustentada únicamente en los códigos UNSPSC contenidos en el RUP. La acreditación del requisito habilitante exige la concurrencia de ambos elementos. Por una parte, que los contratos correspondan a las actividades de experiencia general y específica definidas en la Matriz 1 – Experiencia y, por otra, que se encuentren clasificados en los códigos UNSPSC exigidos por la entidad, de conformidad con las reglas establecidas en el Documento Base y la normativa que regula el Registro Único de Proponentes (RUP).</w:t>
      </w:r>
    </w:p>
    <w:p w14:paraId="2F34A632" w14:textId="77777777" w:rsidR="00014F1B" w:rsidRPr="00911898" w:rsidRDefault="00014F1B" w:rsidP="00014F1B">
      <w:pPr>
        <w:spacing w:after="120" w:line="276" w:lineRule="auto"/>
        <w:ind w:firstLine="709"/>
        <w:jc w:val="both"/>
        <w:rPr>
          <w:rFonts w:ascii="Verdana" w:eastAsia="Calibri" w:hAnsi="Verdana" w:cs="Times New Roman"/>
        </w:rPr>
      </w:pPr>
      <w:r w:rsidRPr="00911898">
        <w:rPr>
          <w:rFonts w:ascii="Verdana" w:eastAsia="Calibri" w:hAnsi="Verdana" w:cs="Times New Roman"/>
        </w:rPr>
        <w:t xml:space="preserve">Sin perjuicio de lo anterior, cuando se invoque la posibilidad de exigir experiencia adicional al amparo del artículo 4 de la Resolución 953 de 2025, será necesario analizar el alcance de esta disposición en concordancia con las reglas del Documento Tipo. En particular, deberá establecerse si la experiencia </w:t>
      </w:r>
      <w:r w:rsidRPr="00911898">
        <w:rPr>
          <w:rFonts w:ascii="Verdana" w:eastAsia="Calibri" w:hAnsi="Verdana" w:cs="Times New Roman"/>
        </w:rPr>
        <w:lastRenderedPageBreak/>
        <w:t>adicional puede comprender códigos pertenecientes a segmentos distintos de los segmentos 80 y/o 81, cuáles son los presupuestos que habilitan esa exigencia y de qué manera debe justificarse su relación directa con la obra, el bien o el servicio que fundamenta la excepción.</w:t>
      </w:r>
    </w:p>
    <w:p w14:paraId="553F7B75" w14:textId="3FD51D2A" w:rsidR="0066141F" w:rsidRDefault="00014F1B" w:rsidP="00014F1B">
      <w:pPr>
        <w:spacing w:after="120" w:line="276" w:lineRule="auto"/>
        <w:ind w:firstLine="709"/>
        <w:jc w:val="both"/>
        <w:rPr>
          <w:rFonts w:ascii="Verdana" w:eastAsia="Calibri" w:hAnsi="Verdana" w:cs="Times New Roman"/>
        </w:rPr>
      </w:pPr>
      <w:r w:rsidRPr="00911898">
        <w:rPr>
          <w:rFonts w:ascii="Verdana" w:eastAsia="Calibri" w:hAnsi="Verdana" w:cs="Times New Roman"/>
        </w:rPr>
        <w:t>Lo anterior, teniendo en cuenta que la habilitación excepcional prevista en el artículo 4 de la Resolución 953 de 2025 no puede interpretarse aisladamente de las reglas del Documento Base sobre la validez de la experiencia. En consecuencia, la posibilidad de exigir experiencia adicional no autoriza, por sí sola, a desconocer la regla general según la cual los segmentos correspondientes a la clasificación de la experiencia en los procesos de interventoría son el 80 y/o 81, ni a trasladar automáticamente al requisito de experiencia del interventor los códigos correspondientes al bien, obra o servicio material objeto de la interventoría. Por tanto, deberá determinarse si existe fundamento normativo para exigir códigos de otros segmentos y si estos guardan relación directa con el servicio de interventoría y con la actividad adicional que sustenta la excepción.</w:t>
      </w:r>
    </w:p>
    <w:p w14:paraId="7F70104A" w14:textId="77777777" w:rsidR="0066141F" w:rsidRPr="00243291" w:rsidRDefault="0066141F" w:rsidP="0066141F">
      <w:pPr>
        <w:spacing w:after="120" w:line="276" w:lineRule="auto"/>
        <w:jc w:val="both"/>
        <w:rPr>
          <w:rFonts w:ascii="Verdana" w:eastAsia="Calibri" w:hAnsi="Verdana" w:cs="Arial"/>
          <w:color w:val="000000"/>
        </w:rPr>
      </w:pPr>
      <w:r>
        <w:rPr>
          <w:rFonts w:ascii="Verdana" w:eastAsia="Calibri" w:hAnsi="Verdana" w:cs="Times New Roman"/>
        </w:rPr>
        <w:t>VI). L</w:t>
      </w:r>
      <w:r w:rsidRPr="00243291">
        <w:rPr>
          <w:rFonts w:ascii="Verdana" w:eastAsia="Calibri" w:hAnsi="Verdana" w:cs="Arial"/>
        </w:rPr>
        <w:t xml:space="preserve">os documento tipo señalados establecen que, los contratos aportados para acreditar la experiencia deben corresponder a las actividades de experiencia general y específicas definidas por la entidad conforme con la Matriz 1 – Experiencia. Asimismo, señala que, para fijar las condiciones que deben cumplir los contratos aportados, en términos de actividades ejecutadas, las entidades deberán emplear la Matriz 1 – Experiencia, documento que estandariza las condiciones de experiencia general y/o específica que deben requerir las entidades estatales de acuerdo con </w:t>
      </w:r>
      <w:proofErr w:type="spellStart"/>
      <w:r w:rsidRPr="00243291">
        <w:rPr>
          <w:rFonts w:ascii="Verdana" w:eastAsia="Calibri" w:hAnsi="Verdana" w:cs="Arial"/>
          <w:color w:val="000000"/>
        </w:rPr>
        <w:t>con</w:t>
      </w:r>
      <w:proofErr w:type="spellEnd"/>
      <w:r w:rsidRPr="00243291">
        <w:rPr>
          <w:rFonts w:ascii="Verdana" w:eastAsia="Calibri" w:hAnsi="Verdana" w:cs="Arial"/>
          <w:color w:val="000000"/>
        </w:rPr>
        <w:t xml:space="preserve">: i) </w:t>
      </w:r>
      <w:r w:rsidRPr="0094112D">
        <w:rPr>
          <w:rFonts w:ascii="Verdana" w:eastAsia="Arial" w:hAnsi="Verdana" w:cs="Arial"/>
          <w:highlight w:val="lightGray"/>
        </w:rPr>
        <w:t>el tipo de infraestructura social a la cual se realizará las labores de interventoría</w:t>
      </w:r>
      <w:r w:rsidRPr="00243291">
        <w:rPr>
          <w:rFonts w:ascii="Verdana" w:eastAsia="Calibri" w:hAnsi="Verdana" w:cs="Arial"/>
          <w:color w:val="000000"/>
        </w:rPr>
        <w:t xml:space="preserve"> ; </w:t>
      </w:r>
      <w:proofErr w:type="spellStart"/>
      <w:r w:rsidRPr="00243291">
        <w:rPr>
          <w:rFonts w:ascii="Verdana" w:eastAsia="Calibri" w:hAnsi="Verdana" w:cs="Arial"/>
          <w:color w:val="000000"/>
        </w:rPr>
        <w:t>ii</w:t>
      </w:r>
      <w:proofErr w:type="spellEnd"/>
      <w:r w:rsidRPr="00243291">
        <w:rPr>
          <w:rFonts w:ascii="Verdana" w:eastAsia="Calibri" w:hAnsi="Verdana" w:cs="Arial"/>
          <w:color w:val="000000"/>
        </w:rPr>
        <w:t xml:space="preserve">) la actividad a contratar, y </w:t>
      </w:r>
      <w:proofErr w:type="spellStart"/>
      <w:r w:rsidRPr="00243291">
        <w:rPr>
          <w:rFonts w:ascii="Verdana" w:eastAsia="Calibri" w:hAnsi="Verdana" w:cs="Arial"/>
          <w:color w:val="000000"/>
        </w:rPr>
        <w:t>iii</w:t>
      </w:r>
      <w:proofErr w:type="spellEnd"/>
      <w:r w:rsidRPr="00243291">
        <w:rPr>
          <w:rFonts w:ascii="Verdana" w:eastAsia="Calibri" w:hAnsi="Verdana" w:cs="Arial"/>
          <w:color w:val="000000"/>
        </w:rPr>
        <w:t>) la cuantía del Proceso de Contratación.</w:t>
      </w:r>
    </w:p>
    <w:p w14:paraId="092DF074" w14:textId="77777777" w:rsidR="0066141F" w:rsidRPr="00243291" w:rsidRDefault="0066141F" w:rsidP="0066141F">
      <w:pPr>
        <w:spacing w:after="120" w:line="276" w:lineRule="auto"/>
        <w:ind w:firstLine="709"/>
        <w:jc w:val="both"/>
        <w:rPr>
          <w:rFonts w:ascii="Verdana" w:eastAsia="Aptos" w:hAnsi="Verdana" w:cs="Arial"/>
        </w:rPr>
      </w:pPr>
      <w:r w:rsidRPr="00243291">
        <w:rPr>
          <w:rFonts w:ascii="Verdana" w:eastAsia="Calibri" w:hAnsi="Verdana" w:cs="Arial"/>
        </w:rPr>
        <w:t xml:space="preserve">De igual manera, el literal A del numeral </w:t>
      </w:r>
      <w:r>
        <w:rPr>
          <w:rFonts w:ascii="Verdana" w:eastAsia="Calibri" w:hAnsi="Verdana" w:cs="Arial"/>
        </w:rPr>
        <w:t>10</w:t>
      </w:r>
      <w:r w:rsidRPr="00243291">
        <w:rPr>
          <w:rFonts w:ascii="Verdana" w:eastAsia="Calibri" w:hAnsi="Verdana" w:cs="Arial"/>
        </w:rPr>
        <w:t>.</w:t>
      </w:r>
      <w:r>
        <w:rPr>
          <w:rFonts w:ascii="Verdana" w:eastAsia="Calibri" w:hAnsi="Verdana" w:cs="Arial"/>
        </w:rPr>
        <w:t>1</w:t>
      </w:r>
      <w:r w:rsidRPr="00243291">
        <w:rPr>
          <w:rFonts w:ascii="Verdana" w:eastAsia="Calibri" w:hAnsi="Verdana" w:cs="Arial"/>
        </w:rPr>
        <w:t>.1 del documento base dispone que la entidad debe incluir sin modificar, la actividad o actividades válidas para acreditar la experiencia general o específica señaladas en la Matriz 1 – Experiencia.</w:t>
      </w:r>
      <w:r w:rsidRPr="00243291">
        <w:rPr>
          <w:rFonts w:ascii="Verdana" w:eastAsia="Aptos" w:hAnsi="Verdana" w:cs="Arial"/>
        </w:rPr>
        <w:t xml:space="preserve"> De esta forma, la experiencia evaluable es únicamente la relacionada con la actividad señalada en este literal, por lo cual corresponde a las señaladas en la matriz 1 que son válidas para acreditar la experiencia general y específica. </w:t>
      </w:r>
    </w:p>
    <w:p w14:paraId="426E5880" w14:textId="77777777" w:rsidR="0066141F" w:rsidRPr="00243291" w:rsidRDefault="0066141F" w:rsidP="0066141F">
      <w:pPr>
        <w:spacing w:after="120" w:line="276" w:lineRule="auto"/>
        <w:ind w:firstLine="708"/>
        <w:jc w:val="both"/>
        <w:rPr>
          <w:rFonts w:ascii="Verdana" w:eastAsia="Aptos" w:hAnsi="Verdana" w:cs="Arial"/>
        </w:rPr>
      </w:pPr>
      <w:r w:rsidRPr="00243291">
        <w:rPr>
          <w:rFonts w:ascii="Verdana" w:eastAsia="Aptos" w:hAnsi="Verdana" w:cs="Arial"/>
        </w:rPr>
        <w:t xml:space="preserve">Lo anterior significa que para acreditar la experiencia señalada en la matriz 1, los contratos mediante los cuales se adquirió deben cumplir las características del numeral 3.5.1 del documento base, particularmente el literal </w:t>
      </w:r>
      <w:r w:rsidRPr="00243291">
        <w:rPr>
          <w:rFonts w:ascii="Verdana" w:eastAsia="Aptos" w:hAnsi="Verdana" w:cs="Arial"/>
        </w:rPr>
        <w:lastRenderedPageBreak/>
        <w:t xml:space="preserve">A. Es decir, deben referirse a la actividad que la entidad definió como objeto del procedimiento contractual, que como el mismo literal indica, debe diligenciarse exclusivamente de acuerdo con lo señalado en la matriz de experiencia, que es inalterable. </w:t>
      </w:r>
    </w:p>
    <w:p w14:paraId="1E45EF7C" w14:textId="77777777" w:rsidR="0066141F" w:rsidRDefault="0066141F" w:rsidP="0066141F">
      <w:pPr>
        <w:spacing w:after="120" w:line="276" w:lineRule="auto"/>
        <w:ind w:firstLine="709"/>
        <w:jc w:val="both"/>
        <w:rPr>
          <w:rFonts w:ascii="Verdana" w:eastAsia="Calibri" w:hAnsi="Verdana" w:cs="Arial"/>
        </w:rPr>
      </w:pPr>
      <w:r w:rsidRPr="00243291">
        <w:rPr>
          <w:rFonts w:ascii="Verdana" w:eastAsia="Calibri" w:hAnsi="Verdana" w:cs="Arial"/>
        </w:rPr>
        <w:t xml:space="preserve">Ahora bien, esto no significa que se desconozca la función del Clasificador de Bienes y Servicios ni del RUP. Por el contrario, los documentos tipo exigen que la experiencia acreditada también guarde correspondencia con la clasificación UNSPSC. </w:t>
      </w:r>
    </w:p>
    <w:p w14:paraId="7C01185F" w14:textId="77777777" w:rsidR="0066141F" w:rsidRPr="00C56F29" w:rsidRDefault="0066141F" w:rsidP="0066141F">
      <w:pPr>
        <w:spacing w:after="120" w:line="276" w:lineRule="auto"/>
        <w:ind w:firstLine="709"/>
        <w:jc w:val="both"/>
        <w:rPr>
          <w:rFonts w:ascii="Verdana" w:eastAsia="Calibri" w:hAnsi="Verdana" w:cs="Arial"/>
        </w:rPr>
      </w:pPr>
      <w:r w:rsidRPr="00243291">
        <w:rPr>
          <w:rFonts w:ascii="Verdana" w:eastAsia="Calibri" w:hAnsi="Verdana" w:cs="Arial"/>
        </w:rPr>
        <w:t>En este sentido el numeral “</w:t>
      </w:r>
      <w:r>
        <w:rPr>
          <w:rFonts w:ascii="Verdana" w:eastAsia="Calibri" w:hAnsi="Verdana" w:cs="Arial"/>
        </w:rPr>
        <w:t>10</w:t>
      </w:r>
      <w:r w:rsidRPr="00243291">
        <w:rPr>
          <w:rFonts w:ascii="Verdana" w:eastAsia="Calibri" w:hAnsi="Verdana" w:cs="Arial"/>
        </w:rPr>
        <w:t>.</w:t>
      </w:r>
      <w:r>
        <w:rPr>
          <w:rFonts w:ascii="Verdana" w:eastAsia="Calibri" w:hAnsi="Verdana" w:cs="Arial"/>
        </w:rPr>
        <w:t>1</w:t>
      </w:r>
      <w:r w:rsidRPr="00243291">
        <w:rPr>
          <w:rFonts w:ascii="Verdana" w:eastAsia="Calibri" w:hAnsi="Verdana" w:cs="Arial"/>
        </w:rPr>
        <w:t xml:space="preserve">.2 </w:t>
      </w:r>
      <w:r w:rsidRPr="0094112D">
        <w:rPr>
          <w:rFonts w:ascii="Verdana" w:eastAsia="Arial" w:hAnsi="Verdana" w:cs="Arial"/>
          <w:b/>
          <w:bCs/>
        </w:rPr>
        <w:t>CONSIDERACIONES PARA LA VALIDEZ DE LA EXPERIENCIA DEL PROPONENTE</w:t>
      </w:r>
      <w:r w:rsidRPr="00243291">
        <w:rPr>
          <w:rFonts w:ascii="Verdana" w:eastAsia="Calibri" w:hAnsi="Verdana" w:cs="Arial"/>
        </w:rPr>
        <w:t xml:space="preserve">” del documento base </w:t>
      </w:r>
      <w:r w:rsidRPr="00243291">
        <w:rPr>
          <w:rFonts w:ascii="Verdana" w:eastAsia="Calibri" w:hAnsi="Verdana" w:cs="Arial"/>
          <w:color w:val="000000"/>
        </w:rPr>
        <w:t xml:space="preserve">indica unos aspectos que la entidad tendrá en cuenta para analizar la experiencia acreditada y que la misma sea válida como experiencia requerida. Para efectos de esta solicitud, resultan relevantes los literales A y B de ese numeral. </w:t>
      </w:r>
    </w:p>
    <w:p w14:paraId="5110FAC8" w14:textId="77777777" w:rsidR="0066141F" w:rsidRPr="001F3E5E" w:rsidRDefault="0066141F" w:rsidP="0066141F">
      <w:pPr>
        <w:autoSpaceDE w:val="0"/>
        <w:autoSpaceDN w:val="0"/>
        <w:adjustRightInd w:val="0"/>
        <w:spacing w:before="120" w:after="240" w:line="240" w:lineRule="auto"/>
        <w:jc w:val="both"/>
        <w:rPr>
          <w:rFonts w:ascii="Verdana" w:eastAsia="Arial" w:hAnsi="Verdana" w:cs="Arial"/>
          <w:lang w:eastAsia="es-ES"/>
        </w:rPr>
      </w:pPr>
      <w:r w:rsidRPr="00243291">
        <w:rPr>
          <w:rFonts w:ascii="Verdana" w:eastAsia="Calibri" w:hAnsi="Verdana" w:cs="Arial"/>
          <w:color w:val="000000"/>
        </w:rPr>
        <w:t>En el primero se menciona que “</w:t>
      </w:r>
      <w:r w:rsidRPr="0094112D">
        <w:rPr>
          <w:rFonts w:ascii="Verdana" w:eastAsia="Arial" w:hAnsi="Verdana" w:cs="Arial"/>
          <w:lang w:eastAsia="es-ES"/>
        </w:rPr>
        <w:t>En el Clasificador de Bienes y Servicios el segmento correspondiente para la clasificación de la experiencia es el 80 y/o 81</w:t>
      </w:r>
      <w:r w:rsidRPr="00243291">
        <w:rPr>
          <w:rFonts w:ascii="Verdana" w:eastAsia="Verdana" w:hAnsi="Verdana" w:cs="Verdana"/>
          <w:lang w:val="es-MX"/>
        </w:rPr>
        <w:t xml:space="preserve">”. El segundo literal –B– indica que </w:t>
      </w:r>
      <w:r w:rsidRPr="00243291">
        <w:rPr>
          <w:rFonts w:ascii="Verdana" w:eastAsia="Aptos" w:hAnsi="Verdana" w:cs="Times New Roman"/>
          <w:lang w:val="es-MX"/>
        </w:rPr>
        <w:t>la “</w:t>
      </w:r>
      <w:r w:rsidRPr="0094112D">
        <w:rPr>
          <w:rFonts w:ascii="Verdana" w:eastAsia="Arial" w:hAnsi="Verdana" w:cs="Arial"/>
          <w:lang w:eastAsia="es-ES"/>
        </w:rPr>
        <w:t>La Entidad únicamente podrá exigir para la verificación de la experiencia los contratos celebrados por el interesado, identificados con el Clasificador de Bienes y Servicios hasta el tercer nivel</w:t>
      </w:r>
      <w:r w:rsidRPr="00243291">
        <w:rPr>
          <w:rFonts w:ascii="Verdana" w:eastAsia="Calibri" w:hAnsi="Verdana" w:cs="Arial"/>
          <w:color w:val="000000"/>
        </w:rPr>
        <w:t xml:space="preserve">”. </w:t>
      </w:r>
    </w:p>
    <w:p w14:paraId="1371B7AE" w14:textId="77777777" w:rsidR="0066141F" w:rsidRDefault="0066141F" w:rsidP="0066141F">
      <w:pPr>
        <w:spacing w:after="120" w:line="276" w:lineRule="auto"/>
        <w:ind w:firstLine="708"/>
        <w:jc w:val="both"/>
        <w:rPr>
          <w:rFonts w:ascii="Verdana" w:eastAsia="Calibri" w:hAnsi="Verdana" w:cs="Arial"/>
          <w:color w:val="000000"/>
        </w:rPr>
      </w:pPr>
      <w:r w:rsidRPr="00243291">
        <w:rPr>
          <w:rFonts w:ascii="Verdana" w:eastAsia="Calibri" w:hAnsi="Verdana" w:cs="Arial"/>
          <w:color w:val="000000"/>
        </w:rPr>
        <w:t xml:space="preserve">Asimismo, el numeral </w:t>
      </w:r>
      <w:r>
        <w:rPr>
          <w:rFonts w:ascii="Verdana" w:eastAsia="Calibri" w:hAnsi="Verdana" w:cs="Arial"/>
          <w:color w:val="000000"/>
        </w:rPr>
        <w:t>10</w:t>
      </w:r>
      <w:r w:rsidRPr="00243291">
        <w:rPr>
          <w:rFonts w:ascii="Verdana" w:eastAsia="Calibri" w:hAnsi="Verdana" w:cs="Arial"/>
          <w:color w:val="000000"/>
        </w:rPr>
        <w:t>.</w:t>
      </w:r>
      <w:r>
        <w:rPr>
          <w:rFonts w:ascii="Verdana" w:eastAsia="Calibri" w:hAnsi="Verdana" w:cs="Arial"/>
          <w:color w:val="000000"/>
        </w:rPr>
        <w:t>1</w:t>
      </w:r>
      <w:r w:rsidRPr="00243291">
        <w:rPr>
          <w:rFonts w:ascii="Verdana" w:eastAsia="Calibri" w:hAnsi="Verdana" w:cs="Arial"/>
          <w:color w:val="000000"/>
        </w:rPr>
        <w:t>.3 dispone que los contratos aportados “deben estar clasificados en alguno de los siguientes códigos” y ordena a la entidad exigir contratos identificados con el Clasificador de Bienes y Servicios “hasta el tercer nivel que sean concordantes con el objeto principal del objeto a ejecutar”.</w:t>
      </w:r>
    </w:p>
    <w:p w14:paraId="0CA04CB4" w14:textId="77777777" w:rsidR="0066141F" w:rsidRDefault="0066141F" w:rsidP="0066141F">
      <w:pPr>
        <w:spacing w:after="120" w:line="276" w:lineRule="auto"/>
        <w:ind w:firstLine="708"/>
        <w:jc w:val="both"/>
        <w:rPr>
          <w:rFonts w:ascii="Verdana" w:eastAsia="Calibri" w:hAnsi="Verdana" w:cs="Arial"/>
          <w:lang w:eastAsia="es-MX"/>
        </w:rPr>
      </w:pPr>
      <w:r w:rsidRPr="00183225">
        <w:rPr>
          <w:rFonts w:ascii="Verdana" w:eastAsia="Calibri" w:hAnsi="Verdana" w:cs="Arial"/>
        </w:rPr>
        <w:t xml:space="preserve">En consecuencia, los documentos tipo para contratar la </w:t>
      </w:r>
      <w:r w:rsidRPr="00183225">
        <w:rPr>
          <w:rFonts w:ascii="Verdana" w:hAnsi="Verdana"/>
          <w:color w:val="000000" w:themeColor="text1"/>
        </w:rPr>
        <w:t>interventoría de obra pública de infraestructura social</w:t>
      </w:r>
      <w:r w:rsidRPr="00183225">
        <w:rPr>
          <w:rFonts w:ascii="Verdana" w:eastAsia="Calibri" w:hAnsi="Verdana" w:cs="Arial"/>
        </w:rPr>
        <w:t xml:space="preserve"> – versión 2 no prevén una acreditación de la experiencia basada exclusivamente en las actividades descritas en la Matriz 1 – Experiencia ni tampoco una validación sustentada únicamente en los códigos UNSPSC contenidos en el RUP. La acreditación del requisitos habilitante exige la concurrencia de ambos elementos. Por una parte, que los contratos correspondan a las actividades de experiencia general y específica definidas en la Matriz 1 – Experiencia y, por la otra, que esos contratos se encuentren clasificados en los códigos UNSPSC exigidos por la entidad y registrados en el RUP de conformidad con las reglas establecidas en el documento base y la normativa que regula el Registro Único de Proponentes – RUP. </w:t>
      </w:r>
      <w:r w:rsidRPr="00183225">
        <w:rPr>
          <w:rFonts w:ascii="Verdana" w:eastAsia="Calibri" w:hAnsi="Verdana" w:cs="Arial"/>
          <w:lang w:eastAsia="es-MX"/>
        </w:rPr>
        <w:t xml:space="preserve"> </w:t>
      </w:r>
    </w:p>
    <w:p w14:paraId="7CAB5B98" w14:textId="77777777" w:rsidR="0066141F" w:rsidRPr="00A92DB5" w:rsidRDefault="0066141F" w:rsidP="0066141F">
      <w:pPr>
        <w:spacing w:after="120" w:line="276" w:lineRule="auto"/>
        <w:ind w:firstLine="708"/>
        <w:jc w:val="both"/>
        <w:rPr>
          <w:rFonts w:ascii="Verdana" w:eastAsia="Calibri" w:hAnsi="Verdana" w:cs="Arial"/>
          <w:color w:val="000000"/>
          <w:lang w:val="es-ES"/>
        </w:rPr>
      </w:pPr>
      <w:r w:rsidRPr="00A92DB5">
        <w:rPr>
          <w:rFonts w:ascii="Verdana" w:eastAsia="Calibri" w:hAnsi="Verdana" w:cs="Arial"/>
          <w:color w:val="000000"/>
          <w:lang w:val="es-ES"/>
        </w:rPr>
        <w:lastRenderedPageBreak/>
        <w:t>Sin perjuicio de lo anterior, cuando se invoque la posibilidad de exigir experiencia adicional al amparo del artículo 4 de la Resolución 953 de 2025, será necesario analizar el alcance de esta disposición en concordancia con las reglas del Documento Tipo. En particular, deberá establecerse si la experiencia adicional puede comprender un código perteneciente a un segmento distinto de los segmentos 80 y/o 81, cuáles son los presupuestos que habilitan esa exigencia y de qué manera debe justificarse su relación directa con la obra, el bien o el servicio que fundamenta la excepción. Este análisis resulta necesario para determinar si la exigencia adicional constituye una aplicación legítima de la disposición excepcional</w:t>
      </w:r>
      <w:r>
        <w:rPr>
          <w:rFonts w:ascii="Verdana" w:eastAsia="Calibri" w:hAnsi="Verdana" w:cs="Arial"/>
          <w:color w:val="000000"/>
          <w:lang w:val="es-ES"/>
        </w:rPr>
        <w:t>.</w:t>
      </w:r>
    </w:p>
    <w:p w14:paraId="54E5DDFD" w14:textId="77777777" w:rsidR="0066141F" w:rsidRPr="00835F2F" w:rsidRDefault="0066141F" w:rsidP="0066141F">
      <w:pPr>
        <w:snapToGrid w:val="0"/>
        <w:spacing w:after="120" w:line="276" w:lineRule="auto"/>
        <w:jc w:val="both"/>
        <w:rPr>
          <w:rFonts w:ascii="Verdana" w:eastAsia="Calibri" w:hAnsi="Verdana" w:cs="Arial"/>
          <w:lang w:val="es-MX"/>
        </w:rPr>
      </w:pPr>
      <w:r>
        <w:rPr>
          <w:rFonts w:ascii="Verdana" w:eastAsia="Calibri" w:hAnsi="Verdana" w:cs="Times New Roman"/>
          <w:lang w:val="es-ES"/>
        </w:rPr>
        <w:t>VI).</w:t>
      </w:r>
      <w:r w:rsidRPr="00F03015">
        <w:rPr>
          <w:rFonts w:ascii="Verdana" w:eastAsia="Calibri" w:hAnsi="Verdana" w:cs="Arial"/>
          <w:lang w:val="es-MX"/>
        </w:rPr>
        <w:t xml:space="preserve"> </w:t>
      </w:r>
      <w:r>
        <w:rPr>
          <w:rFonts w:ascii="Verdana" w:eastAsia="Calibri" w:hAnsi="Verdana" w:cs="Arial"/>
          <w:lang w:val="es-MX"/>
        </w:rPr>
        <w:t>E</w:t>
      </w:r>
      <w:r w:rsidRPr="00835F2F">
        <w:rPr>
          <w:rFonts w:ascii="Verdana" w:eastAsia="Calibri" w:hAnsi="Verdana" w:cs="Arial"/>
          <w:lang w:val="es-MX"/>
        </w:rPr>
        <w:t>l pliego tipo es claro en indicar que, frente a discrepancias entre los documentos tipo y lo incluido por la entidad en los documentos del proceso de contratación, prevalecerá lo dispuesto por los primeros, esto es, el contenido de los documentos tipo.</w:t>
      </w:r>
    </w:p>
    <w:p w14:paraId="118211D9" w14:textId="77777777" w:rsidR="0066141F" w:rsidRDefault="0066141F" w:rsidP="0066141F">
      <w:pPr>
        <w:spacing w:before="240" w:line="276" w:lineRule="auto"/>
        <w:ind w:firstLine="708"/>
        <w:contextualSpacing/>
        <w:jc w:val="both"/>
        <w:rPr>
          <w:rFonts w:ascii="Verdana" w:eastAsia="Calibri" w:hAnsi="Verdana" w:cs="Times New Roman"/>
          <w:lang w:val="es-ES"/>
        </w:rPr>
      </w:pPr>
      <w:r w:rsidRPr="00835F2F">
        <w:rPr>
          <w:rFonts w:ascii="Verdana" w:eastAsia="Calibri" w:hAnsi="Verdana" w:cs="Arial"/>
          <w:color w:val="000000"/>
          <w:lang w:val="es-ES"/>
        </w:rPr>
        <w:t xml:space="preserve">Finalmente, </w:t>
      </w:r>
      <w:r w:rsidRPr="00835F2F">
        <w:rPr>
          <w:rFonts w:ascii="Verdana" w:eastAsia="Aptos" w:hAnsi="Verdana" w:cs="Times New Roman"/>
          <w:kern w:val="2"/>
          <w14:ligatures w14:val="standardContextual"/>
        </w:rPr>
        <w:t>debe señalarse que, los ciudadanos en general, así como los interesados o los participantes en los procesos de contratación estatal, se encuentran habilitados para acudir ante las autoridades de control o judicial competentes, como la Procuraduría General de la Nación, Contraloría General de la República y/o Fiscalía General de la Nación, para “denunciar” aquellas situaciones particulares y concretas, cuando adviertan la comisión de presuntas irregularidades de las entidades públicas en desarrollo de su actividad contractual con documentos tipo. Esto con el fin de que sean aquellas autoridades quienes adelanten las investigaciones a que haya lugar y, si es del caso, establezcan la responsabilidad derivada de las infracciones al ordenamiento jurídico y contenido de los documentos tipo.</w:t>
      </w:r>
    </w:p>
    <w:p w14:paraId="45F36AA1" w14:textId="77777777" w:rsidR="0066141F" w:rsidRDefault="0066141F" w:rsidP="0066141F">
      <w:pPr>
        <w:spacing w:before="240" w:line="276" w:lineRule="auto"/>
        <w:contextualSpacing/>
        <w:jc w:val="both"/>
        <w:rPr>
          <w:rFonts w:ascii="Verdana" w:eastAsia="Calibri" w:hAnsi="Verdana" w:cs="Times New Roman"/>
          <w:lang w:val="es-ES"/>
        </w:rPr>
      </w:pPr>
    </w:p>
    <w:p w14:paraId="264E7031" w14:textId="77777777" w:rsidR="0066141F" w:rsidRPr="008415A2" w:rsidRDefault="0066141F" w:rsidP="0066141F">
      <w:pPr>
        <w:spacing w:after="120" w:line="276" w:lineRule="auto"/>
        <w:jc w:val="both"/>
        <w:rPr>
          <w:rFonts w:ascii="Verdana" w:hAnsi="Verdana"/>
        </w:rPr>
      </w:pPr>
      <w:r>
        <w:rPr>
          <w:rFonts w:ascii="Verdana" w:eastAsia="Calibri" w:hAnsi="Verdana" w:cs="Arial"/>
          <w:bCs/>
          <w:color w:val="000000" w:themeColor="text1"/>
        </w:rPr>
        <w:t xml:space="preserve">IV).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A32C924" w14:textId="77777777" w:rsidR="0066141F" w:rsidRPr="00185EE9" w:rsidRDefault="0066141F" w:rsidP="0066141F">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795B2C89" w14:textId="77777777" w:rsidR="00805BE7" w:rsidRPr="00362987" w:rsidRDefault="00805BE7" w:rsidP="0066141F">
      <w:pPr>
        <w:spacing w:after="120" w:line="276" w:lineRule="auto"/>
        <w:jc w:val="both"/>
        <w:rPr>
          <w:rFonts w:ascii="Verdana" w:eastAsia="Aptos" w:hAnsi="Verdana" w:cs="Arial"/>
          <w:lang w:eastAsia="es-MX"/>
        </w:rPr>
      </w:pPr>
    </w:p>
    <w:p w14:paraId="39C88865" w14:textId="77777777" w:rsidR="0066141F" w:rsidRDefault="0066141F" w:rsidP="0066141F">
      <w:pPr>
        <w:pStyle w:val="Prrafodelista"/>
        <w:numPr>
          <w:ilvl w:val="0"/>
          <w:numId w:val="18"/>
        </w:numPr>
        <w:tabs>
          <w:tab w:val="left" w:pos="970"/>
        </w:tabs>
        <w:spacing w:after="0" w:line="276" w:lineRule="auto"/>
        <w:jc w:val="both"/>
        <w:rPr>
          <w:rFonts w:ascii="Verdana" w:eastAsia="Calibri" w:hAnsi="Verdana" w:cs="Arial"/>
          <w:b/>
          <w:bCs/>
        </w:rPr>
      </w:pPr>
      <w:r w:rsidRPr="001440C6">
        <w:rPr>
          <w:rFonts w:ascii="Verdana" w:eastAsia="Calibri" w:hAnsi="Verdana" w:cs="Arial"/>
          <w:b/>
          <w:bCs/>
        </w:rPr>
        <w:t>Referencias normativas, jurisprudenciales y otras fuentes:</w:t>
      </w:r>
      <w:r w:rsidRPr="001440C6">
        <w:rPr>
          <w:rFonts w:ascii="Verdana" w:eastAsia="Calibri" w:hAnsi="Verdana" w:cs="Arial"/>
          <w:b/>
          <w:bCs/>
        </w:rPr>
        <w:tab/>
      </w:r>
    </w:p>
    <w:p w14:paraId="0D13EA0C" w14:textId="77777777" w:rsidR="00805BE7" w:rsidRDefault="00805BE7" w:rsidP="00805BE7">
      <w:pPr>
        <w:pStyle w:val="Prrafodelista"/>
        <w:tabs>
          <w:tab w:val="left" w:pos="970"/>
        </w:tabs>
        <w:spacing w:after="0" w:line="276" w:lineRule="auto"/>
        <w:ind w:left="360"/>
        <w:jc w:val="both"/>
        <w:rPr>
          <w:rFonts w:ascii="Verdana" w:eastAsia="Calibri" w:hAnsi="Verdana" w:cs="Arial"/>
          <w:b/>
          <w:bCs/>
        </w:rPr>
      </w:pPr>
    </w:p>
    <w:p w14:paraId="5D2551A6" w14:textId="77777777" w:rsidR="0066141F" w:rsidRPr="001440C6" w:rsidRDefault="0066141F" w:rsidP="0066141F">
      <w:pPr>
        <w:pStyle w:val="Prrafodelista"/>
        <w:tabs>
          <w:tab w:val="left" w:pos="970"/>
        </w:tabs>
        <w:spacing w:after="0" w:line="276" w:lineRule="auto"/>
        <w:ind w:left="360"/>
        <w:jc w:val="both"/>
        <w:rPr>
          <w:rFonts w:ascii="Verdana" w:eastAsia="Calibri" w:hAnsi="Verdana" w:cs="Arial"/>
          <w:b/>
          <w:bC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6141F" w:rsidRPr="00D56B2A" w14:paraId="14DA7462" w14:textId="77777777" w:rsidTr="00D16AA4">
        <w:trPr>
          <w:trHeight w:val="242"/>
        </w:trPr>
        <w:tc>
          <w:tcPr>
            <w:tcW w:w="8640" w:type="dxa"/>
            <w:tcBorders>
              <w:top w:val="dotted" w:sz="4" w:space="0" w:color="auto"/>
              <w:left w:val="dotted" w:sz="4" w:space="0" w:color="auto"/>
              <w:bottom w:val="dotted" w:sz="4" w:space="0" w:color="auto"/>
              <w:right w:val="dotted" w:sz="4" w:space="0" w:color="auto"/>
            </w:tcBorders>
          </w:tcPr>
          <w:p w14:paraId="7BBA27AA" w14:textId="77777777" w:rsidR="0066141F" w:rsidRPr="00B3442B" w:rsidRDefault="0066141F" w:rsidP="0066141F">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eastAsia="es-MX"/>
              </w:rPr>
            </w:pPr>
            <w:r w:rsidRPr="00B3442B">
              <w:rPr>
                <w:rFonts w:ascii="Verdana" w:eastAsia="MS Mincho" w:hAnsi="Verdana" w:cs="Arial"/>
                <w:lang w:eastAsia="es-CO"/>
              </w:rPr>
              <w:t>Ley 1150 de 2007: artículo 6</w:t>
            </w:r>
          </w:p>
          <w:p w14:paraId="2F90A736" w14:textId="77777777" w:rsidR="0066141F" w:rsidRPr="00B3442B" w:rsidRDefault="0066141F" w:rsidP="0066141F">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eastAsia="es-MX"/>
              </w:rPr>
            </w:pPr>
            <w:r w:rsidRPr="00B3442B">
              <w:rPr>
                <w:rFonts w:ascii="Verdana" w:eastAsia="Times New Roman" w:hAnsi="Verdana" w:cs="Arial"/>
                <w:bdr w:val="none" w:sz="0" w:space="0" w:color="auto" w:frame="1"/>
                <w:lang w:val="es-MX" w:eastAsia="es-CO"/>
              </w:rPr>
              <w:t xml:space="preserve">Decreto 1082 de 2015: artículo 2.2.1.1.1.3.1, artículo </w:t>
            </w:r>
            <w:r w:rsidRPr="00B3442B">
              <w:rPr>
                <w:rFonts w:ascii="Verdana" w:eastAsia="Times New Roman" w:hAnsi="Verdana" w:cs="Arial"/>
                <w:bdr w:val="none" w:sz="0" w:space="0" w:color="auto" w:frame="1"/>
                <w:lang w:eastAsia="es-CO"/>
              </w:rPr>
              <w:t xml:space="preserve">2.2.1.1.1.4.1, artículo </w:t>
            </w:r>
            <w:r w:rsidRPr="00B3442B">
              <w:rPr>
                <w:rFonts w:ascii="Verdana" w:eastAsia="MS Mincho" w:hAnsi="Verdana" w:cs="Arial"/>
                <w:lang w:eastAsia="es-CO"/>
              </w:rPr>
              <w:t>2.2.1.1.1.5.2</w:t>
            </w:r>
          </w:p>
          <w:p w14:paraId="5B6B7F3C" w14:textId="77777777" w:rsidR="0066141F" w:rsidRPr="00B3442B" w:rsidRDefault="0066141F" w:rsidP="0066141F">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eastAsia="es-MX"/>
              </w:rPr>
            </w:pPr>
            <w:r w:rsidRPr="00B3442B">
              <w:rPr>
                <w:rFonts w:ascii="Verdana" w:eastAsia="Calibri" w:hAnsi="Verdana" w:cs="Arial"/>
                <w:lang w:val="es-ES_tradnl" w:eastAsia="es-MX"/>
              </w:rPr>
              <w:t xml:space="preserve">Ley 2022 de 2020, artículo 1. </w:t>
            </w:r>
          </w:p>
          <w:p w14:paraId="2163B7C2" w14:textId="77777777" w:rsidR="0066141F" w:rsidRPr="00805BE7" w:rsidRDefault="0066141F" w:rsidP="0066141F">
            <w:pPr>
              <w:pStyle w:val="Prrafodelista"/>
              <w:widowControl w:val="0"/>
              <w:numPr>
                <w:ilvl w:val="0"/>
                <w:numId w:val="17"/>
              </w:numPr>
              <w:autoSpaceDE w:val="0"/>
              <w:autoSpaceDN w:val="0"/>
              <w:spacing w:after="120" w:line="276" w:lineRule="auto"/>
              <w:jc w:val="both"/>
              <w:rPr>
                <w:rFonts w:ascii="Verdana" w:hAnsi="Verdana" w:cs="Arial"/>
              </w:rPr>
            </w:pPr>
            <w:r w:rsidRPr="00B3442B">
              <w:rPr>
                <w:rFonts w:ascii="Verdana" w:eastAsia="Calibri" w:hAnsi="Verdana" w:cs="Arial"/>
                <w:lang w:val="es-ES_tradnl" w:eastAsia="es-MX"/>
              </w:rPr>
              <w:t xml:space="preserve">Documentos Tipo de licitación de obra pública de infraestructura de </w:t>
            </w:r>
            <w:r>
              <w:rPr>
                <w:rFonts w:ascii="Verdana" w:eastAsia="Calibri" w:hAnsi="Verdana" w:cs="Arial"/>
                <w:lang w:val="es-ES_tradnl" w:eastAsia="es-MX"/>
              </w:rPr>
              <w:t>social</w:t>
            </w:r>
            <w:r w:rsidRPr="00B3442B">
              <w:rPr>
                <w:rFonts w:ascii="Verdana" w:eastAsia="Calibri" w:hAnsi="Verdana" w:cs="Arial"/>
                <w:lang w:val="es-ES_tradnl" w:eastAsia="es-MX"/>
              </w:rPr>
              <w:t xml:space="preserve"> –versión </w:t>
            </w:r>
            <w:r>
              <w:rPr>
                <w:rFonts w:ascii="Verdana" w:eastAsia="Calibri" w:hAnsi="Verdana" w:cs="Arial"/>
                <w:lang w:val="es-ES_tradnl" w:eastAsia="es-MX"/>
              </w:rPr>
              <w:t>2</w:t>
            </w:r>
            <w:r w:rsidRPr="00B3442B">
              <w:rPr>
                <w:rFonts w:ascii="Verdana" w:eastAsia="Calibri" w:hAnsi="Verdana" w:cs="Arial"/>
                <w:lang w:val="es-ES_tradnl" w:eastAsia="es-MX"/>
              </w:rPr>
              <w:t xml:space="preserve">–. Disponibles en: </w:t>
            </w:r>
            <w:hyperlink r:id="rId11" w:history="1">
              <w:r w:rsidRPr="00B3442B">
                <w:rPr>
                  <w:rFonts w:ascii="Verdana" w:eastAsia="Calibri" w:hAnsi="Verdana" w:cs="Arial"/>
                  <w:color w:val="0000FF"/>
                  <w:u w:val="single"/>
                  <w:lang w:val="es-ES_tradnl" w:eastAsia="es-MX"/>
                </w:rPr>
                <w:t>https://www.colombiacompra.gov.co/normativa-y-relatoria/documentos-tipo</w:t>
              </w:r>
            </w:hyperlink>
            <w:r w:rsidRPr="00B3442B">
              <w:rPr>
                <w:rFonts w:ascii="Verdana" w:eastAsia="Calibri" w:hAnsi="Verdana" w:cs="Arial"/>
                <w:lang w:val="es-ES_tradnl" w:eastAsia="es-MX"/>
              </w:rPr>
              <w:t>.</w:t>
            </w:r>
          </w:p>
          <w:p w14:paraId="45FCF89D" w14:textId="3315C47C" w:rsidR="00805BE7" w:rsidRPr="00805BE7" w:rsidRDefault="00805BE7" w:rsidP="00805BE7">
            <w:pPr>
              <w:widowControl w:val="0"/>
              <w:autoSpaceDE w:val="0"/>
              <w:autoSpaceDN w:val="0"/>
              <w:spacing w:after="120" w:line="276" w:lineRule="auto"/>
              <w:jc w:val="both"/>
              <w:rPr>
                <w:rFonts w:ascii="Verdana" w:hAnsi="Verdana" w:cs="Arial"/>
              </w:rPr>
            </w:pPr>
          </w:p>
        </w:tc>
      </w:tr>
    </w:tbl>
    <w:p w14:paraId="1BAF82CF" w14:textId="77777777" w:rsidR="0066141F" w:rsidRPr="00155CC1" w:rsidRDefault="0066141F" w:rsidP="0066141F">
      <w:pPr>
        <w:tabs>
          <w:tab w:val="left" w:pos="142"/>
          <w:tab w:val="left" w:pos="284"/>
        </w:tabs>
        <w:spacing w:after="0" w:line="276" w:lineRule="auto"/>
        <w:jc w:val="both"/>
        <w:rPr>
          <w:rFonts w:ascii="Verdana" w:eastAsia="Calibri" w:hAnsi="Verdana" w:cs="Arial"/>
          <w:color w:val="6699FF"/>
        </w:rPr>
      </w:pPr>
    </w:p>
    <w:p w14:paraId="373A034F" w14:textId="77777777" w:rsidR="0066141F" w:rsidRPr="0026211F" w:rsidRDefault="0066141F" w:rsidP="0066141F">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479DCBCF" w14:textId="77777777" w:rsidR="0066141F" w:rsidRDefault="0066141F" w:rsidP="0066141F">
      <w:pPr>
        <w:spacing w:after="0" w:line="276" w:lineRule="auto"/>
        <w:jc w:val="both"/>
        <w:rPr>
          <w:rFonts w:ascii="Verdana" w:eastAsia="Calibri" w:hAnsi="Verdana" w:cs="Arial"/>
          <w:shd w:val="clear" w:color="auto" w:fill="FFFFFF"/>
          <w:lang w:val="es-ES" w:eastAsia="es-MX"/>
        </w:rPr>
      </w:pPr>
    </w:p>
    <w:p w14:paraId="0BA0A370" w14:textId="77777777" w:rsidR="0066141F" w:rsidRPr="00243291" w:rsidRDefault="0066141F" w:rsidP="0066141F">
      <w:pPr>
        <w:spacing w:after="0" w:line="276" w:lineRule="auto"/>
        <w:jc w:val="both"/>
        <w:rPr>
          <w:rFonts w:ascii="Verdana" w:eastAsia="Calibri" w:hAnsi="Verdana" w:cs="Arial"/>
          <w:shd w:val="clear" w:color="auto" w:fill="FFFFFF"/>
          <w:lang w:val="es-ES" w:eastAsia="es-MX"/>
        </w:rPr>
      </w:pPr>
      <w:r>
        <w:rPr>
          <w:rFonts w:ascii="Verdana" w:eastAsia="Calibri" w:hAnsi="Verdana" w:cs="Arial"/>
          <w:shd w:val="clear" w:color="auto" w:fill="FFFFFF"/>
          <w:lang w:val="es-ES" w:eastAsia="es-MX"/>
        </w:rPr>
        <w:t xml:space="preserve">Sobre </w:t>
      </w:r>
      <w:r w:rsidRPr="00243291">
        <w:rPr>
          <w:rFonts w:ascii="Verdana" w:eastAsia="Calibri" w:hAnsi="Verdana" w:cs="Arial"/>
          <w:shd w:val="clear" w:color="auto" w:fill="FFFFFF"/>
          <w:lang w:val="es-ES" w:eastAsia="es-MX"/>
        </w:rPr>
        <w:t xml:space="preserve">el ámbito de aplicación de los documentos tipo de infraestructura social, </w:t>
      </w:r>
      <w:r>
        <w:rPr>
          <w:rFonts w:ascii="Verdana" w:eastAsia="Calibri" w:hAnsi="Verdana" w:cs="Arial"/>
          <w:shd w:val="clear" w:color="auto" w:fill="FFFFFF"/>
          <w:lang w:val="es-ES" w:eastAsia="es-MX"/>
        </w:rPr>
        <w:t xml:space="preserve">se ha pronunciado </w:t>
      </w:r>
      <w:r w:rsidRPr="00243291">
        <w:rPr>
          <w:rFonts w:ascii="Verdana" w:eastAsia="Calibri" w:hAnsi="Verdana" w:cs="Arial"/>
          <w:shd w:val="clear" w:color="auto" w:fill="FFFFFF"/>
          <w:lang w:val="es-ES" w:eastAsia="es-MX"/>
        </w:rPr>
        <w:t>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243291">
        <w:rPr>
          <w:rFonts w:ascii="Verdana" w:eastAsia="Calibri" w:hAnsi="Verdana" w:cs="Arial"/>
          <w:shd w:val="clear" w:color="auto" w:fill="FFFFFF"/>
          <w:lang w:val="es-ES" w:eastAsia="es-MX"/>
        </w:rPr>
        <w:tab/>
        <w:t xml:space="preserve">C-636 del 1 de noviembre de 2024, C-777 del 9 de diciembre de 2024, C-971 del 21 de enero de 2025 y C-1813 del 31 de diciembre de 2025, entre otros. Concretamente, sobre los documentos </w:t>
      </w:r>
      <w:r w:rsidRPr="00243291">
        <w:rPr>
          <w:rFonts w:ascii="Verdana" w:eastAsia="Calibri" w:hAnsi="Verdana" w:cs="Arial"/>
          <w:shd w:val="clear" w:color="auto" w:fill="FFFFFF"/>
          <w:lang w:val="es-ES" w:eastAsia="es-MX"/>
        </w:rPr>
        <w:lastRenderedPageBreak/>
        <w:t>tipo del sector institucional, esta Agencia se pronunció en los conceptos C-258 del 19 de marzo de 2026, C-385 del 15 de abril, C-392 del 20 de abril de 2026, C-583 del 8 de mayo de 2026</w:t>
      </w:r>
      <w:r>
        <w:rPr>
          <w:rFonts w:ascii="Verdana" w:eastAsia="Calibri" w:hAnsi="Verdana" w:cs="Arial"/>
          <w:shd w:val="clear" w:color="auto" w:fill="FFFFFF"/>
          <w:lang w:val="es-ES" w:eastAsia="es-MX"/>
        </w:rPr>
        <w:t>,</w:t>
      </w:r>
      <w:r w:rsidRPr="00243291">
        <w:rPr>
          <w:rFonts w:ascii="Verdana" w:eastAsia="Calibri" w:hAnsi="Verdana" w:cs="Arial"/>
          <w:shd w:val="clear" w:color="auto" w:fill="FFFFFF"/>
          <w:lang w:val="es-ES" w:eastAsia="es-MX"/>
        </w:rPr>
        <w:t xml:space="preserve"> C-682 del 22 de mayo de 2026</w:t>
      </w:r>
      <w:r>
        <w:rPr>
          <w:rFonts w:ascii="Verdana" w:eastAsia="Calibri" w:hAnsi="Verdana" w:cs="Arial"/>
          <w:shd w:val="clear" w:color="auto" w:fill="FFFFFF"/>
          <w:lang w:val="es-ES" w:eastAsia="es-MX"/>
        </w:rPr>
        <w:t xml:space="preserve">, C-860 del </w:t>
      </w:r>
      <w:r w:rsidRPr="00C030AD">
        <w:rPr>
          <w:rFonts w:ascii="Verdana" w:eastAsia="Calibri" w:hAnsi="Verdana" w:cs="Arial"/>
          <w:shd w:val="clear" w:color="auto" w:fill="FFFFFF"/>
          <w:lang w:val="es-ES" w:eastAsia="es-MX"/>
        </w:rPr>
        <w:t>7 de julio de 2026</w:t>
      </w:r>
      <w:r>
        <w:rPr>
          <w:rFonts w:ascii="Verdana" w:eastAsia="Calibri" w:hAnsi="Verdana" w:cs="Arial"/>
          <w:shd w:val="clear" w:color="auto" w:fill="FFFFFF"/>
          <w:lang w:val="es-ES" w:eastAsia="es-MX"/>
        </w:rPr>
        <w:t>, entre otros.</w:t>
      </w:r>
      <w:r w:rsidRPr="00243291">
        <w:rPr>
          <w:rFonts w:ascii="Verdana" w:eastAsia="Calibri" w:hAnsi="Verdana" w:cs="Arial"/>
          <w:shd w:val="clear" w:color="auto" w:fill="FFFFFF"/>
          <w:lang w:val="es-ES" w:eastAsia="es-MX"/>
        </w:rPr>
        <w:t xml:space="preserve"> </w:t>
      </w:r>
    </w:p>
    <w:p w14:paraId="2CAAADFF" w14:textId="77777777" w:rsidR="0066141F" w:rsidRPr="00F74548" w:rsidRDefault="0066141F" w:rsidP="0066141F">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2AE1CCDB" w14:textId="77777777" w:rsidR="0066141F" w:rsidRPr="00505CD6" w:rsidRDefault="0066141F" w:rsidP="0066141F">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37CB065" w14:textId="77777777" w:rsidR="0066141F" w:rsidRPr="00B55D3E" w:rsidRDefault="0066141F" w:rsidP="0066141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B55D3E">
        <w:rPr>
          <w:rFonts w:ascii="Verdana" w:eastAsia="Calibri" w:hAnsi="Verdana" w:cs="Arial"/>
          <w:kern w:val="2"/>
          <w:shd w:val="clear" w:color="auto" w:fill="FFFFFF"/>
          <w:lang w:val="es-ES_tradnl"/>
          <w14:ligatures w14:val="standardContextual"/>
        </w:rPr>
        <w:t>La</w:t>
      </w:r>
      <w:r w:rsidRPr="00B55D3E">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B55D3E">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B55D3E">
        <w:rPr>
          <w:rFonts w:ascii="Verdana" w:eastAsia="Calibri" w:hAnsi="Verdana" w:cs="Arial"/>
          <w:b/>
          <w:bCs/>
          <w:kern w:val="2"/>
          <w:shd w:val="clear" w:color="auto" w:fill="FFFFFF"/>
          <w:lang w:val="es-ES_tradnl"/>
          <w14:ligatures w14:val="standardContextual"/>
        </w:rPr>
        <w:t>Documentos Tipo</w:t>
      </w:r>
      <w:r w:rsidRPr="00B55D3E">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B55D3E">
        <w:rPr>
          <w:rFonts w:ascii="Verdana" w:eastAsia="Calibri" w:hAnsi="Verdana" w:cs="Arial"/>
          <w:b/>
          <w:bCs/>
          <w:kern w:val="2"/>
          <w:shd w:val="clear" w:color="auto" w:fill="FFFFFF"/>
          <w:lang w:val="es-ES_tradnl"/>
          <w14:ligatures w14:val="standardContextual"/>
        </w:rPr>
        <w:t>transparencia</w:t>
      </w:r>
      <w:r w:rsidRPr="00B55D3E">
        <w:rPr>
          <w:rFonts w:ascii="Verdana" w:eastAsia="Calibri" w:hAnsi="Verdana" w:cs="Arial"/>
          <w:kern w:val="2"/>
          <w:shd w:val="clear" w:color="auto" w:fill="FFFFFF"/>
          <w:lang w:val="es-ES_tradnl"/>
          <w14:ligatures w14:val="standardContextual"/>
        </w:rPr>
        <w:t> y promover un proceso de </w:t>
      </w:r>
      <w:r w:rsidRPr="00B55D3E">
        <w:rPr>
          <w:rFonts w:ascii="Verdana" w:eastAsia="Calibri" w:hAnsi="Verdana" w:cs="Arial"/>
          <w:b/>
          <w:bCs/>
          <w:kern w:val="2"/>
          <w:shd w:val="clear" w:color="auto" w:fill="FFFFFF"/>
          <w:lang w:val="es-ES_tradnl"/>
          <w14:ligatures w14:val="standardContextual"/>
        </w:rPr>
        <w:t>selección objetiva</w:t>
      </w:r>
      <w:r w:rsidRPr="00B55D3E">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5187ED6E" w14:textId="77777777" w:rsidR="0066141F" w:rsidRPr="00B55D3E" w:rsidRDefault="0066141F" w:rsidP="0066141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6AC6D86" w14:textId="77777777" w:rsidR="0066141F" w:rsidRPr="00B55D3E" w:rsidRDefault="0066141F" w:rsidP="0066141F">
      <w:pPr>
        <w:spacing w:after="0" w:line="276" w:lineRule="auto"/>
        <w:jc w:val="both"/>
        <w:rPr>
          <w:rFonts w:ascii="Verdana" w:eastAsia="Aptos" w:hAnsi="Verdana" w:cs="Times New Roman"/>
          <w:kern w:val="2"/>
          <w:lang w:val="es-ES_tradnl"/>
          <w14:ligatures w14:val="standardContextual"/>
        </w:rPr>
      </w:pPr>
      <w:r w:rsidRPr="00B55D3E">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B55D3E">
        <w:rPr>
          <w:rFonts w:ascii="Verdana" w:eastAsia="Aptos" w:hAnsi="Verdana" w:cs="Times New Roman"/>
          <w:b/>
          <w:bCs/>
          <w:kern w:val="2"/>
          <w14:ligatures w14:val="standardContextual"/>
        </w:rPr>
        <w:t>Guía para la Exigencia y Constitución de Garantías en los Procesos de Contratación</w:t>
      </w:r>
      <w:r w:rsidRPr="00B55D3E">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2" w:tgtFrame="_blank" w:tooltip="Original URL: https://www.colombiacompra.gov.co/archivos/manual/guia-de-garantias-en-procesos-de-contratacion. Click or tap if you trust this link." w:history="1">
        <w:r w:rsidRPr="00B55D3E">
          <w:rPr>
            <w:rFonts w:ascii="Verdana" w:eastAsia="Aptos" w:hAnsi="Verdana" w:cs="Times New Roman"/>
            <w:color w:val="0000FF"/>
            <w:kern w:val="2"/>
            <w:u w:val="single"/>
            <w14:ligatures w14:val="standardContextual"/>
          </w:rPr>
          <w:t>https://www.colombiacompra.gov.co/archivos/manual/guia-de-garantias-en-procesos-de-contratacion</w:t>
        </w:r>
      </w:hyperlink>
    </w:p>
    <w:p w14:paraId="7FF2A257" w14:textId="77777777" w:rsidR="0066141F" w:rsidRPr="00B55D3E" w:rsidRDefault="0066141F" w:rsidP="0066141F">
      <w:pPr>
        <w:spacing w:after="0" w:line="276" w:lineRule="auto"/>
        <w:jc w:val="both"/>
        <w:rPr>
          <w:rFonts w:ascii="Verdana" w:eastAsia="Aptos" w:hAnsi="Verdana" w:cs="Times New Roman"/>
          <w:kern w:val="2"/>
          <w14:ligatures w14:val="standardContextual"/>
        </w:rPr>
      </w:pPr>
    </w:p>
    <w:p w14:paraId="1A4ADCB1" w14:textId="77777777" w:rsidR="0066141F" w:rsidRPr="00B55D3E" w:rsidRDefault="0066141F" w:rsidP="0066141F">
      <w:pPr>
        <w:spacing w:after="0" w:line="276" w:lineRule="auto"/>
        <w:jc w:val="both"/>
        <w:rPr>
          <w:rFonts w:ascii="Verdana" w:eastAsia="Aptos" w:hAnsi="Verdana" w:cs="Times New Roman"/>
          <w:kern w:val="2"/>
          <w:lang w:val="es-ES_tradnl"/>
          <w14:ligatures w14:val="standardContextual"/>
        </w:rPr>
      </w:pPr>
      <w:r w:rsidRPr="00B55D3E">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B55D3E">
        <w:rPr>
          <w:rFonts w:ascii="Verdana" w:eastAsia="Aptos" w:hAnsi="Verdana" w:cs="Times New Roman"/>
          <w:b/>
          <w:bCs/>
          <w:kern w:val="2"/>
          <w14:ligatures w14:val="standardContextual"/>
        </w:rPr>
        <w:t>Sistema Integral de Preferencias en favor de las personas con discapacidad</w:t>
      </w:r>
      <w:r w:rsidRPr="00B55D3E">
        <w:rPr>
          <w:rFonts w:ascii="Verdana" w:eastAsia="Aptos" w:hAnsi="Verdana" w:cs="Times New Roman"/>
          <w:kern w:val="2"/>
          <w14:ligatures w14:val="standardContextual"/>
        </w:rPr>
        <w:t xml:space="preserve">, en cumplimiento del artículo 13 de la Ley Estatutaria 1618 de 2013. Para orientar su aplicación, esta Agencia expidió </w:t>
      </w:r>
      <w:r w:rsidRPr="00B55D3E">
        <w:rPr>
          <w:rFonts w:ascii="Verdana" w:eastAsia="Aptos" w:hAnsi="Verdana" w:cs="Times New Roman"/>
          <w:kern w:val="2"/>
          <w14:ligatures w14:val="standardContextual"/>
        </w:rPr>
        <w:lastRenderedPageBreak/>
        <w:t>la </w:t>
      </w:r>
      <w:r w:rsidRPr="00B55D3E">
        <w:rPr>
          <w:rFonts w:ascii="Verdana" w:eastAsia="Aptos" w:hAnsi="Verdana" w:cs="Times New Roman"/>
          <w:b/>
          <w:bCs/>
          <w:kern w:val="2"/>
          <w14:ligatures w14:val="standardContextual"/>
        </w:rPr>
        <w:t>Circular Externa 003 del 12 de mayo de 2026, </w:t>
      </w:r>
      <w:r w:rsidRPr="00B55D3E">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3" w:tgtFrame="_blank" w:tooltip="Original URL: https://www.colombiacompra.gov.co/archivos/circular/circular-externa-003-de-2026. Click or tap if you trust this link." w:history="1">
        <w:r w:rsidRPr="00B55D3E">
          <w:rPr>
            <w:rFonts w:ascii="Verdana" w:eastAsia="Aptos" w:hAnsi="Verdana" w:cs="Times New Roman"/>
            <w:color w:val="0000FF"/>
            <w:kern w:val="2"/>
            <w:u w:val="single"/>
            <w14:ligatures w14:val="standardContextual"/>
          </w:rPr>
          <w:t>https://www.colombiacompra.gov.co/archivos/circular/circular-externa-003-de-2026</w:t>
        </w:r>
      </w:hyperlink>
    </w:p>
    <w:p w14:paraId="45013A28" w14:textId="77777777" w:rsidR="0066141F" w:rsidRPr="00B55D3E" w:rsidRDefault="0066141F" w:rsidP="0066141F">
      <w:pPr>
        <w:spacing w:after="0" w:line="276" w:lineRule="auto"/>
        <w:jc w:val="both"/>
        <w:rPr>
          <w:rFonts w:ascii="Verdana" w:eastAsia="Aptos" w:hAnsi="Verdana" w:cs="Times New Roman"/>
          <w:kern w:val="2"/>
          <w14:ligatures w14:val="standardContextual"/>
        </w:rPr>
      </w:pPr>
    </w:p>
    <w:p w14:paraId="5B20F1C9" w14:textId="77777777" w:rsidR="0066141F" w:rsidRPr="00B55D3E" w:rsidRDefault="0066141F" w:rsidP="0066141F">
      <w:pPr>
        <w:spacing w:after="0" w:line="276" w:lineRule="auto"/>
        <w:jc w:val="both"/>
        <w:rPr>
          <w:rFonts w:ascii="Verdana" w:eastAsia="Aptos" w:hAnsi="Verdana" w:cs="Times New Roman"/>
          <w:kern w:val="2"/>
          <w:lang w:val="es-ES_tradnl"/>
          <w14:ligatures w14:val="standardContextual"/>
        </w:rPr>
      </w:pPr>
      <w:r w:rsidRPr="00B55D3E">
        <w:rPr>
          <w:rFonts w:ascii="Verdana" w:eastAsia="Aptos" w:hAnsi="Verdana" w:cs="Times New Roman"/>
          <w:kern w:val="2"/>
          <w14:ligatures w14:val="standardContextual"/>
        </w:rPr>
        <w:t>Recuerde también que la</w:t>
      </w:r>
      <w:r w:rsidRPr="00B55D3E">
        <w:rPr>
          <w:rFonts w:ascii="Verdana" w:eastAsia="Aptos" w:hAnsi="Verdana" w:cs="Times New Roman"/>
          <w:b/>
          <w:bCs/>
          <w:kern w:val="2"/>
          <w14:ligatures w14:val="standardContextual"/>
        </w:rPr>
        <w:t> información sobre sanciones e inhabilidades </w:t>
      </w:r>
      <w:r w:rsidRPr="00B55D3E">
        <w:rPr>
          <w:rFonts w:ascii="Verdana" w:eastAsia="Aptos" w:hAnsi="Verdana" w:cs="Times New Roman"/>
          <w:kern w:val="2"/>
          <w14:ligatures w14:val="standardContextual"/>
        </w:rPr>
        <w:t>solo cumple su función preventiva si llega oportunamente a los registros públicos. Sobre este deber, esta Agencia expidió la </w:t>
      </w:r>
      <w:r w:rsidRPr="00B55D3E">
        <w:rPr>
          <w:rFonts w:ascii="Verdana" w:eastAsia="Aptos" w:hAnsi="Verdana" w:cs="Times New Roman"/>
          <w:b/>
          <w:bCs/>
          <w:kern w:val="2"/>
          <w14:ligatures w14:val="standardContextual"/>
        </w:rPr>
        <w:t>Circular Externa 002 del 5 de mayo de 2026,</w:t>
      </w:r>
      <w:r w:rsidRPr="00B55D3E">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tgtFrame="_blank" w:tooltip="Original URL: https://www.colombiacompra.gov.co/archivos/circular/circular-externa-002-de-2026. Click or tap if you trust this link." w:history="1">
        <w:r w:rsidRPr="00B55D3E">
          <w:rPr>
            <w:rFonts w:ascii="Verdana" w:eastAsia="Aptos" w:hAnsi="Verdana" w:cs="Times New Roman"/>
            <w:color w:val="0000FF"/>
            <w:kern w:val="2"/>
            <w:u w:val="single"/>
            <w14:ligatures w14:val="standardContextual"/>
          </w:rPr>
          <w:t>https://www.colombiacompra.gov.co/archivos/circular/circular-externa-002-de-2026</w:t>
        </w:r>
      </w:hyperlink>
    </w:p>
    <w:p w14:paraId="19E8A362" w14:textId="77777777" w:rsidR="0066141F" w:rsidRPr="00B55D3E" w:rsidRDefault="0066141F" w:rsidP="0066141F">
      <w:pPr>
        <w:spacing w:after="0" w:line="276" w:lineRule="auto"/>
        <w:jc w:val="both"/>
        <w:rPr>
          <w:rFonts w:ascii="Verdana" w:eastAsia="Aptos" w:hAnsi="Verdana" w:cs="Times New Roman"/>
          <w:kern w:val="2"/>
          <w14:ligatures w14:val="standardContextual"/>
        </w:rPr>
      </w:pPr>
    </w:p>
    <w:p w14:paraId="0CD0A7A5" w14:textId="77777777" w:rsidR="0066141F" w:rsidRPr="00B55D3E" w:rsidRDefault="0066141F" w:rsidP="0066141F">
      <w:pPr>
        <w:spacing w:after="0" w:line="276"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Finalmente, si quiere seguir de cerca la actividad de la Agencia, la tercera edición de 2026 del</w:t>
      </w:r>
      <w:r w:rsidRPr="00B55D3E">
        <w:rPr>
          <w:rFonts w:ascii="Verdana" w:eastAsia="Aptos" w:hAnsi="Verdana" w:cs="Times New Roman"/>
          <w:b/>
          <w:bCs/>
          <w:kern w:val="2"/>
          <w14:ligatures w14:val="standardContextual"/>
        </w:rPr>
        <w:t> Radar de la Compra Pública</w:t>
      </w:r>
      <w:r w:rsidRPr="00B55D3E">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5" w:tgtFrame="_blank" w:tooltip="Original URL: https://www.colombiacompra.gov.co/archivos/boletin/boletin-edicion-n-3-de-2026-radar-de-la-compra-publica. Click or tap if you trust this link." w:history="1">
        <w:r w:rsidRPr="00B55D3E">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3BBC0B88" w14:textId="77777777" w:rsidR="0066141F" w:rsidRPr="00B55D3E" w:rsidRDefault="0066141F" w:rsidP="0066141F">
      <w:pPr>
        <w:spacing w:after="0" w:line="240" w:lineRule="auto"/>
        <w:jc w:val="both"/>
        <w:rPr>
          <w:rFonts w:ascii="Verdana" w:eastAsia="Calibri" w:hAnsi="Verdana" w:cs="Times New Roman"/>
          <w:kern w:val="2"/>
          <w14:ligatures w14:val="standardContextual"/>
        </w:rPr>
      </w:pPr>
      <w:r w:rsidRPr="00B55D3E">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381328CA" w14:textId="77777777" w:rsidR="0066141F" w:rsidRPr="00B55D3E" w:rsidRDefault="0066141F" w:rsidP="0066141F">
      <w:pPr>
        <w:spacing w:after="0" w:line="240" w:lineRule="auto"/>
        <w:jc w:val="both"/>
        <w:rPr>
          <w:rFonts w:ascii="Verdana" w:eastAsia="Aptos" w:hAnsi="Verdana" w:cs="Times New Roman"/>
          <w:kern w:val="2"/>
          <w14:ligatures w14:val="standardContextual"/>
        </w:rPr>
      </w:pPr>
    </w:p>
    <w:p w14:paraId="521092B1" w14:textId="77777777" w:rsidR="0066141F" w:rsidRPr="00B55D3E" w:rsidRDefault="0066141F" w:rsidP="0066141F">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Twitter: </w:t>
      </w:r>
      <w:r w:rsidRPr="00B55D3E">
        <w:rPr>
          <w:rFonts w:ascii="Verdana" w:eastAsia="Calibri" w:hAnsi="Verdana" w:cs="Times New Roman"/>
          <w:color w:val="0000FF"/>
          <w:kern w:val="2"/>
          <w:u w:val="single"/>
          <w14:ligatures w14:val="standardContextual"/>
        </w:rPr>
        <w:t>@colombiacompra</w:t>
      </w:r>
      <w:r w:rsidRPr="00B55D3E">
        <w:rPr>
          <w:rFonts w:ascii="Verdana" w:eastAsia="Calibri" w:hAnsi="Verdana" w:cs="Times New Roman"/>
          <w:color w:val="0000FF"/>
          <w:kern w:val="2"/>
          <w14:ligatures w14:val="standardContextual"/>
        </w:rPr>
        <w:t xml:space="preserve"> </w:t>
      </w:r>
    </w:p>
    <w:p w14:paraId="60D86AD0" w14:textId="77777777" w:rsidR="0066141F" w:rsidRPr="00B55D3E" w:rsidRDefault="0066141F" w:rsidP="0066141F">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Facebook: </w:t>
      </w:r>
      <w:r w:rsidRPr="00B55D3E">
        <w:rPr>
          <w:rFonts w:ascii="Verdana" w:eastAsia="Calibri" w:hAnsi="Verdana" w:cs="Times New Roman"/>
          <w:color w:val="0000FF"/>
          <w:kern w:val="2"/>
          <w:u w:val="single"/>
          <w14:ligatures w14:val="standardContextual"/>
        </w:rPr>
        <w:t>ColombiaCompraEficiente</w:t>
      </w:r>
    </w:p>
    <w:p w14:paraId="69869795" w14:textId="77777777" w:rsidR="0066141F" w:rsidRPr="00B55D3E" w:rsidRDefault="0066141F" w:rsidP="0066141F">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LinkedIn: </w:t>
      </w:r>
      <w:r w:rsidRPr="00B55D3E">
        <w:rPr>
          <w:rFonts w:ascii="Verdana" w:eastAsia="Calibri" w:hAnsi="Verdana" w:cs="Times New Roman"/>
          <w:color w:val="0000FF"/>
          <w:kern w:val="2"/>
          <w:u w:val="single"/>
          <w14:ligatures w14:val="standardContextual"/>
        </w:rPr>
        <w:t>Agencia Nacional de Contratación Pública - Colombia Compra Eficiente</w:t>
      </w:r>
      <w:r w:rsidRPr="00B55D3E">
        <w:rPr>
          <w:rFonts w:ascii="Verdana" w:eastAsia="Calibri" w:hAnsi="Verdana" w:cs="Times New Roman"/>
          <w:color w:val="0000FF"/>
          <w:kern w:val="2"/>
          <w14:ligatures w14:val="standardContextual"/>
        </w:rPr>
        <w:t xml:space="preserve"> </w:t>
      </w:r>
      <w:r w:rsidRPr="00B55D3E">
        <w:rPr>
          <w:rFonts w:ascii="Verdana" w:eastAsia="Aptos" w:hAnsi="Verdana" w:cs="Times New Roman"/>
          <w:kern w:val="2"/>
          <w14:ligatures w14:val="standardContextual"/>
        </w:rPr>
        <w:t xml:space="preserve">Instagram: </w:t>
      </w:r>
      <w:r w:rsidRPr="00B55D3E">
        <w:rPr>
          <w:rFonts w:ascii="Verdana" w:eastAsia="Calibri" w:hAnsi="Verdana" w:cs="Times New Roman"/>
          <w:color w:val="0000FF"/>
          <w:kern w:val="2"/>
          <w:u w:val="single"/>
          <w14:ligatures w14:val="standardContextual"/>
        </w:rPr>
        <w:t>@colombiacompraeficiente_cce</w:t>
      </w:r>
    </w:p>
    <w:p w14:paraId="6B723027" w14:textId="77777777" w:rsidR="0066141F" w:rsidRPr="00B55D3E" w:rsidRDefault="0066141F" w:rsidP="0066141F">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16AE4022" w14:textId="77777777" w:rsidR="0066141F" w:rsidRPr="00B55D3E" w:rsidRDefault="0066141F" w:rsidP="0066141F">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B55D3E">
        <w:rPr>
          <w:rFonts w:ascii="Verdana" w:eastAsia="Calibri" w:hAnsi="Verdana" w:cs="Arial"/>
          <w:color w:val="000000" w:themeColor="text1"/>
          <w:kern w:val="2"/>
          <w:lang w:val="es-ES_tradnl"/>
          <w14:ligatures w14:val="standardContextual"/>
        </w:rPr>
        <w:t xml:space="preserve">Este concepto tiene el alcance previsto en el artículo 28 del Código de Procedimiento Administrativo y de lo Contencioso Administrativo y las </w:t>
      </w:r>
      <w:r w:rsidRPr="00B55D3E">
        <w:rPr>
          <w:rFonts w:ascii="Verdana" w:eastAsia="Calibri" w:hAnsi="Verdana" w:cs="Arial"/>
          <w:color w:val="000000" w:themeColor="text1"/>
          <w:kern w:val="2"/>
          <w:lang w:val="es-ES_tradnl"/>
          <w14:ligatures w14:val="standardContextual"/>
        </w:rPr>
        <w:lastRenderedPageBreak/>
        <w:t>expresiones aquí utilizadas con mayúscula inicial deben ser entendidas con el significado que les otorga el artículo 2.2.1.1.1.3.1. del Decreto 1082 de 2015.</w:t>
      </w:r>
    </w:p>
    <w:p w14:paraId="35DF047C" w14:textId="77777777" w:rsidR="0066141F" w:rsidRDefault="0066141F" w:rsidP="0066141F">
      <w:pPr>
        <w:spacing w:after="0" w:line="240" w:lineRule="auto"/>
        <w:ind w:left="1080"/>
        <w:jc w:val="both"/>
        <w:textAlignment w:val="baseline"/>
        <w:rPr>
          <w:rFonts w:ascii="Verdana" w:eastAsia="Verdana" w:hAnsi="Verdana" w:cs="Verdana"/>
          <w:lang w:eastAsia="es-CO"/>
        </w:rPr>
      </w:pPr>
    </w:p>
    <w:p w14:paraId="47BBE25C" w14:textId="77777777" w:rsidR="0066141F" w:rsidRPr="00B55D3E" w:rsidRDefault="0066141F" w:rsidP="0066141F">
      <w:pPr>
        <w:widowControl w:val="0"/>
        <w:autoSpaceDE w:val="0"/>
        <w:autoSpaceDN w:val="0"/>
        <w:spacing w:after="0" w:line="276" w:lineRule="auto"/>
        <w:jc w:val="both"/>
        <w:rPr>
          <w:rFonts w:ascii="Verdana" w:eastAsia="Calibri" w:hAnsi="Verdana" w:cs="Arial"/>
          <w:color w:val="000000" w:themeColor="text1"/>
        </w:rPr>
      </w:pPr>
    </w:p>
    <w:p w14:paraId="0DE7D10C" w14:textId="77777777" w:rsidR="0066141F" w:rsidRPr="00656C9C" w:rsidRDefault="0066141F" w:rsidP="0066141F">
      <w:pPr>
        <w:spacing w:after="0" w:line="240" w:lineRule="auto"/>
        <w:rPr>
          <w:rFonts w:ascii="Verdana" w:eastAsia="Calibri" w:hAnsi="Verdana" w:cs="Arial"/>
          <w:color w:val="000000" w:themeColor="text1"/>
          <w:lang w:eastAsia="es-CO"/>
        </w:rPr>
      </w:pPr>
      <w:r w:rsidRPr="00B55D3E">
        <w:rPr>
          <w:rFonts w:ascii="Verdana" w:eastAsia="Times New Roman" w:hAnsi="Verdana" w:cs="Arial"/>
          <w:color w:val="000000" w:themeColor="text1"/>
          <w:lang w:eastAsia="es-CO"/>
        </w:rPr>
        <w:t>Atentamente,</w:t>
      </w:r>
      <w:r w:rsidRPr="00B55D3E">
        <w:rPr>
          <w:rFonts w:ascii="Verdana" w:eastAsia="Calibri" w:hAnsi="Verdana" w:cs="Arial"/>
          <w:color w:val="000000" w:themeColor="text1"/>
          <w:lang w:eastAsia="es-CO"/>
        </w:rPr>
        <w:t xml:space="preserve"> </w:t>
      </w:r>
    </w:p>
    <w:p w14:paraId="3BE25F55" w14:textId="77777777" w:rsidR="0066141F" w:rsidRDefault="0066141F" w:rsidP="0066141F">
      <w:pPr>
        <w:tabs>
          <w:tab w:val="left" w:pos="1320"/>
        </w:tabs>
        <w:spacing w:after="0"/>
        <w:jc w:val="center"/>
        <w:rPr>
          <w:rFonts w:ascii="Verdana" w:eastAsia="Verdana" w:hAnsi="Verdana" w:cs="Verdana"/>
          <w:b/>
          <w:bCs/>
        </w:rPr>
      </w:pPr>
    </w:p>
    <w:p w14:paraId="50CCAD91" w14:textId="45503D66" w:rsidR="00FF6CD9" w:rsidRPr="002E73CA" w:rsidRDefault="00FF6CD9" w:rsidP="00FF6CD9">
      <w:pPr>
        <w:tabs>
          <w:tab w:val="left" w:pos="1320"/>
        </w:tabs>
        <w:spacing w:after="0"/>
        <w:jc w:val="center"/>
      </w:pPr>
      <w:r>
        <w:rPr>
          <w:noProof/>
        </w:rPr>
        <w:drawing>
          <wp:inline distT="0" distB="0" distL="0" distR="0" wp14:anchorId="51CC5637" wp14:editId="52BA04A0">
            <wp:extent cx="3352800" cy="1244600"/>
            <wp:effectExtent l="0" t="0" r="0" b="0"/>
            <wp:docPr id="203191553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15532" name="Imagen 2031915532"/>
                    <pic:cNvPicPr/>
                  </pic:nvPicPr>
                  <pic:blipFill>
                    <a:blip r:embed="rId16">
                      <a:extLst>
                        <a:ext uri="{28A0092B-C50C-407E-A947-70E740481C1C}">
                          <a14:useLocalDpi xmlns:a14="http://schemas.microsoft.com/office/drawing/2010/main" val="0"/>
                        </a:ext>
                      </a:extLst>
                    </a:blip>
                    <a:stretch>
                      <a:fillRect/>
                    </a:stretch>
                  </pic:blipFill>
                  <pic:spPr>
                    <a:xfrm>
                      <a:off x="0" y="0"/>
                      <a:ext cx="3352800" cy="1244600"/>
                    </a:xfrm>
                    <a:prstGeom prst="rect">
                      <a:avLst/>
                    </a:prstGeom>
                  </pic:spPr>
                </pic:pic>
              </a:graphicData>
            </a:graphic>
          </wp:inline>
        </w:drawing>
      </w: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66141F" w14:paraId="0A7163E7" w14:textId="77777777" w:rsidTr="00D16AA4">
        <w:trPr>
          <w:trHeight w:val="315"/>
        </w:trPr>
        <w:tc>
          <w:tcPr>
            <w:tcW w:w="1185" w:type="dxa"/>
            <w:tcBorders>
              <w:top w:val="nil"/>
              <w:left w:val="nil"/>
              <w:bottom w:val="nil"/>
              <w:right w:val="nil"/>
            </w:tcBorders>
            <w:tcMar>
              <w:left w:w="105" w:type="dxa"/>
              <w:right w:w="105" w:type="dxa"/>
            </w:tcMar>
            <w:vAlign w:val="center"/>
          </w:tcPr>
          <w:p w14:paraId="76701C90" w14:textId="77777777" w:rsidR="0066141F" w:rsidRDefault="0066141F" w:rsidP="00D16AA4">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4604B49A" w14:textId="77777777" w:rsidR="0066141F" w:rsidRDefault="0066141F" w:rsidP="00D16AA4">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3D914E30" w14:textId="77777777" w:rsidR="0066141F" w:rsidRDefault="0066141F" w:rsidP="00D16AA4">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66141F" w14:paraId="2165BC94" w14:textId="77777777" w:rsidTr="00D16AA4">
        <w:trPr>
          <w:trHeight w:val="315"/>
        </w:trPr>
        <w:tc>
          <w:tcPr>
            <w:tcW w:w="1185" w:type="dxa"/>
            <w:tcBorders>
              <w:top w:val="nil"/>
              <w:left w:val="nil"/>
              <w:bottom w:val="nil"/>
              <w:right w:val="nil"/>
            </w:tcBorders>
            <w:tcMar>
              <w:left w:w="105" w:type="dxa"/>
              <w:right w:w="105" w:type="dxa"/>
            </w:tcMar>
            <w:vAlign w:val="center"/>
          </w:tcPr>
          <w:p w14:paraId="3B124DF0" w14:textId="77777777" w:rsidR="0066141F" w:rsidRDefault="0066141F" w:rsidP="00D16AA4">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4844D2CB" w14:textId="77777777" w:rsidR="0066141F" w:rsidRDefault="0066141F" w:rsidP="00D16AA4">
            <w:pPr>
              <w:rPr>
                <w:rFonts w:ascii="Verdana" w:eastAsia="Verdana" w:hAnsi="Verdana" w:cs="Verdana"/>
                <w:sz w:val="16"/>
                <w:szCs w:val="16"/>
              </w:rPr>
            </w:pPr>
            <w:r>
              <w:rPr>
                <w:rFonts w:ascii="Verdana" w:eastAsia="Verdana" w:hAnsi="Verdana" w:cs="Verdana"/>
                <w:sz w:val="16"/>
                <w:szCs w:val="16"/>
              </w:rPr>
              <w:t xml:space="preserve">Adriana </w:t>
            </w:r>
            <w:proofErr w:type="spellStart"/>
            <w:r>
              <w:rPr>
                <w:rFonts w:ascii="Verdana" w:eastAsia="Verdana" w:hAnsi="Verdana" w:cs="Verdana"/>
                <w:sz w:val="16"/>
                <w:szCs w:val="16"/>
              </w:rPr>
              <w:t>Katherin</w:t>
            </w:r>
            <w:proofErr w:type="spellEnd"/>
            <w:r>
              <w:rPr>
                <w:rFonts w:ascii="Verdana" w:eastAsia="Verdana" w:hAnsi="Verdana" w:cs="Verdana"/>
                <w:sz w:val="16"/>
                <w:szCs w:val="16"/>
              </w:rPr>
              <w:t xml:space="preserve"> López Rodríguez</w:t>
            </w:r>
          </w:p>
          <w:p w14:paraId="13579116" w14:textId="77777777" w:rsidR="0066141F" w:rsidRDefault="0066141F" w:rsidP="00D16AA4">
            <w:pPr>
              <w:rPr>
                <w:rFonts w:ascii="Verdana" w:eastAsia="Verdana" w:hAnsi="Verdana" w:cs="Verdana"/>
                <w:sz w:val="16"/>
                <w:szCs w:val="16"/>
              </w:rPr>
            </w:pPr>
            <w:r>
              <w:rPr>
                <w:rFonts w:ascii="Verdana" w:eastAsia="Verdana" w:hAnsi="Verdana" w:cs="Verdana"/>
                <w:sz w:val="16"/>
                <w:szCs w:val="16"/>
              </w:rPr>
              <w:t xml:space="preserve">Contratista </w:t>
            </w:r>
            <w:r w:rsidRPr="3F869DD7">
              <w:rPr>
                <w:rFonts w:ascii="Verdana" w:eastAsia="Verdana" w:hAnsi="Verdana" w:cs="Verdana"/>
                <w:sz w:val="16"/>
                <w:szCs w:val="16"/>
              </w:rPr>
              <w:t>de la Subdirección de Gestión Contractual</w:t>
            </w:r>
          </w:p>
        </w:tc>
      </w:tr>
      <w:tr w:rsidR="0066141F" w14:paraId="68CF4500" w14:textId="77777777" w:rsidTr="00D16AA4">
        <w:trPr>
          <w:trHeight w:val="300"/>
        </w:trPr>
        <w:tc>
          <w:tcPr>
            <w:tcW w:w="1185" w:type="dxa"/>
            <w:tcBorders>
              <w:top w:val="nil"/>
              <w:left w:val="nil"/>
              <w:bottom w:val="nil"/>
              <w:right w:val="nil"/>
            </w:tcBorders>
            <w:tcMar>
              <w:left w:w="105" w:type="dxa"/>
              <w:right w:w="105" w:type="dxa"/>
            </w:tcMar>
            <w:vAlign w:val="center"/>
          </w:tcPr>
          <w:p w14:paraId="57004D76" w14:textId="77777777" w:rsidR="0066141F" w:rsidRDefault="0066141F" w:rsidP="00D16AA4">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41A87D96" w14:textId="77777777" w:rsidR="0066141F" w:rsidRDefault="0066141F" w:rsidP="00D16AA4">
            <w:pPr>
              <w:rPr>
                <w:rFonts w:ascii="Verdana" w:eastAsia="Verdana" w:hAnsi="Verdana" w:cs="Verdana"/>
                <w:sz w:val="16"/>
                <w:szCs w:val="16"/>
              </w:rPr>
            </w:pPr>
            <w:r>
              <w:rPr>
                <w:rFonts w:ascii="Verdana" w:eastAsia="Verdana" w:hAnsi="Verdana" w:cs="Verdana"/>
                <w:sz w:val="16"/>
                <w:szCs w:val="16"/>
              </w:rPr>
              <w:t>William Javier Murcia Acevedo</w:t>
            </w:r>
          </w:p>
          <w:p w14:paraId="77E6B589" w14:textId="77777777" w:rsidR="0066141F" w:rsidRDefault="0066141F" w:rsidP="00D16AA4">
            <w:pPr>
              <w:rPr>
                <w:rFonts w:ascii="Verdana" w:eastAsia="Verdana" w:hAnsi="Verdana" w:cs="Verdana"/>
                <w:sz w:val="16"/>
                <w:szCs w:val="16"/>
              </w:rPr>
            </w:pPr>
            <w:r w:rsidRPr="3F869DD7">
              <w:rPr>
                <w:rFonts w:ascii="Verdana" w:eastAsia="Verdana" w:hAnsi="Verdana" w:cs="Verdana"/>
                <w:sz w:val="16"/>
                <w:szCs w:val="16"/>
              </w:rPr>
              <w:t>Subdirector de Gestión Contractual ANCP – CCE</w:t>
            </w:r>
            <w:r>
              <w:rPr>
                <w:rFonts w:ascii="Verdana" w:eastAsia="Verdana" w:hAnsi="Verdana" w:cs="Verdana"/>
                <w:sz w:val="16"/>
                <w:szCs w:val="16"/>
              </w:rPr>
              <w:t xml:space="preserve"> (E)</w:t>
            </w:r>
          </w:p>
        </w:tc>
      </w:tr>
    </w:tbl>
    <w:p w14:paraId="7296F121" w14:textId="77777777" w:rsidR="0066141F" w:rsidRPr="000E2B93" w:rsidRDefault="0066141F" w:rsidP="0066141F">
      <w:pPr>
        <w:spacing w:after="0" w:line="240" w:lineRule="auto"/>
        <w:jc w:val="both"/>
        <w:textAlignment w:val="baseline"/>
        <w:rPr>
          <w:rFonts w:ascii="Verdana" w:eastAsia="Verdana" w:hAnsi="Verdana" w:cs="Verdana"/>
          <w:lang w:eastAsia="es-CO"/>
        </w:rPr>
      </w:pPr>
    </w:p>
    <w:p w14:paraId="23AD80EA" w14:textId="77777777" w:rsidR="0066141F" w:rsidRPr="000E2B93" w:rsidRDefault="0066141F" w:rsidP="0066141F">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6CE7339B" w:rsidR="00127233" w:rsidRPr="00E92A3B" w:rsidRDefault="00127233" w:rsidP="00E92A3B"/>
    <w:sectPr w:rsidR="00127233" w:rsidRPr="00E92A3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C4076" w14:textId="77777777" w:rsidR="00A20C90" w:rsidRDefault="00A20C90" w:rsidP="004A1847">
      <w:pPr>
        <w:spacing w:after="0" w:line="240" w:lineRule="auto"/>
      </w:pPr>
      <w:r>
        <w:separator/>
      </w:r>
    </w:p>
  </w:endnote>
  <w:endnote w:type="continuationSeparator" w:id="0">
    <w:p w14:paraId="5B755B3C" w14:textId="77777777" w:rsidR="00A20C90" w:rsidRDefault="00A20C90" w:rsidP="004A1847">
      <w:pPr>
        <w:spacing w:after="0" w:line="240" w:lineRule="auto"/>
      </w:pPr>
      <w:r>
        <w:continuationSeparator/>
      </w:r>
    </w:p>
  </w:endnote>
  <w:endnote w:type="continuationNotice" w:id="1">
    <w:p w14:paraId="0B262C4D" w14:textId="77777777" w:rsidR="00A20C90" w:rsidRDefault="00A20C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2C66A" w14:textId="77777777" w:rsidR="00A20C90" w:rsidRDefault="00A20C90" w:rsidP="004A1847">
      <w:pPr>
        <w:spacing w:after="0" w:line="240" w:lineRule="auto"/>
      </w:pPr>
      <w:r>
        <w:separator/>
      </w:r>
    </w:p>
  </w:footnote>
  <w:footnote w:type="continuationSeparator" w:id="0">
    <w:p w14:paraId="55A394F0" w14:textId="77777777" w:rsidR="00A20C90" w:rsidRDefault="00A20C90" w:rsidP="004A1847">
      <w:pPr>
        <w:spacing w:after="0" w:line="240" w:lineRule="auto"/>
      </w:pPr>
      <w:r>
        <w:continuationSeparator/>
      </w:r>
    </w:p>
  </w:footnote>
  <w:footnote w:type="continuationNotice" w:id="1">
    <w:p w14:paraId="2C431406" w14:textId="77777777" w:rsidR="00A20C90" w:rsidRDefault="00A20C90">
      <w:pPr>
        <w:spacing w:after="0" w:line="240" w:lineRule="auto"/>
      </w:pPr>
    </w:p>
  </w:footnote>
  <w:footnote w:id="2">
    <w:p w14:paraId="5DBA0800" w14:textId="77777777" w:rsidR="0066141F" w:rsidRPr="00794B74" w:rsidRDefault="0066141F" w:rsidP="0066141F">
      <w:pPr>
        <w:pStyle w:val="Textonotapie"/>
        <w:ind w:firstLine="708"/>
        <w:jc w:val="both"/>
        <w:rPr>
          <w:rFonts w:ascii="Verdana" w:hAnsi="Verdana"/>
          <w:sz w:val="18"/>
          <w:szCs w:val="18"/>
        </w:rPr>
      </w:pPr>
      <w:r w:rsidRPr="00794B74">
        <w:rPr>
          <w:rStyle w:val="Refdenotaalpie"/>
          <w:rFonts w:ascii="Verdana" w:hAnsi="Verdana"/>
          <w:sz w:val="18"/>
          <w:szCs w:val="18"/>
        </w:rPr>
        <w:footnoteRef/>
      </w:r>
      <w:r w:rsidRPr="00794B74">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44D1D698" w14:textId="77777777" w:rsidR="0066141F" w:rsidRPr="00794B74" w:rsidRDefault="0066141F" w:rsidP="0066141F">
      <w:pPr>
        <w:pStyle w:val="Textonotapie"/>
        <w:ind w:firstLine="708"/>
        <w:jc w:val="both"/>
        <w:rPr>
          <w:rFonts w:ascii="Verdana" w:hAnsi="Verdana"/>
          <w:sz w:val="18"/>
          <w:szCs w:val="18"/>
        </w:rPr>
      </w:pPr>
    </w:p>
    <w:p w14:paraId="412262F4" w14:textId="77777777" w:rsidR="0066141F" w:rsidRPr="00794B74" w:rsidRDefault="0066141F" w:rsidP="0066141F">
      <w:pPr>
        <w:pStyle w:val="Textonotapie"/>
        <w:ind w:firstLine="708"/>
        <w:jc w:val="both"/>
        <w:rPr>
          <w:rFonts w:ascii="Verdana" w:hAnsi="Verdana"/>
          <w:sz w:val="18"/>
          <w:szCs w:val="18"/>
        </w:rPr>
      </w:pPr>
      <w:r w:rsidRPr="00794B74">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5F3B0D65" w14:textId="77777777" w:rsidR="0066141F" w:rsidRPr="00794B74" w:rsidRDefault="0066141F" w:rsidP="0066141F">
      <w:pPr>
        <w:pStyle w:val="Textonotapie"/>
        <w:ind w:firstLine="708"/>
        <w:jc w:val="both"/>
        <w:rPr>
          <w:rFonts w:ascii="Verdana" w:hAnsi="Verdana"/>
          <w:sz w:val="18"/>
          <w:szCs w:val="18"/>
        </w:rPr>
      </w:pPr>
    </w:p>
    <w:p w14:paraId="777DC4F6" w14:textId="77777777" w:rsidR="0066141F" w:rsidRPr="00794B74" w:rsidRDefault="0066141F" w:rsidP="0066141F">
      <w:pPr>
        <w:pStyle w:val="Textonotapie"/>
        <w:ind w:firstLine="708"/>
        <w:jc w:val="both"/>
        <w:rPr>
          <w:rFonts w:ascii="Verdana" w:hAnsi="Verdana"/>
          <w:sz w:val="18"/>
          <w:szCs w:val="18"/>
        </w:rPr>
      </w:pPr>
      <w:r w:rsidRPr="00794B74">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2EFA1970" w14:textId="77777777" w:rsidR="0066141F" w:rsidRPr="00794B74" w:rsidRDefault="0066141F" w:rsidP="0066141F">
      <w:pPr>
        <w:pStyle w:val="Textonotapie"/>
        <w:ind w:firstLine="708"/>
        <w:jc w:val="both"/>
        <w:rPr>
          <w:rFonts w:ascii="Verdana" w:hAnsi="Verdana"/>
          <w:sz w:val="18"/>
          <w:szCs w:val="18"/>
        </w:rPr>
      </w:pPr>
    </w:p>
    <w:p w14:paraId="4BAEB222" w14:textId="77777777" w:rsidR="0066141F" w:rsidRPr="00794B74" w:rsidRDefault="0066141F" w:rsidP="0066141F">
      <w:pPr>
        <w:pStyle w:val="Textonotapie"/>
        <w:ind w:firstLine="708"/>
        <w:jc w:val="both"/>
        <w:rPr>
          <w:rFonts w:ascii="Verdana" w:hAnsi="Verdana"/>
          <w:sz w:val="18"/>
          <w:szCs w:val="18"/>
        </w:rPr>
      </w:pPr>
      <w:r w:rsidRPr="00794B74">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07F49108" w14:textId="77777777" w:rsidR="0066141F" w:rsidRPr="00794B74" w:rsidRDefault="0066141F" w:rsidP="0066141F">
      <w:pPr>
        <w:pStyle w:val="Textonotapie"/>
        <w:ind w:firstLine="708"/>
        <w:jc w:val="both"/>
        <w:rPr>
          <w:rFonts w:ascii="Verdana" w:hAnsi="Verdana"/>
          <w:sz w:val="18"/>
          <w:szCs w:val="18"/>
        </w:rPr>
      </w:pPr>
    </w:p>
    <w:p w14:paraId="4C6C88BE" w14:textId="77777777" w:rsidR="0066141F" w:rsidRPr="00794B74" w:rsidRDefault="0066141F" w:rsidP="0066141F">
      <w:pPr>
        <w:pStyle w:val="Textonotapie"/>
        <w:ind w:firstLine="708"/>
        <w:jc w:val="both"/>
        <w:rPr>
          <w:rFonts w:ascii="Verdana" w:hAnsi="Verdana"/>
          <w:sz w:val="18"/>
          <w:szCs w:val="18"/>
        </w:rPr>
      </w:pPr>
      <w:r w:rsidRPr="00794B74">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3">
    <w:p w14:paraId="34F2E259" w14:textId="77777777" w:rsidR="0066141F" w:rsidRPr="002206B9" w:rsidRDefault="0066141F" w:rsidP="0066141F">
      <w:pPr>
        <w:pStyle w:val="Textonotapie"/>
        <w:jc w:val="both"/>
        <w:rPr>
          <w:rFonts w:ascii="Verdana" w:hAnsi="Verdana" w:cs="Arial"/>
          <w:sz w:val="18"/>
          <w:szCs w:val="18"/>
        </w:rPr>
      </w:pPr>
    </w:p>
    <w:p w14:paraId="64E22FCB" w14:textId="77777777" w:rsidR="0066141F" w:rsidRPr="002206B9" w:rsidRDefault="0066141F" w:rsidP="0066141F">
      <w:pPr>
        <w:pStyle w:val="Textonotapie"/>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cuanto a las resoluciones vigentes, dicha regla se observa en el artículo 3 de las Resoluciones</w:t>
      </w:r>
      <w:bookmarkStart w:id="17" w:name="_Hlk82363077"/>
      <w:r w:rsidRPr="002206B9">
        <w:rPr>
          <w:rFonts w:ascii="Verdana" w:hAnsi="Verdana" w:cs="Arial"/>
          <w:sz w:val="18"/>
          <w:szCs w:val="18"/>
          <w:lang w:val="es-ES"/>
        </w:rPr>
        <w:t xml:space="preserve"> 248 de 2020, 249 de 2020, 269 de 2020, 219 de 2021, 220 de 2021, 392 de 2021, 454 de 2021, 333 de 2022, 358 de 2023, 798 de 2023, 456 de 2024, 463 de 2024, 464 de 2024, 725 de 2024, 726 de 2024, entre otras</w:t>
      </w:r>
      <w:bookmarkEnd w:id="17"/>
      <w:r w:rsidRPr="002206B9">
        <w:rPr>
          <w:rFonts w:ascii="Verdana" w:hAnsi="Verdana" w:cs="Arial"/>
          <w:sz w:val="18"/>
          <w:szCs w:val="18"/>
          <w:lang w:val="es-ES"/>
        </w:rPr>
        <w:t xml:space="preserve">. </w:t>
      </w:r>
    </w:p>
    <w:p w14:paraId="5450792E" w14:textId="77777777" w:rsidR="0066141F" w:rsidRPr="002206B9" w:rsidRDefault="0066141F" w:rsidP="0066141F">
      <w:pPr>
        <w:pStyle w:val="Textonotapie"/>
        <w:ind w:firstLine="709"/>
        <w:jc w:val="both"/>
        <w:rPr>
          <w:rFonts w:ascii="Verdana" w:hAnsi="Verdana" w:cs="Arial"/>
          <w:sz w:val="18"/>
          <w:szCs w:val="18"/>
          <w:lang w:val="es-ES"/>
        </w:rPr>
      </w:pPr>
    </w:p>
  </w:footnote>
  <w:footnote w:id="4">
    <w:p w14:paraId="2E45ABE9" w14:textId="77777777" w:rsidR="0066141F" w:rsidRPr="002206B9" w:rsidRDefault="0066141F" w:rsidP="0066141F">
      <w:pPr>
        <w:pStyle w:val="Textonotapie"/>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41E0C716" w14:textId="77777777" w:rsidR="0066141F" w:rsidRPr="002206B9" w:rsidRDefault="0066141F" w:rsidP="0066141F">
      <w:pPr>
        <w:pStyle w:val="Textonotapie"/>
        <w:ind w:firstLine="708"/>
        <w:jc w:val="both"/>
        <w:rPr>
          <w:rFonts w:ascii="Verdana" w:hAnsi="Verdana" w:cs="Arial"/>
          <w:sz w:val="18"/>
          <w:szCs w:val="18"/>
        </w:rPr>
      </w:pPr>
    </w:p>
  </w:footnote>
  <w:footnote w:id="5">
    <w:p w14:paraId="67426EBB" w14:textId="77777777" w:rsidR="0066141F" w:rsidRPr="002206B9" w:rsidRDefault="0066141F" w:rsidP="0066141F">
      <w:pPr>
        <w:pStyle w:val="Textonotapie"/>
        <w:ind w:firstLine="709"/>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A9EF0AB" w14:textId="77777777" w:rsidR="0066141F" w:rsidRPr="002206B9" w:rsidRDefault="0066141F" w:rsidP="0066141F">
      <w:pPr>
        <w:pStyle w:val="Textonotapie"/>
        <w:ind w:firstLine="709"/>
        <w:jc w:val="both"/>
        <w:rPr>
          <w:rFonts w:ascii="Verdana" w:hAnsi="Verdana" w:cs="Arial"/>
          <w:sz w:val="18"/>
          <w:szCs w:val="18"/>
        </w:rPr>
      </w:pPr>
    </w:p>
  </w:footnote>
  <w:footnote w:id="6">
    <w:p w14:paraId="3E83D02D" w14:textId="77777777" w:rsidR="0066141F" w:rsidRPr="002206B9" w:rsidRDefault="0066141F" w:rsidP="0066141F">
      <w:pPr>
        <w:spacing w:after="0" w:line="240" w:lineRule="auto"/>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1D61228" w14:textId="77777777" w:rsidR="0066141F" w:rsidRPr="002206B9" w:rsidRDefault="0066141F" w:rsidP="0066141F">
      <w:pPr>
        <w:spacing w:after="0" w:line="240" w:lineRule="auto"/>
        <w:ind w:firstLine="709"/>
        <w:jc w:val="both"/>
        <w:rPr>
          <w:rFonts w:ascii="Verdana" w:hAnsi="Verdana" w:cs="Arial"/>
          <w:sz w:val="18"/>
          <w:szCs w:val="18"/>
          <w:lang w:val="es-ES"/>
        </w:rPr>
      </w:pPr>
    </w:p>
  </w:footnote>
  <w:footnote w:id="7">
    <w:p w14:paraId="6C837121" w14:textId="77777777" w:rsidR="0066141F" w:rsidRPr="002206B9" w:rsidRDefault="0066141F" w:rsidP="0066141F">
      <w:pPr>
        <w:pStyle w:val="Textonotapie"/>
        <w:ind w:firstLine="708"/>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Diccionario de la Real Academia Española, versión online disponible en: </w:t>
      </w:r>
      <w:hyperlink r:id="rId1" w:history="1">
        <w:r w:rsidRPr="002206B9">
          <w:rPr>
            <w:rStyle w:val="Hipervnculo"/>
            <w:rFonts w:ascii="Verdana" w:hAnsi="Verdana" w:cs="Arial"/>
            <w:color w:val="auto"/>
            <w:sz w:val="18"/>
            <w:szCs w:val="18"/>
          </w:rPr>
          <w:t>https://dle.rae.es/est%C3%A1ndar</w:t>
        </w:r>
      </w:hyperlink>
      <w:r w:rsidRPr="002206B9">
        <w:rPr>
          <w:rFonts w:ascii="Verdana" w:hAnsi="Verdana" w:cs="Arial"/>
          <w:sz w:val="18"/>
          <w:szCs w:val="18"/>
        </w:rPr>
        <w:t xml:space="preserve">, consultado el 23 de abril de 2026. </w:t>
      </w:r>
    </w:p>
  </w:footnote>
  <w:footnote w:id="8">
    <w:p w14:paraId="0997EEB6" w14:textId="77777777" w:rsidR="0066141F" w:rsidRPr="00A0159C" w:rsidRDefault="0066141F" w:rsidP="0066141F">
      <w:pPr>
        <w:pStyle w:val="Textonotapie"/>
        <w:ind w:firstLine="709"/>
        <w:jc w:val="both"/>
        <w:rPr>
          <w:rFonts w:ascii="Verdana" w:hAnsi="Verdana"/>
          <w:sz w:val="18"/>
          <w:szCs w:val="18"/>
          <w:lang w:val="es-ES_tradnl"/>
        </w:rPr>
      </w:pPr>
      <w:r w:rsidRPr="00A0159C">
        <w:rPr>
          <w:rStyle w:val="Refdenotaalpie"/>
          <w:rFonts w:ascii="Verdana" w:hAnsi="Verdana"/>
          <w:sz w:val="18"/>
          <w:szCs w:val="18"/>
        </w:rPr>
        <w:footnoteRef/>
      </w:r>
      <w:r w:rsidRPr="00A0159C">
        <w:rPr>
          <w:rFonts w:ascii="Verdana" w:hAnsi="Verdana"/>
          <w:sz w:val="18"/>
          <w:szCs w:val="18"/>
        </w:rPr>
        <w:t xml:space="preserve"> </w:t>
      </w:r>
      <w:r w:rsidRPr="00A0159C">
        <w:rPr>
          <w:rFonts w:ascii="Verdana" w:hAnsi="Verdana"/>
          <w:sz w:val="18"/>
          <w:szCs w:val="18"/>
          <w:lang w:val="es-ES_tradnl"/>
        </w:rPr>
        <w:t xml:space="preserve">Esto también puede observarse en los demás documentos tipo adoptados por la Agencia Nacional de Contratación Pública. </w:t>
      </w:r>
    </w:p>
    <w:p w14:paraId="24AD6900" w14:textId="77777777" w:rsidR="0066141F" w:rsidRPr="00423C1B" w:rsidRDefault="0066141F" w:rsidP="0066141F">
      <w:pPr>
        <w:pStyle w:val="Textonotapie"/>
        <w:ind w:firstLine="709"/>
        <w:rPr>
          <w:lang w:val="es-ES_tradnl"/>
        </w:rPr>
      </w:pPr>
    </w:p>
  </w:footnote>
  <w:footnote w:id="9">
    <w:p w14:paraId="2BA1F746" w14:textId="77777777" w:rsidR="0066141F" w:rsidRPr="002206B9" w:rsidRDefault="0066141F" w:rsidP="0066141F">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7F97FCD6" w14:textId="77777777" w:rsidR="0066141F" w:rsidRPr="002206B9" w:rsidRDefault="0066141F" w:rsidP="0066141F">
      <w:pPr>
        <w:spacing w:after="0" w:line="240" w:lineRule="auto"/>
        <w:ind w:firstLine="708"/>
        <w:jc w:val="both"/>
        <w:rPr>
          <w:rFonts w:ascii="Verdana" w:hAnsi="Verdana" w:cs="Arial"/>
          <w:sz w:val="18"/>
          <w:szCs w:val="18"/>
        </w:rPr>
      </w:pPr>
    </w:p>
  </w:footnote>
  <w:footnote w:id="10">
    <w:p w14:paraId="04CB97BB" w14:textId="77777777" w:rsidR="0066141F" w:rsidRPr="002206B9" w:rsidRDefault="0066141F" w:rsidP="0066141F">
      <w:pPr>
        <w:pStyle w:val="Textonotapie"/>
        <w:ind w:firstLine="709"/>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11888953" w14:textId="77777777" w:rsidR="0066141F" w:rsidRPr="002206B9" w:rsidRDefault="0066141F" w:rsidP="0066141F">
      <w:pPr>
        <w:pStyle w:val="Textonotapie"/>
        <w:ind w:firstLine="709"/>
        <w:jc w:val="both"/>
        <w:rPr>
          <w:rFonts w:ascii="Verdana" w:hAnsi="Verdana" w:cs="Arial"/>
          <w:sz w:val="18"/>
          <w:szCs w:val="18"/>
        </w:rPr>
      </w:pPr>
    </w:p>
  </w:footnote>
  <w:footnote w:id="11">
    <w:p w14:paraId="3E08E4F5" w14:textId="77777777" w:rsidR="0066141F" w:rsidRPr="002206B9" w:rsidRDefault="0066141F" w:rsidP="0066141F">
      <w:pPr>
        <w:spacing w:after="0" w:line="240" w:lineRule="auto"/>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644607E" w14:textId="77777777" w:rsidR="0066141F" w:rsidRPr="002206B9" w:rsidRDefault="0066141F" w:rsidP="0066141F">
      <w:pPr>
        <w:spacing w:after="0" w:line="240" w:lineRule="auto"/>
        <w:ind w:firstLine="709"/>
        <w:jc w:val="both"/>
        <w:rPr>
          <w:rFonts w:ascii="Verdana" w:hAnsi="Verdana"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91" type="#_x0000_t75" style="width:7.4pt;height:7.4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D1070A"/>
    <w:multiLevelType w:val="hybridMultilevel"/>
    <w:tmpl w:val="57DC2F6A"/>
    <w:lvl w:ilvl="0" w:tplc="1022546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21226013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B6C"/>
    <w:rsid w:val="00014F1B"/>
    <w:rsid w:val="00016F78"/>
    <w:rsid w:val="00027795"/>
    <w:rsid w:val="00046945"/>
    <w:rsid w:val="00046E11"/>
    <w:rsid w:val="00061B2A"/>
    <w:rsid w:val="00073B5C"/>
    <w:rsid w:val="00082362"/>
    <w:rsid w:val="00091703"/>
    <w:rsid w:val="000A683E"/>
    <w:rsid w:val="000B19B9"/>
    <w:rsid w:val="000D0334"/>
    <w:rsid w:val="000D5DA7"/>
    <w:rsid w:val="000E6CA0"/>
    <w:rsid w:val="000F6486"/>
    <w:rsid w:val="00116940"/>
    <w:rsid w:val="00125105"/>
    <w:rsid w:val="00127233"/>
    <w:rsid w:val="0015699B"/>
    <w:rsid w:val="00171882"/>
    <w:rsid w:val="001A2D0D"/>
    <w:rsid w:val="001A33BF"/>
    <w:rsid w:val="001C1540"/>
    <w:rsid w:val="001E4177"/>
    <w:rsid w:val="001F0B24"/>
    <w:rsid w:val="001F7DC6"/>
    <w:rsid w:val="0022400B"/>
    <w:rsid w:val="00236EA7"/>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44B6C"/>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67B80"/>
    <w:rsid w:val="004A1847"/>
    <w:rsid w:val="004A305D"/>
    <w:rsid w:val="004F21C4"/>
    <w:rsid w:val="004F3187"/>
    <w:rsid w:val="004F685F"/>
    <w:rsid w:val="0055237C"/>
    <w:rsid w:val="00552737"/>
    <w:rsid w:val="005566E8"/>
    <w:rsid w:val="00574867"/>
    <w:rsid w:val="005763BE"/>
    <w:rsid w:val="005825A1"/>
    <w:rsid w:val="00591460"/>
    <w:rsid w:val="005A65E0"/>
    <w:rsid w:val="005C3777"/>
    <w:rsid w:val="005C5CDC"/>
    <w:rsid w:val="005D476C"/>
    <w:rsid w:val="005D7B2C"/>
    <w:rsid w:val="006200BF"/>
    <w:rsid w:val="006219F8"/>
    <w:rsid w:val="006302F7"/>
    <w:rsid w:val="00646B9F"/>
    <w:rsid w:val="0066141F"/>
    <w:rsid w:val="00665D70"/>
    <w:rsid w:val="006900D9"/>
    <w:rsid w:val="006B2444"/>
    <w:rsid w:val="006C0E58"/>
    <w:rsid w:val="00706C16"/>
    <w:rsid w:val="007340C3"/>
    <w:rsid w:val="0075235A"/>
    <w:rsid w:val="00756841"/>
    <w:rsid w:val="007649AB"/>
    <w:rsid w:val="00767388"/>
    <w:rsid w:val="00771D0C"/>
    <w:rsid w:val="007833AC"/>
    <w:rsid w:val="007A68C2"/>
    <w:rsid w:val="007B268C"/>
    <w:rsid w:val="007B7171"/>
    <w:rsid w:val="007C0C0F"/>
    <w:rsid w:val="007C3DC2"/>
    <w:rsid w:val="007E5497"/>
    <w:rsid w:val="00805BE7"/>
    <w:rsid w:val="00806F5F"/>
    <w:rsid w:val="00820278"/>
    <w:rsid w:val="0082048D"/>
    <w:rsid w:val="008258C9"/>
    <w:rsid w:val="00844AE9"/>
    <w:rsid w:val="00867F95"/>
    <w:rsid w:val="008843B6"/>
    <w:rsid w:val="00891928"/>
    <w:rsid w:val="008A446D"/>
    <w:rsid w:val="008B25F1"/>
    <w:rsid w:val="008D180B"/>
    <w:rsid w:val="008F0EA7"/>
    <w:rsid w:val="00911898"/>
    <w:rsid w:val="00923EEF"/>
    <w:rsid w:val="00932B14"/>
    <w:rsid w:val="009419F9"/>
    <w:rsid w:val="0095685E"/>
    <w:rsid w:val="00961B09"/>
    <w:rsid w:val="00965334"/>
    <w:rsid w:val="0097093E"/>
    <w:rsid w:val="00971F75"/>
    <w:rsid w:val="009A0DFA"/>
    <w:rsid w:val="009A1C6F"/>
    <w:rsid w:val="009B2D26"/>
    <w:rsid w:val="009C3B78"/>
    <w:rsid w:val="009C71FA"/>
    <w:rsid w:val="009C72E7"/>
    <w:rsid w:val="009C7F7E"/>
    <w:rsid w:val="009D3058"/>
    <w:rsid w:val="009F015A"/>
    <w:rsid w:val="009F3A13"/>
    <w:rsid w:val="00A122D3"/>
    <w:rsid w:val="00A14468"/>
    <w:rsid w:val="00A17F13"/>
    <w:rsid w:val="00A20739"/>
    <w:rsid w:val="00A20C90"/>
    <w:rsid w:val="00A23AF9"/>
    <w:rsid w:val="00A31621"/>
    <w:rsid w:val="00A33C78"/>
    <w:rsid w:val="00A63E10"/>
    <w:rsid w:val="00AB0ADB"/>
    <w:rsid w:val="00AF1B53"/>
    <w:rsid w:val="00B00C0E"/>
    <w:rsid w:val="00B01B1A"/>
    <w:rsid w:val="00B0381D"/>
    <w:rsid w:val="00B14899"/>
    <w:rsid w:val="00B43C6D"/>
    <w:rsid w:val="00B44A47"/>
    <w:rsid w:val="00B72CD3"/>
    <w:rsid w:val="00B72FFF"/>
    <w:rsid w:val="00B83FA0"/>
    <w:rsid w:val="00B90057"/>
    <w:rsid w:val="00BB17E9"/>
    <w:rsid w:val="00BC288A"/>
    <w:rsid w:val="00BC3D36"/>
    <w:rsid w:val="00BD54A6"/>
    <w:rsid w:val="00BD7F72"/>
    <w:rsid w:val="00BF7425"/>
    <w:rsid w:val="00C02481"/>
    <w:rsid w:val="00C04FB3"/>
    <w:rsid w:val="00C109A6"/>
    <w:rsid w:val="00C11D8B"/>
    <w:rsid w:val="00C15139"/>
    <w:rsid w:val="00C330EB"/>
    <w:rsid w:val="00C50D69"/>
    <w:rsid w:val="00C5365C"/>
    <w:rsid w:val="00C754BE"/>
    <w:rsid w:val="00C76B1C"/>
    <w:rsid w:val="00C90489"/>
    <w:rsid w:val="00C925AC"/>
    <w:rsid w:val="00CB6357"/>
    <w:rsid w:val="00CC1B26"/>
    <w:rsid w:val="00CE68E3"/>
    <w:rsid w:val="00D10FF7"/>
    <w:rsid w:val="00D16AA4"/>
    <w:rsid w:val="00D361FD"/>
    <w:rsid w:val="00D423A2"/>
    <w:rsid w:val="00D44E26"/>
    <w:rsid w:val="00D520D8"/>
    <w:rsid w:val="00D63AC2"/>
    <w:rsid w:val="00D7383B"/>
    <w:rsid w:val="00D7788A"/>
    <w:rsid w:val="00D81F39"/>
    <w:rsid w:val="00DA231B"/>
    <w:rsid w:val="00DC39FC"/>
    <w:rsid w:val="00DE17DF"/>
    <w:rsid w:val="00DF5254"/>
    <w:rsid w:val="00E02524"/>
    <w:rsid w:val="00E16408"/>
    <w:rsid w:val="00E20894"/>
    <w:rsid w:val="00E245AB"/>
    <w:rsid w:val="00E2764C"/>
    <w:rsid w:val="00E27F2E"/>
    <w:rsid w:val="00E50AFE"/>
    <w:rsid w:val="00E75C92"/>
    <w:rsid w:val="00E76248"/>
    <w:rsid w:val="00E771DC"/>
    <w:rsid w:val="00E8772A"/>
    <w:rsid w:val="00E90F6B"/>
    <w:rsid w:val="00E92A3B"/>
    <w:rsid w:val="00E92C27"/>
    <w:rsid w:val="00EA0E3D"/>
    <w:rsid w:val="00EC38A7"/>
    <w:rsid w:val="00ED6637"/>
    <w:rsid w:val="00EE1AA8"/>
    <w:rsid w:val="00EF33C8"/>
    <w:rsid w:val="00F23FEA"/>
    <w:rsid w:val="00F31EDC"/>
    <w:rsid w:val="00F462B3"/>
    <w:rsid w:val="00F5664F"/>
    <w:rsid w:val="00F666C4"/>
    <w:rsid w:val="00F76AFC"/>
    <w:rsid w:val="00FA47C0"/>
    <w:rsid w:val="00FB5DD1"/>
    <w:rsid w:val="00FC2B5D"/>
    <w:rsid w:val="00FE011C"/>
    <w:rsid w:val="00FF1449"/>
    <w:rsid w:val="00FF6CD9"/>
    <w:rsid w:val="00FF7963"/>
    <w:rsid w:val="071B8F93"/>
    <w:rsid w:val="07C73DD1"/>
    <w:rsid w:val="09908A09"/>
    <w:rsid w:val="0E0AF0F4"/>
    <w:rsid w:val="0EFE6349"/>
    <w:rsid w:val="0FF4CCA8"/>
    <w:rsid w:val="123DAF22"/>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9D68322"/>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291C25C3-67BC-B74D-92FC-3AF035CE0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F1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66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66141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6141F"/>
    <w:rPr>
      <w:rFonts w:ascii="Geomanist Light" w:hAnsi="Geomanist Light"/>
      <w:lang w:val="es-ES"/>
    </w:rPr>
  </w:style>
  <w:style w:type="paragraph" w:customStyle="1" w:styleId="InviasNormal">
    <w:name w:val="Invias Normal"/>
    <w:basedOn w:val="Normal"/>
    <w:link w:val="InviasNormalCar"/>
    <w:qFormat/>
    <w:rsid w:val="0066141F"/>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66141F"/>
    <w:rPr>
      <w:rFonts w:ascii="Arial Narrow" w:eastAsia="Times New Roman" w:hAnsi="Arial Narrow" w:cs="Times New Roman"/>
      <w:sz w:val="24"/>
      <w:szCs w:val="24"/>
      <w:lang w:val="x-none" w:eastAsia="es-ES"/>
    </w:rPr>
  </w:style>
  <w:style w:type="character" w:styleId="Refdecomentario">
    <w:name w:val="annotation reference"/>
    <w:basedOn w:val="Fuentedeprrafopredeter"/>
    <w:uiPriority w:val="99"/>
    <w:semiHidden/>
    <w:unhideWhenUsed/>
    <w:rsid w:val="00971F75"/>
    <w:rPr>
      <w:sz w:val="16"/>
      <w:szCs w:val="16"/>
    </w:rPr>
  </w:style>
  <w:style w:type="paragraph" w:styleId="Textocomentario">
    <w:name w:val="annotation text"/>
    <w:basedOn w:val="Normal"/>
    <w:link w:val="TextocomentarioCar"/>
    <w:uiPriority w:val="99"/>
    <w:unhideWhenUsed/>
    <w:rsid w:val="00971F75"/>
    <w:pPr>
      <w:spacing w:line="240" w:lineRule="auto"/>
    </w:pPr>
    <w:rPr>
      <w:sz w:val="20"/>
      <w:szCs w:val="20"/>
    </w:rPr>
  </w:style>
  <w:style w:type="character" w:customStyle="1" w:styleId="TextocomentarioCar">
    <w:name w:val="Texto comentario Car"/>
    <w:basedOn w:val="Fuentedeprrafopredeter"/>
    <w:link w:val="Textocomentario"/>
    <w:uiPriority w:val="99"/>
    <w:rsid w:val="00971F75"/>
    <w:rPr>
      <w:sz w:val="20"/>
      <w:szCs w:val="20"/>
    </w:rPr>
  </w:style>
  <w:style w:type="paragraph" w:styleId="Asuntodelcomentario">
    <w:name w:val="annotation subject"/>
    <w:basedOn w:val="Textocomentario"/>
    <w:next w:val="Textocomentario"/>
    <w:link w:val="AsuntodelcomentarioCar"/>
    <w:uiPriority w:val="99"/>
    <w:semiHidden/>
    <w:unhideWhenUsed/>
    <w:rsid w:val="00971F75"/>
    <w:rPr>
      <w:b/>
      <w:bCs/>
    </w:rPr>
  </w:style>
  <w:style w:type="character" w:customStyle="1" w:styleId="AsuntodelcomentarioCar">
    <w:name w:val="Asunto del comentario Car"/>
    <w:basedOn w:val="TextocomentarioCar"/>
    <w:link w:val="Asuntodelcomentario"/>
    <w:uiPriority w:val="99"/>
    <w:semiHidden/>
    <w:rsid w:val="00971F75"/>
    <w:rPr>
      <w:b/>
      <w:bCs/>
      <w:sz w:val="20"/>
      <w:szCs w:val="20"/>
    </w:rPr>
  </w:style>
  <w:style w:type="character" w:styleId="Textoennegrita">
    <w:name w:val="Strong"/>
    <w:basedOn w:val="Fuentedeprrafopredeter"/>
    <w:uiPriority w:val="22"/>
    <w:qFormat/>
    <w:rsid w:val="00971F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2846892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3483673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le.rae.es/est%C3%A1nda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6B517A-DE6C-445F-A3EE-F1C85F7E38F6}"/>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49</Pages>
  <Words>17492</Words>
  <Characters>96208</Characters>
  <Application>Microsoft Office Word</Application>
  <DocSecurity>0</DocSecurity>
  <Lines>801</Lines>
  <Paragraphs>226</Paragraphs>
  <ScaleCrop>false</ScaleCrop>
  <Company/>
  <LinksUpToDate>false</LinksUpToDate>
  <CharactersWithSpaces>113474</CharactersWithSpaces>
  <SharedDoc>false</SharedDoc>
  <HLinks>
    <vt:vector size="36" baseType="variant">
      <vt:variant>
        <vt:i4>8126526</vt:i4>
      </vt:variant>
      <vt:variant>
        <vt:i4>12</vt:i4>
      </vt:variant>
      <vt:variant>
        <vt:i4>0</vt:i4>
      </vt:variant>
      <vt:variant>
        <vt:i4>5</vt:i4>
      </vt:variant>
      <vt:variant>
        <vt:lpwstr>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vt:lpwstr>
      </vt:variant>
      <vt:variant>
        <vt:lpwstr/>
      </vt:variant>
      <vt:variant>
        <vt:i4>8060982</vt:i4>
      </vt:variant>
      <vt:variant>
        <vt:i4>9</vt:i4>
      </vt:variant>
      <vt:variant>
        <vt:i4>0</vt:i4>
      </vt:variant>
      <vt:variant>
        <vt:i4>5</vt:i4>
      </vt:variant>
      <vt:variant>
        <vt:lpwstr>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vt:lpwstr>
      </vt:variant>
      <vt:variant>
        <vt:lpwstr/>
      </vt:variant>
      <vt:variant>
        <vt:i4>7995446</vt:i4>
      </vt:variant>
      <vt:variant>
        <vt:i4>6</vt:i4>
      </vt:variant>
      <vt:variant>
        <vt:i4>0</vt:i4>
      </vt:variant>
      <vt:variant>
        <vt:i4>5</vt:i4>
      </vt:variant>
      <vt:variant>
        <vt:lpwstr>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vt:lpwstr>
      </vt:variant>
      <vt:variant>
        <vt:lpwstr/>
      </vt:variant>
      <vt:variant>
        <vt:i4>6815795</vt:i4>
      </vt:variant>
      <vt:variant>
        <vt:i4>3</vt:i4>
      </vt:variant>
      <vt:variant>
        <vt:i4>0</vt:i4>
      </vt:variant>
      <vt:variant>
        <vt:i4>5</vt:i4>
      </vt:variant>
      <vt:variant>
        <vt:lpwstr>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vt:lpwstr>
      </vt:variant>
      <vt:variant>
        <vt:lpwstr/>
      </vt:variant>
      <vt:variant>
        <vt:i4>3735661</vt:i4>
      </vt:variant>
      <vt:variant>
        <vt:i4>0</vt:i4>
      </vt:variant>
      <vt:variant>
        <vt:i4>0</vt:i4>
      </vt:variant>
      <vt:variant>
        <vt:i4>5</vt:i4>
      </vt:variant>
      <vt:variant>
        <vt:lpwstr>https://www.colombiacompra.gov.co/normativa-y-relatoria/documentos-tipo</vt:lpwstr>
      </vt:variant>
      <vt:variant>
        <vt:lpwstr/>
      </vt:variant>
      <vt:variant>
        <vt:i4>2031639</vt:i4>
      </vt:variant>
      <vt:variant>
        <vt:i4>0</vt:i4>
      </vt:variant>
      <vt:variant>
        <vt:i4>0</vt:i4>
      </vt:variant>
      <vt:variant>
        <vt:i4>5</vt:i4>
      </vt:variant>
      <vt:variant>
        <vt:lpwstr>https://dle.rae.es/est%C3%A1ndar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2</cp:revision>
  <cp:lastPrinted>2023-01-10T18:18:00Z</cp:lastPrinted>
  <dcterms:created xsi:type="dcterms:W3CDTF">2026-10-27T12:57:00Z</dcterms:created>
  <dcterms:modified xsi:type="dcterms:W3CDTF">2026-10-27T12:57:00Z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