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6EA994" w14:textId="4F7B1EA7" w:rsidR="00853CF4" w:rsidRPr="00853CF4" w:rsidRDefault="00853CF4" w:rsidP="00853CF4">
      <w:pPr>
        <w:spacing w:after="0"/>
        <w:jc w:val="both"/>
        <w:rPr>
          <w:rFonts w:ascii="Verdana" w:eastAsia="Verdana" w:hAnsi="Verdana" w:cs="Verdana"/>
        </w:rPr>
      </w:pPr>
      <w:bookmarkStart w:id="0" w:name="_Hlk143780582"/>
      <w:r w:rsidRPr="00853CF4">
        <w:rPr>
          <w:rFonts w:ascii="Verdana" w:eastAsia="Calibri" w:hAnsi="Verdana" w:cs="Arial"/>
          <w:b/>
          <w:bCs/>
          <w:lang w:val="es-ES" w:eastAsia="es-ES"/>
        </w:rPr>
        <w:t>DOCUMENTOS TIPO DE INFRAESTRUCTURA SOCIAL – Generalidades – Mínima cuantía</w:t>
      </w:r>
    </w:p>
    <w:p w14:paraId="106C8C61" w14:textId="77777777" w:rsidR="00853CF4" w:rsidRPr="00853CF4" w:rsidRDefault="00853CF4" w:rsidP="00853CF4">
      <w:pPr>
        <w:shd w:val="clear" w:color="auto" w:fill="FFFFFF"/>
        <w:spacing w:after="0" w:line="276" w:lineRule="auto"/>
        <w:contextualSpacing/>
        <w:jc w:val="both"/>
        <w:rPr>
          <w:rFonts w:ascii="Verdana" w:eastAsia="Calibri" w:hAnsi="Verdana" w:cs="Arial"/>
          <w:b/>
          <w:bCs/>
          <w:lang w:val="es-ES" w:eastAsia="es-ES"/>
        </w:rPr>
      </w:pPr>
    </w:p>
    <w:p w14:paraId="2F521126" w14:textId="77777777" w:rsidR="00853CF4" w:rsidRPr="00853CF4" w:rsidRDefault="00853CF4" w:rsidP="00853CF4">
      <w:pPr>
        <w:snapToGrid w:val="0"/>
        <w:spacing w:after="0" w:line="240" w:lineRule="auto"/>
        <w:jc w:val="both"/>
        <w:rPr>
          <w:rFonts w:ascii="Verdana" w:eastAsia="Calibri" w:hAnsi="Verdana" w:cs="Times New Roman"/>
          <w:sz w:val="20"/>
          <w:szCs w:val="20"/>
          <w:lang w:val="es-ES" w:eastAsia="es-MX"/>
        </w:rPr>
      </w:pPr>
      <w:r w:rsidRPr="00853CF4">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7A68A336" w14:textId="77777777" w:rsidR="00853CF4" w:rsidRPr="00853CF4" w:rsidRDefault="00853CF4" w:rsidP="00853CF4">
      <w:pPr>
        <w:widowControl w:val="0"/>
        <w:autoSpaceDE w:val="0"/>
        <w:autoSpaceDN w:val="0"/>
        <w:spacing w:after="0" w:line="240" w:lineRule="auto"/>
        <w:jc w:val="both"/>
        <w:rPr>
          <w:rFonts w:ascii="Verdana" w:eastAsia="Arial MT" w:hAnsi="Verdana" w:cs="Arial MT"/>
          <w:sz w:val="20"/>
          <w:szCs w:val="20"/>
          <w:lang w:val="es-ES" w:eastAsia="es-MX"/>
        </w:rPr>
      </w:pPr>
      <w:r w:rsidRPr="00853CF4">
        <w:rPr>
          <w:rFonts w:ascii="Verdana" w:eastAsia="Arial MT" w:hAnsi="Verdana" w:cs="Arial MT"/>
          <w:sz w:val="20"/>
          <w:szCs w:val="20"/>
          <w:lang w:val="es-ES" w:eastAsia="es-MX"/>
        </w:rPr>
        <w:t>[…]</w:t>
      </w:r>
    </w:p>
    <w:p w14:paraId="1B4A489A" w14:textId="77777777" w:rsidR="00853CF4" w:rsidRPr="00853CF4" w:rsidRDefault="00853CF4" w:rsidP="00853CF4">
      <w:pPr>
        <w:snapToGrid w:val="0"/>
        <w:spacing w:after="0" w:line="240" w:lineRule="auto"/>
        <w:jc w:val="both"/>
        <w:rPr>
          <w:rFonts w:ascii="Verdana" w:eastAsia="Calibri" w:hAnsi="Verdana" w:cs="Times New Roman"/>
          <w:sz w:val="20"/>
          <w:szCs w:val="20"/>
          <w:lang w:val="es-ES" w:eastAsia="es-MX"/>
        </w:rPr>
      </w:pPr>
      <w:r w:rsidRPr="00853CF4">
        <w:rPr>
          <w:rFonts w:ascii="Verdana" w:eastAsia="Calibri" w:hAnsi="Verdana" w:cs="Times New Roman"/>
          <w:sz w:val="20"/>
          <w:szCs w:val="20"/>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0BD00AB3" w14:textId="77777777" w:rsidR="00853CF4" w:rsidRPr="00853CF4" w:rsidRDefault="00853CF4" w:rsidP="00853CF4">
      <w:pPr>
        <w:shd w:val="clear" w:color="auto" w:fill="FFFFFF"/>
        <w:spacing w:after="0" w:line="276" w:lineRule="auto"/>
        <w:contextualSpacing/>
        <w:jc w:val="both"/>
        <w:rPr>
          <w:rFonts w:ascii="Verdana" w:eastAsia="Calibri" w:hAnsi="Verdana" w:cs="Arial"/>
          <w:b/>
          <w:bCs/>
          <w:lang w:val="es-ES" w:eastAsia="es-ES"/>
        </w:rPr>
      </w:pPr>
    </w:p>
    <w:p w14:paraId="473724D5" w14:textId="77777777" w:rsidR="00853CF4" w:rsidRPr="00853CF4" w:rsidRDefault="00853CF4" w:rsidP="00853CF4">
      <w:pPr>
        <w:shd w:val="clear" w:color="auto" w:fill="FFFFFF"/>
        <w:spacing w:after="0" w:line="276" w:lineRule="auto"/>
        <w:contextualSpacing/>
        <w:jc w:val="both"/>
        <w:rPr>
          <w:rFonts w:ascii="Verdana" w:eastAsia="Calibri" w:hAnsi="Verdana" w:cs="Arial"/>
          <w:b/>
          <w:bCs/>
          <w:lang w:val="es-ES" w:eastAsia="es-ES"/>
        </w:rPr>
      </w:pPr>
      <w:r w:rsidRPr="00853CF4">
        <w:rPr>
          <w:rFonts w:ascii="Verdana" w:eastAsia="Calibri" w:hAnsi="Verdana" w:cs="Arial"/>
          <w:b/>
          <w:bCs/>
          <w:lang w:val="es-ES" w:eastAsia="es-ES"/>
        </w:rPr>
        <w:t>DOCUMENTOS TIPO DE INFRAESTRUCTURA SOCIAL – Mínima cuantía – Ámbito de aplicación – Aplicación a contratos de obra</w:t>
      </w:r>
    </w:p>
    <w:p w14:paraId="298CD4E0" w14:textId="77777777" w:rsidR="00853CF4" w:rsidRPr="00853CF4" w:rsidRDefault="00853CF4" w:rsidP="00853CF4">
      <w:pPr>
        <w:shd w:val="clear" w:color="auto" w:fill="FFFFFF"/>
        <w:snapToGrid w:val="0"/>
        <w:spacing w:after="0" w:line="276" w:lineRule="auto"/>
        <w:jc w:val="both"/>
        <w:rPr>
          <w:rFonts w:ascii="Verdana" w:eastAsia="Calibri" w:hAnsi="Verdana" w:cs="Arial"/>
          <w:b/>
          <w:lang w:val="es-MX" w:eastAsia="es-ES_tradnl"/>
        </w:rPr>
      </w:pPr>
    </w:p>
    <w:p w14:paraId="1894ABF7" w14:textId="71D6179F" w:rsid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r w:rsidRPr="00BF242C">
        <w:rPr>
          <w:rFonts w:ascii="Verdana" w:eastAsia="Times New Roman" w:hAnsi="Verdana" w:cs="Times New Roman"/>
          <w:color w:val="000000"/>
          <w:sz w:val="20"/>
          <w:szCs w:val="20"/>
          <w:lang w:eastAsia="es-MX"/>
        </w:rPr>
        <w:t>i. El numeral 1 del artículo 32 de la Ley 80 de 1993 define como contratos de obra los que celebren las entidades estatales para la construcción, mantenimiento, instalación y, en general, cualquier otro trabajo material sobre bienes inmuebles. La categoría de inmuebles comprende los inmuebles por adhesión y por destinación, en los términos de los artículos 656 y 658 del Código Civil.</w:t>
      </w:r>
    </w:p>
    <w:p w14:paraId="06E397E5" w14:textId="77777777" w:rsidR="00BF242C" w:rsidRP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p>
    <w:p w14:paraId="1A95E233" w14:textId="77777777" w:rsidR="00BF242C" w:rsidRP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r w:rsidRPr="00BF242C">
        <w:rPr>
          <w:rFonts w:ascii="Verdana" w:eastAsia="Times New Roman" w:hAnsi="Verdana" w:cs="Times New Roman"/>
          <w:color w:val="000000"/>
          <w:sz w:val="20"/>
          <w:szCs w:val="20"/>
          <w:lang w:eastAsia="es-MX"/>
        </w:rPr>
        <w:t>Así las cosas, le corresponde a la entidad en el conocimiento pleno del expediente contractual y dentro de su planeación, determinar si las plantas eléctricas, subestaciones y tableros de transferencia se toman como incorporados de forma permanente a la edificación, o destinados de manera permanente a su uso y beneficio; así mismo, también le corresponde determinar si su mantenimiento es un trabajo material sobre bienes inmuebles, con independencia de que el objeto contractual se denomine “servicio de mantenimiento”.</w:t>
      </w:r>
    </w:p>
    <w:p w14:paraId="03136C3D" w14:textId="77777777" w:rsidR="00BF242C" w:rsidRP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p>
    <w:p w14:paraId="392B0547" w14:textId="01F64167" w:rsidR="00853CF4" w:rsidRPr="00853CF4" w:rsidRDefault="00BF242C" w:rsidP="00853CF4">
      <w:pPr>
        <w:snapToGrid w:val="0"/>
        <w:spacing w:after="0" w:line="240" w:lineRule="auto"/>
        <w:jc w:val="both"/>
        <w:rPr>
          <w:rFonts w:ascii="Verdana" w:eastAsia="Times New Roman" w:hAnsi="Verdana" w:cs="Times New Roman"/>
          <w:color w:val="000000"/>
          <w:sz w:val="20"/>
          <w:szCs w:val="20"/>
          <w:lang w:eastAsia="es-MX"/>
        </w:rPr>
      </w:pPr>
      <w:proofErr w:type="spellStart"/>
      <w:r w:rsidRPr="00BF242C">
        <w:rPr>
          <w:rFonts w:ascii="Verdana" w:eastAsia="Times New Roman" w:hAnsi="Verdana" w:cs="Times New Roman"/>
          <w:color w:val="000000"/>
          <w:sz w:val="20"/>
          <w:szCs w:val="20"/>
          <w:lang w:eastAsia="es-MX"/>
        </w:rPr>
        <w:t>ii</w:t>
      </w:r>
      <w:proofErr w:type="spellEnd"/>
      <w:r w:rsidRPr="00BF242C">
        <w:rPr>
          <w:rFonts w:ascii="Verdana" w:eastAsia="Times New Roman" w:hAnsi="Verdana" w:cs="Times New Roman"/>
          <w:color w:val="000000"/>
          <w:sz w:val="20"/>
          <w:szCs w:val="20"/>
          <w:lang w:eastAsia="es-MX"/>
        </w:rPr>
        <w:t xml:space="preserve">. Ahora bien, los documentos tipo de mínima cuantía de obra pública de infraestructura social – sector institucional resultan obligatorios si la edificación corresponde a infraestructura institucional de servicio público y el valor del proceso se enmarca en la mínima cuantía. La actividad 2.9 de la Matriz 1 – Experiencia del Sector Institucional comprende expresamente proyectos de mantenimiento de plantas eléctricas y </w:t>
      </w:r>
      <w:r w:rsidRPr="00BF242C">
        <w:rPr>
          <w:rFonts w:ascii="Verdana" w:eastAsia="Times New Roman" w:hAnsi="Verdana" w:cs="Times New Roman"/>
          <w:color w:val="000000"/>
          <w:sz w:val="20"/>
          <w:szCs w:val="20"/>
          <w:lang w:eastAsia="es-MX"/>
        </w:rPr>
        <w:lastRenderedPageBreak/>
        <w:t>subestaciones de infraestructura de servicio público. Al existir una actividad en la que el objeto se subsume materialmente, los documentos tipo adoptados mediante la Resolución 541 de 2025 son de obligatoria aplicación y la entidad no puede apartarse de ellos:</w:t>
      </w:r>
      <w:r>
        <w:rPr>
          <w:rFonts w:ascii="Verdana" w:eastAsia="Times New Roman" w:hAnsi="Verdana" w:cs="Times New Roman"/>
          <w:color w:val="000000"/>
          <w:sz w:val="20"/>
          <w:szCs w:val="20"/>
          <w:lang w:eastAsia="es-MX"/>
        </w:rPr>
        <w:t xml:space="preserve"> </w:t>
      </w:r>
      <w:r w:rsidR="00853CF4" w:rsidRPr="00853CF4">
        <w:rPr>
          <w:rFonts w:ascii="Verdana" w:eastAsia="Times New Roman" w:hAnsi="Verdana" w:cs="Times New Roman"/>
          <w:color w:val="000000"/>
          <w:sz w:val="20"/>
          <w:szCs w:val="20"/>
          <w:lang w:eastAsia="es-MX"/>
        </w:rPr>
        <w:t>[…]</w:t>
      </w:r>
    </w:p>
    <w:p w14:paraId="427635C2" w14:textId="77777777" w:rsidR="00853CF4" w:rsidRPr="00853CF4" w:rsidRDefault="00853CF4" w:rsidP="00853CF4">
      <w:pPr>
        <w:snapToGrid w:val="0"/>
        <w:spacing w:after="0" w:line="276" w:lineRule="auto"/>
        <w:jc w:val="both"/>
        <w:rPr>
          <w:rFonts w:ascii="Verdana" w:eastAsia="Aptos" w:hAnsi="Verdana" w:cs="Times New Roman"/>
          <w:lang w:eastAsia="es-MX"/>
        </w:rPr>
      </w:pPr>
    </w:p>
    <w:p w14:paraId="4BF91976" w14:textId="77777777" w:rsidR="00853CF4" w:rsidRPr="00853CF4" w:rsidRDefault="00853CF4" w:rsidP="00853CF4">
      <w:pPr>
        <w:spacing w:after="0" w:line="276" w:lineRule="auto"/>
        <w:ind w:right="108"/>
        <w:jc w:val="both"/>
        <w:rPr>
          <w:rFonts w:ascii="Verdana" w:eastAsia="Aptos" w:hAnsi="Verdana" w:cs="Arial"/>
          <w:b/>
          <w:bCs/>
          <w:lang w:eastAsia="es-MX"/>
        </w:rPr>
      </w:pPr>
      <w:r w:rsidRPr="00853CF4">
        <w:rPr>
          <w:rFonts w:ascii="Verdana" w:eastAsia="Aptos" w:hAnsi="Verdana" w:cs="Arial"/>
          <w:b/>
          <w:bCs/>
          <w:lang w:eastAsia="es-MX"/>
        </w:rPr>
        <w:t>DOCUMENTOS TIPO DE INFRAESTRUCTURA SOCIAL – Mínima cuantía – Mantenimiento preventivo y correctivo de bienes muebles</w:t>
      </w:r>
    </w:p>
    <w:p w14:paraId="2E52905F" w14:textId="77777777" w:rsidR="00853CF4" w:rsidRPr="00853CF4" w:rsidRDefault="00853CF4" w:rsidP="00853CF4">
      <w:pPr>
        <w:spacing w:after="0" w:line="276" w:lineRule="auto"/>
        <w:ind w:right="108"/>
        <w:jc w:val="both"/>
        <w:rPr>
          <w:rFonts w:ascii="Verdana" w:eastAsia="Aptos" w:hAnsi="Verdana" w:cs="Arial"/>
          <w:b/>
          <w:bCs/>
          <w:lang w:eastAsia="es-MX"/>
        </w:rPr>
      </w:pPr>
    </w:p>
    <w:p w14:paraId="0C415997" w14:textId="76D74690" w:rsid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r w:rsidRPr="00BF242C">
        <w:rPr>
          <w:rFonts w:ascii="Verdana" w:eastAsia="Times New Roman" w:hAnsi="Verdana" w:cs="Times New Roman"/>
          <w:color w:val="000000"/>
          <w:sz w:val="20"/>
          <w:szCs w:val="20"/>
          <w:lang w:eastAsia="es-MX"/>
        </w:rPr>
        <w:t>Una planta eléctrica de emergencia y su tablero de transferencia automática cumplen con los criterios anteriores si están destinados de manera permanente a garantizar el suministro de energía de la sede, pertenecen a la entidad propietaria o tenedora del inmueble y, con frecuencia, se encuentran además fijados a una base o cuarto técnico construido para ello. La circunstancia de que puedan separarse sin detrimento no altera la conclusión, pues es precisamente la naturaleza inmueble del bien –natural, por adhesión o por destinación– el criterio determinante, y el mantenimiento de estos equipos puede quedar dentro del objeto del contrato de obra definido en el artículo 32 de la Ley 80 de 1993.</w:t>
      </w:r>
    </w:p>
    <w:p w14:paraId="0E00AEDD" w14:textId="77777777" w:rsidR="00BF242C" w:rsidRP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p>
    <w:p w14:paraId="4216BFF6" w14:textId="77777777" w:rsid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r w:rsidRPr="00BF242C">
        <w:rPr>
          <w:rFonts w:ascii="Verdana" w:eastAsia="Times New Roman" w:hAnsi="Verdana" w:cs="Times New Roman"/>
          <w:color w:val="000000"/>
          <w:sz w:val="20"/>
          <w:szCs w:val="20"/>
          <w:lang w:eastAsia="es-MX"/>
        </w:rPr>
        <w:t>Esta Agencia ya aplicó este razonamiento al mantenimiento de ascensores en los conceptos C-386 del 23 de abril de 2026 y C-682 de 2026, y al mantenimiento de centrales y redes de gases en el concepto C-1310 de 2026, en el que precisó que esas redes, incorporadas de forma permanente a la edificación, constituyen inmuebles por adhesión, y que su mantenimiento corresponde a un trabajo material sobre bienes inmuebles.</w:t>
      </w:r>
    </w:p>
    <w:p w14:paraId="1744077E" w14:textId="77777777" w:rsidR="00BF242C" w:rsidRPr="00BF242C" w:rsidRDefault="00BF242C" w:rsidP="00BF242C">
      <w:pPr>
        <w:snapToGrid w:val="0"/>
        <w:spacing w:after="0" w:line="240" w:lineRule="auto"/>
        <w:jc w:val="both"/>
        <w:rPr>
          <w:rFonts w:ascii="Verdana" w:eastAsia="Times New Roman" w:hAnsi="Verdana" w:cs="Times New Roman"/>
          <w:color w:val="000000"/>
          <w:sz w:val="20"/>
          <w:szCs w:val="20"/>
          <w:lang w:eastAsia="es-MX"/>
        </w:rPr>
      </w:pPr>
    </w:p>
    <w:p w14:paraId="3A945C4D" w14:textId="7DCF0C7E" w:rsidR="00853CF4" w:rsidRPr="00853CF4" w:rsidRDefault="00BF242C" w:rsidP="00BF242C">
      <w:pPr>
        <w:snapToGrid w:val="0"/>
        <w:spacing w:after="0" w:line="240" w:lineRule="auto"/>
        <w:jc w:val="both"/>
        <w:rPr>
          <w:rFonts w:ascii="Verdana" w:eastAsia="Arial" w:hAnsi="Verdana" w:cs="Arial"/>
          <w:sz w:val="20"/>
          <w:szCs w:val="20"/>
          <w:lang w:val="es-ES" w:eastAsia="es-MX"/>
        </w:rPr>
      </w:pPr>
      <w:r w:rsidRPr="00BF242C">
        <w:rPr>
          <w:rFonts w:ascii="Verdana" w:eastAsia="Times New Roman" w:hAnsi="Verdana" w:cs="Times New Roman"/>
          <w:color w:val="000000"/>
          <w:sz w:val="20"/>
          <w:szCs w:val="20"/>
          <w:lang w:eastAsia="es-MX"/>
        </w:rPr>
        <w:t>Por el contrario, si el mantenimiento recayera sobre equipos o elementos no incorporados ni destinados permanentemente a la edificación, que conservan su naturaleza de bienes muebles –por ejemplo, una planta portátil que la entidad traslada entre sedes o que no es de su propiedad–, la actividad no se enmarcaría en el contrato de obra pública y los documentos tipo no serían obligatorios. Esa calificación corresponde a la entidad en la etapa de planeación, a partir de las condiciones físicas y jurídicas de cada equipo.  Adicionalmente, como ya se indicó, la Matriz 1 – Experiencia contempla el mantenimiento de estos equipos.</w:t>
      </w:r>
    </w:p>
    <w:p w14:paraId="68A5C34C" w14:textId="77777777" w:rsidR="00853CF4" w:rsidRPr="00853CF4" w:rsidRDefault="00853CF4" w:rsidP="00853CF4">
      <w:pPr>
        <w:widowControl w:val="0"/>
        <w:autoSpaceDE w:val="0"/>
        <w:autoSpaceDN w:val="0"/>
        <w:spacing w:after="0" w:line="240" w:lineRule="auto"/>
        <w:ind w:right="104"/>
        <w:jc w:val="both"/>
        <w:rPr>
          <w:rFonts w:ascii="Verdana" w:eastAsia="Times New Roman" w:hAnsi="Verdana" w:cs="Arial"/>
          <w:sz w:val="20"/>
          <w:szCs w:val="20"/>
          <w:lang w:eastAsia="es-ES_tradnl"/>
        </w:rPr>
      </w:pPr>
    </w:p>
    <w:p w14:paraId="3A4225D5"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16B23373"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4D6C78CD"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556328E3"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58247331"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0963F9C4"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5B719B4F"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30600E00"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7005E9D8" w14:textId="77777777" w:rsidR="00853CF4" w:rsidRPr="00853CF4" w:rsidRDefault="00853CF4" w:rsidP="00853CF4">
      <w:pPr>
        <w:spacing w:after="0" w:line="240" w:lineRule="auto"/>
        <w:jc w:val="both"/>
        <w:rPr>
          <w:rFonts w:ascii="Verdana" w:eastAsia="Times New Roman" w:hAnsi="Verdana" w:cs="Arial"/>
          <w:sz w:val="20"/>
          <w:szCs w:val="20"/>
          <w:lang w:eastAsia="es-ES_tradnl"/>
        </w:rPr>
      </w:pPr>
    </w:p>
    <w:p w14:paraId="07235AAC" w14:textId="77777777" w:rsidR="00340072" w:rsidRDefault="00340072" w:rsidP="00853CF4">
      <w:pPr>
        <w:spacing w:after="0" w:line="240" w:lineRule="auto"/>
        <w:jc w:val="both"/>
        <w:rPr>
          <w:rFonts w:ascii="Verdana" w:eastAsia="Times New Roman" w:hAnsi="Verdana" w:cs="Arial"/>
          <w:sz w:val="20"/>
          <w:szCs w:val="20"/>
          <w:lang w:eastAsia="es-ES_tradnl"/>
        </w:rPr>
      </w:pPr>
    </w:p>
    <w:p w14:paraId="0977A0FB" w14:textId="77777777" w:rsidR="00340072" w:rsidRDefault="00340072" w:rsidP="00853CF4">
      <w:pPr>
        <w:spacing w:after="0" w:line="240" w:lineRule="auto"/>
        <w:jc w:val="both"/>
        <w:rPr>
          <w:rFonts w:ascii="Verdana" w:eastAsia="Times New Roman" w:hAnsi="Verdana" w:cs="Arial"/>
          <w:sz w:val="20"/>
          <w:szCs w:val="20"/>
          <w:lang w:eastAsia="es-ES_tradnl"/>
        </w:rPr>
      </w:pPr>
    </w:p>
    <w:p w14:paraId="55D6AF15" w14:textId="2C94D303" w:rsidR="00853CF4" w:rsidRPr="00853CF4" w:rsidRDefault="00340072" w:rsidP="00853CF4">
      <w:pPr>
        <w:spacing w:after="0" w:line="240" w:lineRule="auto"/>
        <w:jc w:val="both"/>
        <w:rPr>
          <w:rFonts w:ascii="Calibri" w:eastAsia="Calibri" w:hAnsi="Calibri" w:cs="Times New Roman"/>
          <w:lang w:eastAsia="es-MX"/>
        </w:rPr>
      </w:pPr>
      <w:r w:rsidRPr="30821638">
        <w:rPr>
          <w:rFonts w:ascii="Verdana" w:eastAsia="Verdana" w:hAnsi="Verdana" w:cs="Verdana"/>
        </w:rPr>
        <w:lastRenderedPageBreak/>
        <w:t>Bogotá D.C</w:t>
      </w:r>
      <w:r w:rsidRPr="003F2256">
        <w:rPr>
          <w:rFonts w:ascii="Verdana" w:eastAsia="Verdana" w:hAnsi="Verdana" w:cs="Verdana"/>
        </w:rPr>
        <w:t>.</w:t>
      </w:r>
      <w:r w:rsidR="008A41CF" w:rsidRPr="003F2256">
        <w:rPr>
          <w:rFonts w:ascii="Verdana" w:eastAsia="Verdana" w:hAnsi="Verdana" w:cs="Verdana"/>
        </w:rPr>
        <w:t>,</w:t>
      </w:r>
      <w:r w:rsidR="00853CF4" w:rsidRPr="003F2256">
        <w:rPr>
          <w:rFonts w:ascii="Verdana" w:eastAsia="Calibri" w:hAnsi="Verdana" w:cs="Times New Roman"/>
          <w:lang w:eastAsia="es-MX"/>
        </w:rPr>
        <w:tab/>
      </w:r>
      <w:r w:rsidR="003F2256" w:rsidRPr="003F2256">
        <w:rPr>
          <w:rFonts w:ascii="Verdana" w:eastAsia="Calibri" w:hAnsi="Verdana" w:cs="Times New Roman"/>
          <w:lang w:eastAsia="es-MX"/>
        </w:rPr>
        <w:t xml:space="preserve"> 26 Octubre 2026</w:t>
      </w:r>
    </w:p>
    <w:p w14:paraId="45A1D63B" w14:textId="73B727AF" w:rsidR="00853CF4" w:rsidRPr="00853CF4" w:rsidRDefault="003F2256" w:rsidP="003F2256">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547A5BA2" wp14:editId="496F12E1">
            <wp:extent cx="2527300" cy="736741"/>
            <wp:effectExtent l="0" t="0" r="0" b="0"/>
            <wp:docPr id="13062677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267786" name="Imagen 1306267786"/>
                    <pic:cNvPicPr/>
                  </pic:nvPicPr>
                  <pic:blipFill>
                    <a:blip r:embed="rId10">
                      <a:extLst>
                        <a:ext uri="{28A0092B-C50C-407E-A947-70E740481C1C}">
                          <a14:useLocalDpi xmlns:a14="http://schemas.microsoft.com/office/drawing/2010/main" val="0"/>
                        </a:ext>
                      </a:extLst>
                    </a:blip>
                    <a:stretch>
                      <a:fillRect/>
                    </a:stretch>
                  </pic:blipFill>
                  <pic:spPr>
                    <a:xfrm>
                      <a:off x="0" y="0"/>
                      <a:ext cx="2542887" cy="741285"/>
                    </a:xfrm>
                    <a:prstGeom prst="rect">
                      <a:avLst/>
                    </a:prstGeom>
                  </pic:spPr>
                </pic:pic>
              </a:graphicData>
            </a:graphic>
          </wp:inline>
        </w:drawing>
      </w:r>
    </w:p>
    <w:p w14:paraId="6CA47437" w14:textId="77777777" w:rsidR="00853CF4" w:rsidRPr="00853CF4" w:rsidRDefault="00853CF4" w:rsidP="00853CF4">
      <w:pPr>
        <w:spacing w:after="0" w:line="240" w:lineRule="auto"/>
        <w:jc w:val="both"/>
        <w:rPr>
          <w:rFonts w:ascii="Verdana" w:eastAsia="Calibri" w:hAnsi="Verdana" w:cs="Arial"/>
          <w:lang w:val="es-ES" w:eastAsia="es-ES"/>
        </w:rPr>
      </w:pPr>
      <w:r w:rsidRPr="00853CF4">
        <w:rPr>
          <w:rFonts w:ascii="Verdana" w:eastAsia="Calibri" w:hAnsi="Verdana" w:cs="Arial"/>
          <w:lang w:val="es-ES" w:eastAsia="es-ES"/>
        </w:rPr>
        <w:t>Señor</w:t>
      </w:r>
    </w:p>
    <w:p w14:paraId="7C0B5990" w14:textId="77777777" w:rsidR="00853CF4" w:rsidRPr="00853CF4" w:rsidRDefault="00853CF4" w:rsidP="00853CF4">
      <w:pPr>
        <w:spacing w:after="0" w:line="240" w:lineRule="auto"/>
        <w:rPr>
          <w:rFonts w:ascii="Verdana" w:eastAsia="Calibri" w:hAnsi="Verdana" w:cs="Arial"/>
          <w:b/>
          <w:lang w:eastAsia="es-ES_tradnl"/>
        </w:rPr>
      </w:pPr>
      <w:r w:rsidRPr="00853CF4">
        <w:rPr>
          <w:rFonts w:ascii="Verdana" w:eastAsia="Calibri" w:hAnsi="Verdana" w:cs="Arial"/>
          <w:b/>
          <w:lang w:eastAsia="es-ES_tradnl"/>
        </w:rPr>
        <w:t>Luis Felipe Salcedo Sepulveda</w:t>
      </w:r>
    </w:p>
    <w:p w14:paraId="5A77E59E" w14:textId="77777777" w:rsidR="00853CF4" w:rsidRPr="00853CF4" w:rsidRDefault="00853CF4" w:rsidP="00853CF4">
      <w:pPr>
        <w:spacing w:after="0" w:line="240" w:lineRule="auto"/>
        <w:rPr>
          <w:rFonts w:ascii="Verdana" w:eastAsia="Calibri" w:hAnsi="Verdana" w:cs="Arial"/>
          <w:bCs/>
          <w:lang w:eastAsia="es-ES_tradnl"/>
        </w:rPr>
      </w:pPr>
      <w:r w:rsidRPr="00853CF4">
        <w:rPr>
          <w:rFonts w:ascii="Verdana" w:eastAsia="Calibri" w:hAnsi="Verdana" w:cs="Arial"/>
          <w:bCs/>
          <w:lang w:eastAsia="es-ES_tradnl"/>
        </w:rPr>
        <w:t>Representante legal</w:t>
      </w:r>
    </w:p>
    <w:p w14:paraId="44B0C56D" w14:textId="77777777" w:rsidR="00853CF4" w:rsidRPr="00853CF4" w:rsidRDefault="00853CF4" w:rsidP="00853CF4">
      <w:pPr>
        <w:spacing w:after="0" w:line="240" w:lineRule="auto"/>
        <w:rPr>
          <w:rFonts w:ascii="Verdana" w:eastAsia="Calibri" w:hAnsi="Verdana" w:cs="Arial"/>
          <w:bCs/>
          <w:lang w:eastAsia="es-ES_tradnl"/>
        </w:rPr>
      </w:pPr>
      <w:r w:rsidRPr="00853CF4">
        <w:rPr>
          <w:rFonts w:ascii="Verdana" w:eastAsia="Calibri" w:hAnsi="Verdana" w:cs="Arial"/>
          <w:bCs/>
          <w:lang w:eastAsia="es-ES_tradnl"/>
        </w:rPr>
        <w:t>Diesel Electric SAS</w:t>
      </w:r>
    </w:p>
    <w:p w14:paraId="4C92B712" w14:textId="77777777" w:rsidR="00853CF4" w:rsidRPr="00853CF4" w:rsidRDefault="00853CF4" w:rsidP="00853CF4">
      <w:pPr>
        <w:spacing w:after="0" w:line="240" w:lineRule="auto"/>
        <w:rPr>
          <w:rFonts w:ascii="Verdana" w:eastAsia="Calibri" w:hAnsi="Verdana" w:cs="Arial"/>
          <w:b/>
          <w:bCs/>
          <w:lang w:val="es-ES" w:eastAsia="es-ES"/>
        </w:rPr>
      </w:pPr>
      <w:r w:rsidRPr="00853CF4">
        <w:rPr>
          <w:rFonts w:ascii="Verdana" w:eastAsia="Calibri" w:hAnsi="Verdana" w:cs="Arial"/>
          <w:lang w:val="es-ES" w:eastAsia="es-ES"/>
        </w:rPr>
        <w:t>Pereira, Risaralda</w:t>
      </w:r>
    </w:p>
    <w:p w14:paraId="33860A87" w14:textId="77777777" w:rsidR="00853CF4" w:rsidRPr="00853CF4" w:rsidRDefault="00853CF4" w:rsidP="00853CF4">
      <w:pPr>
        <w:spacing w:after="0" w:line="240" w:lineRule="auto"/>
        <w:rPr>
          <w:rFonts w:ascii="Verdana" w:eastAsia="Calibri" w:hAnsi="Verdana" w:cs="Arial"/>
          <w:b/>
          <w:bCs/>
          <w:lang w:eastAsia="es-ES_tradnl"/>
        </w:rPr>
      </w:pPr>
    </w:p>
    <w:p w14:paraId="384EA07B" w14:textId="77777777" w:rsidR="00853CF4" w:rsidRPr="00853CF4" w:rsidRDefault="00853CF4" w:rsidP="00853CF4">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53CF4" w:rsidRPr="00853CF4" w14:paraId="68BBB163" w14:textId="77777777" w:rsidTr="006F4AB5">
        <w:trPr>
          <w:trHeight w:val="884"/>
        </w:trPr>
        <w:tc>
          <w:tcPr>
            <w:tcW w:w="2689" w:type="dxa"/>
          </w:tcPr>
          <w:p w14:paraId="3B6F5471" w14:textId="77777777" w:rsidR="00853CF4" w:rsidRPr="00853CF4" w:rsidRDefault="00853CF4" w:rsidP="00853CF4">
            <w:pPr>
              <w:jc w:val="both"/>
              <w:rPr>
                <w:rFonts w:ascii="Verdana" w:eastAsia="Calibri" w:hAnsi="Verdana" w:cs="Arial"/>
                <w:b/>
                <w:bCs/>
                <w:lang w:eastAsia="es-ES_tradnl"/>
              </w:rPr>
            </w:pPr>
          </w:p>
        </w:tc>
        <w:tc>
          <w:tcPr>
            <w:tcW w:w="6100" w:type="dxa"/>
          </w:tcPr>
          <w:p w14:paraId="39075103" w14:textId="77777777" w:rsidR="00853CF4" w:rsidRPr="00853CF4" w:rsidRDefault="00853CF4" w:rsidP="00853CF4">
            <w:pPr>
              <w:jc w:val="both"/>
              <w:rPr>
                <w:rFonts w:ascii="Verdana" w:eastAsia="Calibri" w:hAnsi="Verdana" w:cs="Arial"/>
                <w:b/>
                <w:bCs/>
                <w:lang w:val="es-ES" w:eastAsia="es-ES"/>
              </w:rPr>
            </w:pPr>
            <w:r w:rsidRPr="00853CF4">
              <w:rPr>
                <w:rFonts w:ascii="Verdana" w:eastAsia="Calibri" w:hAnsi="Verdana" w:cs="Arial"/>
                <w:b/>
                <w:bCs/>
                <w:lang w:val="es-ES" w:eastAsia="es-ES"/>
              </w:rPr>
              <w:t>Concepto C – 1459 de 2026</w:t>
            </w:r>
          </w:p>
        </w:tc>
      </w:tr>
      <w:tr w:rsidR="00853CF4" w:rsidRPr="00853CF4" w14:paraId="3A85F416" w14:textId="77777777" w:rsidTr="006F4AB5">
        <w:trPr>
          <w:trHeight w:val="884"/>
        </w:trPr>
        <w:tc>
          <w:tcPr>
            <w:tcW w:w="2689" w:type="dxa"/>
          </w:tcPr>
          <w:p w14:paraId="0390FFE1" w14:textId="77777777" w:rsidR="00853CF4" w:rsidRPr="00853CF4" w:rsidRDefault="00853CF4" w:rsidP="00853CF4">
            <w:pPr>
              <w:spacing w:line="276" w:lineRule="auto"/>
              <w:jc w:val="both"/>
              <w:rPr>
                <w:rFonts w:ascii="Verdana" w:eastAsia="Calibri" w:hAnsi="Verdana" w:cs="Arial"/>
                <w:lang w:eastAsia="es-ES_tradnl"/>
              </w:rPr>
            </w:pPr>
            <w:r w:rsidRPr="00853CF4">
              <w:rPr>
                <w:rFonts w:ascii="Verdana" w:eastAsia="Calibri" w:hAnsi="Verdana" w:cs="Arial"/>
                <w:b/>
                <w:lang w:eastAsia="es-ES_tradnl"/>
              </w:rPr>
              <w:t>Temas:</w:t>
            </w:r>
            <w:r w:rsidRPr="00853CF4">
              <w:rPr>
                <w:rFonts w:ascii="Verdana" w:eastAsia="Calibri" w:hAnsi="Verdana" w:cs="Arial"/>
                <w:lang w:eastAsia="es-ES_tradnl"/>
              </w:rPr>
              <w:t xml:space="preserve">                   </w:t>
            </w:r>
          </w:p>
        </w:tc>
        <w:tc>
          <w:tcPr>
            <w:tcW w:w="6100" w:type="dxa"/>
          </w:tcPr>
          <w:p w14:paraId="6CB51734" w14:textId="77777777" w:rsidR="00853CF4" w:rsidRPr="00853CF4" w:rsidRDefault="00853CF4" w:rsidP="00853CF4">
            <w:pPr>
              <w:spacing w:line="276" w:lineRule="auto"/>
              <w:ind w:right="108"/>
              <w:jc w:val="both"/>
              <w:rPr>
                <w:rFonts w:ascii="Verdana" w:eastAsia="Aptos" w:hAnsi="Verdana" w:cs="Arial"/>
                <w:lang w:eastAsia="es-MX"/>
              </w:rPr>
            </w:pPr>
            <w:r w:rsidRPr="00853CF4">
              <w:rPr>
                <w:rFonts w:ascii="Verdana" w:eastAsia="Calibri" w:hAnsi="Verdana" w:cs="Arial"/>
                <w:lang w:val="es-ES" w:eastAsia="es-ES"/>
              </w:rPr>
              <w:t xml:space="preserve">DOCUMENTOS TIPO DE INFRAESTRUCTURA SOCIAL – Generalidades – Mínima cuantía / DOCUMENTOS TIPO DE INFRAESTRUCTURA SOCIAL – Mínima cuantía – Ámbito de aplicación – Aplicación a contratos de obra / </w:t>
            </w:r>
            <w:r w:rsidRPr="00853CF4">
              <w:rPr>
                <w:rFonts w:ascii="Verdana" w:eastAsia="Aptos" w:hAnsi="Verdana" w:cs="Arial"/>
                <w:lang w:eastAsia="es-MX"/>
              </w:rPr>
              <w:t>DOCUMENTOS TIPO DE INFRAESTRUCTURA SOCIAL – Mínima cuantía – Mantenimiento preventivo y correctivo de bienes muebles</w:t>
            </w:r>
          </w:p>
          <w:p w14:paraId="7A481621" w14:textId="77777777" w:rsidR="00853CF4" w:rsidRPr="00853CF4" w:rsidRDefault="00853CF4" w:rsidP="00853CF4">
            <w:pPr>
              <w:spacing w:line="276" w:lineRule="auto"/>
              <w:jc w:val="both"/>
              <w:rPr>
                <w:rFonts w:ascii="Verdana" w:eastAsia="Verdana" w:hAnsi="Verdana" w:cs="Verdana"/>
                <w:highlight w:val="yellow"/>
                <w:lang w:eastAsia="es-MX"/>
              </w:rPr>
            </w:pPr>
          </w:p>
        </w:tc>
      </w:tr>
      <w:tr w:rsidR="00853CF4" w:rsidRPr="00853CF4" w14:paraId="7C9AE8FD" w14:textId="77777777" w:rsidTr="006F4AB5">
        <w:tc>
          <w:tcPr>
            <w:tcW w:w="2689" w:type="dxa"/>
          </w:tcPr>
          <w:p w14:paraId="3FF1D2D3" w14:textId="77777777" w:rsidR="00853CF4" w:rsidRPr="00853CF4" w:rsidRDefault="00853CF4" w:rsidP="00853CF4">
            <w:pPr>
              <w:spacing w:line="276" w:lineRule="auto"/>
              <w:jc w:val="both"/>
              <w:rPr>
                <w:rFonts w:ascii="Verdana" w:eastAsia="Calibri" w:hAnsi="Verdana" w:cs="Arial"/>
                <w:b/>
                <w:lang w:eastAsia="es-ES_tradnl"/>
              </w:rPr>
            </w:pPr>
            <w:r w:rsidRPr="00853CF4">
              <w:rPr>
                <w:rFonts w:ascii="Verdana" w:eastAsia="Calibri" w:hAnsi="Verdana" w:cs="Arial"/>
                <w:b/>
                <w:lang w:eastAsia="es-ES_tradnl"/>
              </w:rPr>
              <w:t>Radicación:</w:t>
            </w:r>
            <w:r w:rsidRPr="00853CF4">
              <w:rPr>
                <w:rFonts w:ascii="Verdana" w:eastAsia="Calibri" w:hAnsi="Verdana" w:cs="Arial"/>
                <w:lang w:eastAsia="es-ES_tradnl"/>
              </w:rPr>
              <w:t xml:space="preserve">               </w:t>
            </w:r>
          </w:p>
        </w:tc>
        <w:tc>
          <w:tcPr>
            <w:tcW w:w="6100" w:type="dxa"/>
          </w:tcPr>
          <w:p w14:paraId="3B31B288" w14:textId="77777777" w:rsidR="00853CF4" w:rsidRPr="00853CF4" w:rsidRDefault="00853CF4" w:rsidP="00853CF4">
            <w:pPr>
              <w:spacing w:line="276" w:lineRule="auto"/>
              <w:jc w:val="both"/>
              <w:rPr>
                <w:rFonts w:ascii="Verdana" w:eastAsia="Calibri" w:hAnsi="Verdana" w:cs="Arial"/>
                <w:lang w:eastAsia="es-ES_tradnl"/>
              </w:rPr>
            </w:pPr>
            <w:r w:rsidRPr="00853CF4">
              <w:rPr>
                <w:rFonts w:ascii="Verdana" w:eastAsia="Calibri" w:hAnsi="Verdana" w:cs="Arial"/>
                <w:lang w:eastAsia="es-ES_tradnl"/>
              </w:rPr>
              <w:t>Respuesta a consulta con radicado No. 1_2026_09_15_012327</w:t>
            </w:r>
          </w:p>
        </w:tc>
      </w:tr>
    </w:tbl>
    <w:p w14:paraId="5DE92D17" w14:textId="77777777" w:rsidR="00853CF4" w:rsidRPr="00853CF4" w:rsidRDefault="00853CF4" w:rsidP="00853CF4">
      <w:pPr>
        <w:spacing w:after="0" w:line="240" w:lineRule="auto"/>
        <w:jc w:val="both"/>
        <w:rPr>
          <w:rFonts w:ascii="Verdana" w:eastAsia="Calibri" w:hAnsi="Verdana" w:cs="Arial"/>
          <w:lang w:eastAsia="es-ES_tradnl"/>
        </w:rPr>
      </w:pPr>
    </w:p>
    <w:p w14:paraId="5573BCDF" w14:textId="77777777" w:rsidR="00853CF4" w:rsidRPr="00853CF4" w:rsidRDefault="00853CF4" w:rsidP="00853CF4">
      <w:pPr>
        <w:spacing w:after="0" w:line="240" w:lineRule="auto"/>
        <w:jc w:val="both"/>
        <w:rPr>
          <w:rFonts w:ascii="Verdana" w:eastAsia="Calibri" w:hAnsi="Verdana" w:cs="Arial"/>
          <w:lang w:eastAsia="es-ES_tradnl"/>
        </w:rPr>
      </w:pPr>
    </w:p>
    <w:p w14:paraId="542197F8" w14:textId="77777777" w:rsidR="00853CF4" w:rsidRPr="00853CF4" w:rsidRDefault="00853CF4" w:rsidP="00853CF4">
      <w:pPr>
        <w:spacing w:after="0" w:line="276" w:lineRule="auto"/>
        <w:jc w:val="both"/>
        <w:rPr>
          <w:rFonts w:ascii="Verdana" w:eastAsia="Calibri" w:hAnsi="Verdana" w:cs="Arial"/>
          <w:lang w:val="es-ES" w:eastAsia="es-ES"/>
        </w:rPr>
      </w:pPr>
      <w:r w:rsidRPr="00853CF4">
        <w:rPr>
          <w:rFonts w:ascii="Verdana" w:eastAsia="Calibri" w:hAnsi="Verdana" w:cs="Arial"/>
          <w:lang w:val="es-ES" w:eastAsia="es-ES"/>
        </w:rPr>
        <w:t xml:space="preserve">Estimado señor Salcedo Sepulveda: </w:t>
      </w:r>
    </w:p>
    <w:p w14:paraId="27CFE095" w14:textId="77777777" w:rsidR="00853CF4" w:rsidRPr="00853CF4" w:rsidRDefault="00853CF4" w:rsidP="00853CF4">
      <w:pPr>
        <w:tabs>
          <w:tab w:val="left" w:pos="3768"/>
        </w:tabs>
        <w:spacing w:after="0" w:line="276" w:lineRule="auto"/>
        <w:jc w:val="both"/>
        <w:rPr>
          <w:rFonts w:ascii="Verdana" w:eastAsia="Calibri" w:hAnsi="Verdana" w:cs="Arial"/>
          <w:lang w:val="es-ES" w:eastAsia="es-ES"/>
        </w:rPr>
      </w:pPr>
      <w:r w:rsidRPr="00853CF4">
        <w:rPr>
          <w:rFonts w:ascii="Verdana" w:eastAsia="Calibri" w:hAnsi="Verdana" w:cs="Arial"/>
          <w:lang w:val="es-ES" w:eastAsia="es-ES"/>
        </w:rPr>
        <w:tab/>
      </w:r>
    </w:p>
    <w:p w14:paraId="6CE785A6" w14:textId="77777777" w:rsidR="00853CF4" w:rsidRPr="00853CF4" w:rsidRDefault="00853CF4" w:rsidP="00853CF4">
      <w:pPr>
        <w:spacing w:after="0" w:line="276" w:lineRule="auto"/>
        <w:jc w:val="both"/>
        <w:rPr>
          <w:rFonts w:ascii="Verdana" w:eastAsia="Calibri" w:hAnsi="Verdana" w:cs="Arial"/>
          <w:lang w:val="es-ES" w:eastAsia="es-ES"/>
        </w:rPr>
      </w:pPr>
      <w:r w:rsidRPr="00853CF4">
        <w:rPr>
          <w:rFonts w:ascii="Verdana" w:eastAsia="Calibri" w:hAnsi="Verdana" w:cs="Arial"/>
          <w:lang w:val="es-ES" w:eastAsia="es-ES"/>
        </w:rPr>
        <w:t>En ejercicio de la competencia otorgada por los artículos 3, numeral 5º, y 11, numeral 8º, del Decreto Ley 4170 de 2011,</w:t>
      </w:r>
      <w:r w:rsidRPr="00853CF4">
        <w:rPr>
          <w:rFonts w:ascii="Verdana" w:eastAsia="Arial MT" w:hAnsi="Verdana" w:cs="Arial MT"/>
          <w:lang w:val="es-ES" w:eastAsia="es-ES"/>
        </w:rPr>
        <w:t xml:space="preserve"> </w:t>
      </w:r>
      <w:r w:rsidRPr="00853CF4">
        <w:rPr>
          <w:rFonts w:ascii="Verdana" w:eastAsia="Calibri" w:hAnsi="Verdana" w:cs="Arial"/>
          <w:lang w:eastAsia="es-MX"/>
        </w:rPr>
        <w:t xml:space="preserve">así como lo establecido en la Resolución 469 de 2025 </w:t>
      </w:r>
      <w:r w:rsidRPr="00853CF4">
        <w:rPr>
          <w:rFonts w:ascii="Verdana" w:eastAsia="Calibri" w:hAnsi="Verdana" w:cs="Arial"/>
          <w:lang w:val="es-ES" w:eastAsia="es-MX"/>
        </w:rPr>
        <w:t xml:space="preserve">expedida </w:t>
      </w:r>
      <w:r w:rsidRPr="00853CF4">
        <w:rPr>
          <w:rFonts w:ascii="Verdana" w:eastAsia="Calibri" w:hAnsi="Verdana" w:cs="Arial"/>
          <w:lang w:eastAsia="es-MX"/>
        </w:rPr>
        <w:t xml:space="preserve">por esta Entidad, </w:t>
      </w:r>
      <w:r w:rsidRPr="00853CF4">
        <w:rPr>
          <w:rFonts w:ascii="Verdana" w:eastAsia="Calibri" w:hAnsi="Verdana" w:cs="Arial"/>
          <w:lang w:val="es-ES" w:eastAsia="es-ES"/>
        </w:rPr>
        <w:t>la Agencia Nacional de Contratación Pública –Colombia Compra Eficiente– responde su solicitud de consulta de fecha del 15 de septiembre de 2026, en la que manifiesta lo siguiente:</w:t>
      </w:r>
    </w:p>
    <w:p w14:paraId="08FF2320" w14:textId="77777777" w:rsidR="00853CF4" w:rsidRPr="00853CF4" w:rsidRDefault="00853CF4" w:rsidP="00853CF4">
      <w:pPr>
        <w:spacing w:after="0" w:line="276" w:lineRule="auto"/>
        <w:jc w:val="both"/>
        <w:rPr>
          <w:rFonts w:ascii="Verdana" w:eastAsia="Calibri" w:hAnsi="Verdana" w:cs="Arial"/>
          <w:lang w:val="es-ES" w:eastAsia="es-ES"/>
        </w:rPr>
      </w:pPr>
    </w:p>
    <w:p w14:paraId="3EF332CE" w14:textId="77777777" w:rsidR="00853CF4" w:rsidRPr="00853CF4" w:rsidRDefault="00853CF4" w:rsidP="00853CF4">
      <w:pPr>
        <w:spacing w:after="0" w:line="240" w:lineRule="auto"/>
        <w:ind w:left="709" w:right="709"/>
        <w:jc w:val="both"/>
        <w:rPr>
          <w:rFonts w:ascii="Verdana" w:eastAsia="Calibri" w:hAnsi="Verdana" w:cs="Arial"/>
          <w:sz w:val="21"/>
          <w:szCs w:val="21"/>
          <w:lang w:val="es-ES" w:eastAsia="es-ES"/>
        </w:rPr>
      </w:pPr>
      <w:r w:rsidRPr="00853CF4">
        <w:rPr>
          <w:rFonts w:ascii="Verdana" w:eastAsia="Calibri" w:hAnsi="Verdana" w:cs="Arial"/>
          <w:sz w:val="21"/>
          <w:szCs w:val="21"/>
          <w:lang w:val="es-ES" w:eastAsia="es-ES"/>
        </w:rPr>
        <w:t xml:space="preserve">"¿Es jurídicamente procedente clasificar el mantenimiento preventivo y correctivo de </w:t>
      </w:r>
      <w:proofErr w:type="gramStart"/>
      <w:r w:rsidRPr="00853CF4">
        <w:rPr>
          <w:rFonts w:ascii="Verdana" w:eastAsia="Calibri" w:hAnsi="Verdana" w:cs="Arial"/>
          <w:sz w:val="21"/>
          <w:szCs w:val="21"/>
          <w:lang w:val="es-ES" w:eastAsia="es-ES"/>
        </w:rPr>
        <w:t>equipos  electromecánicos</w:t>
      </w:r>
      <w:proofErr w:type="gramEnd"/>
      <w:r w:rsidRPr="00853CF4">
        <w:rPr>
          <w:rFonts w:ascii="Verdana" w:eastAsia="Calibri" w:hAnsi="Verdana" w:cs="Arial"/>
          <w:sz w:val="21"/>
          <w:szCs w:val="21"/>
          <w:lang w:val="es-ES" w:eastAsia="es-ES"/>
        </w:rPr>
        <w:t xml:space="preserve"> (plantas eléctricas y tableros </w:t>
      </w:r>
      <w:r w:rsidRPr="00853CF4">
        <w:rPr>
          <w:rFonts w:ascii="Verdana" w:eastAsia="Calibri" w:hAnsi="Verdana" w:cs="Arial"/>
          <w:sz w:val="21"/>
          <w:szCs w:val="21"/>
          <w:lang w:val="es-ES" w:eastAsia="es-ES"/>
        </w:rPr>
        <w:lastRenderedPageBreak/>
        <w:t>de transferencia) ubicados en una sede pública bajo la tipología de Contrato de Obra Pública?</w:t>
      </w:r>
    </w:p>
    <w:p w14:paraId="12F0DAD0" w14:textId="77777777" w:rsidR="00853CF4" w:rsidRPr="00853CF4" w:rsidRDefault="00853CF4" w:rsidP="00853CF4">
      <w:pPr>
        <w:spacing w:after="0" w:line="240" w:lineRule="auto"/>
        <w:ind w:left="709" w:right="709"/>
        <w:jc w:val="both"/>
        <w:rPr>
          <w:rFonts w:ascii="Verdana" w:eastAsia="Calibri" w:hAnsi="Verdana" w:cs="Arial"/>
          <w:sz w:val="21"/>
          <w:szCs w:val="21"/>
          <w:lang w:val="es-ES" w:eastAsia="es-ES"/>
        </w:rPr>
      </w:pPr>
      <w:r w:rsidRPr="00853CF4">
        <w:rPr>
          <w:rFonts w:ascii="Verdana" w:eastAsia="Calibri" w:hAnsi="Verdana" w:cs="Arial"/>
          <w:sz w:val="21"/>
          <w:szCs w:val="21"/>
          <w:lang w:val="es-ES" w:eastAsia="es-ES"/>
        </w:rPr>
        <w:t>[…]</w:t>
      </w:r>
    </w:p>
    <w:p w14:paraId="3D070619" w14:textId="77777777" w:rsidR="00853CF4" w:rsidRPr="00853CF4" w:rsidRDefault="00853CF4" w:rsidP="00853CF4">
      <w:pPr>
        <w:spacing w:after="0" w:line="240" w:lineRule="auto"/>
        <w:ind w:left="709" w:right="709"/>
        <w:jc w:val="both"/>
        <w:rPr>
          <w:rFonts w:ascii="Verdana" w:eastAsia="Calibri" w:hAnsi="Verdana" w:cs="Arial"/>
          <w:sz w:val="21"/>
          <w:szCs w:val="21"/>
          <w:lang w:val="es-ES" w:eastAsia="es-ES"/>
        </w:rPr>
      </w:pPr>
      <w:r w:rsidRPr="00853CF4">
        <w:rPr>
          <w:rFonts w:ascii="Verdana" w:eastAsia="Calibri" w:hAnsi="Verdana" w:cs="Arial"/>
          <w:sz w:val="21"/>
          <w:szCs w:val="21"/>
          <w:lang w:val="es-ES" w:eastAsia="es-ES"/>
        </w:rPr>
        <w:t>¿La Resolución No 541 de 2025 hace obligatorio el uso de Documentos Tipo de Obra Pública de Infraestructura Social para servicios de mantenimiento preventivo/correctivo de bienes muebles y equipos de soporte energético?</w:t>
      </w:r>
    </w:p>
    <w:p w14:paraId="5181D12F" w14:textId="77777777" w:rsidR="00853CF4" w:rsidRPr="00853CF4" w:rsidRDefault="00853CF4" w:rsidP="00853CF4">
      <w:pPr>
        <w:spacing w:after="0" w:line="240" w:lineRule="auto"/>
        <w:ind w:left="709" w:right="709"/>
        <w:jc w:val="both"/>
        <w:rPr>
          <w:rFonts w:ascii="Verdana" w:eastAsia="Calibri" w:hAnsi="Verdana" w:cs="Arial"/>
          <w:sz w:val="21"/>
          <w:szCs w:val="21"/>
          <w:lang w:val="es-ES" w:eastAsia="es-ES"/>
        </w:rPr>
      </w:pPr>
      <w:r w:rsidRPr="00853CF4">
        <w:rPr>
          <w:rFonts w:ascii="Verdana" w:eastAsia="Calibri" w:hAnsi="Verdana" w:cs="Arial"/>
          <w:sz w:val="21"/>
          <w:szCs w:val="21"/>
          <w:lang w:val="es-ES" w:eastAsia="es-ES"/>
        </w:rPr>
        <w:t>[…]</w:t>
      </w:r>
    </w:p>
    <w:p w14:paraId="7C42EBAF" w14:textId="77777777" w:rsidR="00853CF4" w:rsidRPr="00853CF4" w:rsidRDefault="00853CF4" w:rsidP="00853CF4">
      <w:pPr>
        <w:spacing w:after="0" w:line="240" w:lineRule="auto"/>
        <w:ind w:left="709" w:right="709"/>
        <w:jc w:val="both"/>
        <w:rPr>
          <w:rFonts w:ascii="Verdana" w:eastAsia="Calibri" w:hAnsi="Verdana" w:cs="Arial"/>
          <w:sz w:val="21"/>
          <w:szCs w:val="21"/>
          <w:lang w:val="es-ES" w:eastAsia="es-ES"/>
        </w:rPr>
      </w:pPr>
      <w:r w:rsidRPr="00853CF4">
        <w:rPr>
          <w:rFonts w:ascii="Verdana" w:eastAsia="Calibri" w:hAnsi="Verdana" w:cs="Arial"/>
          <w:sz w:val="21"/>
          <w:szCs w:val="21"/>
          <w:lang w:val="es-ES" w:eastAsia="es-ES"/>
        </w:rPr>
        <w:t>¿Pueden los instructivos o lineamientos internos de una entidad estatal estar por encima de la definición legal del objeto contractual (Art. 32 Ley 80 de 1993) para justificar el uso de Pliegos Tipo de Obra Pública en actividades de simple mantenimiento técnico?</w:t>
      </w:r>
    </w:p>
    <w:p w14:paraId="2E58A331" w14:textId="77777777" w:rsidR="00853CF4" w:rsidRPr="00853CF4" w:rsidRDefault="00853CF4" w:rsidP="00853CF4">
      <w:pPr>
        <w:spacing w:after="0" w:line="240" w:lineRule="auto"/>
        <w:ind w:left="709" w:right="709"/>
        <w:jc w:val="both"/>
        <w:rPr>
          <w:rFonts w:ascii="Verdana" w:eastAsia="Calibri" w:hAnsi="Verdana" w:cs="Arial"/>
          <w:sz w:val="21"/>
          <w:szCs w:val="21"/>
          <w:lang w:val="es-ES" w:eastAsia="es-ES"/>
        </w:rPr>
      </w:pPr>
      <w:r w:rsidRPr="00853CF4">
        <w:rPr>
          <w:rFonts w:ascii="Verdana" w:eastAsia="Calibri" w:hAnsi="Verdana" w:cs="Arial"/>
          <w:sz w:val="21"/>
          <w:szCs w:val="21"/>
          <w:lang w:val="es-ES" w:eastAsia="es-ES"/>
        </w:rPr>
        <w:t>[…]</w:t>
      </w:r>
    </w:p>
    <w:p w14:paraId="19796A24" w14:textId="77777777" w:rsidR="00853CF4" w:rsidRPr="00853CF4" w:rsidRDefault="00853CF4" w:rsidP="00853CF4">
      <w:pPr>
        <w:spacing w:after="0" w:line="240" w:lineRule="auto"/>
        <w:ind w:left="709" w:right="709"/>
        <w:jc w:val="both"/>
        <w:rPr>
          <w:rFonts w:ascii="Verdana" w:eastAsia="Calibri" w:hAnsi="Verdana" w:cs="Arial"/>
          <w:sz w:val="21"/>
          <w:szCs w:val="21"/>
          <w:lang w:val="es-ES" w:eastAsia="es-ES"/>
        </w:rPr>
      </w:pPr>
      <w:r w:rsidRPr="00853CF4">
        <w:rPr>
          <w:rFonts w:ascii="Verdana" w:eastAsia="Calibri" w:hAnsi="Verdana" w:cs="Arial"/>
          <w:sz w:val="21"/>
          <w:szCs w:val="21"/>
          <w:lang w:val="es-ES" w:eastAsia="es-ES"/>
        </w:rPr>
        <w:t>Emitir un pronunciamiento o directriz pedagógica dirigida al Instituto Nacional de Medicina Legal y Ciencias Forenses con el propósito de orientar la correcta aplicación de los Documentos Tipo y garantizar el respeto por los principios de planeación, libre concurrencia y selección objetiva (Ley 1150 de 2007), so pena de las correspondientes denuncias ante los entes de control competentes, para que ejerzan lo de su competencia”.</w:t>
      </w:r>
    </w:p>
    <w:p w14:paraId="61E9AAA9" w14:textId="77777777" w:rsidR="00853CF4" w:rsidRPr="00853CF4" w:rsidRDefault="00853CF4" w:rsidP="00853CF4">
      <w:pPr>
        <w:spacing w:after="0" w:line="276" w:lineRule="auto"/>
        <w:ind w:left="709" w:right="709"/>
        <w:jc w:val="both"/>
        <w:rPr>
          <w:rFonts w:ascii="Verdana" w:eastAsia="Calibri" w:hAnsi="Verdana" w:cs="Arial"/>
          <w:lang w:val="es-ES" w:eastAsia="es-ES"/>
        </w:rPr>
      </w:pPr>
    </w:p>
    <w:p w14:paraId="5C450F74" w14:textId="77777777" w:rsidR="00853CF4" w:rsidRPr="00853CF4" w:rsidRDefault="00853CF4" w:rsidP="00853CF4">
      <w:pPr>
        <w:spacing w:after="120" w:line="276" w:lineRule="auto"/>
        <w:ind w:firstLine="709"/>
        <w:jc w:val="both"/>
        <w:rPr>
          <w:rFonts w:ascii="Verdana" w:eastAsia="Calibri" w:hAnsi="Verdana" w:cs="Arial"/>
          <w:szCs w:val="24"/>
          <w:lang w:eastAsia="es-ES_tradnl"/>
        </w:rPr>
      </w:pPr>
      <w:r w:rsidRPr="00853CF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53CF4">
        <w:rPr>
          <w:rFonts w:ascii="Verdana" w:eastAsia="Calibri" w:hAnsi="Verdana" w:cs="Arial"/>
          <w:szCs w:val="24"/>
          <w:lang w:eastAsia="es-ES_tradnl"/>
        </w:rPr>
        <w:tab/>
      </w:r>
    </w:p>
    <w:p w14:paraId="606EAADB" w14:textId="77777777" w:rsidR="00853CF4" w:rsidRPr="00853CF4" w:rsidRDefault="00853CF4" w:rsidP="00853CF4">
      <w:pPr>
        <w:spacing w:after="0" w:line="276" w:lineRule="auto"/>
        <w:ind w:firstLine="709"/>
        <w:jc w:val="both"/>
        <w:rPr>
          <w:rFonts w:ascii="Verdana" w:eastAsia="Calibri" w:hAnsi="Verdana" w:cs="Arial"/>
          <w:lang w:val="es-ES" w:eastAsia="es-ES"/>
        </w:rPr>
      </w:pPr>
      <w:r w:rsidRPr="00853CF4">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853CF4">
        <w:rPr>
          <w:rFonts w:ascii="Verdana" w:eastAsia="Calibri" w:hAnsi="Verdana" w:cs="Arial"/>
          <w:lang w:val="es-ES" w:eastAsia="es-ES"/>
        </w:rPr>
        <w:tab/>
      </w:r>
    </w:p>
    <w:p w14:paraId="109D8BF9" w14:textId="77777777" w:rsidR="00853CF4" w:rsidRPr="00853CF4" w:rsidRDefault="00853CF4" w:rsidP="00853CF4">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853CF4">
        <w:rPr>
          <w:rFonts w:ascii="Verdana" w:eastAsia="Century Gothic" w:hAnsi="Verdana" w:cs="Century Gothic"/>
          <w:b/>
          <w:bCs/>
          <w:lang w:val="es-ES" w:eastAsia="es-MX"/>
        </w:rPr>
        <w:lastRenderedPageBreak/>
        <w:t>Problema planteado:</w:t>
      </w:r>
    </w:p>
    <w:p w14:paraId="070F7EF7" w14:textId="77777777" w:rsidR="00853CF4" w:rsidRPr="00853CF4" w:rsidRDefault="00853CF4" w:rsidP="00853CF4">
      <w:pPr>
        <w:tabs>
          <w:tab w:val="left" w:pos="426"/>
        </w:tabs>
        <w:spacing w:after="0" w:line="276" w:lineRule="auto"/>
        <w:jc w:val="both"/>
        <w:rPr>
          <w:rFonts w:ascii="Verdana" w:eastAsia="Century Gothic" w:hAnsi="Verdana" w:cs="Century Gothic"/>
          <w:lang w:val="es-ES" w:eastAsia="es-MX"/>
        </w:rPr>
      </w:pPr>
    </w:p>
    <w:p w14:paraId="78868359" w14:textId="77777777" w:rsidR="00853CF4" w:rsidRPr="00853CF4" w:rsidRDefault="00853CF4" w:rsidP="00853CF4">
      <w:pPr>
        <w:snapToGrid w:val="0"/>
        <w:spacing w:after="0" w:line="276" w:lineRule="auto"/>
        <w:jc w:val="both"/>
        <w:rPr>
          <w:rFonts w:ascii="Verdana" w:eastAsia="Century Gothic" w:hAnsi="Verdana" w:cs="Century Gothic"/>
          <w:lang w:eastAsia="es-MX"/>
        </w:rPr>
      </w:pPr>
      <w:r w:rsidRPr="00853CF4">
        <w:rPr>
          <w:rFonts w:ascii="Verdana" w:eastAsia="Century Gothic" w:hAnsi="Verdana" w:cs="Century Gothic"/>
          <w:lang w:eastAsia="es-MX"/>
        </w:rPr>
        <w:t>De acuerdo con el contenido de su solicitud, esta Agencia resolverá los siguientes problemas jurídicos relacionados con los documentos tipo de mínima cuantía de infraestructura social:</w:t>
      </w:r>
    </w:p>
    <w:p w14:paraId="5B69E152" w14:textId="77777777" w:rsidR="00853CF4" w:rsidRPr="00853CF4" w:rsidRDefault="00853CF4" w:rsidP="00853CF4">
      <w:pPr>
        <w:snapToGrid w:val="0"/>
        <w:spacing w:after="0" w:line="276" w:lineRule="auto"/>
        <w:jc w:val="both"/>
        <w:rPr>
          <w:rFonts w:ascii="Verdana" w:eastAsia="Century Gothic" w:hAnsi="Verdana" w:cs="Century Gothic"/>
          <w:lang w:eastAsia="es-MX"/>
        </w:rPr>
      </w:pPr>
    </w:p>
    <w:p w14:paraId="07F5E786" w14:textId="77777777" w:rsidR="00853CF4" w:rsidRPr="00853CF4" w:rsidRDefault="00853CF4" w:rsidP="00853CF4">
      <w:pPr>
        <w:numPr>
          <w:ilvl w:val="0"/>
          <w:numId w:val="18"/>
        </w:numPr>
        <w:snapToGrid w:val="0"/>
        <w:spacing w:after="0" w:line="276" w:lineRule="auto"/>
        <w:contextualSpacing/>
        <w:jc w:val="both"/>
        <w:rPr>
          <w:rFonts w:ascii="Verdana" w:eastAsia="Calibri" w:hAnsi="Verdana" w:cs="Arial"/>
          <w:lang w:val="es-ES" w:eastAsia="es-MX"/>
        </w:rPr>
      </w:pPr>
      <w:r w:rsidRPr="00853CF4">
        <w:rPr>
          <w:rFonts w:ascii="Verdana" w:eastAsia="Century Gothic" w:hAnsi="Verdana" w:cs="Century Gothic"/>
          <w:lang w:eastAsia="es-MX"/>
        </w:rPr>
        <w:t>¿Cómo puede clasificarse el mantenimiento preventivo y correctivo de equipos  electromecánicos en una sede?</w:t>
      </w:r>
    </w:p>
    <w:p w14:paraId="7FBFC642" w14:textId="77777777" w:rsidR="00853CF4" w:rsidRPr="00853CF4" w:rsidRDefault="00853CF4" w:rsidP="00853CF4">
      <w:pPr>
        <w:snapToGrid w:val="0"/>
        <w:spacing w:line="276" w:lineRule="auto"/>
        <w:ind w:left="720"/>
        <w:contextualSpacing/>
        <w:jc w:val="both"/>
        <w:rPr>
          <w:rFonts w:ascii="Verdana" w:eastAsia="Calibri" w:hAnsi="Verdana" w:cs="Arial"/>
          <w:lang w:val="es-ES" w:eastAsia="es-MX"/>
        </w:rPr>
      </w:pPr>
    </w:p>
    <w:p w14:paraId="7B25D639" w14:textId="77777777" w:rsidR="00853CF4" w:rsidRPr="00853CF4" w:rsidRDefault="00853CF4" w:rsidP="00853CF4">
      <w:pPr>
        <w:numPr>
          <w:ilvl w:val="0"/>
          <w:numId w:val="18"/>
        </w:numPr>
        <w:snapToGrid w:val="0"/>
        <w:spacing w:after="0" w:line="276" w:lineRule="auto"/>
        <w:contextualSpacing/>
        <w:jc w:val="both"/>
        <w:rPr>
          <w:rFonts w:ascii="Verdana" w:eastAsia="Calibri" w:hAnsi="Verdana" w:cs="Arial"/>
          <w:lang w:val="es-ES" w:eastAsia="es-MX"/>
        </w:rPr>
      </w:pPr>
      <w:r w:rsidRPr="00853CF4">
        <w:rPr>
          <w:rFonts w:ascii="Verdana" w:eastAsia="Calibri" w:hAnsi="Verdana" w:cs="Arial"/>
          <w:lang w:val="es-ES" w:eastAsia="es-MX"/>
        </w:rPr>
        <w:t>¿Resultan obligatorios los documentos tipo de mínima cuantía de infraestructura social al mantenimiento preventivo/correctivo de bienes muebles?</w:t>
      </w:r>
    </w:p>
    <w:p w14:paraId="75983979" w14:textId="77777777" w:rsidR="00853CF4" w:rsidRPr="00853CF4" w:rsidRDefault="00853CF4" w:rsidP="00853CF4">
      <w:pPr>
        <w:snapToGrid w:val="0"/>
        <w:spacing w:line="276" w:lineRule="auto"/>
        <w:contextualSpacing/>
        <w:jc w:val="both"/>
        <w:rPr>
          <w:rFonts w:ascii="Verdana" w:eastAsia="Calibri" w:hAnsi="Verdana" w:cs="Arial"/>
          <w:lang w:val="es-ES" w:eastAsia="es-MX"/>
        </w:rPr>
      </w:pPr>
    </w:p>
    <w:p w14:paraId="6BE1BF08" w14:textId="77777777" w:rsidR="00853CF4" w:rsidRPr="00853CF4" w:rsidRDefault="00853CF4" w:rsidP="00853CF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53CF4">
        <w:rPr>
          <w:rFonts w:ascii="Verdana" w:eastAsia="Century Gothic" w:hAnsi="Verdana" w:cs="Century Gothic"/>
          <w:b/>
          <w:bCs/>
          <w:lang w:val="es-ES" w:eastAsia="es-MX"/>
        </w:rPr>
        <w:t>Respuesta:</w:t>
      </w:r>
    </w:p>
    <w:p w14:paraId="4E6A7B49" w14:textId="77777777" w:rsidR="00853CF4" w:rsidRPr="00853CF4" w:rsidRDefault="00853CF4" w:rsidP="00853CF4">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53CF4" w:rsidRPr="00853CF4" w14:paraId="3CEA3251" w14:textId="77777777" w:rsidTr="006F4AB5">
        <w:tc>
          <w:tcPr>
            <w:tcW w:w="8828" w:type="dxa"/>
          </w:tcPr>
          <w:p w14:paraId="66087037" w14:textId="77777777" w:rsidR="00853CF4" w:rsidRPr="00853CF4" w:rsidRDefault="00853CF4" w:rsidP="00853CF4">
            <w:pPr>
              <w:snapToGrid w:val="0"/>
              <w:spacing w:after="120" w:line="276" w:lineRule="auto"/>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i. El numeral 1 del artículo 32 de la Ley 80 de 1993 define como contratos de obra los que celebren las entidades estatales para la construcción, mantenimiento, instalación y, en general, cualquier otro trabajo material sobre bienes inmuebles. La categoría de inmuebles comprende los inmuebles por adhesión y por destinación, en los términos de los artículos 656 y 658 del Código Civil.</w:t>
            </w:r>
          </w:p>
          <w:p w14:paraId="6CC5DFDE" w14:textId="77777777" w:rsidR="00853CF4" w:rsidRPr="00853CF4" w:rsidRDefault="00853CF4" w:rsidP="00853CF4">
            <w:pPr>
              <w:snapToGrid w:val="0"/>
              <w:spacing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Así las cosas, le corresponde a la entidad en el conocimiento pleno del expediente contractual y dentro de su planeación, determinar si las plantas eléctricas, subestaciones y tableros de transferencia se toman como incorporados de forma permanente a la edificación, o destinados de manera permanente a su uso y beneficio; así mismo, también le corresponde determinar si su mantenimiento es un trabajo material sobre bienes inmuebles, con independencia de que el objeto contractual se denomine “servicio de mantenimiento”.</w:t>
            </w:r>
          </w:p>
          <w:p w14:paraId="7E2A4B72" w14:textId="77777777" w:rsidR="00853CF4" w:rsidRPr="00853CF4" w:rsidRDefault="00853CF4" w:rsidP="00853CF4">
            <w:pPr>
              <w:snapToGrid w:val="0"/>
              <w:spacing w:line="276" w:lineRule="auto"/>
              <w:ind w:firstLine="709"/>
              <w:jc w:val="both"/>
              <w:rPr>
                <w:rFonts w:ascii="Verdana" w:eastAsia="Times New Roman" w:hAnsi="Verdana" w:cs="Times New Roman"/>
                <w:color w:val="000000"/>
                <w:lang w:eastAsia="es-MX"/>
              </w:rPr>
            </w:pPr>
          </w:p>
          <w:p w14:paraId="379D41BC" w14:textId="77777777" w:rsidR="00853CF4" w:rsidRPr="00853CF4" w:rsidRDefault="00853CF4" w:rsidP="00853CF4">
            <w:pPr>
              <w:snapToGrid w:val="0"/>
              <w:spacing w:line="276" w:lineRule="auto"/>
              <w:jc w:val="both"/>
              <w:rPr>
                <w:rFonts w:ascii="Verdana" w:eastAsia="Times New Roman" w:hAnsi="Verdana" w:cs="Times New Roman"/>
                <w:color w:val="000000"/>
                <w:lang w:eastAsia="es-MX"/>
              </w:rPr>
            </w:pPr>
            <w:proofErr w:type="spellStart"/>
            <w:r w:rsidRPr="00853CF4">
              <w:rPr>
                <w:rFonts w:ascii="Verdana" w:eastAsia="Times New Roman" w:hAnsi="Verdana" w:cs="Times New Roman"/>
                <w:color w:val="000000"/>
                <w:lang w:eastAsia="es-MX"/>
              </w:rPr>
              <w:t>ii</w:t>
            </w:r>
            <w:proofErr w:type="spellEnd"/>
            <w:r w:rsidRPr="00853CF4">
              <w:rPr>
                <w:rFonts w:ascii="Verdana" w:eastAsia="Times New Roman" w:hAnsi="Verdana" w:cs="Times New Roman"/>
                <w:color w:val="000000"/>
                <w:lang w:eastAsia="es-MX"/>
              </w:rPr>
              <w:t xml:space="preserve">. Ahora bien, los documentos tipo de mínima cuantía de obra pública de infraestructura social – sector institucional resultan obligatorios si la edificación corresponde a infraestructura institucional de servicio público y el valor del proceso se enmarca en la mínima cuantía. La actividad 2.9 de la Matriz 1 – Experiencia del Sector Institucional comprende expresamente proyectos de mantenimiento de plantas eléctricas y subestaciones de </w:t>
            </w:r>
            <w:r w:rsidRPr="00853CF4">
              <w:rPr>
                <w:rFonts w:ascii="Verdana" w:eastAsia="Times New Roman" w:hAnsi="Verdana" w:cs="Times New Roman"/>
                <w:color w:val="000000"/>
                <w:lang w:eastAsia="es-MX"/>
              </w:rPr>
              <w:lastRenderedPageBreak/>
              <w:t>infraestructura de servicio público. Al existir una actividad en la que el objeto se subsume materialmente, los documentos tipo adoptados mediante la Resolución 541 de 2025 son de obligatoria aplicación y la entidad no puede apartarse de ellos:</w:t>
            </w:r>
          </w:p>
          <w:p w14:paraId="26EFA3BD" w14:textId="77777777" w:rsidR="00853CF4" w:rsidRPr="00853CF4" w:rsidRDefault="00853CF4" w:rsidP="00853CF4">
            <w:pPr>
              <w:rPr>
                <w:rFonts w:ascii="Century Gothic" w:eastAsia="Times New Roman" w:hAnsi="Century Gothic" w:cs="Times New Roman"/>
                <w:color w:val="000000"/>
                <w:lang w:eastAsia="es-MX"/>
              </w:rPr>
            </w:pPr>
          </w:p>
          <w:p w14:paraId="5269465A" w14:textId="77777777" w:rsidR="00853CF4" w:rsidRPr="00853CF4" w:rsidRDefault="00853CF4" w:rsidP="00853CF4">
            <w:pPr>
              <w:snapToGrid w:val="0"/>
              <w:spacing w:line="276" w:lineRule="auto"/>
              <w:jc w:val="both"/>
              <w:rPr>
                <w:rFonts w:ascii="Verdana" w:eastAsia="Times New Roman" w:hAnsi="Verdana" w:cs="Times New Roman"/>
                <w:color w:val="000000"/>
                <w:lang w:eastAsia="es-MX"/>
              </w:rPr>
            </w:pPr>
            <w:proofErr w:type="spellStart"/>
            <w:r w:rsidRPr="00853CF4">
              <w:rPr>
                <w:rFonts w:ascii="Verdana" w:eastAsia="Times New Roman" w:hAnsi="Verdana" w:cs="Times New Roman"/>
                <w:color w:val="000000"/>
                <w:lang w:eastAsia="es-MX"/>
              </w:rPr>
              <w:t>iii</w:t>
            </w:r>
            <w:proofErr w:type="spellEnd"/>
            <w:r w:rsidRPr="00853CF4">
              <w:rPr>
                <w:rFonts w:ascii="Verdana" w:eastAsia="Times New Roman" w:hAnsi="Verdana" w:cs="Times New Roman"/>
                <w:color w:val="000000"/>
                <w:lang w:eastAsia="es-MX"/>
              </w:rPr>
              <w:t>. Por otra parte, la tipología contractual y la aplicación de los documentos tipo se determinan por la ley y por las resoluciones que los adoptan, no por instructivos internos. Sin embargo, la conclusión no varía en este caso, puesto que la obligatoriedad no proviene del lineamiento interno que invoca la entidad, sino del artículo 3 de la Resolución 541 de 2025 y de la correspondencia material del objeto con la actividad 2.9 de la matriz.</w:t>
            </w:r>
          </w:p>
          <w:p w14:paraId="2BBCC97B" w14:textId="77777777" w:rsidR="00853CF4" w:rsidRPr="00853CF4" w:rsidRDefault="00853CF4" w:rsidP="00853CF4">
            <w:pPr>
              <w:snapToGrid w:val="0"/>
              <w:spacing w:line="276" w:lineRule="auto"/>
              <w:jc w:val="both"/>
              <w:rPr>
                <w:rFonts w:ascii="Verdana" w:eastAsia="Times New Roman" w:hAnsi="Verdana" w:cs="Times New Roman"/>
                <w:color w:val="000000"/>
                <w:lang w:eastAsia="es-MX"/>
              </w:rPr>
            </w:pPr>
          </w:p>
          <w:p w14:paraId="048A44E9" w14:textId="77777777" w:rsidR="00853CF4" w:rsidRPr="00853CF4" w:rsidRDefault="00853CF4" w:rsidP="00853CF4">
            <w:pPr>
              <w:snapToGrid w:val="0"/>
              <w:spacing w:after="120" w:line="276" w:lineRule="auto"/>
              <w:jc w:val="both"/>
              <w:rPr>
                <w:rFonts w:ascii="Verdana" w:eastAsia="Times New Roman" w:hAnsi="Verdana" w:cs="Times New Roman"/>
                <w:color w:val="000000"/>
                <w:lang w:eastAsia="es-MX"/>
              </w:rPr>
            </w:pPr>
            <w:proofErr w:type="spellStart"/>
            <w:r w:rsidRPr="00853CF4">
              <w:rPr>
                <w:rFonts w:ascii="Verdana" w:eastAsia="Times New Roman" w:hAnsi="Verdana" w:cs="Times New Roman"/>
                <w:color w:val="000000"/>
                <w:lang w:eastAsia="es-MX"/>
              </w:rPr>
              <w:t>iv</w:t>
            </w:r>
            <w:proofErr w:type="spellEnd"/>
            <w:r w:rsidRPr="00853CF4">
              <w:rPr>
                <w:rFonts w:ascii="Verdana" w:eastAsia="Times New Roman" w:hAnsi="Verdana" w:cs="Times New Roman"/>
                <w:color w:val="000000"/>
                <w:lang w:eastAsia="es-MX"/>
              </w:rPr>
              <w:t>. Además, salvo lo que los propios documentos tipo permitan, estos solo pueden modificarse en los aspectos que ellos mismos autorizan –los textos entre corchetes y resaltados en gris–, y para las obras, bienes o servicios ajenos a la obra pública de infraestructura social la entidad debe acudir al artículo 4 de la Resolución 541 de 2025. Exigir condiciones de experiencia distintas de las de la Matriz 1, o requisitos habilitantes no previstos en el documento base, desconoce la regla de inalterabilidad.</w:t>
            </w:r>
          </w:p>
          <w:p w14:paraId="47824E39"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En sentido amplio, la “obra” es un bien que crea la actividad humana, y el hecho de que sea “pública” significa que es todo trabajo material en cuya creación o realización interviene el Estado. El numeral 1 del artículo 32 de la Ley 80 de 1993 señala: “</w:t>
            </w:r>
            <w:r w:rsidRPr="00853CF4">
              <w:rPr>
                <w:rFonts w:ascii="Verdana" w:eastAsia="Times New Roman" w:hAnsi="Verdana" w:cs="Times New Roman"/>
                <w:i/>
                <w:iCs/>
                <w:color w:val="000000"/>
                <w:lang w:eastAsia="es-MX"/>
              </w:rPr>
              <w:t>Son contratos de obra los que celebren las entidades estatales para la construcción, mantenimiento, instalación y, en general, para la realización de cualquier otro trabajo material sobre bienes inmuebles, cualquiera que sea la modalidad de ejecución y pago</w:t>
            </w:r>
            <w:r w:rsidRPr="00853CF4">
              <w:rPr>
                <w:rFonts w:ascii="Verdana" w:eastAsia="Times New Roman" w:hAnsi="Verdana" w:cs="Times New Roman"/>
                <w:color w:val="000000"/>
                <w:lang w:eastAsia="es-MX"/>
              </w:rPr>
              <w:t>”.</w:t>
            </w:r>
          </w:p>
          <w:p w14:paraId="6CFFC7A8"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 xml:space="preserve">El criterio de tipificación es el bien sobre el que recae la actividad, no la existencia de obra civil. El legislador vinculó el contrato de obra a las actividades realizadas sobre bienes inmuebles, admitiendo de forma muy amplia todo trabajo que tenga por objeto crear, construir, conservar o modificar esos bienes, lo cual incluye construcción, instalación, conservación, mantenimiento, reparación y demolición. El contrato de obra pública no se limita en estricto sentido a la construcción de inmuebles, en consecuencia, no es exacto señalar que el contrato de obra pública implique necesariamente “la construcción, montaje o modificación física de inmuebles”: el mantenimiento </w:t>
            </w:r>
            <w:r w:rsidRPr="00853CF4">
              <w:rPr>
                <w:rFonts w:ascii="Verdana" w:eastAsia="Times New Roman" w:hAnsi="Verdana" w:cs="Times New Roman"/>
                <w:color w:val="000000"/>
                <w:lang w:eastAsia="es-MX"/>
              </w:rPr>
              <w:lastRenderedPageBreak/>
              <w:t>de un bien inmueble preexistente, que no altera la estructura, también puede ser tomado por parte de la entidad, como un contrato de obra.</w:t>
            </w:r>
          </w:p>
          <w:p w14:paraId="2B9B67E7"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De todas formas, le corresponde a la entidad definir si el proceso podría quedar excluido de esta tipología si determina que los trabajos materiales recaen sobre bienes muebles, sin embargo, las plantas eléctricas y subestaciones, sin hacer referencia al caso específico, en principio se pueden considerar como bienes inmuebles.  Los inmuebles no pueden transportarse de un lugar a otro y las que adhieren permanentemente, son los inmuebles por adhesión, que corresponden a bienes muebles por naturaleza, adheridos permanente y materialmente a un inmueble. En ese orden, una subestación eléctrica construida en la sede, con sus celdas, transformador, canalizaciones y acometidas empotradas o fijadas a la estructura, podría encajar en esta categoría.</w:t>
            </w:r>
          </w:p>
          <w:p w14:paraId="03EDC3BE"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 xml:space="preserve">Sobre los inmuebles por destinación, el artículo 658 del Código Civil señala: “(s)e reputan inmuebles, aunque por su naturaleza no lo sean, las cosas que están permanentemente destinadas al uso, cultivo y beneficio de un inmueble, sin embargo, de que puedan separarse sin detrimento”, como por ejemplo prensas, calderas, cubas, alambiques, toneles y máquinas, que forman parte de un establecimiento industrial adherente al suelo y pertenecen al dueño de este. </w:t>
            </w:r>
          </w:p>
          <w:p w14:paraId="537AF3B0"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Una planta eléctrica de emergencia y su tablero de transferencia automática cumplen con los criterios anteriores si están destinados de manera permanente a garantizar el suministro de energía de la sede, pertenecen a la entidad propietaria o tenedora del inmueble y, con frecuencia, se encuentran además fijados a una base o cuarto técnico construido para ello. La circunstancia de que puedan separarse sin detrimento no altera la conclusión, pues es precisamente la naturaleza inmueble del bien –natural, por adhesión o por destinación– el criterio determinante, y el mantenimiento de estos equipos puede quedar dentro del objeto del contrato de obra definido en el artículo 32 de la Ley 80 de 1993.</w:t>
            </w:r>
          </w:p>
          <w:p w14:paraId="2EE39276"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 xml:space="preserve">Esta Agencia ya aplicó este razonamiento al mantenimiento de ascensores en los conceptos C-386 del 23 de abril de 2026 y C-682 de 2026, y al mantenimiento de centrales y redes de gases en el concepto C-1310 de 2026, en el que precisó que esas redes, incorporadas de forma permanente a </w:t>
            </w:r>
            <w:r w:rsidRPr="00853CF4">
              <w:rPr>
                <w:rFonts w:ascii="Verdana" w:eastAsia="Times New Roman" w:hAnsi="Verdana" w:cs="Times New Roman"/>
                <w:color w:val="000000"/>
                <w:lang w:eastAsia="es-MX"/>
              </w:rPr>
              <w:lastRenderedPageBreak/>
              <w:t>la edificación, constituyen inmuebles por adhesión, y que su mantenimiento corresponde a un trabajo material sobre bienes inmuebles.</w:t>
            </w:r>
          </w:p>
          <w:p w14:paraId="6B768571"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Por el contrario, si el mantenimiento recayera sobre equipos o elementos no incorporados ni destinados permanentemente a la edificación, que conservan su naturaleza de bienes muebles –por ejemplo, una planta portátil que la entidad traslada entre sedes o que no es de su propiedad–, la actividad no se enmarcaría en el contrato de obra pública y los documentos tipo no serían obligatorios. Esa calificación corresponde a la entidad en la etapa de planeación, a partir de las condiciones físicas y jurídicas de cada equipo.  Adicionalmente, como ya se indicó, la Matriz 1 – Experiencia contempla el mantenimiento de estos equipos.</w:t>
            </w:r>
          </w:p>
        </w:tc>
      </w:tr>
    </w:tbl>
    <w:p w14:paraId="7F992769" w14:textId="77777777" w:rsidR="00853CF4" w:rsidRPr="00853CF4" w:rsidRDefault="00853CF4" w:rsidP="00853CF4">
      <w:pPr>
        <w:tabs>
          <w:tab w:val="left" w:pos="142"/>
          <w:tab w:val="left" w:pos="284"/>
        </w:tabs>
        <w:snapToGrid w:val="0"/>
        <w:spacing w:after="0" w:line="276" w:lineRule="auto"/>
        <w:jc w:val="both"/>
        <w:rPr>
          <w:rFonts w:ascii="Verdana" w:eastAsia="Century Gothic" w:hAnsi="Verdana" w:cs="Century Gothic"/>
          <w:b/>
          <w:bCs/>
          <w:lang w:val="es-ES" w:eastAsia="es-MX"/>
        </w:rPr>
      </w:pPr>
    </w:p>
    <w:p w14:paraId="3189ED1E" w14:textId="77777777" w:rsidR="00853CF4" w:rsidRPr="00853CF4" w:rsidRDefault="00853CF4" w:rsidP="00853CF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53CF4">
        <w:rPr>
          <w:rFonts w:ascii="Verdana" w:eastAsia="Century Gothic" w:hAnsi="Verdana" w:cs="Century Gothic"/>
          <w:b/>
          <w:bCs/>
          <w:lang w:val="es-ES" w:eastAsia="es-MX"/>
        </w:rPr>
        <w:t>Razones de la respuesta:</w:t>
      </w:r>
    </w:p>
    <w:p w14:paraId="135A690D" w14:textId="77777777" w:rsidR="00853CF4" w:rsidRPr="00853CF4" w:rsidRDefault="00853CF4" w:rsidP="00853CF4">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0E7CC056" w14:textId="77777777" w:rsidR="00853CF4" w:rsidRPr="00853CF4" w:rsidRDefault="00853CF4" w:rsidP="00853CF4">
      <w:pPr>
        <w:snapToGrid w:val="0"/>
        <w:spacing w:after="0" w:line="276" w:lineRule="auto"/>
        <w:jc w:val="both"/>
        <w:rPr>
          <w:rFonts w:ascii="Verdana" w:eastAsia="Calibri" w:hAnsi="Verdana" w:cs="Arial"/>
          <w:lang w:val="es-ES" w:eastAsia="es-MX"/>
        </w:rPr>
      </w:pPr>
      <w:r w:rsidRPr="00853CF4">
        <w:rPr>
          <w:rFonts w:ascii="Verdana" w:eastAsia="Calibri" w:hAnsi="Verdana" w:cs="Arial"/>
          <w:lang w:val="es-ES" w:eastAsia="es-MX"/>
        </w:rPr>
        <w:t xml:space="preserve">Lo anterior se sustenta en las siguientes consideraciones: </w:t>
      </w:r>
    </w:p>
    <w:p w14:paraId="62EB67F3" w14:textId="77777777" w:rsidR="00853CF4" w:rsidRPr="00853CF4" w:rsidRDefault="00853CF4" w:rsidP="00853CF4">
      <w:pPr>
        <w:spacing w:after="0" w:line="276" w:lineRule="auto"/>
        <w:jc w:val="both"/>
        <w:rPr>
          <w:rFonts w:ascii="Verdana" w:eastAsia="Calibri" w:hAnsi="Verdana" w:cs="Arial"/>
          <w:lang w:val="es-ES" w:eastAsia="es-MX"/>
        </w:rPr>
      </w:pPr>
    </w:p>
    <w:p w14:paraId="7BFFC4C4" w14:textId="77777777" w:rsidR="00853CF4" w:rsidRPr="00853CF4" w:rsidRDefault="00853CF4" w:rsidP="00853CF4">
      <w:pPr>
        <w:snapToGrid w:val="0"/>
        <w:spacing w:after="120" w:line="276" w:lineRule="auto"/>
        <w:jc w:val="both"/>
        <w:rPr>
          <w:rFonts w:ascii="Verdana" w:eastAsia="Calibri" w:hAnsi="Verdana" w:cs="Times New Roman"/>
          <w:lang w:val="es-ES" w:eastAsia="es-MX"/>
        </w:rPr>
      </w:pPr>
      <w:r w:rsidRPr="00853CF4">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853CF4">
        <w:rPr>
          <w:rFonts w:ascii="Verdana" w:eastAsia="Calibri" w:hAnsi="Verdana" w:cs="Times New Roman"/>
          <w:lang w:val="es-ES" w:eastAsia="es-MX"/>
        </w:rPr>
        <w:tab/>
      </w:r>
    </w:p>
    <w:p w14:paraId="1E2C9E33" w14:textId="77777777" w:rsidR="00853CF4" w:rsidRPr="00853CF4" w:rsidRDefault="00853CF4" w:rsidP="00853CF4">
      <w:pPr>
        <w:snapToGrid w:val="0"/>
        <w:spacing w:after="120" w:line="276" w:lineRule="auto"/>
        <w:ind w:firstLine="709"/>
        <w:jc w:val="both"/>
        <w:rPr>
          <w:rFonts w:ascii="Verdana" w:eastAsia="Calibri" w:hAnsi="Verdana" w:cs="Times New Roman"/>
          <w:lang w:val="es-ES" w:eastAsia="es-MX"/>
        </w:rPr>
      </w:pPr>
      <w:r w:rsidRPr="00853CF4">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w:t>
      </w:r>
      <w:r w:rsidRPr="00853CF4">
        <w:rPr>
          <w:rFonts w:ascii="Verdana" w:eastAsia="Calibri" w:hAnsi="Verdana" w:cs="Times New Roman"/>
          <w:lang w:val="es-ES" w:eastAsia="es-MX"/>
        </w:rPr>
        <w:lastRenderedPageBreak/>
        <w:t xml:space="preserve">definirán concretamente cada sector, mediante los cuales se precisará de forma detallada su ámbito de aplicación.   </w:t>
      </w:r>
    </w:p>
    <w:p w14:paraId="30BDBBE8" w14:textId="77777777" w:rsidR="00853CF4" w:rsidRPr="00853CF4" w:rsidRDefault="00853CF4" w:rsidP="00853CF4">
      <w:pPr>
        <w:snapToGrid w:val="0"/>
        <w:spacing w:after="120" w:line="276" w:lineRule="auto"/>
        <w:ind w:firstLine="709"/>
        <w:jc w:val="both"/>
        <w:rPr>
          <w:rFonts w:ascii="Verdana" w:eastAsia="Calibri" w:hAnsi="Verdana" w:cs="Times New Roman"/>
          <w:lang w:val="es-ES" w:eastAsia="es-MX"/>
        </w:rPr>
      </w:pPr>
      <w:r w:rsidRPr="00853CF4">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853CF4">
        <w:rPr>
          <w:rFonts w:ascii="Verdana" w:eastAsia="Calibri" w:hAnsi="Verdana" w:cs="Times New Roman"/>
          <w:bCs/>
          <w:i/>
          <w:iCs/>
          <w:lang w:val="es-ES" w:eastAsia="es-MX"/>
        </w:rPr>
        <w:t>sector educ</w:t>
      </w:r>
      <w:r w:rsidRPr="00853CF4">
        <w:rPr>
          <w:rFonts w:ascii="Verdana" w:eastAsia="Calibri" w:hAnsi="Verdana" w:cs="Times New Roman"/>
          <w:bCs/>
          <w:i/>
          <w:lang w:val="es-ES" w:eastAsia="es-MX"/>
        </w:rPr>
        <w:t xml:space="preserve">ativo, salud, y cultura, recreación y deporte, </w:t>
      </w:r>
      <w:r w:rsidRPr="00853CF4">
        <w:rPr>
          <w:rFonts w:ascii="Verdana" w:eastAsia="Calibri" w:hAnsi="Verdana" w:cs="Times New Roman"/>
          <w:bCs/>
          <w:iCs/>
          <w:lang w:val="es-ES" w:eastAsia="es-MX"/>
        </w:rPr>
        <w:t>respectivamente</w:t>
      </w:r>
      <w:r w:rsidRPr="00853CF4">
        <w:rPr>
          <w:rFonts w:ascii="Verdana" w:eastAsia="Calibri" w:hAnsi="Verdana" w:cs="Times New Roman"/>
          <w:bCs/>
          <w:i/>
          <w:lang w:val="es-ES" w:eastAsia="es-MX"/>
        </w:rPr>
        <w:t xml:space="preserve">, </w:t>
      </w:r>
      <w:r w:rsidRPr="00853CF4">
        <w:rPr>
          <w:rFonts w:ascii="Verdana" w:eastAsia="Calibri" w:hAnsi="Verdana" w:cs="Times New Roman"/>
          <w:bCs/>
          <w:lang w:val="es-ES" w:eastAsia="es-MX"/>
        </w:rPr>
        <w:t xml:space="preserve">mediante las </w:t>
      </w:r>
      <w:r w:rsidRPr="00853CF4">
        <w:rPr>
          <w:rFonts w:ascii="Verdana" w:eastAsia="Calibri" w:hAnsi="Verdana" w:cs="Times New Roman"/>
          <w:lang w:val="es-ES" w:eastAsia="es-MX"/>
        </w:rPr>
        <w:t xml:space="preserve">Resoluciones 220, 392 y 454 de 2021. Estas Resoluciones, en el artículo 2, desarrollan el “Anexo – Glosario” y la </w:t>
      </w:r>
      <w:r w:rsidRPr="00853CF4">
        <w:rPr>
          <w:rFonts w:ascii="Verdana" w:eastAsia="Calibri" w:hAnsi="Verdana" w:cs="Times New Roman"/>
          <w:lang w:eastAsia="es-MX"/>
        </w:rPr>
        <w:t>“Matriz – Experiencia”</w:t>
      </w:r>
      <w:r w:rsidRPr="00853CF4">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79DE81A7" w14:textId="77777777" w:rsidR="00853CF4" w:rsidRPr="00853CF4" w:rsidRDefault="00853CF4" w:rsidP="00853CF4">
      <w:pPr>
        <w:snapToGrid w:val="0"/>
        <w:spacing w:after="120" w:line="276" w:lineRule="auto"/>
        <w:ind w:firstLine="709"/>
        <w:jc w:val="both"/>
        <w:rPr>
          <w:rFonts w:ascii="Verdana" w:eastAsia="Calibri" w:hAnsi="Verdana" w:cs="Times New Roman"/>
          <w:lang w:val="es-ES" w:eastAsia="es-MX"/>
        </w:rPr>
      </w:pPr>
      <w:r w:rsidRPr="00853CF4">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820E3B8" w14:textId="77777777" w:rsidR="00853CF4" w:rsidRPr="00853CF4" w:rsidRDefault="00853CF4" w:rsidP="00853CF4">
      <w:pPr>
        <w:snapToGrid w:val="0"/>
        <w:spacing w:after="120" w:line="276" w:lineRule="auto"/>
        <w:ind w:firstLine="709"/>
        <w:jc w:val="both"/>
        <w:rPr>
          <w:rFonts w:ascii="Verdana" w:eastAsia="Calibri" w:hAnsi="Verdana" w:cs="Times New Roman"/>
          <w:lang w:val="es-ES" w:eastAsia="es-MX"/>
        </w:rPr>
      </w:pPr>
      <w:r w:rsidRPr="00853CF4">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50CCF404" w14:textId="77777777" w:rsidR="00853CF4" w:rsidRPr="00853CF4" w:rsidRDefault="00853CF4" w:rsidP="00853CF4">
      <w:pPr>
        <w:snapToGrid w:val="0"/>
        <w:spacing w:after="0" w:line="276" w:lineRule="auto"/>
        <w:ind w:firstLine="709"/>
        <w:jc w:val="both"/>
        <w:rPr>
          <w:rFonts w:ascii="Verdana" w:eastAsia="Calibri" w:hAnsi="Verdana" w:cs="Times New Roman"/>
          <w:lang w:val="es-ES" w:eastAsia="es-MX"/>
        </w:rPr>
      </w:pPr>
      <w:r w:rsidRPr="00853CF4">
        <w:rPr>
          <w:rFonts w:ascii="Verdana" w:eastAsia="Calibri" w:hAnsi="Verdana" w:cs="Times New Roman"/>
          <w:lang w:val="es-ES" w:eastAsia="es-MX"/>
        </w:rPr>
        <w:lastRenderedPageBreak/>
        <w:t>Particularmente, la parte introductoria de la Invitación de los documentos tipo de mínima cuantía del sector social, dispone:</w:t>
      </w:r>
    </w:p>
    <w:p w14:paraId="61BA260D" w14:textId="77777777" w:rsidR="00853CF4" w:rsidRPr="00853CF4" w:rsidRDefault="00853CF4" w:rsidP="00853CF4">
      <w:pPr>
        <w:snapToGrid w:val="0"/>
        <w:spacing w:after="0" w:line="276" w:lineRule="auto"/>
        <w:ind w:firstLine="709"/>
        <w:jc w:val="both"/>
        <w:rPr>
          <w:rFonts w:ascii="Verdana" w:eastAsia="Calibri" w:hAnsi="Verdana" w:cs="Times New Roman"/>
          <w:lang w:val="es-ES" w:eastAsia="es-MX"/>
        </w:rPr>
      </w:pPr>
    </w:p>
    <w:p w14:paraId="3D52B071" w14:textId="77777777" w:rsidR="00853CF4" w:rsidRPr="00853CF4" w:rsidRDefault="00853CF4" w:rsidP="00853CF4">
      <w:pPr>
        <w:snapToGrid w:val="0"/>
        <w:spacing w:after="0" w:line="240" w:lineRule="auto"/>
        <w:ind w:left="709" w:right="709"/>
        <w:jc w:val="both"/>
        <w:rPr>
          <w:rFonts w:ascii="Verdana" w:eastAsia="Calibri" w:hAnsi="Verdana" w:cs="Times New Roman"/>
          <w:sz w:val="21"/>
          <w:szCs w:val="21"/>
          <w:lang w:val="es-ES" w:eastAsia="es-MX"/>
        </w:rPr>
      </w:pPr>
      <w:r w:rsidRPr="00853CF4">
        <w:rPr>
          <w:rFonts w:ascii="Verdana" w:eastAsia="Calibri" w:hAnsi="Verdana" w:cs="Times New Roman"/>
          <w:sz w:val="21"/>
          <w:szCs w:val="21"/>
          <w:lang w:val="es-ES" w:eastAsia="es-MX"/>
        </w:rPr>
        <w:t>“Este Documento Tipo aplica a los procesos de mínima cuantía de obra pública de infraestructura Social (Versión 1) que correspondan a las actividades definidas en la Matriz 1 – Experiencia aplicable en el proyecto de infraestructura social bien sea de salud, educación, institucional, vivienda, cultura, recreación y deporte. En consecuencia, las actividades de infraestructura Social no contempladas en la Matriz 1 – Experiencia no tienen que aplicar los documentos tipo; sin perjuicio de lo previsto en el artículo 2.2.1.2.6.1.5. del Decreto 1082 de 2015”.</w:t>
      </w:r>
    </w:p>
    <w:p w14:paraId="2847B239" w14:textId="77777777" w:rsidR="00853CF4" w:rsidRPr="00853CF4" w:rsidRDefault="00853CF4" w:rsidP="00853CF4">
      <w:pPr>
        <w:snapToGrid w:val="0"/>
        <w:spacing w:after="0" w:line="240" w:lineRule="auto"/>
        <w:ind w:firstLine="709"/>
        <w:jc w:val="both"/>
        <w:rPr>
          <w:rFonts w:ascii="Verdana" w:eastAsia="Calibri" w:hAnsi="Verdana" w:cs="Times New Roman"/>
          <w:lang w:val="es-ES" w:eastAsia="es-MX"/>
        </w:rPr>
      </w:pPr>
    </w:p>
    <w:p w14:paraId="618D0002" w14:textId="77777777" w:rsidR="00853CF4" w:rsidRPr="00853CF4" w:rsidRDefault="00853CF4" w:rsidP="00853CF4">
      <w:pPr>
        <w:snapToGrid w:val="0"/>
        <w:spacing w:after="120" w:line="276" w:lineRule="auto"/>
        <w:ind w:firstLine="709"/>
        <w:jc w:val="both"/>
        <w:rPr>
          <w:rFonts w:ascii="Verdana" w:eastAsia="Aptos" w:hAnsi="Verdana" w:cs="Aptos"/>
          <w:lang w:val="es-ES" w:eastAsia="es-MX"/>
        </w:rPr>
      </w:pPr>
      <w:r w:rsidRPr="00853CF4">
        <w:rPr>
          <w:rFonts w:ascii="Verdana" w:eastAsia="Aptos" w:hAnsi="Verdana" w:cs="Aptos"/>
          <w:lang w:val="es-ES" w:eastAsia="es-MX"/>
        </w:rPr>
        <w:t>En ese orden,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9463B9E" w14:textId="77777777" w:rsidR="00853CF4" w:rsidRPr="00853CF4" w:rsidRDefault="00853CF4" w:rsidP="00853CF4">
      <w:pPr>
        <w:snapToGrid w:val="0"/>
        <w:spacing w:after="120" w:line="276" w:lineRule="auto"/>
        <w:ind w:firstLine="709"/>
        <w:jc w:val="both"/>
        <w:rPr>
          <w:rFonts w:ascii="Verdana" w:eastAsia="Aptos" w:hAnsi="Verdana" w:cs="Aptos"/>
          <w:lang w:val="es-ES" w:eastAsia="es-MX"/>
        </w:rPr>
      </w:pPr>
      <w:r w:rsidRPr="00853CF4">
        <w:rPr>
          <w:rFonts w:ascii="Verdana" w:eastAsia="Aptos" w:hAnsi="Verdana" w:cs="Aptos"/>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se encuentra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66A1603" w14:textId="77777777" w:rsidR="00853CF4" w:rsidRPr="00853CF4" w:rsidRDefault="00853CF4" w:rsidP="00853CF4">
      <w:pPr>
        <w:snapToGrid w:val="0"/>
        <w:spacing w:after="120" w:line="276" w:lineRule="auto"/>
        <w:ind w:firstLine="709"/>
        <w:jc w:val="both"/>
        <w:rPr>
          <w:rFonts w:ascii="Verdana" w:eastAsia="Aptos" w:hAnsi="Verdana" w:cs="Aptos"/>
          <w:lang w:val="es-ES" w:eastAsia="es-MX"/>
        </w:rPr>
      </w:pPr>
      <w:r w:rsidRPr="00853CF4">
        <w:rPr>
          <w:rFonts w:ascii="Verdana" w:eastAsia="Aptos" w:hAnsi="Verdana" w:cs="Aptos"/>
          <w:lang w:val="es-ES" w:eastAsia="es-MX"/>
        </w:rPr>
        <w:t xml:space="preserve">En todo caso, es importante reiterar que, </w:t>
      </w:r>
      <w:r w:rsidRPr="00853CF4">
        <w:rPr>
          <w:rFonts w:ascii="Verdana" w:eastAsia="Times New Roman" w:hAnsi="Verdana" w:cs="Times New Roman"/>
          <w:color w:val="000000"/>
          <w:lang w:eastAsia="es-MX"/>
        </w:rPr>
        <w:t>esta Agencia solo tiene competencia para responder consultas sobre la aplicación de normas de carácter general en materia de compras y contratación pública. Resolver casos particulares desborda las atribuciones asignadas por el legislador extraordinario, que no concibió a Colombia Compra Eficiente como una autoridad para solucionar problemas jurídicos particulares de los partícipes del sistema de compra pública, ni como instancia de validación de las actuaciones de las entidades sujetas a la Ley 80 de 1993.</w:t>
      </w:r>
    </w:p>
    <w:p w14:paraId="7EDB1D12"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lastRenderedPageBreak/>
        <w:t>Por lo anterior, no es posible pronunciarse sobre la legalidad del procedimiento MiC-0033-DROC-2026 ni sobre las respuestas que el Instituto Nacional de Medicina Legal y Ciencias Forenses dio a sus observaciones. Tampoco procede emitir la instrucción o directriz que solicita frente a esa entidad, pues la vigilancia de la actuación contractual corresponde a los organismos de control y, en caso de controversia, a las autoridades judiciales, fiscales y disciplinarias.</w:t>
      </w:r>
    </w:p>
    <w:p w14:paraId="36F72D48"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Sin perjuicio de lo anterior, haciendo abstracción frente a las circunstancias concretas que menciona, conviene señalar que:</w:t>
      </w:r>
    </w:p>
    <w:p w14:paraId="4390F2CE" w14:textId="77777777" w:rsidR="00853CF4" w:rsidRPr="00853CF4" w:rsidRDefault="00853CF4" w:rsidP="00853CF4">
      <w:pPr>
        <w:snapToGrid w:val="0"/>
        <w:spacing w:after="0" w:line="276" w:lineRule="auto"/>
        <w:ind w:firstLine="709"/>
        <w:jc w:val="both"/>
        <w:rPr>
          <w:rFonts w:ascii="Verdana" w:eastAsia="Aptos" w:hAnsi="Verdana" w:cs="Aptos"/>
          <w:lang w:val="es-ES" w:eastAsia="es-MX"/>
        </w:rPr>
      </w:pPr>
    </w:p>
    <w:p w14:paraId="2ABFA5E6" w14:textId="77777777" w:rsidR="00853CF4" w:rsidRPr="00853CF4" w:rsidRDefault="00853CF4" w:rsidP="00853CF4">
      <w:pPr>
        <w:snapToGrid w:val="0"/>
        <w:spacing w:after="120" w:line="276" w:lineRule="auto"/>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i. El numeral 1 del artículo 32 de la Ley 80 de 1993 define como contratos de obra los que celebren las entidades estatales para la construcción, mantenimiento, instalación y, en general, cualquier otro trabajo material sobre bienes inmuebles. La categoría de inmuebles comprende los inmuebles por adhesión y por destinación, en los términos de los artículos 656 y 658 del Código Civil.</w:t>
      </w:r>
    </w:p>
    <w:p w14:paraId="154C32F6"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Así las cosas, le corresponde a la entidad en el conocimiento pleno del expediente contractual y dentro de su planeación, determinar si las plantas eléctricas, subestaciones y tableros de transferencia se toman como incorporados de forma permanente a la edificación, o destinados de manera permanente a su uso y beneficio; así mismo, también le corresponde determinar si su mantenimiento es un trabajo material sobre bienes inmuebles, con independencia de que el objeto contractual se denomine “servicio de mantenimiento”.</w:t>
      </w:r>
    </w:p>
    <w:p w14:paraId="274BC902"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p>
    <w:p w14:paraId="216B09B3" w14:textId="77777777" w:rsidR="00853CF4" w:rsidRPr="00853CF4" w:rsidRDefault="00853CF4" w:rsidP="00853CF4">
      <w:pPr>
        <w:snapToGrid w:val="0"/>
        <w:spacing w:after="0" w:line="276" w:lineRule="auto"/>
        <w:jc w:val="both"/>
        <w:rPr>
          <w:rFonts w:ascii="Verdana" w:eastAsia="Times New Roman" w:hAnsi="Verdana" w:cs="Times New Roman"/>
          <w:color w:val="000000"/>
          <w:lang w:eastAsia="es-MX"/>
        </w:rPr>
      </w:pPr>
      <w:proofErr w:type="spellStart"/>
      <w:r w:rsidRPr="00853CF4">
        <w:rPr>
          <w:rFonts w:ascii="Verdana" w:eastAsia="Times New Roman" w:hAnsi="Verdana" w:cs="Times New Roman"/>
          <w:color w:val="000000"/>
          <w:lang w:eastAsia="es-MX"/>
        </w:rPr>
        <w:t>ii</w:t>
      </w:r>
      <w:proofErr w:type="spellEnd"/>
      <w:r w:rsidRPr="00853CF4">
        <w:rPr>
          <w:rFonts w:ascii="Verdana" w:eastAsia="Times New Roman" w:hAnsi="Verdana" w:cs="Times New Roman"/>
          <w:color w:val="000000"/>
          <w:lang w:eastAsia="es-MX"/>
        </w:rPr>
        <w:t>. Ahora bien, los documentos tipo de mínima cuantía de obra pública de infraestructura social – sector institucional resultan obligatorios si la edificación corresponde a infraestructura institucional de servicio público y el valor del proceso se enmarca en la mínima cuantía. La actividad 2.9 de la Matriz 1 – Experiencia del Sector Institucional comprende expresamente proyectos de mantenimiento de plantas eléctricas y subestaciones de infraestructura de servicio público. Al existir una actividad en la que el objeto se subsume materialmente, los documentos tipo adoptados mediante la Resolución 541 de 2025 son de obligatoria aplicación y la entidad no puede apartarse de ellos:</w:t>
      </w:r>
    </w:p>
    <w:p w14:paraId="225FE5CE" w14:textId="77777777" w:rsidR="00853CF4" w:rsidRPr="00853CF4" w:rsidRDefault="00853CF4" w:rsidP="00853CF4">
      <w:pPr>
        <w:spacing w:after="0" w:line="240" w:lineRule="auto"/>
        <w:rPr>
          <w:rFonts w:ascii="Times New Roman" w:eastAsia="Times New Roman" w:hAnsi="Times New Roman" w:cs="Times New Roman"/>
          <w:sz w:val="24"/>
          <w:szCs w:val="24"/>
          <w:lang w:eastAsia="es-MX"/>
        </w:rPr>
      </w:pPr>
    </w:p>
    <w:tbl>
      <w:tblPr>
        <w:tblW w:w="10348" w:type="dxa"/>
        <w:tblInd w:w="-714" w:type="dxa"/>
        <w:tblCellMar>
          <w:left w:w="0" w:type="dxa"/>
          <w:right w:w="0" w:type="dxa"/>
        </w:tblCellMar>
        <w:tblLook w:val="04A0" w:firstRow="1" w:lastRow="0" w:firstColumn="1" w:lastColumn="0" w:noHBand="0" w:noVBand="1"/>
      </w:tblPr>
      <w:tblGrid>
        <w:gridCol w:w="1307"/>
        <w:gridCol w:w="741"/>
        <w:gridCol w:w="8300"/>
      </w:tblGrid>
      <w:tr w:rsidR="00853CF4" w:rsidRPr="00853CF4" w14:paraId="1A91A489" w14:textId="77777777" w:rsidTr="006F4AB5">
        <w:trPr>
          <w:trHeight w:val="1020"/>
        </w:trPr>
        <w:tc>
          <w:tcPr>
            <w:tcW w:w="130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3FFD824" w14:textId="77777777" w:rsidR="00853CF4" w:rsidRPr="00853CF4" w:rsidRDefault="00853CF4" w:rsidP="00853CF4">
            <w:pPr>
              <w:snapToGrid w:val="0"/>
              <w:spacing w:after="0" w:line="240" w:lineRule="auto"/>
              <w:jc w:val="center"/>
              <w:rPr>
                <w:rFonts w:ascii="Century Gothic" w:eastAsia="Times New Roman" w:hAnsi="Century Gothic" w:cs="Times New Roman"/>
                <w:color w:val="000000"/>
                <w:sz w:val="13"/>
                <w:szCs w:val="13"/>
                <w:lang w:eastAsia="es-MX"/>
              </w:rPr>
            </w:pPr>
            <w:r w:rsidRPr="00853CF4">
              <w:rPr>
                <w:rFonts w:ascii="Century Gothic" w:eastAsia="Times New Roman" w:hAnsi="Century Gothic" w:cs="Times New Roman"/>
                <w:b/>
                <w:bCs/>
                <w:color w:val="000000"/>
                <w:sz w:val="13"/>
                <w:szCs w:val="13"/>
                <w:lang w:eastAsia="es-MX"/>
              </w:rPr>
              <w:lastRenderedPageBreak/>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w:t>
            </w:r>
            <w:r w:rsidRPr="00853CF4">
              <w:rPr>
                <w:rFonts w:ascii="Century Gothic" w:eastAsia="Times New Roman" w:hAnsi="Century Gothic" w:cs="Times New Roman"/>
                <w:b/>
                <w:bCs/>
                <w:color w:val="C82613"/>
                <w:sz w:val="13"/>
                <w:szCs w:val="13"/>
                <w:lang w:eastAsia="es-MX"/>
              </w:rPr>
              <w:t>PLANTAS ELECTRICAS Y/O SUBESTACIONES </w:t>
            </w:r>
            <w:r w:rsidRPr="00853CF4">
              <w:rPr>
                <w:rFonts w:ascii="Century Gothic" w:eastAsia="Times New Roman" w:hAnsi="Century Gothic" w:cs="Times New Roman"/>
                <w:b/>
                <w:bCs/>
                <w:color w:val="000000"/>
                <w:sz w:val="13"/>
                <w:szCs w:val="13"/>
                <w:lang w:eastAsia="es-MX"/>
              </w:rPr>
              <w:t>Y/O REDES DE TELEMATICA Y/O COMUNICACIÓN Y/O SONIDO Y/O TELEFONÍA Y/O REDES O SISTEMAS DE ILUMINACIÓN O LUMINARIAS INTERIORES O EXTERIORES DE INFRAESTRUCTURA DE SERVICIO PUBLICO</w:t>
            </w:r>
          </w:p>
        </w:tc>
        <w:tc>
          <w:tcPr>
            <w:tcW w:w="741"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913C1C9" w14:textId="77777777" w:rsidR="00853CF4" w:rsidRPr="00853CF4" w:rsidRDefault="00853CF4" w:rsidP="00853CF4">
            <w:pPr>
              <w:snapToGrid w:val="0"/>
              <w:spacing w:after="0" w:line="240" w:lineRule="auto"/>
              <w:jc w:val="center"/>
              <w:rPr>
                <w:rFonts w:ascii="Century Gothic" w:eastAsia="Times New Roman" w:hAnsi="Century Gothic" w:cs="Times New Roman"/>
                <w:color w:val="000000"/>
                <w:sz w:val="13"/>
                <w:szCs w:val="13"/>
                <w:lang w:eastAsia="es-MX"/>
              </w:rPr>
            </w:pPr>
            <w:r w:rsidRPr="00853CF4">
              <w:rPr>
                <w:rFonts w:ascii="Century Gothic" w:eastAsia="Times New Roman" w:hAnsi="Century Gothic" w:cs="Times New Roman"/>
                <w:color w:val="000000"/>
                <w:sz w:val="13"/>
                <w:szCs w:val="13"/>
                <w:lang w:eastAsia="es-MX"/>
              </w:rPr>
              <w:t>GENERAL</w:t>
            </w:r>
          </w:p>
        </w:tc>
        <w:tc>
          <w:tcPr>
            <w:tcW w:w="8300" w:type="dxa"/>
            <w:tcBorders>
              <w:top w:val="nil"/>
              <w:left w:val="nil"/>
              <w:bottom w:val="single" w:sz="4" w:space="0" w:color="auto"/>
              <w:right w:val="single" w:sz="8" w:space="0" w:color="auto"/>
            </w:tcBorders>
            <w:tcMar>
              <w:top w:w="15" w:type="dxa"/>
              <w:left w:w="15" w:type="dxa"/>
              <w:bottom w:w="0" w:type="dxa"/>
              <w:right w:w="15" w:type="dxa"/>
            </w:tcMar>
            <w:vAlign w:val="center"/>
            <w:hideMark/>
          </w:tcPr>
          <w:p w14:paraId="25FDF44B" w14:textId="77777777" w:rsidR="00853CF4" w:rsidRPr="00853CF4" w:rsidRDefault="00853CF4" w:rsidP="00853CF4">
            <w:pPr>
              <w:snapToGrid w:val="0"/>
              <w:spacing w:after="0" w:line="240" w:lineRule="auto"/>
              <w:jc w:val="center"/>
              <w:rPr>
                <w:rFonts w:ascii="Century Gothic" w:eastAsia="Times New Roman" w:hAnsi="Century Gothic" w:cs="Times New Roman"/>
                <w:color w:val="000000"/>
                <w:sz w:val="13"/>
                <w:szCs w:val="13"/>
                <w:lang w:eastAsia="es-MX"/>
              </w:rPr>
            </w:pPr>
            <w:r w:rsidRPr="00853CF4">
              <w:rPr>
                <w:rFonts w:ascii="Century Gothic" w:eastAsia="Times New Roman" w:hAnsi="Century Gothic" w:cs="Times New Roman"/>
                <w:color w:val="000000"/>
                <w:sz w:val="13"/>
                <w:szCs w:val="13"/>
                <w:lang w:eastAsia="es-MX"/>
              </w:rPr>
              <w:t>PROYECTOS QUE CORRESPONDAN Y/O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DE VOZ Y/O DE DATOS PARA EDIFICACIONES.</w:t>
            </w:r>
          </w:p>
        </w:tc>
      </w:tr>
      <w:tr w:rsidR="00853CF4" w:rsidRPr="00853CF4" w14:paraId="2636AB98" w14:textId="77777777" w:rsidTr="006F4AB5">
        <w:trPr>
          <w:trHeight w:val="420"/>
        </w:trPr>
        <w:tc>
          <w:tcPr>
            <w:tcW w:w="1307" w:type="dxa"/>
            <w:vMerge/>
            <w:tcBorders>
              <w:top w:val="single" w:sz="4" w:space="0" w:color="000000"/>
              <w:left w:val="single" w:sz="4" w:space="0" w:color="000000"/>
              <w:bottom w:val="single" w:sz="4" w:space="0" w:color="000000"/>
              <w:right w:val="single" w:sz="4" w:space="0" w:color="000000"/>
            </w:tcBorders>
            <w:vAlign w:val="center"/>
            <w:hideMark/>
          </w:tcPr>
          <w:p w14:paraId="6061D397" w14:textId="77777777" w:rsidR="00853CF4" w:rsidRPr="00853CF4" w:rsidRDefault="00853CF4" w:rsidP="00853CF4">
            <w:pPr>
              <w:snapToGrid w:val="0"/>
              <w:spacing w:after="0" w:line="240" w:lineRule="auto"/>
              <w:rPr>
                <w:rFonts w:ascii="Century Gothic" w:eastAsia="Times New Roman" w:hAnsi="Century Gothic" w:cs="Times New Roman"/>
                <w:color w:val="000000"/>
                <w:sz w:val="13"/>
                <w:szCs w:val="13"/>
                <w:lang w:eastAsia="es-MX"/>
              </w:rPr>
            </w:pPr>
          </w:p>
        </w:tc>
        <w:tc>
          <w:tcPr>
            <w:tcW w:w="74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3FF2E0F" w14:textId="77777777" w:rsidR="00853CF4" w:rsidRPr="00853CF4" w:rsidRDefault="00853CF4" w:rsidP="00853CF4">
            <w:pPr>
              <w:snapToGrid w:val="0"/>
              <w:spacing w:after="0" w:line="240" w:lineRule="auto"/>
              <w:jc w:val="center"/>
              <w:rPr>
                <w:rFonts w:ascii="Century Gothic" w:eastAsia="Times New Roman" w:hAnsi="Century Gothic" w:cs="Times New Roman"/>
                <w:color w:val="000000"/>
                <w:sz w:val="13"/>
                <w:szCs w:val="13"/>
                <w:lang w:eastAsia="es-MX"/>
              </w:rPr>
            </w:pPr>
            <w:r w:rsidRPr="00853CF4">
              <w:rPr>
                <w:rFonts w:ascii="Century Gothic" w:eastAsia="Times New Roman" w:hAnsi="Century Gothic" w:cs="Times New Roman"/>
                <w:color w:val="000000"/>
                <w:sz w:val="13"/>
                <w:szCs w:val="13"/>
                <w:lang w:eastAsia="es-MX"/>
              </w:rPr>
              <w:t>ESPECIFICA</w:t>
            </w:r>
          </w:p>
        </w:tc>
        <w:tc>
          <w:tcPr>
            <w:tcW w:w="8300" w:type="dxa"/>
            <w:tcBorders>
              <w:top w:val="single" w:sz="4" w:space="0" w:color="auto"/>
              <w:left w:val="nil"/>
              <w:bottom w:val="single" w:sz="4" w:space="0" w:color="auto"/>
              <w:right w:val="single" w:sz="8" w:space="0" w:color="auto"/>
            </w:tcBorders>
            <w:shd w:val="clear" w:color="auto" w:fill="FFFFFF"/>
            <w:tcMar>
              <w:top w:w="15" w:type="dxa"/>
              <w:left w:w="15" w:type="dxa"/>
              <w:bottom w:w="0" w:type="dxa"/>
              <w:right w:w="15" w:type="dxa"/>
            </w:tcMar>
            <w:vAlign w:val="center"/>
            <w:hideMark/>
          </w:tcPr>
          <w:p w14:paraId="0F96C600" w14:textId="77777777" w:rsidR="00853CF4" w:rsidRPr="00853CF4" w:rsidRDefault="00853CF4" w:rsidP="00853CF4">
            <w:pPr>
              <w:snapToGrid w:val="0"/>
              <w:spacing w:after="0" w:line="240" w:lineRule="auto"/>
              <w:jc w:val="center"/>
              <w:rPr>
                <w:rFonts w:ascii="Century Gothic" w:eastAsia="Times New Roman" w:hAnsi="Century Gothic" w:cs="Times New Roman"/>
                <w:color w:val="000000"/>
                <w:sz w:val="13"/>
                <w:szCs w:val="13"/>
                <w:lang w:eastAsia="es-MX"/>
              </w:rPr>
            </w:pPr>
            <w:r w:rsidRPr="00853CF4">
              <w:rPr>
                <w:rFonts w:ascii="Century Gothic" w:eastAsia="Times New Roman" w:hAnsi="Century Gothic" w:cs="Times New Roman"/>
                <w:color w:val="000000"/>
                <w:sz w:val="13"/>
                <w:szCs w:val="13"/>
                <w:lang w:eastAsia="es-MX"/>
              </w:rPr>
              <w:t>Por lo menos uno (1) de los contratos válidos aportados como experiencia general debe corresponder mínimo al </w:t>
            </w:r>
            <w:r w:rsidRPr="00853CF4">
              <w:rPr>
                <w:rFonts w:ascii="Century Gothic" w:eastAsia="Times New Roman" w:hAnsi="Century Gothic" w:cs="Times New Roman"/>
                <w:b/>
                <w:bCs/>
                <w:color w:val="000000"/>
                <w:sz w:val="13"/>
                <w:szCs w:val="13"/>
                <w:lang w:eastAsia="es-MX"/>
              </w:rPr>
              <w:t>30% del presupuesto oficial</w:t>
            </w:r>
            <w:r w:rsidRPr="00853CF4">
              <w:rPr>
                <w:rFonts w:ascii="Century Gothic" w:eastAsia="Times New Roman" w:hAnsi="Century Gothic" w:cs="Times New Roman"/>
                <w:color w:val="000000"/>
                <w:sz w:val="13"/>
                <w:szCs w:val="13"/>
                <w:lang w:eastAsia="es-MX"/>
              </w:rPr>
              <w:t> del presente proceso de selección.</w:t>
            </w:r>
          </w:p>
        </w:tc>
      </w:tr>
      <w:tr w:rsidR="00853CF4" w:rsidRPr="00853CF4" w14:paraId="28F7CC1E" w14:textId="77777777" w:rsidTr="006F4AB5">
        <w:trPr>
          <w:trHeight w:val="5713"/>
        </w:trPr>
        <w:tc>
          <w:tcPr>
            <w:tcW w:w="1307" w:type="dxa"/>
            <w:vMerge/>
            <w:tcBorders>
              <w:top w:val="single" w:sz="4" w:space="0" w:color="000000"/>
              <w:left w:val="single" w:sz="4" w:space="0" w:color="000000"/>
              <w:bottom w:val="single" w:sz="4" w:space="0" w:color="000000"/>
              <w:right w:val="single" w:sz="4" w:space="0" w:color="000000"/>
            </w:tcBorders>
            <w:vAlign w:val="center"/>
            <w:hideMark/>
          </w:tcPr>
          <w:p w14:paraId="1A61A589" w14:textId="77777777" w:rsidR="00853CF4" w:rsidRPr="00853CF4" w:rsidRDefault="00853CF4" w:rsidP="00853CF4">
            <w:pPr>
              <w:snapToGrid w:val="0"/>
              <w:spacing w:after="0" w:line="240" w:lineRule="auto"/>
              <w:rPr>
                <w:rFonts w:ascii="Century Gothic" w:eastAsia="Times New Roman" w:hAnsi="Century Gothic" w:cs="Times New Roman"/>
                <w:color w:val="000000"/>
                <w:sz w:val="13"/>
                <w:szCs w:val="13"/>
                <w:lang w:eastAsia="es-MX"/>
              </w:rPr>
            </w:pPr>
          </w:p>
        </w:tc>
        <w:tc>
          <w:tcPr>
            <w:tcW w:w="741" w:type="dxa"/>
            <w:vMerge/>
            <w:tcBorders>
              <w:top w:val="single" w:sz="4" w:space="0" w:color="000000"/>
              <w:left w:val="single" w:sz="4" w:space="0" w:color="000000"/>
              <w:bottom w:val="single" w:sz="4" w:space="0" w:color="000000"/>
              <w:right w:val="single" w:sz="4" w:space="0" w:color="000000"/>
            </w:tcBorders>
            <w:vAlign w:val="center"/>
            <w:hideMark/>
          </w:tcPr>
          <w:p w14:paraId="2F183EE7" w14:textId="77777777" w:rsidR="00853CF4" w:rsidRPr="00853CF4" w:rsidRDefault="00853CF4" w:rsidP="00853CF4">
            <w:pPr>
              <w:snapToGrid w:val="0"/>
              <w:spacing w:after="0" w:line="240" w:lineRule="auto"/>
              <w:rPr>
                <w:rFonts w:ascii="Century Gothic" w:eastAsia="Times New Roman" w:hAnsi="Century Gothic" w:cs="Times New Roman"/>
                <w:color w:val="000000"/>
                <w:sz w:val="13"/>
                <w:szCs w:val="13"/>
                <w:lang w:eastAsia="es-MX"/>
              </w:rPr>
            </w:pPr>
          </w:p>
        </w:tc>
        <w:tc>
          <w:tcPr>
            <w:tcW w:w="8300" w:type="dxa"/>
            <w:tcBorders>
              <w:top w:val="nil"/>
              <w:left w:val="nil"/>
              <w:bottom w:val="single" w:sz="4" w:space="0" w:color="auto"/>
              <w:right w:val="single" w:sz="8" w:space="0" w:color="auto"/>
            </w:tcBorders>
            <w:tcMar>
              <w:top w:w="15" w:type="dxa"/>
              <w:left w:w="15" w:type="dxa"/>
              <w:bottom w:w="0" w:type="dxa"/>
              <w:right w:w="15" w:type="dxa"/>
            </w:tcMar>
            <w:vAlign w:val="center"/>
            <w:hideMark/>
          </w:tcPr>
          <w:p w14:paraId="5031FE5B" w14:textId="77777777" w:rsidR="00853CF4" w:rsidRPr="00853CF4" w:rsidRDefault="00853CF4" w:rsidP="00853CF4">
            <w:pPr>
              <w:snapToGrid w:val="0"/>
              <w:spacing w:after="0" w:line="240" w:lineRule="auto"/>
              <w:jc w:val="center"/>
              <w:rPr>
                <w:rFonts w:ascii="Century Gothic" w:eastAsia="Times New Roman" w:hAnsi="Century Gothic" w:cs="Times New Roman"/>
                <w:color w:val="000000"/>
                <w:sz w:val="13"/>
                <w:szCs w:val="13"/>
                <w:lang w:eastAsia="es-MX"/>
              </w:rPr>
            </w:pPr>
            <w:r w:rsidRPr="00853CF4">
              <w:rPr>
                <w:rFonts w:ascii="Century Gothic" w:eastAsia="Times New Roman" w:hAnsi="Century Gothic" w:cs="Times New Roman"/>
                <w:color w:val="000000"/>
                <w:sz w:val="13"/>
                <w:szCs w:val="13"/>
                <w:lang w:eastAsia="es-MX"/>
              </w:rPr>
              <w:t>1- [En el caso que el proyecto de la entidad corresponda a un proyecto de redes de voz y datos]: Por lo menos uno (1) de los contratos válidos aportados como experiencia general debe demostrar la intervención o suministro e instalación de redes de voz y datos en edificaciones.</w:t>
            </w:r>
            <w:r w:rsidRPr="00853CF4">
              <w:rPr>
                <w:rFonts w:ascii="Century Gothic" w:eastAsia="Times New Roman" w:hAnsi="Century Gothic" w:cs="Times New Roman"/>
                <w:color w:val="000000"/>
                <w:sz w:val="13"/>
                <w:szCs w:val="13"/>
                <w:lang w:eastAsia="es-MX"/>
              </w:rPr>
              <w:br/>
              <w:t>2- [En el caso que el proyecto de la entidad corresponda a un proyecto de redes eléctricas]: Por lo menos uno (1) de los contratos válidos aportados como experiencia general debe demostrar la intervención o suministro e instalación de redes eléctricas en edificaciones.</w:t>
            </w:r>
            <w:r w:rsidRPr="00853CF4">
              <w:rPr>
                <w:rFonts w:ascii="Century Gothic" w:eastAsia="Times New Roman" w:hAnsi="Century Gothic" w:cs="Times New Roman"/>
                <w:color w:val="000000"/>
                <w:sz w:val="13"/>
                <w:szCs w:val="13"/>
                <w:lang w:eastAsia="es-MX"/>
              </w:rPr>
              <w:br/>
              <w:t>3- [En el caso que el proyecto de la entidad corresponda a un proyecto de circuito cerrado de televisión o similares]: Por lo menos uno (1) de los contratos válidos aportados como experiencia general debe demostrar la intervención o suministro e instalación de circuitos cerrados de televisión o similares en edificaciones.</w:t>
            </w:r>
            <w:r w:rsidRPr="00853CF4">
              <w:rPr>
                <w:rFonts w:ascii="Century Gothic" w:eastAsia="Times New Roman" w:hAnsi="Century Gothic" w:cs="Times New Roman"/>
                <w:color w:val="000000"/>
                <w:sz w:val="13"/>
                <w:szCs w:val="13"/>
                <w:lang w:eastAsia="es-MX"/>
              </w:rPr>
              <w:br/>
              <w:t>4- [En el caso que el proyecto de la entidad corresponda a un proyecto de sistemas de seguridad o similares]: Por lo menos uno (1) de los contratos válidos aportados como experiencia general debe demostrar la intervención o suministro o instalación de sistemas de seguridad o similares en edificaciones.</w:t>
            </w:r>
            <w:r w:rsidRPr="00853CF4">
              <w:rPr>
                <w:rFonts w:ascii="Century Gothic" w:eastAsia="Times New Roman" w:hAnsi="Century Gothic" w:cs="Times New Roman"/>
                <w:color w:val="000000"/>
                <w:sz w:val="13"/>
                <w:szCs w:val="13"/>
                <w:lang w:eastAsia="es-MX"/>
              </w:rPr>
              <w:br/>
            </w:r>
            <w:r w:rsidRPr="00853CF4">
              <w:rPr>
                <w:rFonts w:ascii="Century Gothic" w:eastAsia="Times New Roman" w:hAnsi="Century Gothic" w:cs="Times New Roman"/>
                <w:color w:val="C82613"/>
                <w:sz w:val="13"/>
                <w:szCs w:val="13"/>
                <w:lang w:eastAsia="es-MX"/>
              </w:rPr>
              <w:t>5- [En el caso que el proyecto de la entidad corresponda a un proyecto de plantas eléctricas o similares]: Por lo menos uno (1) de los contratos válidos aportados como experiencia general debe demostrar la intervención o suministro e instalación de plantas eléctricas o similares en edificaciones</w:t>
            </w:r>
            <w:r w:rsidRPr="00853CF4">
              <w:rPr>
                <w:rFonts w:ascii="Century Gothic" w:eastAsia="Times New Roman" w:hAnsi="Century Gothic" w:cs="Times New Roman"/>
                <w:color w:val="C82613"/>
                <w:sz w:val="13"/>
                <w:szCs w:val="13"/>
                <w:lang w:eastAsia="es-MX"/>
              </w:rPr>
              <w:br/>
              <w:t>6- [En el caso que el proyecto de la entidad corresponda a un proyecto de sistemas de subestaciones o similares]: Por lo menos uno (1) de los contratos válidos aportados como experiencia general debe demostrar la intervención o suministro e instalación de subestaciones o similares en edificaciones</w:t>
            </w:r>
            <w:r w:rsidRPr="00853CF4">
              <w:rPr>
                <w:rFonts w:ascii="Century Gothic" w:eastAsia="Times New Roman" w:hAnsi="Century Gothic" w:cs="Times New Roman"/>
                <w:color w:val="C82613"/>
                <w:sz w:val="13"/>
                <w:szCs w:val="13"/>
                <w:lang w:eastAsia="es-MX"/>
              </w:rPr>
              <w:br/>
            </w:r>
            <w:r w:rsidRPr="00853CF4">
              <w:rPr>
                <w:rFonts w:ascii="Century Gothic" w:eastAsia="Times New Roman" w:hAnsi="Century Gothic" w:cs="Times New Roman"/>
                <w:color w:val="000000"/>
                <w:sz w:val="13"/>
                <w:szCs w:val="13"/>
                <w:lang w:eastAsia="es-MX"/>
              </w:rPr>
              <w:t>7- [En el caso que el proyecto de la entidad corresponda a un proyecto de redes de telemática y/o comunicación y/o telefonía y/o sonido o similares]: Por lo menos uno (1) de los contratos válidos aportados como experiencia general debe demostrar la intervención o suministro e instalación de redes de telemática y/o comunicación y/o telefonía y/o sonido o similares en edificaciones</w:t>
            </w:r>
            <w:r w:rsidRPr="00853CF4">
              <w:rPr>
                <w:rFonts w:ascii="Century Gothic" w:eastAsia="Times New Roman" w:hAnsi="Century Gothic" w:cs="Times New Roman"/>
                <w:color w:val="000000"/>
                <w:sz w:val="13"/>
                <w:szCs w:val="13"/>
                <w:lang w:eastAsia="es-MX"/>
              </w:rPr>
              <w:br/>
              <w:t>8- [En el caso que el proyecto de la entidad corresponda a un proyecto de redes o sistemas de iluminación o luminarias interiores o exteriores o similares]: Por lo menos uno (1) de los contratos válidos aportados como experiencia general debe demostrar la intervención o suministro e instalación de redes o sistemas de iluminación o luminarias interiores o exteriores o similares en edificaciones</w:t>
            </w:r>
            <w:r w:rsidRPr="00853CF4">
              <w:rPr>
                <w:rFonts w:ascii="Century Gothic" w:eastAsia="Times New Roman" w:hAnsi="Century Gothic" w:cs="Times New Roman"/>
                <w:color w:val="000000"/>
                <w:sz w:val="13"/>
                <w:szCs w:val="13"/>
                <w:lang w:eastAsia="es-MX"/>
              </w:rPr>
              <w:br/>
            </w:r>
            <w:r w:rsidRPr="00853CF4">
              <w:rPr>
                <w:rFonts w:ascii="Century Gothic" w:eastAsia="Times New Roman" w:hAnsi="Century Gothic" w:cs="Times New Roman"/>
                <w:b/>
                <w:bCs/>
                <w:color w:val="000000"/>
                <w:sz w:val="13"/>
                <w:szCs w:val="13"/>
                <w:lang w:eastAsia="es-MX"/>
              </w:rPr>
              <w:t>Nota:</w:t>
            </w:r>
            <w:r w:rsidRPr="00853CF4">
              <w:rPr>
                <w:rFonts w:ascii="Century Gothic" w:eastAsia="Times New Roman" w:hAnsi="Century Gothic" w:cs="Times New Roman"/>
                <w:color w:val="000000"/>
                <w:sz w:val="13"/>
                <w:szCs w:val="13"/>
                <w:lang w:eastAsia="es-MX"/>
              </w:rPr>
              <w:t> en caso de requerirse varias de estas intervenciones, la entidad podrá solicitar hasta (2) contratos aportados como válidos en la experiencia general, para que se acredite la experiencia especifica de mayor relevancia para la Entidad.</w:t>
            </w:r>
          </w:p>
        </w:tc>
      </w:tr>
    </w:tbl>
    <w:p w14:paraId="455E5352" w14:textId="77777777" w:rsidR="00853CF4" w:rsidRPr="00853CF4" w:rsidRDefault="00853CF4" w:rsidP="00853CF4">
      <w:pPr>
        <w:spacing w:after="0" w:line="240" w:lineRule="auto"/>
        <w:rPr>
          <w:rFonts w:ascii="Century Gothic" w:eastAsia="Times New Roman" w:hAnsi="Century Gothic" w:cs="Times New Roman"/>
          <w:color w:val="000000"/>
          <w:sz w:val="24"/>
          <w:szCs w:val="24"/>
          <w:lang w:eastAsia="es-MX"/>
        </w:rPr>
      </w:pPr>
    </w:p>
    <w:p w14:paraId="4EAF4203" w14:textId="77777777" w:rsidR="00853CF4" w:rsidRPr="00853CF4" w:rsidRDefault="00853CF4" w:rsidP="00853CF4">
      <w:pPr>
        <w:snapToGrid w:val="0"/>
        <w:spacing w:after="0" w:line="276" w:lineRule="auto"/>
        <w:jc w:val="both"/>
        <w:rPr>
          <w:rFonts w:ascii="Verdana" w:eastAsia="Times New Roman" w:hAnsi="Verdana" w:cs="Times New Roman"/>
          <w:color w:val="000000"/>
          <w:lang w:eastAsia="es-MX"/>
        </w:rPr>
      </w:pPr>
      <w:proofErr w:type="spellStart"/>
      <w:r w:rsidRPr="00853CF4">
        <w:rPr>
          <w:rFonts w:ascii="Verdana" w:eastAsia="Times New Roman" w:hAnsi="Verdana" w:cs="Times New Roman"/>
          <w:color w:val="000000"/>
          <w:lang w:eastAsia="es-MX"/>
        </w:rPr>
        <w:t>iii</w:t>
      </w:r>
      <w:proofErr w:type="spellEnd"/>
      <w:r w:rsidRPr="00853CF4">
        <w:rPr>
          <w:rFonts w:ascii="Verdana" w:eastAsia="Times New Roman" w:hAnsi="Verdana" w:cs="Times New Roman"/>
          <w:color w:val="000000"/>
          <w:lang w:eastAsia="es-MX"/>
        </w:rPr>
        <w:t>. Por otra parte, la tipología contractual y la aplicación de los documentos tipo se determinan por la ley y por las resoluciones que los adoptan, no por instructivos internos. Sin embargo, la conclusión no varía en este caso, puesto que la obligatoriedad no proviene del lineamiento interno que invoca la entidad, sino del artículo 3 de la Resolución 541 de 2025 y de la correspondencia material del objeto con la actividad 2.9 de la matriz.</w:t>
      </w:r>
    </w:p>
    <w:p w14:paraId="34844309" w14:textId="77777777" w:rsidR="00853CF4" w:rsidRPr="00853CF4" w:rsidRDefault="00853CF4" w:rsidP="00853CF4">
      <w:pPr>
        <w:snapToGrid w:val="0"/>
        <w:spacing w:after="0" w:line="276" w:lineRule="auto"/>
        <w:jc w:val="both"/>
        <w:rPr>
          <w:rFonts w:ascii="Verdana" w:eastAsia="Times New Roman" w:hAnsi="Verdana" w:cs="Times New Roman"/>
          <w:color w:val="000000"/>
          <w:lang w:eastAsia="es-MX"/>
        </w:rPr>
      </w:pPr>
    </w:p>
    <w:p w14:paraId="510C70DB" w14:textId="77777777" w:rsidR="00853CF4" w:rsidRPr="00853CF4" w:rsidRDefault="00853CF4" w:rsidP="00853CF4">
      <w:pPr>
        <w:snapToGrid w:val="0"/>
        <w:spacing w:after="120" w:line="276" w:lineRule="auto"/>
        <w:jc w:val="both"/>
        <w:rPr>
          <w:rFonts w:ascii="Verdana" w:eastAsia="Times New Roman" w:hAnsi="Verdana" w:cs="Times New Roman"/>
          <w:color w:val="000000"/>
          <w:lang w:eastAsia="es-MX"/>
        </w:rPr>
      </w:pPr>
      <w:proofErr w:type="spellStart"/>
      <w:r w:rsidRPr="00853CF4">
        <w:rPr>
          <w:rFonts w:ascii="Verdana" w:eastAsia="Times New Roman" w:hAnsi="Verdana" w:cs="Times New Roman"/>
          <w:color w:val="000000"/>
          <w:lang w:eastAsia="es-MX"/>
        </w:rPr>
        <w:t>iv</w:t>
      </w:r>
      <w:proofErr w:type="spellEnd"/>
      <w:r w:rsidRPr="00853CF4">
        <w:rPr>
          <w:rFonts w:ascii="Verdana" w:eastAsia="Times New Roman" w:hAnsi="Verdana" w:cs="Times New Roman"/>
          <w:color w:val="000000"/>
          <w:lang w:eastAsia="es-MX"/>
        </w:rPr>
        <w:t xml:space="preserve">. Además, salvo lo que los propios documentos tipo permitan, estos solo pueden modificarse en los aspectos que ellos mismos autorizan –los textos entre corchetes y resaltados en gris–, y para las obras, bienes o servicios ajenos a la </w:t>
      </w:r>
      <w:r w:rsidRPr="00853CF4">
        <w:rPr>
          <w:rFonts w:ascii="Verdana" w:eastAsia="Times New Roman" w:hAnsi="Verdana" w:cs="Times New Roman"/>
          <w:color w:val="000000"/>
          <w:lang w:eastAsia="es-MX"/>
        </w:rPr>
        <w:lastRenderedPageBreak/>
        <w:t>obra pública de infraestructura social la entidad debe acudir al artículo 4 de la Resolución 541 de 2025. Exigir condiciones de experiencia distintas de las de la Matriz 1, o requisitos habilitantes no previstos en el documento base, desconoce la regla de inalterabilidad.</w:t>
      </w:r>
    </w:p>
    <w:p w14:paraId="6552716D"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En sentido amplio, la “obra” es un bien que crea la actividad humana, y el hecho de que sea “pública” significa que es todo trabajo material en cuya creación o realización interviene el Estado. El numeral 1 del artículo 32 de la Ley 80 de 1993 señala: “</w:t>
      </w:r>
      <w:r w:rsidRPr="00853CF4">
        <w:rPr>
          <w:rFonts w:ascii="Verdana" w:eastAsia="Times New Roman" w:hAnsi="Verdana" w:cs="Times New Roman"/>
          <w:i/>
          <w:iCs/>
          <w:color w:val="000000"/>
          <w:lang w:eastAsia="es-MX"/>
        </w:rPr>
        <w:t>Son contratos de obra los que celebren las entidades estatales para la construcción, mantenimiento, instalación y, en general, para la realización de cualquier otro trabajo material sobre bienes inmuebles, cualquiera que sea la modalidad de ejecución y pago</w:t>
      </w:r>
      <w:r w:rsidRPr="00853CF4">
        <w:rPr>
          <w:rFonts w:ascii="Verdana" w:eastAsia="Times New Roman" w:hAnsi="Verdana" w:cs="Times New Roman"/>
          <w:color w:val="000000"/>
          <w:lang w:eastAsia="es-MX"/>
        </w:rPr>
        <w:t>”.</w:t>
      </w:r>
    </w:p>
    <w:p w14:paraId="26D643B5"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El criterio de tipificación es el bien sobre el que recae la actividad, no la existencia de obra civil. El legislador vinculó el contrato de obra a las actividades realizadas sobre bienes inmuebles, admitiendo de forma muy amplia todo trabajo que tenga por objeto crear, construir, conservar o modificar esos bienes, lo cual incluye construcción, instalación, conservación, mantenimiento, reparación y demolición. El contrato de obra pública no se limita en estricto sentido a la construcción de inmuebles, en consecuencia, no es exacto señalar que el contrato de obra pública implique necesariamente “la construcción, montaje o modificación física de inmuebles”: el mantenimiento de un bien inmueble preexistente, que no altera la estructura, también puede ser tomado por parte de la entidad, como un contrato de obra.</w:t>
      </w:r>
    </w:p>
    <w:p w14:paraId="04F039D2"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De todas formas, le corresponde a la entidad definir si el proceso podría quedar excluido de esta tipología si determina que los trabajos materiales recaen sobre bienes muebles, sin embargo, las plantas eléctricas y subestaciones, sin hacer referencia al caso específico, en principio se pueden considerar como bienes inmuebles.  Los inmuebles no pueden transportarse de un lugar a otro y las que adhieren permanentemente, son los inmuebles por adhesión, que corresponden a bienes muebles por naturaleza, adheridos permanente y materialmente a un inmueble. En ese orden, una subestación eléctrica construida en la sede, con sus celdas, transformador, canalizaciones y acometidas empotradas o fijadas a la estructura, podría encajar en esta categoría.</w:t>
      </w:r>
    </w:p>
    <w:p w14:paraId="0EE6D035"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 xml:space="preserve">Sobre los inmuebles por destinación, el artículo 658 del Código Civil señala: “(s)e reputan inmuebles, aunque por su naturaleza no lo sean, las cosas </w:t>
      </w:r>
      <w:r w:rsidRPr="00853CF4">
        <w:rPr>
          <w:rFonts w:ascii="Verdana" w:eastAsia="Times New Roman" w:hAnsi="Verdana" w:cs="Times New Roman"/>
          <w:color w:val="000000"/>
          <w:lang w:eastAsia="es-MX"/>
        </w:rPr>
        <w:lastRenderedPageBreak/>
        <w:t xml:space="preserve">que están permanentemente destinadas al uso, cultivo y beneficio de un inmueble, sin embargo, de que puedan separarse sin detrimento”, como por ejemplo prensas, calderas, cubas, alambiques, toneles y máquinas, que forman parte de un establecimiento industrial adherente al suelo y pertenecen al dueño de este. </w:t>
      </w:r>
    </w:p>
    <w:p w14:paraId="47CE4D75"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Una planta eléctrica de emergencia y su tablero de transferencia automática cumplen con los criterios anteriores si están destinados de manera permanente a garantizar el suministro de energía de la sede, pertenecen a la entidad propietaria o tenedora del inmueble y, con frecuencia, se encuentran además fijados a una base o cuarto técnico construido para ello. La circunstancia de que puedan separarse sin detrimento no altera la conclusión, pues es precisamente la naturaleza inmueble del bien –natural, por adhesión o por destinación– el criterio determinante, y el mantenimiento de estos equipos puede quedar dentro del objeto del contrato de obra definido en el artículo 32 de la Ley 80 de 1993.</w:t>
      </w:r>
    </w:p>
    <w:p w14:paraId="507E50ED"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Esta Agencia ya aplicó este razonamiento al mantenimiento de ascensores en los conceptos C-386 del 23 de abril de 2026 y C-682 de 2026, y al mantenimiento de centrales y redes de gases en el concepto C-1310 de 2026, en el que precisó que esas redes, incorporadas de forma permanente a la edificación, constituyen inmuebles por adhesión, y que su mantenimiento corresponde a un trabajo material sobre bienes inmuebles.</w:t>
      </w:r>
    </w:p>
    <w:p w14:paraId="18F3829F"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Por el contrario, si el mantenimiento recayera sobre equipos o elementos no incorporados ni destinados permanentemente a la edificación, que conservan su naturaleza de bienes muebles –por ejemplo, una planta portátil que la entidad traslada entre sedes o que no es de su propiedad–, la actividad no se enmarcaría en el contrato de obra pública y los documentos tipo no serían obligatorios. Esa calificación corresponde a la entidad en la etapa de planeación, a partir de las condiciones físicas y jurídicas de cada equipo.  Adicionalmente, como ya se indicó, la Matriz 1 – Experiencia contempla el mantenimiento de estos equipos.</w:t>
      </w:r>
    </w:p>
    <w:p w14:paraId="50E6BE2A"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De acuerdo con la Resolución 541 de 2025, los documentos tipo complementarios del Sector Institucional aplican a los procesos que correspondan a las actividades definidas en la Matriz 1 – Experiencia de ese sector, que contempla dentro de su capítulo 2:  “Obras en proyectos de infraestructura institucional de servicio público”, donde también se contiene la actividad 2.9, cuyo texto es el siguiente:</w:t>
      </w:r>
    </w:p>
    <w:p w14:paraId="3F1A3822" w14:textId="77777777" w:rsidR="00853CF4" w:rsidRPr="00853CF4" w:rsidRDefault="00853CF4" w:rsidP="00853CF4">
      <w:pPr>
        <w:spacing w:after="0" w:line="240" w:lineRule="auto"/>
        <w:rPr>
          <w:rFonts w:ascii="Verdana" w:eastAsia="Times New Roman" w:hAnsi="Verdana" w:cs="Times New Roman"/>
          <w:color w:val="000000"/>
          <w:lang w:eastAsia="es-MX"/>
        </w:rPr>
      </w:pPr>
    </w:p>
    <w:p w14:paraId="6BE85940" w14:textId="77777777" w:rsidR="00853CF4" w:rsidRPr="00853CF4" w:rsidRDefault="00853CF4" w:rsidP="00853CF4">
      <w:pPr>
        <w:snapToGrid w:val="0"/>
        <w:spacing w:after="0" w:line="240" w:lineRule="auto"/>
        <w:ind w:left="709" w:right="709"/>
        <w:jc w:val="both"/>
        <w:rPr>
          <w:rFonts w:ascii="Verdana" w:eastAsia="Times New Roman" w:hAnsi="Verdana" w:cs="Times New Roman"/>
          <w:color w:val="000000"/>
          <w:sz w:val="21"/>
          <w:szCs w:val="21"/>
          <w:lang w:eastAsia="es-MX"/>
        </w:rPr>
      </w:pPr>
      <w:r w:rsidRPr="00853CF4">
        <w:rPr>
          <w:rFonts w:ascii="Verdana" w:eastAsia="Times New Roman" w:hAnsi="Verdana" w:cs="Times New Roman"/>
          <w:color w:val="000000"/>
          <w:sz w:val="21"/>
          <w:szCs w:val="21"/>
          <w:lang w:eastAsia="es-MX"/>
        </w:rPr>
        <w:t>2.9. PROYECTOS DE CONSTRUCCIÓN Y/O AMPLIACIÓN Y/O RECONSTRUCCIÓN Y/O ADECUACIÓN Y/O CONSERVACIÓN Y/O INTERVENCIÓN Y/O INSTALACIÓN Y/O </w:t>
      </w:r>
      <w:r w:rsidRPr="00853CF4">
        <w:rPr>
          <w:rFonts w:ascii="Verdana" w:eastAsia="Times New Roman" w:hAnsi="Verdana" w:cs="Times New Roman"/>
          <w:color w:val="C82613"/>
          <w:sz w:val="21"/>
          <w:szCs w:val="21"/>
          <w:lang w:eastAsia="es-MX"/>
        </w:rPr>
        <w:t>MANTENIMIENTO</w:t>
      </w:r>
      <w:r w:rsidRPr="00853CF4">
        <w:rPr>
          <w:rFonts w:ascii="Verdana" w:eastAsia="Times New Roman" w:hAnsi="Verdana" w:cs="Times New Roman"/>
          <w:color w:val="000000"/>
          <w:sz w:val="21"/>
          <w:szCs w:val="21"/>
          <w:lang w:eastAsia="es-MX"/>
        </w:rPr>
        <w:t> Y/O MEJORAMIENTO Y/O MODIFICACIÓN U OPTIMIZACIÓN Y/O REHABILITACIÓN Y/O REMODELACIÓN Y/O REPOSICIÓN Y/O REPARACIÓN LOCATIVA Y/O RESTAURACIÓN Y/O RESTITUCIÓN Y/O TERMINACIÓN DE REDES ELÉCTRICAS Y/O CIRCUITOS CERRADOS DE TV Y/O SISTEMAS DE SEGURIDAD Y/O CIRCUITOS DE VOZ Y DATOS Y/O </w:t>
      </w:r>
      <w:r w:rsidRPr="00853CF4">
        <w:rPr>
          <w:rFonts w:ascii="Verdana" w:eastAsia="Times New Roman" w:hAnsi="Verdana" w:cs="Times New Roman"/>
          <w:color w:val="C82613"/>
          <w:sz w:val="21"/>
          <w:szCs w:val="21"/>
          <w:lang w:eastAsia="es-MX"/>
        </w:rPr>
        <w:t>PLANTAS ELECTRICAS Y/O SUBESTACIONES </w:t>
      </w:r>
      <w:r w:rsidRPr="00853CF4">
        <w:rPr>
          <w:rFonts w:ascii="Verdana" w:eastAsia="Times New Roman" w:hAnsi="Verdana" w:cs="Times New Roman"/>
          <w:color w:val="000000"/>
          <w:sz w:val="21"/>
          <w:szCs w:val="21"/>
          <w:lang w:eastAsia="es-MX"/>
        </w:rPr>
        <w:t>Y/O REDES DE TELEMATICA Y/O COMUNICACIÓN Y/O SONIDO Y/O TELEFONÍA Y/O REDES O SISTEMAS DE ILUMINACIÓN O LUMINARIAS INTERIORES O EXTERIORES DE INFRAESTRUCTURA DE SERVICIO PUBLICO</w:t>
      </w:r>
    </w:p>
    <w:p w14:paraId="4BB4D17A" w14:textId="77777777" w:rsidR="00853CF4" w:rsidRPr="00853CF4" w:rsidRDefault="00853CF4" w:rsidP="00853CF4">
      <w:pPr>
        <w:spacing w:after="0" w:line="240" w:lineRule="auto"/>
        <w:rPr>
          <w:rFonts w:ascii="Century Gothic" w:eastAsia="Times New Roman" w:hAnsi="Century Gothic" w:cs="Times New Roman"/>
          <w:color w:val="000000"/>
          <w:sz w:val="24"/>
          <w:szCs w:val="24"/>
          <w:lang w:eastAsia="es-MX"/>
        </w:rPr>
      </w:pPr>
    </w:p>
    <w:p w14:paraId="72D51E71"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La matriz no se limita a mencionar los equipos, ay que adicionalmente diseñó condiciones de experiencia específicas para ellos. Dentro de las alternativas de experiencia específica de la actividad 2.9 figuran, en su propio texto, las siguientes:</w:t>
      </w:r>
    </w:p>
    <w:p w14:paraId="74FDCF2E"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p>
    <w:p w14:paraId="48021AE9" w14:textId="77777777" w:rsidR="00853CF4" w:rsidRPr="00853CF4" w:rsidRDefault="00853CF4" w:rsidP="00853CF4">
      <w:pPr>
        <w:snapToGrid w:val="0"/>
        <w:spacing w:after="0" w:line="240" w:lineRule="auto"/>
        <w:ind w:left="709" w:right="709"/>
        <w:jc w:val="both"/>
        <w:rPr>
          <w:rFonts w:ascii="Verdana" w:eastAsia="Times New Roman" w:hAnsi="Verdana" w:cs="Times New Roman"/>
          <w:i/>
          <w:iCs/>
          <w:color w:val="000000"/>
          <w:sz w:val="21"/>
          <w:szCs w:val="21"/>
          <w:lang w:eastAsia="es-MX"/>
        </w:rPr>
      </w:pPr>
      <w:r w:rsidRPr="00853CF4">
        <w:rPr>
          <w:rFonts w:ascii="Verdana" w:eastAsia="Times New Roman" w:hAnsi="Verdana" w:cs="Times New Roman"/>
          <w:i/>
          <w:iCs/>
          <w:color w:val="000000"/>
          <w:sz w:val="21"/>
          <w:szCs w:val="21"/>
          <w:lang w:eastAsia="es-MX"/>
        </w:rPr>
        <w:t>"5- [En el caso que el proyecto de la entidad corresponda a un proyecto de plantas eléctricas o similares]: Por lo menos uno (1) de los contratos válidos aportados como experiencia general debe demostrar la intervención o suministro e instalación de plantas eléctricas o similares en edificaciones.</w:t>
      </w:r>
    </w:p>
    <w:p w14:paraId="13CF3896" w14:textId="77777777" w:rsidR="00853CF4" w:rsidRPr="00853CF4" w:rsidRDefault="00853CF4" w:rsidP="00853CF4">
      <w:pPr>
        <w:snapToGrid w:val="0"/>
        <w:spacing w:after="0" w:line="240" w:lineRule="auto"/>
        <w:ind w:left="709" w:right="709"/>
        <w:jc w:val="both"/>
        <w:rPr>
          <w:rFonts w:ascii="Verdana" w:eastAsia="Times New Roman" w:hAnsi="Verdana" w:cs="Times New Roman"/>
          <w:color w:val="000000"/>
          <w:sz w:val="21"/>
          <w:szCs w:val="21"/>
          <w:lang w:eastAsia="es-MX"/>
        </w:rPr>
      </w:pPr>
    </w:p>
    <w:p w14:paraId="0FBA811A" w14:textId="77777777" w:rsidR="00853CF4" w:rsidRPr="00853CF4" w:rsidRDefault="00853CF4" w:rsidP="00853CF4">
      <w:pPr>
        <w:snapToGrid w:val="0"/>
        <w:spacing w:after="0" w:line="240" w:lineRule="auto"/>
        <w:ind w:left="709" w:right="709"/>
        <w:jc w:val="both"/>
        <w:rPr>
          <w:rFonts w:ascii="Verdana" w:eastAsia="Times New Roman" w:hAnsi="Verdana" w:cs="Times New Roman"/>
          <w:i/>
          <w:iCs/>
          <w:color w:val="000000"/>
          <w:sz w:val="21"/>
          <w:szCs w:val="21"/>
          <w:lang w:eastAsia="es-MX"/>
        </w:rPr>
      </w:pPr>
      <w:r w:rsidRPr="00853CF4">
        <w:rPr>
          <w:rFonts w:ascii="Verdana" w:eastAsia="Times New Roman" w:hAnsi="Verdana" w:cs="Times New Roman"/>
          <w:i/>
          <w:iCs/>
          <w:color w:val="000000"/>
          <w:sz w:val="21"/>
          <w:szCs w:val="21"/>
          <w:lang w:eastAsia="es-MX"/>
        </w:rPr>
        <w:t>6- [En el caso que el proyecto de la entidad corresponda a un proyecto de sistemas de subestaciones o similares]: Por lo menos uno (1) de los contratos válidos aportados como experiencia general debe demostrar la intervención o suministro e instalación de subestaciones o similares en edificaciones."</w:t>
      </w:r>
    </w:p>
    <w:p w14:paraId="00F7752D" w14:textId="77777777" w:rsidR="00853CF4" w:rsidRPr="00853CF4" w:rsidRDefault="00853CF4" w:rsidP="00853CF4">
      <w:pPr>
        <w:snapToGrid w:val="0"/>
        <w:spacing w:after="0" w:line="276" w:lineRule="auto"/>
        <w:ind w:left="709" w:right="709"/>
        <w:jc w:val="both"/>
        <w:rPr>
          <w:rFonts w:ascii="Verdana" w:eastAsia="Times New Roman" w:hAnsi="Verdana" w:cs="Times New Roman"/>
          <w:color w:val="000000"/>
          <w:lang w:eastAsia="es-MX"/>
        </w:rPr>
      </w:pPr>
    </w:p>
    <w:p w14:paraId="3056F1B3" w14:textId="77777777" w:rsidR="00853CF4" w:rsidRPr="00853CF4" w:rsidRDefault="00853CF4" w:rsidP="00853CF4">
      <w:pPr>
        <w:snapToGrid w:val="0"/>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La matriz no exige, para esta actividad, experiencia en edificación u obra civil: la experiencia general de la actividad 2.9 se acredita con proyectos que contemplen actividades de intervención de redes eléctricas, de voz o de datos para edificaciones, y la experiencia específica pertinente –cuando la entidad diligencia correctamente las opciones 5 y 6– es, precisamente, la intervención de plantas eléctricas y subestaciones en edificaciones, por un valor mínimo del 30 % del presupuesto oficial. Una empresa dedicada al mantenimiento de plantas eléctricas acredita esa experiencia con su propia actividad ordinaria. </w:t>
      </w:r>
    </w:p>
    <w:p w14:paraId="12833C45"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lastRenderedPageBreak/>
        <w:t>En todo caso, las actividades del capítulo 2 que pueden resultar pertinentes según el alcance del proyecto podrían ser:</w:t>
      </w:r>
    </w:p>
    <w:p w14:paraId="4FABD2AF" w14:textId="77777777" w:rsidR="00853CF4" w:rsidRPr="00853CF4" w:rsidRDefault="00853CF4" w:rsidP="00853CF4">
      <w:pPr>
        <w:snapToGrid w:val="0"/>
        <w:spacing w:after="0" w:line="276" w:lineRule="auto"/>
        <w:ind w:firstLine="709"/>
        <w:jc w:val="both"/>
        <w:rPr>
          <w:rFonts w:ascii="Verdana" w:eastAsia="Times New Roman" w:hAnsi="Verdana" w:cs="Times New Roman"/>
          <w:color w:val="000000"/>
          <w:lang w:eastAsia="es-MX"/>
        </w:rPr>
      </w:pPr>
    </w:p>
    <w:p w14:paraId="0DBE5AD5" w14:textId="77777777" w:rsidR="00853CF4" w:rsidRPr="00853CF4" w:rsidRDefault="00853CF4" w:rsidP="00853CF4">
      <w:pPr>
        <w:spacing w:after="0" w:line="240" w:lineRule="auto"/>
        <w:ind w:left="709" w:right="709"/>
        <w:jc w:val="both"/>
        <w:rPr>
          <w:rFonts w:ascii="Verdana" w:eastAsia="Times New Roman" w:hAnsi="Verdana" w:cs="Times New Roman"/>
          <w:color w:val="000000"/>
          <w:sz w:val="21"/>
          <w:szCs w:val="21"/>
          <w:lang w:eastAsia="es-MX"/>
        </w:rPr>
      </w:pPr>
      <w:r w:rsidRPr="00853CF4">
        <w:rPr>
          <w:rFonts w:ascii="Verdana" w:eastAsia="Times New Roman" w:hAnsi="Verdana" w:cs="Times New Roman"/>
          <w:color w:val="000000"/>
          <w:sz w:val="21"/>
          <w:szCs w:val="21"/>
          <w:lang w:eastAsia="es-MX"/>
        </w:rPr>
        <w:t>“2.9 -</w:t>
      </w:r>
      <w:r w:rsidRPr="00853CF4">
        <w:rPr>
          <w:rFonts w:ascii="Verdana" w:eastAsia="Times New Roman" w:hAnsi="Verdana" w:cs="Times New Roman"/>
          <w:color w:val="000000"/>
          <w:sz w:val="21"/>
          <w:szCs w:val="21"/>
          <w:lang w:eastAsia="es-MX"/>
        </w:rPr>
        <w:t> </w:t>
      </w:r>
      <w:r w:rsidRPr="00853CF4">
        <w:rPr>
          <w:rFonts w:ascii="Verdana" w:eastAsia="Times New Roman" w:hAnsi="Verdana" w:cs="Times New Roman"/>
          <w:color w:val="000000"/>
          <w:sz w:val="21"/>
          <w:szCs w:val="21"/>
          <w:lang w:eastAsia="es-MX"/>
        </w:rPr>
        <w:t>Intervención y mantenimiento de redes eléctricas, plantas eléctricas y subestaciones de infraestructura de servicio público, actividad en la que se subsume el mantenimiento preventivo y correctivo de plantas eléctricas, subestaciones y tableros de transferencia.</w:t>
      </w:r>
    </w:p>
    <w:p w14:paraId="5AAF51AD" w14:textId="77777777" w:rsidR="00853CF4" w:rsidRPr="00853CF4" w:rsidRDefault="00853CF4" w:rsidP="00853CF4">
      <w:pPr>
        <w:spacing w:after="0" w:line="240" w:lineRule="auto"/>
        <w:ind w:left="709" w:right="709"/>
        <w:jc w:val="both"/>
        <w:rPr>
          <w:rFonts w:ascii="Verdana" w:eastAsia="Times New Roman" w:hAnsi="Verdana" w:cs="Times New Roman"/>
          <w:color w:val="000000"/>
          <w:sz w:val="21"/>
          <w:szCs w:val="21"/>
          <w:lang w:eastAsia="es-MX"/>
        </w:rPr>
      </w:pPr>
    </w:p>
    <w:p w14:paraId="12DD51D0" w14:textId="77777777" w:rsidR="00853CF4" w:rsidRPr="00853CF4" w:rsidRDefault="00853CF4" w:rsidP="00853CF4">
      <w:pPr>
        <w:spacing w:after="0" w:line="240" w:lineRule="auto"/>
        <w:ind w:left="709" w:right="709"/>
        <w:jc w:val="both"/>
        <w:rPr>
          <w:rFonts w:ascii="Verdana" w:eastAsia="Times New Roman" w:hAnsi="Verdana" w:cs="Times New Roman"/>
          <w:color w:val="000000"/>
          <w:sz w:val="21"/>
          <w:szCs w:val="21"/>
          <w:lang w:eastAsia="es-MX"/>
        </w:rPr>
      </w:pPr>
      <w:r w:rsidRPr="00853CF4">
        <w:rPr>
          <w:rFonts w:ascii="Verdana" w:eastAsia="Times New Roman" w:hAnsi="Verdana" w:cs="Times New Roman"/>
          <w:color w:val="000000"/>
          <w:sz w:val="21"/>
          <w:szCs w:val="21"/>
          <w:lang w:eastAsia="es-MX"/>
        </w:rPr>
        <w:t>2.2 - Adecuación, conservación, intervención, instalación, mantenimiento y reparación locativa de infraestructura de servicio público, aplicable si el mantenimiento eléctrico es un componente de un mantenimiento general de la sede”.</w:t>
      </w:r>
    </w:p>
    <w:p w14:paraId="4F98449F" w14:textId="77777777" w:rsidR="00853CF4" w:rsidRPr="00853CF4" w:rsidRDefault="00853CF4" w:rsidP="00853CF4">
      <w:pPr>
        <w:spacing w:after="0" w:line="240" w:lineRule="auto"/>
        <w:rPr>
          <w:rFonts w:ascii="Verdana" w:eastAsia="Times New Roman" w:hAnsi="Verdana" w:cs="Times New Roman"/>
          <w:color w:val="000000"/>
          <w:lang w:eastAsia="es-MX"/>
        </w:rPr>
      </w:pPr>
    </w:p>
    <w:p w14:paraId="1F8D5A1C" w14:textId="77777777" w:rsidR="00853CF4" w:rsidRPr="00853CF4" w:rsidRDefault="00853CF4" w:rsidP="00853CF4">
      <w:pPr>
        <w:spacing w:after="12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El alcance del tipo de infraestructura se interpreta conforme a la nota general 1 de la matriz, que remite a la normativa vigente y a la NSR-10. Según la NSR-10, en el Subgrupo de Ocupación Institucional de Servicio Público (I-5) se clasifican las edificaciones o espacios destinados a funciones administrativas y a la prestación de servicios públicos necesarios para el buen funcionamiento de las ciudades, e incluye “(c)</w:t>
      </w:r>
      <w:proofErr w:type="spellStart"/>
      <w:r w:rsidRPr="00853CF4">
        <w:rPr>
          <w:rFonts w:ascii="Verdana" w:eastAsia="Times New Roman" w:hAnsi="Verdana" w:cs="Times New Roman"/>
          <w:color w:val="000000"/>
          <w:lang w:eastAsia="es-MX"/>
        </w:rPr>
        <w:t>entros</w:t>
      </w:r>
      <w:proofErr w:type="spellEnd"/>
      <w:r w:rsidRPr="00853CF4">
        <w:rPr>
          <w:rFonts w:ascii="Verdana" w:eastAsia="Times New Roman" w:hAnsi="Verdana" w:cs="Times New Roman"/>
          <w:color w:val="000000"/>
          <w:lang w:eastAsia="es-MX"/>
        </w:rPr>
        <w:t xml:space="preserve"> de comunicación o administrativos o administrativos de servicios municipales, distritales o gubernamentales, juzgados y otros similares”. La expresión “otros similares” muestra que la enumeración es enunciativa y comprende las edificaciones que, por su naturaleza y finalidad, están orientadas a la prestación de servicios públicos y al desarrollo de funciones institucionales del Estado.</w:t>
      </w:r>
    </w:p>
    <w:p w14:paraId="0CC6AF8E" w14:textId="77777777" w:rsidR="00853CF4" w:rsidRPr="00853CF4" w:rsidRDefault="00853CF4" w:rsidP="00853CF4">
      <w:pPr>
        <w:spacing w:after="0" w:line="276" w:lineRule="auto"/>
        <w:ind w:firstLine="709"/>
        <w:jc w:val="both"/>
        <w:rPr>
          <w:rFonts w:ascii="Verdana" w:eastAsia="Times New Roman" w:hAnsi="Verdana" w:cs="Times New Roman"/>
          <w:color w:val="000000"/>
          <w:lang w:eastAsia="es-MX"/>
        </w:rPr>
      </w:pPr>
      <w:r w:rsidRPr="00853CF4">
        <w:rPr>
          <w:rFonts w:ascii="Verdana" w:eastAsia="Times New Roman" w:hAnsi="Verdana" w:cs="Times New Roman"/>
          <w:color w:val="000000"/>
          <w:lang w:eastAsia="es-MX"/>
        </w:rPr>
        <w:t>En consecuencia, a partir del 16 de febrero de 2026, si una entidad obligada a utilizar los documentos tipo adelanta un proceso cuyo objeto corresponde a alguna actividad de la Matriz 1 – Experiencia del Sector Institucional, debe implementar los documentos tipo acogidos mediante las Resoluciones 539, 540 o 541 de 2025, según se adelante por licitación pública, selección abreviada de menor cuantía o mínima cuantía.</w:t>
      </w:r>
    </w:p>
    <w:p w14:paraId="3D4983B9" w14:textId="77777777" w:rsidR="00853CF4" w:rsidRPr="00853CF4" w:rsidRDefault="00853CF4" w:rsidP="00853CF4">
      <w:pPr>
        <w:spacing w:after="0" w:line="276" w:lineRule="auto"/>
        <w:ind w:firstLine="709"/>
        <w:jc w:val="both"/>
        <w:rPr>
          <w:rFonts w:ascii="Verdana" w:eastAsia="Calibri" w:hAnsi="Verdana" w:cs="Calibri"/>
          <w:lang w:eastAsia="es-MX"/>
        </w:rPr>
      </w:pPr>
    </w:p>
    <w:p w14:paraId="484F1F55" w14:textId="77777777" w:rsidR="00853CF4" w:rsidRPr="00853CF4" w:rsidRDefault="00853CF4" w:rsidP="00853CF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53CF4">
        <w:rPr>
          <w:rFonts w:ascii="Verdana" w:eastAsia="Century Gothic" w:hAnsi="Verdana" w:cs="Century Gothic"/>
          <w:b/>
          <w:bCs/>
          <w:lang w:val="es-ES" w:eastAsia="es-MX"/>
        </w:rPr>
        <w:t>Referencias normativas, jurisprudenciales y otras fuentes:</w:t>
      </w:r>
    </w:p>
    <w:p w14:paraId="1E71D287" w14:textId="77777777" w:rsidR="00853CF4" w:rsidRPr="00853CF4" w:rsidRDefault="00853CF4" w:rsidP="00853CF4">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853CF4" w:rsidRPr="00853CF4" w14:paraId="355C8D55" w14:textId="77777777" w:rsidTr="006F4AB5">
        <w:trPr>
          <w:trHeight w:val="870"/>
        </w:trPr>
        <w:tc>
          <w:tcPr>
            <w:tcW w:w="8647" w:type="dxa"/>
          </w:tcPr>
          <w:p w14:paraId="0FA645EF" w14:textId="77777777" w:rsidR="00853CF4" w:rsidRPr="00853CF4" w:rsidRDefault="00853CF4" w:rsidP="00853CF4">
            <w:pPr>
              <w:widowControl w:val="0"/>
              <w:numPr>
                <w:ilvl w:val="0"/>
                <w:numId w:val="17"/>
              </w:numPr>
              <w:autoSpaceDE w:val="0"/>
              <w:autoSpaceDN w:val="0"/>
              <w:snapToGrid w:val="0"/>
              <w:spacing w:after="120" w:line="276" w:lineRule="auto"/>
              <w:ind w:left="714" w:hanging="357"/>
              <w:jc w:val="both"/>
              <w:rPr>
                <w:rFonts w:ascii="Verdana" w:eastAsia="Calibri" w:hAnsi="Verdana" w:cs="Arial"/>
                <w:lang w:eastAsia="es-MX"/>
              </w:rPr>
            </w:pPr>
            <w:r w:rsidRPr="00853CF4">
              <w:rPr>
                <w:rFonts w:ascii="Verdana" w:eastAsia="Calibri" w:hAnsi="Verdana" w:cs="Arial"/>
                <w:lang w:eastAsia="es-MX"/>
              </w:rPr>
              <w:t>Ley 2022 de 2020, artículo 1.</w:t>
            </w:r>
          </w:p>
          <w:p w14:paraId="78D5A0D6" w14:textId="77777777" w:rsidR="00853CF4" w:rsidRPr="00853CF4" w:rsidRDefault="00853CF4" w:rsidP="00853CF4">
            <w:pPr>
              <w:widowControl w:val="0"/>
              <w:numPr>
                <w:ilvl w:val="0"/>
                <w:numId w:val="17"/>
              </w:numPr>
              <w:autoSpaceDE w:val="0"/>
              <w:autoSpaceDN w:val="0"/>
              <w:snapToGrid w:val="0"/>
              <w:spacing w:after="120" w:line="276" w:lineRule="auto"/>
              <w:ind w:left="714" w:hanging="357"/>
              <w:jc w:val="both"/>
              <w:rPr>
                <w:rFonts w:ascii="Verdana" w:eastAsia="Aptos" w:hAnsi="Verdana" w:cs="Arial"/>
                <w:lang w:eastAsia="es-MX"/>
              </w:rPr>
            </w:pPr>
            <w:r w:rsidRPr="00853CF4">
              <w:rPr>
                <w:rFonts w:ascii="Verdana" w:eastAsia="Aptos" w:hAnsi="Verdana" w:cs="Arial"/>
                <w:lang w:eastAsia="es-MX"/>
              </w:rPr>
              <w:t>Ley 80 de 1993, artículo 32.</w:t>
            </w:r>
          </w:p>
          <w:p w14:paraId="368828BB" w14:textId="77777777" w:rsidR="00853CF4" w:rsidRPr="00853CF4" w:rsidRDefault="00853CF4" w:rsidP="00853CF4">
            <w:pPr>
              <w:widowControl w:val="0"/>
              <w:numPr>
                <w:ilvl w:val="0"/>
                <w:numId w:val="17"/>
              </w:numPr>
              <w:autoSpaceDE w:val="0"/>
              <w:autoSpaceDN w:val="0"/>
              <w:snapToGrid w:val="0"/>
              <w:spacing w:after="120" w:line="276" w:lineRule="auto"/>
              <w:ind w:left="714" w:hanging="357"/>
              <w:jc w:val="both"/>
              <w:rPr>
                <w:rFonts w:ascii="Verdana" w:eastAsia="Aptos" w:hAnsi="Verdana" w:cs="Arial"/>
                <w:lang w:eastAsia="es-MX"/>
              </w:rPr>
            </w:pPr>
            <w:r w:rsidRPr="00853CF4">
              <w:rPr>
                <w:rFonts w:ascii="Verdana" w:eastAsia="Aptos" w:hAnsi="Verdana" w:cs="Arial"/>
                <w:lang w:eastAsia="es-MX"/>
              </w:rPr>
              <w:lastRenderedPageBreak/>
              <w:t>Código Civil Colombiano, artículos 656 y 658.</w:t>
            </w:r>
          </w:p>
          <w:p w14:paraId="208F527F" w14:textId="77777777" w:rsidR="00853CF4" w:rsidRPr="00853CF4" w:rsidRDefault="00853CF4" w:rsidP="00853CF4">
            <w:pPr>
              <w:widowControl w:val="0"/>
              <w:numPr>
                <w:ilvl w:val="0"/>
                <w:numId w:val="17"/>
              </w:numPr>
              <w:autoSpaceDE w:val="0"/>
              <w:autoSpaceDN w:val="0"/>
              <w:snapToGrid w:val="0"/>
              <w:spacing w:after="120" w:line="276" w:lineRule="auto"/>
              <w:ind w:left="714" w:hanging="357"/>
              <w:jc w:val="both"/>
              <w:rPr>
                <w:rFonts w:ascii="Verdana" w:eastAsia="Calibri" w:hAnsi="Verdana" w:cs="Arial"/>
                <w:lang w:eastAsia="es-MX"/>
              </w:rPr>
            </w:pPr>
            <w:r w:rsidRPr="00853CF4">
              <w:rPr>
                <w:rFonts w:ascii="Verdana" w:eastAsia="Calibri" w:hAnsi="Verdana" w:cs="Arial"/>
                <w:lang w:eastAsia="es-MX"/>
              </w:rPr>
              <w:t xml:space="preserve">Documentos tipo de mínima cuantía de obra pública de infraestructura social. Disponibles en: </w:t>
            </w:r>
            <w:hyperlink r:id="rId11" w:history="1">
              <w:r w:rsidRPr="00853CF4">
                <w:rPr>
                  <w:rFonts w:ascii="Verdana" w:eastAsia="Calibri" w:hAnsi="Verdana" w:cs="Arial"/>
                  <w:color w:val="467886"/>
                  <w:u w:val="single"/>
                  <w:lang w:eastAsia="es-MX"/>
                </w:rPr>
                <w:t>https://www.colombiacompra.gov.co/normativa-y-relatoria/documentos-tipo</w:t>
              </w:r>
            </w:hyperlink>
            <w:r w:rsidRPr="00853CF4">
              <w:rPr>
                <w:rFonts w:ascii="Verdana" w:eastAsia="Calibri" w:hAnsi="Verdana" w:cs="Arial"/>
                <w:lang w:eastAsia="es-MX"/>
              </w:rPr>
              <w:t xml:space="preserve">. </w:t>
            </w:r>
          </w:p>
        </w:tc>
      </w:tr>
    </w:tbl>
    <w:p w14:paraId="3AA6BC63" w14:textId="77777777" w:rsidR="00853CF4" w:rsidRPr="00853CF4" w:rsidRDefault="00853CF4" w:rsidP="00853CF4">
      <w:pPr>
        <w:tabs>
          <w:tab w:val="left" w:pos="142"/>
          <w:tab w:val="left" w:pos="284"/>
        </w:tabs>
        <w:spacing w:after="0" w:line="276" w:lineRule="auto"/>
        <w:jc w:val="both"/>
        <w:rPr>
          <w:rFonts w:ascii="Verdana" w:eastAsia="Calibri" w:hAnsi="Verdana" w:cs="Arial"/>
          <w:lang w:eastAsia="es-MX"/>
        </w:rPr>
      </w:pPr>
    </w:p>
    <w:p w14:paraId="2995F8E2" w14:textId="77777777" w:rsidR="00853CF4" w:rsidRPr="00853CF4" w:rsidRDefault="00853CF4" w:rsidP="00853CF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53CF4">
        <w:rPr>
          <w:rFonts w:ascii="Verdana" w:eastAsia="Century Gothic" w:hAnsi="Verdana" w:cs="Century Gothic"/>
          <w:b/>
          <w:bCs/>
          <w:lang w:val="es-ES" w:eastAsia="es-MX"/>
        </w:rPr>
        <w:t>Doctrina de la Agencia Nacional de Contratación Pública:</w:t>
      </w:r>
    </w:p>
    <w:p w14:paraId="7979C48C" w14:textId="77777777" w:rsidR="00853CF4" w:rsidRPr="00853CF4" w:rsidRDefault="00853CF4" w:rsidP="00853CF4">
      <w:pPr>
        <w:widowControl w:val="0"/>
        <w:autoSpaceDE w:val="0"/>
        <w:autoSpaceDN w:val="0"/>
        <w:spacing w:after="0" w:line="276" w:lineRule="auto"/>
        <w:jc w:val="both"/>
        <w:rPr>
          <w:rFonts w:ascii="Verdana" w:eastAsia="Calibri" w:hAnsi="Verdana" w:cs="Arial"/>
          <w:lang w:eastAsia="es-MX"/>
        </w:rPr>
      </w:pPr>
    </w:p>
    <w:p w14:paraId="4F7635E1" w14:textId="77777777" w:rsidR="00853CF4" w:rsidRPr="00853CF4" w:rsidRDefault="00853CF4" w:rsidP="00853CF4">
      <w:pPr>
        <w:widowControl w:val="0"/>
        <w:autoSpaceDE w:val="0"/>
        <w:autoSpaceDN w:val="0"/>
        <w:spacing w:after="0" w:line="276" w:lineRule="auto"/>
        <w:jc w:val="both"/>
        <w:rPr>
          <w:rFonts w:ascii="Verdana" w:eastAsia="Times New Roman" w:hAnsi="Verdana" w:cs="Arial"/>
          <w:shd w:val="clear" w:color="auto" w:fill="FFFFFF"/>
          <w:lang w:val="es-ES" w:eastAsia="es-MX"/>
        </w:rPr>
      </w:pPr>
      <w:r w:rsidRPr="00853CF4">
        <w:rPr>
          <w:rFonts w:ascii="Verdana" w:eastAsia="Calibri" w:hAnsi="Verdana" w:cs="Arial"/>
          <w:shd w:val="clear" w:color="auto" w:fill="FFFFFF"/>
          <w:lang w:val="es-ES" w:eastAsia="es-MX"/>
        </w:rPr>
        <w:t>La Agencia Nacional de Contratación Pública – Colombia Compra Eficiente se pronunció</w:t>
      </w:r>
      <w:r w:rsidRPr="00853CF4">
        <w:rPr>
          <w:rFonts w:ascii="Aptos" w:eastAsia="Aptos" w:hAnsi="Aptos" w:cs="Times New Roman"/>
          <w:sz w:val="24"/>
          <w:szCs w:val="24"/>
          <w:lang w:eastAsia="es-MX"/>
        </w:rPr>
        <w:t xml:space="preserve"> </w:t>
      </w:r>
      <w:r w:rsidRPr="00853CF4">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C-1020 del 6 de agosto de 2026, entre otros. </w:t>
      </w:r>
      <w:r w:rsidRPr="00853CF4">
        <w:rPr>
          <w:rFonts w:ascii="Verdana" w:eastAsia="Calibri" w:hAnsi="Verdana" w:cs="Arial"/>
          <w:color w:val="000000"/>
          <w:shd w:val="clear" w:color="auto" w:fill="FFFFFF"/>
          <w:lang w:eastAsia="es-MX"/>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853CF4">
          <w:rPr>
            <w:rFonts w:ascii="Verdana" w:eastAsia="Aptos" w:hAnsi="Verdana" w:cs="Arial"/>
            <w:color w:val="0000FF"/>
            <w:u w:val="single"/>
            <w:shd w:val="clear" w:color="auto" w:fill="FFFFFF"/>
            <w:lang w:eastAsia="es-MX"/>
          </w:rPr>
          <w:t>https://relatoria.colombiacompra.gov.co/busqueda/conceptos</w:t>
        </w:r>
      </w:hyperlink>
      <w:r w:rsidRPr="00853CF4">
        <w:rPr>
          <w:rFonts w:ascii="Verdana" w:eastAsia="Aptos" w:hAnsi="Verdana" w:cs="Arial"/>
          <w:shd w:val="clear" w:color="auto" w:fill="FFFFFF"/>
          <w:lang w:eastAsia="es-MX"/>
        </w:rPr>
        <w:t xml:space="preserve">. </w:t>
      </w:r>
      <w:r w:rsidRPr="00853CF4">
        <w:rPr>
          <w:rFonts w:ascii="Verdana" w:eastAsia="Aptos" w:hAnsi="Verdana" w:cs="Arial"/>
          <w:color w:val="FF0000"/>
          <w:shd w:val="clear" w:color="auto" w:fill="FFFFFF"/>
          <w:lang w:val="es-ES" w:eastAsia="es-MX"/>
        </w:rPr>
        <w:t xml:space="preserve">  </w:t>
      </w:r>
    </w:p>
    <w:p w14:paraId="04FDDEDF" w14:textId="77777777" w:rsidR="00853CF4" w:rsidRPr="00853CF4" w:rsidRDefault="00853CF4" w:rsidP="00853CF4">
      <w:pPr>
        <w:spacing w:after="0" w:line="240" w:lineRule="auto"/>
        <w:jc w:val="both"/>
        <w:rPr>
          <w:rFonts w:ascii="Verdana" w:eastAsia="Calibri" w:hAnsi="Verdana" w:cs="Arial"/>
          <w:color w:val="000000"/>
          <w:shd w:val="clear" w:color="auto" w:fill="FFFFFF"/>
          <w:lang w:eastAsia="es-MX"/>
        </w:rPr>
      </w:pPr>
    </w:p>
    <w:p w14:paraId="1A5BB43B" w14:textId="77777777" w:rsidR="00853CF4" w:rsidRPr="00853CF4" w:rsidRDefault="00853CF4" w:rsidP="00853CF4">
      <w:pPr>
        <w:widowControl w:val="0"/>
        <w:autoSpaceDE w:val="0"/>
        <w:autoSpaceDN w:val="0"/>
        <w:spacing w:after="0" w:line="276" w:lineRule="auto"/>
        <w:jc w:val="both"/>
        <w:rPr>
          <w:rFonts w:ascii="Verdana" w:eastAsia="Calibri" w:hAnsi="Verdana" w:cs="Arial"/>
          <w:shd w:val="clear" w:color="auto" w:fill="FFFFFF"/>
          <w:lang w:eastAsia="es-MX"/>
        </w:rPr>
      </w:pPr>
      <w:r w:rsidRPr="00853CF4">
        <w:rPr>
          <w:rFonts w:ascii="Verdana" w:eastAsia="Calibri" w:hAnsi="Verdana" w:cs="Arial"/>
          <w:shd w:val="clear" w:color="auto" w:fill="FFFFFF"/>
          <w:lang w:eastAsia="es-MX"/>
        </w:rPr>
        <w:t>La</w:t>
      </w:r>
      <w:r w:rsidRPr="00853CF4">
        <w:rPr>
          <w:rFonts w:ascii="Verdana" w:eastAsia="Calibri" w:hAnsi="Verdana" w:cs="Arial"/>
          <w:b/>
          <w:bCs/>
          <w:shd w:val="clear" w:color="auto" w:fill="FFFFFF"/>
          <w:lang w:eastAsia="es-MX"/>
        </w:rPr>
        <w:t xml:space="preserve"> Agencia Nacional de Contratación Pública - Colombia Compra Eficiente</w:t>
      </w:r>
      <w:r w:rsidRPr="00853CF4">
        <w:rPr>
          <w:rFonts w:ascii="Verdana" w:eastAsia="Calibri" w:hAnsi="Verdana" w:cs="Arial"/>
          <w:shd w:val="clear" w:color="auto" w:fill="FFFFFF"/>
          <w:lang w:eastAsia="es-MX"/>
        </w:rPr>
        <w:t> recomienda a todas las entidades públicas, independientemente de su naturaleza, que gestionan recursos públicos, la aplicación de los </w:t>
      </w:r>
      <w:r w:rsidRPr="00853CF4">
        <w:rPr>
          <w:rFonts w:ascii="Verdana" w:eastAsia="Calibri" w:hAnsi="Verdana" w:cs="Arial"/>
          <w:b/>
          <w:bCs/>
          <w:shd w:val="clear" w:color="auto" w:fill="FFFFFF"/>
          <w:lang w:eastAsia="es-MX"/>
        </w:rPr>
        <w:t>Documentos Tipo</w:t>
      </w:r>
      <w:r w:rsidRPr="00853CF4">
        <w:rPr>
          <w:rFonts w:ascii="Verdana" w:eastAsia="Calibri" w:hAnsi="Verdana" w:cs="Arial"/>
          <w:shd w:val="clear" w:color="auto" w:fill="FFFFFF"/>
          <w:lang w:eastAsia="es-MX"/>
        </w:rPr>
        <w:t>. Esta recomendación es válida tanto para su uso obligatorio, cuando así lo establezca la normatividad vigente, como para su implementación como una buena práctica. El objetivo es garantizar la </w:t>
      </w:r>
      <w:r w:rsidRPr="00853CF4">
        <w:rPr>
          <w:rFonts w:ascii="Verdana" w:eastAsia="Calibri" w:hAnsi="Verdana" w:cs="Arial"/>
          <w:b/>
          <w:bCs/>
          <w:shd w:val="clear" w:color="auto" w:fill="FFFFFF"/>
          <w:lang w:eastAsia="es-MX"/>
        </w:rPr>
        <w:t>transparencia</w:t>
      </w:r>
      <w:r w:rsidRPr="00853CF4">
        <w:rPr>
          <w:rFonts w:ascii="Verdana" w:eastAsia="Calibri" w:hAnsi="Verdana" w:cs="Arial"/>
          <w:shd w:val="clear" w:color="auto" w:fill="FFFFFF"/>
          <w:lang w:eastAsia="es-MX"/>
        </w:rPr>
        <w:t> y promover un proceso de </w:t>
      </w:r>
      <w:r w:rsidRPr="00853CF4">
        <w:rPr>
          <w:rFonts w:ascii="Verdana" w:eastAsia="Calibri" w:hAnsi="Verdana" w:cs="Arial"/>
          <w:b/>
          <w:bCs/>
          <w:shd w:val="clear" w:color="auto" w:fill="FFFFFF"/>
          <w:lang w:eastAsia="es-MX"/>
        </w:rPr>
        <w:t>selección objetiva</w:t>
      </w:r>
      <w:r w:rsidRPr="00853CF4">
        <w:rPr>
          <w:rFonts w:ascii="Verdana" w:eastAsia="Calibri" w:hAnsi="Verdana" w:cs="Arial"/>
          <w:shd w:val="clear" w:color="auto" w:fill="FFFFFF"/>
          <w:lang w:eastAsia="es-MX"/>
        </w:rPr>
        <w:t> en la contratación pública, contribuyendo así a mejorar la eficiencia, la competencia y la confianza en el manejo de los recursos del Estado.</w:t>
      </w:r>
    </w:p>
    <w:p w14:paraId="4B1DFD25" w14:textId="77777777" w:rsidR="00853CF4" w:rsidRPr="00853CF4" w:rsidRDefault="00853CF4" w:rsidP="00853CF4">
      <w:pPr>
        <w:widowControl w:val="0"/>
        <w:autoSpaceDE w:val="0"/>
        <w:autoSpaceDN w:val="0"/>
        <w:spacing w:after="0" w:line="276" w:lineRule="auto"/>
        <w:jc w:val="both"/>
        <w:rPr>
          <w:rFonts w:ascii="Verdana" w:eastAsia="Calibri" w:hAnsi="Verdana" w:cs="Arial"/>
          <w:shd w:val="clear" w:color="auto" w:fill="FFFFFF"/>
          <w:lang w:eastAsia="es-MX"/>
        </w:rPr>
      </w:pPr>
    </w:p>
    <w:p w14:paraId="588559BE" w14:textId="77777777" w:rsidR="00853CF4" w:rsidRPr="00853CF4" w:rsidRDefault="00853CF4" w:rsidP="00853CF4">
      <w:pPr>
        <w:spacing w:after="0" w:line="276" w:lineRule="auto"/>
        <w:jc w:val="both"/>
        <w:rPr>
          <w:rFonts w:ascii="Verdana" w:eastAsia="Aptos" w:hAnsi="Verdana" w:cs="Times New Roman"/>
          <w:lang w:eastAsia="es-MX"/>
        </w:rPr>
      </w:pPr>
      <w:r w:rsidRPr="00853CF4">
        <w:rPr>
          <w:rFonts w:ascii="Verdana" w:eastAsia="Aptos" w:hAnsi="Verdana" w:cs="Times New Roman"/>
          <w:lang w:eastAsia="es-MX"/>
        </w:rPr>
        <w:t xml:space="preserve">Las garantías no son un requisito formal: son el instrumento con el que se protege el patrimonio público frente a los riesgos del contrato. Por ello, la </w:t>
      </w:r>
      <w:r w:rsidRPr="00853CF4">
        <w:rPr>
          <w:rFonts w:ascii="Verdana" w:eastAsia="Aptos" w:hAnsi="Verdana" w:cs="Times New Roman"/>
          <w:lang w:eastAsia="es-MX"/>
        </w:rPr>
        <w:lastRenderedPageBreak/>
        <w:t>Agencia Nacional de Contratación Pública –Colombia Compra Eficiente– le invita a consultar la nueva versión de la </w:t>
      </w:r>
      <w:r w:rsidRPr="00853CF4">
        <w:rPr>
          <w:rFonts w:ascii="Verdana" w:eastAsia="Aptos" w:hAnsi="Verdana" w:cs="Times New Roman"/>
          <w:b/>
          <w:bCs/>
          <w:lang w:eastAsia="es-MX"/>
        </w:rPr>
        <w:t>Guía para la Exigencia y Constitución de Garantías en los Procesos de Contratación</w:t>
      </w:r>
      <w:r w:rsidRPr="00853CF4">
        <w:rPr>
          <w:rFonts w:ascii="Verdana" w:eastAsia="Aptos" w:hAnsi="Verdana" w:cs="Times New Roman"/>
          <w:lang w:eastAsia="es-MX"/>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853CF4">
          <w:rPr>
            <w:rFonts w:ascii="Verdana" w:eastAsia="Aptos" w:hAnsi="Verdana" w:cs="Times New Roman"/>
            <w:color w:val="0000FF"/>
            <w:u w:val="single"/>
            <w:lang w:eastAsia="es-MX"/>
          </w:rPr>
          <w:t>https://www.colombiacompra.gov.co/archivos/manual/guia-de-garantias-en-procesos-de-contratacion</w:t>
        </w:r>
      </w:hyperlink>
    </w:p>
    <w:p w14:paraId="0ED0BE0B" w14:textId="77777777" w:rsidR="00853CF4" w:rsidRPr="00853CF4" w:rsidRDefault="00853CF4" w:rsidP="00853CF4">
      <w:pPr>
        <w:spacing w:after="0" w:line="276" w:lineRule="auto"/>
        <w:jc w:val="both"/>
        <w:rPr>
          <w:rFonts w:ascii="Verdana" w:eastAsia="Aptos" w:hAnsi="Verdana" w:cs="Times New Roman"/>
          <w:lang w:eastAsia="es-MX"/>
        </w:rPr>
      </w:pPr>
    </w:p>
    <w:p w14:paraId="791774AC" w14:textId="77777777" w:rsidR="00853CF4" w:rsidRPr="00853CF4" w:rsidRDefault="00853CF4" w:rsidP="00853CF4">
      <w:pPr>
        <w:spacing w:after="0" w:line="276" w:lineRule="auto"/>
        <w:jc w:val="both"/>
        <w:rPr>
          <w:rFonts w:ascii="Verdana" w:eastAsia="Aptos" w:hAnsi="Verdana" w:cs="Times New Roman"/>
          <w:lang w:eastAsia="es-MX"/>
        </w:rPr>
      </w:pPr>
      <w:r w:rsidRPr="00853CF4">
        <w:rPr>
          <w:rFonts w:ascii="Verdana" w:eastAsia="Aptos" w:hAnsi="Verdana" w:cs="Times New Roman"/>
          <w:lang w:eastAsia="es-MX"/>
        </w:rPr>
        <w:t>De otro lado, le contamos que el Decreto 287 del 19 de marzo de 2026 sustituyó los artículos 2.2.1.2.4.2.6., 2.2.1.2.4.2.7. y 2.2.1.2.4.2.8. del Decreto 1082 de 2015 y estructuró el </w:t>
      </w:r>
      <w:r w:rsidRPr="00853CF4">
        <w:rPr>
          <w:rFonts w:ascii="Verdana" w:eastAsia="Aptos" w:hAnsi="Verdana" w:cs="Times New Roman"/>
          <w:b/>
          <w:bCs/>
          <w:lang w:eastAsia="es-MX"/>
        </w:rPr>
        <w:t>Sistema Integral de Preferencias en favor de las personas con discapacidad</w:t>
      </w:r>
      <w:r w:rsidRPr="00853CF4">
        <w:rPr>
          <w:rFonts w:ascii="Verdana" w:eastAsia="Aptos" w:hAnsi="Verdana" w:cs="Times New Roman"/>
          <w:lang w:eastAsia="es-MX"/>
        </w:rPr>
        <w:t>, en cumplimiento del artículo 13 de la Ley Estatutaria 1618 de 2013. Para orientar su aplicación, esta Agencia expidió la </w:t>
      </w:r>
      <w:r w:rsidRPr="00853CF4">
        <w:rPr>
          <w:rFonts w:ascii="Verdana" w:eastAsia="Aptos" w:hAnsi="Verdana" w:cs="Times New Roman"/>
          <w:b/>
          <w:bCs/>
          <w:lang w:eastAsia="es-MX"/>
        </w:rPr>
        <w:t>Circular Externa 003 del 12 de mayo de 2026, </w:t>
      </w:r>
      <w:r w:rsidRPr="00853CF4">
        <w:rPr>
          <w:rFonts w:ascii="Verdana" w:eastAsia="Aptos" w:hAnsi="Verdana" w:cs="Times New Roman"/>
          <w:lang w:eastAsia="es-MX"/>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853CF4">
          <w:rPr>
            <w:rFonts w:ascii="Verdana" w:eastAsia="Aptos" w:hAnsi="Verdana" w:cs="Times New Roman"/>
            <w:color w:val="0000FF"/>
            <w:u w:val="single"/>
            <w:lang w:eastAsia="es-MX"/>
          </w:rPr>
          <w:t>https://www.colombiacompra.gov.co/archivos/circular/circular-externa-003-de-2026</w:t>
        </w:r>
      </w:hyperlink>
    </w:p>
    <w:p w14:paraId="13E3F208" w14:textId="77777777" w:rsidR="00853CF4" w:rsidRPr="00853CF4" w:rsidRDefault="00853CF4" w:rsidP="00853CF4">
      <w:pPr>
        <w:spacing w:after="0" w:line="276" w:lineRule="auto"/>
        <w:jc w:val="both"/>
        <w:rPr>
          <w:rFonts w:ascii="Verdana" w:eastAsia="Aptos" w:hAnsi="Verdana" w:cs="Times New Roman"/>
          <w:lang w:eastAsia="es-MX"/>
        </w:rPr>
      </w:pPr>
    </w:p>
    <w:p w14:paraId="2AC8E703" w14:textId="77777777" w:rsidR="00853CF4" w:rsidRPr="00853CF4" w:rsidRDefault="00853CF4" w:rsidP="00853CF4">
      <w:pPr>
        <w:spacing w:after="0" w:line="276" w:lineRule="auto"/>
        <w:jc w:val="both"/>
        <w:rPr>
          <w:rFonts w:ascii="Verdana" w:eastAsia="Aptos" w:hAnsi="Verdana" w:cs="Times New Roman"/>
          <w:lang w:eastAsia="es-MX"/>
        </w:rPr>
      </w:pPr>
      <w:r w:rsidRPr="00853CF4">
        <w:rPr>
          <w:rFonts w:ascii="Verdana" w:eastAsia="Aptos" w:hAnsi="Verdana" w:cs="Times New Roman"/>
          <w:lang w:eastAsia="es-MX"/>
        </w:rPr>
        <w:t>Recuerde también que la</w:t>
      </w:r>
      <w:r w:rsidRPr="00853CF4">
        <w:rPr>
          <w:rFonts w:ascii="Verdana" w:eastAsia="Aptos" w:hAnsi="Verdana" w:cs="Times New Roman"/>
          <w:b/>
          <w:bCs/>
          <w:lang w:eastAsia="es-MX"/>
        </w:rPr>
        <w:t> información sobre sanciones e inhabilidades </w:t>
      </w:r>
      <w:r w:rsidRPr="00853CF4">
        <w:rPr>
          <w:rFonts w:ascii="Verdana" w:eastAsia="Aptos" w:hAnsi="Verdana" w:cs="Times New Roman"/>
          <w:lang w:eastAsia="es-MX"/>
        </w:rPr>
        <w:t>solo cumple su función preventiva si llega oportunamente a los registros públicos. Sobre este deber, esta Agencia expidió la </w:t>
      </w:r>
      <w:r w:rsidRPr="00853CF4">
        <w:rPr>
          <w:rFonts w:ascii="Verdana" w:eastAsia="Aptos" w:hAnsi="Verdana" w:cs="Times New Roman"/>
          <w:b/>
          <w:bCs/>
          <w:lang w:eastAsia="es-MX"/>
        </w:rPr>
        <w:t>Circular Externa 002 del 5 de mayo de 2026,</w:t>
      </w:r>
      <w:r w:rsidRPr="00853CF4">
        <w:rPr>
          <w:rFonts w:ascii="Verdana" w:eastAsia="Aptos" w:hAnsi="Verdana" w:cs="Times New Roman"/>
          <w:lang w:eastAsia="es-MX"/>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853CF4">
          <w:rPr>
            <w:rFonts w:ascii="Verdana" w:eastAsia="Aptos" w:hAnsi="Verdana" w:cs="Times New Roman"/>
            <w:color w:val="0000FF"/>
            <w:u w:val="single"/>
            <w:lang w:eastAsia="es-MX"/>
          </w:rPr>
          <w:t>https://www.colombiacompra.gov.co/archivos/circular/circular-externa-002-de-2026</w:t>
        </w:r>
      </w:hyperlink>
    </w:p>
    <w:p w14:paraId="78532A37" w14:textId="77777777" w:rsidR="00853CF4" w:rsidRPr="00853CF4" w:rsidRDefault="00853CF4" w:rsidP="00853CF4">
      <w:pPr>
        <w:spacing w:after="0" w:line="276" w:lineRule="auto"/>
        <w:jc w:val="both"/>
        <w:rPr>
          <w:rFonts w:ascii="Verdana" w:eastAsia="Aptos" w:hAnsi="Verdana" w:cs="Times New Roman"/>
          <w:lang w:eastAsia="es-MX"/>
        </w:rPr>
      </w:pPr>
    </w:p>
    <w:p w14:paraId="29876ECD" w14:textId="77777777" w:rsidR="00853CF4" w:rsidRPr="00853CF4" w:rsidRDefault="00853CF4" w:rsidP="00853CF4">
      <w:pPr>
        <w:spacing w:after="0" w:line="276" w:lineRule="auto"/>
        <w:jc w:val="both"/>
        <w:rPr>
          <w:rFonts w:ascii="Verdana" w:eastAsia="Aptos" w:hAnsi="Verdana" w:cs="Times New Roman"/>
          <w:lang w:eastAsia="es-MX"/>
        </w:rPr>
      </w:pPr>
      <w:r w:rsidRPr="00853CF4">
        <w:rPr>
          <w:rFonts w:ascii="Verdana" w:eastAsia="Aptos" w:hAnsi="Verdana" w:cs="Times New Roman"/>
          <w:lang w:eastAsia="es-MX"/>
        </w:rPr>
        <w:t>Si quiere seguir de cerca la actividad de la Agencia, la tercera edición de 2026 del</w:t>
      </w:r>
      <w:r w:rsidRPr="00853CF4">
        <w:rPr>
          <w:rFonts w:ascii="Verdana" w:eastAsia="Aptos" w:hAnsi="Verdana" w:cs="Times New Roman"/>
          <w:b/>
          <w:bCs/>
          <w:lang w:eastAsia="es-MX"/>
        </w:rPr>
        <w:t> Radar de la Compra Pública</w:t>
      </w:r>
      <w:r w:rsidRPr="00853CF4">
        <w:rPr>
          <w:rFonts w:ascii="Verdana" w:eastAsia="Aptos" w:hAnsi="Verdana" w:cs="Times New Roman"/>
          <w:lang w:eastAsia="es-MX"/>
        </w:rPr>
        <w:t xml:space="preserve"> reúne, entre otros contenidos, la Circular </w:t>
      </w:r>
      <w:r w:rsidRPr="00853CF4">
        <w:rPr>
          <w:rFonts w:ascii="Verdana" w:eastAsia="Aptos" w:hAnsi="Verdana" w:cs="Times New Roman"/>
          <w:lang w:eastAsia="es-MX"/>
        </w:rPr>
        <w:lastRenderedPageBreak/>
        <w:t>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853CF4">
          <w:rPr>
            <w:rFonts w:ascii="Verdana" w:eastAsia="Aptos" w:hAnsi="Verdana" w:cs="Times New Roman"/>
            <w:color w:val="0000FF"/>
            <w:u w:val="single"/>
            <w:lang w:eastAsia="es-MX"/>
          </w:rPr>
          <w:t>https://www.colombiacompra.gov.co/archivos/boletin/boletin-edicion-n-3-de-2026-radar-de-la-compra-publica</w:t>
        </w:r>
      </w:hyperlink>
    </w:p>
    <w:p w14:paraId="4BB27AD3" w14:textId="77777777" w:rsidR="00853CF4" w:rsidRPr="00853CF4" w:rsidRDefault="00853CF4" w:rsidP="00853CF4">
      <w:pPr>
        <w:widowControl w:val="0"/>
        <w:autoSpaceDE w:val="0"/>
        <w:autoSpaceDN w:val="0"/>
        <w:spacing w:after="0" w:line="276" w:lineRule="auto"/>
        <w:jc w:val="both"/>
        <w:rPr>
          <w:rFonts w:ascii="Verdana" w:eastAsia="Calibri" w:hAnsi="Verdana" w:cs="Arial"/>
          <w:shd w:val="clear" w:color="auto" w:fill="FFFFFF"/>
          <w:lang w:eastAsia="es-MX"/>
        </w:rPr>
      </w:pPr>
    </w:p>
    <w:p w14:paraId="191ECE04" w14:textId="77777777" w:rsidR="00853CF4" w:rsidRPr="00853CF4" w:rsidRDefault="00853CF4" w:rsidP="00853CF4">
      <w:pPr>
        <w:spacing w:after="0" w:line="276" w:lineRule="auto"/>
        <w:jc w:val="both"/>
        <w:rPr>
          <w:rFonts w:ascii="Verdana" w:eastAsia="Calibri" w:hAnsi="Verdana" w:cs="Times New Roman"/>
          <w:lang w:eastAsia="es-MX"/>
        </w:rPr>
      </w:pPr>
      <w:r w:rsidRPr="00853CF4">
        <w:rPr>
          <w:rFonts w:ascii="Verdana" w:eastAsia="Calibri" w:hAnsi="Verdana" w:cs="Times New Roman"/>
          <w:lang w:eastAsia="es-MX"/>
        </w:rPr>
        <w:t xml:space="preserve">Por último, los invitamos a seguirnos en las redes sociales, en las cuales se difunde información institucional: </w:t>
      </w:r>
    </w:p>
    <w:p w14:paraId="4DD22F5E" w14:textId="77777777" w:rsidR="00853CF4" w:rsidRPr="00853CF4" w:rsidRDefault="00853CF4" w:rsidP="00853CF4">
      <w:pPr>
        <w:spacing w:after="0" w:line="276" w:lineRule="auto"/>
        <w:jc w:val="both"/>
        <w:rPr>
          <w:rFonts w:ascii="Verdana" w:eastAsia="Aptos" w:hAnsi="Verdana" w:cs="Times New Roman"/>
          <w:lang w:eastAsia="es-MX"/>
        </w:rPr>
      </w:pPr>
    </w:p>
    <w:p w14:paraId="137000AB" w14:textId="77777777" w:rsidR="00853CF4" w:rsidRPr="00853CF4" w:rsidRDefault="00853CF4" w:rsidP="00853CF4">
      <w:pPr>
        <w:spacing w:after="0" w:line="276" w:lineRule="auto"/>
        <w:jc w:val="both"/>
        <w:rPr>
          <w:rFonts w:ascii="Verdana" w:eastAsia="Aptos" w:hAnsi="Verdana" w:cs="Times New Roman"/>
          <w:lang w:eastAsia="es-MX"/>
        </w:rPr>
      </w:pPr>
      <w:r w:rsidRPr="00853CF4">
        <w:rPr>
          <w:rFonts w:ascii="Verdana" w:eastAsia="Aptos" w:hAnsi="Verdana" w:cs="Times New Roman"/>
          <w:lang w:eastAsia="es-MX"/>
        </w:rPr>
        <w:t xml:space="preserve">X: </w:t>
      </w:r>
      <w:r w:rsidRPr="00853CF4">
        <w:rPr>
          <w:rFonts w:ascii="Verdana" w:eastAsia="Calibri" w:hAnsi="Verdana" w:cs="Times New Roman"/>
          <w:color w:val="156082"/>
          <w:u w:val="single"/>
          <w:lang w:eastAsia="es-MX"/>
        </w:rPr>
        <w:t>@colombiacompra</w:t>
      </w:r>
      <w:r w:rsidRPr="00853CF4">
        <w:rPr>
          <w:rFonts w:ascii="Verdana" w:eastAsia="Calibri" w:hAnsi="Verdana" w:cs="Times New Roman"/>
          <w:color w:val="156082"/>
          <w:lang w:eastAsia="es-MX"/>
        </w:rPr>
        <w:t xml:space="preserve"> </w:t>
      </w:r>
    </w:p>
    <w:p w14:paraId="4AD65997" w14:textId="77777777" w:rsidR="00853CF4" w:rsidRPr="00853CF4" w:rsidRDefault="00853CF4" w:rsidP="00853CF4">
      <w:pPr>
        <w:spacing w:after="0" w:line="276" w:lineRule="auto"/>
        <w:jc w:val="both"/>
        <w:rPr>
          <w:rFonts w:ascii="Verdana" w:eastAsia="Aptos" w:hAnsi="Verdana" w:cs="Times New Roman"/>
          <w:lang w:eastAsia="es-MX"/>
        </w:rPr>
      </w:pPr>
      <w:r w:rsidRPr="00853CF4">
        <w:rPr>
          <w:rFonts w:ascii="Verdana" w:eastAsia="Aptos" w:hAnsi="Verdana" w:cs="Times New Roman"/>
          <w:lang w:eastAsia="es-MX"/>
        </w:rPr>
        <w:t xml:space="preserve">Facebook: </w:t>
      </w:r>
      <w:proofErr w:type="spellStart"/>
      <w:r w:rsidRPr="00853CF4">
        <w:rPr>
          <w:rFonts w:ascii="Verdana" w:eastAsia="Calibri" w:hAnsi="Verdana" w:cs="Times New Roman"/>
          <w:color w:val="156082"/>
          <w:u w:val="single"/>
          <w:lang w:eastAsia="es-MX"/>
        </w:rPr>
        <w:t>ColombiaCompraEficiente</w:t>
      </w:r>
      <w:proofErr w:type="spellEnd"/>
    </w:p>
    <w:p w14:paraId="1C37DBE9" w14:textId="77777777" w:rsidR="00853CF4" w:rsidRPr="00853CF4" w:rsidRDefault="00853CF4" w:rsidP="00853CF4">
      <w:pPr>
        <w:spacing w:after="0" w:line="276" w:lineRule="auto"/>
        <w:jc w:val="both"/>
        <w:rPr>
          <w:rFonts w:ascii="Verdana" w:eastAsia="Aptos" w:hAnsi="Verdana" w:cs="Times New Roman"/>
          <w:lang w:eastAsia="es-MX"/>
        </w:rPr>
      </w:pPr>
      <w:r w:rsidRPr="00853CF4">
        <w:rPr>
          <w:rFonts w:ascii="Verdana" w:eastAsia="Aptos" w:hAnsi="Verdana" w:cs="Times New Roman"/>
          <w:lang w:eastAsia="es-MX"/>
        </w:rPr>
        <w:t xml:space="preserve">LinkedIn: </w:t>
      </w:r>
      <w:r w:rsidRPr="00853CF4">
        <w:rPr>
          <w:rFonts w:ascii="Verdana" w:eastAsia="Calibri" w:hAnsi="Verdana" w:cs="Times New Roman"/>
          <w:color w:val="156082"/>
          <w:u w:val="single"/>
          <w:lang w:eastAsia="es-MX"/>
        </w:rPr>
        <w:t>Agencia Nacional de Contratación Pública - Colombia Compra Eficiente</w:t>
      </w:r>
      <w:r w:rsidRPr="00853CF4">
        <w:rPr>
          <w:rFonts w:ascii="Verdana" w:eastAsia="Calibri" w:hAnsi="Verdana" w:cs="Times New Roman"/>
          <w:color w:val="156082"/>
          <w:lang w:eastAsia="es-MX"/>
        </w:rPr>
        <w:t xml:space="preserve"> </w:t>
      </w:r>
      <w:r w:rsidRPr="00853CF4">
        <w:rPr>
          <w:rFonts w:ascii="Verdana" w:eastAsia="Aptos" w:hAnsi="Verdana" w:cs="Times New Roman"/>
          <w:lang w:eastAsia="es-MX"/>
        </w:rPr>
        <w:t xml:space="preserve">Instagram: </w:t>
      </w:r>
      <w:r w:rsidRPr="00853CF4">
        <w:rPr>
          <w:rFonts w:ascii="Verdana" w:eastAsia="Calibri" w:hAnsi="Verdana" w:cs="Times New Roman"/>
          <w:color w:val="156082"/>
          <w:u w:val="single"/>
          <w:lang w:eastAsia="es-MX"/>
        </w:rPr>
        <w:t>@colombiacompraeficiente_cce</w:t>
      </w:r>
    </w:p>
    <w:p w14:paraId="25FC3C42" w14:textId="77777777" w:rsidR="00853CF4" w:rsidRPr="00853CF4" w:rsidRDefault="00853CF4" w:rsidP="00853CF4">
      <w:pPr>
        <w:widowControl w:val="0"/>
        <w:autoSpaceDE w:val="0"/>
        <w:autoSpaceDN w:val="0"/>
        <w:spacing w:after="0" w:line="276" w:lineRule="auto"/>
        <w:jc w:val="both"/>
        <w:rPr>
          <w:rFonts w:ascii="Verdana" w:eastAsia="Calibri" w:hAnsi="Verdana" w:cs="Arial"/>
          <w:lang w:eastAsia="es-MX"/>
        </w:rPr>
      </w:pPr>
    </w:p>
    <w:p w14:paraId="58A075CF" w14:textId="77777777" w:rsidR="00853CF4" w:rsidRPr="00853CF4" w:rsidRDefault="00853CF4" w:rsidP="00853CF4">
      <w:pPr>
        <w:widowControl w:val="0"/>
        <w:autoSpaceDE w:val="0"/>
        <w:autoSpaceDN w:val="0"/>
        <w:spacing w:after="0" w:line="276" w:lineRule="auto"/>
        <w:jc w:val="both"/>
        <w:rPr>
          <w:rFonts w:ascii="Verdana" w:eastAsia="Calibri" w:hAnsi="Verdana" w:cs="Arial"/>
          <w:lang w:eastAsia="es-MX"/>
        </w:rPr>
      </w:pPr>
      <w:r w:rsidRPr="00853CF4">
        <w:rPr>
          <w:rFonts w:ascii="Verdana" w:eastAsia="Calibri" w:hAnsi="Verdana" w:cs="Arial"/>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ED46B21" w14:textId="77777777" w:rsidR="00853CF4" w:rsidRPr="00853CF4" w:rsidRDefault="00853CF4" w:rsidP="00853CF4">
      <w:pPr>
        <w:widowControl w:val="0"/>
        <w:autoSpaceDE w:val="0"/>
        <w:autoSpaceDN w:val="0"/>
        <w:spacing w:after="0" w:line="276" w:lineRule="auto"/>
        <w:jc w:val="both"/>
        <w:rPr>
          <w:rFonts w:ascii="Verdana" w:eastAsia="Calibri" w:hAnsi="Verdana" w:cs="Arial"/>
          <w:lang w:eastAsia="es-MX"/>
        </w:rPr>
      </w:pPr>
    </w:p>
    <w:p w14:paraId="561E9E2A" w14:textId="77777777" w:rsidR="00853CF4" w:rsidRDefault="00853CF4" w:rsidP="00853CF4">
      <w:pPr>
        <w:spacing w:after="0" w:line="240" w:lineRule="auto"/>
        <w:rPr>
          <w:rFonts w:ascii="Verdana" w:eastAsia="Calibri" w:hAnsi="Verdana" w:cs="Arial"/>
          <w:lang w:eastAsia="es-CO"/>
        </w:rPr>
      </w:pPr>
      <w:r w:rsidRPr="00853CF4">
        <w:rPr>
          <w:rFonts w:ascii="Verdana" w:eastAsia="Times New Roman" w:hAnsi="Verdana" w:cs="Arial"/>
          <w:lang w:eastAsia="es-CO"/>
        </w:rPr>
        <w:t>Atentamente,</w:t>
      </w:r>
      <w:r w:rsidRPr="00853CF4">
        <w:rPr>
          <w:rFonts w:ascii="Verdana" w:eastAsia="Calibri" w:hAnsi="Verdana" w:cs="Arial"/>
          <w:lang w:eastAsia="es-CO"/>
        </w:rPr>
        <w:t xml:space="preserve"> </w:t>
      </w:r>
    </w:p>
    <w:p w14:paraId="688ED2A8" w14:textId="77777777" w:rsidR="003A270D" w:rsidRDefault="003A270D" w:rsidP="00853CF4">
      <w:pPr>
        <w:spacing w:after="0" w:line="240" w:lineRule="auto"/>
        <w:rPr>
          <w:rFonts w:ascii="Verdana" w:eastAsia="Calibri" w:hAnsi="Verdana" w:cs="Arial"/>
          <w:lang w:eastAsia="es-CO"/>
        </w:rPr>
      </w:pPr>
    </w:p>
    <w:p w14:paraId="6FA68E8A" w14:textId="4A7D248D" w:rsidR="00853CF4" w:rsidRPr="008A41CF" w:rsidRDefault="008A41CF" w:rsidP="008A41CF">
      <w:pPr>
        <w:spacing w:after="0" w:line="240" w:lineRule="auto"/>
        <w:jc w:val="center"/>
        <w:rPr>
          <w:rFonts w:ascii="Verdana" w:eastAsia="Calibri" w:hAnsi="Verdana" w:cs="Arial"/>
          <w:lang w:eastAsia="es-CO"/>
        </w:rPr>
      </w:pPr>
      <w:r w:rsidRPr="00816A1E">
        <w:rPr>
          <w:rFonts w:ascii="Verdana" w:eastAsia="Calibri" w:hAnsi="Verdana" w:cs="Arial"/>
          <w:noProof/>
          <w:lang w:val="es-ES_tradnl" w:eastAsia="es-CO"/>
        </w:rPr>
        <w:drawing>
          <wp:inline distT="0" distB="0" distL="0" distR="0" wp14:anchorId="714DD478" wp14:editId="51DD0497">
            <wp:extent cx="3352800" cy="1244600"/>
            <wp:effectExtent l="0" t="0" r="0" b="0"/>
            <wp:docPr id="747261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639" name=""/>
                    <pic:cNvPicPr/>
                  </pic:nvPicPr>
                  <pic:blipFill>
                    <a:blip r:embed="rId17"/>
                    <a:stretch>
                      <a:fillRect/>
                    </a:stretch>
                  </pic:blipFill>
                  <pic:spPr>
                    <a:xfrm>
                      <a:off x="0" y="0"/>
                      <a:ext cx="3352800" cy="1244600"/>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853CF4" w:rsidRPr="00853CF4" w14:paraId="31D274CB" w14:textId="77777777" w:rsidTr="006F4AB5">
        <w:trPr>
          <w:trHeight w:val="315"/>
        </w:trPr>
        <w:tc>
          <w:tcPr>
            <w:tcW w:w="893" w:type="dxa"/>
            <w:tcBorders>
              <w:top w:val="nil"/>
              <w:left w:val="nil"/>
              <w:bottom w:val="nil"/>
              <w:right w:val="nil"/>
            </w:tcBorders>
            <w:vAlign w:val="center"/>
            <w:hideMark/>
          </w:tcPr>
          <w:p w14:paraId="63B749CE" w14:textId="77777777" w:rsidR="00853CF4" w:rsidRPr="00853CF4" w:rsidRDefault="00853CF4" w:rsidP="00853CF4">
            <w:pPr>
              <w:rPr>
                <w:rFonts w:ascii="Verdana" w:eastAsia="Calibri" w:hAnsi="Verdana" w:cs="Arial"/>
                <w:sz w:val="16"/>
                <w:szCs w:val="16"/>
                <w:lang w:eastAsia="es-ES"/>
              </w:rPr>
            </w:pPr>
            <w:r w:rsidRPr="00853CF4">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09973F7A" w14:textId="77777777" w:rsidR="00853CF4" w:rsidRPr="00853CF4" w:rsidRDefault="00853CF4" w:rsidP="00853CF4">
            <w:pPr>
              <w:rPr>
                <w:rFonts w:ascii="Verdana" w:eastAsia="Arial" w:hAnsi="Verdana" w:cs="Arial"/>
                <w:sz w:val="16"/>
                <w:szCs w:val="16"/>
                <w:lang w:eastAsia="es-MX"/>
              </w:rPr>
            </w:pPr>
            <w:r w:rsidRPr="00853CF4">
              <w:rPr>
                <w:rFonts w:ascii="Verdana" w:eastAsia="Arial" w:hAnsi="Verdana" w:cs="Arial"/>
                <w:sz w:val="16"/>
                <w:szCs w:val="16"/>
                <w:lang w:eastAsia="es-MX"/>
              </w:rPr>
              <w:t>Kevin Arlid Herrera Santa</w:t>
            </w:r>
          </w:p>
          <w:p w14:paraId="0A6AE46B" w14:textId="77777777" w:rsidR="00853CF4" w:rsidRPr="00853CF4" w:rsidRDefault="00853CF4" w:rsidP="00853CF4">
            <w:pPr>
              <w:rPr>
                <w:rFonts w:ascii="Verdana" w:eastAsia="Arial" w:hAnsi="Verdana" w:cs="Arial"/>
                <w:sz w:val="16"/>
                <w:szCs w:val="16"/>
                <w:lang w:eastAsia="es-MX"/>
              </w:rPr>
            </w:pPr>
            <w:r w:rsidRPr="00853CF4">
              <w:rPr>
                <w:rFonts w:ascii="Verdana" w:eastAsia="Arial" w:hAnsi="Verdana" w:cs="Arial"/>
                <w:sz w:val="16"/>
                <w:szCs w:val="16"/>
                <w:lang w:eastAsia="es-MX"/>
              </w:rPr>
              <w:t>Contratista de la Subdirección de Gestión Contractual</w:t>
            </w:r>
          </w:p>
          <w:p w14:paraId="41C9A015" w14:textId="77777777" w:rsidR="00853CF4" w:rsidRPr="00853CF4" w:rsidRDefault="00853CF4" w:rsidP="00853CF4">
            <w:pPr>
              <w:rPr>
                <w:rFonts w:ascii="Verdana" w:eastAsia="Arial" w:hAnsi="Verdana" w:cs="Arial"/>
                <w:sz w:val="16"/>
                <w:szCs w:val="16"/>
                <w:lang w:eastAsia="es-MX"/>
              </w:rPr>
            </w:pPr>
            <w:r w:rsidRPr="00853CF4">
              <w:rPr>
                <w:rFonts w:ascii="Verdana" w:eastAsia="Arial" w:hAnsi="Verdana" w:cs="Arial"/>
                <w:sz w:val="16"/>
                <w:szCs w:val="16"/>
                <w:lang w:eastAsia="es-MX"/>
              </w:rPr>
              <w:t>Alexandra Rodríguez Motta</w:t>
            </w:r>
          </w:p>
          <w:p w14:paraId="6F0F1CD8" w14:textId="77777777" w:rsidR="00853CF4" w:rsidRPr="00853CF4" w:rsidRDefault="00853CF4" w:rsidP="00853CF4">
            <w:pPr>
              <w:rPr>
                <w:rFonts w:ascii="Verdana" w:eastAsia="Arial" w:hAnsi="Verdana" w:cs="Arial"/>
                <w:sz w:val="16"/>
                <w:szCs w:val="16"/>
                <w:lang w:eastAsia="es-MX"/>
              </w:rPr>
            </w:pPr>
            <w:r w:rsidRPr="00853CF4">
              <w:rPr>
                <w:rFonts w:ascii="Verdana" w:eastAsia="Arial" w:hAnsi="Verdana" w:cs="Arial"/>
                <w:sz w:val="16"/>
                <w:szCs w:val="16"/>
                <w:lang w:eastAsia="es-MX"/>
              </w:rPr>
              <w:t>Contratista de la Subdirección de Gestión Contractual</w:t>
            </w:r>
          </w:p>
        </w:tc>
      </w:tr>
      <w:tr w:rsidR="00853CF4" w:rsidRPr="00853CF4" w14:paraId="425F2164" w14:textId="77777777" w:rsidTr="006F4AB5">
        <w:trPr>
          <w:trHeight w:val="330"/>
        </w:trPr>
        <w:tc>
          <w:tcPr>
            <w:tcW w:w="893" w:type="dxa"/>
            <w:tcBorders>
              <w:top w:val="nil"/>
              <w:left w:val="nil"/>
              <w:bottom w:val="nil"/>
              <w:right w:val="nil"/>
            </w:tcBorders>
            <w:vAlign w:val="center"/>
            <w:hideMark/>
          </w:tcPr>
          <w:p w14:paraId="71D75FFE" w14:textId="77777777" w:rsidR="00853CF4" w:rsidRPr="00853CF4" w:rsidRDefault="00853CF4" w:rsidP="00853CF4">
            <w:pPr>
              <w:rPr>
                <w:rFonts w:ascii="Verdana" w:eastAsia="Calibri" w:hAnsi="Verdana" w:cs="Arial"/>
                <w:sz w:val="16"/>
                <w:szCs w:val="16"/>
                <w:lang w:eastAsia="es-ES"/>
              </w:rPr>
            </w:pPr>
            <w:r w:rsidRPr="00853CF4">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E8A81B7" w14:textId="77777777" w:rsidR="00853CF4" w:rsidRPr="00853CF4" w:rsidRDefault="00853CF4" w:rsidP="00853CF4">
            <w:pPr>
              <w:textAlignment w:val="baseline"/>
              <w:rPr>
                <w:rFonts w:ascii="Verdana" w:eastAsia="Times New Roman" w:hAnsi="Verdana" w:cs="Segoe UI"/>
                <w:sz w:val="16"/>
                <w:szCs w:val="16"/>
                <w:lang w:val="es-ES" w:eastAsia="es-ES"/>
              </w:rPr>
            </w:pPr>
            <w:r w:rsidRPr="00853CF4">
              <w:rPr>
                <w:rFonts w:ascii="Verdana" w:eastAsia="Times New Roman" w:hAnsi="Verdana" w:cs="Segoe UI"/>
                <w:sz w:val="16"/>
                <w:szCs w:val="16"/>
                <w:lang w:val="es-ES" w:eastAsia="es-ES"/>
              </w:rPr>
              <w:t xml:space="preserve">Adriana </w:t>
            </w:r>
            <w:proofErr w:type="spellStart"/>
            <w:r w:rsidRPr="00853CF4">
              <w:rPr>
                <w:rFonts w:ascii="Verdana" w:eastAsia="Times New Roman" w:hAnsi="Verdana" w:cs="Segoe UI"/>
                <w:sz w:val="16"/>
                <w:szCs w:val="16"/>
                <w:lang w:val="es-ES" w:eastAsia="es-ES"/>
              </w:rPr>
              <w:t>Katerine</w:t>
            </w:r>
            <w:proofErr w:type="spellEnd"/>
            <w:r w:rsidRPr="00853CF4">
              <w:rPr>
                <w:rFonts w:ascii="Verdana" w:eastAsia="Times New Roman" w:hAnsi="Verdana" w:cs="Segoe UI"/>
                <w:sz w:val="16"/>
                <w:szCs w:val="16"/>
                <w:lang w:val="es-ES" w:eastAsia="es-ES"/>
              </w:rPr>
              <w:t xml:space="preserve"> López Rodríguez</w:t>
            </w:r>
          </w:p>
          <w:p w14:paraId="529F3FCB" w14:textId="77777777" w:rsidR="00853CF4" w:rsidRPr="00853CF4" w:rsidRDefault="00853CF4" w:rsidP="00853CF4">
            <w:pPr>
              <w:textAlignment w:val="baseline"/>
              <w:rPr>
                <w:rFonts w:ascii="Verdana" w:eastAsia="Times New Roman" w:hAnsi="Verdana" w:cs="Segoe UI"/>
                <w:sz w:val="16"/>
                <w:szCs w:val="16"/>
                <w:lang w:eastAsia="es-ES_tradnl"/>
              </w:rPr>
            </w:pPr>
            <w:r w:rsidRPr="00853CF4">
              <w:rPr>
                <w:rFonts w:ascii="Verdana" w:eastAsia="Times New Roman" w:hAnsi="Verdana" w:cs="Arial"/>
                <w:sz w:val="16"/>
                <w:szCs w:val="16"/>
                <w:lang w:eastAsia="es-ES_tradnl"/>
              </w:rPr>
              <w:t>Contratista de la Subdirección de Gestión Contractual </w:t>
            </w:r>
          </w:p>
        </w:tc>
      </w:tr>
      <w:tr w:rsidR="00853CF4" w:rsidRPr="00853CF4" w14:paraId="0AC807BD" w14:textId="77777777" w:rsidTr="006F4AB5">
        <w:trPr>
          <w:trHeight w:val="300"/>
        </w:trPr>
        <w:tc>
          <w:tcPr>
            <w:tcW w:w="893" w:type="dxa"/>
            <w:tcBorders>
              <w:top w:val="nil"/>
              <w:left w:val="nil"/>
              <w:bottom w:val="nil"/>
              <w:right w:val="nil"/>
            </w:tcBorders>
            <w:vAlign w:val="center"/>
          </w:tcPr>
          <w:p w14:paraId="5690E094" w14:textId="77777777" w:rsidR="00853CF4" w:rsidRPr="00853CF4" w:rsidRDefault="00853CF4" w:rsidP="00853CF4">
            <w:pPr>
              <w:rPr>
                <w:rFonts w:ascii="Verdana" w:eastAsia="Calibri" w:hAnsi="Verdana" w:cs="Arial"/>
                <w:sz w:val="16"/>
                <w:szCs w:val="16"/>
                <w:lang w:eastAsia="es-ES"/>
              </w:rPr>
            </w:pPr>
            <w:r w:rsidRPr="00853CF4">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0F047326" w14:textId="6B718F66" w:rsidR="00853CF4" w:rsidRPr="00853CF4" w:rsidRDefault="00A26B2F" w:rsidP="00853CF4">
            <w:pPr>
              <w:rPr>
                <w:rFonts w:ascii="Verdana" w:eastAsia="Calibri" w:hAnsi="Verdana" w:cs="Arial"/>
                <w:sz w:val="16"/>
                <w:szCs w:val="16"/>
                <w:lang w:eastAsia="es-ES"/>
              </w:rPr>
            </w:pPr>
            <w:r>
              <w:rPr>
                <w:rFonts w:ascii="Verdana" w:eastAsia="Calibri" w:hAnsi="Verdana" w:cs="Arial"/>
                <w:sz w:val="16"/>
                <w:szCs w:val="16"/>
                <w:lang w:eastAsia="es-ES"/>
              </w:rPr>
              <w:t>William Javier Murcia Acevedo</w:t>
            </w:r>
          </w:p>
          <w:p w14:paraId="38C22311" w14:textId="1DABF4A1" w:rsidR="00853CF4" w:rsidRPr="00853CF4" w:rsidRDefault="00853CF4" w:rsidP="00853CF4">
            <w:pPr>
              <w:rPr>
                <w:rFonts w:ascii="Verdana" w:eastAsia="Calibri" w:hAnsi="Verdana" w:cs="Arial"/>
                <w:sz w:val="16"/>
                <w:szCs w:val="16"/>
                <w:lang w:eastAsia="es-ES"/>
              </w:rPr>
            </w:pPr>
            <w:r w:rsidRPr="00853CF4">
              <w:rPr>
                <w:rFonts w:ascii="Verdana" w:eastAsia="Calibri" w:hAnsi="Verdana" w:cs="Arial"/>
                <w:sz w:val="16"/>
                <w:szCs w:val="16"/>
                <w:lang w:eastAsia="es-ES"/>
              </w:rPr>
              <w:t>Subdirector de Gestión Contractual</w:t>
            </w:r>
            <w:r w:rsidR="00A26B2F">
              <w:rPr>
                <w:rFonts w:ascii="Verdana" w:eastAsia="Calibri" w:hAnsi="Verdana" w:cs="Arial"/>
                <w:sz w:val="16"/>
                <w:szCs w:val="16"/>
                <w:lang w:eastAsia="es-ES"/>
              </w:rPr>
              <w:t xml:space="preserve"> (E)</w:t>
            </w:r>
            <w:r w:rsidRPr="00853CF4">
              <w:rPr>
                <w:rFonts w:ascii="Verdana" w:eastAsia="Calibri" w:hAnsi="Verdana" w:cs="Arial"/>
                <w:sz w:val="16"/>
                <w:szCs w:val="16"/>
                <w:lang w:eastAsia="es-ES"/>
              </w:rPr>
              <w:t xml:space="preserve"> ANCP – CCE</w:t>
            </w:r>
          </w:p>
        </w:tc>
      </w:tr>
    </w:tbl>
    <w:p w14:paraId="69BC4D14" w14:textId="05F555CF" w:rsidR="00C15139" w:rsidRPr="000E2B93" w:rsidRDefault="00853CF4" w:rsidP="30821638">
      <w:pPr>
        <w:spacing w:after="0" w:line="240" w:lineRule="auto"/>
        <w:textAlignment w:val="baseline"/>
        <w:rPr>
          <w:rFonts w:ascii="Verdana" w:eastAsia="Verdana" w:hAnsi="Verdana" w:cs="Verdana"/>
          <w:lang w:eastAsia="es-CO"/>
        </w:rPr>
      </w:pPr>
      <w:r w:rsidRPr="00853CF4">
        <w:rPr>
          <w:rFonts w:ascii="Verdana" w:eastAsia="Verdana" w:hAnsi="Verdana" w:cs="Verdana"/>
          <w:lang w:eastAsia="es-CO"/>
        </w:rPr>
        <w:t> </w:t>
      </w:r>
      <w:r w:rsidR="00C15139"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0C6EC0" w14:textId="77777777" w:rsidR="009A373B" w:rsidRDefault="009A373B" w:rsidP="004A1847">
      <w:pPr>
        <w:spacing w:after="0" w:line="240" w:lineRule="auto"/>
      </w:pPr>
      <w:r>
        <w:separator/>
      </w:r>
    </w:p>
  </w:endnote>
  <w:endnote w:type="continuationSeparator" w:id="0">
    <w:p w14:paraId="4327C444" w14:textId="77777777" w:rsidR="009A373B" w:rsidRDefault="009A373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2B60A" w14:textId="77777777" w:rsidR="009A373B" w:rsidRDefault="009A373B" w:rsidP="004A1847">
      <w:pPr>
        <w:spacing w:after="0" w:line="240" w:lineRule="auto"/>
      </w:pPr>
      <w:r>
        <w:separator/>
      </w:r>
    </w:p>
  </w:footnote>
  <w:footnote w:type="continuationSeparator" w:id="0">
    <w:p w14:paraId="3D8E1DF6" w14:textId="77777777" w:rsidR="009A373B" w:rsidRDefault="009A373B"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6694C36"/>
    <w:multiLevelType w:val="hybridMultilevel"/>
    <w:tmpl w:val="F6DE59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74348523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4CC3"/>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0072"/>
    <w:rsid w:val="003448F4"/>
    <w:rsid w:val="00374F5E"/>
    <w:rsid w:val="00377E3E"/>
    <w:rsid w:val="003A270D"/>
    <w:rsid w:val="003A779E"/>
    <w:rsid w:val="003D0F4D"/>
    <w:rsid w:val="003D5B0D"/>
    <w:rsid w:val="003E0499"/>
    <w:rsid w:val="003E4F80"/>
    <w:rsid w:val="003E6439"/>
    <w:rsid w:val="003F2256"/>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A4C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3CF4"/>
    <w:rsid w:val="00867F95"/>
    <w:rsid w:val="008843B6"/>
    <w:rsid w:val="00891928"/>
    <w:rsid w:val="008A41CF"/>
    <w:rsid w:val="008A446D"/>
    <w:rsid w:val="008B25F1"/>
    <w:rsid w:val="008D180B"/>
    <w:rsid w:val="008F0EA7"/>
    <w:rsid w:val="00923EEF"/>
    <w:rsid w:val="009419F9"/>
    <w:rsid w:val="0095685E"/>
    <w:rsid w:val="00961B09"/>
    <w:rsid w:val="00965334"/>
    <w:rsid w:val="0097093E"/>
    <w:rsid w:val="009A0DFA"/>
    <w:rsid w:val="009A1C6F"/>
    <w:rsid w:val="009A373B"/>
    <w:rsid w:val="009B2D26"/>
    <w:rsid w:val="009C71FA"/>
    <w:rsid w:val="009C72E7"/>
    <w:rsid w:val="009C7F7E"/>
    <w:rsid w:val="009D3058"/>
    <w:rsid w:val="009D5FDC"/>
    <w:rsid w:val="009F3A13"/>
    <w:rsid w:val="00A122D3"/>
    <w:rsid w:val="00A14468"/>
    <w:rsid w:val="00A17F13"/>
    <w:rsid w:val="00A20739"/>
    <w:rsid w:val="00A23AF9"/>
    <w:rsid w:val="00A26B2F"/>
    <w:rsid w:val="00A33C78"/>
    <w:rsid w:val="00AB0ADB"/>
    <w:rsid w:val="00AF3ADC"/>
    <w:rsid w:val="00B00C0E"/>
    <w:rsid w:val="00B01B1A"/>
    <w:rsid w:val="00B0381D"/>
    <w:rsid w:val="00B44A47"/>
    <w:rsid w:val="00B72CD3"/>
    <w:rsid w:val="00B72FFF"/>
    <w:rsid w:val="00BC3D36"/>
    <w:rsid w:val="00BD54A6"/>
    <w:rsid w:val="00BD7F72"/>
    <w:rsid w:val="00BF242C"/>
    <w:rsid w:val="00BF7425"/>
    <w:rsid w:val="00C04FB3"/>
    <w:rsid w:val="00C11D8B"/>
    <w:rsid w:val="00C15139"/>
    <w:rsid w:val="00C330EB"/>
    <w:rsid w:val="00C50D69"/>
    <w:rsid w:val="00C5365C"/>
    <w:rsid w:val="00C754BE"/>
    <w:rsid w:val="00C76B1C"/>
    <w:rsid w:val="00C925AC"/>
    <w:rsid w:val="00CB6357"/>
    <w:rsid w:val="00CC1B26"/>
    <w:rsid w:val="00CE7E27"/>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28E3"/>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9EF901-2211-4A9F-B7CB-81F2E3A01DB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19</Pages>
  <Words>7240</Words>
  <Characters>39824</Characters>
  <Application>Microsoft Office Word</Application>
  <DocSecurity>0</DocSecurity>
  <Lines>331</Lines>
  <Paragraphs>93</Paragraphs>
  <ScaleCrop>false</ScaleCrop>
  <Company/>
  <LinksUpToDate>false</LinksUpToDate>
  <CharactersWithSpaces>46971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2026-10-26T20:19:00Z</dcterms:created>
  <dcterms:modified xsi:type="dcterms:W3CDTF">2026-10-27T00:39:00Z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