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C973E" w14:textId="77777777" w:rsidR="002B7D39" w:rsidRPr="00AB47EC" w:rsidRDefault="002B7D39" w:rsidP="00D84F28">
      <w:pPr>
        <w:spacing w:after="0" w:line="240" w:lineRule="auto"/>
        <w:contextualSpacing/>
        <w:jc w:val="both"/>
        <w:rPr>
          <w:rFonts w:ascii="Verdana" w:hAnsi="Verdana" w:cs="Arial"/>
          <w:b/>
          <w:bCs/>
          <w:lang w:val="es-ES_tradnl" w:eastAsia="en-US"/>
        </w:rPr>
      </w:pPr>
      <w:bookmarkStart w:id="0" w:name="_Hlk143780582"/>
      <w:r w:rsidRPr="00AB47EC">
        <w:rPr>
          <w:rFonts w:ascii="Verdana" w:hAnsi="Verdana" w:cs="Arial"/>
          <w:b/>
          <w:bCs/>
          <w:lang w:val="es-CO" w:eastAsia="en-US"/>
        </w:rPr>
        <w:t xml:space="preserve">CONTRATO DE PRESTACIÓN DE SERVICIOS – Concepto </w:t>
      </w:r>
      <w:r w:rsidRPr="00AB47EC">
        <w:rPr>
          <w:rFonts w:ascii="Verdana" w:hAnsi="Verdana" w:cs="Arial"/>
          <w:b/>
          <w:bCs/>
          <w:lang w:val="es-ES_tradnl" w:eastAsia="en-US"/>
        </w:rPr>
        <w:t xml:space="preserve"> </w:t>
      </w:r>
    </w:p>
    <w:p w14:paraId="1B52FB05" w14:textId="77777777" w:rsidR="002B7D39" w:rsidRPr="00AB47EC" w:rsidRDefault="002B7D39" w:rsidP="00D84F28">
      <w:pPr>
        <w:spacing w:after="0" w:line="240" w:lineRule="auto"/>
        <w:contextualSpacing/>
        <w:jc w:val="both"/>
        <w:rPr>
          <w:rFonts w:ascii="Verdana" w:hAnsi="Verdana" w:cs="Arial"/>
          <w:sz w:val="20"/>
          <w:szCs w:val="20"/>
          <w:lang w:val="es-ES_tradnl" w:eastAsia="en-US"/>
        </w:rPr>
      </w:pPr>
    </w:p>
    <w:p w14:paraId="5974ABF5" w14:textId="77777777" w:rsidR="002B7D39" w:rsidRPr="00AB47EC" w:rsidRDefault="002B7D39" w:rsidP="00D84F28">
      <w:pPr>
        <w:spacing w:after="0" w:line="240" w:lineRule="auto"/>
        <w:contextualSpacing/>
        <w:jc w:val="both"/>
        <w:rPr>
          <w:rFonts w:ascii="Verdana" w:hAnsi="Verdana" w:cs="Arial"/>
          <w:sz w:val="20"/>
          <w:szCs w:val="20"/>
          <w:lang w:val="es-ES_tradnl" w:eastAsia="en-US"/>
        </w:rPr>
      </w:pPr>
      <w:r w:rsidRPr="00AB47EC">
        <w:rPr>
          <w:rFonts w:ascii="Verdana" w:hAnsi="Verdana" w:cs="Arial"/>
          <w:sz w:val="20"/>
          <w:szCs w:val="20"/>
          <w:lang w:val="es-CO" w:eastAsia="en-US"/>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r w:rsidRPr="00AB47EC">
        <w:rPr>
          <w:rFonts w:ascii="Verdana" w:hAnsi="Verdana" w:cs="Arial"/>
          <w:sz w:val="20"/>
          <w:szCs w:val="20"/>
          <w:lang w:val="es-ES_tradnl" w:eastAsia="en-US"/>
        </w:rPr>
        <w:t xml:space="preserve"> </w:t>
      </w:r>
      <w:r w:rsidRPr="00AB47EC">
        <w:rPr>
          <w:rFonts w:ascii="Verdana" w:hAnsi="Verdana" w:cs="Arial"/>
          <w:sz w:val="20"/>
          <w:szCs w:val="20"/>
          <w:lang w:val="es-CO" w:eastAsia="en-US"/>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r w:rsidRPr="00AB47EC">
        <w:rPr>
          <w:rFonts w:ascii="Verdana" w:hAnsi="Verdana" w:cs="Arial"/>
          <w:sz w:val="20"/>
          <w:szCs w:val="20"/>
          <w:lang w:val="es-ES_tradnl" w:eastAsia="en-US"/>
        </w:rPr>
        <w:t xml:space="preserve"> </w:t>
      </w:r>
      <w:r w:rsidRPr="00AB47EC">
        <w:rPr>
          <w:rFonts w:ascii="Verdana" w:hAnsi="Verdana" w:cs="Arial"/>
          <w:sz w:val="20"/>
          <w:szCs w:val="20"/>
          <w:lang w:val="es-CO" w:eastAsia="en-US"/>
        </w:rPr>
        <w:t>En ningún caso estos contratos generan relación laboral ni prestaciones sociales y se celebrarán por el término estrictamente indispensable.</w:t>
      </w:r>
    </w:p>
    <w:p w14:paraId="6BF5B83C" w14:textId="77777777" w:rsidR="002B7D39" w:rsidRPr="00AB47EC" w:rsidRDefault="002B7D39" w:rsidP="00D84F28">
      <w:pPr>
        <w:spacing w:after="0" w:line="240" w:lineRule="auto"/>
        <w:jc w:val="both"/>
        <w:rPr>
          <w:rFonts w:ascii="Verdana" w:eastAsia="Verdana" w:hAnsi="Verdana" w:cs="Verdana"/>
          <w:b/>
          <w:highlight w:val="lightGray"/>
          <w:lang w:val="es-ES_tradnl" w:eastAsia="en-US"/>
        </w:rPr>
      </w:pPr>
    </w:p>
    <w:p w14:paraId="4CA9B4A8" w14:textId="77777777" w:rsidR="002B7D39" w:rsidRPr="00AB47EC" w:rsidRDefault="002B7D39" w:rsidP="00D84F28">
      <w:pPr>
        <w:spacing w:after="0" w:line="240" w:lineRule="auto"/>
        <w:contextualSpacing/>
        <w:jc w:val="both"/>
        <w:rPr>
          <w:rFonts w:ascii="Verdana" w:hAnsi="Verdana" w:cs="Arial"/>
          <w:b/>
          <w:bCs/>
          <w:lang w:val="es-ES_tradnl" w:eastAsia="en-US"/>
        </w:rPr>
      </w:pPr>
      <w:r w:rsidRPr="00AB47EC">
        <w:rPr>
          <w:rFonts w:ascii="Verdana" w:hAnsi="Verdana" w:cs="Arial"/>
          <w:b/>
          <w:bCs/>
          <w:lang w:val="es-ES_tradnl" w:eastAsia="en-US"/>
        </w:rPr>
        <w:t>CONTRATO DE PRESTACIÓN DE SERVICIOS – Características</w:t>
      </w:r>
    </w:p>
    <w:p w14:paraId="25846960" w14:textId="77777777" w:rsidR="002B7D39" w:rsidRPr="00AB47EC" w:rsidRDefault="002B7D39" w:rsidP="00D84F28">
      <w:pPr>
        <w:spacing w:after="0" w:line="240" w:lineRule="auto"/>
        <w:contextualSpacing/>
        <w:jc w:val="both"/>
        <w:rPr>
          <w:rFonts w:ascii="Verdana" w:hAnsi="Verdana" w:cs="Arial"/>
          <w:b/>
          <w:bCs/>
          <w:sz w:val="20"/>
          <w:szCs w:val="20"/>
          <w:lang w:val="es-ES_tradnl" w:eastAsia="en-US"/>
        </w:rPr>
      </w:pPr>
    </w:p>
    <w:p w14:paraId="63CB4145" w14:textId="77777777" w:rsidR="002B7D39" w:rsidRPr="00AB47EC" w:rsidRDefault="002B7D39" w:rsidP="00D84F28">
      <w:pPr>
        <w:spacing w:after="0" w:line="240" w:lineRule="auto"/>
        <w:jc w:val="both"/>
        <w:rPr>
          <w:rFonts w:ascii="Verdana" w:eastAsia="Verdana" w:hAnsi="Verdana" w:cs="Verdana"/>
          <w:color w:val="EE0000"/>
          <w:sz w:val="20"/>
          <w:szCs w:val="20"/>
          <w:lang w:val="es-MX" w:eastAsia="en-US"/>
        </w:rPr>
      </w:pPr>
      <w:r w:rsidRPr="00AB47EC">
        <w:rPr>
          <w:rFonts w:ascii="Verdana" w:eastAsia="Times New Roman" w:hAnsi="Verdana" w:cs="Times New Roman"/>
          <w:sz w:val="20"/>
          <w:szCs w:val="20"/>
          <w:lang w:val="es-ES_tradnl" w:eastAsia="es-ES_tradnl"/>
        </w:rPr>
        <w:t>a) Solo puede celebrarse para realizar “actividades relacionadas con la administración o funcionamiento de la entidad”; b) Admite que se suscriba tanto con personas naturales, como con personas jurídicas; c) se diferencian del contrato de trabajo, de acuerdo con los argumentos expuesto en este concepto; d) Deben ser temporales, por lo que no puede referirse a un contrato de prestación de servicios indefinido que resulta contrario a su naturaleza; e) Como especies del género prestación de servicios, se incluyen los contratos de prestación de servicios profesionales, los contratos de prestación de servicios apoyo a la gestión y los contratos de prestación de servicios artísticos que solo pueden encomendarse a determinadas personas naturales; f) Su celebración debe realizarse a través de la modalidad de contratación directa; g) Para su celebración no se requiere la expedición del acto administrativo de justificación de la contratación directa; h) Admiten el pacto de cláusulas excepcionales; i) No es obligatoria la liquidación, sin perjuicio de que esta se pueda efectuar de manera facultativa cuando así se considere necesario; j) Para su celebración no se requiere inscripción en el Registro Único de Proponentes (RUP); k) No son necesarias las garantías.</w:t>
      </w:r>
    </w:p>
    <w:p w14:paraId="0793D327" w14:textId="77777777" w:rsidR="002B7D39" w:rsidRDefault="002B7D39" w:rsidP="00D84F28">
      <w:pPr>
        <w:spacing w:after="0" w:line="240" w:lineRule="auto"/>
        <w:rPr>
          <w:rFonts w:ascii="Verdana" w:eastAsia="Verdana" w:hAnsi="Verdana" w:cs="Verdana"/>
          <w:lang w:val="es-MX" w:eastAsia="en-US"/>
        </w:rPr>
      </w:pPr>
    </w:p>
    <w:p w14:paraId="24A6C619" w14:textId="77777777" w:rsidR="00DC76E9" w:rsidRPr="00DC76E9" w:rsidRDefault="00DC76E9" w:rsidP="00D84F28">
      <w:pPr>
        <w:spacing w:after="0" w:line="240" w:lineRule="auto"/>
        <w:jc w:val="both"/>
        <w:rPr>
          <w:rFonts w:ascii="Verdana" w:eastAsia="Verdana" w:hAnsi="Verdana" w:cs="Verdana"/>
          <w:b/>
          <w:bCs/>
          <w:lang w:val="es-ES" w:eastAsia="en-US"/>
        </w:rPr>
      </w:pPr>
      <w:r w:rsidRPr="00DC76E9">
        <w:rPr>
          <w:rFonts w:ascii="Verdana" w:eastAsia="Verdana" w:hAnsi="Verdana" w:cs="Verdana"/>
          <w:b/>
          <w:bCs/>
          <w:lang w:val="es-ES" w:eastAsia="en-US"/>
        </w:rPr>
        <w:t xml:space="preserve">RIESGOS PSICOSOCIAL – Alcance – Resolución 2464 de 2008 </w:t>
      </w:r>
    </w:p>
    <w:p w14:paraId="2CFDA69D" w14:textId="77777777" w:rsidR="00E44B30" w:rsidRPr="00E44B30" w:rsidRDefault="00E44B30" w:rsidP="00D84F28">
      <w:pPr>
        <w:spacing w:after="0" w:line="240" w:lineRule="auto"/>
        <w:jc w:val="both"/>
        <w:rPr>
          <w:rFonts w:ascii="Verdana" w:eastAsia="Verdana" w:hAnsi="Verdana" w:cs="Verdana"/>
          <w:sz w:val="20"/>
          <w:szCs w:val="20"/>
          <w:lang w:val="es-CO" w:eastAsia="en-US"/>
        </w:rPr>
      </w:pPr>
    </w:p>
    <w:p w14:paraId="6C5DFD17" w14:textId="2D518F92" w:rsidR="00E44B30" w:rsidRDefault="00E44B30" w:rsidP="00D84F28">
      <w:pPr>
        <w:spacing w:after="0" w:line="240" w:lineRule="auto"/>
        <w:jc w:val="both"/>
        <w:rPr>
          <w:rFonts w:ascii="Verdana" w:eastAsia="Verdana" w:hAnsi="Verdana" w:cs="Verdana"/>
          <w:sz w:val="20"/>
          <w:szCs w:val="20"/>
          <w:lang w:eastAsia="en-US"/>
        </w:rPr>
      </w:pPr>
      <w:r w:rsidRPr="00E44B30">
        <w:rPr>
          <w:rFonts w:ascii="Verdana" w:eastAsia="Verdana" w:hAnsi="Verdana" w:cs="Verdana"/>
          <w:sz w:val="20"/>
          <w:szCs w:val="20"/>
          <w:lang w:val="es-CO" w:eastAsia="en-US"/>
        </w:rPr>
        <w:t>Para entender un poco sobre el riesgo psicosocial es pertinente acudir a la Resolución 2646 de 2008 del Ministerio de Protección Social, “</w:t>
      </w:r>
      <w:r w:rsidRPr="00E44B30">
        <w:rPr>
          <w:rFonts w:ascii="Verdana" w:eastAsia="Verdana" w:hAnsi="Verdana" w:cs="Verdana"/>
          <w:sz w:val="20"/>
          <w:szCs w:val="20"/>
          <w:lang w:eastAsia="en-US"/>
        </w:rPr>
        <w:t>Por la cual se establecen disposiciones y se definen responsabilidades para la identificación, evaluación, prevención, intervención y monitoreo permanente de la exposición a factores de riesgo psicosocial en el trabajo y para la determinación del origen de las patologías causadas por el estrés ocupacional”, la cual dispone en su artículo 1°: “El objeto de la presente resolución es establecer disposiciones y definir las responsabilidades de los diferentes actores sociales en cuanto a la identificación, evaluación, prevención, intervención y monitoreo permanente de la exposición a los factores de riesgo psicosocial en el trabajo, así como el estudio y determinación de origen de patologías presuntamente causadas por estrés ocupacional”.</w:t>
      </w:r>
    </w:p>
    <w:p w14:paraId="12C6E0D8" w14:textId="77777777" w:rsidR="00E44B30" w:rsidRPr="00E44B30" w:rsidRDefault="00E44B30" w:rsidP="00D84F28">
      <w:pPr>
        <w:spacing w:after="0" w:line="240" w:lineRule="auto"/>
        <w:jc w:val="both"/>
        <w:rPr>
          <w:rFonts w:ascii="Verdana" w:eastAsia="Verdana" w:hAnsi="Verdana" w:cs="Verdana"/>
          <w:sz w:val="20"/>
          <w:szCs w:val="20"/>
          <w:lang w:val="es-CO" w:eastAsia="en-US"/>
        </w:rPr>
      </w:pPr>
    </w:p>
    <w:p w14:paraId="6CC358EF" w14:textId="39BF09A9" w:rsidR="00E44B30" w:rsidRPr="00E44B30" w:rsidRDefault="00E44B30" w:rsidP="00D84F28">
      <w:pPr>
        <w:spacing w:after="0" w:line="240" w:lineRule="auto"/>
        <w:jc w:val="both"/>
        <w:rPr>
          <w:rFonts w:ascii="Verdana" w:eastAsia="Verdana" w:hAnsi="Verdana" w:cs="Verdana"/>
          <w:sz w:val="20"/>
          <w:szCs w:val="20"/>
          <w:lang w:eastAsia="en-US"/>
        </w:rPr>
      </w:pPr>
      <w:r w:rsidRPr="00E44B30">
        <w:rPr>
          <w:rFonts w:ascii="Verdana" w:eastAsia="Verdana" w:hAnsi="Verdana" w:cs="Verdana"/>
          <w:sz w:val="20"/>
          <w:szCs w:val="20"/>
          <w:lang w:val="es-CO" w:eastAsia="en-US"/>
        </w:rPr>
        <w:lastRenderedPageBreak/>
        <w:t>Por otro lado, el artículo 2° de la presente Resolución prescribe: “</w:t>
      </w:r>
      <w:r w:rsidRPr="00E44B30">
        <w:rPr>
          <w:rFonts w:ascii="Verdana" w:eastAsia="Verdana" w:hAnsi="Verdana" w:cs="Verdana"/>
          <w:sz w:val="20"/>
          <w:szCs w:val="20"/>
          <w:lang w:eastAsia="en-US"/>
        </w:rPr>
        <w:t xml:space="preserve">[…] se aplica a los empleadores públicos y privados, a los trabajadores dependientes e independientes, a los contratantes de personal bajo modalidad de contrato civil, comercial o administrativo, a las organizaciones de economía solidaria y del sector cooperativo, a las agremiaciones o asociaciones que afilian trabajadores independientes al Sistema de Seguridad Social integral; a las administradoras de riesgos profesionales; a la Policía en lo que corresponde a su personal no uniformado y al personal civil de las Fuerzas Militares”. </w:t>
      </w:r>
    </w:p>
    <w:p w14:paraId="021BA024" w14:textId="77777777" w:rsidR="00DC76E9" w:rsidRPr="00E44B30" w:rsidRDefault="00DC76E9" w:rsidP="00D84F28">
      <w:pPr>
        <w:spacing w:after="0" w:line="240" w:lineRule="auto"/>
        <w:jc w:val="both"/>
        <w:rPr>
          <w:rFonts w:ascii="Verdana" w:eastAsia="Verdana" w:hAnsi="Verdana" w:cs="Verdana"/>
          <w:b/>
          <w:bCs/>
          <w:lang w:eastAsia="en-US"/>
        </w:rPr>
      </w:pPr>
    </w:p>
    <w:p w14:paraId="00EEA9F0" w14:textId="77777777" w:rsidR="00DC76E9" w:rsidRPr="00DC76E9" w:rsidRDefault="00DC76E9" w:rsidP="00D84F28">
      <w:pPr>
        <w:spacing w:after="0" w:line="240" w:lineRule="auto"/>
        <w:jc w:val="both"/>
        <w:rPr>
          <w:rFonts w:ascii="Verdana" w:eastAsia="Verdana" w:hAnsi="Verdana" w:cs="Verdana"/>
          <w:b/>
          <w:bCs/>
          <w:lang w:eastAsia="en-US"/>
        </w:rPr>
      </w:pPr>
      <w:r w:rsidRPr="00DC76E9">
        <w:rPr>
          <w:rFonts w:ascii="Verdana" w:eastAsia="Verdana" w:hAnsi="Verdana" w:cs="Verdana"/>
          <w:b/>
          <w:bCs/>
          <w:lang w:val="es-ES" w:eastAsia="en-US"/>
        </w:rPr>
        <w:t>RIESGO PSICOSOCIAL – Alcance – Resolución 2764 de 2022</w:t>
      </w:r>
      <w:r w:rsidRPr="00DC76E9">
        <w:rPr>
          <w:rFonts w:ascii="Verdana" w:eastAsia="Verdana" w:hAnsi="Verdana" w:cs="Verdana"/>
          <w:b/>
          <w:bCs/>
          <w:lang w:eastAsia="en-US"/>
        </w:rPr>
        <w:t xml:space="preserve"> </w:t>
      </w:r>
    </w:p>
    <w:p w14:paraId="39A804E6" w14:textId="77777777" w:rsidR="00DC76E9" w:rsidRPr="00E44B30" w:rsidRDefault="00DC76E9" w:rsidP="00D84F28">
      <w:pPr>
        <w:spacing w:after="0" w:line="240" w:lineRule="auto"/>
        <w:jc w:val="both"/>
        <w:rPr>
          <w:rFonts w:ascii="Verdana" w:eastAsia="Verdana" w:hAnsi="Verdana" w:cs="Verdana"/>
          <w:sz w:val="20"/>
          <w:szCs w:val="20"/>
          <w:lang w:eastAsia="en-US"/>
        </w:rPr>
      </w:pPr>
    </w:p>
    <w:p w14:paraId="24B20F6B" w14:textId="77777777" w:rsidR="00E44B30" w:rsidRDefault="00E44B30" w:rsidP="00D84F28">
      <w:pPr>
        <w:spacing w:after="0" w:line="240" w:lineRule="auto"/>
        <w:jc w:val="both"/>
        <w:rPr>
          <w:rFonts w:ascii="Verdana" w:eastAsia="Verdana" w:hAnsi="Verdana" w:cs="Verdana"/>
          <w:sz w:val="20"/>
          <w:szCs w:val="20"/>
          <w:lang w:val="es-CO" w:eastAsia="en-US"/>
        </w:rPr>
      </w:pPr>
      <w:r w:rsidRPr="00E44B30">
        <w:rPr>
          <w:rFonts w:ascii="Verdana" w:eastAsia="Verdana" w:hAnsi="Verdana" w:cs="Verdana"/>
          <w:sz w:val="20"/>
          <w:szCs w:val="20"/>
          <w:lang w:val="es-CO" w:eastAsia="en-US"/>
        </w:rPr>
        <w:t>En este mismo escenario, la Resolución 2764 de 2022 del Ministerio de Trabajo “</w:t>
      </w:r>
      <w:r w:rsidRPr="00E44B30">
        <w:rPr>
          <w:rFonts w:ascii="Verdana" w:eastAsia="Verdana" w:hAnsi="Verdana" w:cs="Verdana"/>
          <w:i/>
          <w:iCs/>
          <w:sz w:val="20"/>
          <w:szCs w:val="20"/>
          <w:lang w:eastAsia="en-US"/>
        </w:rPr>
        <w:t xml:space="preserve">Por la cual se adopta la Batería de instrumentos para la evaluación de factores de Riesgo Psicosocial, la Guía Técnica General para la promoción, prevención e intervención de los factores psicosociales y sus efectos en la población trabajadora y sus protocolos específicos y se dictan otras disposiciones”, </w:t>
      </w:r>
      <w:r w:rsidRPr="00E44B30">
        <w:rPr>
          <w:rFonts w:ascii="Verdana" w:eastAsia="Verdana" w:hAnsi="Verdana" w:cs="Verdana"/>
          <w:sz w:val="20"/>
          <w:szCs w:val="20"/>
          <w:lang w:val="es-CO" w:eastAsia="en-US"/>
        </w:rPr>
        <w:t>constituye el principal marco normativo para la identificación, evaluación, prevención, intervención y monitoreo permanente de los factores de riesgo psicosocial en los lugares de trabajo. Esta disposición adopta de manera integral los instrumentos de evaluación, protocolos de intervención y guías técnicas que deben incorporarse al Sistema de Gestión de Seguridad y Salud en el Trabajo (SG-SST), con el propósito de proteger la salud mental de los trabajadores y promover entornos laborales saludables.</w:t>
      </w:r>
    </w:p>
    <w:p w14:paraId="0CB556D9" w14:textId="77777777" w:rsidR="00E44B30" w:rsidRPr="00E44B30" w:rsidRDefault="00E44B30" w:rsidP="00D84F28">
      <w:pPr>
        <w:spacing w:after="0" w:line="240" w:lineRule="auto"/>
        <w:jc w:val="both"/>
        <w:rPr>
          <w:rFonts w:ascii="Verdana" w:eastAsia="Verdana" w:hAnsi="Verdana" w:cs="Verdana"/>
          <w:sz w:val="20"/>
          <w:szCs w:val="20"/>
          <w:lang w:val="es-CO" w:eastAsia="en-US"/>
        </w:rPr>
      </w:pPr>
    </w:p>
    <w:p w14:paraId="5E064081" w14:textId="77777777" w:rsidR="00E44B30" w:rsidRPr="00E44B30" w:rsidRDefault="00E44B30" w:rsidP="00D84F28">
      <w:pPr>
        <w:spacing w:after="0" w:line="240" w:lineRule="auto"/>
        <w:jc w:val="both"/>
        <w:rPr>
          <w:rFonts w:ascii="Verdana" w:eastAsia="Verdana" w:hAnsi="Verdana" w:cs="Verdana"/>
          <w:sz w:val="20"/>
          <w:szCs w:val="20"/>
          <w:lang w:val="es-CO" w:eastAsia="en-US"/>
        </w:rPr>
      </w:pPr>
      <w:r w:rsidRPr="00E44B30">
        <w:rPr>
          <w:rFonts w:ascii="Verdana" w:eastAsia="Verdana" w:hAnsi="Verdana" w:cs="Verdana"/>
          <w:sz w:val="20"/>
          <w:szCs w:val="20"/>
          <w:lang w:val="es-CO" w:eastAsia="en-US"/>
        </w:rPr>
        <w:t>La resolución incorpora diversos protocolos de intervención sectoriales, entre ellos el correspondiente al sector de la administración pública, reconociendo las particularidades organizacionales y funcionales de cada actividad económica. Asimismo, deroga expresamente la Resolución 2404 de 2019</w:t>
      </w:r>
      <w:r w:rsidRPr="00E44B30">
        <w:rPr>
          <w:rFonts w:ascii="Verdana" w:eastAsia="Verdana" w:hAnsi="Verdana" w:cs="Verdana"/>
          <w:i/>
          <w:iCs/>
          <w:sz w:val="20"/>
          <w:szCs w:val="20"/>
          <w:lang w:eastAsia="en-US"/>
        </w:rPr>
        <w:t>, “por la cual se adopta la Batería de Instrumentos para la Evaluación de Factores de Riesgo Psicosocial, la Guía Técnica General para la Promoción, Prevención e Intervención de los Factores Psicosociales y sus Efectos en la Población Trabajadora y sus Protocolos Específicos y se dictan otras disposiciones”</w:t>
      </w:r>
      <w:r w:rsidRPr="00E44B30">
        <w:rPr>
          <w:rFonts w:ascii="Verdana" w:eastAsia="Verdana" w:hAnsi="Verdana" w:cs="Verdana"/>
          <w:sz w:val="20"/>
          <w:szCs w:val="20"/>
          <w:lang w:val="es-CO" w:eastAsia="en-US"/>
        </w:rPr>
        <w:t>, consolidando en un único cuerpo normativo los lineamientos técnicos aplicables a la gestión de los riesgos psicosociales en el país.</w:t>
      </w:r>
    </w:p>
    <w:p w14:paraId="4B3A7BFF" w14:textId="77777777" w:rsidR="00DC76E9" w:rsidRPr="00E44B30" w:rsidRDefault="00DC76E9" w:rsidP="00D84F28">
      <w:pPr>
        <w:spacing w:after="0" w:line="240" w:lineRule="auto"/>
        <w:jc w:val="both"/>
        <w:rPr>
          <w:rFonts w:ascii="Verdana" w:eastAsia="Verdana" w:hAnsi="Verdana" w:cs="Verdana"/>
          <w:b/>
          <w:bCs/>
          <w:lang w:val="es-CO" w:eastAsia="en-US"/>
        </w:rPr>
      </w:pPr>
    </w:p>
    <w:p w14:paraId="7DA37315" w14:textId="77777777" w:rsidR="00DC76E9" w:rsidRPr="00DC76E9" w:rsidRDefault="00DC76E9" w:rsidP="00D84F28">
      <w:pPr>
        <w:spacing w:after="0" w:line="240" w:lineRule="auto"/>
        <w:jc w:val="both"/>
        <w:rPr>
          <w:rFonts w:ascii="Verdana" w:eastAsia="Verdana" w:hAnsi="Verdana" w:cs="Verdana"/>
          <w:b/>
          <w:bCs/>
          <w:lang w:eastAsia="en-US"/>
        </w:rPr>
      </w:pPr>
      <w:r w:rsidRPr="00DC76E9">
        <w:rPr>
          <w:rFonts w:ascii="Verdana" w:eastAsia="Verdana" w:hAnsi="Verdana" w:cs="Verdana"/>
          <w:b/>
          <w:bCs/>
          <w:lang w:eastAsia="en-US"/>
        </w:rPr>
        <w:t xml:space="preserve">RIESGO PSICOSOCIAL – Implementación – No implica – Relación laboral – Contrato de prestación de servicios </w:t>
      </w:r>
    </w:p>
    <w:p w14:paraId="71299720" w14:textId="77777777" w:rsidR="00DC76E9" w:rsidRPr="00254CB9" w:rsidRDefault="00DC76E9" w:rsidP="00D84F28">
      <w:pPr>
        <w:spacing w:after="0" w:line="240" w:lineRule="auto"/>
        <w:jc w:val="both"/>
        <w:rPr>
          <w:rFonts w:ascii="Verdana" w:eastAsia="Verdana" w:hAnsi="Verdana" w:cs="Verdana"/>
          <w:sz w:val="20"/>
          <w:szCs w:val="20"/>
          <w:lang w:eastAsia="en-US"/>
        </w:rPr>
      </w:pPr>
    </w:p>
    <w:p w14:paraId="658BE1A2" w14:textId="77777777" w:rsidR="00254CB9" w:rsidRDefault="00254CB9" w:rsidP="00D84F28">
      <w:pPr>
        <w:spacing w:after="0" w:line="240" w:lineRule="auto"/>
        <w:jc w:val="both"/>
        <w:rPr>
          <w:rFonts w:ascii="Verdana" w:eastAsia="Verdana" w:hAnsi="Verdana" w:cs="Verdana"/>
          <w:sz w:val="20"/>
          <w:szCs w:val="20"/>
          <w:lang w:val="es-CO" w:eastAsia="en-US"/>
        </w:rPr>
      </w:pPr>
      <w:r w:rsidRPr="00254CB9">
        <w:rPr>
          <w:rFonts w:ascii="Verdana" w:eastAsia="Verdana" w:hAnsi="Verdana" w:cs="Verdana"/>
          <w:sz w:val="20"/>
          <w:szCs w:val="20"/>
          <w:lang w:val="es-CO" w:eastAsia="en-US"/>
        </w:rPr>
        <w:t xml:space="preserve">En este contexto, las obligaciones derivadas de la gestión de los factores de riesgo psicosocial previstas en la Resolución 2764 de 2022 y 2646 de 2008 no constituyen, por sí mismas, elementos que permitan concluir la existencia de una relación de subordinación ni la configuración de un contrato realidad. Lo anterior, por cuanto dichas exigencias no tienen origen en la facultad de dirección propia del empleador sobre un trabajador subordinado, sino en el cumplimiento de deberes legales de prevención, protección y promoción de la seguridad y salud en el trabajo que recaen sobre empleadores y contratantes respecto de las personas que ejecutan actividades en su beneficio, independiente de la naturaleza jurídica del vínculo existente, como es el caso de los contratistas de prestación de servicios. </w:t>
      </w:r>
    </w:p>
    <w:p w14:paraId="7BF79379" w14:textId="77777777" w:rsidR="00254CB9" w:rsidRPr="00254CB9" w:rsidRDefault="00254CB9" w:rsidP="00D84F28">
      <w:pPr>
        <w:spacing w:after="0" w:line="240" w:lineRule="auto"/>
        <w:jc w:val="both"/>
        <w:rPr>
          <w:rFonts w:ascii="Verdana" w:eastAsia="Verdana" w:hAnsi="Verdana" w:cs="Verdana"/>
          <w:sz w:val="20"/>
          <w:szCs w:val="20"/>
          <w:lang w:val="es-CO" w:eastAsia="en-US"/>
        </w:rPr>
      </w:pPr>
    </w:p>
    <w:p w14:paraId="425BFDFC" w14:textId="77777777" w:rsidR="00254CB9" w:rsidRPr="00254CB9" w:rsidRDefault="00254CB9" w:rsidP="00D84F28">
      <w:pPr>
        <w:spacing w:after="0" w:line="240" w:lineRule="auto"/>
        <w:jc w:val="both"/>
        <w:rPr>
          <w:rFonts w:ascii="Verdana" w:eastAsia="Verdana" w:hAnsi="Verdana" w:cs="Verdana"/>
          <w:sz w:val="20"/>
          <w:szCs w:val="20"/>
          <w:lang w:val="es-CO" w:eastAsia="en-US"/>
        </w:rPr>
      </w:pPr>
      <w:r w:rsidRPr="00254CB9">
        <w:rPr>
          <w:rFonts w:ascii="Verdana" w:eastAsia="Verdana" w:hAnsi="Verdana" w:cs="Verdana"/>
          <w:sz w:val="20"/>
          <w:szCs w:val="20"/>
          <w:lang w:val="es-CO" w:eastAsia="en-US"/>
        </w:rPr>
        <w:t>En efecto, las propias Resoluciones 2646 de 2008 y 2764 de 2022 extiende su ámbito de aplicación no solo a trabajadores dependientes, sino también a contratistas, trabajadores independientes y demás personas vinculadas mediante relaciones civiles, comerciales o administrativas. Por consiguiente, la aplicación de instrumentos para la identificación, evaluación e intervención de factores de riesgo psicosocial, así como la adopción de medidas preventivas en materia de salud mental, constituyen obligaciones legales de carácter preventivo y de gestión del riesgo, cuyo cumplimiento no puede interpretarse como una manifestación automática o inequívoca de subordinación laboral.</w:t>
      </w:r>
    </w:p>
    <w:p w14:paraId="4C6F15B0" w14:textId="77777777" w:rsidR="00DC76E9" w:rsidRPr="00254CB9" w:rsidRDefault="00DC76E9" w:rsidP="00D84F28">
      <w:pPr>
        <w:spacing w:after="0" w:line="240" w:lineRule="auto"/>
        <w:jc w:val="both"/>
        <w:rPr>
          <w:rFonts w:ascii="Verdana" w:eastAsia="Verdana" w:hAnsi="Verdana" w:cs="Verdana"/>
          <w:b/>
          <w:bCs/>
          <w:lang w:val="es-CO" w:eastAsia="en-US"/>
        </w:rPr>
      </w:pPr>
    </w:p>
    <w:p w14:paraId="6BA67DAC" w14:textId="77777777" w:rsidR="00DC76E9" w:rsidRPr="00DC76E9" w:rsidRDefault="00DC76E9" w:rsidP="00D84F28">
      <w:pPr>
        <w:spacing w:after="0" w:line="240" w:lineRule="auto"/>
        <w:jc w:val="both"/>
        <w:rPr>
          <w:rFonts w:ascii="Verdana" w:eastAsia="Verdana" w:hAnsi="Verdana" w:cs="Verdana"/>
          <w:b/>
          <w:bCs/>
          <w:lang w:eastAsia="en-US"/>
        </w:rPr>
      </w:pPr>
      <w:r w:rsidRPr="00DC76E9">
        <w:rPr>
          <w:rFonts w:ascii="Verdana" w:eastAsia="Verdana" w:hAnsi="Verdana" w:cs="Verdana"/>
          <w:b/>
          <w:bCs/>
          <w:lang w:eastAsia="en-US"/>
        </w:rPr>
        <w:t>SEGURIDAD Y SALUD EN EL TRABAJO – Alcance – Contrato de prestación de servicios – Aplicación</w:t>
      </w:r>
    </w:p>
    <w:p w14:paraId="69410BAF" w14:textId="77777777" w:rsidR="00DC76E9" w:rsidRPr="00DC76E9" w:rsidRDefault="00DC76E9" w:rsidP="00D84F28">
      <w:pPr>
        <w:spacing w:after="0" w:line="240" w:lineRule="auto"/>
        <w:jc w:val="both"/>
        <w:rPr>
          <w:rFonts w:ascii="Verdana" w:eastAsia="Verdana" w:hAnsi="Verdana" w:cs="Verdana"/>
          <w:b/>
          <w:bCs/>
          <w:lang w:eastAsia="en-US"/>
        </w:rPr>
      </w:pPr>
    </w:p>
    <w:p w14:paraId="627C03C3" w14:textId="10AF340E" w:rsidR="003B791E" w:rsidRPr="003B791E" w:rsidRDefault="003B791E" w:rsidP="00D84F28">
      <w:pPr>
        <w:spacing w:after="0" w:line="240" w:lineRule="auto"/>
        <w:jc w:val="both"/>
        <w:rPr>
          <w:rFonts w:ascii="Verdana" w:eastAsia="Verdana" w:hAnsi="Verdana" w:cs="Verdana"/>
          <w:sz w:val="20"/>
          <w:szCs w:val="20"/>
          <w:lang w:val="es-CO" w:eastAsia="en-US"/>
        </w:rPr>
      </w:pPr>
      <w:r w:rsidRPr="003B791E">
        <w:rPr>
          <w:rFonts w:ascii="Verdana" w:eastAsia="Verdana" w:hAnsi="Verdana" w:cs="Verdana"/>
          <w:sz w:val="20"/>
          <w:szCs w:val="20"/>
          <w:lang w:val="es-CO" w:eastAsia="en-US"/>
        </w:rPr>
        <w:t>Así mismo, hay que tener en cuenta el Decreto 1072 de 2015, artículo 2.2.4.2.2.15, que contempla que, para las personas comprendidas en esa sección, ordena al contratante incluirlas en el SG-SST, realizar prevención y promoción, permitir participación en capacitaciones y verificar requisitos de seguridad. De igual manera, el artículo 2.2.4.6.1 del Decreto 1072 de 2015 establece que el capítulo relativo al Sistema de Gestión de la Seguridad y Salud en el Trabajo (SG-SST) tiene por objeto definir las directrices de obligatorio cumplimiento para su implementación, las cuales deben ser observadas por todos los empleadores públicos y privados, así como por los contratantes de personal vinculado mediante contratos civiles, comerciales o administrativos, las organizaciones de economía solidaria, las entidades del sector cooperativo y las empresas de servicios temporales. Igualmente, dispone que dichas obligaciones deben extender su cobertura a trabajadores dependientes, contratistas, trabajadores asociados o cooperados y trabajadores en misión.</w:t>
      </w:r>
    </w:p>
    <w:p w14:paraId="274510A9" w14:textId="77777777" w:rsidR="00DC76E9" w:rsidRPr="003B791E" w:rsidRDefault="00DC76E9" w:rsidP="00D84F28">
      <w:pPr>
        <w:spacing w:after="0" w:line="240" w:lineRule="auto"/>
        <w:jc w:val="both"/>
        <w:rPr>
          <w:rFonts w:ascii="Verdana" w:eastAsia="Verdana" w:hAnsi="Verdana" w:cs="Verdana"/>
          <w:b/>
          <w:bCs/>
          <w:lang w:val="es-CO" w:eastAsia="en-US"/>
        </w:rPr>
      </w:pPr>
    </w:p>
    <w:p w14:paraId="0CAAECD2" w14:textId="26104FA0" w:rsidR="00DC76E9" w:rsidRPr="00DC76E9" w:rsidRDefault="00DC76E9" w:rsidP="00D84F28">
      <w:pPr>
        <w:spacing w:after="0" w:line="240" w:lineRule="auto"/>
        <w:jc w:val="both"/>
        <w:rPr>
          <w:rFonts w:ascii="Verdana" w:eastAsia="Verdana" w:hAnsi="Verdana" w:cs="Verdana"/>
          <w:b/>
          <w:bCs/>
          <w:lang w:eastAsia="en-US"/>
        </w:rPr>
      </w:pPr>
      <w:r w:rsidRPr="00DC76E9">
        <w:rPr>
          <w:rFonts w:ascii="Verdana" w:eastAsia="Verdana" w:hAnsi="Verdana" w:cs="Verdana"/>
          <w:b/>
          <w:bCs/>
          <w:lang w:eastAsia="en-US"/>
        </w:rPr>
        <w:t>SEGURIDAD Y SALUD EN EL TRABAJO – Criterios - Artículo 2.2.4.6.28. – Decreto 1072 de 2015 – Aplicación – Contrato de prestación de servicios</w:t>
      </w:r>
    </w:p>
    <w:p w14:paraId="603281D0" w14:textId="77777777" w:rsidR="00DC76E9" w:rsidRPr="00D84F28" w:rsidRDefault="00DC76E9" w:rsidP="00D84F28">
      <w:pPr>
        <w:spacing w:after="0" w:line="240" w:lineRule="auto"/>
        <w:jc w:val="both"/>
        <w:rPr>
          <w:rFonts w:ascii="Verdana" w:eastAsia="Verdana" w:hAnsi="Verdana" w:cs="Verdana"/>
          <w:sz w:val="20"/>
          <w:szCs w:val="20"/>
          <w:lang w:eastAsia="en-US"/>
        </w:rPr>
      </w:pPr>
    </w:p>
    <w:p w14:paraId="13D22A88" w14:textId="77777777" w:rsidR="00D84F28" w:rsidRDefault="00D84F28" w:rsidP="00D84F28">
      <w:pPr>
        <w:spacing w:after="0" w:line="240" w:lineRule="auto"/>
        <w:jc w:val="both"/>
        <w:rPr>
          <w:rFonts w:ascii="Verdana" w:eastAsia="Verdana" w:hAnsi="Verdana" w:cs="Verdana"/>
          <w:sz w:val="20"/>
          <w:szCs w:val="20"/>
          <w:lang w:val="es-CO" w:eastAsia="en-US"/>
        </w:rPr>
      </w:pPr>
      <w:r w:rsidRPr="00D84F28">
        <w:rPr>
          <w:rFonts w:ascii="Verdana" w:eastAsia="Verdana" w:hAnsi="Verdana" w:cs="Verdana"/>
          <w:sz w:val="20"/>
          <w:szCs w:val="20"/>
          <w:lang w:val="es-CO" w:eastAsia="en-US"/>
        </w:rPr>
        <w:t>Dicho artículo desarrolla las obligaciones que tienen los empleadores y contratantes para garantizar que todas las personas que desarrollan actividades en sus instalaciones o en ejecución de contratos cumplan las normas de seguridad y salud en el trabajo. Para ello, exige incorporar criterios de SST en la selección de proveedores y contratistas, establecer canales de comunicación en esta materia, verificar la afiliación al Sistema General de Riesgos Laborales, informar sobre los peligros y riesgos presentes en los lugares de trabajo, promover el reporte de accidentes y enfermedades laborales, y realizar seguimientos periódicos al cumplimiento de las obligaciones preventivas por parte de contratistas, subcontratistas, trabajadores en misión, cooperados y proveedores. Estas exigencias reflejan una lógica de coordinación y gestión del riesgo laboral orientada a la protección de todas las personas que concurren en una actividad productiva, con independencia de la naturaleza jurídica del vínculo que las une con la entidad, como es el caso de los contratistas de prestación de servicios profesionales y de apoyo a la gestión.</w:t>
      </w:r>
    </w:p>
    <w:p w14:paraId="50F2C5D7" w14:textId="77777777" w:rsidR="00D84F28" w:rsidRPr="00D84F28" w:rsidRDefault="00D84F28" w:rsidP="00D84F28">
      <w:pPr>
        <w:spacing w:after="0" w:line="240" w:lineRule="auto"/>
        <w:jc w:val="both"/>
        <w:rPr>
          <w:rFonts w:ascii="Verdana" w:eastAsia="Verdana" w:hAnsi="Verdana" w:cs="Verdana"/>
          <w:sz w:val="20"/>
          <w:szCs w:val="20"/>
          <w:lang w:val="es-CO" w:eastAsia="en-US"/>
        </w:rPr>
      </w:pPr>
    </w:p>
    <w:p w14:paraId="00B65F47" w14:textId="77777777" w:rsidR="00D84F28" w:rsidRPr="00D84F28" w:rsidRDefault="00D84F28" w:rsidP="00D84F28">
      <w:pPr>
        <w:spacing w:after="0" w:line="240" w:lineRule="auto"/>
        <w:jc w:val="both"/>
        <w:rPr>
          <w:rFonts w:ascii="Verdana" w:eastAsia="Verdana" w:hAnsi="Verdana" w:cs="Verdana"/>
          <w:sz w:val="20"/>
          <w:szCs w:val="20"/>
          <w:lang w:val="es-CO" w:eastAsia="en-US"/>
        </w:rPr>
      </w:pPr>
      <w:r w:rsidRPr="00D84F28">
        <w:rPr>
          <w:rFonts w:ascii="Verdana" w:eastAsia="Verdana" w:hAnsi="Verdana" w:cs="Verdana"/>
          <w:sz w:val="20"/>
          <w:szCs w:val="20"/>
          <w:lang w:val="es-CO" w:eastAsia="en-US"/>
        </w:rPr>
        <w:lastRenderedPageBreak/>
        <w:t>En efecto, esta disposición constituye una evidencia normativa de que las obligaciones derivadas del Sistema de Gestión de Seguridad y Salud en el Trabajo no son exclusivas de las relaciones laborales. Por el contrario, el propio artículo reconoce la existencia de contratistas y subcontratistas como sujetos destinatarios de las medidas de prevención y control, al tiempo que el parágrafo les impone responsabilidades directas frente a sus propios trabajadores. Así, los deberes de verificación, coordinación, información y seguimiento previstos en la norma no pueden interpretarse, por sí solos, como manifestaciones de subordinación o como indicios de un contrato realidad, sino como el cumplimiento de obligaciones legales de carácter preventivo que buscan garantizar entornos de trabajo seguros y saludables para todas las personas involucradas en la ejecución de una actividad contractual.</w:t>
      </w:r>
    </w:p>
    <w:p w14:paraId="7B0F44DF" w14:textId="77777777" w:rsidR="00D84F28" w:rsidRDefault="00D84F28" w:rsidP="002B7D39">
      <w:pPr>
        <w:spacing w:after="0"/>
        <w:rPr>
          <w:rFonts w:ascii="Verdana" w:eastAsia="Verdana" w:hAnsi="Verdana" w:cs="Verdana"/>
          <w:lang w:val="es-CO" w:eastAsia="en-US"/>
        </w:rPr>
      </w:pPr>
    </w:p>
    <w:p w14:paraId="32F314D7" w14:textId="77777777" w:rsidR="00D84F28" w:rsidRDefault="00D84F28" w:rsidP="002B7D39">
      <w:pPr>
        <w:spacing w:after="0"/>
        <w:rPr>
          <w:rFonts w:ascii="Verdana" w:eastAsia="Verdana" w:hAnsi="Verdana" w:cs="Verdana"/>
          <w:lang w:val="es-CO" w:eastAsia="en-US"/>
        </w:rPr>
      </w:pPr>
    </w:p>
    <w:p w14:paraId="0C53667F" w14:textId="77777777" w:rsidR="00D84F28" w:rsidRDefault="00D84F28" w:rsidP="002B7D39">
      <w:pPr>
        <w:spacing w:after="0"/>
        <w:rPr>
          <w:rFonts w:ascii="Verdana" w:eastAsia="Verdana" w:hAnsi="Verdana" w:cs="Verdana"/>
          <w:lang w:val="es-CO" w:eastAsia="en-US"/>
        </w:rPr>
      </w:pPr>
    </w:p>
    <w:p w14:paraId="065E7064" w14:textId="77777777" w:rsidR="00D84F28" w:rsidRDefault="00D84F28" w:rsidP="002B7D39">
      <w:pPr>
        <w:spacing w:after="0"/>
        <w:rPr>
          <w:rFonts w:ascii="Verdana" w:eastAsia="Verdana" w:hAnsi="Verdana" w:cs="Verdana"/>
          <w:lang w:val="es-CO" w:eastAsia="en-US"/>
        </w:rPr>
      </w:pPr>
    </w:p>
    <w:p w14:paraId="589CF86C" w14:textId="77777777" w:rsidR="00D84F28" w:rsidRDefault="00D84F28" w:rsidP="002B7D39">
      <w:pPr>
        <w:spacing w:after="0"/>
        <w:rPr>
          <w:rFonts w:ascii="Verdana" w:eastAsia="Verdana" w:hAnsi="Verdana" w:cs="Verdana"/>
          <w:lang w:val="es-CO" w:eastAsia="en-US"/>
        </w:rPr>
      </w:pPr>
    </w:p>
    <w:p w14:paraId="42B022EB" w14:textId="77777777" w:rsidR="00D84F28" w:rsidRDefault="00D84F28" w:rsidP="002B7D39">
      <w:pPr>
        <w:spacing w:after="0"/>
        <w:rPr>
          <w:rFonts w:ascii="Verdana" w:eastAsia="Verdana" w:hAnsi="Verdana" w:cs="Verdana"/>
          <w:lang w:val="es-CO" w:eastAsia="en-US"/>
        </w:rPr>
      </w:pPr>
    </w:p>
    <w:p w14:paraId="62280045" w14:textId="77777777" w:rsidR="00D84F28" w:rsidRDefault="00D84F28" w:rsidP="002B7D39">
      <w:pPr>
        <w:spacing w:after="0"/>
        <w:rPr>
          <w:rFonts w:ascii="Verdana" w:eastAsia="Verdana" w:hAnsi="Verdana" w:cs="Verdana"/>
          <w:lang w:val="es-CO" w:eastAsia="en-US"/>
        </w:rPr>
      </w:pPr>
    </w:p>
    <w:p w14:paraId="7F06F039" w14:textId="77777777" w:rsidR="00D84F28" w:rsidRDefault="00D84F28" w:rsidP="002B7D39">
      <w:pPr>
        <w:spacing w:after="0"/>
        <w:rPr>
          <w:rFonts w:ascii="Verdana" w:eastAsia="Verdana" w:hAnsi="Verdana" w:cs="Verdana"/>
          <w:lang w:val="es-CO" w:eastAsia="en-US"/>
        </w:rPr>
      </w:pPr>
    </w:p>
    <w:p w14:paraId="0FCB1246" w14:textId="77777777" w:rsidR="00D84F28" w:rsidRDefault="00D84F28" w:rsidP="002B7D39">
      <w:pPr>
        <w:spacing w:after="0"/>
        <w:rPr>
          <w:rFonts w:ascii="Verdana" w:eastAsia="Verdana" w:hAnsi="Verdana" w:cs="Verdana"/>
          <w:lang w:val="es-CO" w:eastAsia="en-US"/>
        </w:rPr>
      </w:pPr>
    </w:p>
    <w:p w14:paraId="26B8EDF6" w14:textId="77777777" w:rsidR="00D84F28" w:rsidRDefault="00D84F28" w:rsidP="002B7D39">
      <w:pPr>
        <w:spacing w:after="0"/>
        <w:rPr>
          <w:rFonts w:ascii="Verdana" w:eastAsia="Verdana" w:hAnsi="Verdana" w:cs="Verdana"/>
          <w:lang w:val="es-CO" w:eastAsia="en-US"/>
        </w:rPr>
      </w:pPr>
    </w:p>
    <w:p w14:paraId="1B03FAC3" w14:textId="77777777" w:rsidR="00D84F28" w:rsidRDefault="00D84F28" w:rsidP="002B7D39">
      <w:pPr>
        <w:spacing w:after="0"/>
        <w:rPr>
          <w:rFonts w:ascii="Verdana" w:eastAsia="Verdana" w:hAnsi="Verdana" w:cs="Verdana"/>
          <w:lang w:val="es-CO" w:eastAsia="en-US"/>
        </w:rPr>
      </w:pPr>
    </w:p>
    <w:p w14:paraId="5E7A362F" w14:textId="77777777" w:rsidR="00D84F28" w:rsidRDefault="00D84F28" w:rsidP="002B7D39">
      <w:pPr>
        <w:spacing w:after="0"/>
        <w:rPr>
          <w:rFonts w:ascii="Verdana" w:eastAsia="Verdana" w:hAnsi="Verdana" w:cs="Verdana"/>
          <w:lang w:val="es-CO" w:eastAsia="en-US"/>
        </w:rPr>
      </w:pPr>
    </w:p>
    <w:p w14:paraId="168A39E5" w14:textId="77777777" w:rsidR="00D84F28" w:rsidRDefault="00D84F28" w:rsidP="002B7D39">
      <w:pPr>
        <w:spacing w:after="0"/>
        <w:rPr>
          <w:rFonts w:ascii="Verdana" w:eastAsia="Verdana" w:hAnsi="Verdana" w:cs="Verdana"/>
          <w:lang w:val="es-CO" w:eastAsia="en-US"/>
        </w:rPr>
      </w:pPr>
    </w:p>
    <w:p w14:paraId="3AE78CDF" w14:textId="77777777" w:rsidR="00D84F28" w:rsidRDefault="00D84F28" w:rsidP="002B7D39">
      <w:pPr>
        <w:spacing w:after="0"/>
        <w:rPr>
          <w:rFonts w:ascii="Verdana" w:eastAsia="Verdana" w:hAnsi="Verdana" w:cs="Verdana"/>
          <w:lang w:val="es-CO" w:eastAsia="en-US"/>
        </w:rPr>
      </w:pPr>
    </w:p>
    <w:p w14:paraId="7F73BA68" w14:textId="77777777" w:rsidR="00D84F28" w:rsidRDefault="00D84F28" w:rsidP="002B7D39">
      <w:pPr>
        <w:spacing w:after="0"/>
        <w:rPr>
          <w:rFonts w:ascii="Verdana" w:eastAsia="Verdana" w:hAnsi="Verdana" w:cs="Verdana"/>
          <w:lang w:val="es-CO" w:eastAsia="en-US"/>
        </w:rPr>
      </w:pPr>
    </w:p>
    <w:p w14:paraId="7A9423B5" w14:textId="77777777" w:rsidR="00D84F28" w:rsidRDefault="00D84F28" w:rsidP="002B7D39">
      <w:pPr>
        <w:spacing w:after="0"/>
        <w:rPr>
          <w:rFonts w:ascii="Verdana" w:eastAsia="Verdana" w:hAnsi="Verdana" w:cs="Verdana"/>
          <w:lang w:val="es-CO" w:eastAsia="en-US"/>
        </w:rPr>
      </w:pPr>
    </w:p>
    <w:p w14:paraId="25E16E33" w14:textId="77777777" w:rsidR="00D84F28" w:rsidRDefault="00D84F28" w:rsidP="002B7D39">
      <w:pPr>
        <w:spacing w:after="0"/>
        <w:rPr>
          <w:rFonts w:ascii="Verdana" w:eastAsia="Verdana" w:hAnsi="Verdana" w:cs="Verdana"/>
          <w:lang w:val="es-CO" w:eastAsia="en-US"/>
        </w:rPr>
      </w:pPr>
    </w:p>
    <w:p w14:paraId="3770CE9C" w14:textId="77777777" w:rsidR="00D84F28" w:rsidRDefault="00D84F28" w:rsidP="002B7D39">
      <w:pPr>
        <w:spacing w:after="0"/>
        <w:rPr>
          <w:rFonts w:ascii="Verdana" w:eastAsia="Verdana" w:hAnsi="Verdana" w:cs="Verdana"/>
          <w:lang w:val="es-CO" w:eastAsia="en-US"/>
        </w:rPr>
      </w:pPr>
    </w:p>
    <w:p w14:paraId="58E3AAE4" w14:textId="77777777" w:rsidR="00D84F28" w:rsidRDefault="00D84F28" w:rsidP="002B7D39">
      <w:pPr>
        <w:spacing w:after="0"/>
        <w:rPr>
          <w:rFonts w:ascii="Verdana" w:eastAsia="Verdana" w:hAnsi="Verdana" w:cs="Verdana"/>
          <w:lang w:val="es-CO" w:eastAsia="en-US"/>
        </w:rPr>
      </w:pPr>
    </w:p>
    <w:p w14:paraId="2CF84A11" w14:textId="77777777" w:rsidR="00D84F28" w:rsidRDefault="00D84F28" w:rsidP="002B7D39">
      <w:pPr>
        <w:spacing w:after="0"/>
        <w:rPr>
          <w:rFonts w:ascii="Verdana" w:eastAsia="Verdana" w:hAnsi="Verdana" w:cs="Verdana"/>
          <w:lang w:val="es-CO" w:eastAsia="en-US"/>
        </w:rPr>
      </w:pPr>
    </w:p>
    <w:p w14:paraId="0C075702" w14:textId="77777777" w:rsidR="00D84F28" w:rsidRDefault="00D84F28" w:rsidP="002B7D39">
      <w:pPr>
        <w:spacing w:after="0"/>
        <w:rPr>
          <w:rFonts w:ascii="Verdana" w:eastAsia="Verdana" w:hAnsi="Verdana" w:cs="Verdana"/>
          <w:lang w:val="es-CO" w:eastAsia="en-US"/>
        </w:rPr>
      </w:pPr>
    </w:p>
    <w:p w14:paraId="24025D99" w14:textId="77777777" w:rsidR="00D84F28" w:rsidRDefault="00D84F28" w:rsidP="002B7D39">
      <w:pPr>
        <w:spacing w:after="0"/>
        <w:rPr>
          <w:rFonts w:ascii="Verdana" w:eastAsia="Verdana" w:hAnsi="Verdana" w:cs="Verdana"/>
          <w:lang w:val="es-CO" w:eastAsia="en-US"/>
        </w:rPr>
      </w:pPr>
    </w:p>
    <w:p w14:paraId="2AA3B984" w14:textId="77777777" w:rsidR="00D84F28" w:rsidRDefault="00D84F28" w:rsidP="002B7D39">
      <w:pPr>
        <w:spacing w:after="0"/>
        <w:rPr>
          <w:rFonts w:ascii="Verdana" w:eastAsia="Verdana" w:hAnsi="Verdana" w:cs="Verdana"/>
          <w:lang w:val="es-CO" w:eastAsia="en-US"/>
        </w:rPr>
      </w:pPr>
    </w:p>
    <w:p w14:paraId="2D6F0E0B" w14:textId="77777777" w:rsidR="00D84F28" w:rsidRDefault="00D84F28" w:rsidP="002B7D39">
      <w:pPr>
        <w:spacing w:after="0"/>
        <w:rPr>
          <w:rFonts w:ascii="Verdana" w:eastAsia="Verdana" w:hAnsi="Verdana" w:cs="Verdana"/>
          <w:lang w:val="es-CO" w:eastAsia="en-US"/>
        </w:rPr>
      </w:pPr>
    </w:p>
    <w:p w14:paraId="2EB3E85E" w14:textId="77777777" w:rsidR="00D84F28" w:rsidRDefault="00D84F28" w:rsidP="002B7D39">
      <w:pPr>
        <w:spacing w:after="0"/>
        <w:rPr>
          <w:rFonts w:ascii="Verdana" w:eastAsia="Verdana" w:hAnsi="Verdana" w:cs="Verdana"/>
          <w:lang w:val="es-CO" w:eastAsia="en-US"/>
        </w:rPr>
      </w:pPr>
    </w:p>
    <w:p w14:paraId="0824406A" w14:textId="77777777" w:rsidR="00D84F28" w:rsidRDefault="00D84F28" w:rsidP="002B7D39">
      <w:pPr>
        <w:spacing w:after="0"/>
        <w:rPr>
          <w:rFonts w:ascii="Verdana" w:eastAsia="Verdana" w:hAnsi="Verdana" w:cs="Verdana"/>
          <w:lang w:val="es-CO" w:eastAsia="en-US"/>
        </w:rPr>
      </w:pPr>
    </w:p>
    <w:p w14:paraId="1B492C22" w14:textId="77777777" w:rsidR="00D84F28" w:rsidRDefault="00D84F28" w:rsidP="002B7D39">
      <w:pPr>
        <w:spacing w:after="0"/>
        <w:rPr>
          <w:rFonts w:ascii="Verdana" w:eastAsia="Verdana" w:hAnsi="Verdana" w:cs="Verdana"/>
          <w:lang w:val="es-CO" w:eastAsia="en-US"/>
        </w:rPr>
      </w:pPr>
    </w:p>
    <w:p w14:paraId="5E35B956" w14:textId="77777777" w:rsidR="00D84F28" w:rsidRDefault="00D84F28" w:rsidP="002B7D39">
      <w:pPr>
        <w:spacing w:after="0"/>
        <w:rPr>
          <w:rFonts w:ascii="Verdana" w:eastAsia="Verdana" w:hAnsi="Verdana" w:cs="Verdana"/>
          <w:lang w:val="es-CO" w:eastAsia="en-US"/>
        </w:rPr>
      </w:pPr>
    </w:p>
    <w:p w14:paraId="70F28200" w14:textId="77777777" w:rsidR="00D84F28" w:rsidRPr="00D84F28" w:rsidRDefault="00D84F28" w:rsidP="002B7D39">
      <w:pPr>
        <w:spacing w:after="0"/>
        <w:rPr>
          <w:rFonts w:ascii="Verdana" w:eastAsia="Verdana" w:hAnsi="Verdana" w:cs="Verdana"/>
          <w:lang w:val="es-CO" w:eastAsia="en-US"/>
        </w:rPr>
      </w:pPr>
    </w:p>
    <w:p w14:paraId="036EE0DA" w14:textId="1AD4B407" w:rsidR="004E5875" w:rsidRPr="004E5875" w:rsidRDefault="00DE4EB7" w:rsidP="004E5875">
      <w:pPr>
        <w:spacing w:after="0" w:line="240" w:lineRule="auto"/>
        <w:rPr>
          <w:rFonts w:ascii="Verdana" w:eastAsia="Verdana" w:hAnsi="Verdana" w:cs="Verdana"/>
          <w:color w:val="000000"/>
          <w:highlight w:val="yellow"/>
        </w:rPr>
      </w:pPr>
      <w:r w:rsidRPr="00DE4EB7">
        <w:rPr>
          <w:rFonts w:cs="Times New Roman"/>
          <w:noProof/>
          <w:lang w:val="es-CO" w:eastAsia="en-US"/>
        </w:rPr>
        <w:lastRenderedPageBreak/>
        <w:drawing>
          <wp:anchor distT="0" distB="0" distL="114300" distR="114300" simplePos="0" relativeHeight="251658240" behindDoc="0" locked="0" layoutInCell="1" allowOverlap="1" wp14:anchorId="2115BC3F" wp14:editId="061B96A6">
            <wp:simplePos x="0" y="0"/>
            <wp:positionH relativeFrom="margin">
              <wp:align>right</wp:align>
            </wp:positionH>
            <wp:positionV relativeFrom="paragraph">
              <wp:posOffset>136525</wp:posOffset>
            </wp:positionV>
            <wp:extent cx="2628900" cy="758190"/>
            <wp:effectExtent l="0" t="0" r="0" b="3810"/>
            <wp:wrapSquare wrapText="bothSides"/>
            <wp:docPr id="11868175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28900" cy="758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5875" w:rsidRPr="004E5875">
        <w:rPr>
          <w:rFonts w:ascii="Verdana" w:eastAsia="Verdana" w:hAnsi="Verdana" w:cs="Verdana"/>
          <w:lang w:val="es-CO" w:eastAsia="en-US"/>
        </w:rPr>
        <w:t>Bogotá D.C.,</w:t>
      </w:r>
      <w:r w:rsidR="002C08AA">
        <w:rPr>
          <w:rFonts w:ascii="Verdana" w:eastAsia="Verdana" w:hAnsi="Verdana" w:cs="Verdana"/>
          <w:lang w:val="es-CO" w:eastAsia="en-US"/>
        </w:rPr>
        <w:t xml:space="preserve"> 22 de octubre de 2026</w:t>
      </w:r>
      <w:r w:rsidR="004E5875" w:rsidRPr="004E5875">
        <w:rPr>
          <w:rFonts w:cs="Times New Roman"/>
          <w:lang w:val="es-CO" w:eastAsia="en-US"/>
        </w:rPr>
        <w:tab/>
      </w:r>
      <w:r w:rsidR="004E5875" w:rsidRPr="004E5875">
        <w:rPr>
          <w:rFonts w:cs="Times New Roman"/>
          <w:lang w:val="es-CO" w:eastAsia="en-US"/>
        </w:rPr>
        <w:br/>
      </w:r>
    </w:p>
    <w:p w14:paraId="4FB4AEB6" w14:textId="06E503F0" w:rsidR="004E5875" w:rsidRPr="004E5875" w:rsidRDefault="004E5875" w:rsidP="004E5875">
      <w:pPr>
        <w:spacing w:after="0" w:line="240" w:lineRule="auto"/>
        <w:rPr>
          <w:rFonts w:ascii="Verdana" w:eastAsia="Verdana" w:hAnsi="Verdana" w:cs="Verdana"/>
          <w:color w:val="000000"/>
          <w:highlight w:val="yellow"/>
        </w:rPr>
      </w:pPr>
    </w:p>
    <w:p w14:paraId="619F59B3" w14:textId="77777777" w:rsidR="004E5875" w:rsidRPr="004E5875" w:rsidRDefault="004E5875" w:rsidP="004E5875">
      <w:pPr>
        <w:spacing w:after="0" w:line="240" w:lineRule="auto"/>
        <w:jc w:val="both"/>
        <w:rPr>
          <w:rFonts w:ascii="Verdana" w:eastAsia="Verdana" w:hAnsi="Verdana" w:cs="Verdana"/>
          <w:b/>
          <w:bCs/>
          <w:highlight w:val="white"/>
        </w:rPr>
      </w:pPr>
      <w:r w:rsidRPr="004E5875">
        <w:rPr>
          <w:rFonts w:ascii="Verdana" w:eastAsia="Verdana" w:hAnsi="Verdana" w:cs="Verdana"/>
          <w:highlight w:val="white"/>
        </w:rPr>
        <w:t xml:space="preserve">Señora </w:t>
      </w:r>
    </w:p>
    <w:p w14:paraId="39412336" w14:textId="77777777" w:rsidR="004E5875" w:rsidRPr="004E5875" w:rsidRDefault="004E5875" w:rsidP="004E5875">
      <w:pPr>
        <w:spacing w:after="0" w:line="240" w:lineRule="auto"/>
        <w:rPr>
          <w:rFonts w:ascii="Verdana" w:eastAsia="Verdana" w:hAnsi="Verdana" w:cs="Verdana"/>
          <w:b/>
          <w:bCs/>
          <w:highlight w:val="white"/>
        </w:rPr>
      </w:pPr>
      <w:r w:rsidRPr="004E5875">
        <w:rPr>
          <w:rFonts w:ascii="Verdana" w:eastAsia="Verdana" w:hAnsi="Verdana" w:cs="Verdana"/>
          <w:b/>
          <w:bCs/>
        </w:rPr>
        <w:t>Bibiana González Rojas</w:t>
      </w:r>
    </w:p>
    <w:p w14:paraId="12F099C6" w14:textId="77777777" w:rsidR="004E5875" w:rsidRPr="004E5875" w:rsidRDefault="004E5875" w:rsidP="004E5875">
      <w:pPr>
        <w:spacing w:after="0" w:line="240" w:lineRule="auto"/>
        <w:rPr>
          <w:rFonts w:ascii="Verdana" w:eastAsia="Verdana" w:hAnsi="Verdana" w:cs="Verdana"/>
        </w:rPr>
      </w:pPr>
      <w:hyperlink r:id="rId13" w:history="1">
        <w:r w:rsidRPr="004E5875">
          <w:rPr>
            <w:rFonts w:ascii="Verdana" w:eastAsia="Verdana" w:hAnsi="Verdana" w:cs="Verdana"/>
            <w:color w:val="0000FF"/>
            <w:u w:val="single"/>
          </w:rPr>
          <w:t>gobierno1@elrosal-cundinamarca.gov.co</w:t>
        </w:r>
      </w:hyperlink>
    </w:p>
    <w:p w14:paraId="3347FB86" w14:textId="77777777" w:rsidR="004E5875" w:rsidRPr="004E5875" w:rsidRDefault="004E5875" w:rsidP="004E5875">
      <w:pPr>
        <w:spacing w:after="0" w:line="240" w:lineRule="auto"/>
        <w:rPr>
          <w:rFonts w:ascii="Verdana" w:eastAsia="Verdana" w:hAnsi="Verdana" w:cs="Verdana"/>
        </w:rPr>
      </w:pPr>
      <w:r w:rsidRPr="004E5875">
        <w:rPr>
          <w:rFonts w:ascii="Verdana" w:eastAsia="Verdana" w:hAnsi="Verdana" w:cs="Verdana"/>
        </w:rPr>
        <w:t>El Rosal, Cundinamarca</w:t>
      </w:r>
    </w:p>
    <w:p w14:paraId="6B891F2A" w14:textId="77777777" w:rsidR="004E5875" w:rsidRPr="004E5875" w:rsidRDefault="004E5875" w:rsidP="004E5875">
      <w:pPr>
        <w:spacing w:after="0" w:line="240" w:lineRule="auto"/>
        <w:rPr>
          <w:rFonts w:ascii="Verdana" w:eastAsia="Verdana" w:hAnsi="Verdana" w:cs="Verdana"/>
          <w:b/>
          <w:bCs/>
          <w:color w:val="000000"/>
          <w:highlight w:val="yellow"/>
        </w:rPr>
      </w:pPr>
    </w:p>
    <w:p w14:paraId="067D8626" w14:textId="77777777" w:rsidR="004E5875" w:rsidRPr="004E5875" w:rsidRDefault="004E5875" w:rsidP="004E5875">
      <w:pPr>
        <w:spacing w:after="0" w:line="240" w:lineRule="auto"/>
        <w:rPr>
          <w:rFonts w:ascii="Verdana" w:eastAsia="Verdana" w:hAnsi="Verdana" w:cs="Verdana"/>
          <w:b/>
          <w:bCs/>
          <w:color w:val="000000"/>
          <w:highlight w:val="yellow"/>
        </w:rPr>
      </w:pPr>
    </w:p>
    <w:tbl>
      <w:tblPr>
        <w:tblW w:w="8838" w:type="dxa"/>
        <w:tblBorders>
          <w:top w:val="nil"/>
          <w:left w:val="nil"/>
          <w:bottom w:val="nil"/>
          <w:right w:val="nil"/>
          <w:insideH w:val="nil"/>
          <w:insideV w:val="nil"/>
        </w:tblBorders>
        <w:tblLayout w:type="fixed"/>
        <w:tblLook w:val="0400" w:firstRow="0" w:lastRow="0" w:firstColumn="0" w:lastColumn="0" w:noHBand="0" w:noVBand="1"/>
      </w:tblPr>
      <w:tblGrid>
        <w:gridCol w:w="2738"/>
        <w:gridCol w:w="6100"/>
      </w:tblGrid>
      <w:tr w:rsidR="004E5875" w:rsidRPr="004E5875" w14:paraId="2B29B514" w14:textId="77777777" w:rsidTr="00C11DB0">
        <w:trPr>
          <w:trHeight w:val="194"/>
        </w:trPr>
        <w:tc>
          <w:tcPr>
            <w:tcW w:w="2738" w:type="dxa"/>
          </w:tcPr>
          <w:p w14:paraId="189004E6" w14:textId="77777777" w:rsidR="004E5875" w:rsidRPr="004E5875" w:rsidRDefault="004E5875" w:rsidP="004E5875">
            <w:pPr>
              <w:spacing w:after="0" w:line="240" w:lineRule="auto"/>
              <w:jc w:val="both"/>
              <w:rPr>
                <w:rFonts w:ascii="Verdana" w:eastAsia="Verdana" w:hAnsi="Verdana" w:cs="Verdana"/>
                <w:b/>
                <w:bCs/>
                <w:color w:val="7030A0"/>
              </w:rPr>
            </w:pPr>
          </w:p>
        </w:tc>
        <w:tc>
          <w:tcPr>
            <w:tcW w:w="6100" w:type="dxa"/>
          </w:tcPr>
          <w:p w14:paraId="68189BA8" w14:textId="77777777" w:rsidR="004E5875" w:rsidRPr="004E5875" w:rsidRDefault="004E5875" w:rsidP="004E5875">
            <w:pPr>
              <w:spacing w:after="0" w:line="240" w:lineRule="auto"/>
              <w:jc w:val="both"/>
              <w:rPr>
                <w:rFonts w:ascii="Verdana" w:eastAsia="Verdana" w:hAnsi="Verdana" w:cs="Verdana"/>
                <w:b/>
                <w:bCs/>
              </w:rPr>
            </w:pPr>
            <w:r w:rsidRPr="004E5875">
              <w:rPr>
                <w:rFonts w:ascii="Verdana" w:eastAsia="Verdana" w:hAnsi="Verdana" w:cs="Verdana"/>
                <w:b/>
                <w:bCs/>
              </w:rPr>
              <w:t>Concepto C –1465 de 2026</w:t>
            </w:r>
          </w:p>
          <w:p w14:paraId="13186D67" w14:textId="77777777" w:rsidR="004E5875" w:rsidRPr="004E5875" w:rsidRDefault="004E5875" w:rsidP="004E5875">
            <w:pPr>
              <w:spacing w:after="0" w:line="240" w:lineRule="auto"/>
              <w:jc w:val="both"/>
              <w:rPr>
                <w:rFonts w:ascii="Verdana" w:eastAsia="Verdana" w:hAnsi="Verdana" w:cs="Verdana"/>
                <w:b/>
                <w:bCs/>
                <w:color w:val="7030A0"/>
              </w:rPr>
            </w:pPr>
          </w:p>
        </w:tc>
      </w:tr>
      <w:tr w:rsidR="004E5875" w:rsidRPr="004E5875" w14:paraId="73D6FF2C" w14:textId="77777777" w:rsidTr="00C11DB0">
        <w:trPr>
          <w:trHeight w:val="884"/>
        </w:trPr>
        <w:tc>
          <w:tcPr>
            <w:tcW w:w="2738" w:type="dxa"/>
          </w:tcPr>
          <w:p w14:paraId="7A147DA1" w14:textId="77777777" w:rsidR="004E5875" w:rsidRPr="004E5875" w:rsidRDefault="004E5875" w:rsidP="004E5875">
            <w:pPr>
              <w:spacing w:after="0" w:line="276" w:lineRule="auto"/>
              <w:jc w:val="both"/>
              <w:rPr>
                <w:rFonts w:ascii="Verdana" w:eastAsia="Verdana" w:hAnsi="Verdana" w:cs="Verdana"/>
                <w:color w:val="000000"/>
              </w:rPr>
            </w:pPr>
            <w:r w:rsidRPr="004E5875">
              <w:rPr>
                <w:rFonts w:ascii="Verdana" w:eastAsia="Verdana" w:hAnsi="Verdana" w:cs="Verdana"/>
                <w:b/>
                <w:bCs/>
                <w:color w:val="000000"/>
              </w:rPr>
              <w:t>Temas:</w:t>
            </w:r>
            <w:r w:rsidRPr="004E5875">
              <w:rPr>
                <w:rFonts w:ascii="Verdana" w:eastAsia="Verdana" w:hAnsi="Verdana" w:cs="Verdana"/>
                <w:color w:val="000000"/>
              </w:rPr>
              <w:t xml:space="preserve">                   </w:t>
            </w:r>
          </w:p>
        </w:tc>
        <w:tc>
          <w:tcPr>
            <w:tcW w:w="6100" w:type="dxa"/>
          </w:tcPr>
          <w:p w14:paraId="7F24809F" w14:textId="395AA55D" w:rsidR="004E5875" w:rsidRPr="004E5875" w:rsidRDefault="004E5875" w:rsidP="004E5875">
            <w:pPr>
              <w:spacing w:after="0" w:line="276" w:lineRule="auto"/>
              <w:jc w:val="both"/>
              <w:rPr>
                <w:rFonts w:ascii="Verdana" w:eastAsia="Arial" w:hAnsi="Verdana" w:cs="Arial"/>
                <w:color w:val="1F1F1F"/>
              </w:rPr>
            </w:pPr>
            <w:r w:rsidRPr="004E5875">
              <w:rPr>
                <w:rFonts w:ascii="Verdana" w:eastAsia="Arial" w:hAnsi="Verdana" w:cs="Arial"/>
                <w:color w:val="1F1F1F"/>
                <w:lang w:val="es-ES"/>
              </w:rPr>
              <w:t>CONTRATO DE PRESTACIÓN DE SERVICIOS – Concepto / CONTRATO DE PRESTACIÓN DE SERVICIOS – Características / RIESGOS PSICOSOCIAL – Alcance – Resolución 2464 de 2008 / RIESGO PSICOSOCIAL – Alcance – Resolución 2764 de 2022</w:t>
            </w:r>
            <w:r w:rsidRPr="004E5875">
              <w:rPr>
                <w:rFonts w:ascii="Verdana" w:eastAsia="Arial" w:hAnsi="Verdana" w:cs="Arial"/>
                <w:color w:val="1F1F1F"/>
              </w:rPr>
              <w:t xml:space="preserve"> / RIESGO PSICOSOCIAL – Implementación – No implica – Relación laboral – Contrato de prestación de servicios / SEGURIDAD Y SALUD EN EL TRABAJO – Alcance – Contrato de prestación de servicios – Aplicación /SEGURIDAD Y SALUD EN EL TRABAJO – Criterios - Artículo 2.2.4.6.28. – Decreto 1072 de 2015 – Aplicación – Contrato de prestación de servicios</w:t>
            </w:r>
          </w:p>
          <w:p w14:paraId="36674CC6" w14:textId="77777777" w:rsidR="004E5875" w:rsidRPr="004E5875" w:rsidRDefault="004E5875" w:rsidP="004E5875">
            <w:pPr>
              <w:spacing w:after="0" w:line="276" w:lineRule="auto"/>
              <w:jc w:val="both"/>
              <w:rPr>
                <w:rFonts w:ascii="Verdana" w:eastAsia="Verdana" w:hAnsi="Verdana" w:cs="Verdana"/>
              </w:rPr>
            </w:pPr>
          </w:p>
          <w:p w14:paraId="33F908E5" w14:textId="77777777" w:rsidR="004E5875" w:rsidRPr="004E5875" w:rsidRDefault="004E5875" w:rsidP="004E5875">
            <w:pPr>
              <w:spacing w:after="0" w:line="276" w:lineRule="auto"/>
              <w:jc w:val="both"/>
              <w:rPr>
                <w:rFonts w:ascii="Verdana" w:eastAsia="Verdana" w:hAnsi="Verdana" w:cs="Verdana"/>
              </w:rPr>
            </w:pPr>
          </w:p>
        </w:tc>
      </w:tr>
      <w:tr w:rsidR="004E5875" w:rsidRPr="004E5875" w14:paraId="45DAB4E5" w14:textId="77777777" w:rsidTr="00C11DB0">
        <w:trPr>
          <w:trHeight w:val="644"/>
        </w:trPr>
        <w:tc>
          <w:tcPr>
            <w:tcW w:w="2738" w:type="dxa"/>
          </w:tcPr>
          <w:p w14:paraId="1A082DDA" w14:textId="77777777" w:rsidR="004E5875" w:rsidRPr="004E5875" w:rsidRDefault="004E5875" w:rsidP="004E5875">
            <w:pPr>
              <w:spacing w:after="0" w:line="240" w:lineRule="auto"/>
              <w:jc w:val="both"/>
              <w:rPr>
                <w:rFonts w:ascii="Verdana" w:eastAsia="Verdana" w:hAnsi="Verdana" w:cs="Verdana"/>
                <w:b/>
                <w:bCs/>
                <w:highlight w:val="white"/>
              </w:rPr>
            </w:pPr>
            <w:r w:rsidRPr="004E5875">
              <w:rPr>
                <w:rFonts w:ascii="Verdana" w:eastAsia="Verdana" w:hAnsi="Verdana" w:cs="Verdana"/>
                <w:b/>
                <w:bCs/>
                <w:highlight w:val="white"/>
              </w:rPr>
              <w:t>Radicación:</w:t>
            </w:r>
            <w:r w:rsidRPr="004E5875">
              <w:rPr>
                <w:rFonts w:ascii="Verdana" w:eastAsia="Verdana" w:hAnsi="Verdana" w:cs="Verdana"/>
                <w:highlight w:val="white"/>
              </w:rPr>
              <w:t xml:space="preserve">               </w:t>
            </w:r>
          </w:p>
        </w:tc>
        <w:tc>
          <w:tcPr>
            <w:tcW w:w="6100" w:type="dxa"/>
          </w:tcPr>
          <w:p w14:paraId="46D3C934" w14:textId="77777777" w:rsidR="004E5875" w:rsidRPr="004E5875" w:rsidRDefault="004E5875" w:rsidP="004E5875">
            <w:pPr>
              <w:spacing w:after="0" w:line="240" w:lineRule="auto"/>
              <w:jc w:val="both"/>
              <w:rPr>
                <w:rFonts w:ascii="Verdana" w:eastAsia="Verdana" w:hAnsi="Verdana" w:cs="Verdana"/>
                <w:highlight w:val="yellow"/>
              </w:rPr>
            </w:pPr>
            <w:r w:rsidRPr="004E5875">
              <w:rPr>
                <w:rFonts w:ascii="Verdana" w:eastAsia="Verdana" w:hAnsi="Verdana" w:cs="Verdana"/>
                <w:highlight w:val="white"/>
              </w:rPr>
              <w:t>Respuesta a la consulta con radicado No. 1_2026_09_16_012384</w:t>
            </w:r>
          </w:p>
        </w:tc>
      </w:tr>
    </w:tbl>
    <w:p w14:paraId="725A8955" w14:textId="77777777" w:rsidR="004E5875" w:rsidRPr="004E5875" w:rsidRDefault="004E5875" w:rsidP="004E5875">
      <w:pPr>
        <w:spacing w:after="0" w:line="240" w:lineRule="auto"/>
        <w:jc w:val="both"/>
        <w:rPr>
          <w:rFonts w:ascii="Verdana" w:eastAsia="Verdana" w:hAnsi="Verdana" w:cs="Verdana"/>
          <w:color w:val="000000"/>
        </w:rPr>
      </w:pPr>
    </w:p>
    <w:p w14:paraId="16538169" w14:textId="77777777" w:rsidR="004E5875" w:rsidRPr="004E5875" w:rsidRDefault="004E5875" w:rsidP="004E5875">
      <w:pPr>
        <w:spacing w:after="0" w:line="276" w:lineRule="auto"/>
        <w:jc w:val="both"/>
        <w:rPr>
          <w:rFonts w:ascii="Verdana" w:eastAsia="Verdana" w:hAnsi="Verdana" w:cs="Verdana"/>
          <w:highlight w:val="white"/>
        </w:rPr>
      </w:pPr>
      <w:r w:rsidRPr="004E5875">
        <w:rPr>
          <w:rFonts w:ascii="Verdana" w:eastAsia="Verdana" w:hAnsi="Verdana" w:cs="Verdana"/>
          <w:highlight w:val="white"/>
        </w:rPr>
        <w:t xml:space="preserve">Estimada Señora González: </w:t>
      </w:r>
    </w:p>
    <w:p w14:paraId="1C98529E" w14:textId="77777777" w:rsidR="004E5875" w:rsidRPr="004E5875" w:rsidRDefault="004E5875" w:rsidP="004E5875">
      <w:pPr>
        <w:spacing w:after="0" w:line="276" w:lineRule="auto"/>
        <w:jc w:val="both"/>
        <w:rPr>
          <w:rFonts w:ascii="Verdana" w:eastAsia="Verdana" w:hAnsi="Verdana" w:cs="Verdana"/>
        </w:rPr>
      </w:pPr>
    </w:p>
    <w:p w14:paraId="1AA63717" w14:textId="77777777" w:rsidR="004E5875" w:rsidRPr="004E5875" w:rsidRDefault="004E5875" w:rsidP="004E5875">
      <w:pPr>
        <w:spacing w:after="0" w:line="276" w:lineRule="auto"/>
        <w:jc w:val="both"/>
        <w:rPr>
          <w:rFonts w:ascii="Verdana" w:eastAsia="Verdana" w:hAnsi="Verdana" w:cs="Verdana"/>
          <w:color w:val="000000"/>
          <w:highlight w:val="white"/>
        </w:rPr>
      </w:pPr>
      <w:r w:rsidRPr="004E5875">
        <w:rPr>
          <w:rFonts w:ascii="Verdana" w:eastAsia="Verdana" w:hAnsi="Verdana" w:cs="Verdana"/>
          <w:color w:val="000000"/>
        </w:rPr>
        <w:t xml:space="preserve">En ejercicio de la competencia otorgada por los artículos 3, numeral 5º, y 11, numeral 8º, del Decreto Ley 4170 de 2011, así como lo establecido por la Resolución 469 de 2025 expedida por esta Entidad, la Agencia Nacional de Contratación Pública –Colombia Compra Eficiente– responde a la solicitud de consulta presentada el 16 de septiembre de 2026, </w:t>
      </w:r>
      <w:r w:rsidRPr="004E5875">
        <w:rPr>
          <w:rFonts w:ascii="Verdana" w:eastAsia="Verdana" w:hAnsi="Verdana" w:cs="Verdana"/>
          <w:color w:val="000000"/>
          <w:highlight w:val="white"/>
        </w:rPr>
        <w:t xml:space="preserve">en el ámbito de sus competencias: </w:t>
      </w:r>
    </w:p>
    <w:p w14:paraId="759C2FF7" w14:textId="77777777" w:rsidR="004E5875" w:rsidRPr="004E5875" w:rsidRDefault="004E5875" w:rsidP="004E5875">
      <w:pPr>
        <w:spacing w:after="0" w:line="276" w:lineRule="auto"/>
        <w:jc w:val="both"/>
        <w:rPr>
          <w:rFonts w:ascii="Verdana" w:eastAsia="Verdana" w:hAnsi="Verdana" w:cs="Verdana"/>
          <w:color w:val="000000"/>
          <w:highlight w:val="white"/>
        </w:rPr>
      </w:pPr>
    </w:p>
    <w:p w14:paraId="03E902EE" w14:textId="77777777" w:rsidR="004E5875" w:rsidRPr="004E5875" w:rsidRDefault="004E5875" w:rsidP="004E5875">
      <w:pPr>
        <w:spacing w:after="0" w:line="240" w:lineRule="auto"/>
        <w:ind w:left="709" w:right="709"/>
        <w:jc w:val="both"/>
        <w:rPr>
          <w:rFonts w:ascii="Verdana" w:eastAsia="Verdana" w:hAnsi="Verdana" w:cs="Verdana"/>
          <w:color w:val="000000"/>
          <w:sz w:val="20"/>
          <w:szCs w:val="20"/>
          <w:highlight w:val="white"/>
          <w:lang w:val="es-CO"/>
        </w:rPr>
      </w:pPr>
      <w:r w:rsidRPr="004E5875">
        <w:rPr>
          <w:rFonts w:ascii="Verdana" w:eastAsia="Verdana" w:hAnsi="Verdana" w:cs="Verdana"/>
          <w:color w:val="000000"/>
          <w:sz w:val="20"/>
          <w:szCs w:val="20"/>
          <w:highlight w:val="white"/>
        </w:rPr>
        <w:lastRenderedPageBreak/>
        <w:t>1.</w:t>
      </w:r>
      <w:r w:rsidRPr="004E5875">
        <w:rPr>
          <w:rFonts w:ascii="Verdana" w:eastAsia="Verdana" w:hAnsi="Verdana" w:cs="Verdana"/>
          <w:color w:val="000000"/>
          <w:sz w:val="20"/>
          <w:szCs w:val="20"/>
          <w:highlight w:val="white"/>
          <w:lang w:val="es-CO"/>
        </w:rPr>
        <w:t xml:space="preserve"> ¿Existe obligación legal para las entidades estatales de aplicar los cuestionarios de factores de riesgo psicosocial a los contratistas independientes de prestación de servicios contratados mediante la modalidad de contratación directa?</w:t>
      </w:r>
    </w:p>
    <w:p w14:paraId="1D222307" w14:textId="77777777" w:rsidR="004E5875" w:rsidRPr="004E5875" w:rsidRDefault="004E5875" w:rsidP="004E5875">
      <w:pPr>
        <w:spacing w:after="0" w:line="240" w:lineRule="auto"/>
        <w:ind w:left="709" w:right="709"/>
        <w:jc w:val="both"/>
        <w:rPr>
          <w:rFonts w:ascii="Verdana" w:eastAsia="Verdana" w:hAnsi="Verdana" w:cs="Verdana"/>
          <w:color w:val="000000"/>
          <w:sz w:val="20"/>
          <w:szCs w:val="20"/>
          <w:highlight w:val="white"/>
          <w:lang w:val="es-CO"/>
        </w:rPr>
      </w:pPr>
      <w:r w:rsidRPr="004E5875">
        <w:rPr>
          <w:rFonts w:ascii="Verdana" w:eastAsia="Verdana" w:hAnsi="Verdana" w:cs="Verdana"/>
          <w:color w:val="000000"/>
          <w:sz w:val="20"/>
          <w:szCs w:val="20"/>
          <w:highlight w:val="white"/>
          <w:lang w:val="es-CO"/>
        </w:rPr>
        <w:t>2. ¿El sometimiento de un contratista de prestación de servicios a las herramientas de evaluación psicosocial orientadas a medir la subordinación y el control jerárquico vulnera el principio de autonomía contractual consagrado en la Ley 80 de 1993 o constituye un elemento de desnaturalización del vínculo civil/administrativo que favorezca la configuración de un contrato realidad?</w:t>
      </w:r>
    </w:p>
    <w:p w14:paraId="41A690B8" w14:textId="77777777" w:rsidR="004E5875" w:rsidRPr="004E5875" w:rsidRDefault="004E5875" w:rsidP="004E5875">
      <w:pPr>
        <w:spacing w:after="0" w:line="240" w:lineRule="auto"/>
        <w:ind w:left="709" w:right="709"/>
        <w:jc w:val="both"/>
        <w:rPr>
          <w:rFonts w:ascii="Verdana" w:eastAsia="Verdana" w:hAnsi="Verdana" w:cs="Verdana"/>
          <w:color w:val="000000"/>
          <w:sz w:val="20"/>
          <w:szCs w:val="20"/>
          <w:highlight w:val="white"/>
          <w:lang w:val="es-CO"/>
        </w:rPr>
      </w:pPr>
      <w:r w:rsidRPr="004E5875">
        <w:rPr>
          <w:rFonts w:ascii="Verdana" w:eastAsia="Verdana" w:hAnsi="Verdana" w:cs="Verdana"/>
          <w:color w:val="000000"/>
          <w:sz w:val="20"/>
          <w:szCs w:val="20"/>
          <w:highlight w:val="white"/>
          <w:lang w:val="es-CO"/>
        </w:rPr>
        <w:t>3. ¿De qué manera deben gestionar las entidades públicas la prevención y el control de los factores de riesgo psicosocial en los contratistas independientes en el marco del SG-SST, sin invadir la esfera de su autonomía ni tratarlos bajo los parámetros normativos propios de los servidores públicos de planta?</w:t>
      </w:r>
    </w:p>
    <w:p w14:paraId="2E0AC022" w14:textId="77777777" w:rsidR="004E5875" w:rsidRPr="004E5875" w:rsidRDefault="004E5875" w:rsidP="004E5875">
      <w:pPr>
        <w:spacing w:after="120" w:line="240" w:lineRule="auto"/>
        <w:jc w:val="both"/>
        <w:rPr>
          <w:rFonts w:ascii="Verdana" w:eastAsia="Verdana" w:hAnsi="Verdana" w:cs="Verdana"/>
          <w:color w:val="000000"/>
        </w:rPr>
      </w:pPr>
    </w:p>
    <w:p w14:paraId="6D79914B" w14:textId="77777777" w:rsidR="004E5875" w:rsidRPr="004E5875" w:rsidRDefault="004E5875" w:rsidP="004E5875">
      <w:pPr>
        <w:spacing w:after="120" w:line="276" w:lineRule="auto"/>
        <w:ind w:firstLine="709"/>
        <w:jc w:val="both"/>
        <w:rPr>
          <w:rFonts w:ascii="Verdana" w:eastAsia="Verdana" w:hAnsi="Verdana" w:cs="Verdana"/>
          <w:color w:val="000000"/>
        </w:rPr>
      </w:pPr>
      <w:r w:rsidRPr="004E5875">
        <w:rPr>
          <w:rFonts w:ascii="Verdana" w:eastAsia="Verdana" w:hAnsi="Verdana" w:cs="Verdana"/>
          <w:color w:val="000000"/>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E5875">
        <w:rPr>
          <w:rFonts w:ascii="Verdana" w:eastAsia="Verdana" w:hAnsi="Verdana" w:cs="Verdana"/>
          <w:color w:val="000000"/>
        </w:rPr>
        <w:tab/>
      </w:r>
    </w:p>
    <w:p w14:paraId="6BC7EC3F" w14:textId="77777777" w:rsidR="004E5875" w:rsidRPr="004E5875" w:rsidRDefault="004E5875" w:rsidP="004E5875">
      <w:pPr>
        <w:spacing w:after="0" w:line="276" w:lineRule="auto"/>
        <w:ind w:firstLine="708"/>
        <w:jc w:val="both"/>
        <w:rPr>
          <w:rFonts w:ascii="Verdana" w:eastAsia="Verdana" w:hAnsi="Verdana" w:cs="Verdana"/>
        </w:rPr>
      </w:pPr>
      <w:r w:rsidRPr="004E5875">
        <w:rPr>
          <w:rFonts w:ascii="Verdana" w:eastAsia="Verdana" w:hAnsi="Verdana" w:cs="Verdana"/>
          <w:color w:val="000000"/>
        </w:rPr>
        <w:t xml:space="preserve">Conforme lo expuesto, en aras de satisfacer el derecho fundamental de petición se resolverá su consulta dentro de los límites de la referida competencia consultiva, esto es, haciendo abstracción de las circunstancias específicas que la hayan motivado, pero señalando algunas consideraciones sobre las normas generales relacionadas con los problemas jurídicos de su consulta. </w:t>
      </w:r>
    </w:p>
    <w:p w14:paraId="6FBF0C6B" w14:textId="77777777" w:rsidR="004E5875" w:rsidRPr="004E5875" w:rsidRDefault="004E5875" w:rsidP="004E5875">
      <w:pPr>
        <w:spacing w:after="0" w:line="276" w:lineRule="auto"/>
        <w:jc w:val="both"/>
        <w:rPr>
          <w:rFonts w:ascii="Verdana" w:eastAsia="Verdana" w:hAnsi="Verdana" w:cs="Verdana"/>
          <w:color w:val="000000"/>
        </w:rPr>
      </w:pPr>
    </w:p>
    <w:p w14:paraId="0F4C557E" w14:textId="77777777" w:rsidR="004E5875" w:rsidRPr="004E5875" w:rsidRDefault="004E5875" w:rsidP="004E5875">
      <w:pPr>
        <w:numPr>
          <w:ilvl w:val="0"/>
          <w:numId w:val="4"/>
        </w:numPr>
        <w:tabs>
          <w:tab w:val="left" w:pos="142"/>
          <w:tab w:val="left" w:pos="284"/>
        </w:tabs>
        <w:spacing w:after="0" w:line="276" w:lineRule="auto"/>
        <w:jc w:val="both"/>
        <w:rPr>
          <w:rFonts w:ascii="Verdana" w:eastAsia="Verdana" w:hAnsi="Verdana" w:cs="Verdana"/>
          <w:b/>
          <w:bCs/>
        </w:rPr>
      </w:pPr>
      <w:r w:rsidRPr="004E5875">
        <w:rPr>
          <w:rFonts w:ascii="Verdana" w:eastAsia="Verdana" w:hAnsi="Verdana" w:cs="Verdana"/>
          <w:b/>
          <w:bCs/>
        </w:rPr>
        <w:t xml:space="preserve"> Problema planteado:</w:t>
      </w:r>
    </w:p>
    <w:p w14:paraId="7E78768C" w14:textId="77777777" w:rsidR="004E5875" w:rsidRPr="004E5875" w:rsidRDefault="004E5875" w:rsidP="004E5875">
      <w:pPr>
        <w:tabs>
          <w:tab w:val="left" w:pos="426"/>
        </w:tabs>
        <w:spacing w:after="0" w:line="276" w:lineRule="auto"/>
        <w:jc w:val="both"/>
        <w:rPr>
          <w:rFonts w:ascii="Verdana" w:eastAsia="Verdana" w:hAnsi="Verdana" w:cs="Verdana"/>
          <w:highlight w:val="white"/>
        </w:rPr>
      </w:pPr>
    </w:p>
    <w:p w14:paraId="6E68C667" w14:textId="77777777" w:rsidR="004E5875" w:rsidRPr="004E5875" w:rsidRDefault="004E5875" w:rsidP="004E5875">
      <w:pPr>
        <w:spacing w:after="0" w:line="276" w:lineRule="auto"/>
        <w:jc w:val="both"/>
        <w:rPr>
          <w:rFonts w:ascii="Verdana" w:eastAsia="Verdana" w:hAnsi="Verdana" w:cs="Verdana"/>
          <w:highlight w:val="white"/>
          <w:lang w:val="es-CO"/>
        </w:rPr>
      </w:pPr>
      <w:r w:rsidRPr="004E5875">
        <w:rPr>
          <w:rFonts w:ascii="Verdana" w:eastAsia="Verdana" w:hAnsi="Verdana" w:cs="Verdana"/>
          <w:highlight w:val="white"/>
        </w:rPr>
        <w:t xml:space="preserve">De acuerdo con el contenido de su solicitud, esta Agencia resolverá los siguientes problemas jurídicos: </w:t>
      </w:r>
      <w:r w:rsidRPr="004E5875">
        <w:rPr>
          <w:rFonts w:ascii="Verdana" w:eastAsia="Verdana" w:hAnsi="Verdana" w:cs="Verdana"/>
          <w:highlight w:val="white"/>
          <w:lang w:val="es-CO"/>
        </w:rPr>
        <w:t xml:space="preserve">i) ¿Cuál es el alcance de las obligaciones de las entidades </w:t>
      </w:r>
      <w:r w:rsidRPr="004E5875">
        <w:rPr>
          <w:rFonts w:ascii="Verdana" w:eastAsia="Verdana" w:hAnsi="Verdana" w:cs="Verdana"/>
          <w:highlight w:val="white"/>
          <w:lang w:val="es-CO"/>
        </w:rPr>
        <w:lastRenderedPageBreak/>
        <w:t xml:space="preserve">estatales frente a la gestión de riesgos psicosociales en contratistas independientes, y cómo deben armonizarse dichas obligaciones con el principio de autonomía contractual y la naturaleza civil/administrativa del vínculo?; </w:t>
      </w:r>
      <w:proofErr w:type="spellStart"/>
      <w:r w:rsidRPr="004E5875">
        <w:rPr>
          <w:rFonts w:ascii="Verdana" w:eastAsia="Verdana" w:hAnsi="Verdana" w:cs="Verdana"/>
          <w:highlight w:val="white"/>
          <w:lang w:val="es-CO"/>
        </w:rPr>
        <w:t>ii</w:t>
      </w:r>
      <w:proofErr w:type="spellEnd"/>
      <w:r w:rsidRPr="004E5875">
        <w:rPr>
          <w:rFonts w:ascii="Verdana" w:eastAsia="Verdana" w:hAnsi="Verdana" w:cs="Verdana"/>
          <w:highlight w:val="white"/>
          <w:lang w:val="es-CO"/>
        </w:rPr>
        <w:t>) ¿Qué criterios jurídicos y técnicos deben orientar a las entidades públicas en la implementación del SG-SST respecto de contratistas de prestación de servicios, de manera que se garantice la prevención de riesgos sin desnaturalizar su contratación ni configurar relaciones de subordinación propias del contrato laboral?</w:t>
      </w:r>
    </w:p>
    <w:p w14:paraId="44904CD6" w14:textId="77777777" w:rsidR="004E5875" w:rsidRPr="004E5875" w:rsidRDefault="004E5875" w:rsidP="004E5875">
      <w:pPr>
        <w:spacing w:after="0" w:line="276" w:lineRule="auto"/>
        <w:jc w:val="both"/>
        <w:rPr>
          <w:rFonts w:ascii="Verdana" w:eastAsia="Verdana" w:hAnsi="Verdana" w:cs="Verdana"/>
          <w:highlight w:val="yellow"/>
        </w:rPr>
      </w:pPr>
    </w:p>
    <w:p w14:paraId="6EE08B7A" w14:textId="77777777" w:rsidR="004E5875" w:rsidRPr="004E5875" w:rsidRDefault="004E5875" w:rsidP="004E5875">
      <w:pPr>
        <w:numPr>
          <w:ilvl w:val="0"/>
          <w:numId w:val="4"/>
        </w:numPr>
        <w:tabs>
          <w:tab w:val="left" w:pos="142"/>
          <w:tab w:val="left" w:pos="284"/>
        </w:tabs>
        <w:spacing w:after="0" w:line="276" w:lineRule="auto"/>
        <w:jc w:val="both"/>
        <w:rPr>
          <w:rFonts w:ascii="Verdana" w:eastAsia="Verdana" w:hAnsi="Verdana" w:cs="Verdana"/>
          <w:b/>
          <w:bCs/>
        </w:rPr>
      </w:pPr>
      <w:r w:rsidRPr="004E5875">
        <w:rPr>
          <w:rFonts w:ascii="Verdana" w:eastAsia="Verdana" w:hAnsi="Verdana" w:cs="Verdana"/>
          <w:b/>
          <w:bCs/>
        </w:rPr>
        <w:t xml:space="preserve"> Respuesta:</w:t>
      </w:r>
    </w:p>
    <w:p w14:paraId="3753AA14" w14:textId="77777777" w:rsidR="004E5875" w:rsidRPr="004E5875" w:rsidRDefault="004E5875" w:rsidP="004E5875">
      <w:pPr>
        <w:tabs>
          <w:tab w:val="left" w:pos="142"/>
          <w:tab w:val="left" w:pos="284"/>
        </w:tabs>
        <w:spacing w:after="0" w:line="276" w:lineRule="auto"/>
        <w:jc w:val="both"/>
        <w:rPr>
          <w:rFonts w:ascii="Verdana" w:eastAsia="Verdana" w:hAnsi="Verdana" w:cs="Verdana"/>
          <w:b/>
          <w:bCs/>
        </w:rPr>
      </w:pPr>
    </w:p>
    <w:tbl>
      <w:tblPr>
        <w:tblW w:w="8828"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8828"/>
      </w:tblGrid>
      <w:tr w:rsidR="004E5875" w:rsidRPr="004E5875" w14:paraId="52A8039E" w14:textId="77777777" w:rsidTr="00C11DB0">
        <w:trPr>
          <w:jc w:val="center"/>
        </w:trPr>
        <w:tc>
          <w:tcPr>
            <w:tcW w:w="8828" w:type="dxa"/>
            <w:tcBorders>
              <w:top w:val="dotted" w:sz="4" w:space="0" w:color="000000"/>
              <w:left w:val="dotted" w:sz="4" w:space="0" w:color="000000"/>
              <w:bottom w:val="dotted" w:sz="4" w:space="0" w:color="000000"/>
              <w:right w:val="dotted" w:sz="4" w:space="0" w:color="000000"/>
            </w:tcBorders>
          </w:tcPr>
          <w:p w14:paraId="1FB08454" w14:textId="77777777" w:rsidR="004E5875" w:rsidRPr="004E5875" w:rsidRDefault="004E5875" w:rsidP="004E5875">
            <w:pPr>
              <w:spacing w:after="0" w:line="276" w:lineRule="auto"/>
              <w:rPr>
                <w:rFonts w:ascii="Verdana" w:eastAsia="Arial" w:hAnsi="Verdana" w:cs="Times New Roman"/>
                <w:color w:val="1F1F1F"/>
              </w:rPr>
            </w:pPr>
            <w:r w:rsidRPr="004E5875">
              <w:rPr>
                <w:rFonts w:ascii="Verdana" w:eastAsia="Arial" w:hAnsi="Verdana" w:cs="Times New Roman"/>
                <w:color w:val="1F1F1F"/>
              </w:rPr>
              <w:t>Conforme a los problemas jurídicos de su consulta, se expone lo siguiente:</w:t>
            </w:r>
          </w:p>
          <w:p w14:paraId="51D153CB" w14:textId="77777777" w:rsidR="004E5875" w:rsidRPr="004E5875" w:rsidRDefault="004E5875" w:rsidP="004E5875">
            <w:pPr>
              <w:spacing w:after="0" w:line="276" w:lineRule="auto"/>
              <w:rPr>
                <w:rFonts w:ascii="Verdana" w:eastAsia="Arial" w:hAnsi="Verdana" w:cs="Times New Roman"/>
                <w:color w:val="1F1F1F"/>
              </w:rPr>
            </w:pPr>
          </w:p>
          <w:p w14:paraId="6688854F" w14:textId="77777777" w:rsidR="004E5875" w:rsidRPr="004E5875" w:rsidRDefault="004E5875" w:rsidP="004E5875">
            <w:pPr>
              <w:spacing w:after="120" w:line="276" w:lineRule="auto"/>
              <w:jc w:val="both"/>
              <w:rPr>
                <w:rFonts w:ascii="Verdana" w:eastAsia="Arial" w:hAnsi="Verdana" w:cs="Times New Roman"/>
                <w:color w:val="1F1F1F"/>
                <w:lang w:val="es-CO"/>
              </w:rPr>
            </w:pPr>
            <w:r w:rsidRPr="004E5875">
              <w:rPr>
                <w:rFonts w:ascii="Verdana" w:eastAsia="Arial" w:hAnsi="Verdana" w:cs="Times New Roman"/>
                <w:color w:val="1F1F1F"/>
                <w:lang w:val="es-CO"/>
              </w:rPr>
              <w:t>i. En torno al primer problema jurídico, se destaca que las obligaciones derivadas de la gestión de los factores de riesgo psicosocial previstas en las Resoluciones 2646 de 2008 y 2764 de 2022 no constituyen, por sí mismas, elementos que permitan concluir la existencia de una relación de subordinación ni la configuración de un contrato realidad. Tales exigencias no tienen origen en la facultad de dirección, control o disciplina propia del empleador respecto de un trabajador subordinado, sino en el cumplimiento de deberes legales de prevención, protección y promoción de la seguridad y salud en el trabajo que el ordenamiento jurídico impone a empleadores y contratantes frente a todas las personas que desarrollan actividades en su beneficio, con independencia de la naturaleza jurídica del vínculo. Esta circunstancia resulta especialmente relevante en el caso de los contratistas de prestación de servicios, quienes, aun conservando su autonomía técnica y jurídica, se encuentran comprendidos dentro de los mecanismos de prevención y gestión de los riesgos laborales establecidos por la legislación colombiana.</w:t>
            </w:r>
          </w:p>
          <w:p w14:paraId="1E6F1D7D" w14:textId="77777777" w:rsidR="004E5875" w:rsidRPr="004E5875" w:rsidRDefault="004E5875" w:rsidP="004E5875">
            <w:pPr>
              <w:spacing w:after="120" w:line="276" w:lineRule="auto"/>
              <w:ind w:firstLine="720"/>
              <w:jc w:val="both"/>
              <w:rPr>
                <w:rFonts w:ascii="Verdana" w:eastAsia="Arial" w:hAnsi="Verdana" w:cs="Times New Roman"/>
                <w:color w:val="1F1F1F"/>
                <w:lang w:val="es-CO"/>
              </w:rPr>
            </w:pPr>
            <w:r w:rsidRPr="004E5875">
              <w:rPr>
                <w:rFonts w:ascii="Verdana" w:eastAsia="Arial" w:hAnsi="Verdana" w:cs="Times New Roman"/>
                <w:color w:val="1F1F1F"/>
                <w:lang w:val="es-CO"/>
              </w:rPr>
              <w:t xml:space="preserve">En efecto, las propias Resoluciones 2646 de 2008 y 2764 de 2022 extienden expresamente su ámbito de aplicación no solamente a trabajadores dependientes, sino también a trabajadores independientes, contratistas y demás personas vinculadas mediante relaciones civiles, comerciales o administrativas. Por tal razón, la aplicación de instrumentos para la identificación, evaluación, intervención y monitoreo de los factores de riesgo psicosocial, así como la implementación de estrategias de promoción de la salud mental y prevención del estrés laboral, constituyen obligaciones legales </w:t>
            </w:r>
            <w:r w:rsidRPr="004E5875">
              <w:rPr>
                <w:rFonts w:ascii="Verdana" w:eastAsia="Arial" w:hAnsi="Verdana" w:cs="Times New Roman"/>
                <w:color w:val="1F1F1F"/>
                <w:lang w:val="es-CO"/>
              </w:rPr>
              <w:lastRenderedPageBreak/>
              <w:t xml:space="preserve">de carácter preventivo cuyo fin es proteger la salud física y mental de quienes ejecutan actividades relacionadas con la entidad. Por tanto, es pertinente aplicar como lo establecen las resoluciones ya precitadas, pues ello no implica en estricto sentido, una relación de subordinación con respecto a los contratos de prestación de servicios profesionales y de apoyo a la gestión. </w:t>
            </w:r>
          </w:p>
          <w:p w14:paraId="27CB0C91" w14:textId="77777777" w:rsidR="004E5875" w:rsidRPr="004E5875" w:rsidRDefault="004E5875" w:rsidP="004E5875">
            <w:pPr>
              <w:spacing w:after="120" w:line="276" w:lineRule="auto"/>
              <w:ind w:firstLine="720"/>
              <w:jc w:val="both"/>
              <w:rPr>
                <w:rFonts w:ascii="Verdana" w:eastAsia="Arial" w:hAnsi="Verdana" w:cs="Times New Roman"/>
                <w:color w:val="1F1F1F"/>
                <w:lang w:val="es-CO"/>
              </w:rPr>
            </w:pPr>
            <w:r w:rsidRPr="004E5875">
              <w:rPr>
                <w:rFonts w:ascii="Verdana" w:eastAsia="Arial" w:hAnsi="Verdana" w:cs="Times New Roman"/>
                <w:color w:val="1F1F1F"/>
                <w:lang w:val="es-CO"/>
              </w:rPr>
              <w:t xml:space="preserve">En ese sentido, actuaciones tales como la aplicación de la batería de riesgo psicosocial, la participación en programas de vigilancia epidemiológica, la asistencia a actividades de capacitación en seguridad y salud en el trabajo, el suministro de información relacionada con riesgos ocupacionales o el cumplimiento de protocolos institucionales de prevención no constituyen, por sí solas, manifestaciones de subordinación. Se trata, por el contrario, de mecanismos obligatorios de protección de la vida, la integridad y la salud de las personas que concurren a la ejecución de una actividad económica o contractual, cuya observancia es exigible incluso cuando no existe vínculo laboral. </w:t>
            </w:r>
          </w:p>
          <w:p w14:paraId="33ADED72" w14:textId="77777777" w:rsidR="004E5875" w:rsidRPr="004E5875" w:rsidRDefault="004E5875" w:rsidP="004E5875">
            <w:pPr>
              <w:spacing w:after="0" w:line="276" w:lineRule="auto"/>
              <w:ind w:firstLine="720"/>
              <w:jc w:val="both"/>
              <w:rPr>
                <w:rFonts w:ascii="Verdana" w:eastAsia="Arial" w:hAnsi="Verdana" w:cs="Times New Roman"/>
                <w:color w:val="1F1F1F"/>
                <w:lang w:val="es-CO"/>
              </w:rPr>
            </w:pPr>
            <w:r w:rsidRPr="004E5875">
              <w:rPr>
                <w:rFonts w:ascii="Verdana" w:eastAsia="Arial" w:hAnsi="Verdana" w:cs="Times New Roman"/>
                <w:color w:val="1F1F1F"/>
                <w:lang w:val="es-CO"/>
              </w:rPr>
              <w:t>Por tanto, el simple cumplimiento de obligaciones legales asociadas a la seguridad y salud en el trabajo, incluidas aquellas relacionadas con la identificación y gestión de factores de riesgo psicosocial, carece de la entidad suficiente para desvirtuar la naturaleza civil, comercial o administrativa de un contrato de prestación de servicios suscrito con una entidad estatal, pues tales obligaciones son transversales y aplicables a diversas formas de vinculación reconocidas por el ordenamiento jurídico colombiano.</w:t>
            </w:r>
          </w:p>
          <w:p w14:paraId="327AEEEE" w14:textId="77777777" w:rsidR="004E5875" w:rsidRPr="004E5875" w:rsidRDefault="004E5875" w:rsidP="004E5875">
            <w:pPr>
              <w:spacing w:after="0" w:line="276" w:lineRule="auto"/>
              <w:jc w:val="both"/>
              <w:rPr>
                <w:rFonts w:ascii="Verdana" w:eastAsia="Arial" w:hAnsi="Verdana" w:cs="Times New Roman"/>
                <w:color w:val="1F1F1F"/>
                <w:lang w:val="es-CO"/>
              </w:rPr>
            </w:pPr>
          </w:p>
          <w:p w14:paraId="312CE300" w14:textId="77777777" w:rsidR="004E5875" w:rsidRPr="004E5875" w:rsidRDefault="004E5875" w:rsidP="004E5875">
            <w:pPr>
              <w:spacing w:after="120" w:line="276" w:lineRule="auto"/>
              <w:jc w:val="both"/>
              <w:rPr>
                <w:rFonts w:ascii="Verdana" w:eastAsia="Arial" w:hAnsi="Verdana"/>
                <w:color w:val="1F1F1F"/>
                <w:lang w:val="es-CO"/>
              </w:rPr>
            </w:pPr>
            <w:proofErr w:type="spellStart"/>
            <w:r w:rsidRPr="004E5875">
              <w:rPr>
                <w:rFonts w:ascii="Verdana" w:eastAsia="Arial" w:hAnsi="Verdana" w:cs="Times New Roman"/>
                <w:color w:val="1F1F1F"/>
                <w:lang w:val="es-CO"/>
              </w:rPr>
              <w:t>ii</w:t>
            </w:r>
            <w:proofErr w:type="spellEnd"/>
            <w:r w:rsidRPr="004E5875">
              <w:rPr>
                <w:rFonts w:ascii="Verdana" w:eastAsia="Arial" w:hAnsi="Verdana" w:cs="Times New Roman"/>
                <w:color w:val="1F1F1F"/>
                <w:lang w:val="es-CO"/>
              </w:rPr>
              <w:t xml:space="preserve">. </w:t>
            </w:r>
            <w:r w:rsidRPr="004E5875">
              <w:rPr>
                <w:rFonts w:ascii="Verdana" w:eastAsia="Arial" w:hAnsi="Verdana"/>
                <w:color w:val="1F1F1F"/>
                <w:lang w:val="es-CO"/>
              </w:rPr>
              <w:t>Para resolver el segundo problema jurídico, resulta pertinente acudir al marco normativo que regula el Sistema General de Riesgos Laborales y el Sistema de Gestión de la Seguridad y Salud en el Trabajo (SG-SST). Para ello, el artículo 2.2.4.2.2.15 del Decreto 1072 de 2015 establece que, respecto de las personas comprendidas dentro de su ámbito de aplicación, el contratante debe garantizar su inclusión en las actividades del Sistema de Gestión de Seguridad y Salud en el Trabajo, lo que implica, entre otros aspectos, desarrollar acciones de prevención y promoción, facilitar su participación en programas de capacitación en seguridad y salud en el trabajo y verificar el cumplimiento de los requisitos de seguridad necesarios para la ejecución de las actividades contratadas.</w:t>
            </w:r>
          </w:p>
          <w:p w14:paraId="220D35DE" w14:textId="77777777" w:rsidR="004E5875" w:rsidRPr="004E5875" w:rsidRDefault="004E5875" w:rsidP="004E5875">
            <w:pPr>
              <w:spacing w:after="120" w:line="276" w:lineRule="auto"/>
              <w:ind w:firstLine="720"/>
              <w:jc w:val="both"/>
              <w:rPr>
                <w:rFonts w:ascii="Verdana" w:eastAsia="Arial" w:hAnsi="Verdana" w:cs="Times New Roman"/>
                <w:color w:val="1F1F1F"/>
                <w:lang w:val="es-CO"/>
              </w:rPr>
            </w:pPr>
            <w:r w:rsidRPr="004E5875">
              <w:rPr>
                <w:rFonts w:ascii="Verdana" w:eastAsia="Arial" w:hAnsi="Verdana" w:cs="Times New Roman"/>
                <w:color w:val="1F1F1F"/>
                <w:lang w:val="es-CO"/>
              </w:rPr>
              <w:lastRenderedPageBreak/>
              <w:t>De igual manera, el artículo 2.2.4.6.1 del Decreto 1072 de 2015 dispone que el capítulo relativo al SG-SST tiene por objeto definir las directrices de obligatorio cumplimiento para su implementación, las cuales deben ser observadas no solo por los empleadores públicos y privados, sino también por los contratantes de personal vinculado mediante contratos civiles, comerciales o administrativos, así como por las organizaciones de economía solidaria, las entidades del sector cooperativo y las empresas de servicios temporales. La misma disposición señala que la cobertura de dichas obligaciones se extiende a trabajadores dependientes, contratistas, trabajadores asociados o cooperados y trabajadores en misión, lo que evidencia que el sistema fue diseñado para proteger a todas las personas que desarrollan actividades en favor de una organización, independientemente de la naturaleza jurídica del vínculo que las una a esta.</w:t>
            </w:r>
          </w:p>
          <w:p w14:paraId="6FD84855" w14:textId="77777777" w:rsidR="004E5875" w:rsidRPr="004E5875" w:rsidRDefault="004E5875" w:rsidP="004E5875">
            <w:pPr>
              <w:spacing w:after="120" w:line="276" w:lineRule="auto"/>
              <w:ind w:firstLine="720"/>
              <w:jc w:val="both"/>
              <w:rPr>
                <w:rFonts w:ascii="Verdana" w:eastAsia="Arial" w:hAnsi="Verdana" w:cs="Times New Roman"/>
                <w:color w:val="1F1F1F"/>
                <w:lang w:val="es-CO"/>
              </w:rPr>
            </w:pPr>
            <w:r w:rsidRPr="004E5875">
              <w:rPr>
                <w:rFonts w:ascii="Verdana" w:eastAsia="Arial" w:hAnsi="Verdana" w:cs="Times New Roman"/>
                <w:color w:val="1F1F1F"/>
                <w:lang w:val="es-CO"/>
              </w:rPr>
              <w:t>Por su parte, los artículos 2.2.4.6.4 y 2.2.4.6.28 del Decreto 1072 de 2015 refuerzan expresamente la inclusión de los contratistas dentro del ámbito de aplicación del SG-SST y regulan los mecanismos de coordinación que deben implementarse cuando concurren diferentes empleadores, contratantes, contratistas o prestadores de servicios en un mismo centro o lugar de trabajo. Estas disposiciones permiten concluir que el SG-SST constituye un sistema de gestión del riesgo de alcance transversal, cuyo propósito no se limita a las relaciones laborales subordinadas, sino que comprende también a quienes se encuentren vinculados mediante contratos civiles, comerciales o administrativos.</w:t>
            </w:r>
          </w:p>
          <w:p w14:paraId="575BD80B" w14:textId="77777777" w:rsidR="004E5875" w:rsidRPr="004E5875" w:rsidRDefault="004E5875" w:rsidP="004E5875">
            <w:pPr>
              <w:spacing w:after="120" w:line="276" w:lineRule="auto"/>
              <w:ind w:firstLine="720"/>
              <w:jc w:val="both"/>
              <w:rPr>
                <w:rFonts w:ascii="Verdana" w:eastAsia="Arial" w:hAnsi="Verdana" w:cs="Times New Roman"/>
                <w:color w:val="1F1F1F"/>
                <w:lang w:val="es-CO"/>
              </w:rPr>
            </w:pPr>
            <w:r w:rsidRPr="004E5875">
              <w:rPr>
                <w:rFonts w:ascii="Verdana" w:eastAsia="Arial" w:hAnsi="Verdana" w:cs="Times New Roman"/>
                <w:color w:val="1F1F1F"/>
                <w:lang w:val="es-CO"/>
              </w:rPr>
              <w:t xml:space="preserve">En particular, el artículo 2.2.4.6.28 desarrolla las obligaciones que tienen los empleadores y contratantes para garantizar que proveedores, contratistas, subcontratistas, trabajadores cooperados y trabajadores en misión cumplan las normas de seguridad y salud en el trabajo durante la ejecución de las actividades contratadas. Para ello, exige incorporar criterios de seguridad y salud en el trabajo en la selección de proveedores y contratistas; establecer mecanismos de comunicación y coordinación; verificar la afiliación al Sistema General de Riesgos Laborales; informar acerca de los peligros y riesgos asociados al lugar de trabajo; promover el reporte de accidentes de trabajo y enfermedades laborales; y efectuar verificaciones periódicas sobre el cumplimiento de las obligaciones preventivas correspondientes. Tales exigencias responden a una lógica de administración </w:t>
            </w:r>
            <w:r w:rsidRPr="004E5875">
              <w:rPr>
                <w:rFonts w:ascii="Verdana" w:eastAsia="Arial" w:hAnsi="Verdana" w:cs="Times New Roman"/>
                <w:color w:val="1F1F1F"/>
                <w:lang w:val="es-CO"/>
              </w:rPr>
              <w:lastRenderedPageBreak/>
              <w:t xml:space="preserve">y control del riesgo laboral que busca proteger a todas las personas que participan en la ejecución de una actividad económica, sin que dependa de la existencia de una relación de subordinación. </w:t>
            </w:r>
          </w:p>
          <w:p w14:paraId="797BFEE0" w14:textId="77777777" w:rsidR="004E5875" w:rsidRPr="004E5875" w:rsidRDefault="004E5875" w:rsidP="004E5875">
            <w:pPr>
              <w:spacing w:after="120" w:line="276" w:lineRule="auto"/>
              <w:ind w:firstLine="720"/>
              <w:jc w:val="both"/>
              <w:rPr>
                <w:rFonts w:ascii="Verdana" w:eastAsia="Arial" w:hAnsi="Verdana" w:cs="Times New Roman"/>
                <w:color w:val="1F1F1F"/>
                <w:lang w:val="es-CO"/>
              </w:rPr>
            </w:pPr>
            <w:r w:rsidRPr="004E5875">
              <w:rPr>
                <w:rFonts w:ascii="Verdana" w:eastAsia="Arial" w:hAnsi="Verdana" w:cs="Times New Roman"/>
                <w:color w:val="1F1F1F"/>
                <w:lang w:val="es-CO"/>
              </w:rPr>
              <w:t>En efecto, esta disposición constituye una evidencia de que las obligaciones derivadas del SG-SST no son exclusivas de las relaciones laborales. Por el contrario, el propio artículo reconoce la existencia de contratistas y subcontratistas como sujetos destinatarios de las medidas de prevención, gestión y control del riesgo laboral, al tiempo que su parágrafo les atribuye responsabilidades directas frente a sus propios trabajadores y colaboradores. Por tanto, la exigencia de participar en actividades del SG-SST, asistir a capacitaciones, responder instrumentos de evaluación de riesgo psicosocial o cumplir protocolos de seguridad constituye una consecuencia de la legislación en materia de riesgos laborales y no una expresión de</w:t>
            </w:r>
            <w:bookmarkStart w:id="1" w:name="_heading=h.bq8xsfflb72r" w:colFirst="0" w:colLast="0"/>
            <w:bookmarkEnd w:id="1"/>
            <w:r w:rsidRPr="004E5875">
              <w:rPr>
                <w:rFonts w:ascii="Verdana" w:eastAsia="Arial" w:hAnsi="Verdana" w:cs="Times New Roman"/>
                <w:color w:val="1F1F1F"/>
                <w:lang w:val="es-CO"/>
              </w:rPr>
              <w:t xml:space="preserve"> subordinación que caracteriza las relaciones laborales. </w:t>
            </w:r>
          </w:p>
          <w:p w14:paraId="24EDD242" w14:textId="77777777" w:rsidR="004E5875" w:rsidRPr="004E5875" w:rsidRDefault="004E5875" w:rsidP="004E5875">
            <w:pPr>
              <w:spacing w:after="0" w:line="276" w:lineRule="auto"/>
              <w:ind w:firstLine="720"/>
              <w:jc w:val="both"/>
              <w:rPr>
                <w:rFonts w:ascii="Verdana" w:eastAsia="Verdana" w:hAnsi="Verdana" w:cs="Verdana"/>
              </w:rPr>
            </w:pPr>
            <w:r w:rsidRPr="004E5875">
              <w:rPr>
                <w:rFonts w:ascii="Verdana" w:eastAsia="Verdana" w:hAnsi="Verdana" w:cs="Verdana"/>
                <w:color w:val="000000"/>
              </w:rPr>
              <w:t xml:space="preserve">Dentro de este marco, el consultante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tc>
      </w:tr>
    </w:tbl>
    <w:p w14:paraId="129FB5D8" w14:textId="77777777" w:rsidR="004E5875" w:rsidRPr="004E5875" w:rsidRDefault="004E5875" w:rsidP="004E5875">
      <w:pPr>
        <w:tabs>
          <w:tab w:val="left" w:pos="142"/>
          <w:tab w:val="left" w:pos="284"/>
        </w:tabs>
        <w:spacing w:after="0" w:line="240" w:lineRule="auto"/>
        <w:jc w:val="both"/>
        <w:rPr>
          <w:rFonts w:ascii="Verdana" w:eastAsia="Verdana" w:hAnsi="Verdana" w:cs="Verdana"/>
          <w:b/>
          <w:bCs/>
        </w:rPr>
      </w:pPr>
    </w:p>
    <w:p w14:paraId="140FD319" w14:textId="77777777" w:rsidR="004E5875" w:rsidRPr="004E5875" w:rsidRDefault="004E5875" w:rsidP="004E5875">
      <w:pPr>
        <w:numPr>
          <w:ilvl w:val="0"/>
          <w:numId w:val="4"/>
        </w:numPr>
        <w:tabs>
          <w:tab w:val="left" w:pos="142"/>
          <w:tab w:val="left" w:pos="284"/>
        </w:tabs>
        <w:spacing w:after="0" w:line="240" w:lineRule="auto"/>
        <w:jc w:val="both"/>
        <w:rPr>
          <w:rFonts w:ascii="Verdana" w:eastAsia="Verdana" w:hAnsi="Verdana" w:cs="Verdana"/>
          <w:b/>
          <w:bCs/>
        </w:rPr>
      </w:pPr>
      <w:r w:rsidRPr="004E5875">
        <w:rPr>
          <w:rFonts w:ascii="Verdana" w:eastAsia="Verdana" w:hAnsi="Verdana" w:cs="Verdana"/>
          <w:b/>
          <w:bCs/>
        </w:rPr>
        <w:t>Razones de la respuesta:</w:t>
      </w:r>
    </w:p>
    <w:p w14:paraId="3E221F54" w14:textId="77777777" w:rsidR="004E5875" w:rsidRPr="004E5875" w:rsidRDefault="004E5875" w:rsidP="004E5875">
      <w:pPr>
        <w:tabs>
          <w:tab w:val="left" w:pos="142"/>
          <w:tab w:val="left" w:pos="284"/>
        </w:tabs>
        <w:spacing w:after="0" w:line="240" w:lineRule="auto"/>
        <w:jc w:val="both"/>
        <w:rPr>
          <w:rFonts w:ascii="Verdana" w:eastAsia="Verdana" w:hAnsi="Verdana" w:cs="Verdana"/>
          <w:b/>
          <w:bCs/>
        </w:rPr>
      </w:pPr>
    </w:p>
    <w:p w14:paraId="3E18AAAA" w14:textId="77777777" w:rsidR="004E5875" w:rsidRPr="004E5875" w:rsidRDefault="004E5875" w:rsidP="004E5875">
      <w:pPr>
        <w:spacing w:after="0" w:line="240" w:lineRule="auto"/>
        <w:jc w:val="both"/>
        <w:rPr>
          <w:rFonts w:ascii="Verdana" w:hAnsi="Verdana" w:cs="Arial"/>
          <w:lang w:val="es-ES" w:eastAsia="en-US"/>
        </w:rPr>
      </w:pPr>
      <w:r w:rsidRPr="004E5875">
        <w:rPr>
          <w:rFonts w:ascii="Verdana" w:hAnsi="Verdana" w:cs="Arial"/>
          <w:lang w:val="es-ES" w:eastAsia="en-US"/>
        </w:rPr>
        <w:t>Lo anterior se sustenta en las siguientes consideraciones:</w:t>
      </w:r>
    </w:p>
    <w:p w14:paraId="53580ABB" w14:textId="77777777" w:rsidR="004E5875" w:rsidRPr="004E5875" w:rsidRDefault="004E5875" w:rsidP="004E5875">
      <w:pPr>
        <w:tabs>
          <w:tab w:val="left" w:pos="142"/>
          <w:tab w:val="left" w:pos="284"/>
        </w:tabs>
        <w:spacing w:after="0" w:line="240" w:lineRule="auto"/>
        <w:jc w:val="both"/>
        <w:rPr>
          <w:rFonts w:ascii="Verdana" w:eastAsia="Verdana" w:hAnsi="Verdana" w:cs="Verdana"/>
          <w:b/>
          <w:bCs/>
          <w:lang w:val="es-ES"/>
        </w:rPr>
      </w:pPr>
    </w:p>
    <w:p w14:paraId="73A09301" w14:textId="77777777" w:rsidR="004E5875" w:rsidRPr="004E5875" w:rsidRDefault="004E5875" w:rsidP="004E5875">
      <w:pPr>
        <w:spacing w:after="0" w:line="276" w:lineRule="auto"/>
        <w:jc w:val="both"/>
        <w:rPr>
          <w:rFonts w:ascii="Verdana" w:eastAsia="Verdana" w:hAnsi="Verdana" w:cs="Verdana"/>
          <w:color w:val="000000"/>
        </w:rPr>
      </w:pPr>
      <w:r w:rsidRPr="004E5875">
        <w:rPr>
          <w:rFonts w:ascii="Verdana" w:eastAsia="Verdana" w:hAnsi="Verdana" w:cs="Verdana"/>
          <w:color w:val="000000"/>
        </w:rPr>
        <w:t>i. 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72347CDB" w14:textId="77777777" w:rsidR="004E5875" w:rsidRPr="004E5875" w:rsidRDefault="004E5875" w:rsidP="004E5875">
      <w:pPr>
        <w:spacing w:after="0" w:line="240" w:lineRule="auto"/>
        <w:jc w:val="both"/>
        <w:rPr>
          <w:rFonts w:ascii="Verdana" w:eastAsia="Verdana" w:hAnsi="Verdana" w:cs="Verdana"/>
          <w:color w:val="000000"/>
        </w:rPr>
      </w:pPr>
    </w:p>
    <w:p w14:paraId="62A6C22F" w14:textId="77777777" w:rsidR="004E5875" w:rsidRPr="004E5875" w:rsidRDefault="004E5875" w:rsidP="004E5875">
      <w:pPr>
        <w:spacing w:after="0" w:line="240" w:lineRule="auto"/>
        <w:ind w:left="709" w:right="709"/>
        <w:jc w:val="both"/>
        <w:rPr>
          <w:rFonts w:ascii="Verdana" w:eastAsia="Verdana" w:hAnsi="Verdana" w:cs="Verdana"/>
          <w:color w:val="000000"/>
          <w:sz w:val="20"/>
          <w:szCs w:val="20"/>
        </w:rPr>
      </w:pPr>
      <w:r w:rsidRPr="004E5875">
        <w:rPr>
          <w:rFonts w:ascii="Verdana" w:eastAsia="Verdana" w:hAnsi="Verdana" w:cs="Verdana"/>
          <w:color w:val="000000"/>
          <w:sz w:val="20"/>
          <w:szCs w:val="20"/>
        </w:rPr>
        <w:t xml:space="preserve">“Son contratos de prestación de servicios los que celebren las entidades estatales para desarrollar actividades relacionadas con la administración o funcionamiento de la entidad. Estos contratos sólo podrán celebrarse con </w:t>
      </w:r>
      <w:r w:rsidRPr="004E5875">
        <w:rPr>
          <w:rFonts w:ascii="Verdana" w:eastAsia="Verdana" w:hAnsi="Verdana" w:cs="Verdana"/>
          <w:color w:val="000000"/>
          <w:sz w:val="20"/>
          <w:szCs w:val="20"/>
        </w:rPr>
        <w:lastRenderedPageBreak/>
        <w:t>personas naturales cuando dichas actividades no puedan realizarse con personal de planta o requieran conocimientos especializados.</w:t>
      </w:r>
    </w:p>
    <w:p w14:paraId="3274832E" w14:textId="77777777" w:rsidR="004E5875" w:rsidRPr="004E5875" w:rsidRDefault="004E5875" w:rsidP="004E5875">
      <w:pPr>
        <w:spacing w:after="0" w:line="240" w:lineRule="auto"/>
        <w:ind w:left="709" w:right="709"/>
        <w:jc w:val="both"/>
        <w:rPr>
          <w:rFonts w:ascii="Verdana" w:eastAsia="Verdana" w:hAnsi="Verdana" w:cs="Verdana"/>
          <w:color w:val="000000"/>
          <w:sz w:val="20"/>
          <w:szCs w:val="20"/>
        </w:rPr>
      </w:pPr>
    </w:p>
    <w:p w14:paraId="3AD94A16" w14:textId="77777777" w:rsidR="004E5875" w:rsidRPr="004E5875" w:rsidRDefault="004E5875" w:rsidP="004E5875">
      <w:pPr>
        <w:spacing w:after="0" w:line="240" w:lineRule="auto"/>
        <w:ind w:left="709" w:right="709"/>
        <w:jc w:val="both"/>
        <w:rPr>
          <w:rFonts w:ascii="Verdana" w:eastAsia="Verdana" w:hAnsi="Verdana" w:cs="Verdana"/>
          <w:color w:val="000000"/>
          <w:sz w:val="20"/>
          <w:szCs w:val="20"/>
        </w:rPr>
      </w:pPr>
      <w:r w:rsidRPr="004E5875">
        <w:rPr>
          <w:rFonts w:ascii="Verdana" w:eastAsia="Verdana" w:hAnsi="Verdana" w:cs="Verdana"/>
          <w:color w:val="000000"/>
          <w:sz w:val="20"/>
          <w:szCs w:val="20"/>
        </w:rPr>
        <w:t>En ningún caso estos contratos generan relación laboral ni prestaciones sociales y se celebrarán por el término estrictamente indispensable”.</w:t>
      </w:r>
    </w:p>
    <w:p w14:paraId="3CFC07AF" w14:textId="77777777" w:rsidR="004E5875" w:rsidRPr="004E5875" w:rsidRDefault="004E5875" w:rsidP="004E5875">
      <w:pPr>
        <w:tabs>
          <w:tab w:val="left" w:pos="284"/>
        </w:tabs>
        <w:spacing w:after="0" w:line="240" w:lineRule="auto"/>
        <w:jc w:val="both"/>
        <w:rPr>
          <w:rFonts w:ascii="Verdana" w:eastAsia="Verdana" w:hAnsi="Verdana" w:cs="Verdana"/>
          <w:b/>
          <w:bCs/>
          <w:color w:val="000000"/>
        </w:rPr>
      </w:pPr>
    </w:p>
    <w:p w14:paraId="2BBF8850" w14:textId="77777777" w:rsidR="004E5875" w:rsidRPr="004E5875" w:rsidRDefault="004E5875" w:rsidP="004E5875">
      <w:pPr>
        <w:spacing w:after="0" w:line="276" w:lineRule="auto"/>
        <w:ind w:firstLine="709"/>
        <w:jc w:val="both"/>
        <w:rPr>
          <w:rFonts w:ascii="Verdana" w:eastAsia="Verdana" w:hAnsi="Verdana" w:cs="Verdana"/>
          <w:color w:val="000000"/>
          <w:lang w:val="es-ES"/>
        </w:rPr>
      </w:pPr>
      <w:r w:rsidRPr="004E5875">
        <w:rPr>
          <w:rFonts w:ascii="Verdana" w:eastAsia="Verdana" w:hAnsi="Verdana" w:cs="Verdana"/>
          <w:color w:val="000000"/>
          <w:lang w:val="es-ES"/>
        </w:rPr>
        <w:t>De otro lado, la celebración de dicho contrato debe efectuarse a través de la modalidad de la contratación directa. Así lo prevé el artículo 2, numeral 4º, literal h), de la Ley 1150 de 2007, que dispone:</w:t>
      </w:r>
    </w:p>
    <w:p w14:paraId="6DDD2054" w14:textId="77777777" w:rsidR="004E5875" w:rsidRPr="004E5875" w:rsidRDefault="004E5875" w:rsidP="004E5875">
      <w:pPr>
        <w:spacing w:after="0" w:line="276" w:lineRule="auto"/>
        <w:ind w:firstLine="709"/>
        <w:jc w:val="both"/>
        <w:rPr>
          <w:rFonts w:ascii="Verdana" w:eastAsia="Verdana" w:hAnsi="Verdana" w:cs="Verdana"/>
          <w:color w:val="000000"/>
          <w:sz w:val="21"/>
          <w:szCs w:val="21"/>
        </w:rPr>
      </w:pPr>
    </w:p>
    <w:p w14:paraId="572E2A5B" w14:textId="77777777" w:rsidR="004E5875" w:rsidRPr="004E5875" w:rsidRDefault="004E5875" w:rsidP="004E5875">
      <w:pPr>
        <w:spacing w:after="0" w:line="240" w:lineRule="auto"/>
        <w:ind w:left="709" w:right="709"/>
        <w:jc w:val="both"/>
        <w:rPr>
          <w:rFonts w:ascii="Verdana" w:eastAsia="Verdana" w:hAnsi="Verdana" w:cs="Verdana"/>
          <w:color w:val="000000"/>
          <w:sz w:val="20"/>
          <w:szCs w:val="20"/>
        </w:rPr>
      </w:pPr>
      <w:r w:rsidRPr="004E5875">
        <w:rPr>
          <w:rFonts w:ascii="Verdana" w:eastAsia="Verdana" w:hAnsi="Verdana" w:cs="Verdana"/>
          <w:color w:val="000000"/>
          <w:sz w:val="20"/>
          <w:szCs w:val="20"/>
        </w:rPr>
        <w:t>“[…]</w:t>
      </w:r>
    </w:p>
    <w:p w14:paraId="211BB802" w14:textId="77777777" w:rsidR="004E5875" w:rsidRPr="004E5875" w:rsidRDefault="004E5875" w:rsidP="004E5875">
      <w:pPr>
        <w:spacing w:after="0" w:line="240" w:lineRule="auto"/>
        <w:ind w:left="709" w:right="709"/>
        <w:jc w:val="both"/>
        <w:rPr>
          <w:rFonts w:ascii="Verdana" w:eastAsia="Verdana" w:hAnsi="Verdana" w:cs="Verdana"/>
          <w:color w:val="000000"/>
          <w:sz w:val="20"/>
          <w:szCs w:val="20"/>
        </w:rPr>
      </w:pPr>
      <w:r w:rsidRPr="004E5875">
        <w:rPr>
          <w:rFonts w:ascii="Verdana" w:eastAsia="Verdana" w:hAnsi="Verdana" w:cs="Verdana"/>
          <w:color w:val="000000"/>
          <w:sz w:val="20"/>
          <w:szCs w:val="20"/>
        </w:rPr>
        <w:t>Contratación directa. La modalidad de selección de contratación directa solamente procederá en los siguientes casos:</w:t>
      </w:r>
    </w:p>
    <w:p w14:paraId="3F6EDB20" w14:textId="77777777" w:rsidR="004E5875" w:rsidRPr="004E5875" w:rsidRDefault="004E5875" w:rsidP="004E5875">
      <w:pPr>
        <w:spacing w:after="0" w:line="240" w:lineRule="auto"/>
        <w:ind w:left="709" w:right="709"/>
        <w:jc w:val="both"/>
        <w:rPr>
          <w:rFonts w:ascii="Verdana" w:eastAsia="Verdana" w:hAnsi="Verdana" w:cs="Verdana"/>
          <w:color w:val="000000"/>
          <w:sz w:val="20"/>
          <w:szCs w:val="20"/>
        </w:rPr>
      </w:pPr>
      <w:r w:rsidRPr="004E5875">
        <w:rPr>
          <w:rFonts w:ascii="Verdana" w:eastAsia="Verdana" w:hAnsi="Verdana" w:cs="Verdana"/>
          <w:color w:val="000000"/>
          <w:sz w:val="20"/>
          <w:szCs w:val="20"/>
        </w:rPr>
        <w:t>[…]</w:t>
      </w:r>
    </w:p>
    <w:p w14:paraId="1AD92F85" w14:textId="77777777" w:rsidR="004E5875" w:rsidRPr="004E5875" w:rsidRDefault="004E5875" w:rsidP="004E5875">
      <w:pPr>
        <w:spacing w:after="0" w:line="240" w:lineRule="auto"/>
        <w:ind w:left="709" w:right="709"/>
        <w:jc w:val="both"/>
        <w:rPr>
          <w:rFonts w:ascii="Verdana" w:eastAsia="Verdana" w:hAnsi="Verdana" w:cs="Verdana"/>
          <w:color w:val="000000"/>
          <w:sz w:val="20"/>
          <w:szCs w:val="20"/>
        </w:rPr>
      </w:pPr>
      <w:r w:rsidRPr="004E5875">
        <w:rPr>
          <w:rFonts w:ascii="Verdana" w:eastAsia="Verdana" w:hAnsi="Verdana" w:cs="Verdana"/>
          <w:color w:val="000000"/>
          <w:sz w:val="20"/>
          <w:szCs w:val="20"/>
        </w:rPr>
        <w:t>h) Para la prestación de servicios profesionales y de apoyo a la gestión, o para la ejecución de trabajos artísticos que sólo puedan encomendarse a determinadas personas naturales”.</w:t>
      </w:r>
    </w:p>
    <w:p w14:paraId="1900D371" w14:textId="77777777" w:rsidR="004E5875" w:rsidRPr="004E5875" w:rsidRDefault="004E5875" w:rsidP="004E5875">
      <w:pPr>
        <w:spacing w:after="0" w:line="240" w:lineRule="auto"/>
        <w:ind w:right="709"/>
        <w:jc w:val="both"/>
        <w:rPr>
          <w:rFonts w:ascii="Verdana" w:eastAsia="Verdana" w:hAnsi="Verdana" w:cs="Verdana"/>
          <w:color w:val="000000"/>
        </w:rPr>
      </w:pPr>
    </w:p>
    <w:p w14:paraId="4FBC4C86" w14:textId="77777777" w:rsidR="004E5875" w:rsidRPr="004E5875" w:rsidRDefault="004E5875" w:rsidP="004E5875">
      <w:pPr>
        <w:spacing w:after="0" w:line="276" w:lineRule="auto"/>
        <w:ind w:firstLine="709"/>
        <w:jc w:val="both"/>
        <w:rPr>
          <w:rFonts w:ascii="Verdana" w:eastAsia="Verdana" w:hAnsi="Verdana" w:cs="Verdana"/>
          <w:color w:val="000000"/>
        </w:rPr>
      </w:pPr>
      <w:r w:rsidRPr="004E5875">
        <w:rPr>
          <w:rFonts w:ascii="Verdana" w:eastAsia="Verdana" w:hAnsi="Verdana" w:cs="Verdana"/>
          <w:color w:val="000000"/>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05D08C8C" w14:textId="77777777" w:rsidR="004E5875" w:rsidRPr="004E5875" w:rsidRDefault="004E5875" w:rsidP="004E5875">
      <w:pPr>
        <w:spacing w:before="120" w:after="120" w:line="276" w:lineRule="auto"/>
        <w:ind w:firstLine="709"/>
        <w:jc w:val="both"/>
        <w:rPr>
          <w:rFonts w:ascii="Verdana" w:eastAsia="Verdana" w:hAnsi="Verdana" w:cs="Verdana"/>
          <w:color w:val="000000"/>
        </w:rPr>
      </w:pPr>
      <w:r w:rsidRPr="004E5875">
        <w:rPr>
          <w:rFonts w:ascii="Verdana" w:eastAsia="Verdana" w:hAnsi="Verdana" w:cs="Verdana"/>
          <w:color w:val="000000"/>
        </w:rPr>
        <w:t>i) Solo puede celebrarse para realizar “actividades relacionadas con la administración o funcionamiento de la entidad”, es decir, que hagan parte de su giro ordinario o quehacer cotidiano.</w:t>
      </w:r>
    </w:p>
    <w:p w14:paraId="2CAC7E7F" w14:textId="77777777" w:rsidR="004E5875" w:rsidRPr="004E5875" w:rsidRDefault="004E5875" w:rsidP="004E5875">
      <w:pPr>
        <w:spacing w:before="120" w:after="120" w:line="276" w:lineRule="auto"/>
        <w:ind w:firstLine="709"/>
        <w:jc w:val="both"/>
        <w:rPr>
          <w:rFonts w:ascii="Verdana" w:eastAsia="Verdana" w:hAnsi="Verdana" w:cs="Verdana"/>
          <w:color w:val="000000"/>
          <w:lang w:val="es-ES"/>
        </w:rPr>
      </w:pPr>
      <w:proofErr w:type="spellStart"/>
      <w:r w:rsidRPr="004E5875">
        <w:rPr>
          <w:rFonts w:ascii="Verdana" w:eastAsia="Verdana" w:hAnsi="Verdana" w:cs="Verdana"/>
          <w:color w:val="000000"/>
          <w:lang w:val="es-ES"/>
        </w:rPr>
        <w:t>ii</w:t>
      </w:r>
      <w:proofErr w:type="spellEnd"/>
      <w:r w:rsidRPr="004E5875">
        <w:rPr>
          <w:rFonts w:ascii="Verdana" w:eastAsia="Verdana" w:hAnsi="Verdana" w:cs="Verdana"/>
          <w:color w:val="000000"/>
          <w:lang w:val="es-ES"/>
        </w:rPr>
        <w:t>)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w:t>
      </w:r>
      <w:r w:rsidRPr="004E5875">
        <w:rPr>
          <w:rFonts w:ascii="Verdana" w:eastAsia="Verdana" w:hAnsi="Verdana" w:cs="Verdana"/>
          <w:color w:val="000000"/>
          <w:vertAlign w:val="superscript"/>
          <w:lang w:val="es-ES"/>
        </w:rPr>
        <w:footnoteReference w:id="1"/>
      </w:r>
      <w:r w:rsidRPr="004E5875">
        <w:rPr>
          <w:rFonts w:ascii="Verdana" w:eastAsia="Verdana" w:hAnsi="Verdana" w:cs="Verdana"/>
          <w:color w:val="000000"/>
          <w:lang w:val="es-ES"/>
        </w:rPr>
        <w:t xml:space="preserve"> </w:t>
      </w:r>
      <w:r w:rsidRPr="004E5875">
        <w:rPr>
          <w:rFonts w:ascii="Verdana" w:eastAsia="Verdana" w:hAnsi="Verdana" w:cs="Verdana"/>
          <w:color w:val="000000"/>
          <w:lang w:val="es-ES"/>
        </w:rPr>
        <w:lastRenderedPageBreak/>
        <w:t>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707DAB58" w14:textId="77777777" w:rsidR="004E5875" w:rsidRPr="004E5875" w:rsidRDefault="004E5875" w:rsidP="004E5875">
      <w:pPr>
        <w:spacing w:before="120" w:after="120" w:line="276" w:lineRule="auto"/>
        <w:ind w:firstLine="709"/>
        <w:jc w:val="both"/>
        <w:rPr>
          <w:rFonts w:ascii="Verdana" w:eastAsia="Verdana" w:hAnsi="Verdana" w:cs="Verdana"/>
          <w:color w:val="000000"/>
          <w:lang w:val="es-ES"/>
        </w:rPr>
      </w:pPr>
      <w:proofErr w:type="spellStart"/>
      <w:r w:rsidRPr="004E5875">
        <w:rPr>
          <w:rFonts w:ascii="Verdana" w:eastAsia="Verdana" w:hAnsi="Verdana" w:cs="Verdana"/>
          <w:color w:val="000000"/>
          <w:lang w:val="es-ES"/>
        </w:rPr>
        <w:t>iii</w:t>
      </w:r>
      <w:proofErr w:type="spellEnd"/>
      <w:r w:rsidRPr="004E5875">
        <w:rPr>
          <w:rFonts w:ascii="Verdana" w:eastAsia="Verdana" w:hAnsi="Verdana" w:cs="Verdana"/>
          <w:color w:val="000000"/>
          <w:lang w:val="es-ES"/>
        </w:rPr>
        <w:t>) Si bien se celebran para obtener la prestación personal de un servicio, se diferencian del contrato de trabajo</w:t>
      </w:r>
      <w:r w:rsidRPr="004E5875">
        <w:rPr>
          <w:rFonts w:ascii="Verdana" w:eastAsia="Verdana" w:hAnsi="Verdana" w:cs="Verdana"/>
          <w:vertAlign w:val="superscript"/>
          <w:lang w:val="es-ES"/>
        </w:rPr>
        <w:footnoteReference w:id="2"/>
      </w:r>
      <w:r w:rsidRPr="004E5875">
        <w:rPr>
          <w:rFonts w:ascii="Verdana" w:eastAsia="Verdana" w:hAnsi="Verdana" w:cs="Verdana"/>
          <w:color w:val="000000"/>
          <w:lang w:val="es-ES"/>
        </w:rPr>
        <w:t xml:space="preserve"> en que quien celebra el contrato de prestación de servicios debe mantener autonomía e independencia en la ejecución de la labor, lo que significa que no puede existir la </w:t>
      </w:r>
      <w:r w:rsidRPr="004E5875">
        <w:rPr>
          <w:rFonts w:ascii="Verdana" w:eastAsia="Verdana" w:hAnsi="Verdana" w:cs="Verdana"/>
          <w:i/>
          <w:color w:val="000000"/>
          <w:lang w:val="es-ES"/>
        </w:rPr>
        <w:t>subordinación y dependencia</w:t>
      </w:r>
      <w:r w:rsidRPr="004E5875">
        <w:rPr>
          <w:rFonts w:ascii="Verdana" w:eastAsia="Verdana" w:hAnsi="Verdana" w:cs="Verdana"/>
          <w:color w:val="000000"/>
          <w:lang w:val="es-ES"/>
        </w:rPr>
        <w:t xml:space="preserve">, que es uno de los elementos constitutivos del vínculo laboral. Por ello el artículo 32, numeral 3º, de la Ley 80 de 1993 establece que “En ningún caso estos contratos generan relación laboral ni prestaciones sociales”, inciso que debe interpretarse en el sentido de que los contratos de prestación de servicios profesionales </w:t>
      </w:r>
      <w:r w:rsidRPr="004E5875">
        <w:rPr>
          <w:rFonts w:ascii="Verdana" w:eastAsia="Verdana" w:hAnsi="Verdana" w:cs="Verdana"/>
          <w:i/>
          <w:color w:val="000000"/>
          <w:lang w:val="es-ES"/>
        </w:rPr>
        <w:t>no pueden</w:t>
      </w:r>
      <w:r w:rsidRPr="004E5875">
        <w:rPr>
          <w:rFonts w:ascii="Verdana" w:eastAsia="Verdana" w:hAnsi="Verdana" w:cs="Verdana"/>
          <w:color w:val="000000"/>
          <w:lang w:val="es-ES"/>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w:t>
      </w:r>
    </w:p>
    <w:p w14:paraId="20234DAD" w14:textId="77777777" w:rsidR="004E5875" w:rsidRPr="004E5875" w:rsidRDefault="004E5875" w:rsidP="004E5875">
      <w:pPr>
        <w:spacing w:after="120" w:line="276" w:lineRule="auto"/>
        <w:ind w:firstLine="709"/>
        <w:jc w:val="both"/>
        <w:rPr>
          <w:rFonts w:ascii="Verdana" w:eastAsia="Verdana" w:hAnsi="Verdana" w:cs="Verdana"/>
          <w:color w:val="000000"/>
          <w:lang w:val="es-ES"/>
        </w:rPr>
      </w:pPr>
      <w:proofErr w:type="spellStart"/>
      <w:r w:rsidRPr="004E5875">
        <w:rPr>
          <w:rFonts w:ascii="Verdana" w:eastAsia="Verdana" w:hAnsi="Verdana" w:cs="Verdana"/>
          <w:color w:val="000000"/>
          <w:lang w:val="es-ES"/>
        </w:rPr>
        <w:t>iv</w:t>
      </w:r>
      <w:proofErr w:type="spellEnd"/>
      <w:r w:rsidRPr="004E5875">
        <w:rPr>
          <w:rFonts w:ascii="Verdana" w:eastAsia="Verdana" w:hAnsi="Verdana" w:cs="Verdana"/>
          <w:color w:val="000000"/>
          <w:lang w:val="es-ES"/>
        </w:rPr>
        <w:t xml:space="preserve">) Deben ser temporales. Así lo señaló la Corte Constitucional en la misma providencia a la que se aludió previamente, expresando que: “La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w:t>
      </w:r>
      <w:r w:rsidRPr="004E5875">
        <w:rPr>
          <w:rFonts w:ascii="Verdana" w:eastAsia="Verdana" w:hAnsi="Verdana" w:cs="Verdana"/>
          <w:color w:val="000000"/>
          <w:lang w:val="es-ES"/>
        </w:rPr>
        <w:lastRenderedPageBreak/>
        <w:t>empleo público quede contemplado en la respectiva planta y previstos sus emolumentos en el presupuesto correspondiente”</w:t>
      </w:r>
      <w:r w:rsidRPr="004E5875">
        <w:rPr>
          <w:rFonts w:ascii="Verdana" w:eastAsia="Verdana" w:hAnsi="Verdana" w:cs="Verdana"/>
          <w:vertAlign w:val="superscript"/>
          <w:lang w:val="es-ES"/>
        </w:rPr>
        <w:footnoteReference w:id="3"/>
      </w:r>
      <w:r w:rsidRPr="004E5875">
        <w:rPr>
          <w:rFonts w:ascii="Verdana" w:eastAsia="Verdana" w:hAnsi="Verdana" w:cs="Verdana"/>
          <w:color w:val="000000"/>
          <w:lang w:val="es-ES"/>
        </w:rPr>
        <w:t>.</w:t>
      </w:r>
    </w:p>
    <w:p w14:paraId="05679F52" w14:textId="77777777" w:rsidR="004E5875" w:rsidRPr="004E5875" w:rsidRDefault="004E5875" w:rsidP="004E5875">
      <w:pPr>
        <w:spacing w:after="0" w:line="276" w:lineRule="auto"/>
        <w:ind w:firstLine="709"/>
        <w:jc w:val="both"/>
        <w:rPr>
          <w:rFonts w:ascii="Verdana" w:eastAsia="Verdana" w:hAnsi="Verdana" w:cs="Verdana"/>
          <w:color w:val="000000"/>
        </w:rPr>
      </w:pPr>
      <w:r w:rsidRPr="004E5875">
        <w:rPr>
          <w:rFonts w:ascii="Verdana" w:eastAsia="Verdana" w:hAnsi="Verdana" w:cs="Verdana"/>
          <w:color w:val="000000"/>
        </w:rPr>
        <w:t xml:space="preserve">v) Los contratos de prestación de servicios constituyen un </w:t>
      </w:r>
      <w:r w:rsidRPr="004E5875">
        <w:rPr>
          <w:rFonts w:ascii="Verdana" w:eastAsia="Verdana" w:hAnsi="Verdana" w:cs="Verdana"/>
          <w:i/>
          <w:iCs/>
          <w:color w:val="000000"/>
        </w:rPr>
        <w:t>género</w:t>
      </w:r>
      <w:r w:rsidRPr="004E5875">
        <w:rPr>
          <w:rFonts w:ascii="Verdana" w:eastAsia="Verdana" w:hAnsi="Verdana" w:cs="Verdana"/>
          <w:color w:val="000000"/>
        </w:rPr>
        <w:t xml:space="preserve"> que incluye, como </w:t>
      </w:r>
      <w:r w:rsidRPr="004E5875">
        <w:rPr>
          <w:rFonts w:ascii="Verdana" w:eastAsia="Verdana" w:hAnsi="Verdana" w:cs="Verdana"/>
          <w:i/>
          <w:iCs/>
          <w:color w:val="000000"/>
        </w:rPr>
        <w:t>especies</w:t>
      </w:r>
      <w:r w:rsidRPr="004E5875">
        <w:rPr>
          <w:rFonts w:ascii="Verdana" w:eastAsia="Verdana" w:hAnsi="Verdana" w:cs="Verdana"/>
          <w:color w:val="000000"/>
        </w:rPr>
        <w:t>, los contratos de prestación de servicios profesionales, los contratos de prestación de servicios de apoyo a la gestión y los contratos para la ejecución de trabajos artísticos que solo pueden encomendarse a determinadas personas naturales</w:t>
      </w:r>
      <w:r w:rsidRPr="004E5875">
        <w:rPr>
          <w:rFonts w:ascii="Verdana" w:eastAsia="Verdana" w:hAnsi="Verdana" w:cs="Verdana"/>
          <w:vertAlign w:val="superscript"/>
        </w:rPr>
        <w:footnoteReference w:id="4"/>
      </w:r>
      <w:r w:rsidRPr="004E5875">
        <w:rPr>
          <w:rFonts w:ascii="Verdana" w:eastAsia="Verdana" w:hAnsi="Verdana" w:cs="Verdana"/>
          <w:color w:val="000000"/>
        </w:rPr>
        <w:t xml:space="preserve">. La diferencia entre el contrato de prestación de servicios </w:t>
      </w:r>
      <w:r w:rsidRPr="004E5875">
        <w:rPr>
          <w:rFonts w:ascii="Verdana" w:eastAsia="Verdana" w:hAnsi="Verdana" w:cs="Verdana"/>
          <w:i/>
          <w:iCs/>
          <w:color w:val="000000"/>
        </w:rPr>
        <w:t>profesionales</w:t>
      </w:r>
      <w:r w:rsidRPr="004E5875">
        <w:rPr>
          <w:rFonts w:ascii="Verdana" w:eastAsia="Verdana" w:hAnsi="Verdana" w:cs="Verdana"/>
          <w:color w:val="000000"/>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7357CC7A" w14:textId="77777777" w:rsidR="004E5875" w:rsidRPr="004E5875" w:rsidRDefault="004E5875" w:rsidP="004E5875">
      <w:pPr>
        <w:spacing w:after="0" w:line="276" w:lineRule="auto"/>
        <w:ind w:firstLine="709"/>
        <w:jc w:val="both"/>
        <w:rPr>
          <w:rFonts w:ascii="Verdana" w:eastAsia="Verdana" w:hAnsi="Verdana" w:cs="Verdana"/>
          <w:color w:val="000000"/>
          <w:sz w:val="20"/>
          <w:szCs w:val="20"/>
        </w:rPr>
      </w:pPr>
    </w:p>
    <w:p w14:paraId="0A4C4D4C" w14:textId="77777777" w:rsidR="004E5875" w:rsidRPr="004E5875" w:rsidRDefault="004E5875" w:rsidP="004E5875">
      <w:pPr>
        <w:spacing w:after="0" w:line="240" w:lineRule="auto"/>
        <w:ind w:left="709" w:right="709"/>
        <w:jc w:val="both"/>
        <w:rPr>
          <w:rFonts w:ascii="Verdana" w:eastAsia="Verdana" w:hAnsi="Verdana" w:cs="Verdana"/>
          <w:color w:val="000000"/>
          <w:sz w:val="20"/>
          <w:szCs w:val="20"/>
        </w:rPr>
      </w:pPr>
      <w:r w:rsidRPr="004E5875">
        <w:rPr>
          <w:rFonts w:ascii="Verdana" w:eastAsia="Verdana" w:hAnsi="Verdana" w:cs="Verdana"/>
          <w:color w:val="000000"/>
          <w:sz w:val="20"/>
          <w:szCs w:val="20"/>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4E5875">
        <w:rPr>
          <w:rFonts w:ascii="Verdana" w:eastAsia="Verdana" w:hAnsi="Verdana" w:cs="Verdana"/>
          <w:sz w:val="20"/>
          <w:szCs w:val="20"/>
          <w:vertAlign w:val="superscript"/>
        </w:rPr>
        <w:footnoteReference w:id="5"/>
      </w:r>
      <w:r w:rsidRPr="004E5875">
        <w:rPr>
          <w:rFonts w:ascii="Verdana" w:eastAsia="Verdana" w:hAnsi="Verdana" w:cs="Verdana"/>
          <w:color w:val="000000"/>
          <w:sz w:val="20"/>
          <w:szCs w:val="20"/>
        </w:rPr>
        <w:t>.</w:t>
      </w:r>
    </w:p>
    <w:p w14:paraId="2C3E2285" w14:textId="77777777" w:rsidR="004E5875" w:rsidRPr="004E5875" w:rsidRDefault="004E5875" w:rsidP="004E5875">
      <w:pPr>
        <w:spacing w:after="0" w:line="276" w:lineRule="auto"/>
        <w:ind w:firstLine="709"/>
        <w:jc w:val="both"/>
        <w:rPr>
          <w:rFonts w:ascii="Verdana" w:eastAsia="Verdana" w:hAnsi="Verdana" w:cs="Verdana"/>
          <w:color w:val="000000"/>
        </w:rPr>
      </w:pPr>
    </w:p>
    <w:p w14:paraId="66BF0DD9" w14:textId="77777777" w:rsidR="004E5875" w:rsidRPr="004E5875" w:rsidRDefault="004E5875" w:rsidP="004E5875">
      <w:pPr>
        <w:spacing w:after="0" w:line="276" w:lineRule="auto"/>
        <w:ind w:firstLine="709"/>
        <w:jc w:val="both"/>
        <w:rPr>
          <w:rFonts w:ascii="Verdana" w:eastAsia="Verdana" w:hAnsi="Verdana" w:cs="Verdana"/>
          <w:color w:val="000000"/>
        </w:rPr>
      </w:pPr>
      <w:r w:rsidRPr="004E5875">
        <w:rPr>
          <w:rFonts w:ascii="Verdana" w:eastAsia="Verdana" w:hAnsi="Verdana" w:cs="Verdana"/>
          <w:color w:val="000000"/>
        </w:rPr>
        <w:t>Objeto que, según la sentencia que se cita, se diferencia del objeto del contrato de prestación de servicios de apoyo a la gestión, porque en este:</w:t>
      </w:r>
    </w:p>
    <w:p w14:paraId="4A832D40" w14:textId="77777777" w:rsidR="004E5875" w:rsidRPr="004E5875" w:rsidRDefault="004E5875" w:rsidP="004E5875">
      <w:pPr>
        <w:spacing w:after="0" w:line="276" w:lineRule="auto"/>
        <w:ind w:firstLine="709"/>
        <w:jc w:val="both"/>
        <w:rPr>
          <w:rFonts w:ascii="Verdana" w:eastAsia="Verdana" w:hAnsi="Verdana" w:cs="Verdana"/>
          <w:color w:val="000000"/>
          <w:sz w:val="20"/>
          <w:szCs w:val="20"/>
        </w:rPr>
      </w:pPr>
    </w:p>
    <w:p w14:paraId="256BCDEA" w14:textId="77777777" w:rsidR="004E5875" w:rsidRPr="004E5875" w:rsidRDefault="004E5875" w:rsidP="004E5875">
      <w:pPr>
        <w:spacing w:after="0" w:line="240" w:lineRule="auto"/>
        <w:ind w:left="709" w:right="709"/>
        <w:jc w:val="both"/>
        <w:rPr>
          <w:rFonts w:ascii="Verdana" w:eastAsia="Verdana" w:hAnsi="Verdana" w:cs="Verdana"/>
          <w:color w:val="000000"/>
          <w:sz w:val="20"/>
          <w:szCs w:val="20"/>
        </w:rPr>
      </w:pPr>
      <w:r w:rsidRPr="004E5875">
        <w:rPr>
          <w:rFonts w:ascii="Verdana" w:eastAsia="Verdana" w:hAnsi="Verdana" w:cs="Verdana"/>
          <w:color w:val="000000"/>
          <w:sz w:val="20"/>
          <w:szCs w:val="20"/>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33C73F6F" w14:textId="77777777" w:rsidR="004E5875" w:rsidRPr="004E5875" w:rsidRDefault="004E5875" w:rsidP="004E5875">
      <w:pPr>
        <w:spacing w:after="0" w:line="240" w:lineRule="auto"/>
        <w:ind w:left="709" w:right="709"/>
        <w:jc w:val="both"/>
        <w:rPr>
          <w:rFonts w:ascii="Verdana" w:eastAsia="Verdana" w:hAnsi="Verdana" w:cs="Verdana"/>
          <w:color w:val="000000"/>
          <w:sz w:val="20"/>
          <w:szCs w:val="20"/>
        </w:rPr>
      </w:pPr>
    </w:p>
    <w:p w14:paraId="7DD94C5A" w14:textId="77777777" w:rsidR="004E5875" w:rsidRPr="004E5875" w:rsidRDefault="004E5875" w:rsidP="004E5875">
      <w:pPr>
        <w:spacing w:after="0" w:line="240" w:lineRule="auto"/>
        <w:ind w:left="709" w:right="709"/>
        <w:jc w:val="both"/>
        <w:rPr>
          <w:rFonts w:ascii="Verdana" w:eastAsia="Verdana" w:hAnsi="Verdana" w:cs="Verdana"/>
          <w:color w:val="000000"/>
          <w:sz w:val="20"/>
          <w:szCs w:val="20"/>
          <w:lang w:val="es-ES"/>
        </w:rPr>
      </w:pPr>
      <w:r w:rsidRPr="004E5875">
        <w:rPr>
          <w:rFonts w:ascii="Verdana" w:eastAsia="Verdana" w:hAnsi="Verdana" w:cs="Verdana"/>
          <w:color w:val="000000"/>
          <w:sz w:val="20"/>
          <w:szCs w:val="20"/>
          <w:lang w:val="es-ES"/>
        </w:rPr>
        <w:t xml:space="preserve">Aunque también se caracteriza por el desempeño de actividad intelectiva, ésta </w:t>
      </w:r>
      <w:proofErr w:type="gramStart"/>
      <w:r w:rsidRPr="004E5875">
        <w:rPr>
          <w:rFonts w:ascii="Verdana" w:eastAsia="Verdana" w:hAnsi="Verdana" w:cs="Verdana"/>
          <w:color w:val="000000"/>
          <w:sz w:val="20"/>
          <w:szCs w:val="20"/>
          <w:lang w:val="es-ES"/>
        </w:rPr>
        <w:t>se enmarca dentro de</w:t>
      </w:r>
      <w:proofErr w:type="gramEnd"/>
      <w:r w:rsidRPr="004E5875">
        <w:rPr>
          <w:rFonts w:ascii="Verdana" w:eastAsia="Verdana" w:hAnsi="Verdana" w:cs="Verdana"/>
          <w:color w:val="000000"/>
          <w:sz w:val="20"/>
          <w:szCs w:val="20"/>
          <w:lang w:val="es-ES"/>
        </w:rPr>
        <w:t xml:space="preserve"> un saber propiamente técnico; igualmente involucra actividades en donde prima el esfuerzo físico o mecánico, en donde no se requiere de personal profesional.</w:t>
      </w:r>
    </w:p>
    <w:p w14:paraId="14532065" w14:textId="77777777" w:rsidR="004E5875" w:rsidRPr="004E5875" w:rsidRDefault="004E5875" w:rsidP="004E5875">
      <w:pPr>
        <w:spacing w:after="0" w:line="240" w:lineRule="auto"/>
        <w:ind w:right="709"/>
        <w:jc w:val="both"/>
        <w:rPr>
          <w:rFonts w:ascii="Verdana" w:eastAsia="Verdana" w:hAnsi="Verdana" w:cs="Verdana"/>
          <w:color w:val="000000"/>
          <w:sz w:val="20"/>
          <w:szCs w:val="20"/>
        </w:rPr>
      </w:pPr>
    </w:p>
    <w:p w14:paraId="540E745E" w14:textId="77777777" w:rsidR="004E5875" w:rsidRPr="004E5875" w:rsidRDefault="004E5875" w:rsidP="004E5875">
      <w:pPr>
        <w:spacing w:after="0" w:line="240" w:lineRule="auto"/>
        <w:ind w:left="709" w:right="709"/>
        <w:jc w:val="both"/>
        <w:rPr>
          <w:rFonts w:ascii="Verdana" w:eastAsia="Verdana" w:hAnsi="Verdana" w:cs="Verdana"/>
          <w:color w:val="000000"/>
          <w:sz w:val="20"/>
          <w:szCs w:val="20"/>
        </w:rPr>
      </w:pPr>
      <w:r w:rsidRPr="004E5875">
        <w:rPr>
          <w:rFonts w:ascii="Verdana" w:eastAsia="Verdana" w:hAnsi="Verdana" w:cs="Verdana"/>
          <w:color w:val="000000"/>
          <w:sz w:val="20"/>
          <w:szCs w:val="20"/>
        </w:rPr>
        <w:t>Dentro de su objeto contractual pueden tener lugar actividades operativas, logísticas o asistenciales, siempre que satisfaga los requisitos antes mencionados y sea acorde con las necesidades de la Administración y el principio de planeación”</w:t>
      </w:r>
      <w:r w:rsidRPr="004E5875">
        <w:rPr>
          <w:rFonts w:ascii="Verdana" w:eastAsia="Verdana" w:hAnsi="Verdana" w:cs="Verdana"/>
          <w:sz w:val="20"/>
          <w:szCs w:val="20"/>
          <w:vertAlign w:val="superscript"/>
        </w:rPr>
        <w:footnoteReference w:id="6"/>
      </w:r>
      <w:r w:rsidRPr="004E5875">
        <w:rPr>
          <w:rFonts w:ascii="Verdana" w:eastAsia="Verdana" w:hAnsi="Verdana" w:cs="Verdana"/>
          <w:color w:val="000000"/>
          <w:sz w:val="20"/>
          <w:szCs w:val="20"/>
        </w:rPr>
        <w:t>.</w:t>
      </w:r>
    </w:p>
    <w:p w14:paraId="49932466" w14:textId="77777777" w:rsidR="004E5875" w:rsidRPr="004E5875" w:rsidRDefault="004E5875" w:rsidP="004E5875">
      <w:pPr>
        <w:spacing w:after="0" w:line="276" w:lineRule="auto"/>
        <w:ind w:firstLine="709"/>
        <w:jc w:val="both"/>
        <w:rPr>
          <w:rFonts w:ascii="Verdana" w:eastAsia="Verdana" w:hAnsi="Verdana" w:cs="Verdana"/>
          <w:color w:val="000000"/>
        </w:rPr>
      </w:pPr>
    </w:p>
    <w:p w14:paraId="2CE82643" w14:textId="77777777" w:rsidR="004E5875" w:rsidRPr="004E5875" w:rsidRDefault="004E5875" w:rsidP="004E5875">
      <w:pPr>
        <w:spacing w:after="0" w:line="276" w:lineRule="auto"/>
        <w:ind w:firstLine="709"/>
        <w:jc w:val="both"/>
        <w:rPr>
          <w:rFonts w:ascii="Verdana" w:eastAsia="Verdana" w:hAnsi="Verdana" w:cs="Verdana"/>
          <w:color w:val="000000"/>
        </w:rPr>
      </w:pPr>
      <w:r w:rsidRPr="004E5875">
        <w:rPr>
          <w:rFonts w:ascii="Verdana" w:eastAsia="Verdana" w:hAnsi="Verdana" w:cs="Verdana"/>
          <w:color w:val="000000"/>
        </w:rPr>
        <w:t>En relación con el contrato de prestación para la ejecución de trabajos artísticos que solo pueden encomendarse a determinadas personas naturales, señala el mencionado fallo que:</w:t>
      </w:r>
    </w:p>
    <w:p w14:paraId="61109D92" w14:textId="77777777" w:rsidR="004E5875" w:rsidRPr="004E5875" w:rsidRDefault="004E5875" w:rsidP="004E5875">
      <w:pPr>
        <w:spacing w:after="0" w:line="240" w:lineRule="auto"/>
        <w:ind w:left="709" w:right="709"/>
        <w:jc w:val="both"/>
        <w:rPr>
          <w:rFonts w:ascii="Verdana" w:eastAsia="Verdana" w:hAnsi="Verdana" w:cs="Verdana"/>
          <w:color w:val="000000"/>
        </w:rPr>
      </w:pPr>
    </w:p>
    <w:p w14:paraId="5579E3F2" w14:textId="77777777" w:rsidR="004E5875" w:rsidRPr="004E5875" w:rsidRDefault="004E5875" w:rsidP="004E5875">
      <w:pPr>
        <w:spacing w:after="0" w:line="240" w:lineRule="auto"/>
        <w:ind w:left="709" w:right="709"/>
        <w:jc w:val="both"/>
        <w:rPr>
          <w:rFonts w:ascii="Verdana" w:eastAsia="Verdana" w:hAnsi="Verdana" w:cs="Verdana"/>
          <w:color w:val="000000"/>
          <w:sz w:val="20"/>
          <w:szCs w:val="20"/>
        </w:rPr>
      </w:pPr>
      <w:r w:rsidRPr="004E5875">
        <w:rPr>
          <w:rFonts w:ascii="Verdana" w:eastAsia="Verdana" w:hAnsi="Verdana" w:cs="Verdana"/>
          <w:color w:val="000000"/>
          <w:sz w:val="20"/>
          <w:szCs w:val="20"/>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4E5875">
        <w:rPr>
          <w:rFonts w:ascii="Verdana" w:eastAsia="Verdana" w:hAnsi="Verdana" w:cs="Verdana"/>
          <w:sz w:val="20"/>
          <w:szCs w:val="20"/>
          <w:vertAlign w:val="superscript"/>
        </w:rPr>
        <w:footnoteReference w:id="7"/>
      </w:r>
      <w:r w:rsidRPr="004E5875">
        <w:rPr>
          <w:rFonts w:ascii="Verdana" w:eastAsia="Verdana" w:hAnsi="Verdana" w:cs="Verdana"/>
          <w:color w:val="000000"/>
          <w:sz w:val="20"/>
          <w:szCs w:val="20"/>
        </w:rPr>
        <w:t>.</w:t>
      </w:r>
    </w:p>
    <w:p w14:paraId="402AA90F" w14:textId="77777777" w:rsidR="004E5875" w:rsidRPr="004E5875" w:rsidRDefault="004E5875" w:rsidP="004E5875">
      <w:pPr>
        <w:spacing w:after="0" w:line="240" w:lineRule="auto"/>
        <w:ind w:left="709" w:right="709"/>
        <w:jc w:val="both"/>
        <w:rPr>
          <w:rFonts w:ascii="Verdana" w:eastAsia="Verdana" w:hAnsi="Verdana" w:cs="Verdana"/>
          <w:color w:val="000000"/>
        </w:rPr>
      </w:pPr>
    </w:p>
    <w:p w14:paraId="3FA47EBD" w14:textId="77777777" w:rsidR="004E5875" w:rsidRPr="004E5875" w:rsidRDefault="004E5875" w:rsidP="004E5875">
      <w:pPr>
        <w:spacing w:after="0" w:line="276" w:lineRule="auto"/>
        <w:ind w:firstLine="709"/>
        <w:jc w:val="both"/>
        <w:rPr>
          <w:rFonts w:ascii="Verdana" w:eastAsia="Verdana" w:hAnsi="Verdana" w:cs="Verdana"/>
          <w:color w:val="000000"/>
          <w:lang w:val="es-ES"/>
        </w:rPr>
      </w:pPr>
      <w:r w:rsidRPr="004E5875">
        <w:rPr>
          <w:rFonts w:ascii="Verdana" w:eastAsia="Verdana" w:hAnsi="Verdana" w:cs="Verdana"/>
          <w:color w:val="000000"/>
          <w:lang w:val="es-ES"/>
        </w:rPr>
        <w:t>vi)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un componente intelectual intangible, el objeto del contrato de consultoría es especial y debe celebrarse, por regla general, precedido de un concurso de méritos</w:t>
      </w:r>
      <w:r w:rsidRPr="004E5875">
        <w:rPr>
          <w:rFonts w:ascii="Verdana" w:eastAsia="Verdana" w:hAnsi="Verdana" w:cs="Verdana"/>
          <w:vertAlign w:val="superscript"/>
          <w:lang w:val="es-ES"/>
        </w:rPr>
        <w:footnoteReference w:id="8"/>
      </w:r>
      <w:r w:rsidRPr="004E5875">
        <w:rPr>
          <w:rFonts w:ascii="Verdana" w:eastAsia="Verdana" w:hAnsi="Verdana" w:cs="Verdana"/>
          <w:color w:val="000000"/>
          <w:lang w:val="es-ES"/>
        </w:rPr>
        <w:t xml:space="preserve">. Pero, tampoco puede </w:t>
      </w:r>
      <w:r w:rsidRPr="004E5875">
        <w:rPr>
          <w:rFonts w:ascii="Verdana" w:eastAsia="Verdana" w:hAnsi="Verdana" w:cs="Verdana"/>
          <w:color w:val="000000"/>
          <w:lang w:val="es-ES"/>
        </w:rPr>
        <w:lastRenderedPageBreak/>
        <w:t>suscribirse un contrato de prestación de servicios profesionales para que el contratista ejecute labores que se enmarcan en los otros contratos tipificados en el artículo 32 de la Ley 80 de 1993, como, por ejemplo, para que el contratista de prestación de servicios construya una obra.</w:t>
      </w:r>
    </w:p>
    <w:p w14:paraId="249EEDC8" w14:textId="77777777" w:rsidR="004E5875" w:rsidRPr="004E5875" w:rsidRDefault="004E5875" w:rsidP="004E5875">
      <w:pPr>
        <w:spacing w:before="120" w:after="120" w:line="276" w:lineRule="auto"/>
        <w:ind w:firstLine="709"/>
        <w:jc w:val="both"/>
        <w:rPr>
          <w:rFonts w:ascii="Verdana" w:eastAsia="Verdana" w:hAnsi="Verdana" w:cs="Verdana"/>
          <w:color w:val="000000"/>
          <w:lang w:val="es-ES"/>
        </w:rPr>
      </w:pPr>
      <w:proofErr w:type="spellStart"/>
      <w:r w:rsidRPr="004E5875">
        <w:rPr>
          <w:rFonts w:ascii="Verdana" w:eastAsia="Verdana" w:hAnsi="Verdana" w:cs="Verdana"/>
          <w:color w:val="000000"/>
          <w:lang w:val="es-ES"/>
        </w:rPr>
        <w:t>vii</w:t>
      </w:r>
      <w:proofErr w:type="spellEnd"/>
      <w:r w:rsidRPr="004E5875">
        <w:rPr>
          <w:rFonts w:ascii="Verdana" w:eastAsia="Verdana" w:hAnsi="Verdana" w:cs="Verdana"/>
          <w:color w:val="000000"/>
          <w:lang w:val="es-ES"/>
        </w:rPr>
        <w:t>) Para su celebración no se requiere en algunos casos la expedición del acto administrativo de justificación de la contratación directa</w:t>
      </w:r>
      <w:r w:rsidRPr="004E5875">
        <w:rPr>
          <w:rFonts w:ascii="Verdana" w:eastAsia="Verdana" w:hAnsi="Verdana" w:cs="Verdana"/>
          <w:vertAlign w:val="superscript"/>
          <w:lang w:val="es-ES"/>
        </w:rPr>
        <w:footnoteReference w:id="9"/>
      </w:r>
      <w:r w:rsidRPr="004E5875">
        <w:rPr>
          <w:rFonts w:ascii="Verdana" w:eastAsia="Verdana" w:hAnsi="Verdana" w:cs="Verdana"/>
          <w:color w:val="000000"/>
          <w:lang w:val="es-ES"/>
        </w:rPr>
        <w:t xml:space="preserve">. </w:t>
      </w:r>
    </w:p>
    <w:p w14:paraId="0014D253" w14:textId="77777777" w:rsidR="004E5875" w:rsidRPr="004E5875" w:rsidRDefault="004E5875" w:rsidP="004E5875">
      <w:pPr>
        <w:spacing w:after="120" w:line="276" w:lineRule="auto"/>
        <w:ind w:firstLine="709"/>
        <w:jc w:val="both"/>
        <w:rPr>
          <w:rFonts w:ascii="Verdana" w:eastAsia="Verdana" w:hAnsi="Verdana" w:cs="Verdana"/>
          <w:color w:val="000000"/>
          <w:lang w:val="es-ES"/>
        </w:rPr>
      </w:pPr>
      <w:proofErr w:type="spellStart"/>
      <w:r w:rsidRPr="004E5875">
        <w:rPr>
          <w:rFonts w:ascii="Verdana" w:eastAsia="Verdana" w:hAnsi="Verdana" w:cs="Verdana"/>
          <w:color w:val="000000"/>
          <w:lang w:val="es-ES"/>
        </w:rPr>
        <w:t>viii</w:t>
      </w:r>
      <w:proofErr w:type="spellEnd"/>
      <w:r w:rsidRPr="004E5875">
        <w:rPr>
          <w:rFonts w:ascii="Verdana" w:eastAsia="Verdana" w:hAnsi="Verdana" w:cs="Verdana"/>
          <w:color w:val="000000"/>
          <w:lang w:val="es-ES"/>
        </w:rPr>
        <w:t>)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4E5875">
        <w:rPr>
          <w:rFonts w:ascii="Verdana" w:eastAsia="Verdana" w:hAnsi="Verdana" w:cs="Verdana"/>
          <w:vertAlign w:val="superscript"/>
          <w:lang w:val="es-ES"/>
        </w:rPr>
        <w:footnoteReference w:id="10"/>
      </w:r>
      <w:r w:rsidRPr="004E5875">
        <w:rPr>
          <w:rFonts w:ascii="Verdana" w:eastAsia="Verdana" w:hAnsi="Verdana" w:cs="Verdana"/>
          <w:color w:val="000000"/>
          <w:lang w:val="es-ES"/>
        </w:rPr>
        <w:t>.</w:t>
      </w:r>
    </w:p>
    <w:p w14:paraId="39D56443" w14:textId="77777777" w:rsidR="004E5875" w:rsidRPr="004E5875" w:rsidRDefault="004E5875" w:rsidP="004E5875">
      <w:pPr>
        <w:spacing w:after="120" w:line="276" w:lineRule="auto"/>
        <w:ind w:firstLine="709"/>
        <w:jc w:val="both"/>
        <w:rPr>
          <w:rFonts w:ascii="Verdana" w:eastAsia="Verdana" w:hAnsi="Verdana" w:cs="Verdana"/>
          <w:color w:val="000000"/>
          <w:lang w:val="es-ES"/>
        </w:rPr>
      </w:pPr>
      <w:proofErr w:type="spellStart"/>
      <w:r w:rsidRPr="004E5875">
        <w:rPr>
          <w:rFonts w:ascii="Verdana" w:eastAsia="Verdana" w:hAnsi="Verdana" w:cs="Verdana"/>
          <w:color w:val="000000"/>
          <w:lang w:val="es-ES"/>
        </w:rPr>
        <w:t>ix</w:t>
      </w:r>
      <w:proofErr w:type="spellEnd"/>
      <w:r w:rsidRPr="004E5875">
        <w:rPr>
          <w:rFonts w:ascii="Verdana" w:eastAsia="Verdana" w:hAnsi="Verdana" w:cs="Verdana"/>
          <w:color w:val="000000"/>
          <w:lang w:val="es-ES"/>
        </w:rPr>
        <w:t>) En algunos casos no es obligatoria la liquidación, pues así lo estableció el artículo 217 del Decreto 019 de 2012, que modificó el artículo 60 de la Ley 80 de 1993</w:t>
      </w:r>
      <w:r w:rsidRPr="004E5875">
        <w:rPr>
          <w:rFonts w:ascii="Verdana" w:eastAsia="Verdana" w:hAnsi="Verdana" w:cs="Verdana"/>
          <w:vertAlign w:val="superscript"/>
          <w:lang w:val="es-ES"/>
        </w:rPr>
        <w:footnoteReference w:id="11"/>
      </w:r>
      <w:r w:rsidRPr="004E5875">
        <w:rPr>
          <w:rFonts w:ascii="Verdana" w:eastAsia="Verdana" w:hAnsi="Verdana" w:cs="Verdana"/>
          <w:color w:val="000000"/>
          <w:lang w:val="es-ES"/>
        </w:rPr>
        <w:t>, refiriéndose a los contratos de prestación de servicios profesionales y de apoyo a la gestión.</w:t>
      </w:r>
    </w:p>
    <w:p w14:paraId="4A743B54" w14:textId="77777777" w:rsidR="004E5875" w:rsidRPr="004E5875" w:rsidRDefault="004E5875" w:rsidP="004E5875">
      <w:pPr>
        <w:spacing w:after="120" w:line="276" w:lineRule="auto"/>
        <w:ind w:firstLine="709"/>
        <w:jc w:val="both"/>
        <w:rPr>
          <w:rFonts w:ascii="Verdana" w:eastAsia="Verdana" w:hAnsi="Verdana" w:cs="Verdana"/>
          <w:color w:val="000000"/>
        </w:rPr>
      </w:pPr>
      <w:r w:rsidRPr="004E5875">
        <w:rPr>
          <w:rFonts w:ascii="Verdana" w:eastAsia="Verdana" w:hAnsi="Verdana" w:cs="Verdana"/>
          <w:color w:val="000000"/>
        </w:rPr>
        <w:lastRenderedPageBreak/>
        <w:t>x) Para su celebración no se requiere inscripción en el Registro Único de Proponentes (RUP), según lo prevé el artículo 6 de la Ley 1150 de 2007</w:t>
      </w:r>
      <w:r w:rsidRPr="004E5875">
        <w:rPr>
          <w:rFonts w:ascii="Verdana" w:eastAsia="Verdana" w:hAnsi="Verdana" w:cs="Verdana"/>
          <w:vertAlign w:val="superscript"/>
        </w:rPr>
        <w:footnoteReference w:id="12"/>
      </w:r>
      <w:r w:rsidRPr="004E5875">
        <w:rPr>
          <w:rFonts w:ascii="Verdana" w:eastAsia="Verdana" w:hAnsi="Verdana" w:cs="Verdana"/>
          <w:color w:val="000000"/>
        </w:rPr>
        <w:t>.</w:t>
      </w:r>
    </w:p>
    <w:p w14:paraId="6814D696" w14:textId="77777777" w:rsidR="004E5875" w:rsidRPr="004E5875" w:rsidRDefault="004E5875" w:rsidP="004E5875">
      <w:pPr>
        <w:spacing w:after="120" w:line="276" w:lineRule="auto"/>
        <w:ind w:firstLine="709"/>
        <w:jc w:val="both"/>
        <w:rPr>
          <w:rFonts w:ascii="Verdana" w:eastAsia="Verdana" w:hAnsi="Verdana" w:cs="Verdana"/>
          <w:color w:val="000000"/>
        </w:rPr>
      </w:pPr>
      <w:r w:rsidRPr="004E5875">
        <w:rPr>
          <w:rFonts w:ascii="Verdana" w:eastAsia="Verdana" w:hAnsi="Verdana" w:cs="Verdana"/>
          <w:color w:val="000000"/>
        </w:rPr>
        <w:t>xi) En ellos no son necesarias las garantías</w:t>
      </w:r>
      <w:r w:rsidRPr="004E5875">
        <w:rPr>
          <w:rFonts w:ascii="Verdana" w:eastAsia="Verdana" w:hAnsi="Verdana" w:cs="Verdana"/>
          <w:vertAlign w:val="superscript"/>
        </w:rPr>
        <w:footnoteReference w:id="13"/>
      </w:r>
      <w:r w:rsidRPr="004E5875">
        <w:rPr>
          <w:rFonts w:ascii="Verdana" w:eastAsia="Verdana" w:hAnsi="Verdana" w:cs="Verdana"/>
          <w:color w:val="000000"/>
        </w:rPr>
        <w:t>.</w:t>
      </w:r>
    </w:p>
    <w:p w14:paraId="027926DE" w14:textId="77777777" w:rsidR="004E5875" w:rsidRPr="004E5875" w:rsidRDefault="004E5875" w:rsidP="004E5875">
      <w:pPr>
        <w:spacing w:after="0" w:line="276" w:lineRule="auto"/>
        <w:jc w:val="both"/>
        <w:rPr>
          <w:rFonts w:ascii="Verdana" w:eastAsia="Verdana" w:hAnsi="Verdana" w:cs="Verdana"/>
          <w:color w:val="000000"/>
          <w:lang w:val="es-CO"/>
        </w:rPr>
      </w:pPr>
      <w:r w:rsidRPr="004E5875">
        <w:rPr>
          <w:rFonts w:cs="Times New Roman"/>
          <w:lang w:val="es-CO" w:eastAsia="en-US"/>
        </w:rPr>
        <w:tab/>
      </w:r>
      <w:r w:rsidRPr="004E5875">
        <w:rPr>
          <w:rFonts w:ascii="Verdana" w:hAnsi="Verdana" w:cs="Times New Roman"/>
          <w:lang w:val="es-CO" w:eastAsia="en-US"/>
        </w:rPr>
        <w:t xml:space="preserve">A partir de las características, será necesario </w:t>
      </w:r>
      <w:r w:rsidRPr="004E5875">
        <w:rPr>
          <w:rFonts w:ascii="Verdana" w:eastAsia="Verdana" w:hAnsi="Verdana" w:cs="Verdana"/>
          <w:color w:val="000000"/>
          <w:lang w:val="es-CO"/>
        </w:rPr>
        <w:t xml:space="preserve">determinar si las medidas asociadas a la identificación, evaluación, intervención y seguimiento de los riesgos psicosociales respecto de los contratistas de prestación de servicios pueden llegar a configurar manifestaciones de subordinación. En particular, será necesario examinar en el próximo apartado los riesgos psicosociales en el campo de los contratos de prestación de servicios. </w:t>
      </w:r>
    </w:p>
    <w:p w14:paraId="7CD4B51D" w14:textId="77777777" w:rsidR="004E5875" w:rsidRPr="004E5875" w:rsidRDefault="004E5875" w:rsidP="004E5875">
      <w:pPr>
        <w:spacing w:after="0" w:line="276" w:lineRule="auto"/>
        <w:jc w:val="both"/>
        <w:rPr>
          <w:rFonts w:ascii="Verdana" w:eastAsia="Verdana" w:hAnsi="Verdana" w:cs="Verdana"/>
          <w:color w:val="000000"/>
          <w:lang w:val="es-CO"/>
        </w:rPr>
      </w:pPr>
    </w:p>
    <w:p w14:paraId="073508A9" w14:textId="77777777" w:rsidR="004E5875" w:rsidRPr="004E5875" w:rsidRDefault="004E5875" w:rsidP="004E5875">
      <w:pPr>
        <w:spacing w:after="120" w:line="276" w:lineRule="auto"/>
        <w:jc w:val="both"/>
        <w:rPr>
          <w:rFonts w:ascii="Verdana" w:eastAsia="Verdana" w:hAnsi="Verdana" w:cs="Verdana"/>
          <w:color w:val="000000"/>
          <w:lang w:val="es-CO"/>
        </w:rPr>
      </w:pPr>
      <w:proofErr w:type="spellStart"/>
      <w:r w:rsidRPr="004E5875">
        <w:rPr>
          <w:rFonts w:ascii="Verdana" w:eastAsia="Verdana" w:hAnsi="Verdana" w:cs="Verdana"/>
          <w:color w:val="000000"/>
          <w:lang w:val="es-CO"/>
        </w:rPr>
        <w:t>ii</w:t>
      </w:r>
      <w:proofErr w:type="spellEnd"/>
      <w:r w:rsidRPr="004E5875">
        <w:rPr>
          <w:rFonts w:ascii="Verdana" w:eastAsia="Verdana" w:hAnsi="Verdana" w:cs="Verdana"/>
          <w:color w:val="000000"/>
          <w:lang w:val="es-CO"/>
        </w:rPr>
        <w:t>. Para entender un poco sobre el riesgo psicosocial es pertinente acudir a la Resolución 2646 de 2008 del Ministerio de Protección Social, “</w:t>
      </w:r>
      <w:r w:rsidRPr="004E5875">
        <w:rPr>
          <w:rFonts w:ascii="Verdana" w:eastAsia="Verdana" w:hAnsi="Verdana" w:cs="Verdana"/>
          <w:color w:val="000000"/>
        </w:rPr>
        <w:t>Por la cual se establecen disposiciones y se definen responsabilidades para la identificación, evaluación, prevención, intervención y monitoreo permanente de la exposición a factores de riesgo psicosocial en el trabajo y para la determinación del origen de las patologías causadas por el estrés ocupacional”, la cual dispone en su artículo 1°: “El objeto de la presente resolución es establecer disposiciones y definir las responsabilidades de los diferentes actores sociales en cuanto a la identificación, evaluación, prevención, intervención y monitoreo permanente de la exposición a los factores de riesgo psicosocial en el trabajo, así como el estudio y determinación de origen de patologías presuntamente causadas por estrés ocupacional”.</w:t>
      </w:r>
    </w:p>
    <w:p w14:paraId="1899EDD3" w14:textId="77777777" w:rsidR="004E5875" w:rsidRPr="004E5875" w:rsidRDefault="004E5875" w:rsidP="004E5875">
      <w:pPr>
        <w:spacing w:after="120" w:line="276" w:lineRule="auto"/>
        <w:jc w:val="both"/>
        <w:rPr>
          <w:rFonts w:ascii="Verdana" w:eastAsia="Verdana" w:hAnsi="Verdana" w:cs="Verdana"/>
          <w:color w:val="000000"/>
        </w:rPr>
      </w:pPr>
      <w:r w:rsidRPr="004E5875">
        <w:rPr>
          <w:rFonts w:ascii="Verdana" w:eastAsia="Verdana" w:hAnsi="Verdana" w:cs="Verdana"/>
          <w:color w:val="000000"/>
          <w:lang w:val="es-CO"/>
        </w:rPr>
        <w:lastRenderedPageBreak/>
        <w:tab/>
        <w:t>Por otro lado, el artículo 2° de la presente Resolución prescribe: “</w:t>
      </w:r>
      <w:r w:rsidRPr="004E5875">
        <w:rPr>
          <w:rFonts w:ascii="Verdana" w:eastAsia="Verdana" w:hAnsi="Verdana" w:cs="Verdana"/>
          <w:color w:val="000000"/>
        </w:rPr>
        <w:t xml:space="preserve">[…] se aplica a los empleadores públicos y privados, a los </w:t>
      </w:r>
      <w:r w:rsidRPr="004E5875">
        <w:rPr>
          <w:rFonts w:ascii="Verdana" w:eastAsia="Verdana" w:hAnsi="Verdana" w:cs="Verdana"/>
          <w:i/>
          <w:iCs/>
          <w:color w:val="000000"/>
        </w:rPr>
        <w:t>trabajadores dependientes e independientes, a los contratantes de personal bajo modalidad de contrato civil, comercial o administrativo</w:t>
      </w:r>
      <w:r w:rsidRPr="004E5875">
        <w:rPr>
          <w:rFonts w:ascii="Verdana" w:eastAsia="Verdana" w:hAnsi="Verdana" w:cs="Verdana"/>
          <w:color w:val="000000"/>
        </w:rPr>
        <w:t xml:space="preserve">, a las organizaciones de economía solidaria y del sector cooperativo, a las agremiaciones o asociaciones que afilian trabajadores independientes al Sistema de Seguridad Social integral; a las administradoras de riesgos profesionales; a la Policía en lo que corresponde a su personal no uniformado y al personal civil de las Fuerzas Militares” (énfasis fuera de texto). </w:t>
      </w:r>
    </w:p>
    <w:p w14:paraId="6445747E" w14:textId="77777777" w:rsidR="004E5875" w:rsidRPr="004E5875" w:rsidRDefault="004E5875" w:rsidP="004E5875">
      <w:pPr>
        <w:spacing w:after="120" w:line="276" w:lineRule="auto"/>
        <w:jc w:val="both"/>
        <w:rPr>
          <w:rFonts w:ascii="Verdana" w:eastAsia="Verdana" w:hAnsi="Verdana" w:cs="Verdana"/>
          <w:color w:val="000000"/>
          <w:lang w:val="es-CO"/>
        </w:rPr>
      </w:pPr>
      <w:r w:rsidRPr="004E5875">
        <w:rPr>
          <w:rFonts w:ascii="Verdana" w:eastAsia="Verdana" w:hAnsi="Verdana" w:cs="Verdana"/>
          <w:color w:val="000000"/>
        </w:rPr>
        <w:tab/>
      </w:r>
      <w:r w:rsidRPr="004E5875">
        <w:rPr>
          <w:rFonts w:ascii="Verdana" w:eastAsia="Verdana" w:hAnsi="Verdana" w:cs="Verdana"/>
          <w:color w:val="000000"/>
          <w:lang w:val="es-CO"/>
        </w:rPr>
        <w:t>En este mismo escenario, la Resolución 2764 de 2022 del Ministerio de Trabajo “</w:t>
      </w:r>
      <w:r w:rsidRPr="004E5875">
        <w:rPr>
          <w:rFonts w:ascii="Verdana" w:eastAsia="Verdana" w:hAnsi="Verdana" w:cs="Verdana"/>
          <w:i/>
          <w:iCs/>
          <w:color w:val="000000"/>
        </w:rPr>
        <w:t xml:space="preserve">Por la cual se adopta la Batería de instrumentos para la evaluación de factores de Riesgo Psicosocial, la Guía Técnica General para la promoción, prevención e intervención de los factores psicosociales y sus efectos en la población trabajadora y sus protocolos específicos y se dictan otras disposiciones”, </w:t>
      </w:r>
      <w:r w:rsidRPr="004E5875">
        <w:rPr>
          <w:rFonts w:ascii="Verdana" w:eastAsia="Verdana" w:hAnsi="Verdana" w:cs="Verdana"/>
          <w:color w:val="000000"/>
          <w:lang w:val="es-CO"/>
        </w:rPr>
        <w:t>constituye el principal marco normativo para la identificación, evaluación, prevención, intervención y monitoreo permanente de los factores de riesgo psicosocial en los lugares de trabajo. Esta disposición adopta de manera integral los instrumentos de evaluación, protocolos de intervención y guías técnicas que deben incorporarse al Sistema de Gestión de Seguridad y Salud en el Trabajo (SG-SST), con el propósito de proteger la salud mental de los trabajadores y promover entornos laborales saludables.</w:t>
      </w:r>
    </w:p>
    <w:p w14:paraId="5792F27E" w14:textId="77777777" w:rsidR="004E5875" w:rsidRPr="004E5875" w:rsidRDefault="004E5875" w:rsidP="004E5875">
      <w:pPr>
        <w:spacing w:after="120" w:line="276" w:lineRule="auto"/>
        <w:ind w:firstLine="720"/>
        <w:jc w:val="both"/>
        <w:rPr>
          <w:rFonts w:ascii="Verdana" w:eastAsia="Verdana" w:hAnsi="Verdana" w:cs="Verdana"/>
          <w:color w:val="000000"/>
          <w:lang w:val="es-CO"/>
        </w:rPr>
      </w:pPr>
      <w:r w:rsidRPr="004E5875">
        <w:rPr>
          <w:rFonts w:ascii="Verdana" w:eastAsia="Verdana" w:hAnsi="Verdana" w:cs="Verdana"/>
          <w:color w:val="000000"/>
          <w:lang w:val="es-CO"/>
        </w:rPr>
        <w:t>La resolución incorpora diversos protocolos de intervención sectoriales, entre ellos el correspondiente al sector de la administración pública, reconociendo las particularidades organizacionales y funcionales de cada actividad económica. Asimismo, deroga expresamente la Resolución 2404 de 2019</w:t>
      </w:r>
      <w:r w:rsidRPr="004E5875">
        <w:rPr>
          <w:rFonts w:ascii="Arial" w:hAnsi="Arial" w:cs="Arial"/>
          <w:i/>
          <w:iCs/>
          <w:color w:val="333333"/>
          <w:shd w:val="clear" w:color="auto" w:fill="FFFFFF"/>
        </w:rPr>
        <w:t>, “</w:t>
      </w:r>
      <w:r w:rsidRPr="004E5875">
        <w:rPr>
          <w:rFonts w:ascii="Verdana" w:eastAsia="Verdana" w:hAnsi="Verdana" w:cs="Verdana"/>
          <w:i/>
          <w:iCs/>
          <w:color w:val="000000"/>
        </w:rPr>
        <w:t>por la cual se adopta la Batería de Instrumentos para la Evaluación de Factores de Riesgo Psicosocial, la Guía Técnica General para la Promoción, Prevención e Intervención de los Factores Psicosociales y sus Efectos en la Población Trabajadora y sus Protocolos Específicos y se dictan otras disposiciones”</w:t>
      </w:r>
      <w:r w:rsidRPr="004E5875">
        <w:rPr>
          <w:rFonts w:ascii="Verdana" w:eastAsia="Verdana" w:hAnsi="Verdana" w:cs="Verdana"/>
          <w:color w:val="000000"/>
          <w:lang w:val="es-CO"/>
        </w:rPr>
        <w:t>, consolidando en un único cuerpo normativo los lineamientos técnicos aplicables a la gestión de los riesgos psicosociales en el país.</w:t>
      </w:r>
    </w:p>
    <w:p w14:paraId="3B6DBB1E" w14:textId="77777777" w:rsidR="004E5875" w:rsidRPr="004E5875" w:rsidRDefault="004E5875" w:rsidP="004E5875">
      <w:pPr>
        <w:spacing w:after="120" w:line="276" w:lineRule="auto"/>
        <w:ind w:firstLine="720"/>
        <w:jc w:val="both"/>
        <w:rPr>
          <w:rFonts w:ascii="Verdana" w:eastAsia="Verdana" w:hAnsi="Verdana" w:cs="Verdana"/>
          <w:color w:val="000000"/>
          <w:lang w:val="es-CO"/>
        </w:rPr>
      </w:pPr>
      <w:r w:rsidRPr="004E5875">
        <w:rPr>
          <w:rFonts w:ascii="Verdana" w:eastAsia="Verdana" w:hAnsi="Verdana" w:cs="Verdana"/>
          <w:color w:val="000000"/>
          <w:lang w:val="es-CO"/>
        </w:rPr>
        <w:t>Respecto de su ámbito de aplicación, la Resolución tiene un alcance amplio y vinculante para los diferentes actores del mundo laboral. En tal sentido, el artículo 2 de la presente Resolución prescribe:</w:t>
      </w:r>
      <w:r w:rsidRPr="004E5875">
        <w:rPr>
          <w:rFonts w:ascii="Arial" w:hAnsi="Arial" w:cs="Arial"/>
          <w:color w:val="333333"/>
          <w:shd w:val="clear" w:color="auto" w:fill="FFFFFF"/>
        </w:rPr>
        <w:t xml:space="preserve"> “[…] </w:t>
      </w:r>
      <w:r w:rsidRPr="004E5875">
        <w:rPr>
          <w:rFonts w:ascii="Verdana" w:eastAsia="Verdana" w:hAnsi="Verdana" w:cs="Verdana"/>
          <w:color w:val="000000"/>
        </w:rPr>
        <w:t xml:space="preserve">se aplica a todos los empleadores públicos y privados, a los trabajadores dependientes e independientes, a los contratantes de personal bajo modalidad de contrato civil, </w:t>
      </w:r>
      <w:r w:rsidRPr="004E5875">
        <w:rPr>
          <w:rFonts w:ascii="Verdana" w:eastAsia="Verdana" w:hAnsi="Verdana" w:cs="Verdana"/>
          <w:color w:val="000000"/>
        </w:rPr>
        <w:lastRenderedPageBreak/>
        <w:t>comercial o administrativo, a las organizaciones de economía solidaria y del sector cooperativo, las empresas de servicios temporales, a las agremiaciones o asociaciones que afilian trabajadores independientes al Sistema de Seguridad Social Integral, a los estudiantes afiliados al Sistema General de Riesgos Laborales, a los trabajadores en misión, a la Policía Nacional en lo que corresponde a su personal no uniformado y al personal civil de las Fuerzas Militares”.</w:t>
      </w:r>
      <w:r w:rsidRPr="004E5875">
        <w:rPr>
          <w:rFonts w:ascii="Verdana" w:eastAsia="Verdana" w:hAnsi="Verdana" w:cs="Verdana"/>
          <w:color w:val="000000"/>
          <w:lang w:val="es-CO"/>
        </w:rPr>
        <w:t xml:space="preserve"> </w:t>
      </w:r>
    </w:p>
    <w:p w14:paraId="7BB04496" w14:textId="77777777" w:rsidR="004E5875" w:rsidRPr="004E5875" w:rsidRDefault="004E5875" w:rsidP="004E5875">
      <w:pPr>
        <w:spacing w:after="120" w:line="276" w:lineRule="auto"/>
        <w:ind w:firstLine="720"/>
        <w:jc w:val="both"/>
        <w:rPr>
          <w:rFonts w:ascii="Verdana" w:eastAsia="Verdana" w:hAnsi="Verdana" w:cs="Verdana"/>
          <w:color w:val="000000"/>
          <w:lang w:val="es-CO"/>
        </w:rPr>
      </w:pPr>
      <w:r w:rsidRPr="004E5875">
        <w:rPr>
          <w:rFonts w:ascii="Verdana" w:eastAsia="Verdana" w:hAnsi="Verdana" w:cs="Verdana"/>
          <w:color w:val="000000"/>
          <w:lang w:val="es-CO"/>
        </w:rPr>
        <w:t>En materia de evaluación, el artículo 3 de la presente resolución establece una periodicidad diferenciada según los resultados obtenidos en la valoración de los factores de riesgo psicosocial. Cuando se identifique un nivel de riesgo alto o muy alto, o cuando existan evidencias de afectaciones asociadas a la salud o al bienestar de los trabajadores, la evaluación deberá realizarse como mínimo cada año. Por su parte, cuando los resultados evidencien niveles de riesgo medio, bajo o sin riesgo significativo, la medición podrá efectuarse cada dos años. La norma precisa que dichos términos deben contarse a partir del inicio de las acciones de intervención implementadas por la organización, las cuales deben adoptarse de manera inmediata una vez identificadas las condiciones de riesgo.</w:t>
      </w:r>
    </w:p>
    <w:p w14:paraId="344434C4" w14:textId="77777777" w:rsidR="004E5875" w:rsidRPr="004E5875" w:rsidRDefault="004E5875" w:rsidP="004E5875">
      <w:pPr>
        <w:spacing w:after="120" w:line="276" w:lineRule="auto"/>
        <w:ind w:firstLine="720"/>
        <w:jc w:val="both"/>
        <w:rPr>
          <w:rFonts w:ascii="Verdana" w:eastAsia="Verdana" w:hAnsi="Verdana" w:cs="Verdana"/>
          <w:color w:val="000000"/>
          <w:lang w:val="es-CO"/>
        </w:rPr>
      </w:pPr>
      <w:r w:rsidRPr="004E5875">
        <w:rPr>
          <w:rFonts w:ascii="Verdana" w:eastAsia="Verdana" w:hAnsi="Verdana" w:cs="Verdana"/>
          <w:color w:val="000000"/>
          <w:lang w:val="es-CO"/>
        </w:rPr>
        <w:t>De igual manera, se establece la obligatoriedad de utilizar los instrumentos de evaluación oficiales conforme a los lineamientos metodológicos contenidos en sus respectivos manuales técnicos. Por tanto, no se permite la modificación de preguntas, escalas, criterios de aplicación o mecanismos de interpretación, garantizando así la validez, confiabilidad y comparabilidad de los resultados obtenidos.</w:t>
      </w:r>
    </w:p>
    <w:p w14:paraId="37A909DD" w14:textId="77777777" w:rsidR="004E5875" w:rsidRPr="004E5875" w:rsidRDefault="004E5875" w:rsidP="004E5875">
      <w:pPr>
        <w:spacing w:after="120" w:line="276" w:lineRule="auto"/>
        <w:ind w:firstLine="720"/>
        <w:jc w:val="both"/>
        <w:rPr>
          <w:rFonts w:ascii="Verdana" w:eastAsia="Verdana" w:hAnsi="Verdana" w:cs="Verdana"/>
          <w:color w:val="000000"/>
          <w:lang w:val="es-CO"/>
        </w:rPr>
      </w:pPr>
      <w:r w:rsidRPr="004E5875">
        <w:rPr>
          <w:rFonts w:ascii="Verdana" w:eastAsia="Verdana" w:hAnsi="Verdana" w:cs="Verdana"/>
          <w:color w:val="000000"/>
          <w:lang w:val="es-CO"/>
        </w:rPr>
        <w:t xml:space="preserve">Un aspecto fundamental de la regulación corresponde a la batería, que está integrada por instrumentos estandarizados que permiten identificar factores de riesgo psicosocial intralaborales y extralaborales, así como evaluar sus efectos sobre la salud de los trabajadores y sobre las condiciones de trabajo. Los instrumentos obligatorios son: i) Cuestionario de factores de riesgo psicosocial intralaboral; </w:t>
      </w:r>
      <w:proofErr w:type="spellStart"/>
      <w:r w:rsidRPr="004E5875">
        <w:rPr>
          <w:rFonts w:ascii="Verdana" w:eastAsia="Verdana" w:hAnsi="Verdana" w:cs="Verdana"/>
          <w:color w:val="000000"/>
          <w:lang w:val="es-CO"/>
        </w:rPr>
        <w:t>ii</w:t>
      </w:r>
      <w:proofErr w:type="spellEnd"/>
      <w:r w:rsidRPr="004E5875">
        <w:rPr>
          <w:rFonts w:ascii="Verdana" w:eastAsia="Verdana" w:hAnsi="Verdana" w:cs="Verdana"/>
          <w:color w:val="000000"/>
          <w:lang w:val="es-CO"/>
        </w:rPr>
        <w:t xml:space="preserve">) Cuestionario de factores de riesgo psicosocial extralaboral; </w:t>
      </w:r>
      <w:proofErr w:type="spellStart"/>
      <w:r w:rsidRPr="004E5875">
        <w:rPr>
          <w:rFonts w:ascii="Verdana" w:eastAsia="Verdana" w:hAnsi="Verdana" w:cs="Verdana"/>
          <w:color w:val="000000"/>
          <w:lang w:val="es-CO"/>
        </w:rPr>
        <w:t>iii</w:t>
      </w:r>
      <w:proofErr w:type="spellEnd"/>
      <w:r w:rsidRPr="004E5875">
        <w:rPr>
          <w:rFonts w:ascii="Verdana" w:eastAsia="Verdana" w:hAnsi="Verdana" w:cs="Verdana"/>
          <w:color w:val="000000"/>
          <w:lang w:val="es-CO"/>
        </w:rPr>
        <w:t xml:space="preserve">) Cuestionario para la evaluación del estrés; </w:t>
      </w:r>
      <w:proofErr w:type="spellStart"/>
      <w:r w:rsidRPr="004E5875">
        <w:rPr>
          <w:rFonts w:ascii="Verdana" w:eastAsia="Verdana" w:hAnsi="Verdana" w:cs="Verdana"/>
          <w:color w:val="000000"/>
          <w:lang w:val="es-CO"/>
        </w:rPr>
        <w:t>iv</w:t>
      </w:r>
      <w:proofErr w:type="spellEnd"/>
      <w:r w:rsidRPr="004E5875">
        <w:rPr>
          <w:rFonts w:ascii="Verdana" w:eastAsia="Verdana" w:hAnsi="Verdana" w:cs="Verdana"/>
          <w:color w:val="000000"/>
          <w:lang w:val="es-CO"/>
        </w:rPr>
        <w:t xml:space="preserve">) Ficha de datos generales sociodemográficos y ocupacionales. En esta línea, la aplicación de estos instrumentos debe realizarse respetando estrictamente los manuales de usuario, garantizando la reserva y confidencialidad de la información. Está prohibido </w:t>
      </w:r>
      <w:r w:rsidRPr="004E5875">
        <w:rPr>
          <w:rFonts w:ascii="Verdana" w:eastAsia="Verdana" w:hAnsi="Verdana" w:cs="Verdana"/>
          <w:color w:val="000000"/>
          <w:lang w:val="es-CO"/>
        </w:rPr>
        <w:lastRenderedPageBreak/>
        <w:t>modificar las preguntas, escalas o metodologías de aplicación, debido a que ello afecta la validez y confiabilidad de los resultados.</w:t>
      </w:r>
    </w:p>
    <w:p w14:paraId="6AEC21C6" w14:textId="77777777" w:rsidR="004E5875" w:rsidRPr="004E5875" w:rsidRDefault="004E5875" w:rsidP="004E5875">
      <w:pPr>
        <w:spacing w:after="120" w:line="276" w:lineRule="auto"/>
        <w:ind w:firstLine="720"/>
        <w:jc w:val="both"/>
        <w:rPr>
          <w:rFonts w:ascii="Verdana" w:eastAsia="Verdana" w:hAnsi="Verdana" w:cs="Verdana"/>
          <w:color w:val="000000"/>
          <w:lang w:val="es-CO"/>
        </w:rPr>
      </w:pPr>
      <w:r w:rsidRPr="004E5875">
        <w:rPr>
          <w:rFonts w:ascii="Verdana" w:eastAsia="Verdana" w:hAnsi="Verdana" w:cs="Verdana"/>
          <w:color w:val="000000"/>
          <w:lang w:val="es-CO"/>
        </w:rPr>
        <w:t>Este artículo también autoriza la aplicación virtual de la batería mediante la herramienta oficial que publique el Ministerio del Trabajo a través del Fondo de Riesgos Laborales, siempre que se cumplan las condiciones de seguridad de la información exigidas. El uso indebido, la reproducción no autorizada, la comercialización de los instrumentos o el incumplimiento de las medidas de seguridad pueden generar sanciones legales. Además, la resolución incorpora como herramientas para evaluaciones en profundidad: a) la guía para el análisis psicosocial de puestos de trabajo; b) la guía de entrevistas semiestructuradas; c) la guía de grupos focales. Así pues, los empleadores pueden complementar la evaluación con otras herramientas que permitan identificar tempranamente síntomas asociados al estrés laboral y otros efectos psicosociales. Asimismo, las ARL deben brindar asistencia técnica, orientación y apoyo en las actividades de promoción, prevención, identificación, evaluación e intervención de estos riesgos.</w:t>
      </w:r>
    </w:p>
    <w:p w14:paraId="7FD8957F" w14:textId="77777777" w:rsidR="004E5875" w:rsidRPr="004E5875" w:rsidRDefault="004E5875" w:rsidP="004E5875">
      <w:pPr>
        <w:spacing w:after="120" w:line="276" w:lineRule="auto"/>
        <w:ind w:firstLine="720"/>
        <w:jc w:val="both"/>
        <w:rPr>
          <w:rFonts w:ascii="Verdana" w:eastAsia="Verdana" w:hAnsi="Verdana" w:cs="Verdana"/>
          <w:color w:val="000000"/>
          <w:lang w:val="es-CO"/>
        </w:rPr>
      </w:pPr>
      <w:r w:rsidRPr="004E5875">
        <w:rPr>
          <w:rFonts w:ascii="Verdana" w:eastAsia="Verdana" w:hAnsi="Verdana" w:cs="Verdana"/>
          <w:color w:val="000000"/>
          <w:lang w:val="es-CO"/>
        </w:rPr>
        <w:t>En el marco de ello, la Resolución impone estrictos deberes de confidencialidad, reserva y custodia profesional respecto de los cuestionarios aplicados, las bases de datos y los informes individuales de resultados. Estos documentos tienen carácter reservado y forman parte de la historia clínica ocupacional de cada trabajador. Por ello, las entidades únicamente podrán conservar y utilizar informes consolidados o análisis grupales destinados a la gestión e intervención de los riesgos identificados. En ningún caso los instrumentos aplicados, los resultados individuales o la historia clínica ocupacional podrán incorporarse a las hojas de vida, expedientes laborales o archivos administrativos de los trabajadores. Así mismo, se enfatiza que las medidas de intervención deben orientarse prioritariamente a la eliminación o mitigación de las causas organizacionales que generan el riesgo psicosocial, antes que a la atención exclusiva de sus consecuencias individuales. En este sentido, promueve acciones relacionadas con el diseño del trabajo, la organización laboral, las cargas de trabajo, el liderazgo, la comunicación institucional, el clima organizacional y las condiciones de participación de los trabajadores.</w:t>
      </w:r>
    </w:p>
    <w:p w14:paraId="32EC30FC" w14:textId="77777777" w:rsidR="004E5875" w:rsidRPr="004E5875" w:rsidRDefault="004E5875" w:rsidP="004E5875">
      <w:pPr>
        <w:spacing w:after="120" w:line="276" w:lineRule="auto"/>
        <w:ind w:firstLine="720"/>
        <w:jc w:val="both"/>
        <w:rPr>
          <w:rFonts w:ascii="Verdana" w:eastAsia="Verdana" w:hAnsi="Verdana" w:cs="Verdana"/>
          <w:color w:val="000000"/>
          <w:lang w:val="es-CO"/>
        </w:rPr>
      </w:pPr>
      <w:r w:rsidRPr="004E5875">
        <w:rPr>
          <w:rFonts w:ascii="Verdana" w:eastAsia="Verdana" w:hAnsi="Verdana" w:cs="Verdana"/>
          <w:color w:val="000000"/>
          <w:lang w:val="es-CO"/>
        </w:rPr>
        <w:t xml:space="preserve">Adicionalmente, contempla la implementación de estrategias de apoyo psicosocial frente a situaciones de emergencia, crisis o eventos traumáticos que </w:t>
      </w:r>
      <w:r w:rsidRPr="004E5875">
        <w:rPr>
          <w:rFonts w:ascii="Verdana" w:eastAsia="Verdana" w:hAnsi="Verdana" w:cs="Verdana"/>
          <w:color w:val="000000"/>
          <w:lang w:val="es-CO"/>
        </w:rPr>
        <w:lastRenderedPageBreak/>
        <w:t>puedan afectar a los trabajadores, así como el desarrollo de programas de vigilancia epidemiológica para realizar seguimiento sistemático a los factores de riesgo psicosocial y sus efectos sobre la salud. Para ello, las Administradoras de Riesgos Laborales (ARL) deben brindar asistencia técnica y orientación a los empleadores en el diseño y ejecución de las medidas preventivas y correctivas correspondientes.</w:t>
      </w:r>
    </w:p>
    <w:p w14:paraId="2A1FF32A" w14:textId="77777777" w:rsidR="004E5875" w:rsidRPr="004E5875" w:rsidRDefault="004E5875" w:rsidP="004E5875">
      <w:pPr>
        <w:spacing w:after="120" w:line="276" w:lineRule="auto"/>
        <w:ind w:firstLine="720"/>
        <w:jc w:val="both"/>
        <w:rPr>
          <w:rFonts w:ascii="Verdana" w:eastAsia="Verdana" w:hAnsi="Verdana" w:cs="Verdana"/>
          <w:color w:val="000000"/>
          <w:lang w:val="es-CO"/>
        </w:rPr>
      </w:pPr>
      <w:r w:rsidRPr="004E5875">
        <w:rPr>
          <w:rFonts w:ascii="Verdana" w:eastAsia="Verdana" w:hAnsi="Verdana" w:cs="Verdana"/>
          <w:color w:val="000000"/>
          <w:lang w:val="es-CO"/>
        </w:rPr>
        <w:t>Por último, el incumplimiento de las obligaciones previstas en la Resolución 2764 de 2022 puede dar lugar a investigaciones administrativas y a la imposición de sanciones por parte del Ministerio del Trabajo, en concordancia con las facultades de inspección, vigilancia y control atribuidas por la legislación laboral colombiana. Dichas sanciones pueden derivarse tanto de la omisión en la evaluación de los riesgos psicosociales como de la falta de implementación de las medidas de intervención, seguimiento y protección de la salud mental de los trabajadores exigidas por la normativa vigente.</w:t>
      </w:r>
    </w:p>
    <w:p w14:paraId="26C04DE7" w14:textId="77777777" w:rsidR="004E5875" w:rsidRPr="004E5875" w:rsidRDefault="004E5875" w:rsidP="004E5875">
      <w:pPr>
        <w:spacing w:after="120" w:line="276" w:lineRule="auto"/>
        <w:ind w:firstLine="720"/>
        <w:jc w:val="both"/>
        <w:rPr>
          <w:rFonts w:ascii="Verdana" w:eastAsia="Verdana" w:hAnsi="Verdana" w:cs="Verdana"/>
          <w:color w:val="000000"/>
          <w:lang w:val="es-CO"/>
        </w:rPr>
      </w:pPr>
      <w:r w:rsidRPr="004E5875">
        <w:rPr>
          <w:rFonts w:ascii="Verdana" w:eastAsia="Verdana" w:hAnsi="Verdana" w:cs="Verdana"/>
          <w:color w:val="000000"/>
          <w:lang w:val="es-CO"/>
        </w:rPr>
        <w:t xml:space="preserve">En este contexto, las obligaciones derivadas de la gestión de los factores de riesgo psicosocial previstas en la Resolución 2764 de 2022 y 2646 de 2008 no constituyen, por sí mismas, elementos que permitan concluir la existencia de una relación de subordinación ni la configuración de un contrato realidad. Lo anterior, por cuanto dichas exigencias no tienen origen en la facultad de dirección propia del empleador sobre un trabajador subordinado, sino en el cumplimiento de deberes legales de prevención, protección y promoción de la seguridad y salud en el trabajo que recaen sobre empleadores y contratantes respecto de las personas que ejecutan actividades en su beneficio, independiente de la naturaleza jurídica del vínculo existente, como es el caso de los contratistas de prestación de servicios. </w:t>
      </w:r>
    </w:p>
    <w:p w14:paraId="3A7960DF" w14:textId="77777777" w:rsidR="004E5875" w:rsidRPr="004E5875" w:rsidRDefault="004E5875" w:rsidP="004E5875">
      <w:pPr>
        <w:spacing w:after="120" w:line="276" w:lineRule="auto"/>
        <w:ind w:firstLine="720"/>
        <w:jc w:val="both"/>
        <w:rPr>
          <w:rFonts w:ascii="Verdana" w:eastAsia="Verdana" w:hAnsi="Verdana" w:cs="Verdana"/>
          <w:color w:val="000000"/>
          <w:lang w:val="es-CO"/>
        </w:rPr>
      </w:pPr>
      <w:r w:rsidRPr="004E5875">
        <w:rPr>
          <w:rFonts w:ascii="Verdana" w:eastAsia="Verdana" w:hAnsi="Verdana" w:cs="Verdana"/>
          <w:color w:val="000000"/>
          <w:lang w:val="es-CO"/>
        </w:rPr>
        <w:t>En efecto, las propias Resoluciones 2646 de 2008 y 2764 de 2022 extiende su ámbito de aplicación no solo a trabajadores dependientes, sino también a contratistas, trabajadores independientes y demás personas vinculadas mediante relaciones civiles, comerciales o administrativas. Por consiguiente, la aplicación de instrumentos para la identificación, evaluación e intervención de factores de riesgo psicosocial, así como la adopción de medidas preventivas en materia de salud mental, constituyen obligaciones legales de carácter preventivo y de gestión del riesgo, cuyo cumplimiento no puede interpretarse como una manifestación automática o inequívoca de subordinación laboral.</w:t>
      </w:r>
    </w:p>
    <w:p w14:paraId="5D862F90" w14:textId="77777777" w:rsidR="004E5875" w:rsidRPr="004E5875" w:rsidRDefault="004E5875" w:rsidP="004E5875">
      <w:pPr>
        <w:spacing w:after="120" w:line="276" w:lineRule="auto"/>
        <w:ind w:firstLine="720"/>
        <w:jc w:val="both"/>
        <w:rPr>
          <w:rFonts w:ascii="Verdana" w:eastAsia="Verdana" w:hAnsi="Verdana" w:cs="Verdana"/>
          <w:color w:val="000000"/>
          <w:lang w:val="es-CO"/>
        </w:rPr>
      </w:pPr>
      <w:r w:rsidRPr="004E5875">
        <w:rPr>
          <w:rFonts w:ascii="Verdana" w:eastAsia="Verdana" w:hAnsi="Verdana" w:cs="Verdana"/>
          <w:color w:val="000000"/>
          <w:lang w:val="es-CO"/>
        </w:rPr>
        <w:lastRenderedPageBreak/>
        <w:t>Por tanto, la eventual determinación de un contrato realidad requiere acreditar los elementos materiales que la jurisprudencia y la legislación laboral han identificado como constitutivos de una relación de trabajo, particularmente la prestación personal del servicio, la remuneración y, de manera especial, la subordinación continuada o dependencia jurídica. En ese sentido, el cumplimiento de las obligaciones relacionadas con la prevención y gestión de riesgos psicosociales constituye una exigencia legal transversal aplicable a diversas modalidades de vinculación y, por sí sola, carece de la entidad suficiente para desvirtuar la naturaleza civil, comercial o administrativa de un contrato válidamente celebrado.</w:t>
      </w:r>
    </w:p>
    <w:p w14:paraId="7FDB9E5F" w14:textId="77777777" w:rsidR="004E5875" w:rsidRPr="004E5875" w:rsidRDefault="004E5875" w:rsidP="004E5875">
      <w:pPr>
        <w:spacing w:before="120" w:after="0" w:line="276" w:lineRule="auto"/>
        <w:ind w:firstLine="720"/>
        <w:jc w:val="both"/>
        <w:rPr>
          <w:rFonts w:ascii="Verdana" w:eastAsia="Verdana" w:hAnsi="Verdana" w:cs="Verdana"/>
          <w:color w:val="000000"/>
          <w:lang w:val="es-CO"/>
        </w:rPr>
      </w:pPr>
      <w:r w:rsidRPr="004E5875">
        <w:rPr>
          <w:rFonts w:ascii="Verdana" w:eastAsia="Verdana" w:hAnsi="Verdana" w:cs="Verdana"/>
          <w:color w:val="000000"/>
          <w:lang w:val="es-CO"/>
        </w:rPr>
        <w:t xml:space="preserve">Para reforzar este argumento, </w:t>
      </w:r>
      <w:r w:rsidRPr="004E5875">
        <w:rPr>
          <w:rFonts w:ascii="Verdana" w:eastAsia="Verdana" w:hAnsi="Verdana" w:cs="Verdana"/>
          <w:bCs/>
          <w:color w:val="000000"/>
          <w:lang w:val="es-CO"/>
        </w:rPr>
        <w:t xml:space="preserve">se establece en el artículo 1 </w:t>
      </w:r>
      <w:r w:rsidRPr="004E5875">
        <w:rPr>
          <w:rFonts w:ascii="Verdana" w:eastAsia="Verdana" w:hAnsi="Verdana" w:cs="Verdana"/>
          <w:color w:val="000000"/>
          <w:lang w:val="es-CO"/>
        </w:rPr>
        <w:t>de la Ley 1562 de 2012, que modificó el Sistema de Riesgos Laborales, contempló que el programa de salud ocupacional en adelante se conocería como el Sistema de Gestión de la Seguridad y Salud en el Trabajo SG-SST, definido este como un “Sistema consiste en el desarrollo de un proceso lógico y por etapas, basado en la mejora continua y que incluye la política, la organización, la planificación, la aplicación, la evaluación, la auditoría y las acciones de mejora con el objetivo de anticipar, reconocer, evaluar y controlar los riesgos que puedan afectar la seguridad y salud en el trabajo.”</w:t>
      </w:r>
    </w:p>
    <w:p w14:paraId="27579468" w14:textId="77777777" w:rsidR="004E5875" w:rsidRPr="004E5875" w:rsidRDefault="004E5875" w:rsidP="004E5875">
      <w:pPr>
        <w:spacing w:before="120" w:after="0" w:line="276" w:lineRule="auto"/>
        <w:ind w:firstLine="720"/>
        <w:jc w:val="both"/>
        <w:rPr>
          <w:rFonts w:ascii="Verdana" w:eastAsia="Verdana" w:hAnsi="Verdana" w:cs="Verdana"/>
          <w:color w:val="000000"/>
          <w:lang w:val="es-CO"/>
        </w:rPr>
      </w:pPr>
      <w:r w:rsidRPr="004E5875">
        <w:rPr>
          <w:rFonts w:ascii="Verdana" w:eastAsia="Verdana" w:hAnsi="Verdana" w:cs="Verdana"/>
          <w:color w:val="000000"/>
          <w:lang w:val="es-CO"/>
        </w:rPr>
        <w:t xml:space="preserve">En el Decreto 1443 de 2014, compilado posteriormente en el capítulo 6 del Decreto 1072 de 2015, “por medio del cual se expidió el Decreto Reglamentario del Sector Trabajo”, se definieron directrices para la implementación del Sistema de Gestión de la Seguridad y Salud en el Trabajo (SG-SST). Específicamente, el artículo 2.2.4.6.4. del Decreto 1072 de 2015 dispuso que </w:t>
      </w:r>
      <w:bookmarkStart w:id="2" w:name="_Hlk182775658"/>
      <w:r w:rsidRPr="004E5875">
        <w:rPr>
          <w:rFonts w:ascii="Verdana" w:eastAsia="Verdana" w:hAnsi="Verdana" w:cs="Verdana"/>
          <w:color w:val="000000"/>
          <w:lang w:val="es-CO"/>
        </w:rPr>
        <w:t xml:space="preserve">el Sistema de Gestión de Seguridad y Salud en el Trabajo SG-SST </w:t>
      </w:r>
      <w:bookmarkEnd w:id="2"/>
      <w:r w:rsidRPr="004E5875">
        <w:rPr>
          <w:rFonts w:ascii="Verdana" w:eastAsia="Verdana" w:hAnsi="Verdana" w:cs="Verdana"/>
          <w:color w:val="000000"/>
          <w:lang w:val="es-CO"/>
        </w:rPr>
        <w:t xml:space="preserve">debe ser liderado e implementado por el empleador o contratante, con la participación de los trabajadores y/o contratistas. Para ello, el artículo en cita contempló que los empleadores o contratantes, entre los que se encuentran las entidades estatales, deben de garantizar la implementación, mantenimiento y mejora continua del Sistema de Gestión de Seguridad y Salud en el Trabajo SG-SST en sus contratistas. </w:t>
      </w:r>
    </w:p>
    <w:p w14:paraId="65E510DA" w14:textId="77777777" w:rsidR="004E5875" w:rsidRPr="004E5875" w:rsidRDefault="004E5875" w:rsidP="004E5875">
      <w:pPr>
        <w:spacing w:before="120" w:after="0" w:line="276" w:lineRule="auto"/>
        <w:ind w:firstLine="720"/>
        <w:jc w:val="both"/>
        <w:rPr>
          <w:rFonts w:ascii="Verdana" w:eastAsia="Verdana" w:hAnsi="Verdana" w:cs="Verdana"/>
          <w:color w:val="000000"/>
          <w:lang w:val="es-CO"/>
        </w:rPr>
      </w:pPr>
      <w:r w:rsidRPr="004E5875">
        <w:rPr>
          <w:rFonts w:ascii="Verdana" w:eastAsia="Verdana" w:hAnsi="Verdana" w:cs="Verdana"/>
          <w:color w:val="000000"/>
          <w:lang w:val="es-CO"/>
        </w:rPr>
        <w:t xml:space="preserve">Para tales efectos, el parágrafo 1º </w:t>
      </w:r>
      <w:r w:rsidRPr="004E5875">
        <w:rPr>
          <w:rFonts w:ascii="Verdana" w:eastAsia="Verdana" w:hAnsi="Verdana" w:cs="Verdana"/>
          <w:i/>
          <w:iCs/>
          <w:color w:val="000000"/>
          <w:lang w:val="es-CO"/>
        </w:rPr>
        <w:t>ibidem</w:t>
      </w:r>
      <w:r w:rsidRPr="004E5875">
        <w:rPr>
          <w:rFonts w:ascii="Verdana" w:eastAsia="Verdana" w:hAnsi="Verdana" w:cs="Verdana"/>
          <w:color w:val="000000"/>
          <w:lang w:val="es-CO"/>
        </w:rPr>
        <w:t xml:space="preserve"> estableció que el Ministerio del Trabajo o quien haga sus veces, determinaría de manera progresiva, los estándares que hacen parte de los diversos componentes del mencionado Sistema de Gestión de Seguridad y Salud en el Trabajo SG-SST, de conformidad </w:t>
      </w:r>
      <w:r w:rsidRPr="004E5875">
        <w:rPr>
          <w:rFonts w:ascii="Verdana" w:eastAsia="Verdana" w:hAnsi="Verdana" w:cs="Verdana"/>
          <w:color w:val="000000"/>
          <w:lang w:val="es-CO"/>
        </w:rPr>
        <w:lastRenderedPageBreak/>
        <w:t>con el desarrollo y avances técnicos y científicos del sector y del país, realizando los ajustes y actualizaciones a que haya lugar y que dichos estándares deberán ser implementados por los integrantes del Sistema General de Riesgos Laborales en las fases y dentro de las fechas que al respecto defina el Ministerio de Trabajo.</w:t>
      </w:r>
    </w:p>
    <w:p w14:paraId="1FC46871" w14:textId="77777777" w:rsidR="004E5875" w:rsidRPr="004E5875" w:rsidRDefault="004E5875" w:rsidP="004E5875">
      <w:pPr>
        <w:spacing w:before="120" w:after="0" w:line="276" w:lineRule="auto"/>
        <w:ind w:firstLine="720"/>
        <w:jc w:val="both"/>
        <w:rPr>
          <w:rFonts w:ascii="Verdana" w:eastAsia="Verdana" w:hAnsi="Verdana" w:cs="Verdana"/>
          <w:color w:val="000000"/>
          <w:lang w:val="es-CO"/>
        </w:rPr>
      </w:pPr>
      <w:r w:rsidRPr="004E5875">
        <w:rPr>
          <w:rFonts w:ascii="Verdana" w:eastAsia="Verdana" w:hAnsi="Verdana" w:cs="Verdana"/>
          <w:color w:val="000000"/>
          <w:lang w:val="es-CO"/>
        </w:rPr>
        <w:t>Así mismo, hay que tener en cuenta el Decreto 1072 de 2015, artículo 2.2.4.2.2.15</w:t>
      </w:r>
      <w:r w:rsidRPr="004E5875">
        <w:rPr>
          <w:rFonts w:ascii="Verdana" w:eastAsia="Verdana" w:hAnsi="Verdana" w:cs="Verdana"/>
          <w:color w:val="000000"/>
          <w:vertAlign w:val="superscript"/>
          <w:lang w:val="es-CO"/>
        </w:rPr>
        <w:footnoteReference w:id="14"/>
      </w:r>
      <w:r w:rsidRPr="004E5875">
        <w:rPr>
          <w:rFonts w:ascii="Verdana" w:eastAsia="Verdana" w:hAnsi="Verdana" w:cs="Verdana"/>
          <w:color w:val="000000"/>
          <w:lang w:val="es-CO"/>
        </w:rPr>
        <w:t>, que contempla que, para las personas comprendidas en esa sección, ordena al contratante incluirlas en el SG-SST, realizar prevención y promoción, permitir participación en capacitaciones y verificar requisitos de seguridad. De igual manera, el artículo 2.2.4.6.1 del Decreto 1072 de 2015 establece que el capítulo relativo al Sistema de Gestión de la Seguridad y Salud en el Trabajo (SG-SST) tiene por objeto definir las directrices de obligatorio cumplimiento para su implementación, las cuales deben ser observadas por todos los empleadores públicos y privados, así como por los contratantes de personal vinculado mediante contratos civiles, comerciales o administrativos, las organizaciones de economía solidaria, las entidades del sector cooperativo y las empresas de servicios temporales. Igualmente, dispone que dichas obligaciones deben extender su cobertura a trabajadores dependientes, contratistas, trabajadores asociados o cooperados y trabajadores en misión.</w:t>
      </w:r>
    </w:p>
    <w:p w14:paraId="4CE78A72" w14:textId="77777777" w:rsidR="004E5875" w:rsidRPr="004E5875" w:rsidRDefault="004E5875" w:rsidP="004E5875">
      <w:pPr>
        <w:spacing w:before="120" w:after="0" w:line="276" w:lineRule="auto"/>
        <w:ind w:firstLine="720"/>
        <w:jc w:val="both"/>
        <w:rPr>
          <w:rFonts w:ascii="Verdana" w:eastAsia="Verdana" w:hAnsi="Verdana" w:cs="Verdana"/>
          <w:color w:val="000000"/>
          <w:lang w:val="es-CO"/>
        </w:rPr>
      </w:pPr>
      <w:r w:rsidRPr="004E5875">
        <w:rPr>
          <w:rFonts w:ascii="Verdana" w:eastAsia="Verdana" w:hAnsi="Verdana" w:cs="Verdana"/>
          <w:color w:val="000000"/>
          <w:lang w:val="es-CO"/>
        </w:rPr>
        <w:t xml:space="preserve">Por otra parte, los artículos 2.2.4.6.4 y 2.2.4.6.28 del Decreto 1072 de 2015 refuerzan la inclusión de contratistas dentro del ámbito de aplicación del Sistema de Gestión de Seguridad y Salud en el Trabajo (SG-SST) y regulan los mecanismos de coordinación que deben implementarse cuando concurren </w:t>
      </w:r>
      <w:r w:rsidRPr="004E5875">
        <w:rPr>
          <w:rFonts w:ascii="Verdana" w:eastAsia="Verdana" w:hAnsi="Verdana" w:cs="Verdana"/>
          <w:color w:val="000000"/>
          <w:lang w:val="es-CO"/>
        </w:rPr>
        <w:lastRenderedPageBreak/>
        <w:t>diferentes empleadores, contratantes o prestadores de servicios en un mismo centro o lugar de trabajo. Estas disposiciones evidencian que el legislador y el reglamento concibieron el SG-SST como un sistema de gestión del riesgo con alcance transversal, aplicable no solo a trabajadores dependientes, sino también a personas vinculadas mediante contratos civiles, comerciales o administrativos. En este aspecto, cabe destacar el artículo 2.2.4.6.28:</w:t>
      </w:r>
    </w:p>
    <w:p w14:paraId="69B7179F" w14:textId="77777777" w:rsidR="004E5875" w:rsidRPr="004E5875" w:rsidRDefault="004E5875" w:rsidP="004E5875">
      <w:pPr>
        <w:spacing w:after="0" w:line="240" w:lineRule="auto"/>
        <w:ind w:left="709" w:right="709"/>
        <w:jc w:val="both"/>
        <w:rPr>
          <w:rFonts w:ascii="Verdana" w:eastAsia="Verdana" w:hAnsi="Verdana" w:cs="Verdana"/>
          <w:b/>
          <w:bCs/>
          <w:color w:val="000000"/>
          <w:lang w:val="es-CO"/>
        </w:rPr>
      </w:pPr>
    </w:p>
    <w:p w14:paraId="3012114B" w14:textId="77777777" w:rsidR="004E5875" w:rsidRPr="004E5875" w:rsidRDefault="004E5875" w:rsidP="004E5875">
      <w:pPr>
        <w:spacing w:after="0" w:line="240" w:lineRule="auto"/>
        <w:ind w:left="709" w:right="709"/>
        <w:jc w:val="both"/>
        <w:rPr>
          <w:rFonts w:ascii="Verdana" w:eastAsia="Verdana" w:hAnsi="Verdana" w:cs="Verdana"/>
          <w:color w:val="000000"/>
          <w:sz w:val="20"/>
          <w:szCs w:val="20"/>
          <w:lang w:val="es-CO"/>
        </w:rPr>
      </w:pPr>
      <w:r w:rsidRPr="004E5875">
        <w:rPr>
          <w:rFonts w:ascii="Verdana" w:eastAsia="Verdana" w:hAnsi="Verdana" w:cs="Verdana"/>
          <w:color w:val="000000"/>
          <w:sz w:val="20"/>
          <w:szCs w:val="20"/>
          <w:lang w:val="es-CO"/>
        </w:rPr>
        <w:t>ARTÍCULO</w:t>
      </w:r>
      <w:bookmarkStart w:id="13" w:name="2.2.4.6.28"/>
      <w:bookmarkEnd w:id="13"/>
      <w:r w:rsidRPr="004E5875">
        <w:rPr>
          <w:rFonts w:ascii="Verdana" w:eastAsia="Verdana" w:hAnsi="Verdana" w:cs="Verdana"/>
          <w:color w:val="000000"/>
          <w:sz w:val="20"/>
          <w:szCs w:val="20"/>
          <w:lang w:val="es-CO"/>
        </w:rPr>
        <w:t xml:space="preserve"> 2.2.4.6.28. </w:t>
      </w:r>
      <w:r w:rsidRPr="004E5875">
        <w:rPr>
          <w:rFonts w:ascii="Verdana" w:eastAsia="Verdana" w:hAnsi="Verdana" w:cs="Verdana"/>
          <w:i/>
          <w:iCs/>
          <w:color w:val="000000"/>
          <w:sz w:val="20"/>
          <w:szCs w:val="20"/>
          <w:lang w:val="es-CO"/>
        </w:rPr>
        <w:t xml:space="preserve">Contratación. </w:t>
      </w:r>
      <w:r w:rsidRPr="004E5875">
        <w:rPr>
          <w:rFonts w:ascii="Verdana" w:eastAsia="Verdana" w:hAnsi="Verdana" w:cs="Verdana"/>
          <w:color w:val="000000"/>
          <w:sz w:val="20"/>
          <w:szCs w:val="20"/>
          <w:lang w:val="es-CO"/>
        </w:rPr>
        <w:t>El empleador debe adoptar y mantener las disposiciones que garanticen el cumplimiento de las normas de seguridad y salud en el trabajo de su empresa, por parte de los proveedores, trabajadores dependientes, trabajadores cooperados, trabajadores en misión, contratistas y sus trabajadores o subcontratistas, durante el desempeño de las actividades objeto del contrato.</w:t>
      </w:r>
    </w:p>
    <w:p w14:paraId="402E3E9E" w14:textId="77777777" w:rsidR="004E5875" w:rsidRPr="004E5875" w:rsidRDefault="004E5875" w:rsidP="004E5875">
      <w:pPr>
        <w:spacing w:after="0" w:line="240" w:lineRule="auto"/>
        <w:ind w:left="709" w:right="709"/>
        <w:jc w:val="both"/>
        <w:rPr>
          <w:rFonts w:ascii="Verdana" w:eastAsia="Verdana" w:hAnsi="Verdana" w:cs="Verdana"/>
          <w:color w:val="000000"/>
          <w:sz w:val="20"/>
          <w:szCs w:val="20"/>
          <w:lang w:val="es-CO"/>
        </w:rPr>
      </w:pPr>
      <w:r w:rsidRPr="004E5875">
        <w:rPr>
          <w:rFonts w:ascii="Verdana" w:eastAsia="Verdana" w:hAnsi="Verdana" w:cs="Verdana"/>
          <w:color w:val="000000"/>
          <w:sz w:val="20"/>
          <w:szCs w:val="20"/>
          <w:lang w:val="es-CO"/>
        </w:rPr>
        <w:t>Para este propósito, el empleador debe considerar como mínimo, los siguientes aspectos en materia de seguridad y salud el trabajo:</w:t>
      </w:r>
    </w:p>
    <w:p w14:paraId="4924FB1B" w14:textId="77777777" w:rsidR="004E5875" w:rsidRPr="004E5875" w:rsidRDefault="004E5875" w:rsidP="004E5875">
      <w:pPr>
        <w:spacing w:after="0" w:line="240" w:lineRule="auto"/>
        <w:ind w:left="709" w:right="709"/>
        <w:jc w:val="both"/>
        <w:rPr>
          <w:rFonts w:ascii="Verdana" w:eastAsia="Verdana" w:hAnsi="Verdana" w:cs="Verdana"/>
          <w:color w:val="000000"/>
          <w:sz w:val="20"/>
          <w:szCs w:val="20"/>
          <w:lang w:val="es-CO"/>
        </w:rPr>
      </w:pPr>
      <w:bookmarkStart w:id="14" w:name="2.2.4.6.28.1"/>
      <w:bookmarkEnd w:id="14"/>
      <w:r w:rsidRPr="004E5875">
        <w:rPr>
          <w:rFonts w:ascii="Verdana" w:eastAsia="Verdana" w:hAnsi="Verdana" w:cs="Verdana"/>
          <w:color w:val="000000"/>
          <w:sz w:val="20"/>
          <w:szCs w:val="20"/>
          <w:lang w:val="es-CO"/>
        </w:rPr>
        <w:t>1. Incluir los aspectos de seguridad y salud en el trabajo en la evaluación y selección de proveedores y contratistas;</w:t>
      </w:r>
    </w:p>
    <w:p w14:paraId="2AC20E21" w14:textId="77777777" w:rsidR="004E5875" w:rsidRPr="004E5875" w:rsidRDefault="004E5875" w:rsidP="004E5875">
      <w:pPr>
        <w:spacing w:after="0" w:line="240" w:lineRule="auto"/>
        <w:ind w:left="709" w:right="709"/>
        <w:jc w:val="both"/>
        <w:rPr>
          <w:rFonts w:ascii="Verdana" w:eastAsia="Verdana" w:hAnsi="Verdana" w:cs="Verdana"/>
          <w:color w:val="000000"/>
          <w:sz w:val="20"/>
          <w:szCs w:val="20"/>
          <w:lang w:val="es-CO"/>
        </w:rPr>
      </w:pPr>
      <w:bookmarkStart w:id="15" w:name="2.2.4.6.28.2"/>
      <w:bookmarkEnd w:id="15"/>
      <w:r w:rsidRPr="004E5875">
        <w:rPr>
          <w:rFonts w:ascii="Verdana" w:eastAsia="Verdana" w:hAnsi="Verdana" w:cs="Verdana"/>
          <w:color w:val="000000"/>
          <w:sz w:val="20"/>
          <w:szCs w:val="20"/>
          <w:lang w:val="es-CO"/>
        </w:rPr>
        <w:t>2. Procurar canales de comunicación para la gestión de seguridad y salud en el trabajo con los proveedores, trabajadores cooperados, trabajadores en misión, contratistas y sus trabajadores o subcontratistas;</w:t>
      </w:r>
    </w:p>
    <w:p w14:paraId="71A4E13A" w14:textId="77777777" w:rsidR="004E5875" w:rsidRPr="004E5875" w:rsidRDefault="004E5875" w:rsidP="004E5875">
      <w:pPr>
        <w:spacing w:after="0" w:line="240" w:lineRule="auto"/>
        <w:ind w:left="709" w:right="709"/>
        <w:jc w:val="both"/>
        <w:rPr>
          <w:rFonts w:ascii="Verdana" w:eastAsia="Verdana" w:hAnsi="Verdana" w:cs="Verdana"/>
          <w:color w:val="000000"/>
          <w:sz w:val="20"/>
          <w:szCs w:val="20"/>
          <w:lang w:val="es-CO"/>
        </w:rPr>
      </w:pPr>
      <w:bookmarkStart w:id="16" w:name="2.2.4.6.28.3"/>
      <w:bookmarkEnd w:id="16"/>
      <w:r w:rsidRPr="004E5875">
        <w:rPr>
          <w:rFonts w:ascii="Verdana" w:eastAsia="Verdana" w:hAnsi="Verdana" w:cs="Verdana"/>
          <w:color w:val="000000"/>
          <w:sz w:val="20"/>
          <w:szCs w:val="20"/>
          <w:lang w:val="es-CO"/>
        </w:rPr>
        <w:t>3. Verificar antes del inicio del trabajo y periódicamente, el cumplimiento de la obligación de afiliación al Sistema General de Riesgos Laborales, considerando la rotación del personal por parte de los proveedores contratistas y subcontratistas, de conformidad con la normatividad vigente;</w:t>
      </w:r>
    </w:p>
    <w:p w14:paraId="5D6154B8" w14:textId="77777777" w:rsidR="004E5875" w:rsidRPr="004E5875" w:rsidRDefault="004E5875" w:rsidP="004E5875">
      <w:pPr>
        <w:spacing w:after="0" w:line="240" w:lineRule="auto"/>
        <w:ind w:left="709" w:right="709"/>
        <w:jc w:val="both"/>
        <w:rPr>
          <w:rFonts w:ascii="Verdana" w:eastAsia="Verdana" w:hAnsi="Verdana" w:cs="Verdana"/>
          <w:color w:val="000000"/>
          <w:sz w:val="20"/>
          <w:szCs w:val="20"/>
          <w:lang w:val="es-CO"/>
        </w:rPr>
      </w:pPr>
      <w:bookmarkStart w:id="17" w:name="2.2.4.6.28.4"/>
      <w:bookmarkEnd w:id="17"/>
      <w:r w:rsidRPr="004E5875">
        <w:rPr>
          <w:rFonts w:ascii="Verdana" w:eastAsia="Verdana" w:hAnsi="Verdana" w:cs="Verdana"/>
          <w:color w:val="000000"/>
          <w:sz w:val="20"/>
          <w:szCs w:val="20"/>
          <w:lang w:val="es-CO"/>
        </w:rPr>
        <w:t xml:space="preserve">4. Informar a los proveedores y contratistas al igual que a los trabajadores de este último, previo al inicio del contrato, los peligros y riesgos generales y específicos de su zona de trabajo incluidas las actividades o tareas de alto riesgo, rutinarias y no rutinarias, así como la forma de controlarlos y las medidas de prevención y atención de emergencias. En este propósito, se debe revisar periódicamente durante cada año, la rotación de personal y asegurar </w:t>
      </w:r>
      <w:proofErr w:type="gramStart"/>
      <w:r w:rsidRPr="004E5875">
        <w:rPr>
          <w:rFonts w:ascii="Verdana" w:eastAsia="Verdana" w:hAnsi="Verdana" w:cs="Verdana"/>
          <w:color w:val="000000"/>
          <w:sz w:val="20"/>
          <w:szCs w:val="20"/>
          <w:lang w:val="es-CO"/>
        </w:rPr>
        <w:t>que</w:t>
      </w:r>
      <w:proofErr w:type="gramEnd"/>
      <w:r w:rsidRPr="004E5875">
        <w:rPr>
          <w:rFonts w:ascii="Verdana" w:eastAsia="Verdana" w:hAnsi="Verdana" w:cs="Verdana"/>
          <w:color w:val="000000"/>
          <w:sz w:val="20"/>
          <w:szCs w:val="20"/>
          <w:lang w:val="es-CO"/>
        </w:rPr>
        <w:t xml:space="preserve"> dentro del alcance de este numeral, el nuevo personal reciba la misma información;</w:t>
      </w:r>
    </w:p>
    <w:p w14:paraId="79FC1159" w14:textId="77777777" w:rsidR="004E5875" w:rsidRPr="004E5875" w:rsidRDefault="004E5875" w:rsidP="004E5875">
      <w:pPr>
        <w:spacing w:after="0" w:line="240" w:lineRule="auto"/>
        <w:ind w:left="709" w:right="709"/>
        <w:jc w:val="both"/>
        <w:rPr>
          <w:rFonts w:ascii="Verdana" w:eastAsia="Verdana" w:hAnsi="Verdana" w:cs="Verdana"/>
          <w:color w:val="000000"/>
          <w:sz w:val="20"/>
          <w:szCs w:val="20"/>
          <w:lang w:val="es-CO"/>
        </w:rPr>
      </w:pPr>
      <w:bookmarkStart w:id="18" w:name="2.2.4.6.28.5"/>
      <w:bookmarkEnd w:id="18"/>
      <w:r w:rsidRPr="004E5875">
        <w:rPr>
          <w:rFonts w:ascii="Verdana" w:eastAsia="Verdana" w:hAnsi="Verdana" w:cs="Verdana"/>
          <w:color w:val="000000"/>
          <w:sz w:val="20"/>
          <w:szCs w:val="20"/>
          <w:lang w:val="es-CO"/>
        </w:rPr>
        <w:t>5. Instruir a los proveedores, trabajadores cooperados, trabajadores en misión, contratistas y sus trabajadores o subcontratistas, sobre el deber de informarle, acerca de los presuntos accidentes de trabajo y enfermedades laborales ocurridos durante el periodo de vigencia del contrato para que el empleador o contratante ejerza las acciones de prevención y control que estén bajo su responsabilidad; y</w:t>
      </w:r>
    </w:p>
    <w:p w14:paraId="563282DC" w14:textId="77777777" w:rsidR="004E5875" w:rsidRPr="004E5875" w:rsidRDefault="004E5875" w:rsidP="004E5875">
      <w:pPr>
        <w:spacing w:after="0" w:line="240" w:lineRule="auto"/>
        <w:ind w:left="709" w:right="709"/>
        <w:jc w:val="both"/>
        <w:rPr>
          <w:rFonts w:ascii="Verdana" w:eastAsia="Verdana" w:hAnsi="Verdana" w:cs="Verdana"/>
          <w:color w:val="000000"/>
          <w:sz w:val="20"/>
          <w:szCs w:val="20"/>
          <w:lang w:val="es-CO"/>
        </w:rPr>
      </w:pPr>
      <w:bookmarkStart w:id="19" w:name="2.2.4.6.28.6"/>
      <w:bookmarkEnd w:id="19"/>
      <w:r w:rsidRPr="004E5875">
        <w:rPr>
          <w:rFonts w:ascii="Verdana" w:eastAsia="Verdana" w:hAnsi="Verdana" w:cs="Verdana"/>
          <w:color w:val="000000"/>
          <w:sz w:val="20"/>
          <w:szCs w:val="20"/>
          <w:lang w:val="es-CO"/>
        </w:rPr>
        <w:t>6. Verificar periódicamente y durante el desarrollo de las actividades objeto del contrato en la empresa, el cumplimiento de la normatividad en seguridad y salud el trabajo por parte de los trabajadores cooperados, trabajadores en misión, proveedores, contratistas y sus trabajadores o subcontratistas.</w:t>
      </w:r>
    </w:p>
    <w:p w14:paraId="6AD311C1" w14:textId="77777777" w:rsidR="004E5875" w:rsidRPr="004E5875" w:rsidRDefault="004E5875" w:rsidP="004E5875">
      <w:pPr>
        <w:spacing w:after="0" w:line="240" w:lineRule="auto"/>
        <w:ind w:left="709" w:right="709"/>
        <w:jc w:val="both"/>
        <w:rPr>
          <w:rFonts w:ascii="Verdana" w:eastAsia="Verdana" w:hAnsi="Verdana" w:cs="Verdana"/>
          <w:color w:val="000000"/>
          <w:sz w:val="20"/>
          <w:szCs w:val="20"/>
          <w:lang w:val="es-CO"/>
        </w:rPr>
      </w:pPr>
      <w:r w:rsidRPr="004E5875">
        <w:rPr>
          <w:rFonts w:ascii="Verdana" w:eastAsia="Verdana" w:hAnsi="Verdana" w:cs="Verdana"/>
          <w:color w:val="000000"/>
          <w:sz w:val="20"/>
          <w:szCs w:val="20"/>
          <w:lang w:val="es-CO"/>
        </w:rPr>
        <w:lastRenderedPageBreak/>
        <w:t>PARÁGRAFO</w:t>
      </w:r>
      <w:bookmarkStart w:id="20" w:name="2.2.4.6.28.p"/>
      <w:bookmarkEnd w:id="20"/>
      <w:r w:rsidRPr="004E5875">
        <w:rPr>
          <w:rFonts w:ascii="Verdana" w:eastAsia="Verdana" w:hAnsi="Verdana" w:cs="Verdana"/>
          <w:color w:val="000000"/>
          <w:sz w:val="20"/>
          <w:szCs w:val="20"/>
          <w:lang w:val="es-CO"/>
        </w:rPr>
        <w:t>.</w:t>
      </w:r>
      <w:r w:rsidRPr="004E5875">
        <w:rPr>
          <w:rFonts w:ascii="Verdana" w:eastAsia="Verdana" w:hAnsi="Verdana" w:cs="Verdana"/>
          <w:b/>
          <w:bCs/>
          <w:color w:val="000000"/>
          <w:sz w:val="20"/>
          <w:szCs w:val="20"/>
          <w:lang w:val="es-CO"/>
        </w:rPr>
        <w:t xml:space="preserve"> </w:t>
      </w:r>
      <w:r w:rsidRPr="004E5875">
        <w:rPr>
          <w:rFonts w:ascii="Verdana" w:eastAsia="Verdana" w:hAnsi="Verdana" w:cs="Verdana"/>
          <w:color w:val="000000"/>
          <w:sz w:val="20"/>
          <w:szCs w:val="20"/>
          <w:lang w:val="es-CO"/>
        </w:rPr>
        <w:t>Para los efectos del Sistema de Gestión de la Seguridad y Salud en el Trabajo SG-SST, los proveedores y contratistas deben cumplir frente a sus trabajadores o subcontratistas, con las responsabilidades del presente capítulo.</w:t>
      </w:r>
    </w:p>
    <w:p w14:paraId="3E5CFF2B" w14:textId="77777777" w:rsidR="004E5875" w:rsidRPr="004E5875" w:rsidRDefault="004E5875" w:rsidP="004E5875">
      <w:pPr>
        <w:spacing w:after="0" w:line="276" w:lineRule="auto"/>
        <w:ind w:firstLine="720"/>
        <w:jc w:val="both"/>
        <w:rPr>
          <w:rFonts w:ascii="Verdana" w:eastAsia="Verdana" w:hAnsi="Verdana" w:cs="Verdana"/>
          <w:color w:val="000000"/>
          <w:lang w:val="es-CO"/>
        </w:rPr>
      </w:pPr>
    </w:p>
    <w:p w14:paraId="10B5D763" w14:textId="77777777" w:rsidR="004E5875" w:rsidRPr="004E5875" w:rsidRDefault="004E5875" w:rsidP="004E5875">
      <w:pPr>
        <w:spacing w:after="120" w:line="276" w:lineRule="auto"/>
        <w:ind w:firstLine="709"/>
        <w:jc w:val="both"/>
        <w:rPr>
          <w:rFonts w:ascii="Verdana" w:eastAsia="Verdana" w:hAnsi="Verdana" w:cs="Verdana"/>
          <w:color w:val="000000"/>
          <w:lang w:val="es-CO"/>
        </w:rPr>
      </w:pPr>
      <w:r w:rsidRPr="004E5875">
        <w:rPr>
          <w:rFonts w:ascii="Verdana" w:eastAsia="Verdana" w:hAnsi="Verdana" w:cs="Verdana"/>
          <w:color w:val="000000"/>
          <w:lang w:val="es-CO"/>
        </w:rPr>
        <w:t>Dicho artículo desarrolla las obligaciones que tienen los empleadores y contratantes para garantizar que todas las personas que desarrollan actividades en sus instalaciones o en ejecución de contratos cumplan las normas de seguridad y salud en el trabajo. Para ello, exige incorporar criterios de SST en la selección de proveedores y contratistas, establecer canales de comunicación en esta materia, verificar la afiliación al Sistema General de Riesgos Laborales, informar sobre los peligros y riesgos presentes en los lugares de trabajo, promover el reporte de accidentes y enfermedades laborales, y realizar seguimientos periódicos al cumplimiento de las obligaciones preventivas por parte de contratistas, subcontratistas, trabajadores en misión, cooperados y proveedores. Estas exigencias reflejan una lógica de coordinación y gestión del riesgo laboral orientada a la protección de todas las personas que concurren en una actividad productiva, con independencia de la naturaleza jurídica del vínculo que las une con la entidad, como es el caso de los contratistas de prestación de servicios profesionales y de apoyo a la gestión.</w:t>
      </w:r>
    </w:p>
    <w:p w14:paraId="2B149E5F" w14:textId="77777777" w:rsidR="004E5875" w:rsidRPr="004E5875" w:rsidRDefault="004E5875" w:rsidP="004E5875">
      <w:pPr>
        <w:spacing w:after="0" w:line="276" w:lineRule="auto"/>
        <w:ind w:firstLine="709"/>
        <w:jc w:val="both"/>
        <w:rPr>
          <w:rFonts w:ascii="Verdana" w:eastAsia="Verdana" w:hAnsi="Verdana" w:cs="Verdana"/>
          <w:color w:val="000000"/>
          <w:lang w:val="es-CO"/>
        </w:rPr>
      </w:pPr>
      <w:r w:rsidRPr="004E5875">
        <w:rPr>
          <w:rFonts w:ascii="Verdana" w:eastAsia="Verdana" w:hAnsi="Verdana" w:cs="Verdana"/>
          <w:color w:val="000000"/>
          <w:lang w:val="es-CO"/>
        </w:rPr>
        <w:t>En efecto, esta disposición constituye una evidencia normativa de que las obligaciones derivadas del Sistema de Gestión de Seguridad y Salud en el Trabajo no son exclusivas de las relaciones laborales. Por el contrario, el propio artículo reconoce la existencia de contratistas y subcontratistas como sujetos destinatarios de las medidas de prevención y control, al tiempo que el parágrafo les impone responsabilidades directas frente a sus propios trabajadores. Así, los deberes de verificación, coordinación, información y seguimiento previstos en la norma no pueden interpretarse, por sí solos, como manifestaciones de subordinación o como indicios de un contrato realidad, sino como el cumplimiento de obligaciones legales de carácter preventivo que buscan garantizar entornos de trabajo seguros y saludables para todas las personas involucradas en la ejecución de una actividad contractual.</w:t>
      </w:r>
    </w:p>
    <w:p w14:paraId="510C7F33" w14:textId="77777777" w:rsidR="004E5875" w:rsidRPr="004E5875" w:rsidRDefault="004E5875" w:rsidP="004E5875">
      <w:pPr>
        <w:spacing w:after="0" w:line="276" w:lineRule="auto"/>
        <w:jc w:val="both"/>
        <w:rPr>
          <w:rFonts w:ascii="Verdana" w:eastAsia="Verdana" w:hAnsi="Verdana" w:cs="Verdana"/>
          <w:color w:val="000000"/>
          <w:lang w:val="es-CO"/>
        </w:rPr>
      </w:pPr>
    </w:p>
    <w:p w14:paraId="67789573" w14:textId="77777777" w:rsidR="004E5875" w:rsidRPr="004E5875" w:rsidRDefault="004E5875" w:rsidP="004E5875">
      <w:pPr>
        <w:spacing w:after="120" w:line="276" w:lineRule="auto"/>
        <w:jc w:val="both"/>
        <w:rPr>
          <w:rFonts w:ascii="Verdana" w:eastAsia="Verdana" w:hAnsi="Verdana" w:cs="Verdana"/>
          <w:color w:val="000000"/>
          <w:lang w:val="es-CO"/>
        </w:rPr>
      </w:pPr>
      <w:proofErr w:type="spellStart"/>
      <w:r w:rsidRPr="004E5875">
        <w:rPr>
          <w:rFonts w:ascii="Verdana" w:eastAsia="Verdana" w:hAnsi="Verdana" w:cs="Verdana"/>
          <w:color w:val="000000"/>
        </w:rPr>
        <w:t>iii</w:t>
      </w:r>
      <w:proofErr w:type="spellEnd"/>
      <w:r w:rsidRPr="004E5875">
        <w:rPr>
          <w:rFonts w:ascii="Verdana" w:eastAsia="Verdana" w:hAnsi="Verdana" w:cs="Verdana"/>
          <w:color w:val="000000"/>
        </w:rPr>
        <w:t xml:space="preserve">. </w:t>
      </w:r>
      <w:r w:rsidRPr="004E5875">
        <w:rPr>
          <w:rFonts w:ascii="Verdana" w:eastAsia="Verdana" w:hAnsi="Verdana" w:cs="Verdana"/>
          <w:color w:val="000000"/>
          <w:lang w:val="es-CO"/>
        </w:rPr>
        <w:t xml:space="preserve">Sin perjuicio de las consideraciones expuestas, se precisa que el análisis necesario para abordar problemáticas específicas asociadas a la gestión contractual de las entidades públicas, en relación con la aplicación de la normativa sobre riesgos psicosociales, deberá ser efectuado por quienes tengan </w:t>
      </w:r>
      <w:r w:rsidRPr="004E5875">
        <w:rPr>
          <w:rFonts w:ascii="Verdana" w:eastAsia="Verdana" w:hAnsi="Verdana" w:cs="Verdana"/>
          <w:color w:val="000000"/>
          <w:lang w:val="es-CO"/>
        </w:rPr>
        <w:lastRenderedPageBreak/>
        <w:t xml:space="preserve">interés directo en el asunto, atendiendo a las precisiones contenidas en la aclaración preliminar del presente oficio. </w:t>
      </w:r>
      <w:r w:rsidRPr="004E5875">
        <w:rPr>
          <w:rFonts w:ascii="Verdana" w:eastAsia="Verdana" w:hAnsi="Verdana" w:cs="Verdana"/>
          <w:color w:val="000000"/>
        </w:rPr>
        <w:t xml:space="preserve">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180A5963" w14:textId="77777777" w:rsidR="004E5875" w:rsidRPr="004E5875" w:rsidRDefault="004E5875" w:rsidP="004E5875">
      <w:pPr>
        <w:spacing w:after="0" w:line="276" w:lineRule="auto"/>
        <w:ind w:firstLine="720"/>
        <w:jc w:val="both"/>
        <w:rPr>
          <w:rFonts w:ascii="Verdana" w:eastAsia="Verdana" w:hAnsi="Verdana" w:cs="Verdana"/>
        </w:rPr>
      </w:pPr>
      <w:r w:rsidRPr="004E5875">
        <w:rPr>
          <w:rFonts w:ascii="Verdana" w:eastAsia="Verdana" w:hAnsi="Verdana" w:cs="Verdana"/>
          <w:color w:val="000000"/>
        </w:rPr>
        <w:t xml:space="preserve">Dentro de este marco, el consultante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6013E110" w14:textId="77777777" w:rsidR="004E5875" w:rsidRPr="004E5875" w:rsidRDefault="004E5875" w:rsidP="004E5875">
      <w:pPr>
        <w:spacing w:after="0" w:line="276" w:lineRule="auto"/>
        <w:jc w:val="both"/>
        <w:rPr>
          <w:rFonts w:ascii="Verdana" w:eastAsia="Verdana" w:hAnsi="Verdana" w:cs="Verdana"/>
          <w:color w:val="000000"/>
        </w:rPr>
      </w:pPr>
    </w:p>
    <w:p w14:paraId="75AE0231" w14:textId="77777777" w:rsidR="004E5875" w:rsidRPr="004E5875" w:rsidRDefault="004E5875" w:rsidP="004E5875">
      <w:pPr>
        <w:numPr>
          <w:ilvl w:val="0"/>
          <w:numId w:val="4"/>
        </w:numPr>
        <w:tabs>
          <w:tab w:val="left" w:pos="142"/>
          <w:tab w:val="left" w:pos="284"/>
        </w:tabs>
        <w:spacing w:after="0" w:line="276" w:lineRule="auto"/>
        <w:ind w:left="426"/>
        <w:jc w:val="both"/>
        <w:rPr>
          <w:rFonts w:ascii="Verdana" w:eastAsia="Verdana" w:hAnsi="Verdana" w:cs="Verdana"/>
          <w:b/>
          <w:bCs/>
        </w:rPr>
      </w:pPr>
      <w:r w:rsidRPr="004E5875">
        <w:rPr>
          <w:rFonts w:ascii="Verdana" w:eastAsia="Verdana" w:hAnsi="Verdana" w:cs="Verdana"/>
          <w:b/>
          <w:bCs/>
        </w:rPr>
        <w:t>Referencias normativas:</w:t>
      </w:r>
    </w:p>
    <w:p w14:paraId="2F971AC5" w14:textId="77777777" w:rsidR="004E5875" w:rsidRPr="004E5875" w:rsidRDefault="004E5875" w:rsidP="004E5875">
      <w:pPr>
        <w:tabs>
          <w:tab w:val="left" w:pos="142"/>
          <w:tab w:val="left" w:pos="284"/>
        </w:tabs>
        <w:spacing w:after="0" w:line="276" w:lineRule="auto"/>
        <w:ind w:left="1068"/>
        <w:jc w:val="both"/>
        <w:rPr>
          <w:rFonts w:ascii="Verdana" w:eastAsia="Verdana" w:hAnsi="Verdana" w:cs="Verdana"/>
          <w:b/>
          <w:bCs/>
        </w:rPr>
      </w:pPr>
    </w:p>
    <w:tbl>
      <w:tblPr>
        <w:tblW w:w="8640"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8640"/>
      </w:tblGrid>
      <w:tr w:rsidR="004E5875" w:rsidRPr="004E5875" w14:paraId="1EEC06E9" w14:textId="77777777" w:rsidTr="00C11DB0">
        <w:trPr>
          <w:trHeight w:val="870"/>
          <w:jc w:val="center"/>
        </w:trPr>
        <w:tc>
          <w:tcPr>
            <w:tcW w:w="8640" w:type="dxa"/>
            <w:tcBorders>
              <w:top w:val="dotted" w:sz="4" w:space="0" w:color="000000"/>
              <w:left w:val="dotted" w:sz="4" w:space="0" w:color="000000"/>
              <w:bottom w:val="dotted" w:sz="4" w:space="0" w:color="000000"/>
              <w:right w:val="dotted" w:sz="4" w:space="0" w:color="000000"/>
            </w:tcBorders>
          </w:tcPr>
          <w:p w14:paraId="52EAD2E7" w14:textId="77777777" w:rsidR="004E5875" w:rsidRPr="004E5875" w:rsidRDefault="004E5875" w:rsidP="004E5875">
            <w:pPr>
              <w:numPr>
                <w:ilvl w:val="0"/>
                <w:numId w:val="2"/>
              </w:numPr>
              <w:spacing w:before="120" w:after="120" w:line="276" w:lineRule="auto"/>
              <w:ind w:left="714" w:hanging="357"/>
              <w:jc w:val="both"/>
              <w:rPr>
                <w:rFonts w:ascii="Verdana" w:hAnsi="Verdana"/>
              </w:rPr>
            </w:pPr>
            <w:r w:rsidRPr="004E5875">
              <w:rPr>
                <w:rFonts w:ascii="Verdana" w:hAnsi="Verdana"/>
              </w:rPr>
              <w:t>Constitución Política de Colombia: artículo 122.</w:t>
            </w:r>
          </w:p>
          <w:p w14:paraId="15A9D1DF" w14:textId="77777777" w:rsidR="004E5875" w:rsidRPr="004E5875" w:rsidRDefault="004E5875" w:rsidP="004E5875">
            <w:pPr>
              <w:numPr>
                <w:ilvl w:val="0"/>
                <w:numId w:val="2"/>
              </w:numPr>
              <w:spacing w:before="120" w:after="120" w:line="276" w:lineRule="auto"/>
              <w:ind w:left="714" w:hanging="357"/>
              <w:jc w:val="both"/>
              <w:rPr>
                <w:rFonts w:ascii="Verdana" w:hAnsi="Verdana"/>
              </w:rPr>
            </w:pPr>
            <w:r w:rsidRPr="004E5875">
              <w:rPr>
                <w:rFonts w:ascii="Verdana" w:hAnsi="Verdana"/>
              </w:rPr>
              <w:t>Ley 80 de 1993: artículos 6, 8, 9, 13, 14 numeral 2, 26, 32 numeral 3 y 60.</w:t>
            </w:r>
          </w:p>
          <w:p w14:paraId="2EE50558" w14:textId="77777777" w:rsidR="004E5875" w:rsidRPr="004E5875" w:rsidRDefault="004E5875" w:rsidP="004E5875">
            <w:pPr>
              <w:numPr>
                <w:ilvl w:val="0"/>
                <w:numId w:val="2"/>
              </w:numPr>
              <w:spacing w:before="120" w:after="120" w:line="276" w:lineRule="auto"/>
              <w:ind w:left="714" w:hanging="357"/>
              <w:jc w:val="both"/>
              <w:rPr>
                <w:rFonts w:ascii="Verdana" w:hAnsi="Verdana"/>
              </w:rPr>
            </w:pPr>
            <w:r w:rsidRPr="004E5875">
              <w:rPr>
                <w:rFonts w:ascii="Verdana" w:hAnsi="Verdana"/>
              </w:rPr>
              <w:t>Ley 1150 de 2007: artículos 2 numeral 4 literal h) y 6.</w:t>
            </w:r>
          </w:p>
          <w:p w14:paraId="230AD6B0" w14:textId="77777777" w:rsidR="004E5875" w:rsidRPr="004E5875" w:rsidRDefault="004E5875" w:rsidP="004E5875">
            <w:pPr>
              <w:numPr>
                <w:ilvl w:val="0"/>
                <w:numId w:val="2"/>
              </w:numPr>
              <w:spacing w:before="120" w:after="120" w:line="276" w:lineRule="auto"/>
              <w:ind w:left="714" w:hanging="357"/>
              <w:jc w:val="both"/>
              <w:rPr>
                <w:rFonts w:ascii="Verdana" w:hAnsi="Verdana"/>
              </w:rPr>
            </w:pPr>
            <w:r w:rsidRPr="004E5875">
              <w:rPr>
                <w:rFonts w:ascii="Verdana" w:hAnsi="Verdana"/>
              </w:rPr>
              <w:t>Ley 1562 de 2012: artículo 1.</w:t>
            </w:r>
          </w:p>
          <w:p w14:paraId="71DAEFFB" w14:textId="77777777" w:rsidR="004E5875" w:rsidRPr="004E5875" w:rsidRDefault="004E5875" w:rsidP="004E5875">
            <w:pPr>
              <w:numPr>
                <w:ilvl w:val="0"/>
                <w:numId w:val="2"/>
              </w:numPr>
              <w:spacing w:before="120" w:after="120" w:line="276" w:lineRule="auto"/>
              <w:ind w:left="714" w:hanging="357"/>
              <w:jc w:val="both"/>
              <w:rPr>
                <w:rFonts w:ascii="Verdana" w:hAnsi="Verdana"/>
              </w:rPr>
            </w:pPr>
            <w:r w:rsidRPr="004E5875">
              <w:rPr>
                <w:rFonts w:ascii="Verdana" w:hAnsi="Verdana"/>
              </w:rPr>
              <w:t>Decreto Ley 019 de 2012: artículo 217.</w:t>
            </w:r>
          </w:p>
          <w:p w14:paraId="77356C69" w14:textId="77777777" w:rsidR="004E5875" w:rsidRPr="004E5875" w:rsidRDefault="004E5875" w:rsidP="004E5875">
            <w:pPr>
              <w:numPr>
                <w:ilvl w:val="0"/>
                <w:numId w:val="2"/>
              </w:numPr>
              <w:spacing w:before="120" w:after="120" w:line="276" w:lineRule="auto"/>
              <w:ind w:left="714" w:hanging="357"/>
              <w:jc w:val="both"/>
              <w:rPr>
                <w:rFonts w:ascii="Verdana" w:hAnsi="Verdana"/>
              </w:rPr>
            </w:pPr>
            <w:r w:rsidRPr="004E5875">
              <w:rPr>
                <w:rFonts w:ascii="Verdana" w:hAnsi="Verdana"/>
              </w:rPr>
              <w:t>Decreto 1443 de 2014.</w:t>
            </w:r>
          </w:p>
          <w:p w14:paraId="578CFEA4" w14:textId="77777777" w:rsidR="004E5875" w:rsidRPr="004E5875" w:rsidRDefault="004E5875" w:rsidP="004E5875">
            <w:pPr>
              <w:numPr>
                <w:ilvl w:val="0"/>
                <w:numId w:val="2"/>
              </w:numPr>
              <w:spacing w:before="120" w:after="120" w:line="276" w:lineRule="auto"/>
              <w:ind w:left="714" w:hanging="357"/>
              <w:jc w:val="both"/>
              <w:rPr>
                <w:rFonts w:ascii="Verdana" w:hAnsi="Verdana"/>
              </w:rPr>
            </w:pPr>
            <w:r w:rsidRPr="004E5875">
              <w:rPr>
                <w:rFonts w:ascii="Verdana" w:hAnsi="Verdana"/>
              </w:rPr>
              <w:t>Decreto 1072 de 2015: artículos 2.2.4.2.2.15, 2.2.4.6.1, 2.2.4.6.4 y 2.2.4.6.28.</w:t>
            </w:r>
          </w:p>
          <w:p w14:paraId="5711B537" w14:textId="77777777" w:rsidR="004E5875" w:rsidRPr="004E5875" w:rsidRDefault="004E5875" w:rsidP="004E5875">
            <w:pPr>
              <w:numPr>
                <w:ilvl w:val="0"/>
                <w:numId w:val="2"/>
              </w:numPr>
              <w:spacing w:before="120" w:after="120" w:line="276" w:lineRule="auto"/>
              <w:ind w:left="714" w:hanging="357"/>
              <w:jc w:val="both"/>
              <w:rPr>
                <w:rFonts w:ascii="Verdana" w:hAnsi="Verdana"/>
              </w:rPr>
            </w:pPr>
            <w:r w:rsidRPr="004E5875">
              <w:rPr>
                <w:rFonts w:ascii="Verdana" w:hAnsi="Verdana"/>
              </w:rPr>
              <w:t>Decreto 1082 de 2015: artículos 2.2.1.1.1.3.1, 2.2.1.2.4.2.6, 2.2.1.2.4.2.7 y 2.2.1.2.4.2.8.</w:t>
            </w:r>
          </w:p>
          <w:p w14:paraId="5D61DE70" w14:textId="77777777" w:rsidR="004E5875" w:rsidRPr="004E5875" w:rsidRDefault="004E5875" w:rsidP="004E5875">
            <w:pPr>
              <w:numPr>
                <w:ilvl w:val="0"/>
                <w:numId w:val="2"/>
              </w:numPr>
              <w:spacing w:before="120" w:after="120" w:line="276" w:lineRule="auto"/>
              <w:ind w:left="714" w:hanging="357"/>
              <w:jc w:val="both"/>
              <w:rPr>
                <w:rFonts w:ascii="Verdana" w:hAnsi="Verdana"/>
              </w:rPr>
            </w:pPr>
            <w:r w:rsidRPr="004E5875">
              <w:rPr>
                <w:rFonts w:ascii="Verdana" w:hAnsi="Verdana"/>
              </w:rPr>
              <w:t>Decreto 287 de 2026.</w:t>
            </w:r>
          </w:p>
          <w:p w14:paraId="0E9F5844" w14:textId="77777777" w:rsidR="004E5875" w:rsidRPr="004E5875" w:rsidRDefault="004E5875" w:rsidP="004E5875">
            <w:pPr>
              <w:numPr>
                <w:ilvl w:val="0"/>
                <w:numId w:val="2"/>
              </w:numPr>
              <w:spacing w:before="120" w:after="120" w:line="276" w:lineRule="auto"/>
              <w:ind w:left="714" w:hanging="357"/>
              <w:jc w:val="both"/>
              <w:rPr>
                <w:rFonts w:ascii="Verdana" w:hAnsi="Verdana"/>
              </w:rPr>
            </w:pPr>
            <w:r w:rsidRPr="004E5875">
              <w:rPr>
                <w:rFonts w:ascii="Verdana" w:hAnsi="Verdana"/>
              </w:rPr>
              <w:lastRenderedPageBreak/>
              <w:t>Resolución 2646 de 2008: artículos 1 y 2.</w:t>
            </w:r>
          </w:p>
          <w:p w14:paraId="1209D98F" w14:textId="77777777" w:rsidR="004E5875" w:rsidRPr="004E5875" w:rsidRDefault="004E5875" w:rsidP="004E5875">
            <w:pPr>
              <w:numPr>
                <w:ilvl w:val="0"/>
                <w:numId w:val="2"/>
              </w:numPr>
              <w:spacing w:before="120" w:after="120" w:line="276" w:lineRule="auto"/>
              <w:ind w:left="714" w:hanging="357"/>
              <w:jc w:val="both"/>
            </w:pPr>
            <w:r w:rsidRPr="004E5875">
              <w:rPr>
                <w:rFonts w:ascii="Verdana" w:hAnsi="Verdana"/>
              </w:rPr>
              <w:t>Resolución 2764 de 2022: artículos 2 y 3.</w:t>
            </w:r>
          </w:p>
        </w:tc>
      </w:tr>
    </w:tbl>
    <w:p w14:paraId="5FD1E8D1" w14:textId="77777777" w:rsidR="004E5875" w:rsidRPr="004E5875" w:rsidRDefault="004E5875" w:rsidP="004E5875">
      <w:pPr>
        <w:spacing w:after="0" w:line="240" w:lineRule="auto"/>
        <w:jc w:val="both"/>
        <w:rPr>
          <w:rFonts w:ascii="Verdana" w:eastAsia="Verdana" w:hAnsi="Verdana" w:cs="Verdana"/>
          <w:color w:val="000000"/>
        </w:rPr>
      </w:pPr>
    </w:p>
    <w:p w14:paraId="12DD8168" w14:textId="77777777" w:rsidR="004E5875" w:rsidRPr="004E5875" w:rsidRDefault="004E5875" w:rsidP="004E5875">
      <w:pPr>
        <w:numPr>
          <w:ilvl w:val="0"/>
          <w:numId w:val="4"/>
        </w:numPr>
        <w:tabs>
          <w:tab w:val="left" w:pos="142"/>
          <w:tab w:val="left" w:pos="284"/>
        </w:tabs>
        <w:spacing w:after="0" w:line="240" w:lineRule="auto"/>
        <w:jc w:val="both"/>
        <w:rPr>
          <w:rFonts w:ascii="Verdana" w:eastAsia="Verdana" w:hAnsi="Verdana" w:cs="Verdana"/>
          <w:b/>
          <w:bCs/>
        </w:rPr>
      </w:pPr>
      <w:r w:rsidRPr="004E5875">
        <w:rPr>
          <w:rFonts w:ascii="Verdana" w:eastAsia="Verdana" w:hAnsi="Verdana" w:cs="Verdana"/>
          <w:b/>
          <w:bCs/>
        </w:rPr>
        <w:t>Doctrina de la Agencia Nacional de Contratación Pública:</w:t>
      </w:r>
    </w:p>
    <w:p w14:paraId="56BA2056" w14:textId="77777777" w:rsidR="004E5875" w:rsidRPr="004E5875" w:rsidRDefault="004E5875" w:rsidP="004E5875">
      <w:pPr>
        <w:widowControl w:val="0"/>
        <w:spacing w:after="0" w:line="240" w:lineRule="auto"/>
        <w:jc w:val="both"/>
        <w:rPr>
          <w:rFonts w:ascii="Verdana" w:eastAsia="Verdana" w:hAnsi="Verdana" w:cs="Verdana"/>
        </w:rPr>
      </w:pPr>
    </w:p>
    <w:p w14:paraId="3D776DDE" w14:textId="77777777" w:rsidR="004E5875" w:rsidRPr="004E5875" w:rsidRDefault="004E5875" w:rsidP="004E5875">
      <w:pPr>
        <w:spacing w:after="0" w:line="276" w:lineRule="auto"/>
        <w:jc w:val="both"/>
        <w:rPr>
          <w:rFonts w:ascii="Verdana" w:eastAsia="Arial MT" w:hAnsi="Verdana" w:cs="Arial MT"/>
          <w:spacing w:val="-1"/>
          <w:lang w:val="es-CO" w:eastAsia="en-US"/>
        </w:rPr>
      </w:pPr>
      <w:r w:rsidRPr="004E5875">
        <w:rPr>
          <w:rFonts w:ascii="Verdana" w:hAnsi="Verdana" w:cs="Arial"/>
          <w:shd w:val="clear" w:color="auto" w:fill="FFFFFF"/>
          <w:lang w:val="es-ES" w:eastAsia="en-US"/>
        </w:rPr>
        <w:t>La Agencia Nacional de Contratación Pública – Colombia Compra 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2019de noviembre de 2019, 4201912000006692 del 12 de noviembre  de 20194201912000007378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C−282del 12 de mayo de 2020, C−238 del 18 de mayo de 2020, C−260 del 18 de mayo de 2020, C−288 del 21 de mayo de 2020, C−293 del 12 de mayo de 2020, C−313 del 21 de mayo de 2020, C−345 del 21 de mayo de 2020, C−359 del 04de junio de 2020, C−379 del 30 de junio de 2020, C−414 del 30 de junio de 2020,C-661 del 17 de noviembre de 2020 C−685 del 18 de diciembre de 2020, C- 004 del 12 de febrero de 2021, C−106 del 7 de abril de 2021, C-181 del 07 de abril de 2022, C-214 del 22 de abril de 2022 y C-491 de 01 de agosto de 2022, , C-966 del 1 de febrero de 2023, C-135 del 25 de mayo de 2023, C-414 del 11 de septiembre de 2024, C-079 del 4 de marzo de 2025, C-441 del 16 de mayo de 2025, C-1838 del 16 de diciembre de 2025, C-491 del 25 de marzo de 2026 y C-550 del 15 de mayo de 2025, C-786 del 25 de junio de 2026, C-1530 del 14 de octubre de 2026, C-1462 del 15 de octubre de 2026, entre otros</w:t>
      </w:r>
      <w:r w:rsidRPr="004E5875">
        <w:rPr>
          <w:rFonts w:ascii="Verdana" w:eastAsia="Arial MT" w:hAnsi="Verdana" w:cs="Arial MT"/>
          <w:spacing w:val="-1"/>
          <w:lang w:val="es-ES" w:eastAsia="en-US"/>
        </w:rPr>
        <w:t xml:space="preserve">. </w:t>
      </w:r>
      <w:r w:rsidRPr="004E5875">
        <w:rPr>
          <w:rFonts w:ascii="Verdana" w:eastAsia="Arial MT" w:hAnsi="Verdana" w:cs="Arial MT"/>
          <w:spacing w:val="-1"/>
          <w:lang w:val="es-CO" w:eastAsia="en-US"/>
        </w:rPr>
        <w:t xml:space="preserve">Todo ello, sin perjuicio de las consideraciones y análisis que deban efectuarse en torno a los riesgos psicosociales. </w:t>
      </w:r>
      <w:r w:rsidRPr="004E5875">
        <w:rPr>
          <w:rFonts w:ascii="Verdana" w:eastAsia="Verdana" w:hAnsi="Verdana" w:cs="Verdana"/>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29BEA355" w14:textId="77777777" w:rsidR="004E5875" w:rsidRPr="004E5875" w:rsidRDefault="004E5875" w:rsidP="004E5875">
      <w:pPr>
        <w:spacing w:after="0" w:line="276" w:lineRule="auto"/>
        <w:jc w:val="both"/>
        <w:rPr>
          <w:rFonts w:ascii="Verdana" w:eastAsia="Verdana" w:hAnsi="Verdana" w:cs="Verdana"/>
        </w:rPr>
      </w:pPr>
      <w:hyperlink r:id="rId14">
        <w:r w:rsidRPr="004E5875">
          <w:rPr>
            <w:rFonts w:ascii="Verdana" w:eastAsia="Verdana" w:hAnsi="Verdana" w:cs="Verdana"/>
            <w:color w:val="0000FF"/>
            <w:u w:val="single"/>
          </w:rPr>
          <w:t>https://www.colombiacompra.gov.co/normativa-y-relatoria/conoce-la-relatoria</w:t>
        </w:r>
      </w:hyperlink>
      <w:r w:rsidRPr="004E5875">
        <w:rPr>
          <w:rFonts w:ascii="Verdana" w:eastAsia="Verdana" w:hAnsi="Verdana" w:cs="Verdana"/>
        </w:rPr>
        <w:t xml:space="preserve"> </w:t>
      </w:r>
    </w:p>
    <w:p w14:paraId="118CCAE0" w14:textId="77777777" w:rsidR="004E5875" w:rsidRPr="004E5875" w:rsidRDefault="004E5875" w:rsidP="004E5875">
      <w:pPr>
        <w:spacing w:after="0"/>
        <w:jc w:val="both"/>
        <w:rPr>
          <w:rFonts w:ascii="Verdana" w:hAnsi="Verdana" w:cs="Times New Roman"/>
          <w:lang w:val="es-CO" w:eastAsia="en-US"/>
        </w:rPr>
      </w:pPr>
    </w:p>
    <w:p w14:paraId="614FA26E" w14:textId="77777777" w:rsidR="004E5875" w:rsidRPr="004E5875" w:rsidRDefault="004E5875" w:rsidP="004E5875">
      <w:pPr>
        <w:spacing w:after="0" w:line="276" w:lineRule="auto"/>
        <w:jc w:val="both"/>
        <w:rPr>
          <w:rFonts w:ascii="Verdana" w:hAnsi="Verdana" w:cs="Arial"/>
          <w:color w:val="000000"/>
          <w:lang w:val="es-CO" w:eastAsia="es-ES_tradnl"/>
        </w:rPr>
      </w:pPr>
      <w:r w:rsidRPr="004E5875">
        <w:rPr>
          <w:rFonts w:ascii="Verdana" w:hAnsi="Verdana" w:cs="Arial"/>
          <w:color w:val="000000"/>
          <w:lang w:val="es-CO" w:eastAsia="es-ES_tradn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4E5875">
        <w:rPr>
          <w:rFonts w:ascii="Verdana" w:hAnsi="Verdana" w:cs="Arial"/>
          <w:b/>
          <w:bCs/>
          <w:color w:val="000000"/>
          <w:lang w:val="es-CO" w:eastAsia="es-ES_tradnl"/>
        </w:rPr>
        <w:t>Guía para la Exigencia y Constitución de Garantías en los Procesos de Contratación</w:t>
      </w:r>
      <w:r w:rsidRPr="004E5875">
        <w:rPr>
          <w:rFonts w:ascii="Verdana" w:hAnsi="Verdana" w:cs="Arial"/>
          <w:color w:val="000000"/>
          <w:lang w:val="es-CO" w:eastAsia="es-ES_tradn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5" w:tgtFrame="_blank" w:tooltip="https://www.colombiacompra.gov.co/archivos/manual/guia-de-garantias-en-procesos-de-contratacion" w:history="1">
        <w:r w:rsidRPr="004E5875">
          <w:rPr>
            <w:rFonts w:ascii="Verdana" w:hAnsi="Verdana" w:cs="Arial"/>
            <w:color w:val="0000FF"/>
            <w:u w:val="single"/>
            <w:lang w:val="es-CO" w:eastAsia="es-ES_tradnl"/>
          </w:rPr>
          <w:t>https://www.colombiacompra.gov.co/archivos/manual/guia-de-garantias-en-procesos-de-contratacion</w:t>
        </w:r>
      </w:hyperlink>
    </w:p>
    <w:p w14:paraId="4717327F" w14:textId="77777777" w:rsidR="004E5875" w:rsidRPr="004E5875" w:rsidRDefault="004E5875" w:rsidP="004E5875">
      <w:pPr>
        <w:spacing w:after="0" w:line="276" w:lineRule="auto"/>
        <w:jc w:val="both"/>
        <w:rPr>
          <w:rFonts w:ascii="Verdana" w:hAnsi="Verdana" w:cs="Arial"/>
          <w:color w:val="000000"/>
          <w:lang w:val="es-CO" w:eastAsia="es-ES_tradnl"/>
        </w:rPr>
      </w:pPr>
    </w:p>
    <w:p w14:paraId="5FF9187D" w14:textId="77777777" w:rsidR="004E5875" w:rsidRPr="004E5875" w:rsidRDefault="004E5875" w:rsidP="004E5875">
      <w:pPr>
        <w:spacing w:after="0" w:line="276" w:lineRule="auto"/>
        <w:jc w:val="both"/>
        <w:rPr>
          <w:rFonts w:ascii="Verdana" w:hAnsi="Verdana" w:cs="Arial"/>
          <w:color w:val="000000"/>
          <w:lang w:val="es-CO" w:eastAsia="es-ES_tradnl"/>
        </w:rPr>
      </w:pPr>
      <w:r w:rsidRPr="004E5875">
        <w:rPr>
          <w:rFonts w:ascii="Verdana" w:hAnsi="Verdana" w:cs="Arial"/>
          <w:color w:val="000000"/>
          <w:lang w:val="es-CO" w:eastAsia="es-ES_tradnl"/>
        </w:rPr>
        <w:t>De otro lado, te contamos que el Decreto 287 del 19 de marzo de 2026 sustituyó los artículos 2.2.1.2.4.2.6., 2.2.1.2.4.2.7. y 2.2.1.2.4.2.8. del Decreto 1082 de 2015 y estructuró el </w:t>
      </w:r>
      <w:r w:rsidRPr="004E5875">
        <w:rPr>
          <w:rFonts w:ascii="Verdana" w:hAnsi="Verdana" w:cs="Arial"/>
          <w:b/>
          <w:bCs/>
          <w:color w:val="000000"/>
          <w:lang w:val="es-CO" w:eastAsia="es-ES_tradnl"/>
        </w:rPr>
        <w:t>Sistema Integral de Preferencias en favor de las personas con discapacidad</w:t>
      </w:r>
      <w:r w:rsidRPr="004E5875">
        <w:rPr>
          <w:rFonts w:ascii="Verdana" w:hAnsi="Verdana" w:cs="Arial"/>
          <w:color w:val="000000"/>
          <w:lang w:val="es-CO" w:eastAsia="es-ES_tradnl"/>
        </w:rPr>
        <w:t>, en cumplimiento del artículo 13 de la Ley Estatutaria 1618 de 2013. Para orientar su aplicación, esta Agencia expidió la </w:t>
      </w:r>
      <w:r w:rsidRPr="004E5875">
        <w:rPr>
          <w:rFonts w:ascii="Verdana" w:hAnsi="Verdana" w:cs="Arial"/>
          <w:b/>
          <w:bCs/>
          <w:color w:val="000000"/>
          <w:lang w:val="es-CO" w:eastAsia="es-ES_tradnl"/>
        </w:rPr>
        <w:t>Circular Externa 003 del 12 de mayo de 2026, </w:t>
      </w:r>
      <w:r w:rsidRPr="004E5875">
        <w:rPr>
          <w:rFonts w:ascii="Verdana" w:hAnsi="Verdana" w:cs="Arial"/>
          <w:color w:val="000000"/>
          <w:lang w:val="es-CO" w:eastAsia="es-ES_tradnl"/>
        </w:rPr>
        <w:t>en la que precisa quiénes son los beneficiarios, las cinco medidas que integran el sistema y su obligatoriedad según la modalidad de selección, y el régimen de transición aplicable a los procesos en curso. Consúltala aquí: </w:t>
      </w:r>
      <w:hyperlink r:id="rId16" w:tgtFrame="_blank" w:tooltip="https://www.colombiacompra.gov.co/archivos/circular/circular-externa-003-de-2026" w:history="1">
        <w:r w:rsidRPr="004E5875">
          <w:rPr>
            <w:rFonts w:ascii="Verdana" w:hAnsi="Verdana" w:cs="Arial"/>
            <w:color w:val="0000FF"/>
            <w:u w:val="single"/>
            <w:lang w:val="es-CO" w:eastAsia="es-ES_tradnl"/>
          </w:rPr>
          <w:t>https://www.colombiacompra.gov.co/archivos/circular/circular-externa-003-de-2026</w:t>
        </w:r>
      </w:hyperlink>
    </w:p>
    <w:p w14:paraId="722D51E4" w14:textId="77777777" w:rsidR="004E5875" w:rsidRPr="004E5875" w:rsidRDefault="004E5875" w:rsidP="004E5875">
      <w:pPr>
        <w:spacing w:after="0" w:line="276" w:lineRule="auto"/>
        <w:jc w:val="both"/>
        <w:rPr>
          <w:rFonts w:ascii="Verdana" w:hAnsi="Verdana" w:cs="Arial"/>
          <w:color w:val="000000"/>
          <w:lang w:val="es-CO" w:eastAsia="es-ES_tradnl"/>
        </w:rPr>
      </w:pPr>
    </w:p>
    <w:p w14:paraId="4FAB99E7" w14:textId="77777777" w:rsidR="004E5875" w:rsidRPr="004E5875" w:rsidRDefault="004E5875" w:rsidP="004E5875">
      <w:pPr>
        <w:spacing w:after="0" w:line="276" w:lineRule="auto"/>
        <w:jc w:val="both"/>
        <w:rPr>
          <w:rFonts w:cs="Times New Roman"/>
          <w:lang w:val="es-CO" w:eastAsia="en-US"/>
        </w:rPr>
      </w:pPr>
      <w:r w:rsidRPr="004E5875">
        <w:rPr>
          <w:rFonts w:ascii="Verdana" w:hAnsi="Verdana" w:cs="Arial"/>
          <w:color w:val="000000"/>
          <w:lang w:val="es-CO" w:eastAsia="es-ES_tradnl"/>
        </w:rPr>
        <w:t>Recuerda también que la</w:t>
      </w:r>
      <w:r w:rsidRPr="004E5875">
        <w:rPr>
          <w:rFonts w:ascii="Verdana" w:hAnsi="Verdana" w:cs="Arial"/>
          <w:b/>
          <w:bCs/>
          <w:color w:val="000000"/>
          <w:lang w:val="es-CO" w:eastAsia="es-ES_tradnl"/>
        </w:rPr>
        <w:t> información sobre sanciones e inhabilidades </w:t>
      </w:r>
      <w:r w:rsidRPr="004E5875">
        <w:rPr>
          <w:rFonts w:ascii="Verdana" w:hAnsi="Verdana" w:cs="Arial"/>
          <w:color w:val="000000"/>
          <w:lang w:val="es-CO" w:eastAsia="es-ES_tradnl"/>
        </w:rPr>
        <w:t>solo cumple su función preventiva si llega oportunamente a los registros públicos. Sobre este deber, esta Agencia expidió la </w:t>
      </w:r>
      <w:r w:rsidRPr="004E5875">
        <w:rPr>
          <w:rFonts w:ascii="Verdana" w:hAnsi="Verdana" w:cs="Arial"/>
          <w:b/>
          <w:bCs/>
          <w:color w:val="000000"/>
          <w:lang w:val="es-CO" w:eastAsia="es-ES_tradnl"/>
        </w:rPr>
        <w:t>Circular Externa 002 del 5 de mayo de 2026,</w:t>
      </w:r>
      <w:r w:rsidRPr="004E5875">
        <w:rPr>
          <w:rFonts w:ascii="Verdana" w:hAnsi="Verdana" w:cs="Arial"/>
          <w:color w:val="000000"/>
          <w:lang w:val="es-CO" w:eastAsia="es-ES_tradnl"/>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w:t>
      </w:r>
      <w:r w:rsidRPr="004E5875">
        <w:rPr>
          <w:rFonts w:ascii="Verdana" w:hAnsi="Verdana" w:cs="Arial"/>
          <w:color w:val="000000"/>
          <w:lang w:val="es-CO" w:eastAsia="es-ES_tradnl"/>
        </w:rPr>
        <w:lastRenderedPageBreak/>
        <w:t>aquí: </w:t>
      </w:r>
      <w:hyperlink r:id="rId17" w:tgtFrame="_blank" w:tooltip="https://www.colombiacompra.gov.co/archivos/circular/circular-externa-002-de-2026" w:history="1">
        <w:r w:rsidRPr="004E5875">
          <w:rPr>
            <w:rFonts w:ascii="Verdana" w:hAnsi="Verdana" w:cs="Arial"/>
            <w:color w:val="0000FF"/>
            <w:u w:val="single"/>
            <w:lang w:val="es-CO" w:eastAsia="es-ES_tradnl"/>
          </w:rPr>
          <w:t>https://www.colombiacompra.gov.co/archivos/circular/circular-externa-002-de-2026</w:t>
        </w:r>
      </w:hyperlink>
    </w:p>
    <w:p w14:paraId="053C1959" w14:textId="77777777" w:rsidR="004E5875" w:rsidRPr="004E5875" w:rsidRDefault="004E5875" w:rsidP="004E5875">
      <w:pPr>
        <w:spacing w:after="0" w:line="276" w:lineRule="auto"/>
        <w:jc w:val="both"/>
        <w:rPr>
          <w:rFonts w:ascii="Verdana" w:hAnsi="Verdana" w:cs="Arial"/>
          <w:color w:val="000000"/>
          <w:lang w:val="es-CO" w:eastAsia="es-ES_tradnl"/>
        </w:rPr>
      </w:pPr>
    </w:p>
    <w:p w14:paraId="6DA52A6B" w14:textId="77777777" w:rsidR="004E5875" w:rsidRPr="004E5875" w:rsidRDefault="004E5875" w:rsidP="004E5875">
      <w:pPr>
        <w:spacing w:after="0" w:line="276" w:lineRule="auto"/>
        <w:jc w:val="both"/>
        <w:rPr>
          <w:rFonts w:ascii="Verdana" w:hAnsi="Verdana" w:cs="Arial"/>
          <w:color w:val="000000"/>
          <w:lang w:val="es-CO" w:eastAsia="es-ES_tradnl"/>
        </w:rPr>
      </w:pPr>
      <w:r w:rsidRPr="004E5875">
        <w:rPr>
          <w:rFonts w:ascii="Verdana" w:hAnsi="Verdana" w:cs="Arial"/>
          <w:color w:val="000000"/>
          <w:lang w:val="es-CO" w:eastAsia="es-ES_tradnl"/>
        </w:rPr>
        <w:t>Finalmente, si quieres seguir de cerca la actividad de la Agencia, la tercera edición de 2026 del</w:t>
      </w:r>
      <w:r w:rsidRPr="004E5875">
        <w:rPr>
          <w:rFonts w:ascii="Verdana" w:hAnsi="Verdana" w:cs="Arial"/>
          <w:b/>
          <w:bCs/>
          <w:color w:val="000000"/>
          <w:lang w:val="es-CO" w:eastAsia="es-ES_tradnl"/>
        </w:rPr>
        <w:t> Radar de la Compra Pública</w:t>
      </w:r>
      <w:r w:rsidRPr="004E5875">
        <w:rPr>
          <w:rFonts w:ascii="Verdana" w:hAnsi="Verdana" w:cs="Arial"/>
          <w:color w:val="000000"/>
          <w:lang w:val="es-CO" w:eastAsia="es-ES_tradn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8" w:tgtFrame="_blank" w:tooltip="https://www.colombiacompra.gov.co/archivos/boletin/boletin-edicion-n-3-de-2026-radar-de-la-compra-publica" w:history="1">
        <w:r w:rsidRPr="004E5875">
          <w:rPr>
            <w:rFonts w:ascii="Verdana" w:hAnsi="Verdana" w:cs="Arial"/>
            <w:color w:val="0000FF"/>
            <w:u w:val="single"/>
            <w:lang w:val="es-CO" w:eastAsia="es-ES_tradnl"/>
          </w:rPr>
          <w:t>https://www.colombiacompra.gov.co/archivos/boletin/boletin-edicion-n-3-de-2026-radar-de-la-compra-publica</w:t>
        </w:r>
      </w:hyperlink>
    </w:p>
    <w:p w14:paraId="745948D3" w14:textId="77777777" w:rsidR="004E5875" w:rsidRPr="004E5875" w:rsidRDefault="004E5875" w:rsidP="004E5875">
      <w:pPr>
        <w:spacing w:after="0"/>
        <w:jc w:val="both"/>
        <w:rPr>
          <w:rFonts w:ascii="Verdana" w:hAnsi="Verdana" w:cs="Times New Roman"/>
          <w:lang w:val="es-CO" w:eastAsia="en-US"/>
        </w:rPr>
      </w:pPr>
    </w:p>
    <w:p w14:paraId="204BAD88" w14:textId="77777777" w:rsidR="004E5875" w:rsidRPr="004E5875" w:rsidRDefault="004E5875" w:rsidP="004E5875">
      <w:pPr>
        <w:spacing w:after="0"/>
        <w:jc w:val="both"/>
        <w:rPr>
          <w:rFonts w:ascii="Verdana" w:hAnsi="Verdana" w:cs="Times New Roman"/>
          <w:lang w:val="es-CO" w:eastAsia="en-US"/>
        </w:rPr>
      </w:pPr>
      <w:r w:rsidRPr="004E5875">
        <w:rPr>
          <w:rFonts w:ascii="Verdana" w:hAnsi="Verdana" w:cs="Times New Roman"/>
          <w:lang w:val="es-CO" w:eastAsia="en-US"/>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24CFD05" w14:textId="77777777" w:rsidR="004E5875" w:rsidRPr="004E5875" w:rsidRDefault="004E5875" w:rsidP="004E5875">
      <w:pPr>
        <w:spacing w:after="0"/>
        <w:jc w:val="both"/>
        <w:rPr>
          <w:rFonts w:ascii="Verdana" w:hAnsi="Verdana" w:cs="Times New Roman"/>
          <w:lang w:val="es-CO" w:eastAsia="en-US"/>
        </w:rPr>
      </w:pPr>
    </w:p>
    <w:p w14:paraId="2E936EA7" w14:textId="77777777" w:rsidR="004E5875" w:rsidRPr="004E5875" w:rsidRDefault="004E5875" w:rsidP="004E5875">
      <w:pPr>
        <w:numPr>
          <w:ilvl w:val="0"/>
          <w:numId w:val="16"/>
        </w:numPr>
        <w:spacing w:after="0" w:line="240" w:lineRule="auto"/>
        <w:contextualSpacing/>
        <w:jc w:val="both"/>
        <w:rPr>
          <w:rFonts w:ascii="Verdana" w:eastAsia="Verdana" w:hAnsi="Verdana" w:cs="Verdana"/>
          <w:color w:val="4472C4"/>
          <w:u w:val="single"/>
          <w:lang w:val="es-MX" w:eastAsia="en-US"/>
        </w:rPr>
      </w:pPr>
      <w:r w:rsidRPr="004E5875">
        <w:rPr>
          <w:rFonts w:ascii="Verdana" w:eastAsia="Verdana" w:hAnsi="Verdana" w:cs="Verdana"/>
          <w:lang w:val="es-MX" w:eastAsia="en-US"/>
        </w:rPr>
        <w:t xml:space="preserve">Línea nacional gratuita o servicio a la ciudadanía (Mesa de servicio): </w:t>
      </w:r>
      <w:r w:rsidRPr="004E5875">
        <w:rPr>
          <w:rFonts w:ascii="Verdana" w:hAnsi="Verdana" w:cs="Times New Roman"/>
          <w:color w:val="0000FF"/>
          <w:u w:val="single"/>
          <w:lang w:val="es-ES" w:eastAsia="en-US"/>
        </w:rPr>
        <w:t>01800 0520808</w:t>
      </w:r>
    </w:p>
    <w:p w14:paraId="6908BB3B" w14:textId="77777777" w:rsidR="004E5875" w:rsidRPr="004E5875" w:rsidRDefault="004E5875" w:rsidP="004E5875">
      <w:pPr>
        <w:numPr>
          <w:ilvl w:val="0"/>
          <w:numId w:val="16"/>
        </w:numPr>
        <w:spacing w:after="0"/>
        <w:contextualSpacing/>
        <w:rPr>
          <w:rFonts w:ascii="Verdana" w:eastAsia="Verdana" w:hAnsi="Verdana" w:cs="Verdana"/>
          <w:color w:val="4472C4"/>
          <w:u w:val="single"/>
          <w:lang w:val="es-MX" w:eastAsia="en-US"/>
        </w:rPr>
      </w:pPr>
      <w:r w:rsidRPr="004E5875">
        <w:rPr>
          <w:rFonts w:ascii="Verdana" w:eastAsia="Verdana" w:hAnsi="Verdana" w:cs="Verdana"/>
          <w:lang w:val="es-MX" w:eastAsia="en-US"/>
        </w:rPr>
        <w:t>Línea en Bogotá (Mesa de servicio</w:t>
      </w:r>
      <w:proofErr w:type="gramStart"/>
      <w:r w:rsidRPr="004E5875">
        <w:rPr>
          <w:rFonts w:ascii="Verdana" w:eastAsia="Verdana" w:hAnsi="Verdana" w:cs="Verdana"/>
          <w:lang w:val="es-MX" w:eastAsia="en-US"/>
        </w:rPr>
        <w:t>):</w:t>
      </w:r>
      <w:r w:rsidRPr="004E5875">
        <w:rPr>
          <w:rFonts w:ascii="Verdana" w:hAnsi="Verdana" w:cs="Times New Roman"/>
          <w:color w:val="0000FF"/>
          <w:u w:val="single"/>
          <w:lang w:val="es-ES" w:eastAsia="en-US"/>
        </w:rPr>
        <w:t>+</w:t>
      </w:r>
      <w:proofErr w:type="gramEnd"/>
      <w:r w:rsidRPr="004E5875">
        <w:rPr>
          <w:rFonts w:ascii="Verdana" w:hAnsi="Verdana" w:cs="Times New Roman"/>
          <w:color w:val="0000FF"/>
          <w:u w:val="single"/>
          <w:lang w:val="es-ES" w:eastAsia="en-US"/>
        </w:rPr>
        <w:t>57 601 7456788</w:t>
      </w:r>
    </w:p>
    <w:p w14:paraId="0F03B9FA" w14:textId="77777777" w:rsidR="004E5875" w:rsidRPr="004E5875" w:rsidRDefault="004E5875" w:rsidP="004E5875">
      <w:pPr>
        <w:numPr>
          <w:ilvl w:val="0"/>
          <w:numId w:val="16"/>
        </w:numPr>
        <w:spacing w:after="0"/>
        <w:contextualSpacing/>
        <w:rPr>
          <w:rFonts w:ascii="Verdana" w:eastAsia="Verdana" w:hAnsi="Verdana" w:cs="Verdana"/>
          <w:color w:val="0000FF"/>
          <w:u w:val="single"/>
          <w:lang w:val="es-MX" w:eastAsia="en-US"/>
        </w:rPr>
      </w:pPr>
      <w:r w:rsidRPr="004E5875">
        <w:rPr>
          <w:rFonts w:ascii="Verdana" w:eastAsia="Verdana" w:hAnsi="Verdana" w:cs="Verdana"/>
          <w:lang w:val="es-MX" w:eastAsia="en-US"/>
        </w:rPr>
        <w:t xml:space="preserve">Correo de radicación de correspondencia: </w:t>
      </w:r>
      <w:hyperlink r:id="rId19">
        <w:r w:rsidRPr="004E5875">
          <w:rPr>
            <w:rFonts w:ascii="Verdana" w:eastAsia="Verdana" w:hAnsi="Verdana" w:cs="Verdana"/>
            <w:color w:val="0000FF"/>
            <w:u w:val="single"/>
            <w:lang w:val="es-MX" w:eastAsia="en-US"/>
          </w:rPr>
          <w:t>ventanilladeradicacion@colombiacompra.gov.co</w:t>
        </w:r>
      </w:hyperlink>
    </w:p>
    <w:p w14:paraId="1D0262BF" w14:textId="77777777" w:rsidR="004E5875" w:rsidRPr="004E5875" w:rsidRDefault="004E5875" w:rsidP="004E5875">
      <w:pPr>
        <w:numPr>
          <w:ilvl w:val="0"/>
          <w:numId w:val="16"/>
        </w:numPr>
        <w:spacing w:after="0"/>
        <w:contextualSpacing/>
        <w:rPr>
          <w:rFonts w:ascii="Verdana" w:eastAsia="Verdana" w:hAnsi="Verdana" w:cs="Verdana"/>
          <w:color w:val="0000FF"/>
          <w:u w:val="single"/>
          <w:lang w:val="es-MX" w:eastAsia="en-US"/>
        </w:rPr>
      </w:pPr>
      <w:r w:rsidRPr="004E5875">
        <w:rPr>
          <w:rFonts w:ascii="Verdana" w:eastAsia="Verdana" w:hAnsi="Verdana" w:cs="Verdana"/>
          <w:lang w:val="es-ES" w:eastAsia="en-US"/>
        </w:rPr>
        <w:t>Formulario web para</w:t>
      </w:r>
      <w:r w:rsidRPr="004E5875">
        <w:rPr>
          <w:rFonts w:ascii="Verdana" w:eastAsia="Verdana" w:hAnsi="Verdana" w:cs="Verdana"/>
          <w:lang w:eastAsia="en-US"/>
        </w:rPr>
        <w:t xml:space="preserve"> PQRSD: </w:t>
      </w:r>
      <w:hyperlink r:id="rId20">
        <w:r w:rsidRPr="004E5875">
          <w:rPr>
            <w:rFonts w:ascii="Verdana" w:eastAsia="Verdana" w:hAnsi="Verdana" w:cs="Verdana"/>
            <w:color w:val="0000FF"/>
            <w:u w:val="single"/>
            <w:lang w:val="es-MX" w:eastAsia="en-US"/>
          </w:rPr>
          <w:t>https://www.colombiacompra.gov.co/pqrsd/informacion-importante-antes-de-formular-una-pqrsd</w:t>
        </w:r>
      </w:hyperlink>
    </w:p>
    <w:p w14:paraId="7F92F254" w14:textId="77777777" w:rsidR="004E5875" w:rsidRPr="004E5875" w:rsidRDefault="004E5875" w:rsidP="004E5875">
      <w:pPr>
        <w:spacing w:after="0" w:line="240" w:lineRule="auto"/>
        <w:ind w:left="720"/>
        <w:jc w:val="both"/>
        <w:rPr>
          <w:rFonts w:ascii="Verdana" w:hAnsi="Verdana" w:cs="Times New Roman"/>
          <w:lang w:val="es-CO" w:eastAsia="en-US"/>
        </w:rPr>
      </w:pPr>
    </w:p>
    <w:p w14:paraId="43678284" w14:textId="77777777" w:rsidR="004E5875" w:rsidRPr="004E5875" w:rsidRDefault="004E5875" w:rsidP="004E5875">
      <w:pPr>
        <w:spacing w:after="0" w:line="240" w:lineRule="auto"/>
        <w:rPr>
          <w:rFonts w:ascii="Verdana" w:hAnsi="Verdana" w:cs="Times New Roman"/>
          <w:lang w:val="es-CO" w:eastAsia="en-US"/>
        </w:rPr>
      </w:pPr>
      <w:r w:rsidRPr="004E5875">
        <w:rPr>
          <w:rFonts w:ascii="Verdana" w:hAnsi="Verdana" w:cs="Times New Roman"/>
          <w:lang w:val="es-CO" w:eastAsia="en-US"/>
        </w:rPr>
        <w:t xml:space="preserve">Evalúa el servicio que ofrece la Agencia por el canal de atención de PQRSD en el siguiente </w:t>
      </w:r>
      <w:proofErr w:type="gramStart"/>
      <w:r w:rsidRPr="004E5875">
        <w:rPr>
          <w:rFonts w:ascii="Verdana" w:hAnsi="Verdana" w:cs="Times New Roman"/>
          <w:lang w:val="es-CO" w:eastAsia="en-US"/>
        </w:rPr>
        <w:t>enlace :</w:t>
      </w:r>
      <w:proofErr w:type="gramEnd"/>
      <w:hyperlink r:id="rId21" w:tgtFrame="_blank" w:tooltip="https://forms.office.com/r/pphywvs2sz" w:history="1">
        <w:r w:rsidRPr="004E5875">
          <w:rPr>
            <w:rFonts w:ascii="Verdana" w:hAnsi="Verdana" w:cs="Times New Roman"/>
            <w:color w:val="0000FF"/>
            <w:u w:val="single"/>
            <w:lang w:val="es-CO" w:eastAsia="en-US"/>
          </w:rPr>
          <w:t>https://forms.office.com/r/pPHyWVs2SZ</w:t>
        </w:r>
      </w:hyperlink>
      <w:r w:rsidRPr="004E5875">
        <w:rPr>
          <w:rFonts w:ascii="Verdana" w:hAnsi="Verdana" w:cs="Times New Roman"/>
          <w:lang w:val="es-CO" w:eastAsia="en-US"/>
        </w:rPr>
        <w:t xml:space="preserve"> .¡Ayúdanos a mejorar porque el compromiso es de todos!</w:t>
      </w:r>
    </w:p>
    <w:p w14:paraId="7506E17C" w14:textId="77777777" w:rsidR="004E5875" w:rsidRPr="004E5875" w:rsidRDefault="004E5875" w:rsidP="004E5875">
      <w:pPr>
        <w:spacing w:after="0" w:line="240" w:lineRule="auto"/>
        <w:rPr>
          <w:rFonts w:ascii="Verdana" w:hAnsi="Verdana" w:cs="Times New Roman"/>
          <w:lang w:val="es-CO" w:eastAsia="en-US"/>
        </w:rPr>
      </w:pPr>
    </w:p>
    <w:p w14:paraId="24054297" w14:textId="77777777" w:rsidR="004E5875" w:rsidRPr="004E5875" w:rsidRDefault="004E5875" w:rsidP="004E5875">
      <w:pPr>
        <w:spacing w:after="0" w:line="240" w:lineRule="auto"/>
        <w:jc w:val="both"/>
        <w:rPr>
          <w:rFonts w:ascii="Verdana" w:hAnsi="Verdana" w:cs="Times New Roman"/>
          <w:lang w:val="es-CO" w:eastAsia="en-US"/>
        </w:rPr>
      </w:pPr>
      <w:r w:rsidRPr="004E5875">
        <w:rPr>
          <w:rFonts w:ascii="Verdana" w:hAnsi="Verdana" w:cs="Times New Roman"/>
          <w:lang w:val="es-CO" w:eastAsia="en-US"/>
        </w:rPr>
        <w:t xml:space="preserve">Por último, lo invitamos a seguirnos en las redes sociales en las cuales se difunde información institucional: </w:t>
      </w:r>
    </w:p>
    <w:p w14:paraId="78D86E19" w14:textId="77777777" w:rsidR="004E5875" w:rsidRPr="004E5875" w:rsidRDefault="004E5875" w:rsidP="004E5875">
      <w:pPr>
        <w:spacing w:after="0" w:line="240" w:lineRule="auto"/>
        <w:jc w:val="both"/>
        <w:rPr>
          <w:rFonts w:ascii="Verdana" w:hAnsi="Verdana" w:cs="Times New Roman"/>
          <w:lang w:val="es-CO" w:eastAsia="en-US"/>
        </w:rPr>
      </w:pPr>
    </w:p>
    <w:p w14:paraId="2204ADB8" w14:textId="77777777" w:rsidR="004E5875" w:rsidRPr="004E5875" w:rsidRDefault="004E5875" w:rsidP="004E5875">
      <w:pPr>
        <w:spacing w:after="0" w:line="240" w:lineRule="auto"/>
        <w:jc w:val="both"/>
        <w:rPr>
          <w:rFonts w:ascii="Verdana" w:hAnsi="Verdana" w:cs="Times New Roman"/>
          <w:lang w:val="es-CO" w:eastAsia="en-US"/>
        </w:rPr>
      </w:pPr>
      <w:r w:rsidRPr="004E5875">
        <w:rPr>
          <w:rFonts w:ascii="Verdana" w:hAnsi="Verdana" w:cs="Times New Roman"/>
          <w:lang w:val="es-CO" w:eastAsia="en-US"/>
        </w:rPr>
        <w:t xml:space="preserve">Twitter: </w:t>
      </w:r>
      <w:r w:rsidRPr="004E5875">
        <w:rPr>
          <w:rFonts w:ascii="Verdana" w:hAnsi="Verdana" w:cs="Times New Roman"/>
          <w:color w:val="0000FF"/>
          <w:u w:val="single"/>
          <w:lang w:val="es-CO" w:eastAsia="en-US"/>
        </w:rPr>
        <w:t>@colombiacompra</w:t>
      </w:r>
      <w:r w:rsidRPr="004E5875">
        <w:rPr>
          <w:rFonts w:ascii="Verdana" w:hAnsi="Verdana" w:cs="Times New Roman"/>
          <w:lang w:val="es-CO" w:eastAsia="en-US"/>
        </w:rPr>
        <w:t xml:space="preserve"> </w:t>
      </w:r>
    </w:p>
    <w:p w14:paraId="28893068" w14:textId="77777777" w:rsidR="004E5875" w:rsidRPr="004E5875" w:rsidRDefault="004E5875" w:rsidP="004E5875">
      <w:pPr>
        <w:spacing w:after="0" w:line="240" w:lineRule="auto"/>
        <w:jc w:val="both"/>
        <w:rPr>
          <w:rFonts w:ascii="Verdana" w:hAnsi="Verdana" w:cs="Times New Roman"/>
          <w:lang w:val="es-CO" w:eastAsia="en-US"/>
        </w:rPr>
      </w:pPr>
      <w:r w:rsidRPr="004E5875">
        <w:rPr>
          <w:rFonts w:ascii="Verdana" w:hAnsi="Verdana" w:cs="Times New Roman"/>
          <w:lang w:val="es-CO" w:eastAsia="en-US"/>
        </w:rPr>
        <w:t xml:space="preserve">Facebook: </w:t>
      </w:r>
      <w:proofErr w:type="spellStart"/>
      <w:r w:rsidRPr="004E5875">
        <w:rPr>
          <w:rFonts w:ascii="Verdana" w:hAnsi="Verdana" w:cs="Times New Roman"/>
          <w:color w:val="0000FF"/>
          <w:u w:val="single"/>
          <w:lang w:val="es-CO" w:eastAsia="en-US"/>
        </w:rPr>
        <w:t>ColombiaCompraEficiente</w:t>
      </w:r>
      <w:proofErr w:type="spellEnd"/>
    </w:p>
    <w:p w14:paraId="3212C0FA" w14:textId="77777777" w:rsidR="004E5875" w:rsidRPr="004E5875" w:rsidRDefault="004E5875" w:rsidP="004E5875">
      <w:pPr>
        <w:spacing w:after="0" w:line="240" w:lineRule="auto"/>
        <w:jc w:val="both"/>
        <w:rPr>
          <w:rFonts w:ascii="Verdana" w:hAnsi="Verdana" w:cs="Times New Roman"/>
          <w:lang w:val="es-CO" w:eastAsia="en-US"/>
        </w:rPr>
      </w:pPr>
      <w:r w:rsidRPr="004E5875">
        <w:rPr>
          <w:rFonts w:ascii="Verdana" w:hAnsi="Verdana" w:cs="Times New Roman"/>
          <w:lang w:val="es-CO" w:eastAsia="en-US"/>
        </w:rPr>
        <w:t xml:space="preserve">LinkedIn: </w:t>
      </w:r>
      <w:r w:rsidRPr="004E5875">
        <w:rPr>
          <w:rFonts w:ascii="Verdana" w:hAnsi="Verdana" w:cs="Times New Roman"/>
          <w:color w:val="0000FF"/>
          <w:u w:val="single"/>
          <w:lang w:val="es-CO" w:eastAsia="en-US"/>
        </w:rPr>
        <w:t>Agencia Nacional de Contratación Pública - Colombia Compra Eficiente</w:t>
      </w:r>
      <w:r w:rsidRPr="004E5875">
        <w:rPr>
          <w:rFonts w:ascii="Verdana" w:hAnsi="Verdana" w:cs="Times New Roman"/>
          <w:lang w:val="es-CO" w:eastAsia="en-US"/>
        </w:rPr>
        <w:t xml:space="preserve"> Instagram: </w:t>
      </w:r>
      <w:r w:rsidRPr="004E5875">
        <w:rPr>
          <w:rFonts w:ascii="Verdana" w:hAnsi="Verdana" w:cs="Times New Roman"/>
          <w:color w:val="0000FF"/>
          <w:u w:val="single"/>
          <w:lang w:val="es-CO" w:eastAsia="en-US"/>
        </w:rPr>
        <w:t>@colombiacompraeficiente_cce</w:t>
      </w:r>
    </w:p>
    <w:p w14:paraId="1481FD55" w14:textId="77777777" w:rsidR="004E5875" w:rsidRPr="004E5875" w:rsidRDefault="004E5875" w:rsidP="004E5875">
      <w:pPr>
        <w:spacing w:after="0" w:line="240" w:lineRule="auto"/>
        <w:jc w:val="both"/>
        <w:rPr>
          <w:rFonts w:ascii="Verdana" w:hAnsi="Verdana" w:cs="Times New Roman"/>
          <w:lang w:val="es-CO" w:eastAsia="en-US"/>
        </w:rPr>
      </w:pPr>
    </w:p>
    <w:p w14:paraId="59E0566E" w14:textId="77777777" w:rsidR="004E5875" w:rsidRPr="004E5875" w:rsidRDefault="004E5875" w:rsidP="004E5875">
      <w:pPr>
        <w:spacing w:after="0" w:line="256" w:lineRule="auto"/>
        <w:jc w:val="both"/>
        <w:rPr>
          <w:rFonts w:ascii="Verdana" w:hAnsi="Verdana" w:cs="Times New Roman"/>
          <w:bCs/>
          <w:lang w:val="es-ES_tradnl" w:eastAsia="en-US"/>
        </w:rPr>
      </w:pPr>
      <w:r w:rsidRPr="004E5875">
        <w:rPr>
          <w:rFonts w:ascii="Verdana" w:hAnsi="Verdana" w:cs="Times New Roman"/>
          <w:lang w:val="es-ES_tradnl" w:eastAsia="en-US"/>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E60AEC7" w14:textId="77777777" w:rsidR="004E5875" w:rsidRPr="004E5875" w:rsidRDefault="004E5875" w:rsidP="004E5875">
      <w:pPr>
        <w:widowControl w:val="0"/>
        <w:autoSpaceDE w:val="0"/>
        <w:autoSpaceDN w:val="0"/>
        <w:spacing w:after="0" w:line="276" w:lineRule="auto"/>
        <w:jc w:val="both"/>
        <w:rPr>
          <w:rFonts w:ascii="Verdana" w:hAnsi="Verdana" w:cs="Arial"/>
          <w:lang w:val="es-ES_tradnl" w:eastAsia="en-US"/>
        </w:rPr>
      </w:pPr>
    </w:p>
    <w:p w14:paraId="2E1DC297" w14:textId="77777777" w:rsidR="004E5875" w:rsidRPr="004E5875" w:rsidRDefault="004E5875" w:rsidP="004E5875">
      <w:pPr>
        <w:spacing w:after="0" w:line="240" w:lineRule="auto"/>
        <w:rPr>
          <w:rFonts w:ascii="Verdana" w:hAnsi="Verdana" w:cs="Arial"/>
          <w:lang w:val="es-CO"/>
        </w:rPr>
      </w:pPr>
      <w:r w:rsidRPr="004E5875">
        <w:rPr>
          <w:rFonts w:ascii="Verdana" w:eastAsia="Times New Roman" w:hAnsi="Verdana" w:cs="Arial"/>
          <w:lang w:val="es-CO"/>
        </w:rPr>
        <w:t>Atentamente,</w:t>
      </w:r>
      <w:r w:rsidRPr="004E5875">
        <w:rPr>
          <w:rFonts w:ascii="Verdana" w:hAnsi="Verdana" w:cs="Arial"/>
          <w:lang w:val="es-CO"/>
        </w:rPr>
        <w:t xml:space="preserve"> </w:t>
      </w:r>
    </w:p>
    <w:p w14:paraId="46BEDA78" w14:textId="77777777" w:rsidR="004E5875" w:rsidRPr="004E5875" w:rsidRDefault="004E5875" w:rsidP="004E5875">
      <w:pPr>
        <w:spacing w:after="0" w:line="240" w:lineRule="auto"/>
        <w:textAlignment w:val="baseline"/>
        <w:rPr>
          <w:rFonts w:ascii="Verdana" w:eastAsia="Verdana" w:hAnsi="Verdana" w:cs="Verdana"/>
          <w:lang w:val="es-CO"/>
        </w:rPr>
      </w:pPr>
    </w:p>
    <w:p w14:paraId="22D00F9A" w14:textId="77777777" w:rsidR="004E5875" w:rsidRPr="004E5875" w:rsidRDefault="004E5875" w:rsidP="004E5875">
      <w:pPr>
        <w:spacing w:after="0" w:line="240" w:lineRule="auto"/>
        <w:textAlignment w:val="baseline"/>
        <w:rPr>
          <w:rFonts w:ascii="Verdana" w:eastAsia="Verdana" w:hAnsi="Verdana" w:cs="Verdana"/>
          <w:lang w:val="es-CO"/>
        </w:rPr>
      </w:pPr>
    </w:p>
    <w:p w14:paraId="22F350E7" w14:textId="30EA5330" w:rsidR="004E5875" w:rsidRPr="004E5875" w:rsidRDefault="00FD4E15" w:rsidP="004E5875">
      <w:pPr>
        <w:spacing w:after="0" w:line="240" w:lineRule="auto"/>
        <w:textAlignment w:val="baseline"/>
        <w:rPr>
          <w:rFonts w:ascii="Verdana" w:eastAsia="Verdana" w:hAnsi="Verdana" w:cs="Verdana"/>
          <w:lang w:val="es-CO"/>
        </w:rPr>
      </w:pPr>
      <w:r w:rsidRPr="00FD4E15">
        <w:rPr>
          <w:rFonts w:ascii="Aptos" w:eastAsia="Aptos" w:hAnsi="Aptos" w:cs="Times New Roman"/>
          <w:noProof/>
          <w:kern w:val="2"/>
          <w:lang w:val="es-CO" w:eastAsia="en-US"/>
          <w14:ligatures w14:val="standardContextual"/>
        </w:rPr>
        <w:drawing>
          <wp:anchor distT="0" distB="0" distL="114300" distR="114300" simplePos="0" relativeHeight="251660288" behindDoc="1" locked="0" layoutInCell="1" allowOverlap="1" wp14:anchorId="2886173B" wp14:editId="7118EA51">
            <wp:simplePos x="0" y="0"/>
            <wp:positionH relativeFrom="column">
              <wp:posOffset>1729740</wp:posOffset>
            </wp:positionH>
            <wp:positionV relativeFrom="paragraph">
              <wp:posOffset>68580</wp:posOffset>
            </wp:positionV>
            <wp:extent cx="2977515" cy="1120775"/>
            <wp:effectExtent l="0" t="0" r="0" b="3175"/>
            <wp:wrapSquare wrapText="bothSides"/>
            <wp:docPr id="7849117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77515" cy="1120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736C1B" w14:textId="6B6F179F" w:rsidR="004E5875" w:rsidRPr="004E5875" w:rsidRDefault="004E5875" w:rsidP="004E5875">
      <w:pPr>
        <w:spacing w:after="0" w:line="240" w:lineRule="auto"/>
        <w:jc w:val="center"/>
        <w:textAlignment w:val="baseline"/>
        <w:rPr>
          <w:rFonts w:ascii="Verdana" w:eastAsia="Verdana" w:hAnsi="Verdana" w:cs="Verdana"/>
          <w:lang w:val="es-CO"/>
        </w:rPr>
      </w:pPr>
    </w:p>
    <w:p w14:paraId="3EF52CD0" w14:textId="77777777" w:rsidR="004E5875" w:rsidRPr="004E5875" w:rsidRDefault="004E5875" w:rsidP="004E5875">
      <w:pPr>
        <w:spacing w:after="0" w:line="256" w:lineRule="auto"/>
        <w:jc w:val="center"/>
        <w:rPr>
          <w:rFonts w:ascii="Century Gothic" w:hAnsi="Century Gothic" w:cs="Times New Roman"/>
          <w:noProof/>
          <w:sz w:val="16"/>
          <w:szCs w:val="16"/>
          <w:lang w:val="es-CO" w:eastAsia="en-US"/>
        </w:rPr>
      </w:pPr>
    </w:p>
    <w:p w14:paraId="5EC4FB68" w14:textId="77777777" w:rsidR="004E5875" w:rsidRPr="004E5875" w:rsidRDefault="004E5875" w:rsidP="004E5875">
      <w:pPr>
        <w:spacing w:after="0" w:line="256" w:lineRule="auto"/>
        <w:jc w:val="center"/>
        <w:rPr>
          <w:rFonts w:ascii="Century Gothic" w:hAnsi="Century Gothic" w:cs="Times New Roman"/>
          <w:noProof/>
          <w:sz w:val="16"/>
          <w:szCs w:val="16"/>
          <w:lang w:val="es-CO" w:eastAsia="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4E5875" w:rsidRPr="004E5875" w14:paraId="38D79745" w14:textId="77777777" w:rsidTr="00C11DB0">
        <w:trPr>
          <w:trHeight w:val="409"/>
        </w:trPr>
        <w:tc>
          <w:tcPr>
            <w:tcW w:w="817" w:type="dxa"/>
            <w:tcBorders>
              <w:top w:val="nil"/>
              <w:left w:val="nil"/>
              <w:bottom w:val="nil"/>
              <w:right w:val="nil"/>
            </w:tcBorders>
            <w:vAlign w:val="center"/>
            <w:hideMark/>
          </w:tcPr>
          <w:p w14:paraId="45EDA870" w14:textId="77777777" w:rsidR="004E5875" w:rsidRPr="004E5875" w:rsidRDefault="004E5875" w:rsidP="004E5875">
            <w:pPr>
              <w:spacing w:after="0" w:line="256" w:lineRule="auto"/>
              <w:rPr>
                <w:rFonts w:ascii="Verdana" w:hAnsi="Verdana" w:cs="Times New Roman"/>
                <w:sz w:val="16"/>
                <w:szCs w:val="16"/>
                <w:lang w:val="es-CO" w:eastAsia="en-US"/>
              </w:rPr>
            </w:pPr>
            <w:r w:rsidRPr="004E5875">
              <w:rPr>
                <w:rFonts w:ascii="Verdana" w:hAnsi="Verdana" w:cs="Times New Roman"/>
                <w:sz w:val="16"/>
                <w:szCs w:val="16"/>
                <w:lang w:val="es-CO" w:eastAsia="en-US"/>
              </w:rPr>
              <w:t>Elaboró: </w:t>
            </w:r>
          </w:p>
        </w:tc>
        <w:tc>
          <w:tcPr>
            <w:tcW w:w="4937" w:type="dxa"/>
            <w:tcBorders>
              <w:top w:val="nil"/>
              <w:left w:val="nil"/>
              <w:bottom w:val="dotted" w:sz="6" w:space="0" w:color="7F7F7F"/>
              <w:right w:val="nil"/>
            </w:tcBorders>
            <w:vAlign w:val="center"/>
            <w:hideMark/>
          </w:tcPr>
          <w:p w14:paraId="49639A7E" w14:textId="77777777" w:rsidR="004E5875" w:rsidRPr="004E5875" w:rsidRDefault="004E5875" w:rsidP="004E5875">
            <w:pPr>
              <w:spacing w:after="0" w:line="256" w:lineRule="auto"/>
              <w:rPr>
                <w:rFonts w:ascii="Verdana" w:hAnsi="Verdana" w:cs="Times New Roman"/>
                <w:sz w:val="16"/>
                <w:szCs w:val="16"/>
                <w:lang w:val="es-CO" w:eastAsia="en-US"/>
              </w:rPr>
            </w:pPr>
            <w:r w:rsidRPr="004E5875">
              <w:rPr>
                <w:rFonts w:ascii="Verdana" w:hAnsi="Verdana" w:cs="Times New Roman"/>
                <w:sz w:val="16"/>
                <w:szCs w:val="16"/>
                <w:lang w:val="es-CO" w:eastAsia="en-US"/>
              </w:rPr>
              <w:t>José Luis Sánchez Cardona</w:t>
            </w:r>
          </w:p>
          <w:p w14:paraId="0D2AAA65" w14:textId="77777777" w:rsidR="004E5875" w:rsidRPr="004E5875" w:rsidRDefault="004E5875" w:rsidP="004E5875">
            <w:pPr>
              <w:spacing w:after="0" w:line="256" w:lineRule="auto"/>
              <w:rPr>
                <w:rFonts w:ascii="Verdana" w:hAnsi="Verdana" w:cs="Times New Roman"/>
                <w:sz w:val="16"/>
                <w:szCs w:val="16"/>
                <w:lang w:val="es-CO" w:eastAsia="en-US"/>
              </w:rPr>
            </w:pPr>
            <w:r w:rsidRPr="004E5875">
              <w:rPr>
                <w:rFonts w:ascii="Verdana" w:hAnsi="Verdana" w:cs="Times New Roman"/>
                <w:sz w:val="16"/>
                <w:szCs w:val="16"/>
                <w:lang w:val="es-CO" w:eastAsia="en-US"/>
              </w:rPr>
              <w:t>Contratista de la Subdirección de Gestión Contractual</w:t>
            </w:r>
          </w:p>
        </w:tc>
      </w:tr>
      <w:tr w:rsidR="004E5875" w:rsidRPr="004E5875" w14:paraId="19E6BE61" w14:textId="77777777" w:rsidTr="00C11DB0">
        <w:trPr>
          <w:trHeight w:val="409"/>
        </w:trPr>
        <w:tc>
          <w:tcPr>
            <w:tcW w:w="817" w:type="dxa"/>
            <w:tcBorders>
              <w:top w:val="nil"/>
              <w:left w:val="nil"/>
              <w:bottom w:val="nil"/>
              <w:right w:val="nil"/>
            </w:tcBorders>
            <w:vAlign w:val="center"/>
            <w:hideMark/>
          </w:tcPr>
          <w:p w14:paraId="41D2FCD8" w14:textId="77777777" w:rsidR="004E5875" w:rsidRPr="004E5875" w:rsidRDefault="004E5875" w:rsidP="004E5875">
            <w:pPr>
              <w:spacing w:after="0" w:line="256" w:lineRule="auto"/>
              <w:rPr>
                <w:rFonts w:ascii="Verdana" w:hAnsi="Verdana" w:cs="Times New Roman"/>
                <w:sz w:val="16"/>
                <w:szCs w:val="16"/>
                <w:lang w:val="es-CO" w:eastAsia="en-US"/>
              </w:rPr>
            </w:pPr>
            <w:r w:rsidRPr="004E5875">
              <w:rPr>
                <w:rFonts w:ascii="Verdana" w:hAnsi="Verdana" w:cs="Times New Roman"/>
                <w:sz w:val="16"/>
                <w:szCs w:val="16"/>
                <w:lang w:val="es-CO" w:eastAsia="en-US"/>
              </w:rPr>
              <w:t>Revisó </w:t>
            </w:r>
          </w:p>
        </w:tc>
        <w:tc>
          <w:tcPr>
            <w:tcW w:w="4937" w:type="dxa"/>
            <w:tcBorders>
              <w:top w:val="dotted" w:sz="6" w:space="0" w:color="7F7F7F"/>
              <w:left w:val="nil"/>
              <w:bottom w:val="dotted" w:sz="6" w:space="0" w:color="7F7F7F"/>
              <w:right w:val="nil"/>
            </w:tcBorders>
            <w:vAlign w:val="center"/>
            <w:hideMark/>
          </w:tcPr>
          <w:p w14:paraId="563ACEF2" w14:textId="77777777" w:rsidR="004E5875" w:rsidRPr="004E5875" w:rsidRDefault="004E5875" w:rsidP="004E5875">
            <w:pPr>
              <w:spacing w:after="0" w:line="256" w:lineRule="auto"/>
              <w:rPr>
                <w:rFonts w:ascii="Verdana" w:hAnsi="Verdana" w:cs="Times New Roman"/>
                <w:sz w:val="16"/>
                <w:szCs w:val="16"/>
                <w:lang w:val="es-CO" w:eastAsia="en-US"/>
              </w:rPr>
            </w:pPr>
            <w:r w:rsidRPr="004E5875">
              <w:rPr>
                <w:rFonts w:ascii="Verdana" w:hAnsi="Verdana" w:cs="Times New Roman"/>
                <w:sz w:val="16"/>
                <w:szCs w:val="16"/>
                <w:lang w:val="es-CO" w:eastAsia="en-US"/>
              </w:rPr>
              <w:t>Alejandro R. Sarmiento Cantillo</w:t>
            </w:r>
          </w:p>
          <w:p w14:paraId="29220A02" w14:textId="77777777" w:rsidR="004E5875" w:rsidRPr="004E5875" w:rsidRDefault="004E5875" w:rsidP="004E5875">
            <w:pPr>
              <w:spacing w:after="0" w:line="256" w:lineRule="auto"/>
              <w:rPr>
                <w:rFonts w:ascii="Verdana" w:hAnsi="Verdana" w:cs="Times New Roman"/>
                <w:sz w:val="16"/>
                <w:szCs w:val="16"/>
                <w:lang w:val="es-CO" w:eastAsia="en-US"/>
              </w:rPr>
            </w:pPr>
            <w:r w:rsidRPr="004E5875">
              <w:rPr>
                <w:rFonts w:ascii="Verdana" w:hAnsi="Verdana" w:cs="Times New Roman"/>
                <w:sz w:val="16"/>
                <w:szCs w:val="16"/>
                <w:lang w:val="es-CO" w:eastAsia="en-US"/>
              </w:rPr>
              <w:t>Gestor T1-15 de la Subdirección de Gestión Contractual </w:t>
            </w:r>
          </w:p>
        </w:tc>
      </w:tr>
      <w:tr w:rsidR="004E5875" w:rsidRPr="004E5875" w14:paraId="0D9DF9E6" w14:textId="77777777" w:rsidTr="00C11DB0">
        <w:trPr>
          <w:trHeight w:val="389"/>
        </w:trPr>
        <w:tc>
          <w:tcPr>
            <w:tcW w:w="817" w:type="dxa"/>
            <w:tcBorders>
              <w:top w:val="nil"/>
              <w:left w:val="nil"/>
              <w:bottom w:val="nil"/>
              <w:right w:val="nil"/>
            </w:tcBorders>
            <w:vAlign w:val="center"/>
            <w:hideMark/>
          </w:tcPr>
          <w:p w14:paraId="442245F0" w14:textId="77777777" w:rsidR="004E5875" w:rsidRPr="004E5875" w:rsidRDefault="004E5875" w:rsidP="004E5875">
            <w:pPr>
              <w:spacing w:after="0" w:line="256" w:lineRule="auto"/>
              <w:rPr>
                <w:rFonts w:ascii="Verdana" w:hAnsi="Verdana" w:cs="Times New Roman"/>
                <w:sz w:val="16"/>
                <w:szCs w:val="16"/>
                <w:lang w:val="es-CO" w:eastAsia="en-US"/>
              </w:rPr>
            </w:pPr>
            <w:r w:rsidRPr="004E5875">
              <w:rPr>
                <w:rFonts w:ascii="Verdana" w:hAnsi="Verdana" w:cs="Times New Roman"/>
                <w:sz w:val="16"/>
                <w:szCs w:val="16"/>
                <w:lang w:val="es-CO" w:eastAsia="en-US"/>
              </w:rPr>
              <w:t>Aprobó: </w:t>
            </w:r>
          </w:p>
        </w:tc>
        <w:tc>
          <w:tcPr>
            <w:tcW w:w="4937" w:type="dxa"/>
            <w:tcBorders>
              <w:top w:val="dotted" w:sz="6" w:space="0" w:color="7F7F7F"/>
              <w:left w:val="nil"/>
              <w:bottom w:val="dotted" w:sz="6" w:space="0" w:color="7F7F7F"/>
              <w:right w:val="nil"/>
            </w:tcBorders>
            <w:vAlign w:val="center"/>
            <w:hideMark/>
          </w:tcPr>
          <w:p w14:paraId="71E1D297" w14:textId="77777777" w:rsidR="004E5875" w:rsidRPr="004E5875" w:rsidRDefault="004E5875" w:rsidP="004E5875">
            <w:pPr>
              <w:spacing w:after="0" w:line="256" w:lineRule="auto"/>
              <w:rPr>
                <w:rFonts w:ascii="Verdana" w:hAnsi="Verdana" w:cs="Times New Roman"/>
                <w:sz w:val="16"/>
                <w:szCs w:val="16"/>
                <w:lang w:val="es-CO" w:eastAsia="en-US"/>
              </w:rPr>
            </w:pPr>
            <w:r w:rsidRPr="004E5875">
              <w:rPr>
                <w:rFonts w:ascii="Verdana" w:hAnsi="Verdana" w:cs="Times New Roman"/>
                <w:sz w:val="16"/>
                <w:szCs w:val="16"/>
                <w:lang w:val="es-CO" w:eastAsia="en-US"/>
              </w:rPr>
              <w:t>William Javier Murcia Acevedo</w:t>
            </w:r>
          </w:p>
          <w:p w14:paraId="7F58D2DA" w14:textId="77777777" w:rsidR="004E5875" w:rsidRPr="004E5875" w:rsidRDefault="004E5875" w:rsidP="004E5875">
            <w:pPr>
              <w:spacing w:after="0" w:line="256" w:lineRule="auto"/>
              <w:rPr>
                <w:rFonts w:ascii="Verdana" w:hAnsi="Verdana" w:cs="Times New Roman"/>
                <w:sz w:val="16"/>
                <w:szCs w:val="16"/>
                <w:lang w:val="es-CO" w:eastAsia="en-US"/>
              </w:rPr>
            </w:pPr>
            <w:r w:rsidRPr="004E5875">
              <w:rPr>
                <w:rFonts w:ascii="Verdana" w:hAnsi="Verdana" w:cs="Times New Roman"/>
                <w:sz w:val="16"/>
                <w:szCs w:val="16"/>
                <w:lang w:val="es-CO" w:eastAsia="en-US"/>
              </w:rPr>
              <w:t xml:space="preserve">Subdirector de Gestión Contractual ANCP – CCE (E) </w:t>
            </w:r>
          </w:p>
        </w:tc>
      </w:tr>
      <w:bookmarkEnd w:id="0"/>
    </w:tbl>
    <w:p w14:paraId="0088940C" w14:textId="77777777" w:rsidR="004E5875" w:rsidRPr="004E5875" w:rsidRDefault="004E5875" w:rsidP="004E5875">
      <w:pPr>
        <w:spacing w:after="0" w:line="240" w:lineRule="auto"/>
        <w:textAlignment w:val="baseline"/>
        <w:rPr>
          <w:rFonts w:ascii="Verdana" w:eastAsia="Verdana" w:hAnsi="Verdana" w:cs="Verdana"/>
          <w:lang w:val="es-CO"/>
        </w:rPr>
      </w:pPr>
    </w:p>
    <w:p w14:paraId="5E556968" w14:textId="77777777" w:rsidR="00294893" w:rsidRPr="004E5875" w:rsidRDefault="00294893" w:rsidP="004E5875"/>
    <w:sectPr w:rsidR="00294893" w:rsidRPr="004E5875">
      <w:headerReference w:type="default" r:id="rId23"/>
      <w:footerReference w:type="default" r:id="rId24"/>
      <w:pgSz w:w="12240" w:h="15840"/>
      <w:pgMar w:top="1417" w:right="1701" w:bottom="1417"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5E378" w14:textId="77777777" w:rsidR="00D408E5" w:rsidRDefault="00D408E5">
      <w:pPr>
        <w:spacing w:after="0" w:line="240" w:lineRule="auto"/>
      </w:pPr>
      <w:r>
        <w:separator/>
      </w:r>
    </w:p>
  </w:endnote>
  <w:endnote w:type="continuationSeparator" w:id="0">
    <w:p w14:paraId="1AC47393" w14:textId="77777777" w:rsidR="00D408E5" w:rsidRDefault="00D40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C32BB0B9-CFEE-44F7-A138-921FFD52967D}"/>
  </w:font>
  <w:font w:name="Calibri">
    <w:panose1 w:val="020F0502020204030204"/>
    <w:charset w:val="00"/>
    <w:family w:val="swiss"/>
    <w:pitch w:val="variable"/>
    <w:sig w:usb0="E4002EFF" w:usb1="C200247B" w:usb2="00000009" w:usb3="00000000" w:csb0="000001FF" w:csb1="00000000"/>
    <w:embedRegular r:id="rId2" w:fontKey="{985C82A8-C8DE-4935-8976-D7E1BD8E979E}"/>
    <w:embedBold r:id="rId3" w:fontKey="{400A930D-63B1-42EE-ADF1-23BCB01BF022}"/>
    <w:embedItalic r:id="rId4" w:fontKey="{8D56FB70-2CBF-4E72-828D-04C00AB63625}"/>
    <w:embedBoldItalic r:id="rId5" w:fontKey="{94EE03BF-7AD9-4534-BF68-84FEB5500D53}"/>
  </w:font>
  <w:font w:name="Geom">
    <w:charset w:val="00"/>
    <w:family w:val="auto"/>
    <w:pitch w:val="default"/>
    <w:embedRegular r:id="rId6" w:fontKey="{E6EC8102-76ED-47E5-B6ED-7A05EC5AE3A0}"/>
    <w:embedBold r:id="rId7" w:fontKey="{62337725-34D5-401E-AE62-69EA83F65458}"/>
  </w:font>
  <w:font w:name="Georgia">
    <w:panose1 w:val="02040502050405020303"/>
    <w:charset w:val="00"/>
    <w:family w:val="roman"/>
    <w:pitch w:val="variable"/>
    <w:sig w:usb0="00000287" w:usb1="00000000" w:usb2="00000000" w:usb3="00000000" w:csb0="0000009F" w:csb1="00000000"/>
    <w:embedItalic r:id="rId8" w:fontKey="{879F4121-C2CC-46A2-A4AB-8B590E156D3F}"/>
  </w:font>
  <w:font w:name="Verdana">
    <w:panose1 w:val="020B0604030504040204"/>
    <w:charset w:val="00"/>
    <w:family w:val="swiss"/>
    <w:pitch w:val="variable"/>
    <w:sig w:usb0="A00006FF" w:usb1="4000205B" w:usb2="00000010" w:usb3="00000000" w:csb0="0000019F" w:csb1="00000000"/>
    <w:embedRegular r:id="rId9" w:fontKey="{7BB0D8BF-E871-4230-83CE-2F23D4A05409}"/>
    <w:embedBold r:id="rId10" w:fontKey="{BFE6C4AB-634E-4B1F-B602-A0260B94C4E0}"/>
    <w:embedItalic r:id="rId11" w:fontKey="{DA775018-18EB-473E-A97B-13846A43C954}"/>
    <w:embedBoldItalic r:id="rId12" w:fontKey="{DB1BF8B3-5971-4ADC-93A8-1BBF48CAFF5C}"/>
  </w:font>
  <w:font w:name="Arial MT">
    <w:altName w:val="Arial"/>
    <w:charset w:val="01"/>
    <w:family w:val="swiss"/>
    <w:pitch w:val="variable"/>
  </w:font>
  <w:font w:name="Aptos">
    <w:charset w:val="00"/>
    <w:family w:val="swiss"/>
    <w:pitch w:val="variable"/>
    <w:sig w:usb0="20000287" w:usb1="00000003" w:usb2="00000000" w:usb3="00000000" w:csb0="0000019F" w:csb1="00000000"/>
    <w:embedRegular r:id="rId13" w:fontKey="{1756FC0B-E7CF-4269-8CE0-9E2C67F5817B}"/>
  </w:font>
  <w:font w:name="Century Gothic">
    <w:panose1 w:val="020B0502020202020204"/>
    <w:charset w:val="00"/>
    <w:family w:val="swiss"/>
    <w:pitch w:val="variable"/>
    <w:sig w:usb0="00000287" w:usb1="00000000" w:usb2="00000000" w:usb3="00000000" w:csb0="0000009F" w:csb1="00000000"/>
    <w:embedRegular r:id="rId14" w:fontKey="{2186BB65-91B2-4435-A0C3-8904EEF057EB}"/>
  </w:font>
  <w:font w:name="Cambria">
    <w:panose1 w:val="02040503050406030204"/>
    <w:charset w:val="00"/>
    <w:family w:val="roman"/>
    <w:pitch w:val="variable"/>
    <w:sig w:usb0="E00006FF" w:usb1="420024FF" w:usb2="02000000" w:usb3="00000000" w:csb0="0000019F" w:csb1="00000000"/>
    <w:embedRegular r:id="rId15" w:fontKey="{05BF5C6A-4078-4B04-A65E-C1C9B29C97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AAE3F" w14:textId="77777777" w:rsidR="00865FCE" w:rsidRDefault="00865FCE">
    <w:pPr>
      <w:pBdr>
        <w:top w:val="nil"/>
        <w:left w:val="nil"/>
        <w:bottom w:val="nil"/>
        <w:right w:val="nil"/>
        <w:between w:val="nil"/>
      </w:pBdr>
      <w:tabs>
        <w:tab w:val="center" w:pos="4419"/>
        <w:tab w:val="right" w:pos="8838"/>
      </w:tabs>
      <w:spacing w:after="0" w:line="240" w:lineRule="auto"/>
      <w:rPr>
        <w:color w:val="000000"/>
      </w:rPr>
    </w:pPr>
  </w:p>
  <w:p w14:paraId="7B3B66DF" w14:textId="77777777" w:rsidR="00865FCE" w:rsidRDefault="00F74249">
    <w:pPr>
      <w:pBdr>
        <w:top w:val="single" w:sz="4" w:space="1" w:color="000000"/>
      </w:pBdr>
      <w:spacing w:after="0"/>
      <w:rPr>
        <w:rFonts w:ascii="Verdana" w:eastAsia="Verdana" w:hAnsi="Verdana" w:cs="Verdana"/>
        <w:b/>
        <w:bCs/>
        <w:sz w:val="18"/>
        <w:szCs w:val="18"/>
      </w:rPr>
    </w:pPr>
    <w:r>
      <w:rPr>
        <w:rFonts w:ascii="Verdana" w:eastAsia="Verdana" w:hAnsi="Verdana" w:cs="Verdana"/>
        <w:b/>
        <w:bCs/>
        <w:sz w:val="18"/>
        <w:szCs w:val="18"/>
      </w:rPr>
      <w:t xml:space="preserve">Agencia Nacional de Contratación Pública                                              pág. </w:t>
    </w:r>
    <w:r>
      <w:rPr>
        <w:rFonts w:ascii="Verdana" w:eastAsia="Verdana" w:hAnsi="Verdana" w:cs="Verdana"/>
        <w:b/>
        <w:bCs/>
        <w:sz w:val="16"/>
        <w:szCs w:val="16"/>
      </w:rPr>
      <w:fldChar w:fldCharType="begin"/>
    </w:r>
    <w:r>
      <w:rPr>
        <w:rFonts w:ascii="Verdana" w:eastAsia="Verdana" w:hAnsi="Verdana" w:cs="Verdana"/>
        <w:b/>
        <w:bCs/>
        <w:sz w:val="16"/>
        <w:szCs w:val="16"/>
      </w:rPr>
      <w:instrText>PAGE</w:instrText>
    </w:r>
    <w:r>
      <w:rPr>
        <w:rFonts w:ascii="Verdana" w:eastAsia="Verdana" w:hAnsi="Verdana" w:cs="Verdana"/>
        <w:b/>
        <w:bCs/>
        <w:sz w:val="16"/>
        <w:szCs w:val="16"/>
      </w:rPr>
      <w:fldChar w:fldCharType="separate"/>
    </w:r>
    <w:r w:rsidR="003F1A41">
      <w:rPr>
        <w:rFonts w:ascii="Verdana" w:eastAsia="Verdana" w:hAnsi="Verdana" w:cs="Verdana"/>
        <w:b/>
        <w:bCs/>
        <w:noProof/>
        <w:sz w:val="16"/>
        <w:szCs w:val="16"/>
      </w:rPr>
      <w:t>1</w:t>
    </w:r>
    <w:r>
      <w:rPr>
        <w:rFonts w:ascii="Verdana" w:eastAsia="Verdana" w:hAnsi="Verdana" w:cs="Verdana"/>
        <w:b/>
        <w:bCs/>
        <w:sz w:val="16"/>
        <w:szCs w:val="16"/>
      </w:rPr>
      <w:fldChar w:fldCharType="end"/>
    </w:r>
    <w:r>
      <w:rPr>
        <w:rFonts w:ascii="Verdana" w:eastAsia="Verdana" w:hAnsi="Verdana" w:cs="Verdana"/>
        <w:b/>
        <w:bCs/>
        <w:sz w:val="18"/>
        <w:szCs w:val="18"/>
      </w:rPr>
      <w:t xml:space="preserve">              Colombia Compra Eficiente                                                            </w:t>
    </w:r>
  </w:p>
  <w:p w14:paraId="30E67DDC" w14:textId="77777777" w:rsidR="00865FCE" w:rsidRDefault="00F74249">
    <w:pPr>
      <w:spacing w:after="0"/>
      <w:jc w:val="both"/>
      <w:rPr>
        <w:rFonts w:ascii="Verdana" w:eastAsia="Verdana" w:hAnsi="Verdana" w:cs="Verdana"/>
        <w:sz w:val="18"/>
        <w:szCs w:val="18"/>
      </w:rPr>
    </w:pPr>
    <w:r>
      <w:rPr>
        <w:rFonts w:ascii="Verdana" w:eastAsia="Verdana" w:hAnsi="Verdana" w:cs="Verdana"/>
        <w:sz w:val="18"/>
        <w:szCs w:val="18"/>
      </w:rPr>
      <w:t>Dirección: Carrera 7 # 26 – 20 - Bogotá, Colombia</w:t>
    </w:r>
  </w:p>
  <w:p w14:paraId="15773CB6" w14:textId="77777777" w:rsidR="00865FCE" w:rsidRDefault="00F74249">
    <w:pPr>
      <w:spacing w:after="0"/>
      <w:jc w:val="both"/>
      <w:rPr>
        <w:rFonts w:ascii="Verdana" w:eastAsia="Verdana" w:hAnsi="Verdana" w:cs="Verdana"/>
        <w:sz w:val="18"/>
        <w:szCs w:val="18"/>
      </w:rPr>
    </w:pPr>
    <w:r>
      <w:rPr>
        <w:rFonts w:ascii="Verdana" w:eastAsia="Verdana" w:hAnsi="Verdana" w:cs="Verdana"/>
        <w:sz w:val="18"/>
        <w:szCs w:val="18"/>
      </w:rPr>
      <w:t>Mesa de servicio: (+57) 601 7456788</w:t>
    </w:r>
  </w:p>
  <w:p w14:paraId="1A60D927" w14:textId="77777777" w:rsidR="00865FCE" w:rsidRDefault="00F74249">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rPr>
    </w:pPr>
    <w:r>
      <w:rPr>
        <w:rFonts w:ascii="Verdana" w:eastAsia="Verdana" w:hAnsi="Verdana" w:cs="Verdana"/>
        <w:b/>
        <w:bCs/>
        <w:color w:val="000000"/>
        <w:sz w:val="18"/>
        <w:szCs w:val="18"/>
      </w:rPr>
      <w:t xml:space="preserve">Código: </w:t>
    </w:r>
    <w:r>
      <w:rPr>
        <w:rFonts w:ascii="Verdana" w:eastAsia="Verdana" w:hAnsi="Verdana" w:cs="Verdana"/>
        <w:color w:val="000000"/>
        <w:sz w:val="18"/>
        <w:szCs w:val="18"/>
      </w:rPr>
      <w:t xml:space="preserve">CCE-REC-FM-17 </w:t>
    </w:r>
    <w:r>
      <w:rPr>
        <w:rFonts w:ascii="Verdana" w:eastAsia="Verdana" w:hAnsi="Verdana" w:cs="Verdana"/>
        <w:b/>
        <w:bCs/>
        <w:color w:val="000000"/>
        <w:sz w:val="18"/>
        <w:szCs w:val="18"/>
      </w:rPr>
      <w:t xml:space="preserve">V: </w:t>
    </w:r>
    <w:r>
      <w:rPr>
        <w:rFonts w:ascii="Verdana" w:eastAsia="Verdana" w:hAnsi="Verdana" w:cs="Verdana"/>
        <w:sz w:val="18"/>
        <w:szCs w:val="18"/>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B66B7" w14:textId="77777777" w:rsidR="00D408E5" w:rsidRDefault="00D408E5">
      <w:pPr>
        <w:spacing w:after="0" w:line="240" w:lineRule="auto"/>
      </w:pPr>
      <w:r>
        <w:separator/>
      </w:r>
    </w:p>
  </w:footnote>
  <w:footnote w:type="continuationSeparator" w:id="0">
    <w:p w14:paraId="0885699C" w14:textId="77777777" w:rsidR="00D408E5" w:rsidRDefault="00D408E5">
      <w:pPr>
        <w:spacing w:after="0" w:line="240" w:lineRule="auto"/>
      </w:pPr>
      <w:r>
        <w:continuationSeparator/>
      </w:r>
    </w:p>
  </w:footnote>
  <w:footnote w:id="1">
    <w:p w14:paraId="4CC486D1"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hAnsi="Verdana" w:cs="Arial"/>
          <w:sz w:val="16"/>
          <w:szCs w:val="16"/>
          <w:vertAlign w:val="superscript"/>
        </w:rPr>
        <w:footnoteRef/>
      </w:r>
      <w:r w:rsidRPr="00EF359E">
        <w:rPr>
          <w:rFonts w:ascii="Verdana" w:eastAsia="Verdana" w:hAnsi="Verdana" w:cs="Arial"/>
          <w:color w:val="000000"/>
          <w:sz w:val="16"/>
          <w:szCs w:val="16"/>
        </w:rPr>
        <w:t xml:space="preserve"> Decreto 1068 de 2015: “Artículo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2A74CE4D"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eastAsia="Verdana" w:hAnsi="Verdana" w:cs="Arial"/>
          <w:color w:val="000000"/>
          <w:sz w:val="16"/>
          <w:szCs w:val="16"/>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5E1B39A9" w14:textId="77777777" w:rsidR="004E5875" w:rsidRPr="00EF359E" w:rsidRDefault="004E5875" w:rsidP="004E5875">
      <w:pPr>
        <w:pBdr>
          <w:top w:val="nil"/>
          <w:left w:val="nil"/>
          <w:bottom w:val="nil"/>
          <w:right w:val="nil"/>
          <w:between w:val="nil"/>
        </w:pBdr>
        <w:spacing w:after="0" w:line="240" w:lineRule="auto"/>
        <w:ind w:firstLine="708"/>
        <w:jc w:val="both"/>
        <w:rPr>
          <w:rFonts w:ascii="Verdana" w:eastAsia="Verdana" w:hAnsi="Verdana" w:cs="Arial"/>
          <w:color w:val="000000"/>
          <w:sz w:val="16"/>
          <w:szCs w:val="16"/>
        </w:rPr>
      </w:pPr>
      <w:r w:rsidRPr="00EF359E">
        <w:rPr>
          <w:rFonts w:ascii="Verdana" w:eastAsia="Verdana" w:hAnsi="Verdana" w:cs="Arial"/>
          <w:color w:val="000000"/>
          <w:sz w:val="16"/>
          <w:szCs w:val="16"/>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557FF27E" w14:textId="77777777" w:rsidR="004E5875" w:rsidRPr="00EF359E" w:rsidRDefault="004E5875" w:rsidP="004E5875">
      <w:pPr>
        <w:pBdr>
          <w:top w:val="nil"/>
          <w:left w:val="nil"/>
          <w:bottom w:val="nil"/>
          <w:right w:val="nil"/>
          <w:between w:val="nil"/>
        </w:pBdr>
        <w:spacing w:after="0" w:line="240" w:lineRule="auto"/>
        <w:ind w:firstLine="708"/>
        <w:jc w:val="both"/>
        <w:rPr>
          <w:rFonts w:ascii="Verdana" w:eastAsia="Verdana" w:hAnsi="Verdana" w:cs="Arial"/>
          <w:color w:val="000000"/>
          <w:sz w:val="16"/>
          <w:szCs w:val="16"/>
        </w:rPr>
      </w:pPr>
    </w:p>
  </w:footnote>
  <w:footnote w:id="2">
    <w:p w14:paraId="51B73C42"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hAnsi="Verdana" w:cs="Arial"/>
          <w:sz w:val="16"/>
          <w:szCs w:val="16"/>
          <w:vertAlign w:val="superscript"/>
        </w:rPr>
        <w:footnoteRef/>
      </w:r>
      <w:r w:rsidRPr="00EF359E">
        <w:rPr>
          <w:rFonts w:ascii="Verdana" w:eastAsia="Verdana" w:hAnsi="Verdana" w:cs="Arial"/>
          <w:color w:val="000000"/>
          <w:sz w:val="16"/>
          <w:szCs w:val="16"/>
        </w:rPr>
        <w:t xml:space="preserve"> 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7D8F82C5"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eastAsia="Verdana" w:hAnsi="Verdana" w:cs="Arial"/>
          <w:color w:val="000000"/>
          <w:sz w:val="16"/>
          <w:szCs w:val="16"/>
        </w:rPr>
        <w:t>2. Quien presta el servicio se denomina trabajador, quien lo recibe y remunera, empleador, y la remuneración, cualquiera que sea su forma, salario”.</w:t>
      </w:r>
    </w:p>
  </w:footnote>
  <w:footnote w:id="3">
    <w:p w14:paraId="0598B4C2"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hAnsi="Verdana" w:cs="Arial"/>
          <w:sz w:val="16"/>
          <w:szCs w:val="16"/>
          <w:vertAlign w:val="superscript"/>
        </w:rPr>
        <w:footnoteRef/>
      </w:r>
      <w:r w:rsidRPr="00EF359E">
        <w:rPr>
          <w:rFonts w:ascii="Verdana" w:eastAsia="Verdana" w:hAnsi="Verdana" w:cs="Arial"/>
          <w:color w:val="000000"/>
          <w:sz w:val="16"/>
          <w:szCs w:val="16"/>
        </w:rPr>
        <w:t xml:space="preserve"> </w:t>
      </w:r>
      <w:r w:rsidRPr="00EF359E">
        <w:rPr>
          <w:rFonts w:ascii="Verdana" w:eastAsia="Verdana" w:hAnsi="Verdana" w:cs="Arial"/>
          <w:color w:val="000000"/>
          <w:sz w:val="16"/>
          <w:szCs w:val="16"/>
        </w:rPr>
        <w:t>Ibíd.</w:t>
      </w:r>
    </w:p>
    <w:p w14:paraId="4E5B2D40"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p>
  </w:footnote>
  <w:footnote w:id="4">
    <w:p w14:paraId="1AE3C1A0"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hAnsi="Verdana" w:cs="Arial"/>
          <w:sz w:val="16"/>
          <w:szCs w:val="16"/>
          <w:vertAlign w:val="superscript"/>
        </w:rPr>
        <w:footnoteRef/>
      </w:r>
      <w:r w:rsidRPr="00EF359E">
        <w:rPr>
          <w:rFonts w:ascii="Verdana" w:eastAsia="Verdana" w:hAnsi="Verdana" w:cs="Arial"/>
          <w:color w:val="000000"/>
          <w:sz w:val="16"/>
          <w:szCs w:val="16"/>
        </w:rPr>
        <w:t xml:space="preserve"> 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2E87D4A4"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eastAsia="Verdana" w:hAnsi="Verdana" w:cs="Arial"/>
          <w:color w:val="000000"/>
          <w:sz w:val="16"/>
          <w:szCs w:val="16"/>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BF5764A"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eastAsia="Verdana" w:hAnsi="Verdana" w:cs="Arial"/>
          <w:color w:val="000000"/>
          <w:sz w:val="16"/>
          <w:szCs w:val="16"/>
        </w:rPr>
        <w:t>La Entidad Estatal, para la contratación de trabajos artísticos que solamente puedan en­comendarse a determinadas personas naturales, debe justificar esta situación en los estudios y documentos previos”.</w:t>
      </w:r>
    </w:p>
  </w:footnote>
  <w:footnote w:id="5">
    <w:p w14:paraId="02C7BF24"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hAnsi="Verdana" w:cs="Arial"/>
          <w:sz w:val="16"/>
          <w:szCs w:val="16"/>
          <w:vertAlign w:val="superscript"/>
        </w:rPr>
        <w:footnoteRef/>
      </w:r>
      <w:r w:rsidRPr="00EF359E">
        <w:rPr>
          <w:rFonts w:ascii="Verdana" w:eastAsia="Verdana" w:hAnsi="Verdana" w:cs="Arial"/>
          <w:color w:val="000000"/>
          <w:sz w:val="16"/>
          <w:szCs w:val="16"/>
        </w:rPr>
        <w:t xml:space="preserve"> Consejo de Estado. Sección Tercera. Subsección C. Sentencia del 2 de diciembre de 2013. </w:t>
      </w:r>
      <w:r w:rsidRPr="00EF359E">
        <w:rPr>
          <w:rFonts w:ascii="Verdana" w:eastAsia="Verdana" w:hAnsi="Verdana" w:cs="Arial"/>
          <w:color w:val="000000"/>
          <w:sz w:val="16"/>
          <w:szCs w:val="16"/>
        </w:rPr>
        <w:t>Exp. 41719. Consejero Ponente: Jaime Orlando Santofimio Gamboa.</w:t>
      </w:r>
    </w:p>
  </w:footnote>
  <w:footnote w:id="6">
    <w:p w14:paraId="43FC7BC7"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hAnsi="Verdana" w:cs="Arial"/>
          <w:sz w:val="16"/>
          <w:szCs w:val="16"/>
          <w:vertAlign w:val="superscript"/>
        </w:rPr>
        <w:footnoteRef/>
      </w:r>
      <w:r>
        <w:rPr>
          <w:rFonts w:ascii="Verdana" w:eastAsia="Verdana" w:hAnsi="Verdana" w:cs="Arial"/>
          <w:color w:val="000000"/>
          <w:sz w:val="16"/>
          <w:szCs w:val="16"/>
        </w:rPr>
        <w:t xml:space="preserve"> </w:t>
      </w:r>
      <w:r w:rsidRPr="00EF359E">
        <w:rPr>
          <w:rFonts w:ascii="Verdana" w:eastAsia="Verdana" w:hAnsi="Verdana" w:cs="Arial"/>
          <w:color w:val="000000"/>
          <w:sz w:val="16"/>
          <w:szCs w:val="16"/>
        </w:rPr>
        <w:t xml:space="preserve"> </w:t>
      </w:r>
      <w:r w:rsidRPr="00EF359E">
        <w:rPr>
          <w:rFonts w:ascii="Verdana" w:eastAsia="Verdana" w:hAnsi="Verdana" w:cs="Arial"/>
          <w:color w:val="000000"/>
          <w:sz w:val="16"/>
          <w:szCs w:val="16"/>
        </w:rPr>
        <w:t>Ibíd.</w:t>
      </w:r>
    </w:p>
  </w:footnote>
  <w:footnote w:id="7">
    <w:p w14:paraId="482567DF"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hAnsi="Verdana" w:cs="Arial"/>
          <w:sz w:val="16"/>
          <w:szCs w:val="16"/>
          <w:vertAlign w:val="superscript"/>
        </w:rPr>
        <w:footnoteRef/>
      </w:r>
      <w:r w:rsidRPr="00EF359E">
        <w:rPr>
          <w:rFonts w:ascii="Verdana" w:eastAsia="Verdana" w:hAnsi="Verdana" w:cs="Arial"/>
          <w:color w:val="000000"/>
          <w:sz w:val="16"/>
          <w:szCs w:val="16"/>
        </w:rPr>
        <w:t xml:space="preserve"> </w:t>
      </w:r>
      <w:r w:rsidRPr="00EF359E">
        <w:rPr>
          <w:rFonts w:ascii="Verdana" w:eastAsia="Verdana" w:hAnsi="Verdana" w:cs="Arial"/>
          <w:color w:val="000000"/>
          <w:sz w:val="16"/>
          <w:szCs w:val="16"/>
        </w:rPr>
        <w:t>Ibíd.</w:t>
      </w:r>
    </w:p>
  </w:footnote>
  <w:footnote w:id="8">
    <w:p w14:paraId="5E0EBA0A"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hAnsi="Verdana" w:cs="Arial"/>
          <w:sz w:val="16"/>
          <w:szCs w:val="16"/>
          <w:vertAlign w:val="superscript"/>
        </w:rPr>
        <w:footnoteRef/>
      </w:r>
      <w:r w:rsidRPr="00EF359E">
        <w:rPr>
          <w:rFonts w:ascii="Verdana" w:eastAsia="Verdana" w:hAnsi="Verdana" w:cs="Arial"/>
          <w:color w:val="000000"/>
          <w:sz w:val="16"/>
          <w:szCs w:val="16"/>
        </w:rPr>
        <w:t xml:space="preserve"> </w:t>
      </w:r>
      <w:r w:rsidRPr="00EF359E">
        <w:rPr>
          <w:rFonts w:ascii="Verdana" w:eastAsia="Verdana" w:hAnsi="Verdana" w:cs="Arial"/>
          <w:color w:val="000000"/>
          <w:sz w:val="16"/>
          <w:szCs w:val="16"/>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7603FE47"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eastAsia="Verdana" w:hAnsi="Verdana" w:cs="Arial"/>
          <w:color w:val="000000"/>
          <w:sz w:val="16"/>
          <w:szCs w:val="16"/>
        </w:rPr>
        <w:t>Son también contratos de consultoría los que tienen por objeto la interventoría, asesoría, gerencia de obra o de proyectos, dirección, programación y la ejecución de diseños, planos, anteproyectos y proyectos.</w:t>
      </w:r>
    </w:p>
    <w:p w14:paraId="123ED22C"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eastAsia="Verdana" w:hAnsi="Verdana" w:cs="Arial"/>
          <w:color w:val="000000"/>
          <w:sz w:val="16"/>
          <w:szCs w:val="16"/>
        </w:rPr>
        <w:t xml:space="preserve">Ninguna orden del interventor de una obra podrá darse verbalmente. Es obligatorio para el interventor entregar por escrito sus órdenes o sugerencias y ellas deben </w:t>
      </w:r>
      <w:r w:rsidRPr="00EF359E">
        <w:rPr>
          <w:rFonts w:ascii="Verdana" w:eastAsia="Verdana" w:hAnsi="Verdana" w:cs="Arial"/>
          <w:color w:val="000000"/>
          <w:sz w:val="16"/>
          <w:szCs w:val="16"/>
        </w:rPr>
        <w:t xml:space="preserve">enmarcarse dentro de los términos del respectivo contrato”. </w:t>
      </w:r>
    </w:p>
  </w:footnote>
  <w:footnote w:id="9">
    <w:p w14:paraId="0F119683"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hAnsi="Verdana" w:cs="Arial"/>
          <w:sz w:val="16"/>
          <w:szCs w:val="16"/>
          <w:vertAlign w:val="superscript"/>
        </w:rPr>
        <w:footnoteRef/>
      </w:r>
      <w:r w:rsidRPr="00EF359E">
        <w:rPr>
          <w:rFonts w:ascii="Verdana" w:eastAsia="Verdana" w:hAnsi="Verdana" w:cs="Arial"/>
          <w:color w:val="000000"/>
          <w:sz w:val="16"/>
          <w:szCs w:val="16"/>
        </w:rPr>
        <w:t xml:space="preserve"> Así lo prevé el artículo 2.2.1.2.1.4.1. del Decreto 1082 de 2015: “La Entidad Estatal debe señalar en un acto administrativo la justificación para contratar bajo la modalidad de contratación directa, el cual debe contener:</w:t>
      </w:r>
    </w:p>
    <w:p w14:paraId="30C7DFBB"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eastAsia="Verdana" w:hAnsi="Verdana" w:cs="Arial"/>
          <w:color w:val="000000"/>
          <w:sz w:val="16"/>
          <w:szCs w:val="16"/>
        </w:rPr>
        <w:t>1. La causal que invoca para contratar directamente.</w:t>
      </w:r>
    </w:p>
    <w:p w14:paraId="7EDECEFD"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eastAsia="Verdana" w:hAnsi="Verdana" w:cs="Arial"/>
          <w:color w:val="000000"/>
          <w:sz w:val="16"/>
          <w:szCs w:val="16"/>
        </w:rPr>
        <w:t>2. El objeto del contrato.</w:t>
      </w:r>
    </w:p>
    <w:p w14:paraId="44B7B9BE"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eastAsia="Verdana" w:hAnsi="Verdana" w:cs="Arial"/>
          <w:color w:val="000000"/>
          <w:sz w:val="16"/>
          <w:szCs w:val="16"/>
        </w:rPr>
        <w:t>3. El presupuesto para la contratación y las condiciones que exigirá al contratista.</w:t>
      </w:r>
    </w:p>
    <w:p w14:paraId="575D9559"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eastAsia="Verdana" w:hAnsi="Verdana" w:cs="Arial"/>
          <w:color w:val="000000"/>
          <w:sz w:val="16"/>
          <w:szCs w:val="16"/>
        </w:rPr>
        <w:t>4. El lugar en el cual los interesados pueden consultar los estudios y documentos previos.</w:t>
      </w:r>
    </w:p>
    <w:p w14:paraId="3C3763AE"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eastAsia="Verdana" w:hAnsi="Verdana" w:cs="Arial"/>
          <w:color w:val="000000"/>
          <w:sz w:val="16"/>
          <w:szCs w:val="16"/>
        </w:rPr>
        <w:t>Este acto administrativo no es necesario cuando el contrato a celebrar es de prestación de servicios profesionales y de apoyo a la gestión, y para los contratos de que tratan los literales (a) y (b) del artículo 2.2.1.2.1.4.3 del presente decreto.</w:t>
      </w:r>
    </w:p>
  </w:footnote>
  <w:footnote w:id="10">
    <w:p w14:paraId="33F7D6B7"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hAnsi="Verdana" w:cs="Arial"/>
          <w:sz w:val="16"/>
          <w:szCs w:val="16"/>
          <w:vertAlign w:val="superscript"/>
        </w:rPr>
        <w:footnoteRef/>
      </w:r>
      <w:r w:rsidRPr="00EF359E">
        <w:rPr>
          <w:rFonts w:ascii="Verdana" w:eastAsia="Verdana" w:hAnsi="Verdana" w:cs="Arial"/>
          <w:color w:val="000000"/>
          <w:sz w:val="16"/>
          <w:szCs w:val="16"/>
        </w:rPr>
        <w:t xml:space="preserve"> Esta norma expresa: “Para el cumplimiento de los fines de la contratación, las entidades estatales al celebrar un contrato:</w:t>
      </w:r>
    </w:p>
    <w:p w14:paraId="45F4EF6A"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eastAsia="Verdana" w:hAnsi="Verdana" w:cs="Arial"/>
          <w:color w:val="000000"/>
          <w:sz w:val="16"/>
          <w:szCs w:val="16"/>
        </w:rPr>
        <w:t>[…]</w:t>
      </w:r>
    </w:p>
    <w:p w14:paraId="6091938B"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eastAsia="Verdana" w:hAnsi="Verdana" w:cs="Arial"/>
          <w:color w:val="000000"/>
          <w:sz w:val="16"/>
          <w:szCs w:val="16"/>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4BD613C3"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eastAsia="Verdana" w:hAnsi="Verdana" w:cs="Arial"/>
          <w:color w:val="000000"/>
          <w:sz w:val="16"/>
          <w:szCs w:val="16"/>
        </w:rPr>
        <w:t>Las entidades estatales podrán pactar estas cláusulas en los contratos de suministro y de prestación de servicios.</w:t>
      </w:r>
    </w:p>
    <w:p w14:paraId="6EC0F8A1"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eastAsia="Verdana" w:hAnsi="Verdana" w:cs="Arial"/>
          <w:color w:val="000000"/>
          <w:sz w:val="16"/>
          <w:szCs w:val="16"/>
        </w:rPr>
        <w:t>[…]”.</w:t>
      </w:r>
    </w:p>
  </w:footnote>
  <w:footnote w:id="11">
    <w:p w14:paraId="7C0F1BB1"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hAnsi="Verdana" w:cs="Arial"/>
          <w:sz w:val="16"/>
          <w:szCs w:val="16"/>
          <w:vertAlign w:val="superscript"/>
        </w:rPr>
        <w:footnoteRef/>
      </w:r>
      <w:r w:rsidRPr="00EF359E">
        <w:rPr>
          <w:rFonts w:ascii="Verdana" w:eastAsia="Verdana" w:hAnsi="Verdana" w:cs="Arial"/>
          <w:color w:val="000000"/>
          <w:sz w:val="16"/>
          <w:szCs w:val="16"/>
        </w:rPr>
        <w:t xml:space="preserve"> La norma dispone: “La liquidación a que se refiere el presente artículo no será obligatoria en los contratos de prestación de servicios profesionales y de apoyo a la gestión”.</w:t>
      </w:r>
    </w:p>
  </w:footnote>
  <w:footnote w:id="12">
    <w:p w14:paraId="6AA64205"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hAnsi="Verdana" w:cs="Arial"/>
          <w:sz w:val="16"/>
          <w:szCs w:val="16"/>
          <w:vertAlign w:val="superscript"/>
        </w:rPr>
        <w:footnoteRef/>
      </w:r>
      <w:r w:rsidRPr="00EF359E">
        <w:rPr>
          <w:rFonts w:ascii="Verdana" w:eastAsia="Verdana" w:hAnsi="Verdana" w:cs="Arial"/>
          <w:color w:val="000000"/>
          <w:sz w:val="16"/>
          <w:szCs w:val="16"/>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73FA93D"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eastAsia="Verdana" w:hAnsi="Verdana" w:cs="Arial"/>
          <w:color w:val="000000"/>
          <w:sz w:val="16"/>
          <w:szCs w:val="16"/>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w:t>
      </w:r>
      <w:r w:rsidRPr="00EF359E">
        <w:rPr>
          <w:rFonts w:ascii="Verdana" w:eastAsia="Verdana" w:hAnsi="Verdana" w:cs="Arial"/>
          <w:color w:val="000000"/>
          <w:sz w:val="16"/>
          <w:szCs w:val="16"/>
        </w:rPr>
        <w:t>proponentes.[…]”.</w:t>
      </w:r>
    </w:p>
  </w:footnote>
  <w:footnote w:id="13">
    <w:p w14:paraId="304C4075"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r w:rsidRPr="00EF359E">
        <w:rPr>
          <w:rFonts w:ascii="Verdana" w:hAnsi="Verdana" w:cs="Arial"/>
          <w:sz w:val="16"/>
          <w:szCs w:val="16"/>
          <w:vertAlign w:val="superscript"/>
        </w:rPr>
        <w:footnoteRef/>
      </w:r>
      <w:r w:rsidRPr="00EF359E">
        <w:rPr>
          <w:rFonts w:ascii="Verdana" w:eastAsia="Verdana" w:hAnsi="Verdana" w:cs="Arial"/>
          <w:color w:val="000000"/>
          <w:sz w:val="16"/>
          <w:szCs w:val="16"/>
        </w:rPr>
        <w:t xml:space="preserve"> 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7851A44A" w14:textId="77777777" w:rsidR="004E5875" w:rsidRPr="00EF359E" w:rsidRDefault="004E5875" w:rsidP="004E5875">
      <w:pPr>
        <w:pBdr>
          <w:top w:val="nil"/>
          <w:left w:val="nil"/>
          <w:bottom w:val="nil"/>
          <w:right w:val="nil"/>
          <w:between w:val="nil"/>
        </w:pBdr>
        <w:spacing w:after="0" w:line="240" w:lineRule="auto"/>
        <w:ind w:firstLine="709"/>
        <w:jc w:val="both"/>
        <w:rPr>
          <w:rFonts w:ascii="Verdana" w:eastAsia="Verdana" w:hAnsi="Verdana" w:cs="Arial"/>
          <w:color w:val="000000"/>
          <w:sz w:val="16"/>
          <w:szCs w:val="16"/>
        </w:rPr>
      </w:pPr>
    </w:p>
  </w:footnote>
  <w:footnote w:id="14">
    <w:p w14:paraId="6F189847" w14:textId="77777777" w:rsidR="004E5875" w:rsidRPr="002D3AEA" w:rsidRDefault="004E5875" w:rsidP="004E5875">
      <w:pPr>
        <w:pStyle w:val="Textonotapie"/>
        <w:ind w:firstLine="720"/>
        <w:jc w:val="both"/>
        <w:rPr>
          <w:rFonts w:ascii="Verdana" w:hAnsi="Verdana"/>
          <w:sz w:val="16"/>
          <w:szCs w:val="16"/>
          <w:lang w:val="es-CO"/>
        </w:rPr>
      </w:pPr>
      <w:r w:rsidRPr="002D3AEA">
        <w:rPr>
          <w:rStyle w:val="Refdenotaalpie"/>
          <w:rFonts w:ascii="Verdana" w:hAnsi="Verdana"/>
          <w:sz w:val="16"/>
          <w:szCs w:val="16"/>
        </w:rPr>
        <w:footnoteRef/>
      </w:r>
      <w:r w:rsidRPr="002D3AEA">
        <w:rPr>
          <w:rFonts w:ascii="Verdana" w:hAnsi="Verdana"/>
          <w:sz w:val="16"/>
          <w:szCs w:val="16"/>
        </w:rPr>
        <w:t xml:space="preserve"> </w:t>
      </w:r>
      <w:r w:rsidRPr="002D3AEA">
        <w:rPr>
          <w:rFonts w:ascii="Verdana" w:hAnsi="Verdana"/>
          <w:sz w:val="16"/>
          <w:szCs w:val="16"/>
          <w:lang w:val="es-CO"/>
        </w:rPr>
        <w:t>ARTÍCULO</w:t>
      </w:r>
      <w:bookmarkStart w:id="3" w:name="2.2.4.2.2.15"/>
      <w:bookmarkEnd w:id="3"/>
      <w:r w:rsidRPr="002D3AEA">
        <w:rPr>
          <w:rFonts w:ascii="Verdana" w:hAnsi="Verdana"/>
          <w:sz w:val="16"/>
          <w:szCs w:val="16"/>
          <w:lang w:val="es-CO"/>
        </w:rPr>
        <w:t xml:space="preserve"> 2.2.4.2.2.15</w:t>
      </w:r>
      <w:r w:rsidRPr="002D3AEA">
        <w:rPr>
          <w:rFonts w:ascii="Verdana" w:hAnsi="Verdana"/>
          <w:i/>
          <w:iCs/>
          <w:sz w:val="16"/>
          <w:szCs w:val="16"/>
          <w:lang w:val="es-CO"/>
        </w:rPr>
        <w:t>. Obligaciones del contratante</w:t>
      </w:r>
      <w:r w:rsidRPr="002D3AEA">
        <w:rPr>
          <w:rFonts w:ascii="Verdana" w:hAnsi="Verdana"/>
          <w:b/>
          <w:bCs/>
          <w:i/>
          <w:iCs/>
          <w:sz w:val="16"/>
          <w:szCs w:val="16"/>
          <w:lang w:val="es-CO"/>
        </w:rPr>
        <w:t>.</w:t>
      </w:r>
      <w:r w:rsidRPr="002D3AEA">
        <w:rPr>
          <w:rFonts w:ascii="Verdana" w:hAnsi="Verdana"/>
          <w:b/>
          <w:bCs/>
          <w:sz w:val="16"/>
          <w:szCs w:val="16"/>
          <w:lang w:val="es-CO"/>
        </w:rPr>
        <w:t xml:space="preserve"> </w:t>
      </w:r>
      <w:r w:rsidRPr="002D3AEA">
        <w:rPr>
          <w:rFonts w:ascii="Verdana" w:hAnsi="Verdana"/>
          <w:sz w:val="16"/>
          <w:szCs w:val="16"/>
          <w:lang w:val="es-CO"/>
        </w:rPr>
        <w:t>El contratante debe cumplir con las normas del Sistema General de Riesgos Laborales, en especial, las siguientes:</w:t>
      </w:r>
    </w:p>
    <w:p w14:paraId="1D96BD21" w14:textId="77777777" w:rsidR="004E5875" w:rsidRPr="002D3AEA" w:rsidRDefault="004E5875" w:rsidP="004E5875">
      <w:pPr>
        <w:pStyle w:val="Textonotapie"/>
        <w:ind w:firstLine="720"/>
        <w:jc w:val="both"/>
        <w:rPr>
          <w:rFonts w:ascii="Verdana" w:hAnsi="Verdana"/>
          <w:sz w:val="16"/>
          <w:szCs w:val="16"/>
          <w:lang w:val="es-CO"/>
        </w:rPr>
      </w:pPr>
      <w:bookmarkStart w:id="4" w:name="2.2.4.2.2.15.1"/>
      <w:bookmarkEnd w:id="4"/>
      <w:r w:rsidRPr="002D3AEA">
        <w:rPr>
          <w:rFonts w:ascii="Verdana" w:hAnsi="Verdana"/>
          <w:sz w:val="16"/>
          <w:szCs w:val="16"/>
          <w:lang w:val="es-CO"/>
        </w:rPr>
        <w:t>1. Reportar a la Administradora de Riesgos Laborales los accidentes de trabajo y enfermedades laborales.</w:t>
      </w:r>
    </w:p>
    <w:p w14:paraId="3AE24CAB" w14:textId="77777777" w:rsidR="004E5875" w:rsidRPr="002D3AEA" w:rsidRDefault="004E5875" w:rsidP="004E5875">
      <w:pPr>
        <w:pStyle w:val="Textonotapie"/>
        <w:ind w:firstLine="720"/>
        <w:jc w:val="both"/>
        <w:rPr>
          <w:rFonts w:ascii="Verdana" w:hAnsi="Verdana"/>
          <w:sz w:val="16"/>
          <w:szCs w:val="16"/>
          <w:lang w:val="es-CO"/>
        </w:rPr>
      </w:pPr>
      <w:bookmarkStart w:id="5" w:name="2.2.4.2.2.15.2"/>
      <w:bookmarkEnd w:id="5"/>
      <w:r w:rsidRPr="002D3AEA">
        <w:rPr>
          <w:rFonts w:ascii="Verdana" w:hAnsi="Verdana"/>
          <w:sz w:val="16"/>
          <w:szCs w:val="16"/>
          <w:lang w:val="es-CO"/>
        </w:rPr>
        <w:t>2. Investigar todos los incidentes y accidentes de trabajo.</w:t>
      </w:r>
    </w:p>
    <w:p w14:paraId="16A40002" w14:textId="77777777" w:rsidR="004E5875" w:rsidRPr="002D3AEA" w:rsidRDefault="004E5875" w:rsidP="004E5875">
      <w:pPr>
        <w:pStyle w:val="Textonotapie"/>
        <w:ind w:firstLine="720"/>
        <w:jc w:val="both"/>
        <w:rPr>
          <w:rFonts w:ascii="Verdana" w:hAnsi="Verdana"/>
          <w:sz w:val="16"/>
          <w:szCs w:val="16"/>
          <w:lang w:val="es-CO"/>
        </w:rPr>
      </w:pPr>
      <w:bookmarkStart w:id="6" w:name="2.2.4.2.2.15.3"/>
      <w:bookmarkEnd w:id="6"/>
      <w:r w:rsidRPr="002D3AEA">
        <w:rPr>
          <w:rFonts w:ascii="Verdana" w:hAnsi="Verdana"/>
          <w:sz w:val="16"/>
          <w:szCs w:val="16"/>
          <w:lang w:val="es-CO"/>
        </w:rPr>
        <w:t>3. Realizar actividades de prevención y promoción.</w:t>
      </w:r>
    </w:p>
    <w:p w14:paraId="2CA115EF" w14:textId="77777777" w:rsidR="004E5875" w:rsidRPr="002D3AEA" w:rsidRDefault="004E5875" w:rsidP="004E5875">
      <w:pPr>
        <w:pStyle w:val="Textonotapie"/>
        <w:ind w:firstLine="720"/>
        <w:jc w:val="both"/>
        <w:rPr>
          <w:rFonts w:ascii="Verdana" w:hAnsi="Verdana"/>
          <w:sz w:val="16"/>
          <w:szCs w:val="16"/>
          <w:lang w:val="es-CO"/>
        </w:rPr>
      </w:pPr>
      <w:bookmarkStart w:id="7" w:name="2.2.4.2.2.15.4"/>
      <w:bookmarkEnd w:id="7"/>
      <w:r w:rsidRPr="002D3AEA">
        <w:rPr>
          <w:rFonts w:ascii="Verdana" w:hAnsi="Verdana"/>
          <w:sz w:val="16"/>
          <w:szCs w:val="16"/>
          <w:lang w:val="es-CO"/>
        </w:rPr>
        <w:t>4. Incluir a las personas que les aplica la presente sección en el Sistema de Gestión de Seguridad y Salud en el Trabajo.</w:t>
      </w:r>
    </w:p>
    <w:p w14:paraId="3AD3370F" w14:textId="77777777" w:rsidR="004E5875" w:rsidRPr="002D3AEA" w:rsidRDefault="004E5875" w:rsidP="004E5875">
      <w:pPr>
        <w:pStyle w:val="Textonotapie"/>
        <w:ind w:firstLine="720"/>
        <w:jc w:val="both"/>
        <w:rPr>
          <w:rFonts w:ascii="Verdana" w:hAnsi="Verdana"/>
          <w:sz w:val="16"/>
          <w:szCs w:val="16"/>
          <w:lang w:val="es-CO"/>
        </w:rPr>
      </w:pPr>
      <w:bookmarkStart w:id="8" w:name="2.2.4.2.2.15.5"/>
      <w:bookmarkEnd w:id="8"/>
      <w:r w:rsidRPr="002D3AEA">
        <w:rPr>
          <w:rFonts w:ascii="Verdana" w:hAnsi="Verdana"/>
          <w:sz w:val="16"/>
          <w:szCs w:val="16"/>
          <w:lang w:val="es-CO"/>
        </w:rPr>
        <w:t>5. Permitir la participación del contratista en las capacitaciones que realice el Comité Paritario de Seguridad y Salud en el Trabajo.</w:t>
      </w:r>
    </w:p>
    <w:p w14:paraId="53F40DFE" w14:textId="77777777" w:rsidR="004E5875" w:rsidRPr="002D3AEA" w:rsidRDefault="004E5875" w:rsidP="004E5875">
      <w:pPr>
        <w:pStyle w:val="Textonotapie"/>
        <w:ind w:firstLine="720"/>
        <w:jc w:val="both"/>
        <w:rPr>
          <w:rFonts w:ascii="Verdana" w:hAnsi="Verdana"/>
          <w:sz w:val="16"/>
          <w:szCs w:val="16"/>
          <w:lang w:val="es-CO"/>
        </w:rPr>
      </w:pPr>
      <w:bookmarkStart w:id="9" w:name="2.2.4.2.2.15.6"/>
      <w:bookmarkEnd w:id="9"/>
      <w:r w:rsidRPr="002D3AEA">
        <w:rPr>
          <w:rFonts w:ascii="Verdana" w:hAnsi="Verdana"/>
          <w:sz w:val="16"/>
          <w:szCs w:val="16"/>
          <w:lang w:val="es-CO"/>
        </w:rPr>
        <w:t>6. Verificar en cualquier momento el cumplimiento de los requisitos de seguridad y salud necesarios para cumplir la actividad contratada de las personas a las que les aplica la presente sección.</w:t>
      </w:r>
    </w:p>
    <w:p w14:paraId="54C9B76B" w14:textId="77777777" w:rsidR="004E5875" w:rsidRPr="002D3AEA" w:rsidRDefault="004E5875" w:rsidP="004E5875">
      <w:pPr>
        <w:pStyle w:val="Textonotapie"/>
        <w:ind w:firstLine="720"/>
        <w:jc w:val="both"/>
        <w:rPr>
          <w:rFonts w:ascii="Verdana" w:hAnsi="Verdana"/>
          <w:sz w:val="16"/>
          <w:szCs w:val="16"/>
          <w:lang w:val="es-CO"/>
        </w:rPr>
      </w:pPr>
      <w:bookmarkStart w:id="10" w:name="2.2.4.2.2.15.7"/>
      <w:bookmarkEnd w:id="10"/>
      <w:r w:rsidRPr="002D3AEA">
        <w:rPr>
          <w:rFonts w:ascii="Verdana" w:hAnsi="Verdana"/>
          <w:sz w:val="16"/>
          <w:szCs w:val="16"/>
          <w:lang w:val="es-CO"/>
        </w:rPr>
        <w:t>7. Informar a los contratistas afiliados en riesgo IV y/o V sobre los aportes efectuados al Sistema General de Riesgos Laborales.</w:t>
      </w:r>
    </w:p>
    <w:p w14:paraId="598E5E29" w14:textId="77777777" w:rsidR="004E5875" w:rsidRPr="002D3AEA" w:rsidRDefault="004E5875" w:rsidP="004E5875">
      <w:pPr>
        <w:pStyle w:val="Textonotapie"/>
        <w:ind w:firstLine="720"/>
        <w:jc w:val="both"/>
        <w:rPr>
          <w:rFonts w:ascii="Verdana" w:hAnsi="Verdana"/>
          <w:sz w:val="16"/>
          <w:szCs w:val="16"/>
          <w:lang w:val="es-CO"/>
        </w:rPr>
      </w:pPr>
      <w:bookmarkStart w:id="11" w:name="2.2.4.2.2.15.8"/>
      <w:bookmarkEnd w:id="11"/>
      <w:r w:rsidRPr="002D3AEA">
        <w:rPr>
          <w:rFonts w:ascii="Verdana" w:hAnsi="Verdana"/>
          <w:sz w:val="16"/>
          <w:szCs w:val="16"/>
          <w:lang w:val="es-CO"/>
        </w:rPr>
        <w:t>8. Adoptar los mecanismos necesarios para realizar el pago mes vencido de la cotización, cuando el pago del aporte esté a su cargo.</w:t>
      </w:r>
    </w:p>
    <w:p w14:paraId="45BF2003" w14:textId="77777777" w:rsidR="004E5875" w:rsidRPr="002D3AEA" w:rsidRDefault="004E5875" w:rsidP="004E5875">
      <w:pPr>
        <w:pStyle w:val="Textonotapie"/>
        <w:ind w:firstLine="720"/>
        <w:jc w:val="both"/>
        <w:rPr>
          <w:rFonts w:ascii="Verdana" w:hAnsi="Verdana"/>
          <w:sz w:val="16"/>
          <w:szCs w:val="16"/>
          <w:lang w:val="es-CO"/>
        </w:rPr>
      </w:pPr>
      <w:bookmarkStart w:id="12" w:name="2.2.4.2.2.15.9"/>
      <w:bookmarkEnd w:id="12"/>
      <w:r w:rsidRPr="002D3AEA">
        <w:rPr>
          <w:rFonts w:ascii="Verdana" w:hAnsi="Verdana"/>
          <w:sz w:val="16"/>
          <w:szCs w:val="16"/>
          <w:lang w:val="es-CO"/>
        </w:rPr>
        <w:t>9. Suministrar, a sus contratistas, los elementos de protección personal necesarios para ejecutar la actividad contratada</w:t>
      </w:r>
    </w:p>
    <w:p w14:paraId="503BFA1E" w14:textId="77777777" w:rsidR="004E5875" w:rsidRPr="00221DEA" w:rsidRDefault="004E5875" w:rsidP="004E5875">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1DD54" w14:textId="77777777" w:rsidR="00865FCE" w:rsidRDefault="00F74249">
    <w:pPr>
      <w:pBdr>
        <w:top w:val="nil"/>
        <w:left w:val="nil"/>
        <w:bottom w:val="nil"/>
        <w:right w:val="nil"/>
        <w:between w:val="nil"/>
      </w:pBdr>
      <w:tabs>
        <w:tab w:val="center" w:pos="4419"/>
        <w:tab w:val="right" w:pos="8838"/>
      </w:tabs>
      <w:spacing w:after="0" w:line="120" w:lineRule="auto"/>
      <w:rPr>
        <w:color w:val="000000"/>
      </w:rPr>
    </w:pPr>
    <w:r>
      <w:rPr>
        <w:rFonts w:ascii="Geom" w:eastAsia="Geom" w:hAnsi="Geom" w:cs="Geom"/>
        <w:b/>
        <w:bCs/>
        <w:noProof/>
        <w:color w:val="002060"/>
        <w:sz w:val="24"/>
        <w:szCs w:val="24"/>
      </w:rPr>
      <w:drawing>
        <wp:anchor distT="0" distB="0" distL="114300" distR="114300" simplePos="0" relativeHeight="251658240" behindDoc="0" locked="0" layoutInCell="1" hidden="0" allowOverlap="1" wp14:anchorId="4D859C7E" wp14:editId="19D15B1A">
          <wp:simplePos x="0" y="0"/>
          <wp:positionH relativeFrom="margin">
            <wp:posOffset>8420100</wp:posOffset>
          </wp:positionH>
          <wp:positionV relativeFrom="margin">
            <wp:posOffset>-1377949</wp:posOffset>
          </wp:positionV>
          <wp:extent cx="665480" cy="3098800"/>
          <wp:effectExtent l="0" t="0" r="0" b="0"/>
          <wp:wrapSquare wrapText="bothSides" distT="0" distB="0" distL="114300" distR="11430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665480" cy="3098800"/>
                  </a:xfrm>
                  <a:prstGeom prst="rect">
                    <a:avLst/>
                  </a:prstGeom>
                  <a:ln/>
                </pic:spPr>
              </pic:pic>
            </a:graphicData>
          </a:graphic>
        </wp:anchor>
      </w:drawing>
    </w:r>
    <w:r>
      <w:rPr>
        <w:noProof/>
      </w:rPr>
      <w:drawing>
        <wp:anchor distT="0" distB="0" distL="0" distR="0" simplePos="0" relativeHeight="251659264" behindDoc="1" locked="0" layoutInCell="1" hidden="0" allowOverlap="1" wp14:anchorId="0FA0B94F" wp14:editId="23F1BC68">
          <wp:simplePos x="0" y="0"/>
          <wp:positionH relativeFrom="column">
            <wp:posOffset>1844040</wp:posOffset>
          </wp:positionH>
          <wp:positionV relativeFrom="paragraph">
            <wp:posOffset>-256386</wp:posOffset>
          </wp:positionV>
          <wp:extent cx="1924050" cy="856004"/>
          <wp:effectExtent l="0" t="0" r="0" b="0"/>
          <wp:wrapNone/>
          <wp:docPr id="1" name="image3.png" descr="Imagen que contiene Interfaz de usuario gráfic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magen que contiene Interfaz de usuario gráfica&#10;&#10;Descripción generada automáticamente"/>
                  <pic:cNvPicPr preferRelativeResize="0"/>
                </pic:nvPicPr>
                <pic:blipFill>
                  <a:blip r:embed="rId2"/>
                  <a:srcRect/>
                  <a:stretch>
                    <a:fillRect/>
                  </a:stretch>
                </pic:blipFill>
                <pic:spPr>
                  <a:xfrm>
                    <a:off x="0" y="0"/>
                    <a:ext cx="1924050" cy="856004"/>
                  </a:xfrm>
                  <a:prstGeom prst="rect">
                    <a:avLst/>
                  </a:prstGeom>
                  <a:ln/>
                </pic:spPr>
              </pic:pic>
            </a:graphicData>
          </a:graphic>
        </wp:anchor>
      </w:drawing>
    </w:r>
  </w:p>
  <w:p w14:paraId="59D4C6FE" w14:textId="77777777" w:rsidR="00865FCE" w:rsidRDefault="00865FCE">
    <w:pPr>
      <w:pBdr>
        <w:top w:val="nil"/>
        <w:left w:val="nil"/>
        <w:bottom w:val="nil"/>
        <w:right w:val="nil"/>
        <w:between w:val="nil"/>
      </w:pBdr>
      <w:tabs>
        <w:tab w:val="center" w:pos="4419"/>
        <w:tab w:val="right" w:pos="8838"/>
      </w:tabs>
      <w:spacing w:after="0" w:line="240" w:lineRule="auto"/>
      <w:rPr>
        <w:color w:val="000000"/>
      </w:rPr>
    </w:pPr>
  </w:p>
  <w:p w14:paraId="52E2D231" w14:textId="77777777" w:rsidR="00865FCE" w:rsidRDefault="00865FCE">
    <w:pPr>
      <w:spacing w:after="0" w:line="120" w:lineRule="auto"/>
      <w:rPr>
        <w:rFonts w:ascii="Century Gothic" w:eastAsia="Century Gothic" w:hAnsi="Century Gothic" w:cs="Century Gothic"/>
        <w:sz w:val="16"/>
        <w:szCs w:val="16"/>
      </w:rPr>
    </w:pPr>
  </w:p>
  <w:p w14:paraId="62A68C6C" w14:textId="77777777" w:rsidR="00865FCE" w:rsidRDefault="00865FCE">
    <w:pPr>
      <w:spacing w:after="0" w:line="240" w:lineRule="auto"/>
      <w:rPr>
        <w:rFonts w:ascii="Verdana" w:eastAsia="Verdana" w:hAnsi="Verdana" w:cs="Verdana"/>
        <w:sz w:val="24"/>
        <w:szCs w:val="24"/>
      </w:rPr>
    </w:pPr>
  </w:p>
  <w:p w14:paraId="2A65F748" w14:textId="77777777" w:rsidR="00865FCE" w:rsidRDefault="00865FCE">
    <w:pPr>
      <w:spacing w:after="0" w:line="240" w:lineRule="auto"/>
      <w:rPr>
        <w:rFonts w:ascii="Verdana" w:eastAsia="Verdana" w:hAnsi="Verdana" w:cs="Verdana"/>
        <w:sz w:val="24"/>
        <w:szCs w:val="24"/>
      </w:rPr>
    </w:pPr>
  </w:p>
  <w:p w14:paraId="24CC5C26" w14:textId="77777777" w:rsidR="00865FCE" w:rsidRDefault="00F74249">
    <w:pPr>
      <w:spacing w:after="0" w:line="480" w:lineRule="auto"/>
      <w:rPr>
        <w:rFonts w:ascii="Verdana" w:eastAsia="Verdana" w:hAnsi="Verdana" w:cs="Verdana"/>
        <w:b/>
        <w:bCs/>
        <w:sz w:val="24"/>
        <w:szCs w:val="24"/>
      </w:rPr>
    </w:pPr>
    <w:r>
      <w:rPr>
        <w:rFonts w:ascii="Verdana" w:eastAsia="Verdana" w:hAnsi="Verdana" w:cs="Verdana"/>
        <w:b/>
        <w:bCs/>
        <w:sz w:val="24"/>
        <w:szCs w:val="24"/>
      </w:rPr>
      <w:t>FORMATO DE RESPUESTA 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C41DA"/>
    <w:multiLevelType w:val="hybridMultilevel"/>
    <w:tmpl w:val="8D74FD2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8856BFF"/>
    <w:multiLevelType w:val="hybridMultilevel"/>
    <w:tmpl w:val="288CED8C"/>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B0E2182"/>
    <w:multiLevelType w:val="multilevel"/>
    <w:tmpl w:val="630C340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EA130B9"/>
    <w:multiLevelType w:val="multilevel"/>
    <w:tmpl w:val="E786981C"/>
    <w:lvl w:ilvl="0">
      <w:start w:val="1"/>
      <w:numFmt w:val="upperRoman"/>
      <w:lvlText w:val="%1."/>
      <w:lvlJc w:val="right"/>
      <w:pPr>
        <w:ind w:left="1068" w:hanging="360"/>
      </w:pPr>
      <w:rPr>
        <w:b/>
        <w:bCs/>
        <w:color w:val="000000"/>
      </w:rPr>
    </w:lvl>
    <w:lvl w:ilvl="1">
      <w:start w:val="2"/>
      <w:numFmt w:val="decimal"/>
      <w:lvlText w:val="%1.%2"/>
      <w:lvlJc w:val="left"/>
      <w:pPr>
        <w:ind w:left="708" w:hanging="360"/>
      </w:pPr>
    </w:lvl>
    <w:lvl w:ilvl="2">
      <w:start w:val="1"/>
      <w:numFmt w:val="decimal"/>
      <w:lvlText w:val="%1.%2.%3"/>
      <w:lvlJc w:val="left"/>
      <w:pPr>
        <w:ind w:left="1428" w:hanging="719"/>
      </w:pPr>
    </w:lvl>
    <w:lvl w:ilvl="3">
      <w:start w:val="1"/>
      <w:numFmt w:val="decimal"/>
      <w:lvlText w:val="%1.%2.%3.%4"/>
      <w:lvlJc w:val="left"/>
      <w:pPr>
        <w:ind w:left="1428" w:hanging="719"/>
      </w:pPr>
    </w:lvl>
    <w:lvl w:ilvl="4">
      <w:start w:val="1"/>
      <w:numFmt w:val="decimal"/>
      <w:lvlText w:val="%1.%2.%3.%4.%5"/>
      <w:lvlJc w:val="left"/>
      <w:pPr>
        <w:ind w:left="1788" w:hanging="1080"/>
      </w:pPr>
    </w:lvl>
    <w:lvl w:ilvl="5">
      <w:start w:val="1"/>
      <w:numFmt w:val="decimal"/>
      <w:lvlText w:val="%1.%2.%3.%4.%5.%6"/>
      <w:lvlJc w:val="left"/>
      <w:pPr>
        <w:ind w:left="1788" w:hanging="1080"/>
      </w:pPr>
    </w:lvl>
    <w:lvl w:ilvl="6">
      <w:start w:val="1"/>
      <w:numFmt w:val="decimal"/>
      <w:lvlText w:val="%1.%2.%3.%4.%5.%6.%7"/>
      <w:lvlJc w:val="left"/>
      <w:pPr>
        <w:ind w:left="2148" w:hanging="1440"/>
      </w:pPr>
    </w:lvl>
    <w:lvl w:ilvl="7">
      <w:start w:val="1"/>
      <w:numFmt w:val="decimal"/>
      <w:lvlText w:val="%1.%2.%3.%4.%5.%6.%7.%8"/>
      <w:lvlJc w:val="left"/>
      <w:pPr>
        <w:ind w:left="2148" w:hanging="1440"/>
      </w:pPr>
    </w:lvl>
    <w:lvl w:ilvl="8">
      <w:start w:val="1"/>
      <w:numFmt w:val="decimal"/>
      <w:lvlText w:val="%1.%2.%3.%4.%5.%6.%7.%8.%9"/>
      <w:lvlJc w:val="left"/>
      <w:pPr>
        <w:ind w:left="2508" w:hanging="1800"/>
      </w:pPr>
    </w:lvl>
  </w:abstractNum>
  <w:abstractNum w:abstractNumId="4" w15:restartNumberingAfterBreak="0">
    <w:nsid w:val="23984162"/>
    <w:multiLevelType w:val="multilevel"/>
    <w:tmpl w:val="F9C6D67E"/>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80A492D"/>
    <w:multiLevelType w:val="multilevel"/>
    <w:tmpl w:val="F612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267A4E"/>
    <w:multiLevelType w:val="hybridMultilevel"/>
    <w:tmpl w:val="A3322FFC"/>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C776161"/>
    <w:multiLevelType w:val="hybridMultilevel"/>
    <w:tmpl w:val="531CDFD0"/>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48371BCF"/>
    <w:multiLevelType w:val="hybridMultilevel"/>
    <w:tmpl w:val="55DC4F5E"/>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4883176C"/>
    <w:multiLevelType w:val="multilevel"/>
    <w:tmpl w:val="A4C0FADE"/>
    <w:lvl w:ilvl="0">
      <w:start w:val="1"/>
      <w:numFmt w:val="bullet"/>
      <w:lvlText w:val="●"/>
      <w:lvlJc w:val="left"/>
      <w:pPr>
        <w:ind w:left="785" w:hanging="360"/>
      </w:pPr>
      <w:rPr>
        <w:rFonts w:ascii="Noto Sans Symbols" w:eastAsia="Noto Sans Symbols" w:hAnsi="Noto Sans Symbols" w:cs="Noto Sans Symbols"/>
        <w:color w:val="000000"/>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0" w15:restartNumberingAfterBreak="0">
    <w:nsid w:val="4C3F508D"/>
    <w:multiLevelType w:val="multilevel"/>
    <w:tmpl w:val="F79EF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7192159"/>
    <w:multiLevelType w:val="multilevel"/>
    <w:tmpl w:val="FCC47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996676"/>
    <w:multiLevelType w:val="hybridMultilevel"/>
    <w:tmpl w:val="31640F22"/>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F31715D"/>
    <w:multiLevelType w:val="hybridMultilevel"/>
    <w:tmpl w:val="D1FAEBF0"/>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7B303E06"/>
    <w:multiLevelType w:val="multilevel"/>
    <w:tmpl w:val="68E82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1972603">
    <w:abstractNumId w:val="2"/>
  </w:num>
  <w:num w:numId="2" w16cid:durableId="1936815559">
    <w:abstractNumId w:val="4"/>
  </w:num>
  <w:num w:numId="3" w16cid:durableId="640305146">
    <w:abstractNumId w:val="9"/>
  </w:num>
  <w:num w:numId="4" w16cid:durableId="2054235349">
    <w:abstractNumId w:val="3"/>
  </w:num>
  <w:num w:numId="5" w16cid:durableId="2078434682">
    <w:abstractNumId w:val="0"/>
  </w:num>
  <w:num w:numId="6" w16cid:durableId="1953635655">
    <w:abstractNumId w:val="14"/>
  </w:num>
  <w:num w:numId="7" w16cid:durableId="1544102387">
    <w:abstractNumId w:val="8"/>
  </w:num>
  <w:num w:numId="8" w16cid:durableId="1628388493">
    <w:abstractNumId w:val="7"/>
  </w:num>
  <w:num w:numId="9" w16cid:durableId="289242377">
    <w:abstractNumId w:val="12"/>
  </w:num>
  <w:num w:numId="10" w16cid:durableId="1336956990">
    <w:abstractNumId w:val="1"/>
  </w:num>
  <w:num w:numId="11" w16cid:durableId="2034114310">
    <w:abstractNumId w:val="6"/>
  </w:num>
  <w:num w:numId="12" w16cid:durableId="1208880276">
    <w:abstractNumId w:val="10"/>
  </w:num>
  <w:num w:numId="13" w16cid:durableId="444346849">
    <w:abstractNumId w:val="11"/>
  </w:num>
  <w:num w:numId="14" w16cid:durableId="537284252">
    <w:abstractNumId w:val="5"/>
  </w:num>
  <w:num w:numId="15" w16cid:durableId="1573931262">
    <w:abstractNumId w:val="15"/>
  </w:num>
  <w:num w:numId="16" w16cid:durableId="12680794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FCE"/>
    <w:rsid w:val="000012B4"/>
    <w:rsid w:val="00003459"/>
    <w:rsid w:val="00010481"/>
    <w:rsid w:val="0002051B"/>
    <w:rsid w:val="00023927"/>
    <w:rsid w:val="00036A1C"/>
    <w:rsid w:val="00056023"/>
    <w:rsid w:val="00060080"/>
    <w:rsid w:val="00066E91"/>
    <w:rsid w:val="000717AD"/>
    <w:rsid w:val="0008014C"/>
    <w:rsid w:val="00084570"/>
    <w:rsid w:val="000A0694"/>
    <w:rsid w:val="000A7BC2"/>
    <w:rsid w:val="000B7F0E"/>
    <w:rsid w:val="000E0A7A"/>
    <w:rsid w:val="000E3A4E"/>
    <w:rsid w:val="000F02E3"/>
    <w:rsid w:val="000F048A"/>
    <w:rsid w:val="000F2C62"/>
    <w:rsid w:val="00101171"/>
    <w:rsid w:val="001041C6"/>
    <w:rsid w:val="00111888"/>
    <w:rsid w:val="001168A3"/>
    <w:rsid w:val="00130AA4"/>
    <w:rsid w:val="00143482"/>
    <w:rsid w:val="00157C02"/>
    <w:rsid w:val="00167C9D"/>
    <w:rsid w:val="00195228"/>
    <w:rsid w:val="00197291"/>
    <w:rsid w:val="001A16D3"/>
    <w:rsid w:val="001A7B16"/>
    <w:rsid w:val="001B0F86"/>
    <w:rsid w:val="001B2F18"/>
    <w:rsid w:val="001B3768"/>
    <w:rsid w:val="001D542A"/>
    <w:rsid w:val="001D676E"/>
    <w:rsid w:val="001E16D7"/>
    <w:rsid w:val="001E5EBB"/>
    <w:rsid w:val="001E6975"/>
    <w:rsid w:val="001F28FC"/>
    <w:rsid w:val="001F2C0C"/>
    <w:rsid w:val="001F3F30"/>
    <w:rsid w:val="00202A00"/>
    <w:rsid w:val="0020331E"/>
    <w:rsid w:val="00205924"/>
    <w:rsid w:val="00213B72"/>
    <w:rsid w:val="00221DEA"/>
    <w:rsid w:val="00224A3A"/>
    <w:rsid w:val="00230038"/>
    <w:rsid w:val="00232545"/>
    <w:rsid w:val="002335D7"/>
    <w:rsid w:val="00233DAE"/>
    <w:rsid w:val="002430B0"/>
    <w:rsid w:val="00244AED"/>
    <w:rsid w:val="00254CB9"/>
    <w:rsid w:val="00255EE5"/>
    <w:rsid w:val="00257438"/>
    <w:rsid w:val="00274D15"/>
    <w:rsid w:val="002853F9"/>
    <w:rsid w:val="002875AC"/>
    <w:rsid w:val="00291691"/>
    <w:rsid w:val="00294893"/>
    <w:rsid w:val="00296649"/>
    <w:rsid w:val="00297F4A"/>
    <w:rsid w:val="002A35A4"/>
    <w:rsid w:val="002A6A18"/>
    <w:rsid w:val="002B7D39"/>
    <w:rsid w:val="002C08AA"/>
    <w:rsid w:val="002D0229"/>
    <w:rsid w:val="002D3AEA"/>
    <w:rsid w:val="002D6088"/>
    <w:rsid w:val="002D6B19"/>
    <w:rsid w:val="002E0EAD"/>
    <w:rsid w:val="002E3BBC"/>
    <w:rsid w:val="002E47B6"/>
    <w:rsid w:val="002F7C7B"/>
    <w:rsid w:val="00300034"/>
    <w:rsid w:val="00302EEF"/>
    <w:rsid w:val="0030337F"/>
    <w:rsid w:val="003068B3"/>
    <w:rsid w:val="00310291"/>
    <w:rsid w:val="003256F4"/>
    <w:rsid w:val="003261D0"/>
    <w:rsid w:val="00330141"/>
    <w:rsid w:val="00343A48"/>
    <w:rsid w:val="00345416"/>
    <w:rsid w:val="00364192"/>
    <w:rsid w:val="00371F13"/>
    <w:rsid w:val="00384037"/>
    <w:rsid w:val="003939B9"/>
    <w:rsid w:val="00396F09"/>
    <w:rsid w:val="003A0D0A"/>
    <w:rsid w:val="003A4C52"/>
    <w:rsid w:val="003A532B"/>
    <w:rsid w:val="003A6608"/>
    <w:rsid w:val="003B4B83"/>
    <w:rsid w:val="003B791E"/>
    <w:rsid w:val="003D13BF"/>
    <w:rsid w:val="003E5A2E"/>
    <w:rsid w:val="003E7D96"/>
    <w:rsid w:val="003F1A41"/>
    <w:rsid w:val="003F280A"/>
    <w:rsid w:val="003F44B5"/>
    <w:rsid w:val="0040151D"/>
    <w:rsid w:val="00405E24"/>
    <w:rsid w:val="00410F4F"/>
    <w:rsid w:val="004177F6"/>
    <w:rsid w:val="00417915"/>
    <w:rsid w:val="0042705B"/>
    <w:rsid w:val="00427970"/>
    <w:rsid w:val="00431FCD"/>
    <w:rsid w:val="00460849"/>
    <w:rsid w:val="00463EEB"/>
    <w:rsid w:val="0046441B"/>
    <w:rsid w:val="00481CCE"/>
    <w:rsid w:val="0048667B"/>
    <w:rsid w:val="00491457"/>
    <w:rsid w:val="00491B05"/>
    <w:rsid w:val="004B3877"/>
    <w:rsid w:val="004C1F2E"/>
    <w:rsid w:val="004C7235"/>
    <w:rsid w:val="004D1FFF"/>
    <w:rsid w:val="004D343C"/>
    <w:rsid w:val="004D432C"/>
    <w:rsid w:val="004E5875"/>
    <w:rsid w:val="004E6FE2"/>
    <w:rsid w:val="004E74CF"/>
    <w:rsid w:val="004E7ED6"/>
    <w:rsid w:val="005062D1"/>
    <w:rsid w:val="00533338"/>
    <w:rsid w:val="00536BC8"/>
    <w:rsid w:val="00544A00"/>
    <w:rsid w:val="00550059"/>
    <w:rsid w:val="00561F6F"/>
    <w:rsid w:val="00572F9B"/>
    <w:rsid w:val="005B4225"/>
    <w:rsid w:val="005E38D9"/>
    <w:rsid w:val="006018E0"/>
    <w:rsid w:val="00610BC6"/>
    <w:rsid w:val="00611E5D"/>
    <w:rsid w:val="006175EE"/>
    <w:rsid w:val="00624414"/>
    <w:rsid w:val="00624D4D"/>
    <w:rsid w:val="0063108D"/>
    <w:rsid w:val="00633FD2"/>
    <w:rsid w:val="006362AE"/>
    <w:rsid w:val="00642715"/>
    <w:rsid w:val="006461D6"/>
    <w:rsid w:val="00647D19"/>
    <w:rsid w:val="00651DF4"/>
    <w:rsid w:val="00682303"/>
    <w:rsid w:val="0068577B"/>
    <w:rsid w:val="00692BA4"/>
    <w:rsid w:val="0069448E"/>
    <w:rsid w:val="006A1452"/>
    <w:rsid w:val="006A1F2D"/>
    <w:rsid w:val="006A438C"/>
    <w:rsid w:val="006A65B2"/>
    <w:rsid w:val="006C0ABD"/>
    <w:rsid w:val="006C799E"/>
    <w:rsid w:val="006D18A1"/>
    <w:rsid w:val="006D29D5"/>
    <w:rsid w:val="006E2552"/>
    <w:rsid w:val="006E6E2A"/>
    <w:rsid w:val="006F0279"/>
    <w:rsid w:val="006F40B0"/>
    <w:rsid w:val="00703C60"/>
    <w:rsid w:val="00715B56"/>
    <w:rsid w:val="00716980"/>
    <w:rsid w:val="00721EF7"/>
    <w:rsid w:val="0072254E"/>
    <w:rsid w:val="007276F5"/>
    <w:rsid w:val="00731AAA"/>
    <w:rsid w:val="00735A21"/>
    <w:rsid w:val="00740EC6"/>
    <w:rsid w:val="007534EB"/>
    <w:rsid w:val="007615F9"/>
    <w:rsid w:val="00770385"/>
    <w:rsid w:val="007A7D32"/>
    <w:rsid w:val="007B3FCE"/>
    <w:rsid w:val="007B4F98"/>
    <w:rsid w:val="007B5867"/>
    <w:rsid w:val="007B6A21"/>
    <w:rsid w:val="007D0CE2"/>
    <w:rsid w:val="007D3B78"/>
    <w:rsid w:val="007D442F"/>
    <w:rsid w:val="007E2150"/>
    <w:rsid w:val="007E3F1E"/>
    <w:rsid w:val="007E4B21"/>
    <w:rsid w:val="00802044"/>
    <w:rsid w:val="0081589E"/>
    <w:rsid w:val="00821E1E"/>
    <w:rsid w:val="00826876"/>
    <w:rsid w:val="008351EE"/>
    <w:rsid w:val="0083655F"/>
    <w:rsid w:val="00841944"/>
    <w:rsid w:val="00853CB8"/>
    <w:rsid w:val="0085493A"/>
    <w:rsid w:val="00857268"/>
    <w:rsid w:val="00860BC4"/>
    <w:rsid w:val="00865FCE"/>
    <w:rsid w:val="008708BA"/>
    <w:rsid w:val="00871E9A"/>
    <w:rsid w:val="0087254F"/>
    <w:rsid w:val="008728DD"/>
    <w:rsid w:val="00876EC9"/>
    <w:rsid w:val="00884603"/>
    <w:rsid w:val="00892089"/>
    <w:rsid w:val="008A05D5"/>
    <w:rsid w:val="008A6085"/>
    <w:rsid w:val="008A7F2B"/>
    <w:rsid w:val="008A7FFA"/>
    <w:rsid w:val="008C0386"/>
    <w:rsid w:val="008D702B"/>
    <w:rsid w:val="008F5339"/>
    <w:rsid w:val="00904679"/>
    <w:rsid w:val="009055DA"/>
    <w:rsid w:val="009058FC"/>
    <w:rsid w:val="00912B25"/>
    <w:rsid w:val="009376C8"/>
    <w:rsid w:val="009456E9"/>
    <w:rsid w:val="00946364"/>
    <w:rsid w:val="00951331"/>
    <w:rsid w:val="00953222"/>
    <w:rsid w:val="00960508"/>
    <w:rsid w:val="009926F7"/>
    <w:rsid w:val="0099550C"/>
    <w:rsid w:val="009A3EDF"/>
    <w:rsid w:val="009B21E8"/>
    <w:rsid w:val="009D4C15"/>
    <w:rsid w:val="009D6B13"/>
    <w:rsid w:val="009F2788"/>
    <w:rsid w:val="009F4C60"/>
    <w:rsid w:val="00A047B2"/>
    <w:rsid w:val="00A077D6"/>
    <w:rsid w:val="00A14991"/>
    <w:rsid w:val="00A202CB"/>
    <w:rsid w:val="00A44F36"/>
    <w:rsid w:val="00A524B5"/>
    <w:rsid w:val="00A55A28"/>
    <w:rsid w:val="00A73D01"/>
    <w:rsid w:val="00A77851"/>
    <w:rsid w:val="00AB3463"/>
    <w:rsid w:val="00AB3E09"/>
    <w:rsid w:val="00AB47EC"/>
    <w:rsid w:val="00AB65BE"/>
    <w:rsid w:val="00AB69DD"/>
    <w:rsid w:val="00AE41EB"/>
    <w:rsid w:val="00AF0C9D"/>
    <w:rsid w:val="00AF1CDF"/>
    <w:rsid w:val="00AF7665"/>
    <w:rsid w:val="00B07FB5"/>
    <w:rsid w:val="00B17276"/>
    <w:rsid w:val="00B30A95"/>
    <w:rsid w:val="00B60A7E"/>
    <w:rsid w:val="00B6342B"/>
    <w:rsid w:val="00B742B9"/>
    <w:rsid w:val="00B757D6"/>
    <w:rsid w:val="00B85A66"/>
    <w:rsid w:val="00B91785"/>
    <w:rsid w:val="00B9317C"/>
    <w:rsid w:val="00B9460A"/>
    <w:rsid w:val="00B94830"/>
    <w:rsid w:val="00BA0A85"/>
    <w:rsid w:val="00BA135B"/>
    <w:rsid w:val="00BA63B9"/>
    <w:rsid w:val="00BC6FD6"/>
    <w:rsid w:val="00BC7E0F"/>
    <w:rsid w:val="00BF23A0"/>
    <w:rsid w:val="00C00060"/>
    <w:rsid w:val="00C10A2E"/>
    <w:rsid w:val="00C265E3"/>
    <w:rsid w:val="00C33226"/>
    <w:rsid w:val="00C340FD"/>
    <w:rsid w:val="00C44A2D"/>
    <w:rsid w:val="00C549A3"/>
    <w:rsid w:val="00C66056"/>
    <w:rsid w:val="00C74EA0"/>
    <w:rsid w:val="00C842DD"/>
    <w:rsid w:val="00C97F98"/>
    <w:rsid w:val="00CA08E4"/>
    <w:rsid w:val="00CA52BF"/>
    <w:rsid w:val="00CB502D"/>
    <w:rsid w:val="00CC131C"/>
    <w:rsid w:val="00CC38B0"/>
    <w:rsid w:val="00CC646F"/>
    <w:rsid w:val="00CD0210"/>
    <w:rsid w:val="00CD075D"/>
    <w:rsid w:val="00CD5C42"/>
    <w:rsid w:val="00D017E0"/>
    <w:rsid w:val="00D1122C"/>
    <w:rsid w:val="00D12A3E"/>
    <w:rsid w:val="00D302B6"/>
    <w:rsid w:val="00D30E8E"/>
    <w:rsid w:val="00D34678"/>
    <w:rsid w:val="00D408E5"/>
    <w:rsid w:val="00D47DD2"/>
    <w:rsid w:val="00D55A24"/>
    <w:rsid w:val="00D71E1A"/>
    <w:rsid w:val="00D73448"/>
    <w:rsid w:val="00D7465F"/>
    <w:rsid w:val="00D77671"/>
    <w:rsid w:val="00D84F28"/>
    <w:rsid w:val="00D85E50"/>
    <w:rsid w:val="00D963A1"/>
    <w:rsid w:val="00DC76E9"/>
    <w:rsid w:val="00DD78F8"/>
    <w:rsid w:val="00DE071E"/>
    <w:rsid w:val="00DE4EB7"/>
    <w:rsid w:val="00DE5E20"/>
    <w:rsid w:val="00DE7A5D"/>
    <w:rsid w:val="00DE7B31"/>
    <w:rsid w:val="00E0329E"/>
    <w:rsid w:val="00E040E2"/>
    <w:rsid w:val="00E147DB"/>
    <w:rsid w:val="00E23477"/>
    <w:rsid w:val="00E40BC8"/>
    <w:rsid w:val="00E44B30"/>
    <w:rsid w:val="00E631E8"/>
    <w:rsid w:val="00E66B43"/>
    <w:rsid w:val="00E74D1E"/>
    <w:rsid w:val="00E755B7"/>
    <w:rsid w:val="00E83D43"/>
    <w:rsid w:val="00E8429F"/>
    <w:rsid w:val="00E871CD"/>
    <w:rsid w:val="00E87C37"/>
    <w:rsid w:val="00E90831"/>
    <w:rsid w:val="00E9780D"/>
    <w:rsid w:val="00EA20CF"/>
    <w:rsid w:val="00EA4C21"/>
    <w:rsid w:val="00EA75DA"/>
    <w:rsid w:val="00ED085E"/>
    <w:rsid w:val="00ED6477"/>
    <w:rsid w:val="00EE6B6B"/>
    <w:rsid w:val="00EF359E"/>
    <w:rsid w:val="00F044BB"/>
    <w:rsid w:val="00F10324"/>
    <w:rsid w:val="00F130BB"/>
    <w:rsid w:val="00F31BAA"/>
    <w:rsid w:val="00F32E33"/>
    <w:rsid w:val="00F46876"/>
    <w:rsid w:val="00F51709"/>
    <w:rsid w:val="00F562D5"/>
    <w:rsid w:val="00F6376F"/>
    <w:rsid w:val="00F67304"/>
    <w:rsid w:val="00F74249"/>
    <w:rsid w:val="00F77911"/>
    <w:rsid w:val="00F809C9"/>
    <w:rsid w:val="00F836C7"/>
    <w:rsid w:val="00F87300"/>
    <w:rsid w:val="00F917AC"/>
    <w:rsid w:val="00FA69EC"/>
    <w:rsid w:val="00FA7833"/>
    <w:rsid w:val="00FB3065"/>
    <w:rsid w:val="00FC6A9D"/>
    <w:rsid w:val="00FD4E15"/>
    <w:rsid w:val="00FD7E03"/>
    <w:rsid w:val="00FE7F16"/>
    <w:rsid w:val="00FF32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A0510"/>
  <w15:docId w15:val="{3AE26CA2-A586-49F4-A230-B86BB965F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unhideWhenUsed/>
    <w:qFormat/>
    <w:pPr>
      <w:keepNext/>
      <w:keepLines/>
      <w:spacing w:before="360" w:after="80"/>
      <w:outlineLvl w:val="1"/>
    </w:pPr>
    <w:rPr>
      <w:b/>
      <w:bCs/>
      <w:sz w:val="36"/>
      <w:szCs w:val="36"/>
    </w:rPr>
  </w:style>
  <w:style w:type="paragraph" w:styleId="Ttulo3">
    <w:name w:val="heading 3"/>
    <w:basedOn w:val="Normal"/>
    <w:next w:val="Normal"/>
    <w:uiPriority w:val="9"/>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0" w:line="240" w:lineRule="auto"/>
    </w:pPr>
    <w:rPr>
      <w:rFonts w:ascii="Geom" w:eastAsia="Geom" w:hAnsi="Geom" w:cs="Geom"/>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0" w:type="dxa"/>
        <w:bottom w:w="0" w:type="dxa"/>
        <w:right w:w="0"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paragraph" w:styleId="Prrafodelista">
    <w:name w:val="List Paragraph"/>
    <w:basedOn w:val="Normal"/>
    <w:uiPriority w:val="34"/>
    <w:qFormat/>
    <w:rsid w:val="00DE7B31"/>
    <w:pPr>
      <w:ind w:left="720"/>
      <w:contextualSpacing/>
    </w:pPr>
  </w:style>
  <w:style w:type="paragraph" w:styleId="NormalWeb">
    <w:name w:val="Normal (Web)"/>
    <w:basedOn w:val="Normal"/>
    <w:uiPriority w:val="99"/>
    <w:semiHidden/>
    <w:unhideWhenUsed/>
    <w:rsid w:val="002853F9"/>
    <w:rPr>
      <w:rFonts w:ascii="Times New Roman" w:hAnsi="Times New Roman" w:cs="Times New Roman"/>
      <w:sz w:val="24"/>
      <w:szCs w:val="24"/>
    </w:rPr>
  </w:style>
  <w:style w:type="paragraph" w:styleId="Textonotapie">
    <w:name w:val="footnote text"/>
    <w:basedOn w:val="Normal"/>
    <w:link w:val="TextonotapieCar"/>
    <w:uiPriority w:val="99"/>
    <w:semiHidden/>
    <w:unhideWhenUsed/>
    <w:rsid w:val="00CA08E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A08E4"/>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CA08E4"/>
    <w:rPr>
      <w:vertAlign w:val="superscript"/>
    </w:rPr>
  </w:style>
  <w:style w:type="character" w:styleId="Hipervnculo">
    <w:name w:val="Hyperlink"/>
    <w:basedOn w:val="Fuentedeprrafopredeter"/>
    <w:uiPriority w:val="99"/>
    <w:unhideWhenUsed/>
    <w:rsid w:val="00F6376F"/>
    <w:rPr>
      <w:color w:val="0000FF" w:themeColor="hyperlink"/>
      <w:u w:val="single"/>
    </w:rPr>
  </w:style>
  <w:style w:type="character" w:styleId="Mencinsinresolver">
    <w:name w:val="Unresolved Mention"/>
    <w:basedOn w:val="Fuentedeprrafopredeter"/>
    <w:uiPriority w:val="99"/>
    <w:semiHidden/>
    <w:unhideWhenUsed/>
    <w:rsid w:val="00F637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gobierno1@elrosal-cundinamarca.gov.co" TargetMode="External"/><Relationship Id="rId18" Type="http://schemas.openxmlformats.org/officeDocument/2006/relationships/hyperlink" Target="https://www.colombiacompra.gov.co/archivos/boletin/boletin-edicion-n-3-de-2026-radar-de-la-compra-publica"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forms.office.com/r/pPHyWVs2SZ"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olombiacompra.gov.co/archivos/circular/circular-externa-002-de-2026"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olombiacompra.gov.co/archivos/circular/circular-externa-003-de-2026" TargetMode="External"/><Relationship Id="rId20" Type="http://schemas.openxmlformats.org/officeDocument/2006/relationships/hyperlink" Target="https://www.colombiacompra.gov.co/pqrsd/informacion-importante-antes-de-formular-una-pqrsd"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olombiacompra.gov.co/archivos/manual/guia-de-garantias-en-procesos-de-contratacion"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mailto:ventanilladeradicacion@colombiacompra.gov.co"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olombiacompra.gov.co/normativa-y-relatoria/conoce-la-relatoria" TargetMode="External"/><Relationship Id="rId22"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8qdtArSCHFB8nVOl1mUhzOI8kg==">CgMxLjAaJgoBMBIhCh8IB0IbCgdWZXJkYW5hEhBBcmlhbCBVbmljb2RlIE1TMg5oLjJlY29od2hyd3ZlNzIOaC5icTh4c2ZmbGI3MnI4AHIhMXBLckFDQjZOc0FfYS1waDFueU1WYVRESUZOZHNoOUxl</go:docsCustomData>
</go:gDocsCustomXmlDataStorage>
</file>

<file path=customXml/itemProps1.xml><?xml version="1.0" encoding="utf-8"?>
<ds:datastoreItem xmlns:ds="http://schemas.openxmlformats.org/officeDocument/2006/customXml" ds:itemID="{ADCBC60D-C485-4FE8-811C-151B69D98085}">
  <ds:schemaRefs>
    <ds:schemaRef ds:uri="http://schemas.openxmlformats.org/officeDocument/2006/bibliography"/>
  </ds:schemaRefs>
</ds:datastoreItem>
</file>

<file path=customXml/itemProps2.xml><?xml version="1.0" encoding="utf-8"?>
<ds:datastoreItem xmlns:ds="http://schemas.openxmlformats.org/officeDocument/2006/customXml" ds:itemID="{72C77555-39AB-4F03-BFC0-615E85509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73DE04-186C-4C78-863F-7F537941A41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AD4D0FA7-6A7E-4C34-BA08-C7C9486105DB}">
  <ds:schemaRefs>
    <ds:schemaRef ds:uri="http://schemas.microsoft.com/sharepoint/v3/contenttype/forms"/>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29</Pages>
  <Words>9777</Words>
  <Characters>53776</Characters>
  <Application>Microsoft Office Word</Application>
  <DocSecurity>0</DocSecurity>
  <Lines>448</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Luis Sanchez</dc:creator>
  <cp:lastModifiedBy>Sergio Andrés Rivera Cano</cp:lastModifiedBy>
  <cp:revision>20</cp:revision>
  <dcterms:created xsi:type="dcterms:W3CDTF">2026-10-21T23:48:00Z</dcterms:created>
  <dcterms:modified xsi:type="dcterms:W3CDTF">2026-10-22T21:32:00Z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MediaServiceImageTags</vt:lpwstr>
  </property>
</Properties>
</file>