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BE46B" w14:textId="77777777" w:rsidR="00F13F6F" w:rsidRPr="00765B45" w:rsidRDefault="00F13F6F" w:rsidP="00F13F6F">
      <w:pPr>
        <w:spacing w:after="0" w:line="278" w:lineRule="auto"/>
        <w:rPr>
          <w:rFonts w:ascii="Verdana" w:eastAsia="Aptos" w:hAnsi="Verdana" w:cs="Times New Roman"/>
          <w:kern w:val="2"/>
          <w14:ligatures w14:val="standardContextual"/>
        </w:rPr>
      </w:pPr>
      <w:bookmarkStart w:id="0" w:name="_Hlk143780582"/>
      <w:r w:rsidRPr="00765B45">
        <w:rPr>
          <w:rFonts w:ascii="Verdana" w:eastAsia="Aptos" w:hAnsi="Verdana" w:cs="Times New Roman"/>
          <w:b/>
          <w:bCs/>
          <w:color w:val="000000"/>
          <w:kern w:val="2"/>
          <w14:ligatures w14:val="standardContextual"/>
        </w:rPr>
        <w:t xml:space="preserve">DOCUMENTOS TIPO – Fundamento normativo – Obligatoriedad </w:t>
      </w:r>
    </w:p>
    <w:p w14:paraId="61A6ACAB" w14:textId="77777777" w:rsidR="00F13F6F" w:rsidRPr="00F13F6F" w:rsidRDefault="00F13F6F" w:rsidP="00F13F6F">
      <w:pPr>
        <w:spacing w:after="0" w:line="276" w:lineRule="auto"/>
        <w:jc w:val="both"/>
        <w:rPr>
          <w:rFonts w:ascii="Verdana" w:eastAsia="Calibri" w:hAnsi="Verdana" w:cs="Arial"/>
          <w:b/>
          <w:bCs/>
          <w:kern w:val="2"/>
          <w:sz w:val="20"/>
          <w:szCs w:val="20"/>
          <w:lang w:val="es-ES_tradnl"/>
          <w14:ligatures w14:val="standardContextual"/>
        </w:rPr>
      </w:pPr>
    </w:p>
    <w:p w14:paraId="523B071E" w14:textId="77777777" w:rsidR="00F13F6F" w:rsidRPr="00F13F6F" w:rsidRDefault="00F13F6F" w:rsidP="00F13F6F">
      <w:pPr>
        <w:snapToGrid w:val="0"/>
        <w:spacing w:after="0" w:line="240" w:lineRule="auto"/>
        <w:jc w:val="both"/>
        <w:rPr>
          <w:rFonts w:ascii="Verdana" w:eastAsia="Times New Roman" w:hAnsi="Verdana" w:cs="Arial"/>
          <w:kern w:val="2"/>
          <w:sz w:val="20"/>
          <w:szCs w:val="20"/>
          <w:shd w:val="clear" w:color="auto" w:fill="FFFFFF"/>
          <w:lang w:val="es-ES_tradnl" w:eastAsia="es-ES_tradnl"/>
          <w14:ligatures w14:val="standardContextual"/>
        </w:rPr>
      </w:pPr>
      <w:r w:rsidRPr="00F13F6F">
        <w:rPr>
          <w:rFonts w:ascii="Verdana" w:eastAsia="Times New Roman" w:hAnsi="Verdana" w:cs="Arial"/>
          <w:kern w:val="2"/>
          <w:sz w:val="20"/>
          <w:szCs w:val="20"/>
          <w:shd w:val="clear" w:color="auto" w:fill="FFFFFF"/>
          <w:lang w:val="es-ES_tradnl" w:eastAsia="es-ES_tradnl"/>
          <w14:ligatures w14:val="standardContextu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3D8CF26D" w14:textId="77777777" w:rsidR="00F13F6F" w:rsidRPr="00F13F6F" w:rsidRDefault="00F13F6F" w:rsidP="00F13F6F">
      <w:pPr>
        <w:spacing w:after="0" w:line="240" w:lineRule="auto"/>
        <w:jc w:val="both"/>
        <w:rPr>
          <w:rFonts w:ascii="Verdana" w:eastAsia="Geomanist Light" w:hAnsi="Verdana" w:cs="Arial"/>
          <w:kern w:val="2"/>
          <w:sz w:val="20"/>
          <w:szCs w:val="20"/>
          <w:highlight w:val="yellow"/>
          <w:lang w:val="es-ES_tradnl"/>
          <w14:ligatures w14:val="standardContextual"/>
        </w:rPr>
      </w:pPr>
    </w:p>
    <w:p w14:paraId="633D01FB" w14:textId="77777777" w:rsidR="00F13F6F" w:rsidRPr="00765B45" w:rsidRDefault="00F13F6F" w:rsidP="00F13F6F">
      <w:pPr>
        <w:widowControl w:val="0"/>
        <w:autoSpaceDE w:val="0"/>
        <w:autoSpaceDN w:val="0"/>
        <w:spacing w:after="0" w:line="240" w:lineRule="auto"/>
        <w:jc w:val="both"/>
        <w:rPr>
          <w:rFonts w:ascii="Verdana" w:eastAsia="Calibri" w:hAnsi="Verdana" w:cs="Arial"/>
          <w:b/>
          <w:bCs/>
          <w:kern w:val="2"/>
          <w14:ligatures w14:val="standardContextual"/>
        </w:rPr>
      </w:pPr>
      <w:r w:rsidRPr="00765B45">
        <w:rPr>
          <w:rFonts w:ascii="Verdana" w:eastAsia="Calibri" w:hAnsi="Verdana" w:cs="Arial"/>
          <w:b/>
          <w:bCs/>
          <w:kern w:val="2"/>
          <w14:ligatures w14:val="standardContextual"/>
        </w:rPr>
        <w:t>INALTERABILIDAD – Documentos tipo – Modificación</w:t>
      </w:r>
    </w:p>
    <w:p w14:paraId="3681F7D7" w14:textId="77777777" w:rsidR="00F13F6F" w:rsidRPr="00F13F6F" w:rsidRDefault="00F13F6F" w:rsidP="00F13F6F">
      <w:pPr>
        <w:widowControl w:val="0"/>
        <w:autoSpaceDE w:val="0"/>
        <w:autoSpaceDN w:val="0"/>
        <w:spacing w:after="0" w:line="240" w:lineRule="auto"/>
        <w:jc w:val="both"/>
        <w:rPr>
          <w:rFonts w:ascii="Verdana" w:eastAsia="Calibri" w:hAnsi="Verdana" w:cs="Arial"/>
          <w:kern w:val="2"/>
          <w:sz w:val="20"/>
          <w:szCs w:val="20"/>
          <w14:ligatures w14:val="standardContextual"/>
        </w:rPr>
      </w:pPr>
    </w:p>
    <w:p w14:paraId="330DBE09" w14:textId="77777777" w:rsidR="00F13F6F" w:rsidRPr="00F13F6F" w:rsidRDefault="00F13F6F" w:rsidP="00F13F6F">
      <w:pPr>
        <w:widowControl w:val="0"/>
        <w:autoSpaceDE w:val="0"/>
        <w:autoSpaceDN w:val="0"/>
        <w:spacing w:after="0" w:line="240" w:lineRule="auto"/>
        <w:jc w:val="both"/>
        <w:rPr>
          <w:rFonts w:ascii="Verdana" w:eastAsia="Calibri" w:hAnsi="Verdana" w:cs="Arial"/>
          <w:kern w:val="2"/>
          <w:sz w:val="20"/>
          <w:szCs w:val="20"/>
          <w14:ligatures w14:val="standardContextual"/>
        </w:rPr>
      </w:pPr>
      <w:r w:rsidRPr="00F13F6F">
        <w:rPr>
          <w:rFonts w:ascii="Verdana" w:eastAsia="Calibri" w:hAnsi="Verdana" w:cs="Arial"/>
          <w:kern w:val="2"/>
          <w:sz w:val="20"/>
          <w:szCs w:val="20"/>
          <w14:ligatures w14:val="standardContextual"/>
        </w:rPr>
        <w:t>Es importante resaltar que, en virtud de la regla de inalterabilidad, los documentos tipo solo pueden ser modificados en los aspectos en que estos lo permitan. Esto corresponde a aquellos aspectos que se encuentran entre corchetes y resaltados en gris –[texto]–, para lo cual deberán observarse las instrucciones contenidas en los mismos para su diligenciamiento.</w:t>
      </w:r>
    </w:p>
    <w:p w14:paraId="31402B53"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p>
    <w:p w14:paraId="05CAD0A5"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r w:rsidRPr="00F13F6F">
        <w:rPr>
          <w:rFonts w:ascii="Verdana" w:eastAsia="Calibri" w:hAnsi="Verdana" w:cs="Times New Roman"/>
          <w:kern w:val="2"/>
          <w:sz w:val="20"/>
          <w:szCs w:val="20"/>
          <w:lang w:val="es-ES"/>
          <w14:ligatures w14:val="standardContextual"/>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0B2F3FA"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p>
    <w:p w14:paraId="7C4693D6" w14:textId="77777777" w:rsidR="00F13F6F" w:rsidRPr="00765B45" w:rsidRDefault="00F13F6F" w:rsidP="00F13F6F">
      <w:pPr>
        <w:widowControl w:val="0"/>
        <w:autoSpaceDE w:val="0"/>
        <w:autoSpaceDN w:val="0"/>
        <w:spacing w:after="0" w:line="240" w:lineRule="auto"/>
        <w:jc w:val="both"/>
        <w:rPr>
          <w:rFonts w:ascii="Verdana" w:eastAsia="Calibri" w:hAnsi="Verdana" w:cs="Arial"/>
          <w:b/>
          <w:bCs/>
          <w:kern w:val="2"/>
          <w14:ligatures w14:val="standardContextual"/>
        </w:rPr>
      </w:pPr>
      <w:r w:rsidRPr="00765B45">
        <w:rPr>
          <w:rFonts w:ascii="Verdana" w:eastAsia="Calibri" w:hAnsi="Verdana" w:cs="Times New Roman"/>
          <w:b/>
          <w:bCs/>
          <w:kern w:val="2"/>
          <w:lang w:val="es-ES"/>
          <w14:ligatures w14:val="standardContextual"/>
        </w:rPr>
        <w:t>APLICACIÓN – Documentos tipo – Matriz 1 – Experiencia – Ámbito de aplicación</w:t>
      </w:r>
    </w:p>
    <w:p w14:paraId="3AA266AA"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14:ligatures w14:val="standardContextual"/>
        </w:rPr>
      </w:pPr>
    </w:p>
    <w:p w14:paraId="03494D38"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r w:rsidRPr="00F13F6F">
        <w:rPr>
          <w:rFonts w:ascii="Verdana" w:eastAsia="Calibri" w:hAnsi="Verdana" w:cs="Times New Roman"/>
          <w:kern w:val="2"/>
          <w:sz w:val="20"/>
          <w:szCs w:val="20"/>
          <w:lang w:val="es-ES"/>
          <w14:ligatures w14:val="standardContextua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E241F6F"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p>
    <w:p w14:paraId="3AD6A0BF"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r w:rsidRPr="00F13F6F">
        <w:rPr>
          <w:rFonts w:ascii="Verdana" w:eastAsia="Calibri" w:hAnsi="Verdana" w:cs="Times New Roman"/>
          <w:kern w:val="2"/>
          <w:sz w:val="20"/>
          <w:szCs w:val="20"/>
          <w:lang w:val="es-ES"/>
          <w14:ligatures w14:val="standardContextual"/>
        </w:rPr>
        <w:t>(…)</w:t>
      </w:r>
    </w:p>
    <w:p w14:paraId="56E18B70"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p>
    <w:p w14:paraId="25AF2F8A"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r w:rsidRPr="00F13F6F">
        <w:rPr>
          <w:rFonts w:ascii="Verdana" w:eastAsia="Calibri" w:hAnsi="Verdana" w:cs="Times New Roman"/>
          <w:kern w:val="2"/>
          <w:sz w:val="20"/>
          <w:szCs w:val="20"/>
          <w:lang w:val="es-ES"/>
          <w14:ligatures w14:val="standardContextual"/>
        </w:rPr>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CBF9188"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kern w:val="2"/>
          <w:sz w:val="20"/>
          <w:szCs w:val="20"/>
          <w:lang w:val="es-ES"/>
          <w14:ligatures w14:val="standardContextual"/>
        </w:rPr>
      </w:pPr>
    </w:p>
    <w:p w14:paraId="6C3EE46C" w14:textId="77777777" w:rsidR="00F13F6F" w:rsidRPr="00F13F6F" w:rsidRDefault="00F13F6F" w:rsidP="00F13F6F">
      <w:pPr>
        <w:widowControl w:val="0"/>
        <w:autoSpaceDE w:val="0"/>
        <w:autoSpaceDN w:val="0"/>
        <w:spacing w:after="0" w:line="240" w:lineRule="auto"/>
        <w:jc w:val="both"/>
        <w:rPr>
          <w:rFonts w:ascii="Verdana" w:eastAsia="Calibri" w:hAnsi="Verdana" w:cs="Times New Roman"/>
          <w:b/>
          <w:bCs/>
          <w:kern w:val="2"/>
          <w:lang w:val="es-ES"/>
          <w14:ligatures w14:val="standardContextual"/>
        </w:rPr>
      </w:pPr>
      <w:r w:rsidRPr="00F13F6F">
        <w:rPr>
          <w:rFonts w:ascii="Verdana" w:eastAsia="Calibri" w:hAnsi="Verdana" w:cs="Times New Roman"/>
          <w:b/>
          <w:bCs/>
          <w:kern w:val="2"/>
          <w:lang w:val="es-ES"/>
          <w14:ligatures w14:val="standardContextual"/>
        </w:rPr>
        <w:t xml:space="preserve">DOCUMENTOS TIPO – Licitación Pública – Transporte – Patrimonio – </w:t>
      </w:r>
      <w:r w:rsidRPr="00F13F6F">
        <w:rPr>
          <w:rFonts w:ascii="Verdana" w:eastAsia="Calibri" w:hAnsi="Verdana" w:cs="Times New Roman"/>
          <w:b/>
          <w:bCs/>
          <w:kern w:val="2"/>
          <w:lang w:val="es-ES"/>
          <w14:ligatures w14:val="standardContextual"/>
        </w:rPr>
        <w:lastRenderedPageBreak/>
        <w:t>Aplicación</w:t>
      </w:r>
    </w:p>
    <w:p w14:paraId="43CDF127" w14:textId="77777777" w:rsidR="00F13F6F" w:rsidRPr="00F13F6F" w:rsidRDefault="00F13F6F" w:rsidP="00F13F6F">
      <w:pPr>
        <w:spacing w:after="0" w:line="240" w:lineRule="auto"/>
        <w:jc w:val="both"/>
        <w:rPr>
          <w:rFonts w:ascii="Verdana" w:eastAsia="Calibri" w:hAnsi="Verdana" w:cs="Arial"/>
          <w:kern w:val="2"/>
          <w:sz w:val="20"/>
          <w:szCs w:val="20"/>
          <w:lang w:val="es-ES"/>
          <w14:ligatures w14:val="standardContextual"/>
        </w:rPr>
      </w:pPr>
    </w:p>
    <w:p w14:paraId="4EA950FD" w14:textId="77777777" w:rsidR="00F13F6F" w:rsidRPr="00F13F6F" w:rsidRDefault="00F13F6F" w:rsidP="00F13F6F">
      <w:pPr>
        <w:spacing w:after="0" w:line="240" w:lineRule="auto"/>
        <w:jc w:val="both"/>
        <w:rPr>
          <w:rFonts w:ascii="Verdana" w:eastAsia="Calibri" w:hAnsi="Verdana" w:cs="Arial"/>
          <w:kern w:val="2"/>
          <w:sz w:val="20"/>
          <w:szCs w:val="20"/>
          <w:lang w:val="es-ES"/>
          <w14:ligatures w14:val="standardContextual"/>
        </w:rPr>
      </w:pPr>
      <w:r w:rsidRPr="00F13F6F">
        <w:rPr>
          <w:rFonts w:ascii="Verdana" w:eastAsia="Calibri" w:hAnsi="Verdana" w:cs="Arial"/>
          <w:kern w:val="2"/>
          <w:sz w:val="20"/>
          <w:szCs w:val="20"/>
          <w:lang w:val="es-ES"/>
          <w14:ligatures w14:val="standardContextual"/>
        </w:rPr>
        <w:t xml:space="preserve">En el numeral “3.8 Patrimonio” del documento base de los documentos tipo de licitación de obra pública de infraestructura de transporte – versión 4, se describen las condiciones mediante las cuales las Entidades deberán solicitar este indicador y las particularidades que aplican, en el evento que el proponente se presente bajo una figura plural o acredite su condición de </w:t>
      </w:r>
      <w:proofErr w:type="spellStart"/>
      <w:r w:rsidRPr="00F13F6F">
        <w:rPr>
          <w:rFonts w:ascii="Verdana" w:eastAsia="Calibri" w:hAnsi="Verdana" w:cs="Arial"/>
          <w:kern w:val="2"/>
          <w:sz w:val="20"/>
          <w:szCs w:val="20"/>
          <w:lang w:val="es-ES"/>
          <w14:ligatures w14:val="standardContextual"/>
        </w:rPr>
        <w:t>MiPyme</w:t>
      </w:r>
      <w:proofErr w:type="spellEnd"/>
      <w:r w:rsidRPr="00F13F6F">
        <w:rPr>
          <w:rFonts w:ascii="Verdana" w:eastAsia="Calibri" w:hAnsi="Verdana" w:cs="Arial"/>
          <w:kern w:val="2"/>
          <w:sz w:val="20"/>
          <w:szCs w:val="20"/>
          <w:lang w:val="es-ES"/>
          <w14:ligatures w14:val="standardContextual"/>
        </w:rPr>
        <w:t xml:space="preserve">. </w:t>
      </w:r>
    </w:p>
    <w:p w14:paraId="5094E25C" w14:textId="77777777" w:rsidR="00F13F6F" w:rsidRPr="00F13F6F" w:rsidRDefault="00F13F6F" w:rsidP="00F13F6F">
      <w:pPr>
        <w:spacing w:after="0" w:line="240" w:lineRule="auto"/>
        <w:jc w:val="both"/>
        <w:rPr>
          <w:rFonts w:ascii="Verdana" w:eastAsia="Calibri" w:hAnsi="Verdana" w:cs="Arial"/>
          <w:kern w:val="2"/>
          <w:sz w:val="20"/>
          <w:szCs w:val="20"/>
          <w:lang w:val="es-ES"/>
          <w14:ligatures w14:val="standardContextual"/>
        </w:rPr>
      </w:pPr>
      <w:r w:rsidRPr="00F13F6F">
        <w:rPr>
          <w:rFonts w:ascii="Verdana" w:eastAsia="Calibri" w:hAnsi="Verdana" w:cs="Arial"/>
          <w:kern w:val="2"/>
          <w:sz w:val="20"/>
          <w:szCs w:val="20"/>
          <w:lang w:val="es-ES"/>
          <w14:ligatures w14:val="standardContextual"/>
        </w:rPr>
        <w:t>(…)</w:t>
      </w:r>
    </w:p>
    <w:p w14:paraId="7ABCC533" w14:textId="77777777" w:rsidR="00F13F6F" w:rsidRPr="00F13F6F" w:rsidRDefault="00F13F6F" w:rsidP="00F13F6F">
      <w:pPr>
        <w:snapToGrid w:val="0"/>
        <w:spacing w:after="0" w:line="240" w:lineRule="auto"/>
        <w:contextualSpacing/>
        <w:jc w:val="both"/>
        <w:rPr>
          <w:rFonts w:ascii="Verdana" w:eastAsia="Calibri" w:hAnsi="Verdana" w:cs="Arial"/>
          <w:kern w:val="2"/>
          <w:sz w:val="20"/>
          <w:szCs w:val="20"/>
          <w:lang w:val="es-ES"/>
          <w14:ligatures w14:val="standardContextual"/>
        </w:rPr>
      </w:pPr>
    </w:p>
    <w:p w14:paraId="36E6374E" w14:textId="77777777" w:rsidR="00F13F6F" w:rsidRPr="00F13F6F" w:rsidRDefault="00F13F6F" w:rsidP="00F13F6F">
      <w:pPr>
        <w:shd w:val="clear" w:color="auto" w:fill="FFFFFF"/>
        <w:spacing w:after="0" w:line="240" w:lineRule="auto"/>
        <w:jc w:val="both"/>
        <w:rPr>
          <w:rFonts w:ascii="Verdana" w:eastAsia="Times New Roman" w:hAnsi="Verdana" w:cs="Arial"/>
          <w:sz w:val="20"/>
          <w:szCs w:val="20"/>
          <w:lang w:eastAsia="es-CO"/>
        </w:rPr>
      </w:pPr>
      <w:r w:rsidRPr="00F13F6F">
        <w:rPr>
          <w:rFonts w:ascii="Verdana" w:eastAsia="Times New Roman" w:hAnsi="Verdana" w:cs="Times New Roman"/>
          <w:b/>
          <w:i/>
          <w:sz w:val="20"/>
          <w:szCs w:val="20"/>
          <w:u w:val="single"/>
          <w:lang w:eastAsia="es-CO"/>
        </w:rPr>
        <w:t>“Patrimonio demandado (requerido):</w:t>
      </w:r>
    </w:p>
    <w:p w14:paraId="38E475E4" w14:textId="77777777" w:rsidR="00F13F6F" w:rsidRPr="00F13F6F" w:rsidRDefault="00F13F6F" w:rsidP="00F13F6F">
      <w:pPr>
        <w:shd w:val="clear" w:color="auto" w:fill="FFFFFF"/>
        <w:spacing w:after="0" w:line="240" w:lineRule="auto"/>
        <w:jc w:val="both"/>
        <w:rPr>
          <w:rFonts w:ascii="Verdana" w:eastAsia="Times New Roman" w:hAnsi="Verdana" w:cs="Arial"/>
          <w:sz w:val="20"/>
          <w:szCs w:val="20"/>
          <w:lang w:eastAsia="es-CO"/>
        </w:rPr>
      </w:pPr>
    </w:p>
    <w:p w14:paraId="2F8B7B67" w14:textId="77777777" w:rsidR="00F13F6F" w:rsidRPr="00F13F6F" w:rsidRDefault="00F13F6F" w:rsidP="00F13F6F">
      <w:pPr>
        <w:snapToGrid w:val="0"/>
        <w:spacing w:after="0" w:line="240" w:lineRule="auto"/>
        <w:jc w:val="both"/>
        <w:rPr>
          <w:rFonts w:ascii="Verdana" w:eastAsia="Calibri" w:hAnsi="Verdana" w:cs="Arial"/>
          <w:kern w:val="2"/>
          <w:sz w:val="20"/>
          <w:szCs w:val="20"/>
          <w14:ligatures w14:val="standardContextual"/>
        </w:rPr>
      </w:pPr>
      <w:r w:rsidRPr="00F13F6F">
        <w:rPr>
          <w:rFonts w:ascii="Verdana" w:eastAsia="Calibri" w:hAnsi="Verdana" w:cs="Arial"/>
          <w:sz w:val="20"/>
          <w:szCs w:val="20"/>
          <w:highlight w:val="lightGray"/>
        </w:rPr>
        <w:t xml:space="preserve">[Para proyectos de obra cuyo presupuesto oficial sea mayor o igual a 40.000 </w:t>
      </w:r>
      <w:proofErr w:type="spellStart"/>
      <w:r w:rsidRPr="00F13F6F">
        <w:rPr>
          <w:rFonts w:ascii="Verdana" w:eastAsia="Calibri" w:hAnsi="Verdana" w:cs="Arial"/>
          <w:sz w:val="20"/>
          <w:szCs w:val="20"/>
          <w:highlight w:val="lightGray"/>
        </w:rPr>
        <w:t>smmlv</w:t>
      </w:r>
      <w:proofErr w:type="spellEnd"/>
      <w:r w:rsidRPr="00F13F6F">
        <w:rPr>
          <w:rFonts w:ascii="Verdana" w:eastAsia="Calibri" w:hAnsi="Verdana" w:cs="Arial"/>
          <w:sz w:val="20"/>
          <w:szCs w:val="20"/>
          <w:highlight w:val="lightGray"/>
        </w:rPr>
        <w:t xml:space="preserve"> y cuente con un plazo de ejecución </w:t>
      </w:r>
      <w:r w:rsidRPr="00F13F6F">
        <w:rPr>
          <w:rFonts w:ascii="Verdana" w:eastAsia="Calibri" w:hAnsi="Verdana" w:cs="Arial"/>
          <w:sz w:val="20"/>
          <w:szCs w:val="20"/>
          <w:highlight w:val="lightGray"/>
          <w:u w:val="single"/>
        </w:rPr>
        <w:t>igual o superior a 24 meses</w:t>
      </w:r>
      <w:r w:rsidRPr="00F13F6F">
        <w:rPr>
          <w:rFonts w:ascii="Verdana" w:eastAsia="Calibri" w:hAnsi="Verdana" w:cs="Arial"/>
          <w:sz w:val="20"/>
          <w:szCs w:val="20"/>
          <w:highlight w:val="lightGray"/>
        </w:rPr>
        <w:t xml:space="preserve"> aplicará la siguiente redacción:]</w:t>
      </w:r>
    </w:p>
    <w:p w14:paraId="1509F483" w14:textId="77777777" w:rsidR="00F13F6F" w:rsidRPr="00F13F6F" w:rsidRDefault="00F13F6F" w:rsidP="00F13F6F">
      <w:pPr>
        <w:snapToGrid w:val="0"/>
        <w:spacing w:after="0" w:line="240" w:lineRule="auto"/>
        <w:jc w:val="both"/>
        <w:rPr>
          <w:rFonts w:ascii="Verdana" w:eastAsia="Calibri" w:hAnsi="Verdana" w:cs="Arial"/>
          <w:kern w:val="2"/>
          <w:sz w:val="20"/>
          <w:szCs w:val="20"/>
          <w14:ligatures w14:val="standardContextual"/>
        </w:rPr>
      </w:pPr>
    </w:p>
    <w:p w14:paraId="39F6141E" w14:textId="77777777" w:rsidR="00F13F6F" w:rsidRPr="00F13F6F" w:rsidRDefault="00F13F6F" w:rsidP="00F13F6F">
      <w:pPr>
        <w:snapToGrid w:val="0"/>
        <w:spacing w:after="0" w:line="240" w:lineRule="auto"/>
        <w:jc w:val="both"/>
        <w:rPr>
          <w:rFonts w:ascii="Verdana" w:eastAsia="Calibri" w:hAnsi="Verdana" w:cs="Arial"/>
          <w:kern w:val="2"/>
          <w:sz w:val="20"/>
          <w:szCs w:val="20"/>
          <w:lang w:val="es-ES"/>
          <w14:ligatures w14:val="standardContextual"/>
        </w:rPr>
      </w:pPr>
      <w:r w:rsidRPr="00F13F6F">
        <w:rPr>
          <w:rFonts w:ascii="Verdana" w:eastAsia="Calibri" w:hAnsi="Verdana" w:cs="Arial"/>
          <w:sz w:val="20"/>
          <w:szCs w:val="20"/>
          <w:lang w:val="es-ES"/>
        </w:rPr>
        <w:t xml:space="preserve">Conforme con lo anterior, en el marco de la versión – 4 de los documentos tipo de licitación de obra pública de infraestructura de transporte, se incluyó como un indicador de capacidad financiera adicional, el Patrimonio. Este, será solicitado en los procesos de selección que cumplan con los siguientes dos criterios: i) El presupuesto oficial sea mayor o igual a 40.000 </w:t>
      </w:r>
      <w:proofErr w:type="spellStart"/>
      <w:r w:rsidRPr="00F13F6F">
        <w:rPr>
          <w:rFonts w:ascii="Verdana" w:eastAsia="Calibri" w:hAnsi="Verdana" w:cs="Arial"/>
          <w:sz w:val="20"/>
          <w:szCs w:val="20"/>
          <w:lang w:val="es-ES"/>
        </w:rPr>
        <w:t>smmlv</w:t>
      </w:r>
      <w:proofErr w:type="spellEnd"/>
      <w:r w:rsidRPr="00F13F6F">
        <w:rPr>
          <w:rFonts w:ascii="Verdana" w:eastAsia="Calibri" w:hAnsi="Verdana" w:cs="Arial"/>
          <w:sz w:val="20"/>
          <w:szCs w:val="20"/>
          <w:lang w:val="es-ES"/>
        </w:rPr>
        <w:t xml:space="preserve">, y </w:t>
      </w:r>
      <w:proofErr w:type="spellStart"/>
      <w:r w:rsidRPr="00F13F6F">
        <w:rPr>
          <w:rFonts w:ascii="Verdana" w:eastAsia="Calibri" w:hAnsi="Verdana" w:cs="Arial"/>
          <w:sz w:val="20"/>
          <w:szCs w:val="20"/>
          <w:lang w:val="es-ES"/>
        </w:rPr>
        <w:t>ii</w:t>
      </w:r>
      <w:proofErr w:type="spellEnd"/>
      <w:r w:rsidRPr="00F13F6F">
        <w:rPr>
          <w:rFonts w:ascii="Verdana" w:eastAsia="Calibri" w:hAnsi="Verdana" w:cs="Arial"/>
          <w:sz w:val="20"/>
          <w:szCs w:val="20"/>
          <w:lang w:val="es-ES"/>
        </w:rPr>
        <w:t xml:space="preserve">) cuente con un plazo de ejecución igual o superior a 24 meses, y se hará teniendo en cuenta cada uno de los componentes del numeral 3.8 explicados con anterioridad. </w:t>
      </w:r>
    </w:p>
    <w:p w14:paraId="306E842A" w14:textId="77777777" w:rsidR="00F13F6F" w:rsidRPr="00F13F6F" w:rsidRDefault="00F13F6F" w:rsidP="00F13F6F">
      <w:pPr>
        <w:snapToGrid w:val="0"/>
        <w:spacing w:after="0" w:line="240" w:lineRule="auto"/>
        <w:jc w:val="both"/>
        <w:rPr>
          <w:rFonts w:ascii="Verdana" w:eastAsia="Calibri" w:hAnsi="Verdana" w:cs="Arial"/>
          <w:kern w:val="2"/>
          <w:sz w:val="20"/>
          <w:szCs w:val="20"/>
          <w14:ligatures w14:val="standardContextual"/>
        </w:rPr>
      </w:pPr>
    </w:p>
    <w:p w14:paraId="1AD0FAC1" w14:textId="77777777" w:rsidR="00F13F6F" w:rsidRPr="00F13F6F" w:rsidRDefault="00F13F6F" w:rsidP="00F13F6F">
      <w:pPr>
        <w:snapToGrid w:val="0"/>
        <w:spacing w:after="0" w:line="240" w:lineRule="auto"/>
        <w:jc w:val="both"/>
        <w:rPr>
          <w:rFonts w:ascii="Verdana" w:eastAsia="Aptos" w:hAnsi="Verdana" w:cs="Times New Roman"/>
          <w:kern w:val="2"/>
          <w:sz w:val="20"/>
          <w:szCs w:val="20"/>
          <w14:ligatures w14:val="standardContextual"/>
        </w:rPr>
      </w:pPr>
      <w:r w:rsidRPr="00F13F6F">
        <w:rPr>
          <w:rFonts w:ascii="Verdana" w:eastAsia="Aptos" w:hAnsi="Verdana" w:cs="Times New Roman"/>
          <w:kern w:val="2"/>
          <w:sz w:val="20"/>
          <w:szCs w:val="20"/>
          <w14:ligatures w14:val="standardContextual"/>
        </w:rPr>
        <w:t xml:space="preserve">Los dos criterios son copulativos. La conjunción “y” que los une, tanto en el párrafo anterior como en la nota del documento tipo que fija su aplicación “Para proyectos de obra cuyo presupuesto oficial sea mayor o igual a 40.000 </w:t>
      </w:r>
      <w:proofErr w:type="spellStart"/>
      <w:r w:rsidRPr="00F13F6F">
        <w:rPr>
          <w:rFonts w:ascii="Verdana" w:eastAsia="Aptos" w:hAnsi="Verdana" w:cs="Times New Roman"/>
          <w:kern w:val="2"/>
          <w:sz w:val="20"/>
          <w:szCs w:val="20"/>
          <w14:ligatures w14:val="standardContextual"/>
        </w:rPr>
        <w:t>smmlv</w:t>
      </w:r>
      <w:proofErr w:type="spellEnd"/>
      <w:r w:rsidRPr="00F13F6F">
        <w:rPr>
          <w:rFonts w:ascii="Verdana" w:eastAsia="Aptos" w:hAnsi="Verdana" w:cs="Times New Roman"/>
          <w:kern w:val="2"/>
          <w:sz w:val="20"/>
          <w:szCs w:val="20"/>
          <w14:ligatures w14:val="standardContextual"/>
        </w:rPr>
        <w:t xml:space="preserve"> y cuente con un plazo de ejecución igual o superior a 24 meses aplicará la siguiente redacción”, es una conjunción copulativa, es decir, suma las condiciones y exige que todas se cumplan a la vez. </w:t>
      </w:r>
    </w:p>
    <w:p w14:paraId="5E307A21" w14:textId="77777777" w:rsidR="00F13F6F" w:rsidRPr="00F13F6F" w:rsidRDefault="00F13F6F" w:rsidP="00F13F6F">
      <w:pPr>
        <w:snapToGrid w:val="0"/>
        <w:spacing w:after="0" w:line="240" w:lineRule="auto"/>
        <w:ind w:firstLine="709"/>
        <w:jc w:val="both"/>
        <w:rPr>
          <w:rFonts w:ascii="Verdana" w:eastAsia="Aptos" w:hAnsi="Verdana" w:cs="Times New Roman"/>
          <w:kern w:val="2"/>
          <w:sz w:val="20"/>
          <w:szCs w:val="20"/>
          <w14:ligatures w14:val="standardContextual"/>
        </w:rPr>
      </w:pPr>
    </w:p>
    <w:p w14:paraId="04CA30CA" w14:textId="77777777" w:rsidR="00F13F6F" w:rsidRPr="00F13F6F" w:rsidRDefault="00F13F6F" w:rsidP="00F13F6F">
      <w:pPr>
        <w:spacing w:after="0" w:line="240" w:lineRule="auto"/>
        <w:jc w:val="both"/>
        <w:rPr>
          <w:rFonts w:ascii="Verdana" w:eastAsia="Times New Roman" w:hAnsi="Verdana" w:cs="Arial"/>
          <w:sz w:val="20"/>
          <w:szCs w:val="20"/>
          <w:shd w:val="clear" w:color="auto" w:fill="FFFFFF"/>
          <w:lang w:val="es-ES_tradnl" w:eastAsia="es-ES_tradnl"/>
        </w:rPr>
      </w:pPr>
    </w:p>
    <w:p w14:paraId="5BBE5EF7" w14:textId="77777777" w:rsidR="00F13F6F" w:rsidRPr="00F13F6F" w:rsidRDefault="00F13F6F" w:rsidP="00F13F6F">
      <w:pPr>
        <w:spacing w:after="0" w:line="240" w:lineRule="auto"/>
        <w:jc w:val="both"/>
        <w:rPr>
          <w:rFonts w:ascii="Verdana" w:eastAsia="Times New Roman" w:hAnsi="Verdana" w:cs="Arial"/>
          <w:sz w:val="20"/>
          <w:szCs w:val="20"/>
          <w:shd w:val="clear" w:color="auto" w:fill="FFFFFF"/>
          <w:lang w:val="es-ES_tradnl" w:eastAsia="es-ES_tradnl"/>
        </w:rPr>
      </w:pPr>
    </w:p>
    <w:p w14:paraId="314E22AA" w14:textId="77777777" w:rsidR="00F13F6F" w:rsidRPr="00F13F6F" w:rsidRDefault="00F13F6F" w:rsidP="00F13F6F">
      <w:pPr>
        <w:spacing w:after="0" w:line="240" w:lineRule="auto"/>
        <w:jc w:val="both"/>
        <w:rPr>
          <w:rFonts w:ascii="Verdana" w:eastAsia="Times New Roman" w:hAnsi="Verdana" w:cs="Arial"/>
          <w:sz w:val="20"/>
          <w:szCs w:val="20"/>
          <w:shd w:val="clear" w:color="auto" w:fill="FFFFFF"/>
          <w:lang w:val="es-ES_tradnl" w:eastAsia="es-ES_tradnl"/>
        </w:rPr>
      </w:pPr>
    </w:p>
    <w:p w14:paraId="1D94B40B" w14:textId="77777777" w:rsidR="00F13F6F" w:rsidRPr="00F13F6F" w:rsidRDefault="00F13F6F" w:rsidP="00F13F6F">
      <w:pPr>
        <w:spacing w:after="0" w:line="240" w:lineRule="auto"/>
        <w:jc w:val="both"/>
        <w:rPr>
          <w:rFonts w:ascii="Verdana" w:eastAsia="Aptos" w:hAnsi="Verdana" w:cs="Times New Roman"/>
          <w:kern w:val="2"/>
          <w14:ligatures w14:val="standardContextual"/>
        </w:rPr>
      </w:pPr>
    </w:p>
    <w:p w14:paraId="6CCBCD21" w14:textId="77777777" w:rsidR="00F13F6F" w:rsidRPr="00F13F6F" w:rsidRDefault="00F13F6F" w:rsidP="00F13F6F">
      <w:pPr>
        <w:spacing w:after="0" w:line="240" w:lineRule="auto"/>
        <w:jc w:val="both"/>
        <w:rPr>
          <w:rFonts w:ascii="Verdana" w:eastAsia="Aptos" w:hAnsi="Verdana" w:cs="Times New Roman"/>
          <w:kern w:val="2"/>
          <w14:ligatures w14:val="standardContextual"/>
        </w:rPr>
      </w:pPr>
    </w:p>
    <w:p w14:paraId="61896199" w14:textId="77777777" w:rsidR="00F13F6F" w:rsidRPr="00F13F6F" w:rsidRDefault="00F13F6F" w:rsidP="00F13F6F">
      <w:pPr>
        <w:spacing w:after="0" w:line="240" w:lineRule="auto"/>
        <w:jc w:val="both"/>
        <w:rPr>
          <w:rFonts w:ascii="Verdana" w:eastAsia="Aptos" w:hAnsi="Verdana" w:cs="Times New Roman"/>
          <w:kern w:val="2"/>
          <w14:ligatures w14:val="standardContextual"/>
        </w:rPr>
      </w:pPr>
    </w:p>
    <w:p w14:paraId="6E721919" w14:textId="77777777" w:rsidR="00F13F6F" w:rsidRPr="00F13F6F" w:rsidRDefault="00F13F6F" w:rsidP="00F13F6F">
      <w:pPr>
        <w:spacing w:after="0" w:line="240" w:lineRule="auto"/>
        <w:jc w:val="both"/>
        <w:rPr>
          <w:rFonts w:ascii="Verdana" w:eastAsia="Aptos" w:hAnsi="Verdana" w:cs="Times New Roman"/>
          <w:kern w:val="2"/>
          <w14:ligatures w14:val="standardContextual"/>
        </w:rPr>
      </w:pPr>
    </w:p>
    <w:p w14:paraId="2A39D137" w14:textId="77777777" w:rsidR="00F13F6F" w:rsidRPr="00F13F6F" w:rsidRDefault="00F13F6F" w:rsidP="00F13F6F">
      <w:pPr>
        <w:tabs>
          <w:tab w:val="left" w:pos="1005"/>
        </w:tabs>
        <w:spacing w:after="0" w:line="240" w:lineRule="auto"/>
        <w:jc w:val="both"/>
        <w:rPr>
          <w:rFonts w:ascii="Verdana" w:eastAsia="Aptos" w:hAnsi="Verdana" w:cs="Arial"/>
          <w:color w:val="000000"/>
          <w:highlight w:val="yellow"/>
          <w:lang w:val="es-ES_tradnl"/>
        </w:rPr>
      </w:pPr>
    </w:p>
    <w:p w14:paraId="071BEB7F" w14:textId="77777777" w:rsidR="00F13F6F" w:rsidRDefault="00F13F6F" w:rsidP="00F13F6F">
      <w:pPr>
        <w:tabs>
          <w:tab w:val="left" w:pos="1005"/>
        </w:tabs>
        <w:spacing w:after="0" w:line="240" w:lineRule="auto"/>
        <w:jc w:val="both"/>
        <w:rPr>
          <w:rFonts w:ascii="Verdana" w:eastAsia="Aptos" w:hAnsi="Verdana" w:cs="Arial"/>
          <w:color w:val="000000"/>
          <w:highlight w:val="yellow"/>
          <w:lang w:val="es-ES_tradnl"/>
        </w:rPr>
      </w:pPr>
    </w:p>
    <w:p w14:paraId="1626B5F2" w14:textId="77777777" w:rsidR="00477718" w:rsidRDefault="00477718" w:rsidP="00F13F6F">
      <w:pPr>
        <w:tabs>
          <w:tab w:val="left" w:pos="1005"/>
        </w:tabs>
        <w:spacing w:after="0" w:line="240" w:lineRule="auto"/>
        <w:jc w:val="both"/>
        <w:rPr>
          <w:rFonts w:ascii="Verdana" w:eastAsia="Aptos" w:hAnsi="Verdana" w:cs="Arial"/>
          <w:color w:val="000000"/>
          <w:highlight w:val="yellow"/>
          <w:lang w:val="es-ES_tradnl"/>
        </w:rPr>
      </w:pPr>
    </w:p>
    <w:p w14:paraId="438366C7" w14:textId="77777777" w:rsidR="00477718" w:rsidRPr="00F13F6F" w:rsidRDefault="00477718" w:rsidP="00F13F6F">
      <w:pPr>
        <w:tabs>
          <w:tab w:val="left" w:pos="1005"/>
        </w:tabs>
        <w:spacing w:after="0" w:line="240" w:lineRule="auto"/>
        <w:jc w:val="both"/>
        <w:rPr>
          <w:rFonts w:ascii="Verdana" w:eastAsia="Aptos" w:hAnsi="Verdana" w:cs="Arial"/>
          <w:color w:val="000000"/>
          <w:highlight w:val="yellow"/>
          <w:lang w:val="es-ES_tradnl"/>
        </w:rPr>
      </w:pPr>
    </w:p>
    <w:p w14:paraId="552629AC" w14:textId="77777777" w:rsidR="00F13F6F" w:rsidRPr="00F13F6F" w:rsidRDefault="00F13F6F" w:rsidP="00F13F6F">
      <w:pPr>
        <w:tabs>
          <w:tab w:val="left" w:pos="1005"/>
        </w:tabs>
        <w:spacing w:after="0" w:line="240" w:lineRule="auto"/>
        <w:jc w:val="both"/>
        <w:rPr>
          <w:rFonts w:ascii="Verdana" w:eastAsia="Aptos" w:hAnsi="Verdana" w:cs="Arial"/>
          <w:color w:val="000000"/>
          <w:highlight w:val="yellow"/>
          <w:lang w:val="es-ES_tradnl"/>
        </w:rPr>
      </w:pPr>
    </w:p>
    <w:p w14:paraId="341990B7" w14:textId="77777777" w:rsidR="00F13F6F" w:rsidRPr="00F13F6F" w:rsidRDefault="00F13F6F" w:rsidP="00F13F6F">
      <w:pPr>
        <w:tabs>
          <w:tab w:val="left" w:pos="1005"/>
        </w:tabs>
        <w:spacing w:after="0" w:line="240" w:lineRule="auto"/>
        <w:jc w:val="both"/>
        <w:rPr>
          <w:rFonts w:ascii="Verdana" w:eastAsia="Aptos" w:hAnsi="Verdana" w:cs="Arial"/>
          <w:color w:val="000000"/>
          <w:highlight w:val="yellow"/>
          <w:lang w:val="es-ES_tradnl"/>
        </w:rPr>
      </w:pPr>
    </w:p>
    <w:p w14:paraId="53D17F2A" w14:textId="77777777" w:rsidR="00F13F6F" w:rsidRPr="00F13F6F" w:rsidRDefault="00F13F6F" w:rsidP="00F13F6F">
      <w:pPr>
        <w:tabs>
          <w:tab w:val="left" w:pos="1005"/>
        </w:tabs>
        <w:spacing w:after="0" w:line="240" w:lineRule="auto"/>
        <w:jc w:val="both"/>
        <w:rPr>
          <w:rFonts w:ascii="Verdana" w:eastAsia="Aptos" w:hAnsi="Verdana" w:cs="Arial"/>
          <w:color w:val="000000"/>
          <w:highlight w:val="yellow"/>
          <w:lang w:val="es-ES_tradnl"/>
        </w:rPr>
      </w:pPr>
    </w:p>
    <w:p w14:paraId="2708616D" w14:textId="77777777" w:rsidR="00F13F6F" w:rsidRPr="00F13F6F" w:rsidRDefault="00F13F6F" w:rsidP="00F13F6F">
      <w:pPr>
        <w:tabs>
          <w:tab w:val="left" w:pos="1005"/>
        </w:tabs>
        <w:spacing w:after="0" w:line="240" w:lineRule="auto"/>
        <w:jc w:val="both"/>
        <w:rPr>
          <w:rFonts w:ascii="Verdana" w:eastAsia="Aptos" w:hAnsi="Verdana" w:cs="Arial"/>
          <w:color w:val="000000"/>
          <w:highlight w:val="yellow"/>
          <w:lang w:val="es-ES_tradnl"/>
        </w:rPr>
      </w:pPr>
    </w:p>
    <w:p w14:paraId="078E4D0C" w14:textId="6560F97D" w:rsidR="00F13F6F" w:rsidRDefault="00F13F6F" w:rsidP="00F13F6F">
      <w:pPr>
        <w:spacing w:after="0" w:line="240" w:lineRule="auto"/>
        <w:rPr>
          <w:rFonts w:ascii="Verdana" w:eastAsia="Verdana" w:hAnsi="Verdana" w:cs="Verdana"/>
          <w:kern w:val="2"/>
          <w14:ligatures w14:val="standardContextual"/>
        </w:rPr>
      </w:pPr>
      <w:bookmarkStart w:id="1" w:name="_Hlk117695077"/>
      <w:r w:rsidRPr="00F13F6F">
        <w:rPr>
          <w:rFonts w:ascii="Verdana" w:eastAsia="Verdana" w:hAnsi="Verdana" w:cs="Verdana"/>
          <w:kern w:val="2"/>
          <w14:ligatures w14:val="standardContextual"/>
        </w:rPr>
        <w:lastRenderedPageBreak/>
        <w:t xml:space="preserve">Bogotá D.C., </w:t>
      </w:r>
      <w:r w:rsidR="0096740B">
        <w:rPr>
          <w:rFonts w:ascii="Verdana" w:eastAsia="Verdana" w:hAnsi="Verdana" w:cs="Verdana"/>
          <w:kern w:val="2"/>
          <w14:ligatures w14:val="standardContextual"/>
        </w:rPr>
        <w:t>27 de octubre de 2026</w:t>
      </w:r>
    </w:p>
    <w:p w14:paraId="1EA5DF6A" w14:textId="5F4A1812" w:rsidR="0096740B" w:rsidRDefault="0096740B" w:rsidP="00F13F6F">
      <w:pPr>
        <w:spacing w:after="0" w:line="240" w:lineRule="auto"/>
        <w:rPr>
          <w:rFonts w:ascii="Verdana" w:eastAsia="Verdana" w:hAnsi="Verdana" w:cs="Verdana"/>
          <w:kern w:val="2"/>
          <w14:ligatures w14:val="standardContextual"/>
        </w:rPr>
      </w:pPr>
    </w:p>
    <w:p w14:paraId="1C0750E6" w14:textId="7C798A97" w:rsidR="0096740B" w:rsidRPr="00F13F6F" w:rsidRDefault="0096740B" w:rsidP="00082D24">
      <w:pPr>
        <w:spacing w:after="0" w:line="240" w:lineRule="auto"/>
        <w:jc w:val="right"/>
        <w:rPr>
          <w:rFonts w:ascii="Verdana" w:eastAsia="Verdana" w:hAnsi="Verdana" w:cs="Verdana"/>
          <w:kern w:val="2"/>
          <w14:ligatures w14:val="standardContextual"/>
        </w:rPr>
      </w:pPr>
    </w:p>
    <w:p w14:paraId="792E6C8B" w14:textId="03DDB89F" w:rsidR="00F13F6F" w:rsidRPr="00F13F6F" w:rsidRDefault="00F13F6F" w:rsidP="00F13F6F">
      <w:pPr>
        <w:snapToGrid w:val="0"/>
        <w:spacing w:after="0" w:line="240" w:lineRule="auto"/>
        <w:rPr>
          <w:rFonts w:ascii="Verdana" w:eastAsia="Calibri" w:hAnsi="Verdana" w:cs="Arial"/>
          <w:lang w:eastAsia="es-ES"/>
        </w:rPr>
      </w:pPr>
    </w:p>
    <w:p w14:paraId="050710A1" w14:textId="388A5A42" w:rsidR="00F13F6F" w:rsidRPr="00F13F6F" w:rsidRDefault="00765B45" w:rsidP="00F13F6F">
      <w:pPr>
        <w:snapToGrid w:val="0"/>
        <w:spacing w:after="0" w:line="240" w:lineRule="auto"/>
        <w:jc w:val="both"/>
        <w:rPr>
          <w:rFonts w:ascii="Verdana" w:eastAsia="Calibri" w:hAnsi="Verdana" w:cs="Arial"/>
          <w:lang w:val="es-ES_tradnl" w:eastAsia="es-ES"/>
        </w:rPr>
      </w:pPr>
      <w:r w:rsidRPr="00082D24">
        <w:rPr>
          <w:rFonts w:ascii="Verdana" w:eastAsia="Verdana" w:hAnsi="Verdana" w:cs="Verdana"/>
          <w:noProof/>
          <w:kern w:val="2"/>
          <w14:ligatures w14:val="standardContextual"/>
        </w:rPr>
        <w:drawing>
          <wp:anchor distT="0" distB="0" distL="114300" distR="114300" simplePos="0" relativeHeight="251660288" behindDoc="0" locked="0" layoutInCell="1" allowOverlap="1" wp14:anchorId="0F508ED3" wp14:editId="2EB56926">
            <wp:simplePos x="0" y="0"/>
            <wp:positionH relativeFrom="margin">
              <wp:align>right</wp:align>
            </wp:positionH>
            <wp:positionV relativeFrom="paragraph">
              <wp:posOffset>5715</wp:posOffset>
            </wp:positionV>
            <wp:extent cx="2033270" cy="890270"/>
            <wp:effectExtent l="0" t="0" r="5080" b="5080"/>
            <wp:wrapSquare wrapText="bothSides"/>
            <wp:docPr id="11263835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383516"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3270" cy="890270"/>
                    </a:xfrm>
                    <a:prstGeom prst="rect">
                      <a:avLst/>
                    </a:prstGeom>
                  </pic:spPr>
                </pic:pic>
              </a:graphicData>
            </a:graphic>
            <wp14:sizeRelH relativeFrom="page">
              <wp14:pctWidth>0</wp14:pctWidth>
            </wp14:sizeRelH>
            <wp14:sizeRelV relativeFrom="page">
              <wp14:pctHeight>0</wp14:pctHeight>
            </wp14:sizeRelV>
          </wp:anchor>
        </w:drawing>
      </w:r>
      <w:r w:rsidR="00F13F6F" w:rsidRPr="00F13F6F">
        <w:rPr>
          <w:rFonts w:ascii="Verdana" w:eastAsia="Calibri" w:hAnsi="Verdana" w:cs="Arial"/>
          <w:lang w:val="es-ES_tradnl" w:eastAsia="es-ES"/>
        </w:rPr>
        <w:t xml:space="preserve">Doctor </w:t>
      </w:r>
    </w:p>
    <w:p w14:paraId="7B1594D3" w14:textId="77777777" w:rsidR="00F13F6F" w:rsidRPr="00F13F6F" w:rsidRDefault="00F13F6F" w:rsidP="00F13F6F">
      <w:pPr>
        <w:snapToGrid w:val="0"/>
        <w:spacing w:after="0" w:line="240" w:lineRule="auto"/>
        <w:jc w:val="both"/>
        <w:rPr>
          <w:rFonts w:ascii="Verdana" w:eastAsia="Calibri" w:hAnsi="Verdana" w:cs="Arial"/>
          <w:b/>
          <w:bCs/>
          <w:lang w:val="es-ES_tradnl" w:eastAsia="es-ES"/>
        </w:rPr>
      </w:pPr>
      <w:r w:rsidRPr="00F13F6F">
        <w:rPr>
          <w:rFonts w:ascii="Verdana" w:eastAsia="Calibri" w:hAnsi="Verdana" w:cs="Arial"/>
          <w:b/>
          <w:bCs/>
          <w:lang w:val="es-ES_tradnl" w:eastAsia="es-ES"/>
        </w:rPr>
        <w:t>Iván Mauricio Mejía Castro</w:t>
      </w:r>
    </w:p>
    <w:p w14:paraId="05FB6688" w14:textId="77777777" w:rsidR="00F13F6F" w:rsidRPr="00F13F6F" w:rsidRDefault="00F13F6F" w:rsidP="00F13F6F">
      <w:pPr>
        <w:spacing w:after="0" w:line="240" w:lineRule="auto"/>
        <w:jc w:val="both"/>
        <w:rPr>
          <w:rFonts w:ascii="Verdana" w:eastAsia="Calibri" w:hAnsi="Verdana" w:cs="Arial"/>
          <w:lang w:val="es-ES_tradnl" w:eastAsia="es-ES"/>
        </w:rPr>
      </w:pPr>
      <w:r w:rsidRPr="00F13F6F">
        <w:rPr>
          <w:rFonts w:ascii="Verdana" w:eastAsia="Calibri" w:hAnsi="Verdana" w:cs="Arial"/>
          <w:lang w:val="es-ES_tradnl" w:eastAsia="es-ES"/>
        </w:rPr>
        <w:t>Dirección de Estructuración de Proyectos</w:t>
      </w:r>
    </w:p>
    <w:p w14:paraId="189916E5" w14:textId="77777777" w:rsidR="00F13F6F" w:rsidRPr="00F13F6F" w:rsidRDefault="00F13F6F" w:rsidP="00F13F6F">
      <w:pPr>
        <w:spacing w:after="0" w:line="240" w:lineRule="auto"/>
        <w:jc w:val="both"/>
        <w:rPr>
          <w:rFonts w:ascii="Verdana" w:eastAsia="Calibri" w:hAnsi="Verdana" w:cs="Arial"/>
        </w:rPr>
      </w:pPr>
      <w:r w:rsidRPr="00F13F6F">
        <w:rPr>
          <w:rFonts w:ascii="Verdana" w:eastAsia="Calibri" w:hAnsi="Verdana" w:cs="Arial"/>
        </w:rPr>
        <w:t xml:space="preserve">Secretaría Distrital de Hábitat </w:t>
      </w:r>
    </w:p>
    <w:p w14:paraId="44101E77" w14:textId="77777777" w:rsidR="00F13F6F" w:rsidRPr="00F13F6F" w:rsidRDefault="00F13F6F" w:rsidP="00F13F6F">
      <w:pPr>
        <w:spacing w:after="0" w:line="240" w:lineRule="auto"/>
        <w:jc w:val="both"/>
        <w:rPr>
          <w:rFonts w:ascii="Verdana" w:eastAsia="Calibri" w:hAnsi="Verdana" w:cs="Arial"/>
        </w:rPr>
      </w:pPr>
      <w:r w:rsidRPr="00F13F6F">
        <w:rPr>
          <w:rFonts w:ascii="Verdana" w:eastAsia="Calibri" w:hAnsi="Verdana" w:cs="Arial"/>
        </w:rPr>
        <w:t>Bogotá D.C</w:t>
      </w:r>
    </w:p>
    <w:p w14:paraId="396D9BD0" w14:textId="77777777" w:rsidR="00F13F6F" w:rsidRPr="00F13F6F" w:rsidRDefault="00F13F6F" w:rsidP="00F13F6F">
      <w:pPr>
        <w:spacing w:after="0" w:line="240" w:lineRule="auto"/>
        <w:jc w:val="both"/>
        <w:rPr>
          <w:rFonts w:ascii="Verdana" w:eastAsia="Calibri" w:hAnsi="Verdana" w:cs="Arial"/>
          <w:b/>
          <w:bCs/>
          <w:lang w:eastAsia="es-ES"/>
        </w:rPr>
      </w:pPr>
    </w:p>
    <w:tbl>
      <w:tblPr>
        <w:tblStyle w:val="Tablaconcuadrcula1"/>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F13F6F" w:rsidRPr="00F13F6F" w14:paraId="4990F79A" w14:textId="77777777" w:rsidTr="00173079">
        <w:trPr>
          <w:trHeight w:val="910"/>
        </w:trPr>
        <w:tc>
          <w:tcPr>
            <w:tcW w:w="2725" w:type="dxa"/>
          </w:tcPr>
          <w:p w14:paraId="3CFF5992" w14:textId="77777777" w:rsidR="00F13F6F" w:rsidRPr="00F13F6F" w:rsidRDefault="00F13F6F" w:rsidP="00F13F6F">
            <w:pPr>
              <w:jc w:val="both"/>
              <w:rPr>
                <w:rFonts w:ascii="Verdana" w:eastAsia="Calibri" w:hAnsi="Verdana" w:cs="Arial"/>
                <w:b/>
                <w:bCs/>
                <w:color w:val="7030A0"/>
                <w:lang w:eastAsia="es-ES_tradnl"/>
              </w:rPr>
            </w:pPr>
          </w:p>
        </w:tc>
        <w:tc>
          <w:tcPr>
            <w:tcW w:w="6183" w:type="dxa"/>
          </w:tcPr>
          <w:p w14:paraId="2B1C1C2B" w14:textId="77777777" w:rsidR="00F13F6F" w:rsidRPr="00F13F6F" w:rsidRDefault="00F13F6F" w:rsidP="00F13F6F">
            <w:pPr>
              <w:snapToGrid w:val="0"/>
              <w:jc w:val="both"/>
              <w:rPr>
                <w:rFonts w:ascii="Verdana" w:eastAsia="Calibri" w:hAnsi="Verdana" w:cs="Arial"/>
                <w:b/>
                <w:bCs/>
                <w:lang w:eastAsia="es-ES"/>
              </w:rPr>
            </w:pPr>
            <w:r w:rsidRPr="00F13F6F">
              <w:rPr>
                <w:rFonts w:ascii="Verdana" w:eastAsia="Calibri" w:hAnsi="Verdana" w:cs="Arial"/>
                <w:b/>
                <w:bCs/>
                <w:lang w:eastAsia="es-ES"/>
              </w:rPr>
              <w:t>Concepto C-1467 de 2026</w:t>
            </w:r>
          </w:p>
          <w:p w14:paraId="70716733" w14:textId="77777777" w:rsidR="00F13F6F" w:rsidRPr="00F13F6F" w:rsidRDefault="00F13F6F" w:rsidP="00F13F6F">
            <w:pPr>
              <w:snapToGrid w:val="0"/>
              <w:jc w:val="both"/>
              <w:rPr>
                <w:rFonts w:ascii="Verdana" w:eastAsia="Calibri" w:hAnsi="Verdana" w:cs="Arial"/>
                <w:b/>
                <w:bCs/>
                <w:lang w:eastAsia="es-ES"/>
              </w:rPr>
            </w:pPr>
          </w:p>
        </w:tc>
      </w:tr>
      <w:tr w:rsidR="00F13F6F" w:rsidRPr="00F13F6F" w14:paraId="16F3CEC1" w14:textId="77777777" w:rsidTr="00173079">
        <w:trPr>
          <w:trHeight w:val="910"/>
        </w:trPr>
        <w:tc>
          <w:tcPr>
            <w:tcW w:w="2725" w:type="dxa"/>
          </w:tcPr>
          <w:p w14:paraId="5977B452" w14:textId="77777777" w:rsidR="00F13F6F" w:rsidRPr="00F13F6F" w:rsidRDefault="00F13F6F" w:rsidP="00F13F6F">
            <w:pPr>
              <w:jc w:val="both"/>
              <w:rPr>
                <w:rFonts w:ascii="Verdana" w:eastAsia="Calibri" w:hAnsi="Verdana" w:cs="Arial"/>
                <w:color w:val="000000"/>
                <w:lang w:eastAsia="es-ES_tradnl"/>
              </w:rPr>
            </w:pPr>
            <w:r w:rsidRPr="00F13F6F">
              <w:rPr>
                <w:rFonts w:ascii="Verdana" w:eastAsia="Calibri" w:hAnsi="Verdana" w:cs="Arial"/>
                <w:b/>
                <w:color w:val="000000"/>
                <w:lang w:eastAsia="es-ES_tradnl"/>
              </w:rPr>
              <w:t>Temas:</w:t>
            </w:r>
            <w:r w:rsidRPr="00F13F6F">
              <w:rPr>
                <w:rFonts w:ascii="Verdana" w:eastAsia="Calibri" w:hAnsi="Verdana" w:cs="Arial"/>
                <w:color w:val="000000"/>
                <w:lang w:eastAsia="es-ES_tradnl"/>
              </w:rPr>
              <w:t xml:space="preserve">                   </w:t>
            </w:r>
          </w:p>
        </w:tc>
        <w:tc>
          <w:tcPr>
            <w:tcW w:w="6183" w:type="dxa"/>
          </w:tcPr>
          <w:p w14:paraId="604DA4C6" w14:textId="77777777" w:rsidR="00F13F6F" w:rsidRPr="00F13F6F" w:rsidRDefault="00F13F6F" w:rsidP="00F13F6F">
            <w:pPr>
              <w:widowControl w:val="0"/>
              <w:autoSpaceDE w:val="0"/>
              <w:autoSpaceDN w:val="0"/>
              <w:jc w:val="both"/>
              <w:rPr>
                <w:rFonts w:ascii="Verdana" w:eastAsia="Calibri" w:hAnsi="Verdana" w:cs="Times New Roman"/>
                <w:lang w:val="es-ES"/>
              </w:rPr>
            </w:pPr>
            <w:r w:rsidRPr="00F13F6F">
              <w:rPr>
                <w:rFonts w:ascii="Verdana" w:eastAsia="Aptos" w:hAnsi="Verdana" w:cs="Times New Roman"/>
                <w:color w:val="000000"/>
              </w:rPr>
              <w:t xml:space="preserve">DOCUMENTOS TIPO – Fundamento normativo – Obligatoriedad / INALTERABILIDAD – Documentos tipo – Modificación / APLICACIÓN – Documentos tipo – Matriz 1 – Experiencia – Ámbito de aplicación / DOCUMENTOS TIPO – Infraestructura de transporte / </w:t>
            </w:r>
            <w:r w:rsidRPr="00F13F6F">
              <w:rPr>
                <w:rFonts w:ascii="Verdana" w:eastAsia="Calibri" w:hAnsi="Verdana" w:cs="Times New Roman"/>
                <w:lang w:val="es-ES"/>
              </w:rPr>
              <w:t>DOCUMENTOS TIPO – Licitación Pública – Transporte – Patrimonio – Aplicación</w:t>
            </w:r>
          </w:p>
          <w:p w14:paraId="1DB72ADB" w14:textId="77777777" w:rsidR="00F13F6F" w:rsidRPr="00F13F6F" w:rsidRDefault="00F13F6F" w:rsidP="00F13F6F">
            <w:pPr>
              <w:snapToGrid w:val="0"/>
              <w:jc w:val="both"/>
              <w:rPr>
                <w:rFonts w:ascii="Verdana" w:eastAsia="Calibri" w:hAnsi="Verdana" w:cs="Arial"/>
                <w:lang w:val="es-ES" w:eastAsia="es-ES"/>
              </w:rPr>
            </w:pPr>
          </w:p>
        </w:tc>
      </w:tr>
      <w:tr w:rsidR="00F13F6F" w:rsidRPr="00F13F6F" w14:paraId="088E6BAA" w14:textId="77777777" w:rsidTr="00173079">
        <w:trPr>
          <w:trHeight w:val="556"/>
        </w:trPr>
        <w:tc>
          <w:tcPr>
            <w:tcW w:w="2725" w:type="dxa"/>
          </w:tcPr>
          <w:p w14:paraId="224F889F" w14:textId="77777777" w:rsidR="00F13F6F" w:rsidRPr="00F13F6F" w:rsidRDefault="00F13F6F" w:rsidP="00F13F6F">
            <w:pPr>
              <w:jc w:val="both"/>
              <w:rPr>
                <w:rFonts w:ascii="Verdana" w:eastAsia="Calibri" w:hAnsi="Verdana" w:cs="Arial"/>
                <w:b/>
                <w:bCs/>
                <w:lang w:eastAsia="es-ES_tradnl"/>
              </w:rPr>
            </w:pPr>
            <w:r w:rsidRPr="00F13F6F">
              <w:rPr>
                <w:rFonts w:ascii="Verdana" w:eastAsia="Calibri" w:hAnsi="Verdana" w:cs="Arial"/>
                <w:b/>
                <w:bCs/>
                <w:lang w:eastAsia="es-ES_tradnl"/>
              </w:rPr>
              <w:t xml:space="preserve">Radicación:               </w:t>
            </w:r>
          </w:p>
        </w:tc>
        <w:tc>
          <w:tcPr>
            <w:tcW w:w="6183" w:type="dxa"/>
          </w:tcPr>
          <w:p w14:paraId="603912AD" w14:textId="735FCA05" w:rsidR="00F13F6F" w:rsidRPr="00F13F6F" w:rsidRDefault="00F13F6F" w:rsidP="00F13F6F">
            <w:pPr>
              <w:snapToGrid w:val="0"/>
              <w:jc w:val="both"/>
              <w:rPr>
                <w:rFonts w:ascii="Verdana" w:eastAsia="Calibri" w:hAnsi="Verdana" w:cs="Arial"/>
                <w:lang w:eastAsia="es-ES_tradnl"/>
              </w:rPr>
            </w:pPr>
            <w:r w:rsidRPr="00F13F6F">
              <w:rPr>
                <w:rFonts w:ascii="Verdana" w:eastAsia="Calibri" w:hAnsi="Verdana" w:cs="Arial"/>
                <w:lang w:eastAsia="es-ES_tradnl"/>
              </w:rPr>
              <w:t>Respuesta a consulta</w:t>
            </w:r>
            <w:r w:rsidR="00477718">
              <w:rPr>
                <w:rFonts w:ascii="Verdana" w:eastAsia="Calibri" w:hAnsi="Verdana" w:cs="Arial"/>
                <w:lang w:eastAsia="es-ES_tradnl"/>
              </w:rPr>
              <w:t>s</w:t>
            </w:r>
            <w:r w:rsidRPr="00F13F6F">
              <w:rPr>
                <w:rFonts w:ascii="Verdana" w:eastAsia="Calibri" w:hAnsi="Verdana" w:cs="Arial"/>
                <w:lang w:eastAsia="es-ES_tradnl"/>
              </w:rPr>
              <w:t xml:space="preserve"> con radicado</w:t>
            </w:r>
            <w:r w:rsidR="00477718">
              <w:rPr>
                <w:rFonts w:ascii="Verdana" w:eastAsia="Calibri" w:hAnsi="Verdana" w:cs="Arial"/>
                <w:lang w:eastAsia="es-ES_tradnl"/>
              </w:rPr>
              <w:t>s</w:t>
            </w:r>
            <w:r w:rsidRPr="00F13F6F">
              <w:rPr>
                <w:rFonts w:ascii="Verdana" w:eastAsia="Calibri" w:hAnsi="Verdana" w:cs="Arial"/>
                <w:lang w:eastAsia="es-ES_tradnl"/>
              </w:rPr>
              <w:t xml:space="preserve"> No</w:t>
            </w:r>
            <w:r w:rsidR="00477718">
              <w:rPr>
                <w:rFonts w:ascii="Verdana" w:eastAsia="Calibri" w:hAnsi="Verdana" w:cs="Arial"/>
                <w:lang w:eastAsia="es-ES_tradnl"/>
              </w:rPr>
              <w:t>s</w:t>
            </w:r>
            <w:r w:rsidRPr="00F13F6F">
              <w:rPr>
                <w:rFonts w:ascii="Verdana" w:eastAsia="Calibri" w:hAnsi="Verdana" w:cs="Arial"/>
                <w:lang w:eastAsia="es-ES_tradnl"/>
              </w:rPr>
              <w:t>. 1_2026_09_16_012396</w:t>
            </w:r>
            <w:r w:rsidR="00477718">
              <w:rPr>
                <w:rFonts w:ascii="Verdana" w:eastAsia="Calibri" w:hAnsi="Verdana" w:cs="Arial"/>
                <w:lang w:eastAsia="es-ES_tradnl"/>
              </w:rPr>
              <w:t xml:space="preserve"> y </w:t>
            </w:r>
            <w:r w:rsidR="00477718" w:rsidRPr="00477718">
              <w:rPr>
                <w:rFonts w:ascii="Verdana" w:eastAsia="Calibri" w:hAnsi="Verdana" w:cs="Arial"/>
                <w:lang w:eastAsia="es-ES_tradnl"/>
              </w:rPr>
              <w:t>1_2026_09_16_012397</w:t>
            </w:r>
          </w:p>
        </w:tc>
      </w:tr>
    </w:tbl>
    <w:p w14:paraId="5AC5130D" w14:textId="77777777" w:rsidR="00F13F6F" w:rsidRPr="00F13F6F" w:rsidRDefault="00F13F6F" w:rsidP="00F13F6F">
      <w:pPr>
        <w:spacing w:after="0" w:line="240" w:lineRule="auto"/>
        <w:jc w:val="both"/>
        <w:rPr>
          <w:rFonts w:ascii="Verdana" w:eastAsia="Calibri" w:hAnsi="Verdana" w:cs="Arial"/>
          <w:b/>
          <w:bCs/>
          <w:lang w:eastAsia="es-ES"/>
        </w:rPr>
      </w:pPr>
      <w:r w:rsidRPr="00F13F6F">
        <w:rPr>
          <w:rFonts w:ascii="Verdana" w:eastAsia="Calibri" w:hAnsi="Verdana" w:cs="Arial"/>
          <w:b/>
          <w:bCs/>
          <w:lang w:eastAsia="es-ES"/>
        </w:rPr>
        <w:tab/>
      </w:r>
    </w:p>
    <w:p w14:paraId="5578BFB3" w14:textId="77777777" w:rsidR="00F13F6F" w:rsidRPr="00F13F6F" w:rsidRDefault="00F13F6F" w:rsidP="00F13F6F">
      <w:pPr>
        <w:spacing w:after="0" w:line="276" w:lineRule="auto"/>
        <w:jc w:val="both"/>
        <w:rPr>
          <w:rFonts w:ascii="Verdana" w:eastAsia="Aptos" w:hAnsi="Verdana" w:cs="Times New Roman"/>
          <w:b/>
          <w:bCs/>
          <w:kern w:val="2"/>
          <w14:ligatures w14:val="standardContextual"/>
        </w:rPr>
      </w:pPr>
      <w:r w:rsidRPr="00F13F6F">
        <w:rPr>
          <w:rFonts w:ascii="Verdana" w:eastAsia="Calibri" w:hAnsi="Verdana" w:cs="Vrinda"/>
          <w:lang w:val="es-ES" w:eastAsia="es-ES"/>
        </w:rPr>
        <w:t xml:space="preserve">Estimado Doctor </w:t>
      </w:r>
      <w:r w:rsidRPr="00F13F6F">
        <w:rPr>
          <w:rFonts w:ascii="Verdana" w:eastAsia="Calibri" w:hAnsi="Verdana" w:cs="Arial"/>
          <w:lang w:val="es-ES_tradnl" w:eastAsia="es-ES"/>
        </w:rPr>
        <w:t>Mejía Castro</w:t>
      </w:r>
      <w:r w:rsidRPr="00F13F6F">
        <w:rPr>
          <w:rFonts w:ascii="Verdana" w:eastAsia="Aptos" w:hAnsi="Verdana" w:cs="Times New Roman"/>
          <w:kern w:val="2"/>
          <w14:ligatures w14:val="standardContextual"/>
        </w:rPr>
        <w:t>:</w:t>
      </w:r>
    </w:p>
    <w:p w14:paraId="145F1809" w14:textId="77777777" w:rsidR="00F13F6F" w:rsidRPr="00F13F6F" w:rsidRDefault="00F13F6F" w:rsidP="00F13F6F">
      <w:pPr>
        <w:spacing w:after="0" w:line="240" w:lineRule="auto"/>
        <w:jc w:val="both"/>
        <w:rPr>
          <w:rFonts w:ascii="Verdana" w:eastAsia="Aptos" w:hAnsi="Verdana" w:cs="Times New Roman"/>
          <w:b/>
          <w:bCs/>
          <w:kern w:val="2"/>
          <w14:ligatures w14:val="standardContextual"/>
        </w:rPr>
      </w:pPr>
    </w:p>
    <w:p w14:paraId="1F29DB3A" w14:textId="40CAEF37" w:rsidR="00F13F6F" w:rsidRPr="00F13F6F" w:rsidRDefault="00F13F6F" w:rsidP="00F13F6F">
      <w:pPr>
        <w:spacing w:after="0" w:line="276" w:lineRule="auto"/>
        <w:jc w:val="both"/>
        <w:rPr>
          <w:rFonts w:ascii="Verdana" w:eastAsia="Calibri" w:hAnsi="Verdana" w:cs="Arial"/>
          <w:lang w:val="es-ES" w:eastAsia="es-ES"/>
        </w:rPr>
      </w:pPr>
      <w:r w:rsidRPr="00F13F6F">
        <w:rPr>
          <w:rFonts w:ascii="Verdana" w:eastAsia="Calibri" w:hAnsi="Verdana" w:cs="Arial"/>
          <w:lang w:val="es-ES" w:eastAsia="es-ES"/>
        </w:rPr>
        <w:t>En ejercicio de la competencia otorgada por los artículos 3, numeral 5º, y 11, numeral 8º, del Decreto Ley 4170 de 2011,</w:t>
      </w:r>
      <w:r w:rsidRPr="00F13F6F">
        <w:rPr>
          <w:rFonts w:ascii="Verdana" w:eastAsia="Arial MT" w:hAnsi="Verdana" w:cs="Arial MT"/>
          <w:lang w:val="es-ES" w:eastAsia="es-ES"/>
        </w:rPr>
        <w:t xml:space="preserve"> </w:t>
      </w:r>
      <w:r w:rsidRPr="00F13F6F">
        <w:rPr>
          <w:rFonts w:ascii="Verdana" w:eastAsia="Calibri" w:hAnsi="Verdana" w:cs="Arial"/>
          <w:lang w:eastAsia="es-MX"/>
        </w:rPr>
        <w:t xml:space="preserve">así como lo establecido por la </w:t>
      </w:r>
      <w:r w:rsidRPr="00F13F6F">
        <w:rPr>
          <w:rFonts w:ascii="Verdana" w:eastAsia="Aptos" w:hAnsi="Verdana" w:cs="Arial"/>
          <w:bCs/>
          <w:lang w:eastAsia="es-ES" w:bidi="es-ES"/>
        </w:rPr>
        <w:t>Resolución 469 de 2025 expedida por esta Entidad</w:t>
      </w:r>
      <w:r w:rsidRPr="00F13F6F">
        <w:rPr>
          <w:rFonts w:ascii="Verdana" w:eastAsia="Calibri" w:hAnsi="Verdana" w:cs="Arial"/>
          <w:lang w:eastAsia="es-MX"/>
        </w:rPr>
        <w:t xml:space="preserve">, </w:t>
      </w:r>
      <w:r w:rsidRPr="00F13F6F">
        <w:rPr>
          <w:rFonts w:ascii="Verdana" w:eastAsia="Calibri" w:hAnsi="Verdana" w:cs="Arial"/>
          <w:lang w:val="es-ES" w:eastAsia="es-ES"/>
        </w:rPr>
        <w:t>la Agencia Nacional de Contratación Pública – Colombia Compra Eficiente– responde su</w:t>
      </w:r>
      <w:r w:rsidR="00477718">
        <w:rPr>
          <w:rFonts w:ascii="Verdana" w:eastAsia="Calibri" w:hAnsi="Verdana" w:cs="Arial"/>
          <w:lang w:val="es-ES" w:eastAsia="es-ES"/>
        </w:rPr>
        <w:t>s</w:t>
      </w:r>
      <w:r w:rsidRPr="00F13F6F">
        <w:rPr>
          <w:rFonts w:ascii="Verdana" w:eastAsia="Calibri" w:hAnsi="Verdana" w:cs="Arial"/>
          <w:lang w:val="es-ES" w:eastAsia="es-ES"/>
        </w:rPr>
        <w:t xml:space="preserve"> solicitud</w:t>
      </w:r>
      <w:r w:rsidR="00477718">
        <w:rPr>
          <w:rFonts w:ascii="Verdana" w:eastAsia="Calibri" w:hAnsi="Verdana" w:cs="Arial"/>
          <w:lang w:val="es-ES" w:eastAsia="es-ES"/>
        </w:rPr>
        <w:t>es</w:t>
      </w:r>
      <w:r w:rsidRPr="00F13F6F">
        <w:rPr>
          <w:rFonts w:ascii="Verdana" w:eastAsia="Calibri" w:hAnsi="Verdana" w:cs="Arial"/>
          <w:lang w:val="es-ES" w:eastAsia="es-ES"/>
        </w:rPr>
        <w:t xml:space="preserve"> de consulta del 16 de septiembre de 2026, en la</w:t>
      </w:r>
      <w:r w:rsidR="00477718">
        <w:rPr>
          <w:rFonts w:ascii="Verdana" w:eastAsia="Calibri" w:hAnsi="Verdana" w:cs="Arial"/>
          <w:lang w:val="es-ES" w:eastAsia="es-ES"/>
        </w:rPr>
        <w:t>s</w:t>
      </w:r>
      <w:r w:rsidRPr="00F13F6F">
        <w:rPr>
          <w:rFonts w:ascii="Verdana" w:eastAsia="Calibri" w:hAnsi="Verdana" w:cs="Arial"/>
          <w:lang w:val="es-ES" w:eastAsia="es-ES"/>
        </w:rPr>
        <w:t xml:space="preserve"> cual</w:t>
      </w:r>
      <w:r w:rsidR="00477718">
        <w:rPr>
          <w:rFonts w:ascii="Verdana" w:eastAsia="Calibri" w:hAnsi="Verdana" w:cs="Arial"/>
          <w:lang w:val="es-ES" w:eastAsia="es-ES"/>
        </w:rPr>
        <w:t>es</w:t>
      </w:r>
      <w:r w:rsidRPr="00F13F6F">
        <w:rPr>
          <w:rFonts w:ascii="Verdana" w:eastAsia="Calibri" w:hAnsi="Verdana" w:cs="Arial"/>
          <w:lang w:val="es-ES" w:eastAsia="es-ES"/>
        </w:rPr>
        <w:t xml:space="preserve"> manifiesta lo siguiente: </w:t>
      </w:r>
    </w:p>
    <w:p w14:paraId="23CBFE43" w14:textId="77777777" w:rsidR="00F13F6F" w:rsidRPr="00F13F6F" w:rsidRDefault="00F13F6F" w:rsidP="00F13F6F">
      <w:pPr>
        <w:spacing w:after="0" w:line="276" w:lineRule="auto"/>
        <w:jc w:val="both"/>
        <w:rPr>
          <w:rFonts w:ascii="Verdana" w:eastAsia="Calibri" w:hAnsi="Verdana" w:cs="Vrinda"/>
          <w:lang w:val="es-ES" w:eastAsia="es-ES"/>
        </w:rPr>
      </w:pPr>
    </w:p>
    <w:p w14:paraId="63E62109"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Arial"/>
          <w:color w:val="000000"/>
          <w:sz w:val="21"/>
          <w:szCs w:val="21"/>
          <w:lang w:val="es-MX"/>
          <w14:ligatures w14:val="standardContextual"/>
        </w:rPr>
        <w:t>“</w:t>
      </w:r>
      <w:r w:rsidRPr="00F13F6F">
        <w:rPr>
          <w:rFonts w:ascii="Verdana" w:eastAsia="Aptos" w:hAnsi="Verdana" w:cs="Times New Roman"/>
          <w:kern w:val="2"/>
          <w:sz w:val="21"/>
          <w:szCs w:val="21"/>
          <w14:ligatures w14:val="standardContextual"/>
        </w:rPr>
        <w:t xml:space="preserve">1. ANTECEDENTES Y FUNDAMENTO NORMATIVO </w:t>
      </w:r>
    </w:p>
    <w:p w14:paraId="0E8E482A"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Los Documentos Tipo de Licitación de Obra Pública de Infraestructura de Transporte, adoptados en desarrollo del artículo 4 de la Ley 1882 de 2018 y del Decreto 342 de 2019 —y sus versiones y modificaciones posteriores—, contemplan dentro de los requisitos habilitantes de Capacidad Financiera el factor de 3.8 Patrimonio, especialmente lo asociado con el patrimonio demandado para el proceso de selección, determinado mediante la siguiente fórmula: </w:t>
      </w:r>
    </w:p>
    <w:p w14:paraId="03732A56"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lastRenderedPageBreak/>
        <w:t xml:space="preserve">Pd = POE x 25% </w:t>
      </w:r>
    </w:p>
    <w:p w14:paraId="742BC5C2"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Donde Pd corresponde al Patrimonio demandado (requerido) para el Proceso de Contratación, y POE al Presupuesto Oficial Estimado. Para las empresas que acrediten su condición de </w:t>
      </w:r>
      <w:proofErr w:type="spellStart"/>
      <w:r w:rsidRPr="00F13F6F">
        <w:rPr>
          <w:rFonts w:ascii="Verdana" w:eastAsia="Aptos" w:hAnsi="Verdana" w:cs="Times New Roman"/>
          <w:kern w:val="2"/>
          <w:sz w:val="21"/>
          <w:szCs w:val="21"/>
          <w14:ligatures w14:val="standardContextual"/>
        </w:rPr>
        <w:t>Mipyme</w:t>
      </w:r>
      <w:proofErr w:type="spellEnd"/>
      <w:r w:rsidRPr="00F13F6F">
        <w:rPr>
          <w:rFonts w:ascii="Verdana" w:eastAsia="Aptos" w:hAnsi="Verdana" w:cs="Times New Roman"/>
          <w:kern w:val="2"/>
          <w:sz w:val="21"/>
          <w:szCs w:val="21"/>
          <w14:ligatures w14:val="standardContextual"/>
        </w:rPr>
        <w:t xml:space="preserve">, el documento base prevé una fórmula diferenciada equivalente al veinte por ciento (20%) del Presupuesto Oficial Estimado. </w:t>
      </w:r>
    </w:p>
    <w:p w14:paraId="4E4E9D3C"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El documento base antecede la anterior disposición con una nota entre corchetes, dirigida a la entidad estructuradora, en los siguientes términos:</w:t>
      </w:r>
    </w:p>
    <w:p w14:paraId="38F2E715"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Patrimonio demandado (requerido): </w:t>
      </w:r>
    </w:p>
    <w:p w14:paraId="5997D3C3"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Arial"/>
          <w:color w:val="000000"/>
          <w:sz w:val="21"/>
          <w:szCs w:val="21"/>
          <w:lang w:val="es-MX"/>
          <w14:ligatures w14:val="standardContextual"/>
        </w:rPr>
      </w:pPr>
      <w:r w:rsidRPr="00F13F6F">
        <w:rPr>
          <w:rFonts w:ascii="Verdana" w:eastAsia="Aptos" w:hAnsi="Verdana" w:cs="Times New Roman"/>
          <w:kern w:val="2"/>
          <w:sz w:val="21"/>
          <w:szCs w:val="21"/>
          <w:highlight w:val="lightGray"/>
          <w14:ligatures w14:val="standardContextual"/>
        </w:rPr>
        <w:t xml:space="preserve">[Para proyectos de obra cuyo presupuesto oficial sea mayor o igual a 40.000 </w:t>
      </w:r>
      <w:proofErr w:type="spellStart"/>
      <w:r w:rsidRPr="00F13F6F">
        <w:rPr>
          <w:rFonts w:ascii="Verdana" w:eastAsia="Aptos" w:hAnsi="Verdana" w:cs="Times New Roman"/>
          <w:kern w:val="2"/>
          <w:sz w:val="21"/>
          <w:szCs w:val="21"/>
          <w:highlight w:val="lightGray"/>
          <w14:ligatures w14:val="standardContextual"/>
        </w:rPr>
        <w:t>smmlv</w:t>
      </w:r>
      <w:proofErr w:type="spellEnd"/>
      <w:r w:rsidRPr="00F13F6F">
        <w:rPr>
          <w:rFonts w:ascii="Verdana" w:eastAsia="Aptos" w:hAnsi="Verdana" w:cs="Times New Roman"/>
          <w:kern w:val="2"/>
          <w:sz w:val="21"/>
          <w:szCs w:val="21"/>
          <w:highlight w:val="lightGray"/>
          <w14:ligatures w14:val="standardContextual"/>
        </w:rPr>
        <w:t xml:space="preserve"> y cuente con un plazo de ejecución igual o superior a 24 meses aplicará la siguiente redacción:].</w:t>
      </w:r>
    </w:p>
    <w:p w14:paraId="30A3D674"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El Documento Tipo no establece de manera expresa, para los demás Procesos de Contratación de licitación de obra pública de infraestructura de transporte —esto es, aquellos cuyo Presupuesto Oficial Estimado sea inferior a 40.000 SMMLV, y/o cuyo plazo de ejecución sea inferior a 24 meses —, cuál es la regla, fórmula, porcentaje o metodología aplicable para la determinación del Patrimonio Demandado (Requerido), ni si dicho factor resulta exigible en dichos procesos. </w:t>
      </w:r>
    </w:p>
    <w:p w14:paraId="1866E839"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2. PROBLEMA JURÍDICO La ausencia de una regla expresa para los Procesos de Contratación que no satisfacen conjunta o individualmente los umbrales de presupuesto oficial estimado (40.000 SMMLV) y de plazo de ejecución (24 meses) genera incertidumbre en las entidades estatales estructuradoras de este tipo de procesos, en la medida en que: </w:t>
      </w:r>
    </w:p>
    <w:p w14:paraId="3EE7A282" w14:textId="77777777" w:rsidR="00F13F6F" w:rsidRPr="00F13F6F" w:rsidRDefault="00F13F6F" w:rsidP="00F13F6F">
      <w:pPr>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right="709"/>
        <w:contextualSpacing/>
        <w:jc w:val="both"/>
        <w:rPr>
          <w:rFonts w:ascii="Verdana" w:eastAsia="Aptos" w:hAnsi="Verdana" w:cs="Arial"/>
          <w:color w:val="000000"/>
          <w:sz w:val="21"/>
          <w:szCs w:val="21"/>
          <w:lang w:val="es-MX"/>
          <w14:ligatures w14:val="standardContextual"/>
        </w:rPr>
      </w:pPr>
      <w:r w:rsidRPr="00F13F6F">
        <w:rPr>
          <w:rFonts w:ascii="Verdana" w:eastAsia="Aptos" w:hAnsi="Verdana" w:cs="Times New Roman"/>
          <w:kern w:val="2"/>
          <w:sz w:val="21"/>
          <w:szCs w:val="21"/>
          <w14:ligatures w14:val="standardContextual"/>
        </w:rPr>
        <w:t xml:space="preserve">No es claro si la condición prevista en la nota entre corchetes debe leerse de manera copulativa (esto es, que ambos requisitos —presupuesto y plazo— deban cumplirse de manera simultánea para que resulte procedente exigir el Patrimonio Demandado) o disyuntiva (bastando el cumplimiento de uno solo de ellos). </w:t>
      </w:r>
    </w:p>
    <w:p w14:paraId="575219DC" w14:textId="77777777" w:rsidR="00F13F6F" w:rsidRPr="00F13F6F" w:rsidRDefault="00F13F6F" w:rsidP="00F13F6F">
      <w:pPr>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right="709"/>
        <w:contextualSpacing/>
        <w:jc w:val="both"/>
        <w:rPr>
          <w:rFonts w:ascii="Verdana" w:eastAsia="Aptos" w:hAnsi="Verdana" w:cs="Arial"/>
          <w:color w:val="000000"/>
          <w:sz w:val="21"/>
          <w:szCs w:val="21"/>
          <w:lang w:val="es-MX"/>
          <w14:ligatures w14:val="standardContextual"/>
        </w:rPr>
      </w:pPr>
      <w:r w:rsidRPr="00F13F6F">
        <w:rPr>
          <w:rFonts w:ascii="Verdana" w:eastAsia="Aptos" w:hAnsi="Verdana" w:cs="Times New Roman"/>
          <w:kern w:val="2"/>
          <w:sz w:val="21"/>
          <w:szCs w:val="21"/>
          <w14:ligatures w14:val="standardContextual"/>
        </w:rPr>
        <w:t>No existe una fórmula, porcentaje o metodología de referencia, prevista en el Documento Tipo, aplicable a los Procesos de Contratación de menor presupuesto oficial estimado y/o menor plazo de ejecución.</w:t>
      </w:r>
    </w:p>
    <w:p w14:paraId="03B6F573" w14:textId="77777777" w:rsidR="00F13F6F" w:rsidRPr="00F13F6F" w:rsidRDefault="00F13F6F" w:rsidP="00F13F6F">
      <w:pPr>
        <w:numPr>
          <w:ilvl w:val="0"/>
          <w:numId w:val="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right="709"/>
        <w:contextualSpacing/>
        <w:jc w:val="both"/>
        <w:rPr>
          <w:rFonts w:ascii="Verdana" w:eastAsia="Aptos" w:hAnsi="Verdana" w:cs="Arial"/>
          <w:color w:val="000000"/>
          <w:sz w:val="21"/>
          <w:szCs w:val="21"/>
          <w:lang w:val="es-MX"/>
          <w14:ligatures w14:val="standardContextual"/>
        </w:rPr>
      </w:pPr>
      <w:r w:rsidRPr="00F13F6F">
        <w:rPr>
          <w:rFonts w:ascii="Verdana" w:eastAsia="Aptos" w:hAnsi="Verdana" w:cs="Times New Roman"/>
          <w:kern w:val="2"/>
          <w:sz w:val="21"/>
          <w:szCs w:val="21"/>
          <w14:ligatures w14:val="standardContextual"/>
        </w:rPr>
        <w:t xml:space="preserve">Ante este vacío, las entidades estatales podrían adoptar interpretaciones y prácticas disímiles entre sí —desde la exigencia del mismo porcentaje del 25% (o 20% para </w:t>
      </w:r>
      <w:proofErr w:type="spellStart"/>
      <w:r w:rsidRPr="00F13F6F">
        <w:rPr>
          <w:rFonts w:ascii="Verdana" w:eastAsia="Aptos" w:hAnsi="Verdana" w:cs="Times New Roman"/>
          <w:kern w:val="2"/>
          <w:sz w:val="21"/>
          <w:szCs w:val="21"/>
          <w14:ligatures w14:val="standardContextual"/>
        </w:rPr>
        <w:t>Mipyme</w:t>
      </w:r>
      <w:proofErr w:type="spellEnd"/>
      <w:r w:rsidRPr="00F13F6F">
        <w:rPr>
          <w:rFonts w:ascii="Verdana" w:eastAsia="Aptos" w:hAnsi="Verdana" w:cs="Times New Roman"/>
          <w:kern w:val="2"/>
          <w:sz w:val="21"/>
          <w:szCs w:val="21"/>
          <w14:ligatures w14:val="standardContextual"/>
        </w:rPr>
        <w:t xml:space="preserve">) </w:t>
      </w:r>
      <w:r w:rsidRPr="00F13F6F">
        <w:rPr>
          <w:rFonts w:ascii="Verdana" w:eastAsia="Aptos" w:hAnsi="Verdana" w:cs="Times New Roman"/>
          <w:kern w:val="2"/>
          <w:sz w:val="21"/>
          <w:szCs w:val="21"/>
          <w14:ligatures w14:val="standardContextual"/>
        </w:rPr>
        <w:lastRenderedPageBreak/>
        <w:t>con independencia de la cuantía o el plazo del proceso, hasta la exclusión total del factor de Patrimonio Demandado como requisito habilitante—, lo cual resulta contrario a los principios de estandarización, seguridad jurídica y libre concurrencia que inspiran los Documentos Tipo, conforme al artículo 4 de la Ley 1882 de 2018.</w:t>
      </w:r>
    </w:p>
    <w:p w14:paraId="1CF2FF2B"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3. CONSULTA </w:t>
      </w:r>
    </w:p>
    <w:p w14:paraId="3133C58D"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Con fundamento en lo anterior, de manera respetuosa y en términos generales y abstractos, se eleva a la Agencia Nacional de Contratación Pública — Colombia Compra Eficiente la siguiente consulta: </w:t>
      </w:r>
    </w:p>
    <w:p w14:paraId="2A2E7D27"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3.1. Para los Procesos de Contratación de licitación de obra pública de infraestructura de transporte cuyo Presupuesto Oficial Estimado sea inferior a 40.000 SMMLV, y/o cuyo plazo de ejecución sea inferior a 24 meses, ¿resulta procedente y obligatorio para la entidad estatal exigir el factor de Patrimonio Demandado (Requerido) como requisito habilitante de Capacidad Financiera?</w:t>
      </w:r>
    </w:p>
    <w:p w14:paraId="54840D38"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3.2. En caso de que la respuesta a la pregunta anterior sea afirmativa, ¿cuál es la fórmula, porcentaje o metodología que la entidad estructuradora debe aplicar para determinar el Patrimonio Demandado (Requerido) en dichos procesos, ante la ausencia de una regla expresa prevista en el Documento Tipo para este rango de Procesos de Contratación? </w:t>
      </w:r>
    </w:p>
    <w:p w14:paraId="68FC0531"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3.3. En caso de que la respuesta a la pregunta 3.1 sea negativa —esto es, que no resulte procedente exigir el factor de Patrimonio Demandado (Requerido) en los Procesos de Contratación que no alcancen los umbrales de presupuesto y/o plazo señalados—, ¿cuál es el fundamento normativo o de política pública de dicha exclusión, y qué tratamiento debe dar la entidad estructuradora a la Capacidad Financiera del Proponente en tales casos? </w:t>
      </w:r>
    </w:p>
    <w:p w14:paraId="27601F90"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3.4. La condición prevista en la nota entre corchetes que antecede la fórmula del Patrimonio Demandado (Requerido) —relativa a que el Presupuesto Oficial Estimado sea igual o superior a 40.000 SMMLV y el plazo de ejecución sea igual o superior a 24 meses— ¿debe interpretarse de manera copulativa (cumplimiento simultáneo de ambos requisitos) o disyuntiva (cumplimiento de al menos uno de ellos), para efectos de determinar la procedencia de la fórmula allí prevista? </w:t>
      </w:r>
    </w:p>
    <w:p w14:paraId="2DA7AD55"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Times New Roman"/>
          <w:kern w:val="2"/>
          <w:sz w:val="21"/>
          <w:szCs w:val="21"/>
          <w14:ligatures w14:val="standardContextual"/>
        </w:rPr>
      </w:pPr>
      <w:r w:rsidRPr="00F13F6F">
        <w:rPr>
          <w:rFonts w:ascii="Verdana" w:eastAsia="Aptos" w:hAnsi="Verdana" w:cs="Times New Roman"/>
          <w:kern w:val="2"/>
          <w:sz w:val="21"/>
          <w:szCs w:val="21"/>
          <w14:ligatures w14:val="standardContextual"/>
        </w:rPr>
        <w:t xml:space="preserve">3.5. ¿Existe algún concepto, guía o pronunciamiento previo de la Agencia que desarrolle de manera específica el tratamiento del Patrimonio Demandado (Requerido) para Procesos de Contratación de licitación de obra pública de infraestructura de </w:t>
      </w:r>
      <w:r w:rsidRPr="00F13F6F">
        <w:rPr>
          <w:rFonts w:ascii="Verdana" w:eastAsia="Aptos" w:hAnsi="Verdana" w:cs="Times New Roman"/>
          <w:kern w:val="2"/>
          <w:sz w:val="21"/>
          <w:szCs w:val="21"/>
          <w14:ligatures w14:val="standardContextual"/>
        </w:rPr>
        <w:lastRenderedPageBreak/>
        <w:t xml:space="preserve">transporte que no cumplan los umbrales señalados, y que la entidad estructuradora deba tener en cuenta? </w:t>
      </w:r>
    </w:p>
    <w:p w14:paraId="14B15D70"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1477" w:right="709"/>
        <w:contextualSpacing/>
        <w:jc w:val="both"/>
        <w:rPr>
          <w:rFonts w:ascii="Verdana" w:eastAsia="Aptos" w:hAnsi="Verdana" w:cs="Arial"/>
          <w:color w:val="000000"/>
          <w:sz w:val="21"/>
          <w:szCs w:val="21"/>
          <w:lang w:val="es-MX"/>
          <w14:ligatures w14:val="standardContextual"/>
        </w:rPr>
      </w:pPr>
      <w:r w:rsidRPr="00F13F6F">
        <w:rPr>
          <w:rFonts w:ascii="Verdana" w:eastAsia="Aptos" w:hAnsi="Verdana" w:cs="Times New Roman"/>
          <w:kern w:val="2"/>
          <w:sz w:val="21"/>
          <w:szCs w:val="21"/>
          <w14:ligatures w14:val="standardContextual"/>
        </w:rPr>
        <w:t>La presente solicitud tiene por objeto obtener de la Agencia Nacional de Contratación Pública — Colombia Compra Eficiente una orientación general que permita a las entidades estatales estructurar de manera adecuada, uniforme y ajustada a los principios de la contratación estatal — en particular los de selección objetiva, libre concurrencia y economía— los requisitos habilitantes de Capacidad Financiera en los Procesos de Contratación de licitación de obra pública de infraestructura de transporte cuyo presupuesto oficial estimado y/o plazo de ejecución no alcancen los umbrales previstos en el Documento Tipo vigente, evitando así la adopción de exigencias desproporcionadas, restrictivas de la participación, o contrarias al sentido y alcance de la referida disposición</w:t>
      </w:r>
      <w:r w:rsidRPr="00F13F6F">
        <w:rPr>
          <w:rFonts w:ascii="Verdana" w:eastAsia="Aptos" w:hAnsi="Verdana" w:cs="Arial"/>
          <w:color w:val="000000"/>
          <w:sz w:val="21"/>
          <w:szCs w:val="21"/>
          <w:lang w:val="es-MX"/>
          <w14:ligatures w14:val="standardContextual"/>
        </w:rPr>
        <w:t xml:space="preserve">”. </w:t>
      </w:r>
    </w:p>
    <w:p w14:paraId="735A5711" w14:textId="77777777" w:rsidR="00F13F6F" w:rsidRPr="00F13F6F" w:rsidRDefault="00F13F6F" w:rsidP="00F13F6F">
      <w:pPr>
        <w:spacing w:after="0" w:line="240" w:lineRule="auto"/>
        <w:jc w:val="both"/>
        <w:rPr>
          <w:rFonts w:ascii="Verdana" w:eastAsia="Calibri" w:hAnsi="Verdana" w:cs="Arial"/>
          <w:color w:val="000000"/>
          <w:sz w:val="21"/>
          <w:szCs w:val="21"/>
          <w:lang w:eastAsia="es-ES"/>
        </w:rPr>
      </w:pPr>
    </w:p>
    <w:p w14:paraId="6BCB2F05" w14:textId="77777777" w:rsidR="00F13F6F" w:rsidRPr="00F13F6F" w:rsidRDefault="00F13F6F" w:rsidP="00F13F6F">
      <w:pPr>
        <w:spacing w:after="120" w:line="276" w:lineRule="auto"/>
        <w:ind w:firstLine="709"/>
        <w:jc w:val="both"/>
        <w:rPr>
          <w:rFonts w:ascii="Verdana" w:eastAsia="Calibri" w:hAnsi="Verdana" w:cs="Arial"/>
          <w:color w:val="000000"/>
          <w:lang w:eastAsia="es-ES"/>
        </w:rPr>
      </w:pPr>
      <w:r w:rsidRPr="00F13F6F">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13F6F">
        <w:rPr>
          <w:rFonts w:ascii="Verdana" w:eastAsia="Calibri" w:hAnsi="Verdana" w:cs="Arial"/>
          <w:color w:val="000000"/>
          <w:lang w:eastAsia="es-ES"/>
        </w:rPr>
        <w:tab/>
      </w:r>
    </w:p>
    <w:p w14:paraId="6CD7B8CB" w14:textId="77777777" w:rsidR="00F13F6F" w:rsidRPr="00F13F6F" w:rsidRDefault="00F13F6F" w:rsidP="00F13F6F">
      <w:pPr>
        <w:spacing w:after="0" w:line="276" w:lineRule="auto"/>
        <w:ind w:firstLine="709"/>
        <w:jc w:val="both"/>
        <w:rPr>
          <w:rFonts w:ascii="Verdana" w:eastAsia="Calibri" w:hAnsi="Verdana" w:cs="Arial"/>
          <w:color w:val="000000"/>
          <w:lang w:eastAsia="es-ES"/>
        </w:rPr>
      </w:pPr>
      <w:r w:rsidRPr="00F13F6F">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2AD925D4" w14:textId="77777777" w:rsidR="00F13F6F" w:rsidRPr="00F13F6F" w:rsidRDefault="00F13F6F" w:rsidP="00F13F6F">
      <w:pPr>
        <w:spacing w:after="0" w:line="276" w:lineRule="auto"/>
        <w:jc w:val="both"/>
        <w:rPr>
          <w:rFonts w:ascii="Verdana" w:eastAsia="Calibri" w:hAnsi="Verdana" w:cs="Arial"/>
          <w:color w:val="000000"/>
          <w:lang w:eastAsia="es-ES"/>
        </w:rPr>
      </w:pPr>
    </w:p>
    <w:p w14:paraId="678D0703" w14:textId="77777777" w:rsidR="00F13F6F" w:rsidRPr="00F13F6F" w:rsidRDefault="00F13F6F" w:rsidP="00F13F6F">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13F6F">
        <w:rPr>
          <w:rFonts w:ascii="Verdana" w:eastAsia="Century Gothic" w:hAnsi="Verdana" w:cs="Century Gothic"/>
          <w:b/>
          <w:bCs/>
        </w:rPr>
        <w:t>Problema planteado:</w:t>
      </w:r>
    </w:p>
    <w:p w14:paraId="2852E57E" w14:textId="77777777" w:rsidR="00F13F6F" w:rsidRPr="00F13F6F" w:rsidRDefault="00F13F6F" w:rsidP="00F13F6F">
      <w:pPr>
        <w:tabs>
          <w:tab w:val="left" w:pos="142"/>
          <w:tab w:val="left" w:pos="284"/>
        </w:tabs>
        <w:spacing w:after="0" w:line="276" w:lineRule="auto"/>
        <w:jc w:val="both"/>
        <w:rPr>
          <w:rFonts w:ascii="Verdana" w:eastAsia="Century Gothic" w:hAnsi="Verdana" w:cs="Century Gothic"/>
          <w:b/>
          <w:bCs/>
        </w:rPr>
      </w:pPr>
    </w:p>
    <w:p w14:paraId="0F3ADFBA" w14:textId="77777777" w:rsidR="00F13F6F" w:rsidRPr="00F13F6F" w:rsidRDefault="00F13F6F" w:rsidP="00F13F6F">
      <w:pPr>
        <w:spacing w:after="0" w:line="276" w:lineRule="auto"/>
        <w:jc w:val="both"/>
        <w:rPr>
          <w:rFonts w:ascii="Verdana" w:eastAsia="Century Gothic" w:hAnsi="Verdana" w:cs="Century Gothic"/>
          <w:kern w:val="2"/>
          <w14:ligatures w14:val="standardContextual"/>
        </w:rPr>
      </w:pPr>
      <w:r w:rsidRPr="00F13F6F">
        <w:rPr>
          <w:rFonts w:ascii="Verdana" w:eastAsia="Century Gothic" w:hAnsi="Verdana" w:cs="Century Gothic"/>
          <w:kern w:val="2"/>
          <w14:ligatures w14:val="standardContextual"/>
        </w:rPr>
        <w:t xml:space="preserve">De acuerdo con el contenido de su solicitud, esta Agencia resolverá los siguientes problemas jurídicos: En los documentos tipo de licitación de obra pública de infraestructura de transporte - </w:t>
      </w:r>
      <w:r w:rsidRPr="00F13F6F">
        <w:rPr>
          <w:rFonts w:ascii="Verdana" w:eastAsia="Calibri" w:hAnsi="Verdana" w:cs="Arial"/>
          <w:kern w:val="2"/>
          <w:lang w:val="es-ES" w:eastAsia="es-ES"/>
          <w14:ligatures w14:val="standardContextual"/>
        </w:rPr>
        <w:t>Versión 4</w:t>
      </w:r>
      <w:r w:rsidRPr="00F13F6F">
        <w:rPr>
          <w:rFonts w:ascii="Verdana" w:eastAsia="Century Gothic" w:hAnsi="Verdana" w:cs="Century Gothic"/>
          <w:kern w:val="2"/>
          <w14:ligatures w14:val="standardContextual"/>
        </w:rPr>
        <w:t xml:space="preserve">: ¿El indicador de Patrimonio únicamente </w:t>
      </w:r>
      <w:r w:rsidRPr="00F13F6F">
        <w:rPr>
          <w:rFonts w:ascii="Verdana" w:eastAsia="Century Gothic" w:hAnsi="Verdana" w:cs="Century Gothic"/>
          <w:kern w:val="2"/>
          <w14:ligatures w14:val="standardContextual"/>
        </w:rPr>
        <w:lastRenderedPageBreak/>
        <w:t xml:space="preserve">es exigible para los proyectos de obra cuyo presupuesto oficial sea mayor o igual a 40.000 SMMLV y cuente con un plazo de ejecución igual o superior a 24 meses?; </w:t>
      </w:r>
      <w:r w:rsidRPr="00F13F6F">
        <w:rPr>
          <w:rFonts w:ascii="Verdana" w:eastAsia="Aptos" w:hAnsi="Verdana" w:cs="Times New Roman"/>
          <w:kern w:val="2"/>
          <w14:ligatures w14:val="standardContextual"/>
        </w:rPr>
        <w:t xml:space="preserve">¿El indicador de patrimonio previsto en el numeral 3.8 del documento base solo es exigible cuando concurran ambas condiciones, esto es, que el presupuesto oficial sea mayor o igual a 40.000 </w:t>
      </w:r>
      <w:proofErr w:type="spellStart"/>
      <w:r w:rsidRPr="00F13F6F">
        <w:rPr>
          <w:rFonts w:ascii="Verdana" w:eastAsia="Aptos" w:hAnsi="Verdana" w:cs="Times New Roman"/>
          <w:kern w:val="2"/>
          <w14:ligatures w14:val="standardContextual"/>
        </w:rPr>
        <w:t>smmlv</w:t>
      </w:r>
      <w:proofErr w:type="spellEnd"/>
      <w:r w:rsidRPr="00F13F6F">
        <w:rPr>
          <w:rFonts w:ascii="Verdana" w:eastAsia="Aptos" w:hAnsi="Verdana" w:cs="Times New Roman"/>
          <w:kern w:val="2"/>
          <w14:ligatures w14:val="standardContextual"/>
        </w:rPr>
        <w:t xml:space="preserve"> y que el plazo de ejecución sea igual o superior a 24 meses?; y ¿Por qué razón la Agencia Nacional de Contratación Pública – Colombia Compra Eficiente limitó su exigencia a los procesos que reúnan las dos condiciones?</w:t>
      </w:r>
    </w:p>
    <w:p w14:paraId="60A5AAF3" w14:textId="77777777" w:rsidR="00F13F6F" w:rsidRPr="00F13F6F" w:rsidRDefault="00F13F6F" w:rsidP="00F13F6F">
      <w:pPr>
        <w:spacing w:after="0" w:line="276" w:lineRule="auto"/>
        <w:jc w:val="both"/>
        <w:rPr>
          <w:rFonts w:ascii="Verdana" w:eastAsia="Calibri" w:hAnsi="Verdana" w:cs="Arial"/>
          <w:color w:val="7030A0"/>
          <w:lang w:val="es-ES_tradnl"/>
        </w:rPr>
      </w:pPr>
    </w:p>
    <w:p w14:paraId="4E9C17F3" w14:textId="77777777" w:rsidR="00F13F6F" w:rsidRPr="00F13F6F" w:rsidRDefault="00F13F6F" w:rsidP="00F13F6F">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13F6F">
        <w:rPr>
          <w:rFonts w:ascii="Verdana" w:eastAsia="Century Gothic" w:hAnsi="Verdana" w:cs="Century Gothic"/>
          <w:b/>
          <w:bCs/>
        </w:rPr>
        <w:t>Respuesta:</w:t>
      </w:r>
    </w:p>
    <w:p w14:paraId="554F9FCA" w14:textId="77777777" w:rsidR="00F13F6F" w:rsidRPr="00F13F6F" w:rsidRDefault="00F13F6F" w:rsidP="00F13F6F">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13F6F" w:rsidRPr="00F13F6F" w14:paraId="63C1E54C" w14:textId="77777777" w:rsidTr="00173079">
        <w:tc>
          <w:tcPr>
            <w:tcW w:w="8828" w:type="dxa"/>
          </w:tcPr>
          <w:p w14:paraId="6AB1F267" w14:textId="77777777" w:rsidR="00F13F6F" w:rsidRPr="00F13F6F" w:rsidRDefault="00F13F6F" w:rsidP="00F13F6F">
            <w:pPr>
              <w:spacing w:after="120" w:line="276" w:lineRule="auto"/>
              <w:jc w:val="both"/>
              <w:rPr>
                <w:rFonts w:ascii="Verdana" w:eastAsia="Calibri" w:hAnsi="Verdana" w:cs="Arial"/>
                <w:lang w:val="es-ES"/>
              </w:rPr>
            </w:pPr>
            <w:r w:rsidRPr="00F13F6F">
              <w:rPr>
                <w:rFonts w:ascii="Verdana" w:eastAsia="Calibri" w:hAnsi="Verdana" w:cs="Arial"/>
                <w:lang w:val="es-ES"/>
              </w:rPr>
              <w:t>Por unidad de materia los tres (3) problemas jurídicos planteados en este concepto se responderán de forma conjunta en los siguientes términos:</w:t>
            </w:r>
          </w:p>
          <w:p w14:paraId="47AD5A72" w14:textId="77777777" w:rsidR="00F13F6F" w:rsidRPr="00F13F6F" w:rsidRDefault="00F13F6F" w:rsidP="00F13F6F">
            <w:pPr>
              <w:spacing w:after="120" w:line="276" w:lineRule="auto"/>
              <w:jc w:val="both"/>
              <w:rPr>
                <w:rFonts w:ascii="Verdana" w:eastAsia="Calibri" w:hAnsi="Verdana" w:cs="Arial"/>
                <w:lang w:val="es-ES"/>
              </w:rPr>
            </w:pPr>
            <w:r w:rsidRPr="00F13F6F">
              <w:rPr>
                <w:rFonts w:ascii="Verdana" w:eastAsia="Calibri" w:hAnsi="Verdana" w:cs="Arial"/>
                <w:lang w:val="es-ES"/>
              </w:rPr>
              <w:t xml:space="preserve">En el numeral “3.8 Patrimonio” del documento base de los documentos tipo de licitación de obra pública de infraestructura de transporte – versión 4, se describen las condiciones mediante las cuales las Entidades deberán solicitar este indicador y las particularidades que aplican, en el evento que el proponente se presente bajo una figura plural o acredite su condición de </w:t>
            </w:r>
            <w:proofErr w:type="spellStart"/>
            <w:r w:rsidRPr="00F13F6F">
              <w:rPr>
                <w:rFonts w:ascii="Verdana" w:eastAsia="Calibri" w:hAnsi="Verdana" w:cs="Arial"/>
                <w:lang w:val="es-ES"/>
              </w:rPr>
              <w:t>MiPyme</w:t>
            </w:r>
            <w:proofErr w:type="spellEnd"/>
            <w:r w:rsidRPr="00F13F6F">
              <w:rPr>
                <w:rFonts w:ascii="Verdana" w:eastAsia="Calibri" w:hAnsi="Verdana" w:cs="Arial"/>
                <w:lang w:val="es-ES"/>
              </w:rPr>
              <w:t>. A continuación, se realiza una desagregación de los componentes del numeral, con el ánimo de precisar su contenido:</w:t>
            </w:r>
          </w:p>
          <w:p w14:paraId="60739902" w14:textId="77777777" w:rsidR="00F13F6F" w:rsidRPr="00F13F6F" w:rsidRDefault="00F13F6F" w:rsidP="00F13F6F">
            <w:pPr>
              <w:snapToGrid w:val="0"/>
              <w:spacing w:line="276" w:lineRule="auto"/>
              <w:ind w:left="1080"/>
              <w:contextualSpacing/>
              <w:jc w:val="both"/>
              <w:rPr>
                <w:rFonts w:ascii="Verdana" w:eastAsia="Calibri" w:hAnsi="Verdana" w:cs="Arial"/>
                <w:lang w:val="es-ES"/>
              </w:rPr>
            </w:pPr>
          </w:p>
          <w:p w14:paraId="4DC1DA83" w14:textId="77777777" w:rsidR="00F13F6F" w:rsidRPr="00F13F6F" w:rsidRDefault="00F13F6F" w:rsidP="00F13F6F">
            <w:pPr>
              <w:numPr>
                <w:ilvl w:val="0"/>
                <w:numId w:val="19"/>
              </w:numPr>
              <w:snapToGrid w:val="0"/>
              <w:spacing w:line="276" w:lineRule="auto"/>
              <w:contextualSpacing/>
              <w:jc w:val="both"/>
              <w:rPr>
                <w:rFonts w:ascii="Verdana" w:eastAsia="Calibri" w:hAnsi="Verdana" w:cs="Arial"/>
                <w:lang w:val="es-ES"/>
              </w:rPr>
            </w:pPr>
            <w:r w:rsidRPr="00F13F6F">
              <w:rPr>
                <w:rFonts w:ascii="Verdana" w:eastAsia="Calibri" w:hAnsi="Verdana" w:cs="Arial"/>
                <w:lang w:val="es-ES"/>
              </w:rPr>
              <w:t>En primer lugar, se describe el indicador y las cuentas a utilizar para su cálculo:</w:t>
            </w:r>
          </w:p>
          <w:p w14:paraId="20E8A5F0" w14:textId="77777777" w:rsidR="00F13F6F" w:rsidRPr="00F13F6F" w:rsidRDefault="00F13F6F" w:rsidP="00F13F6F">
            <w:pPr>
              <w:snapToGrid w:val="0"/>
              <w:spacing w:line="276" w:lineRule="auto"/>
              <w:ind w:left="1080"/>
              <w:contextualSpacing/>
              <w:jc w:val="both"/>
              <w:rPr>
                <w:rFonts w:ascii="Verdana" w:eastAsia="Calibri" w:hAnsi="Verdana" w:cs="Arial"/>
                <w:lang w:val="es-ES"/>
              </w:rPr>
            </w:pPr>
          </w:p>
          <w:p w14:paraId="1832B391" w14:textId="77777777" w:rsidR="00F13F6F" w:rsidRPr="00F13F6F" w:rsidRDefault="00F13F6F" w:rsidP="00F13F6F">
            <w:pPr>
              <w:spacing w:line="276" w:lineRule="auto"/>
              <w:ind w:left="1134"/>
              <w:rPr>
                <w:rFonts w:ascii="Verdana" w:eastAsia="Calibri" w:hAnsi="Verdana" w:cs="Arial"/>
              </w:rPr>
            </w:pPr>
            <w:r w:rsidRPr="00F13F6F">
              <w:rPr>
                <w:rFonts w:ascii="Verdana" w:eastAsia="Calibri" w:hAnsi="Verdana" w:cs="Arial"/>
              </w:rPr>
              <w:t>“Para el Proceso de Contratación los Proponentes deberán acreditar</w:t>
            </w:r>
          </w:p>
          <w:p w14:paraId="6C1F912C" w14:textId="77777777" w:rsidR="00F13F6F" w:rsidRPr="00F13F6F" w:rsidRDefault="00F13F6F" w:rsidP="00F13F6F">
            <w:pPr>
              <w:autoSpaceDE w:val="0"/>
              <w:autoSpaceDN w:val="0"/>
              <w:adjustRightInd w:val="0"/>
              <w:spacing w:before="120" w:after="240" w:line="276" w:lineRule="auto"/>
              <w:ind w:left="360" w:firstLine="1134"/>
              <w:contextualSpacing/>
              <w:jc w:val="center"/>
              <w:rPr>
                <w:rFonts w:ascii="Verdana" w:eastAsia="Calibri" w:hAnsi="Verdana" w:cs="Arial"/>
                <w:lang w:val="en-US"/>
              </w:rPr>
            </w:pPr>
            <w:r w:rsidRPr="00F13F6F">
              <w:rPr>
                <w:rFonts w:ascii="Verdana" w:eastAsia="Calibri" w:hAnsi="Verdana" w:cs="Arial"/>
                <w:lang w:val="en-US"/>
              </w:rPr>
              <w:t>P = AT - PT ≥ Pd</w:t>
            </w:r>
          </w:p>
          <w:p w14:paraId="12113A7A" w14:textId="77777777" w:rsidR="00F13F6F" w:rsidRPr="00F13F6F" w:rsidRDefault="00F13F6F" w:rsidP="00F13F6F">
            <w:pPr>
              <w:autoSpaceDE w:val="0"/>
              <w:autoSpaceDN w:val="0"/>
              <w:adjustRightInd w:val="0"/>
              <w:spacing w:before="120" w:after="240" w:line="276" w:lineRule="auto"/>
              <w:ind w:firstLine="1134"/>
              <w:rPr>
                <w:rFonts w:ascii="Verdana" w:eastAsia="Calibri" w:hAnsi="Verdana" w:cs="Arial"/>
                <w:lang w:val="en-US"/>
              </w:rPr>
            </w:pPr>
            <w:r w:rsidRPr="00F13F6F">
              <w:rPr>
                <w:rFonts w:ascii="Verdana" w:eastAsia="Calibri" w:hAnsi="Verdana" w:cs="Arial"/>
                <w:lang w:val="en-US"/>
              </w:rPr>
              <w:t>Donde,</w:t>
            </w:r>
          </w:p>
          <w:p w14:paraId="39FD069B" w14:textId="77777777" w:rsidR="00F13F6F" w:rsidRPr="00F13F6F" w:rsidRDefault="00F13F6F" w:rsidP="00F13F6F">
            <w:pPr>
              <w:autoSpaceDE w:val="0"/>
              <w:autoSpaceDN w:val="0"/>
              <w:adjustRightInd w:val="0"/>
              <w:spacing w:before="120" w:after="240" w:line="276" w:lineRule="auto"/>
              <w:ind w:left="708" w:firstLine="1134"/>
              <w:rPr>
                <w:rFonts w:ascii="Verdana" w:eastAsia="Calibri" w:hAnsi="Verdana" w:cs="Arial"/>
              </w:rPr>
            </w:pPr>
            <w:r w:rsidRPr="00F13F6F">
              <w:rPr>
                <w:rFonts w:ascii="Verdana" w:eastAsia="Calibri" w:hAnsi="Verdana" w:cs="Arial"/>
              </w:rPr>
              <w:t>P = Patrimonio</w:t>
            </w:r>
          </w:p>
          <w:p w14:paraId="3AF32932" w14:textId="77777777" w:rsidR="00F13F6F" w:rsidRPr="00F13F6F" w:rsidRDefault="00F13F6F" w:rsidP="00F13F6F">
            <w:pPr>
              <w:autoSpaceDE w:val="0"/>
              <w:autoSpaceDN w:val="0"/>
              <w:adjustRightInd w:val="0"/>
              <w:spacing w:before="120" w:after="240" w:line="276" w:lineRule="auto"/>
              <w:ind w:left="708" w:firstLine="1134"/>
              <w:rPr>
                <w:rFonts w:ascii="Verdana" w:eastAsia="Calibri" w:hAnsi="Verdana" w:cs="Arial"/>
              </w:rPr>
            </w:pPr>
            <w:r w:rsidRPr="00F13F6F">
              <w:rPr>
                <w:rFonts w:ascii="Verdana" w:eastAsia="Calibri" w:hAnsi="Verdana" w:cs="Arial"/>
              </w:rPr>
              <w:t>AT = Activo Total</w:t>
            </w:r>
          </w:p>
          <w:p w14:paraId="1D80488B" w14:textId="77777777" w:rsidR="00F13F6F" w:rsidRPr="00F13F6F" w:rsidRDefault="00F13F6F" w:rsidP="00F13F6F">
            <w:pPr>
              <w:autoSpaceDE w:val="0"/>
              <w:autoSpaceDN w:val="0"/>
              <w:adjustRightInd w:val="0"/>
              <w:spacing w:before="120" w:after="240" w:line="276" w:lineRule="auto"/>
              <w:ind w:left="708" w:firstLine="1134"/>
              <w:rPr>
                <w:rFonts w:ascii="Verdana" w:eastAsia="Calibri" w:hAnsi="Verdana" w:cs="Arial"/>
              </w:rPr>
            </w:pPr>
            <w:r w:rsidRPr="00F13F6F">
              <w:rPr>
                <w:rFonts w:ascii="Verdana" w:eastAsia="Calibri" w:hAnsi="Verdana" w:cs="Arial"/>
              </w:rPr>
              <w:t>PT = Pasivo Total</w:t>
            </w:r>
          </w:p>
          <w:p w14:paraId="5D6BCD1E" w14:textId="77777777" w:rsidR="00F13F6F" w:rsidRPr="00F13F6F" w:rsidRDefault="00F13F6F" w:rsidP="00F13F6F">
            <w:pPr>
              <w:autoSpaceDE w:val="0"/>
              <w:autoSpaceDN w:val="0"/>
              <w:adjustRightInd w:val="0"/>
              <w:spacing w:before="120" w:after="240" w:line="276" w:lineRule="auto"/>
              <w:ind w:left="1843" w:hanging="1"/>
              <w:jc w:val="both"/>
              <w:rPr>
                <w:rFonts w:ascii="Verdana" w:eastAsia="Calibri" w:hAnsi="Verdana" w:cs="Arial"/>
              </w:rPr>
            </w:pPr>
            <w:r w:rsidRPr="00F13F6F">
              <w:rPr>
                <w:rFonts w:ascii="Verdana" w:eastAsia="Calibri" w:hAnsi="Verdana" w:cs="Arial"/>
              </w:rPr>
              <w:lastRenderedPageBreak/>
              <w:t>Pd = Patrimonio demandado (requerido) para el proceso que presenta la propuesta</w:t>
            </w:r>
          </w:p>
          <w:p w14:paraId="0BA8E2D3" w14:textId="77777777" w:rsidR="00F13F6F" w:rsidRPr="00F13F6F" w:rsidRDefault="00F13F6F" w:rsidP="00F13F6F">
            <w:pPr>
              <w:autoSpaceDE w:val="0"/>
              <w:autoSpaceDN w:val="0"/>
              <w:adjustRightInd w:val="0"/>
              <w:spacing w:before="120" w:after="240" w:line="276" w:lineRule="auto"/>
              <w:ind w:left="1134"/>
              <w:jc w:val="both"/>
              <w:rPr>
                <w:rFonts w:ascii="Verdana" w:eastAsia="Calibri" w:hAnsi="Verdana" w:cs="Arial"/>
              </w:rPr>
            </w:pPr>
            <w:r w:rsidRPr="00F13F6F">
              <w:rPr>
                <w:rFonts w:ascii="Verdana" w:eastAsia="Calibri" w:hAnsi="Verdana" w:cs="Arial"/>
              </w:rPr>
              <w:t xml:space="preserve">El Patrimonio (P) del oferente deberá ser mayor o igual al Patrimonio demandado (requerido) (Pd): </w:t>
            </w:r>
          </w:p>
          <w:p w14:paraId="691273D8" w14:textId="77777777" w:rsidR="00F13F6F" w:rsidRPr="00F13F6F" w:rsidRDefault="00F13F6F" w:rsidP="00F13F6F">
            <w:pPr>
              <w:autoSpaceDE w:val="0"/>
              <w:autoSpaceDN w:val="0"/>
              <w:adjustRightInd w:val="0"/>
              <w:spacing w:before="120" w:after="240" w:line="276" w:lineRule="auto"/>
              <w:ind w:firstLine="1134"/>
              <w:jc w:val="center"/>
              <w:rPr>
                <w:rFonts w:ascii="Verdana" w:eastAsia="Calibri" w:hAnsi="Verdana" w:cs="Arial"/>
              </w:rPr>
            </w:pPr>
            <w:r w:rsidRPr="00F13F6F">
              <w:rPr>
                <w:rFonts w:ascii="Verdana" w:eastAsia="Calibri" w:hAnsi="Verdana" w:cs="Arial"/>
              </w:rPr>
              <w:t>P ≥ Pd”</w:t>
            </w:r>
          </w:p>
          <w:p w14:paraId="03F31258" w14:textId="77777777" w:rsidR="00F13F6F" w:rsidRPr="00F13F6F" w:rsidRDefault="00F13F6F" w:rsidP="00F13F6F">
            <w:pPr>
              <w:numPr>
                <w:ilvl w:val="0"/>
                <w:numId w:val="19"/>
              </w:numPr>
              <w:snapToGrid w:val="0"/>
              <w:spacing w:line="276" w:lineRule="auto"/>
              <w:contextualSpacing/>
              <w:jc w:val="both"/>
              <w:rPr>
                <w:rFonts w:ascii="Verdana" w:eastAsia="Calibri" w:hAnsi="Verdana" w:cs="Arial"/>
                <w:lang w:val="es-ES"/>
              </w:rPr>
            </w:pPr>
            <w:r w:rsidRPr="00F13F6F">
              <w:rPr>
                <w:rFonts w:ascii="Verdana" w:eastAsia="Calibri" w:hAnsi="Verdana" w:cs="Arial"/>
                <w:lang w:val="es-ES"/>
              </w:rPr>
              <w:t>Posteriormente se indican las condiciones que deberá cumplir el proceso para solicitarlo y el requisito a solicitar:</w:t>
            </w:r>
          </w:p>
          <w:p w14:paraId="1F136A86" w14:textId="77777777" w:rsidR="00F13F6F" w:rsidRPr="00F13F6F" w:rsidRDefault="00F13F6F" w:rsidP="00F13F6F">
            <w:pPr>
              <w:snapToGrid w:val="0"/>
              <w:spacing w:line="276" w:lineRule="auto"/>
              <w:ind w:left="1080"/>
              <w:contextualSpacing/>
              <w:jc w:val="both"/>
              <w:rPr>
                <w:rFonts w:ascii="Verdana" w:eastAsia="Calibri" w:hAnsi="Verdana" w:cs="Arial"/>
                <w:lang w:val="es-ES"/>
              </w:rPr>
            </w:pPr>
          </w:p>
          <w:p w14:paraId="46EA6521" w14:textId="77777777" w:rsidR="00F13F6F" w:rsidRPr="00F13F6F" w:rsidRDefault="00F13F6F" w:rsidP="00F13F6F">
            <w:pPr>
              <w:shd w:val="clear" w:color="auto" w:fill="FFFFFF"/>
              <w:spacing w:line="276" w:lineRule="auto"/>
              <w:ind w:left="1134"/>
              <w:jc w:val="both"/>
              <w:rPr>
                <w:rFonts w:ascii="Verdana" w:eastAsia="Times New Roman" w:hAnsi="Verdana" w:cs="Arial"/>
                <w:lang w:eastAsia="es-CO"/>
              </w:rPr>
            </w:pPr>
            <w:r w:rsidRPr="00F13F6F">
              <w:rPr>
                <w:rFonts w:ascii="Verdana" w:eastAsia="Times New Roman" w:hAnsi="Verdana" w:cs="Times New Roman"/>
                <w:b/>
                <w:i/>
                <w:u w:val="single"/>
                <w:lang w:eastAsia="es-CO"/>
              </w:rPr>
              <w:t>“Patrimonio demandado (requerido):</w:t>
            </w:r>
          </w:p>
          <w:p w14:paraId="293683A6" w14:textId="77777777" w:rsidR="00F13F6F" w:rsidRPr="00F13F6F" w:rsidRDefault="00F13F6F" w:rsidP="00F13F6F">
            <w:pPr>
              <w:shd w:val="clear" w:color="auto" w:fill="FFFFFF"/>
              <w:spacing w:line="276" w:lineRule="auto"/>
              <w:ind w:left="1134"/>
              <w:jc w:val="both"/>
              <w:rPr>
                <w:rFonts w:ascii="Verdana" w:eastAsia="Times New Roman" w:hAnsi="Verdana" w:cs="Arial"/>
                <w:lang w:eastAsia="es-CO"/>
              </w:rPr>
            </w:pPr>
          </w:p>
          <w:p w14:paraId="2B6536EC" w14:textId="77777777" w:rsidR="00F13F6F" w:rsidRPr="00F13F6F" w:rsidRDefault="00F13F6F" w:rsidP="00F13F6F">
            <w:pPr>
              <w:spacing w:line="276" w:lineRule="auto"/>
              <w:ind w:left="1134"/>
              <w:jc w:val="both"/>
              <w:rPr>
                <w:rFonts w:ascii="Verdana" w:eastAsia="Calibri" w:hAnsi="Verdana" w:cs="Arial"/>
              </w:rPr>
            </w:pPr>
            <w:r w:rsidRPr="00F13F6F">
              <w:rPr>
                <w:rFonts w:ascii="Verdana" w:eastAsia="Calibri" w:hAnsi="Verdana" w:cs="Arial"/>
                <w:highlight w:val="lightGray"/>
              </w:rPr>
              <w:t xml:space="preserve">[Para proyectos de obra cuyo presupuesto oficial sea mayor o igual a 40.000 </w:t>
            </w:r>
            <w:proofErr w:type="spellStart"/>
            <w:r w:rsidRPr="00F13F6F">
              <w:rPr>
                <w:rFonts w:ascii="Verdana" w:eastAsia="Calibri" w:hAnsi="Verdana" w:cs="Arial"/>
                <w:highlight w:val="lightGray"/>
              </w:rPr>
              <w:t>smmlv</w:t>
            </w:r>
            <w:proofErr w:type="spellEnd"/>
            <w:r w:rsidRPr="00F13F6F">
              <w:rPr>
                <w:rFonts w:ascii="Verdana" w:eastAsia="Calibri" w:hAnsi="Verdana" w:cs="Arial"/>
                <w:highlight w:val="lightGray"/>
              </w:rPr>
              <w:t xml:space="preserve"> y cuente con un plazo de ejecución </w:t>
            </w:r>
            <w:r w:rsidRPr="00F13F6F">
              <w:rPr>
                <w:rFonts w:ascii="Verdana" w:eastAsia="Calibri" w:hAnsi="Verdana" w:cs="Arial"/>
                <w:highlight w:val="lightGray"/>
                <w:u w:val="single"/>
              </w:rPr>
              <w:t>igual o superior a 24 meses</w:t>
            </w:r>
            <w:r w:rsidRPr="00F13F6F">
              <w:rPr>
                <w:rFonts w:ascii="Verdana" w:eastAsia="Calibri" w:hAnsi="Verdana" w:cs="Arial"/>
                <w:highlight w:val="lightGray"/>
              </w:rPr>
              <w:t xml:space="preserve"> aplicará la siguiente redacción:]</w:t>
            </w:r>
          </w:p>
          <w:p w14:paraId="64F8B760" w14:textId="77777777" w:rsidR="00F13F6F" w:rsidRPr="00F13F6F" w:rsidRDefault="00F13F6F" w:rsidP="00F13F6F">
            <w:pPr>
              <w:spacing w:line="276" w:lineRule="auto"/>
              <w:ind w:left="1134"/>
              <w:jc w:val="both"/>
              <w:rPr>
                <w:rFonts w:ascii="Verdana" w:eastAsia="Calibri" w:hAnsi="Verdana" w:cs="Arial"/>
              </w:rPr>
            </w:pPr>
            <w:r w:rsidRPr="00F13F6F">
              <w:rPr>
                <w:rFonts w:ascii="Verdana" w:eastAsia="Calibri" w:hAnsi="Verdana" w:cs="Arial"/>
              </w:rPr>
              <w:t>La determinación del Patrimonio demandado (requerido), se hará de acuerdo con la siguiente fórmula:</w:t>
            </w:r>
          </w:p>
          <w:p w14:paraId="349FCE32" w14:textId="77777777" w:rsidR="00F13F6F" w:rsidRPr="00F13F6F" w:rsidRDefault="00F13F6F" w:rsidP="00F13F6F">
            <w:pPr>
              <w:spacing w:line="276" w:lineRule="auto"/>
              <w:ind w:left="1134"/>
              <w:rPr>
                <w:rFonts w:ascii="Verdana" w:eastAsia="Calibri" w:hAnsi="Verdana" w:cs="Arial"/>
              </w:rPr>
            </w:pPr>
            <m:oMathPara>
              <m:oMath>
                <m:r>
                  <m:rPr>
                    <m:sty m:val="p"/>
                  </m:rPr>
                  <w:rPr>
                    <w:rFonts w:ascii="Cambria Math" w:eastAsia="Calibri" w:hAnsi="Cambria Math" w:cs="Arial"/>
                  </w:rPr>
                  <m:t>Pd</m:t>
                </m:r>
                <m:r>
                  <w:rPr>
                    <w:rFonts w:ascii="Cambria Math" w:eastAsia="Calibri" w:hAnsi="Cambria Math" w:cs="Arial"/>
                  </w:rPr>
                  <m:t>= POE x 25%</m:t>
                </m:r>
              </m:oMath>
            </m:oMathPara>
          </w:p>
          <w:p w14:paraId="71B6125A" w14:textId="77777777" w:rsidR="00F13F6F" w:rsidRPr="00F13F6F" w:rsidRDefault="00F13F6F" w:rsidP="00F13F6F">
            <w:pPr>
              <w:spacing w:line="276" w:lineRule="auto"/>
              <w:ind w:left="1134"/>
              <w:rPr>
                <w:rFonts w:ascii="Verdana" w:eastAsia="Calibri" w:hAnsi="Verdana" w:cs="Arial"/>
              </w:rPr>
            </w:pPr>
            <w:r w:rsidRPr="00F13F6F">
              <w:rPr>
                <w:rFonts w:ascii="Verdana" w:eastAsia="Calibri" w:hAnsi="Verdana" w:cs="Arial"/>
              </w:rPr>
              <w:t>Donde,</w:t>
            </w:r>
          </w:p>
          <w:p w14:paraId="70EAFDC1" w14:textId="77777777" w:rsidR="00F13F6F" w:rsidRPr="00F13F6F" w:rsidRDefault="00F13F6F" w:rsidP="00F13F6F">
            <w:pPr>
              <w:autoSpaceDE w:val="0"/>
              <w:autoSpaceDN w:val="0"/>
              <w:adjustRightInd w:val="0"/>
              <w:spacing w:before="120" w:after="240" w:line="276" w:lineRule="auto"/>
              <w:ind w:left="1134"/>
              <w:rPr>
                <w:rFonts w:ascii="Verdana" w:eastAsia="Calibri" w:hAnsi="Verdana" w:cs="Arial"/>
              </w:rPr>
            </w:pPr>
            <w:r w:rsidRPr="00F13F6F">
              <w:rPr>
                <w:rFonts w:ascii="Verdana" w:eastAsia="Calibri" w:hAnsi="Verdana" w:cs="Arial"/>
              </w:rPr>
              <w:t>Pd = Patrimonio demandado (requerido) para el proceso que presenta la propuesta</w:t>
            </w:r>
          </w:p>
          <w:p w14:paraId="0215C715" w14:textId="77777777" w:rsidR="00F13F6F" w:rsidRPr="00F13F6F" w:rsidRDefault="00F13F6F" w:rsidP="00F13F6F">
            <w:pPr>
              <w:spacing w:line="276" w:lineRule="auto"/>
              <w:ind w:left="1134"/>
              <w:rPr>
                <w:rFonts w:ascii="Verdana" w:eastAsia="Calibri" w:hAnsi="Verdana" w:cs="Arial"/>
              </w:rPr>
            </w:pPr>
            <w:r w:rsidRPr="00F13F6F">
              <w:rPr>
                <w:rFonts w:ascii="Verdana" w:eastAsia="Calibri" w:hAnsi="Verdana" w:cs="Arial"/>
              </w:rPr>
              <w:t>POE = Presupuesto oficial estimado</w:t>
            </w:r>
          </w:p>
          <w:p w14:paraId="18832EBF" w14:textId="77777777" w:rsidR="00F13F6F" w:rsidRPr="00F13F6F" w:rsidRDefault="00F13F6F" w:rsidP="00F13F6F">
            <w:pPr>
              <w:shd w:val="clear" w:color="auto" w:fill="FFFFFF"/>
              <w:spacing w:line="276" w:lineRule="auto"/>
              <w:ind w:left="1134"/>
              <w:jc w:val="both"/>
              <w:rPr>
                <w:rFonts w:ascii="Verdana" w:eastAsia="Times New Roman" w:hAnsi="Verdana" w:cs="Times New Roman"/>
                <w:lang w:eastAsia="es-CO"/>
              </w:rPr>
            </w:pPr>
            <w:r w:rsidRPr="00F13F6F">
              <w:rPr>
                <w:rFonts w:ascii="Verdana" w:eastAsia="Times New Roman" w:hAnsi="Verdana" w:cs="Times New Roman"/>
                <w:lang w:eastAsia="es-CO"/>
              </w:rPr>
              <w:t xml:space="preserve">En ningún caso el Patrimonio requerido excederá el valor del Presupuesto Oficial”. </w:t>
            </w:r>
          </w:p>
          <w:p w14:paraId="7BA51F1D" w14:textId="77777777" w:rsidR="00F13F6F" w:rsidRPr="00F13F6F" w:rsidRDefault="00F13F6F" w:rsidP="00F13F6F">
            <w:pPr>
              <w:snapToGrid w:val="0"/>
              <w:spacing w:line="276" w:lineRule="auto"/>
              <w:ind w:left="1080"/>
              <w:contextualSpacing/>
              <w:jc w:val="both"/>
              <w:rPr>
                <w:rFonts w:ascii="Verdana" w:eastAsia="Calibri" w:hAnsi="Verdana" w:cs="Arial"/>
              </w:rPr>
            </w:pPr>
          </w:p>
          <w:p w14:paraId="08A7A88E" w14:textId="77777777" w:rsidR="00F13F6F" w:rsidRPr="00F13F6F" w:rsidRDefault="00F13F6F" w:rsidP="00F13F6F">
            <w:pPr>
              <w:numPr>
                <w:ilvl w:val="0"/>
                <w:numId w:val="19"/>
              </w:numPr>
              <w:snapToGrid w:val="0"/>
              <w:spacing w:line="276" w:lineRule="auto"/>
              <w:contextualSpacing/>
              <w:jc w:val="both"/>
              <w:rPr>
                <w:rFonts w:ascii="Verdana" w:eastAsia="Calibri" w:hAnsi="Verdana" w:cs="Arial"/>
                <w:lang w:val="es-ES"/>
              </w:rPr>
            </w:pPr>
            <w:r w:rsidRPr="00F13F6F">
              <w:rPr>
                <w:rFonts w:ascii="Verdana" w:eastAsia="Calibri" w:hAnsi="Verdana" w:cs="Arial"/>
                <w:lang w:val="es-ES"/>
              </w:rPr>
              <w:t>A continuación, se describe la metodología para calcular el indicador cuando el proponente que se presenta corresponde a una figura plural:</w:t>
            </w:r>
          </w:p>
          <w:p w14:paraId="22F9FD38" w14:textId="77777777" w:rsidR="00F13F6F" w:rsidRPr="00F13F6F" w:rsidRDefault="00F13F6F" w:rsidP="00F13F6F">
            <w:pPr>
              <w:spacing w:line="276" w:lineRule="auto"/>
              <w:ind w:left="1134"/>
              <w:contextualSpacing/>
              <w:rPr>
                <w:rFonts w:ascii="Verdana" w:eastAsia="Calibri" w:hAnsi="Verdana" w:cs="Arial"/>
                <w:lang w:val="es-ES"/>
              </w:rPr>
            </w:pPr>
          </w:p>
          <w:p w14:paraId="6B741892" w14:textId="77777777" w:rsidR="00F13F6F" w:rsidRPr="00F13F6F" w:rsidRDefault="00F13F6F" w:rsidP="00F13F6F">
            <w:pPr>
              <w:spacing w:line="276" w:lineRule="auto"/>
              <w:ind w:left="1134"/>
              <w:rPr>
                <w:rFonts w:ascii="Verdana" w:eastAsia="Calibri" w:hAnsi="Verdana" w:cs="Times New Roman"/>
                <w:lang w:val="es-MX"/>
              </w:rPr>
            </w:pPr>
            <w:r w:rsidRPr="00F13F6F">
              <w:rPr>
                <w:rFonts w:ascii="Verdana" w:eastAsia="Calibri" w:hAnsi="Verdana" w:cs="Times New Roman"/>
                <w:lang w:val="es-MX"/>
              </w:rPr>
              <w:t>“Si el Proponente es plural el indicador debe calcularse así:</w:t>
            </w:r>
          </w:p>
          <w:p w14:paraId="5FDF80F7" w14:textId="77777777" w:rsidR="00F13F6F" w:rsidRPr="00F13F6F" w:rsidRDefault="00F13F6F" w:rsidP="00F13F6F">
            <w:pPr>
              <w:spacing w:line="276" w:lineRule="auto"/>
              <w:ind w:left="1134"/>
              <w:rPr>
                <w:rFonts w:ascii="Verdana" w:eastAsia="Calibri" w:hAnsi="Verdana" w:cs="Arial"/>
              </w:rPr>
            </w:pPr>
            <m:oMathPara>
              <m:oMath>
                <m:r>
                  <m:rPr>
                    <m:sty m:val="p"/>
                  </m:rPr>
                  <w:rPr>
                    <w:rFonts w:ascii="Cambria Math" w:eastAsia="Calibri" w:hAnsi="Cambria Math" w:cs="Arial"/>
                  </w:rPr>
                  <m:t>proponente plural=</m:t>
                </m:r>
                <m:nary>
                  <m:naryPr>
                    <m:chr m:val="∑"/>
                    <m:limLoc m:val="undOvr"/>
                    <m:ctrlPr>
                      <w:rPr>
                        <w:rFonts w:ascii="Cambria Math" w:eastAsia="Calibri" w:hAnsi="Cambria Math" w:cs="Arial"/>
                      </w:rPr>
                    </m:ctrlPr>
                  </m:naryPr>
                  <m:sub>
                    <m:r>
                      <m:rPr>
                        <m:sty m:val="p"/>
                      </m:rPr>
                      <w:rPr>
                        <w:rFonts w:ascii="Cambria Math" w:eastAsia="Calibri" w:hAnsi="Cambria Math" w:cs="Arial"/>
                      </w:rPr>
                      <m:t>i=1</m:t>
                    </m:r>
                  </m:sub>
                  <m:sup>
                    <m:r>
                      <m:rPr>
                        <m:sty m:val="p"/>
                      </m:rPr>
                      <w:rPr>
                        <w:rFonts w:ascii="Cambria Math" w:eastAsia="Calibri" w:hAnsi="Cambria Math" w:cs="Arial"/>
                      </w:rPr>
                      <m:t>n</m:t>
                    </m:r>
                  </m:sup>
                  <m:e>
                    <m:sSub>
                      <m:sSubPr>
                        <m:ctrlPr>
                          <w:rPr>
                            <w:rFonts w:ascii="Cambria Math" w:eastAsia="Calibri" w:hAnsi="Cambria Math" w:cs="Arial"/>
                          </w:rPr>
                        </m:ctrlPr>
                      </m:sSubPr>
                      <m:e>
                        <m:r>
                          <m:rPr>
                            <m:sty m:val="p"/>
                          </m:rPr>
                          <w:rPr>
                            <w:rFonts w:ascii="Cambria Math" w:eastAsia="Calibri" w:hAnsi="Cambria Math" w:cs="Arial"/>
                          </w:rPr>
                          <m:t>CT</m:t>
                        </m:r>
                      </m:e>
                      <m:sub>
                        <m:r>
                          <m:rPr>
                            <m:sty m:val="p"/>
                          </m:rPr>
                          <w:rPr>
                            <w:rFonts w:ascii="Cambria Math" w:eastAsia="Calibri" w:hAnsi="Cambria Math" w:cs="Arial"/>
                          </w:rPr>
                          <m:t>i</m:t>
                        </m:r>
                      </m:sub>
                    </m:sSub>
                  </m:e>
                </m:nary>
              </m:oMath>
            </m:oMathPara>
          </w:p>
          <w:p w14:paraId="1C635B2D" w14:textId="77777777" w:rsidR="00F13F6F" w:rsidRPr="00F13F6F" w:rsidRDefault="00F13F6F" w:rsidP="00F13F6F">
            <w:pPr>
              <w:spacing w:line="276" w:lineRule="auto"/>
              <w:ind w:left="1134"/>
              <w:rPr>
                <w:rFonts w:ascii="Verdana" w:eastAsia="Calibri" w:hAnsi="Verdana" w:cs="Times New Roman"/>
                <w:lang w:val="es-MX"/>
              </w:rPr>
            </w:pPr>
            <w:r w:rsidRPr="00F13F6F">
              <w:rPr>
                <w:rFonts w:ascii="Verdana" w:eastAsia="Calibri" w:hAnsi="Verdana" w:cs="Times New Roman"/>
                <w:lang w:val="es-MX"/>
              </w:rPr>
              <w:t xml:space="preserve">Donde </w:t>
            </w:r>
            <w:r w:rsidRPr="00F13F6F">
              <w:rPr>
                <w:rFonts w:ascii="Verdana" w:eastAsia="Calibri" w:hAnsi="Verdana" w:cs="Times New Roman"/>
                <w:i/>
                <w:iCs/>
                <w:lang w:val="es-MX"/>
              </w:rPr>
              <w:t>n</w:t>
            </w:r>
            <w:r w:rsidRPr="00F13F6F">
              <w:rPr>
                <w:rFonts w:ascii="Verdana" w:eastAsia="Calibri" w:hAnsi="Verdana" w:cs="Times New Roman"/>
                <w:lang w:val="es-MX"/>
              </w:rPr>
              <w:t xml:space="preserve"> es el número de integrantes del proponente plural (unión temporal o consorcio)”.</w:t>
            </w:r>
          </w:p>
          <w:p w14:paraId="2AAD7FDA" w14:textId="77777777" w:rsidR="00F13F6F" w:rsidRPr="00F13F6F" w:rsidRDefault="00F13F6F" w:rsidP="00F13F6F">
            <w:pPr>
              <w:numPr>
                <w:ilvl w:val="0"/>
                <w:numId w:val="19"/>
              </w:numPr>
              <w:snapToGrid w:val="0"/>
              <w:spacing w:line="276" w:lineRule="auto"/>
              <w:contextualSpacing/>
              <w:jc w:val="both"/>
              <w:rPr>
                <w:rFonts w:ascii="Verdana" w:eastAsia="Calibri" w:hAnsi="Verdana" w:cs="Arial"/>
                <w:lang w:val="es-ES"/>
              </w:rPr>
            </w:pPr>
            <w:r w:rsidRPr="00F13F6F">
              <w:rPr>
                <w:rFonts w:ascii="Verdana" w:eastAsia="Calibri" w:hAnsi="Verdana" w:cs="Arial"/>
                <w:lang w:val="es-ES"/>
              </w:rPr>
              <w:lastRenderedPageBreak/>
              <w:t xml:space="preserve">Finalmente, se realiza la descripción del requisito a solicitar cuando la empresa que se presente acredite su condición de </w:t>
            </w:r>
            <w:proofErr w:type="spellStart"/>
            <w:r w:rsidRPr="00F13F6F">
              <w:rPr>
                <w:rFonts w:ascii="Verdana" w:eastAsia="Calibri" w:hAnsi="Verdana" w:cs="Arial"/>
                <w:lang w:val="es-ES"/>
              </w:rPr>
              <w:t>Mipyme</w:t>
            </w:r>
            <w:proofErr w:type="spellEnd"/>
            <w:r w:rsidRPr="00F13F6F">
              <w:rPr>
                <w:rFonts w:ascii="Verdana" w:eastAsia="Calibri" w:hAnsi="Verdana" w:cs="Arial"/>
                <w:lang w:val="es-ES"/>
              </w:rPr>
              <w:t>, así:</w:t>
            </w:r>
          </w:p>
          <w:p w14:paraId="5D0E9201" w14:textId="77777777" w:rsidR="00F13F6F" w:rsidRPr="00F13F6F" w:rsidRDefault="00F13F6F" w:rsidP="00F13F6F">
            <w:pPr>
              <w:snapToGrid w:val="0"/>
              <w:spacing w:line="276" w:lineRule="auto"/>
              <w:ind w:left="1080"/>
              <w:contextualSpacing/>
              <w:jc w:val="both"/>
              <w:rPr>
                <w:rFonts w:ascii="Verdana" w:eastAsia="Calibri" w:hAnsi="Verdana" w:cs="Arial"/>
                <w:lang w:val="es-ES"/>
              </w:rPr>
            </w:pPr>
          </w:p>
          <w:p w14:paraId="130418F7" w14:textId="77777777" w:rsidR="00F13F6F" w:rsidRPr="00F13F6F" w:rsidRDefault="00F13F6F" w:rsidP="00F13F6F">
            <w:pPr>
              <w:spacing w:line="276" w:lineRule="auto"/>
              <w:ind w:left="1134"/>
              <w:jc w:val="both"/>
              <w:rPr>
                <w:rFonts w:ascii="Verdana" w:eastAsia="Calibri" w:hAnsi="Verdana" w:cs="Arial"/>
              </w:rPr>
            </w:pPr>
            <w:r w:rsidRPr="00F13F6F">
              <w:rPr>
                <w:rFonts w:ascii="Verdana" w:eastAsia="Calibri" w:hAnsi="Verdana" w:cs="Arial"/>
                <w:color w:val="000000"/>
                <w:shd w:val="clear" w:color="auto" w:fill="FFFFFF"/>
                <w:lang w:val="es-419"/>
              </w:rPr>
              <w:t>“Con relación a las empresas que acrediten su condición de Mipyme,</w:t>
            </w:r>
            <w:r w:rsidRPr="00F13F6F">
              <w:rPr>
                <w:rFonts w:ascii="Verdana" w:eastAsia="Calibri" w:hAnsi="Verdana" w:cs="Times New Roman"/>
                <w:lang w:val="es-MX"/>
              </w:rPr>
              <w:t xml:space="preserve"> el Patrimonio </w:t>
            </w:r>
            <w:r w:rsidRPr="00F13F6F">
              <w:rPr>
                <w:rFonts w:ascii="Verdana" w:eastAsia="Calibri" w:hAnsi="Verdana" w:cs="Arial"/>
              </w:rPr>
              <w:t>solicitado (requerido) se hará de acuerdo con la siguiente fórmula:</w:t>
            </w:r>
          </w:p>
          <w:p w14:paraId="1F3E8516" w14:textId="77777777" w:rsidR="00F13F6F" w:rsidRPr="00F13F6F" w:rsidRDefault="00F13F6F" w:rsidP="00F13F6F">
            <w:pPr>
              <w:spacing w:line="276" w:lineRule="auto"/>
              <w:ind w:left="1134"/>
              <w:rPr>
                <w:rFonts w:ascii="Verdana" w:eastAsia="Calibri" w:hAnsi="Verdana" w:cs="Arial"/>
              </w:rPr>
            </w:pPr>
            <m:oMathPara>
              <m:oMath>
                <m:r>
                  <m:rPr>
                    <m:sty m:val="p"/>
                  </m:rPr>
                  <w:rPr>
                    <w:rFonts w:ascii="Cambria Math" w:eastAsia="Calibri" w:hAnsi="Cambria Math" w:cs="Arial"/>
                  </w:rPr>
                  <m:t>Pd</m:t>
                </m:r>
                <m:r>
                  <w:rPr>
                    <w:rFonts w:ascii="Cambria Math" w:eastAsia="Calibri" w:hAnsi="Cambria Math" w:cs="Arial"/>
                  </w:rPr>
                  <m:t>= POE x 20%</m:t>
                </m:r>
              </m:oMath>
            </m:oMathPara>
          </w:p>
          <w:p w14:paraId="3C84702A" w14:textId="77777777" w:rsidR="00F13F6F" w:rsidRPr="00F13F6F" w:rsidRDefault="00F13F6F" w:rsidP="00F13F6F">
            <w:pPr>
              <w:snapToGrid w:val="0"/>
              <w:spacing w:after="120" w:line="276" w:lineRule="auto"/>
              <w:ind w:firstLine="709"/>
              <w:jc w:val="both"/>
              <w:rPr>
                <w:rFonts w:ascii="Verdana" w:eastAsia="Calibri" w:hAnsi="Verdana" w:cs="Arial"/>
                <w:lang w:val="es-ES"/>
              </w:rPr>
            </w:pPr>
            <w:r w:rsidRPr="00F13F6F">
              <w:rPr>
                <w:rFonts w:ascii="Verdana" w:eastAsia="Calibri" w:hAnsi="Verdana" w:cs="Arial"/>
                <w:lang w:val="es-ES"/>
              </w:rPr>
              <w:t xml:space="preserve">Conforme con lo anterior, en el marco de la versión – 4 de los documentos tipo de licitación de obra pública de infraestructura de transporte, se incluyó como un indicador de capacidad financiera adicional, el Patrimonio. Este, será solicitado en los procesos de selección que cumplan con los siguientes dos criterios: i) El presupuesto oficial sea mayor o igual a 40.000 </w:t>
            </w:r>
            <w:proofErr w:type="spellStart"/>
            <w:r w:rsidRPr="00F13F6F">
              <w:rPr>
                <w:rFonts w:ascii="Verdana" w:eastAsia="Calibri" w:hAnsi="Verdana" w:cs="Arial"/>
                <w:lang w:val="es-ES"/>
              </w:rPr>
              <w:t>smmlv</w:t>
            </w:r>
            <w:proofErr w:type="spellEnd"/>
            <w:r w:rsidRPr="00F13F6F">
              <w:rPr>
                <w:rFonts w:ascii="Verdana" w:eastAsia="Calibri" w:hAnsi="Verdana" w:cs="Arial"/>
                <w:lang w:val="es-ES"/>
              </w:rPr>
              <w:t xml:space="preserve">, y </w:t>
            </w:r>
            <w:proofErr w:type="spellStart"/>
            <w:r w:rsidRPr="00F13F6F">
              <w:rPr>
                <w:rFonts w:ascii="Verdana" w:eastAsia="Calibri" w:hAnsi="Verdana" w:cs="Arial"/>
                <w:lang w:val="es-ES"/>
              </w:rPr>
              <w:t>ii</w:t>
            </w:r>
            <w:proofErr w:type="spellEnd"/>
            <w:r w:rsidRPr="00F13F6F">
              <w:rPr>
                <w:rFonts w:ascii="Verdana" w:eastAsia="Calibri" w:hAnsi="Verdana" w:cs="Arial"/>
                <w:lang w:val="es-ES"/>
              </w:rPr>
              <w:t xml:space="preserve">) cuente con un plazo de ejecución igual o superior a 24 meses, y se hará teniendo en cuenta cada uno de los componentes del numeral 3.8 explicados con anterioridad. </w:t>
            </w:r>
          </w:p>
          <w:p w14:paraId="3FCFC690" w14:textId="77777777" w:rsidR="00F13F6F" w:rsidRPr="00F13F6F" w:rsidRDefault="00F13F6F" w:rsidP="00F13F6F">
            <w:pPr>
              <w:snapToGrid w:val="0"/>
              <w:spacing w:after="120" w:line="276" w:lineRule="auto"/>
              <w:ind w:firstLine="709"/>
              <w:jc w:val="both"/>
              <w:rPr>
                <w:rFonts w:ascii="Verdana" w:eastAsia="Aptos" w:hAnsi="Verdana" w:cs="Times New Roman"/>
              </w:rPr>
            </w:pPr>
            <w:r w:rsidRPr="00F13F6F">
              <w:rPr>
                <w:rFonts w:ascii="Verdana" w:eastAsia="Aptos" w:hAnsi="Verdana" w:cs="Times New Roman"/>
              </w:rPr>
              <w:t xml:space="preserve">Los dos criterios son copulativos. La conjunción “y” que los une, tanto en el párrafo anterior como en la nota del documento tipo que fija su aplicación “Para proyectos de obra cuyo presupuesto oficial sea mayor o igual a 40.000 </w:t>
            </w:r>
            <w:proofErr w:type="spellStart"/>
            <w:r w:rsidRPr="00F13F6F">
              <w:rPr>
                <w:rFonts w:ascii="Verdana" w:eastAsia="Aptos" w:hAnsi="Verdana" w:cs="Times New Roman"/>
              </w:rPr>
              <w:t>smmlv</w:t>
            </w:r>
            <w:proofErr w:type="spellEnd"/>
            <w:r w:rsidRPr="00F13F6F">
              <w:rPr>
                <w:rFonts w:ascii="Verdana" w:eastAsia="Aptos" w:hAnsi="Verdana" w:cs="Times New Roman"/>
              </w:rPr>
              <w:t xml:space="preserve"> y cuente con un plazo de ejecución igual o superior a 24 meses aplicará la siguiente redacción”, es una conjunción copulativa</w:t>
            </w:r>
            <w:r w:rsidRPr="00F13F6F">
              <w:rPr>
                <w:rFonts w:ascii="Verdana" w:eastAsia="Aptos" w:hAnsi="Verdana" w:cs="Times New Roman"/>
                <w:vertAlign w:val="superscript"/>
              </w:rPr>
              <w:footnoteReference w:id="1"/>
            </w:r>
            <w:r w:rsidRPr="00F13F6F">
              <w:rPr>
                <w:rFonts w:ascii="Verdana" w:eastAsia="Aptos" w:hAnsi="Verdana" w:cs="Times New Roman"/>
              </w:rPr>
              <w:t xml:space="preserve">, es decir, suma las condiciones y exige que todas se cumplan a la vez. </w:t>
            </w:r>
          </w:p>
          <w:p w14:paraId="21014AD8" w14:textId="77777777" w:rsidR="00F13F6F" w:rsidRPr="00F13F6F" w:rsidRDefault="00F13F6F" w:rsidP="00F13F6F">
            <w:pPr>
              <w:snapToGrid w:val="0"/>
              <w:spacing w:after="120" w:line="276" w:lineRule="auto"/>
              <w:ind w:firstLine="709"/>
              <w:jc w:val="both"/>
              <w:rPr>
                <w:rFonts w:ascii="Verdana" w:eastAsia="Calibri" w:hAnsi="Verdana" w:cs="Arial"/>
                <w:lang w:val="es-ES"/>
              </w:rPr>
            </w:pPr>
            <w:r w:rsidRPr="00F13F6F">
              <w:rPr>
                <w:rFonts w:ascii="Verdana" w:eastAsia="Aptos" w:hAnsi="Verdana" w:cs="Times New Roman"/>
              </w:rPr>
              <w:t>Leída en su sentido natural y obvio, conforme al criterio de interpretación del artículo 28 del Código Civil</w:t>
            </w:r>
            <w:r w:rsidRPr="00F13F6F">
              <w:rPr>
                <w:rFonts w:ascii="Verdana" w:eastAsia="Aptos" w:hAnsi="Verdana" w:cs="Times New Roman"/>
                <w:vertAlign w:val="superscript"/>
              </w:rPr>
              <w:footnoteReference w:id="2"/>
            </w:r>
            <w:r w:rsidRPr="00F13F6F">
              <w:rPr>
                <w:rFonts w:ascii="Verdana" w:eastAsia="Aptos" w:hAnsi="Verdana" w:cs="Times New Roman"/>
              </w:rPr>
              <w:t xml:space="preserve">, la regla no permite que baste uno solo de los supuestos. Por eso, un proceso con presupuesto igual o superior a 40.000 </w:t>
            </w:r>
            <w:proofErr w:type="spellStart"/>
            <w:r w:rsidRPr="00F13F6F">
              <w:rPr>
                <w:rFonts w:ascii="Verdana" w:eastAsia="Aptos" w:hAnsi="Verdana" w:cs="Times New Roman"/>
              </w:rPr>
              <w:t>smmlv</w:t>
            </w:r>
            <w:proofErr w:type="spellEnd"/>
            <w:r w:rsidRPr="00F13F6F">
              <w:rPr>
                <w:rFonts w:ascii="Verdana" w:eastAsia="Aptos" w:hAnsi="Verdana" w:cs="Times New Roman"/>
              </w:rPr>
              <w:t xml:space="preserve"> y plazo inferior a 24 meses no debe incluir el indicador de patrimonio, y tampoco uno con plazo de 24 meses o más cuyo presupuesto sea inferior a 40.000 </w:t>
            </w:r>
            <w:proofErr w:type="spellStart"/>
            <w:r w:rsidRPr="00F13F6F">
              <w:rPr>
                <w:rFonts w:ascii="Verdana" w:eastAsia="Aptos" w:hAnsi="Verdana" w:cs="Times New Roman"/>
              </w:rPr>
              <w:t>smmlv</w:t>
            </w:r>
            <w:proofErr w:type="spellEnd"/>
            <w:r w:rsidRPr="00F13F6F">
              <w:rPr>
                <w:rFonts w:ascii="Verdana" w:eastAsia="Aptos" w:hAnsi="Verdana" w:cs="Times New Roman"/>
              </w:rPr>
              <w:t xml:space="preserve">. Exigirlo en esos casos implicaría </w:t>
            </w:r>
            <w:r w:rsidRPr="00F13F6F">
              <w:rPr>
                <w:rFonts w:ascii="Verdana" w:eastAsia="Aptos" w:hAnsi="Verdana" w:cs="Times New Roman"/>
              </w:rPr>
              <w:lastRenderedPageBreak/>
              <w:t>agregar un requisito habilitante que el documento tipo, de uso obligatorio para las entidades, no prevé para ese proceso.</w:t>
            </w:r>
          </w:p>
          <w:p w14:paraId="49A113B7" w14:textId="77777777" w:rsidR="00F13F6F" w:rsidRPr="00F13F6F" w:rsidRDefault="00F13F6F" w:rsidP="00F13F6F">
            <w:pPr>
              <w:snapToGrid w:val="0"/>
              <w:spacing w:after="120" w:line="276" w:lineRule="auto"/>
              <w:ind w:firstLine="709"/>
              <w:jc w:val="both"/>
              <w:rPr>
                <w:rFonts w:ascii="Verdana" w:eastAsia="Calibri" w:hAnsi="Verdana" w:cs="Arial"/>
                <w:color w:val="000000"/>
              </w:rPr>
            </w:pPr>
            <w:r w:rsidRPr="00F13F6F">
              <w:rPr>
                <w:rFonts w:ascii="Verdana" w:eastAsia="Aptos" w:hAnsi="Verdana" w:cs="Times New Roman"/>
                <w:color w:val="000000"/>
              </w:rPr>
              <w:t>Ahora bien, en el documento “04. Anexo de la Memoria justificativa – Análisis sectorial”, que sirvió de fundamento técnico para actualizar el documento tipo de infraestructura de transporte en la modalidad de licitación pública, la Agencia sustentó la inclusión de este indicador en los procesos que cumplan las dos condiciones señaladas, manifestando que</w:t>
            </w:r>
            <w:r w:rsidRPr="00F13F6F">
              <w:rPr>
                <w:rFonts w:ascii="Verdana" w:eastAsia="Calibri" w:hAnsi="Verdana" w:cs="Arial"/>
                <w:color w:val="000000"/>
              </w:rPr>
              <w:t xml:space="preserve"> este mide la cantidad de recursos propios del proponente y es recomendable su uso cuando la Entidad Estatal requiere analizar la proporción de recursos propios en términos absolutos cuando el presupuesto del Proceso de Contratación es muy alto y se debe asegurar la continuidad del oferente en el tiempo</w:t>
            </w:r>
            <w:r w:rsidRPr="00F13F6F">
              <w:rPr>
                <w:rFonts w:ascii="Verdana" w:eastAsia="Calibri" w:hAnsi="Verdana" w:cs="Arial"/>
                <w:color w:val="000000"/>
                <w:vertAlign w:val="superscript"/>
              </w:rPr>
              <w:footnoteReference w:id="3"/>
            </w:r>
            <w:r w:rsidRPr="00F13F6F">
              <w:rPr>
                <w:rFonts w:ascii="Verdana" w:eastAsia="Calibri" w:hAnsi="Verdana" w:cs="Arial"/>
                <w:color w:val="000000"/>
              </w:rPr>
              <w:t>.</w:t>
            </w:r>
          </w:p>
          <w:p w14:paraId="437E25C0" w14:textId="77777777" w:rsidR="00F13F6F" w:rsidRPr="00F13F6F" w:rsidRDefault="00F13F6F" w:rsidP="00F13F6F">
            <w:pPr>
              <w:snapToGrid w:val="0"/>
              <w:spacing w:after="120" w:line="276" w:lineRule="auto"/>
              <w:ind w:firstLine="709"/>
              <w:jc w:val="both"/>
              <w:rPr>
                <w:rFonts w:ascii="Verdana" w:eastAsia="Calibri" w:hAnsi="Verdana" w:cs="Arial"/>
                <w:color w:val="000000"/>
              </w:rPr>
            </w:pPr>
            <w:r w:rsidRPr="00F13F6F">
              <w:rPr>
                <w:rFonts w:ascii="Verdana" w:eastAsia="Calibri" w:hAnsi="Verdana" w:cs="Arial"/>
                <w:color w:val="000000"/>
              </w:rPr>
              <w:t>Así, considerando que los grandes proyectos de infraestructura de obra están concebidos para varias vigencias e implican la adjudicación de contratos por altos montos de recursos, el indicador de patrimonio cobra relevancia con el objetivo de fortalecer los requisitos a solicitar a los proponentes en el marco de este tipo de proyectos.</w:t>
            </w:r>
          </w:p>
          <w:p w14:paraId="597B2186" w14:textId="77777777" w:rsidR="00F13F6F" w:rsidRPr="00F13F6F" w:rsidRDefault="00F13F6F" w:rsidP="00F13F6F">
            <w:pPr>
              <w:snapToGrid w:val="0"/>
              <w:spacing w:line="276" w:lineRule="auto"/>
              <w:ind w:firstLine="709"/>
              <w:jc w:val="both"/>
              <w:rPr>
                <w:rFonts w:ascii="Verdana" w:eastAsia="Aptos" w:hAnsi="Verdana" w:cs="Times New Roman"/>
              </w:rPr>
            </w:pPr>
            <w:r w:rsidRPr="00F13F6F">
              <w:rPr>
                <w:rFonts w:ascii="Verdana" w:eastAsia="Aptos" w:hAnsi="Verdana" w:cs="Times New Roman"/>
              </w:rPr>
              <w:t>Por lo anterior, la Agencia Nacional de Contratación Pública – Colombia Compra Eficiente consideró viable exigir el indicador de patrimonio en los procesos de selección de obra de infraestructura de transporte que cumplan la condición de plazo estimado de ejecución y se ubiquen en el rango de presupuesto más alto analizado en la propuesta de indicadores (rango 2). En ese mismo rango se flexibilizó el indicador de endeudamiento, que quedó en un valor mayor o igual a 0,75, para no excluir a las empresas con altos niveles de endeudamiento. De esta forma, el patrimonio se incorporó en la versión 4 del documento tipo de infraestructura de transporte, en la modalidad de licitación pública, con el propósito principal de fortalecer la capacidad financiera exigida en los procesos de mayor presupuesto y plazo y asegurar, entre otros fines, la continuidad del contratista adjudicatario durante la ejecución, sin afectar de forma general la participación de las empresas del sector.</w:t>
            </w:r>
          </w:p>
        </w:tc>
      </w:tr>
    </w:tbl>
    <w:p w14:paraId="208689B9" w14:textId="77777777" w:rsidR="00F13F6F" w:rsidRPr="00F13F6F" w:rsidRDefault="00F13F6F" w:rsidP="00F13F6F">
      <w:pPr>
        <w:tabs>
          <w:tab w:val="left" w:pos="142"/>
          <w:tab w:val="left" w:pos="284"/>
        </w:tabs>
        <w:spacing w:after="0" w:line="276" w:lineRule="auto"/>
        <w:jc w:val="both"/>
        <w:rPr>
          <w:rFonts w:ascii="Verdana" w:eastAsia="Century Gothic" w:hAnsi="Verdana" w:cs="Century Gothic"/>
          <w:b/>
          <w:bCs/>
        </w:rPr>
      </w:pPr>
    </w:p>
    <w:p w14:paraId="645E545F" w14:textId="77777777" w:rsidR="00F13F6F" w:rsidRPr="00F13F6F" w:rsidRDefault="00F13F6F" w:rsidP="00F13F6F">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13F6F">
        <w:rPr>
          <w:rFonts w:ascii="Verdana" w:eastAsia="Century Gothic" w:hAnsi="Verdana" w:cs="Century Gothic"/>
          <w:b/>
          <w:bCs/>
        </w:rPr>
        <w:t>Razones de la respuesta:</w:t>
      </w:r>
    </w:p>
    <w:p w14:paraId="11D7BC5F" w14:textId="77777777" w:rsidR="00F13F6F" w:rsidRPr="00F13F6F" w:rsidRDefault="00F13F6F" w:rsidP="00F13F6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eastAsia="Calibri" w:hAnsi="Verdana" w:cs="Helvetica"/>
          <w:color w:val="000000"/>
          <w:sz w:val="21"/>
          <w:szCs w:val="21"/>
        </w:rPr>
      </w:pPr>
    </w:p>
    <w:p w14:paraId="1C6245A8" w14:textId="77777777" w:rsidR="00F13F6F" w:rsidRPr="00F13F6F" w:rsidRDefault="00F13F6F" w:rsidP="00F13F6F">
      <w:pPr>
        <w:spacing w:after="0" w:line="276" w:lineRule="auto"/>
        <w:jc w:val="both"/>
        <w:rPr>
          <w:rFonts w:ascii="Verdana" w:eastAsia="Calibri" w:hAnsi="Verdana" w:cs="Arial"/>
        </w:rPr>
      </w:pPr>
      <w:r w:rsidRPr="00F13F6F">
        <w:rPr>
          <w:rFonts w:ascii="Verdana" w:eastAsia="Calibri" w:hAnsi="Verdana" w:cs="Arial"/>
        </w:rPr>
        <w:t xml:space="preserve">Lo anterior se sustenta en las siguientes consideraciones: </w:t>
      </w:r>
    </w:p>
    <w:p w14:paraId="19F179B4" w14:textId="77777777" w:rsidR="00F13F6F" w:rsidRPr="00F13F6F" w:rsidRDefault="00F13F6F" w:rsidP="00F13F6F">
      <w:pPr>
        <w:spacing w:after="0" w:line="276" w:lineRule="auto"/>
        <w:jc w:val="both"/>
        <w:rPr>
          <w:rFonts w:ascii="Verdana" w:eastAsia="Calibri" w:hAnsi="Verdana" w:cs="Arial"/>
        </w:rPr>
      </w:pPr>
    </w:p>
    <w:p w14:paraId="5FD6A550" w14:textId="77777777" w:rsidR="00F13F6F" w:rsidRPr="00F13F6F" w:rsidRDefault="00F13F6F" w:rsidP="00F13F6F">
      <w:pPr>
        <w:spacing w:after="120"/>
        <w:jc w:val="both"/>
        <w:rPr>
          <w:rFonts w:ascii="Verdana" w:eastAsia="Aptos" w:hAnsi="Verdana" w:cs="ArialMT"/>
        </w:rPr>
      </w:pPr>
      <w:r w:rsidRPr="00F13F6F">
        <w:rPr>
          <w:rFonts w:ascii="Verdana" w:eastAsia="Aptos" w:hAnsi="Verdana" w:cs="Arial"/>
        </w:rPr>
        <w:t xml:space="preserve">i. Los documentos tipo expedidos por la Agencia Nacional de Contratación Pública </w:t>
      </w:r>
      <w:r w:rsidRPr="00F13F6F">
        <w:rPr>
          <w:rFonts w:ascii="Verdana" w:eastAsia="Aptos" w:hAnsi="Verdana" w:cs="ArialMT"/>
        </w:rPr>
        <w:t xml:space="preserve">– Colombia Compra Eficiente </w:t>
      </w:r>
      <w:r w:rsidRPr="00F13F6F">
        <w:rPr>
          <w:rFonts w:ascii="Verdana" w:eastAsia="Aptos" w:hAnsi="Verdana" w:cs="Arial"/>
        </w:rPr>
        <w:t>en ejercicio de la potestad otorgada</w:t>
      </w:r>
      <w:r w:rsidRPr="00F13F6F">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4890CD5F" w14:textId="77777777" w:rsidR="00F13F6F" w:rsidRPr="00F13F6F" w:rsidRDefault="00F13F6F" w:rsidP="00F13F6F">
      <w:pPr>
        <w:spacing w:after="120"/>
        <w:ind w:firstLine="708"/>
        <w:jc w:val="both"/>
        <w:rPr>
          <w:rFonts w:ascii="Verdana" w:eastAsia="Aptos" w:hAnsi="Verdana" w:cs="ArialMT"/>
        </w:rPr>
      </w:pPr>
      <w:r w:rsidRPr="00F13F6F">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F13F6F">
        <w:rPr>
          <w:rFonts w:ascii="Calibri" w:eastAsia="Calibri" w:hAnsi="Calibri" w:cs="Times New Roman"/>
          <w:vertAlign w:val="superscript"/>
        </w:rPr>
        <w:footnoteReference w:id="4"/>
      </w:r>
      <w:r w:rsidRPr="00F13F6F">
        <w:rPr>
          <w:rFonts w:ascii="Verdana" w:eastAsia="Aptos" w:hAnsi="Verdana" w:cs="ArialMT"/>
        </w:rPr>
        <w:t xml:space="preserve">. </w:t>
      </w:r>
    </w:p>
    <w:p w14:paraId="76239125" w14:textId="77777777" w:rsidR="00F13F6F" w:rsidRPr="00F13F6F" w:rsidRDefault="00F13F6F" w:rsidP="00F13F6F">
      <w:pPr>
        <w:spacing w:after="120"/>
        <w:ind w:firstLine="708"/>
        <w:jc w:val="both"/>
        <w:rPr>
          <w:rFonts w:ascii="Verdana" w:eastAsia="Aptos" w:hAnsi="Verdana" w:cs="ArialMT"/>
        </w:rPr>
      </w:pPr>
      <w:r w:rsidRPr="00F13F6F">
        <w:rPr>
          <w:rFonts w:ascii="Verdana" w:eastAsia="Aptos" w:hAnsi="Verdana" w:cs="ArialMT"/>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F13F6F">
        <w:rPr>
          <w:rFonts w:ascii="Calibri" w:eastAsia="Calibri" w:hAnsi="Calibri" w:cs="Times New Roman"/>
          <w:vertAlign w:val="superscript"/>
        </w:rPr>
        <w:footnoteReference w:id="5"/>
      </w:r>
      <w:r w:rsidRPr="00F13F6F">
        <w:rPr>
          <w:rFonts w:ascii="Verdana" w:eastAsia="Aptos" w:hAnsi="Verdana" w:cs="ArialMT"/>
        </w:rPr>
        <w:t xml:space="preserve">. </w:t>
      </w:r>
    </w:p>
    <w:p w14:paraId="4D843E43" w14:textId="77777777" w:rsidR="00F13F6F" w:rsidRPr="00F13F6F" w:rsidRDefault="00F13F6F" w:rsidP="00F13F6F">
      <w:pPr>
        <w:spacing w:after="120"/>
        <w:ind w:firstLine="708"/>
        <w:jc w:val="both"/>
        <w:rPr>
          <w:rFonts w:ascii="Verdana" w:eastAsia="Aptos" w:hAnsi="Verdana" w:cs="ArialMT"/>
        </w:rPr>
      </w:pPr>
      <w:r w:rsidRPr="00F13F6F">
        <w:rPr>
          <w:rFonts w:ascii="Verdana" w:eastAsia="Aptos" w:hAnsi="Verdana" w:cs="ArialMT"/>
        </w:rPr>
        <w:lastRenderedPageBreak/>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655579E9" w14:textId="77777777" w:rsidR="00F13F6F" w:rsidRPr="00F13F6F" w:rsidRDefault="00F13F6F" w:rsidP="00F13F6F">
      <w:pPr>
        <w:spacing w:after="120"/>
        <w:ind w:firstLine="708"/>
        <w:jc w:val="both"/>
        <w:rPr>
          <w:rFonts w:ascii="Verdana" w:eastAsia="Aptos" w:hAnsi="Verdana" w:cs="ArialMT"/>
        </w:rPr>
      </w:pPr>
      <w:r w:rsidRPr="00F13F6F">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 </w:t>
      </w:r>
    </w:p>
    <w:p w14:paraId="1B32DD3A" w14:textId="77777777" w:rsidR="00F13F6F" w:rsidRPr="00F13F6F" w:rsidRDefault="00F13F6F" w:rsidP="00F13F6F">
      <w:pPr>
        <w:spacing w:before="120" w:after="120" w:line="276" w:lineRule="auto"/>
        <w:ind w:firstLine="709"/>
        <w:jc w:val="both"/>
        <w:rPr>
          <w:rFonts w:ascii="Verdana" w:eastAsia="Calibri" w:hAnsi="Verdana" w:cs="Arial"/>
          <w:kern w:val="2"/>
          <w14:ligatures w14:val="standardContextual"/>
        </w:rPr>
      </w:pPr>
      <w:r w:rsidRPr="00F13F6F">
        <w:rPr>
          <w:rFonts w:ascii="Verdana" w:eastAsia="Aptos" w:hAnsi="Verdana" w:cs="Arial"/>
          <w:lang w:val="es-ES"/>
        </w:rPr>
        <w:t xml:space="preserve">En relación con los documentos tipo de licitación de obra pública de infraestructura de transporte, mediante la Resolución 465 del 10 de septiembre de 2024, se adoptó la </w:t>
      </w:r>
      <w:r w:rsidRPr="00F13F6F">
        <w:rPr>
          <w:rFonts w:ascii="Verdana" w:eastAsia="Calibri" w:hAnsi="Verdana" w:cs="Arial"/>
          <w:kern w:val="2"/>
          <w14:ligatures w14:val="standardContextual"/>
        </w:rPr>
        <w:t xml:space="preserve">versión 4 de estos documentos y se derogó la Resolución 240 de 2020. </w:t>
      </w:r>
    </w:p>
    <w:p w14:paraId="095DBE09" w14:textId="77777777" w:rsidR="00F13F6F" w:rsidRPr="00F13F6F" w:rsidRDefault="00F13F6F" w:rsidP="00F13F6F">
      <w:pPr>
        <w:spacing w:before="120" w:after="120" w:line="276" w:lineRule="auto"/>
        <w:ind w:firstLine="709"/>
        <w:jc w:val="both"/>
        <w:rPr>
          <w:rFonts w:ascii="Verdana" w:eastAsia="Aptos" w:hAnsi="Verdana" w:cs="Arial"/>
          <w:lang w:val="es-ES"/>
        </w:rPr>
      </w:pPr>
      <w:r w:rsidRPr="00F13F6F">
        <w:rPr>
          <w:rFonts w:ascii="Verdana" w:eastAsia="Aptos" w:hAnsi="Verdana" w:cs="Arial"/>
          <w:lang w:val="es-ES"/>
        </w:rPr>
        <w:t xml:space="preserve">La parte introductoria del pliego de condiciones de los documentos tipo analizados dispone que estos se aplican a los procedimientos de selección de licitación de obra pública de infraestructura de transporte (versión 4), que </w:t>
      </w:r>
      <w:r w:rsidRPr="00F13F6F">
        <w:rPr>
          <w:rFonts w:ascii="Verdana" w:eastAsia="Aptos" w:hAnsi="Verdana" w:cs="Arial"/>
          <w:lang w:val="es-ES"/>
        </w:rPr>
        <w:lastRenderedPageBreak/>
        <w:t>correspondan a las actividades definidas en la “Matriz 1 – Experiencia”. En consecuencia, las actividades de infraestructura de transporte no contempladas en la Matriz 1 – Experiencia no tienen que aplicar los documentos tipo; sin perjuicio de lo previsto en el artículo 2.2.1.1.1.2.1 del Decreto 1082 de 2015 o la norma que la modifique, sustituya o complemente, además, de lo contenido en el artículo 4 de la Resolución 465 de 2024, relacionados con la posibilidad de exigir experiencia adicional en determinados supuestos</w:t>
      </w:r>
      <w:r w:rsidRPr="00F13F6F">
        <w:rPr>
          <w:rFonts w:ascii="Verdana" w:eastAsia="Aptos" w:hAnsi="Verdana" w:cs="Times New Roman"/>
          <w:sz w:val="24"/>
          <w:szCs w:val="24"/>
          <w:vertAlign w:val="superscript"/>
          <w:lang w:val="es-ES"/>
        </w:rPr>
        <w:footnoteReference w:id="6"/>
      </w:r>
      <w:r w:rsidRPr="00F13F6F">
        <w:rPr>
          <w:rFonts w:ascii="Verdana" w:eastAsia="Aptos" w:hAnsi="Verdana" w:cs="Arial"/>
          <w:lang w:val="es-ES"/>
        </w:rPr>
        <w:t>.</w:t>
      </w:r>
    </w:p>
    <w:p w14:paraId="6C500914" w14:textId="77777777" w:rsidR="00F13F6F" w:rsidRPr="00F13F6F" w:rsidRDefault="00F13F6F" w:rsidP="00F13F6F">
      <w:pPr>
        <w:widowControl w:val="0"/>
        <w:autoSpaceDE w:val="0"/>
        <w:autoSpaceDN w:val="0"/>
        <w:spacing w:after="120" w:line="276" w:lineRule="auto"/>
        <w:ind w:firstLine="708"/>
        <w:jc w:val="both"/>
        <w:rPr>
          <w:rFonts w:ascii="Verdana" w:eastAsia="Calibri" w:hAnsi="Verdana" w:cs="Times New Roman"/>
          <w:lang w:val="es-ES" w:eastAsia="es-MX"/>
        </w:rPr>
      </w:pPr>
      <w:r w:rsidRPr="00F13F6F">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55792BBE" w14:textId="77777777" w:rsidR="00F13F6F" w:rsidRPr="00F13F6F" w:rsidRDefault="00F13F6F" w:rsidP="00F13F6F">
      <w:pPr>
        <w:widowControl w:val="0"/>
        <w:autoSpaceDE w:val="0"/>
        <w:autoSpaceDN w:val="0"/>
        <w:spacing w:after="120" w:line="276" w:lineRule="auto"/>
        <w:ind w:firstLine="708"/>
        <w:jc w:val="both"/>
        <w:rPr>
          <w:rFonts w:ascii="Verdana" w:eastAsia="Calibri" w:hAnsi="Verdana" w:cs="Times New Roman"/>
          <w:lang w:val="es-ES" w:eastAsia="es-MX"/>
        </w:rPr>
      </w:pPr>
      <w:r w:rsidRPr="00F13F6F">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248FEC05" w14:textId="77777777" w:rsidR="00F13F6F" w:rsidRPr="00F13F6F" w:rsidRDefault="00F13F6F" w:rsidP="00F13F6F">
      <w:pPr>
        <w:widowControl w:val="0"/>
        <w:autoSpaceDE w:val="0"/>
        <w:autoSpaceDN w:val="0"/>
        <w:spacing w:after="120" w:line="276" w:lineRule="auto"/>
        <w:ind w:firstLine="708"/>
        <w:jc w:val="both"/>
        <w:rPr>
          <w:rFonts w:ascii="Verdana" w:eastAsia="Calibri" w:hAnsi="Verdana" w:cs="Times New Roman"/>
          <w:lang w:val="es-ES" w:eastAsia="es-MX"/>
        </w:rPr>
      </w:pPr>
      <w:r w:rsidRPr="00F13F6F">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05E470B" w14:textId="77777777" w:rsidR="00F13F6F" w:rsidRPr="00F13F6F" w:rsidRDefault="00F13F6F" w:rsidP="00F13F6F">
      <w:pPr>
        <w:widowControl w:val="0"/>
        <w:autoSpaceDE w:val="0"/>
        <w:autoSpaceDN w:val="0"/>
        <w:spacing w:after="0" w:line="276" w:lineRule="auto"/>
        <w:ind w:firstLine="708"/>
        <w:jc w:val="both"/>
        <w:rPr>
          <w:rFonts w:ascii="Verdana" w:eastAsia="Calibri" w:hAnsi="Verdana" w:cs="Times New Roman"/>
          <w:lang w:val="es-ES" w:eastAsia="es-MX"/>
        </w:rPr>
      </w:pPr>
      <w:r w:rsidRPr="00F13F6F">
        <w:rPr>
          <w:rFonts w:ascii="Verdana" w:eastAsia="Calibri" w:hAnsi="Verdana" w:cs="Times New Roman"/>
          <w:lang w:val="es-ES" w:eastAsia="es-MX"/>
        </w:rPr>
        <w:t xml:space="preserve">De esta manera, para saber a qué actividades deben aplicarse los documentos tipo de licitación de obra pública de infraestructura de transporte expedidos por esta Agencia, la entidad debe verificar que estos apliquen para la </w:t>
      </w:r>
      <w:r w:rsidRPr="00F13F6F">
        <w:rPr>
          <w:rFonts w:ascii="Verdana" w:eastAsia="Calibri" w:hAnsi="Verdana" w:cs="Times New Roman"/>
          <w:lang w:val="es-ES" w:eastAsia="es-MX"/>
        </w:rPr>
        <w:lastRenderedPageBreak/>
        <w:t>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7BD858EB" w14:textId="77777777" w:rsidR="00F13F6F" w:rsidRPr="00F13F6F" w:rsidRDefault="00F13F6F" w:rsidP="00F13F6F">
      <w:pPr>
        <w:spacing w:after="0" w:line="276" w:lineRule="auto"/>
        <w:jc w:val="both"/>
        <w:rPr>
          <w:rFonts w:ascii="Verdana" w:eastAsia="Aptos" w:hAnsi="Verdana" w:cs="Times New Roman"/>
          <w:kern w:val="2"/>
          <w:lang w:val="es-ES"/>
          <w14:ligatures w14:val="standardContextual"/>
        </w:rPr>
      </w:pPr>
    </w:p>
    <w:p w14:paraId="35D82D1A" w14:textId="77777777" w:rsidR="00F13F6F" w:rsidRPr="00F13F6F" w:rsidRDefault="00F13F6F" w:rsidP="00F13F6F">
      <w:pPr>
        <w:spacing w:after="120" w:line="276" w:lineRule="auto"/>
        <w:jc w:val="both"/>
        <w:rPr>
          <w:rFonts w:ascii="Verdana" w:eastAsia="Calibri" w:hAnsi="Verdana" w:cs="Arial"/>
          <w:kern w:val="2"/>
          <w:lang w:val="es-ES"/>
          <w14:ligatures w14:val="standardContextual"/>
        </w:rPr>
      </w:pPr>
      <w:proofErr w:type="spellStart"/>
      <w:r w:rsidRPr="00F13F6F">
        <w:rPr>
          <w:rFonts w:ascii="Verdana" w:eastAsia="Aptos" w:hAnsi="Verdana" w:cs="Times New Roman"/>
          <w:kern w:val="2"/>
          <w:lang w:val="es-ES"/>
          <w14:ligatures w14:val="standardContextual"/>
        </w:rPr>
        <w:t>ii</w:t>
      </w:r>
      <w:proofErr w:type="spellEnd"/>
      <w:r w:rsidRPr="00F13F6F">
        <w:rPr>
          <w:rFonts w:ascii="Verdana" w:eastAsia="Aptos" w:hAnsi="Verdana" w:cs="Times New Roman"/>
          <w:kern w:val="2"/>
          <w:lang w:val="es-ES"/>
          <w14:ligatures w14:val="standardContextual"/>
        </w:rPr>
        <w:t xml:space="preserve">. </w:t>
      </w:r>
      <w:r w:rsidRPr="00F13F6F">
        <w:rPr>
          <w:rFonts w:ascii="Verdana" w:eastAsia="Calibri" w:hAnsi="Verdana" w:cs="Arial"/>
          <w:kern w:val="2"/>
          <w:lang w:val="es-ES"/>
          <w14:ligatures w14:val="standardContextual"/>
        </w:rPr>
        <w:t xml:space="preserve">Dentro del alcance de los documentos tipo como instrumento de contratación pública, se encuentra la definición de los requisitos de capacidad financiera y organizacional de los procesos de selección. </w:t>
      </w:r>
    </w:p>
    <w:p w14:paraId="41471058" w14:textId="77777777" w:rsidR="00F13F6F" w:rsidRPr="00F13F6F" w:rsidRDefault="00F13F6F" w:rsidP="00F13F6F">
      <w:pPr>
        <w:spacing w:after="120" w:line="276" w:lineRule="auto"/>
        <w:ind w:firstLine="709"/>
        <w:jc w:val="both"/>
        <w:rPr>
          <w:rFonts w:ascii="Verdana" w:eastAsia="Calibri" w:hAnsi="Verdana" w:cs="Arial"/>
          <w:kern w:val="2"/>
          <w:lang w:val="es-ES"/>
          <w14:ligatures w14:val="standardContextual"/>
        </w:rPr>
      </w:pPr>
      <w:r w:rsidRPr="00F13F6F">
        <w:rPr>
          <w:rFonts w:ascii="Verdana" w:eastAsia="Calibri" w:hAnsi="Verdana" w:cs="Arial"/>
          <w:kern w:val="2"/>
          <w:lang w:val="es-ES"/>
          <w14:ligatures w14:val="standardContextual"/>
        </w:rPr>
        <w:t xml:space="preserve">En el numeral “3.8 Patrimonio” del documento base de los documentos tipo de licitación de obra pública de infraestructura de transporte – versión 4, se describen las condiciones mediante las cuales las Entidades deberán solicitar este indicador y las particularidades que aplican, en el evento que el proponente se presente bajo una figura plural o acredite su condición de </w:t>
      </w:r>
      <w:proofErr w:type="spellStart"/>
      <w:r w:rsidRPr="00F13F6F">
        <w:rPr>
          <w:rFonts w:ascii="Verdana" w:eastAsia="Calibri" w:hAnsi="Verdana" w:cs="Arial"/>
          <w:kern w:val="2"/>
          <w:lang w:val="es-ES"/>
          <w14:ligatures w14:val="standardContextual"/>
        </w:rPr>
        <w:t>MiPyme</w:t>
      </w:r>
      <w:proofErr w:type="spellEnd"/>
      <w:r w:rsidRPr="00F13F6F">
        <w:rPr>
          <w:rFonts w:ascii="Verdana" w:eastAsia="Calibri" w:hAnsi="Verdana" w:cs="Arial"/>
          <w:kern w:val="2"/>
          <w:lang w:val="es-ES"/>
          <w14:ligatures w14:val="standardContextual"/>
        </w:rPr>
        <w:t>. A continuación, se realiza una desagregación de los componentes del numeral, con el ánimo de precisar su contenido:</w:t>
      </w:r>
    </w:p>
    <w:p w14:paraId="5E4AC7E6" w14:textId="77777777" w:rsidR="00F13F6F" w:rsidRPr="00F13F6F" w:rsidRDefault="00F13F6F" w:rsidP="00F13F6F">
      <w:pPr>
        <w:snapToGrid w:val="0"/>
        <w:spacing w:after="0" w:line="276" w:lineRule="auto"/>
        <w:ind w:left="1080"/>
        <w:contextualSpacing/>
        <w:jc w:val="both"/>
        <w:rPr>
          <w:rFonts w:ascii="Verdana" w:eastAsia="Calibri" w:hAnsi="Verdana" w:cs="Arial"/>
          <w:kern w:val="2"/>
          <w:lang w:val="es-ES"/>
          <w14:ligatures w14:val="standardContextual"/>
        </w:rPr>
      </w:pPr>
    </w:p>
    <w:p w14:paraId="75E3AAC7" w14:textId="77777777" w:rsidR="00F13F6F" w:rsidRPr="00F13F6F" w:rsidRDefault="00F13F6F" w:rsidP="00F13F6F">
      <w:pPr>
        <w:numPr>
          <w:ilvl w:val="0"/>
          <w:numId w:val="19"/>
        </w:numPr>
        <w:snapToGrid w:val="0"/>
        <w:spacing w:after="0" w:line="276" w:lineRule="auto"/>
        <w:contextualSpacing/>
        <w:jc w:val="both"/>
        <w:rPr>
          <w:rFonts w:ascii="Verdana" w:eastAsia="Calibri" w:hAnsi="Verdana" w:cs="Arial"/>
          <w:kern w:val="2"/>
          <w:lang w:val="es-ES"/>
          <w14:ligatures w14:val="standardContextual"/>
        </w:rPr>
      </w:pPr>
      <w:r w:rsidRPr="00F13F6F">
        <w:rPr>
          <w:rFonts w:ascii="Verdana" w:eastAsia="Calibri" w:hAnsi="Verdana" w:cs="Arial"/>
          <w:kern w:val="2"/>
          <w:lang w:val="es-ES"/>
          <w14:ligatures w14:val="standardContextual"/>
        </w:rPr>
        <w:t>En primer lugar, se describe el indicador y las cuentas a utilizar para su cálculo:</w:t>
      </w:r>
    </w:p>
    <w:p w14:paraId="3A1B8789" w14:textId="77777777" w:rsidR="00F13F6F" w:rsidRPr="00F13F6F" w:rsidRDefault="00F13F6F" w:rsidP="00F13F6F">
      <w:pPr>
        <w:snapToGrid w:val="0"/>
        <w:spacing w:after="0" w:line="276" w:lineRule="auto"/>
        <w:ind w:left="1080"/>
        <w:contextualSpacing/>
        <w:jc w:val="both"/>
        <w:rPr>
          <w:rFonts w:ascii="Verdana" w:eastAsia="Calibri" w:hAnsi="Verdana" w:cs="Arial"/>
          <w:kern w:val="2"/>
          <w:lang w:val="es-ES"/>
          <w14:ligatures w14:val="standardContextual"/>
        </w:rPr>
      </w:pPr>
    </w:p>
    <w:p w14:paraId="4D2B542E" w14:textId="77777777" w:rsidR="00F13F6F" w:rsidRPr="00F13F6F" w:rsidRDefault="00F13F6F" w:rsidP="00F13F6F">
      <w:pPr>
        <w:ind w:left="1134"/>
        <w:rPr>
          <w:rFonts w:ascii="Verdana" w:eastAsia="Calibri" w:hAnsi="Verdana" w:cs="Arial"/>
          <w:sz w:val="20"/>
          <w:szCs w:val="18"/>
        </w:rPr>
      </w:pPr>
      <w:r w:rsidRPr="00F13F6F">
        <w:rPr>
          <w:rFonts w:ascii="Verdana" w:eastAsia="Calibri" w:hAnsi="Verdana" w:cs="Arial"/>
          <w:sz w:val="20"/>
          <w:szCs w:val="18"/>
        </w:rPr>
        <w:t>“Para el Proceso de Contratación los Proponentes deberán acreditar</w:t>
      </w:r>
    </w:p>
    <w:p w14:paraId="12495882" w14:textId="77777777" w:rsidR="00F13F6F" w:rsidRPr="00F13F6F" w:rsidRDefault="00F13F6F" w:rsidP="00F13F6F">
      <w:pPr>
        <w:autoSpaceDE w:val="0"/>
        <w:autoSpaceDN w:val="0"/>
        <w:adjustRightInd w:val="0"/>
        <w:spacing w:before="120" w:after="240" w:line="240" w:lineRule="auto"/>
        <w:ind w:left="360" w:firstLine="1134"/>
        <w:contextualSpacing/>
        <w:jc w:val="center"/>
        <w:rPr>
          <w:rFonts w:ascii="Verdana" w:eastAsia="Calibri" w:hAnsi="Verdana" w:cs="Arial"/>
          <w:sz w:val="20"/>
          <w:szCs w:val="18"/>
          <w:lang w:val="en-US"/>
        </w:rPr>
      </w:pPr>
      <w:r w:rsidRPr="00F13F6F">
        <w:rPr>
          <w:rFonts w:ascii="Verdana" w:eastAsia="Calibri" w:hAnsi="Verdana" w:cs="Arial"/>
          <w:sz w:val="20"/>
          <w:szCs w:val="18"/>
          <w:lang w:val="en-US"/>
        </w:rPr>
        <w:t>P = AT - PT ≥ Pd</w:t>
      </w:r>
    </w:p>
    <w:p w14:paraId="22D52701" w14:textId="77777777" w:rsidR="00F13F6F" w:rsidRPr="00F13F6F" w:rsidRDefault="00F13F6F" w:rsidP="00F13F6F">
      <w:pPr>
        <w:autoSpaceDE w:val="0"/>
        <w:autoSpaceDN w:val="0"/>
        <w:adjustRightInd w:val="0"/>
        <w:spacing w:before="120" w:after="240"/>
        <w:ind w:firstLine="1134"/>
        <w:rPr>
          <w:rFonts w:ascii="Verdana" w:eastAsia="Calibri" w:hAnsi="Verdana" w:cs="Arial"/>
          <w:sz w:val="20"/>
          <w:szCs w:val="18"/>
          <w:lang w:val="en-US"/>
        </w:rPr>
      </w:pPr>
      <w:r w:rsidRPr="00F13F6F">
        <w:rPr>
          <w:rFonts w:ascii="Verdana" w:eastAsia="Calibri" w:hAnsi="Verdana" w:cs="Arial"/>
          <w:sz w:val="20"/>
          <w:szCs w:val="18"/>
          <w:lang w:val="en-US"/>
        </w:rPr>
        <w:t>Donde,</w:t>
      </w:r>
    </w:p>
    <w:p w14:paraId="6646188B" w14:textId="77777777" w:rsidR="00F13F6F" w:rsidRPr="00F13F6F" w:rsidRDefault="00F13F6F" w:rsidP="00F13F6F">
      <w:pPr>
        <w:autoSpaceDE w:val="0"/>
        <w:autoSpaceDN w:val="0"/>
        <w:adjustRightInd w:val="0"/>
        <w:spacing w:before="120" w:after="240"/>
        <w:ind w:left="708" w:firstLine="1134"/>
        <w:rPr>
          <w:rFonts w:ascii="Verdana" w:eastAsia="Calibri" w:hAnsi="Verdana" w:cs="Arial"/>
          <w:sz w:val="20"/>
          <w:szCs w:val="18"/>
        </w:rPr>
      </w:pPr>
      <w:r w:rsidRPr="00F13F6F">
        <w:rPr>
          <w:rFonts w:ascii="Verdana" w:eastAsia="Calibri" w:hAnsi="Verdana" w:cs="Arial"/>
          <w:sz w:val="20"/>
          <w:szCs w:val="18"/>
        </w:rPr>
        <w:t>P = Patrimonio</w:t>
      </w:r>
    </w:p>
    <w:p w14:paraId="2A287BC4" w14:textId="77777777" w:rsidR="00F13F6F" w:rsidRPr="00F13F6F" w:rsidRDefault="00F13F6F" w:rsidP="00F13F6F">
      <w:pPr>
        <w:autoSpaceDE w:val="0"/>
        <w:autoSpaceDN w:val="0"/>
        <w:adjustRightInd w:val="0"/>
        <w:spacing w:before="120" w:after="240"/>
        <w:ind w:left="708" w:firstLine="1134"/>
        <w:rPr>
          <w:rFonts w:ascii="Verdana" w:eastAsia="Calibri" w:hAnsi="Verdana" w:cs="Arial"/>
          <w:sz w:val="20"/>
          <w:szCs w:val="18"/>
        </w:rPr>
      </w:pPr>
      <w:r w:rsidRPr="00F13F6F">
        <w:rPr>
          <w:rFonts w:ascii="Verdana" w:eastAsia="Calibri" w:hAnsi="Verdana" w:cs="Arial"/>
          <w:sz w:val="20"/>
          <w:szCs w:val="18"/>
        </w:rPr>
        <w:t>AT = Activo Total</w:t>
      </w:r>
    </w:p>
    <w:p w14:paraId="6E20DDED" w14:textId="77777777" w:rsidR="00F13F6F" w:rsidRPr="00F13F6F" w:rsidRDefault="00F13F6F" w:rsidP="00F13F6F">
      <w:pPr>
        <w:autoSpaceDE w:val="0"/>
        <w:autoSpaceDN w:val="0"/>
        <w:adjustRightInd w:val="0"/>
        <w:spacing w:before="120" w:after="240"/>
        <w:ind w:left="708" w:firstLine="1134"/>
        <w:rPr>
          <w:rFonts w:ascii="Verdana" w:eastAsia="Calibri" w:hAnsi="Verdana" w:cs="Arial"/>
          <w:sz w:val="20"/>
          <w:szCs w:val="18"/>
        </w:rPr>
      </w:pPr>
      <w:r w:rsidRPr="00F13F6F">
        <w:rPr>
          <w:rFonts w:ascii="Verdana" w:eastAsia="Calibri" w:hAnsi="Verdana" w:cs="Arial"/>
          <w:sz w:val="20"/>
          <w:szCs w:val="18"/>
        </w:rPr>
        <w:t>PT = Pasivo Total</w:t>
      </w:r>
    </w:p>
    <w:p w14:paraId="7DEEB120" w14:textId="77777777" w:rsidR="00F13F6F" w:rsidRPr="00F13F6F" w:rsidRDefault="00F13F6F" w:rsidP="00F13F6F">
      <w:pPr>
        <w:autoSpaceDE w:val="0"/>
        <w:autoSpaceDN w:val="0"/>
        <w:adjustRightInd w:val="0"/>
        <w:spacing w:before="120" w:after="240"/>
        <w:ind w:left="1843" w:hanging="1"/>
        <w:jc w:val="both"/>
        <w:rPr>
          <w:rFonts w:ascii="Verdana" w:eastAsia="Calibri" w:hAnsi="Verdana" w:cs="Arial"/>
          <w:sz w:val="20"/>
          <w:szCs w:val="18"/>
        </w:rPr>
      </w:pPr>
      <w:r w:rsidRPr="00F13F6F">
        <w:rPr>
          <w:rFonts w:ascii="Verdana" w:eastAsia="Calibri" w:hAnsi="Verdana" w:cs="Arial"/>
          <w:sz w:val="20"/>
          <w:szCs w:val="18"/>
        </w:rPr>
        <w:t>Pd = Patrimonio demandado (requerido) para el proceso que presenta la propuesta</w:t>
      </w:r>
    </w:p>
    <w:p w14:paraId="490E0559" w14:textId="77777777" w:rsidR="00F13F6F" w:rsidRPr="00F13F6F" w:rsidRDefault="00F13F6F" w:rsidP="00F13F6F">
      <w:pPr>
        <w:autoSpaceDE w:val="0"/>
        <w:autoSpaceDN w:val="0"/>
        <w:adjustRightInd w:val="0"/>
        <w:spacing w:before="120" w:after="240"/>
        <w:ind w:left="1134"/>
        <w:jc w:val="both"/>
        <w:rPr>
          <w:rFonts w:ascii="Verdana" w:eastAsia="Calibri" w:hAnsi="Verdana" w:cs="Arial"/>
          <w:sz w:val="20"/>
          <w:szCs w:val="18"/>
        </w:rPr>
      </w:pPr>
      <w:r w:rsidRPr="00F13F6F">
        <w:rPr>
          <w:rFonts w:ascii="Verdana" w:eastAsia="Calibri" w:hAnsi="Verdana" w:cs="Arial"/>
          <w:sz w:val="20"/>
          <w:szCs w:val="18"/>
        </w:rPr>
        <w:t xml:space="preserve">El Patrimonio (P) del oferente deberá ser mayor o igual al Patrimonio demandado (requerido) (Pd): </w:t>
      </w:r>
    </w:p>
    <w:p w14:paraId="39EFF063" w14:textId="77777777" w:rsidR="00F13F6F" w:rsidRPr="00F13F6F" w:rsidRDefault="00F13F6F" w:rsidP="00F13F6F">
      <w:pPr>
        <w:autoSpaceDE w:val="0"/>
        <w:autoSpaceDN w:val="0"/>
        <w:adjustRightInd w:val="0"/>
        <w:spacing w:before="120" w:after="240"/>
        <w:ind w:firstLine="1134"/>
        <w:jc w:val="center"/>
        <w:rPr>
          <w:rFonts w:ascii="Verdana" w:eastAsia="Calibri" w:hAnsi="Verdana" w:cs="Arial"/>
          <w:sz w:val="20"/>
          <w:szCs w:val="18"/>
        </w:rPr>
      </w:pPr>
      <w:r w:rsidRPr="00F13F6F">
        <w:rPr>
          <w:rFonts w:ascii="Verdana" w:eastAsia="Calibri" w:hAnsi="Verdana" w:cs="Arial"/>
          <w:sz w:val="20"/>
          <w:szCs w:val="18"/>
        </w:rPr>
        <w:lastRenderedPageBreak/>
        <w:t>P ≥ Pd”</w:t>
      </w:r>
    </w:p>
    <w:p w14:paraId="44E5E3A0" w14:textId="77777777" w:rsidR="00F13F6F" w:rsidRPr="00F13F6F" w:rsidRDefault="00F13F6F" w:rsidP="00F13F6F">
      <w:pPr>
        <w:numPr>
          <w:ilvl w:val="0"/>
          <w:numId w:val="19"/>
        </w:numPr>
        <w:snapToGrid w:val="0"/>
        <w:spacing w:after="0" w:line="276" w:lineRule="auto"/>
        <w:contextualSpacing/>
        <w:jc w:val="both"/>
        <w:rPr>
          <w:rFonts w:ascii="Verdana" w:eastAsia="Calibri" w:hAnsi="Verdana" w:cs="Arial"/>
          <w:kern w:val="2"/>
          <w:lang w:val="es-ES"/>
          <w14:ligatures w14:val="standardContextual"/>
        </w:rPr>
      </w:pPr>
      <w:r w:rsidRPr="00F13F6F">
        <w:rPr>
          <w:rFonts w:ascii="Verdana" w:eastAsia="Calibri" w:hAnsi="Verdana" w:cs="Arial"/>
          <w:kern w:val="2"/>
          <w:lang w:val="es-ES"/>
          <w14:ligatures w14:val="standardContextual"/>
        </w:rPr>
        <w:t>Posteriormente se indican las condiciones que deberá cumplir el proceso para solicitarlo y el requisito a solicitar:</w:t>
      </w:r>
    </w:p>
    <w:p w14:paraId="425A4CEA" w14:textId="77777777" w:rsidR="00F13F6F" w:rsidRPr="00F13F6F" w:rsidRDefault="00F13F6F" w:rsidP="00F13F6F">
      <w:pPr>
        <w:snapToGrid w:val="0"/>
        <w:spacing w:after="0" w:line="276" w:lineRule="auto"/>
        <w:ind w:left="1080"/>
        <w:contextualSpacing/>
        <w:jc w:val="both"/>
        <w:rPr>
          <w:rFonts w:ascii="Verdana" w:eastAsia="Calibri" w:hAnsi="Verdana" w:cs="Arial"/>
          <w:kern w:val="2"/>
          <w:lang w:val="es-ES"/>
          <w14:ligatures w14:val="standardContextual"/>
        </w:rPr>
      </w:pPr>
    </w:p>
    <w:p w14:paraId="1D45740B" w14:textId="77777777" w:rsidR="00F13F6F" w:rsidRPr="00F13F6F" w:rsidRDefault="00F13F6F" w:rsidP="00F13F6F">
      <w:pPr>
        <w:shd w:val="clear" w:color="auto" w:fill="FFFFFF"/>
        <w:spacing w:after="0" w:line="240" w:lineRule="auto"/>
        <w:ind w:left="1134"/>
        <w:jc w:val="both"/>
        <w:rPr>
          <w:rFonts w:ascii="Verdana" w:eastAsia="Times New Roman" w:hAnsi="Verdana" w:cs="Arial"/>
          <w:sz w:val="20"/>
          <w:szCs w:val="20"/>
          <w:lang w:eastAsia="es-CO"/>
        </w:rPr>
      </w:pPr>
      <w:r w:rsidRPr="00F13F6F">
        <w:rPr>
          <w:rFonts w:ascii="Verdana" w:eastAsia="Times New Roman" w:hAnsi="Verdana" w:cs="Times New Roman"/>
          <w:b/>
          <w:i/>
          <w:sz w:val="20"/>
          <w:szCs w:val="20"/>
          <w:u w:val="single"/>
          <w:lang w:eastAsia="es-CO"/>
        </w:rPr>
        <w:t>“Patrimonio demandado (requerido):</w:t>
      </w:r>
    </w:p>
    <w:p w14:paraId="0C8184F8" w14:textId="77777777" w:rsidR="00F13F6F" w:rsidRPr="00F13F6F" w:rsidRDefault="00F13F6F" w:rsidP="00F13F6F">
      <w:pPr>
        <w:shd w:val="clear" w:color="auto" w:fill="FFFFFF"/>
        <w:spacing w:after="0" w:line="240" w:lineRule="auto"/>
        <w:ind w:left="1134"/>
        <w:jc w:val="both"/>
        <w:rPr>
          <w:rFonts w:ascii="Verdana" w:eastAsia="Times New Roman" w:hAnsi="Verdana" w:cs="Arial"/>
          <w:sz w:val="20"/>
          <w:szCs w:val="20"/>
          <w:lang w:eastAsia="es-CO"/>
        </w:rPr>
      </w:pPr>
    </w:p>
    <w:p w14:paraId="5FD6CFB2" w14:textId="77777777" w:rsidR="00F13F6F" w:rsidRPr="00F13F6F" w:rsidRDefault="00F13F6F" w:rsidP="00F13F6F">
      <w:pPr>
        <w:ind w:left="1134"/>
        <w:jc w:val="both"/>
        <w:rPr>
          <w:rFonts w:ascii="Verdana" w:eastAsia="Calibri" w:hAnsi="Verdana" w:cs="Arial"/>
          <w:sz w:val="20"/>
          <w:szCs w:val="20"/>
        </w:rPr>
      </w:pPr>
      <w:r w:rsidRPr="00F13F6F">
        <w:rPr>
          <w:rFonts w:ascii="Verdana" w:eastAsia="Calibri" w:hAnsi="Verdana" w:cs="Arial"/>
          <w:sz w:val="20"/>
          <w:szCs w:val="20"/>
          <w:highlight w:val="lightGray"/>
        </w:rPr>
        <w:t xml:space="preserve">[Para proyectos de obra cuyo presupuesto oficial sea mayor o igual a 40.000 </w:t>
      </w:r>
      <w:proofErr w:type="spellStart"/>
      <w:r w:rsidRPr="00F13F6F">
        <w:rPr>
          <w:rFonts w:ascii="Verdana" w:eastAsia="Calibri" w:hAnsi="Verdana" w:cs="Arial"/>
          <w:sz w:val="20"/>
          <w:szCs w:val="20"/>
          <w:highlight w:val="lightGray"/>
        </w:rPr>
        <w:t>smmlv</w:t>
      </w:r>
      <w:proofErr w:type="spellEnd"/>
      <w:r w:rsidRPr="00F13F6F">
        <w:rPr>
          <w:rFonts w:ascii="Verdana" w:eastAsia="Calibri" w:hAnsi="Verdana" w:cs="Arial"/>
          <w:sz w:val="20"/>
          <w:szCs w:val="20"/>
          <w:highlight w:val="lightGray"/>
        </w:rPr>
        <w:t xml:space="preserve"> y cuente con un plazo de ejecución </w:t>
      </w:r>
      <w:r w:rsidRPr="00F13F6F">
        <w:rPr>
          <w:rFonts w:ascii="Verdana" w:eastAsia="Calibri" w:hAnsi="Verdana" w:cs="Arial"/>
          <w:sz w:val="20"/>
          <w:szCs w:val="20"/>
          <w:highlight w:val="lightGray"/>
          <w:u w:val="single"/>
        </w:rPr>
        <w:t>igual o superior a 24 meses</w:t>
      </w:r>
      <w:r w:rsidRPr="00F13F6F">
        <w:rPr>
          <w:rFonts w:ascii="Verdana" w:eastAsia="Calibri" w:hAnsi="Verdana" w:cs="Arial"/>
          <w:sz w:val="20"/>
          <w:szCs w:val="20"/>
          <w:highlight w:val="lightGray"/>
        </w:rPr>
        <w:t xml:space="preserve"> aplicará la siguiente redacción:]</w:t>
      </w:r>
    </w:p>
    <w:p w14:paraId="4EEAC2F2" w14:textId="77777777" w:rsidR="00F13F6F" w:rsidRPr="00F13F6F" w:rsidRDefault="00F13F6F" w:rsidP="00F13F6F">
      <w:pPr>
        <w:ind w:left="1134"/>
        <w:jc w:val="both"/>
        <w:rPr>
          <w:rFonts w:ascii="Verdana" w:eastAsia="Calibri" w:hAnsi="Verdana" w:cs="Arial"/>
          <w:sz w:val="20"/>
          <w:szCs w:val="20"/>
        </w:rPr>
      </w:pPr>
      <w:r w:rsidRPr="00F13F6F">
        <w:rPr>
          <w:rFonts w:ascii="Verdana" w:eastAsia="Calibri" w:hAnsi="Verdana" w:cs="Arial"/>
          <w:sz w:val="20"/>
          <w:szCs w:val="20"/>
        </w:rPr>
        <w:t>La determinación del Patrimonio demandado (requerido), se hará de acuerdo con la siguiente fórmula:</w:t>
      </w:r>
    </w:p>
    <w:p w14:paraId="1F458B3E" w14:textId="77777777" w:rsidR="00F13F6F" w:rsidRPr="00F13F6F" w:rsidRDefault="00F13F6F" w:rsidP="00F13F6F">
      <w:pPr>
        <w:ind w:left="1134"/>
        <w:rPr>
          <w:rFonts w:ascii="Verdana" w:eastAsia="Calibri" w:hAnsi="Verdana" w:cs="Arial"/>
          <w:sz w:val="20"/>
          <w:szCs w:val="20"/>
        </w:rPr>
      </w:pPr>
      <m:oMathPara>
        <m:oMath>
          <m:r>
            <m:rPr>
              <m:sty m:val="p"/>
            </m:rPr>
            <w:rPr>
              <w:rFonts w:ascii="Cambria Math" w:eastAsia="Calibri" w:hAnsi="Cambria Math" w:cs="Arial"/>
              <w:sz w:val="20"/>
              <w:szCs w:val="20"/>
            </w:rPr>
            <m:t>Pd</m:t>
          </m:r>
          <m:r>
            <w:rPr>
              <w:rFonts w:ascii="Cambria Math" w:eastAsia="Calibri" w:hAnsi="Cambria Math" w:cs="Arial"/>
              <w:sz w:val="20"/>
              <w:szCs w:val="20"/>
            </w:rPr>
            <m:t>= POE x 25%</m:t>
          </m:r>
        </m:oMath>
      </m:oMathPara>
    </w:p>
    <w:p w14:paraId="49FB8E62" w14:textId="77777777" w:rsidR="00F13F6F" w:rsidRPr="00F13F6F" w:rsidRDefault="00F13F6F" w:rsidP="00F13F6F">
      <w:pPr>
        <w:ind w:left="1134"/>
        <w:rPr>
          <w:rFonts w:ascii="Verdana" w:eastAsia="Calibri" w:hAnsi="Verdana" w:cs="Arial"/>
          <w:sz w:val="20"/>
          <w:szCs w:val="20"/>
        </w:rPr>
      </w:pPr>
      <w:r w:rsidRPr="00F13F6F">
        <w:rPr>
          <w:rFonts w:ascii="Verdana" w:eastAsia="Calibri" w:hAnsi="Verdana" w:cs="Arial"/>
          <w:sz w:val="20"/>
          <w:szCs w:val="20"/>
        </w:rPr>
        <w:t>Donde,</w:t>
      </w:r>
    </w:p>
    <w:p w14:paraId="52921CAB" w14:textId="77777777" w:rsidR="00F13F6F" w:rsidRPr="00F13F6F" w:rsidRDefault="00F13F6F" w:rsidP="00F13F6F">
      <w:pPr>
        <w:autoSpaceDE w:val="0"/>
        <w:autoSpaceDN w:val="0"/>
        <w:adjustRightInd w:val="0"/>
        <w:spacing w:before="120" w:after="240"/>
        <w:ind w:left="1134"/>
        <w:rPr>
          <w:rFonts w:ascii="Verdana" w:eastAsia="Calibri" w:hAnsi="Verdana" w:cs="Arial"/>
          <w:sz w:val="20"/>
          <w:szCs w:val="20"/>
        </w:rPr>
      </w:pPr>
      <w:r w:rsidRPr="00F13F6F">
        <w:rPr>
          <w:rFonts w:ascii="Verdana" w:eastAsia="Calibri" w:hAnsi="Verdana" w:cs="Arial"/>
          <w:sz w:val="20"/>
          <w:szCs w:val="20"/>
        </w:rPr>
        <w:t>Pd = Patrimonio demandado (requerido) para el proceso que presenta la propuesta</w:t>
      </w:r>
    </w:p>
    <w:p w14:paraId="4A62A882" w14:textId="77777777" w:rsidR="00F13F6F" w:rsidRPr="00F13F6F" w:rsidRDefault="00F13F6F" w:rsidP="00F13F6F">
      <w:pPr>
        <w:ind w:left="1134"/>
        <w:rPr>
          <w:rFonts w:ascii="Verdana" w:eastAsia="Calibri" w:hAnsi="Verdana" w:cs="Arial"/>
          <w:sz w:val="20"/>
          <w:szCs w:val="20"/>
        </w:rPr>
      </w:pPr>
      <w:r w:rsidRPr="00F13F6F">
        <w:rPr>
          <w:rFonts w:ascii="Verdana" w:eastAsia="Calibri" w:hAnsi="Verdana" w:cs="Arial"/>
          <w:sz w:val="20"/>
          <w:szCs w:val="20"/>
        </w:rPr>
        <w:t>POE = Presupuesto oficial estimado</w:t>
      </w:r>
    </w:p>
    <w:p w14:paraId="45E75BA4" w14:textId="77777777" w:rsidR="00F13F6F" w:rsidRPr="00F13F6F" w:rsidRDefault="00F13F6F" w:rsidP="00F13F6F">
      <w:pPr>
        <w:shd w:val="clear" w:color="auto" w:fill="FFFFFF"/>
        <w:spacing w:after="0" w:line="240" w:lineRule="auto"/>
        <w:ind w:left="1134"/>
        <w:jc w:val="both"/>
        <w:rPr>
          <w:rFonts w:ascii="Verdana" w:eastAsia="Times New Roman" w:hAnsi="Verdana" w:cs="Times New Roman"/>
          <w:sz w:val="20"/>
          <w:szCs w:val="20"/>
          <w:lang w:eastAsia="es-CO"/>
        </w:rPr>
      </w:pPr>
      <w:r w:rsidRPr="00F13F6F">
        <w:rPr>
          <w:rFonts w:ascii="Verdana" w:eastAsia="Times New Roman" w:hAnsi="Verdana" w:cs="Times New Roman"/>
          <w:sz w:val="20"/>
          <w:szCs w:val="20"/>
          <w:lang w:eastAsia="es-CO"/>
        </w:rPr>
        <w:t xml:space="preserve">En ningún caso el Patrimonio requerido excederá el valor del Presupuesto Oficial”. </w:t>
      </w:r>
    </w:p>
    <w:p w14:paraId="57B3894E" w14:textId="77777777" w:rsidR="00F13F6F" w:rsidRPr="00F13F6F" w:rsidRDefault="00F13F6F" w:rsidP="00F13F6F">
      <w:pPr>
        <w:snapToGrid w:val="0"/>
        <w:spacing w:after="0" w:line="276" w:lineRule="auto"/>
        <w:ind w:left="1080"/>
        <w:contextualSpacing/>
        <w:jc w:val="both"/>
        <w:rPr>
          <w:rFonts w:ascii="Verdana" w:eastAsia="Calibri" w:hAnsi="Verdana" w:cs="Arial"/>
          <w:kern w:val="2"/>
          <w14:ligatures w14:val="standardContextual"/>
        </w:rPr>
      </w:pPr>
    </w:p>
    <w:p w14:paraId="1DA7504D" w14:textId="77777777" w:rsidR="00F13F6F" w:rsidRPr="00F13F6F" w:rsidRDefault="00F13F6F" w:rsidP="00F13F6F">
      <w:pPr>
        <w:numPr>
          <w:ilvl w:val="0"/>
          <w:numId w:val="19"/>
        </w:numPr>
        <w:snapToGrid w:val="0"/>
        <w:spacing w:after="0" w:line="276" w:lineRule="auto"/>
        <w:contextualSpacing/>
        <w:jc w:val="both"/>
        <w:rPr>
          <w:rFonts w:ascii="Verdana" w:eastAsia="Calibri" w:hAnsi="Verdana" w:cs="Arial"/>
          <w:kern w:val="2"/>
          <w:lang w:val="es-ES"/>
          <w14:ligatures w14:val="standardContextual"/>
        </w:rPr>
      </w:pPr>
      <w:r w:rsidRPr="00F13F6F">
        <w:rPr>
          <w:rFonts w:ascii="Verdana" w:eastAsia="Calibri" w:hAnsi="Verdana" w:cs="Arial"/>
          <w:kern w:val="2"/>
          <w:lang w:val="es-ES"/>
          <w14:ligatures w14:val="standardContextual"/>
        </w:rPr>
        <w:t>A continuación, se describe la metodología para calcular el indicador cuando el proponente que se presenta corresponde a una figura plural:</w:t>
      </w:r>
    </w:p>
    <w:p w14:paraId="36C06115" w14:textId="77777777" w:rsidR="00F13F6F" w:rsidRPr="00F13F6F" w:rsidRDefault="00F13F6F" w:rsidP="00F13F6F">
      <w:pPr>
        <w:ind w:left="1134"/>
        <w:contextualSpacing/>
        <w:rPr>
          <w:rFonts w:ascii="Verdana" w:eastAsia="Calibri" w:hAnsi="Verdana" w:cs="Arial"/>
          <w:kern w:val="2"/>
          <w:lang w:val="es-ES"/>
          <w14:ligatures w14:val="standardContextual"/>
        </w:rPr>
      </w:pPr>
    </w:p>
    <w:p w14:paraId="0D592492" w14:textId="77777777" w:rsidR="00F13F6F" w:rsidRPr="00F13F6F" w:rsidRDefault="00F13F6F" w:rsidP="00F13F6F">
      <w:pPr>
        <w:ind w:left="1134"/>
        <w:rPr>
          <w:rFonts w:ascii="Verdana" w:eastAsia="Calibri" w:hAnsi="Verdana" w:cs="Times New Roman"/>
          <w:sz w:val="20"/>
          <w:szCs w:val="20"/>
          <w:lang w:val="es-MX"/>
        </w:rPr>
      </w:pPr>
      <w:r w:rsidRPr="00F13F6F">
        <w:rPr>
          <w:rFonts w:ascii="Verdana" w:eastAsia="Calibri" w:hAnsi="Verdana" w:cs="Times New Roman"/>
          <w:sz w:val="20"/>
          <w:szCs w:val="20"/>
          <w:lang w:val="es-MX"/>
        </w:rPr>
        <w:t>“Si el Proponente es plural el indicador debe calcularse así:</w:t>
      </w:r>
    </w:p>
    <w:p w14:paraId="2FDCA286" w14:textId="77777777" w:rsidR="00F13F6F" w:rsidRPr="00F13F6F" w:rsidRDefault="00F13F6F" w:rsidP="00F13F6F">
      <w:pPr>
        <w:spacing w:line="276" w:lineRule="auto"/>
        <w:ind w:left="1134"/>
        <w:rPr>
          <w:rFonts w:ascii="Verdana" w:eastAsia="Calibri" w:hAnsi="Verdana" w:cs="Arial"/>
          <w:sz w:val="20"/>
          <w:szCs w:val="20"/>
        </w:rPr>
      </w:pPr>
      <m:oMathPara>
        <m:oMath>
          <m:r>
            <m:rPr>
              <m:sty m:val="p"/>
            </m:rPr>
            <w:rPr>
              <w:rFonts w:ascii="Cambria Math" w:eastAsia="Calibri" w:hAnsi="Cambria Math" w:cs="Arial"/>
              <w:sz w:val="20"/>
              <w:szCs w:val="20"/>
            </w:rPr>
            <m:t>proponente plural=</m:t>
          </m:r>
          <m:nary>
            <m:naryPr>
              <m:chr m:val="∑"/>
              <m:limLoc m:val="undOvr"/>
              <m:ctrlPr>
                <w:rPr>
                  <w:rFonts w:ascii="Cambria Math" w:eastAsia="Calibri" w:hAnsi="Cambria Math" w:cs="Arial"/>
                  <w:sz w:val="20"/>
                  <w:szCs w:val="20"/>
                </w:rPr>
              </m:ctrlPr>
            </m:naryPr>
            <m:sub>
              <m:r>
                <m:rPr>
                  <m:sty m:val="p"/>
                </m:rPr>
                <w:rPr>
                  <w:rFonts w:ascii="Cambria Math" w:eastAsia="Calibri" w:hAnsi="Cambria Math" w:cs="Arial"/>
                  <w:sz w:val="20"/>
                  <w:szCs w:val="20"/>
                </w:rPr>
                <m:t>i=1</m:t>
              </m:r>
            </m:sub>
            <m:sup>
              <m:r>
                <m:rPr>
                  <m:sty m:val="p"/>
                </m:rPr>
                <w:rPr>
                  <w:rFonts w:ascii="Cambria Math" w:eastAsia="Calibri" w:hAnsi="Cambria Math" w:cs="Arial"/>
                  <w:sz w:val="20"/>
                  <w:szCs w:val="20"/>
                </w:rPr>
                <m:t>n</m:t>
              </m:r>
            </m:sup>
            <m:e>
              <m:sSub>
                <m:sSubPr>
                  <m:ctrlPr>
                    <w:rPr>
                      <w:rFonts w:ascii="Cambria Math" w:eastAsia="Calibri" w:hAnsi="Cambria Math" w:cs="Arial"/>
                      <w:sz w:val="20"/>
                      <w:szCs w:val="20"/>
                    </w:rPr>
                  </m:ctrlPr>
                </m:sSubPr>
                <m:e>
                  <m:r>
                    <m:rPr>
                      <m:sty m:val="p"/>
                    </m:rPr>
                    <w:rPr>
                      <w:rFonts w:ascii="Cambria Math" w:eastAsia="Calibri" w:hAnsi="Cambria Math" w:cs="Arial"/>
                      <w:sz w:val="20"/>
                      <w:szCs w:val="20"/>
                    </w:rPr>
                    <m:t>CT</m:t>
                  </m:r>
                </m:e>
                <m:sub>
                  <m:r>
                    <m:rPr>
                      <m:sty m:val="p"/>
                    </m:rPr>
                    <w:rPr>
                      <w:rFonts w:ascii="Cambria Math" w:eastAsia="Calibri" w:hAnsi="Cambria Math" w:cs="Arial"/>
                      <w:sz w:val="20"/>
                      <w:szCs w:val="20"/>
                    </w:rPr>
                    <m:t>i</m:t>
                  </m:r>
                </m:sub>
              </m:sSub>
            </m:e>
          </m:nary>
        </m:oMath>
      </m:oMathPara>
    </w:p>
    <w:p w14:paraId="3E53ABF9" w14:textId="77777777" w:rsidR="00F13F6F" w:rsidRPr="00F13F6F" w:rsidRDefault="00F13F6F" w:rsidP="00F13F6F">
      <w:pPr>
        <w:ind w:left="1134"/>
        <w:rPr>
          <w:rFonts w:ascii="Verdana" w:eastAsia="Calibri" w:hAnsi="Verdana" w:cs="Times New Roman"/>
          <w:sz w:val="20"/>
          <w:szCs w:val="20"/>
          <w:lang w:val="es-MX"/>
        </w:rPr>
      </w:pPr>
      <w:r w:rsidRPr="00F13F6F">
        <w:rPr>
          <w:rFonts w:ascii="Verdana" w:eastAsia="Calibri" w:hAnsi="Verdana" w:cs="Times New Roman"/>
          <w:sz w:val="20"/>
          <w:szCs w:val="20"/>
          <w:lang w:val="es-MX"/>
        </w:rPr>
        <w:t xml:space="preserve">Donde </w:t>
      </w:r>
      <w:r w:rsidRPr="00F13F6F">
        <w:rPr>
          <w:rFonts w:ascii="Verdana" w:eastAsia="Calibri" w:hAnsi="Verdana" w:cs="Times New Roman"/>
          <w:i/>
          <w:iCs/>
          <w:sz w:val="20"/>
          <w:szCs w:val="20"/>
          <w:lang w:val="es-MX"/>
        </w:rPr>
        <w:t>n</w:t>
      </w:r>
      <w:r w:rsidRPr="00F13F6F">
        <w:rPr>
          <w:rFonts w:ascii="Verdana" w:eastAsia="Calibri" w:hAnsi="Verdana" w:cs="Times New Roman"/>
          <w:sz w:val="20"/>
          <w:szCs w:val="20"/>
          <w:lang w:val="es-MX"/>
        </w:rPr>
        <w:t xml:space="preserve"> es el número de integrantes del proponente plural (unión temporal o consorcio)”.</w:t>
      </w:r>
    </w:p>
    <w:p w14:paraId="2AF93943" w14:textId="77777777" w:rsidR="00F13F6F" w:rsidRPr="00F13F6F" w:rsidRDefault="00F13F6F" w:rsidP="00F13F6F">
      <w:pPr>
        <w:numPr>
          <w:ilvl w:val="0"/>
          <w:numId w:val="19"/>
        </w:numPr>
        <w:snapToGrid w:val="0"/>
        <w:spacing w:after="0" w:line="276" w:lineRule="auto"/>
        <w:contextualSpacing/>
        <w:jc w:val="both"/>
        <w:rPr>
          <w:rFonts w:ascii="Verdana" w:eastAsia="Calibri" w:hAnsi="Verdana" w:cs="Arial"/>
          <w:kern w:val="2"/>
          <w:lang w:val="es-ES"/>
          <w14:ligatures w14:val="standardContextual"/>
        </w:rPr>
      </w:pPr>
      <w:r w:rsidRPr="00F13F6F">
        <w:rPr>
          <w:rFonts w:ascii="Verdana" w:eastAsia="Calibri" w:hAnsi="Verdana" w:cs="Arial"/>
          <w:kern w:val="2"/>
          <w:lang w:val="es-ES"/>
          <w14:ligatures w14:val="standardContextual"/>
        </w:rPr>
        <w:t xml:space="preserve">Finalmente, se realiza la descripción del requisito a solicitar cuando la empresa que se presente acredite su condición de </w:t>
      </w:r>
      <w:proofErr w:type="spellStart"/>
      <w:r w:rsidRPr="00F13F6F">
        <w:rPr>
          <w:rFonts w:ascii="Verdana" w:eastAsia="Calibri" w:hAnsi="Verdana" w:cs="Arial"/>
          <w:kern w:val="2"/>
          <w:lang w:val="es-ES"/>
          <w14:ligatures w14:val="standardContextual"/>
        </w:rPr>
        <w:t>Mipyme</w:t>
      </w:r>
      <w:proofErr w:type="spellEnd"/>
      <w:r w:rsidRPr="00F13F6F">
        <w:rPr>
          <w:rFonts w:ascii="Verdana" w:eastAsia="Calibri" w:hAnsi="Verdana" w:cs="Arial"/>
          <w:kern w:val="2"/>
          <w:lang w:val="es-ES"/>
          <w14:ligatures w14:val="standardContextual"/>
        </w:rPr>
        <w:t>, así:</w:t>
      </w:r>
    </w:p>
    <w:p w14:paraId="361695F5" w14:textId="77777777" w:rsidR="00F13F6F" w:rsidRPr="00F13F6F" w:rsidRDefault="00F13F6F" w:rsidP="00F13F6F">
      <w:pPr>
        <w:snapToGrid w:val="0"/>
        <w:spacing w:after="0" w:line="276" w:lineRule="auto"/>
        <w:ind w:left="1080"/>
        <w:contextualSpacing/>
        <w:jc w:val="both"/>
        <w:rPr>
          <w:rFonts w:ascii="Verdana" w:eastAsia="Calibri" w:hAnsi="Verdana" w:cs="Arial"/>
          <w:kern w:val="2"/>
          <w:lang w:val="es-ES"/>
          <w14:ligatures w14:val="standardContextual"/>
        </w:rPr>
      </w:pPr>
    </w:p>
    <w:p w14:paraId="1B83B0F2" w14:textId="77777777" w:rsidR="00F13F6F" w:rsidRPr="00F13F6F" w:rsidRDefault="00F13F6F" w:rsidP="00F13F6F">
      <w:pPr>
        <w:ind w:left="1134"/>
        <w:jc w:val="both"/>
        <w:rPr>
          <w:rFonts w:ascii="Verdana" w:eastAsia="Calibri" w:hAnsi="Verdana" w:cs="Arial"/>
          <w:sz w:val="20"/>
          <w:szCs w:val="18"/>
        </w:rPr>
      </w:pPr>
      <w:r w:rsidRPr="00F13F6F">
        <w:rPr>
          <w:rFonts w:ascii="Verdana" w:eastAsia="Calibri" w:hAnsi="Verdana" w:cs="Arial"/>
          <w:color w:val="000000"/>
          <w:sz w:val="20"/>
          <w:szCs w:val="18"/>
          <w:shd w:val="clear" w:color="auto" w:fill="FFFFFF"/>
          <w:lang w:val="es-419"/>
        </w:rPr>
        <w:t>“Con relación a las empresas que acrediten su condición de Mipyme,</w:t>
      </w:r>
      <w:r w:rsidRPr="00F13F6F">
        <w:rPr>
          <w:rFonts w:ascii="Verdana" w:eastAsia="Calibri" w:hAnsi="Verdana" w:cs="Times New Roman"/>
          <w:sz w:val="20"/>
          <w:szCs w:val="20"/>
          <w:lang w:val="es-MX"/>
        </w:rPr>
        <w:t xml:space="preserve"> el Patrimonio </w:t>
      </w:r>
      <w:r w:rsidRPr="00F13F6F">
        <w:rPr>
          <w:rFonts w:ascii="Verdana" w:eastAsia="Calibri" w:hAnsi="Verdana" w:cs="Arial"/>
          <w:sz w:val="20"/>
          <w:szCs w:val="18"/>
        </w:rPr>
        <w:t xml:space="preserve">solicitado (requerido) </w:t>
      </w:r>
      <w:r w:rsidRPr="00F13F6F">
        <w:rPr>
          <w:rFonts w:ascii="Verdana" w:eastAsia="Calibri" w:hAnsi="Verdana" w:cs="Arial"/>
          <w:sz w:val="20"/>
          <w:szCs w:val="20"/>
        </w:rPr>
        <w:t>se hará de acuerdo con la siguiente fórmula:</w:t>
      </w:r>
    </w:p>
    <w:p w14:paraId="2627FEB2" w14:textId="77777777" w:rsidR="00F13F6F" w:rsidRPr="00F13F6F" w:rsidRDefault="00F13F6F" w:rsidP="00F13F6F">
      <w:pPr>
        <w:ind w:left="1134"/>
        <w:rPr>
          <w:rFonts w:ascii="Verdana" w:eastAsia="Calibri" w:hAnsi="Verdana" w:cs="Arial"/>
          <w:sz w:val="20"/>
          <w:szCs w:val="20"/>
        </w:rPr>
      </w:pPr>
      <m:oMathPara>
        <m:oMath>
          <m:r>
            <m:rPr>
              <m:sty m:val="p"/>
            </m:rPr>
            <w:rPr>
              <w:rFonts w:ascii="Cambria Math" w:eastAsia="Calibri" w:hAnsi="Cambria Math" w:cs="Arial"/>
              <w:sz w:val="20"/>
              <w:szCs w:val="20"/>
            </w:rPr>
            <w:lastRenderedPageBreak/>
            <m:t>Pd</m:t>
          </m:r>
          <m:r>
            <w:rPr>
              <w:rFonts w:ascii="Cambria Math" w:eastAsia="Calibri" w:hAnsi="Cambria Math" w:cs="Arial"/>
              <w:sz w:val="20"/>
              <w:szCs w:val="20"/>
            </w:rPr>
            <m:t>= POE x 20%</m:t>
          </m:r>
        </m:oMath>
      </m:oMathPara>
    </w:p>
    <w:p w14:paraId="6762B0C7" w14:textId="77777777" w:rsidR="00F13F6F" w:rsidRPr="00F13F6F" w:rsidRDefault="00F13F6F" w:rsidP="00F13F6F">
      <w:pPr>
        <w:snapToGrid w:val="0"/>
        <w:spacing w:after="120" w:line="276" w:lineRule="auto"/>
        <w:ind w:firstLine="709"/>
        <w:jc w:val="both"/>
        <w:rPr>
          <w:rFonts w:ascii="Verdana" w:eastAsia="Calibri" w:hAnsi="Verdana" w:cs="Arial"/>
          <w:lang w:val="es-ES"/>
        </w:rPr>
      </w:pPr>
      <w:r w:rsidRPr="00F13F6F">
        <w:rPr>
          <w:rFonts w:ascii="Verdana" w:eastAsia="Calibri" w:hAnsi="Verdana" w:cs="Arial"/>
          <w:lang w:val="es-ES"/>
        </w:rPr>
        <w:t xml:space="preserve">Conforme con lo anterior, en el marco de la versión – 4 de los documentos tipo de licitación de obra pública de infraestructura de transporte, se incluyó como un indicador de capacidad financiera adicional, el Patrimonio. Este, será solicitado en los procesos de selección que cumplan con los siguientes dos criterios: i) El presupuesto oficial sea mayor o igual a 40.000 </w:t>
      </w:r>
      <w:proofErr w:type="spellStart"/>
      <w:r w:rsidRPr="00F13F6F">
        <w:rPr>
          <w:rFonts w:ascii="Verdana" w:eastAsia="Calibri" w:hAnsi="Verdana" w:cs="Arial"/>
          <w:lang w:val="es-ES"/>
        </w:rPr>
        <w:t>smmlv</w:t>
      </w:r>
      <w:proofErr w:type="spellEnd"/>
      <w:r w:rsidRPr="00F13F6F">
        <w:rPr>
          <w:rFonts w:ascii="Verdana" w:eastAsia="Calibri" w:hAnsi="Verdana" w:cs="Arial"/>
          <w:lang w:val="es-ES"/>
        </w:rPr>
        <w:t xml:space="preserve">, y </w:t>
      </w:r>
      <w:proofErr w:type="spellStart"/>
      <w:r w:rsidRPr="00F13F6F">
        <w:rPr>
          <w:rFonts w:ascii="Verdana" w:eastAsia="Calibri" w:hAnsi="Verdana" w:cs="Arial"/>
          <w:lang w:val="es-ES"/>
        </w:rPr>
        <w:t>ii</w:t>
      </w:r>
      <w:proofErr w:type="spellEnd"/>
      <w:r w:rsidRPr="00F13F6F">
        <w:rPr>
          <w:rFonts w:ascii="Verdana" w:eastAsia="Calibri" w:hAnsi="Verdana" w:cs="Arial"/>
          <w:lang w:val="es-ES"/>
        </w:rPr>
        <w:t xml:space="preserve">) cuente con un plazo de ejecución igual o superior a 24 meses, y se hará teniendo en cuenta cada uno de los componentes del numeral 3.8 explicados con anterioridad. </w:t>
      </w:r>
    </w:p>
    <w:p w14:paraId="5024B263" w14:textId="77777777" w:rsidR="00F13F6F" w:rsidRPr="00F13F6F" w:rsidRDefault="00F13F6F" w:rsidP="00F13F6F">
      <w:pPr>
        <w:snapToGrid w:val="0"/>
        <w:spacing w:after="120" w:line="276" w:lineRule="auto"/>
        <w:ind w:firstLine="709"/>
        <w:jc w:val="both"/>
        <w:rPr>
          <w:rFonts w:ascii="Verdana" w:eastAsia="Aptos" w:hAnsi="Verdana" w:cs="Times New Roman"/>
          <w:kern w:val="2"/>
          <w14:ligatures w14:val="standardContextual"/>
        </w:rPr>
      </w:pPr>
      <w:r w:rsidRPr="00F13F6F">
        <w:rPr>
          <w:rFonts w:ascii="Verdana" w:eastAsia="Aptos" w:hAnsi="Verdana" w:cs="Times New Roman"/>
          <w:kern w:val="2"/>
          <w14:ligatures w14:val="standardContextual"/>
        </w:rPr>
        <w:t xml:space="preserve">Los dos criterios son copulativos. La conjunción “y” que los une, tanto en el párrafo anterior como en la nota del documento tipo que fija su aplicación “Para proyectos de obra cuyo presupuesto oficial sea mayor o igual a 40.000 </w:t>
      </w:r>
      <w:proofErr w:type="spellStart"/>
      <w:r w:rsidRPr="00F13F6F">
        <w:rPr>
          <w:rFonts w:ascii="Verdana" w:eastAsia="Aptos" w:hAnsi="Verdana" w:cs="Times New Roman"/>
          <w:kern w:val="2"/>
          <w14:ligatures w14:val="standardContextual"/>
        </w:rPr>
        <w:t>smmlv</w:t>
      </w:r>
      <w:proofErr w:type="spellEnd"/>
      <w:r w:rsidRPr="00F13F6F">
        <w:rPr>
          <w:rFonts w:ascii="Verdana" w:eastAsia="Aptos" w:hAnsi="Verdana" w:cs="Times New Roman"/>
          <w:kern w:val="2"/>
          <w14:ligatures w14:val="standardContextual"/>
        </w:rPr>
        <w:t xml:space="preserve"> y cuente con un plazo de ejecución igual o superior a 24 meses aplicará la siguiente redacción”, es una conjunción copulativa</w:t>
      </w:r>
      <w:r w:rsidRPr="00F13F6F">
        <w:rPr>
          <w:rFonts w:ascii="Verdana" w:eastAsia="Aptos" w:hAnsi="Verdana" w:cs="Times New Roman"/>
          <w:kern w:val="2"/>
          <w:vertAlign w:val="superscript"/>
          <w14:ligatures w14:val="standardContextual"/>
        </w:rPr>
        <w:footnoteReference w:id="7"/>
      </w:r>
      <w:r w:rsidRPr="00F13F6F">
        <w:rPr>
          <w:rFonts w:ascii="Verdana" w:eastAsia="Aptos" w:hAnsi="Verdana" w:cs="Times New Roman"/>
          <w:kern w:val="2"/>
          <w14:ligatures w14:val="standardContextual"/>
        </w:rPr>
        <w:t xml:space="preserve">, es decir, suma las condiciones y exige que todas se cumplan a la vez. </w:t>
      </w:r>
    </w:p>
    <w:p w14:paraId="2ADC4F9E" w14:textId="77777777" w:rsidR="00F13F6F" w:rsidRPr="00F13F6F" w:rsidRDefault="00F13F6F" w:rsidP="00F13F6F">
      <w:pPr>
        <w:snapToGrid w:val="0"/>
        <w:spacing w:after="120" w:line="276" w:lineRule="auto"/>
        <w:ind w:firstLine="709"/>
        <w:jc w:val="both"/>
        <w:rPr>
          <w:rFonts w:ascii="Verdana" w:eastAsia="Calibri" w:hAnsi="Verdana" w:cs="Arial"/>
          <w:lang w:val="es-ES"/>
        </w:rPr>
      </w:pPr>
      <w:r w:rsidRPr="00F13F6F">
        <w:rPr>
          <w:rFonts w:ascii="Verdana" w:eastAsia="Aptos" w:hAnsi="Verdana" w:cs="Times New Roman"/>
          <w:kern w:val="2"/>
          <w14:ligatures w14:val="standardContextual"/>
        </w:rPr>
        <w:t>Leída en su sentido natural y obvio, conforme al criterio de interpretación del artículo 28 del Código Civil</w:t>
      </w:r>
      <w:r w:rsidRPr="00F13F6F">
        <w:rPr>
          <w:rFonts w:ascii="Verdana" w:eastAsia="Aptos" w:hAnsi="Verdana" w:cs="Times New Roman"/>
          <w:kern w:val="2"/>
          <w:vertAlign w:val="superscript"/>
          <w14:ligatures w14:val="standardContextual"/>
        </w:rPr>
        <w:footnoteReference w:id="8"/>
      </w:r>
      <w:r w:rsidRPr="00F13F6F">
        <w:rPr>
          <w:rFonts w:ascii="Verdana" w:eastAsia="Aptos" w:hAnsi="Verdana" w:cs="Times New Roman"/>
          <w:kern w:val="2"/>
          <w14:ligatures w14:val="standardContextual"/>
        </w:rPr>
        <w:t xml:space="preserve">, la regla no permite que baste uno solo de los supuestos. Por eso, un proceso con presupuesto igual o superior a 40.000 </w:t>
      </w:r>
      <w:proofErr w:type="spellStart"/>
      <w:r w:rsidRPr="00F13F6F">
        <w:rPr>
          <w:rFonts w:ascii="Verdana" w:eastAsia="Aptos" w:hAnsi="Verdana" w:cs="Times New Roman"/>
          <w:kern w:val="2"/>
          <w14:ligatures w14:val="standardContextual"/>
        </w:rPr>
        <w:t>smmlv</w:t>
      </w:r>
      <w:proofErr w:type="spellEnd"/>
      <w:r w:rsidRPr="00F13F6F">
        <w:rPr>
          <w:rFonts w:ascii="Verdana" w:eastAsia="Aptos" w:hAnsi="Verdana" w:cs="Times New Roman"/>
          <w:kern w:val="2"/>
          <w14:ligatures w14:val="standardContextual"/>
        </w:rPr>
        <w:t xml:space="preserve"> y plazo inferior a 24 meses no debe incluir el indicador de patrimonio, y tampoco uno con plazo de 24 meses o más cuyo presupuesto sea inferior a 40.000 </w:t>
      </w:r>
      <w:proofErr w:type="spellStart"/>
      <w:r w:rsidRPr="00F13F6F">
        <w:rPr>
          <w:rFonts w:ascii="Verdana" w:eastAsia="Aptos" w:hAnsi="Verdana" w:cs="Times New Roman"/>
          <w:kern w:val="2"/>
          <w14:ligatures w14:val="standardContextual"/>
        </w:rPr>
        <w:t>smmlv</w:t>
      </w:r>
      <w:proofErr w:type="spellEnd"/>
      <w:r w:rsidRPr="00F13F6F">
        <w:rPr>
          <w:rFonts w:ascii="Verdana" w:eastAsia="Aptos" w:hAnsi="Verdana" w:cs="Times New Roman"/>
          <w:kern w:val="2"/>
          <w14:ligatures w14:val="standardContextual"/>
        </w:rPr>
        <w:t>. Exigirlo en esos casos implicaría agregar un requisito habilitante que el documento tipo, de uso obligatorio para las entidades, no prevé para ese proceso.</w:t>
      </w:r>
    </w:p>
    <w:p w14:paraId="60E71718" w14:textId="77777777" w:rsidR="00F13F6F" w:rsidRPr="00F13F6F" w:rsidRDefault="00F13F6F" w:rsidP="00F13F6F">
      <w:pPr>
        <w:snapToGrid w:val="0"/>
        <w:spacing w:after="120" w:line="278" w:lineRule="auto"/>
        <w:ind w:firstLine="709"/>
        <w:jc w:val="both"/>
        <w:rPr>
          <w:rFonts w:ascii="Verdana" w:eastAsia="Calibri" w:hAnsi="Verdana" w:cs="Arial"/>
          <w:color w:val="000000"/>
          <w:kern w:val="2"/>
          <w14:ligatures w14:val="standardContextual"/>
        </w:rPr>
      </w:pPr>
      <w:r w:rsidRPr="00F13F6F">
        <w:rPr>
          <w:rFonts w:ascii="Verdana" w:eastAsia="Aptos" w:hAnsi="Verdana" w:cs="Times New Roman"/>
          <w:color w:val="000000"/>
          <w:kern w:val="2"/>
          <w14:ligatures w14:val="standardContextual"/>
        </w:rPr>
        <w:t xml:space="preserve">Ahora bien, en el documento “04. Anexo de la Memoria justificativa – Análisis sectorial”, que sirvió de fundamento técnico para actualizar el documento tipo de infraestructura de transporte en la modalidad de licitación </w:t>
      </w:r>
      <w:r w:rsidRPr="00F13F6F">
        <w:rPr>
          <w:rFonts w:ascii="Verdana" w:eastAsia="Aptos" w:hAnsi="Verdana" w:cs="Times New Roman"/>
          <w:color w:val="000000"/>
          <w:kern w:val="2"/>
          <w14:ligatures w14:val="standardContextual"/>
        </w:rPr>
        <w:lastRenderedPageBreak/>
        <w:t>pública, la Agencia sustentó la inclusión de este indicador en los procesos que cumplan las dos condiciones señaladas, manifestando que</w:t>
      </w:r>
      <w:r w:rsidRPr="00F13F6F">
        <w:rPr>
          <w:rFonts w:ascii="Verdana" w:eastAsia="Calibri" w:hAnsi="Verdana" w:cs="Arial"/>
          <w:color w:val="000000"/>
          <w:kern w:val="2"/>
          <w14:ligatures w14:val="standardContextual"/>
        </w:rPr>
        <w:t xml:space="preserve"> este mide la cantidad de recursos propios del proponente y es recomendable su uso cuando la Entidad Estatal requiere analizar la proporción de recursos propios en términos absolutos cuando el presupuesto del Proceso de Contratación es muy alto y se debe asegurar la continuidad del oferente en el tiempo</w:t>
      </w:r>
      <w:r w:rsidRPr="00F13F6F">
        <w:rPr>
          <w:rFonts w:ascii="Verdana" w:eastAsia="Calibri" w:hAnsi="Verdana" w:cs="Arial"/>
          <w:color w:val="000000"/>
          <w:kern w:val="2"/>
          <w:vertAlign w:val="superscript"/>
          <w14:ligatures w14:val="standardContextual"/>
        </w:rPr>
        <w:footnoteReference w:id="9"/>
      </w:r>
      <w:r w:rsidRPr="00F13F6F">
        <w:rPr>
          <w:rFonts w:ascii="Verdana" w:eastAsia="Calibri" w:hAnsi="Verdana" w:cs="Arial"/>
          <w:color w:val="000000"/>
          <w:kern w:val="2"/>
          <w14:ligatures w14:val="standardContextual"/>
        </w:rPr>
        <w:t>.</w:t>
      </w:r>
    </w:p>
    <w:p w14:paraId="1C6DE47D" w14:textId="77777777" w:rsidR="00F13F6F" w:rsidRPr="00F13F6F" w:rsidRDefault="00F13F6F" w:rsidP="00F13F6F">
      <w:pPr>
        <w:snapToGrid w:val="0"/>
        <w:spacing w:after="120" w:line="278" w:lineRule="auto"/>
        <w:ind w:firstLine="709"/>
        <w:jc w:val="both"/>
        <w:rPr>
          <w:rFonts w:ascii="Verdana" w:eastAsia="Calibri" w:hAnsi="Verdana" w:cs="Arial"/>
          <w:color w:val="000000"/>
          <w:kern w:val="2"/>
          <w14:ligatures w14:val="standardContextual"/>
        </w:rPr>
      </w:pPr>
      <w:r w:rsidRPr="00F13F6F">
        <w:rPr>
          <w:rFonts w:ascii="Verdana" w:eastAsia="Calibri" w:hAnsi="Verdana" w:cs="Arial"/>
          <w:color w:val="000000"/>
          <w:kern w:val="2"/>
          <w14:ligatures w14:val="standardContextual"/>
        </w:rPr>
        <w:t>Así, considerando que los grandes proyectos de infraestructura de obra están concebidos para varias vigencias e implican la adjudicación de contratos por altos montos de recursos, el indicador de patrimonio cobra relevancia con el objetivo de fortalecer los requisitos a solicitar a los proponentes en el marco de este tipo de proyectos.</w:t>
      </w:r>
    </w:p>
    <w:p w14:paraId="3EE3510C" w14:textId="77777777" w:rsidR="00F13F6F" w:rsidRPr="00F13F6F" w:rsidRDefault="00F13F6F" w:rsidP="00F13F6F">
      <w:pPr>
        <w:snapToGrid w:val="0"/>
        <w:spacing w:after="0" w:line="278" w:lineRule="auto"/>
        <w:ind w:firstLine="709"/>
        <w:jc w:val="both"/>
        <w:rPr>
          <w:rFonts w:ascii="Verdana" w:eastAsia="Aptos" w:hAnsi="Verdana" w:cs="Times New Roman"/>
          <w:kern w:val="2"/>
          <w14:ligatures w14:val="standardContextual"/>
        </w:rPr>
      </w:pPr>
      <w:r w:rsidRPr="00F13F6F">
        <w:rPr>
          <w:rFonts w:ascii="Verdana" w:eastAsia="Aptos" w:hAnsi="Verdana" w:cs="Times New Roman"/>
          <w:kern w:val="2"/>
          <w14:ligatures w14:val="standardContextual"/>
        </w:rPr>
        <w:t>Por lo anterior, la Agencia Nacional de Contratación Pública – Colombia Compra Eficiente consideró viable exigir el indicador de patrimonio en los procesos de selección de obra de infraestructura de transporte que cumplan la condición de plazo estimado de ejecución y se ubiquen en el rango de presupuesto más alto analizado en la propuesta de indicadores (rango 2). En ese mismo rango se flexibilizó el indicador de endeudamiento, que quedó en un valor mayor o igual a 0,75, para no excluir a las empresas con altos niveles de endeudamiento. De esta forma, el patrimonio se incorporó en la versión 4 del documento tipo de infraestructura de transporte, en la modalidad de licitación pública, con el propósito principal de fortalecer la capacidad financiera exigida en los procesos de mayor presupuesto y plazo y asegurar, entre otros fines, la continuidad del contratista adjudicatario durante la ejecución, sin afectar de forma general la participación de las empresas del sector.</w:t>
      </w:r>
    </w:p>
    <w:p w14:paraId="31A917B2" w14:textId="77777777" w:rsidR="00F13F6F" w:rsidRPr="00F13F6F" w:rsidRDefault="00F13F6F" w:rsidP="00F13F6F">
      <w:pPr>
        <w:snapToGrid w:val="0"/>
        <w:spacing w:after="0" w:line="278" w:lineRule="auto"/>
        <w:ind w:firstLine="709"/>
        <w:jc w:val="both"/>
        <w:rPr>
          <w:rFonts w:ascii="Verdana" w:eastAsia="Calibri" w:hAnsi="Verdana" w:cs="Arial"/>
          <w:color w:val="000000"/>
          <w:kern w:val="2"/>
          <w14:ligatures w14:val="standardContextual"/>
        </w:rPr>
      </w:pPr>
    </w:p>
    <w:p w14:paraId="3EFED571" w14:textId="77777777" w:rsidR="00F13F6F" w:rsidRPr="00F13F6F" w:rsidRDefault="00F13F6F" w:rsidP="00F13F6F">
      <w:pPr>
        <w:tabs>
          <w:tab w:val="left" w:pos="709"/>
        </w:tabs>
        <w:snapToGrid w:val="0"/>
        <w:spacing w:after="120" w:line="276" w:lineRule="auto"/>
        <w:jc w:val="both"/>
        <w:rPr>
          <w:rFonts w:ascii="Verdana" w:eastAsia="Calibri" w:hAnsi="Verdana" w:cs="Arial"/>
          <w:color w:val="000000"/>
          <w:kern w:val="2"/>
          <w:lang w:val="es-ES"/>
          <w14:ligatures w14:val="standardContextual"/>
        </w:rPr>
      </w:pPr>
      <w:proofErr w:type="spellStart"/>
      <w:r w:rsidRPr="00F13F6F">
        <w:rPr>
          <w:rFonts w:ascii="Verdana" w:eastAsia="Calibri" w:hAnsi="Verdana" w:cs="Arial"/>
          <w:color w:val="000000"/>
          <w:kern w:val="2"/>
          <w:lang w:val="es-ES"/>
          <w14:ligatures w14:val="standardContextual"/>
        </w:rPr>
        <w:t>iii</w:t>
      </w:r>
      <w:proofErr w:type="spellEnd"/>
      <w:r w:rsidRPr="00F13F6F">
        <w:rPr>
          <w:rFonts w:ascii="Verdana" w:eastAsia="Calibri" w:hAnsi="Verdana" w:cs="Arial"/>
          <w:color w:val="000000"/>
          <w:kern w:val="2"/>
          <w:lang w:val="es-ES"/>
          <w14:ligatures w14:val="standardContextual"/>
        </w:rPr>
        <w:t xml:space="preserve">.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w:t>
      </w:r>
      <w:r w:rsidRPr="00F13F6F">
        <w:rPr>
          <w:rFonts w:ascii="Verdana" w:eastAsia="Calibri" w:hAnsi="Verdana" w:cs="Arial"/>
          <w:color w:val="000000"/>
          <w:kern w:val="2"/>
          <w:lang w:val="es-ES"/>
          <w14:ligatures w14:val="standardContextual"/>
        </w:rPr>
        <w:lastRenderedPageBreak/>
        <w:t>situaciones particulares corresponde a los interesados adoptar la decisión correspondiente y, en caso de conflicto, a las autoridades judiciales, fiscales y disciplinarias.</w:t>
      </w:r>
    </w:p>
    <w:p w14:paraId="514F185B" w14:textId="77777777" w:rsidR="00F13F6F" w:rsidRPr="00F13F6F" w:rsidRDefault="00F13F6F" w:rsidP="00F13F6F">
      <w:pPr>
        <w:tabs>
          <w:tab w:val="left" w:pos="709"/>
        </w:tabs>
        <w:snapToGrid w:val="0"/>
        <w:spacing w:after="120" w:line="276" w:lineRule="auto"/>
        <w:ind w:firstLine="709"/>
        <w:jc w:val="both"/>
        <w:rPr>
          <w:rFonts w:ascii="Verdana" w:eastAsia="Calibri" w:hAnsi="Verdana" w:cs="Arial"/>
          <w:color w:val="000000"/>
          <w:kern w:val="2"/>
          <w:lang w:val="es-ES"/>
          <w14:ligatures w14:val="standardContextual"/>
        </w:rPr>
      </w:pPr>
      <w:r w:rsidRPr="00F13F6F">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2663FC3" w14:textId="77777777" w:rsidR="00F13F6F" w:rsidRPr="00F13F6F" w:rsidRDefault="00F13F6F" w:rsidP="00F13F6F">
      <w:pPr>
        <w:spacing w:after="0"/>
        <w:ind w:firstLine="708"/>
        <w:jc w:val="both"/>
        <w:rPr>
          <w:rFonts w:ascii="Verdana" w:eastAsia="Aptos" w:hAnsi="Verdana" w:cs="Arial"/>
          <w:color w:val="000000"/>
          <w:lang w:val="es-ES"/>
        </w:rPr>
      </w:pPr>
    </w:p>
    <w:p w14:paraId="07A8FA7A" w14:textId="77777777" w:rsidR="00F13F6F" w:rsidRPr="00F13F6F" w:rsidRDefault="00F13F6F" w:rsidP="00F13F6F">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13F6F">
        <w:rPr>
          <w:rFonts w:ascii="Verdana" w:eastAsia="Century Gothic" w:hAnsi="Verdana" w:cs="Century Gothic"/>
          <w:b/>
          <w:bCs/>
        </w:rPr>
        <w:t>Referencias normativas, jurisprudenciales y otras fuentes:</w:t>
      </w:r>
    </w:p>
    <w:p w14:paraId="789DDD9A" w14:textId="77777777" w:rsidR="00F13F6F" w:rsidRPr="00F13F6F" w:rsidRDefault="00F13F6F" w:rsidP="00F13F6F">
      <w:pPr>
        <w:spacing w:after="0"/>
        <w:ind w:left="-15840"/>
        <w:jc w:val="both"/>
        <w:rPr>
          <w:rFonts w:ascii="Verdana" w:eastAsia="Calibri" w:hAnsi="Verdana" w:cs="Arial"/>
          <w:b/>
          <w:bCs/>
        </w:rPr>
      </w:pPr>
      <w:r w:rsidRPr="00F13F6F">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13F6F" w:rsidRPr="00F13F6F" w14:paraId="3B4E52FE" w14:textId="77777777" w:rsidTr="00173079">
        <w:trPr>
          <w:trHeight w:val="870"/>
        </w:trPr>
        <w:tc>
          <w:tcPr>
            <w:tcW w:w="8647" w:type="dxa"/>
            <w:tcBorders>
              <w:top w:val="dotted" w:sz="4" w:space="0" w:color="auto"/>
              <w:left w:val="dotted" w:sz="4" w:space="0" w:color="auto"/>
              <w:bottom w:val="dotted" w:sz="4" w:space="0" w:color="auto"/>
              <w:right w:val="dotted" w:sz="4" w:space="0" w:color="auto"/>
            </w:tcBorders>
          </w:tcPr>
          <w:p w14:paraId="5B4B617E" w14:textId="77777777" w:rsidR="00F13F6F" w:rsidRPr="00F13F6F" w:rsidRDefault="00F13F6F" w:rsidP="00F13F6F">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F13F6F">
              <w:rPr>
                <w:rFonts w:ascii="Verdana" w:eastAsia="Calibri" w:hAnsi="Verdana" w:cs="Arial"/>
                <w:lang w:val="es-ES_tradnl"/>
              </w:rPr>
              <w:t xml:space="preserve">Ley 2022 de 2020, artículo 1. </w:t>
            </w:r>
          </w:p>
          <w:p w14:paraId="75E8050C" w14:textId="77777777" w:rsidR="00F13F6F" w:rsidRPr="00F13F6F" w:rsidRDefault="00F13F6F" w:rsidP="00F13F6F">
            <w:pPr>
              <w:widowControl w:val="0"/>
              <w:numPr>
                <w:ilvl w:val="0"/>
                <w:numId w:val="17"/>
              </w:numPr>
              <w:autoSpaceDE w:val="0"/>
              <w:autoSpaceDN w:val="0"/>
              <w:spacing w:line="276" w:lineRule="auto"/>
              <w:jc w:val="both"/>
              <w:rPr>
                <w:rFonts w:ascii="Verdana" w:eastAsia="Calibri" w:hAnsi="Verdana" w:cs="Arial"/>
              </w:rPr>
            </w:pPr>
            <w:r w:rsidRPr="00F13F6F">
              <w:rPr>
                <w:rFonts w:ascii="Verdana" w:eastAsia="Calibri" w:hAnsi="Verdana" w:cs="Arial"/>
              </w:rPr>
              <w:t>Ley 1150 de 2007, artículo 2.</w:t>
            </w:r>
          </w:p>
          <w:p w14:paraId="61169B3D" w14:textId="77777777" w:rsidR="00F13F6F" w:rsidRPr="00F13F6F" w:rsidRDefault="00F13F6F" w:rsidP="00F13F6F">
            <w:pPr>
              <w:widowControl w:val="0"/>
              <w:numPr>
                <w:ilvl w:val="0"/>
                <w:numId w:val="17"/>
              </w:numPr>
              <w:autoSpaceDE w:val="0"/>
              <w:autoSpaceDN w:val="0"/>
              <w:spacing w:line="276" w:lineRule="auto"/>
              <w:contextualSpacing/>
              <w:jc w:val="both"/>
              <w:rPr>
                <w:rFonts w:ascii="Verdana" w:eastAsia="Calibri" w:hAnsi="Verdana" w:cs="Arial"/>
                <w:lang w:val="es-ES"/>
              </w:rPr>
            </w:pPr>
            <w:r w:rsidRPr="00F13F6F">
              <w:rPr>
                <w:rFonts w:ascii="Verdana" w:eastAsia="Calibri" w:hAnsi="Verdana" w:cs="Arial"/>
                <w:lang w:val="es-ES_tradnl"/>
              </w:rPr>
              <w:t xml:space="preserve">Documentos Tipo. Disponibles en: </w:t>
            </w:r>
            <w:hyperlink r:id="rId11" w:history="1">
              <w:r w:rsidRPr="00F13F6F">
                <w:rPr>
                  <w:rFonts w:ascii="Verdana" w:eastAsia="Calibri" w:hAnsi="Verdana" w:cs="Arial"/>
                  <w:color w:val="0000FF"/>
                  <w:u w:val="single"/>
                  <w:lang w:val="es-ES_tradnl"/>
                </w:rPr>
                <w:t>https://www.colombiacompra.gov.co/documentos-tipo/documentos-tipo</w:t>
              </w:r>
            </w:hyperlink>
            <w:r w:rsidRPr="00F13F6F">
              <w:rPr>
                <w:rFonts w:ascii="Verdana" w:eastAsia="Calibri" w:hAnsi="Verdana" w:cs="Arial"/>
                <w:lang w:val="es-ES_tradnl"/>
              </w:rPr>
              <w:t>.</w:t>
            </w:r>
          </w:p>
        </w:tc>
      </w:tr>
    </w:tbl>
    <w:p w14:paraId="46D2C053" w14:textId="77777777" w:rsidR="00F13F6F" w:rsidRPr="00F13F6F" w:rsidRDefault="00F13F6F" w:rsidP="00F13F6F">
      <w:pPr>
        <w:tabs>
          <w:tab w:val="left" w:pos="142"/>
          <w:tab w:val="left" w:pos="284"/>
        </w:tabs>
        <w:spacing w:after="0" w:line="276" w:lineRule="auto"/>
        <w:jc w:val="both"/>
        <w:rPr>
          <w:rFonts w:ascii="Verdana" w:eastAsia="Calibri" w:hAnsi="Verdana" w:cs="Arial"/>
        </w:rPr>
      </w:pPr>
    </w:p>
    <w:p w14:paraId="1E291921" w14:textId="77777777" w:rsidR="00F13F6F" w:rsidRPr="00F13F6F" w:rsidRDefault="00F13F6F" w:rsidP="00F13F6F">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F13F6F">
        <w:rPr>
          <w:rFonts w:ascii="Verdana" w:eastAsia="Century Gothic" w:hAnsi="Verdana" w:cs="Century Gothic"/>
          <w:b/>
          <w:bCs/>
        </w:rPr>
        <w:t>Doctrina de la Agencia Nacional de Contratación Pública:</w:t>
      </w:r>
    </w:p>
    <w:p w14:paraId="29B5CCD3" w14:textId="77777777" w:rsidR="00F13F6F" w:rsidRPr="00F13F6F" w:rsidRDefault="00F13F6F" w:rsidP="00F13F6F">
      <w:pPr>
        <w:widowControl w:val="0"/>
        <w:autoSpaceDE w:val="0"/>
        <w:autoSpaceDN w:val="0"/>
        <w:spacing w:after="0" w:line="276" w:lineRule="auto"/>
        <w:jc w:val="both"/>
        <w:rPr>
          <w:rFonts w:ascii="Verdana" w:eastAsia="Calibri" w:hAnsi="Verdana" w:cs="Arial"/>
        </w:rPr>
      </w:pPr>
    </w:p>
    <w:p w14:paraId="3E7F7938" w14:textId="77777777" w:rsidR="00F13F6F" w:rsidRPr="00F13F6F" w:rsidRDefault="00F13F6F" w:rsidP="00F13F6F">
      <w:pPr>
        <w:widowControl w:val="0"/>
        <w:autoSpaceDE w:val="0"/>
        <w:autoSpaceDN w:val="0"/>
        <w:spacing w:after="0" w:line="276" w:lineRule="auto"/>
        <w:jc w:val="both"/>
        <w:rPr>
          <w:rFonts w:ascii="Verdana" w:eastAsia="Aptos" w:hAnsi="Verdana" w:cs="Times New Roman"/>
          <w:color w:val="000000"/>
          <w:kern w:val="2"/>
          <w14:ligatures w14:val="standardContextual"/>
        </w:rPr>
      </w:pPr>
      <w:r w:rsidRPr="00F13F6F">
        <w:rPr>
          <w:rFonts w:ascii="Verdana" w:eastAsia="Aptos" w:hAnsi="Verdana" w:cs="Times New Roman"/>
          <w:color w:val="000000"/>
          <w:kern w:val="2"/>
          <w14:ligatures w14:val="standardContextual"/>
        </w:rPr>
        <w:t>La Agencia Nacional de Contratación Pública – Colombia Compra Eficiente se ha pronunciado sobre el fundamento normativo de los documentos tipo y sobre el indicador de patrimonio del numeral 3.8 del documento base de los documentos tipo de licitación de obra pública de infraestructura de transporte, versión 4, en los conceptos C-106 de 2025, C-174 del 20 de febrero de 2025, C-572 de 2025 y C-1220 del 31 de agosto de 2026, entre otros. En el concepto C-1248 del 10 de octubre de 2025 se refirió, además, a la capacidad financiera como requisito habilitante y a la verificación del capital de trabajo y del patrimonio de los proponentes plurales mediante la metodología de sumatoria simple.</w:t>
      </w:r>
    </w:p>
    <w:p w14:paraId="3B5A2685" w14:textId="77777777" w:rsidR="00F13F6F" w:rsidRPr="00F13F6F" w:rsidRDefault="00F13F6F" w:rsidP="00F13F6F">
      <w:pPr>
        <w:widowControl w:val="0"/>
        <w:autoSpaceDE w:val="0"/>
        <w:autoSpaceDN w:val="0"/>
        <w:spacing w:after="0" w:line="276" w:lineRule="auto"/>
        <w:jc w:val="both"/>
        <w:rPr>
          <w:rFonts w:ascii="Verdana" w:eastAsia="Times New Roman" w:hAnsi="Verdana" w:cs="Arial"/>
          <w:shd w:val="clear" w:color="auto" w:fill="FFFFFF"/>
          <w:lang w:val="es-ES"/>
        </w:rPr>
      </w:pPr>
    </w:p>
    <w:p w14:paraId="0C84999B" w14:textId="77777777" w:rsidR="00F13F6F" w:rsidRPr="00F13F6F" w:rsidRDefault="00F13F6F" w:rsidP="00F13F6F">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F13F6F">
        <w:rPr>
          <w:rFonts w:ascii="Verdana" w:eastAsia="Calibri" w:hAnsi="Verdana" w:cs="Arial"/>
          <w:color w:val="000000"/>
          <w:kern w:val="2"/>
          <w:shd w:val="clear" w:color="auto" w:fill="FFFFFF"/>
          <w:lang w:eastAsia="es-MX"/>
          <w14:ligatures w14:val="standardContextual"/>
        </w:rPr>
        <w:t xml:space="preserve">Estos y otros conceptos se encuentran disponibles para consulta en el Sistema de Relatoría de la Agencia, en el cual también podrás encontrar jurisprudencia del Consejo de Estado, laudos arbitrales y la normativa de la contratación </w:t>
      </w:r>
      <w:r w:rsidRPr="00F13F6F">
        <w:rPr>
          <w:rFonts w:ascii="Verdana" w:eastAsia="Calibri" w:hAnsi="Verdana" w:cs="Arial"/>
          <w:color w:val="000000"/>
          <w:kern w:val="2"/>
          <w:shd w:val="clear" w:color="auto" w:fill="FFFFFF"/>
          <w:lang w:eastAsia="es-MX"/>
          <w14:ligatures w14:val="standardContextual"/>
        </w:rPr>
        <w:lastRenderedPageBreak/>
        <w:t>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F13F6F">
          <w:rPr>
            <w:rFonts w:ascii="Verdana" w:eastAsia="Calibri" w:hAnsi="Verdana" w:cs="Arial"/>
            <w:color w:val="0000FF"/>
            <w:kern w:val="2"/>
            <w:u w:val="single"/>
            <w:shd w:val="clear" w:color="auto" w:fill="FFFFFF"/>
            <w:lang w:eastAsia="es-MX"/>
            <w14:ligatures w14:val="standardContextual"/>
          </w:rPr>
          <w:t>https://relatoria.colombiacompra.gov.co/</w:t>
        </w:r>
      </w:hyperlink>
      <w:r w:rsidRPr="00F13F6F">
        <w:rPr>
          <w:rFonts w:ascii="Verdana" w:eastAsia="Calibri" w:hAnsi="Verdana" w:cs="Arial"/>
          <w:color w:val="0000FF"/>
          <w:kern w:val="2"/>
          <w:u w:val="single"/>
          <w:shd w:val="clear" w:color="auto" w:fill="FFFFFF"/>
          <w:lang w:eastAsia="es-MX"/>
          <w14:ligatures w14:val="standardContextual"/>
        </w:rPr>
        <w:t> .</w:t>
      </w:r>
    </w:p>
    <w:p w14:paraId="56058841" w14:textId="77777777" w:rsidR="00F13F6F" w:rsidRPr="00F13F6F" w:rsidRDefault="00F13F6F" w:rsidP="00F13F6F">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2D490141" w14:textId="77777777" w:rsidR="00F13F6F" w:rsidRPr="00F13F6F" w:rsidRDefault="00F13F6F" w:rsidP="00F13F6F">
      <w:pPr>
        <w:spacing w:after="0" w:line="276" w:lineRule="auto"/>
        <w:jc w:val="both"/>
        <w:rPr>
          <w:rFonts w:ascii="Verdana" w:eastAsia="Aptos" w:hAnsi="Verdana" w:cs="Times New Roman"/>
          <w:kern w:val="2"/>
          <w14:ligatures w14:val="standardContextual"/>
        </w:rPr>
      </w:pPr>
      <w:r w:rsidRPr="00F13F6F">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13F6F">
        <w:rPr>
          <w:rFonts w:ascii="Verdana" w:eastAsia="Aptos" w:hAnsi="Verdana" w:cs="Times New Roman"/>
          <w:b/>
          <w:bCs/>
          <w:color w:val="000000"/>
          <w:kern w:val="2"/>
          <w14:ligatures w14:val="standardContextual"/>
        </w:rPr>
        <w:t>Guía para la Exigencia y Constitución de Garantías en los Procesos de Contratación</w:t>
      </w:r>
      <w:r w:rsidRPr="00F13F6F">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F13F6F">
          <w:rPr>
            <w:rFonts w:ascii="Verdana" w:eastAsia="Aptos" w:hAnsi="Verdana" w:cs="Times New Roman"/>
            <w:color w:val="0078D7"/>
            <w:kern w:val="2"/>
            <w:u w:val="single"/>
            <w14:ligatures w14:val="standardContextual"/>
          </w:rPr>
          <w:t>https://www.colombiacompra.gov.co/archivos/manual/guia-de-garantias-en-procesos-de-contratacion</w:t>
        </w:r>
      </w:hyperlink>
    </w:p>
    <w:p w14:paraId="64C1D3B5" w14:textId="77777777" w:rsidR="00F13F6F" w:rsidRPr="00F13F6F" w:rsidRDefault="00F13F6F" w:rsidP="00F13F6F">
      <w:pPr>
        <w:spacing w:after="0" w:line="276" w:lineRule="auto"/>
        <w:jc w:val="both"/>
        <w:rPr>
          <w:rFonts w:ascii="Verdana" w:eastAsia="Aptos" w:hAnsi="Verdana" w:cs="Times New Roman"/>
          <w:kern w:val="2"/>
          <w14:ligatures w14:val="standardContextual"/>
        </w:rPr>
      </w:pPr>
    </w:p>
    <w:p w14:paraId="7AE3B053" w14:textId="77777777" w:rsidR="00F13F6F" w:rsidRPr="00F13F6F" w:rsidRDefault="00F13F6F" w:rsidP="00F13F6F">
      <w:pPr>
        <w:spacing w:after="0" w:line="276" w:lineRule="auto"/>
        <w:jc w:val="both"/>
        <w:rPr>
          <w:rFonts w:ascii="Verdana" w:eastAsia="Aptos" w:hAnsi="Verdana" w:cs="Times New Roman"/>
          <w:kern w:val="2"/>
          <w14:ligatures w14:val="standardContextual"/>
        </w:rPr>
      </w:pPr>
      <w:r w:rsidRPr="00F13F6F">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F13F6F">
        <w:rPr>
          <w:rFonts w:ascii="Verdana" w:eastAsia="Aptos" w:hAnsi="Verdana" w:cs="Times New Roman"/>
          <w:b/>
          <w:bCs/>
          <w:color w:val="000000"/>
          <w:kern w:val="2"/>
          <w14:ligatures w14:val="standardContextual"/>
        </w:rPr>
        <w:t>Sistema Integral de Preferencias en favor de las personas con discapacidad</w:t>
      </w:r>
      <w:r w:rsidRPr="00F13F6F">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F13F6F">
        <w:rPr>
          <w:rFonts w:ascii="Verdana" w:eastAsia="Aptos" w:hAnsi="Verdana" w:cs="Times New Roman"/>
          <w:b/>
          <w:bCs/>
          <w:color w:val="000000"/>
          <w:kern w:val="2"/>
          <w14:ligatures w14:val="standardContextual"/>
        </w:rPr>
        <w:t>Circular Externa 003 del 12 de mayo de 2026, </w:t>
      </w:r>
      <w:r w:rsidRPr="00F13F6F">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F13F6F">
          <w:rPr>
            <w:rFonts w:ascii="Verdana" w:eastAsia="Aptos" w:hAnsi="Verdana" w:cs="Times New Roman"/>
            <w:color w:val="0078D7"/>
            <w:kern w:val="2"/>
            <w:u w:val="single"/>
            <w14:ligatures w14:val="standardContextual"/>
          </w:rPr>
          <w:t>https://www.colombiacompra.gov.co/archivos/circular/circular-externa-003-de-2026</w:t>
        </w:r>
      </w:hyperlink>
    </w:p>
    <w:p w14:paraId="0BF05DBC" w14:textId="77777777" w:rsidR="00F13F6F" w:rsidRPr="00F13F6F" w:rsidRDefault="00F13F6F" w:rsidP="00F13F6F">
      <w:pPr>
        <w:spacing w:after="0" w:line="276" w:lineRule="auto"/>
        <w:jc w:val="both"/>
        <w:rPr>
          <w:rFonts w:ascii="Verdana" w:eastAsia="Aptos" w:hAnsi="Verdana" w:cs="Times New Roman"/>
          <w:color w:val="000000"/>
          <w:kern w:val="2"/>
          <w14:ligatures w14:val="standardContextual"/>
        </w:rPr>
      </w:pPr>
    </w:p>
    <w:p w14:paraId="1F48B942" w14:textId="77777777" w:rsidR="00F13F6F" w:rsidRPr="00F13F6F" w:rsidRDefault="00F13F6F" w:rsidP="00F13F6F">
      <w:pPr>
        <w:spacing w:after="0" w:line="276" w:lineRule="auto"/>
        <w:jc w:val="both"/>
        <w:rPr>
          <w:rFonts w:ascii="Verdana" w:eastAsia="Aptos" w:hAnsi="Verdana" w:cs="Times New Roman"/>
          <w:kern w:val="2"/>
          <w14:ligatures w14:val="standardContextual"/>
        </w:rPr>
      </w:pPr>
      <w:r w:rsidRPr="00F13F6F">
        <w:rPr>
          <w:rFonts w:ascii="Verdana" w:eastAsia="Aptos" w:hAnsi="Verdana" w:cs="Times New Roman"/>
          <w:color w:val="000000"/>
          <w:kern w:val="2"/>
          <w14:ligatures w14:val="standardContextual"/>
        </w:rPr>
        <w:t>Recuerda también que la</w:t>
      </w:r>
      <w:r w:rsidRPr="00F13F6F">
        <w:rPr>
          <w:rFonts w:ascii="Verdana" w:eastAsia="Aptos" w:hAnsi="Verdana" w:cs="Times New Roman"/>
          <w:b/>
          <w:bCs/>
          <w:color w:val="000000"/>
          <w:kern w:val="2"/>
          <w14:ligatures w14:val="standardContextual"/>
        </w:rPr>
        <w:t> información sobre sanciones e inhabilidades </w:t>
      </w:r>
      <w:r w:rsidRPr="00F13F6F">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F13F6F">
        <w:rPr>
          <w:rFonts w:ascii="Verdana" w:eastAsia="Aptos" w:hAnsi="Verdana" w:cs="Times New Roman"/>
          <w:b/>
          <w:bCs/>
          <w:color w:val="000000"/>
          <w:kern w:val="2"/>
          <w14:ligatures w14:val="standardContextual"/>
        </w:rPr>
        <w:t>Circular Externa 002 del 5 de mayo de 2026,</w:t>
      </w:r>
      <w:r w:rsidRPr="00F13F6F">
        <w:rPr>
          <w:rFonts w:ascii="Verdana" w:eastAsia="Aptos" w:hAnsi="Verdana" w:cs="Times New Roman"/>
          <w:color w:val="000000"/>
          <w:kern w:val="2"/>
          <w14:ligatures w14:val="standardContextu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w:t>
      </w:r>
      <w:r w:rsidRPr="00F13F6F">
        <w:rPr>
          <w:rFonts w:ascii="Verdana" w:eastAsia="Aptos" w:hAnsi="Verdana" w:cs="Times New Roman"/>
          <w:color w:val="000000"/>
          <w:kern w:val="2"/>
          <w14:ligatures w14:val="standardContextual"/>
        </w:rPr>
        <w:lastRenderedPageBreak/>
        <w:t>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F13F6F">
          <w:rPr>
            <w:rFonts w:ascii="Verdana" w:eastAsia="Aptos" w:hAnsi="Verdana" w:cs="Times New Roman"/>
            <w:color w:val="0078D7"/>
            <w:kern w:val="2"/>
            <w:u w:val="single"/>
            <w14:ligatures w14:val="standardContextual"/>
          </w:rPr>
          <w:t>https://www.colombiacompra.gov.co/archivos/circular/circular-externa-002-de-2026</w:t>
        </w:r>
      </w:hyperlink>
    </w:p>
    <w:p w14:paraId="43F7E926" w14:textId="77777777" w:rsidR="00F13F6F" w:rsidRPr="00F13F6F" w:rsidRDefault="00F13F6F" w:rsidP="00F13F6F">
      <w:pPr>
        <w:spacing w:after="0" w:line="276" w:lineRule="auto"/>
        <w:jc w:val="both"/>
        <w:rPr>
          <w:rFonts w:ascii="Verdana" w:eastAsia="Aptos" w:hAnsi="Verdana" w:cs="Times New Roman"/>
          <w:color w:val="000000"/>
          <w:kern w:val="2"/>
          <w14:ligatures w14:val="standardContextual"/>
        </w:rPr>
      </w:pPr>
    </w:p>
    <w:p w14:paraId="18B83E49" w14:textId="77777777" w:rsidR="00F13F6F" w:rsidRPr="00F13F6F" w:rsidRDefault="00F13F6F" w:rsidP="00F13F6F">
      <w:pPr>
        <w:spacing w:after="0" w:line="276" w:lineRule="auto"/>
        <w:jc w:val="both"/>
        <w:rPr>
          <w:rFonts w:ascii="Verdana" w:eastAsia="Aptos" w:hAnsi="Verdana" w:cs="Times New Roman"/>
          <w:color w:val="000000"/>
          <w:kern w:val="2"/>
          <w14:ligatures w14:val="standardContextual"/>
        </w:rPr>
      </w:pPr>
      <w:r w:rsidRPr="00F13F6F">
        <w:rPr>
          <w:rFonts w:ascii="Verdana" w:eastAsia="Aptos" w:hAnsi="Verdana" w:cs="Times New Roman"/>
          <w:color w:val="000000"/>
          <w:kern w:val="2"/>
          <w14:ligatures w14:val="standardContextual"/>
        </w:rPr>
        <w:t>Finalmente, si quieres seguir de cerca la actividad de la Agencia, la tercera edición de 2026 del</w:t>
      </w:r>
      <w:r w:rsidRPr="00F13F6F">
        <w:rPr>
          <w:rFonts w:ascii="Verdana" w:eastAsia="Aptos" w:hAnsi="Verdana" w:cs="Times New Roman"/>
          <w:b/>
          <w:bCs/>
          <w:color w:val="000000"/>
          <w:kern w:val="2"/>
          <w14:ligatures w14:val="standardContextual"/>
        </w:rPr>
        <w:t> Radar de la Compra Pública</w:t>
      </w:r>
      <w:r w:rsidRPr="00F13F6F">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F13F6F">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F13F6F">
        <w:rPr>
          <w:rFonts w:ascii="Verdana" w:eastAsia="Aptos" w:hAnsi="Verdana" w:cs="Times New Roman"/>
          <w:color w:val="000000"/>
          <w:kern w:val="2"/>
          <w14:ligatures w14:val="standardContextual"/>
        </w:rPr>
        <w:t>"</w:t>
      </w:r>
    </w:p>
    <w:p w14:paraId="6F3A2413" w14:textId="77777777" w:rsidR="00F13F6F" w:rsidRPr="00F13F6F" w:rsidRDefault="00F13F6F" w:rsidP="00F13F6F">
      <w:pPr>
        <w:spacing w:after="0" w:line="276" w:lineRule="auto"/>
        <w:jc w:val="both"/>
        <w:rPr>
          <w:rFonts w:ascii="Verdana" w:eastAsia="Aptos" w:hAnsi="Verdana" w:cs="Times New Roman"/>
          <w:color w:val="000000"/>
          <w:kern w:val="2"/>
          <w14:ligatures w14:val="standardContextual"/>
        </w:rPr>
      </w:pPr>
    </w:p>
    <w:p w14:paraId="2486D787" w14:textId="77777777" w:rsidR="00F13F6F" w:rsidRPr="00F13F6F" w:rsidRDefault="00F13F6F" w:rsidP="00F13F6F">
      <w:pPr>
        <w:spacing w:after="0" w:line="276" w:lineRule="auto"/>
        <w:jc w:val="both"/>
        <w:rPr>
          <w:rFonts w:ascii="Verdana" w:eastAsia="Aptos" w:hAnsi="Verdana" w:cs="Times New Roman"/>
          <w:kern w:val="2"/>
          <w:lang w:eastAsia="es-MX"/>
          <w14:ligatures w14:val="standardContextual"/>
        </w:rPr>
      </w:pPr>
      <w:r w:rsidRPr="00F13F6F">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64071BCD" w14:textId="77777777" w:rsidR="00F13F6F" w:rsidRPr="00F13F6F" w:rsidRDefault="00F13F6F" w:rsidP="00F13F6F">
      <w:pPr>
        <w:spacing w:after="0" w:line="276" w:lineRule="auto"/>
        <w:jc w:val="both"/>
        <w:rPr>
          <w:rFonts w:ascii="Verdana" w:eastAsia="Calibri" w:hAnsi="Verdana" w:cs="Times New Roman"/>
          <w:kern w:val="2"/>
          <w:lang w:eastAsia="es-MX"/>
          <w14:ligatures w14:val="standardContextual"/>
        </w:rPr>
      </w:pPr>
    </w:p>
    <w:p w14:paraId="7FC2656E" w14:textId="77777777" w:rsidR="00F13F6F" w:rsidRPr="00F13F6F" w:rsidRDefault="00F13F6F" w:rsidP="00F13F6F">
      <w:pPr>
        <w:spacing w:after="0" w:line="276" w:lineRule="auto"/>
        <w:jc w:val="both"/>
        <w:rPr>
          <w:rFonts w:ascii="Verdana" w:eastAsia="Aptos" w:hAnsi="Verdana" w:cs="Times New Roman"/>
          <w:kern w:val="2"/>
          <w:lang w:eastAsia="es-MX"/>
          <w14:ligatures w14:val="standardContextual"/>
        </w:rPr>
      </w:pPr>
      <w:r w:rsidRPr="00F13F6F">
        <w:rPr>
          <w:rFonts w:ascii="Verdana" w:eastAsia="Aptos" w:hAnsi="Verdana" w:cs="Times New Roman"/>
          <w:kern w:val="2"/>
          <w:lang w:eastAsia="es-MX"/>
          <w14:ligatures w14:val="standardContextual"/>
        </w:rPr>
        <w:t xml:space="preserve">Twitter: </w:t>
      </w:r>
      <w:r w:rsidRPr="00F13F6F">
        <w:rPr>
          <w:rFonts w:ascii="Verdana" w:eastAsia="Calibri" w:hAnsi="Verdana" w:cs="Times New Roman"/>
          <w:color w:val="156082"/>
          <w:kern w:val="2"/>
          <w:u w:val="single"/>
          <w:lang w:eastAsia="es-MX"/>
          <w14:ligatures w14:val="standardContextual"/>
        </w:rPr>
        <w:t>@colombiacompra</w:t>
      </w:r>
      <w:r w:rsidRPr="00F13F6F">
        <w:rPr>
          <w:rFonts w:ascii="Verdana" w:eastAsia="Calibri" w:hAnsi="Verdana" w:cs="Times New Roman"/>
          <w:color w:val="156082"/>
          <w:kern w:val="2"/>
          <w:lang w:eastAsia="es-MX"/>
          <w14:ligatures w14:val="standardContextual"/>
        </w:rPr>
        <w:t xml:space="preserve"> </w:t>
      </w:r>
    </w:p>
    <w:p w14:paraId="5FBA249F" w14:textId="77777777" w:rsidR="00F13F6F" w:rsidRPr="00F13F6F" w:rsidRDefault="00F13F6F" w:rsidP="00F13F6F">
      <w:pPr>
        <w:spacing w:after="0" w:line="276" w:lineRule="auto"/>
        <w:jc w:val="both"/>
        <w:rPr>
          <w:rFonts w:ascii="Verdana" w:eastAsia="Aptos" w:hAnsi="Verdana" w:cs="Times New Roman"/>
          <w:kern w:val="2"/>
          <w:lang w:eastAsia="es-MX"/>
          <w14:ligatures w14:val="standardContextual"/>
        </w:rPr>
      </w:pPr>
      <w:r w:rsidRPr="00F13F6F">
        <w:rPr>
          <w:rFonts w:ascii="Verdana" w:eastAsia="Aptos" w:hAnsi="Verdana" w:cs="Times New Roman"/>
          <w:kern w:val="2"/>
          <w:lang w:eastAsia="es-MX"/>
          <w14:ligatures w14:val="standardContextual"/>
        </w:rPr>
        <w:t xml:space="preserve">Facebook: </w:t>
      </w:r>
      <w:proofErr w:type="spellStart"/>
      <w:r w:rsidRPr="00F13F6F">
        <w:rPr>
          <w:rFonts w:ascii="Verdana" w:eastAsia="Calibri" w:hAnsi="Verdana" w:cs="Times New Roman"/>
          <w:color w:val="156082"/>
          <w:kern w:val="2"/>
          <w:u w:val="single"/>
          <w:lang w:eastAsia="es-MX"/>
          <w14:ligatures w14:val="standardContextual"/>
        </w:rPr>
        <w:t>ColombiaCompraEficiente</w:t>
      </w:r>
      <w:proofErr w:type="spellEnd"/>
    </w:p>
    <w:p w14:paraId="031BC4C0" w14:textId="77777777" w:rsidR="00F13F6F" w:rsidRPr="00F13F6F" w:rsidRDefault="00F13F6F" w:rsidP="00F13F6F">
      <w:pPr>
        <w:spacing w:after="0" w:line="276" w:lineRule="auto"/>
        <w:jc w:val="both"/>
        <w:rPr>
          <w:rFonts w:ascii="Verdana" w:eastAsia="Aptos" w:hAnsi="Verdana" w:cs="Times New Roman"/>
          <w:kern w:val="2"/>
          <w:lang w:eastAsia="es-MX"/>
          <w14:ligatures w14:val="standardContextual"/>
        </w:rPr>
      </w:pPr>
      <w:r w:rsidRPr="00F13F6F">
        <w:rPr>
          <w:rFonts w:ascii="Verdana" w:eastAsia="Aptos" w:hAnsi="Verdana" w:cs="Times New Roman"/>
          <w:kern w:val="2"/>
          <w:lang w:eastAsia="es-MX"/>
          <w14:ligatures w14:val="standardContextual"/>
        </w:rPr>
        <w:t xml:space="preserve">LinkedIn: </w:t>
      </w:r>
      <w:r w:rsidRPr="00F13F6F">
        <w:rPr>
          <w:rFonts w:ascii="Verdana" w:eastAsia="Calibri" w:hAnsi="Verdana" w:cs="Times New Roman"/>
          <w:color w:val="156082"/>
          <w:kern w:val="2"/>
          <w:u w:val="single"/>
          <w:lang w:eastAsia="es-MX"/>
          <w14:ligatures w14:val="standardContextual"/>
        </w:rPr>
        <w:t>Agencia Nacional de Contratación Pública - Colombia Compra Eficiente</w:t>
      </w:r>
      <w:r w:rsidRPr="00F13F6F">
        <w:rPr>
          <w:rFonts w:ascii="Verdana" w:eastAsia="Calibri" w:hAnsi="Verdana" w:cs="Times New Roman"/>
          <w:color w:val="156082"/>
          <w:kern w:val="2"/>
          <w:lang w:eastAsia="es-MX"/>
          <w14:ligatures w14:val="standardContextual"/>
        </w:rPr>
        <w:t xml:space="preserve"> </w:t>
      </w:r>
      <w:r w:rsidRPr="00F13F6F">
        <w:rPr>
          <w:rFonts w:ascii="Verdana" w:eastAsia="Aptos" w:hAnsi="Verdana" w:cs="Times New Roman"/>
          <w:kern w:val="2"/>
          <w:lang w:eastAsia="es-MX"/>
          <w14:ligatures w14:val="standardContextual"/>
        </w:rPr>
        <w:t xml:space="preserve">Instagram: </w:t>
      </w:r>
      <w:r w:rsidRPr="00F13F6F">
        <w:rPr>
          <w:rFonts w:ascii="Verdana" w:eastAsia="Calibri" w:hAnsi="Verdana" w:cs="Times New Roman"/>
          <w:color w:val="156082"/>
          <w:kern w:val="2"/>
          <w:u w:val="single"/>
          <w:lang w:eastAsia="es-MX"/>
          <w14:ligatures w14:val="standardContextual"/>
        </w:rPr>
        <w:t>@colombiacompraeficiente_cce</w:t>
      </w:r>
    </w:p>
    <w:p w14:paraId="5B57BD2F" w14:textId="77777777" w:rsidR="00F13F6F" w:rsidRPr="00F13F6F" w:rsidRDefault="00F13F6F" w:rsidP="00F13F6F">
      <w:pPr>
        <w:spacing w:after="0" w:line="276" w:lineRule="auto"/>
        <w:jc w:val="both"/>
        <w:rPr>
          <w:rFonts w:ascii="Verdana" w:eastAsia="Aptos" w:hAnsi="Verdana" w:cs="Times New Roman"/>
          <w:kern w:val="2"/>
          <w:lang w:eastAsia="es-MX"/>
          <w14:ligatures w14:val="standardContextual"/>
        </w:rPr>
      </w:pPr>
    </w:p>
    <w:p w14:paraId="5001A033" w14:textId="77777777" w:rsidR="00F13F6F" w:rsidRPr="00F13F6F" w:rsidRDefault="00F13F6F" w:rsidP="00F13F6F">
      <w:pPr>
        <w:spacing w:after="0" w:line="276" w:lineRule="auto"/>
        <w:jc w:val="both"/>
        <w:rPr>
          <w:rFonts w:ascii="Verdana" w:eastAsia="Calibri" w:hAnsi="Verdana" w:cs="Times New Roman"/>
          <w:bCs/>
          <w:kern w:val="2"/>
          <w:lang w:val="es-ES_tradnl" w:eastAsia="es-MX"/>
          <w14:ligatures w14:val="standardContextual"/>
        </w:rPr>
      </w:pPr>
      <w:r w:rsidRPr="00F13F6F">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96B9320" w14:textId="59645974" w:rsidR="00F13F6F" w:rsidRPr="00F13F6F" w:rsidRDefault="00F13F6F" w:rsidP="00F13F6F">
      <w:pPr>
        <w:spacing w:after="0" w:line="276" w:lineRule="auto"/>
        <w:jc w:val="both"/>
        <w:rPr>
          <w:rFonts w:ascii="Verdana" w:eastAsia="Calibri" w:hAnsi="Verdana" w:cs="Times New Roman"/>
          <w:kern w:val="2"/>
          <w:lang w:eastAsia="es-MX"/>
          <w14:ligatures w14:val="standardContextual"/>
        </w:rPr>
      </w:pPr>
    </w:p>
    <w:bookmarkEnd w:id="0"/>
    <w:bookmarkEnd w:id="1"/>
    <w:p w14:paraId="5EF82138" w14:textId="17C95BEC" w:rsidR="00F13F6F" w:rsidRPr="00F13F6F" w:rsidRDefault="00F13F6F" w:rsidP="00F13F6F">
      <w:pPr>
        <w:spacing w:after="0" w:line="276" w:lineRule="auto"/>
        <w:jc w:val="both"/>
        <w:rPr>
          <w:rFonts w:ascii="Verdana" w:eastAsia="Calibri" w:hAnsi="Verdana" w:cs="Times New Roman"/>
          <w:kern w:val="2"/>
          <w:lang w:eastAsia="es-MX"/>
          <w14:ligatures w14:val="standardContextual"/>
        </w:rPr>
      </w:pPr>
      <w:r w:rsidRPr="00F13F6F">
        <w:rPr>
          <w:rFonts w:ascii="Verdana" w:eastAsia="Calibri" w:hAnsi="Verdana" w:cs="Times New Roman"/>
          <w:kern w:val="2"/>
          <w:lang w:eastAsia="es-MX"/>
          <w14:ligatures w14:val="standardContextual"/>
        </w:rPr>
        <w:t>Atentamente,</w:t>
      </w:r>
    </w:p>
    <w:p w14:paraId="701F3F14" w14:textId="461E7E89" w:rsidR="00F13F6F" w:rsidRPr="00F13F6F" w:rsidRDefault="00F13F6F" w:rsidP="00F13F6F">
      <w:pPr>
        <w:tabs>
          <w:tab w:val="left" w:pos="1320"/>
        </w:tabs>
        <w:spacing w:after="0" w:line="278" w:lineRule="auto"/>
        <w:rPr>
          <w:rFonts w:ascii="Verdana" w:eastAsia="Calibri" w:hAnsi="Verdana" w:cs="Times New Roman"/>
          <w:kern w:val="2"/>
          <w:lang w:eastAsia="es-MX"/>
          <w14:ligatures w14:val="standardContextual"/>
        </w:rPr>
      </w:pPr>
    </w:p>
    <w:p w14:paraId="65BA448A" w14:textId="1AE9316D" w:rsidR="00F13F6F" w:rsidRPr="00F13F6F" w:rsidRDefault="00AA604D" w:rsidP="00F13F6F">
      <w:pPr>
        <w:tabs>
          <w:tab w:val="left" w:pos="1320"/>
        </w:tabs>
        <w:spacing w:after="0" w:line="278" w:lineRule="auto"/>
        <w:rPr>
          <w:rFonts w:ascii="Verdana" w:eastAsia="Calibri" w:hAnsi="Verdana" w:cs="Times New Roman"/>
          <w:kern w:val="2"/>
          <w:sz w:val="24"/>
          <w:szCs w:val="24"/>
          <w:lang w:eastAsia="es-MX"/>
          <w14:ligatures w14:val="standardContextual"/>
        </w:rPr>
      </w:pPr>
      <w:r w:rsidRPr="004A2E53">
        <w:rPr>
          <w:noProof/>
        </w:rPr>
        <w:drawing>
          <wp:anchor distT="0" distB="0" distL="114300" distR="114300" simplePos="0" relativeHeight="251659264" behindDoc="1" locked="0" layoutInCell="1" allowOverlap="1" wp14:anchorId="3D1F4389" wp14:editId="38240AE9">
            <wp:simplePos x="0" y="0"/>
            <wp:positionH relativeFrom="column">
              <wp:posOffset>1840375</wp:posOffset>
            </wp:positionH>
            <wp:positionV relativeFrom="paragraph">
              <wp:posOffset>-275791</wp:posOffset>
            </wp:positionV>
            <wp:extent cx="2107565" cy="793115"/>
            <wp:effectExtent l="0" t="0" r="635" b="0"/>
            <wp:wrapTight wrapText="bothSides">
              <wp:wrapPolygon edited="0">
                <wp:start x="0" y="0"/>
                <wp:lineTo x="0" y="21098"/>
                <wp:lineTo x="21476" y="21098"/>
                <wp:lineTo x="21476" y="0"/>
                <wp:lineTo x="0" y="0"/>
              </wp:wrapPolygon>
            </wp:wrapTight>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07565" cy="79311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F13F6F" w:rsidRPr="00F13F6F" w14:paraId="03A6C6BB" w14:textId="77777777" w:rsidTr="00173079">
        <w:trPr>
          <w:trHeight w:val="323"/>
        </w:trPr>
        <w:tc>
          <w:tcPr>
            <w:tcW w:w="1041" w:type="dxa"/>
            <w:vAlign w:val="center"/>
            <w:hideMark/>
          </w:tcPr>
          <w:p w14:paraId="35E45825" w14:textId="77777777" w:rsidR="00F13F6F" w:rsidRPr="00F13F6F" w:rsidRDefault="00F13F6F" w:rsidP="00F13F6F">
            <w:pPr>
              <w:rPr>
                <w:rFonts w:ascii="Verdana" w:eastAsia="Calibri" w:hAnsi="Verdana" w:cs="Arial"/>
                <w:sz w:val="16"/>
                <w:szCs w:val="16"/>
                <w:lang w:val="es-ES_tradnl" w:eastAsia="es-ES"/>
              </w:rPr>
            </w:pPr>
            <w:r w:rsidRPr="00F13F6F">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14166081" w14:textId="77777777" w:rsidR="00F13F6F" w:rsidRPr="00F13F6F" w:rsidRDefault="00F13F6F" w:rsidP="00F13F6F">
            <w:pPr>
              <w:rPr>
                <w:rFonts w:ascii="Verdana" w:eastAsia="Arial" w:hAnsi="Verdana" w:cs="Arial"/>
                <w:sz w:val="16"/>
                <w:szCs w:val="16"/>
                <w:lang w:val="es-ES" w:eastAsia="es-MX"/>
              </w:rPr>
            </w:pPr>
            <w:r w:rsidRPr="00F13F6F">
              <w:rPr>
                <w:rFonts w:ascii="Verdana" w:eastAsia="Arial" w:hAnsi="Verdana" w:cs="Arial"/>
                <w:sz w:val="16"/>
                <w:szCs w:val="16"/>
                <w:lang w:val="es-ES" w:eastAsia="es-MX"/>
              </w:rPr>
              <w:t xml:space="preserve">Carlos Mario Castrillón Endo </w:t>
            </w:r>
          </w:p>
          <w:p w14:paraId="3980FF45" w14:textId="77777777" w:rsidR="00F13F6F" w:rsidRPr="00F13F6F" w:rsidRDefault="00F13F6F" w:rsidP="00F13F6F">
            <w:pPr>
              <w:rPr>
                <w:rFonts w:ascii="Verdana" w:eastAsia="Arial" w:hAnsi="Verdana" w:cs="Arial"/>
                <w:sz w:val="16"/>
                <w:szCs w:val="16"/>
                <w:lang w:val="es-ES_tradnl" w:eastAsia="es-MX"/>
              </w:rPr>
            </w:pPr>
            <w:r w:rsidRPr="00F13F6F">
              <w:rPr>
                <w:rFonts w:ascii="Verdana" w:eastAsia="Arial" w:hAnsi="Verdana" w:cs="Arial"/>
                <w:sz w:val="16"/>
                <w:szCs w:val="16"/>
                <w:lang w:val="es-ES_tradnl" w:eastAsia="es-MX"/>
              </w:rPr>
              <w:t>Contratista de la Subdirección de Gestión Contractual</w:t>
            </w:r>
          </w:p>
          <w:p w14:paraId="24CDBBB5" w14:textId="77777777" w:rsidR="00F13F6F" w:rsidRPr="00F13F6F" w:rsidRDefault="00F13F6F" w:rsidP="00F13F6F">
            <w:pPr>
              <w:rPr>
                <w:rFonts w:ascii="Verdana" w:eastAsia="Arial" w:hAnsi="Verdana" w:cs="Arial"/>
                <w:sz w:val="16"/>
                <w:szCs w:val="16"/>
                <w:lang w:val="es-ES_tradnl" w:eastAsia="es-MX"/>
              </w:rPr>
            </w:pPr>
          </w:p>
        </w:tc>
      </w:tr>
      <w:tr w:rsidR="00F13F6F" w:rsidRPr="00F13F6F" w14:paraId="4A6FF946" w14:textId="77777777" w:rsidTr="00173079">
        <w:trPr>
          <w:trHeight w:val="338"/>
        </w:trPr>
        <w:tc>
          <w:tcPr>
            <w:tcW w:w="1041" w:type="dxa"/>
            <w:vAlign w:val="center"/>
            <w:hideMark/>
          </w:tcPr>
          <w:p w14:paraId="30229B59" w14:textId="77777777" w:rsidR="00F13F6F" w:rsidRPr="00F13F6F" w:rsidRDefault="00F13F6F" w:rsidP="00F13F6F">
            <w:pPr>
              <w:rPr>
                <w:rFonts w:ascii="Verdana" w:eastAsia="Calibri" w:hAnsi="Verdana" w:cs="Arial"/>
                <w:sz w:val="16"/>
                <w:szCs w:val="16"/>
                <w:lang w:val="es-ES_tradnl" w:eastAsia="es-ES"/>
              </w:rPr>
            </w:pPr>
            <w:r w:rsidRPr="00F13F6F">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AAE6DA3" w14:textId="77777777" w:rsidR="00F13F6F" w:rsidRPr="00F13F6F" w:rsidRDefault="00F13F6F" w:rsidP="00F13F6F">
            <w:pPr>
              <w:rPr>
                <w:rFonts w:ascii="Verdana" w:eastAsia="Arial" w:hAnsi="Verdana" w:cs="Arial"/>
                <w:sz w:val="16"/>
                <w:szCs w:val="16"/>
                <w:lang w:val="es-ES_tradnl" w:eastAsia="es-MX"/>
              </w:rPr>
            </w:pPr>
            <w:r w:rsidRPr="00F13F6F">
              <w:rPr>
                <w:rFonts w:ascii="Verdana" w:eastAsia="Arial" w:hAnsi="Verdana" w:cs="Arial"/>
                <w:sz w:val="16"/>
                <w:szCs w:val="16"/>
                <w:lang w:val="es-ES_tradnl" w:eastAsia="es-MX"/>
              </w:rPr>
              <w:t>Alejandro Gamboa Cárdenas</w:t>
            </w:r>
          </w:p>
          <w:p w14:paraId="50B0EAEB" w14:textId="77777777" w:rsidR="00F13F6F" w:rsidRPr="00F13F6F" w:rsidRDefault="00F13F6F" w:rsidP="00F13F6F">
            <w:pPr>
              <w:rPr>
                <w:rFonts w:ascii="Verdana" w:eastAsia="Arial" w:hAnsi="Verdana" w:cs="Arial"/>
                <w:sz w:val="16"/>
                <w:szCs w:val="16"/>
                <w:lang w:val="es-ES_tradnl" w:eastAsia="es-MX"/>
              </w:rPr>
            </w:pPr>
            <w:r w:rsidRPr="00F13F6F">
              <w:rPr>
                <w:rFonts w:ascii="Verdana" w:eastAsia="Arial" w:hAnsi="Verdana" w:cs="Arial"/>
                <w:sz w:val="16"/>
                <w:szCs w:val="16"/>
                <w:lang w:val="es-ES_tradnl" w:eastAsia="es-MX"/>
              </w:rPr>
              <w:t>Contratista de la Subdirección de Gestión Contractual</w:t>
            </w:r>
          </w:p>
          <w:p w14:paraId="2E311802" w14:textId="77777777" w:rsidR="00F13F6F" w:rsidRPr="00F13F6F" w:rsidRDefault="00F13F6F" w:rsidP="00F13F6F">
            <w:pPr>
              <w:rPr>
                <w:rFonts w:ascii="Verdana" w:eastAsia="Arial" w:hAnsi="Verdana" w:cs="Arial"/>
                <w:sz w:val="16"/>
                <w:szCs w:val="16"/>
                <w:lang w:val="es-ES_tradnl" w:eastAsia="es-MX"/>
              </w:rPr>
            </w:pPr>
            <w:r w:rsidRPr="00F13F6F">
              <w:rPr>
                <w:rFonts w:ascii="Verdana" w:eastAsia="Arial" w:hAnsi="Verdana" w:cs="Arial"/>
                <w:sz w:val="16"/>
                <w:szCs w:val="16"/>
                <w:lang w:val="es-ES_tradnl" w:eastAsia="es-MX"/>
              </w:rPr>
              <w:t xml:space="preserve">Juan David Cárdenas Cabezas </w:t>
            </w:r>
          </w:p>
          <w:p w14:paraId="2C72C804" w14:textId="77777777" w:rsidR="00F13F6F" w:rsidRPr="00F13F6F" w:rsidRDefault="00F13F6F" w:rsidP="00F13F6F">
            <w:pPr>
              <w:rPr>
                <w:rFonts w:ascii="Verdana" w:eastAsia="Arial" w:hAnsi="Verdana" w:cs="Arial"/>
                <w:sz w:val="16"/>
                <w:szCs w:val="16"/>
                <w:lang w:val="es-ES" w:eastAsia="es-MX"/>
              </w:rPr>
            </w:pPr>
            <w:r w:rsidRPr="00F13F6F">
              <w:rPr>
                <w:rFonts w:ascii="Verdana" w:eastAsia="Arial" w:hAnsi="Verdana" w:cs="Arial"/>
                <w:sz w:val="16"/>
                <w:szCs w:val="16"/>
                <w:lang w:val="es-ES_tradnl" w:eastAsia="es-MX"/>
              </w:rPr>
              <w:t>Contratista de la Subdirección de Gestión Contractual</w:t>
            </w:r>
          </w:p>
        </w:tc>
      </w:tr>
      <w:tr w:rsidR="00F13F6F" w:rsidRPr="00F13F6F" w14:paraId="5677D267" w14:textId="77777777" w:rsidTr="00173079">
        <w:trPr>
          <w:trHeight w:val="308"/>
        </w:trPr>
        <w:tc>
          <w:tcPr>
            <w:tcW w:w="1041" w:type="dxa"/>
            <w:vAlign w:val="center"/>
          </w:tcPr>
          <w:p w14:paraId="44BAD8A2" w14:textId="77777777" w:rsidR="00F13F6F" w:rsidRPr="00F13F6F" w:rsidRDefault="00F13F6F" w:rsidP="00F13F6F">
            <w:pPr>
              <w:rPr>
                <w:rFonts w:ascii="Verdana" w:eastAsia="Calibri" w:hAnsi="Verdana" w:cs="Arial"/>
                <w:sz w:val="16"/>
                <w:szCs w:val="16"/>
                <w:lang w:val="es-ES_tradnl" w:eastAsia="es-ES"/>
              </w:rPr>
            </w:pPr>
            <w:r w:rsidRPr="00F13F6F">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4F158F66" w14:textId="77777777" w:rsidR="00F13F6F" w:rsidRPr="00F13F6F" w:rsidRDefault="00F13F6F" w:rsidP="00F13F6F">
            <w:pPr>
              <w:rPr>
                <w:rFonts w:ascii="Verdana" w:eastAsia="Calibri" w:hAnsi="Verdana" w:cs="Arial"/>
                <w:sz w:val="16"/>
                <w:szCs w:val="16"/>
                <w:lang w:val="es-ES_tradnl" w:eastAsia="es-ES"/>
              </w:rPr>
            </w:pPr>
            <w:r w:rsidRPr="00F13F6F">
              <w:rPr>
                <w:rFonts w:ascii="Verdana" w:eastAsia="Calibri" w:hAnsi="Verdana" w:cs="Arial"/>
                <w:sz w:val="16"/>
                <w:szCs w:val="16"/>
                <w:lang w:val="es-ES_tradnl" w:eastAsia="es-ES"/>
              </w:rPr>
              <w:t>William Javier Murcia Acevedo</w:t>
            </w:r>
          </w:p>
          <w:p w14:paraId="092B2003" w14:textId="77777777" w:rsidR="00F13F6F" w:rsidRPr="00F13F6F" w:rsidRDefault="00F13F6F" w:rsidP="00F13F6F">
            <w:pPr>
              <w:rPr>
                <w:rFonts w:ascii="Verdana" w:eastAsia="Calibri" w:hAnsi="Verdana" w:cs="Arial"/>
                <w:sz w:val="16"/>
                <w:szCs w:val="16"/>
                <w:lang w:val="es-ES_tradnl" w:eastAsia="es-ES"/>
              </w:rPr>
            </w:pPr>
            <w:r w:rsidRPr="00F13F6F">
              <w:rPr>
                <w:rFonts w:ascii="Verdana" w:eastAsia="Calibri" w:hAnsi="Verdana" w:cs="Arial"/>
                <w:sz w:val="16"/>
                <w:szCs w:val="16"/>
                <w:lang w:val="es-ES_tradnl" w:eastAsia="es-ES"/>
              </w:rPr>
              <w:t>Subdirector de Gestión Contractual (E) ANCP-CCE</w:t>
            </w:r>
          </w:p>
        </w:tc>
      </w:tr>
    </w:tbl>
    <w:p w14:paraId="0F293BF4" w14:textId="1AF77D27" w:rsidR="00127233" w:rsidRPr="004F5774" w:rsidRDefault="00127233" w:rsidP="004F5774"/>
    <w:sectPr w:rsidR="00127233" w:rsidRPr="004F5774"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4425E" w14:textId="77777777" w:rsidR="00EE23D6" w:rsidRDefault="00EE23D6" w:rsidP="004A1847">
      <w:pPr>
        <w:spacing w:after="0" w:line="240" w:lineRule="auto"/>
      </w:pPr>
      <w:r>
        <w:separator/>
      </w:r>
    </w:p>
  </w:endnote>
  <w:endnote w:type="continuationSeparator" w:id="0">
    <w:p w14:paraId="0312A44E" w14:textId="77777777" w:rsidR="00EE23D6" w:rsidRDefault="00EE23D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ArialMT">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F13F6F">
      <w:rPr>
        <w:rFonts w:ascii="Verdana" w:eastAsia="Verdana" w:hAnsi="Verdana" w:cs="Verdana"/>
        <w:b/>
        <w:bCs/>
        <w:color w:val="000000"/>
        <w:sz w:val="18"/>
        <w:szCs w:val="18"/>
        <w:lang w:eastAsia="es-CO"/>
      </w:rPr>
      <w:t xml:space="preserve">Código: </w:t>
    </w:r>
    <w:r w:rsidRPr="00F13F6F">
      <w:rPr>
        <w:rFonts w:ascii="Verdana" w:eastAsia="Verdana" w:hAnsi="Verdana" w:cs="Verdana"/>
        <w:color w:val="000000"/>
        <w:sz w:val="18"/>
        <w:szCs w:val="18"/>
        <w:lang w:eastAsia="es-CO"/>
      </w:rPr>
      <w:t xml:space="preserve">CCE-REC-FM-17 </w:t>
    </w:r>
    <w:r w:rsidRPr="00F13F6F">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3D40" w14:textId="77777777" w:rsidR="00EE23D6" w:rsidRDefault="00EE23D6" w:rsidP="004A1847">
      <w:pPr>
        <w:spacing w:after="0" w:line="240" w:lineRule="auto"/>
      </w:pPr>
      <w:r>
        <w:separator/>
      </w:r>
    </w:p>
  </w:footnote>
  <w:footnote w:type="continuationSeparator" w:id="0">
    <w:p w14:paraId="216385FF" w14:textId="77777777" w:rsidR="00EE23D6" w:rsidRDefault="00EE23D6" w:rsidP="004A1847">
      <w:pPr>
        <w:spacing w:after="0" w:line="240" w:lineRule="auto"/>
      </w:pPr>
      <w:r>
        <w:continuationSeparator/>
      </w:r>
    </w:p>
  </w:footnote>
  <w:footnote w:id="1">
    <w:p w14:paraId="56BC9076" w14:textId="77777777" w:rsidR="00F13F6F" w:rsidRDefault="00F13F6F" w:rsidP="00F13F6F">
      <w:pPr>
        <w:pStyle w:val="Textonotapie"/>
        <w:ind w:firstLine="708"/>
        <w:jc w:val="both"/>
        <w:rPr>
          <w:rFonts w:ascii="Verdana" w:hAnsi="Verdana"/>
          <w:sz w:val="18"/>
          <w:szCs w:val="18"/>
        </w:rPr>
      </w:pPr>
      <w:r w:rsidRPr="00B65F15">
        <w:rPr>
          <w:rStyle w:val="Refdenotaalpie"/>
          <w:rFonts w:ascii="Verdana" w:hAnsi="Verdana"/>
          <w:sz w:val="18"/>
          <w:szCs w:val="18"/>
        </w:rPr>
        <w:footnoteRef/>
      </w:r>
      <w:r w:rsidRPr="00B65F15">
        <w:rPr>
          <w:rFonts w:ascii="Verdana" w:hAnsi="Verdana"/>
          <w:sz w:val="18"/>
          <w:szCs w:val="18"/>
        </w:rPr>
        <w:t xml:space="preserve"> Real Academia Española, </w:t>
      </w:r>
      <w:r w:rsidRPr="00B65F15">
        <w:rPr>
          <w:rStyle w:val="nfasis"/>
          <w:rFonts w:ascii="Verdana" w:hAnsi="Verdana"/>
          <w:sz w:val="18"/>
          <w:szCs w:val="18"/>
        </w:rPr>
        <w:t>Diccionario de la lengua española</w:t>
      </w:r>
      <w:r w:rsidRPr="00B65F15">
        <w:rPr>
          <w:rFonts w:ascii="Verdana" w:hAnsi="Verdana"/>
          <w:sz w:val="18"/>
          <w:szCs w:val="18"/>
        </w:rPr>
        <w:t xml:space="preserve">, 23.ª ed. [en línea], s. v. «y»: «conj. copulat. U. para unir palabras o cláusulas en concepto afirmativo». Disponible en </w:t>
      </w:r>
      <w:hyperlink r:id="rId1" w:history="1">
        <w:r w:rsidRPr="00B65F15">
          <w:rPr>
            <w:rStyle w:val="Hipervnculo"/>
            <w:rFonts w:ascii="Verdana" w:hAnsi="Verdana"/>
            <w:sz w:val="18"/>
            <w:szCs w:val="18"/>
          </w:rPr>
          <w:t>https://dle.rae.es/y</w:t>
        </w:r>
      </w:hyperlink>
      <w:r w:rsidRPr="00B65F15">
        <w:rPr>
          <w:rFonts w:ascii="Verdana" w:hAnsi="Verdana"/>
          <w:sz w:val="18"/>
          <w:szCs w:val="18"/>
        </w:rPr>
        <w:t xml:space="preserve">. En el mismo sentido, el </w:t>
      </w:r>
      <w:r w:rsidRPr="00B65F15">
        <w:rPr>
          <w:rStyle w:val="nfasis"/>
          <w:rFonts w:ascii="Verdana" w:hAnsi="Verdana"/>
          <w:sz w:val="18"/>
          <w:szCs w:val="18"/>
        </w:rPr>
        <w:t>Glosario de términos gramaticales</w:t>
      </w:r>
      <w:r w:rsidRPr="00B65F15">
        <w:rPr>
          <w:rFonts w:ascii="Verdana" w:hAnsi="Verdana"/>
          <w:sz w:val="18"/>
          <w:szCs w:val="18"/>
        </w:rPr>
        <w:t xml:space="preserve"> de la RAE y la ASALE define la conjunción copulativa como la conjunción coordinante que une elementos interpretados como análogos, paralelos o equivalentes, e incluye entre ellas a “y” (con su variante “e”) (remite a la </w:t>
      </w:r>
      <w:r w:rsidRPr="00B65F15">
        <w:rPr>
          <w:rStyle w:val="nfasis"/>
          <w:rFonts w:ascii="Verdana" w:hAnsi="Verdana"/>
          <w:sz w:val="18"/>
          <w:szCs w:val="18"/>
        </w:rPr>
        <w:t>Nueva gramática de la lengua española</w:t>
      </w:r>
      <w:r w:rsidRPr="00B65F15">
        <w:rPr>
          <w:rFonts w:ascii="Verdana" w:hAnsi="Verdana"/>
          <w:sz w:val="18"/>
          <w:szCs w:val="18"/>
        </w:rPr>
        <w:t xml:space="preserve">, §§ 31.2-31.8). Disponible en </w:t>
      </w:r>
      <w:hyperlink r:id="rId2" w:history="1">
        <w:r w:rsidRPr="00B65F15">
          <w:rPr>
            <w:rStyle w:val="Hipervnculo"/>
            <w:rFonts w:ascii="Verdana" w:hAnsi="Verdana"/>
            <w:sz w:val="18"/>
            <w:szCs w:val="18"/>
          </w:rPr>
          <w:t>https://www.rae.es/gtg/conjunción-copulativa</w:t>
        </w:r>
      </w:hyperlink>
    </w:p>
    <w:p w14:paraId="1AFED4D0" w14:textId="77777777" w:rsidR="00F13F6F" w:rsidRPr="00B65F15" w:rsidRDefault="00F13F6F" w:rsidP="00F13F6F">
      <w:pPr>
        <w:pStyle w:val="Textonotapie"/>
        <w:ind w:firstLine="708"/>
        <w:jc w:val="both"/>
        <w:rPr>
          <w:rFonts w:ascii="Verdana" w:hAnsi="Verdana"/>
          <w:sz w:val="18"/>
          <w:szCs w:val="18"/>
          <w:lang w:val="es-ES_tradnl"/>
        </w:rPr>
      </w:pPr>
    </w:p>
  </w:footnote>
  <w:footnote w:id="2">
    <w:p w14:paraId="3D36F027" w14:textId="77777777" w:rsidR="00F13F6F" w:rsidRPr="00B65F15" w:rsidRDefault="00F13F6F" w:rsidP="00F13F6F">
      <w:pPr>
        <w:pStyle w:val="NormalWeb"/>
        <w:spacing w:before="0" w:beforeAutospacing="0" w:after="0" w:afterAutospacing="0"/>
        <w:ind w:firstLine="708"/>
        <w:jc w:val="both"/>
        <w:rPr>
          <w:rFonts w:ascii="Verdana" w:hAnsi="Verdana"/>
          <w:sz w:val="18"/>
          <w:szCs w:val="18"/>
        </w:rPr>
      </w:pPr>
      <w:r w:rsidRPr="00B65F15">
        <w:rPr>
          <w:rStyle w:val="Refdenotaalpie"/>
          <w:rFonts w:ascii="Verdana" w:hAnsi="Verdana"/>
          <w:sz w:val="18"/>
          <w:szCs w:val="18"/>
        </w:rPr>
        <w:footnoteRef/>
      </w:r>
      <w:r w:rsidRPr="00B65F15">
        <w:rPr>
          <w:rFonts w:ascii="Verdana" w:hAnsi="Verdana"/>
          <w:sz w:val="18"/>
          <w:szCs w:val="18"/>
        </w:rPr>
        <w:t xml:space="preserve"> Código Civil, art. 28: “Las palabras de la ley se entenderán en su sentido natural y obvio, según el uso general de las mismas palabras; pero cuando el legislador las haya definido expresamente para ciertas materias, se les dará en éstas su significado legal”.</w:t>
      </w:r>
    </w:p>
  </w:footnote>
  <w:footnote w:id="3">
    <w:p w14:paraId="7FA7D1AB" w14:textId="77777777" w:rsidR="00F13F6F" w:rsidRPr="00B65F15" w:rsidRDefault="00F13F6F" w:rsidP="00F13F6F">
      <w:pPr>
        <w:pStyle w:val="Textonotapie"/>
        <w:ind w:firstLine="708"/>
        <w:jc w:val="both"/>
        <w:rPr>
          <w:rFonts w:ascii="Verdana" w:hAnsi="Verdana"/>
          <w:sz w:val="18"/>
          <w:szCs w:val="18"/>
        </w:rPr>
      </w:pPr>
      <w:r>
        <w:rPr>
          <w:rStyle w:val="Refdenotaalpie"/>
        </w:rPr>
        <w:footnoteRef/>
      </w:r>
      <w:r>
        <w:t xml:space="preserve"> </w:t>
      </w:r>
      <w:r w:rsidRPr="00B65F15">
        <w:rPr>
          <w:rFonts w:ascii="Verdana" w:hAnsi="Verdana"/>
          <w:sz w:val="18"/>
          <w:szCs w:val="18"/>
        </w:rPr>
        <w:t xml:space="preserve">Manual para la Definición de Requisitos Habilitantes (versión 3). Agencia Nacional de Contratación Pública – Colombia Compra Eficiente. Disponible en: </w:t>
      </w:r>
      <w:hyperlink r:id="rId3" w:history="1">
        <w:r w:rsidRPr="00B65F15">
          <w:rPr>
            <w:rStyle w:val="Hipervnculo"/>
            <w:rFonts w:ascii="Verdana" w:hAnsi="Verdana"/>
            <w:sz w:val="18"/>
            <w:szCs w:val="18"/>
          </w:rPr>
          <w:t>https://www.colombiacompra.gov.co/sites/cce_public/files/cce_documents/cce-eicp-ma-04._manual_requisitos_habilitantes_v3_29- 09-2023.pdf</w:t>
        </w:r>
      </w:hyperlink>
    </w:p>
    <w:p w14:paraId="64239497" w14:textId="77777777" w:rsidR="00F13F6F" w:rsidRPr="00B65F15" w:rsidRDefault="00F13F6F" w:rsidP="00F13F6F">
      <w:pPr>
        <w:pStyle w:val="Textonotapie"/>
        <w:ind w:firstLine="708"/>
        <w:rPr>
          <w:lang w:val="es-ES_tradnl"/>
        </w:rPr>
      </w:pPr>
    </w:p>
  </w:footnote>
  <w:footnote w:id="4">
    <w:p w14:paraId="44084E48" w14:textId="77777777" w:rsidR="00F13F6F" w:rsidRPr="00B65F15" w:rsidRDefault="00F13F6F" w:rsidP="00F13F6F">
      <w:pPr>
        <w:pStyle w:val="Textonotapie"/>
        <w:ind w:firstLine="708"/>
        <w:jc w:val="both"/>
        <w:rPr>
          <w:rFonts w:ascii="Verdana" w:hAnsi="Verdana"/>
          <w:sz w:val="18"/>
          <w:szCs w:val="18"/>
          <w:lang w:val="es-CO"/>
        </w:rPr>
      </w:pPr>
      <w:r w:rsidRPr="00B65F15">
        <w:rPr>
          <w:rStyle w:val="Refdenotaalpie"/>
          <w:rFonts w:ascii="Verdana" w:hAnsi="Verdana"/>
          <w:sz w:val="18"/>
          <w:szCs w:val="18"/>
          <w:lang w:val="es-CO"/>
        </w:rPr>
        <w:footnoteRef/>
      </w:r>
      <w:r w:rsidRPr="00B65F15">
        <w:rPr>
          <w:rFonts w:ascii="Verdana" w:hAnsi="Verdana"/>
          <w:sz w:val="18"/>
          <w:szCs w:val="18"/>
          <w:lang w:val="es-CO"/>
        </w:rPr>
        <w:t xml:space="preserve"> Estos Documentos Tipo pueden ser consultados en la página web de Colombia Compra Eficiente, a través del siguiente enlace: </w:t>
      </w:r>
      <w:hyperlink r:id="rId4" w:history="1">
        <w:r w:rsidRPr="00B65F15">
          <w:rPr>
            <w:rStyle w:val="Hipervnculo"/>
            <w:rFonts w:ascii="Verdana" w:hAnsi="Verdana"/>
            <w:sz w:val="18"/>
            <w:szCs w:val="18"/>
            <w:lang w:val="es-CO"/>
          </w:rPr>
          <w:t>https://www.colombiacompra.gov.co/documentos-tipo/documentos-tipo</w:t>
        </w:r>
      </w:hyperlink>
      <w:r w:rsidRPr="00B65F15">
        <w:rPr>
          <w:rFonts w:ascii="Verdana" w:hAnsi="Verdana"/>
          <w:sz w:val="18"/>
          <w:szCs w:val="18"/>
          <w:lang w:val="es-CO"/>
        </w:rPr>
        <w:t xml:space="preserve"> </w:t>
      </w:r>
    </w:p>
  </w:footnote>
  <w:footnote w:id="5">
    <w:p w14:paraId="0DAFE971" w14:textId="77777777" w:rsidR="00F13F6F" w:rsidRPr="00B65F15" w:rsidRDefault="00F13F6F" w:rsidP="00F13F6F">
      <w:pPr>
        <w:spacing w:after="0" w:line="240" w:lineRule="auto"/>
        <w:jc w:val="both"/>
        <w:rPr>
          <w:rFonts w:ascii="Verdana" w:hAnsi="Verdana"/>
          <w:sz w:val="18"/>
          <w:szCs w:val="18"/>
        </w:rPr>
      </w:pPr>
    </w:p>
    <w:p w14:paraId="309B39E4" w14:textId="77777777" w:rsidR="00F13F6F" w:rsidRPr="00B65F15" w:rsidRDefault="00F13F6F" w:rsidP="00F13F6F">
      <w:pPr>
        <w:spacing w:after="0" w:line="240" w:lineRule="auto"/>
        <w:ind w:firstLine="708"/>
        <w:jc w:val="both"/>
        <w:rPr>
          <w:rFonts w:ascii="Verdana" w:eastAsia="Calibri" w:hAnsi="Verdana" w:cs="Arial"/>
          <w:bCs/>
          <w:sz w:val="18"/>
          <w:szCs w:val="18"/>
        </w:rPr>
      </w:pPr>
      <w:r w:rsidRPr="00B65F15">
        <w:rPr>
          <w:rStyle w:val="Refdenotaalpie"/>
          <w:rFonts w:ascii="Verdana" w:hAnsi="Verdana"/>
          <w:sz w:val="18"/>
          <w:szCs w:val="18"/>
        </w:rPr>
        <w:footnoteRef/>
      </w:r>
      <w:r w:rsidRPr="00B65F15">
        <w:rPr>
          <w:rFonts w:ascii="Verdana" w:hAnsi="Verdana"/>
          <w:sz w:val="18"/>
          <w:szCs w:val="18"/>
        </w:rPr>
        <w:t xml:space="preserve"> </w:t>
      </w:r>
      <w:r w:rsidRPr="00B65F15">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4E08AF40" w14:textId="77777777" w:rsidR="00F13F6F" w:rsidRPr="00B65F15" w:rsidRDefault="00F13F6F" w:rsidP="00F13F6F">
      <w:pPr>
        <w:spacing w:after="0" w:line="240" w:lineRule="auto"/>
        <w:ind w:firstLine="708"/>
        <w:jc w:val="both"/>
        <w:rPr>
          <w:rFonts w:ascii="Verdana" w:eastAsia="Calibri" w:hAnsi="Verdana" w:cs="Arial"/>
          <w:bCs/>
          <w:sz w:val="18"/>
          <w:szCs w:val="18"/>
        </w:rPr>
      </w:pPr>
    </w:p>
    <w:p w14:paraId="3E3818C5" w14:textId="77777777" w:rsidR="00F13F6F" w:rsidRPr="00B65F15" w:rsidRDefault="00F13F6F" w:rsidP="00F13F6F">
      <w:pPr>
        <w:spacing w:after="0" w:line="240" w:lineRule="auto"/>
        <w:ind w:firstLine="708"/>
        <w:jc w:val="both"/>
        <w:rPr>
          <w:rFonts w:ascii="Verdana" w:eastAsia="Calibri" w:hAnsi="Verdana" w:cs="Arial"/>
          <w:bCs/>
          <w:sz w:val="18"/>
          <w:szCs w:val="18"/>
        </w:rPr>
      </w:pPr>
      <w:r w:rsidRPr="00B65F15">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091B1456" w14:textId="77777777" w:rsidR="00F13F6F" w:rsidRPr="00B65F15" w:rsidRDefault="00F13F6F" w:rsidP="00F13F6F">
      <w:pPr>
        <w:spacing w:after="0" w:line="240" w:lineRule="auto"/>
        <w:jc w:val="both"/>
        <w:rPr>
          <w:rFonts w:ascii="Verdana" w:eastAsia="Calibri" w:hAnsi="Verdana" w:cs="Arial"/>
          <w:bCs/>
          <w:sz w:val="18"/>
          <w:szCs w:val="18"/>
        </w:rPr>
      </w:pPr>
    </w:p>
    <w:p w14:paraId="6EE7E7C1" w14:textId="77777777" w:rsidR="00F13F6F" w:rsidRPr="00B65F15" w:rsidRDefault="00F13F6F" w:rsidP="00F13F6F">
      <w:pPr>
        <w:spacing w:after="0" w:line="240" w:lineRule="auto"/>
        <w:ind w:firstLine="708"/>
        <w:jc w:val="both"/>
        <w:rPr>
          <w:rFonts w:ascii="Verdana" w:eastAsia="Calibri" w:hAnsi="Verdana" w:cs="Arial"/>
          <w:bCs/>
          <w:sz w:val="18"/>
          <w:szCs w:val="18"/>
        </w:rPr>
      </w:pPr>
      <w:r w:rsidRPr="00B65F15">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51B2C003" w14:textId="77777777" w:rsidR="00F13F6F" w:rsidRPr="00B65F15" w:rsidRDefault="00F13F6F" w:rsidP="00F13F6F">
      <w:pPr>
        <w:spacing w:after="0" w:line="240" w:lineRule="auto"/>
        <w:jc w:val="both"/>
        <w:rPr>
          <w:rFonts w:ascii="Verdana" w:eastAsia="Calibri" w:hAnsi="Verdana" w:cs="Arial"/>
          <w:bCs/>
          <w:sz w:val="18"/>
          <w:szCs w:val="18"/>
        </w:rPr>
      </w:pPr>
    </w:p>
    <w:p w14:paraId="517D1851" w14:textId="77777777" w:rsidR="00F13F6F" w:rsidRPr="00B65F15" w:rsidRDefault="00F13F6F" w:rsidP="00F13F6F">
      <w:pPr>
        <w:spacing w:after="0" w:line="240" w:lineRule="auto"/>
        <w:ind w:firstLine="708"/>
        <w:jc w:val="both"/>
        <w:rPr>
          <w:rFonts w:ascii="Verdana" w:eastAsia="Calibri" w:hAnsi="Verdana" w:cs="Arial"/>
          <w:bCs/>
          <w:sz w:val="18"/>
          <w:szCs w:val="18"/>
        </w:rPr>
      </w:pPr>
      <w:r w:rsidRPr="00B65F15">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471AC47A" w14:textId="77777777" w:rsidR="00F13F6F" w:rsidRPr="00B65F15" w:rsidRDefault="00F13F6F" w:rsidP="00F13F6F">
      <w:pPr>
        <w:spacing w:after="0" w:line="240" w:lineRule="auto"/>
        <w:ind w:firstLine="708"/>
        <w:jc w:val="both"/>
        <w:rPr>
          <w:rFonts w:ascii="Verdana" w:eastAsia="Calibri" w:hAnsi="Verdana" w:cs="Arial"/>
          <w:bCs/>
          <w:sz w:val="18"/>
          <w:szCs w:val="18"/>
        </w:rPr>
      </w:pPr>
    </w:p>
    <w:p w14:paraId="68F0491F" w14:textId="77777777" w:rsidR="00F13F6F" w:rsidRPr="00B65F15" w:rsidRDefault="00F13F6F" w:rsidP="00F13F6F">
      <w:pPr>
        <w:spacing w:after="0" w:line="240" w:lineRule="auto"/>
        <w:ind w:firstLine="708"/>
        <w:jc w:val="both"/>
        <w:rPr>
          <w:rFonts w:ascii="Verdana" w:eastAsia="Calibri" w:hAnsi="Verdana" w:cs="Arial"/>
          <w:bCs/>
          <w:sz w:val="18"/>
          <w:szCs w:val="18"/>
        </w:rPr>
      </w:pPr>
      <w:r w:rsidRPr="00B65F15">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65320B11" w14:textId="77777777" w:rsidR="00F13F6F" w:rsidRPr="00B65F15" w:rsidRDefault="00F13F6F" w:rsidP="00F13F6F">
      <w:pPr>
        <w:spacing w:after="0" w:line="240" w:lineRule="auto"/>
        <w:ind w:firstLine="708"/>
        <w:jc w:val="both"/>
        <w:rPr>
          <w:rFonts w:ascii="Verdana" w:eastAsia="Calibri" w:hAnsi="Verdana" w:cs="Arial"/>
          <w:bCs/>
          <w:sz w:val="18"/>
          <w:szCs w:val="18"/>
        </w:rPr>
      </w:pPr>
    </w:p>
    <w:p w14:paraId="4BDF7F17" w14:textId="77777777" w:rsidR="00F13F6F" w:rsidRPr="00B65F15" w:rsidRDefault="00F13F6F" w:rsidP="00F13F6F">
      <w:pPr>
        <w:pStyle w:val="Textonotapie"/>
        <w:rPr>
          <w:rFonts w:ascii="Verdana" w:hAnsi="Verdana"/>
          <w:sz w:val="18"/>
          <w:szCs w:val="18"/>
          <w:lang w:val="es-CO"/>
        </w:rPr>
      </w:pPr>
    </w:p>
  </w:footnote>
  <w:footnote w:id="6">
    <w:p w14:paraId="581B6F1E" w14:textId="77777777" w:rsidR="00F13F6F" w:rsidRPr="00B65F15" w:rsidRDefault="00F13F6F" w:rsidP="00F13F6F">
      <w:pPr>
        <w:pStyle w:val="Textonotapie"/>
        <w:ind w:firstLine="708"/>
        <w:jc w:val="both"/>
        <w:rPr>
          <w:rFonts w:ascii="Verdana" w:hAnsi="Verdana" w:cs="Arial"/>
          <w:sz w:val="18"/>
          <w:szCs w:val="18"/>
        </w:rPr>
      </w:pPr>
      <w:r w:rsidRPr="00B65F15">
        <w:rPr>
          <w:rStyle w:val="Refdenotaalpie"/>
          <w:rFonts w:ascii="Verdana" w:hAnsi="Verdana" w:cs="Arial"/>
          <w:sz w:val="18"/>
          <w:szCs w:val="18"/>
        </w:rPr>
        <w:footnoteRef/>
      </w:r>
      <w:r w:rsidRPr="00B65F15">
        <w:rPr>
          <w:rFonts w:ascii="Verdana" w:hAnsi="Verdana" w:cs="Arial"/>
          <w:sz w:val="18"/>
          <w:szCs w:val="18"/>
        </w:rPr>
        <w:t xml:space="preserve"> En relación con los documentos tipo para los procesos de selección abreviada de menor cuantía de obra pública de infraestructura de transporte, esta posibilidad se encuentra establecida en el artículo 4 de la Resolución 463 de 2024. </w:t>
      </w:r>
    </w:p>
  </w:footnote>
  <w:footnote w:id="7">
    <w:p w14:paraId="2F82C2F7" w14:textId="77777777" w:rsidR="00F13F6F" w:rsidRDefault="00F13F6F" w:rsidP="00F13F6F">
      <w:pPr>
        <w:pStyle w:val="Textonotapie"/>
        <w:ind w:firstLine="708"/>
        <w:jc w:val="both"/>
        <w:rPr>
          <w:rFonts w:ascii="Verdana" w:hAnsi="Verdana"/>
          <w:sz w:val="18"/>
          <w:szCs w:val="18"/>
        </w:rPr>
      </w:pPr>
      <w:r w:rsidRPr="00B65F15">
        <w:rPr>
          <w:rStyle w:val="Refdenotaalpie"/>
          <w:rFonts w:ascii="Verdana" w:hAnsi="Verdana"/>
          <w:sz w:val="18"/>
          <w:szCs w:val="18"/>
        </w:rPr>
        <w:footnoteRef/>
      </w:r>
      <w:r w:rsidRPr="00B65F15">
        <w:rPr>
          <w:rFonts w:ascii="Verdana" w:hAnsi="Verdana"/>
          <w:sz w:val="18"/>
          <w:szCs w:val="18"/>
        </w:rPr>
        <w:t xml:space="preserve"> Real Academia Española, </w:t>
      </w:r>
      <w:r w:rsidRPr="00B65F15">
        <w:rPr>
          <w:rStyle w:val="nfasis"/>
          <w:rFonts w:ascii="Verdana" w:hAnsi="Verdana"/>
          <w:sz w:val="18"/>
          <w:szCs w:val="18"/>
        </w:rPr>
        <w:t>Diccionario de la lengua española</w:t>
      </w:r>
      <w:r w:rsidRPr="00B65F15">
        <w:rPr>
          <w:rFonts w:ascii="Verdana" w:hAnsi="Verdana"/>
          <w:sz w:val="18"/>
          <w:szCs w:val="18"/>
        </w:rPr>
        <w:t xml:space="preserve">, 23.ª ed. [en línea], s. v. «y»: «conj. copulat. U. para unir palabras o cláusulas en concepto afirmativo». Disponible en </w:t>
      </w:r>
      <w:hyperlink r:id="rId5" w:history="1">
        <w:r w:rsidRPr="00B65F15">
          <w:rPr>
            <w:rStyle w:val="Hipervnculo"/>
            <w:rFonts w:ascii="Verdana" w:hAnsi="Verdana"/>
            <w:sz w:val="18"/>
            <w:szCs w:val="18"/>
          </w:rPr>
          <w:t>https://dle.rae.es/y</w:t>
        </w:r>
      </w:hyperlink>
      <w:r w:rsidRPr="00B65F15">
        <w:rPr>
          <w:rFonts w:ascii="Verdana" w:hAnsi="Verdana"/>
          <w:sz w:val="18"/>
          <w:szCs w:val="18"/>
        </w:rPr>
        <w:t xml:space="preserve">. En el mismo sentido, el </w:t>
      </w:r>
      <w:r w:rsidRPr="00B65F15">
        <w:rPr>
          <w:rStyle w:val="nfasis"/>
          <w:rFonts w:ascii="Verdana" w:hAnsi="Verdana"/>
          <w:sz w:val="18"/>
          <w:szCs w:val="18"/>
        </w:rPr>
        <w:t>Glosario de términos gramaticales</w:t>
      </w:r>
      <w:r w:rsidRPr="00B65F15">
        <w:rPr>
          <w:rFonts w:ascii="Verdana" w:hAnsi="Verdana"/>
          <w:sz w:val="18"/>
          <w:szCs w:val="18"/>
        </w:rPr>
        <w:t xml:space="preserve"> de la RAE y la ASALE define la conjunción copulativa como la conjunción coordinante que une elementos interpretados como análogos, paralelos o equivalentes, e incluye entre ellas a “y” (con su variante “e”) (remite a la </w:t>
      </w:r>
      <w:r w:rsidRPr="00B65F15">
        <w:rPr>
          <w:rStyle w:val="nfasis"/>
          <w:rFonts w:ascii="Verdana" w:hAnsi="Verdana"/>
          <w:sz w:val="18"/>
          <w:szCs w:val="18"/>
        </w:rPr>
        <w:t>Nueva gramática de la lengua española</w:t>
      </w:r>
      <w:r w:rsidRPr="00B65F15">
        <w:rPr>
          <w:rFonts w:ascii="Verdana" w:hAnsi="Verdana"/>
          <w:sz w:val="18"/>
          <w:szCs w:val="18"/>
        </w:rPr>
        <w:t xml:space="preserve">, §§ 31.2-31.8). Disponible en </w:t>
      </w:r>
      <w:hyperlink r:id="rId6" w:history="1">
        <w:r w:rsidRPr="00B65F15">
          <w:rPr>
            <w:rStyle w:val="Hipervnculo"/>
            <w:rFonts w:ascii="Verdana" w:hAnsi="Verdana"/>
            <w:sz w:val="18"/>
            <w:szCs w:val="18"/>
          </w:rPr>
          <w:t>https://www.rae.es/gtg/conjunción-copulativa</w:t>
        </w:r>
      </w:hyperlink>
    </w:p>
    <w:p w14:paraId="467E5B3E" w14:textId="77777777" w:rsidR="00F13F6F" w:rsidRPr="00B65F15" w:rsidRDefault="00F13F6F" w:rsidP="00F13F6F">
      <w:pPr>
        <w:pStyle w:val="Textonotapie"/>
        <w:ind w:firstLine="708"/>
        <w:jc w:val="both"/>
        <w:rPr>
          <w:rFonts w:ascii="Verdana" w:hAnsi="Verdana"/>
          <w:sz w:val="18"/>
          <w:szCs w:val="18"/>
          <w:lang w:val="es-ES_tradnl"/>
        </w:rPr>
      </w:pPr>
    </w:p>
  </w:footnote>
  <w:footnote w:id="8">
    <w:p w14:paraId="787F275F" w14:textId="77777777" w:rsidR="00F13F6F" w:rsidRPr="00B65F15" w:rsidRDefault="00F13F6F" w:rsidP="00F13F6F">
      <w:pPr>
        <w:pStyle w:val="NormalWeb"/>
        <w:spacing w:before="0" w:beforeAutospacing="0" w:after="0" w:afterAutospacing="0"/>
        <w:ind w:firstLine="708"/>
        <w:jc w:val="both"/>
        <w:rPr>
          <w:rFonts w:ascii="Verdana" w:hAnsi="Verdana"/>
          <w:sz w:val="18"/>
          <w:szCs w:val="18"/>
        </w:rPr>
      </w:pPr>
      <w:r w:rsidRPr="00B65F15">
        <w:rPr>
          <w:rStyle w:val="Refdenotaalpie"/>
          <w:rFonts w:ascii="Verdana" w:hAnsi="Verdana"/>
          <w:sz w:val="18"/>
          <w:szCs w:val="18"/>
        </w:rPr>
        <w:footnoteRef/>
      </w:r>
      <w:r w:rsidRPr="00B65F15">
        <w:rPr>
          <w:rFonts w:ascii="Verdana" w:hAnsi="Verdana"/>
          <w:sz w:val="18"/>
          <w:szCs w:val="18"/>
        </w:rPr>
        <w:t xml:space="preserve"> Código Civil, art. 28: “Las palabras de la ley se entenderán en su sentido natural y obvio, según el uso general de las mismas palabras; pero cuando el legislador las haya definido expresamente para ciertas materias, se les dará en éstas su significado legal”.</w:t>
      </w:r>
    </w:p>
  </w:footnote>
  <w:footnote w:id="9">
    <w:p w14:paraId="41165D26" w14:textId="77777777" w:rsidR="00F13F6F" w:rsidRPr="00B65F15" w:rsidRDefault="00F13F6F" w:rsidP="00F13F6F">
      <w:pPr>
        <w:pStyle w:val="Textonotapie"/>
        <w:ind w:firstLine="708"/>
        <w:jc w:val="both"/>
        <w:rPr>
          <w:rFonts w:ascii="Verdana" w:hAnsi="Verdana"/>
          <w:sz w:val="18"/>
          <w:szCs w:val="18"/>
        </w:rPr>
      </w:pPr>
      <w:r>
        <w:rPr>
          <w:rStyle w:val="Refdenotaalpie"/>
        </w:rPr>
        <w:footnoteRef/>
      </w:r>
      <w:r>
        <w:t xml:space="preserve"> </w:t>
      </w:r>
      <w:r w:rsidRPr="00B65F15">
        <w:rPr>
          <w:rFonts w:ascii="Verdana" w:hAnsi="Verdana"/>
          <w:sz w:val="18"/>
          <w:szCs w:val="18"/>
        </w:rPr>
        <w:t xml:space="preserve">Manual para la Definición de Requisitos Habilitantes (versión 3). Agencia Nacional de Contratación Pública – Colombia Compra Eficiente. Disponible en: </w:t>
      </w:r>
      <w:hyperlink r:id="rId7" w:history="1">
        <w:r w:rsidRPr="00B65F15">
          <w:rPr>
            <w:rStyle w:val="Hipervnculo"/>
            <w:rFonts w:ascii="Verdana" w:hAnsi="Verdana"/>
            <w:sz w:val="18"/>
            <w:szCs w:val="18"/>
          </w:rPr>
          <w:t>https://www.colombiacompra.gov.co/sites/cce_public/files/cce_documents/cce-eicp-ma-04._manual_requisitos_habilitantes_v3_29- 09-2023.pdf</w:t>
        </w:r>
      </w:hyperlink>
    </w:p>
    <w:p w14:paraId="12005B64" w14:textId="77777777" w:rsidR="00F13F6F" w:rsidRPr="00B65F15" w:rsidRDefault="00F13F6F" w:rsidP="00F13F6F">
      <w:pPr>
        <w:pStyle w:val="Textonotapie"/>
        <w:ind w:firstLine="708"/>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928" w:hanging="360"/>
      </w:pPr>
      <w:rPr>
        <w:b/>
        <w:color w:val="000000" w:themeColor="text1"/>
      </w:rPr>
    </w:lvl>
    <w:lvl w:ilvl="1">
      <w:start w:val="2"/>
      <w:numFmt w:val="decimal"/>
      <w:isLgl/>
      <w:lvlText w:val="%1.%2"/>
      <w:lvlJc w:val="left"/>
      <w:pPr>
        <w:ind w:left="56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141685"/>
    <w:multiLevelType w:val="hybridMultilevel"/>
    <w:tmpl w:val="681C640C"/>
    <w:lvl w:ilvl="0" w:tplc="080A0001">
      <w:start w:val="1"/>
      <w:numFmt w:val="bullet"/>
      <w:lvlText w:val=""/>
      <w:lvlJc w:val="left"/>
      <w:pPr>
        <w:ind w:left="1477" w:hanging="360"/>
      </w:pPr>
      <w:rPr>
        <w:rFonts w:ascii="Symbol" w:hAnsi="Symbol" w:hint="default"/>
      </w:rPr>
    </w:lvl>
    <w:lvl w:ilvl="1" w:tplc="080A0003" w:tentative="1">
      <w:start w:val="1"/>
      <w:numFmt w:val="bullet"/>
      <w:lvlText w:val="o"/>
      <w:lvlJc w:val="left"/>
      <w:pPr>
        <w:ind w:left="2197" w:hanging="360"/>
      </w:pPr>
      <w:rPr>
        <w:rFonts w:ascii="Courier New" w:hAnsi="Courier New" w:cs="Courier New" w:hint="default"/>
      </w:rPr>
    </w:lvl>
    <w:lvl w:ilvl="2" w:tplc="080A0005" w:tentative="1">
      <w:start w:val="1"/>
      <w:numFmt w:val="bullet"/>
      <w:lvlText w:val=""/>
      <w:lvlJc w:val="left"/>
      <w:pPr>
        <w:ind w:left="2917" w:hanging="360"/>
      </w:pPr>
      <w:rPr>
        <w:rFonts w:ascii="Wingdings" w:hAnsi="Wingdings" w:hint="default"/>
      </w:rPr>
    </w:lvl>
    <w:lvl w:ilvl="3" w:tplc="080A0001" w:tentative="1">
      <w:start w:val="1"/>
      <w:numFmt w:val="bullet"/>
      <w:lvlText w:val=""/>
      <w:lvlJc w:val="left"/>
      <w:pPr>
        <w:ind w:left="3637" w:hanging="360"/>
      </w:pPr>
      <w:rPr>
        <w:rFonts w:ascii="Symbol" w:hAnsi="Symbol" w:hint="default"/>
      </w:rPr>
    </w:lvl>
    <w:lvl w:ilvl="4" w:tplc="080A0003" w:tentative="1">
      <w:start w:val="1"/>
      <w:numFmt w:val="bullet"/>
      <w:lvlText w:val="o"/>
      <w:lvlJc w:val="left"/>
      <w:pPr>
        <w:ind w:left="4357" w:hanging="360"/>
      </w:pPr>
      <w:rPr>
        <w:rFonts w:ascii="Courier New" w:hAnsi="Courier New" w:cs="Courier New" w:hint="default"/>
      </w:rPr>
    </w:lvl>
    <w:lvl w:ilvl="5" w:tplc="080A0005" w:tentative="1">
      <w:start w:val="1"/>
      <w:numFmt w:val="bullet"/>
      <w:lvlText w:val=""/>
      <w:lvlJc w:val="left"/>
      <w:pPr>
        <w:ind w:left="5077" w:hanging="360"/>
      </w:pPr>
      <w:rPr>
        <w:rFonts w:ascii="Wingdings" w:hAnsi="Wingdings" w:hint="default"/>
      </w:rPr>
    </w:lvl>
    <w:lvl w:ilvl="6" w:tplc="080A0001" w:tentative="1">
      <w:start w:val="1"/>
      <w:numFmt w:val="bullet"/>
      <w:lvlText w:val=""/>
      <w:lvlJc w:val="left"/>
      <w:pPr>
        <w:ind w:left="5797" w:hanging="360"/>
      </w:pPr>
      <w:rPr>
        <w:rFonts w:ascii="Symbol" w:hAnsi="Symbol" w:hint="default"/>
      </w:rPr>
    </w:lvl>
    <w:lvl w:ilvl="7" w:tplc="080A0003" w:tentative="1">
      <w:start w:val="1"/>
      <w:numFmt w:val="bullet"/>
      <w:lvlText w:val="o"/>
      <w:lvlJc w:val="left"/>
      <w:pPr>
        <w:ind w:left="6517" w:hanging="360"/>
      </w:pPr>
      <w:rPr>
        <w:rFonts w:ascii="Courier New" w:hAnsi="Courier New" w:cs="Courier New" w:hint="default"/>
      </w:rPr>
    </w:lvl>
    <w:lvl w:ilvl="8" w:tplc="080A0005" w:tentative="1">
      <w:start w:val="1"/>
      <w:numFmt w:val="bullet"/>
      <w:lvlText w:val=""/>
      <w:lvlJc w:val="left"/>
      <w:pPr>
        <w:ind w:left="7237"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36307E8"/>
    <w:multiLevelType w:val="hybridMultilevel"/>
    <w:tmpl w:val="21F03E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827985604">
    <w:abstractNumId w:val="11"/>
  </w:num>
  <w:num w:numId="18" w16cid:durableId="660350872">
    <w:abstractNumId w:val="4"/>
  </w:num>
  <w:num w:numId="19" w16cid:durableId="15265979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F68"/>
    <w:rsid w:val="00016F78"/>
    <w:rsid w:val="00046945"/>
    <w:rsid w:val="00061B2A"/>
    <w:rsid w:val="00082362"/>
    <w:rsid w:val="00082D24"/>
    <w:rsid w:val="000A683E"/>
    <w:rsid w:val="000B19B9"/>
    <w:rsid w:val="000C7DFD"/>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77718"/>
    <w:rsid w:val="004A1847"/>
    <w:rsid w:val="004A305D"/>
    <w:rsid w:val="004F21C4"/>
    <w:rsid w:val="004F577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37B63"/>
    <w:rsid w:val="0075235A"/>
    <w:rsid w:val="00756841"/>
    <w:rsid w:val="007649AB"/>
    <w:rsid w:val="00765B45"/>
    <w:rsid w:val="00771D0C"/>
    <w:rsid w:val="007833AC"/>
    <w:rsid w:val="007B268C"/>
    <w:rsid w:val="007B7171"/>
    <w:rsid w:val="007C0C0F"/>
    <w:rsid w:val="007C3DC2"/>
    <w:rsid w:val="007E5497"/>
    <w:rsid w:val="00806F5F"/>
    <w:rsid w:val="00820278"/>
    <w:rsid w:val="008258C9"/>
    <w:rsid w:val="00844291"/>
    <w:rsid w:val="00844AE9"/>
    <w:rsid w:val="00867F95"/>
    <w:rsid w:val="008843B6"/>
    <w:rsid w:val="00891928"/>
    <w:rsid w:val="008978FC"/>
    <w:rsid w:val="008A446D"/>
    <w:rsid w:val="008B25F1"/>
    <w:rsid w:val="008D180B"/>
    <w:rsid w:val="008F0EA7"/>
    <w:rsid w:val="00916F7C"/>
    <w:rsid w:val="00923EEF"/>
    <w:rsid w:val="009419F9"/>
    <w:rsid w:val="0095685E"/>
    <w:rsid w:val="00961B09"/>
    <w:rsid w:val="00965334"/>
    <w:rsid w:val="0096740B"/>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A604D"/>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5681D"/>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EE23D6"/>
    <w:rsid w:val="00F13F6F"/>
    <w:rsid w:val="00F23FEA"/>
    <w:rsid w:val="00F31EDC"/>
    <w:rsid w:val="00F462B3"/>
    <w:rsid w:val="00F5664F"/>
    <w:rsid w:val="00F666C4"/>
    <w:rsid w:val="00F76AFC"/>
    <w:rsid w:val="00FA47C0"/>
    <w:rsid w:val="00FB5DD1"/>
    <w:rsid w:val="00FC2B5D"/>
    <w:rsid w:val="00FF1449"/>
    <w:rsid w:val="00FF2877"/>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qFormat/>
    <w:rsid w:val="00F13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13F6F"/>
    <w:pPr>
      <w:spacing w:line="240" w:lineRule="exact"/>
    </w:pPr>
    <w:rPr>
      <w:vertAlign w:val="superscript"/>
    </w:rPr>
  </w:style>
  <w:style w:type="table" w:customStyle="1" w:styleId="Tablaconcuadrcula2">
    <w:name w:val="Tabla con cuadrícula2"/>
    <w:basedOn w:val="Tablanormal"/>
    <w:next w:val="Tablaconcuadrcula"/>
    <w:uiPriority w:val="39"/>
    <w:qFormat/>
    <w:rsid w:val="00F13F6F"/>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F13F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eicp-ma-04._manual_requisitos_habilitantes_v3_29-%2009-2023.pdf" TargetMode="External"/><Relationship Id="rId7" Type="http://schemas.openxmlformats.org/officeDocument/2006/relationships/hyperlink" Target="https://www.colombiacompra.gov.co/sites/cce_public/files/cce_documents/cce-eicp-ma-04._manual_requisitos_habilitantes_v3_29-%2009-2023.pdf" TargetMode="External"/><Relationship Id="rId2" Type="http://schemas.openxmlformats.org/officeDocument/2006/relationships/hyperlink" Target="https://www.rae.es/gtg/conjunci%C3%B3n-copulativa" TargetMode="External"/><Relationship Id="rId1" Type="http://schemas.openxmlformats.org/officeDocument/2006/relationships/hyperlink" Target="https://dle.rae.es/y" TargetMode="External"/><Relationship Id="rId6" Type="http://schemas.openxmlformats.org/officeDocument/2006/relationships/hyperlink" Target="https://www.rae.es/gtg/conjunci%C3%B3n-copulativa" TargetMode="External"/><Relationship Id="rId5" Type="http://schemas.openxmlformats.org/officeDocument/2006/relationships/hyperlink" Target="https://dle.rae.es/y" TargetMode="External"/><Relationship Id="rId4"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26621A-6B58-407F-B81F-3948D0EC5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6438</Words>
  <Characters>35412</Characters>
  <Application>Microsoft Office Word</Application>
  <DocSecurity>0</DocSecurity>
  <Lines>295</Lines>
  <Paragraphs>83</Paragraphs>
  <ScaleCrop>false</ScaleCrop>
  <Company/>
  <LinksUpToDate>false</LinksUpToDate>
  <CharactersWithSpaces>41767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7</cp:revision>
  <cp:lastPrinted>2023-01-10T21:18:00Z</cp:lastPrinted>
  <dcterms:created xsi:type="dcterms:W3CDTF">2026-10-27T12:20:00Z</dcterms:created>
  <dcterms:modified xsi:type="dcterms:W3CDTF">2026-10-28T15:24:00Z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