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6B6B1" w14:textId="77777777" w:rsidR="00F317F5" w:rsidRPr="003F62F9" w:rsidRDefault="00F317F5" w:rsidP="00F317F5">
      <w:pPr>
        <w:spacing w:after="0" w:line="240" w:lineRule="auto"/>
        <w:jc w:val="both"/>
        <w:rPr>
          <w:rFonts w:ascii="Verdana" w:eastAsia="Arial" w:hAnsi="Verdana" w:cs="Arial"/>
          <w:b/>
          <w:bCs/>
          <w:lang w:val="es-ES"/>
        </w:rPr>
      </w:pPr>
      <w:bookmarkStart w:id="0" w:name="_Hlk143780582"/>
      <w:r w:rsidRPr="003F62F9">
        <w:rPr>
          <w:rFonts w:ascii="Verdana" w:eastAsia="Arial" w:hAnsi="Verdana" w:cs="Arial"/>
          <w:b/>
          <w:bCs/>
          <w:lang w:val="es-ES"/>
        </w:rPr>
        <w:t>PRINCIPIO DE PUBLICIDAD – Concepto – Fundamento axiológico – Fundamento constitucional</w:t>
      </w:r>
    </w:p>
    <w:p w14:paraId="07FB6C29" w14:textId="77777777" w:rsidR="00F317F5" w:rsidRPr="003F62F9" w:rsidRDefault="00F317F5" w:rsidP="00F317F5">
      <w:pPr>
        <w:spacing w:after="0" w:line="240" w:lineRule="auto"/>
        <w:rPr>
          <w:rFonts w:ascii="Verdana" w:eastAsia="Geomanist Light" w:hAnsi="Verdana" w:cs="Arial"/>
          <w:color w:val="000000" w:themeColor="text1"/>
          <w:sz w:val="20"/>
          <w:szCs w:val="20"/>
          <w:lang w:val="es-MX"/>
        </w:rPr>
      </w:pPr>
    </w:p>
    <w:p w14:paraId="53711BCA" w14:textId="77777777" w:rsidR="00F317F5" w:rsidRPr="003F62F9" w:rsidRDefault="00F317F5" w:rsidP="00F317F5">
      <w:pPr>
        <w:spacing w:after="0" w:line="240" w:lineRule="auto"/>
        <w:jc w:val="both"/>
        <w:rPr>
          <w:rFonts w:ascii="Verdana" w:eastAsia="Calibri" w:hAnsi="Verdana" w:cs="Arial"/>
          <w:color w:val="000000" w:themeColor="text1"/>
          <w:sz w:val="20"/>
          <w:szCs w:val="20"/>
          <w:lang w:val="es-ES"/>
        </w:rPr>
      </w:pPr>
      <w:r w:rsidRPr="003F62F9">
        <w:rPr>
          <w:rFonts w:ascii="Verdana" w:eastAsia="Calibri" w:hAnsi="Verdana" w:cs="Arial"/>
          <w:color w:val="000000" w:themeColor="text1"/>
          <w:sz w:val="20"/>
          <w:szCs w:val="20"/>
          <w:lang w:val="es-ES"/>
        </w:rPr>
        <w:t xml:space="preserve">Ahora bien, explicado lo anterior, Uno de los postulados más importantes de un Estado social y democrático de derecho es el principio de </w:t>
      </w:r>
      <w:r w:rsidRPr="003F62F9">
        <w:rPr>
          <w:rFonts w:ascii="Verdana" w:eastAsia="Calibri" w:hAnsi="Verdana" w:cs="Arial"/>
          <w:i/>
          <w:color w:val="000000" w:themeColor="text1"/>
          <w:sz w:val="20"/>
          <w:szCs w:val="20"/>
          <w:lang w:val="es-ES"/>
        </w:rPr>
        <w:t>publicidad</w:t>
      </w:r>
      <w:r w:rsidRPr="003F62F9">
        <w:rPr>
          <w:rFonts w:ascii="Verdana" w:eastAsia="Calibri" w:hAnsi="Verdana" w:cs="Arial"/>
          <w:color w:val="000000" w:themeColor="text1"/>
          <w:sz w:val="20"/>
          <w:szCs w:val="20"/>
          <w:lang w:val="es-ES"/>
        </w:rPr>
        <w:t xml:space="preserve">,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3543E562" w14:textId="77777777" w:rsidR="00F317F5" w:rsidRPr="003F62F9" w:rsidRDefault="00F317F5" w:rsidP="00F317F5">
      <w:pPr>
        <w:spacing w:after="0" w:line="240" w:lineRule="auto"/>
        <w:jc w:val="both"/>
        <w:rPr>
          <w:rFonts w:ascii="Verdana" w:eastAsia="Calibri" w:hAnsi="Verdana" w:cs="Arial"/>
          <w:color w:val="000000" w:themeColor="text1"/>
          <w:sz w:val="20"/>
          <w:szCs w:val="20"/>
          <w:lang w:val="es-ES"/>
        </w:rPr>
      </w:pPr>
    </w:p>
    <w:p w14:paraId="08C3A1A5" w14:textId="77777777" w:rsidR="00F317F5" w:rsidRPr="003F62F9" w:rsidRDefault="00F317F5" w:rsidP="00F317F5">
      <w:pPr>
        <w:spacing w:after="0" w:line="240" w:lineRule="auto"/>
        <w:jc w:val="both"/>
        <w:rPr>
          <w:rFonts w:ascii="Verdana" w:eastAsia="Calibri" w:hAnsi="Verdana" w:cs="Arial"/>
          <w:color w:val="000000" w:themeColor="text1"/>
          <w:sz w:val="20"/>
          <w:szCs w:val="20"/>
          <w:lang w:val="es-ES_tradnl"/>
        </w:rPr>
      </w:pPr>
      <w:r w:rsidRPr="003F62F9">
        <w:rPr>
          <w:rFonts w:ascii="Verdana" w:eastAsia="Calibri" w:hAnsi="Verdana" w:cs="Arial"/>
          <w:color w:val="000000" w:themeColor="text1"/>
          <w:sz w:val="20"/>
          <w:szCs w:val="20"/>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541CDD87" w14:textId="77777777" w:rsidR="00F317F5" w:rsidRPr="003F62F9" w:rsidRDefault="00F317F5" w:rsidP="00F317F5">
      <w:pPr>
        <w:spacing w:after="0" w:line="240" w:lineRule="auto"/>
        <w:jc w:val="both"/>
        <w:rPr>
          <w:rFonts w:ascii="Verdana" w:eastAsia="Calibri" w:hAnsi="Verdana" w:cs="Arial"/>
          <w:color w:val="000000" w:themeColor="text1"/>
          <w:lang w:val="es-ES_tradnl"/>
        </w:rPr>
      </w:pPr>
    </w:p>
    <w:p w14:paraId="726B72C9" w14:textId="77777777" w:rsidR="00F317F5" w:rsidRPr="003F62F9" w:rsidRDefault="00F317F5" w:rsidP="00F317F5">
      <w:pPr>
        <w:spacing w:after="0" w:line="240" w:lineRule="auto"/>
        <w:jc w:val="both"/>
        <w:rPr>
          <w:rFonts w:ascii="Verdana" w:eastAsia="Calibri" w:hAnsi="Verdana" w:cs="Arial"/>
          <w:b/>
          <w:color w:val="000000" w:themeColor="text1"/>
          <w:lang w:val="es-ES_tradnl"/>
        </w:rPr>
      </w:pPr>
      <w:r w:rsidRPr="003F62F9">
        <w:rPr>
          <w:rFonts w:ascii="Verdana" w:eastAsia="Arial" w:hAnsi="Verdana" w:cs="Arial"/>
          <w:b/>
          <w:lang w:val="es-ES_tradnl"/>
        </w:rPr>
        <w:t>PRINCIPIO DE PUBLICIDAD – SECOP – Documentos del proceso – Deber de publicación</w:t>
      </w:r>
    </w:p>
    <w:p w14:paraId="1F1F74B2" w14:textId="77777777" w:rsidR="00F317F5" w:rsidRPr="003F62F9" w:rsidRDefault="00F317F5" w:rsidP="00F317F5">
      <w:pPr>
        <w:spacing w:after="0" w:line="240" w:lineRule="auto"/>
        <w:jc w:val="both"/>
        <w:rPr>
          <w:rFonts w:ascii="Verdana" w:eastAsia="Calibri" w:hAnsi="Verdana" w:cs="Arial"/>
          <w:color w:val="000000" w:themeColor="text1"/>
          <w:lang w:val="es-ES_tradnl"/>
        </w:rPr>
      </w:pPr>
    </w:p>
    <w:p w14:paraId="14CC84E4" w14:textId="77777777" w:rsidR="00F317F5" w:rsidRPr="003F62F9" w:rsidRDefault="00F317F5" w:rsidP="00F317F5">
      <w:pPr>
        <w:spacing w:after="0" w:line="240" w:lineRule="auto"/>
        <w:jc w:val="both"/>
        <w:rPr>
          <w:rFonts w:ascii="Verdana" w:eastAsia="Calibri" w:hAnsi="Verdana" w:cs="Arial"/>
          <w:color w:val="000000" w:themeColor="text1"/>
          <w:sz w:val="20"/>
          <w:szCs w:val="20"/>
          <w:lang w:val="es-ES"/>
        </w:rPr>
      </w:pPr>
      <w:r w:rsidRPr="003F62F9">
        <w:rPr>
          <w:rFonts w:ascii="Verdana" w:eastAsia="Calibri" w:hAnsi="Verdana" w:cs="Arial"/>
          <w:color w:val="000000" w:themeColor="text1"/>
          <w:sz w:val="20"/>
          <w:szCs w:val="20"/>
          <w:lang w:val="es-ES"/>
        </w:rPr>
        <w:t>[…]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0512E976" w14:textId="77777777" w:rsidR="00F317F5" w:rsidRPr="003F62F9" w:rsidRDefault="00F317F5" w:rsidP="00F317F5">
      <w:pPr>
        <w:spacing w:after="0" w:line="240" w:lineRule="auto"/>
        <w:jc w:val="both"/>
        <w:rPr>
          <w:rFonts w:ascii="Verdana" w:eastAsia="Calibri" w:hAnsi="Verdana" w:cs="Arial"/>
          <w:color w:val="000000" w:themeColor="text1"/>
          <w:sz w:val="20"/>
          <w:szCs w:val="20"/>
          <w:lang w:val="es-ES"/>
        </w:rPr>
      </w:pPr>
    </w:p>
    <w:p w14:paraId="4193040C" w14:textId="77777777" w:rsidR="00F317F5" w:rsidRPr="003F62F9" w:rsidRDefault="00F317F5" w:rsidP="00F317F5">
      <w:pPr>
        <w:spacing w:after="0" w:line="240" w:lineRule="auto"/>
        <w:jc w:val="both"/>
        <w:rPr>
          <w:rFonts w:ascii="Verdana" w:eastAsia="Calibri" w:hAnsi="Verdana" w:cs="Arial"/>
          <w:color w:val="000000" w:themeColor="text1"/>
          <w:sz w:val="20"/>
          <w:szCs w:val="20"/>
          <w:lang w:val="es-ES"/>
        </w:rPr>
      </w:pPr>
      <w:r w:rsidRPr="003F62F9">
        <w:rPr>
          <w:rFonts w:ascii="Verdana" w:eastAsia="Calibri" w:hAnsi="Verdana" w:cs="Arial"/>
          <w:color w:val="000000" w:themeColor="text1"/>
          <w:sz w:val="20"/>
          <w:szCs w:val="20"/>
          <w:lang w:val="es-ES"/>
        </w:rPr>
        <w:t>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encuentre sometida a un régimen contractual de derecho privado no excluye, por sí mismo, el deber de publicidad respecto de la contratación financiada con recursos públicos.</w:t>
      </w:r>
    </w:p>
    <w:p w14:paraId="400F1255" w14:textId="77777777" w:rsidR="00F317F5" w:rsidRPr="003F62F9" w:rsidRDefault="00F317F5" w:rsidP="00F317F5">
      <w:pPr>
        <w:spacing w:after="0" w:line="240" w:lineRule="auto"/>
        <w:jc w:val="both"/>
        <w:rPr>
          <w:rFonts w:ascii="Verdana" w:eastAsia="Arial" w:hAnsi="Verdana" w:cs="Arial"/>
          <w:b/>
          <w:bCs/>
        </w:rPr>
      </w:pPr>
    </w:p>
    <w:p w14:paraId="1D3F15C8" w14:textId="77777777" w:rsidR="00F317F5" w:rsidRPr="003F62F9" w:rsidRDefault="00F317F5" w:rsidP="00F317F5">
      <w:pPr>
        <w:spacing w:after="0" w:line="240" w:lineRule="auto"/>
        <w:jc w:val="both"/>
        <w:rPr>
          <w:rFonts w:ascii="Verdana" w:eastAsia="Calibri" w:hAnsi="Verdana" w:cs="Arial"/>
          <w:b/>
          <w:bCs/>
          <w:color w:val="000000" w:themeColor="text1"/>
        </w:rPr>
      </w:pPr>
      <w:r w:rsidRPr="003F62F9">
        <w:rPr>
          <w:rFonts w:ascii="Verdana" w:eastAsia="Arial" w:hAnsi="Verdana" w:cs="Arial"/>
          <w:b/>
          <w:bCs/>
        </w:rPr>
        <w:lastRenderedPageBreak/>
        <w:t>DEBER DE PUBLICIDAD – Sujetos Obligados</w:t>
      </w:r>
    </w:p>
    <w:p w14:paraId="18335766" w14:textId="77777777" w:rsidR="00F317F5" w:rsidRPr="003F62F9" w:rsidRDefault="00F317F5" w:rsidP="00F317F5">
      <w:pPr>
        <w:spacing w:before="120" w:line="240" w:lineRule="auto"/>
        <w:jc w:val="both"/>
        <w:rPr>
          <w:rFonts w:ascii="Verdana" w:eastAsia="Calibri" w:hAnsi="Verdana" w:cs="Arial"/>
          <w:color w:val="000000" w:themeColor="text1"/>
          <w:sz w:val="20"/>
          <w:szCs w:val="20"/>
          <w:lang w:val="es-ES"/>
        </w:rPr>
      </w:pPr>
      <w:r w:rsidRPr="003F62F9">
        <w:rPr>
          <w:rFonts w:ascii="Verdana" w:hAnsi="Verdana" w:cs="Arial"/>
          <w:color w:val="000000" w:themeColor="text1"/>
          <w:sz w:val="20"/>
          <w:szCs w:val="20"/>
          <w:lang w:val="es-ES"/>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w:t>
      </w:r>
      <w:r w:rsidRPr="003F62F9">
        <w:rPr>
          <w:rFonts w:ascii="Verdana" w:hAnsi="Verdana" w:cs="Arial"/>
          <w:color w:val="000000" w:themeColor="text1"/>
          <w:sz w:val="20"/>
          <w:szCs w:val="20"/>
          <w:lang w:val="es-ES_tradnl"/>
        </w:rPr>
        <w:softHyphen/>
      </w:r>
      <w:r w:rsidRPr="003F62F9">
        <w:rPr>
          <w:rFonts w:ascii="Verdana" w:hAnsi="Verdana" w:cs="Arial"/>
          <w:color w:val="000000" w:themeColor="text1"/>
          <w:sz w:val="20"/>
          <w:szCs w:val="20"/>
          <w:lang w:val="es-ES"/>
        </w:rPr>
        <w:t xml:space="preserve"> </w:t>
      </w:r>
      <w:r w:rsidRPr="003F62F9">
        <w:rPr>
          <w:rFonts w:ascii="Verdana" w:hAnsi="Verdana" w:cs="Arial"/>
          <w:color w:val="000000" w:themeColor="text1"/>
          <w:sz w:val="20"/>
          <w:szCs w:val="20"/>
          <w:lang w:val="es-ES_tradnl"/>
        </w:rPr>
        <w:softHyphen/>
      </w:r>
      <w:r w:rsidRPr="003F62F9">
        <w:rPr>
          <w:rFonts w:ascii="Verdana" w:hAnsi="Verdana" w:cs="Arial"/>
          <w:color w:val="000000" w:themeColor="text1"/>
          <w:sz w:val="20"/>
          <w:szCs w:val="20"/>
          <w:lang w:val="es-ES"/>
        </w:rPr>
        <w:t>SECOP–.</w:t>
      </w:r>
    </w:p>
    <w:p w14:paraId="04ACB14F" w14:textId="77777777" w:rsidR="00F317F5" w:rsidRPr="003F62F9" w:rsidRDefault="00F317F5" w:rsidP="00F317F5">
      <w:pPr>
        <w:spacing w:line="276" w:lineRule="auto"/>
        <w:jc w:val="both"/>
        <w:rPr>
          <w:rFonts w:ascii="Verdana" w:eastAsia="Arial" w:hAnsi="Verdana" w:cs="Arial"/>
          <w:b/>
          <w:bCs/>
        </w:rPr>
      </w:pPr>
      <w:r w:rsidRPr="003F62F9">
        <w:rPr>
          <w:rFonts w:ascii="Verdana" w:eastAsia="Arial" w:hAnsi="Verdana" w:cs="Arial"/>
          <w:b/>
          <w:bCs/>
        </w:rPr>
        <w:t>EPS</w:t>
      </w:r>
      <w:r w:rsidRPr="003F62F9">
        <w:rPr>
          <w:rFonts w:ascii="Verdana" w:eastAsia="Arial" w:hAnsi="Verdana" w:cs="Arial"/>
          <w:b/>
          <w:bCs/>
          <w:color w:val="C00000"/>
        </w:rPr>
        <w:t xml:space="preserve">– </w:t>
      </w:r>
      <w:r w:rsidRPr="003F62F9">
        <w:rPr>
          <w:rFonts w:ascii="Verdana" w:eastAsia="Arial" w:hAnsi="Verdana" w:cs="Arial"/>
          <w:b/>
          <w:bCs/>
        </w:rPr>
        <w:t xml:space="preserve">Naturaleza Jurídica – Formas organizativas </w:t>
      </w:r>
      <w:r w:rsidRPr="003F62F9">
        <w:rPr>
          <w:rFonts w:ascii="Verdana" w:eastAsia="Arial" w:hAnsi="Verdana" w:cs="Arial"/>
          <w:b/>
          <w:bCs/>
          <w:lang w:val="es-ES"/>
        </w:rPr>
        <w:t>–</w:t>
      </w:r>
      <w:r w:rsidRPr="003F62F9">
        <w:rPr>
          <w:rFonts w:ascii="Verdana" w:eastAsia="Arial" w:hAnsi="Verdana" w:cs="Arial"/>
          <w:b/>
          <w:bCs/>
        </w:rPr>
        <w:t xml:space="preserve"> Deber de publicidad – Sujetos Obligados – Particulares que gestionan recursos públicos – Entidades de Régimen Especial </w:t>
      </w:r>
    </w:p>
    <w:p w14:paraId="701AE196" w14:textId="77777777" w:rsidR="00F317F5" w:rsidRPr="003F62F9" w:rsidRDefault="00F317F5" w:rsidP="00F317F5">
      <w:pPr>
        <w:spacing w:after="120" w:line="240" w:lineRule="auto"/>
        <w:jc w:val="both"/>
        <w:rPr>
          <w:rFonts w:ascii="Verdana" w:eastAsia="Calibri" w:hAnsi="Verdana" w:cs="Times New Roman"/>
          <w:sz w:val="20"/>
          <w:szCs w:val="20"/>
        </w:rPr>
      </w:pPr>
      <w:r w:rsidRPr="003F62F9">
        <w:rPr>
          <w:rFonts w:ascii="Verdana" w:eastAsia="Calibri" w:hAnsi="Verdana" w:cs="Times New Roman"/>
          <w:sz w:val="20"/>
          <w:szCs w:val="20"/>
        </w:rPr>
        <w:t>Frente a la obligación de las Entidades Promotoras de Salud –EPS– de publicar su contratación en el Sistema Electrónico para la Contratación Pública –SECOP–, resulta pertinente señalar que el análisis debe partir de su naturaleza jurídica y de la fuente de los recursos con los cuales se financia la contratación. Al respecto, el artículo 180 de la Ley 100 de 1993 establece que las EPS pueden ser de naturaleza pública, privada o mixta. No obstante, independientemente de su naturaleza jurídica, las EPS, en su calidad de actores del Sistema General de Seguridad Social en Salud, administran recursos públicos, circunstancia que ha sido reconocida por la Agencia Nacional de Contratación Pública –Colombia Compra Eficiente–.</w:t>
      </w:r>
    </w:p>
    <w:p w14:paraId="524D390B" w14:textId="77777777" w:rsidR="00F317F5" w:rsidRPr="003F62F9" w:rsidRDefault="00F317F5" w:rsidP="00F317F5">
      <w:pPr>
        <w:spacing w:after="120" w:line="240" w:lineRule="auto"/>
        <w:jc w:val="both"/>
        <w:rPr>
          <w:rFonts w:ascii="Verdana" w:eastAsia="Calibri" w:hAnsi="Verdana" w:cs="Times New Roman"/>
          <w:sz w:val="20"/>
          <w:szCs w:val="20"/>
        </w:rPr>
      </w:pPr>
      <w:r w:rsidRPr="003F62F9">
        <w:rPr>
          <w:rFonts w:ascii="Verdana" w:eastAsia="Calibri" w:hAnsi="Verdana" w:cs="Times New Roman"/>
          <w:sz w:val="20"/>
          <w:szCs w:val="20"/>
        </w:rPr>
        <w:t>En este sentido,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77923714" w14:textId="77777777" w:rsidR="00F317F5" w:rsidRPr="003F62F9" w:rsidRDefault="00F317F5" w:rsidP="00F317F5">
      <w:pPr>
        <w:spacing w:after="120" w:line="240" w:lineRule="auto"/>
        <w:jc w:val="both"/>
        <w:rPr>
          <w:rFonts w:ascii="Verdana" w:eastAsia="Calibri" w:hAnsi="Verdana" w:cs="Times New Roman"/>
          <w:sz w:val="20"/>
          <w:szCs w:val="20"/>
        </w:rPr>
      </w:pPr>
      <w:r w:rsidRPr="003F62F9">
        <w:rPr>
          <w:rFonts w:ascii="Verdana" w:eastAsia="Calibri" w:hAnsi="Verdana" w:cs="Times New Roman"/>
          <w:sz w:val="20"/>
          <w:szCs w:val="20"/>
        </w:rPr>
        <w:t xml:space="preserve">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w:t>
      </w:r>
      <w:r w:rsidRPr="003F62F9">
        <w:rPr>
          <w:rFonts w:ascii="Verdana" w:eastAsia="Calibri" w:hAnsi="Verdana" w:cs="Times New Roman"/>
          <w:sz w:val="20"/>
          <w:szCs w:val="20"/>
        </w:rPr>
        <w:lastRenderedPageBreak/>
        <w:t>encuentre sometida a un régimen contractual de derecho privado no excluye, por sí mismo, el deber de publicidad respecto de la contratación financiada con recursos públicos.</w:t>
      </w:r>
    </w:p>
    <w:p w14:paraId="633D7F6E" w14:textId="77777777" w:rsidR="00F317F5" w:rsidRPr="003F62F9" w:rsidRDefault="00F317F5" w:rsidP="30821638">
      <w:pPr>
        <w:spacing w:after="0"/>
        <w:rPr>
          <w:rFonts w:ascii="Verdana" w:eastAsia="Verdana" w:hAnsi="Verdana" w:cs="Verdana"/>
        </w:rPr>
      </w:pPr>
    </w:p>
    <w:p w14:paraId="7D7FAD1E" w14:textId="77777777" w:rsidR="00F317F5" w:rsidRPr="003F62F9" w:rsidRDefault="00F317F5" w:rsidP="30821638">
      <w:pPr>
        <w:spacing w:after="0"/>
        <w:rPr>
          <w:rFonts w:ascii="Verdana" w:eastAsia="Verdana" w:hAnsi="Verdana" w:cs="Verdana"/>
        </w:rPr>
      </w:pPr>
    </w:p>
    <w:p w14:paraId="657A8F01" w14:textId="77777777" w:rsidR="00F317F5" w:rsidRPr="003F62F9" w:rsidRDefault="00F317F5" w:rsidP="30821638">
      <w:pPr>
        <w:spacing w:after="0"/>
        <w:rPr>
          <w:rFonts w:ascii="Verdana" w:eastAsia="Verdana" w:hAnsi="Verdana" w:cs="Verdana"/>
        </w:rPr>
      </w:pPr>
    </w:p>
    <w:p w14:paraId="3A079C1E" w14:textId="77777777" w:rsidR="00F317F5" w:rsidRPr="003F62F9" w:rsidRDefault="00F317F5" w:rsidP="30821638">
      <w:pPr>
        <w:spacing w:after="0"/>
        <w:rPr>
          <w:rFonts w:ascii="Verdana" w:eastAsia="Verdana" w:hAnsi="Verdana" w:cs="Verdana"/>
        </w:rPr>
      </w:pPr>
    </w:p>
    <w:p w14:paraId="16F62976" w14:textId="77777777" w:rsidR="00F317F5" w:rsidRPr="003F62F9" w:rsidRDefault="00F317F5" w:rsidP="30821638">
      <w:pPr>
        <w:spacing w:after="0"/>
        <w:rPr>
          <w:rFonts w:ascii="Verdana" w:eastAsia="Verdana" w:hAnsi="Verdana" w:cs="Verdana"/>
        </w:rPr>
      </w:pPr>
    </w:p>
    <w:p w14:paraId="55E1029C" w14:textId="77777777" w:rsidR="00F317F5" w:rsidRPr="003F62F9" w:rsidRDefault="00F317F5" w:rsidP="30821638">
      <w:pPr>
        <w:spacing w:after="0"/>
        <w:rPr>
          <w:rFonts w:ascii="Verdana" w:eastAsia="Verdana" w:hAnsi="Verdana" w:cs="Verdana"/>
        </w:rPr>
      </w:pPr>
    </w:p>
    <w:p w14:paraId="627D1216" w14:textId="77777777" w:rsidR="00F317F5" w:rsidRPr="003F62F9" w:rsidRDefault="00F317F5" w:rsidP="30821638">
      <w:pPr>
        <w:spacing w:after="0"/>
        <w:rPr>
          <w:rFonts w:ascii="Verdana" w:eastAsia="Verdana" w:hAnsi="Verdana" w:cs="Verdana"/>
        </w:rPr>
      </w:pPr>
    </w:p>
    <w:p w14:paraId="71FEE244" w14:textId="77777777" w:rsidR="00F317F5" w:rsidRPr="003F62F9" w:rsidRDefault="00F317F5" w:rsidP="30821638">
      <w:pPr>
        <w:spacing w:after="0"/>
        <w:rPr>
          <w:rFonts w:ascii="Verdana" w:eastAsia="Verdana" w:hAnsi="Verdana" w:cs="Verdana"/>
        </w:rPr>
      </w:pPr>
    </w:p>
    <w:p w14:paraId="2F7BFA9E" w14:textId="77777777" w:rsidR="00F317F5" w:rsidRPr="003F62F9" w:rsidRDefault="00F317F5" w:rsidP="30821638">
      <w:pPr>
        <w:spacing w:after="0"/>
        <w:rPr>
          <w:rFonts w:ascii="Verdana" w:eastAsia="Verdana" w:hAnsi="Verdana" w:cs="Verdana"/>
        </w:rPr>
      </w:pPr>
    </w:p>
    <w:p w14:paraId="356317F8" w14:textId="77777777" w:rsidR="00F317F5" w:rsidRPr="003F62F9" w:rsidRDefault="00F317F5" w:rsidP="30821638">
      <w:pPr>
        <w:spacing w:after="0"/>
        <w:rPr>
          <w:rFonts w:ascii="Verdana" w:eastAsia="Verdana" w:hAnsi="Verdana" w:cs="Verdana"/>
        </w:rPr>
      </w:pPr>
    </w:p>
    <w:p w14:paraId="21964B07" w14:textId="77777777" w:rsidR="00F317F5" w:rsidRPr="003F62F9" w:rsidRDefault="00F317F5" w:rsidP="30821638">
      <w:pPr>
        <w:spacing w:after="0"/>
        <w:rPr>
          <w:rFonts w:ascii="Verdana" w:eastAsia="Verdana" w:hAnsi="Verdana" w:cs="Verdana"/>
        </w:rPr>
      </w:pPr>
    </w:p>
    <w:p w14:paraId="46C62821" w14:textId="77777777" w:rsidR="00F317F5" w:rsidRPr="003F62F9" w:rsidRDefault="00F317F5" w:rsidP="30821638">
      <w:pPr>
        <w:spacing w:after="0"/>
        <w:rPr>
          <w:rFonts w:ascii="Verdana" w:eastAsia="Verdana" w:hAnsi="Verdana" w:cs="Verdana"/>
        </w:rPr>
      </w:pPr>
    </w:p>
    <w:p w14:paraId="4AB4943F" w14:textId="77777777" w:rsidR="00F317F5" w:rsidRPr="003F62F9" w:rsidRDefault="00F317F5" w:rsidP="30821638">
      <w:pPr>
        <w:spacing w:after="0"/>
        <w:rPr>
          <w:rFonts w:ascii="Verdana" w:eastAsia="Verdana" w:hAnsi="Verdana" w:cs="Verdana"/>
        </w:rPr>
      </w:pPr>
    </w:p>
    <w:p w14:paraId="27215D8B" w14:textId="77777777" w:rsidR="00F317F5" w:rsidRPr="003F62F9" w:rsidRDefault="00F317F5" w:rsidP="30821638">
      <w:pPr>
        <w:spacing w:after="0"/>
        <w:rPr>
          <w:rFonts w:ascii="Verdana" w:eastAsia="Verdana" w:hAnsi="Verdana" w:cs="Verdana"/>
        </w:rPr>
      </w:pPr>
    </w:p>
    <w:p w14:paraId="33A05471" w14:textId="77777777" w:rsidR="00F317F5" w:rsidRPr="003F62F9" w:rsidRDefault="00F317F5" w:rsidP="30821638">
      <w:pPr>
        <w:spacing w:after="0"/>
        <w:rPr>
          <w:rFonts w:ascii="Verdana" w:eastAsia="Verdana" w:hAnsi="Verdana" w:cs="Verdana"/>
        </w:rPr>
      </w:pPr>
    </w:p>
    <w:p w14:paraId="7223C92E" w14:textId="77777777" w:rsidR="00F317F5" w:rsidRPr="003F62F9" w:rsidRDefault="00F317F5" w:rsidP="30821638">
      <w:pPr>
        <w:spacing w:after="0"/>
        <w:rPr>
          <w:rFonts w:ascii="Verdana" w:eastAsia="Verdana" w:hAnsi="Verdana" w:cs="Verdana"/>
        </w:rPr>
      </w:pPr>
    </w:p>
    <w:p w14:paraId="64DC71E5" w14:textId="77777777" w:rsidR="00F317F5" w:rsidRPr="003F62F9" w:rsidRDefault="00F317F5" w:rsidP="30821638">
      <w:pPr>
        <w:spacing w:after="0"/>
        <w:rPr>
          <w:rFonts w:ascii="Verdana" w:eastAsia="Verdana" w:hAnsi="Verdana" w:cs="Verdana"/>
        </w:rPr>
      </w:pPr>
    </w:p>
    <w:p w14:paraId="3DCEDD27" w14:textId="77777777" w:rsidR="00F317F5" w:rsidRPr="003F62F9" w:rsidRDefault="00F317F5" w:rsidP="30821638">
      <w:pPr>
        <w:spacing w:after="0"/>
        <w:rPr>
          <w:rFonts w:ascii="Verdana" w:eastAsia="Verdana" w:hAnsi="Verdana" w:cs="Verdana"/>
        </w:rPr>
      </w:pPr>
    </w:p>
    <w:p w14:paraId="5A3194E6" w14:textId="77777777" w:rsidR="00F317F5" w:rsidRPr="003F62F9" w:rsidRDefault="00F317F5" w:rsidP="30821638">
      <w:pPr>
        <w:spacing w:after="0"/>
        <w:rPr>
          <w:rFonts w:ascii="Verdana" w:eastAsia="Verdana" w:hAnsi="Verdana" w:cs="Verdana"/>
        </w:rPr>
      </w:pPr>
    </w:p>
    <w:p w14:paraId="59C586E1" w14:textId="77777777" w:rsidR="00F317F5" w:rsidRPr="003F62F9" w:rsidRDefault="00F317F5" w:rsidP="30821638">
      <w:pPr>
        <w:spacing w:after="0"/>
        <w:rPr>
          <w:rFonts w:ascii="Verdana" w:eastAsia="Verdana" w:hAnsi="Verdana" w:cs="Verdana"/>
        </w:rPr>
      </w:pPr>
    </w:p>
    <w:p w14:paraId="2E58A549" w14:textId="77777777" w:rsidR="00F317F5" w:rsidRPr="003F62F9" w:rsidRDefault="00F317F5" w:rsidP="30821638">
      <w:pPr>
        <w:spacing w:after="0"/>
        <w:rPr>
          <w:rFonts w:ascii="Verdana" w:eastAsia="Verdana" w:hAnsi="Verdana" w:cs="Verdana"/>
        </w:rPr>
      </w:pPr>
    </w:p>
    <w:p w14:paraId="676B3507" w14:textId="77777777" w:rsidR="00F317F5" w:rsidRPr="003F62F9" w:rsidRDefault="00F317F5" w:rsidP="30821638">
      <w:pPr>
        <w:spacing w:after="0"/>
        <w:rPr>
          <w:rFonts w:ascii="Verdana" w:eastAsia="Verdana" w:hAnsi="Verdana" w:cs="Verdana"/>
        </w:rPr>
      </w:pPr>
    </w:p>
    <w:p w14:paraId="6759C114" w14:textId="77777777" w:rsidR="00F317F5" w:rsidRPr="003F62F9" w:rsidRDefault="00F317F5" w:rsidP="30821638">
      <w:pPr>
        <w:spacing w:after="0"/>
        <w:rPr>
          <w:rFonts w:ascii="Verdana" w:eastAsia="Verdana" w:hAnsi="Verdana" w:cs="Verdana"/>
        </w:rPr>
      </w:pPr>
    </w:p>
    <w:p w14:paraId="329F343D" w14:textId="77777777" w:rsidR="00F317F5" w:rsidRPr="003F62F9" w:rsidRDefault="00F317F5" w:rsidP="30821638">
      <w:pPr>
        <w:spacing w:after="0"/>
        <w:rPr>
          <w:rFonts w:ascii="Verdana" w:eastAsia="Verdana" w:hAnsi="Verdana" w:cs="Verdana"/>
        </w:rPr>
      </w:pPr>
    </w:p>
    <w:p w14:paraId="49FF6D39" w14:textId="77777777" w:rsidR="00F317F5" w:rsidRPr="003F62F9" w:rsidRDefault="00F317F5" w:rsidP="30821638">
      <w:pPr>
        <w:spacing w:after="0"/>
        <w:rPr>
          <w:rFonts w:ascii="Verdana" w:eastAsia="Verdana" w:hAnsi="Verdana" w:cs="Verdana"/>
        </w:rPr>
      </w:pPr>
    </w:p>
    <w:p w14:paraId="205CE32B" w14:textId="77777777" w:rsidR="00F317F5" w:rsidRPr="003F62F9" w:rsidRDefault="00F317F5" w:rsidP="30821638">
      <w:pPr>
        <w:spacing w:after="0"/>
        <w:rPr>
          <w:rFonts w:ascii="Verdana" w:eastAsia="Verdana" w:hAnsi="Verdana" w:cs="Verdana"/>
        </w:rPr>
      </w:pPr>
    </w:p>
    <w:p w14:paraId="26410C21" w14:textId="77777777" w:rsidR="00F317F5" w:rsidRPr="003F62F9" w:rsidRDefault="00F317F5" w:rsidP="30821638">
      <w:pPr>
        <w:spacing w:after="0"/>
        <w:rPr>
          <w:rFonts w:ascii="Verdana" w:eastAsia="Verdana" w:hAnsi="Verdana" w:cs="Verdana"/>
        </w:rPr>
      </w:pPr>
    </w:p>
    <w:p w14:paraId="15639C55" w14:textId="77777777" w:rsidR="00F317F5" w:rsidRPr="003F62F9" w:rsidRDefault="00F317F5" w:rsidP="30821638">
      <w:pPr>
        <w:spacing w:after="0"/>
        <w:rPr>
          <w:rFonts w:ascii="Verdana" w:eastAsia="Verdana" w:hAnsi="Verdana" w:cs="Verdana"/>
        </w:rPr>
      </w:pPr>
    </w:p>
    <w:p w14:paraId="740618F8" w14:textId="77777777" w:rsidR="00F317F5" w:rsidRPr="003F62F9" w:rsidRDefault="00F317F5" w:rsidP="30821638">
      <w:pPr>
        <w:spacing w:after="0"/>
        <w:rPr>
          <w:rFonts w:ascii="Verdana" w:eastAsia="Verdana" w:hAnsi="Verdana" w:cs="Verdana"/>
        </w:rPr>
      </w:pPr>
    </w:p>
    <w:p w14:paraId="6C6DAD9E" w14:textId="77777777" w:rsidR="00F317F5" w:rsidRPr="003F62F9" w:rsidRDefault="00F317F5" w:rsidP="30821638">
      <w:pPr>
        <w:spacing w:after="0"/>
        <w:rPr>
          <w:rFonts w:ascii="Verdana" w:eastAsia="Verdana" w:hAnsi="Verdana" w:cs="Verdana"/>
        </w:rPr>
      </w:pPr>
    </w:p>
    <w:p w14:paraId="12FE2188" w14:textId="77777777" w:rsidR="00F317F5" w:rsidRPr="003F62F9" w:rsidRDefault="00F317F5" w:rsidP="30821638">
      <w:pPr>
        <w:spacing w:after="0"/>
        <w:rPr>
          <w:rFonts w:ascii="Verdana" w:eastAsia="Verdana" w:hAnsi="Verdana" w:cs="Verdana"/>
        </w:rPr>
      </w:pPr>
    </w:p>
    <w:p w14:paraId="06C4F4A1" w14:textId="77777777" w:rsidR="00F317F5" w:rsidRPr="003F62F9" w:rsidRDefault="00F317F5" w:rsidP="30821638">
      <w:pPr>
        <w:spacing w:after="0"/>
        <w:rPr>
          <w:rFonts w:ascii="Verdana" w:eastAsia="Verdana" w:hAnsi="Verdana" w:cs="Verdana"/>
        </w:rPr>
      </w:pPr>
    </w:p>
    <w:p w14:paraId="4F3AD201" w14:textId="77777777" w:rsidR="00F317F5" w:rsidRPr="003F62F9" w:rsidRDefault="00F317F5" w:rsidP="30821638">
      <w:pPr>
        <w:spacing w:after="0"/>
        <w:rPr>
          <w:rFonts w:ascii="Verdana" w:eastAsia="Verdana" w:hAnsi="Verdana" w:cs="Verdana"/>
        </w:rPr>
      </w:pPr>
    </w:p>
    <w:p w14:paraId="43E9F5D4" w14:textId="77777777" w:rsidR="00F317F5" w:rsidRPr="003F62F9" w:rsidRDefault="00F317F5" w:rsidP="30821638">
      <w:pPr>
        <w:spacing w:after="0"/>
        <w:rPr>
          <w:rFonts w:ascii="Verdana" w:eastAsia="Verdana" w:hAnsi="Verdana" w:cs="Verdana"/>
        </w:rPr>
      </w:pPr>
    </w:p>
    <w:p w14:paraId="624C4457" w14:textId="77777777" w:rsidR="00F317F5" w:rsidRPr="003F62F9" w:rsidRDefault="00F317F5" w:rsidP="30821638">
      <w:pPr>
        <w:spacing w:after="0"/>
        <w:rPr>
          <w:rFonts w:ascii="Verdana" w:eastAsia="Verdana" w:hAnsi="Verdana" w:cs="Verdana"/>
        </w:rPr>
      </w:pPr>
    </w:p>
    <w:p w14:paraId="1468C46D" w14:textId="111990E9" w:rsidR="00C15139" w:rsidRDefault="00C15139" w:rsidP="30821638">
      <w:pPr>
        <w:spacing w:after="0"/>
        <w:rPr>
          <w:rFonts w:ascii="Verdana" w:hAnsi="Verdana"/>
        </w:rPr>
      </w:pPr>
      <w:r w:rsidRPr="003F62F9">
        <w:rPr>
          <w:rFonts w:ascii="Verdana" w:eastAsia="Verdana" w:hAnsi="Verdana" w:cs="Verdana"/>
        </w:rPr>
        <w:lastRenderedPageBreak/>
        <w:t xml:space="preserve">Bogotá D.C., </w:t>
      </w:r>
      <w:r w:rsidR="00436A45">
        <w:rPr>
          <w:rFonts w:ascii="Verdana" w:eastAsia="Verdana" w:hAnsi="Verdana" w:cs="Verdana"/>
        </w:rPr>
        <w:t>13 de octubre del 2026</w:t>
      </w:r>
      <w:r w:rsidRPr="003F62F9">
        <w:rPr>
          <w:rFonts w:ascii="Verdana" w:hAnsi="Verdana"/>
        </w:rPr>
        <w:br/>
      </w:r>
    </w:p>
    <w:p w14:paraId="5DB6ADB5" w14:textId="22938080" w:rsidR="0032399E" w:rsidRDefault="008A5340" w:rsidP="008A5340">
      <w:pPr>
        <w:spacing w:after="0"/>
        <w:jc w:val="right"/>
        <w:rPr>
          <w:rFonts w:ascii="Verdana" w:hAnsi="Verdana"/>
        </w:rPr>
      </w:pPr>
      <w:r w:rsidRPr="008A5340">
        <w:rPr>
          <w:rFonts w:ascii="Verdana" w:hAnsi="Verdana"/>
          <w:noProof/>
        </w:rPr>
        <w:drawing>
          <wp:inline distT="0" distB="0" distL="0" distR="0" wp14:anchorId="51EEB258" wp14:editId="6ADED18C">
            <wp:extent cx="2543175" cy="752475"/>
            <wp:effectExtent l="0" t="0" r="9525" b="9525"/>
            <wp:docPr id="6487841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3175" cy="752475"/>
                    </a:xfrm>
                    <a:prstGeom prst="rect">
                      <a:avLst/>
                    </a:prstGeom>
                    <a:noFill/>
                    <a:ln>
                      <a:noFill/>
                    </a:ln>
                  </pic:spPr>
                </pic:pic>
              </a:graphicData>
            </a:graphic>
          </wp:inline>
        </w:drawing>
      </w:r>
    </w:p>
    <w:p w14:paraId="52865287" w14:textId="19FDCA06" w:rsidR="004A2003" w:rsidRPr="003F62F9" w:rsidRDefault="004A2003" w:rsidP="004A2003">
      <w:pPr>
        <w:spacing w:after="0" w:line="240" w:lineRule="auto"/>
        <w:rPr>
          <w:rFonts w:ascii="Verdana" w:hAnsi="Verdana"/>
        </w:rPr>
      </w:pPr>
      <w:r w:rsidRPr="003F62F9">
        <w:rPr>
          <w:rFonts w:ascii="Verdana" w:eastAsia="Calibri" w:hAnsi="Verdana" w:cs="Arial"/>
          <w:lang w:val="es-ES" w:eastAsia="es-ES"/>
        </w:rPr>
        <w:t>Señora</w:t>
      </w:r>
    </w:p>
    <w:p w14:paraId="0618EB8C" w14:textId="77777777" w:rsidR="004A2003" w:rsidRPr="003F62F9" w:rsidRDefault="004A2003" w:rsidP="004A2003">
      <w:pPr>
        <w:spacing w:after="0" w:line="240" w:lineRule="auto"/>
        <w:jc w:val="both"/>
        <w:rPr>
          <w:rFonts w:ascii="Verdana" w:eastAsia="Calibri" w:hAnsi="Verdana" w:cs="Arial"/>
          <w:b/>
          <w:bCs/>
          <w:lang w:eastAsia="es-ES"/>
        </w:rPr>
      </w:pPr>
      <w:r w:rsidRPr="003F62F9">
        <w:rPr>
          <w:rFonts w:ascii="Verdana" w:eastAsia="Calibri" w:hAnsi="Verdana" w:cs="Arial"/>
          <w:b/>
          <w:bCs/>
          <w:lang w:eastAsia="es-ES"/>
        </w:rPr>
        <w:t>María Elizabeth Muñoz Ramos</w:t>
      </w:r>
    </w:p>
    <w:p w14:paraId="05111FEC" w14:textId="77777777" w:rsidR="004A2003" w:rsidRPr="003F62F9" w:rsidRDefault="004A2003" w:rsidP="004A2003">
      <w:pPr>
        <w:spacing w:after="0" w:line="240" w:lineRule="auto"/>
        <w:jc w:val="both"/>
        <w:rPr>
          <w:rFonts w:ascii="Verdana" w:eastAsia="Calibri" w:hAnsi="Verdana" w:cs="Arial"/>
          <w:lang w:eastAsia="es-ES"/>
        </w:rPr>
      </w:pPr>
      <w:r w:rsidRPr="003F62F9">
        <w:rPr>
          <w:rFonts w:ascii="Verdana" w:eastAsia="Calibri" w:hAnsi="Verdana" w:cs="Arial"/>
          <w:lang w:eastAsia="es-ES"/>
        </w:rPr>
        <w:t>Asociación Indígena del Cauca - AIC-ESP-I</w:t>
      </w:r>
    </w:p>
    <w:p w14:paraId="7D024DD6" w14:textId="77777777" w:rsidR="004A2003" w:rsidRPr="003F62F9" w:rsidRDefault="004A2003" w:rsidP="004A2003">
      <w:pPr>
        <w:spacing w:after="0" w:line="240" w:lineRule="auto"/>
        <w:jc w:val="both"/>
        <w:rPr>
          <w:rFonts w:ascii="Verdana" w:eastAsia="Calibri" w:hAnsi="Verdana" w:cs="Arial"/>
          <w:lang w:eastAsia="es-ES"/>
        </w:rPr>
      </w:pPr>
      <w:hyperlink r:id="rId11" w:history="1">
        <w:r w:rsidRPr="003F62F9">
          <w:rPr>
            <w:rStyle w:val="Hipervnculo"/>
            <w:rFonts w:ascii="Verdana" w:eastAsia="Calibri" w:hAnsi="Verdana" w:cs="Arial"/>
            <w:lang w:eastAsia="es-ES"/>
          </w:rPr>
          <w:t>notificacionesjudiciales@aicsalud.org.co</w:t>
        </w:r>
      </w:hyperlink>
      <w:r w:rsidRPr="003F62F9">
        <w:rPr>
          <w:rFonts w:ascii="Verdana" w:eastAsia="Calibri" w:hAnsi="Verdana" w:cs="Arial"/>
          <w:lang w:eastAsia="es-ES"/>
        </w:rPr>
        <w:t xml:space="preserve"> </w:t>
      </w:r>
    </w:p>
    <w:p w14:paraId="5C711848" w14:textId="77777777" w:rsidR="004A2003" w:rsidRPr="003F62F9" w:rsidRDefault="004A2003" w:rsidP="004A2003">
      <w:pPr>
        <w:spacing w:after="0" w:line="240" w:lineRule="auto"/>
        <w:rPr>
          <w:rFonts w:ascii="Verdana" w:eastAsia="Calibri" w:hAnsi="Verdana" w:cs="Arial"/>
          <w:lang w:val="es-ES_tradnl" w:eastAsia="es-ES"/>
        </w:rPr>
      </w:pPr>
      <w:r w:rsidRPr="003F62F9">
        <w:rPr>
          <w:rFonts w:ascii="Verdana" w:eastAsia="Calibri" w:hAnsi="Verdana" w:cs="Arial"/>
          <w:lang w:val="es-ES_tradnl" w:eastAsia="es-ES"/>
        </w:rPr>
        <w:t xml:space="preserve">Bogotá D.C. </w:t>
      </w:r>
    </w:p>
    <w:p w14:paraId="79BD60A3" w14:textId="77777777" w:rsidR="004A2003" w:rsidRPr="003F62F9" w:rsidRDefault="004A2003" w:rsidP="004A2003">
      <w:pPr>
        <w:spacing w:after="0" w:line="240" w:lineRule="auto"/>
        <w:rPr>
          <w:rFonts w:ascii="Verdana" w:eastAsia="Calibri" w:hAnsi="Verdana" w:cs="Arial"/>
          <w:b/>
          <w:bCs/>
          <w:lang w:val="es-ES_tradnl" w:eastAsia="es-ES_tradnl"/>
        </w:rPr>
      </w:pPr>
    </w:p>
    <w:p w14:paraId="71314F4A" w14:textId="75FCF2B1" w:rsidR="004A2003" w:rsidRPr="003F62F9" w:rsidRDefault="004A2003" w:rsidP="004A2003">
      <w:pPr>
        <w:spacing w:after="0" w:line="240" w:lineRule="auto"/>
        <w:rPr>
          <w:rFonts w:ascii="Verdana" w:eastAsia="Calibri" w:hAnsi="Verdana" w:cs="Arial"/>
          <w:b/>
          <w:bCs/>
          <w:lang w:val="es-ES_tradnl" w:eastAsia="es-ES_tradnl"/>
        </w:rPr>
      </w:pPr>
      <w:r w:rsidRPr="003F62F9">
        <w:rPr>
          <w:rFonts w:ascii="Verdana" w:eastAsia="Calibri" w:hAnsi="Verdana" w:cs="Arial"/>
          <w:b/>
          <w:bCs/>
          <w:lang w:val="es-ES_tradnl" w:eastAsia="es-ES_tradnl"/>
        </w:rPr>
        <w:t xml:space="preserve">                                   Concepto </w:t>
      </w:r>
      <w:r w:rsidR="00244093" w:rsidRPr="003F62F9">
        <w:rPr>
          <w:rFonts w:ascii="Verdana" w:eastAsia="Calibri" w:hAnsi="Verdana" w:cs="Arial"/>
          <w:b/>
          <w:bCs/>
          <w:lang w:val="es-ES_tradnl" w:eastAsia="es-ES_tradnl"/>
        </w:rPr>
        <w:t>C-1468</w:t>
      </w:r>
      <w:r w:rsidRPr="003F62F9">
        <w:rPr>
          <w:rFonts w:ascii="Verdana" w:eastAsia="Calibri" w:hAnsi="Verdana" w:cs="Arial"/>
          <w:b/>
          <w:bCs/>
          <w:lang w:val="es-ES_tradnl" w:eastAsia="es-ES_tradnl"/>
        </w:rPr>
        <w:t xml:space="preserve"> del 2026</w:t>
      </w:r>
    </w:p>
    <w:p w14:paraId="0BBBB050" w14:textId="77777777" w:rsidR="004A2003" w:rsidRPr="003F62F9" w:rsidRDefault="004A2003" w:rsidP="004A2003">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2003" w:rsidRPr="003F62F9" w14:paraId="3BDE0DED" w14:textId="77777777" w:rsidTr="00557526">
        <w:trPr>
          <w:trHeight w:val="884"/>
        </w:trPr>
        <w:tc>
          <w:tcPr>
            <w:tcW w:w="2689" w:type="dxa"/>
          </w:tcPr>
          <w:p w14:paraId="3A67AC3A" w14:textId="77777777" w:rsidR="004A2003" w:rsidRPr="003F62F9" w:rsidRDefault="004A2003" w:rsidP="00557526">
            <w:pPr>
              <w:jc w:val="both"/>
              <w:rPr>
                <w:rFonts w:ascii="Verdana" w:eastAsia="Calibri" w:hAnsi="Verdana" w:cs="Arial"/>
                <w:lang w:val="es-ES_tradnl" w:eastAsia="es-ES_tradnl"/>
              </w:rPr>
            </w:pPr>
            <w:r w:rsidRPr="003F62F9">
              <w:rPr>
                <w:rFonts w:ascii="Verdana" w:eastAsia="Calibri" w:hAnsi="Verdana" w:cs="Arial"/>
                <w:b/>
                <w:lang w:val="es-ES_tradnl" w:eastAsia="es-ES_tradnl"/>
              </w:rPr>
              <w:t>Temas:</w:t>
            </w:r>
            <w:r w:rsidRPr="003F62F9">
              <w:rPr>
                <w:rFonts w:ascii="Verdana" w:eastAsia="Calibri" w:hAnsi="Verdana" w:cs="Arial"/>
                <w:lang w:val="es-ES_tradnl" w:eastAsia="es-ES_tradnl"/>
              </w:rPr>
              <w:t xml:space="preserve">                   </w:t>
            </w:r>
          </w:p>
        </w:tc>
        <w:tc>
          <w:tcPr>
            <w:tcW w:w="6100" w:type="dxa"/>
          </w:tcPr>
          <w:p w14:paraId="36470BA1" w14:textId="77777777" w:rsidR="004A2003" w:rsidRPr="003F62F9" w:rsidRDefault="004A2003" w:rsidP="001B7B03">
            <w:pPr>
              <w:spacing w:line="276" w:lineRule="auto"/>
              <w:jc w:val="both"/>
              <w:rPr>
                <w:rFonts w:ascii="Verdana" w:eastAsia="Aptos" w:hAnsi="Verdana" w:cs="Times New Roman"/>
              </w:rPr>
            </w:pPr>
            <w:r w:rsidRPr="003F62F9">
              <w:rPr>
                <w:rFonts w:ascii="Verdana" w:eastAsia="Aptos" w:hAnsi="Verdana" w:cs="Times New Roman"/>
              </w:rPr>
              <w:t>PRINCIPIO DE PUBLICIDAD – Concepto – Fundamento axiológico – Fundamento constitucional / PRINCIPIO DE PUBLICIDAD – SECOP – Documentos del proceso – Deber de publicación / DEBER DE PUBLICIDAD – Sujetos Obligados / EPS– Naturaleza Jurídica – Formas organizativas – Deber de publicidad – Sujetos Obligados – Particulares que gestionan recursos públicos – Entidades de Régimen Especial</w:t>
            </w:r>
          </w:p>
          <w:p w14:paraId="5E96022B" w14:textId="77777777" w:rsidR="004A2003" w:rsidRPr="003F62F9" w:rsidRDefault="004A2003" w:rsidP="00557526">
            <w:pPr>
              <w:jc w:val="both"/>
              <w:rPr>
                <w:rFonts w:ascii="Verdana" w:eastAsia="Aptos" w:hAnsi="Verdana" w:cs="Times New Roman"/>
              </w:rPr>
            </w:pPr>
          </w:p>
        </w:tc>
      </w:tr>
      <w:tr w:rsidR="004A2003" w:rsidRPr="003F62F9" w14:paraId="72B8EDD1" w14:textId="77777777" w:rsidTr="00557526">
        <w:trPr>
          <w:trHeight w:val="342"/>
        </w:trPr>
        <w:tc>
          <w:tcPr>
            <w:tcW w:w="2689" w:type="dxa"/>
          </w:tcPr>
          <w:p w14:paraId="50C922ED" w14:textId="77777777" w:rsidR="004A2003" w:rsidRPr="003F62F9" w:rsidRDefault="004A2003" w:rsidP="00557526">
            <w:pPr>
              <w:jc w:val="both"/>
              <w:rPr>
                <w:rFonts w:ascii="Verdana" w:eastAsia="Calibri" w:hAnsi="Verdana" w:cs="Arial"/>
                <w:b/>
                <w:lang w:val="es-ES_tradnl" w:eastAsia="es-ES_tradnl"/>
              </w:rPr>
            </w:pPr>
            <w:r w:rsidRPr="003F62F9">
              <w:rPr>
                <w:rFonts w:ascii="Verdana" w:eastAsia="Calibri" w:hAnsi="Verdana" w:cs="Arial"/>
                <w:b/>
                <w:lang w:val="es-ES_tradnl" w:eastAsia="es-ES_tradnl"/>
              </w:rPr>
              <w:t>Radicación:</w:t>
            </w:r>
            <w:r w:rsidRPr="003F62F9">
              <w:rPr>
                <w:rFonts w:ascii="Verdana" w:eastAsia="Calibri" w:hAnsi="Verdana" w:cs="Arial"/>
                <w:lang w:val="es-ES_tradnl" w:eastAsia="es-ES_tradnl"/>
              </w:rPr>
              <w:t xml:space="preserve">               </w:t>
            </w:r>
          </w:p>
        </w:tc>
        <w:tc>
          <w:tcPr>
            <w:tcW w:w="6100" w:type="dxa"/>
          </w:tcPr>
          <w:p w14:paraId="4F4DB22B" w14:textId="746E8ED1" w:rsidR="004A2003" w:rsidRPr="003F62F9" w:rsidRDefault="004A2003" w:rsidP="001B7B03">
            <w:pPr>
              <w:spacing w:line="276" w:lineRule="auto"/>
              <w:jc w:val="both"/>
              <w:rPr>
                <w:rFonts w:ascii="Verdana" w:eastAsia="Calibri" w:hAnsi="Verdana" w:cs="Arial"/>
                <w:lang w:eastAsia="es-ES_tradnl"/>
              </w:rPr>
            </w:pPr>
            <w:r w:rsidRPr="003F62F9">
              <w:rPr>
                <w:rFonts w:ascii="Verdana" w:eastAsia="Calibri" w:hAnsi="Verdana" w:cs="Arial"/>
                <w:lang w:val="es-ES_tradnl" w:eastAsia="es-ES_tradnl"/>
              </w:rPr>
              <w:t>Respuesta a la consulta con radicado No.</w:t>
            </w:r>
            <w:r w:rsidRPr="003F62F9">
              <w:rPr>
                <w:rFonts w:ascii="Verdana" w:hAnsi="Verdana"/>
              </w:rPr>
              <w:t xml:space="preserve"> </w:t>
            </w:r>
            <w:r w:rsidR="00577184" w:rsidRPr="003F62F9">
              <w:rPr>
                <w:rFonts w:ascii="Verdana" w:hAnsi="Verdana"/>
              </w:rPr>
              <w:t>1_2026_09_16_012410</w:t>
            </w:r>
            <w:r w:rsidR="00122509" w:rsidRPr="003F62F9">
              <w:rPr>
                <w:rFonts w:ascii="Verdana" w:hAnsi="Verdana"/>
              </w:rPr>
              <w:t xml:space="preserve"> reiterada con la Nro. 1_2026_09_16_012411</w:t>
            </w:r>
          </w:p>
        </w:tc>
      </w:tr>
    </w:tbl>
    <w:p w14:paraId="3B884EBB" w14:textId="77777777" w:rsidR="004A2003" w:rsidRPr="003F62F9" w:rsidRDefault="004A2003" w:rsidP="004A2003">
      <w:pPr>
        <w:spacing w:after="0" w:line="240" w:lineRule="auto"/>
        <w:jc w:val="both"/>
        <w:rPr>
          <w:rFonts w:ascii="Verdana" w:eastAsia="Calibri" w:hAnsi="Verdana" w:cs="Arial"/>
          <w:highlight w:val="cyan"/>
          <w:lang w:val="es-ES" w:eastAsia="es-ES"/>
        </w:rPr>
      </w:pPr>
    </w:p>
    <w:p w14:paraId="774133AC" w14:textId="77777777" w:rsidR="004A2003" w:rsidRPr="003F62F9" w:rsidRDefault="004A2003" w:rsidP="004A2003">
      <w:pPr>
        <w:spacing w:after="0" w:line="276" w:lineRule="auto"/>
        <w:jc w:val="both"/>
        <w:rPr>
          <w:rFonts w:ascii="Verdana" w:eastAsia="Calibri" w:hAnsi="Verdana" w:cs="Arial"/>
          <w:lang w:val="es-ES" w:eastAsia="es-ES"/>
        </w:rPr>
      </w:pPr>
      <w:r w:rsidRPr="003F62F9">
        <w:rPr>
          <w:rFonts w:ascii="Verdana" w:eastAsia="Calibri" w:hAnsi="Verdana" w:cs="Arial"/>
          <w:lang w:val="es-ES" w:eastAsia="es-ES"/>
        </w:rPr>
        <w:t xml:space="preserve">Estimada señora </w:t>
      </w:r>
      <w:r w:rsidRPr="003F62F9">
        <w:rPr>
          <w:rFonts w:ascii="Verdana" w:eastAsia="Calibri" w:hAnsi="Verdana" w:cs="Arial"/>
          <w:lang w:eastAsia="es-ES"/>
        </w:rPr>
        <w:t>Muñoz Ramos</w:t>
      </w:r>
      <w:r w:rsidRPr="003F62F9">
        <w:rPr>
          <w:rFonts w:ascii="Verdana" w:eastAsia="Calibri" w:hAnsi="Verdana" w:cs="Arial"/>
          <w:lang w:val="es-ES" w:eastAsia="es-ES"/>
        </w:rPr>
        <w:t xml:space="preserve">: </w:t>
      </w:r>
    </w:p>
    <w:p w14:paraId="1B68423A" w14:textId="77777777" w:rsidR="004A2003" w:rsidRPr="003F62F9" w:rsidRDefault="004A2003" w:rsidP="004A2003">
      <w:pPr>
        <w:spacing w:after="0" w:line="276" w:lineRule="auto"/>
        <w:rPr>
          <w:rFonts w:ascii="Verdana" w:eastAsia="Times New Roman" w:hAnsi="Verdana" w:cs="Segoe UI"/>
          <w:highlight w:val="cyan"/>
          <w:lang w:eastAsia="es-CO"/>
        </w:rPr>
      </w:pPr>
    </w:p>
    <w:p w14:paraId="09C15E8D" w14:textId="6215DF56" w:rsidR="004A2003" w:rsidRPr="003F62F9" w:rsidRDefault="004A2003" w:rsidP="004A2003">
      <w:pPr>
        <w:spacing w:after="0" w:line="276" w:lineRule="auto"/>
        <w:jc w:val="both"/>
        <w:rPr>
          <w:rFonts w:ascii="Verdana" w:eastAsia="Calibri" w:hAnsi="Verdana" w:cs="Arial"/>
          <w:lang w:val="es-ES" w:eastAsia="es-ES"/>
        </w:rPr>
      </w:pPr>
      <w:r w:rsidRPr="003F62F9">
        <w:rPr>
          <w:rFonts w:ascii="Verdana" w:eastAsia="Calibri" w:hAnsi="Verdana" w:cs="Arial"/>
          <w:lang w:val="es-ES" w:eastAsia="es-ES"/>
        </w:rPr>
        <w:t>En ejercicio de la competencia otorgada por los artículos 3, numeral 5º, y 11, numeral 8º, del Decreto Ley 4170 de 2011,</w:t>
      </w:r>
      <w:r w:rsidRPr="003F62F9">
        <w:rPr>
          <w:rFonts w:ascii="Verdana" w:eastAsia="Arial MT" w:hAnsi="Verdana" w:cs="Arial"/>
          <w:lang w:val="es-ES" w:eastAsia="es-ES"/>
        </w:rPr>
        <w:t xml:space="preserve"> </w:t>
      </w:r>
      <w:r w:rsidRPr="003F62F9">
        <w:rPr>
          <w:rFonts w:ascii="Verdana" w:hAnsi="Verdana" w:cs="Arial"/>
        </w:rPr>
        <w:t xml:space="preserve">así como lo establecido en el artículo 4 de la Resolución 1707 de 2018 expedida por esta Entidad, </w:t>
      </w:r>
      <w:r w:rsidRPr="003F62F9">
        <w:rPr>
          <w:rFonts w:ascii="Verdana" w:eastAsia="Calibri" w:hAnsi="Verdana" w:cs="Arial"/>
          <w:lang w:val="es-ES" w:eastAsia="es-ES"/>
        </w:rPr>
        <w:t xml:space="preserve">la Agencia Nacional de Contratación Pública – Colombia Compra Eficiente– responde su solicitud del 25 de junio del 2026, trasladada el </w:t>
      </w:r>
      <w:r w:rsidR="00EE589D" w:rsidRPr="003F62F9">
        <w:rPr>
          <w:rFonts w:ascii="Verdana" w:eastAsia="Calibri" w:hAnsi="Verdana" w:cs="Arial"/>
          <w:lang w:val="es-ES" w:eastAsia="es-ES"/>
        </w:rPr>
        <w:t>16 de septiembre del 2026</w:t>
      </w:r>
      <w:r w:rsidRPr="003F62F9">
        <w:rPr>
          <w:rFonts w:ascii="Verdana" w:eastAsia="Calibri" w:hAnsi="Verdana" w:cs="Arial"/>
          <w:lang w:val="es-ES" w:eastAsia="es-ES"/>
        </w:rPr>
        <w:t xml:space="preserve">, por el Ministerio de Salud y Protección Social, en la cual manifiesta lo siguiente: </w:t>
      </w:r>
    </w:p>
    <w:p w14:paraId="5A54F288" w14:textId="77777777" w:rsidR="004A2003" w:rsidRPr="003F62F9" w:rsidRDefault="004A2003" w:rsidP="004A2003">
      <w:pPr>
        <w:spacing w:after="0" w:line="276" w:lineRule="auto"/>
        <w:jc w:val="both"/>
        <w:rPr>
          <w:rFonts w:ascii="Verdana" w:eastAsia="Calibri" w:hAnsi="Verdana" w:cs="Arial"/>
          <w:highlight w:val="cyan"/>
          <w:lang w:val="es-ES" w:eastAsia="es-ES"/>
        </w:rPr>
      </w:pPr>
    </w:p>
    <w:p w14:paraId="07E924CD" w14:textId="77777777" w:rsidR="004A2003" w:rsidRPr="003F62F9" w:rsidRDefault="004A2003" w:rsidP="004A2003">
      <w:pPr>
        <w:spacing w:after="0" w:line="240" w:lineRule="auto"/>
        <w:ind w:left="709" w:right="709"/>
        <w:jc w:val="both"/>
        <w:rPr>
          <w:rFonts w:ascii="Verdana" w:eastAsia="Century Gothic" w:hAnsi="Verdana" w:cs="Arial"/>
          <w:sz w:val="20"/>
          <w:szCs w:val="20"/>
        </w:rPr>
      </w:pPr>
      <w:r w:rsidRPr="003F62F9">
        <w:rPr>
          <w:rFonts w:ascii="Verdana" w:eastAsia="Century Gothic" w:hAnsi="Verdana" w:cs="Arial"/>
          <w:sz w:val="20"/>
          <w:szCs w:val="20"/>
          <w:lang w:val="es-ES"/>
        </w:rPr>
        <w:t xml:space="preserve">“[…] </w:t>
      </w:r>
      <w:r w:rsidRPr="003F62F9">
        <w:rPr>
          <w:rFonts w:ascii="Verdana" w:eastAsia="Century Gothic" w:hAnsi="Verdana" w:cs="Arial"/>
          <w:sz w:val="20"/>
          <w:szCs w:val="20"/>
        </w:rPr>
        <w:t xml:space="preserve">Por las razones anteriormente expuestas, de manera respetuosa se solicita emitir concepto técnico mediante el cual se determine si las </w:t>
      </w:r>
      <w:r w:rsidRPr="003F62F9">
        <w:rPr>
          <w:rFonts w:ascii="Verdana" w:eastAsia="Century Gothic" w:hAnsi="Verdana" w:cs="Arial"/>
          <w:sz w:val="20"/>
          <w:szCs w:val="20"/>
        </w:rPr>
        <w:lastRenderedPageBreak/>
        <w:t>Entidades Promotoras de Salud indígenas (EPS-I) se encuentran obligadas a publicar o reportar en [a plataforma SECOP II los contratos de prestaci6n de servicios de salud suscritos con las instituciones Prestadoras de Servicios de Salud (IPS) que conforman su red de prestadores. De igual manera, se solicita que el análisis tenga en consideración la naturaleza jurídica especial de las EPS-I, el régimen de derecho privado que rige su actividad contractual en materia de prestación de servicios de salud y las particularidades operativas del aseguramiento en salud. […]”</w:t>
      </w:r>
    </w:p>
    <w:p w14:paraId="16357456" w14:textId="77777777" w:rsidR="004A2003" w:rsidRPr="003F62F9" w:rsidRDefault="004A2003" w:rsidP="004A2003">
      <w:pPr>
        <w:spacing w:after="0"/>
        <w:jc w:val="both"/>
        <w:rPr>
          <w:rFonts w:ascii="Verdana" w:hAnsi="Verdana" w:cs="Arial"/>
          <w:highlight w:val="cyan"/>
          <w:lang w:val="es-ES"/>
        </w:rPr>
      </w:pPr>
    </w:p>
    <w:p w14:paraId="1BBCD2FF" w14:textId="77777777" w:rsidR="004A2003" w:rsidRPr="003F62F9" w:rsidRDefault="004A2003" w:rsidP="004A2003">
      <w:pPr>
        <w:spacing w:after="120" w:line="276" w:lineRule="auto"/>
        <w:ind w:firstLine="709"/>
        <w:jc w:val="both"/>
        <w:rPr>
          <w:rFonts w:ascii="Verdana" w:eastAsia="Calibri" w:hAnsi="Verdana" w:cs="Arial"/>
          <w:lang w:val="es-ES_tradnl" w:eastAsia="es-ES_tradnl"/>
        </w:rPr>
      </w:pPr>
      <w:r w:rsidRPr="003F62F9">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5F74C9D" w14:textId="77777777" w:rsidR="004A2003" w:rsidRPr="003F62F9" w:rsidRDefault="004A2003" w:rsidP="004A2003">
      <w:pPr>
        <w:spacing w:after="0" w:line="276" w:lineRule="auto"/>
        <w:ind w:firstLine="709"/>
        <w:jc w:val="both"/>
        <w:rPr>
          <w:rFonts w:ascii="Verdana" w:eastAsia="Calibri" w:hAnsi="Verdana" w:cs="Arial"/>
          <w:lang w:val="es-ES" w:eastAsia="es-ES"/>
        </w:rPr>
      </w:pPr>
      <w:r w:rsidRPr="003F62F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D2A2196" w14:textId="77777777" w:rsidR="00B66544" w:rsidRPr="003F62F9" w:rsidRDefault="00B66544" w:rsidP="00B66544">
      <w:pPr>
        <w:spacing w:after="0" w:line="276" w:lineRule="auto"/>
        <w:jc w:val="both"/>
        <w:rPr>
          <w:rStyle w:val="Hipervnculo"/>
          <w:rFonts w:ascii="Verdana" w:hAnsi="Verdana"/>
          <w:color w:val="auto"/>
          <w:highlight w:val="cyan"/>
          <w:u w:val="none"/>
          <w:lang w:val="es-ES"/>
        </w:rPr>
      </w:pPr>
    </w:p>
    <w:p w14:paraId="1457529C" w14:textId="77777777" w:rsidR="00B66544" w:rsidRPr="003F62F9" w:rsidRDefault="00B66544" w:rsidP="00B665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3F62F9">
        <w:rPr>
          <w:rFonts w:ascii="Verdana" w:eastAsia="Century Gothic" w:hAnsi="Verdana" w:cs="Arial"/>
          <w:b/>
          <w:bCs/>
        </w:rPr>
        <w:t>Problema planteado:</w:t>
      </w:r>
    </w:p>
    <w:p w14:paraId="7508D959" w14:textId="77777777" w:rsidR="00B66544" w:rsidRPr="003F62F9" w:rsidRDefault="00B66544" w:rsidP="00B66544">
      <w:pPr>
        <w:spacing w:after="0" w:line="276" w:lineRule="auto"/>
        <w:jc w:val="both"/>
        <w:rPr>
          <w:rStyle w:val="Hipervnculo"/>
          <w:rFonts w:ascii="Verdana" w:hAnsi="Verdana" w:cs="Arial"/>
          <w:color w:val="auto"/>
          <w:highlight w:val="cyan"/>
        </w:rPr>
      </w:pPr>
    </w:p>
    <w:p w14:paraId="6F8731C0" w14:textId="77777777" w:rsidR="00B66544" w:rsidRPr="003F62F9" w:rsidRDefault="00B66544" w:rsidP="00B66544">
      <w:pPr>
        <w:spacing w:line="276" w:lineRule="auto"/>
        <w:jc w:val="both"/>
        <w:rPr>
          <w:rFonts w:ascii="Verdana" w:eastAsia="Calibri" w:hAnsi="Verdana" w:cs="Times New Roman"/>
        </w:rPr>
      </w:pPr>
      <w:r w:rsidRPr="003F62F9">
        <w:rPr>
          <w:rFonts w:ascii="Verdana" w:eastAsia="Calibri" w:hAnsi="Verdana" w:cs="Times New Roman"/>
        </w:rPr>
        <w:t>De acuerdo con el contenido de su solicitud, la Agencia procede a resolver el siguiente problema jurídico: ¿Las Entidades Promotoras de Salud Indígenas –EPS-I–, atendiendo su naturaleza jurídica, régimen contractual y la fuente de los recursos que administran, se encuentran sujetas al deber de publicar en el SECOP la información relacionada con los contratos que celebren para la prestación de servicios de salud?</w:t>
      </w:r>
    </w:p>
    <w:p w14:paraId="308C8DDC" w14:textId="77777777" w:rsidR="00B66544" w:rsidRPr="003F62F9" w:rsidRDefault="00B66544" w:rsidP="00B66544">
      <w:pPr>
        <w:pStyle w:val="Prrafodelista"/>
        <w:numPr>
          <w:ilvl w:val="0"/>
          <w:numId w:val="16"/>
        </w:numPr>
        <w:spacing w:line="276" w:lineRule="auto"/>
        <w:ind w:left="360"/>
        <w:jc w:val="both"/>
        <w:rPr>
          <w:rFonts w:ascii="Verdana" w:eastAsia="Arial" w:hAnsi="Verdana" w:cs="Arial"/>
          <w:b/>
          <w:bCs/>
        </w:rPr>
      </w:pPr>
      <w:r w:rsidRPr="003F62F9">
        <w:rPr>
          <w:rFonts w:ascii="Verdana" w:eastAsia="Arial" w:hAnsi="Verdana" w:cs="Arial"/>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66544" w:rsidRPr="003F62F9" w14:paraId="07A7B28E" w14:textId="77777777" w:rsidTr="00557526">
        <w:tc>
          <w:tcPr>
            <w:tcW w:w="8828" w:type="dxa"/>
          </w:tcPr>
          <w:p w14:paraId="5A0CD1C2" w14:textId="77777777" w:rsidR="00B66544" w:rsidRPr="003F62F9" w:rsidRDefault="00B66544" w:rsidP="00557526">
            <w:pPr>
              <w:spacing w:after="120" w:line="276" w:lineRule="auto"/>
              <w:jc w:val="both"/>
              <w:rPr>
                <w:rFonts w:ascii="Verdana" w:eastAsia="Calibri" w:hAnsi="Verdana" w:cs="Times New Roman"/>
              </w:rPr>
            </w:pPr>
            <w:bookmarkStart w:id="1" w:name="_Hlk171067516"/>
            <w:r w:rsidRPr="003F62F9">
              <w:rPr>
                <w:rFonts w:ascii="Verdana" w:eastAsia="Calibri" w:hAnsi="Verdana" w:cs="Times New Roman"/>
              </w:rPr>
              <w:lastRenderedPageBreak/>
              <w:t>Frente a la obligación de las Entidades Promotoras de Salud –EPS– de publicar su contratación en el Sistema Electrónico para la Contratación Pública –SECOP–, resulta pertinente señalar que el análisis debe partir de su naturaleza jurídica y de la fuente de los recursos con los cuales se financia la contratación. Al respecto, el artículo 180 de la Ley 100 de 1993 establece que las EPS pueden ser de naturaleza pública, privada o mixta. No obstante, independientemente de su naturaleza jurídica, las EPS, en su calidad de actores del Sistema General de Seguridad Social en Salud, administran recursos públicos, circunstancia que ha sido reconocida por la Agencia Nacional de Contratación Pública –Colombia Compra Eficiente–.</w:t>
            </w:r>
          </w:p>
          <w:p w14:paraId="38D7D678" w14:textId="77777777" w:rsidR="00B66544" w:rsidRPr="003F62F9" w:rsidRDefault="00B66544" w:rsidP="00557526">
            <w:pPr>
              <w:widowControl w:val="0"/>
              <w:autoSpaceDE w:val="0"/>
              <w:autoSpaceDN w:val="0"/>
              <w:spacing w:after="120" w:line="276" w:lineRule="auto"/>
              <w:ind w:firstLine="743"/>
              <w:jc w:val="both"/>
              <w:rPr>
                <w:rFonts w:ascii="Verdana" w:hAnsi="Verdana"/>
              </w:rPr>
            </w:pPr>
            <w:r w:rsidRPr="003F62F9">
              <w:rPr>
                <w:rFonts w:ascii="Verdana" w:hAnsi="Verdana"/>
              </w:rPr>
              <w:t>En este sentido,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4B4B8F03" w14:textId="77777777" w:rsidR="00B66544" w:rsidRPr="003F62F9" w:rsidRDefault="00B66544" w:rsidP="00557526">
            <w:pPr>
              <w:widowControl w:val="0"/>
              <w:autoSpaceDE w:val="0"/>
              <w:autoSpaceDN w:val="0"/>
              <w:spacing w:after="120" w:line="276" w:lineRule="auto"/>
              <w:ind w:firstLine="743"/>
              <w:jc w:val="both"/>
              <w:rPr>
                <w:rFonts w:ascii="Verdana" w:eastAsia="Calibri" w:hAnsi="Verdana" w:cs="Times New Roman"/>
              </w:rPr>
            </w:pPr>
            <w:r w:rsidRPr="003F62F9">
              <w:rPr>
                <w:rFonts w:ascii="Verdana" w:eastAsia="Calibri" w:hAnsi="Verdana" w:cs="Times New Roman"/>
              </w:rPr>
              <w:t>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encuentre sometida a un régimen contractual de derecho privado no excluye, por sí mismo, el deber de publicidad respecto de la contratación financiada con recursos públicos.</w:t>
            </w:r>
          </w:p>
          <w:p w14:paraId="2CBA42A1" w14:textId="77777777" w:rsidR="00B66544" w:rsidRPr="003F62F9" w:rsidRDefault="00B66544" w:rsidP="00557526">
            <w:pPr>
              <w:widowControl w:val="0"/>
              <w:autoSpaceDE w:val="0"/>
              <w:autoSpaceDN w:val="0"/>
              <w:spacing w:after="120" w:line="276" w:lineRule="auto"/>
              <w:ind w:firstLine="743"/>
              <w:jc w:val="both"/>
              <w:rPr>
                <w:rFonts w:ascii="Verdana" w:eastAsia="Calibri" w:hAnsi="Verdana" w:cs="Times New Roman"/>
              </w:rPr>
            </w:pPr>
            <w:r w:rsidRPr="003F62F9">
              <w:rPr>
                <w:rFonts w:ascii="Verdana" w:eastAsia="Calibri" w:hAnsi="Verdana" w:cs="Times New Roman"/>
              </w:rPr>
              <w:t xml:space="preserve">Ahora bien, debe precisarse que el alcance de esta obligación no necesariamente es idéntico al que corresponde a las entidades sometidas al Estatuto General de Contratación. El Consejo de Estado ha diferenciado el deber de publicidad de las entidades sometidas a dicho Estatuto frente al de aquellas que cuentan con regímenes especiales o se rigen por el derecho privado. En esta línea, el análisis debe distinguir entre la obligación de publicar la información contractual financiada con recursos públicos y la pretensión de </w:t>
            </w:r>
            <w:r w:rsidRPr="003F62F9">
              <w:rPr>
                <w:rFonts w:ascii="Verdana" w:eastAsia="Calibri" w:hAnsi="Verdana" w:cs="Times New Roman"/>
              </w:rPr>
              <w:lastRenderedPageBreak/>
              <w:t>exigir a una EPS la publicación de la totalidad de su actividad contractual</w:t>
            </w:r>
          </w:p>
          <w:p w14:paraId="75C061AE" w14:textId="08DD00BF" w:rsidR="00977DED" w:rsidRPr="00977DED" w:rsidRDefault="00977DED" w:rsidP="00977DED">
            <w:pPr>
              <w:widowControl w:val="0"/>
              <w:autoSpaceDE w:val="0"/>
              <w:autoSpaceDN w:val="0"/>
              <w:spacing w:after="120" w:line="276" w:lineRule="auto"/>
              <w:ind w:firstLine="743"/>
              <w:jc w:val="both"/>
              <w:rPr>
                <w:rFonts w:ascii="Verdana" w:eastAsia="Calibri" w:hAnsi="Verdana" w:cs="Times New Roman"/>
              </w:rPr>
            </w:pPr>
            <w:r w:rsidRPr="001B7B03">
              <w:rPr>
                <w:rFonts w:ascii="Verdana" w:eastAsia="Calibri" w:hAnsi="Verdana" w:cs="Times New Roman"/>
              </w:rPr>
              <w:t>En el caso específico de las EPS-I, el deber de publicidad debe resolverse a partir del origen de los recursos y no de la naturaleza del contratante. Cuando la EPS-I tenga naturaleza de entidad estatal y cuente con un régimen contractual excepcional al EGCAP, le será aplicable el artículo 53 de la Ley 2195 de 2022, que impone a las entidades estatales exceptuadas publicar en el SECOP II los documentos de su actividad contractual. Cuando se trate de un sujeto de naturaleza privada o especial —como ocurre con las EPS-I cuya base es una asociación de cabildos—, el deber de publicar la contratación financiada con recursos públicos no desaparece: se fundamenta en el literal c) del artículo 3 de la Ley 1150 de 2007, en la Ley 1712 de 2014 y en el Decreto 1081 de 2015, y se cumple a través del «módulo de régimen especial» del SECOP II. En uno y otro caso, los contratos que la EPS-I suscriba con las IPS de su red para la prestación de servicios de salud, por ejecutarse con cargo a la UPC u otros recursos del Sistema, se encuentran sujetos al deber de publicidad, sin que el régimen de derecho privado que gobierna la relación de aseguramiento constituya, por sí solo, una excepción.</w:t>
            </w:r>
          </w:p>
          <w:p w14:paraId="4FBC58CE" w14:textId="472ABD79" w:rsidR="00B66544" w:rsidRPr="003F62F9" w:rsidRDefault="00977DED" w:rsidP="00557526">
            <w:pPr>
              <w:widowControl w:val="0"/>
              <w:autoSpaceDE w:val="0"/>
              <w:autoSpaceDN w:val="0"/>
              <w:spacing w:after="120" w:line="276" w:lineRule="auto"/>
              <w:ind w:firstLine="743"/>
              <w:jc w:val="both"/>
              <w:rPr>
                <w:rFonts w:ascii="Verdana" w:eastAsia="Calibri" w:hAnsi="Verdana" w:cs="Times New Roman"/>
              </w:rPr>
            </w:pPr>
            <w:r w:rsidRPr="00977DED">
              <w:rPr>
                <w:rFonts w:ascii="Verdana" w:eastAsia="Calibri" w:hAnsi="Verdana" w:cs="Arial"/>
                <w:lang w:val="es-ES" w:eastAsia="es-ES_tradnl"/>
              </w:rPr>
              <w:t xml:space="preserve">Al </w:t>
            </w:r>
            <w:r w:rsidRPr="00977DED">
              <w:rPr>
                <w:rFonts w:ascii="Verdana" w:eastAsia="Calibri" w:hAnsi="Verdana" w:cs="Arial"/>
                <w:lang w:val="es-ES_tradnl" w:eastAsia="es-ES_tradnl"/>
              </w:rPr>
              <w:t xml:space="preserve">margen de la explicación precedente debe advertirse que el análisis requerido para resolver problemas específicos en torno a la naturaleza de una </w:t>
            </w:r>
            <w:r w:rsidRPr="001B7B03">
              <w:rPr>
                <w:rFonts w:ascii="Verdana" w:eastAsia="Calibri" w:hAnsi="Verdana" w:cs="Arial"/>
                <w:lang w:val="es-ES_tradnl" w:eastAsia="es-ES_tradnl"/>
              </w:rPr>
              <w:t xml:space="preserve">EPS-I o de una </w:t>
            </w:r>
            <w:r w:rsidRPr="00977DED">
              <w:rPr>
                <w:rFonts w:ascii="Verdana" w:eastAsia="Calibri" w:hAnsi="Verdana" w:cs="Arial"/>
                <w:lang w:val="es-ES_tradnl" w:eastAsia="es-ES_tradnl"/>
              </w:rPr>
              <w:t>IPS y su deber de publicación debe realizarse por quienes tengan interés en ello, de acuerdo con lo explicado en la aclaración preliminar del presente oficio. De esta manera, las afirmaciones aquí realizadas no pueden interpretarse como</w:t>
            </w:r>
            <w:r>
              <w:rPr>
                <w:rFonts w:ascii="Verdana" w:eastAsia="Calibri" w:hAnsi="Verdana" w:cs="Arial"/>
                <w:lang w:val="es-ES_tradnl" w:eastAsia="es-ES_tradnl"/>
              </w:rPr>
              <w:t xml:space="preserve">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1"/>
    </w:tbl>
    <w:p w14:paraId="477996C0" w14:textId="77777777" w:rsidR="00B66544" w:rsidRPr="003F62F9" w:rsidRDefault="00B66544" w:rsidP="00B66544">
      <w:pPr>
        <w:widowControl w:val="0"/>
        <w:autoSpaceDE w:val="0"/>
        <w:autoSpaceDN w:val="0"/>
        <w:spacing w:after="0" w:line="276" w:lineRule="auto"/>
        <w:outlineLvl w:val="0"/>
        <w:rPr>
          <w:rFonts w:ascii="Verdana" w:eastAsia="Arial" w:hAnsi="Verdana" w:cs="Arial"/>
          <w:b/>
          <w:bCs/>
          <w:highlight w:val="cyan"/>
        </w:rPr>
      </w:pPr>
    </w:p>
    <w:p w14:paraId="1E992130" w14:textId="77777777" w:rsidR="00B66544" w:rsidRPr="003F62F9" w:rsidRDefault="00B66544" w:rsidP="00B66544">
      <w:pPr>
        <w:widowControl w:val="0"/>
        <w:autoSpaceDE w:val="0"/>
        <w:autoSpaceDN w:val="0"/>
        <w:spacing w:after="0" w:line="276" w:lineRule="auto"/>
        <w:ind w:left="360" w:hanging="360"/>
        <w:outlineLvl w:val="0"/>
        <w:rPr>
          <w:rFonts w:ascii="Verdana" w:eastAsia="Arial" w:hAnsi="Verdana" w:cs="Arial"/>
          <w:b/>
          <w:bCs/>
          <w:lang w:val="es-ES"/>
        </w:rPr>
      </w:pPr>
      <w:r w:rsidRPr="003F62F9">
        <w:rPr>
          <w:rFonts w:ascii="Verdana" w:eastAsia="Arial" w:hAnsi="Verdana" w:cs="Arial"/>
          <w:b/>
          <w:bCs/>
          <w:lang w:val="es-ES"/>
        </w:rPr>
        <w:t>3. Razones de la respuesta:</w:t>
      </w:r>
    </w:p>
    <w:p w14:paraId="739AF551" w14:textId="77777777" w:rsidR="00B66544" w:rsidRPr="003F62F9" w:rsidRDefault="00B66544" w:rsidP="00B66544">
      <w:pPr>
        <w:spacing w:after="0" w:line="276" w:lineRule="auto"/>
        <w:jc w:val="both"/>
        <w:rPr>
          <w:rFonts w:ascii="Verdana" w:eastAsia="Verdana" w:hAnsi="Verdana" w:cs="Verdana"/>
          <w:lang w:val="es-ES"/>
        </w:rPr>
      </w:pPr>
    </w:p>
    <w:p w14:paraId="1AC21E30" w14:textId="77777777" w:rsidR="00B66544" w:rsidRPr="003F62F9" w:rsidRDefault="00B66544" w:rsidP="00B66544">
      <w:pPr>
        <w:spacing w:after="0" w:line="276" w:lineRule="auto"/>
        <w:jc w:val="both"/>
        <w:rPr>
          <w:rFonts w:ascii="Verdana" w:eastAsia="Calibri" w:hAnsi="Verdana" w:cs="Arial"/>
          <w:lang w:val="es-ES"/>
        </w:rPr>
      </w:pPr>
      <w:r w:rsidRPr="003F62F9">
        <w:rPr>
          <w:rFonts w:ascii="Verdana" w:eastAsia="Calibri" w:hAnsi="Verdana" w:cs="Arial"/>
          <w:lang w:val="es-ES"/>
        </w:rPr>
        <w:t xml:space="preserve">La respuesta anterior se sustenta en las siguientes consideraciones: </w:t>
      </w:r>
    </w:p>
    <w:p w14:paraId="240CD15C" w14:textId="77777777" w:rsidR="00B66544" w:rsidRPr="003F62F9" w:rsidRDefault="00B66544" w:rsidP="00B66544">
      <w:pPr>
        <w:widowControl w:val="0"/>
        <w:autoSpaceDE w:val="0"/>
        <w:autoSpaceDN w:val="0"/>
        <w:spacing w:after="0" w:line="276" w:lineRule="auto"/>
        <w:jc w:val="both"/>
        <w:rPr>
          <w:rFonts w:ascii="Verdana" w:hAnsi="Verdana" w:cs="Arial"/>
          <w:lang w:eastAsia="es-ES"/>
        </w:rPr>
      </w:pPr>
    </w:p>
    <w:p w14:paraId="1AC8798F" w14:textId="77777777" w:rsidR="00B66544" w:rsidRPr="003F62F9" w:rsidRDefault="00B66544" w:rsidP="00B66544">
      <w:pPr>
        <w:spacing w:after="120" w:line="276" w:lineRule="auto"/>
        <w:jc w:val="both"/>
        <w:rPr>
          <w:rFonts w:ascii="Verdana" w:hAnsi="Verdana" w:cs="Arial"/>
          <w:lang w:eastAsia="es-CO"/>
        </w:rPr>
      </w:pPr>
      <w:r w:rsidRPr="003F62F9">
        <w:rPr>
          <w:rFonts w:ascii="Verdana" w:eastAsia="Times New Roman" w:hAnsi="Verdana" w:cs="Arial"/>
          <w:lang w:val="es-ES" w:eastAsia="es-ES"/>
          <w14:ligatures w14:val="standardContextual"/>
        </w:rPr>
        <w:t xml:space="preserve">i. </w:t>
      </w:r>
      <w:bookmarkStart w:id="2" w:name="_Hlk98877945"/>
      <w:r w:rsidRPr="003F62F9">
        <w:rPr>
          <w:rFonts w:ascii="Verdana" w:hAnsi="Verdana" w:cs="Arial"/>
          <w:lang w:eastAsia="es-CO"/>
        </w:rPr>
        <w:t xml:space="preserve">Respecto de la naturaleza jurídica de las Entidades Promotoras de Salud –E.P.S.–, el artículo 180 de la Ley 100 de 1993 establece que estas pueden ser públicas, privadas o mixtas. Esto implica que las EPS pueden conformarse de </w:t>
      </w:r>
      <w:r w:rsidRPr="003F62F9">
        <w:rPr>
          <w:rFonts w:ascii="Verdana" w:hAnsi="Verdana" w:cs="Arial"/>
          <w:lang w:eastAsia="es-CO"/>
        </w:rPr>
        <w:lastRenderedPageBreak/>
        <w:t>acuerdo con los diferentes tipos de entidades que engloban las categorías de pública, mixta o privada, lo que, en principio, en el caso de las públicas y mixtas, determina sus regímenes de contratación, en los términos del artículo 14 de la Ley 1150 de 2007, modificado por la Ley 1474 de 2011</w:t>
      </w:r>
      <w:bookmarkEnd w:id="2"/>
      <w:r w:rsidRPr="003F62F9">
        <w:rPr>
          <w:rStyle w:val="Refdenotaalpie"/>
          <w:rFonts w:ascii="Verdana" w:hAnsi="Verdana" w:cs="Arial"/>
          <w:lang w:eastAsia="es-CO"/>
        </w:rPr>
        <w:footnoteReference w:id="1"/>
      </w:r>
      <w:r w:rsidRPr="003F62F9">
        <w:rPr>
          <w:rFonts w:ascii="Verdana" w:hAnsi="Verdana" w:cs="Arial"/>
          <w:lang w:eastAsia="es-CO"/>
        </w:rPr>
        <w:t xml:space="preserve">. </w:t>
      </w:r>
    </w:p>
    <w:p w14:paraId="17EC3333" w14:textId="77777777" w:rsidR="00B66544" w:rsidRPr="003F62F9" w:rsidRDefault="00B66544" w:rsidP="00B66544">
      <w:pPr>
        <w:spacing w:after="120" w:line="276" w:lineRule="auto"/>
        <w:jc w:val="both"/>
        <w:rPr>
          <w:rFonts w:ascii="Verdana" w:hAnsi="Verdana" w:cs="Arial"/>
          <w:lang w:eastAsia="es-CO"/>
        </w:rPr>
      </w:pPr>
      <w:r w:rsidRPr="003F62F9">
        <w:rPr>
          <w:rFonts w:ascii="Verdana" w:hAnsi="Verdana" w:cs="Arial"/>
          <w:lang w:eastAsia="es-CO"/>
        </w:rPr>
        <w:tab/>
        <w:t>Tratándose de E.P.S de naturaleza pública, estas pueden ser conformadas como empresas industriales y comerciales del Estado, conforme indica el artículo 85 de la Ley 489 de 1998</w:t>
      </w:r>
      <w:r w:rsidRPr="003F62F9">
        <w:rPr>
          <w:rStyle w:val="Refdenotaalpie"/>
          <w:rFonts w:ascii="Verdana" w:hAnsi="Verdana" w:cs="Arial"/>
          <w:lang w:eastAsia="es-CO"/>
        </w:rPr>
        <w:footnoteReference w:id="2"/>
      </w:r>
      <w:r w:rsidRPr="003F62F9">
        <w:rPr>
          <w:rFonts w:ascii="Verdana" w:hAnsi="Verdana" w:cs="Arial"/>
          <w:lang w:eastAsia="es-CO"/>
        </w:rPr>
        <w:t xml:space="preserve"> o como sociedades públicas conformadas con participación de una o diversas entidades estatales. En ambos casos, estas tienen la calidad de entidades descentralizadas por servicios, por lo que deben ser creadas por disposición o autorización de la ley, en los términos de los artículos 68 y 69 de la Ley 489 de 1998</w:t>
      </w:r>
      <w:r w:rsidRPr="003F62F9">
        <w:rPr>
          <w:rStyle w:val="Refdenotaalpie"/>
          <w:rFonts w:ascii="Verdana" w:hAnsi="Verdana" w:cs="Arial"/>
          <w:lang w:eastAsia="es-CO"/>
        </w:rPr>
        <w:footnoteReference w:id="3"/>
      </w:r>
      <w:r w:rsidRPr="003F62F9">
        <w:rPr>
          <w:rFonts w:ascii="Verdana" w:hAnsi="Verdana" w:cs="Arial"/>
          <w:lang w:eastAsia="es-CO"/>
        </w:rPr>
        <w:t xml:space="preserve">. </w:t>
      </w:r>
    </w:p>
    <w:p w14:paraId="5B74F39B" w14:textId="77777777" w:rsidR="00B66544" w:rsidRPr="003F62F9" w:rsidRDefault="00B66544" w:rsidP="00B66544">
      <w:pPr>
        <w:spacing w:after="120" w:line="276" w:lineRule="auto"/>
        <w:ind w:firstLine="708"/>
        <w:jc w:val="both"/>
        <w:rPr>
          <w:rFonts w:ascii="Verdana" w:hAnsi="Verdana" w:cs="Arial"/>
          <w:lang w:eastAsia="es-CO"/>
        </w:rPr>
      </w:pPr>
      <w:r w:rsidRPr="003F62F9">
        <w:rPr>
          <w:rFonts w:ascii="Verdana" w:hAnsi="Verdana" w:cs="Arial"/>
          <w:lang w:eastAsia="es-CO"/>
        </w:rPr>
        <w:lastRenderedPageBreak/>
        <w:t>Sin embargo, en cuanto al régimen de contratación de las E.P.S. públicas existe una norma especial que regula su régimen de contratación, establecida en el artículo 45 de la Ley 1122 de 2007</w:t>
      </w:r>
      <w:r w:rsidRPr="003F62F9">
        <w:rPr>
          <w:rStyle w:val="Refdenotaalpie"/>
          <w:rFonts w:ascii="Verdana" w:hAnsi="Verdana" w:cs="Arial"/>
          <w:lang w:eastAsia="es-CO"/>
        </w:rPr>
        <w:footnoteReference w:id="4"/>
      </w:r>
      <w:r w:rsidRPr="003F62F9">
        <w:rPr>
          <w:rFonts w:ascii="Verdana" w:hAnsi="Verdana" w:cs="Arial"/>
          <w:lang w:eastAsia="es-CO"/>
        </w:rPr>
        <w:t>, que les hace extensivo el régimen de contratación de las empresas sociales del Estado –E.S.E.–, entidades cuya contratación, de conformidad con el artículo 195, numeral 6, está regida de manera prevalente por el derecho privado</w:t>
      </w:r>
      <w:r w:rsidRPr="003F62F9">
        <w:rPr>
          <w:rStyle w:val="Refdenotaalpie"/>
          <w:rFonts w:ascii="Verdana" w:hAnsi="Verdana" w:cs="Arial"/>
          <w:lang w:eastAsia="es-CO"/>
        </w:rPr>
        <w:footnoteReference w:id="5"/>
      </w:r>
      <w:r w:rsidRPr="003F62F9">
        <w:rPr>
          <w:rFonts w:ascii="Verdana" w:hAnsi="Verdana" w:cs="Arial"/>
          <w:lang w:eastAsia="es-CO"/>
        </w:rPr>
        <w:t>.</w:t>
      </w:r>
    </w:p>
    <w:p w14:paraId="30B27779" w14:textId="77777777" w:rsidR="00B66544" w:rsidRPr="003F62F9" w:rsidRDefault="00B66544" w:rsidP="00B66544">
      <w:pPr>
        <w:spacing w:after="120" w:line="276" w:lineRule="auto"/>
        <w:ind w:firstLine="708"/>
        <w:jc w:val="both"/>
        <w:rPr>
          <w:rFonts w:ascii="Verdana" w:hAnsi="Verdana" w:cs="Arial"/>
          <w:lang w:eastAsia="es-CO"/>
        </w:rPr>
      </w:pPr>
      <w:r w:rsidRPr="003F62F9">
        <w:rPr>
          <w:rFonts w:ascii="Verdana" w:hAnsi="Verdana" w:cs="Arial"/>
          <w:lang w:eastAsia="es-CO"/>
        </w:rPr>
        <w:t>En cuanto a las E.P.S mixtas, estas son creadas como sociedades de economía mixta, de acuerdo con el artículo 97 de la Ley 489 de 1998</w:t>
      </w:r>
      <w:r w:rsidRPr="003F62F9">
        <w:rPr>
          <w:rStyle w:val="Refdenotaalpie"/>
          <w:rFonts w:ascii="Verdana" w:hAnsi="Verdana" w:cs="Arial"/>
          <w:lang w:eastAsia="es-CO"/>
        </w:rPr>
        <w:footnoteReference w:id="6"/>
      </w:r>
      <w:r w:rsidRPr="003F62F9">
        <w:rPr>
          <w:rFonts w:ascii="Verdana" w:hAnsi="Verdana" w:cs="Arial"/>
          <w:lang w:eastAsia="es-CO"/>
        </w:rPr>
        <w:t xml:space="preserve">. Este tipo de entidades, bajo ciertos supuestos, </w:t>
      </w:r>
      <w:r w:rsidRPr="003F62F9">
        <w:rPr>
          <w:rFonts w:ascii="Verdana" w:hAnsi="Verdana" w:cs="Arial"/>
        </w:rPr>
        <w:t>se encuentran exceptuadas de la aplicación del Estatuto General de Contratación de la Administración Pública, de conformidad con el artículo 14 de la Ley 1150 de 2007.</w:t>
      </w:r>
    </w:p>
    <w:p w14:paraId="499E2197" w14:textId="77777777" w:rsidR="00B66544" w:rsidRPr="003F62F9" w:rsidRDefault="00B66544" w:rsidP="00B66544">
      <w:pPr>
        <w:spacing w:after="120" w:line="276" w:lineRule="auto"/>
        <w:ind w:firstLine="708"/>
        <w:jc w:val="both"/>
        <w:rPr>
          <w:rFonts w:ascii="Verdana" w:hAnsi="Verdana" w:cs="Arial"/>
          <w:lang w:eastAsia="es-CO"/>
        </w:rPr>
      </w:pPr>
      <w:r w:rsidRPr="003F62F9">
        <w:rPr>
          <w:rFonts w:ascii="Verdana" w:hAnsi="Verdana" w:cs="Arial"/>
          <w:lang w:eastAsia="es-CO"/>
        </w:rPr>
        <w:t xml:space="preserve">Por otro lado, respecto de las E.P.S privadas, el artículo 181 de la Ley 100 de 1993 permite que distintos tipos de entidades regidas por el derecho privado se constituyan como E.P.S. Así, por ejemplo, podrán hacerlo las asociaciones de </w:t>
      </w:r>
      <w:r w:rsidRPr="003F62F9">
        <w:rPr>
          <w:rFonts w:ascii="Verdana" w:hAnsi="Verdana" w:cs="Arial"/>
          <w:lang w:eastAsia="es-CO"/>
        </w:rPr>
        <w:lastRenderedPageBreak/>
        <w:t>cajas de compensación</w:t>
      </w:r>
      <w:r w:rsidRPr="003F62F9">
        <w:rPr>
          <w:rStyle w:val="Refdenotaalpie"/>
          <w:rFonts w:ascii="Verdana" w:hAnsi="Verdana" w:cs="Arial"/>
          <w:lang w:eastAsia="es-CO"/>
        </w:rPr>
        <w:footnoteReference w:id="7"/>
      </w:r>
      <w:r w:rsidRPr="003F62F9">
        <w:rPr>
          <w:rFonts w:ascii="Verdana" w:hAnsi="Verdana" w:cs="Arial"/>
          <w:lang w:eastAsia="es-CO"/>
        </w:rPr>
        <w:t xml:space="preserve"> –literal c)–, las sociedades comerciales y entidades de economía solidaria</w:t>
      </w:r>
      <w:r w:rsidRPr="003F62F9">
        <w:rPr>
          <w:rStyle w:val="Refdenotaalpie"/>
          <w:rFonts w:ascii="Verdana" w:hAnsi="Verdana" w:cs="Arial"/>
          <w:lang w:eastAsia="es-CO"/>
        </w:rPr>
        <w:footnoteReference w:id="8"/>
      </w:r>
      <w:r w:rsidRPr="003F62F9">
        <w:rPr>
          <w:rFonts w:ascii="Verdana" w:hAnsi="Verdana" w:cs="Arial"/>
          <w:lang w:eastAsia="es-CO"/>
        </w:rPr>
        <w:t xml:space="preserve"> que se creen con el propósito de funcionar como E.P.S –literal h–. Este tipo de entidades, en tanto son personas jurídicas de derecho privado, les corresponde contratar conforme a dicho régimen, sin perjuicio de que en virtud de sus calidades de sujetos miembros del sistema de seguridad social en salud deban aplicar las disposiciones sectoriales correspondientes.</w:t>
      </w:r>
    </w:p>
    <w:p w14:paraId="527B8661" w14:textId="77777777" w:rsidR="00B66544" w:rsidRPr="003F62F9" w:rsidRDefault="00B66544" w:rsidP="00B66544">
      <w:pPr>
        <w:spacing w:after="120" w:line="276" w:lineRule="auto"/>
        <w:ind w:firstLine="708"/>
        <w:jc w:val="both"/>
        <w:rPr>
          <w:rFonts w:ascii="Verdana" w:hAnsi="Verdana" w:cs="Arial"/>
          <w:lang w:eastAsia="es-CO"/>
        </w:rPr>
      </w:pPr>
      <w:r w:rsidRPr="003F62F9">
        <w:rPr>
          <w:rFonts w:ascii="Verdana" w:hAnsi="Verdana" w:cs="Arial"/>
          <w:lang w:eastAsia="es-CO"/>
        </w:rPr>
        <w:t>Ahora bien, independientemente de la naturaleza jurídica concreta a la que obedezca una E.P.S, es claro que estas como actores del sistema general de seguridad social en salud</w:t>
      </w:r>
      <w:r w:rsidRPr="003F62F9">
        <w:rPr>
          <w:rStyle w:val="Refdenotaalpie"/>
          <w:rFonts w:ascii="Verdana" w:hAnsi="Verdana" w:cs="Arial"/>
          <w:lang w:eastAsia="es-CO"/>
        </w:rPr>
        <w:footnoteReference w:id="9"/>
      </w:r>
      <w:r w:rsidRPr="003F62F9">
        <w:rPr>
          <w:rFonts w:ascii="Verdana" w:hAnsi="Verdana" w:cs="Arial"/>
          <w:lang w:eastAsia="es-CO"/>
        </w:rPr>
        <w:t xml:space="preserve">, administran recursos públicos. Así se desprende, </w:t>
      </w:r>
      <w:r w:rsidRPr="003F62F9">
        <w:rPr>
          <w:rFonts w:ascii="Verdana" w:hAnsi="Verdana" w:cs="Arial"/>
          <w:lang w:eastAsia="es-CO"/>
        </w:rPr>
        <w:lastRenderedPageBreak/>
        <w:t>en el caso de las E.P.S del régimen subsidiado del artículo 214 de la Ley 100 de 1993, modificado por el 11 de la Ley 1122 de 2007, en donde se establecen como fuentes de financiación recursos transferidos por parte de entidades territoriales, así como otros provenientes del Fondo de Solidaridad y Garantía.</w:t>
      </w:r>
    </w:p>
    <w:p w14:paraId="7DF82F91" w14:textId="77777777" w:rsidR="00BE5A26" w:rsidRPr="008A5A56" w:rsidRDefault="00BE5A26" w:rsidP="00BE5A26">
      <w:pPr>
        <w:spacing w:after="120" w:line="276" w:lineRule="auto"/>
        <w:ind w:firstLine="708"/>
        <w:jc w:val="both"/>
        <w:rPr>
          <w:rFonts w:ascii="Verdana" w:hAnsi="Verdana" w:cs="Arial"/>
          <w:lang w:eastAsia="es-CO"/>
        </w:rPr>
      </w:pPr>
      <w:r w:rsidRPr="001B7B03">
        <w:rPr>
          <w:rFonts w:ascii="Verdana" w:hAnsi="Verdana" w:cs="Arial"/>
          <w:lang w:eastAsia="es-CO"/>
        </w:rPr>
        <w:t>Tratándose de Entidades Promotoras de Salud Indígenas —EPS-I—, al análisis anterior debe sumarse un elemento adicional que la consulta pide considerar de manera expresa: su naturaleza jurídica especial. La Ley 691 de 2001, que reglamenta la participación de los pueblos indígenas en el Sistema General de Seguridad Social en Salud, autorizó a las autoridades de estos pueblos para crear administradoras indígenas que afilien a su población al régimen subsidiado y, con ellas, para intervenir en la operación, el financiamiento y el control del sistema aplicable a sus comunidades</w:t>
      </w:r>
      <w:r w:rsidRPr="001B7B03">
        <w:rPr>
          <w:rStyle w:val="Refdenotaalpie"/>
          <w:rFonts w:ascii="Verdana" w:hAnsi="Verdana" w:cs="Arial"/>
          <w:lang w:eastAsia="es-CO"/>
        </w:rPr>
        <w:footnoteReference w:id="10"/>
      </w:r>
      <w:r w:rsidRPr="001B7B03">
        <w:rPr>
          <w:rFonts w:ascii="Verdana" w:hAnsi="Verdana" w:cs="Arial"/>
          <w:lang w:eastAsia="es-CO"/>
        </w:rPr>
        <w:t>. Estas entidades no encajan sin más en la tríada pública-privada-mixta del artículo 180 de la Ley 100 de 1993, pues su base institucional suele ser una asociación de cabildos o de autoridades tradicionales indígenas, a la cual el artículo 2 del Decreto 1088 de 1993 le reconoce el carácter de «entidad de Derecho Público de carácter especial, con personería jurídica, patrimonio propio y autonomía administrativa»</w:t>
      </w:r>
      <w:r w:rsidRPr="001B7B03">
        <w:rPr>
          <w:rStyle w:val="Refdenotaalpie"/>
          <w:rFonts w:ascii="Verdana" w:hAnsi="Verdana" w:cs="Arial"/>
          <w:lang w:eastAsia="es-CO"/>
        </w:rPr>
        <w:footnoteReference w:id="11"/>
      </w:r>
      <w:r w:rsidRPr="001B7B03">
        <w:rPr>
          <w:rFonts w:ascii="Verdana" w:hAnsi="Verdana" w:cs="Arial"/>
          <w:lang w:eastAsia="es-CO"/>
        </w:rPr>
        <w:t>.</w:t>
      </w:r>
    </w:p>
    <w:p w14:paraId="3545D84B" w14:textId="77777777" w:rsidR="00BE5A26" w:rsidRPr="008A5A56" w:rsidRDefault="00BE5A26" w:rsidP="00BE5A26">
      <w:pPr>
        <w:spacing w:after="120" w:line="276" w:lineRule="auto"/>
        <w:ind w:firstLine="708"/>
        <w:jc w:val="both"/>
        <w:rPr>
          <w:rFonts w:ascii="Verdana" w:hAnsi="Verdana" w:cs="Arial"/>
          <w:lang w:eastAsia="es-CO"/>
        </w:rPr>
      </w:pPr>
      <w:r w:rsidRPr="001B7B03">
        <w:rPr>
          <w:rFonts w:ascii="Verdana" w:hAnsi="Verdana" w:cs="Arial"/>
          <w:lang w:eastAsia="es-CO"/>
        </w:rPr>
        <w:t xml:space="preserve">De lo anterior se sigue que la determinación de si una EPS-I concreta es pública, privada o de naturaleza especial no puede resolverse en abstracto por vía consultiva, sino que depende de su acto de constitución, de sus estatutos y del régimen que le resulte aplicable. Esa calificación, además, no es la que determina por sí sola el deber de publicidad. Como se explica a continuación, dicho deber no se activa por la naturaleza jurídica del contratante, sino por el origen público de los recursos comprometidos en la contratación, de manera que el régimen de derecho privado que rige la actividad aseguradora de una EPS-I </w:t>
      </w:r>
      <w:r w:rsidRPr="001B7B03">
        <w:rPr>
          <w:rFonts w:ascii="Verdana" w:hAnsi="Verdana" w:cs="Arial"/>
          <w:lang w:eastAsia="es-CO"/>
        </w:rPr>
        <w:lastRenderedPageBreak/>
        <w:t>no la sustrae, por ese solo hecho, del deber de publicar la contratación financiada con recursos públicos.</w:t>
      </w:r>
    </w:p>
    <w:p w14:paraId="53879095" w14:textId="77777777" w:rsidR="00BE5A26" w:rsidRPr="003F62F9" w:rsidRDefault="00BE5A26" w:rsidP="00BE5A26">
      <w:pPr>
        <w:spacing w:after="120" w:line="276" w:lineRule="auto"/>
        <w:ind w:firstLine="708"/>
        <w:jc w:val="both"/>
        <w:rPr>
          <w:rFonts w:ascii="Verdana" w:hAnsi="Verdana" w:cs="Arial"/>
          <w:lang w:eastAsia="es-CO"/>
        </w:rPr>
      </w:pPr>
      <w:r w:rsidRPr="001B7B03">
        <w:rPr>
          <w:rFonts w:ascii="Verdana" w:hAnsi="Verdana" w:cs="Arial"/>
          <w:lang w:eastAsia="es-CO"/>
        </w:rPr>
        <w:t>El mecanismo principal con el que se financia el aseguramiento es la Unidad de Pago por Capitación —UPC—, que la EPS recibe para garantizar a sus afiliados el Plan de Beneficios en Salud. Sobre su naturaleza, el Consejo de Estado ha precisado recientemente que la UPC es un recurso público de carácter parafiscal, que no hace parte del Presupuesto General de la Nación ni constituye una renta propia de la EPS, sino que conserva una destinación específica —la financiación de los servicios de salud y de los gastos administrativos autorizados— aun cuando se encuentre en poder de la entidad aseguradora, razón por la cual debe manejarse en cuentas separadas y no puede destinarse a fines ajenos</w:t>
      </w:r>
      <w:r w:rsidRPr="001B7B03">
        <w:rPr>
          <w:rStyle w:val="Refdenotaalpie"/>
          <w:rFonts w:ascii="Verdana" w:hAnsi="Verdana" w:cs="Arial"/>
          <w:lang w:eastAsia="es-CO"/>
        </w:rPr>
        <w:footnoteReference w:id="12"/>
      </w:r>
      <w:r w:rsidRPr="001B7B03">
        <w:rPr>
          <w:rFonts w:ascii="Verdana" w:hAnsi="Verdana" w:cs="Arial"/>
          <w:lang w:eastAsia="es-CO"/>
        </w:rPr>
        <w:t>. De allí que los contratos que la EPS-I celebra con las Instituciones Prestadoras de Servicios de Salud que integran su red, en cuanto se ejecutan con cargo a la UPC u otros recursos del Sistema, comprometen recursos públicos y, por esa vía, quedan cobijados por el deber de publicidad en el SECOP, con independencia de que el contrato se rija por el derecho privado. El deber no alcanza, en cambio, a la contratación que la EPS-I financie exclusivamente con recursos de origen privado.</w:t>
      </w:r>
    </w:p>
    <w:p w14:paraId="5428C480" w14:textId="77777777" w:rsidR="00BE5A26" w:rsidRPr="003F62F9" w:rsidRDefault="00BE5A26" w:rsidP="00B66544">
      <w:pPr>
        <w:spacing w:after="120" w:line="276" w:lineRule="auto"/>
        <w:ind w:firstLine="708"/>
        <w:jc w:val="both"/>
        <w:rPr>
          <w:rFonts w:ascii="Verdana" w:hAnsi="Verdana" w:cs="Arial"/>
          <w:lang w:eastAsia="es-CO"/>
        </w:rPr>
      </w:pPr>
    </w:p>
    <w:p w14:paraId="67DF1FFC" w14:textId="7E224AA9" w:rsidR="00B66544" w:rsidRPr="003F62F9" w:rsidRDefault="00BE5A26" w:rsidP="001B7B03">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E</w:t>
      </w:r>
      <w:r w:rsidR="00B66544" w:rsidRPr="003F62F9">
        <w:rPr>
          <w:rFonts w:ascii="Verdana" w:eastAsia="Calibri" w:hAnsi="Verdana" w:cs="Arial"/>
          <w:color w:val="000000" w:themeColor="text1"/>
          <w:lang w:val="es-ES"/>
        </w:rPr>
        <w:t xml:space="preserve">xplicado lo anterior, uno de los postulados más importantes de un Estado social y democrático de derecho es el principio de </w:t>
      </w:r>
      <w:r w:rsidR="00B66544" w:rsidRPr="003F62F9">
        <w:rPr>
          <w:rFonts w:ascii="Verdana" w:eastAsia="Calibri" w:hAnsi="Verdana" w:cs="Arial"/>
          <w:i/>
          <w:color w:val="000000" w:themeColor="text1"/>
          <w:lang w:val="es-ES"/>
        </w:rPr>
        <w:t>publicidad</w:t>
      </w:r>
      <w:r w:rsidR="00B66544" w:rsidRPr="003F62F9">
        <w:rPr>
          <w:rFonts w:ascii="Verdana" w:eastAsia="Calibri" w:hAnsi="Verdana" w:cs="Arial"/>
          <w:color w:val="000000" w:themeColor="text1"/>
          <w:lang w:val="es-ES"/>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00B66544" w:rsidRPr="003F62F9">
        <w:rPr>
          <w:rStyle w:val="Refdenotaalpie"/>
          <w:rFonts w:ascii="Verdana" w:eastAsia="Calibri" w:hAnsi="Verdana" w:cs="Arial"/>
          <w:color w:val="000000" w:themeColor="text1"/>
          <w:lang w:val="es-ES"/>
        </w:rPr>
        <w:footnoteReference w:id="13"/>
      </w:r>
      <w:r w:rsidR="00B66544" w:rsidRPr="003F62F9">
        <w:rPr>
          <w:rFonts w:ascii="Verdana" w:eastAsia="Calibri" w:hAnsi="Verdana" w:cs="Arial"/>
          <w:color w:val="000000" w:themeColor="text1"/>
          <w:lang w:val="es-ES"/>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75DB0433" w14:textId="77777777" w:rsidR="00B66544" w:rsidRPr="003F62F9" w:rsidRDefault="00B66544" w:rsidP="00B66544">
      <w:pPr>
        <w:spacing w:line="276" w:lineRule="auto"/>
        <w:ind w:firstLine="708"/>
        <w:jc w:val="both"/>
        <w:rPr>
          <w:rFonts w:ascii="Verdana" w:eastAsia="Calibri" w:hAnsi="Verdana" w:cs="Arial"/>
          <w:color w:val="000000" w:themeColor="text1"/>
          <w:lang w:val="es-ES_tradnl"/>
        </w:rPr>
      </w:pPr>
      <w:r w:rsidRPr="003F62F9">
        <w:rPr>
          <w:rFonts w:ascii="Verdana" w:eastAsia="Calibri" w:hAnsi="Verdana" w:cs="Arial"/>
          <w:color w:val="000000" w:themeColor="text1"/>
          <w:lang w:val="es-ES_tradnl"/>
        </w:rPr>
        <w:t xml:space="preserve">Inspirada en esta concepción axiológica, la Constitución Política de 1991 consagra en varios artículos la publicidad como un principio rector del Estado </w:t>
      </w:r>
      <w:r w:rsidRPr="003F62F9">
        <w:rPr>
          <w:rFonts w:ascii="Verdana" w:eastAsia="Calibri" w:hAnsi="Verdana" w:cs="Arial"/>
          <w:color w:val="000000" w:themeColor="text1"/>
          <w:lang w:val="es-ES_tradnl"/>
        </w:rPr>
        <w:lastRenderedPageBreak/>
        <w:t>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6E3D09D1" w14:textId="77777777" w:rsidR="00B66544" w:rsidRPr="003F62F9" w:rsidRDefault="00B66544" w:rsidP="00B66544">
      <w:pPr>
        <w:tabs>
          <w:tab w:val="left" w:pos="3885"/>
        </w:tabs>
        <w:spacing w:after="120" w:line="240" w:lineRule="auto"/>
        <w:ind w:left="709" w:right="709"/>
        <w:jc w:val="both"/>
        <w:rPr>
          <w:rFonts w:ascii="Verdana" w:hAnsi="Verdana" w:cs="Arial"/>
          <w:color w:val="000000" w:themeColor="text1"/>
          <w:sz w:val="20"/>
          <w:szCs w:val="20"/>
          <w:lang w:val="es-ES_tradnl"/>
        </w:rPr>
      </w:pPr>
      <w:r w:rsidRPr="003F62F9">
        <w:rPr>
          <w:rFonts w:ascii="Verdana" w:hAnsi="Verdana" w:cs="Arial"/>
          <w:color w:val="000000" w:themeColor="text1"/>
          <w:sz w:val="20"/>
          <w:szCs w:val="20"/>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36AE8958" w14:textId="77777777" w:rsidR="00B66544" w:rsidRPr="003F62F9" w:rsidRDefault="00B66544" w:rsidP="00B66544">
      <w:pPr>
        <w:tabs>
          <w:tab w:val="left" w:pos="3885"/>
          <w:tab w:val="left" w:pos="8222"/>
        </w:tabs>
        <w:spacing w:line="240" w:lineRule="auto"/>
        <w:ind w:left="709" w:right="709"/>
        <w:jc w:val="both"/>
        <w:rPr>
          <w:rFonts w:ascii="Verdana" w:hAnsi="Verdana" w:cs="Arial"/>
          <w:color w:val="000000" w:themeColor="text1"/>
          <w:sz w:val="20"/>
          <w:szCs w:val="20"/>
          <w:lang w:val="es-ES"/>
        </w:rPr>
      </w:pPr>
      <w:r w:rsidRPr="003F62F9">
        <w:rPr>
          <w:rFonts w:ascii="Verdana" w:hAnsi="Verdana" w:cs="Arial"/>
          <w:color w:val="000000" w:themeColor="text1"/>
          <w:sz w:val="20"/>
          <w:szCs w:val="20"/>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3F62F9">
        <w:rPr>
          <w:rFonts w:ascii="Verdana" w:hAnsi="Verdana" w:cs="Arial"/>
          <w:color w:val="000000" w:themeColor="text1"/>
          <w:sz w:val="20"/>
          <w:szCs w:val="20"/>
          <w:lang w:val="es-ES"/>
        </w:rPr>
        <w:t>autoridades públicas</w:t>
      </w:r>
      <w:proofErr w:type="gramEnd"/>
      <w:r w:rsidRPr="003F62F9">
        <w:rPr>
          <w:rFonts w:ascii="Verdana" w:hAnsi="Verdana" w:cs="Arial"/>
          <w:color w:val="000000" w:themeColor="text1"/>
          <w:sz w:val="20"/>
          <w:szCs w:val="20"/>
          <w:lang w:val="es-ES"/>
        </w:rPr>
        <w:t xml:space="preserve"> y, a través de ese conocimiento, a exigir que ellas se surtan conforme a la ley</w:t>
      </w:r>
      <w:r w:rsidRPr="003F62F9">
        <w:rPr>
          <w:rStyle w:val="Refdenotaalpie"/>
          <w:rFonts w:ascii="Verdana" w:eastAsia="Calibri" w:hAnsi="Verdana" w:cs="Arial"/>
          <w:color w:val="000000" w:themeColor="text1"/>
          <w:sz w:val="20"/>
          <w:szCs w:val="20"/>
          <w:lang w:val="es-ES"/>
        </w:rPr>
        <w:footnoteReference w:id="14"/>
      </w:r>
      <w:r w:rsidRPr="003F62F9">
        <w:rPr>
          <w:rFonts w:ascii="Verdana" w:eastAsia="Calibri" w:hAnsi="Verdana" w:cs="Arial"/>
          <w:color w:val="000000" w:themeColor="text1"/>
          <w:sz w:val="20"/>
          <w:szCs w:val="20"/>
          <w:lang w:val="es-ES"/>
        </w:rPr>
        <w:t>.</w:t>
      </w:r>
    </w:p>
    <w:p w14:paraId="60D7B688" w14:textId="77777777" w:rsidR="00B66544" w:rsidRPr="003F62F9" w:rsidRDefault="00B66544" w:rsidP="00B66544">
      <w:pPr>
        <w:spacing w:line="276" w:lineRule="auto"/>
        <w:ind w:firstLine="709"/>
        <w:jc w:val="both"/>
        <w:rPr>
          <w:rFonts w:ascii="Verdana" w:eastAsia="Calibri" w:hAnsi="Verdana" w:cs="Arial"/>
          <w:color w:val="000000" w:themeColor="text1"/>
          <w:lang w:val="es-ES"/>
        </w:rPr>
      </w:pPr>
      <w:r w:rsidRPr="003F62F9">
        <w:rPr>
          <w:rFonts w:ascii="Verdana" w:eastAsia="Calibri" w:hAnsi="Verdana" w:cs="Arial"/>
          <w:color w:val="000000" w:themeColor="text1"/>
          <w:lang w:val="es-ES"/>
        </w:rPr>
        <w:t xml:space="preserve">El principio de publicidad impone a las autoridades administrativas el deber de dar a conocer sus actos, contratos y decisiones, para que se divulguen y eventualmente se controlen dichas actuaciones. Es por eso </w:t>
      </w:r>
      <w:proofErr w:type="gramStart"/>
      <w:r w:rsidRPr="003F62F9">
        <w:rPr>
          <w:rFonts w:ascii="Verdana" w:eastAsia="Calibri" w:hAnsi="Verdana" w:cs="Arial"/>
          <w:color w:val="000000" w:themeColor="text1"/>
          <w:lang w:val="es-ES"/>
        </w:rPr>
        <w:t>que</w:t>
      </w:r>
      <w:proofErr w:type="gramEnd"/>
      <w:r w:rsidRPr="003F62F9">
        <w:rPr>
          <w:rFonts w:ascii="Verdana" w:eastAsia="Calibri" w:hAnsi="Verdana" w:cs="Arial"/>
          <w:color w:val="000000" w:themeColor="text1"/>
          <w:lang w:val="es-ES"/>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3F62F9">
        <w:rPr>
          <w:rStyle w:val="Refdenotaalpie"/>
          <w:rFonts w:ascii="Verdana" w:eastAsia="Calibri" w:hAnsi="Verdana" w:cs="Arial"/>
          <w:color w:val="000000" w:themeColor="text1"/>
          <w:lang w:val="es-ES"/>
        </w:rPr>
        <w:footnoteReference w:id="15"/>
      </w:r>
      <w:r w:rsidRPr="003F62F9">
        <w:rPr>
          <w:rFonts w:ascii="Verdana" w:eastAsia="Calibri" w:hAnsi="Verdana" w:cs="Arial"/>
          <w:color w:val="000000" w:themeColor="text1"/>
          <w:lang w:val="es-ES"/>
        </w:rPr>
        <w:t xml:space="preserve">. </w:t>
      </w:r>
    </w:p>
    <w:p w14:paraId="4E8256C6" w14:textId="04972903" w:rsidR="00B66544" w:rsidRPr="003F62F9" w:rsidRDefault="00B66544" w:rsidP="00B66544">
      <w:pPr>
        <w:spacing w:before="120" w:line="276" w:lineRule="auto"/>
        <w:ind w:firstLine="709"/>
        <w:jc w:val="both"/>
        <w:rPr>
          <w:rFonts w:ascii="Verdana" w:eastAsia="Calibri" w:hAnsi="Verdana" w:cs="Arial"/>
          <w:color w:val="000000" w:themeColor="text1"/>
          <w:lang w:val="es-ES"/>
        </w:rPr>
      </w:pPr>
      <w:r w:rsidRPr="003F62F9">
        <w:rPr>
          <w:rFonts w:ascii="Verdana" w:hAnsi="Verdana" w:cs="Arial"/>
          <w:color w:val="000000" w:themeColor="text1"/>
          <w:lang w:val="es-ES"/>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3F62F9">
        <w:rPr>
          <w:rStyle w:val="Refdenotaalpie"/>
          <w:rFonts w:ascii="Verdana" w:hAnsi="Verdana" w:cs="Arial"/>
          <w:color w:val="000000" w:themeColor="text1"/>
          <w:lang w:val="es-ES"/>
        </w:rPr>
        <w:footnoteReference w:id="16"/>
      </w:r>
      <w:r w:rsidRPr="003F62F9">
        <w:rPr>
          <w:rFonts w:ascii="Verdana" w:hAnsi="Verdana" w:cs="Arial"/>
          <w:color w:val="000000" w:themeColor="text1"/>
          <w:lang w:val="es-ES"/>
        </w:rPr>
        <w:t>. El principio de transparencia en la información alude al deber de los sujetos de proporcionar y facilitar el acceso a la misma en los términos más amplios posibles, y a través de los medios y procedimientos legales. En el literal e) del artículo 9, la ley estatutaria citada dispone que los sujetos obligados, que son todas las entidades públicas</w:t>
      </w:r>
      <w:r w:rsidRPr="003F62F9">
        <w:rPr>
          <w:rStyle w:val="Refdenotaalpie"/>
          <w:rFonts w:ascii="Verdana" w:hAnsi="Verdana" w:cs="Arial"/>
          <w:color w:val="000000" w:themeColor="text1"/>
          <w:lang w:val="es-ES"/>
        </w:rPr>
        <w:footnoteReference w:id="17"/>
      </w:r>
      <w:r w:rsidRPr="003F62F9">
        <w:rPr>
          <w:rFonts w:ascii="Verdana" w:hAnsi="Verdana" w:cs="Arial"/>
          <w:color w:val="000000" w:themeColor="text1"/>
          <w:lang w:val="es-ES"/>
        </w:rPr>
        <w:t>, deben publicar la información relativa a su contratación. Esta obligación fue desarrollada por el Decreto Único Reglamentario 1081 de 2015</w:t>
      </w:r>
      <w:r w:rsidRPr="003F62F9">
        <w:rPr>
          <w:rStyle w:val="Refdenotaalpie"/>
          <w:rFonts w:ascii="Verdana" w:hAnsi="Verdana" w:cs="Arial"/>
          <w:color w:val="000000" w:themeColor="text1"/>
          <w:lang w:val="es-ES"/>
        </w:rPr>
        <w:footnoteReference w:id="18"/>
      </w:r>
      <w:r w:rsidRPr="003F62F9">
        <w:rPr>
          <w:rFonts w:ascii="Verdana" w:hAnsi="Verdana" w:cs="Arial"/>
          <w:color w:val="000000" w:themeColor="text1"/>
          <w:lang w:val="es-ES"/>
        </w:rPr>
        <w:t>, el cual dispuso que la publicación de la información contractual de los sujetos obligados, que contratan con cargo a recursos públicos, debe hacerse en el Sistema Electrónico para la Contratación Pública ─</w:t>
      </w:r>
      <w:r w:rsidRPr="003F62F9">
        <w:rPr>
          <w:rFonts w:ascii="Verdana" w:hAnsi="Verdana" w:cs="Arial"/>
          <w:color w:val="000000" w:themeColor="text1"/>
          <w:lang w:val="es-ES_tradnl"/>
        </w:rPr>
        <w:softHyphen/>
      </w:r>
      <w:r w:rsidRPr="003F62F9">
        <w:rPr>
          <w:rFonts w:ascii="Verdana" w:hAnsi="Verdana" w:cs="Arial"/>
          <w:color w:val="000000" w:themeColor="text1"/>
          <w:lang w:val="es-ES"/>
        </w:rPr>
        <w:t xml:space="preserve"> </w:t>
      </w:r>
      <w:r w:rsidRPr="003F62F9">
        <w:rPr>
          <w:rFonts w:ascii="Verdana" w:hAnsi="Verdana" w:cs="Arial"/>
          <w:color w:val="000000" w:themeColor="text1"/>
          <w:lang w:val="es-ES_tradnl"/>
        </w:rPr>
        <w:softHyphen/>
      </w:r>
      <w:r w:rsidRPr="003F62F9">
        <w:rPr>
          <w:rFonts w:ascii="Verdana" w:hAnsi="Verdana" w:cs="Arial"/>
          <w:color w:val="000000" w:themeColor="text1"/>
          <w:lang w:val="es-ES"/>
        </w:rPr>
        <w:t>SECOP–.</w:t>
      </w:r>
    </w:p>
    <w:p w14:paraId="7947BBD3" w14:textId="77777777" w:rsidR="00B66544" w:rsidRPr="003F62F9" w:rsidRDefault="00B66544" w:rsidP="00B66544">
      <w:pPr>
        <w:spacing w:before="120" w:line="276" w:lineRule="auto"/>
        <w:ind w:firstLine="709"/>
        <w:jc w:val="both"/>
        <w:rPr>
          <w:rFonts w:ascii="Verdana" w:hAnsi="Verdana" w:cs="Arial"/>
          <w:color w:val="000000" w:themeColor="text1"/>
          <w:lang w:val="es-ES_tradnl"/>
        </w:rPr>
      </w:pPr>
      <w:r w:rsidRPr="003F62F9">
        <w:rPr>
          <w:rFonts w:ascii="Verdana" w:hAnsi="Verdana" w:cs="Arial"/>
          <w:color w:val="000000" w:themeColor="text1"/>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w:t>
      </w:r>
      <w:r w:rsidRPr="003F62F9">
        <w:rPr>
          <w:rFonts w:ascii="Verdana" w:hAnsi="Verdana" w:cs="Arial"/>
          <w:color w:val="000000" w:themeColor="text1"/>
          <w:lang w:val="es-ES_tradnl"/>
        </w:rPr>
        <w:lastRenderedPageBreak/>
        <w:t xml:space="preserve">SECOP. </w:t>
      </w:r>
      <w:r w:rsidRPr="003F62F9">
        <w:rPr>
          <w:rFonts w:ascii="Verdana" w:eastAsia="Calibri" w:hAnsi="Verdana"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F62F9">
        <w:rPr>
          <w:rStyle w:val="Refdenotaalpie"/>
          <w:rFonts w:ascii="Verdana" w:eastAsia="Calibri" w:hAnsi="Verdana" w:cs="Arial"/>
          <w:color w:val="000000" w:themeColor="text1"/>
          <w:lang w:val="es-ES_tradnl"/>
        </w:rPr>
        <w:footnoteReference w:id="19"/>
      </w:r>
      <w:r w:rsidRPr="003F62F9">
        <w:rPr>
          <w:rFonts w:ascii="Verdana" w:eastAsia="Calibri" w:hAnsi="Verdana" w:cs="Arial"/>
          <w:color w:val="000000" w:themeColor="text1"/>
          <w:lang w:val="es-ES_tradnl"/>
        </w:rPr>
        <w:t>.</w:t>
      </w:r>
    </w:p>
    <w:p w14:paraId="4FFD7BF2" w14:textId="77777777" w:rsidR="00B66544" w:rsidRPr="003F62F9" w:rsidRDefault="00B66544" w:rsidP="00B66544">
      <w:pPr>
        <w:spacing w:before="120" w:line="276" w:lineRule="auto"/>
        <w:ind w:firstLine="709"/>
        <w:jc w:val="both"/>
        <w:rPr>
          <w:rFonts w:ascii="Verdana" w:hAnsi="Verdana" w:cs="Arial"/>
          <w:color w:val="000000" w:themeColor="text1"/>
          <w:lang w:val="es-ES_tradnl"/>
        </w:rPr>
      </w:pPr>
      <w:r w:rsidRPr="003F62F9">
        <w:rPr>
          <w:rFonts w:ascii="Verdana" w:hAnsi="Verdana" w:cs="Arial"/>
          <w:color w:val="000000" w:themeColor="text1"/>
          <w:lang w:val="es-ES_tradnl"/>
        </w:rPr>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3F62F9">
        <w:rPr>
          <w:rStyle w:val="Refdenotaalpie"/>
          <w:rFonts w:ascii="Verdana" w:hAnsi="Verdana" w:cs="Arial"/>
          <w:color w:val="000000" w:themeColor="text1"/>
          <w:lang w:val="es-ES_tradnl"/>
        </w:rPr>
        <w:footnoteReference w:id="20"/>
      </w:r>
      <w:r w:rsidRPr="003F62F9">
        <w:rPr>
          <w:rFonts w:ascii="Verdana" w:hAnsi="Verdana" w:cs="Arial"/>
          <w:color w:val="000000" w:themeColor="text1"/>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4A88DB24" w14:textId="77777777" w:rsidR="00B66544" w:rsidRPr="003F62F9" w:rsidRDefault="00B66544" w:rsidP="00B66544">
      <w:pPr>
        <w:spacing w:before="120" w:line="276" w:lineRule="auto"/>
        <w:ind w:firstLine="709"/>
        <w:jc w:val="both"/>
        <w:rPr>
          <w:rFonts w:ascii="Verdana" w:hAnsi="Verdana" w:cs="Arial"/>
          <w:color w:val="000000" w:themeColor="text1"/>
          <w:lang w:val="es-ES_tradnl"/>
        </w:rPr>
      </w:pPr>
      <w:r w:rsidRPr="003F62F9">
        <w:rPr>
          <w:rFonts w:ascii="Verdana" w:hAnsi="Verdana" w:cs="Arial"/>
          <w:color w:val="000000" w:themeColor="text1"/>
          <w:lang w:val="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3F62F9">
        <w:rPr>
          <w:rStyle w:val="Refdenotaalpie"/>
          <w:rFonts w:ascii="Verdana" w:hAnsi="Verdana" w:cs="Arial"/>
          <w:color w:val="000000" w:themeColor="text1"/>
          <w:lang w:val="es-ES_tradnl"/>
        </w:rPr>
        <w:footnoteReference w:id="21"/>
      </w:r>
      <w:r w:rsidRPr="003F62F9">
        <w:rPr>
          <w:rFonts w:ascii="Verdana" w:hAnsi="Verdana" w:cs="Arial"/>
          <w:color w:val="000000" w:themeColor="text1"/>
          <w:lang w:val="es-ES_tradnl"/>
        </w:rPr>
        <w:t>, expresó que la obligación prevista en la Circular Externa No. 1 se ajusta a la normativa superior, en los siguientes términos:</w:t>
      </w:r>
    </w:p>
    <w:p w14:paraId="7F4BC0F3" w14:textId="77777777" w:rsidR="00B66544" w:rsidRPr="003F62F9" w:rsidRDefault="00B66544" w:rsidP="00B66544">
      <w:pPr>
        <w:tabs>
          <w:tab w:val="left" w:pos="3885"/>
        </w:tabs>
        <w:spacing w:after="120" w:line="240" w:lineRule="auto"/>
        <w:ind w:left="709" w:right="709"/>
        <w:jc w:val="both"/>
        <w:rPr>
          <w:rFonts w:ascii="Verdana" w:hAnsi="Verdana" w:cs="Arial"/>
          <w:color w:val="000000" w:themeColor="text1"/>
          <w:sz w:val="20"/>
          <w:szCs w:val="20"/>
          <w:lang w:val="es-ES_tradnl"/>
        </w:rPr>
      </w:pPr>
      <w:r w:rsidRPr="003F62F9">
        <w:rPr>
          <w:rFonts w:ascii="Verdana" w:hAnsi="Verdana" w:cs="Arial"/>
          <w:color w:val="000000" w:themeColor="text1"/>
          <w:sz w:val="20"/>
          <w:szCs w:val="20"/>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1836386B" w14:textId="77777777" w:rsidR="00B66544" w:rsidRPr="003F62F9" w:rsidRDefault="00B66544" w:rsidP="00B66544">
      <w:pPr>
        <w:tabs>
          <w:tab w:val="left" w:pos="3885"/>
        </w:tabs>
        <w:spacing w:line="240" w:lineRule="auto"/>
        <w:ind w:left="709" w:right="709"/>
        <w:jc w:val="both"/>
        <w:rPr>
          <w:rFonts w:ascii="Verdana" w:hAnsi="Verdana" w:cs="Arial"/>
          <w:color w:val="000000" w:themeColor="text1"/>
          <w:sz w:val="20"/>
          <w:szCs w:val="20"/>
          <w:lang w:val="es-ES"/>
        </w:rPr>
      </w:pPr>
      <w:r w:rsidRPr="003F62F9">
        <w:rPr>
          <w:rFonts w:ascii="Verdana" w:hAnsi="Verdana" w:cs="Arial"/>
          <w:color w:val="000000" w:themeColor="text1"/>
          <w:sz w:val="20"/>
          <w:szCs w:val="20"/>
          <w:lang w:val="es-ES"/>
        </w:rPr>
        <w:lastRenderedPageBreak/>
        <w:t>11.5. ─Y es que, si se quiere en términos más detallados el literal c) del artículo 3o de la Ley en comento responde claramente las siguientes inquietudes: ¿Quiénes están obligados? los que realizan contratación con dineros públicos; ¿</w:t>
      </w:r>
      <w:proofErr w:type="gramStart"/>
      <w:r w:rsidRPr="003F62F9">
        <w:rPr>
          <w:rFonts w:ascii="Verdana" w:hAnsi="Verdana" w:cs="Arial"/>
          <w:color w:val="000000" w:themeColor="text1"/>
          <w:sz w:val="20"/>
          <w:szCs w:val="20"/>
          <w:lang w:val="es-ES"/>
        </w:rPr>
        <w:t>en razón de</w:t>
      </w:r>
      <w:proofErr w:type="gramEnd"/>
      <w:r w:rsidRPr="003F62F9">
        <w:rPr>
          <w:rFonts w:ascii="Verdana" w:hAnsi="Verdana" w:cs="Arial"/>
          <w:color w:val="000000" w:themeColor="text1"/>
          <w:sz w:val="20"/>
          <w:szCs w:val="20"/>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731F2A5F" w14:textId="77777777" w:rsidR="00B66544" w:rsidRPr="003F62F9" w:rsidRDefault="00B66544" w:rsidP="00B66544">
      <w:pPr>
        <w:tabs>
          <w:tab w:val="left" w:pos="3885"/>
        </w:tabs>
        <w:spacing w:after="120" w:line="240" w:lineRule="auto"/>
        <w:ind w:left="709" w:right="709"/>
        <w:jc w:val="both"/>
        <w:rPr>
          <w:rFonts w:ascii="Verdana" w:hAnsi="Verdana" w:cs="Arial"/>
          <w:color w:val="000000" w:themeColor="text1"/>
          <w:sz w:val="20"/>
          <w:szCs w:val="20"/>
          <w:lang w:val="es-ES_tradnl"/>
        </w:rPr>
      </w:pPr>
      <w:r w:rsidRPr="003F62F9">
        <w:rPr>
          <w:rFonts w:ascii="Verdana" w:hAnsi="Verdana" w:cs="Arial"/>
          <w:color w:val="000000" w:themeColor="text1"/>
          <w:sz w:val="20"/>
          <w:szCs w:val="20"/>
          <w:lang w:val="es-ES_tradnl"/>
        </w:rPr>
        <w:t>[…]</w:t>
      </w:r>
    </w:p>
    <w:p w14:paraId="0DA985FC" w14:textId="77777777" w:rsidR="00B66544" w:rsidRPr="003F62F9" w:rsidRDefault="00B66544" w:rsidP="00B66544">
      <w:pPr>
        <w:tabs>
          <w:tab w:val="left" w:pos="3885"/>
        </w:tabs>
        <w:spacing w:line="240" w:lineRule="auto"/>
        <w:ind w:left="709" w:right="709"/>
        <w:jc w:val="both"/>
        <w:rPr>
          <w:rFonts w:ascii="Verdana" w:hAnsi="Verdana" w:cs="Arial"/>
          <w:color w:val="000000" w:themeColor="text1"/>
          <w:sz w:val="20"/>
          <w:szCs w:val="20"/>
          <w:lang w:val="es-ES"/>
        </w:rPr>
      </w:pPr>
      <w:r w:rsidRPr="003F62F9">
        <w:rPr>
          <w:rFonts w:ascii="Verdana" w:hAnsi="Verdana" w:cs="Arial"/>
          <w:color w:val="000000" w:themeColor="text1"/>
          <w:sz w:val="20"/>
          <w:szCs w:val="20"/>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3F62F9">
        <w:rPr>
          <w:rStyle w:val="Refdenotaalpie"/>
          <w:rFonts w:ascii="Verdana" w:hAnsi="Verdana" w:cs="Arial"/>
          <w:color w:val="000000" w:themeColor="text1"/>
          <w:sz w:val="20"/>
          <w:szCs w:val="20"/>
          <w:lang w:val="es-ES"/>
        </w:rPr>
        <w:footnoteReference w:id="22"/>
      </w:r>
      <w:r w:rsidRPr="003F62F9">
        <w:rPr>
          <w:rFonts w:ascii="Verdana" w:hAnsi="Verdana" w:cs="Arial"/>
          <w:color w:val="000000" w:themeColor="text1"/>
          <w:sz w:val="20"/>
          <w:szCs w:val="20"/>
          <w:lang w:val="es-ES"/>
        </w:rPr>
        <w:t>.</w:t>
      </w:r>
    </w:p>
    <w:p w14:paraId="3B85D79C" w14:textId="77777777" w:rsidR="00B66544" w:rsidRPr="003F62F9" w:rsidRDefault="00B66544" w:rsidP="00B66544">
      <w:pPr>
        <w:spacing w:line="276" w:lineRule="auto"/>
        <w:ind w:firstLine="708"/>
        <w:jc w:val="both"/>
        <w:rPr>
          <w:rFonts w:ascii="Verdana" w:hAnsi="Verdana" w:cs="Arial"/>
          <w:color w:val="000000" w:themeColor="text1"/>
          <w:lang w:val="es-ES_tradnl"/>
        </w:rPr>
      </w:pPr>
      <w:r w:rsidRPr="003F62F9">
        <w:rPr>
          <w:rFonts w:ascii="Verdana" w:hAnsi="Verdana" w:cs="Arial"/>
          <w:color w:val="000000" w:themeColor="text1"/>
          <w:lang w:val="es-ES_tradnl"/>
        </w:rPr>
        <w:t xml:space="preserve">Adicionalmente, la publicación de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18AD44F4" w14:textId="77777777" w:rsidR="00B66544" w:rsidRPr="003F62F9" w:rsidRDefault="00B66544" w:rsidP="00B66544">
      <w:pPr>
        <w:spacing w:line="240" w:lineRule="auto"/>
        <w:ind w:left="709" w:right="709"/>
        <w:jc w:val="both"/>
        <w:rPr>
          <w:rFonts w:ascii="Verdana" w:hAnsi="Verdana" w:cs="Arial"/>
          <w:color w:val="000000" w:themeColor="text1"/>
          <w:sz w:val="20"/>
          <w:szCs w:val="20"/>
          <w:lang w:val="es-ES_tradnl"/>
        </w:rPr>
      </w:pPr>
      <w:r w:rsidRPr="003F62F9">
        <w:rPr>
          <w:rFonts w:ascii="Verdana" w:hAnsi="Verdana" w:cs="Arial"/>
          <w:color w:val="000000" w:themeColor="text1"/>
          <w:sz w:val="20"/>
          <w:szCs w:val="20"/>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3F62F9">
        <w:rPr>
          <w:rStyle w:val="Refdenotaalpie"/>
          <w:rFonts w:ascii="Verdana" w:hAnsi="Verdana" w:cs="Arial"/>
          <w:color w:val="000000" w:themeColor="text1"/>
          <w:sz w:val="20"/>
          <w:szCs w:val="20"/>
          <w:lang w:val="es-ES_tradnl"/>
        </w:rPr>
        <w:footnoteReference w:id="23"/>
      </w:r>
      <w:r w:rsidRPr="003F62F9">
        <w:rPr>
          <w:rFonts w:ascii="Verdana" w:hAnsi="Verdana" w:cs="Arial"/>
          <w:color w:val="000000" w:themeColor="text1"/>
          <w:sz w:val="20"/>
          <w:szCs w:val="20"/>
          <w:lang w:val="es-ES_tradnl"/>
        </w:rPr>
        <w:t>.</w:t>
      </w:r>
    </w:p>
    <w:p w14:paraId="4A3B10D8" w14:textId="77777777" w:rsidR="00B66544" w:rsidRPr="003F62F9" w:rsidRDefault="00B66544" w:rsidP="00B66544">
      <w:pPr>
        <w:spacing w:after="120" w:line="276" w:lineRule="auto"/>
        <w:ind w:firstLine="709"/>
        <w:jc w:val="both"/>
        <w:rPr>
          <w:rFonts w:ascii="Verdana" w:hAnsi="Verdana" w:cs="Arial"/>
          <w:color w:val="000000" w:themeColor="text1"/>
          <w:lang w:val="es-ES_tradnl"/>
        </w:rPr>
      </w:pPr>
      <w:r w:rsidRPr="003F62F9">
        <w:rPr>
          <w:rFonts w:ascii="Verdana" w:hAnsi="Verdana" w:cs="Arial"/>
          <w:color w:val="000000" w:themeColor="text1"/>
          <w:lang w:val="es-ES_tradnl"/>
        </w:rPr>
        <w:t xml:space="preserve">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w:t>
      </w:r>
      <w:r w:rsidRPr="003F62F9">
        <w:rPr>
          <w:rFonts w:ascii="Verdana" w:hAnsi="Verdana" w:cs="Arial"/>
          <w:color w:val="000000" w:themeColor="text1"/>
          <w:lang w:val="es-ES_tradnl"/>
        </w:rPr>
        <w:lastRenderedPageBreak/>
        <w:t>citada refuerza la obligación de publicar en el SECOP, mandato que además está expresamente consagrado en las Leyes 1150 de 2007, 1712 de 2014 y la Circular Externa Única.</w:t>
      </w:r>
    </w:p>
    <w:p w14:paraId="5701FDE4" w14:textId="2F13F93E" w:rsidR="00B66544" w:rsidRPr="003F62F9" w:rsidRDefault="00B66544" w:rsidP="00B66544">
      <w:pPr>
        <w:spacing w:before="120" w:line="276" w:lineRule="auto"/>
        <w:ind w:firstLine="709"/>
        <w:jc w:val="both"/>
        <w:rPr>
          <w:rFonts w:ascii="Verdana" w:eastAsia="Calibri" w:hAnsi="Verdana" w:cs="Arial"/>
          <w:color w:val="000000"/>
          <w:lang w:val="es-ES"/>
        </w:rPr>
      </w:pPr>
      <w:r w:rsidRPr="003F62F9">
        <w:rPr>
          <w:rFonts w:ascii="Verdana" w:hAnsi="Verdana" w:cs="Arial"/>
          <w:color w:val="000000" w:themeColor="text1"/>
          <w:lang w:val="es-ES"/>
        </w:rPr>
        <w:t xml:space="preserve">De otro lado, </w:t>
      </w:r>
      <w:r w:rsidRPr="003F62F9">
        <w:rPr>
          <w:rFonts w:ascii="Verdana" w:eastAsia="Calibri" w:hAnsi="Verdana" w:cs="Arial"/>
          <w:color w:val="000000" w:themeColor="text1"/>
          <w:lang w:val="es-ES"/>
        </w:rPr>
        <w:t>el 18 de enero de</w:t>
      </w:r>
      <w:r w:rsidR="004D10EE">
        <w:rPr>
          <w:rFonts w:ascii="Verdana" w:eastAsia="Calibri" w:hAnsi="Verdana" w:cs="Arial"/>
          <w:color w:val="000000" w:themeColor="text1"/>
          <w:lang w:val="es-ES"/>
        </w:rPr>
        <w:t xml:space="preserve"> 2022</w:t>
      </w:r>
      <w:r w:rsidRPr="003F62F9">
        <w:rPr>
          <w:rFonts w:ascii="Verdana" w:eastAsia="Calibri" w:hAnsi="Verdana" w:cs="Arial"/>
          <w:color w:val="000000" w:themeColor="text1"/>
          <w:lang w:val="es-ES"/>
        </w:rPr>
        <w:t xml:space="preserve"> se promulgó la Ley 2195 de 2022. Según lo establece su artículo 1, esta Ley «</w:t>
      </w:r>
      <w:r w:rsidRPr="003F62F9">
        <w:rPr>
          <w:rFonts w:ascii="Verdana" w:hAnsi="Verdana" w:cs="Arial"/>
          <w:lang w:val="es-ES"/>
        </w:rPr>
        <w:t xml:space="preserve">[…] </w:t>
      </w:r>
      <w:r w:rsidRPr="003F62F9">
        <w:rPr>
          <w:rFonts w:ascii="Verdana" w:eastAsia="Calibri" w:hAnsi="Verdana" w:cs="Arial"/>
          <w:color w:val="000000" w:themeColor="text1"/>
          <w:lang w:val="es-ES"/>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Pr="003F62F9">
        <w:rPr>
          <w:rFonts w:ascii="Verdana" w:eastAsia="Calibri" w:hAnsi="Verdana" w:cs="Arial"/>
          <w:color w:val="000000" w:themeColor="text1"/>
          <w:lang w:val="es-ES"/>
        </w:rPr>
        <w:t>ii</w:t>
      </w:r>
      <w:proofErr w:type="spellEnd"/>
      <w:r w:rsidRPr="003F62F9">
        <w:rPr>
          <w:rFonts w:ascii="Verdana" w:eastAsia="Calibri" w:hAnsi="Verdana" w:cs="Arial"/>
          <w:color w:val="000000" w:themeColor="text1"/>
          <w:lang w:val="es-ES"/>
        </w:rPr>
        <w:t xml:space="preserve">) la inhabilidad por incumplimiento reiterado en los contratos de alimentación escolar –artículo 51–, </w:t>
      </w:r>
      <w:proofErr w:type="spellStart"/>
      <w:r w:rsidRPr="003F62F9">
        <w:rPr>
          <w:rFonts w:ascii="Verdana" w:eastAsia="Calibri" w:hAnsi="Verdana" w:cs="Arial"/>
          <w:color w:val="000000" w:themeColor="text1"/>
          <w:lang w:val="es-ES"/>
        </w:rPr>
        <w:t>iii</w:t>
      </w:r>
      <w:proofErr w:type="spellEnd"/>
      <w:r w:rsidRPr="003F62F9">
        <w:rPr>
          <w:rFonts w:ascii="Verdana" w:eastAsia="Calibri" w:hAnsi="Verdana" w:cs="Arial"/>
          <w:color w:val="000000" w:themeColor="text1"/>
          <w:lang w:val="es-ES"/>
        </w:rPr>
        <w:t xml:space="preserve">) las cláusulas excepcionales en los contratos celebrados con el objeto señalado anteriormente –artículo 52–, </w:t>
      </w:r>
      <w:proofErr w:type="spellStart"/>
      <w:r w:rsidRPr="003F62F9">
        <w:rPr>
          <w:rFonts w:ascii="Verdana" w:eastAsia="Calibri" w:hAnsi="Verdana" w:cs="Arial"/>
          <w:color w:val="000000" w:themeColor="text1"/>
          <w:lang w:val="es-ES"/>
        </w:rPr>
        <w:t>iv</w:t>
      </w:r>
      <w:proofErr w:type="spellEnd"/>
      <w:r w:rsidRPr="003F62F9">
        <w:rPr>
          <w:rFonts w:ascii="Verdana" w:eastAsia="Calibri" w:hAnsi="Verdana" w:cs="Arial"/>
          <w:color w:val="000000" w:themeColor="text1"/>
          <w:lang w:val="es-ES"/>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3F62F9">
        <w:rPr>
          <w:rFonts w:ascii="Verdana" w:eastAsia="Calibri" w:hAnsi="Verdana" w:cs="Arial"/>
          <w:i/>
          <w:color w:val="000000" w:themeColor="text1"/>
          <w:lang w:val="es-ES"/>
        </w:rPr>
        <w:t>no</w:t>
      </w:r>
      <w:r w:rsidRPr="003F62F9">
        <w:rPr>
          <w:rFonts w:ascii="Verdana" w:eastAsia="Calibri" w:hAnsi="Verdana" w:cs="Arial"/>
          <w:color w:val="000000" w:themeColor="text1"/>
          <w:lang w:val="es-ES"/>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Pr="003F62F9">
        <w:rPr>
          <w:rFonts w:ascii="Verdana" w:eastAsia="Calibri" w:hAnsi="Verdana" w:cs="Arial"/>
          <w:color w:val="000000" w:themeColor="text1"/>
          <w:lang w:val="es-ES"/>
        </w:rPr>
        <w:t>vii</w:t>
      </w:r>
      <w:proofErr w:type="spellEnd"/>
      <w:r w:rsidRPr="003F62F9">
        <w:rPr>
          <w:rFonts w:ascii="Verdana" w:eastAsia="Calibri" w:hAnsi="Verdana" w:cs="Arial"/>
          <w:color w:val="000000" w:themeColor="text1"/>
          <w:lang w:val="es-ES"/>
        </w:rPr>
        <w:t xml:space="preserve">) la aplicación de los documentos tipo a entidades con régimen especial –artículo 56–, </w:t>
      </w:r>
      <w:proofErr w:type="spellStart"/>
      <w:r w:rsidRPr="003F62F9">
        <w:rPr>
          <w:rFonts w:ascii="Verdana" w:eastAsia="Calibri" w:hAnsi="Verdana" w:cs="Arial"/>
          <w:color w:val="000000" w:themeColor="text1"/>
          <w:lang w:val="es-ES"/>
        </w:rPr>
        <w:t>viii</w:t>
      </w:r>
      <w:proofErr w:type="spellEnd"/>
      <w:r w:rsidRPr="003F62F9">
        <w:rPr>
          <w:rFonts w:ascii="Verdana" w:eastAsia="Calibri" w:hAnsi="Verdana" w:cs="Arial"/>
          <w:color w:val="000000" w:themeColor="text1"/>
          <w:lang w:val="es-ES"/>
        </w:rPr>
        <w:t xml:space="preserve">) la obligación, radicada en los revisores fiscales, de denunciar los actos de corrupción –artículo 57–, y </w:t>
      </w:r>
      <w:proofErr w:type="spellStart"/>
      <w:r w:rsidRPr="003F62F9">
        <w:rPr>
          <w:rFonts w:ascii="Verdana" w:eastAsia="Calibri" w:hAnsi="Verdana" w:cs="Arial"/>
          <w:color w:val="000000" w:themeColor="text1"/>
          <w:lang w:val="es-ES"/>
        </w:rPr>
        <w:t>ix</w:t>
      </w:r>
      <w:proofErr w:type="spellEnd"/>
      <w:r w:rsidRPr="003F62F9">
        <w:rPr>
          <w:rFonts w:ascii="Verdana" w:eastAsia="Calibri" w:hAnsi="Verdana" w:cs="Arial"/>
          <w:color w:val="000000" w:themeColor="text1"/>
          <w:lang w:val="es-ES"/>
        </w:rPr>
        <w:t>) la reducción de puntaje por incumplimiento de contratos –artículo 58–.</w:t>
      </w:r>
      <w:r w:rsidRPr="003F62F9">
        <w:rPr>
          <w:rFonts w:ascii="Verdana" w:eastAsia="Calibri" w:hAnsi="Verdana" w:cs="Arial"/>
          <w:color w:val="000000"/>
          <w:lang w:val="es-ES"/>
        </w:rPr>
        <w:t xml:space="preserve"> </w:t>
      </w:r>
      <w:r w:rsidRPr="003F62F9">
        <w:rPr>
          <w:rFonts w:ascii="Verdana" w:eastAsia="Calibri" w:hAnsi="Verdana" w:cs="Arial"/>
          <w:color w:val="000000"/>
          <w:lang w:val="es-ES_tradnl"/>
        </w:rPr>
        <w:t>Según se indicó, el artículo 53 de la Ley 2195 de 2022 hace obligatorio el uso del SECOP II para las entidades exceptuadas del Estatuto General de Contratación de la Administración Pública. En efecto, esta norma dispone:</w:t>
      </w:r>
    </w:p>
    <w:p w14:paraId="0276025A" w14:textId="77777777" w:rsidR="00B66544" w:rsidRPr="003F62F9" w:rsidRDefault="00B66544" w:rsidP="00B66544">
      <w:pPr>
        <w:spacing w:line="240" w:lineRule="auto"/>
        <w:ind w:left="709" w:right="709"/>
        <w:jc w:val="both"/>
        <w:rPr>
          <w:rFonts w:ascii="Verdana" w:eastAsia="Calibri" w:hAnsi="Verdana" w:cs="Arial"/>
          <w:sz w:val="20"/>
          <w:szCs w:val="20"/>
        </w:rPr>
      </w:pPr>
      <w:r w:rsidRPr="003F62F9">
        <w:rPr>
          <w:rFonts w:ascii="Verdana" w:eastAsia="Calibri" w:hAnsi="Verdana" w:cs="Arial"/>
          <w:sz w:val="20"/>
          <w:szCs w:val="20"/>
        </w:rPr>
        <w:t>Adiciónese los siguientes incisos al artículo 13 de la Ley 1150 de 2007, el cual quedará así:</w:t>
      </w:r>
    </w:p>
    <w:p w14:paraId="0444E71A" w14:textId="77777777" w:rsidR="00B66544" w:rsidRPr="003F62F9" w:rsidRDefault="00B66544" w:rsidP="00B66544">
      <w:pPr>
        <w:spacing w:line="240" w:lineRule="auto"/>
        <w:ind w:left="709" w:right="709"/>
        <w:jc w:val="both"/>
        <w:rPr>
          <w:rFonts w:ascii="Verdana" w:eastAsia="Calibri" w:hAnsi="Verdana" w:cs="Arial"/>
          <w:sz w:val="20"/>
          <w:szCs w:val="20"/>
        </w:rPr>
      </w:pPr>
      <w:r w:rsidRPr="003F62F9">
        <w:rPr>
          <w:rFonts w:ascii="Verdana" w:eastAsia="Calibri" w:hAnsi="Verdana" w:cs="Arial"/>
          <w:sz w:val="20"/>
          <w:szCs w:val="20"/>
        </w:rPr>
        <w:t xml:space="preserve">Artículo 13. PRINCIPIOS GENERALES DE LA ACTIVIDAD CONTRACTUAL PARA ENTIDADES NO SOMETIDAS AL ESTATUTO GENERAL DE CONTRATACIÓN DE LA ADMINISTRACIÓN PÚBLICA. Las entidades estatales que por disposición legal cuenten con un régimen contractual </w:t>
      </w:r>
      <w:r w:rsidRPr="003F62F9">
        <w:rPr>
          <w:rFonts w:ascii="Verdana" w:eastAsia="Calibri" w:hAnsi="Verdana" w:cs="Arial"/>
          <w:sz w:val="20"/>
          <w:szCs w:val="20"/>
        </w:rPr>
        <w:lastRenderedPageBreak/>
        <w:t>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26290F6" w14:textId="77777777" w:rsidR="00B66544" w:rsidRPr="003F62F9" w:rsidRDefault="00B66544" w:rsidP="00B66544">
      <w:pPr>
        <w:spacing w:line="240" w:lineRule="auto"/>
        <w:ind w:left="709" w:right="709"/>
        <w:jc w:val="both"/>
        <w:rPr>
          <w:rFonts w:ascii="Verdana" w:eastAsia="Calibri" w:hAnsi="Verdana" w:cs="Arial"/>
          <w:sz w:val="20"/>
          <w:szCs w:val="20"/>
        </w:rPr>
      </w:pPr>
      <w:r w:rsidRPr="003F62F9">
        <w:rPr>
          <w:rFonts w:ascii="Verdana" w:eastAsia="Calibri" w:hAnsi="Verdana" w:cs="Arial"/>
          <w:sz w:val="20"/>
          <w:szCs w:val="20"/>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3F62F9">
        <w:rPr>
          <w:rFonts w:ascii="Verdana" w:eastAsia="Calibri" w:hAnsi="Verdana" w:cs="Arial"/>
          <w:sz w:val="20"/>
          <w:szCs w:val="20"/>
        </w:rPr>
        <w:t>postcontractual</w:t>
      </w:r>
      <w:proofErr w:type="spellEnd"/>
      <w:r w:rsidRPr="003F62F9">
        <w:rPr>
          <w:rFonts w:ascii="Verdana" w:eastAsia="Calibri" w:hAnsi="Verdana" w:cs="Arial"/>
          <w:sz w:val="20"/>
          <w:szCs w:val="20"/>
        </w:rPr>
        <w:t>.</w:t>
      </w:r>
    </w:p>
    <w:p w14:paraId="7A6006E5" w14:textId="77777777" w:rsidR="00B66544" w:rsidRPr="003F62F9" w:rsidRDefault="00B66544" w:rsidP="00B66544">
      <w:pPr>
        <w:spacing w:line="240" w:lineRule="auto"/>
        <w:ind w:left="709" w:right="709"/>
        <w:jc w:val="both"/>
        <w:rPr>
          <w:rFonts w:ascii="Verdana" w:eastAsia="Calibri" w:hAnsi="Verdana" w:cs="Arial"/>
          <w:sz w:val="20"/>
          <w:szCs w:val="20"/>
        </w:rPr>
      </w:pPr>
      <w:r w:rsidRPr="003F62F9">
        <w:rPr>
          <w:rFonts w:ascii="Verdana" w:eastAsia="Calibri" w:hAnsi="Verdana" w:cs="Arial"/>
          <w:sz w:val="20"/>
          <w:szCs w:val="20"/>
        </w:rPr>
        <w:t xml:space="preserve">A partir de la </w:t>
      </w:r>
      <w:proofErr w:type="gramStart"/>
      <w:r w:rsidRPr="003F62F9">
        <w:rPr>
          <w:rFonts w:ascii="Verdana" w:eastAsia="Calibri" w:hAnsi="Verdana" w:cs="Arial"/>
          <w:sz w:val="20"/>
          <w:szCs w:val="20"/>
        </w:rPr>
        <w:t>entrada en vigencia</w:t>
      </w:r>
      <w:proofErr w:type="gramEnd"/>
      <w:r w:rsidRPr="003F62F9">
        <w:rPr>
          <w:rFonts w:ascii="Verdana" w:eastAsia="Calibri" w:hAnsi="Verdana" w:cs="Arial"/>
          <w:sz w:val="20"/>
          <w:szCs w:val="20"/>
        </w:rPr>
        <w:t xml:space="preserve"> de la presente Ley, se establecerá un periodo de transición de seis (6) meses, para que las entidades den cumplimiento efectivo a lo aquí establecido.</w:t>
      </w:r>
    </w:p>
    <w:p w14:paraId="50F5726E" w14:textId="77777777" w:rsidR="00B66544" w:rsidRPr="003F62F9" w:rsidRDefault="00B66544" w:rsidP="00B66544">
      <w:pPr>
        <w:spacing w:line="276" w:lineRule="auto"/>
        <w:ind w:firstLine="709"/>
        <w:jc w:val="both"/>
        <w:rPr>
          <w:rFonts w:ascii="Verdana" w:eastAsia="Calibri" w:hAnsi="Verdana" w:cs="Arial"/>
          <w:color w:val="000000"/>
          <w:lang w:val="es-ES_tradnl"/>
        </w:rPr>
      </w:pPr>
      <w:r w:rsidRPr="003F62F9">
        <w:rPr>
          <w:rFonts w:ascii="Verdana" w:eastAsia="Calibri" w:hAnsi="Verdana" w:cs="Arial"/>
          <w:color w:val="000000"/>
          <w:lang w:val="es-ES_tradnl"/>
        </w:rPr>
        <w:t xml:space="preserve">Como puede observarse,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7333CDE2" w14:textId="77777777" w:rsidR="00B66544" w:rsidRPr="003F62F9" w:rsidRDefault="00B66544" w:rsidP="00B66544">
      <w:pPr>
        <w:spacing w:before="120" w:line="276" w:lineRule="auto"/>
        <w:ind w:firstLine="709"/>
        <w:jc w:val="both"/>
        <w:rPr>
          <w:rFonts w:ascii="Verdana" w:eastAsia="Calibri" w:hAnsi="Verdana" w:cs="Arial"/>
          <w:color w:val="000000"/>
          <w:lang w:val="es-ES_tradnl"/>
        </w:rPr>
      </w:pPr>
      <w:r w:rsidRPr="003F62F9">
        <w:rPr>
          <w:rFonts w:ascii="Verdana" w:eastAsia="Calibri" w:hAnsi="Verdana" w:cs="Arial"/>
          <w:color w:val="000000"/>
          <w:lang w:val="es-ES_tradnl"/>
        </w:rPr>
        <w:t xml:space="preserve">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1289A523" w14:textId="77777777" w:rsidR="009B63F8" w:rsidRPr="003F62F9" w:rsidRDefault="009B63F8" w:rsidP="009B63F8">
      <w:pPr>
        <w:spacing w:after="120" w:line="276" w:lineRule="auto"/>
        <w:ind w:firstLine="708"/>
        <w:jc w:val="both"/>
        <w:rPr>
          <w:rFonts w:ascii="Verdana" w:hAnsi="Verdana" w:cs="Arial"/>
          <w:lang w:eastAsia="es-CO"/>
        </w:rPr>
      </w:pPr>
      <w:r w:rsidRPr="001B7B03">
        <w:rPr>
          <w:rFonts w:ascii="Verdana" w:hAnsi="Verdana" w:cs="Arial"/>
          <w:lang w:eastAsia="es-CO"/>
        </w:rPr>
        <w:t xml:space="preserve">Debe precisarse, no obstante, que el artículo 53 de la Ley 2195 de 2022 —en cuanto adiciona el artículo 13 de la Ley 1150 de 2007— se dirige a las </w:t>
      </w:r>
      <w:r w:rsidRPr="001B7B03">
        <w:rPr>
          <w:rFonts w:ascii="Verdana" w:hAnsi="Verdana" w:cs="Arial"/>
          <w:lang w:eastAsia="es-CO"/>
        </w:rPr>
        <w:lastRenderedPageBreak/>
        <w:t>«entidades estatales» que cuentan con un régimen contractual excepcional al Estatuto General. Por consiguiente, vincula de manera directa a las EPS-I que tengan naturaleza estatal, pero no a las de naturaleza privada, que no son destinatarias de esa norma. Ello no significa que estas últimas queden relevadas del deber de publicidad: cuando ejecutan recursos públicos, su obligación de publicar en el SECOP se fundamenta en el literal c) del artículo 3 de la Ley 1150 de 2007, desarrollado por el Decreto 1081 de 2015, y en la Ley 1712 de 2014, tal como lo reconoció el Consejo de Estado en el auto antes citado, que extendió el deber a todos los sujetos que contratan con dineros públicos, incluidos los particulares. La publicación de estas entidades se efectúa a través del «módulo de régimen especial» dispuesto en el SECOP II, en los términos recordados por la Circular Externa Única de esta Agencia.</w:t>
      </w:r>
    </w:p>
    <w:p w14:paraId="256E54D5" w14:textId="77777777" w:rsidR="00B66544" w:rsidRPr="003F62F9" w:rsidRDefault="00B66544" w:rsidP="00B66544">
      <w:pPr>
        <w:spacing w:before="120" w:line="276" w:lineRule="auto"/>
        <w:ind w:firstLine="709"/>
        <w:jc w:val="both"/>
        <w:rPr>
          <w:rFonts w:ascii="Verdana" w:eastAsia="Calibri" w:hAnsi="Verdana" w:cs="Arial"/>
          <w:color w:val="000000"/>
          <w:lang w:val="es-ES"/>
        </w:rPr>
      </w:pPr>
      <w:r w:rsidRPr="003F62F9">
        <w:rPr>
          <w:rFonts w:ascii="Verdana" w:eastAsia="Calibri" w:hAnsi="Verdana" w:cs="Arial"/>
          <w:color w:val="000000"/>
          <w:lang w:val="es-ES"/>
        </w:rPr>
        <w:t xml:space="preserve">Finalmente, el referido artículo dispone, en el inciso final, que “A partir de la </w:t>
      </w:r>
      <w:proofErr w:type="gramStart"/>
      <w:r w:rsidRPr="003F62F9">
        <w:rPr>
          <w:rFonts w:ascii="Verdana" w:eastAsia="Calibri" w:hAnsi="Verdana" w:cs="Arial"/>
          <w:color w:val="000000"/>
          <w:lang w:val="es-ES"/>
        </w:rPr>
        <w:t>entrada en vigencia</w:t>
      </w:r>
      <w:proofErr w:type="gramEnd"/>
      <w:r w:rsidRPr="003F62F9">
        <w:rPr>
          <w:rFonts w:ascii="Verdana" w:eastAsia="Calibri" w:hAnsi="Verdana" w:cs="Arial"/>
          <w:color w:val="000000"/>
          <w:lang w:val="es-ES"/>
        </w:rPr>
        <w:t xml:space="preserve">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 La Agencia Nacional de Contratación Pública – Colombia Compra Eficiente también podría impartir directrices sobre este tema a través de sus instrumentos doctrinarios y reglamentarios</w:t>
      </w:r>
      <w:r w:rsidRPr="003F62F9">
        <w:rPr>
          <w:rStyle w:val="Refdenotaalpie"/>
          <w:rFonts w:ascii="Verdana" w:eastAsia="Calibri" w:hAnsi="Verdana" w:cs="Arial"/>
          <w:color w:val="000000"/>
          <w:lang w:val="es-ES"/>
        </w:rPr>
        <w:footnoteReference w:id="24"/>
      </w:r>
      <w:r w:rsidRPr="003F62F9">
        <w:rPr>
          <w:rFonts w:ascii="Verdana" w:eastAsia="Calibri" w:hAnsi="Verdana" w:cs="Arial"/>
          <w:color w:val="000000"/>
          <w:lang w:val="es-ES"/>
        </w:rPr>
        <w:t>.</w:t>
      </w:r>
    </w:p>
    <w:p w14:paraId="14B9416E" w14:textId="77777777" w:rsidR="00B66544" w:rsidRPr="003F62F9" w:rsidRDefault="00B66544" w:rsidP="00B66544">
      <w:pPr>
        <w:spacing w:before="120" w:line="276" w:lineRule="auto"/>
        <w:ind w:firstLine="709"/>
        <w:jc w:val="both"/>
        <w:rPr>
          <w:rFonts w:ascii="Verdana" w:eastAsia="Calibri" w:hAnsi="Verdana" w:cs="Arial"/>
          <w:color w:val="000000"/>
          <w:lang w:val="es-ES_tradnl"/>
        </w:rPr>
      </w:pPr>
      <w:r w:rsidRPr="003F62F9">
        <w:rPr>
          <w:rFonts w:ascii="Verdana" w:eastAsia="Calibri" w:hAnsi="Verdana" w:cs="Arial"/>
          <w:color w:val="000000"/>
        </w:rPr>
        <w:t>En conclusión, de los argumentos precedentes se puede indicar que las EPS están obligadas a publicar en el SECOP la información contractual correspondiente cuando esta se encuentre asociada a la ejecución de recursos públicos, con independencia de su naturaleza jurídica o régimen contractual, sin que ello implique, en todos los casos, la obligación de publicar la totalidad de su actividad contractual. El alcance del deber deberá determinarse atendiendo a la naturaleza de la EPS, su régimen jurídico y el origen y destinación de los recursos involucrados.</w:t>
      </w:r>
    </w:p>
    <w:p w14:paraId="220FC878" w14:textId="77777777" w:rsidR="00B66544" w:rsidRPr="003F62F9" w:rsidRDefault="00B66544" w:rsidP="00B66544">
      <w:pPr>
        <w:spacing w:before="120" w:line="276" w:lineRule="auto"/>
        <w:ind w:firstLine="709"/>
        <w:jc w:val="both"/>
        <w:rPr>
          <w:rFonts w:ascii="Verdana" w:hAnsi="Verdana" w:cs="Arial"/>
          <w:lang w:val="es-ES" w:eastAsia="es-ES"/>
        </w:rPr>
      </w:pPr>
      <w:r w:rsidRPr="003F62F9">
        <w:rPr>
          <w:rFonts w:ascii="Verdana" w:hAnsi="Verdana" w:cs="Arial"/>
          <w:lang w:val="es-ES" w:eastAsia="es-ES"/>
        </w:rPr>
        <w:t xml:space="preserve">Dentro de este marco, la entidad pública definirá en cada caso concreto lo relacionado con el tema objeto de consulta. Al tratarse de un análisis que debe </w:t>
      </w:r>
      <w:r w:rsidRPr="003F62F9">
        <w:rPr>
          <w:rFonts w:ascii="Verdana" w:hAnsi="Verdana" w:cs="Arial"/>
          <w:lang w:val="es-ES" w:eastAsia="es-ES"/>
        </w:rPr>
        <w:lastRenderedPageBreak/>
        <w:t>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28A5D36" w14:textId="77777777" w:rsidR="00B66544" w:rsidRPr="003F62F9" w:rsidRDefault="00B66544" w:rsidP="00B66544">
      <w:pPr>
        <w:widowControl w:val="0"/>
        <w:autoSpaceDE w:val="0"/>
        <w:autoSpaceDN w:val="0"/>
        <w:spacing w:after="0" w:line="276" w:lineRule="auto"/>
        <w:jc w:val="both"/>
        <w:rPr>
          <w:rFonts w:ascii="Verdana" w:hAnsi="Verdana" w:cs="Arial"/>
          <w:lang w:eastAsia="es-ES"/>
        </w:rPr>
      </w:pPr>
    </w:p>
    <w:p w14:paraId="2126D49C" w14:textId="77777777" w:rsidR="00B66544" w:rsidRPr="003F62F9" w:rsidRDefault="00B66544" w:rsidP="00B66544">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3F62F9">
        <w:rPr>
          <w:rFonts w:ascii="Verdana" w:eastAsia="Century Gothic" w:hAnsi="Verdana" w:cs="Century Gothic"/>
          <w:b/>
          <w:bCs/>
        </w:rPr>
        <w:t>Referencias normativas, jurisprudenciales y otras fuentes:</w:t>
      </w:r>
    </w:p>
    <w:p w14:paraId="69B71F0A" w14:textId="77777777" w:rsidR="00B66544" w:rsidRPr="003F62F9" w:rsidRDefault="00B66544" w:rsidP="00B665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66544" w:rsidRPr="003F62F9" w14:paraId="78F01C2E" w14:textId="77777777" w:rsidTr="00557526">
        <w:trPr>
          <w:trHeight w:val="1162"/>
        </w:trPr>
        <w:tc>
          <w:tcPr>
            <w:tcW w:w="8647" w:type="dxa"/>
          </w:tcPr>
          <w:p w14:paraId="312EAF94" w14:textId="77777777"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Constitución Política, artículos 48, 74 y 209.</w:t>
            </w:r>
          </w:p>
          <w:p w14:paraId="67129EA6" w14:textId="7337DEBC"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Ley 100 de 1993, artícul</w:t>
            </w:r>
            <w:r w:rsidR="00551FC4" w:rsidRPr="008A5A56">
              <w:rPr>
                <w:rFonts w:ascii="Verdana" w:hAnsi="Verdana" w:cs="Arial"/>
                <w:lang w:val="es-ES_tradnl"/>
              </w:rPr>
              <w:t xml:space="preserve">os </w:t>
            </w:r>
            <w:r w:rsidR="00551FC4" w:rsidRPr="001B7B03">
              <w:rPr>
                <w:rFonts w:ascii="Verdana" w:hAnsi="Verdana" w:cs="Arial"/>
                <w:lang w:val="es-ES_tradnl"/>
              </w:rPr>
              <w:t>8, 180, 181, 195 y 214</w:t>
            </w:r>
          </w:p>
          <w:p w14:paraId="1701F179" w14:textId="77777777" w:rsidR="001C4F4C" w:rsidRPr="008A5A56" w:rsidRDefault="001C4F4C" w:rsidP="001C4F4C">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Ley 489 de 1998, artículos 68, 69, 85 y 97.</w:t>
            </w:r>
          </w:p>
          <w:p w14:paraId="651D0F43" w14:textId="77777777" w:rsidR="00377274" w:rsidRPr="008A5A56" w:rsidRDefault="00377274" w:rsidP="00377274">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Ley 691 de 2001, artículos 1, 14, 15 y 25.</w:t>
            </w:r>
          </w:p>
          <w:p w14:paraId="505D36FF" w14:textId="02EF301A"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Ley 1438 de 2011, artículo 100.</w:t>
            </w:r>
          </w:p>
          <w:p w14:paraId="2313B5AC" w14:textId="77777777"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Ley 1150 de 2007, artículos 3 y 13.</w:t>
            </w:r>
          </w:p>
          <w:p w14:paraId="0A0DA108" w14:textId="77777777" w:rsidR="001C4F4C" w:rsidRPr="008A5A56" w:rsidRDefault="001C4F4C" w:rsidP="001C4F4C">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Ley 1122 de 2007, artículo 45.</w:t>
            </w:r>
          </w:p>
          <w:p w14:paraId="1C15620B" w14:textId="77777777" w:rsidR="001C4F4C" w:rsidRPr="008A5A56" w:rsidRDefault="001C4F4C" w:rsidP="001C4F4C">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Ley 2195 de 2022, artículo 53.</w:t>
            </w:r>
          </w:p>
          <w:p w14:paraId="462D4394" w14:textId="51FD01B5"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Ley 2333 de 2023.</w:t>
            </w:r>
          </w:p>
          <w:p w14:paraId="1FDA389B" w14:textId="77777777" w:rsidR="001C4F4C" w:rsidRPr="008A5A56" w:rsidRDefault="001C4F4C" w:rsidP="001C4F4C">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lang w:val="es-ES_tradnl"/>
              </w:rPr>
              <w:t>Decreto 1088 de 1993, artículos 2 y 3.</w:t>
            </w:r>
          </w:p>
          <w:p w14:paraId="5186522A" w14:textId="77777777"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rPr>
              <w:t xml:space="preserve">Decreto Ley 4170 de 2011, artículo 3° numerales 2, 5 y 8. </w:t>
            </w:r>
          </w:p>
          <w:p w14:paraId="290B0773" w14:textId="77777777"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 xml:space="preserve">Ley 1712 de 2014, artículos 5, 9, 10 y 11. </w:t>
            </w:r>
          </w:p>
          <w:p w14:paraId="272999BA" w14:textId="77777777"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 xml:space="preserve">Decreto 1081 de 2015, artículos 2.1.1.2.1.7., </w:t>
            </w:r>
            <w:r w:rsidRPr="003F62F9">
              <w:rPr>
                <w:rFonts w:ascii="Verdana" w:eastAsia="Calibri" w:hAnsi="Verdana" w:cs="Arial"/>
                <w:color w:val="000000"/>
                <w:lang w:val="es-ES"/>
              </w:rPr>
              <w:t xml:space="preserve">2.1.1.4.3.2. </w:t>
            </w:r>
          </w:p>
          <w:p w14:paraId="01FB2AF9" w14:textId="77777777"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lang w:val="es-ES_tradnl"/>
              </w:rPr>
              <w:t>Decreto 1082 de 2015, artículos 2.2.1.1.1.7.1, 2.2.1.1.1.3.1., 2.2.2.1.8.3., 2.2.2.1.5.11., 2.2.2.1.12.7.</w:t>
            </w:r>
          </w:p>
          <w:p w14:paraId="1BAC40FD" w14:textId="77777777"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rPr>
              <w:t xml:space="preserve">Consejo de Estado. Sección Tercera. Subsección C. Auto del 14 de agosto de 2017. </w:t>
            </w:r>
            <w:proofErr w:type="spellStart"/>
            <w:r w:rsidRPr="003F62F9">
              <w:rPr>
                <w:rFonts w:ascii="Verdana" w:hAnsi="Verdana" w:cs="Arial"/>
              </w:rPr>
              <w:t>Exp</w:t>
            </w:r>
            <w:proofErr w:type="spellEnd"/>
            <w:r w:rsidRPr="003F62F9">
              <w:rPr>
                <w:rFonts w:ascii="Verdana" w:hAnsi="Verdana" w:cs="Arial"/>
              </w:rPr>
              <w:t>. 58.820. C.P. Jaime Orlando Santofimio Gamboa.</w:t>
            </w:r>
          </w:p>
          <w:p w14:paraId="5325E604" w14:textId="77777777" w:rsidR="008A5A56" w:rsidRPr="008A5A56" w:rsidRDefault="008A5A56" w:rsidP="008A5A5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1B7B03">
              <w:rPr>
                <w:rFonts w:ascii="Verdana" w:hAnsi="Verdana" w:cs="Arial"/>
              </w:rPr>
              <w:t xml:space="preserve">Consejo de Estado. Sala de Consulta y Servicio Civil. Concepto del 18 de junio de 2025. Rad. 11001-03-06-000-2025-00041-00 (2539). </w:t>
            </w:r>
            <w:r w:rsidRPr="001B7B03">
              <w:rPr>
                <w:rFonts w:ascii="Verdana" w:hAnsi="Verdana" w:cs="Arial"/>
              </w:rPr>
              <w:lastRenderedPageBreak/>
              <w:t xml:space="preserve">C.P. John Jairo Morales </w:t>
            </w:r>
            <w:proofErr w:type="spellStart"/>
            <w:r w:rsidRPr="001B7B03">
              <w:rPr>
                <w:rFonts w:ascii="Verdana" w:hAnsi="Verdana" w:cs="Arial"/>
              </w:rPr>
              <w:t>Alzate</w:t>
            </w:r>
            <w:proofErr w:type="spellEnd"/>
            <w:r w:rsidRPr="001B7B03">
              <w:rPr>
                <w:rFonts w:ascii="Verdana" w:hAnsi="Verdana" w:cs="Arial"/>
              </w:rPr>
              <w:t>.</w:t>
            </w:r>
          </w:p>
          <w:p w14:paraId="3A45FC09" w14:textId="61323CF7" w:rsidR="00B66544" w:rsidRPr="003F62F9" w:rsidRDefault="00B66544" w:rsidP="00557526">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3F62F9">
              <w:rPr>
                <w:rFonts w:ascii="Verdana" w:hAnsi="Verdana" w:cs="Arial"/>
              </w:rPr>
              <w:t>Corte Constitucional. Sentencia C‒274 de 9 de mayo de 2013. M.P. María Victoria Calle Correa.</w:t>
            </w:r>
          </w:p>
          <w:p w14:paraId="29E2B2BF" w14:textId="0D109948" w:rsidR="00B66544" w:rsidRPr="003F62F9" w:rsidRDefault="00B66544" w:rsidP="00557526">
            <w:pPr>
              <w:pStyle w:val="Prrafodelista"/>
              <w:numPr>
                <w:ilvl w:val="0"/>
                <w:numId w:val="17"/>
              </w:numPr>
              <w:spacing w:line="276" w:lineRule="auto"/>
              <w:jc w:val="both"/>
              <w:rPr>
                <w:rFonts w:ascii="Verdana" w:hAnsi="Verdana" w:cs="Arial"/>
              </w:rPr>
            </w:pPr>
            <w:r w:rsidRPr="003F62F9">
              <w:rPr>
                <w:rFonts w:ascii="Verdana" w:hAnsi="Verdana" w:cs="Arial"/>
              </w:rPr>
              <w:t>Corte Constitucional. Sentencia C- 341 del 4 de junio de 2014. M. P. Mauricio González Cuervo</w:t>
            </w:r>
            <w:r w:rsidR="008A5A56">
              <w:rPr>
                <w:rFonts w:ascii="Verdana" w:hAnsi="Verdana" w:cs="Arial"/>
              </w:rPr>
              <w:t>.</w:t>
            </w:r>
          </w:p>
        </w:tc>
      </w:tr>
    </w:tbl>
    <w:p w14:paraId="2E7605E6" w14:textId="77777777" w:rsidR="00B66544" w:rsidRPr="003F62F9" w:rsidRDefault="00B66544" w:rsidP="00B66544">
      <w:pPr>
        <w:widowControl w:val="0"/>
        <w:autoSpaceDE w:val="0"/>
        <w:autoSpaceDN w:val="0"/>
        <w:spacing w:after="0" w:line="276" w:lineRule="auto"/>
        <w:jc w:val="both"/>
        <w:rPr>
          <w:rFonts w:ascii="Verdana" w:hAnsi="Verdana" w:cs="Arial"/>
        </w:rPr>
      </w:pPr>
    </w:p>
    <w:p w14:paraId="00CD25B2" w14:textId="77777777" w:rsidR="00B66544" w:rsidRPr="003F62F9" w:rsidRDefault="00B66544" w:rsidP="00B66544">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3F62F9">
        <w:rPr>
          <w:rFonts w:ascii="Verdana" w:eastAsia="Century Gothic" w:hAnsi="Verdana" w:cs="Arial"/>
          <w:b/>
          <w:bCs/>
        </w:rPr>
        <w:t>Doctrina de la Agencia Nacional de Contratación Pública:</w:t>
      </w:r>
    </w:p>
    <w:p w14:paraId="592BC8AC" w14:textId="77777777" w:rsidR="00B66544" w:rsidRPr="003F62F9" w:rsidRDefault="00B66544" w:rsidP="00B66544">
      <w:pPr>
        <w:widowControl w:val="0"/>
        <w:autoSpaceDE w:val="0"/>
        <w:autoSpaceDN w:val="0"/>
        <w:spacing w:after="0" w:line="276" w:lineRule="auto"/>
        <w:jc w:val="both"/>
        <w:rPr>
          <w:rFonts w:ascii="Verdana" w:hAnsi="Verdana" w:cs="Arial"/>
          <w:highlight w:val="cyan"/>
        </w:rPr>
      </w:pPr>
    </w:p>
    <w:p w14:paraId="7FBE525D" w14:textId="5B5FB337" w:rsidR="00B66544" w:rsidRPr="003F62F9" w:rsidRDefault="00B66544" w:rsidP="00B66544">
      <w:pPr>
        <w:widowControl w:val="0"/>
        <w:autoSpaceDE w:val="0"/>
        <w:autoSpaceDN w:val="0"/>
        <w:spacing w:after="240" w:line="276" w:lineRule="auto"/>
        <w:jc w:val="both"/>
        <w:rPr>
          <w:rFonts w:ascii="Verdana" w:hAnsi="Verdana" w:cs="Arial"/>
          <w:bCs/>
          <w:shd w:val="clear" w:color="auto" w:fill="FFFFFF"/>
        </w:rPr>
      </w:pPr>
      <w:r w:rsidRPr="003F62F9">
        <w:rPr>
          <w:rFonts w:ascii="Verdana" w:hAnsi="Verdana" w:cs="Arial"/>
          <w:bCs/>
          <w:shd w:val="clear" w:color="auto" w:fill="FFFFFF"/>
        </w:rPr>
        <w:t xml:space="preserve">La Agencia Nacional de Contratación Pública – Colombia Compra Eficiente, en referencia a al deber de publicidad contractual en los conceptos </w:t>
      </w:r>
      <w:r w:rsidRPr="003F62F9">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3F62F9">
        <w:rPr>
          <w:rFonts w:ascii="Verdana" w:hAnsi="Verdana" w:cs="Arial"/>
          <w:bCs/>
          <w:shd w:val="clear" w:color="auto" w:fill="FFFFFF"/>
        </w:rPr>
        <w:t xml:space="preserve">, C-185 del 24 de marzo de 2025, C-487 del 30 de mayo de 2025, </w:t>
      </w:r>
      <w:r w:rsidR="008A5A56">
        <w:rPr>
          <w:rFonts w:ascii="Verdana" w:hAnsi="Verdana" w:cs="Arial"/>
          <w:bCs/>
          <w:shd w:val="clear" w:color="auto" w:fill="FFFFFF"/>
        </w:rPr>
        <w:t>C-</w:t>
      </w:r>
      <w:r w:rsidRPr="003F62F9">
        <w:rPr>
          <w:rFonts w:ascii="Verdana" w:hAnsi="Verdana" w:cs="Arial"/>
          <w:bCs/>
          <w:shd w:val="clear" w:color="auto" w:fill="FFFFFF"/>
        </w:rPr>
        <w:t>1177 del 1 de octubre de 2025, C-1784 del 22 de diciembre de 2026, C-809 del 25 de junio de 2026, C-</w:t>
      </w:r>
      <w:r w:rsidRPr="003F62F9">
        <w:rPr>
          <w:rFonts w:ascii="Verdana" w:hAnsi="Verdana"/>
        </w:rPr>
        <w:t xml:space="preserve"> </w:t>
      </w:r>
      <w:r w:rsidRPr="003F62F9">
        <w:rPr>
          <w:rFonts w:ascii="Verdana" w:hAnsi="Verdana" w:cs="Arial"/>
          <w:bCs/>
          <w:shd w:val="clear" w:color="auto" w:fill="FFFFFF"/>
        </w:rPr>
        <w:t xml:space="preserve">C-1163 del 13 de agosto del 2026 y C-1060 del 15 de septiembre del 2026, entre otros. “Asimismo, se adelantó un análisis sobre las IPS Universitarias con el fin de identificar y comprender sus distintas configuraciones organizativas. </w:t>
      </w:r>
      <w:r w:rsidRPr="003F62F9">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3F62F9">
          <w:rPr>
            <w:rStyle w:val="Hipervnculo"/>
            <w:rFonts w:ascii="Verdana" w:eastAsia="Calibri" w:hAnsi="Verdana" w:cs="Times New Roman"/>
          </w:rPr>
          <w:t>https://relatoria.colombiacompra.gov.co/</w:t>
        </w:r>
      </w:hyperlink>
      <w:r w:rsidRPr="003F62F9">
        <w:rPr>
          <w:rFonts w:ascii="Verdana" w:eastAsia="Calibri" w:hAnsi="Verdana" w:cs="Times New Roman"/>
        </w:rPr>
        <w:t xml:space="preserve"> </w:t>
      </w:r>
    </w:p>
    <w:p w14:paraId="436AA3F5" w14:textId="77777777" w:rsidR="00B66544" w:rsidRPr="003F62F9" w:rsidRDefault="00B66544" w:rsidP="00B66544">
      <w:pPr>
        <w:widowControl w:val="0"/>
        <w:autoSpaceDE w:val="0"/>
        <w:autoSpaceDN w:val="0"/>
        <w:spacing w:after="240" w:line="276" w:lineRule="auto"/>
        <w:jc w:val="both"/>
        <w:rPr>
          <w:rFonts w:ascii="Verdana" w:hAnsi="Verdana" w:cs="Arial"/>
          <w:bCs/>
          <w:shd w:val="clear" w:color="auto" w:fill="FFFFFF"/>
        </w:rPr>
      </w:pPr>
      <w:r w:rsidRPr="003F62F9">
        <w:rPr>
          <w:rFonts w:ascii="Verdana" w:hAnsi="Verdana" w:cs="Ari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F62F9">
        <w:rPr>
          <w:rFonts w:ascii="Verdana" w:hAnsi="Verdana" w:cs="Arial"/>
          <w:b/>
          <w:bCs/>
        </w:rPr>
        <w:t>Guía para la Exigencia y Constitución de Garantías en los Procesos de Contratación</w:t>
      </w:r>
      <w:r w:rsidRPr="003F62F9">
        <w:rPr>
          <w:rFonts w:ascii="Verdana" w:hAnsi="Verdana" w:cs="Arial"/>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sidRPr="003F62F9">
        <w:rPr>
          <w:rFonts w:ascii="Verdana" w:hAnsi="Verdana" w:cs="Arial"/>
        </w:rPr>
        <w:lastRenderedPageBreak/>
        <w:t>aquí: </w:t>
      </w:r>
      <w:hyperlink r:id="rId13" w:tgtFrame="_blank" w:tooltip="Dirección URL original: https://www.colombiacompra.gov.co/archivos/manual/guia-de-garantias-en-procesos-de-contratacion. Haga clic o pulse si confía en este vínculo." w:history="1">
        <w:r w:rsidRPr="003F62F9">
          <w:rPr>
            <w:rStyle w:val="Hipervnculo"/>
            <w:rFonts w:ascii="Verdana" w:hAnsi="Verdana" w:cs="Arial"/>
          </w:rPr>
          <w:t>https://www.colombiacompra.gov.co/archivos/manual/guia-de-garantias-en-procesos-de-contratacion</w:t>
        </w:r>
      </w:hyperlink>
    </w:p>
    <w:p w14:paraId="6D20D6AD" w14:textId="77777777" w:rsidR="00B66544" w:rsidRPr="003F62F9" w:rsidRDefault="00B66544" w:rsidP="00B66544">
      <w:pPr>
        <w:widowControl w:val="0"/>
        <w:autoSpaceDE w:val="0"/>
        <w:autoSpaceDN w:val="0"/>
        <w:spacing w:after="240" w:line="276" w:lineRule="auto"/>
        <w:jc w:val="both"/>
        <w:rPr>
          <w:rFonts w:ascii="Verdana" w:eastAsia="Calibri" w:hAnsi="Verdana" w:cs="Arial"/>
        </w:rPr>
      </w:pPr>
      <w:r w:rsidRPr="003F62F9">
        <w:rPr>
          <w:rFonts w:ascii="Verdana" w:hAnsi="Verdana" w:cs="Arial"/>
        </w:rPr>
        <w:t>De otro lado, te contamos que el Decreto 287 del 19 de marzo de 2026 sustituyó los artículos 2.2.1.2.4.2.6., 2.2.1.2.4.2.7. y 2.2.1.2.4.2.8. del Decreto 1082 de 2015 y estructuró el </w:t>
      </w:r>
      <w:r w:rsidRPr="003F62F9">
        <w:rPr>
          <w:rFonts w:ascii="Verdana" w:hAnsi="Verdana" w:cs="Arial"/>
          <w:b/>
          <w:bCs/>
        </w:rPr>
        <w:t>Sistema Integral de Preferencias en favor de las personas con discapacidad</w:t>
      </w:r>
      <w:r w:rsidRPr="003F62F9">
        <w:rPr>
          <w:rFonts w:ascii="Verdana" w:hAnsi="Verdana" w:cs="Arial"/>
        </w:rPr>
        <w:t>, en cumplimiento del artículo 13 de la Ley Estatutaria 1618 de 2013. Para orientar su aplicación, esta Agencia expidió la </w:t>
      </w:r>
      <w:r w:rsidRPr="003F62F9">
        <w:rPr>
          <w:rFonts w:ascii="Verdana" w:hAnsi="Verdana" w:cs="Arial"/>
          <w:b/>
          <w:bCs/>
        </w:rPr>
        <w:t>Circular Externa 003 del 12 de mayo de 2026, </w:t>
      </w:r>
      <w:r w:rsidRPr="003F62F9">
        <w:rPr>
          <w:rFonts w:ascii="Verdana" w:hAnsi="Verdana" w:cs="Arial"/>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3F62F9">
          <w:rPr>
            <w:rStyle w:val="Hipervnculo"/>
            <w:rFonts w:ascii="Verdana" w:hAnsi="Verdana" w:cs="Arial"/>
          </w:rPr>
          <w:t>https://www.colombiacompra.gov.co/archivos/circular/circular-externa-003-de-2026</w:t>
        </w:r>
      </w:hyperlink>
    </w:p>
    <w:p w14:paraId="1FD8A189" w14:textId="77777777" w:rsidR="00B66544" w:rsidRPr="003F62F9" w:rsidRDefault="00B66544" w:rsidP="00B66544">
      <w:pPr>
        <w:widowControl w:val="0"/>
        <w:autoSpaceDE w:val="0"/>
        <w:autoSpaceDN w:val="0"/>
        <w:spacing w:after="240" w:line="276" w:lineRule="auto"/>
        <w:jc w:val="both"/>
        <w:rPr>
          <w:rFonts w:ascii="Verdana" w:eastAsia="Calibri" w:hAnsi="Verdana" w:cs="Arial"/>
        </w:rPr>
      </w:pPr>
      <w:r w:rsidRPr="003F62F9">
        <w:rPr>
          <w:rFonts w:ascii="Verdana" w:hAnsi="Verdana" w:cs="Arial"/>
        </w:rPr>
        <w:t>Recuerda también que la</w:t>
      </w:r>
      <w:r w:rsidRPr="003F62F9">
        <w:rPr>
          <w:rFonts w:ascii="Verdana" w:hAnsi="Verdana" w:cs="Arial"/>
          <w:b/>
          <w:bCs/>
        </w:rPr>
        <w:t> información sobre sanciones e inhabilidades </w:t>
      </w:r>
      <w:r w:rsidRPr="003F62F9">
        <w:rPr>
          <w:rFonts w:ascii="Verdana" w:hAnsi="Verdana" w:cs="Arial"/>
        </w:rPr>
        <w:t>solo cumple su función preventiva si llega oportunamente a los registros públicos. Sobre este deber, esta Agencia expidió la </w:t>
      </w:r>
      <w:r w:rsidRPr="003F62F9">
        <w:rPr>
          <w:rFonts w:ascii="Verdana" w:hAnsi="Verdana" w:cs="Arial"/>
          <w:b/>
          <w:bCs/>
        </w:rPr>
        <w:t>Circular Externa 002 del 5 de mayo de 2026,</w:t>
      </w:r>
      <w:r w:rsidRPr="003F62F9">
        <w:rPr>
          <w:rFonts w:ascii="Verdana" w:hAnsi="Verdana" w:cs="Ari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3F62F9">
          <w:rPr>
            <w:rStyle w:val="Hipervnculo"/>
            <w:rFonts w:ascii="Verdana" w:hAnsi="Verdana" w:cs="Arial"/>
          </w:rPr>
          <w:t>https://www.colombiacompra.gov.co/archivos/circular/circular-externa-002-de-2026</w:t>
        </w:r>
      </w:hyperlink>
    </w:p>
    <w:p w14:paraId="54B9D3D1" w14:textId="77777777" w:rsidR="00B66544" w:rsidRPr="003F62F9" w:rsidRDefault="00B66544" w:rsidP="00B66544">
      <w:pPr>
        <w:widowControl w:val="0"/>
        <w:autoSpaceDE w:val="0"/>
        <w:autoSpaceDN w:val="0"/>
        <w:spacing w:after="240" w:line="276" w:lineRule="auto"/>
        <w:jc w:val="both"/>
        <w:rPr>
          <w:rFonts w:ascii="Verdana" w:eastAsia="Calibri" w:hAnsi="Verdana" w:cs="Arial"/>
        </w:rPr>
      </w:pPr>
      <w:r w:rsidRPr="003F62F9">
        <w:rPr>
          <w:rFonts w:ascii="Verdana" w:hAnsi="Verdana" w:cs="Arial"/>
        </w:rPr>
        <w:t>Finalmente, si quieres seguir de cerca la actividad de la Agencia, la tercera edición de 2026 del</w:t>
      </w:r>
      <w:r w:rsidRPr="003F62F9">
        <w:rPr>
          <w:rFonts w:ascii="Verdana" w:hAnsi="Verdana" w:cs="Arial"/>
          <w:b/>
          <w:bCs/>
        </w:rPr>
        <w:t> Radar de la Compra Pública</w:t>
      </w:r>
      <w:r w:rsidRPr="003F62F9">
        <w:rPr>
          <w:rFonts w:ascii="Verdana" w:hAnsi="Verdana" w:cs="Ari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tooltip="Dirección URL original: https://www.colombiacompra.gov.co/archivos/boletin/boletin-edicion-n-3-de-2026-radar-de-la-compra-publica. Haga clic o pulse si confía en este vínculo." w:history="1">
        <w:r w:rsidRPr="003F62F9">
          <w:rPr>
            <w:rStyle w:val="Hipervnculo"/>
            <w:rFonts w:ascii="Verdana" w:hAnsi="Verdana" w:cs="Arial"/>
          </w:rPr>
          <w:t>https://www.colombiacompra.gov.co/archivos/boletin/boletin-edicion-n-3-de-2026-radar-de-la-compra-publica</w:t>
        </w:r>
      </w:hyperlink>
      <w:r w:rsidRPr="003F62F9">
        <w:rPr>
          <w:rFonts w:ascii="Verdana" w:hAnsi="Verdana" w:cs="Arial"/>
        </w:rPr>
        <w:t>"</w:t>
      </w:r>
    </w:p>
    <w:p w14:paraId="77FFEAF7" w14:textId="77777777" w:rsidR="00B66544" w:rsidRPr="003F62F9" w:rsidRDefault="00B66544" w:rsidP="00B66544">
      <w:pPr>
        <w:widowControl w:val="0"/>
        <w:autoSpaceDE w:val="0"/>
        <w:autoSpaceDN w:val="0"/>
        <w:spacing w:after="120" w:line="276" w:lineRule="auto"/>
        <w:jc w:val="both"/>
        <w:rPr>
          <w:rFonts w:ascii="Verdana" w:eastAsia="Calibri" w:hAnsi="Verdana" w:cs="Arial"/>
        </w:rPr>
      </w:pPr>
      <w:r w:rsidRPr="003F62F9">
        <w:rPr>
          <w:rFonts w:ascii="Verdana" w:hAnsi="Verdana" w:cs="Arial"/>
        </w:rPr>
        <w:t xml:space="preserve">Por último, lo invitamos a seguirnos en las redes sociales en las cuales se difunde </w:t>
      </w:r>
      <w:r w:rsidRPr="003F62F9">
        <w:rPr>
          <w:rFonts w:ascii="Verdana" w:hAnsi="Verdana" w:cs="Arial"/>
        </w:rPr>
        <w:lastRenderedPageBreak/>
        <w:t xml:space="preserve">información institucional: </w:t>
      </w:r>
    </w:p>
    <w:p w14:paraId="2FE5F11B" w14:textId="77777777" w:rsidR="00B66544" w:rsidRPr="003F62F9" w:rsidRDefault="00B66544" w:rsidP="00B66544">
      <w:pPr>
        <w:spacing w:after="0" w:line="276" w:lineRule="auto"/>
        <w:jc w:val="both"/>
        <w:rPr>
          <w:rFonts w:ascii="Verdana" w:hAnsi="Verdana" w:cs="Arial"/>
        </w:rPr>
      </w:pPr>
      <w:r w:rsidRPr="003F62F9">
        <w:rPr>
          <w:rFonts w:ascii="Verdana" w:hAnsi="Verdana" w:cs="Arial"/>
        </w:rPr>
        <w:t xml:space="preserve">Twitter: </w:t>
      </w:r>
      <w:r w:rsidRPr="003F62F9">
        <w:rPr>
          <w:rStyle w:val="Hipervnculo"/>
          <w:rFonts w:ascii="Verdana" w:hAnsi="Verdana" w:cs="Arial"/>
          <w:color w:val="auto"/>
        </w:rPr>
        <w:t>@colombiacompra</w:t>
      </w:r>
      <w:r w:rsidRPr="003F62F9">
        <w:rPr>
          <w:rFonts w:ascii="Verdana" w:hAnsi="Verdana" w:cs="Arial"/>
        </w:rPr>
        <w:t xml:space="preserve"> </w:t>
      </w:r>
    </w:p>
    <w:p w14:paraId="235F5787" w14:textId="77777777" w:rsidR="00B66544" w:rsidRPr="003F62F9" w:rsidRDefault="00B66544" w:rsidP="00B66544">
      <w:pPr>
        <w:spacing w:after="0" w:line="276" w:lineRule="auto"/>
        <w:jc w:val="both"/>
        <w:rPr>
          <w:rFonts w:ascii="Verdana" w:hAnsi="Verdana" w:cs="Arial"/>
        </w:rPr>
      </w:pPr>
      <w:r w:rsidRPr="003F62F9">
        <w:rPr>
          <w:rFonts w:ascii="Verdana" w:hAnsi="Verdana" w:cs="Arial"/>
        </w:rPr>
        <w:t xml:space="preserve">Facebook: </w:t>
      </w:r>
      <w:proofErr w:type="spellStart"/>
      <w:r w:rsidRPr="003F62F9">
        <w:rPr>
          <w:rStyle w:val="Hipervnculo"/>
          <w:rFonts w:ascii="Verdana" w:hAnsi="Verdana" w:cs="Arial"/>
          <w:color w:val="auto"/>
        </w:rPr>
        <w:t>ColombiaCompraEficiente</w:t>
      </w:r>
      <w:proofErr w:type="spellEnd"/>
    </w:p>
    <w:p w14:paraId="1BAD8ACC" w14:textId="77777777" w:rsidR="00B66544" w:rsidRPr="003F62F9" w:rsidRDefault="00B66544" w:rsidP="00B66544">
      <w:pPr>
        <w:spacing w:after="0" w:line="276" w:lineRule="auto"/>
        <w:jc w:val="both"/>
        <w:rPr>
          <w:rStyle w:val="Hipervnculo"/>
          <w:rFonts w:ascii="Verdana" w:hAnsi="Verdana" w:cs="Arial"/>
          <w:color w:val="auto"/>
        </w:rPr>
      </w:pPr>
      <w:r w:rsidRPr="003F62F9">
        <w:rPr>
          <w:rFonts w:ascii="Verdana" w:hAnsi="Verdana" w:cs="Arial"/>
        </w:rPr>
        <w:t xml:space="preserve">LinkedIn: </w:t>
      </w:r>
      <w:r w:rsidRPr="003F62F9">
        <w:rPr>
          <w:rStyle w:val="Hipervnculo"/>
          <w:rFonts w:ascii="Verdana" w:hAnsi="Verdana" w:cs="Arial"/>
          <w:color w:val="auto"/>
        </w:rPr>
        <w:t>Agencia Nacional de Contratación Pública - Colombia Compra Eficiente</w:t>
      </w:r>
      <w:r w:rsidRPr="003F62F9">
        <w:rPr>
          <w:rFonts w:ascii="Verdana" w:hAnsi="Verdana" w:cs="Arial"/>
        </w:rPr>
        <w:t xml:space="preserve"> Instagram: </w:t>
      </w:r>
      <w:r w:rsidRPr="003F62F9">
        <w:rPr>
          <w:rStyle w:val="Hipervnculo"/>
          <w:rFonts w:ascii="Verdana" w:hAnsi="Verdana" w:cs="Arial"/>
          <w:color w:val="auto"/>
        </w:rPr>
        <w:t>@colombiacompraeficiente_cce</w:t>
      </w:r>
    </w:p>
    <w:p w14:paraId="6BB262CA" w14:textId="77777777" w:rsidR="00B66544" w:rsidRPr="003F62F9" w:rsidRDefault="00B66544" w:rsidP="00B66544">
      <w:pPr>
        <w:widowControl w:val="0"/>
        <w:autoSpaceDE w:val="0"/>
        <w:autoSpaceDN w:val="0"/>
        <w:spacing w:before="120" w:after="0" w:line="276" w:lineRule="auto"/>
        <w:jc w:val="both"/>
        <w:rPr>
          <w:rFonts w:ascii="Verdana" w:hAnsi="Verdana" w:cs="Arial"/>
          <w:lang w:val="es-ES_tradnl"/>
        </w:rPr>
      </w:pPr>
      <w:r w:rsidRPr="003F62F9">
        <w:rPr>
          <w:rFonts w:ascii="Verdana" w:hAnsi="Verdana" w:cs="Arial"/>
        </w:rPr>
        <w:t xml:space="preserve">Este concepto tiene el alcance previsto en el artículo 28 del Código de Procedimiento Administrativo y de lo Contencioso Administrativo </w:t>
      </w:r>
      <w:r w:rsidRPr="003F62F9">
        <w:rPr>
          <w:rFonts w:ascii="Verdana" w:hAnsi="Verdana" w:cs="Arial"/>
          <w:lang w:val="es-ES_tradnl"/>
        </w:rPr>
        <w:t>y las expresiones aquí utilizadas con mayúscula inicial deben ser entendidas con el significado que les otorga el artículo 2.2.1.1.1.3.1. del Decreto 1082 de 2015.</w:t>
      </w:r>
    </w:p>
    <w:p w14:paraId="3584BF71" w14:textId="77777777" w:rsidR="00B66544" w:rsidRPr="003F62F9" w:rsidRDefault="00B66544" w:rsidP="00B66544">
      <w:pPr>
        <w:widowControl w:val="0"/>
        <w:autoSpaceDE w:val="0"/>
        <w:autoSpaceDN w:val="0"/>
        <w:spacing w:after="0" w:line="276" w:lineRule="auto"/>
        <w:jc w:val="both"/>
        <w:rPr>
          <w:rFonts w:ascii="Verdana" w:hAnsi="Verdana" w:cs="Arial"/>
        </w:rPr>
      </w:pPr>
    </w:p>
    <w:p w14:paraId="40B126CC" w14:textId="77777777" w:rsidR="00B66544" w:rsidRPr="003F62F9" w:rsidRDefault="00B66544" w:rsidP="00B66544">
      <w:pPr>
        <w:spacing w:after="0" w:line="276" w:lineRule="auto"/>
        <w:jc w:val="both"/>
        <w:rPr>
          <w:rFonts w:ascii="Verdana" w:hAnsi="Verdana" w:cs="Arial"/>
          <w:lang w:eastAsia="es-CO"/>
        </w:rPr>
      </w:pPr>
      <w:r w:rsidRPr="003F62F9">
        <w:rPr>
          <w:rFonts w:ascii="Verdana" w:eastAsia="Times New Roman" w:hAnsi="Verdana" w:cs="Arial"/>
          <w:lang w:eastAsia="es-CO"/>
        </w:rPr>
        <w:t>Atentamente,</w:t>
      </w:r>
      <w:r w:rsidRPr="003F62F9">
        <w:rPr>
          <w:rFonts w:ascii="Verdana" w:hAnsi="Verdana" w:cs="Arial"/>
          <w:lang w:eastAsia="es-CO"/>
        </w:rPr>
        <w:t xml:space="preserve"> </w:t>
      </w:r>
    </w:p>
    <w:p w14:paraId="672A244B" w14:textId="7B94359B" w:rsidR="00B66544" w:rsidRPr="003F62F9" w:rsidRDefault="00947343" w:rsidP="00B66544">
      <w:pPr>
        <w:spacing w:line="276" w:lineRule="auto"/>
        <w:jc w:val="center"/>
        <w:rPr>
          <w:rFonts w:ascii="Verdana" w:hAnsi="Verdana" w:cs="Arial"/>
          <w:sz w:val="16"/>
          <w:szCs w:val="16"/>
          <w:lang w:val="es-ES_tradnl" w:eastAsia="es-CO"/>
        </w:rPr>
      </w:pPr>
      <w:r w:rsidRPr="004D5C25">
        <w:rPr>
          <w:rFonts w:ascii="Century Gothic" w:hAnsi="Century Gothic"/>
          <w:noProof/>
        </w:rPr>
        <w:drawing>
          <wp:inline distT="0" distB="0" distL="0" distR="0" wp14:anchorId="7FD97836" wp14:editId="54E5A80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66544" w:rsidRPr="003F62F9" w14:paraId="5B6B4172" w14:textId="77777777" w:rsidTr="00557526">
        <w:trPr>
          <w:trHeight w:val="315"/>
        </w:trPr>
        <w:tc>
          <w:tcPr>
            <w:tcW w:w="893" w:type="dxa"/>
            <w:vAlign w:val="center"/>
            <w:hideMark/>
          </w:tcPr>
          <w:p w14:paraId="56BF3653" w14:textId="77777777" w:rsidR="00B66544" w:rsidRPr="003F62F9" w:rsidRDefault="00B66544" w:rsidP="00557526">
            <w:pPr>
              <w:contextualSpacing/>
              <w:rPr>
                <w:rFonts w:ascii="Verdana" w:hAnsi="Verdana" w:cs="Arial"/>
                <w:sz w:val="16"/>
                <w:szCs w:val="16"/>
                <w:lang w:val="es-ES" w:eastAsia="es-ES"/>
              </w:rPr>
            </w:pPr>
            <w:r w:rsidRPr="003F62F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093E945" w14:textId="77777777" w:rsidR="00B66544" w:rsidRPr="003F62F9" w:rsidRDefault="00B66544" w:rsidP="00557526">
            <w:pPr>
              <w:contextualSpacing/>
              <w:rPr>
                <w:rFonts w:ascii="Verdana" w:eastAsia="Arial" w:hAnsi="Verdana" w:cs="Arial"/>
                <w:sz w:val="16"/>
                <w:szCs w:val="16"/>
              </w:rPr>
            </w:pPr>
            <w:r w:rsidRPr="003F62F9">
              <w:rPr>
                <w:rFonts w:ascii="Verdana" w:eastAsia="Arial" w:hAnsi="Verdana" w:cs="Arial"/>
                <w:sz w:val="16"/>
                <w:szCs w:val="16"/>
              </w:rPr>
              <w:t>Ana María Ortiz Ballesteros</w:t>
            </w:r>
          </w:p>
          <w:p w14:paraId="4568AABF" w14:textId="77777777" w:rsidR="00B66544" w:rsidRPr="003F62F9" w:rsidRDefault="00B66544" w:rsidP="00557526">
            <w:pPr>
              <w:contextualSpacing/>
              <w:rPr>
                <w:rFonts w:ascii="Verdana" w:eastAsia="Arial" w:hAnsi="Verdana" w:cs="Arial"/>
                <w:sz w:val="16"/>
                <w:szCs w:val="16"/>
              </w:rPr>
            </w:pPr>
            <w:r w:rsidRPr="003F62F9">
              <w:rPr>
                <w:rStyle w:val="normaltextrun"/>
                <w:rFonts w:ascii="Verdana" w:eastAsia="Arial" w:hAnsi="Verdana" w:cs="Arial"/>
                <w:sz w:val="16"/>
                <w:szCs w:val="16"/>
              </w:rPr>
              <w:t>C</w:t>
            </w:r>
            <w:r w:rsidRPr="003F62F9">
              <w:rPr>
                <w:rStyle w:val="normaltextrun"/>
                <w:rFonts w:ascii="Verdana" w:hAnsi="Verdana"/>
                <w:sz w:val="16"/>
                <w:szCs w:val="16"/>
              </w:rPr>
              <w:t>ontratista</w:t>
            </w:r>
            <w:r w:rsidRPr="003F62F9">
              <w:rPr>
                <w:rStyle w:val="normaltextrun"/>
                <w:rFonts w:ascii="Verdana" w:eastAsia="Arial" w:hAnsi="Verdana" w:cs="Arial"/>
                <w:sz w:val="16"/>
                <w:szCs w:val="16"/>
              </w:rPr>
              <w:t xml:space="preserve"> de la Subdirección de Gestión Contractual</w:t>
            </w:r>
          </w:p>
        </w:tc>
      </w:tr>
      <w:tr w:rsidR="00B66544" w:rsidRPr="003F62F9" w14:paraId="7AB5C1B2" w14:textId="77777777" w:rsidTr="00557526">
        <w:trPr>
          <w:trHeight w:val="330"/>
        </w:trPr>
        <w:tc>
          <w:tcPr>
            <w:tcW w:w="893" w:type="dxa"/>
            <w:vAlign w:val="center"/>
            <w:hideMark/>
          </w:tcPr>
          <w:p w14:paraId="3CBA9279" w14:textId="77777777" w:rsidR="00B66544" w:rsidRPr="003F62F9" w:rsidRDefault="00B66544" w:rsidP="00557526">
            <w:pPr>
              <w:contextualSpacing/>
              <w:rPr>
                <w:rFonts w:ascii="Verdana" w:hAnsi="Verdana" w:cs="Arial"/>
                <w:sz w:val="16"/>
                <w:szCs w:val="16"/>
                <w:lang w:val="es-ES" w:eastAsia="es-ES"/>
              </w:rPr>
            </w:pPr>
            <w:r w:rsidRPr="003F62F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00C7AFD" w14:textId="65668423" w:rsidR="003F62F9" w:rsidRPr="003F62F9" w:rsidRDefault="003F62F9" w:rsidP="00557526">
            <w:pPr>
              <w:pStyle w:val="paragraph"/>
              <w:spacing w:before="0" w:beforeAutospacing="0" w:after="0" w:afterAutospacing="0"/>
              <w:contextualSpacing/>
              <w:textAlignment w:val="baseline"/>
              <w:rPr>
                <w:rFonts w:ascii="Verdana" w:hAnsi="Verdana" w:cs="Arial"/>
                <w:sz w:val="16"/>
                <w:szCs w:val="16"/>
              </w:rPr>
            </w:pPr>
            <w:r w:rsidRPr="003F62F9">
              <w:rPr>
                <w:rFonts w:ascii="Verdana" w:hAnsi="Verdana" w:cs="Arial"/>
                <w:sz w:val="16"/>
                <w:szCs w:val="16"/>
              </w:rPr>
              <w:t xml:space="preserve">Alejandro Sarmiento Cantillo </w:t>
            </w:r>
          </w:p>
          <w:p w14:paraId="682BFDD5" w14:textId="2D904DA5" w:rsidR="00B66544" w:rsidRPr="003F62F9" w:rsidRDefault="003F62F9" w:rsidP="003F62F9">
            <w:pPr>
              <w:pStyle w:val="paragraph"/>
              <w:spacing w:before="0" w:beforeAutospacing="0" w:after="0" w:afterAutospacing="0"/>
              <w:contextualSpacing/>
              <w:jc w:val="both"/>
              <w:textAlignment w:val="baseline"/>
              <w:rPr>
                <w:rFonts w:ascii="Verdana" w:hAnsi="Verdana" w:cs="Arial"/>
                <w:sz w:val="16"/>
                <w:szCs w:val="16"/>
              </w:rPr>
            </w:pPr>
            <w:r w:rsidRPr="003F62F9">
              <w:rPr>
                <w:rStyle w:val="normaltextrun"/>
                <w:rFonts w:ascii="Verdana" w:eastAsia="Arial" w:hAnsi="Verdana" w:cs="Arial"/>
                <w:sz w:val="16"/>
                <w:szCs w:val="16"/>
              </w:rPr>
              <w:t>Gestor código T1 grado15 de</w:t>
            </w:r>
            <w:r w:rsidR="00B66544" w:rsidRPr="003F62F9">
              <w:rPr>
                <w:rStyle w:val="normaltextrun"/>
                <w:rFonts w:ascii="Verdana" w:eastAsia="Arial" w:hAnsi="Verdana" w:cs="Arial"/>
                <w:sz w:val="16"/>
                <w:szCs w:val="16"/>
              </w:rPr>
              <w:t xml:space="preserve"> la Subdirección de Gestión Contractual</w:t>
            </w:r>
          </w:p>
        </w:tc>
      </w:tr>
      <w:tr w:rsidR="00B66544" w:rsidRPr="003F62F9" w14:paraId="22A7A224" w14:textId="77777777" w:rsidTr="00557526">
        <w:trPr>
          <w:trHeight w:val="300"/>
        </w:trPr>
        <w:tc>
          <w:tcPr>
            <w:tcW w:w="893" w:type="dxa"/>
            <w:vAlign w:val="center"/>
          </w:tcPr>
          <w:p w14:paraId="29D4CA64" w14:textId="77777777" w:rsidR="00B66544" w:rsidRPr="003F62F9" w:rsidRDefault="00B66544" w:rsidP="00557526">
            <w:pPr>
              <w:contextualSpacing/>
              <w:rPr>
                <w:rFonts w:ascii="Verdana" w:hAnsi="Verdana" w:cs="Arial"/>
                <w:sz w:val="16"/>
                <w:szCs w:val="16"/>
                <w:lang w:val="es-ES" w:eastAsia="es-ES"/>
              </w:rPr>
            </w:pPr>
            <w:r w:rsidRPr="003F62F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653A90" w14:textId="77777777" w:rsidR="00B66544" w:rsidRPr="003F62F9" w:rsidRDefault="00B66544" w:rsidP="00557526">
            <w:pPr>
              <w:contextualSpacing/>
              <w:rPr>
                <w:rFonts w:ascii="Verdana" w:eastAsia="Calibri" w:hAnsi="Verdana" w:cs="Arial"/>
                <w:sz w:val="16"/>
                <w:szCs w:val="16"/>
                <w:lang w:val="pt-BR" w:eastAsia="es-ES"/>
              </w:rPr>
            </w:pPr>
            <w:r w:rsidRPr="003F62F9">
              <w:rPr>
                <w:rFonts w:ascii="Verdana" w:eastAsia="Calibri" w:hAnsi="Verdana" w:cs="Arial"/>
                <w:sz w:val="16"/>
                <w:szCs w:val="16"/>
                <w:lang w:val="pt-BR" w:eastAsia="es-ES"/>
              </w:rPr>
              <w:t xml:space="preserve">Carolina Quintero </w:t>
            </w:r>
            <w:proofErr w:type="spellStart"/>
            <w:r w:rsidRPr="003F62F9">
              <w:rPr>
                <w:rFonts w:ascii="Verdana" w:eastAsia="Calibri" w:hAnsi="Verdana" w:cs="Arial"/>
                <w:sz w:val="16"/>
                <w:szCs w:val="16"/>
                <w:lang w:val="pt-BR" w:eastAsia="es-ES"/>
              </w:rPr>
              <w:t>Gacharná</w:t>
            </w:r>
            <w:proofErr w:type="spellEnd"/>
          </w:p>
          <w:p w14:paraId="3D849728" w14:textId="77777777" w:rsidR="00B66544" w:rsidRPr="003F62F9" w:rsidRDefault="00B66544" w:rsidP="00557526">
            <w:pPr>
              <w:contextualSpacing/>
              <w:rPr>
                <w:rFonts w:ascii="Verdana" w:eastAsia="Calibri" w:hAnsi="Verdana" w:cs="Arial"/>
                <w:sz w:val="16"/>
                <w:szCs w:val="16"/>
                <w:lang w:val="pt-BR" w:eastAsia="es-ES"/>
              </w:rPr>
            </w:pPr>
            <w:r w:rsidRPr="003F62F9">
              <w:rPr>
                <w:rFonts w:ascii="Verdana" w:eastAsia="Calibri" w:hAnsi="Verdana" w:cs="Arial"/>
                <w:sz w:val="16"/>
                <w:szCs w:val="16"/>
                <w:lang w:eastAsia="es-ES"/>
              </w:rPr>
              <w:t>Subdirectora</w:t>
            </w:r>
            <w:r w:rsidRPr="003F62F9">
              <w:rPr>
                <w:rFonts w:ascii="Verdana" w:eastAsia="Calibri" w:hAnsi="Verdana" w:cs="Arial"/>
                <w:sz w:val="16"/>
                <w:szCs w:val="16"/>
                <w:lang w:val="pt-BR" w:eastAsia="es-ES"/>
              </w:rPr>
              <w:t xml:space="preserve"> de Gestión Contractual ANCP – CCE</w:t>
            </w:r>
          </w:p>
        </w:tc>
      </w:tr>
    </w:tbl>
    <w:p w14:paraId="69BC4D14" w14:textId="20E577B2" w:rsidR="00C15139" w:rsidRPr="003F62F9" w:rsidRDefault="00C15139" w:rsidP="30821638">
      <w:pPr>
        <w:spacing w:after="0" w:line="240" w:lineRule="auto"/>
        <w:textAlignment w:val="baseline"/>
        <w:rPr>
          <w:rFonts w:ascii="Verdana" w:eastAsia="Verdana" w:hAnsi="Verdana" w:cs="Verdana"/>
          <w:lang w:eastAsia="es-CO"/>
        </w:rPr>
      </w:pPr>
      <w:r w:rsidRPr="003F62F9">
        <w:rPr>
          <w:rFonts w:ascii="Verdana" w:eastAsia="Verdana" w:hAnsi="Verdana" w:cs="Verdana"/>
          <w:lang w:eastAsia="es-CO"/>
        </w:rPr>
        <w:t> </w:t>
      </w:r>
      <w:bookmarkEnd w:id="0"/>
    </w:p>
    <w:sectPr w:rsidR="00C15139" w:rsidRPr="003F62F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33331" w14:textId="77777777" w:rsidR="00782EF6" w:rsidRDefault="00782EF6" w:rsidP="004A1847">
      <w:pPr>
        <w:spacing w:after="0" w:line="240" w:lineRule="auto"/>
      </w:pPr>
      <w:r>
        <w:separator/>
      </w:r>
    </w:p>
  </w:endnote>
  <w:endnote w:type="continuationSeparator" w:id="0">
    <w:p w14:paraId="69EB880A" w14:textId="77777777" w:rsidR="00782EF6" w:rsidRDefault="00782EF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CF4F8" w14:textId="77777777" w:rsidR="00782EF6" w:rsidRDefault="00782EF6" w:rsidP="004A1847">
      <w:pPr>
        <w:spacing w:after="0" w:line="240" w:lineRule="auto"/>
      </w:pPr>
      <w:r>
        <w:separator/>
      </w:r>
    </w:p>
  </w:footnote>
  <w:footnote w:type="continuationSeparator" w:id="0">
    <w:p w14:paraId="1AB07E3D" w14:textId="77777777" w:rsidR="00782EF6" w:rsidRDefault="00782EF6" w:rsidP="004A1847">
      <w:pPr>
        <w:spacing w:after="0" w:line="240" w:lineRule="auto"/>
      </w:pPr>
      <w:r>
        <w:continuationSeparator/>
      </w:r>
    </w:p>
  </w:footnote>
  <w:footnote w:id="1">
    <w:p w14:paraId="180E6B37"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1474 de 2011 “</w:t>
      </w:r>
      <w:r w:rsidRPr="001B7B03">
        <w:rPr>
          <w:rStyle w:val="Fuerte"/>
          <w:rFonts w:ascii="Verdana" w:hAnsi="Verdana" w:cs="Arial"/>
          <w:b w:val="0"/>
          <w:color w:val="000000"/>
          <w:sz w:val="16"/>
          <w:szCs w:val="16"/>
        </w:rPr>
        <w:t>Artículo 93.</w:t>
      </w:r>
      <w:r w:rsidRPr="001B7B03">
        <w:rPr>
          <w:rStyle w:val="nfasis"/>
          <w:rFonts w:ascii="Verdana" w:eastAsia="Arial" w:hAnsi="Verdana" w:cs="Arial"/>
          <w:color w:val="000000"/>
          <w:sz w:val="16"/>
          <w:szCs w:val="16"/>
        </w:rPr>
        <w:t> Del régimen contractual de las Empresas Industriales y Comerciales del Estado, las Sociedades de Economía Mixta, sus filiales y empresas con participación mayoritaria del Estado.</w:t>
      </w:r>
      <w:r w:rsidRPr="001B7B03">
        <w:rPr>
          <w:rFonts w:ascii="Verdana" w:hAnsi="Verdana" w:cs="Arial"/>
          <w:color w:val="000000"/>
          <w:sz w:val="16"/>
          <w:szCs w:val="16"/>
        </w:rPr>
        <w:t> Modifíquese el artículo 14 de la Ley 1150 de 2007, el cual quedará así:   </w:t>
      </w:r>
      <w:r w:rsidRPr="001B7B03">
        <w:rPr>
          <w:rFonts w:ascii="Verdana" w:hAnsi="Verdana" w:cs="Arial"/>
          <w:color w:val="000000"/>
          <w:sz w:val="16"/>
          <w:szCs w:val="16"/>
        </w:rPr>
        <w:tab/>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 </w:t>
      </w:r>
    </w:p>
    <w:p w14:paraId="7C33ECED" w14:textId="77777777" w:rsidR="00B66544" w:rsidRPr="001B7B03" w:rsidRDefault="00B66544" w:rsidP="00B66544">
      <w:pPr>
        <w:pStyle w:val="Textonotapie"/>
        <w:jc w:val="both"/>
        <w:rPr>
          <w:rFonts w:ascii="Verdana" w:hAnsi="Verdana" w:cs="Arial"/>
          <w:sz w:val="16"/>
          <w:szCs w:val="16"/>
        </w:rPr>
      </w:pPr>
    </w:p>
  </w:footnote>
  <w:footnote w:id="2">
    <w:p w14:paraId="1C39C857"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489 de 1998 «</w:t>
      </w:r>
      <w:r w:rsidRPr="001B7B03">
        <w:rPr>
          <w:rStyle w:val="Fuerte"/>
          <w:rFonts w:ascii="Verdana" w:hAnsi="Verdana" w:cs="Arial"/>
          <w:b w:val="0"/>
          <w:color w:val="000000"/>
          <w:sz w:val="16"/>
          <w:szCs w:val="16"/>
        </w:rPr>
        <w:t>Artículo 85.</w:t>
      </w:r>
      <w:r w:rsidRPr="001B7B03">
        <w:rPr>
          <w:rStyle w:val="Fuerte"/>
          <w:rFonts w:ascii="Verdana" w:hAnsi="Verdana" w:cs="Arial"/>
          <w:color w:val="000000"/>
          <w:sz w:val="16"/>
          <w:szCs w:val="16"/>
        </w:rPr>
        <w:t xml:space="preserve"> </w:t>
      </w:r>
      <w:r w:rsidRPr="001B7B03">
        <w:rPr>
          <w:rStyle w:val="nfasis"/>
          <w:rFonts w:ascii="Verdana" w:eastAsia="Arial" w:hAnsi="Verdana" w:cs="Arial"/>
          <w:color w:val="000000"/>
          <w:sz w:val="16"/>
          <w:szCs w:val="16"/>
        </w:rPr>
        <w:t>Empresas industriales y comerciales del Estado. </w:t>
      </w:r>
      <w:r w:rsidRPr="001B7B03">
        <w:rPr>
          <w:rFonts w:ascii="Verdana" w:hAnsi="Verdana" w:cs="Arial"/>
          <w:color w:val="000000"/>
          <w:sz w:val="16"/>
          <w:szCs w:val="16"/>
        </w:rPr>
        <w:t>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6FC782C0"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“a) Personería jurídica; </w:t>
      </w:r>
    </w:p>
    <w:p w14:paraId="53EFF516"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“b) Autonomía administrativa y financiera; </w:t>
      </w:r>
    </w:p>
    <w:p w14:paraId="379A3837"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326B6D0C"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“El capital de las empresas industriales y comerciales del Estado podrá estar representado en cuotas o acciones de igual valor nominal. </w:t>
      </w:r>
    </w:p>
    <w:p w14:paraId="5E4341BF"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“A las empresas industriales y comerciales del Estado y a las sociedades de economía mixta se les aplicará en lo pertinente los artículos 19, numerales 2°, 4°, 5°, 6°, 12, 13, 17, 27, numerales 2°, 3°, 4°, 5°, y 7°, y 183 de la Ley 142 de 1994. </w:t>
      </w:r>
    </w:p>
    <w:p w14:paraId="553E14CD"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Fonts w:ascii="Verdana" w:hAnsi="Verdana" w:cs="Arial"/>
          <w:color w:val="000000"/>
          <w:sz w:val="16"/>
          <w:szCs w:val="16"/>
        </w:rPr>
        <w:t>“</w:t>
      </w:r>
      <w:r w:rsidRPr="001B7B03">
        <w:rPr>
          <w:rStyle w:val="Fuerte"/>
          <w:rFonts w:ascii="Verdana" w:hAnsi="Verdana" w:cs="Arial"/>
          <w:b w:val="0"/>
          <w:color w:val="000000"/>
          <w:sz w:val="16"/>
          <w:szCs w:val="16"/>
        </w:rPr>
        <w:t>Parágrafo</w:t>
      </w:r>
      <w:r w:rsidRPr="001B7B03">
        <w:rPr>
          <w:rStyle w:val="Fuerte"/>
          <w:rFonts w:ascii="Verdana" w:hAnsi="Verdana" w:cs="Arial"/>
          <w:color w:val="000000"/>
          <w:sz w:val="16"/>
          <w:szCs w:val="16"/>
        </w:rPr>
        <w:t>.</w:t>
      </w:r>
      <w:r w:rsidRPr="001B7B03">
        <w:rPr>
          <w:rFonts w:ascii="Verdana" w:hAnsi="Verdana" w:cs="Arial"/>
          <w:color w:val="000000"/>
          <w:sz w:val="16"/>
          <w:szCs w:val="16"/>
        </w:rPr>
        <w:t> Las disposiciones legales que protegen el secreto industrial y la información comercial se aplicarán a aquellos secretos e informaciones de esa naturaleza que desarrollen y posean las empresas industriales y comerciales del Estado». </w:t>
      </w:r>
    </w:p>
    <w:p w14:paraId="49B0E333" w14:textId="77777777" w:rsidR="00B66544" w:rsidRPr="001B7B03" w:rsidRDefault="00B66544" w:rsidP="00B66544">
      <w:pPr>
        <w:pStyle w:val="Textonotapie"/>
        <w:jc w:val="both"/>
        <w:rPr>
          <w:rFonts w:ascii="Verdana" w:hAnsi="Verdana" w:cs="Arial"/>
          <w:sz w:val="16"/>
          <w:szCs w:val="16"/>
        </w:rPr>
      </w:pPr>
    </w:p>
  </w:footnote>
  <w:footnote w:id="3">
    <w:p w14:paraId="2208F67E"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489 de 1998 «</w:t>
      </w:r>
      <w:r w:rsidRPr="001B7B03">
        <w:rPr>
          <w:rStyle w:val="Fuerte"/>
          <w:rFonts w:ascii="Verdana" w:hAnsi="Verdana" w:cs="Arial"/>
          <w:b w:val="0"/>
          <w:color w:val="000000"/>
          <w:sz w:val="16"/>
          <w:szCs w:val="16"/>
        </w:rPr>
        <w:t>Artículo 68.</w:t>
      </w:r>
      <w:r w:rsidRPr="001B7B03">
        <w:rPr>
          <w:rStyle w:val="Fuerte"/>
          <w:rFonts w:ascii="Verdana" w:hAnsi="Verdana" w:cs="Arial"/>
          <w:color w:val="000000"/>
          <w:sz w:val="16"/>
          <w:szCs w:val="16"/>
        </w:rPr>
        <w:t xml:space="preserve"> </w:t>
      </w:r>
      <w:r w:rsidRPr="001B7B03">
        <w:rPr>
          <w:rStyle w:val="nfasis"/>
          <w:rFonts w:ascii="Verdana" w:eastAsia="Arial" w:hAnsi="Verdana" w:cs="Arial"/>
          <w:color w:val="000000"/>
          <w:sz w:val="16"/>
          <w:szCs w:val="16"/>
        </w:rPr>
        <w:t>Entidades descentralizadas. </w:t>
      </w:r>
      <w:r w:rsidRPr="001B7B03">
        <w:rPr>
          <w:rFonts w:ascii="Verdana" w:hAnsi="Verdana" w:cs="Arial"/>
          <w:color w:val="000000"/>
          <w:sz w:val="16"/>
          <w:szCs w:val="16"/>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4CE506E1"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“Como órganos del Estado aun cuando gozan de autonomía administrativa están sujetas al control político y a la suprema dirección del órgano de la administración al cual están adscritas. </w:t>
      </w:r>
    </w:p>
    <w:p w14:paraId="0945CE0B"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“Las entidades descentralizadas se sujetan a las reglas señaladas en la Constitución Política, en la presente ley, en las leyes que las creen y determinen su estructura orgánica y a sus estatutos internos. </w:t>
      </w:r>
    </w:p>
    <w:p w14:paraId="55FE297A"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“Los organismos y entidades descentralizados, sujetos a regímenes especiales por mandato de la Constitución Política, se someterán a las disposiciones que para ellos establezca la respectiva ley. </w:t>
      </w:r>
    </w:p>
    <w:p w14:paraId="128A10FA"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r>
      <w:r w:rsidRPr="001B7B03">
        <w:rPr>
          <w:rStyle w:val="Fuerte"/>
          <w:rFonts w:ascii="Verdana" w:hAnsi="Verdana" w:cs="Arial"/>
          <w:b w:val="0"/>
          <w:color w:val="000000"/>
          <w:sz w:val="16"/>
          <w:szCs w:val="16"/>
        </w:rPr>
        <w:t>“Parágrafo 1°.</w:t>
      </w:r>
      <w:r w:rsidRPr="001B7B03">
        <w:rPr>
          <w:rFonts w:ascii="Verdana" w:hAnsi="Verdana" w:cs="Arial"/>
          <w:color w:val="000000"/>
          <w:sz w:val="16"/>
          <w:szCs w:val="16"/>
        </w:rPr>
        <w:t> 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autoridades del orden territorial. </w:t>
      </w:r>
    </w:p>
    <w:p w14:paraId="55BA10A0" w14:textId="77777777" w:rsidR="00B66544" w:rsidRPr="001B7B03" w:rsidRDefault="00B66544" w:rsidP="00B66544">
      <w:pPr>
        <w:pStyle w:val="Textonotapie"/>
        <w:jc w:val="both"/>
        <w:rPr>
          <w:rFonts w:ascii="Verdana" w:hAnsi="Verdana" w:cs="Arial"/>
          <w:sz w:val="16"/>
          <w:szCs w:val="16"/>
        </w:rPr>
      </w:pPr>
    </w:p>
  </w:footnote>
  <w:footnote w:id="4">
    <w:p w14:paraId="5E1CA0BE"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1122 de 2007. “</w:t>
      </w:r>
      <w:r w:rsidRPr="001B7B03">
        <w:rPr>
          <w:rStyle w:val="Fuerte"/>
          <w:rFonts w:ascii="Verdana" w:hAnsi="Verdana" w:cs="Arial"/>
          <w:b w:val="0"/>
          <w:color w:val="000000"/>
          <w:sz w:val="16"/>
          <w:szCs w:val="16"/>
        </w:rPr>
        <w:t>Artículo 45.</w:t>
      </w:r>
      <w:r w:rsidRPr="001B7B03">
        <w:rPr>
          <w:rStyle w:val="Fuerte"/>
          <w:rFonts w:ascii="Verdana" w:hAnsi="Verdana" w:cs="Arial"/>
          <w:color w:val="000000"/>
          <w:sz w:val="16"/>
          <w:szCs w:val="16"/>
        </w:rPr>
        <w:t xml:space="preserve"> </w:t>
      </w:r>
      <w:r w:rsidRPr="001B7B03">
        <w:rPr>
          <w:rStyle w:val="nfasis"/>
          <w:rFonts w:ascii="Verdana" w:eastAsia="Arial" w:hAnsi="Verdana" w:cs="Arial"/>
          <w:color w:val="000000"/>
          <w:sz w:val="16"/>
          <w:szCs w:val="16"/>
        </w:rPr>
        <w:t>Régimen de contratación de EPS públicas. </w:t>
      </w:r>
      <w:r w:rsidRPr="001B7B03">
        <w:rPr>
          <w:rFonts w:ascii="Verdana" w:hAnsi="Verdana" w:cs="Arial"/>
          <w:color w:val="000000"/>
          <w:sz w:val="16"/>
          <w:szCs w:val="16"/>
        </w:rPr>
        <w:t>Las Empresas promotoras de Salud del Régimen Subsidiado y Contributivo Públicas tendrán el mismo régimen de contratación que las Empresas Sociales del Estado”. </w:t>
      </w:r>
    </w:p>
    <w:p w14:paraId="0B4F71F8" w14:textId="77777777" w:rsidR="00B66544" w:rsidRPr="001B7B03" w:rsidRDefault="00B66544" w:rsidP="00B66544">
      <w:pPr>
        <w:pStyle w:val="NormalWeb"/>
        <w:spacing w:before="0" w:beforeAutospacing="0" w:after="0" w:afterAutospacing="0"/>
        <w:jc w:val="both"/>
        <w:rPr>
          <w:rFonts w:ascii="Verdana" w:hAnsi="Verdana" w:cs="Arial"/>
          <w:sz w:val="16"/>
          <w:szCs w:val="16"/>
        </w:rPr>
      </w:pPr>
      <w:r w:rsidRPr="001B7B03">
        <w:rPr>
          <w:rFonts w:ascii="Verdana" w:hAnsi="Verdana" w:cs="Arial"/>
          <w:color w:val="000000"/>
          <w:sz w:val="16"/>
          <w:szCs w:val="16"/>
        </w:rPr>
        <w:t>  </w:t>
      </w:r>
    </w:p>
  </w:footnote>
  <w:footnote w:id="5">
    <w:p w14:paraId="01D3DB83" w14:textId="77777777" w:rsidR="00B66544" w:rsidRPr="001B7B03" w:rsidRDefault="00B66544" w:rsidP="00B66544">
      <w:pPr>
        <w:pStyle w:val="Textonotapie"/>
        <w:ind w:firstLine="708"/>
        <w:jc w:val="both"/>
        <w:rPr>
          <w:rFonts w:ascii="Verdana" w:hAnsi="Verdana" w:cs="Arial"/>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100 de 1993 «Artículo 195. Régimen jurídico. Las Empresas Sociales de Salud se someterán al siguiente régimen jurídico: </w:t>
      </w:r>
    </w:p>
    <w:p w14:paraId="3798EEB5" w14:textId="77777777" w:rsidR="00B66544" w:rsidRPr="001B7B03" w:rsidRDefault="00B66544" w:rsidP="00B66544">
      <w:pPr>
        <w:pStyle w:val="Textonotapie"/>
        <w:ind w:firstLine="708"/>
        <w:jc w:val="both"/>
        <w:rPr>
          <w:rFonts w:ascii="Verdana" w:hAnsi="Verdana" w:cs="Arial"/>
          <w:sz w:val="16"/>
          <w:szCs w:val="16"/>
        </w:rPr>
      </w:pPr>
      <w:r w:rsidRPr="001B7B03">
        <w:rPr>
          <w:rFonts w:ascii="Verdana" w:hAnsi="Verdana" w:cs="Arial"/>
          <w:sz w:val="16"/>
          <w:szCs w:val="16"/>
        </w:rPr>
        <w:t>[…]</w:t>
      </w:r>
    </w:p>
    <w:p w14:paraId="010A5F7D" w14:textId="77777777" w:rsidR="00B66544" w:rsidRPr="001B7B03" w:rsidRDefault="00B66544" w:rsidP="00B66544">
      <w:pPr>
        <w:pStyle w:val="Textonotapie"/>
        <w:ind w:firstLine="708"/>
        <w:jc w:val="both"/>
        <w:rPr>
          <w:rFonts w:ascii="Verdana" w:hAnsi="Verdana" w:cs="Arial"/>
          <w:sz w:val="16"/>
          <w:szCs w:val="16"/>
        </w:rPr>
      </w:pPr>
      <w:r w:rsidRPr="001B7B03">
        <w:rPr>
          <w:rFonts w:ascii="Verdana" w:hAnsi="Verdana" w:cs="Arial"/>
          <w:sz w:val="16"/>
          <w:szCs w:val="16"/>
        </w:rPr>
        <w:t>“6. En materia contractual se regirá por el derecho privado, pero podrá discrecionalmente utilizar las cláusulas exorbitantes previstas en el Estatuto General de Contratación de la Administración Pública”.</w:t>
      </w:r>
    </w:p>
    <w:p w14:paraId="05FDFEB4" w14:textId="77777777" w:rsidR="00B66544" w:rsidRPr="001B7B03" w:rsidRDefault="00B66544" w:rsidP="00B66544">
      <w:pPr>
        <w:pStyle w:val="Textonotapie"/>
        <w:ind w:firstLine="708"/>
        <w:jc w:val="both"/>
        <w:rPr>
          <w:rFonts w:ascii="Verdana" w:hAnsi="Verdana" w:cs="Arial"/>
          <w:sz w:val="16"/>
          <w:szCs w:val="16"/>
        </w:rPr>
      </w:pPr>
      <w:r w:rsidRPr="001B7B03">
        <w:rPr>
          <w:rFonts w:ascii="Verdana" w:hAnsi="Verdana" w:cs="Arial"/>
          <w:sz w:val="16"/>
          <w:szCs w:val="16"/>
        </w:rPr>
        <w:t xml:space="preserve"> </w:t>
      </w:r>
    </w:p>
  </w:footnote>
  <w:footnote w:id="6">
    <w:p w14:paraId="7C20ED05"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489 de 1998 “</w:t>
      </w:r>
      <w:r w:rsidRPr="001B7B03">
        <w:rPr>
          <w:rStyle w:val="Fuerte"/>
          <w:rFonts w:ascii="Verdana" w:hAnsi="Verdana" w:cs="Arial"/>
          <w:b w:val="0"/>
          <w:color w:val="000000"/>
          <w:sz w:val="16"/>
          <w:szCs w:val="16"/>
        </w:rPr>
        <w:t>Artículo 97.</w:t>
      </w:r>
      <w:r w:rsidRPr="001B7B03">
        <w:rPr>
          <w:rStyle w:val="nfasis"/>
          <w:rFonts w:ascii="Verdana" w:eastAsia="Arial" w:hAnsi="Verdana" w:cs="Arial"/>
          <w:color w:val="000000"/>
          <w:sz w:val="16"/>
          <w:szCs w:val="16"/>
        </w:rPr>
        <w:t xml:space="preserve"> Sociedades de economía mixta. </w:t>
      </w:r>
      <w:r w:rsidRPr="001B7B03">
        <w:rPr>
          <w:rFonts w:ascii="Verdana" w:hAnsi="Verdana" w:cs="Arial"/>
          <w:color w:val="000000"/>
          <w:sz w:val="16"/>
          <w:szCs w:val="16"/>
        </w:rPr>
        <w:t>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 </w:t>
      </w:r>
    </w:p>
    <w:p w14:paraId="1631D5E8"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Fonts w:ascii="Verdana" w:hAnsi="Verdana" w:cs="Arial"/>
          <w:color w:val="000000"/>
          <w:sz w:val="16"/>
          <w:szCs w:val="16"/>
        </w:rPr>
        <w:t>“Las inversiones temporales de carácter financiero no afectan su naturaleza jurídica ni su régimen. </w:t>
      </w:r>
    </w:p>
    <w:p w14:paraId="10E7EDE4"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w:t>
      </w:r>
      <w:r w:rsidRPr="001B7B03">
        <w:rPr>
          <w:rStyle w:val="Fuerte"/>
          <w:rFonts w:ascii="Verdana" w:hAnsi="Verdana" w:cs="Arial"/>
          <w:b w:val="0"/>
          <w:color w:val="000000"/>
          <w:sz w:val="16"/>
          <w:szCs w:val="16"/>
        </w:rPr>
        <w:t>Parágrafo.</w:t>
      </w:r>
      <w:r w:rsidRPr="001B7B03">
        <w:rPr>
          <w:rFonts w:ascii="Verdana" w:hAnsi="Verdana" w:cs="Arial"/>
          <w:b/>
          <w:color w:val="000000"/>
          <w:sz w:val="16"/>
          <w:szCs w:val="16"/>
        </w:rPr>
        <w:t> </w:t>
      </w:r>
      <w:r w:rsidRPr="001B7B03">
        <w:rPr>
          <w:rFonts w:ascii="Verdana" w:hAnsi="Verdana" w:cs="Arial"/>
          <w:color w:val="000000"/>
          <w:sz w:val="16"/>
          <w:szCs w:val="16"/>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w:t>
      </w:r>
    </w:p>
    <w:p w14:paraId="2C9DF7AE" w14:textId="77777777" w:rsidR="00B66544" w:rsidRPr="001B7B03" w:rsidRDefault="00B66544" w:rsidP="00B66544">
      <w:pPr>
        <w:pStyle w:val="Textonotapie"/>
        <w:ind w:firstLine="708"/>
        <w:jc w:val="both"/>
        <w:rPr>
          <w:rFonts w:ascii="Verdana" w:hAnsi="Verdana" w:cs="Arial"/>
          <w:sz w:val="16"/>
          <w:szCs w:val="16"/>
        </w:rPr>
      </w:pPr>
      <w:r w:rsidRPr="001B7B03">
        <w:rPr>
          <w:rFonts w:ascii="Verdana" w:hAnsi="Verdana" w:cs="Arial"/>
          <w:sz w:val="16"/>
          <w:szCs w:val="16"/>
        </w:rPr>
        <w:t xml:space="preserve"> </w:t>
      </w:r>
    </w:p>
  </w:footnote>
  <w:footnote w:id="7">
    <w:p w14:paraId="43339C5C" w14:textId="77777777" w:rsidR="00B66544" w:rsidRPr="001B7B03" w:rsidRDefault="00B66544" w:rsidP="00B66544">
      <w:pPr>
        <w:pStyle w:val="Textonotapie"/>
        <w:ind w:firstLine="708"/>
        <w:jc w:val="both"/>
        <w:rPr>
          <w:rFonts w:ascii="Verdana" w:hAnsi="Verdana" w:cs="Arial"/>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21 de 1982 “</w:t>
      </w:r>
      <w:r w:rsidRPr="001B7B03">
        <w:rPr>
          <w:rFonts w:ascii="Verdana" w:hAnsi="Verdana" w:cs="Arial"/>
          <w:color w:val="000000"/>
          <w:sz w:val="16"/>
          <w:szCs w:val="16"/>
        </w:rPr>
        <w:t>Artículo 39. Las Cajas de Compensación Familiar son personas jurídicas de derecho privado sin ánimo de lucro, organizadas como corporaciones en la forma prevista en el Código Civil, cumplen funciones de seguridad social y se hallan sometidas al control y vigilancia del Estado en la forma establecida por la ley”. </w:t>
      </w:r>
    </w:p>
  </w:footnote>
  <w:footnote w:id="8">
    <w:p w14:paraId="2E026092" w14:textId="77777777" w:rsidR="00B66544" w:rsidRPr="001B7B03" w:rsidRDefault="00B66544" w:rsidP="00B66544">
      <w:pPr>
        <w:pStyle w:val="Textonotapie"/>
        <w:jc w:val="both"/>
        <w:rPr>
          <w:rFonts w:ascii="Verdana" w:hAnsi="Verdana" w:cs="Arial"/>
          <w:sz w:val="16"/>
          <w:szCs w:val="16"/>
        </w:rPr>
      </w:pPr>
    </w:p>
    <w:p w14:paraId="2C3F9124"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Ley 454 de 1998 «</w:t>
      </w:r>
      <w:r w:rsidRPr="001B7B03">
        <w:rPr>
          <w:rStyle w:val="Fuerte"/>
          <w:rFonts w:ascii="Verdana" w:hAnsi="Verdana" w:cs="Arial"/>
          <w:b w:val="0"/>
          <w:color w:val="000000"/>
          <w:sz w:val="16"/>
          <w:szCs w:val="16"/>
        </w:rPr>
        <w:t>Artículo 6</w:t>
      </w:r>
      <w:r w:rsidRPr="001B7B03">
        <w:rPr>
          <w:rStyle w:val="Fuerte"/>
          <w:rFonts w:ascii="Verdana" w:hAnsi="Verdana" w:cs="Arial"/>
          <w:color w:val="000000"/>
          <w:sz w:val="16"/>
          <w:szCs w:val="16"/>
        </w:rPr>
        <w:t xml:space="preserve">°. </w:t>
      </w:r>
      <w:r w:rsidRPr="001B7B03">
        <w:rPr>
          <w:rStyle w:val="nfasis"/>
          <w:rFonts w:ascii="Verdana" w:eastAsia="Arial" w:hAnsi="Verdana" w:cs="Arial"/>
          <w:color w:val="000000"/>
          <w:sz w:val="16"/>
          <w:szCs w:val="16"/>
        </w:rPr>
        <w:t>Características de las organizaciones de Economía Solidaria. </w:t>
      </w:r>
      <w:r w:rsidRPr="001B7B03">
        <w:rPr>
          <w:rFonts w:ascii="Verdana" w:hAnsi="Verdana" w:cs="Arial"/>
          <w:color w:val="000000"/>
          <w:sz w:val="16"/>
          <w:szCs w:val="16"/>
        </w:rPr>
        <w:t>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 </w:t>
      </w:r>
    </w:p>
    <w:p w14:paraId="1DAFCC3A"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“1. Estar organizada como empresa que contemple en su objeto social, el ejercicio de una actividad socioeconómica, tendiente a satisfacer necesidades de sus asociados y el desarrollo de obras de servicio comunitario. </w:t>
      </w:r>
    </w:p>
    <w:p w14:paraId="7C3A7EBF"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“2. Tener establecido un vínculo asociativo, fundado en los principios y fines contemplados en la presente ley. </w:t>
      </w:r>
    </w:p>
    <w:p w14:paraId="6B1D4FA2"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“3. Tener incluido en sus estatutos o reglas básicas de funcionamiento la ausencia de ánimo de lucro, movida por la solidaridad, el servicio social o comunitario. </w:t>
      </w:r>
    </w:p>
    <w:p w14:paraId="5E84E991"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p>
    <w:p w14:paraId="2C015949" w14:textId="77777777" w:rsidR="00B66544" w:rsidRPr="001B7B03" w:rsidRDefault="00B66544" w:rsidP="00B66544">
      <w:pPr>
        <w:pStyle w:val="NormalWeb"/>
        <w:spacing w:before="0" w:beforeAutospacing="0" w:after="0" w:afterAutospacing="0"/>
        <w:ind w:firstLine="708"/>
        <w:jc w:val="both"/>
        <w:rPr>
          <w:rFonts w:ascii="Verdana" w:hAnsi="Verdana" w:cs="Arial"/>
          <w:color w:val="000000"/>
          <w:sz w:val="16"/>
          <w:szCs w:val="16"/>
        </w:rPr>
      </w:pPr>
      <w:r w:rsidRPr="001B7B03">
        <w:rPr>
          <w:rFonts w:ascii="Verdana" w:hAnsi="Verdana" w:cs="Arial"/>
          <w:color w:val="000000"/>
          <w:sz w:val="16"/>
          <w:szCs w:val="16"/>
        </w:rPr>
        <w:t>4. Garantizar la igualdad de derechos y obligaciones de sus miembros sin consideración a sus aportes. </w:t>
      </w:r>
    </w:p>
    <w:p w14:paraId="4ACB17CA"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5. Establecer en sus estatutos un monto mínimo de aportes sociales no reducibles, debidamente pagados, durante su existencia. </w:t>
      </w:r>
    </w:p>
    <w:p w14:paraId="6C5C8B27"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6. Integrarse social y económicamente, sin perjuicio de sus vínculos con otras entidades sin ánimo de lucro que tengan por fin promover el desarrollo integral del ser humano. </w:t>
      </w:r>
    </w:p>
    <w:p w14:paraId="35535127"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r>
      <w:r w:rsidRPr="001B7B03">
        <w:rPr>
          <w:rStyle w:val="Fuerte"/>
          <w:rFonts w:ascii="Verdana" w:hAnsi="Verdana" w:cs="Arial"/>
          <w:b w:val="0"/>
          <w:color w:val="000000"/>
          <w:sz w:val="16"/>
          <w:szCs w:val="16"/>
        </w:rPr>
        <w:t>Parágrafo 1°.</w:t>
      </w:r>
      <w:r w:rsidRPr="001B7B03">
        <w:rPr>
          <w:rFonts w:ascii="Verdana" w:hAnsi="Verdana" w:cs="Arial"/>
          <w:color w:val="000000"/>
          <w:sz w:val="16"/>
          <w:szCs w:val="16"/>
        </w:rPr>
        <w:t> En todo caso, las organizaciones de la economía solidaria deberán cumplir con los siguientes principios económicos: </w:t>
      </w:r>
    </w:p>
    <w:p w14:paraId="585D13EB"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1. Establecer la irrepartibilidad de las reservas sociales y, en caso de liquidación, la del remanente patrimonial. </w:t>
      </w:r>
    </w:p>
    <w:p w14:paraId="05D1F48B" w14:textId="77777777" w:rsidR="00B66544" w:rsidRPr="001B7B03" w:rsidRDefault="00B66544" w:rsidP="00B66544">
      <w:pPr>
        <w:pStyle w:val="NormalWeb"/>
        <w:spacing w:before="0" w:beforeAutospacing="0" w:after="0" w:afterAutospacing="0"/>
        <w:jc w:val="both"/>
        <w:rPr>
          <w:rFonts w:ascii="Verdana" w:hAnsi="Verdana" w:cs="Arial"/>
          <w:color w:val="000000"/>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t xml:space="preserve">2. Destinar sus excedentes a la prestación de servicios de carácter social, al crecimiento de sus reservas y fondos, y a reintegrar a sus asociados parte de </w:t>
      </w:r>
      <w:proofErr w:type="gramStart"/>
      <w:r w:rsidRPr="001B7B03">
        <w:rPr>
          <w:rFonts w:ascii="Verdana" w:hAnsi="Verdana" w:cs="Arial"/>
          <w:color w:val="000000"/>
          <w:sz w:val="16"/>
          <w:szCs w:val="16"/>
        </w:rPr>
        <w:t>los mismos</w:t>
      </w:r>
      <w:proofErr w:type="gramEnd"/>
      <w:r w:rsidRPr="001B7B03">
        <w:rPr>
          <w:rFonts w:ascii="Verdana" w:hAnsi="Verdana" w:cs="Arial"/>
          <w:color w:val="000000"/>
          <w:sz w:val="16"/>
          <w:szCs w:val="16"/>
        </w:rPr>
        <w:t xml:space="preserve"> en proporción al uso de los servicios o a la participación en el trabajo de la empresa, sin perjuicio de amortizar los aportes y conservarlos en su valor real. </w:t>
      </w:r>
    </w:p>
    <w:p w14:paraId="629F27A0" w14:textId="77777777" w:rsidR="00B66544" w:rsidRPr="001B7B03" w:rsidRDefault="00B66544" w:rsidP="00B66544">
      <w:pPr>
        <w:pStyle w:val="NormalWeb"/>
        <w:spacing w:before="0" w:beforeAutospacing="0" w:after="0" w:afterAutospacing="0"/>
        <w:jc w:val="both"/>
        <w:rPr>
          <w:rFonts w:ascii="Verdana" w:hAnsi="Verdana" w:cs="Arial"/>
          <w:sz w:val="16"/>
          <w:szCs w:val="16"/>
        </w:rPr>
      </w:pPr>
      <w:r w:rsidRPr="001B7B03">
        <w:rPr>
          <w:rFonts w:ascii="Verdana" w:hAnsi="Verdana" w:cs="Arial"/>
          <w:color w:val="000000"/>
          <w:sz w:val="16"/>
          <w:szCs w:val="16"/>
        </w:rPr>
        <w:t>  </w:t>
      </w:r>
      <w:r w:rsidRPr="001B7B03">
        <w:rPr>
          <w:rFonts w:ascii="Verdana" w:hAnsi="Verdana" w:cs="Arial"/>
          <w:color w:val="000000"/>
          <w:sz w:val="16"/>
          <w:szCs w:val="16"/>
        </w:rPr>
        <w:tab/>
      </w:r>
      <w:r w:rsidRPr="001B7B03">
        <w:rPr>
          <w:rStyle w:val="Fuerte"/>
          <w:rFonts w:ascii="Verdana" w:hAnsi="Verdana" w:cs="Arial"/>
          <w:b w:val="0"/>
          <w:color w:val="000000"/>
          <w:sz w:val="16"/>
          <w:szCs w:val="16"/>
        </w:rPr>
        <w:t>Parágrafo 2°.</w:t>
      </w:r>
      <w:r w:rsidRPr="001B7B03">
        <w:rPr>
          <w:rFonts w:ascii="Verdana" w:hAnsi="Verdana" w:cs="Arial"/>
          <w:b/>
          <w:color w:val="000000"/>
          <w:sz w:val="16"/>
          <w:szCs w:val="16"/>
        </w:rPr>
        <w:t> </w:t>
      </w:r>
      <w:r w:rsidRPr="001B7B03">
        <w:rPr>
          <w:rFonts w:ascii="Verdana" w:hAnsi="Verdana" w:cs="Arial"/>
          <w:color w:val="000000"/>
          <w:sz w:val="16"/>
          <w:szCs w:val="16"/>
        </w:rPr>
        <w:t>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 </w:t>
      </w:r>
    </w:p>
  </w:footnote>
  <w:footnote w:id="9">
    <w:p w14:paraId="0EC008A2" w14:textId="77777777" w:rsidR="00B66544" w:rsidRPr="001B7B03" w:rsidRDefault="00B66544" w:rsidP="00B66544">
      <w:pPr>
        <w:pStyle w:val="Textonotapie"/>
        <w:ind w:firstLine="708"/>
        <w:jc w:val="both"/>
        <w:rPr>
          <w:rFonts w:ascii="Verdana" w:hAnsi="Verdana" w:cs="Arial"/>
          <w:sz w:val="16"/>
          <w:szCs w:val="16"/>
        </w:rPr>
      </w:pPr>
    </w:p>
    <w:p w14:paraId="7817EAB7" w14:textId="77777777" w:rsidR="00B66544" w:rsidRPr="001B7B03" w:rsidRDefault="00B66544" w:rsidP="00B66544">
      <w:pPr>
        <w:pStyle w:val="Textonotapie"/>
        <w:ind w:firstLine="708"/>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rPr>
        <w:t xml:space="preserve"> </w:t>
      </w:r>
      <w:bookmarkStart w:id="3" w:name="8"/>
      <w:bookmarkEnd w:id="3"/>
      <w:r w:rsidRPr="001B7B03">
        <w:rPr>
          <w:rFonts w:ascii="Verdana" w:eastAsia="Times New Roman" w:hAnsi="Verdana" w:cs="Arial"/>
          <w:color w:val="000000"/>
          <w:sz w:val="16"/>
          <w:szCs w:val="16"/>
          <w:lang w:val="es-CO" w:eastAsia="es-CO"/>
        </w:rPr>
        <w:t xml:space="preserve">Ley 100 de 1993, </w:t>
      </w:r>
      <w:r w:rsidRPr="001B7B03">
        <w:rPr>
          <w:rFonts w:ascii="Verdana" w:hAnsi="Verdana" w:cs="Arial"/>
          <w:sz w:val="16"/>
          <w:szCs w:val="16"/>
        </w:rPr>
        <w:t>A</w:t>
      </w:r>
      <w:proofErr w:type="spellStart"/>
      <w:r w:rsidRPr="001B7B03">
        <w:rPr>
          <w:rFonts w:ascii="Verdana" w:eastAsia="Times New Roman" w:hAnsi="Verdana" w:cs="Arial"/>
          <w:color w:val="000000"/>
          <w:sz w:val="16"/>
          <w:szCs w:val="16"/>
          <w:lang w:val="es-CO" w:eastAsia="es-CO"/>
        </w:rPr>
        <w:t>rtículo</w:t>
      </w:r>
      <w:proofErr w:type="spellEnd"/>
      <w:r w:rsidRPr="001B7B03">
        <w:rPr>
          <w:rFonts w:ascii="Verdana" w:eastAsia="Times New Roman" w:hAnsi="Verdana" w:cs="Arial"/>
          <w:b/>
          <w:color w:val="000000"/>
          <w:sz w:val="16"/>
          <w:szCs w:val="16"/>
          <w:lang w:val="es-CO" w:eastAsia="es-CO"/>
        </w:rPr>
        <w:t> </w:t>
      </w:r>
      <w:r w:rsidRPr="001B7B03">
        <w:rPr>
          <w:rFonts w:ascii="Verdana" w:eastAsia="Times New Roman" w:hAnsi="Verdana" w:cs="Arial"/>
          <w:color w:val="000000"/>
          <w:sz w:val="16"/>
          <w:szCs w:val="16"/>
          <w:lang w:val="es-CO" w:eastAsia="es-CO"/>
        </w:rPr>
        <w:t>8</w:t>
      </w:r>
      <w:r w:rsidRPr="001B7B03">
        <w:rPr>
          <w:rFonts w:ascii="Verdana" w:eastAsia="Times New Roman" w:hAnsi="Verdana" w:cs="Arial"/>
          <w:b/>
          <w:color w:val="000000"/>
          <w:sz w:val="16"/>
          <w:szCs w:val="16"/>
          <w:lang w:val="es-CO" w:eastAsia="es-CO"/>
        </w:rPr>
        <w:t>.</w:t>
      </w:r>
      <w:r w:rsidRPr="001B7B03">
        <w:rPr>
          <w:rFonts w:ascii="Verdana" w:eastAsia="Times New Roman" w:hAnsi="Verdana" w:cs="Arial"/>
          <w:color w:val="000000"/>
          <w:sz w:val="16"/>
          <w:szCs w:val="16"/>
          <w:lang w:val="es-CO" w:eastAsia="es-CO"/>
        </w:rPr>
        <w:t> Conformación del Sistema de Seguridad Social Integral. El 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w:t>
      </w:r>
      <w:bookmarkStart w:id="4" w:name="LPHit20"/>
      <w:bookmarkEnd w:id="4"/>
      <w:r w:rsidRPr="001B7B03">
        <w:rPr>
          <w:rFonts w:ascii="Verdana" w:eastAsia="Times New Roman" w:hAnsi="Verdana" w:cs="Arial"/>
          <w:color w:val="000000"/>
          <w:sz w:val="16"/>
          <w:szCs w:val="16"/>
          <w:lang w:val="es-CO" w:eastAsia="es-CO"/>
        </w:rPr>
        <w:t> Ley</w:t>
      </w:r>
    </w:p>
  </w:footnote>
  <w:footnote w:id="10">
    <w:p w14:paraId="12C28E15" w14:textId="77777777" w:rsidR="00BE5A26" w:rsidRPr="001B7B03" w:rsidRDefault="00BE5A26" w:rsidP="00BE5A26">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lang w:val="es-ES"/>
        </w:rPr>
        <w:t xml:space="preserve"> Ley 691 de 2001, «mediante la cual se reglamenta la participación de los Grupos Étnicos en el Sistema General de Seguridad Social en Colombia», artículos 1, 14 y 15. El artículo 14 habilita a las autoridades de los pueblos indígenas para crear administradoras que afilien a su población al régimen subsidiado, y el artículo 15 somete a estas entidades a la inspección y vigilancia de la Superintendencia Nacional de Salud.</w:t>
      </w:r>
    </w:p>
  </w:footnote>
  <w:footnote w:id="11">
    <w:p w14:paraId="4CD168F6" w14:textId="77777777" w:rsidR="00BE5A26" w:rsidRPr="001B7B03" w:rsidRDefault="00BE5A26" w:rsidP="00BE5A26">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lang w:val="es-ES"/>
        </w:rPr>
        <w:t xml:space="preserve"> Decreto 1088 de 1993, «por el cual se regula la creación de las asociaciones de Cabildos y/o Autoridades Tradicionales Indígenas», artículo 2. El artículo 3 asigna a estas asociaciones, entre sus objetos, el fomento de proyectos de salud en coordinación con las autoridades competentes.</w:t>
      </w:r>
    </w:p>
  </w:footnote>
  <w:footnote w:id="12">
    <w:p w14:paraId="18B47B16" w14:textId="77777777" w:rsidR="00BE5A26" w:rsidRPr="001B7B03" w:rsidRDefault="00BE5A26" w:rsidP="00BE5A26">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lang w:val="es-ES"/>
        </w:rPr>
        <w:t xml:space="preserve"> CONSEJO DE ESTADO. Sala de Consulta y Servicio Civil. Concepto del 18 de junio de 2025, radicación 11001-03-06-000-2025-00041-00 (2539). C.P. John Jairo Morales </w:t>
      </w:r>
      <w:proofErr w:type="spellStart"/>
      <w:r w:rsidRPr="001B7B03">
        <w:rPr>
          <w:rFonts w:ascii="Verdana" w:hAnsi="Verdana" w:cs="Arial"/>
          <w:sz w:val="16"/>
          <w:szCs w:val="16"/>
          <w:lang w:val="es-ES"/>
        </w:rPr>
        <w:t>Alzate</w:t>
      </w:r>
      <w:proofErr w:type="spellEnd"/>
      <w:r w:rsidRPr="001B7B03">
        <w:rPr>
          <w:rFonts w:ascii="Verdana" w:hAnsi="Verdana" w:cs="Arial"/>
          <w:sz w:val="16"/>
          <w:szCs w:val="16"/>
          <w:lang w:val="es-ES"/>
        </w:rPr>
        <w:t>. Sobre el carácter parafiscal y la destinación específica de los recursos del Sistema General de Seguridad Social en Salud, la jurisprudencia constitucional es uniforme [verificar y citar, p. ej., Corte Constitucional, Sentencias C-824 de 2004 y C-262 de 2013].</w:t>
      </w:r>
    </w:p>
  </w:footnote>
  <w:footnote w:id="13">
    <w:p w14:paraId="489473B4" w14:textId="77777777" w:rsidR="00B66544" w:rsidRPr="001B7B03" w:rsidRDefault="00B66544" w:rsidP="00B66544">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rPr>
        <w:t xml:space="preserve"> </w:t>
      </w:r>
      <w:r w:rsidRPr="001B7B03">
        <w:rPr>
          <w:rFonts w:ascii="Verdana" w:hAnsi="Verdana" w:cs="Arial"/>
          <w:sz w:val="16"/>
          <w:szCs w:val="16"/>
          <w:lang w:val="es-ES"/>
        </w:rPr>
        <w:t>BOBBIO, Norberto. Democracia y secreto. México: Fondo de Cultura Económica, 2013. p. 27.</w:t>
      </w:r>
    </w:p>
  </w:footnote>
  <w:footnote w:id="14">
    <w:p w14:paraId="441B1DB1"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Corte Constitucional. Sentencia C- 341 del 4 de junio de 2014. M. P. Mauricio González Cuervo.</w:t>
      </w:r>
    </w:p>
    <w:p w14:paraId="5F4EEE63" w14:textId="77777777" w:rsidR="00B66544" w:rsidRPr="001B7B03" w:rsidRDefault="00B66544" w:rsidP="00B66544">
      <w:pPr>
        <w:pStyle w:val="Textonotapie"/>
        <w:ind w:firstLine="709"/>
        <w:jc w:val="both"/>
        <w:rPr>
          <w:rFonts w:ascii="Verdana" w:hAnsi="Verdana" w:cs="Arial"/>
          <w:color w:val="000000" w:themeColor="text1"/>
          <w:sz w:val="16"/>
          <w:szCs w:val="16"/>
        </w:rPr>
      </w:pPr>
    </w:p>
  </w:footnote>
  <w:footnote w:id="15">
    <w:p w14:paraId="721C29B3"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D789AC9"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“Lo anterior, sin perjuicio de las publicaciones previstas en el numeral 3 del artículo 30 de la Ley 80 de 1993.</w:t>
      </w:r>
    </w:p>
    <w:p w14:paraId="56D6D414"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w:t>
      </w:r>
      <w:proofErr w:type="spellStart"/>
      <w:r w:rsidRPr="001B7B03">
        <w:rPr>
          <w:rFonts w:ascii="Verdana" w:hAnsi="Verdana" w:cs="Arial"/>
          <w:color w:val="000000" w:themeColor="text1"/>
          <w:sz w:val="16"/>
          <w:szCs w:val="16"/>
        </w:rPr>
        <w:t>Secop</w:t>
      </w:r>
      <w:proofErr w:type="spellEnd"/>
      <w:r w:rsidRPr="001B7B03">
        <w:rPr>
          <w:rFonts w:ascii="Verdana" w:hAnsi="Verdana" w:cs="Arial"/>
          <w:color w:val="000000" w:themeColor="text1"/>
          <w:sz w:val="16"/>
          <w:szCs w:val="16"/>
        </w:rPr>
        <w:t xml:space="preserve">, el cual: </w:t>
      </w:r>
    </w:p>
    <w:p w14:paraId="0A92F2EA"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w:t>
      </w:r>
    </w:p>
    <w:p w14:paraId="427DA0D9"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68907441" w14:textId="77777777" w:rsidR="00B66544" w:rsidRPr="001B7B03" w:rsidRDefault="00B66544" w:rsidP="00B66544">
      <w:pPr>
        <w:pStyle w:val="Textonotapie"/>
        <w:ind w:firstLine="709"/>
        <w:jc w:val="both"/>
        <w:rPr>
          <w:rFonts w:ascii="Verdana" w:hAnsi="Verdana" w:cs="Arial"/>
          <w:color w:val="000000" w:themeColor="text1"/>
          <w:sz w:val="16"/>
          <w:szCs w:val="16"/>
          <w:lang w:val="es-CO"/>
        </w:rPr>
      </w:pPr>
    </w:p>
  </w:footnote>
  <w:footnote w:id="16">
    <w:p w14:paraId="08C8D023"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AE57F1F" w14:textId="77777777" w:rsidR="00B66544" w:rsidRPr="001B7B03" w:rsidRDefault="00B66544" w:rsidP="00B66544">
      <w:pPr>
        <w:pStyle w:val="Textonotapie"/>
        <w:ind w:firstLine="709"/>
        <w:jc w:val="both"/>
        <w:rPr>
          <w:rFonts w:ascii="Verdana" w:hAnsi="Verdana" w:cs="Arial"/>
          <w:color w:val="000000" w:themeColor="text1"/>
          <w:sz w:val="16"/>
          <w:szCs w:val="16"/>
          <w:lang w:val="es-CO"/>
        </w:rPr>
      </w:pPr>
    </w:p>
  </w:footnote>
  <w:footnote w:id="17">
    <w:p w14:paraId="714A88C6"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536DFCD4"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D89363F" w14:textId="77777777" w:rsidR="00B66544" w:rsidRPr="001B7B03" w:rsidRDefault="00B66544" w:rsidP="00B66544">
      <w:pPr>
        <w:pStyle w:val="Textonotapie"/>
        <w:ind w:firstLine="709"/>
        <w:jc w:val="both"/>
        <w:rPr>
          <w:rFonts w:ascii="Verdana" w:hAnsi="Verdana" w:cs="Arial"/>
          <w:color w:val="000000" w:themeColor="text1"/>
          <w:sz w:val="16"/>
          <w:szCs w:val="16"/>
          <w:lang w:val="es-CO"/>
        </w:rPr>
      </w:pPr>
    </w:p>
  </w:footnote>
  <w:footnote w:id="18">
    <w:p w14:paraId="53F2D192"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Fonts w:ascii="Verdana" w:eastAsia="Times New Roman" w:hAnsi="Verdana" w:cs="Arial"/>
          <w:color w:val="000000" w:themeColor="text1"/>
          <w:sz w:val="16"/>
          <w:szCs w:val="16"/>
          <w:vertAlign w:val="superscript"/>
          <w:lang w:val="es-ES" w:eastAsia="es-ES"/>
        </w:rPr>
        <w:footnoteRef/>
      </w:r>
      <w:r w:rsidRPr="001B7B03">
        <w:rPr>
          <w:rFonts w:ascii="Verdana" w:eastAsia="Times New Roman" w:hAnsi="Verdana" w:cs="Arial"/>
          <w:color w:val="000000" w:themeColor="text1"/>
          <w:sz w:val="16"/>
          <w:szCs w:val="16"/>
          <w:vertAlign w:val="superscript"/>
          <w:lang w:val="es-ES" w:eastAsia="es-ES"/>
        </w:rPr>
        <w:t xml:space="preserve"> </w:t>
      </w:r>
      <w:r w:rsidRPr="001B7B03">
        <w:rPr>
          <w:rFonts w:ascii="Verdana" w:eastAsia="Times New Roman" w:hAnsi="Verdana" w:cs="Arial"/>
          <w:color w:val="000000" w:themeColor="text1"/>
          <w:sz w:val="16"/>
          <w:szCs w:val="16"/>
          <w:lang w:val="es-ES" w:eastAsia="es-ES"/>
        </w:rPr>
        <w:t>“</w:t>
      </w:r>
      <w:r w:rsidRPr="001B7B03">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55EC135" w14:textId="77777777" w:rsidR="00B66544" w:rsidRPr="001B7B03" w:rsidRDefault="00B66544" w:rsidP="00B66544">
      <w:pPr>
        <w:pStyle w:val="Textonotapie"/>
        <w:ind w:firstLine="709"/>
        <w:jc w:val="both"/>
        <w:rPr>
          <w:rFonts w:ascii="Verdana" w:eastAsia="Times New Roman" w:hAnsi="Verdana" w:cs="Arial"/>
          <w:color w:val="000000" w:themeColor="text1"/>
          <w:sz w:val="16"/>
          <w:szCs w:val="16"/>
          <w:lang w:val="es-ES" w:eastAsia="es-ES"/>
        </w:rPr>
      </w:pPr>
      <w:r w:rsidRPr="001B7B03">
        <w:rPr>
          <w:rFonts w:ascii="Verdana" w:hAnsi="Verdana" w:cs="Arial"/>
          <w:color w:val="000000" w:themeColor="text1"/>
          <w:sz w:val="16"/>
          <w:szCs w:val="16"/>
        </w:rPr>
        <w:t>[…].</w:t>
      </w:r>
    </w:p>
    <w:p w14:paraId="4DEE4894" w14:textId="214A308A" w:rsidR="00B66544" w:rsidRPr="001B7B03" w:rsidRDefault="00B66544" w:rsidP="00B66544">
      <w:pPr>
        <w:pStyle w:val="Textonotapie"/>
        <w:ind w:firstLine="709"/>
        <w:jc w:val="both"/>
        <w:rPr>
          <w:rFonts w:ascii="Verdana" w:eastAsia="Times New Roman" w:hAnsi="Verdana" w:cs="Arial"/>
          <w:color w:val="000000" w:themeColor="text1"/>
          <w:sz w:val="16"/>
          <w:szCs w:val="16"/>
          <w:lang w:val="es-ES" w:eastAsia="es-ES"/>
        </w:rPr>
      </w:pPr>
      <w:r w:rsidRPr="001B7B03">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19">
    <w:p w14:paraId="49632F88"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C</w:t>
      </w:r>
      <w:r w:rsidRPr="001B7B03">
        <w:rPr>
          <w:rFonts w:ascii="Verdana" w:eastAsia="Times New Roman" w:hAnsi="Verdana" w:cs="Arial"/>
          <w:color w:val="000000" w:themeColor="text1"/>
          <w:sz w:val="16"/>
          <w:szCs w:val="16"/>
          <w:lang w:val="es-ES" w:eastAsia="es-ES"/>
        </w:rPr>
        <w:t xml:space="preserve">orte Constitucional. Sentencia C‒274 de 9 de mayo de 2013. M.P. María Victoria Calle Correa. </w:t>
      </w:r>
    </w:p>
    <w:p w14:paraId="7D233F1B" w14:textId="77777777" w:rsidR="00B66544" w:rsidRPr="001B7B03" w:rsidRDefault="00B66544" w:rsidP="00B66544">
      <w:pPr>
        <w:pStyle w:val="Textonotapie"/>
        <w:ind w:firstLine="709"/>
        <w:jc w:val="both"/>
        <w:rPr>
          <w:rFonts w:ascii="Verdana" w:hAnsi="Verdana" w:cs="Arial"/>
          <w:color w:val="000000" w:themeColor="text1"/>
          <w:sz w:val="16"/>
          <w:szCs w:val="16"/>
          <w:lang w:val="es-CO"/>
        </w:rPr>
      </w:pPr>
    </w:p>
  </w:footnote>
  <w:footnote w:id="20">
    <w:p w14:paraId="4C38F2AF"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3FC2F16D" w14:textId="77777777" w:rsidR="00B66544" w:rsidRPr="001B7B03" w:rsidRDefault="00B66544" w:rsidP="00B66544">
      <w:pPr>
        <w:pStyle w:val="Textonotapie"/>
        <w:ind w:firstLine="709"/>
        <w:jc w:val="both"/>
        <w:rPr>
          <w:rFonts w:ascii="Verdana" w:hAnsi="Verdana" w:cs="Arial"/>
          <w:color w:val="000000" w:themeColor="text1"/>
          <w:sz w:val="16"/>
          <w:szCs w:val="16"/>
          <w:lang w:val="es-CO"/>
        </w:rPr>
      </w:pPr>
    </w:p>
  </w:footnote>
  <w:footnote w:id="21">
    <w:p w14:paraId="34B4B1DF" w14:textId="77777777" w:rsidR="00B66544" w:rsidRPr="001B7B03" w:rsidRDefault="00B66544" w:rsidP="00B66544">
      <w:pPr>
        <w:pStyle w:val="Textonotapie"/>
        <w:ind w:firstLine="709"/>
        <w:jc w:val="both"/>
        <w:rPr>
          <w:rFonts w:ascii="Verdana" w:hAnsi="Verdana" w:cs="Arial"/>
          <w:sz w:val="16"/>
          <w:szCs w:val="16"/>
          <w:lang w:val="es-ES"/>
        </w:rPr>
      </w:pPr>
      <w:r w:rsidRPr="001B7B03">
        <w:rPr>
          <w:rStyle w:val="Refdenotaalpie"/>
          <w:rFonts w:ascii="Verdana" w:hAnsi="Verdana" w:cs="Arial"/>
          <w:sz w:val="16"/>
          <w:szCs w:val="16"/>
        </w:rPr>
        <w:footnoteRef/>
      </w:r>
      <w:r w:rsidRPr="001B7B03">
        <w:rPr>
          <w:rFonts w:ascii="Verdana" w:hAnsi="Verdana" w:cs="Arial"/>
          <w:sz w:val="16"/>
          <w:szCs w:val="16"/>
        </w:rPr>
        <w:t xml:space="preserve"> </w:t>
      </w:r>
      <w:r w:rsidRPr="001B7B03">
        <w:rPr>
          <w:rFonts w:ascii="Verdana" w:hAnsi="Verdana" w:cs="Arial"/>
          <w:color w:val="000000" w:themeColor="text1"/>
          <w:sz w:val="16"/>
          <w:szCs w:val="16"/>
          <w:lang w:val="es-ES"/>
        </w:rPr>
        <w:t>Consejero Ponente: Jaime Orlando Santofimio Gamboa.</w:t>
      </w:r>
    </w:p>
  </w:footnote>
  <w:footnote w:id="22">
    <w:p w14:paraId="31A2DE3B" w14:textId="77777777" w:rsidR="00B66544" w:rsidRPr="001B7B03" w:rsidRDefault="00B66544" w:rsidP="00B66544">
      <w:pPr>
        <w:pStyle w:val="Textonotapie"/>
        <w:ind w:firstLine="709"/>
        <w:jc w:val="both"/>
        <w:rPr>
          <w:rFonts w:ascii="Verdana" w:hAnsi="Verdana" w:cs="Arial"/>
          <w:color w:val="000000" w:themeColor="text1"/>
          <w:sz w:val="16"/>
          <w:szCs w:val="16"/>
        </w:rPr>
      </w:pPr>
      <w:r w:rsidRPr="001B7B03">
        <w:rPr>
          <w:rStyle w:val="Refdenotaalpie"/>
          <w:rFonts w:ascii="Verdana" w:hAnsi="Verdana" w:cs="Arial"/>
          <w:color w:val="000000" w:themeColor="text1"/>
          <w:sz w:val="16"/>
          <w:szCs w:val="16"/>
        </w:rPr>
        <w:footnoteRef/>
      </w:r>
      <w:r w:rsidRPr="001B7B03">
        <w:rPr>
          <w:rFonts w:ascii="Verdana" w:hAnsi="Verdana" w:cs="Arial"/>
          <w:color w:val="000000" w:themeColor="text1"/>
          <w:sz w:val="16"/>
          <w:szCs w:val="16"/>
        </w:rPr>
        <w:t xml:space="preserve"> Consejo de Estado. Sección Tercera. Subsección C. Auto del 14 de agosto de 2017. </w:t>
      </w:r>
      <w:r w:rsidRPr="001B7B03">
        <w:rPr>
          <w:rFonts w:ascii="Verdana" w:hAnsi="Verdana" w:cs="Arial"/>
          <w:color w:val="000000" w:themeColor="text1"/>
          <w:sz w:val="16"/>
          <w:szCs w:val="16"/>
        </w:rPr>
        <w:t xml:space="preserve">Exp. 58.820. C.P. Jaime Orlando Santofimio Gamboa. </w:t>
      </w:r>
    </w:p>
    <w:p w14:paraId="50343D32" w14:textId="77777777" w:rsidR="00B66544" w:rsidRPr="001B7B03" w:rsidRDefault="00B66544" w:rsidP="00B66544">
      <w:pPr>
        <w:pStyle w:val="Textonotapie"/>
        <w:ind w:firstLine="709"/>
        <w:jc w:val="both"/>
        <w:rPr>
          <w:rFonts w:ascii="Verdana" w:hAnsi="Verdana" w:cs="Arial"/>
          <w:color w:val="000000" w:themeColor="text1"/>
          <w:sz w:val="16"/>
          <w:szCs w:val="16"/>
          <w:lang w:val="es-CO"/>
        </w:rPr>
      </w:pPr>
    </w:p>
  </w:footnote>
  <w:footnote w:id="23">
    <w:p w14:paraId="7F1C971A" w14:textId="77777777" w:rsidR="00B66544" w:rsidRPr="001B7B03" w:rsidRDefault="00B66544" w:rsidP="00B66544">
      <w:pPr>
        <w:pStyle w:val="Textonotapie"/>
        <w:ind w:firstLine="709"/>
        <w:jc w:val="both"/>
        <w:rPr>
          <w:rFonts w:ascii="Verdana" w:hAnsi="Verdana" w:cs="Arial"/>
          <w:sz w:val="16"/>
          <w:szCs w:val="16"/>
        </w:rPr>
      </w:pPr>
      <w:r w:rsidRPr="001B7B03">
        <w:rPr>
          <w:rStyle w:val="Refdenotaalpie"/>
          <w:rFonts w:ascii="Verdana" w:hAnsi="Verdana" w:cs="Arial"/>
          <w:sz w:val="16"/>
          <w:szCs w:val="16"/>
        </w:rPr>
        <w:footnoteRef/>
      </w:r>
      <w:r w:rsidRPr="001B7B03">
        <w:rPr>
          <w:rFonts w:ascii="Verdana" w:hAnsi="Verdana" w:cs="Arial"/>
          <w:sz w:val="16"/>
          <w:szCs w:val="16"/>
        </w:rPr>
        <w:t xml:space="preserve"> Ibíd. </w:t>
      </w:r>
    </w:p>
  </w:footnote>
  <w:footnote w:id="24">
    <w:p w14:paraId="06DDCEE3" w14:textId="77777777" w:rsidR="00B66544" w:rsidRPr="001B7B03" w:rsidRDefault="00B66544" w:rsidP="00B66544">
      <w:pPr>
        <w:pStyle w:val="Textonotapie"/>
        <w:ind w:firstLine="708"/>
        <w:jc w:val="both"/>
        <w:rPr>
          <w:rFonts w:ascii="Verdana" w:hAnsi="Verdana" w:cs="Arial"/>
          <w:sz w:val="16"/>
          <w:szCs w:val="16"/>
          <w:lang w:val="es-CO"/>
        </w:rPr>
      </w:pPr>
      <w:r w:rsidRPr="001B7B03">
        <w:rPr>
          <w:rStyle w:val="Refdenotaalpie"/>
          <w:rFonts w:ascii="Verdana" w:hAnsi="Verdana"/>
          <w:sz w:val="16"/>
          <w:szCs w:val="16"/>
        </w:rPr>
        <w:footnoteRef/>
      </w:r>
      <w:r w:rsidRPr="001B7B03">
        <w:rPr>
          <w:rFonts w:ascii="Verdana" w:hAnsi="Verdana"/>
          <w:sz w:val="16"/>
          <w:szCs w:val="16"/>
        </w:rPr>
        <w:t xml:space="preserve"> </w:t>
      </w:r>
      <w:r w:rsidRPr="001B7B03">
        <w:rPr>
          <w:rFonts w:ascii="Verdana" w:hAnsi="Verdana" w:cs="Arial"/>
          <w:sz w:val="16"/>
          <w:szCs w:val="16"/>
        </w:rPr>
        <w:t xml:space="preserve">En relación con este aspecto, también resulta relevante la Circular Externa 002 del 17 de marzo de 2022, de la Agencia Nacional de Contratación Pública – Colombia Compra Eficiente, disponible en: </w:t>
      </w:r>
      <w:hyperlink r:id="rId1" w:history="1">
        <w:r w:rsidRPr="001B7B03">
          <w:rPr>
            <w:rStyle w:val="Hipervnculo"/>
            <w:rFonts w:ascii="Verdana" w:hAnsi="Verdana" w:cs="Arial"/>
            <w:sz w:val="16"/>
            <w:szCs w:val="16"/>
          </w:rPr>
          <w:t>https://www.colombiacompra.gov.co/circulares</w:t>
        </w:r>
      </w:hyperlink>
      <w:r w:rsidRPr="001B7B03">
        <w:rPr>
          <w:rFonts w:ascii="Verdana"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56381677">
    <w:abstractNumId w:val="0"/>
  </w:num>
  <w:num w:numId="17" w16cid:durableId="725688978">
    <w:abstractNumId w:val="9"/>
  </w:num>
  <w:num w:numId="18" w16cid:durableId="11655582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84A"/>
    <w:rsid w:val="000B19B9"/>
    <w:rsid w:val="000D0334"/>
    <w:rsid w:val="000D5DA7"/>
    <w:rsid w:val="000F6486"/>
    <w:rsid w:val="00116940"/>
    <w:rsid w:val="00122509"/>
    <w:rsid w:val="00124CB9"/>
    <w:rsid w:val="00125105"/>
    <w:rsid w:val="00127233"/>
    <w:rsid w:val="0015699B"/>
    <w:rsid w:val="001A33BF"/>
    <w:rsid w:val="001B7B03"/>
    <w:rsid w:val="001C4F4C"/>
    <w:rsid w:val="001E4177"/>
    <w:rsid w:val="001F0B24"/>
    <w:rsid w:val="001F7DC6"/>
    <w:rsid w:val="00200D97"/>
    <w:rsid w:val="0022400B"/>
    <w:rsid w:val="002421BB"/>
    <w:rsid w:val="00244093"/>
    <w:rsid w:val="0025796E"/>
    <w:rsid w:val="002707A2"/>
    <w:rsid w:val="002951A0"/>
    <w:rsid w:val="002962BC"/>
    <w:rsid w:val="002A093D"/>
    <w:rsid w:val="002A0DD0"/>
    <w:rsid w:val="002A49AC"/>
    <w:rsid w:val="002A64FD"/>
    <w:rsid w:val="002C7A84"/>
    <w:rsid w:val="002E2BF8"/>
    <w:rsid w:val="002E4FD9"/>
    <w:rsid w:val="0030657A"/>
    <w:rsid w:val="00322A85"/>
    <w:rsid w:val="0032399E"/>
    <w:rsid w:val="00324168"/>
    <w:rsid w:val="00330834"/>
    <w:rsid w:val="003448F4"/>
    <w:rsid w:val="00374F5E"/>
    <w:rsid w:val="00377274"/>
    <w:rsid w:val="00377E3E"/>
    <w:rsid w:val="003A779E"/>
    <w:rsid w:val="003D0F4D"/>
    <w:rsid w:val="003D5B0D"/>
    <w:rsid w:val="003E0499"/>
    <w:rsid w:val="003E4F80"/>
    <w:rsid w:val="003E6439"/>
    <w:rsid w:val="003F3941"/>
    <w:rsid w:val="003F62F9"/>
    <w:rsid w:val="00406575"/>
    <w:rsid w:val="00414C74"/>
    <w:rsid w:val="0042722E"/>
    <w:rsid w:val="00436A45"/>
    <w:rsid w:val="0044528D"/>
    <w:rsid w:val="00466E39"/>
    <w:rsid w:val="004A1847"/>
    <w:rsid w:val="004A2003"/>
    <w:rsid w:val="004A305D"/>
    <w:rsid w:val="004D10EE"/>
    <w:rsid w:val="004F21C4"/>
    <w:rsid w:val="004F685F"/>
    <w:rsid w:val="00551FC4"/>
    <w:rsid w:val="005566E8"/>
    <w:rsid w:val="00574867"/>
    <w:rsid w:val="00577184"/>
    <w:rsid w:val="00591460"/>
    <w:rsid w:val="005A65E0"/>
    <w:rsid w:val="005C3777"/>
    <w:rsid w:val="005C5CDC"/>
    <w:rsid w:val="005D476C"/>
    <w:rsid w:val="006200BF"/>
    <w:rsid w:val="006219F8"/>
    <w:rsid w:val="006302F7"/>
    <w:rsid w:val="00646B9F"/>
    <w:rsid w:val="00665D70"/>
    <w:rsid w:val="006900D9"/>
    <w:rsid w:val="006907F7"/>
    <w:rsid w:val="00692A86"/>
    <w:rsid w:val="006D14E3"/>
    <w:rsid w:val="00706C16"/>
    <w:rsid w:val="00727B69"/>
    <w:rsid w:val="007340C3"/>
    <w:rsid w:val="0075235A"/>
    <w:rsid w:val="00756841"/>
    <w:rsid w:val="007649AB"/>
    <w:rsid w:val="00771D0C"/>
    <w:rsid w:val="00782EF6"/>
    <w:rsid w:val="007833AC"/>
    <w:rsid w:val="007B268C"/>
    <w:rsid w:val="007B7171"/>
    <w:rsid w:val="007C0C0F"/>
    <w:rsid w:val="007C3DC2"/>
    <w:rsid w:val="007D1C50"/>
    <w:rsid w:val="007E5497"/>
    <w:rsid w:val="00806F5F"/>
    <w:rsid w:val="00820278"/>
    <w:rsid w:val="008258C9"/>
    <w:rsid w:val="00844AE9"/>
    <w:rsid w:val="00846CCE"/>
    <w:rsid w:val="00854712"/>
    <w:rsid w:val="0086713B"/>
    <w:rsid w:val="008673AF"/>
    <w:rsid w:val="00867F95"/>
    <w:rsid w:val="008843B6"/>
    <w:rsid w:val="00891928"/>
    <w:rsid w:val="008A446D"/>
    <w:rsid w:val="008A5340"/>
    <w:rsid w:val="008A5A56"/>
    <w:rsid w:val="008B25F1"/>
    <w:rsid w:val="008C0A08"/>
    <w:rsid w:val="008D180B"/>
    <w:rsid w:val="008F0EA7"/>
    <w:rsid w:val="00923EEF"/>
    <w:rsid w:val="009263D7"/>
    <w:rsid w:val="009419F9"/>
    <w:rsid w:val="00947343"/>
    <w:rsid w:val="009535FB"/>
    <w:rsid w:val="0095685E"/>
    <w:rsid w:val="00961B09"/>
    <w:rsid w:val="00965334"/>
    <w:rsid w:val="0097093E"/>
    <w:rsid w:val="009740B2"/>
    <w:rsid w:val="00977DED"/>
    <w:rsid w:val="009A0DFA"/>
    <w:rsid w:val="009A1C6F"/>
    <w:rsid w:val="009B2D26"/>
    <w:rsid w:val="009B63F8"/>
    <w:rsid w:val="009C71FA"/>
    <w:rsid w:val="009C72E7"/>
    <w:rsid w:val="009C7F7E"/>
    <w:rsid w:val="009D3058"/>
    <w:rsid w:val="009F3A13"/>
    <w:rsid w:val="00A122D3"/>
    <w:rsid w:val="00A14468"/>
    <w:rsid w:val="00A17F13"/>
    <w:rsid w:val="00A20739"/>
    <w:rsid w:val="00A23AF9"/>
    <w:rsid w:val="00A33C78"/>
    <w:rsid w:val="00AB028D"/>
    <w:rsid w:val="00AB0ADB"/>
    <w:rsid w:val="00AD1BA1"/>
    <w:rsid w:val="00B00C0E"/>
    <w:rsid w:val="00B01B1A"/>
    <w:rsid w:val="00B0381D"/>
    <w:rsid w:val="00B2499F"/>
    <w:rsid w:val="00B323EA"/>
    <w:rsid w:val="00B44A47"/>
    <w:rsid w:val="00B66544"/>
    <w:rsid w:val="00B72CD3"/>
    <w:rsid w:val="00B72FFF"/>
    <w:rsid w:val="00BC3D36"/>
    <w:rsid w:val="00BD54A6"/>
    <w:rsid w:val="00BD7F72"/>
    <w:rsid w:val="00BE5A26"/>
    <w:rsid w:val="00BF7425"/>
    <w:rsid w:val="00C04FB3"/>
    <w:rsid w:val="00C11D8B"/>
    <w:rsid w:val="00C15139"/>
    <w:rsid w:val="00C330EB"/>
    <w:rsid w:val="00C50D69"/>
    <w:rsid w:val="00C5365C"/>
    <w:rsid w:val="00C5487B"/>
    <w:rsid w:val="00C754BE"/>
    <w:rsid w:val="00C76B1C"/>
    <w:rsid w:val="00C925AC"/>
    <w:rsid w:val="00CA5343"/>
    <w:rsid w:val="00CB6357"/>
    <w:rsid w:val="00CC1B26"/>
    <w:rsid w:val="00D361FD"/>
    <w:rsid w:val="00D423A2"/>
    <w:rsid w:val="00D44E26"/>
    <w:rsid w:val="00D46028"/>
    <w:rsid w:val="00D520D8"/>
    <w:rsid w:val="00D63AC2"/>
    <w:rsid w:val="00D7383B"/>
    <w:rsid w:val="00D7788A"/>
    <w:rsid w:val="00DA231B"/>
    <w:rsid w:val="00DC39FC"/>
    <w:rsid w:val="00DF5254"/>
    <w:rsid w:val="00E02524"/>
    <w:rsid w:val="00E072AF"/>
    <w:rsid w:val="00E16408"/>
    <w:rsid w:val="00E20894"/>
    <w:rsid w:val="00E245AB"/>
    <w:rsid w:val="00E2764C"/>
    <w:rsid w:val="00E27F2E"/>
    <w:rsid w:val="00E337FC"/>
    <w:rsid w:val="00E50AFE"/>
    <w:rsid w:val="00E75C92"/>
    <w:rsid w:val="00E771DC"/>
    <w:rsid w:val="00E8772A"/>
    <w:rsid w:val="00E90F6B"/>
    <w:rsid w:val="00E92C27"/>
    <w:rsid w:val="00E9782D"/>
    <w:rsid w:val="00EA0E3D"/>
    <w:rsid w:val="00EA324E"/>
    <w:rsid w:val="00EA778B"/>
    <w:rsid w:val="00EC38A7"/>
    <w:rsid w:val="00EC72CC"/>
    <w:rsid w:val="00EE1AA8"/>
    <w:rsid w:val="00EE589D"/>
    <w:rsid w:val="00EF5943"/>
    <w:rsid w:val="00F23FEA"/>
    <w:rsid w:val="00F317F5"/>
    <w:rsid w:val="00F31EDC"/>
    <w:rsid w:val="00F462B3"/>
    <w:rsid w:val="00F5664F"/>
    <w:rsid w:val="00F666C4"/>
    <w:rsid w:val="00F76AFC"/>
    <w:rsid w:val="00FA47C0"/>
    <w:rsid w:val="00FB5DD1"/>
    <w:rsid w:val="00FB5F9D"/>
    <w:rsid w:val="00FC2B5D"/>
    <w:rsid w:val="00FE3FB8"/>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66544"/>
    <w:rPr>
      <w:rFonts w:ascii="Geomanist Light" w:hAnsi="Geomanist Light"/>
      <w:lang w:val="es-ES"/>
    </w:rPr>
  </w:style>
  <w:style w:type="paragraph" w:customStyle="1" w:styleId="Appelnotedebasde">
    <w:name w:val="Appel note de bas de..."/>
    <w:basedOn w:val="Normal"/>
    <w:link w:val="Refdenotaalpie"/>
    <w:uiPriority w:val="99"/>
    <w:rsid w:val="00B66544"/>
    <w:pPr>
      <w:spacing w:line="240" w:lineRule="exact"/>
    </w:pPr>
    <w:rPr>
      <w:vertAlign w:val="superscript"/>
    </w:rPr>
  </w:style>
  <w:style w:type="character" w:styleId="Fuerte">
    <w:name w:val="Strong"/>
    <w:basedOn w:val="Fuentedeprrafopredeter"/>
    <w:uiPriority w:val="22"/>
    <w:qFormat/>
    <w:rsid w:val="00B66544"/>
    <w:rPr>
      <w:b/>
      <w:bCs/>
    </w:rPr>
  </w:style>
  <w:style w:type="character" w:customStyle="1" w:styleId="NormalWebCar">
    <w:name w:val="Normal (Web) Car"/>
    <w:link w:val="NormalWeb"/>
    <w:uiPriority w:val="99"/>
    <w:locked/>
    <w:rsid w:val="00B66544"/>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B665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esjudiciales@aicsalud.org.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3D1FB5-45B9-49C0-A02D-AE29B94C9DD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23</Pages>
  <Words>7254</Words>
  <Characters>39900</Characters>
  <Application>Microsoft Office Word</Application>
  <DocSecurity>0</DocSecurity>
  <Lines>332</Lines>
  <Paragraphs>94</Paragraphs>
  <ScaleCrop>false</ScaleCrop>
  <Company/>
  <LinksUpToDate>false</LinksUpToDate>
  <CharactersWithSpaces>47060</CharactersWithSpaces>
  <SharedDoc>false</SharedDoc>
  <HLinks>
    <vt:vector size="42" baseType="variant">
      <vt:variant>
        <vt:i4>3932267</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vt:lpwstr>
      </vt:variant>
      <vt:variant>
        <vt:lpwstr/>
      </vt:variant>
      <vt:variant>
        <vt:i4>7012459</vt:i4>
      </vt:variant>
      <vt:variant>
        <vt:i4>12</vt:i4>
      </vt:variant>
      <vt:variant>
        <vt:i4>0</vt:i4>
      </vt:variant>
      <vt:variant>
        <vt:i4>5</vt:i4>
      </vt:variant>
      <vt:variant>
        <vt:lpwstr>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vt:lpwstr>
      </vt:variant>
      <vt:variant>
        <vt:lpwstr/>
      </vt:variant>
      <vt:variant>
        <vt:i4>6946923</vt:i4>
      </vt:variant>
      <vt:variant>
        <vt:i4>9</vt:i4>
      </vt:variant>
      <vt:variant>
        <vt:i4>0</vt:i4>
      </vt:variant>
      <vt:variant>
        <vt:i4>5</vt:i4>
      </vt:variant>
      <vt:variant>
        <vt:lpwstr>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vt:lpwstr>
      </vt:variant>
      <vt:variant>
        <vt:lpwstr/>
      </vt:variant>
      <vt:variant>
        <vt:i4>3211309</vt:i4>
      </vt:variant>
      <vt:variant>
        <vt:i4>6</vt:i4>
      </vt:variant>
      <vt:variant>
        <vt:i4>0</vt:i4>
      </vt:variant>
      <vt:variant>
        <vt:i4>5</vt:i4>
      </vt:variant>
      <vt:variant>
        <vt:lpwstr>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4456510</vt:i4>
      </vt:variant>
      <vt:variant>
        <vt:i4>0</vt:i4>
      </vt:variant>
      <vt:variant>
        <vt:i4>0</vt:i4>
      </vt:variant>
      <vt:variant>
        <vt:i4>5</vt:i4>
      </vt:variant>
      <vt:variant>
        <vt:lpwstr>mailto:notificacionesjudiciales@aicsalud.org.co</vt:lpwstr>
      </vt:variant>
      <vt:variant>
        <vt:lpwstr/>
      </vt:variant>
      <vt:variant>
        <vt:i4>983127</vt:i4>
      </vt:variant>
      <vt:variant>
        <vt:i4>0</vt:i4>
      </vt:variant>
      <vt:variant>
        <vt:i4>0</vt:i4>
      </vt:variant>
      <vt:variant>
        <vt:i4>5</vt:i4>
      </vt:variant>
      <vt:variant>
        <vt:lpwstr>https://www.colombiacompra.gov.co/circulares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25</cp:revision>
  <cp:lastPrinted>2023-01-10T21:18:00Z</cp:lastPrinted>
  <dcterms:created xsi:type="dcterms:W3CDTF">2026-10-13T14:39:00Z</dcterms:created>
  <dcterms:modified xsi:type="dcterms:W3CDTF">2026-10-14T01:22:00Z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