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FE2991" w14:textId="53F7F6AC" w:rsidR="009850DE" w:rsidRPr="009850DE" w:rsidRDefault="009850DE" w:rsidP="009850DE">
      <w:pPr>
        <w:spacing w:after="0"/>
        <w:jc w:val="both"/>
        <w:rPr>
          <w:rFonts w:ascii="Verdana" w:eastAsia="Verdana" w:hAnsi="Verdana" w:cs="Verdana"/>
        </w:rPr>
      </w:pPr>
      <w:bookmarkStart w:id="0" w:name="_Hlk143780582"/>
      <w:r w:rsidRPr="009850DE">
        <w:rPr>
          <w:rFonts w:ascii="Verdana" w:eastAsia="Calibri" w:hAnsi="Verdana" w:cs="Arial"/>
          <w:b/>
          <w:bCs/>
          <w:lang w:val="es-ES" w:eastAsia="es-ES"/>
        </w:rPr>
        <w:t>CAPACIDAD RESIDUAL – Definición – Factores – Contratos de obra</w:t>
      </w:r>
    </w:p>
    <w:p w14:paraId="7F8D7158" w14:textId="77777777" w:rsidR="009850DE" w:rsidRPr="009850DE" w:rsidRDefault="009850DE" w:rsidP="009850DE">
      <w:pPr>
        <w:shd w:val="clear" w:color="auto" w:fill="FFFFFF"/>
        <w:spacing w:after="0" w:line="276" w:lineRule="auto"/>
        <w:jc w:val="both"/>
        <w:rPr>
          <w:rFonts w:ascii="Verdana" w:eastAsia="Calibri" w:hAnsi="Verdana" w:cs="Arial"/>
          <w:b/>
          <w:bCs/>
          <w:lang w:val="es-ES" w:eastAsia="es-ES"/>
        </w:rPr>
      </w:pPr>
    </w:p>
    <w:p w14:paraId="773D0CF5" w14:textId="77777777" w:rsidR="00BE0BDA" w:rsidRDefault="00BE0BDA" w:rsidP="00BE0BDA">
      <w:pPr>
        <w:spacing w:after="0" w:line="240" w:lineRule="auto"/>
        <w:jc w:val="both"/>
        <w:rPr>
          <w:rFonts w:ascii="Verdana" w:eastAsia="Calibri" w:hAnsi="Verdana" w:cs="Arial"/>
          <w:color w:val="000000"/>
          <w:sz w:val="20"/>
          <w:szCs w:val="20"/>
          <w:lang w:val="es-MX" w:eastAsia="en-GB"/>
        </w:rPr>
      </w:pPr>
      <w:r w:rsidRPr="00BE0BDA">
        <w:rPr>
          <w:rFonts w:ascii="Verdana" w:eastAsia="Calibri" w:hAnsi="Verdana" w:cs="Arial"/>
          <w:color w:val="000000"/>
          <w:sz w:val="20"/>
          <w:szCs w:val="20"/>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 . Por su parte, el Consejo de Estado ha definido la Capacidad Residual como “la diferencia que existe entre el potencial de contratación que se tiene y los compromisos que haya adquirido y que se encuentren en ejecución, para la fecha de presentación de la oferta” .</w:t>
      </w:r>
    </w:p>
    <w:p w14:paraId="7CEB262B" w14:textId="77777777" w:rsidR="001D2B62" w:rsidRPr="00BE0BDA" w:rsidRDefault="001D2B62" w:rsidP="00BE0BDA">
      <w:pPr>
        <w:spacing w:after="0" w:line="240" w:lineRule="auto"/>
        <w:jc w:val="both"/>
        <w:rPr>
          <w:rFonts w:ascii="Verdana" w:eastAsia="Calibri" w:hAnsi="Verdana" w:cs="Arial"/>
          <w:color w:val="000000"/>
          <w:sz w:val="20"/>
          <w:szCs w:val="20"/>
          <w:lang w:val="es-MX" w:eastAsia="en-GB"/>
        </w:rPr>
      </w:pPr>
    </w:p>
    <w:p w14:paraId="4B307506" w14:textId="4D4C3E6D" w:rsidR="009850DE" w:rsidRPr="009850DE" w:rsidRDefault="00BE0BDA" w:rsidP="009850DE">
      <w:pPr>
        <w:spacing w:after="0" w:line="240" w:lineRule="auto"/>
        <w:jc w:val="both"/>
        <w:rPr>
          <w:rFonts w:ascii="Verdana" w:eastAsia="Calibri" w:hAnsi="Verdana" w:cs="Arial"/>
          <w:color w:val="000000"/>
          <w:sz w:val="20"/>
          <w:szCs w:val="20"/>
          <w:lang w:val="es-MX" w:eastAsia="en-GB"/>
        </w:rPr>
      </w:pPr>
      <w:r w:rsidRPr="00BE0BDA">
        <w:rPr>
          <w:rFonts w:ascii="Verdana" w:eastAsia="Calibri" w:hAnsi="Verdana" w:cs="Arial"/>
          <w:color w:val="000000"/>
          <w:sz w:val="20"/>
          <w:szCs w:val="20"/>
          <w:lang w:val="es-MX" w:eastAsia="en-GB"/>
        </w:rPr>
        <w:t>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w:t>
      </w:r>
      <w:r w:rsidR="001D2B62">
        <w:rPr>
          <w:rFonts w:ascii="Verdana" w:eastAsia="Calibri" w:hAnsi="Verdana" w:cs="Arial"/>
          <w:color w:val="000000"/>
          <w:sz w:val="20"/>
          <w:szCs w:val="20"/>
          <w:lang w:val="es-MX" w:eastAsia="en-GB"/>
        </w:rPr>
        <w:t xml:space="preserve"> </w:t>
      </w:r>
      <w:r w:rsidR="009850DE" w:rsidRPr="009850DE">
        <w:rPr>
          <w:rFonts w:ascii="Verdana" w:eastAsia="Calibri" w:hAnsi="Verdana" w:cs="Arial"/>
          <w:color w:val="000000"/>
          <w:sz w:val="20"/>
          <w:szCs w:val="20"/>
          <w:lang w:val="es-MX" w:eastAsia="en-GB"/>
        </w:rPr>
        <w:t>[…]</w:t>
      </w:r>
    </w:p>
    <w:p w14:paraId="1D063602" w14:textId="77777777" w:rsidR="009850DE" w:rsidRPr="009850DE" w:rsidRDefault="009850DE" w:rsidP="009850DE">
      <w:pPr>
        <w:shd w:val="clear" w:color="auto" w:fill="FFFFFF"/>
        <w:spacing w:after="0" w:line="276" w:lineRule="auto"/>
        <w:jc w:val="both"/>
        <w:rPr>
          <w:rFonts w:ascii="Verdana" w:eastAsia="Calibri" w:hAnsi="Verdana" w:cs="Arial"/>
          <w:b/>
          <w:bCs/>
          <w:lang w:val="es-ES" w:eastAsia="es-ES"/>
        </w:rPr>
      </w:pPr>
    </w:p>
    <w:p w14:paraId="1252A181" w14:textId="77777777" w:rsidR="009850DE" w:rsidRPr="009850DE" w:rsidRDefault="009850DE" w:rsidP="009850DE">
      <w:pPr>
        <w:autoSpaceDE w:val="0"/>
        <w:autoSpaceDN w:val="0"/>
        <w:adjustRightInd w:val="0"/>
        <w:spacing w:after="0" w:line="276" w:lineRule="auto"/>
        <w:jc w:val="both"/>
        <w:rPr>
          <w:rFonts w:ascii="Verdana" w:eastAsia="Calibri" w:hAnsi="Verdana" w:cs="Arial"/>
          <w:b/>
          <w:bCs/>
          <w:kern w:val="2"/>
          <w:lang w:eastAsia="es-MX"/>
          <w14:ligatures w14:val="standardContextual"/>
        </w:rPr>
      </w:pPr>
      <w:r w:rsidRPr="009850DE">
        <w:rPr>
          <w:rFonts w:ascii="Verdana" w:eastAsia="Calibri" w:hAnsi="Verdana" w:cs="Arial"/>
          <w:b/>
          <w:bCs/>
          <w:kern w:val="2"/>
          <w:lang w:eastAsia="es-MX"/>
          <w14:ligatures w14:val="standardContextual"/>
        </w:rPr>
        <w:t>CAPACIDAD RESIDUAL – Saldos de Contratos en Ejecución – SCE – Documentos Tipo – Cálculo</w:t>
      </w:r>
    </w:p>
    <w:p w14:paraId="070A7CE0" w14:textId="77777777" w:rsidR="009850DE" w:rsidRPr="009850DE" w:rsidRDefault="009850DE" w:rsidP="009850DE">
      <w:pPr>
        <w:spacing w:after="0" w:line="276" w:lineRule="auto"/>
        <w:jc w:val="both"/>
        <w:rPr>
          <w:rFonts w:ascii="Verdana" w:eastAsia="Calibri" w:hAnsi="Verdana" w:cs="Arial"/>
          <w:color w:val="000000"/>
          <w:lang w:val="es-ES"/>
        </w:rPr>
      </w:pPr>
    </w:p>
    <w:p w14:paraId="7D371496" w14:textId="77777777" w:rsidR="001D2B62" w:rsidRDefault="001D2B62" w:rsidP="001D2B62">
      <w:pPr>
        <w:spacing w:after="0" w:line="240" w:lineRule="auto"/>
        <w:jc w:val="both"/>
        <w:rPr>
          <w:rFonts w:ascii="Verdana" w:eastAsia="Calibri" w:hAnsi="Verdana" w:cs="Arial"/>
          <w:sz w:val="20"/>
          <w:szCs w:val="20"/>
          <w:lang w:eastAsia="en-GB"/>
        </w:rPr>
      </w:pPr>
      <w:r w:rsidRPr="001D2B62">
        <w:rPr>
          <w:rFonts w:ascii="Verdana" w:eastAsia="Calibri" w:hAnsi="Verdana" w:cs="Arial"/>
          <w:sz w:val="20"/>
          <w:szCs w:val="20"/>
          <w:lang w:eastAsia="en-GB"/>
        </w:rPr>
        <w:t xml:space="preserve">De este modo, para acreditar el factor </w:t>
      </w:r>
      <w:r w:rsidRPr="001D2B62">
        <w:rPr>
          <w:rFonts w:ascii="Verdana" w:eastAsia="Calibri" w:hAnsi="Verdana" w:cs="Arial"/>
          <w:bCs/>
          <w:color w:val="000000"/>
          <w:sz w:val="20"/>
          <w:szCs w:val="20"/>
          <w:lang w:val="es-MX" w:eastAsia="en-GB"/>
        </w:rPr>
        <w:t xml:space="preserve">saldos de los contratos en ejecución </w:t>
      </w:r>
      <w:r w:rsidRPr="001D2B62">
        <w:rPr>
          <w:rFonts w:ascii="Verdana" w:eastAsia="Calibri" w:hAnsi="Verdana" w:cs="Arial"/>
          <w:bCs/>
          <w:color w:val="000000"/>
          <w:sz w:val="20"/>
          <w:szCs w:val="20"/>
          <w:lang w:eastAsia="en-GB"/>
        </w:rPr>
        <w:t>“SCE”,</w:t>
      </w:r>
      <w:r w:rsidRPr="001D2B62">
        <w:rPr>
          <w:rFonts w:ascii="Verdana" w:eastAsia="Calibri" w:hAnsi="Verdana" w:cs="Arial"/>
          <w:sz w:val="20"/>
          <w:szCs w:val="20"/>
          <w:lang w:eastAsia="en-GB"/>
        </w:rPr>
        <w:t xml:space="preserve"> como lo establece la Guía, el proponente debe presentar la lista de contratos de obras civiles en ejecución, tanto a nivel nacional como internacional, señalando: i) el valor del contrato; </w:t>
      </w:r>
      <w:proofErr w:type="spellStart"/>
      <w:r w:rsidRPr="001D2B62">
        <w:rPr>
          <w:rFonts w:ascii="Verdana" w:eastAsia="Calibri" w:hAnsi="Verdana" w:cs="Arial"/>
          <w:sz w:val="20"/>
          <w:szCs w:val="20"/>
          <w:lang w:eastAsia="en-GB"/>
        </w:rPr>
        <w:t>ii</w:t>
      </w:r>
      <w:proofErr w:type="spellEnd"/>
      <w:r w:rsidRPr="001D2B62">
        <w:rPr>
          <w:rFonts w:ascii="Verdana" w:eastAsia="Calibri" w:hAnsi="Verdana" w:cs="Arial"/>
          <w:sz w:val="20"/>
          <w:szCs w:val="20"/>
          <w:lang w:eastAsia="en-GB"/>
        </w:rPr>
        <w:t xml:space="preserve">) el plazo de ejecución del contrato en meses; </w:t>
      </w:r>
      <w:proofErr w:type="spellStart"/>
      <w:r w:rsidRPr="001D2B62">
        <w:rPr>
          <w:rFonts w:ascii="Verdana" w:eastAsia="Calibri" w:hAnsi="Verdana" w:cs="Arial"/>
          <w:sz w:val="20"/>
          <w:szCs w:val="20"/>
          <w:lang w:eastAsia="en-GB"/>
        </w:rPr>
        <w:t>iii</w:t>
      </w:r>
      <w:proofErr w:type="spellEnd"/>
      <w:r w:rsidRPr="001D2B62">
        <w:rPr>
          <w:rFonts w:ascii="Verdana" w:eastAsia="Calibri" w:hAnsi="Verdana" w:cs="Arial"/>
          <w:sz w:val="20"/>
          <w:szCs w:val="20"/>
          <w:lang w:eastAsia="en-GB"/>
        </w:rPr>
        <w:t xml:space="preserve">) la fecha de inicio de las obras objeto del contrato (día, mes, año); </w:t>
      </w:r>
      <w:proofErr w:type="spellStart"/>
      <w:r w:rsidRPr="001D2B62">
        <w:rPr>
          <w:rFonts w:ascii="Verdana" w:eastAsia="Calibri" w:hAnsi="Verdana" w:cs="Arial"/>
          <w:sz w:val="20"/>
          <w:szCs w:val="20"/>
          <w:lang w:eastAsia="en-GB"/>
        </w:rPr>
        <w:t>iv</w:t>
      </w:r>
      <w:proofErr w:type="spellEnd"/>
      <w:r w:rsidRPr="001D2B62">
        <w:rPr>
          <w:rFonts w:ascii="Verdana" w:eastAsia="Calibri" w:hAnsi="Verdana" w:cs="Arial"/>
          <w:sz w:val="20"/>
          <w:szCs w:val="20"/>
          <w:lang w:eastAsia="en-GB"/>
        </w:rPr>
        <w:t xml:space="preserve">) si la obra la ejecuta un consorcio o unión temporal, junto con el porcentaje de participación del oferente que presenta el certificado; v) si el contrato se encuentra suspendido, y si es así, la fecha de suspensión, además del saldo pendiente por ejecutar. Si el proponente no tiene contratos en ejecución, en el certificado debe constar expresamente esa circunstancia. </w:t>
      </w:r>
    </w:p>
    <w:p w14:paraId="6D5CCDFA" w14:textId="77777777" w:rsidR="001D2B62" w:rsidRPr="001D2B62" w:rsidRDefault="001D2B62" w:rsidP="001D2B62">
      <w:pPr>
        <w:spacing w:after="0" w:line="240" w:lineRule="auto"/>
        <w:jc w:val="both"/>
        <w:rPr>
          <w:rFonts w:ascii="Verdana" w:eastAsia="Calibri" w:hAnsi="Verdana" w:cs="Arial"/>
          <w:sz w:val="20"/>
          <w:szCs w:val="20"/>
          <w:lang w:eastAsia="en-GB"/>
        </w:rPr>
      </w:pPr>
    </w:p>
    <w:p w14:paraId="37936763" w14:textId="1DC36045" w:rsidR="009850DE" w:rsidRPr="001D2B62" w:rsidRDefault="001D2B62" w:rsidP="001D2B62">
      <w:pPr>
        <w:spacing w:after="0" w:line="240" w:lineRule="auto"/>
        <w:jc w:val="both"/>
        <w:rPr>
          <w:rFonts w:ascii="Verdana" w:eastAsia="Calibri" w:hAnsi="Verdana" w:cs="Arial"/>
          <w:sz w:val="20"/>
          <w:szCs w:val="20"/>
          <w:lang w:eastAsia="en-GB"/>
        </w:rPr>
      </w:pPr>
      <w:r w:rsidRPr="001D2B62">
        <w:rPr>
          <w:rFonts w:ascii="Verdana" w:eastAsia="Calibri" w:hAnsi="Verdana" w:cs="Arial"/>
          <w:sz w:val="20"/>
          <w:szCs w:val="20"/>
          <w:lang w:eastAsia="en-GB"/>
        </w:rPr>
        <w:t xml:space="preserve">En concordancia con lo anterior, sobre la acreditación del factor </w:t>
      </w:r>
      <w:r w:rsidRPr="001D2B62">
        <w:rPr>
          <w:rFonts w:ascii="Verdana" w:eastAsia="Calibri" w:hAnsi="Verdana" w:cs="Arial"/>
          <w:bCs/>
          <w:color w:val="000000"/>
          <w:sz w:val="20"/>
          <w:szCs w:val="20"/>
          <w:lang w:eastAsia="en-GB"/>
        </w:rPr>
        <w:t xml:space="preserve">“SCE” </w:t>
      </w:r>
      <w:r w:rsidRPr="001D2B62">
        <w:rPr>
          <w:rFonts w:ascii="Verdana" w:eastAsia="Calibri" w:hAnsi="Verdana" w:cs="Arial"/>
          <w:sz w:val="20"/>
          <w:szCs w:val="20"/>
          <w:lang w:eastAsia="en-GB"/>
        </w:rPr>
        <w:t xml:space="preserve">en los Documentos Tipo de Licitación de Obra Pública para Infraestructura de Transporte, el literal E del numeral 3.11.2 “CÁLCULO DE LA CAPACIDAD RESIDUAL DEL PROPONENTE (CRP)” del Documento Base señala lo siguiente: </w:t>
      </w:r>
      <w:r w:rsidR="009850DE" w:rsidRPr="001D2B62">
        <w:rPr>
          <w:rFonts w:ascii="Verdana" w:eastAsia="Calibri" w:hAnsi="Verdana" w:cs="Arial"/>
          <w:sz w:val="20"/>
          <w:szCs w:val="20"/>
          <w:lang w:eastAsia="en-GB"/>
        </w:rPr>
        <w:t>[…]</w:t>
      </w:r>
    </w:p>
    <w:p w14:paraId="2CF21B08" w14:textId="77777777" w:rsidR="009850DE" w:rsidRPr="009850DE" w:rsidRDefault="009850DE" w:rsidP="009850DE">
      <w:pPr>
        <w:spacing w:after="0"/>
        <w:jc w:val="both"/>
        <w:rPr>
          <w:rFonts w:ascii="Verdana" w:eastAsia="Calibri" w:hAnsi="Verdana" w:cs="Arial"/>
          <w:b/>
          <w:bCs/>
          <w:lang w:val="es-ES_tradnl" w:eastAsia="es-ES"/>
        </w:rPr>
      </w:pPr>
    </w:p>
    <w:p w14:paraId="5F03C21E" w14:textId="77777777" w:rsidR="009850DE" w:rsidRPr="009850DE" w:rsidRDefault="009850DE" w:rsidP="009850DE">
      <w:pPr>
        <w:spacing w:after="0"/>
        <w:jc w:val="both"/>
        <w:rPr>
          <w:rFonts w:ascii="Verdana" w:eastAsia="Calibri" w:hAnsi="Verdana" w:cs="Arial"/>
          <w:b/>
          <w:bCs/>
          <w:lang w:val="es-ES_tradnl" w:eastAsia="es-ES"/>
        </w:rPr>
      </w:pPr>
      <w:r w:rsidRPr="009850DE">
        <w:rPr>
          <w:rFonts w:ascii="Verdana" w:eastAsia="Calibri" w:hAnsi="Verdana" w:cs="Arial"/>
          <w:b/>
          <w:bCs/>
          <w:lang w:val="es-ES_tradnl" w:eastAsia="es-ES"/>
        </w:rPr>
        <w:t xml:space="preserve">SALDOS DE CONTRATOS EN EJECUCIÓN – SCE – Alcance – Deber de reporte – Tipos de contratos </w:t>
      </w:r>
    </w:p>
    <w:p w14:paraId="2E3AEC4A" w14:textId="77777777" w:rsidR="009850DE" w:rsidRPr="009850DE" w:rsidRDefault="009850DE" w:rsidP="009850DE">
      <w:pPr>
        <w:spacing w:after="0"/>
        <w:jc w:val="both"/>
        <w:rPr>
          <w:rFonts w:ascii="Verdana" w:eastAsia="Calibri" w:hAnsi="Verdana" w:cs="Arial"/>
          <w:b/>
          <w:bCs/>
          <w:lang w:val="es-ES_tradnl" w:eastAsia="es-ES"/>
        </w:rPr>
      </w:pPr>
    </w:p>
    <w:p w14:paraId="2587A23C"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Son indicativos de una posibilidad de construcción aún no obligatoria:</w:t>
      </w:r>
    </w:p>
    <w:p w14:paraId="5F6798FC"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p>
    <w:p w14:paraId="2464D670" w14:textId="77777777" w:rsidR="009850DE" w:rsidRPr="009850DE" w:rsidRDefault="009850DE" w:rsidP="009850DE">
      <w:pPr>
        <w:numPr>
          <w:ilvl w:val="0"/>
          <w:numId w:val="18"/>
        </w:numPr>
        <w:spacing w:after="0" w:line="240" w:lineRule="auto"/>
        <w:ind w:left="0" w:firstLine="0"/>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 xml:space="preserve">Que el contrato prevea varias soluciones técnicas alternativas y admita cumplir el objeto sin ejecutar obra civil, de modo que el contratista podría satisfacer </w:t>
      </w:r>
      <w:r w:rsidRPr="009850DE">
        <w:rPr>
          <w:rFonts w:ascii="Verdana" w:eastAsia="Aptos" w:hAnsi="Verdana" w:cs="Times New Roman"/>
          <w:kern w:val="2"/>
          <w:sz w:val="20"/>
          <w:szCs w:val="20"/>
          <w14:ligatures w14:val="standardContextual"/>
        </w:rPr>
        <w:lastRenderedPageBreak/>
        <w:t>íntegramente su prestación mediante adquisición de equipos, suministro de insumos, arrendamiento de instalaciones existentes o contratación de servicios.</w:t>
      </w:r>
    </w:p>
    <w:p w14:paraId="4B8346D3"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p>
    <w:p w14:paraId="0640F914" w14:textId="77777777" w:rsidR="009850DE" w:rsidRPr="009850DE" w:rsidRDefault="009850DE" w:rsidP="009850DE">
      <w:pPr>
        <w:numPr>
          <w:ilvl w:val="0"/>
          <w:numId w:val="18"/>
        </w:numPr>
        <w:spacing w:after="0" w:line="240" w:lineRule="auto"/>
        <w:ind w:left="0" w:firstLine="0"/>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Que la selección de la alternativa dependa de un estudio de factibilidad cuyo resultado no está predeterminado.</w:t>
      </w:r>
    </w:p>
    <w:p w14:paraId="05A02160"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p>
    <w:p w14:paraId="6B2D20B0" w14:textId="77777777" w:rsidR="009850DE" w:rsidRPr="009850DE" w:rsidRDefault="009850DE" w:rsidP="009850DE">
      <w:pPr>
        <w:numPr>
          <w:ilvl w:val="0"/>
          <w:numId w:val="18"/>
        </w:numPr>
        <w:spacing w:after="0" w:line="240" w:lineRule="auto"/>
        <w:ind w:left="0" w:firstLine="0"/>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Que la solución seleccionada quede sujeta a revisión y aprobación contractualmente previstas, sin las cuales no es exigible ejecutarla.</w:t>
      </w:r>
    </w:p>
    <w:p w14:paraId="3D4BDE59"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w:t>
      </w:r>
    </w:p>
    <w:p w14:paraId="229DD114"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La sola inclusión de la construcción entre las alternativas posibles no genera, por sí misma, el deber de reportar el contrato desde su perfeccionamiento. Enumerar alternativas de cumplimiento es describir el campo de soluciones admisibles, no imponer una de ellas.</w:t>
      </w:r>
    </w:p>
    <w:p w14:paraId="1B6AB074"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p>
    <w:p w14:paraId="670010DB"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El deber de reporte depende del contenido obligacional y sigue esta regla temporal:</w:t>
      </w:r>
    </w:p>
    <w:p w14:paraId="08937CAD"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p>
    <w:p w14:paraId="1D22A788" w14:textId="77777777" w:rsidR="009850DE" w:rsidRPr="009850DE" w:rsidRDefault="009850DE" w:rsidP="009850DE">
      <w:pPr>
        <w:numPr>
          <w:ilvl w:val="0"/>
          <w:numId w:val="19"/>
        </w:numPr>
        <w:spacing w:after="0" w:line="240" w:lineRule="auto"/>
        <w:ind w:left="0" w:firstLine="0"/>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Si el contrato, desde su perfeccionamiento, obliga a construir, porque el objeto no puede cumplirse sin obra civil, o porque la obra es prestación debida aunque sus diseños se elaboren luego, el deber de inclusión existe desde entonces y se mantiene mientras el vínculo esté vigente a la fecha de presentación de la oferta.</w:t>
      </w:r>
    </w:p>
    <w:p w14:paraId="5581C61A"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p>
    <w:p w14:paraId="6E99A809" w14:textId="77777777" w:rsidR="009850DE" w:rsidRPr="009850DE" w:rsidRDefault="009850DE" w:rsidP="009850DE">
      <w:pPr>
        <w:numPr>
          <w:ilvl w:val="0"/>
          <w:numId w:val="19"/>
        </w:numPr>
        <w:spacing w:after="0" w:line="240" w:lineRule="auto"/>
        <w:ind w:left="0" w:firstLine="0"/>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Si el contrato admite cumplirse sin obra civil y la construcción es una de varias alternativas sujetas a selección, el deber de inclusión surge cuando se selecciona y aprueba, conforme a las reglas contractuales, una solución que comprende obra civil. A partir de ese momento el contrato obliga a ejecutar obras civiles y, si la oferta se presenta después, es reportable.</w:t>
      </w:r>
    </w:p>
    <w:p w14:paraId="17D0643F"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p>
    <w:p w14:paraId="30A28BD8" w14:textId="77777777" w:rsidR="009850DE" w:rsidRPr="009850DE" w:rsidRDefault="009850DE" w:rsidP="009850DE">
      <w:pPr>
        <w:spacing w:after="0" w:line="240" w:lineRule="auto"/>
        <w:jc w:val="both"/>
        <w:rPr>
          <w:rFonts w:ascii="Verdana" w:eastAsia="Aptos" w:hAnsi="Verdana" w:cs="Times New Roman"/>
          <w:kern w:val="2"/>
          <w:sz w:val="20"/>
          <w:szCs w:val="20"/>
          <w14:ligatures w14:val="standardContextual"/>
        </w:rPr>
      </w:pPr>
      <w:r w:rsidRPr="009850DE">
        <w:rPr>
          <w:rFonts w:ascii="Verdana" w:eastAsia="Aptos" w:hAnsi="Verdana" w:cs="Times New Roman"/>
          <w:kern w:val="2"/>
          <w:sz w:val="20"/>
          <w:szCs w:val="20"/>
          <w14:ligatures w14:val="standardContextual"/>
        </w:rPr>
        <w:t>Los elementos que permiten establecer en cuál de los dos supuestos se está son: el objeto y las obligaciones del contratista tal como quedaron pactados; la existencia o no de alternativas contractualmente admisibles que excluyan la obra; la condición a la que está sometida la ejecución de la construcción; y la exigibilidad actual de esa prestación a la fecha de presentación de la oferta.  Debe subrayarse que el momento relevante es únicamente la fecha de presentación de la oferta. </w:t>
      </w:r>
    </w:p>
    <w:p w14:paraId="66DBB7D5" w14:textId="77777777" w:rsidR="009850DE" w:rsidRPr="009850DE" w:rsidRDefault="009850DE" w:rsidP="009850DE">
      <w:pPr>
        <w:snapToGrid w:val="0"/>
        <w:spacing w:after="0" w:line="240" w:lineRule="auto"/>
        <w:jc w:val="both"/>
        <w:rPr>
          <w:rFonts w:ascii="Verdana" w:eastAsia="Calibri" w:hAnsi="Verdana" w:cs="Arial"/>
          <w:sz w:val="20"/>
          <w:szCs w:val="20"/>
          <w:lang w:val="es-ES"/>
        </w:rPr>
      </w:pPr>
    </w:p>
    <w:p w14:paraId="16284278" w14:textId="77777777" w:rsidR="009850DE" w:rsidRPr="009850DE" w:rsidRDefault="009850DE" w:rsidP="009850DE">
      <w:pPr>
        <w:spacing w:after="0" w:line="240" w:lineRule="auto"/>
        <w:jc w:val="both"/>
        <w:rPr>
          <w:rFonts w:ascii="Verdana" w:eastAsia="Calibri" w:hAnsi="Verdana" w:cs="Times New Roman"/>
        </w:rPr>
      </w:pPr>
    </w:p>
    <w:p w14:paraId="218AB223" w14:textId="77777777" w:rsidR="009850DE" w:rsidRPr="009850DE" w:rsidRDefault="009850DE" w:rsidP="009850DE">
      <w:pPr>
        <w:spacing w:after="0" w:line="240" w:lineRule="auto"/>
        <w:jc w:val="both"/>
        <w:rPr>
          <w:rFonts w:ascii="Verdana" w:eastAsia="Calibri" w:hAnsi="Verdana" w:cs="Times New Roman"/>
        </w:rPr>
      </w:pPr>
    </w:p>
    <w:p w14:paraId="60E0B990" w14:textId="77777777" w:rsidR="009850DE" w:rsidRPr="009850DE" w:rsidRDefault="009850DE" w:rsidP="009850DE">
      <w:pPr>
        <w:spacing w:after="0" w:line="240" w:lineRule="auto"/>
        <w:jc w:val="both"/>
        <w:rPr>
          <w:rFonts w:ascii="Verdana" w:eastAsia="Calibri" w:hAnsi="Verdana" w:cs="Times New Roman"/>
        </w:rPr>
      </w:pPr>
    </w:p>
    <w:p w14:paraId="283BA2C7" w14:textId="77777777" w:rsidR="009850DE" w:rsidRPr="009850DE" w:rsidRDefault="009850DE" w:rsidP="009850DE">
      <w:pPr>
        <w:spacing w:after="0" w:line="240" w:lineRule="auto"/>
        <w:jc w:val="both"/>
        <w:rPr>
          <w:rFonts w:ascii="Verdana" w:eastAsia="Calibri" w:hAnsi="Verdana" w:cs="Times New Roman"/>
        </w:rPr>
      </w:pPr>
    </w:p>
    <w:p w14:paraId="12E0817D" w14:textId="77777777" w:rsidR="009850DE" w:rsidRPr="009850DE" w:rsidRDefault="009850DE" w:rsidP="009850DE">
      <w:pPr>
        <w:spacing w:after="0" w:line="240" w:lineRule="auto"/>
        <w:jc w:val="both"/>
        <w:rPr>
          <w:rFonts w:ascii="Verdana" w:eastAsia="Calibri" w:hAnsi="Verdana" w:cs="Times New Roman"/>
        </w:rPr>
      </w:pPr>
    </w:p>
    <w:p w14:paraId="49D4600B" w14:textId="77777777" w:rsidR="009850DE" w:rsidRPr="009850DE" w:rsidRDefault="009850DE" w:rsidP="009850DE">
      <w:pPr>
        <w:spacing w:after="0" w:line="240" w:lineRule="auto"/>
        <w:jc w:val="both"/>
        <w:rPr>
          <w:rFonts w:ascii="Verdana" w:eastAsia="Calibri" w:hAnsi="Verdana" w:cs="Times New Roman"/>
        </w:rPr>
      </w:pPr>
    </w:p>
    <w:p w14:paraId="73755258" w14:textId="77777777" w:rsidR="009850DE" w:rsidRPr="009850DE" w:rsidRDefault="009850DE" w:rsidP="009850DE">
      <w:pPr>
        <w:spacing w:after="0" w:line="240" w:lineRule="auto"/>
        <w:jc w:val="both"/>
        <w:rPr>
          <w:rFonts w:ascii="Verdana" w:eastAsia="Calibri" w:hAnsi="Verdana" w:cs="Times New Roman"/>
        </w:rPr>
      </w:pPr>
    </w:p>
    <w:p w14:paraId="76E4FDB1" w14:textId="77777777" w:rsidR="009850DE" w:rsidRPr="009850DE" w:rsidRDefault="009850DE" w:rsidP="009850DE">
      <w:pPr>
        <w:spacing w:after="0" w:line="240" w:lineRule="auto"/>
        <w:jc w:val="both"/>
        <w:rPr>
          <w:rFonts w:ascii="Verdana" w:eastAsia="Calibri" w:hAnsi="Verdana" w:cs="Times New Roman"/>
        </w:rPr>
      </w:pPr>
    </w:p>
    <w:p w14:paraId="49E555BA" w14:textId="77777777" w:rsidR="009850DE" w:rsidRPr="009850DE" w:rsidRDefault="009850DE" w:rsidP="009850DE">
      <w:pPr>
        <w:spacing w:after="0" w:line="240" w:lineRule="auto"/>
        <w:jc w:val="both"/>
        <w:rPr>
          <w:rFonts w:ascii="Verdana" w:eastAsia="Calibri" w:hAnsi="Verdana" w:cs="Times New Roman"/>
        </w:rPr>
      </w:pPr>
    </w:p>
    <w:p w14:paraId="7E16A618" w14:textId="77777777" w:rsidR="009850DE" w:rsidRPr="009850DE" w:rsidRDefault="009850DE" w:rsidP="009850DE">
      <w:pPr>
        <w:spacing w:after="0" w:line="240" w:lineRule="auto"/>
        <w:rPr>
          <w:rFonts w:ascii="Verdana" w:eastAsia="Calibri" w:hAnsi="Verdana" w:cs="Times New Roman"/>
        </w:rPr>
      </w:pPr>
    </w:p>
    <w:p w14:paraId="45EEEBA4" w14:textId="77777777" w:rsidR="009850DE" w:rsidRPr="009850DE" w:rsidRDefault="009850DE" w:rsidP="009850DE">
      <w:pPr>
        <w:spacing w:after="0" w:line="240" w:lineRule="auto"/>
        <w:rPr>
          <w:rFonts w:ascii="Verdana" w:eastAsia="Calibri" w:hAnsi="Verdana" w:cs="Times New Roman"/>
        </w:rPr>
      </w:pPr>
    </w:p>
    <w:p w14:paraId="2851E707" w14:textId="4A6AE2DC" w:rsidR="009850DE" w:rsidRDefault="00C55179" w:rsidP="009850DE">
      <w:pPr>
        <w:spacing w:after="0" w:line="276" w:lineRule="auto"/>
        <w:jc w:val="both"/>
        <w:rPr>
          <w:rFonts w:ascii="Verdana" w:eastAsia="Verdana" w:hAnsi="Verdana" w:cs="Verdana"/>
        </w:rPr>
      </w:pPr>
      <w:r w:rsidRPr="30821638">
        <w:rPr>
          <w:rFonts w:ascii="Verdana" w:eastAsia="Verdana" w:hAnsi="Verdana" w:cs="Verdana"/>
        </w:rPr>
        <w:lastRenderedPageBreak/>
        <w:t xml:space="preserve">Bogotá D.C., </w:t>
      </w:r>
      <w:r w:rsidR="00E61DDB">
        <w:rPr>
          <w:rFonts w:ascii="Verdana" w:eastAsia="Verdana" w:hAnsi="Verdana" w:cs="Verdana"/>
        </w:rPr>
        <w:t>27 Octubre 2026</w:t>
      </w:r>
    </w:p>
    <w:p w14:paraId="6918AEEA" w14:textId="67F07422" w:rsidR="009850DE" w:rsidRPr="009850DE" w:rsidRDefault="00E61DDB" w:rsidP="00E61DDB">
      <w:pPr>
        <w:spacing w:after="0" w:line="276"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0EA42195" wp14:editId="72092353">
            <wp:extent cx="2840942" cy="846016"/>
            <wp:effectExtent l="0" t="0" r="4445" b="5080"/>
            <wp:docPr id="2986394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39428" name="Imagen 298639428"/>
                    <pic:cNvPicPr/>
                  </pic:nvPicPr>
                  <pic:blipFill>
                    <a:blip r:embed="rId10">
                      <a:extLst>
                        <a:ext uri="{28A0092B-C50C-407E-A947-70E740481C1C}">
                          <a14:useLocalDpi xmlns:a14="http://schemas.microsoft.com/office/drawing/2010/main" val="0"/>
                        </a:ext>
                      </a:extLst>
                    </a:blip>
                    <a:stretch>
                      <a:fillRect/>
                    </a:stretch>
                  </pic:blipFill>
                  <pic:spPr>
                    <a:xfrm>
                      <a:off x="0" y="0"/>
                      <a:ext cx="2854827" cy="850151"/>
                    </a:xfrm>
                    <a:prstGeom prst="rect">
                      <a:avLst/>
                    </a:prstGeom>
                  </pic:spPr>
                </pic:pic>
              </a:graphicData>
            </a:graphic>
          </wp:inline>
        </w:drawing>
      </w:r>
    </w:p>
    <w:p w14:paraId="72FB29C3" w14:textId="77777777" w:rsidR="009850DE" w:rsidRPr="009850DE" w:rsidRDefault="009850DE" w:rsidP="009850DE">
      <w:pPr>
        <w:spacing w:after="0" w:line="240" w:lineRule="auto"/>
        <w:jc w:val="both"/>
        <w:rPr>
          <w:rFonts w:ascii="Verdana" w:eastAsia="Calibri" w:hAnsi="Verdana" w:cs="Arial"/>
          <w:lang w:val="es-ES_tradnl" w:eastAsia="es-ES"/>
        </w:rPr>
      </w:pPr>
      <w:r w:rsidRPr="009850DE">
        <w:rPr>
          <w:rFonts w:ascii="Verdana" w:eastAsia="Calibri" w:hAnsi="Verdana" w:cs="Arial"/>
          <w:lang w:val="es-ES_tradnl" w:eastAsia="es-ES"/>
        </w:rPr>
        <w:t>Señor</w:t>
      </w:r>
    </w:p>
    <w:p w14:paraId="287E071E" w14:textId="77777777" w:rsidR="009850DE" w:rsidRPr="009850DE" w:rsidRDefault="009850DE" w:rsidP="009850DE">
      <w:pPr>
        <w:spacing w:after="0" w:line="240" w:lineRule="auto"/>
        <w:rPr>
          <w:rFonts w:ascii="Verdana" w:eastAsia="Calibri" w:hAnsi="Verdana" w:cs="Arial"/>
          <w:b/>
          <w:lang w:val="es-ES_tradnl" w:eastAsia="es-ES_tradnl"/>
        </w:rPr>
      </w:pPr>
      <w:r w:rsidRPr="009850DE">
        <w:rPr>
          <w:rFonts w:ascii="Verdana" w:eastAsia="Calibri" w:hAnsi="Verdana" w:cs="Arial"/>
          <w:b/>
          <w:lang w:val="es-ES_tradnl" w:eastAsia="es-ES_tradnl"/>
        </w:rPr>
        <w:t>Jorge Escobar Buelvas</w:t>
      </w:r>
    </w:p>
    <w:p w14:paraId="05E3C552" w14:textId="77777777" w:rsidR="009850DE" w:rsidRPr="009850DE" w:rsidRDefault="009850DE" w:rsidP="009850DE">
      <w:pPr>
        <w:spacing w:after="0" w:line="240" w:lineRule="auto"/>
        <w:rPr>
          <w:rFonts w:ascii="Verdana" w:eastAsia="Calibri" w:hAnsi="Verdana" w:cs="Arial"/>
          <w:lang w:val="es-ES_tradnl" w:eastAsia="es-ES"/>
        </w:rPr>
      </w:pPr>
      <w:r w:rsidRPr="009850DE">
        <w:rPr>
          <w:rFonts w:ascii="Verdana" w:eastAsia="Calibri" w:hAnsi="Verdana" w:cs="Arial"/>
          <w:lang w:val="es-ES_tradnl" w:eastAsia="es-ES"/>
        </w:rPr>
        <w:t>Montería, Córdoba</w:t>
      </w:r>
    </w:p>
    <w:p w14:paraId="0E158FD7" w14:textId="77777777" w:rsidR="009850DE" w:rsidRPr="009850DE" w:rsidRDefault="009850DE" w:rsidP="009850DE">
      <w:pPr>
        <w:spacing w:after="0" w:line="240" w:lineRule="auto"/>
        <w:rPr>
          <w:rFonts w:ascii="Verdana" w:eastAsia="Calibri" w:hAnsi="Verdana" w:cs="Arial"/>
          <w:b/>
          <w:bCs/>
          <w:lang w:val="es-ES_tradnl" w:eastAsia="es-ES_tradnl"/>
        </w:rPr>
      </w:pPr>
    </w:p>
    <w:p w14:paraId="6C3BF5A8" w14:textId="77777777" w:rsidR="009850DE" w:rsidRPr="009850DE" w:rsidRDefault="009850DE" w:rsidP="009850D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850DE" w:rsidRPr="009850DE" w14:paraId="21E23AB5" w14:textId="77777777" w:rsidTr="0032582B">
        <w:trPr>
          <w:trHeight w:val="884"/>
        </w:trPr>
        <w:tc>
          <w:tcPr>
            <w:tcW w:w="2689" w:type="dxa"/>
          </w:tcPr>
          <w:p w14:paraId="534C23F8" w14:textId="77777777" w:rsidR="009850DE" w:rsidRPr="009850DE" w:rsidRDefault="009850DE" w:rsidP="009850DE">
            <w:pPr>
              <w:jc w:val="both"/>
              <w:rPr>
                <w:rFonts w:ascii="Verdana" w:eastAsia="Calibri" w:hAnsi="Verdana" w:cs="Arial"/>
                <w:b/>
                <w:bCs/>
                <w:lang w:val="es-ES_tradnl" w:eastAsia="es-ES_tradnl"/>
              </w:rPr>
            </w:pPr>
          </w:p>
        </w:tc>
        <w:tc>
          <w:tcPr>
            <w:tcW w:w="6100" w:type="dxa"/>
          </w:tcPr>
          <w:p w14:paraId="2B0CB756" w14:textId="77777777" w:rsidR="009850DE" w:rsidRPr="009850DE" w:rsidRDefault="009850DE" w:rsidP="009850DE">
            <w:pPr>
              <w:jc w:val="both"/>
              <w:rPr>
                <w:rFonts w:ascii="Verdana" w:eastAsia="Calibri" w:hAnsi="Verdana" w:cs="Arial"/>
                <w:b/>
                <w:bCs/>
                <w:lang w:val="es-ES_tradnl" w:eastAsia="es-ES"/>
              </w:rPr>
            </w:pPr>
            <w:r w:rsidRPr="009850DE">
              <w:rPr>
                <w:rFonts w:ascii="Verdana" w:eastAsia="Calibri" w:hAnsi="Verdana" w:cs="Arial"/>
                <w:b/>
                <w:bCs/>
                <w:lang w:val="es-ES_tradnl" w:eastAsia="es-ES"/>
              </w:rPr>
              <w:t>Concepto C – 1469 de 2026</w:t>
            </w:r>
          </w:p>
        </w:tc>
      </w:tr>
      <w:tr w:rsidR="009850DE" w:rsidRPr="009850DE" w14:paraId="3BB1FCC2" w14:textId="77777777" w:rsidTr="0032582B">
        <w:trPr>
          <w:trHeight w:val="884"/>
        </w:trPr>
        <w:tc>
          <w:tcPr>
            <w:tcW w:w="2689" w:type="dxa"/>
          </w:tcPr>
          <w:p w14:paraId="7EF2EAC5" w14:textId="77777777" w:rsidR="009850DE" w:rsidRPr="009850DE" w:rsidRDefault="009850DE" w:rsidP="009850DE">
            <w:pPr>
              <w:jc w:val="both"/>
              <w:rPr>
                <w:rFonts w:ascii="Verdana" w:eastAsia="Calibri" w:hAnsi="Verdana" w:cs="Arial"/>
                <w:lang w:val="es-ES_tradnl" w:eastAsia="es-ES_tradnl"/>
              </w:rPr>
            </w:pPr>
            <w:r w:rsidRPr="009850DE">
              <w:rPr>
                <w:rFonts w:ascii="Verdana" w:eastAsia="Calibri" w:hAnsi="Verdana" w:cs="Arial"/>
                <w:b/>
                <w:lang w:val="es-ES_tradnl" w:eastAsia="es-ES_tradnl"/>
              </w:rPr>
              <w:t>Temas:</w:t>
            </w:r>
            <w:r w:rsidRPr="009850DE">
              <w:rPr>
                <w:rFonts w:ascii="Verdana" w:eastAsia="Calibri" w:hAnsi="Verdana" w:cs="Arial"/>
                <w:lang w:val="es-ES_tradnl" w:eastAsia="es-ES_tradnl"/>
              </w:rPr>
              <w:t xml:space="preserve">                   </w:t>
            </w:r>
          </w:p>
        </w:tc>
        <w:tc>
          <w:tcPr>
            <w:tcW w:w="6100" w:type="dxa"/>
          </w:tcPr>
          <w:p w14:paraId="48259089" w14:textId="77777777" w:rsidR="009850DE" w:rsidRPr="009850DE" w:rsidRDefault="009850DE" w:rsidP="009850DE">
            <w:pPr>
              <w:spacing w:line="276" w:lineRule="auto"/>
              <w:jc w:val="both"/>
              <w:rPr>
                <w:rFonts w:ascii="Verdana" w:eastAsia="Calibri" w:hAnsi="Verdana" w:cs="Arial"/>
                <w:lang w:val="es-ES_tradnl" w:eastAsia="es-ES"/>
              </w:rPr>
            </w:pPr>
            <w:r w:rsidRPr="009850DE">
              <w:rPr>
                <w:rFonts w:ascii="Verdana" w:eastAsia="Calibri" w:hAnsi="Verdana" w:cs="Arial"/>
                <w:lang w:val="es-ES" w:eastAsia="es-ES"/>
              </w:rPr>
              <w:t xml:space="preserve">CAPACIDAD RESIDUAL – Definición – Factores – Contratos de obra / </w:t>
            </w:r>
            <w:r w:rsidRPr="009850DE">
              <w:rPr>
                <w:rFonts w:ascii="Verdana" w:eastAsia="Calibri" w:hAnsi="Verdana" w:cs="Arial"/>
                <w:lang w:eastAsia="es-MX"/>
              </w:rPr>
              <w:t xml:space="preserve">CAPACIDAD RESIDUAL – Saldos de Contratos en Ejecución – SCE – Documentos Tipo – Cálculo / </w:t>
            </w:r>
            <w:r w:rsidRPr="009850DE">
              <w:rPr>
                <w:rFonts w:ascii="Verdana" w:eastAsia="Calibri" w:hAnsi="Verdana" w:cs="Arial"/>
                <w:lang w:val="es-ES_tradnl" w:eastAsia="es-ES"/>
              </w:rPr>
              <w:t xml:space="preserve">SALDOS DE CONTRATOS EN EJECUCIÓN – SCE – Alcance – Deber de reporte – Tipos de contratos </w:t>
            </w:r>
          </w:p>
          <w:p w14:paraId="6426B31B" w14:textId="77777777" w:rsidR="009850DE" w:rsidRPr="009850DE" w:rsidRDefault="009850DE" w:rsidP="009850DE">
            <w:pPr>
              <w:spacing w:line="276" w:lineRule="auto"/>
              <w:jc w:val="both"/>
              <w:rPr>
                <w:rFonts w:ascii="Verdana" w:eastAsia="Calibri" w:hAnsi="Verdana" w:cs="Arial"/>
                <w:lang w:val="es-ES_tradnl" w:eastAsia="es-ES"/>
              </w:rPr>
            </w:pPr>
          </w:p>
        </w:tc>
      </w:tr>
      <w:tr w:rsidR="009850DE" w:rsidRPr="009850DE" w14:paraId="1B71E671" w14:textId="77777777" w:rsidTr="0032582B">
        <w:tc>
          <w:tcPr>
            <w:tcW w:w="2689" w:type="dxa"/>
          </w:tcPr>
          <w:p w14:paraId="363A722C" w14:textId="77777777" w:rsidR="009850DE" w:rsidRPr="009850DE" w:rsidRDefault="009850DE" w:rsidP="009850DE">
            <w:pPr>
              <w:jc w:val="both"/>
              <w:rPr>
                <w:rFonts w:ascii="Verdana" w:eastAsia="Calibri" w:hAnsi="Verdana" w:cs="Arial"/>
                <w:b/>
                <w:lang w:val="es-ES_tradnl" w:eastAsia="es-ES_tradnl"/>
              </w:rPr>
            </w:pPr>
            <w:r w:rsidRPr="009850DE">
              <w:rPr>
                <w:rFonts w:ascii="Verdana" w:eastAsia="Calibri" w:hAnsi="Verdana" w:cs="Arial"/>
                <w:b/>
                <w:lang w:val="es-ES_tradnl" w:eastAsia="es-ES_tradnl"/>
              </w:rPr>
              <w:t>Radicación:</w:t>
            </w:r>
            <w:r w:rsidRPr="009850DE">
              <w:rPr>
                <w:rFonts w:ascii="Verdana" w:eastAsia="Calibri" w:hAnsi="Verdana" w:cs="Arial"/>
                <w:lang w:val="es-ES_tradnl" w:eastAsia="es-ES_tradnl"/>
              </w:rPr>
              <w:t xml:space="preserve">               </w:t>
            </w:r>
          </w:p>
        </w:tc>
        <w:tc>
          <w:tcPr>
            <w:tcW w:w="6100" w:type="dxa"/>
          </w:tcPr>
          <w:p w14:paraId="7B3AD7B3" w14:textId="77777777" w:rsidR="009850DE" w:rsidRPr="009850DE" w:rsidRDefault="009850DE" w:rsidP="009850DE">
            <w:pPr>
              <w:spacing w:line="276" w:lineRule="auto"/>
              <w:jc w:val="both"/>
              <w:rPr>
                <w:rFonts w:ascii="Verdana" w:eastAsia="Calibri" w:hAnsi="Verdana" w:cs="Arial"/>
                <w:lang w:val="es-ES_tradnl" w:eastAsia="es-ES_tradnl"/>
              </w:rPr>
            </w:pPr>
            <w:r w:rsidRPr="009850DE">
              <w:rPr>
                <w:rFonts w:ascii="Verdana" w:eastAsia="Calibri" w:hAnsi="Verdana" w:cs="Arial"/>
                <w:lang w:val="es-ES_tradnl" w:eastAsia="es-ES_tradnl"/>
              </w:rPr>
              <w:t>Respuesta a consulta con radicado No. 1_2026_09_16_012409</w:t>
            </w:r>
          </w:p>
        </w:tc>
      </w:tr>
    </w:tbl>
    <w:p w14:paraId="7BA22CA0" w14:textId="77777777" w:rsidR="009850DE" w:rsidRPr="009850DE" w:rsidRDefault="009850DE" w:rsidP="009850DE">
      <w:pPr>
        <w:spacing w:after="0" w:line="240" w:lineRule="auto"/>
        <w:jc w:val="both"/>
        <w:rPr>
          <w:rFonts w:ascii="Verdana" w:eastAsia="Calibri" w:hAnsi="Verdana" w:cs="Arial"/>
          <w:lang w:val="es-ES_tradnl" w:eastAsia="es-ES_tradnl"/>
        </w:rPr>
      </w:pPr>
    </w:p>
    <w:p w14:paraId="17970371" w14:textId="77777777" w:rsidR="009850DE" w:rsidRPr="009850DE" w:rsidRDefault="009850DE" w:rsidP="009850DE">
      <w:pPr>
        <w:spacing w:after="0" w:line="240" w:lineRule="auto"/>
        <w:jc w:val="both"/>
        <w:rPr>
          <w:rFonts w:ascii="Verdana" w:eastAsia="Calibri" w:hAnsi="Verdana" w:cs="Arial"/>
          <w:lang w:val="es-ES_tradnl" w:eastAsia="es-ES_tradnl"/>
        </w:rPr>
      </w:pPr>
    </w:p>
    <w:p w14:paraId="176BCFB5" w14:textId="77777777" w:rsidR="009850DE" w:rsidRPr="009850DE" w:rsidRDefault="009850DE" w:rsidP="009850DE">
      <w:pPr>
        <w:spacing w:after="0" w:line="276" w:lineRule="auto"/>
        <w:jc w:val="both"/>
        <w:rPr>
          <w:rFonts w:ascii="Verdana" w:eastAsia="Calibri" w:hAnsi="Verdana" w:cs="Arial"/>
          <w:lang w:val="es-ES_tradnl" w:eastAsia="es-ES"/>
        </w:rPr>
      </w:pPr>
      <w:r w:rsidRPr="009850DE">
        <w:rPr>
          <w:rFonts w:ascii="Verdana" w:eastAsia="Calibri" w:hAnsi="Verdana" w:cs="Arial"/>
          <w:lang w:val="es-ES_tradnl" w:eastAsia="es-ES"/>
        </w:rPr>
        <w:t xml:space="preserve">Estimado señor Escobar Buelvas: </w:t>
      </w:r>
    </w:p>
    <w:p w14:paraId="1E0C1B70" w14:textId="77777777" w:rsidR="009850DE" w:rsidRPr="009850DE" w:rsidRDefault="009850DE" w:rsidP="009850DE">
      <w:pPr>
        <w:tabs>
          <w:tab w:val="left" w:pos="3768"/>
        </w:tabs>
        <w:spacing w:after="0" w:line="276" w:lineRule="auto"/>
        <w:jc w:val="both"/>
        <w:rPr>
          <w:rFonts w:ascii="Verdana" w:eastAsia="Calibri" w:hAnsi="Verdana" w:cs="Arial"/>
          <w:lang w:val="es-ES_tradnl" w:eastAsia="es-ES"/>
        </w:rPr>
      </w:pPr>
      <w:r w:rsidRPr="009850DE">
        <w:rPr>
          <w:rFonts w:ascii="Verdana" w:eastAsia="Calibri" w:hAnsi="Verdana" w:cs="Arial"/>
          <w:lang w:val="es-ES_tradnl" w:eastAsia="es-ES"/>
        </w:rPr>
        <w:tab/>
      </w:r>
    </w:p>
    <w:p w14:paraId="51855281" w14:textId="77777777" w:rsidR="009850DE" w:rsidRPr="009850DE" w:rsidRDefault="009850DE" w:rsidP="009850DE">
      <w:pPr>
        <w:snapToGrid w:val="0"/>
        <w:spacing w:after="0" w:line="276" w:lineRule="auto"/>
        <w:jc w:val="both"/>
        <w:rPr>
          <w:rFonts w:ascii="Verdana" w:eastAsia="Calibri" w:hAnsi="Verdana" w:cs="Arial"/>
          <w:lang w:val="es-ES_tradnl" w:eastAsia="es-ES"/>
        </w:rPr>
      </w:pPr>
      <w:r w:rsidRPr="009850DE">
        <w:rPr>
          <w:rFonts w:ascii="Verdana" w:eastAsia="Calibri" w:hAnsi="Verdana" w:cs="Arial"/>
          <w:lang w:val="es-ES_tradnl" w:eastAsia="es-ES"/>
        </w:rPr>
        <w:t>En ejercicio de la competencia otorgada por los artículos 3, numeral 5º, y 11, numeral 8º, del Decreto Ley 4170 de 2011,</w:t>
      </w:r>
      <w:r w:rsidRPr="009850DE">
        <w:rPr>
          <w:rFonts w:ascii="Verdana" w:eastAsia="Arial MT" w:hAnsi="Verdana" w:cs="Arial MT"/>
          <w:lang w:val="es-ES_tradnl" w:eastAsia="es-ES"/>
        </w:rPr>
        <w:t xml:space="preserve"> </w:t>
      </w:r>
      <w:r w:rsidRPr="009850DE">
        <w:rPr>
          <w:rFonts w:ascii="Verdana" w:eastAsia="Calibri" w:hAnsi="Verdana" w:cs="Arial"/>
          <w:lang w:val="es-ES_tradnl"/>
        </w:rPr>
        <w:t xml:space="preserve">así como lo establecido en la Resolución No. 469 del 2025 expedida por esta Entidad, </w:t>
      </w:r>
      <w:r w:rsidRPr="009850DE">
        <w:rPr>
          <w:rFonts w:ascii="Verdana" w:eastAsia="Calibri" w:hAnsi="Verdana" w:cs="Arial"/>
          <w:lang w:val="es-ES_tradnl" w:eastAsia="es-ES"/>
        </w:rPr>
        <w:t>la Agencia Nacional de Contratación Pública –Colombia Compra Eficiente– responde su solicitud de consulta de fecha 16 de septiembre de 2026, en la cual manifiesta lo siguiente:</w:t>
      </w:r>
    </w:p>
    <w:p w14:paraId="02BB0F43" w14:textId="77777777" w:rsidR="009850DE" w:rsidRPr="009850DE" w:rsidRDefault="009850DE" w:rsidP="009850DE">
      <w:pPr>
        <w:tabs>
          <w:tab w:val="left" w:pos="142"/>
          <w:tab w:val="left" w:pos="284"/>
        </w:tabs>
        <w:snapToGrid w:val="0"/>
        <w:spacing w:after="0" w:line="240" w:lineRule="auto"/>
        <w:jc w:val="both"/>
        <w:rPr>
          <w:rFonts w:ascii="Verdana" w:eastAsia="Century Gothic" w:hAnsi="Verdana" w:cs="Century Gothic"/>
          <w:b/>
          <w:bCs/>
          <w:lang w:val="es-ES_tradnl"/>
        </w:rPr>
      </w:pPr>
    </w:p>
    <w:p w14:paraId="5D451C22"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w:t>
      </w:r>
      <w:r w:rsidRPr="009850DE">
        <w:rPr>
          <w:rFonts w:ascii="Verdana" w:eastAsia="Century Gothic" w:hAnsi="Verdana" w:cs="Century Gothic"/>
          <w:b/>
          <w:bCs/>
          <w:sz w:val="21"/>
          <w:szCs w:val="21"/>
          <w:lang w:val="es-ES"/>
        </w:rPr>
        <w:t>3.1. Criterio para determinar el deber de reporte</w:t>
      </w:r>
    </w:p>
    <w:p w14:paraId="3F55374B"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43371B27"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¿Qué criterios jurídicos permiten distinguir, para efectos del SCE, entre una obligación de obra civil determinable desde el perfeccionamiento del contrato y una posibilidad de construcción cuya selección depende de una factibilidad posterior, cuando también existen alternativas contractualmente admisibles sin obra?</w:t>
      </w:r>
    </w:p>
    <w:p w14:paraId="34197804"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501E0AEB"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3.2. Momento en que surge el deber de inclusión</w:t>
      </w:r>
    </w:p>
    <w:p w14:paraId="2B95AE91"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2856B84F"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En el supuesto descrito, ¿la sola inclusión de la construcción entre las alternativas posibles genera el deber de reportar el contrato en el Formato 5C desde su perfeccionamiento?</w:t>
      </w:r>
    </w:p>
    <w:p w14:paraId="21E97B0E"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15227F16"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Si la respuesta depende del contenido obligacional, ¿qué elementos permiten establecer si ese deber existe desde la firma o surge cuando se selecciona y aprueba una solución que comprende obra civil?</w:t>
      </w:r>
    </w:p>
    <w:p w14:paraId="67722EE7"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227E51CD"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3.3. Alcance de la aprobación posterior</w:t>
      </w:r>
    </w:p>
    <w:p w14:paraId="6314DEF1"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32B9A99B"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¿Qué relevancia tiene que la factibilidad, el plan de inversiones y el plan de compras estén sujetos a aprobación para distinguir entre la concreción de una obligación de obra ya adquirida y la selección posterior de una alternativa que puede comprender o excluir obra civil?</w:t>
      </w:r>
    </w:p>
    <w:p w14:paraId="17AC61EC"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4B356091"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Se solicita precisar esta diferencia sin equiparar automáticamente la falta de aprobación con inexistencia de obligaciones contractuales.</w:t>
      </w:r>
    </w:p>
    <w:p w14:paraId="59C67F9A"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2F1A2A7C"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3.4. Diferencia frente a contratos suspendidos o sin acta de inicio</w:t>
      </w:r>
    </w:p>
    <w:p w14:paraId="19DCB456"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42FF0030"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¿Cómo debe diferenciarse el supuesto consultado de los contratos de obra suspendidos o sin acta de inicio que deben incluirse en el SCE?</w:t>
      </w:r>
    </w:p>
    <w:p w14:paraId="4BB70D13"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487D715C"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En particular, ¿la regla que incluye contratos suspendidos o sin inicio presupone haber establecido previamente que el vínculo contractual obliga a ejecutar obras civiles?</w:t>
      </w:r>
    </w:p>
    <w:p w14:paraId="0F72C000"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403C70DB"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 xml:space="preserve">3.5. Elementos suficientes para la clasificación </w:t>
      </w:r>
    </w:p>
    <w:p w14:paraId="69C24584"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5CF1CF7D"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¿Las menciones a construcción, plantas, edificaciones, diseños o licencias dentro de actividades potenciales o rubros presupuestales son suficientes, por sí solas, para concluir que existe un contrato reportable en el SCE?</w:t>
      </w:r>
    </w:p>
    <w:p w14:paraId="43B1D5E3"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18673963"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 xml:space="preserve">¿O deben interpretarse </w:t>
      </w:r>
      <w:proofErr w:type="gramStart"/>
      <w:r w:rsidRPr="009850DE">
        <w:rPr>
          <w:rFonts w:ascii="Verdana" w:eastAsia="Century Gothic" w:hAnsi="Verdana" w:cs="Century Gothic"/>
          <w:sz w:val="21"/>
          <w:szCs w:val="21"/>
          <w:lang w:val="es-ES"/>
        </w:rPr>
        <w:t>conjuntamente con</w:t>
      </w:r>
      <w:proofErr w:type="gramEnd"/>
      <w:r w:rsidRPr="009850DE">
        <w:rPr>
          <w:rFonts w:ascii="Verdana" w:eastAsia="Century Gothic" w:hAnsi="Verdana" w:cs="Century Gothic"/>
          <w:sz w:val="21"/>
          <w:szCs w:val="21"/>
          <w:lang w:val="es-ES"/>
        </w:rPr>
        <w:t xml:space="preserve"> las cláusulas que regulan las alternativas de cumplimiento, la factibilidad y la selección de las inversiones?</w:t>
      </w:r>
    </w:p>
    <w:p w14:paraId="4B114F39"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721929C0"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3.6. Contratos que combinan prestaciones</w:t>
      </w:r>
    </w:p>
    <w:p w14:paraId="4A63A81B"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6C34E94D"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lastRenderedPageBreak/>
        <w:t>Cuando un contrato comprende servicios de estructuración, suministros y eventualmente obras civiles, ¿cuál es el criterio para determinar su inclusión en el SCE?</w:t>
      </w:r>
    </w:p>
    <w:p w14:paraId="44E7127A"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6FBCB48C"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Si resulta reportable, ¿debe aplicarse la metodología sobre el valor total del contrato o sobre un componente de obra identificado? Solicito precisar el fundamento normativo y el tratamiento aplicable cuando ese componente todavía no ha sido definido o cuantificado, sin presumir que siempre sea jurídicamente posible separar valores.</w:t>
      </w:r>
    </w:p>
    <w:p w14:paraId="35676415"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5A7751F8"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3.7. Soporte de la decisión de la entidad evaluadora</w:t>
      </w:r>
    </w:p>
    <w:p w14:paraId="2E9076DA"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772C6847"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¿Qué elementos debe verificar y explicar una entidad antes de concluir que un contrato con alternativas de ejecución debió reportarse como compromiso de obra civil?</w:t>
      </w:r>
    </w:p>
    <w:p w14:paraId="7DA958E3"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64C3E849"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¿Qué valor pueden tener, para esa verificación, las certificaciones de la entidad contratante y de la interventoría sobre el estado de la estructuración, las alternativas aprobadas y las obligaciones de construcción existentes a la fecha de presentación de la oferta?</w:t>
      </w:r>
    </w:p>
    <w:p w14:paraId="4AB3210B"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55078BBF"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3.8. Aplicación de la causal de rechazo</w:t>
      </w:r>
    </w:p>
    <w:p w14:paraId="1D88F5AE"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2A45DF24"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Para aplicar el literal X del numeral 1.15 del Documento Tipo, ¿debe establecerse previamente que el contrato no informado pertenece al universo de contratos de obras civiles reportables conforme al numeral 3.11?</w:t>
      </w:r>
    </w:p>
    <w:p w14:paraId="558E3421"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4B72BDD7"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¿Cómo debe diferenciarse esa determinación previa de la comprobación posterior de que la omisión modifica el cálculo, aun cuando el proponente conserve capacidad residual suficiente?</w:t>
      </w:r>
    </w:p>
    <w:p w14:paraId="0BE9B182"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1F4B77E2"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Esta pregunta no pretende sostener que superar el mínimo exigido dispense del deber de informar contratos reportables.</w:t>
      </w:r>
    </w:p>
    <w:p w14:paraId="2D42E0A9"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79B178C6" w14:textId="77777777" w:rsidR="009850DE" w:rsidRPr="009850DE" w:rsidRDefault="009850DE" w:rsidP="009850DE">
      <w:pPr>
        <w:snapToGrid w:val="0"/>
        <w:spacing w:after="0" w:line="240" w:lineRule="auto"/>
        <w:ind w:left="720" w:right="709"/>
        <w:jc w:val="both"/>
        <w:rPr>
          <w:rFonts w:ascii="Verdana" w:eastAsia="Century Gothic" w:hAnsi="Verdana" w:cs="Century Gothic"/>
          <w:b/>
          <w:bCs/>
          <w:sz w:val="21"/>
          <w:szCs w:val="21"/>
          <w:lang w:val="es-ES"/>
        </w:rPr>
      </w:pPr>
      <w:r w:rsidRPr="009850DE">
        <w:rPr>
          <w:rFonts w:ascii="Verdana" w:eastAsia="Century Gothic" w:hAnsi="Verdana" w:cs="Century Gothic"/>
          <w:b/>
          <w:bCs/>
          <w:sz w:val="21"/>
          <w:szCs w:val="21"/>
          <w:lang w:val="es-ES"/>
        </w:rPr>
        <w:t>3.9. Alcance de los conceptos C-836 y C-1101 de 2026</w:t>
      </w:r>
    </w:p>
    <w:p w14:paraId="28734BC7"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6A2ED0E8"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¿Cómo se articulan los criterios de esos conceptos sobre objeto material, obligación de ejecutar obras civiles y omisión de contratos con el supuesto de alternativas técnicas aquí planteado?</w:t>
      </w:r>
    </w:p>
    <w:p w14:paraId="2111364A"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p>
    <w:p w14:paraId="2C5C7ED7" w14:textId="77777777" w:rsidR="009850DE" w:rsidRPr="009850DE" w:rsidRDefault="009850DE" w:rsidP="009850DE">
      <w:pPr>
        <w:snapToGrid w:val="0"/>
        <w:spacing w:after="0" w:line="240" w:lineRule="auto"/>
        <w:ind w:left="720" w:right="709"/>
        <w:jc w:val="both"/>
        <w:rPr>
          <w:rFonts w:ascii="Verdana" w:eastAsia="Century Gothic" w:hAnsi="Verdana" w:cs="Century Gothic"/>
          <w:sz w:val="21"/>
          <w:szCs w:val="21"/>
          <w:lang w:val="es-ES"/>
        </w:rPr>
      </w:pPr>
      <w:r w:rsidRPr="009850DE">
        <w:rPr>
          <w:rFonts w:ascii="Verdana" w:eastAsia="Century Gothic" w:hAnsi="Verdana" w:cs="Century Gothic"/>
          <w:sz w:val="21"/>
          <w:szCs w:val="21"/>
          <w:lang w:val="es-ES"/>
        </w:rPr>
        <w:t>Solicito precisar si permiten equiparar la mera posibilidad contractual de construir con una obligación de obra reportable, o qué análisis adicional exige esa conclusión”.</w:t>
      </w:r>
    </w:p>
    <w:p w14:paraId="737ABC4B" w14:textId="77777777" w:rsidR="009850DE" w:rsidRPr="009850DE" w:rsidRDefault="009850DE" w:rsidP="009850DE">
      <w:pPr>
        <w:tabs>
          <w:tab w:val="left" w:pos="142"/>
          <w:tab w:val="left" w:pos="284"/>
        </w:tabs>
        <w:spacing w:line="276" w:lineRule="auto"/>
        <w:contextualSpacing/>
        <w:jc w:val="both"/>
        <w:rPr>
          <w:rFonts w:ascii="Verdana" w:eastAsia="Century Gothic" w:hAnsi="Verdana" w:cs="Century Gothic"/>
          <w:b/>
          <w:bCs/>
          <w:lang w:val="es-ES_tradnl"/>
        </w:rPr>
      </w:pPr>
    </w:p>
    <w:p w14:paraId="4696804F" w14:textId="77777777" w:rsidR="009850DE" w:rsidRPr="009850DE" w:rsidRDefault="009850DE" w:rsidP="009850DE">
      <w:pPr>
        <w:spacing w:after="120" w:line="276" w:lineRule="auto"/>
        <w:ind w:firstLine="709"/>
        <w:jc w:val="both"/>
        <w:rPr>
          <w:rFonts w:ascii="Verdana" w:eastAsia="Calibri" w:hAnsi="Verdana" w:cs="Arial"/>
          <w:lang w:val="es-ES" w:eastAsia="es-ES"/>
        </w:rPr>
      </w:pPr>
      <w:r w:rsidRPr="009850D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50DE">
        <w:rPr>
          <w:rFonts w:ascii="Calibri" w:eastAsia="Calibri" w:hAnsi="Calibri" w:cs="Times New Roman"/>
        </w:rPr>
        <w:tab/>
      </w:r>
    </w:p>
    <w:p w14:paraId="16C5224E" w14:textId="77777777" w:rsidR="009850DE" w:rsidRPr="009850DE" w:rsidRDefault="009850DE" w:rsidP="009850DE">
      <w:pPr>
        <w:snapToGrid w:val="0"/>
        <w:spacing w:after="0" w:line="276" w:lineRule="auto"/>
        <w:ind w:firstLine="709"/>
        <w:jc w:val="both"/>
        <w:rPr>
          <w:rFonts w:ascii="Verdana" w:eastAsia="Calibri" w:hAnsi="Verdana" w:cs="Arial"/>
          <w:lang w:val="es-ES_tradnl" w:eastAsia="es-ES"/>
        </w:rPr>
      </w:pPr>
      <w:r w:rsidRPr="009850DE">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3C1C861" w14:textId="77777777" w:rsidR="009850DE" w:rsidRPr="009850DE" w:rsidRDefault="009850DE" w:rsidP="009850DE">
      <w:pPr>
        <w:snapToGrid w:val="0"/>
        <w:spacing w:after="0" w:line="276" w:lineRule="auto"/>
        <w:ind w:firstLine="709"/>
        <w:jc w:val="both"/>
        <w:rPr>
          <w:rFonts w:ascii="Verdana" w:eastAsia="Calibri" w:hAnsi="Verdana" w:cs="Arial"/>
          <w:lang w:val="es-ES_tradnl" w:eastAsia="es-ES"/>
        </w:rPr>
      </w:pPr>
    </w:p>
    <w:p w14:paraId="5C30F3FF" w14:textId="77777777" w:rsidR="009850DE" w:rsidRPr="009850DE" w:rsidRDefault="009850DE" w:rsidP="009850D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850DE">
        <w:rPr>
          <w:rFonts w:ascii="Verdana" w:eastAsia="Century Gothic" w:hAnsi="Verdana" w:cs="Century Gothic"/>
          <w:b/>
          <w:bCs/>
          <w:lang w:val="es-ES_tradnl"/>
        </w:rPr>
        <w:t>Problema planteado:</w:t>
      </w:r>
    </w:p>
    <w:p w14:paraId="5D0D77C5" w14:textId="77777777" w:rsidR="009850DE" w:rsidRPr="009850DE" w:rsidRDefault="009850DE" w:rsidP="009850DE">
      <w:pPr>
        <w:tabs>
          <w:tab w:val="left" w:pos="426"/>
        </w:tabs>
        <w:snapToGrid w:val="0"/>
        <w:spacing w:after="0" w:line="276" w:lineRule="auto"/>
        <w:jc w:val="both"/>
        <w:rPr>
          <w:rFonts w:ascii="Verdana" w:eastAsia="Century Gothic" w:hAnsi="Verdana" w:cs="Century Gothic"/>
          <w:lang w:val="es-ES_tradnl"/>
        </w:rPr>
      </w:pPr>
    </w:p>
    <w:p w14:paraId="68B89D40" w14:textId="77777777" w:rsidR="009850DE" w:rsidRPr="009850DE" w:rsidRDefault="009850DE" w:rsidP="009850DE">
      <w:pPr>
        <w:snapToGrid w:val="0"/>
        <w:spacing w:after="0" w:line="276" w:lineRule="auto"/>
        <w:jc w:val="both"/>
        <w:rPr>
          <w:rFonts w:ascii="Verdana" w:eastAsia="Century Gothic" w:hAnsi="Verdana" w:cs="Century Gothic"/>
          <w:lang w:val="es-ES_tradnl"/>
        </w:rPr>
      </w:pPr>
      <w:r w:rsidRPr="009850DE">
        <w:rPr>
          <w:rFonts w:ascii="Verdana" w:eastAsia="Century Gothic" w:hAnsi="Verdana" w:cs="Century Gothic"/>
          <w:lang w:val="es-ES_tradnl"/>
        </w:rPr>
        <w:t>De acuerdo con el contenido de su solicitud, esta Agencia resolverá el siguiente problema jurídico sobre documentos tipo: ¿cuál es el alcance respecto al reporte de Saldos de Contratos en Ejecución (SCE) en los documentos tipo de infraestructura de transporte?</w:t>
      </w:r>
    </w:p>
    <w:p w14:paraId="0D75948B" w14:textId="77777777" w:rsidR="009850DE" w:rsidRPr="009850DE" w:rsidRDefault="009850DE" w:rsidP="009850DE">
      <w:pPr>
        <w:snapToGrid w:val="0"/>
        <w:spacing w:after="0" w:line="276" w:lineRule="auto"/>
        <w:jc w:val="both"/>
        <w:rPr>
          <w:rFonts w:ascii="Verdana" w:eastAsia="Calibri" w:hAnsi="Verdana" w:cs="Arial"/>
          <w:lang w:val="es-ES_tradnl"/>
        </w:rPr>
      </w:pPr>
    </w:p>
    <w:p w14:paraId="72D0485F" w14:textId="77777777" w:rsidR="009850DE" w:rsidRPr="009850DE" w:rsidRDefault="009850DE" w:rsidP="009850D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850DE">
        <w:rPr>
          <w:rFonts w:ascii="Verdana" w:eastAsia="Century Gothic" w:hAnsi="Verdana" w:cs="Century Gothic"/>
          <w:b/>
          <w:bCs/>
          <w:lang w:val="es-ES_tradnl"/>
        </w:rPr>
        <w:t>Respuesta:</w:t>
      </w:r>
    </w:p>
    <w:p w14:paraId="3B756756" w14:textId="77777777" w:rsidR="009850DE" w:rsidRPr="009850DE" w:rsidRDefault="009850DE" w:rsidP="009850DE">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50DE" w:rsidRPr="009850DE" w14:paraId="2476B565" w14:textId="77777777" w:rsidTr="0032582B">
        <w:tc>
          <w:tcPr>
            <w:tcW w:w="8828" w:type="dxa"/>
          </w:tcPr>
          <w:p w14:paraId="220A2DC7" w14:textId="77777777" w:rsidR="009850DE" w:rsidRPr="009850DE" w:rsidRDefault="009850DE" w:rsidP="009850DE">
            <w:pPr>
              <w:spacing w:after="120" w:line="276" w:lineRule="auto"/>
              <w:jc w:val="both"/>
              <w:rPr>
                <w:rFonts w:ascii="Verdana" w:eastAsia="Calibri" w:hAnsi="Verdana" w:cs="Arial"/>
                <w:lang w:eastAsia="en-GB"/>
              </w:rPr>
            </w:pPr>
            <w:r w:rsidRPr="009850DE">
              <w:rPr>
                <w:rFonts w:ascii="Verdana" w:eastAsia="Calibri" w:hAnsi="Verdana" w:cs="Arial"/>
                <w:lang w:eastAsia="en-GB"/>
              </w:rPr>
              <w:t xml:space="preserve">Para acreditar el factor </w:t>
            </w:r>
            <w:r w:rsidRPr="009850DE">
              <w:rPr>
                <w:rFonts w:ascii="Verdana" w:eastAsia="Calibri" w:hAnsi="Verdana" w:cs="Arial"/>
                <w:bCs/>
                <w:color w:val="000000"/>
                <w:lang w:val="es-MX" w:eastAsia="en-GB"/>
              </w:rPr>
              <w:t xml:space="preserve">saldos de los contratos en ejecución </w:t>
            </w:r>
            <w:r w:rsidRPr="009850DE">
              <w:rPr>
                <w:rFonts w:ascii="Verdana" w:eastAsia="Calibri" w:hAnsi="Verdana" w:cs="Arial"/>
                <w:bCs/>
                <w:color w:val="000000"/>
                <w:lang w:eastAsia="en-GB"/>
              </w:rPr>
              <w:t>“SCE”,</w:t>
            </w:r>
            <w:r w:rsidRPr="009850DE">
              <w:rPr>
                <w:rFonts w:ascii="Verdana" w:eastAsia="Calibri" w:hAnsi="Verdana" w:cs="Arial"/>
                <w:lang w:eastAsia="en-GB"/>
              </w:rPr>
              <w:t xml:space="preserve"> como lo establece la </w:t>
            </w:r>
            <w:r w:rsidRPr="009850DE">
              <w:rPr>
                <w:rFonts w:ascii="Verdana" w:eastAsia="Calibri" w:hAnsi="Verdana" w:cs="Arial"/>
                <w:color w:val="000000"/>
                <w:lang w:val="es-MX" w:eastAsia="en-GB"/>
              </w:rPr>
              <w:t>“Guía para Determinar y Verificar la Capacidad Residual del Proponente en los Procesos de Contratación de Obra Pública”</w:t>
            </w:r>
            <w:r w:rsidRPr="009850DE">
              <w:rPr>
                <w:rFonts w:ascii="Verdana" w:eastAsia="Calibri" w:hAnsi="Verdana" w:cs="Arial"/>
                <w:lang w:eastAsia="en-GB"/>
              </w:rPr>
              <w:t xml:space="preserve">, el proponente debe presentar la lista de contratos de obras civiles en ejecución, tanto a nivel nacional como internacional, señalando: i) el valor del contrato; </w:t>
            </w:r>
            <w:proofErr w:type="spellStart"/>
            <w:r w:rsidRPr="009850DE">
              <w:rPr>
                <w:rFonts w:ascii="Verdana" w:eastAsia="Calibri" w:hAnsi="Verdana" w:cs="Arial"/>
                <w:lang w:eastAsia="en-GB"/>
              </w:rPr>
              <w:t>ii</w:t>
            </w:r>
            <w:proofErr w:type="spellEnd"/>
            <w:r w:rsidRPr="009850DE">
              <w:rPr>
                <w:rFonts w:ascii="Verdana" w:eastAsia="Calibri" w:hAnsi="Verdana" w:cs="Arial"/>
                <w:lang w:eastAsia="en-GB"/>
              </w:rPr>
              <w:t xml:space="preserve">) el plazo de ejecución del contrato en meses; </w:t>
            </w:r>
            <w:proofErr w:type="spellStart"/>
            <w:r w:rsidRPr="009850DE">
              <w:rPr>
                <w:rFonts w:ascii="Verdana" w:eastAsia="Calibri" w:hAnsi="Verdana" w:cs="Arial"/>
                <w:lang w:eastAsia="en-GB"/>
              </w:rPr>
              <w:t>iii</w:t>
            </w:r>
            <w:proofErr w:type="spellEnd"/>
            <w:r w:rsidRPr="009850DE">
              <w:rPr>
                <w:rFonts w:ascii="Verdana" w:eastAsia="Calibri" w:hAnsi="Verdana" w:cs="Arial"/>
                <w:lang w:eastAsia="en-GB"/>
              </w:rPr>
              <w:t xml:space="preserve">) la fecha de inicio de las obras objeto del contrato (día, mes, año); </w:t>
            </w:r>
            <w:proofErr w:type="spellStart"/>
            <w:r w:rsidRPr="009850DE">
              <w:rPr>
                <w:rFonts w:ascii="Verdana" w:eastAsia="Calibri" w:hAnsi="Verdana" w:cs="Arial"/>
                <w:lang w:eastAsia="en-GB"/>
              </w:rPr>
              <w:t>iv</w:t>
            </w:r>
            <w:proofErr w:type="spellEnd"/>
            <w:r w:rsidRPr="009850DE">
              <w:rPr>
                <w:rFonts w:ascii="Verdana" w:eastAsia="Calibri" w:hAnsi="Verdana" w:cs="Arial"/>
                <w:lang w:eastAsia="en-GB"/>
              </w:rPr>
              <w:t xml:space="preserve">) si la obra la ejecuta un consorcio o unión temporal, junto con el porcentaje de participación del oferente que presenta </w:t>
            </w:r>
            <w:r w:rsidRPr="009850DE">
              <w:rPr>
                <w:rFonts w:ascii="Verdana" w:eastAsia="Calibri" w:hAnsi="Verdana" w:cs="Arial"/>
                <w:lang w:eastAsia="en-GB"/>
              </w:rPr>
              <w:lastRenderedPageBreak/>
              <w:t xml:space="preserve">el certificado; v) si el contrato se encuentra suspendido, y si es así, la fecha de suspensión, además del saldo pendiente por ejecutar. Si el proponente no tiene contratos en ejecución, en el certificado debe constar expresamente esa circunstancia. </w:t>
            </w:r>
          </w:p>
          <w:p w14:paraId="7B8AF578" w14:textId="77777777" w:rsidR="009850DE" w:rsidRPr="009850DE" w:rsidRDefault="009850DE" w:rsidP="009850DE">
            <w:pPr>
              <w:spacing w:line="276" w:lineRule="auto"/>
              <w:ind w:firstLine="709"/>
              <w:jc w:val="both"/>
              <w:rPr>
                <w:rFonts w:ascii="Verdana" w:eastAsia="Calibri" w:hAnsi="Verdana" w:cs="Arial"/>
                <w:lang w:eastAsia="en-GB"/>
              </w:rPr>
            </w:pPr>
            <w:r w:rsidRPr="009850DE">
              <w:rPr>
                <w:rFonts w:ascii="Verdana" w:eastAsia="Calibri" w:hAnsi="Verdana" w:cs="Arial"/>
                <w:lang w:eastAsia="en-GB"/>
              </w:rPr>
              <w:t>Ahora bien, teniendo en cuenta sus consultas, conviene señalar lo siguiente:</w:t>
            </w:r>
          </w:p>
          <w:p w14:paraId="1CF7F60E" w14:textId="77777777" w:rsidR="009850DE" w:rsidRPr="009850DE" w:rsidRDefault="009850DE" w:rsidP="009850DE">
            <w:pPr>
              <w:jc w:val="both"/>
              <w:rPr>
                <w:rFonts w:ascii="Verdana" w:eastAsia="Aptos" w:hAnsi="Verdana" w:cs="Times New Roman"/>
                <w:b/>
                <w:bCs/>
              </w:rPr>
            </w:pPr>
          </w:p>
          <w:p w14:paraId="6FA73B7E" w14:textId="77777777" w:rsidR="009850DE" w:rsidRPr="009850DE" w:rsidRDefault="009850DE" w:rsidP="009850DE">
            <w:pPr>
              <w:jc w:val="both"/>
              <w:rPr>
                <w:rFonts w:ascii="Verdana" w:eastAsia="Aptos" w:hAnsi="Verdana" w:cs="Times New Roman"/>
                <w:b/>
                <w:bCs/>
              </w:rPr>
            </w:pPr>
            <w:r w:rsidRPr="009850DE">
              <w:rPr>
                <w:rFonts w:ascii="Verdana" w:eastAsia="Aptos" w:hAnsi="Verdana" w:cs="Times New Roman"/>
                <w:b/>
                <w:bCs/>
              </w:rPr>
              <w:t>i. Criterio para determinar el deber de reporte.</w:t>
            </w:r>
          </w:p>
          <w:p w14:paraId="7DA24AC1" w14:textId="77777777" w:rsidR="009850DE" w:rsidRPr="009850DE" w:rsidRDefault="009850DE" w:rsidP="009850DE">
            <w:pPr>
              <w:jc w:val="both"/>
              <w:rPr>
                <w:rFonts w:ascii="Verdana" w:eastAsia="Aptos" w:hAnsi="Verdana" w:cs="Times New Roman"/>
              </w:rPr>
            </w:pPr>
          </w:p>
          <w:p w14:paraId="561AC33A" w14:textId="77777777" w:rsidR="009850DE" w:rsidRPr="009850DE" w:rsidRDefault="009850DE" w:rsidP="009850DE">
            <w:pPr>
              <w:spacing w:after="120" w:line="276" w:lineRule="auto"/>
              <w:jc w:val="both"/>
              <w:rPr>
                <w:rFonts w:ascii="Verdana" w:eastAsia="Aptos" w:hAnsi="Verdana" w:cs="Times New Roman"/>
              </w:rPr>
            </w:pPr>
            <w:r w:rsidRPr="009850DE">
              <w:rPr>
                <w:rFonts w:ascii="Verdana" w:eastAsia="Aptos" w:hAnsi="Verdana" w:cs="Times New Roman"/>
              </w:rPr>
              <w:t>La definición de Contrato en Ejecución contiene dos (2) elementos que deben concurrir, y el deber de reporte no nace si falta alguno:</w:t>
            </w:r>
          </w:p>
          <w:p w14:paraId="5BC05E50" w14:textId="77777777" w:rsidR="009850DE" w:rsidRPr="009850DE" w:rsidRDefault="009850DE" w:rsidP="009850DE">
            <w:pPr>
              <w:spacing w:after="120" w:line="276" w:lineRule="auto"/>
              <w:ind w:left="720"/>
              <w:jc w:val="both"/>
              <w:rPr>
                <w:rFonts w:ascii="Verdana" w:eastAsia="Aptos" w:hAnsi="Verdana" w:cs="Times New Roman"/>
              </w:rPr>
            </w:pPr>
            <w:r w:rsidRPr="009850DE">
              <w:rPr>
                <w:rFonts w:ascii="Verdana" w:eastAsia="Aptos" w:hAnsi="Verdana" w:cs="Times New Roman"/>
              </w:rPr>
              <w:t>1. Que el vínculo esté vigente a la fecha de presentación de la oferta, sin estar en etapa de liquidación ni liquidado, y que el contrato exista en algún momento anterior o posterior a esa fecha.</w:t>
            </w:r>
          </w:p>
          <w:p w14:paraId="7DEEFF85" w14:textId="77777777" w:rsidR="009850DE" w:rsidRPr="009850DE" w:rsidRDefault="009850DE" w:rsidP="009850DE">
            <w:pPr>
              <w:spacing w:line="276" w:lineRule="auto"/>
              <w:ind w:left="720"/>
              <w:jc w:val="both"/>
              <w:rPr>
                <w:rFonts w:ascii="Verdana" w:eastAsia="Aptos" w:hAnsi="Verdana" w:cs="Times New Roman"/>
              </w:rPr>
            </w:pPr>
            <w:r w:rsidRPr="009850DE">
              <w:rPr>
                <w:rFonts w:ascii="Verdana" w:eastAsia="Aptos" w:hAnsi="Verdana" w:cs="Times New Roman"/>
              </w:rPr>
              <w:t>2. Que el contrato obligue al proponente a ejecutar obras civiles y que el contrato permita, faculte o contemple la construcción entre varias alternativas.</w:t>
            </w:r>
          </w:p>
          <w:p w14:paraId="54CD9710" w14:textId="77777777" w:rsidR="009850DE" w:rsidRPr="009850DE" w:rsidRDefault="009850DE" w:rsidP="009850DE">
            <w:pPr>
              <w:spacing w:line="276" w:lineRule="auto"/>
              <w:ind w:firstLine="709"/>
              <w:jc w:val="both"/>
              <w:rPr>
                <w:rFonts w:ascii="Verdana" w:eastAsia="Aptos" w:hAnsi="Verdana" w:cs="Times New Roman"/>
              </w:rPr>
            </w:pPr>
          </w:p>
          <w:p w14:paraId="6E29237E" w14:textId="77777777" w:rsidR="009850DE" w:rsidRPr="009850DE" w:rsidRDefault="009850DE" w:rsidP="009850DE">
            <w:pPr>
              <w:jc w:val="both"/>
              <w:rPr>
                <w:rFonts w:ascii="Verdana" w:eastAsia="Aptos" w:hAnsi="Verdana" w:cs="Times New Roman"/>
                <w:b/>
                <w:bCs/>
              </w:rPr>
            </w:pPr>
            <w:proofErr w:type="spellStart"/>
            <w:r w:rsidRPr="009850DE">
              <w:rPr>
                <w:rFonts w:ascii="Verdana" w:eastAsia="Aptos" w:hAnsi="Verdana" w:cs="Times New Roman"/>
                <w:b/>
                <w:bCs/>
              </w:rPr>
              <w:t>ii</w:t>
            </w:r>
            <w:proofErr w:type="spellEnd"/>
            <w:r w:rsidRPr="009850DE">
              <w:rPr>
                <w:rFonts w:ascii="Verdana" w:eastAsia="Aptos" w:hAnsi="Verdana" w:cs="Times New Roman"/>
                <w:b/>
                <w:bCs/>
              </w:rPr>
              <w:t>. Momento en que surge el deber de inclusión.</w:t>
            </w:r>
          </w:p>
          <w:p w14:paraId="3B437B14" w14:textId="77777777" w:rsidR="009850DE" w:rsidRPr="009850DE" w:rsidRDefault="009850DE" w:rsidP="009850DE">
            <w:pPr>
              <w:jc w:val="both"/>
              <w:rPr>
                <w:rFonts w:ascii="Verdana" w:eastAsia="Aptos" w:hAnsi="Verdana" w:cs="Times New Roman"/>
              </w:rPr>
            </w:pPr>
          </w:p>
          <w:p w14:paraId="26D59418" w14:textId="77777777" w:rsidR="009850DE" w:rsidRPr="009850DE" w:rsidRDefault="009850DE" w:rsidP="009850DE">
            <w:pPr>
              <w:spacing w:after="120" w:line="276" w:lineRule="auto"/>
              <w:jc w:val="both"/>
              <w:rPr>
                <w:rFonts w:ascii="Verdana" w:eastAsia="Aptos" w:hAnsi="Verdana" w:cs="Times New Roman"/>
              </w:rPr>
            </w:pPr>
            <w:r w:rsidRPr="009850DE">
              <w:rPr>
                <w:rFonts w:ascii="Verdana" w:eastAsia="Aptos" w:hAnsi="Verdana" w:cs="Times New Roman"/>
              </w:rPr>
              <w:t>La sola inclusión de la construcción entre las alternativas posibles no genera, por sí misma, el deber de reportar el contrato desde su perfeccionamiento. Enumerar alternativas de cumplimiento es describir el campo de soluciones admisibles, no imponer una de ellas.</w:t>
            </w:r>
          </w:p>
          <w:p w14:paraId="6A9F30C9" w14:textId="77777777" w:rsidR="009850DE" w:rsidRPr="009850DE" w:rsidRDefault="009850DE" w:rsidP="009850DE">
            <w:pPr>
              <w:spacing w:after="120" w:line="276" w:lineRule="auto"/>
              <w:ind w:firstLine="709"/>
              <w:jc w:val="both"/>
              <w:rPr>
                <w:rFonts w:ascii="Verdana" w:eastAsia="Aptos" w:hAnsi="Verdana" w:cs="Times New Roman"/>
              </w:rPr>
            </w:pPr>
            <w:r w:rsidRPr="009850DE">
              <w:rPr>
                <w:rFonts w:ascii="Verdana" w:eastAsia="Aptos" w:hAnsi="Verdana" w:cs="Times New Roman"/>
              </w:rPr>
              <w:t>El deber de reporte depende del contenido obligacional y sigue esta regla temporal:</w:t>
            </w:r>
          </w:p>
          <w:p w14:paraId="781F8793" w14:textId="77777777" w:rsidR="009850DE" w:rsidRPr="009850DE" w:rsidRDefault="009850DE" w:rsidP="009850DE">
            <w:pPr>
              <w:numPr>
                <w:ilvl w:val="0"/>
                <w:numId w:val="19"/>
              </w:numPr>
              <w:spacing w:after="120" w:line="276" w:lineRule="auto"/>
              <w:jc w:val="both"/>
              <w:rPr>
                <w:rFonts w:ascii="Verdana" w:eastAsia="Aptos" w:hAnsi="Verdana" w:cs="Times New Roman"/>
              </w:rPr>
            </w:pPr>
            <w:r w:rsidRPr="009850DE">
              <w:rPr>
                <w:rFonts w:ascii="Verdana" w:eastAsia="Aptos" w:hAnsi="Verdana" w:cs="Times New Roman"/>
              </w:rPr>
              <w:t>Si el contrato, desde su perfeccionamiento, obliga a construir, porque el objeto no puede cumplirse sin obra civil, o porque la obra es prestación debida aunque sus diseños se elaboren luego, el deber de inclusión existe desde entonces y se mantiene mientras el vínculo esté vigente a la fecha de presentación de la oferta.</w:t>
            </w:r>
          </w:p>
          <w:p w14:paraId="6CA11C91" w14:textId="77777777" w:rsidR="009850DE" w:rsidRPr="009850DE" w:rsidRDefault="009850DE" w:rsidP="009850DE">
            <w:pPr>
              <w:numPr>
                <w:ilvl w:val="0"/>
                <w:numId w:val="19"/>
              </w:numPr>
              <w:spacing w:line="276" w:lineRule="auto"/>
              <w:ind w:left="1066" w:hanging="357"/>
              <w:jc w:val="both"/>
              <w:rPr>
                <w:rFonts w:ascii="Verdana" w:eastAsia="Aptos" w:hAnsi="Verdana" w:cs="Times New Roman"/>
              </w:rPr>
            </w:pPr>
            <w:r w:rsidRPr="009850DE">
              <w:rPr>
                <w:rFonts w:ascii="Verdana" w:eastAsia="Aptos" w:hAnsi="Verdana" w:cs="Times New Roman"/>
              </w:rPr>
              <w:t xml:space="preserve">Si el contrato admite cumplirse sin obra civil y la construcción es una de varias alternativas sujetas a selección, el deber de inclusión surge cuando se selecciona y aprueba, conforme a las reglas contractuales, </w:t>
            </w:r>
            <w:r w:rsidRPr="009850DE">
              <w:rPr>
                <w:rFonts w:ascii="Verdana" w:eastAsia="Aptos" w:hAnsi="Verdana" w:cs="Times New Roman"/>
              </w:rPr>
              <w:lastRenderedPageBreak/>
              <w:t>una solución que comprende obra civil. A partir de ese momento el contrato obliga a ejecutar obras civiles y, si la oferta se presenta después, es reportable.</w:t>
            </w:r>
          </w:p>
          <w:p w14:paraId="7BD1E4C7" w14:textId="77777777" w:rsidR="009850DE" w:rsidRPr="009850DE" w:rsidRDefault="009850DE" w:rsidP="009850DE">
            <w:pPr>
              <w:spacing w:line="276" w:lineRule="auto"/>
              <w:ind w:firstLine="709"/>
              <w:jc w:val="both"/>
              <w:rPr>
                <w:rFonts w:ascii="Verdana" w:eastAsia="Aptos" w:hAnsi="Verdana" w:cs="Times New Roman"/>
              </w:rPr>
            </w:pPr>
          </w:p>
          <w:p w14:paraId="3E429B1B" w14:textId="77777777" w:rsidR="009850DE" w:rsidRPr="009850DE" w:rsidRDefault="009850DE" w:rsidP="009850DE">
            <w:pPr>
              <w:jc w:val="both"/>
              <w:rPr>
                <w:rFonts w:ascii="Verdana" w:eastAsia="Aptos" w:hAnsi="Verdana" w:cs="Times New Roman"/>
                <w:b/>
                <w:bCs/>
              </w:rPr>
            </w:pPr>
            <w:proofErr w:type="spellStart"/>
            <w:r w:rsidRPr="009850DE">
              <w:rPr>
                <w:rFonts w:ascii="Verdana" w:eastAsia="Aptos" w:hAnsi="Verdana" w:cs="Times New Roman"/>
                <w:b/>
                <w:bCs/>
              </w:rPr>
              <w:t>iii</w:t>
            </w:r>
            <w:proofErr w:type="spellEnd"/>
            <w:r w:rsidRPr="009850DE">
              <w:rPr>
                <w:rFonts w:ascii="Verdana" w:eastAsia="Aptos" w:hAnsi="Verdana" w:cs="Times New Roman"/>
                <w:b/>
                <w:bCs/>
              </w:rPr>
              <w:t>. Alcance de la aprobación posterior.</w:t>
            </w:r>
          </w:p>
          <w:p w14:paraId="1C453B8B" w14:textId="77777777" w:rsidR="009850DE" w:rsidRPr="009850DE" w:rsidRDefault="009850DE" w:rsidP="009850DE">
            <w:pPr>
              <w:jc w:val="both"/>
              <w:rPr>
                <w:rFonts w:ascii="Verdana" w:eastAsia="Aptos" w:hAnsi="Verdana" w:cs="Times New Roman"/>
              </w:rPr>
            </w:pPr>
          </w:p>
          <w:p w14:paraId="270A0A15" w14:textId="77777777" w:rsidR="009850DE" w:rsidRPr="009850DE" w:rsidRDefault="009850DE" w:rsidP="009850DE">
            <w:pPr>
              <w:spacing w:after="120" w:line="276" w:lineRule="auto"/>
              <w:jc w:val="both"/>
              <w:rPr>
                <w:rFonts w:ascii="Verdana" w:eastAsia="Aptos" w:hAnsi="Verdana" w:cs="Times New Roman"/>
              </w:rPr>
            </w:pPr>
            <w:r w:rsidRPr="009850DE">
              <w:rPr>
                <w:rFonts w:ascii="Verdana" w:eastAsia="Aptos" w:hAnsi="Verdana" w:cs="Times New Roman"/>
              </w:rPr>
              <w:t xml:space="preserve">La sujeción de la factibilidad, el plan de inversiones y el plan de compras a aprobación no equivale a inexistencia de obligaciones contractuales, y así debe precisarse. Desde el perfeccionamiento el contratista está obligado a elaborar los estudios, a proponer la solución, a someterla a revisión, a ejecutar lo que se apruebe. Lo que la aprobación pendiente determina no es </w:t>
            </w:r>
            <w:r w:rsidRPr="009850DE">
              <w:rPr>
                <w:rFonts w:ascii="Verdana" w:eastAsia="Aptos" w:hAnsi="Verdana" w:cs="Times New Roman"/>
                <w:i/>
                <w:iCs/>
              </w:rPr>
              <w:t>si hay obligaciones</w:t>
            </w:r>
            <w:r w:rsidRPr="009850DE">
              <w:rPr>
                <w:rFonts w:ascii="Verdana" w:eastAsia="Aptos" w:hAnsi="Verdana" w:cs="Times New Roman"/>
              </w:rPr>
              <w:t xml:space="preserve">, sino </w:t>
            </w:r>
            <w:r w:rsidRPr="009850DE">
              <w:rPr>
                <w:rFonts w:ascii="Verdana" w:eastAsia="Aptos" w:hAnsi="Verdana" w:cs="Times New Roman"/>
                <w:i/>
                <w:iCs/>
              </w:rPr>
              <w:t>cuál es su contenido</w:t>
            </w:r>
            <w:r w:rsidRPr="009850DE">
              <w:rPr>
                <w:rFonts w:ascii="Verdana" w:eastAsia="Aptos" w:hAnsi="Verdana" w:cs="Times New Roman"/>
              </w:rPr>
              <w:t xml:space="preserve"> en materia de obra civil.</w:t>
            </w:r>
          </w:p>
          <w:p w14:paraId="47317F27" w14:textId="77777777" w:rsidR="009850DE" w:rsidRPr="009850DE" w:rsidRDefault="009850DE" w:rsidP="009850DE">
            <w:pPr>
              <w:spacing w:after="120" w:line="276" w:lineRule="auto"/>
              <w:ind w:firstLine="709"/>
              <w:jc w:val="both"/>
              <w:rPr>
                <w:rFonts w:ascii="Verdana" w:eastAsia="Aptos" w:hAnsi="Verdana" w:cs="Times New Roman"/>
              </w:rPr>
            </w:pPr>
            <w:r w:rsidRPr="009850DE">
              <w:rPr>
                <w:rFonts w:ascii="Verdana" w:eastAsia="Aptos" w:hAnsi="Verdana" w:cs="Times New Roman"/>
              </w:rPr>
              <w:t>La distinción pertinente es entre dos funciones que puede cumplir una aprobación posterior:</w:t>
            </w:r>
          </w:p>
          <w:p w14:paraId="50E7C57F" w14:textId="77777777" w:rsidR="009850DE" w:rsidRPr="009850DE" w:rsidRDefault="009850DE" w:rsidP="009850DE">
            <w:pPr>
              <w:spacing w:after="120" w:line="276" w:lineRule="auto"/>
              <w:ind w:left="720"/>
              <w:jc w:val="both"/>
              <w:rPr>
                <w:rFonts w:ascii="Verdana" w:eastAsia="Aptos" w:hAnsi="Verdana" w:cs="Times New Roman"/>
              </w:rPr>
            </w:pPr>
            <w:r w:rsidRPr="009850DE">
              <w:rPr>
                <w:rFonts w:ascii="Verdana" w:eastAsia="Aptos" w:hAnsi="Verdana" w:cs="Times New Roman"/>
                <w:b/>
                <w:bCs/>
              </w:rPr>
              <w:t>1. Aprobación que concreta una obligación de obra ya adquirida.</w:t>
            </w:r>
            <w:r w:rsidRPr="009850DE">
              <w:rPr>
                <w:rFonts w:ascii="Verdana" w:eastAsia="Aptos" w:hAnsi="Verdana" w:cs="Times New Roman"/>
              </w:rPr>
              <w:t xml:space="preserve"> El contrato ya obliga a construir y la aprobación recae sobre el cómo: diseños, cantidades, especificaciones, cronograma. Aquí la obligación de obra preexiste a la aprobación y el contrato es reportable desde el perfeccionamiento. Es el mismo supuesto del contrato de obra cuyos diseños de detalle se elaboran durante la ejecución, que su consulta distingue correctamente.</w:t>
            </w:r>
          </w:p>
          <w:p w14:paraId="66907A2B" w14:textId="77777777" w:rsidR="009850DE" w:rsidRPr="009850DE" w:rsidRDefault="009850DE" w:rsidP="009850DE">
            <w:pPr>
              <w:snapToGrid w:val="0"/>
              <w:spacing w:line="276" w:lineRule="auto"/>
              <w:ind w:left="720"/>
              <w:jc w:val="both"/>
              <w:rPr>
                <w:rFonts w:ascii="Verdana" w:eastAsia="Aptos" w:hAnsi="Verdana" w:cs="Times New Roman"/>
              </w:rPr>
            </w:pPr>
            <w:r w:rsidRPr="009850DE">
              <w:rPr>
                <w:rFonts w:ascii="Verdana" w:eastAsia="Aptos" w:hAnsi="Verdana" w:cs="Times New Roman"/>
                <w:b/>
                <w:bCs/>
              </w:rPr>
              <w:t>2. Aprobación que selecciona entre alternativas que pueden comprender o excluir obra.</w:t>
            </w:r>
            <w:r w:rsidRPr="009850DE">
              <w:rPr>
                <w:rFonts w:ascii="Verdana" w:eastAsia="Aptos" w:hAnsi="Verdana" w:cs="Times New Roman"/>
              </w:rPr>
              <w:t xml:space="preserve"> El contrato no obliga aún a construir, y la aprobación decide si la obra se incorpora o no al contenido obligacional. Aquí la obligación de obra no preexiste: nace, si nace, con la aprobación.</w:t>
            </w:r>
          </w:p>
          <w:p w14:paraId="4FABA614" w14:textId="77777777" w:rsidR="009850DE" w:rsidRPr="009850DE" w:rsidRDefault="009850DE" w:rsidP="009850DE">
            <w:pPr>
              <w:spacing w:line="276" w:lineRule="auto"/>
              <w:ind w:firstLine="709"/>
              <w:jc w:val="both"/>
              <w:rPr>
                <w:rFonts w:ascii="Verdana" w:eastAsia="Aptos" w:hAnsi="Verdana" w:cs="Times New Roman"/>
              </w:rPr>
            </w:pPr>
          </w:p>
          <w:p w14:paraId="070F1AAC" w14:textId="77777777" w:rsidR="009850DE" w:rsidRPr="009850DE" w:rsidRDefault="009850DE" w:rsidP="009850DE">
            <w:pPr>
              <w:jc w:val="both"/>
              <w:rPr>
                <w:rFonts w:ascii="Verdana" w:eastAsia="Aptos" w:hAnsi="Verdana" w:cs="Times New Roman"/>
                <w:b/>
                <w:bCs/>
              </w:rPr>
            </w:pPr>
            <w:proofErr w:type="spellStart"/>
            <w:r w:rsidRPr="009850DE">
              <w:rPr>
                <w:rFonts w:ascii="Verdana" w:eastAsia="Aptos" w:hAnsi="Verdana" w:cs="Times New Roman"/>
                <w:b/>
                <w:bCs/>
              </w:rPr>
              <w:t>iv</w:t>
            </w:r>
            <w:proofErr w:type="spellEnd"/>
            <w:r w:rsidRPr="009850DE">
              <w:rPr>
                <w:rFonts w:ascii="Verdana" w:eastAsia="Aptos" w:hAnsi="Verdana" w:cs="Times New Roman"/>
                <w:b/>
                <w:bCs/>
              </w:rPr>
              <w:t>. Diferencia frente a contratos suspendidos o sin acta de inicio.</w:t>
            </w:r>
          </w:p>
          <w:p w14:paraId="697EDDF2" w14:textId="77777777" w:rsidR="009850DE" w:rsidRPr="009850DE" w:rsidRDefault="009850DE" w:rsidP="009850DE">
            <w:pPr>
              <w:jc w:val="both"/>
              <w:rPr>
                <w:rFonts w:ascii="Verdana" w:eastAsia="Aptos" w:hAnsi="Verdana" w:cs="Times New Roman"/>
              </w:rPr>
            </w:pPr>
          </w:p>
          <w:p w14:paraId="43158639" w14:textId="77777777" w:rsidR="009850DE" w:rsidRPr="009850DE" w:rsidRDefault="009850DE" w:rsidP="009850DE">
            <w:pPr>
              <w:spacing w:after="120" w:line="276" w:lineRule="auto"/>
              <w:jc w:val="both"/>
              <w:rPr>
                <w:rFonts w:ascii="Verdana" w:eastAsia="Aptos" w:hAnsi="Verdana" w:cs="Times New Roman"/>
              </w:rPr>
            </w:pPr>
            <w:r w:rsidRPr="009850DE">
              <w:rPr>
                <w:rFonts w:ascii="Verdana" w:eastAsia="Aptos" w:hAnsi="Verdana" w:cs="Times New Roman"/>
              </w:rPr>
              <w:t>Sí la regla que incluye contratos suspendidos o sin acta de inicio presupone haber establecido previamente que el vínculo obliga a ejecutar obras civiles. No es una regla de calificación, sino de no exclusión.</w:t>
            </w:r>
          </w:p>
          <w:p w14:paraId="2BCB1578" w14:textId="77777777" w:rsidR="009850DE" w:rsidRPr="009850DE" w:rsidRDefault="009850DE" w:rsidP="009850DE">
            <w:pPr>
              <w:spacing w:after="120" w:line="276" w:lineRule="auto"/>
              <w:ind w:firstLine="709"/>
              <w:jc w:val="both"/>
              <w:rPr>
                <w:rFonts w:ascii="Verdana" w:eastAsia="Aptos" w:hAnsi="Verdana" w:cs="Times New Roman"/>
              </w:rPr>
            </w:pPr>
            <w:r w:rsidRPr="009850DE">
              <w:rPr>
                <w:rFonts w:ascii="Verdana" w:eastAsia="Aptos" w:hAnsi="Verdana" w:cs="Times New Roman"/>
              </w:rPr>
              <w:t xml:space="preserve">La estructura de la definición lo muestra. Primero fija el supuesto de hecho, es decir contratos que obligan a ejecutar obras civiles y solo después aclara que dentro de ese universo se incluyen los suspendidos y los que no </w:t>
            </w:r>
            <w:r w:rsidRPr="009850DE">
              <w:rPr>
                <w:rFonts w:ascii="Verdana" w:eastAsia="Aptos" w:hAnsi="Verdana" w:cs="Times New Roman"/>
              </w:rPr>
              <w:lastRenderedPageBreak/>
              <w:t>tienen acta de inicio. La mención cumple la función de impedir que circunstancias de la ejecución material saquen del cómputo a un contrato que sí obliga a construir.</w:t>
            </w:r>
          </w:p>
          <w:p w14:paraId="2903717D" w14:textId="77777777" w:rsidR="009850DE" w:rsidRPr="009850DE" w:rsidRDefault="009850DE" w:rsidP="009850DE">
            <w:pPr>
              <w:spacing w:after="120" w:line="276" w:lineRule="auto"/>
              <w:ind w:firstLine="709"/>
              <w:jc w:val="both"/>
              <w:rPr>
                <w:rFonts w:ascii="Verdana" w:eastAsia="Aptos" w:hAnsi="Verdana" w:cs="Times New Roman"/>
              </w:rPr>
            </w:pPr>
            <w:r w:rsidRPr="009850DE">
              <w:rPr>
                <w:rFonts w:ascii="Verdana" w:eastAsia="Aptos" w:hAnsi="Verdana" w:cs="Times New Roman"/>
              </w:rPr>
              <w:t>La Guía es expresa al explicar por qué el acta de inicio es irrelevante en este caso, en su numeral 9.5 que determina:</w:t>
            </w:r>
          </w:p>
          <w:p w14:paraId="04259A89" w14:textId="77777777" w:rsidR="009850DE" w:rsidRPr="009850DE" w:rsidRDefault="009850DE" w:rsidP="009850DE">
            <w:pPr>
              <w:spacing w:line="276" w:lineRule="auto"/>
              <w:ind w:firstLine="709"/>
              <w:jc w:val="both"/>
              <w:rPr>
                <w:rFonts w:ascii="Verdana" w:eastAsia="Aptos" w:hAnsi="Verdana" w:cs="Times New Roman"/>
              </w:rPr>
            </w:pPr>
            <w:r w:rsidRPr="009850DE">
              <w:rPr>
                <w:rFonts w:ascii="Verdana" w:eastAsia="Aptos" w:hAnsi="Verdana" w:cs="Times New Roman"/>
              </w:rPr>
              <w:t>¿Cómo calcular el Saldo de Contratos en Ejecución?</w:t>
            </w:r>
            <w:r w:rsidRPr="009850DE">
              <w:rPr>
                <w:rFonts w:ascii="Verdana" w:eastAsia="Aptos" w:hAnsi="Verdana" w:cs="Times New Roman"/>
              </w:rPr>
              <w:br/>
              <w:t xml:space="preserve">El proponente debe presentar un certificado suscrito por su representante legal y su revisor fiscal, si el proponente está obligado a tenerlo, o por el Contador Público o auditor independiente, para lo cual se sugiere el formato establecido en el Anexo 3 de la presente Guía. (...) </w:t>
            </w:r>
            <w:r w:rsidRPr="009850DE">
              <w:rPr>
                <w:rFonts w:ascii="Verdana" w:eastAsia="Aptos" w:hAnsi="Verdana" w:cs="Times New Roman"/>
                <w:i/>
                <w:iCs/>
              </w:rPr>
              <w:t>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w:t>
            </w:r>
          </w:p>
          <w:p w14:paraId="31A6303E" w14:textId="77777777" w:rsidR="009850DE" w:rsidRPr="009850DE" w:rsidRDefault="009850DE" w:rsidP="009850DE">
            <w:pPr>
              <w:spacing w:line="276" w:lineRule="auto"/>
              <w:ind w:firstLine="709"/>
              <w:jc w:val="both"/>
              <w:rPr>
                <w:rFonts w:ascii="Verdana" w:eastAsia="Aptos" w:hAnsi="Verdana" w:cs="Times New Roman"/>
              </w:rPr>
            </w:pPr>
          </w:p>
          <w:p w14:paraId="4F959663" w14:textId="77777777" w:rsidR="009850DE" w:rsidRPr="009850DE" w:rsidRDefault="009850DE" w:rsidP="009850DE">
            <w:pPr>
              <w:jc w:val="both"/>
              <w:rPr>
                <w:rFonts w:ascii="Verdana" w:eastAsia="Aptos" w:hAnsi="Verdana" w:cs="Times New Roman"/>
                <w:b/>
                <w:bCs/>
              </w:rPr>
            </w:pPr>
            <w:r w:rsidRPr="009850DE">
              <w:rPr>
                <w:rFonts w:ascii="Verdana" w:eastAsia="Aptos" w:hAnsi="Verdana" w:cs="Times New Roman"/>
                <w:b/>
                <w:bCs/>
              </w:rPr>
              <w:t>v. Elementos suficientes para la clasificación.</w:t>
            </w:r>
          </w:p>
          <w:p w14:paraId="38B721F7" w14:textId="77777777" w:rsidR="009850DE" w:rsidRPr="009850DE" w:rsidRDefault="009850DE" w:rsidP="009850DE">
            <w:pPr>
              <w:jc w:val="both"/>
              <w:rPr>
                <w:rFonts w:ascii="Verdana" w:eastAsia="Aptos" w:hAnsi="Verdana" w:cs="Times New Roman"/>
              </w:rPr>
            </w:pPr>
          </w:p>
          <w:p w14:paraId="649EDDF0" w14:textId="77777777" w:rsidR="009850DE" w:rsidRPr="009850DE" w:rsidRDefault="009850DE" w:rsidP="009850DE">
            <w:pPr>
              <w:spacing w:after="120" w:line="276" w:lineRule="auto"/>
              <w:jc w:val="both"/>
              <w:rPr>
                <w:rFonts w:ascii="Verdana" w:eastAsia="Aptos" w:hAnsi="Verdana" w:cs="Times New Roman"/>
              </w:rPr>
            </w:pPr>
            <w:r w:rsidRPr="009850DE">
              <w:rPr>
                <w:rFonts w:ascii="Verdana" w:eastAsia="Aptos" w:hAnsi="Verdana" w:cs="Times New Roman"/>
              </w:rPr>
              <w:t>Las menciones a construcción, plantas, edificaciones, diseños o licencias dentro de actividades potenciales o rubros presupuestales no son suficientes, por sí solas, para concluir que existe un contrato reportable en el SCE. Deben interpretarse conjuntamente con las cláusulas que regulan las alternativas de cumplimiento, la factibilidad y la selección de las inversiones.  La razón es que esas menciones pueden cumplir funciones distintas de la de imponer una obligación:</w:t>
            </w:r>
          </w:p>
          <w:p w14:paraId="3DB53EE4" w14:textId="77777777" w:rsidR="009850DE" w:rsidRPr="009850DE" w:rsidRDefault="009850DE" w:rsidP="009850DE">
            <w:pPr>
              <w:numPr>
                <w:ilvl w:val="0"/>
                <w:numId w:val="20"/>
              </w:numPr>
              <w:spacing w:after="120" w:line="276" w:lineRule="auto"/>
              <w:jc w:val="both"/>
              <w:rPr>
                <w:rFonts w:ascii="Verdana" w:eastAsia="Aptos" w:hAnsi="Verdana" w:cs="Times New Roman"/>
              </w:rPr>
            </w:pPr>
            <w:r w:rsidRPr="009850DE">
              <w:rPr>
                <w:rFonts w:ascii="Verdana" w:eastAsia="Aptos" w:hAnsi="Verdana" w:cs="Times New Roman"/>
              </w:rPr>
              <w:t>Un rubro presupuestal puede ser una previsión de disponibilidad para el caso en que la alternativa se seleccione, no la orden de ejecutarla. Su existencia prueba que la construcción es financiable, no que sea debida.</w:t>
            </w:r>
          </w:p>
          <w:p w14:paraId="6D3A9096" w14:textId="77777777" w:rsidR="009850DE" w:rsidRPr="009850DE" w:rsidRDefault="009850DE" w:rsidP="009850DE">
            <w:pPr>
              <w:numPr>
                <w:ilvl w:val="0"/>
                <w:numId w:val="20"/>
              </w:numPr>
              <w:spacing w:after="120" w:line="276" w:lineRule="auto"/>
              <w:jc w:val="both"/>
              <w:rPr>
                <w:rFonts w:ascii="Verdana" w:eastAsia="Aptos" w:hAnsi="Verdana" w:cs="Times New Roman"/>
              </w:rPr>
            </w:pPr>
            <w:r w:rsidRPr="009850DE">
              <w:rPr>
                <w:rFonts w:ascii="Verdana" w:eastAsia="Aptos" w:hAnsi="Verdana" w:cs="Times New Roman"/>
              </w:rPr>
              <w:t>Una actividad potencial enumerada en un anexo describe el menú de soluciones admisibles.</w:t>
            </w:r>
          </w:p>
          <w:p w14:paraId="7AC9A993" w14:textId="77777777" w:rsidR="009850DE" w:rsidRPr="009850DE" w:rsidRDefault="009850DE" w:rsidP="009850DE">
            <w:pPr>
              <w:numPr>
                <w:ilvl w:val="0"/>
                <w:numId w:val="20"/>
              </w:numPr>
              <w:spacing w:line="276" w:lineRule="auto"/>
              <w:ind w:left="1066" w:hanging="357"/>
              <w:jc w:val="both"/>
              <w:rPr>
                <w:rFonts w:ascii="Verdana" w:eastAsia="Aptos" w:hAnsi="Verdana" w:cs="Times New Roman"/>
              </w:rPr>
            </w:pPr>
            <w:r w:rsidRPr="009850DE">
              <w:rPr>
                <w:rFonts w:ascii="Verdana" w:eastAsia="Aptos" w:hAnsi="Verdana" w:cs="Times New Roman"/>
              </w:rPr>
              <w:t>Una mención a diseños o licencias puede corresponder a la fase de estructuración –identificar qué permisos requeriría cada alternativa– y no a una obligación de construir.</w:t>
            </w:r>
          </w:p>
          <w:p w14:paraId="257B5993" w14:textId="77777777" w:rsidR="009850DE" w:rsidRPr="009850DE" w:rsidRDefault="009850DE" w:rsidP="009850DE">
            <w:pPr>
              <w:spacing w:line="276" w:lineRule="auto"/>
              <w:ind w:firstLine="709"/>
              <w:jc w:val="both"/>
              <w:rPr>
                <w:rFonts w:ascii="Verdana" w:eastAsia="Aptos" w:hAnsi="Verdana" w:cs="Times New Roman"/>
              </w:rPr>
            </w:pPr>
          </w:p>
          <w:p w14:paraId="082828E8" w14:textId="77777777" w:rsidR="009850DE" w:rsidRPr="009850DE" w:rsidRDefault="009850DE" w:rsidP="009850DE">
            <w:pPr>
              <w:jc w:val="both"/>
              <w:rPr>
                <w:rFonts w:ascii="Verdana" w:eastAsia="Aptos" w:hAnsi="Verdana" w:cs="Times New Roman"/>
                <w:b/>
                <w:bCs/>
              </w:rPr>
            </w:pPr>
            <w:r w:rsidRPr="009850DE">
              <w:rPr>
                <w:rFonts w:ascii="Verdana" w:eastAsia="Aptos" w:hAnsi="Verdana" w:cs="Times New Roman"/>
                <w:b/>
                <w:bCs/>
              </w:rPr>
              <w:t>vi. Contratos que combinan prestaciones.</w:t>
            </w:r>
          </w:p>
          <w:p w14:paraId="07B61138" w14:textId="77777777" w:rsidR="009850DE" w:rsidRPr="009850DE" w:rsidRDefault="009850DE" w:rsidP="009850DE">
            <w:pPr>
              <w:jc w:val="both"/>
              <w:rPr>
                <w:rFonts w:ascii="Verdana" w:eastAsia="Aptos" w:hAnsi="Verdana" w:cs="Times New Roman"/>
              </w:rPr>
            </w:pPr>
          </w:p>
          <w:p w14:paraId="6EBF4903" w14:textId="77777777" w:rsidR="009850DE" w:rsidRPr="009850DE" w:rsidRDefault="009850DE" w:rsidP="009850DE">
            <w:pPr>
              <w:spacing w:after="120" w:line="276" w:lineRule="auto"/>
              <w:jc w:val="both"/>
              <w:rPr>
                <w:rFonts w:ascii="Verdana" w:eastAsia="Aptos" w:hAnsi="Verdana" w:cs="Times New Roman"/>
              </w:rPr>
            </w:pPr>
            <w:r w:rsidRPr="009850DE">
              <w:rPr>
                <w:rFonts w:ascii="Verdana" w:eastAsia="Aptos" w:hAnsi="Verdana" w:cs="Times New Roman"/>
              </w:rPr>
              <w:t>El criterio de inclusión es el mismo: si el contrato, a la fecha de presentación de la oferta, obliga a ejecutar obras civiles, aunque junto a servicios y suministros, es reportable; si no obliga a ello, no lo es. La combinación de prestaciones no crea un régimen intermedio.  Sobre la base de cálculo, la metodología opera sobre el valor total del contrato y su plazo total, no sobre un componente de obra desagregado, de conformidad a lo dispuesto en la Guía que lo establece en su numeral 9.5.</w:t>
            </w:r>
          </w:p>
          <w:p w14:paraId="3B60F6B8" w14:textId="77777777" w:rsidR="009850DE" w:rsidRPr="009850DE" w:rsidRDefault="009850DE" w:rsidP="009850DE">
            <w:pPr>
              <w:spacing w:line="276" w:lineRule="auto"/>
              <w:ind w:firstLine="709"/>
              <w:jc w:val="both"/>
              <w:rPr>
                <w:rFonts w:ascii="Verdana" w:eastAsia="Aptos" w:hAnsi="Verdana" w:cs="Times New Roman"/>
              </w:rPr>
            </w:pPr>
            <w:r w:rsidRPr="009850DE">
              <w:rPr>
                <w:rFonts w:ascii="Verdana" w:eastAsia="Aptos" w:hAnsi="Verdana" w:cs="Times New Roman"/>
              </w:rPr>
              <w:t>Las variables son, entonces, valor del contrato, plazo, fecha de inicio, días por ejecutar –con tope de 360– y porcentaje de participación. Lo confirma el propio aplicativo de la ANCP–CCE, en el formulario de contratos vigentes que debe capturar únicamente Valor (COP), Fecha de inicio, Plazo (meses), Oferente plural, Participación (%), si está suspendido y Fecha de suspensión. No existe campo para un componente de obra ni para un valor parcial, y el saldo diario se obtiene dividiendo el valor registrado entre el plazo registrado. La Certificación del Anexo 3 de la Guía sigue la misma estructura: columna (K) “Valor del contrato (incluir adicionales)”, no valor del componente.</w:t>
            </w:r>
          </w:p>
          <w:p w14:paraId="11E5C9C9" w14:textId="77777777" w:rsidR="009850DE" w:rsidRPr="009850DE" w:rsidRDefault="009850DE" w:rsidP="009850DE">
            <w:pPr>
              <w:spacing w:line="276" w:lineRule="auto"/>
              <w:ind w:firstLine="709"/>
              <w:jc w:val="both"/>
              <w:rPr>
                <w:rFonts w:ascii="Verdana" w:eastAsia="Aptos" w:hAnsi="Verdana" w:cs="Times New Roman"/>
              </w:rPr>
            </w:pPr>
          </w:p>
          <w:p w14:paraId="377AEECC" w14:textId="77777777" w:rsidR="009850DE" w:rsidRPr="009850DE" w:rsidRDefault="009850DE" w:rsidP="009850DE">
            <w:pPr>
              <w:jc w:val="both"/>
              <w:rPr>
                <w:rFonts w:ascii="Verdana" w:eastAsia="Aptos" w:hAnsi="Verdana" w:cs="Times New Roman"/>
                <w:b/>
                <w:bCs/>
              </w:rPr>
            </w:pPr>
            <w:proofErr w:type="spellStart"/>
            <w:r w:rsidRPr="009850DE">
              <w:rPr>
                <w:rFonts w:ascii="Verdana" w:eastAsia="Aptos" w:hAnsi="Verdana" w:cs="Times New Roman"/>
                <w:b/>
                <w:bCs/>
              </w:rPr>
              <w:t>vii</w:t>
            </w:r>
            <w:proofErr w:type="spellEnd"/>
            <w:r w:rsidRPr="009850DE">
              <w:rPr>
                <w:rFonts w:ascii="Verdana" w:eastAsia="Aptos" w:hAnsi="Verdana" w:cs="Times New Roman"/>
                <w:b/>
                <w:bCs/>
              </w:rPr>
              <w:t>. Soporte de la decisión de la entidad evaluadora.</w:t>
            </w:r>
          </w:p>
          <w:p w14:paraId="0227EC98" w14:textId="77777777" w:rsidR="009850DE" w:rsidRPr="009850DE" w:rsidRDefault="009850DE" w:rsidP="009850DE">
            <w:pPr>
              <w:jc w:val="both"/>
              <w:rPr>
                <w:rFonts w:ascii="Verdana" w:eastAsia="Aptos" w:hAnsi="Verdana" w:cs="Times New Roman"/>
              </w:rPr>
            </w:pPr>
          </w:p>
          <w:p w14:paraId="50AC2696" w14:textId="77777777" w:rsidR="009850DE" w:rsidRPr="009850DE" w:rsidRDefault="009850DE" w:rsidP="009850DE">
            <w:pPr>
              <w:spacing w:after="120" w:line="276" w:lineRule="auto"/>
              <w:jc w:val="both"/>
              <w:rPr>
                <w:rFonts w:ascii="Verdana" w:eastAsia="Aptos" w:hAnsi="Verdana" w:cs="Times New Roman"/>
              </w:rPr>
            </w:pPr>
            <w:r w:rsidRPr="009850DE">
              <w:rPr>
                <w:rFonts w:ascii="Verdana" w:eastAsia="Aptos" w:hAnsi="Verdana" w:cs="Times New Roman"/>
              </w:rPr>
              <w:t>Antes de concluir que un contrato con alternativas de ejecución debía reportarse como compromiso de obra civil, la entidad debe verificar y dejar expuesto en el informe de evaluación:</w:t>
            </w:r>
          </w:p>
          <w:p w14:paraId="77511824" w14:textId="77777777" w:rsidR="009850DE" w:rsidRPr="009850DE" w:rsidRDefault="009850DE" w:rsidP="009850DE">
            <w:pPr>
              <w:spacing w:after="120" w:line="276" w:lineRule="auto"/>
              <w:ind w:left="720"/>
              <w:jc w:val="both"/>
              <w:rPr>
                <w:rFonts w:ascii="Verdana" w:eastAsia="Aptos" w:hAnsi="Verdana" w:cs="Times New Roman"/>
              </w:rPr>
            </w:pPr>
            <w:r w:rsidRPr="009850DE">
              <w:rPr>
                <w:rFonts w:ascii="Verdana" w:eastAsia="Aptos" w:hAnsi="Verdana" w:cs="Times New Roman"/>
              </w:rPr>
              <w:t>1. Que el vínculo estaba vigente a la fecha de presentación de la oferta y no se encontraba en etapa de liquidación ni liquidado.</w:t>
            </w:r>
          </w:p>
          <w:p w14:paraId="7D181123" w14:textId="77777777" w:rsidR="009850DE" w:rsidRPr="009850DE" w:rsidRDefault="009850DE" w:rsidP="009850DE">
            <w:pPr>
              <w:spacing w:after="120" w:line="276" w:lineRule="auto"/>
              <w:ind w:left="720"/>
              <w:jc w:val="both"/>
              <w:rPr>
                <w:rFonts w:ascii="Verdana" w:eastAsia="Aptos" w:hAnsi="Verdana" w:cs="Times New Roman"/>
              </w:rPr>
            </w:pPr>
            <w:r w:rsidRPr="009850DE">
              <w:rPr>
                <w:rFonts w:ascii="Verdana" w:eastAsia="Aptos" w:hAnsi="Verdana" w:cs="Times New Roman"/>
              </w:rPr>
              <w:t>2. Cuál es la cláusula, obligación o estipulación concreta de la que surge el deber de ejecutar obras civiles, identificada de forma específica y no por remisión genérica al contrato o a sus anexos.</w:t>
            </w:r>
          </w:p>
          <w:p w14:paraId="1F5679DB" w14:textId="77777777" w:rsidR="009850DE" w:rsidRPr="009850DE" w:rsidRDefault="009850DE" w:rsidP="009850DE">
            <w:pPr>
              <w:spacing w:after="120" w:line="276" w:lineRule="auto"/>
              <w:ind w:left="720"/>
              <w:jc w:val="both"/>
              <w:rPr>
                <w:rFonts w:ascii="Verdana" w:eastAsia="Aptos" w:hAnsi="Verdana" w:cs="Times New Roman"/>
              </w:rPr>
            </w:pPr>
            <w:r w:rsidRPr="009850DE">
              <w:rPr>
                <w:rFonts w:ascii="Verdana" w:eastAsia="Aptos" w:hAnsi="Verdana" w:cs="Times New Roman"/>
              </w:rPr>
              <w:t>3. Que el contrato no admitía, conforme a su propio texto, cumplirse mediante una alternativa sin obra civil; o, si la admitía, que la alternativa con obra ya había sido seleccionada y aprobada antes de la fecha de presentación de la oferta.</w:t>
            </w:r>
          </w:p>
          <w:p w14:paraId="538D9010" w14:textId="77777777" w:rsidR="009850DE" w:rsidRPr="009850DE" w:rsidRDefault="009850DE" w:rsidP="009850DE">
            <w:pPr>
              <w:spacing w:after="120" w:line="276" w:lineRule="auto"/>
              <w:ind w:left="720"/>
              <w:jc w:val="both"/>
              <w:rPr>
                <w:rFonts w:ascii="Verdana" w:eastAsia="Aptos" w:hAnsi="Verdana" w:cs="Times New Roman"/>
              </w:rPr>
            </w:pPr>
            <w:r w:rsidRPr="009850DE">
              <w:rPr>
                <w:rFonts w:ascii="Verdana" w:eastAsia="Aptos" w:hAnsi="Verdana" w:cs="Times New Roman"/>
              </w:rPr>
              <w:lastRenderedPageBreak/>
              <w:t>4. Por qué las menciones a construcción, plantas, diseños, licencias o rubros en que se apoya constituyen obligación y no previsión de una alternativa posible.</w:t>
            </w:r>
          </w:p>
          <w:p w14:paraId="78DC96EB" w14:textId="77777777" w:rsidR="009850DE" w:rsidRPr="009850DE" w:rsidRDefault="009850DE" w:rsidP="009850DE">
            <w:pPr>
              <w:spacing w:line="276" w:lineRule="auto"/>
              <w:ind w:left="720"/>
              <w:jc w:val="both"/>
              <w:rPr>
                <w:rFonts w:ascii="Verdana" w:eastAsia="Aptos" w:hAnsi="Verdana" w:cs="Times New Roman"/>
              </w:rPr>
            </w:pPr>
            <w:r w:rsidRPr="009850DE">
              <w:rPr>
                <w:rFonts w:ascii="Verdana" w:eastAsia="Aptos" w:hAnsi="Verdana" w:cs="Times New Roman"/>
              </w:rPr>
              <w:t>5. El valor y el plazo del contrato y, con ellos, el efecto cuantitativo de la omisión sobre el SCE y sobre la capacidad residual del proponente.</w:t>
            </w:r>
          </w:p>
          <w:p w14:paraId="41969ECC" w14:textId="77777777" w:rsidR="009850DE" w:rsidRPr="009850DE" w:rsidRDefault="009850DE" w:rsidP="009850DE">
            <w:pPr>
              <w:spacing w:line="276" w:lineRule="auto"/>
              <w:ind w:firstLine="709"/>
              <w:jc w:val="both"/>
              <w:rPr>
                <w:rFonts w:ascii="Verdana" w:eastAsia="Aptos" w:hAnsi="Verdana" w:cs="Times New Roman"/>
              </w:rPr>
            </w:pPr>
          </w:p>
          <w:p w14:paraId="4A56C177" w14:textId="77777777" w:rsidR="009850DE" w:rsidRPr="009850DE" w:rsidRDefault="009850DE" w:rsidP="009850DE">
            <w:pPr>
              <w:jc w:val="both"/>
              <w:rPr>
                <w:rFonts w:ascii="Verdana" w:eastAsia="Aptos" w:hAnsi="Verdana" w:cs="Times New Roman"/>
                <w:b/>
                <w:bCs/>
              </w:rPr>
            </w:pPr>
            <w:proofErr w:type="spellStart"/>
            <w:r w:rsidRPr="009850DE">
              <w:rPr>
                <w:rFonts w:ascii="Verdana" w:eastAsia="Aptos" w:hAnsi="Verdana" w:cs="Times New Roman"/>
                <w:b/>
                <w:bCs/>
              </w:rPr>
              <w:t>viii</w:t>
            </w:r>
            <w:proofErr w:type="spellEnd"/>
            <w:r w:rsidRPr="009850DE">
              <w:rPr>
                <w:rFonts w:ascii="Verdana" w:eastAsia="Aptos" w:hAnsi="Verdana" w:cs="Times New Roman"/>
                <w:b/>
                <w:bCs/>
              </w:rPr>
              <w:t>. Aplicación de la causal de rechazo.</w:t>
            </w:r>
          </w:p>
          <w:p w14:paraId="7D48C566" w14:textId="77777777" w:rsidR="009850DE" w:rsidRPr="009850DE" w:rsidRDefault="009850DE" w:rsidP="009850DE">
            <w:pPr>
              <w:jc w:val="both"/>
              <w:rPr>
                <w:rFonts w:ascii="Verdana" w:eastAsia="Aptos" w:hAnsi="Verdana" w:cs="Times New Roman"/>
              </w:rPr>
            </w:pPr>
          </w:p>
          <w:p w14:paraId="6BC9CBB8" w14:textId="77777777" w:rsidR="009850DE" w:rsidRPr="009850DE" w:rsidRDefault="009850DE" w:rsidP="009850DE">
            <w:pPr>
              <w:snapToGrid w:val="0"/>
              <w:spacing w:after="120" w:line="276" w:lineRule="auto"/>
              <w:jc w:val="both"/>
              <w:rPr>
                <w:rFonts w:ascii="Verdana" w:eastAsia="Aptos" w:hAnsi="Verdana" w:cs="Times New Roman"/>
              </w:rPr>
            </w:pPr>
            <w:r w:rsidRPr="009850DE">
              <w:rPr>
                <w:rFonts w:ascii="Verdana" w:eastAsia="Aptos" w:hAnsi="Verdana" w:cs="Times New Roman"/>
              </w:rPr>
              <w:t>Para aplicar la causal del numeral 1.15 del Documento Base referida a la omisión de contratos en el Formato 5C, debe establecerse previamente que el contrato no informado pertenece al universo de contratos de obras civiles reportables conforme al numeral 3.11. La causal sanciona la omisión de un contrato reportable; si el contrato no lo era, no hay omisión que sancionar.</w:t>
            </w:r>
          </w:p>
          <w:p w14:paraId="379940D0" w14:textId="77777777" w:rsidR="009850DE" w:rsidRPr="009850DE" w:rsidRDefault="009850DE" w:rsidP="009850DE">
            <w:pPr>
              <w:snapToGrid w:val="0"/>
              <w:spacing w:line="276" w:lineRule="auto"/>
              <w:ind w:firstLine="709"/>
              <w:jc w:val="both"/>
              <w:rPr>
                <w:rFonts w:ascii="Verdana" w:eastAsia="Aptos" w:hAnsi="Verdana" w:cs="Times New Roman"/>
              </w:rPr>
            </w:pPr>
            <w:r w:rsidRPr="009850DE">
              <w:rPr>
                <w:rFonts w:ascii="Verdana" w:eastAsia="Aptos" w:hAnsi="Verdana" w:cs="Times New Roman"/>
              </w:rPr>
              <w:t>La precisión que usted formula de superar el mínimo de capacidad residual exigido no dispensa del deber de informar los contratos reportables. El Formato 5C es una declaración cuya integridad se exige con independencia del resultado del cálculo, porque de ella depende que la entidad pueda verificar el requisito habilitante. Conservar capacidad residual suficiente después de incorporar el contrato omitido no convierte la omisión en irrelevante.  En consecuencia, el alcance preciso de la causal, su literal y sus condiciones de aplicación son los del Documento Base vigente para el respectivo proceso, cuya aplicación corresponde a la entidad contratante.</w:t>
            </w:r>
          </w:p>
          <w:p w14:paraId="0D5845DB" w14:textId="77777777" w:rsidR="009850DE" w:rsidRPr="009850DE" w:rsidRDefault="009850DE" w:rsidP="009850DE">
            <w:pPr>
              <w:snapToGrid w:val="0"/>
              <w:spacing w:line="276" w:lineRule="auto"/>
              <w:ind w:firstLine="709"/>
              <w:jc w:val="both"/>
              <w:rPr>
                <w:rFonts w:ascii="Verdana" w:eastAsia="Aptos" w:hAnsi="Verdana" w:cs="Times New Roman"/>
              </w:rPr>
            </w:pPr>
          </w:p>
          <w:p w14:paraId="0E7C9151" w14:textId="77777777" w:rsidR="009850DE" w:rsidRPr="009850DE" w:rsidRDefault="009850DE" w:rsidP="009850DE">
            <w:pPr>
              <w:jc w:val="both"/>
              <w:rPr>
                <w:rFonts w:ascii="Verdana" w:eastAsia="Aptos" w:hAnsi="Verdana" w:cs="Times New Roman"/>
                <w:b/>
                <w:bCs/>
              </w:rPr>
            </w:pPr>
            <w:proofErr w:type="spellStart"/>
            <w:r w:rsidRPr="009850DE">
              <w:rPr>
                <w:rFonts w:ascii="Verdana" w:eastAsia="Aptos" w:hAnsi="Verdana" w:cs="Times New Roman"/>
                <w:b/>
                <w:bCs/>
              </w:rPr>
              <w:t>ix</w:t>
            </w:r>
            <w:proofErr w:type="spellEnd"/>
            <w:r w:rsidRPr="009850DE">
              <w:rPr>
                <w:rFonts w:ascii="Verdana" w:eastAsia="Aptos" w:hAnsi="Verdana" w:cs="Times New Roman"/>
                <w:b/>
                <w:bCs/>
              </w:rPr>
              <w:t>. Articulación con los conceptos C-836 y C-1101 de 2026.</w:t>
            </w:r>
          </w:p>
          <w:p w14:paraId="5BDF9116" w14:textId="77777777" w:rsidR="009850DE" w:rsidRPr="009850DE" w:rsidRDefault="009850DE" w:rsidP="009850DE">
            <w:pPr>
              <w:jc w:val="both"/>
              <w:rPr>
                <w:rFonts w:ascii="Verdana" w:eastAsia="Aptos" w:hAnsi="Verdana" w:cs="Times New Roman"/>
              </w:rPr>
            </w:pPr>
          </w:p>
          <w:p w14:paraId="2ACDEFD4" w14:textId="77777777" w:rsidR="009850DE" w:rsidRPr="009850DE" w:rsidRDefault="009850DE" w:rsidP="009850DE">
            <w:pPr>
              <w:snapToGrid w:val="0"/>
              <w:spacing w:after="120" w:line="276" w:lineRule="auto"/>
              <w:jc w:val="both"/>
              <w:rPr>
                <w:rFonts w:ascii="Verdana" w:eastAsia="Aptos" w:hAnsi="Verdana" w:cs="Times New Roman"/>
              </w:rPr>
            </w:pPr>
            <w:r w:rsidRPr="009850DE">
              <w:rPr>
                <w:rFonts w:ascii="Verdana" w:eastAsia="Aptos" w:hAnsi="Verdana" w:cs="Times New Roman"/>
              </w:rPr>
              <w:t>Los criterios de los conceptos C-836 y C-1101 de 2026 sobre objeto material, obligación de ejecutar obras civiles y omisión de contratos se articulan con el supuesto consultado del siguiente modo:</w:t>
            </w:r>
          </w:p>
          <w:p w14:paraId="39767501" w14:textId="77777777" w:rsidR="009850DE" w:rsidRPr="009850DE" w:rsidRDefault="009850DE" w:rsidP="009850DE">
            <w:pPr>
              <w:snapToGrid w:val="0"/>
              <w:spacing w:after="120" w:line="276" w:lineRule="auto"/>
              <w:ind w:firstLine="709"/>
              <w:jc w:val="both"/>
              <w:rPr>
                <w:rFonts w:ascii="Verdana" w:eastAsia="Aptos" w:hAnsi="Verdana" w:cs="Times New Roman"/>
              </w:rPr>
            </w:pPr>
            <w:r w:rsidRPr="009850DE">
              <w:rPr>
                <w:rFonts w:ascii="Verdana" w:eastAsia="Aptos" w:hAnsi="Verdana" w:cs="Times New Roman"/>
              </w:rPr>
              <w:t xml:space="preserve">El criterio del objeto material significa que la calificación de un contrato para efectos del SCE no depende de su denominación ni de la tipología que le haya asignado la entidad contratante, sino de las prestaciones realmente pactadas. Ese criterio opera en ambas direcciones, en atención a que impide que un contrato que materialmente obliga a construir se excluya del reporte por llamarse de otro modo, e impide igualmente que un contrato que materialmente no obliga a construir se incluya por contener vocabulario de </w:t>
            </w:r>
            <w:r w:rsidRPr="009850DE">
              <w:rPr>
                <w:rFonts w:ascii="Verdana" w:eastAsia="Aptos" w:hAnsi="Verdana" w:cs="Times New Roman"/>
              </w:rPr>
              <w:lastRenderedPageBreak/>
              <w:t>obra. Aplicado al supuesto de alternativas técnicas, obliga a examinar si el contratista está constreñido a ejecutar obra civil, no si el contrato habla de ella.  Lo que esos conceptos exigen acreditar es una obligación, con el contenido que el derecho de las obligaciones atribuye a ese término: una prestación debida y exigible, no una facultad ni una previsión eventual.</w:t>
            </w:r>
          </w:p>
          <w:p w14:paraId="10736ACD" w14:textId="77777777" w:rsidR="009850DE" w:rsidRPr="009850DE" w:rsidRDefault="009850DE" w:rsidP="009850DE">
            <w:pPr>
              <w:snapToGrid w:val="0"/>
              <w:spacing w:after="120" w:line="276" w:lineRule="auto"/>
              <w:ind w:firstLine="709"/>
              <w:jc w:val="both"/>
              <w:rPr>
                <w:rFonts w:ascii="Verdana" w:eastAsia="Aptos" w:hAnsi="Verdana" w:cs="Times New Roman"/>
              </w:rPr>
            </w:pPr>
            <w:r w:rsidRPr="009850DE">
              <w:rPr>
                <w:rFonts w:ascii="Verdana" w:eastAsia="Aptos" w:hAnsi="Verdana" w:cs="Times New Roman"/>
              </w:rPr>
              <w:t>En conclusión, corresponde al oferente aportar la documentación de correcta manera, y a la entidad contratante, en cada procedimiento, calificar si un contrato determinado obliga a ejecutar obras civiles a la fecha de presentación de la oferta y, en consecuencia, si debe reportarse en el Formato 5C. Al tratarse de un análisis que depende del contenido obligacional de cada contrato, esta Agencia no puede definir por vía consultiva un criterio universal y absoluto, sino brindar elementos de carácter general para que los partícipes del sistema de compras y contratación pública adopten la decisión que corresponda, lo cual es acorde con el principio de juridicidad.</w:t>
            </w:r>
          </w:p>
          <w:p w14:paraId="36D5003B" w14:textId="77777777" w:rsidR="009850DE" w:rsidRPr="009850DE" w:rsidRDefault="009850DE" w:rsidP="009850DE">
            <w:pPr>
              <w:snapToGrid w:val="0"/>
              <w:spacing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rPr>
              <w:t>Las afirmaciones aquí realizadas no pueden interpretarse como juicios de valor sobre circunstancias concretas. La solución de situaciones particulares corresponde a los interesados, previo concepto de sus asesores, y en caso de conflicto a las autoridades judiciales, fiscales y disciplinarias.</w:t>
            </w:r>
          </w:p>
        </w:tc>
      </w:tr>
    </w:tbl>
    <w:p w14:paraId="7919B4FC" w14:textId="77777777" w:rsidR="009850DE" w:rsidRPr="009850DE" w:rsidRDefault="009850DE" w:rsidP="009850DE">
      <w:pPr>
        <w:tabs>
          <w:tab w:val="left" w:pos="142"/>
          <w:tab w:val="left" w:pos="284"/>
        </w:tabs>
        <w:snapToGrid w:val="0"/>
        <w:spacing w:after="0" w:line="276" w:lineRule="auto"/>
        <w:jc w:val="both"/>
        <w:rPr>
          <w:rFonts w:ascii="Verdana" w:eastAsia="Century Gothic" w:hAnsi="Verdana" w:cs="Century Gothic"/>
          <w:b/>
          <w:bCs/>
          <w:lang w:val="es-ES_tradnl"/>
        </w:rPr>
      </w:pPr>
    </w:p>
    <w:p w14:paraId="6A412AD2" w14:textId="77777777" w:rsidR="009850DE" w:rsidRPr="009850DE" w:rsidRDefault="009850DE" w:rsidP="009850D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850DE">
        <w:rPr>
          <w:rFonts w:ascii="Verdana" w:eastAsia="Century Gothic" w:hAnsi="Verdana" w:cs="Century Gothic"/>
          <w:b/>
          <w:bCs/>
          <w:lang w:val="es-ES_tradnl"/>
        </w:rPr>
        <w:t>Razones de la respuesta:</w:t>
      </w:r>
    </w:p>
    <w:p w14:paraId="61149D1E" w14:textId="77777777" w:rsidR="009850DE" w:rsidRPr="009850DE" w:rsidRDefault="009850DE" w:rsidP="009850DE">
      <w:pPr>
        <w:snapToGrid w:val="0"/>
        <w:spacing w:after="0" w:line="276" w:lineRule="auto"/>
        <w:jc w:val="both"/>
        <w:rPr>
          <w:rFonts w:ascii="Verdana" w:eastAsia="Calibri" w:hAnsi="Verdana" w:cs="Arial"/>
          <w:lang w:val="es-ES_tradnl"/>
        </w:rPr>
      </w:pPr>
    </w:p>
    <w:p w14:paraId="6EDC7823" w14:textId="77777777" w:rsidR="009850DE" w:rsidRPr="009850DE" w:rsidRDefault="009850DE" w:rsidP="009850DE">
      <w:pPr>
        <w:snapToGrid w:val="0"/>
        <w:spacing w:after="0" w:line="276" w:lineRule="auto"/>
        <w:jc w:val="both"/>
        <w:rPr>
          <w:rFonts w:ascii="Verdana" w:eastAsia="Calibri" w:hAnsi="Verdana" w:cs="Arial"/>
          <w:lang w:val="es-ES_tradnl"/>
        </w:rPr>
      </w:pPr>
      <w:r w:rsidRPr="009850DE">
        <w:rPr>
          <w:rFonts w:ascii="Verdana" w:eastAsia="Calibri" w:hAnsi="Verdana" w:cs="Arial"/>
          <w:lang w:val="es-ES_tradnl"/>
        </w:rPr>
        <w:t xml:space="preserve">Lo anterior se sustenta en las siguientes consideraciones: </w:t>
      </w:r>
    </w:p>
    <w:p w14:paraId="1AF9DAAB" w14:textId="77777777" w:rsidR="009850DE" w:rsidRPr="009850DE" w:rsidRDefault="009850DE" w:rsidP="009850DE">
      <w:pPr>
        <w:snapToGrid w:val="0"/>
        <w:spacing w:after="0" w:line="276" w:lineRule="auto"/>
        <w:jc w:val="both"/>
        <w:rPr>
          <w:rFonts w:ascii="Verdana" w:eastAsia="Calibri" w:hAnsi="Verdana" w:cs="Arial"/>
          <w:lang w:val="es-ES_tradnl"/>
        </w:rPr>
      </w:pPr>
    </w:p>
    <w:p w14:paraId="7E4680A6" w14:textId="77777777" w:rsidR="009850DE" w:rsidRPr="009850DE" w:rsidRDefault="009850DE" w:rsidP="009850DE">
      <w:pPr>
        <w:spacing w:after="120" w:line="276" w:lineRule="auto"/>
        <w:jc w:val="both"/>
        <w:rPr>
          <w:rFonts w:ascii="Verdana" w:eastAsia="Calibri" w:hAnsi="Verdana" w:cs="Arial"/>
          <w:color w:val="000000"/>
          <w:lang w:val="es-MX" w:eastAsia="en-GB"/>
        </w:rPr>
      </w:pPr>
      <w:r w:rsidRPr="009850DE">
        <w:rPr>
          <w:rFonts w:ascii="Verdana" w:eastAsia="Calibri" w:hAnsi="Verdana" w:cs="Arial"/>
          <w:color w:val="000000"/>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9850DE">
        <w:rPr>
          <w:rFonts w:ascii="Verdana" w:eastAsia="Calibri" w:hAnsi="Verdana" w:cs="Arial"/>
          <w:color w:val="000000"/>
          <w:vertAlign w:val="superscript"/>
          <w:lang w:val="es-MX" w:eastAsia="en-GB"/>
        </w:rPr>
        <w:footnoteReference w:id="1"/>
      </w:r>
      <w:r w:rsidRPr="009850DE">
        <w:rPr>
          <w:rFonts w:ascii="Verdana" w:eastAsia="Calibri" w:hAnsi="Verdana" w:cs="Arial"/>
          <w:color w:val="000000"/>
          <w:lang w:val="es-MX" w:eastAsia="en-GB"/>
        </w:rPr>
        <w:t xml:space="preserve">. Por su parte, el Consejo </w:t>
      </w:r>
      <w:r w:rsidRPr="009850DE">
        <w:rPr>
          <w:rFonts w:ascii="Verdana" w:eastAsia="Calibri" w:hAnsi="Verdana" w:cs="Arial"/>
          <w:color w:val="000000"/>
          <w:lang w:val="es-MX" w:eastAsia="en-GB"/>
        </w:rPr>
        <w:lastRenderedPageBreak/>
        <w:t>de Estado ha definido la Capacidad Residual como “la diferencia que existe entre el potencial de contratación que se tiene y los compromisos que haya adquirido y que se encuentren en ejecución, para la fecha de presentación de la oferta”</w:t>
      </w:r>
      <w:r w:rsidRPr="009850DE">
        <w:rPr>
          <w:rFonts w:ascii="Verdana" w:eastAsia="Calibri" w:hAnsi="Verdana" w:cs="Arial"/>
          <w:color w:val="000000"/>
          <w:vertAlign w:val="superscript"/>
          <w:lang w:val="es-MX" w:eastAsia="en-GB"/>
        </w:rPr>
        <w:footnoteReference w:id="2"/>
      </w:r>
      <w:r w:rsidRPr="009850DE">
        <w:rPr>
          <w:rFonts w:ascii="Verdana" w:eastAsia="Calibri" w:hAnsi="Verdana" w:cs="Arial"/>
          <w:color w:val="000000"/>
          <w:lang w:val="es-MX" w:eastAsia="en-GB"/>
        </w:rPr>
        <w:t>.</w:t>
      </w:r>
    </w:p>
    <w:p w14:paraId="71C258C9" w14:textId="77777777" w:rsidR="009850DE" w:rsidRPr="009850DE" w:rsidRDefault="009850DE" w:rsidP="009850DE">
      <w:pPr>
        <w:spacing w:before="120" w:after="0" w:line="276" w:lineRule="auto"/>
        <w:ind w:firstLine="709"/>
        <w:jc w:val="both"/>
        <w:rPr>
          <w:rFonts w:ascii="Verdana" w:eastAsia="Calibri" w:hAnsi="Verdana" w:cs="Arial"/>
          <w:color w:val="000000"/>
          <w:lang w:val="es-MX" w:eastAsia="en-GB"/>
        </w:rPr>
      </w:pPr>
      <w:r w:rsidRPr="009850DE">
        <w:rPr>
          <w:rFonts w:ascii="Verdana" w:eastAsia="Calibri" w:hAnsi="Verdana" w:cs="Arial"/>
          <w:color w:val="000000"/>
          <w:lang w:val="es-MX" w:eastAsia="en-GB"/>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47D51A38" w14:textId="77777777" w:rsidR="009850DE" w:rsidRPr="009850DE" w:rsidRDefault="009850DE" w:rsidP="009850DE">
      <w:pPr>
        <w:spacing w:after="0" w:line="276" w:lineRule="auto"/>
        <w:ind w:firstLine="709"/>
        <w:jc w:val="both"/>
        <w:rPr>
          <w:rFonts w:ascii="Verdana" w:eastAsia="Calibri" w:hAnsi="Verdana" w:cs="Arial"/>
          <w:color w:val="000000"/>
          <w:lang w:val="es-MX" w:eastAsia="en-GB"/>
        </w:rPr>
      </w:pPr>
    </w:p>
    <w:p w14:paraId="555BB248" w14:textId="77777777" w:rsidR="009850DE" w:rsidRPr="009850DE" w:rsidRDefault="009850DE" w:rsidP="009850DE">
      <w:pPr>
        <w:spacing w:after="0" w:line="240" w:lineRule="auto"/>
        <w:ind w:left="709" w:right="709"/>
        <w:contextualSpacing/>
        <w:jc w:val="both"/>
        <w:rPr>
          <w:rFonts w:ascii="Verdana" w:eastAsia="Calibri" w:hAnsi="Verdana" w:cs="Arial"/>
          <w:color w:val="000000"/>
          <w:sz w:val="21"/>
          <w:szCs w:val="21"/>
          <w:lang w:val="es-MX" w:eastAsia="en-GB"/>
        </w:rPr>
      </w:pPr>
      <w:r w:rsidRPr="009850DE">
        <w:rPr>
          <w:rFonts w:ascii="Verdana" w:eastAsia="Calibri" w:hAnsi="Verdana" w:cs="Arial"/>
          <w:color w:val="000000"/>
          <w:sz w:val="21"/>
          <w:szCs w:val="21"/>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9D34920" w14:textId="77777777" w:rsidR="009850DE" w:rsidRPr="009850DE" w:rsidRDefault="009850DE" w:rsidP="009850DE">
      <w:pPr>
        <w:spacing w:after="0" w:line="240" w:lineRule="auto"/>
        <w:ind w:left="709" w:right="709"/>
        <w:contextualSpacing/>
        <w:jc w:val="both"/>
        <w:rPr>
          <w:rFonts w:ascii="Verdana" w:eastAsia="Calibri" w:hAnsi="Verdana" w:cs="Arial"/>
          <w:color w:val="000000"/>
          <w:sz w:val="21"/>
          <w:szCs w:val="21"/>
          <w:lang w:val="es-MX" w:eastAsia="en-GB"/>
        </w:rPr>
      </w:pPr>
    </w:p>
    <w:p w14:paraId="79A929B6" w14:textId="77777777" w:rsidR="009850DE" w:rsidRPr="009850DE" w:rsidRDefault="009850DE" w:rsidP="009850DE">
      <w:pPr>
        <w:spacing w:after="0" w:line="240" w:lineRule="auto"/>
        <w:ind w:left="709" w:right="709"/>
        <w:contextualSpacing/>
        <w:jc w:val="both"/>
        <w:rPr>
          <w:rFonts w:ascii="Verdana" w:eastAsia="Calibri" w:hAnsi="Verdana" w:cs="Arial"/>
          <w:color w:val="000000"/>
          <w:sz w:val="21"/>
          <w:szCs w:val="21"/>
          <w:lang w:val="es-MX" w:eastAsia="en-GB"/>
        </w:rPr>
      </w:pPr>
      <w:r w:rsidRPr="009850DE">
        <w:rPr>
          <w:rFonts w:ascii="Verdana" w:eastAsia="Calibri" w:hAnsi="Verdana" w:cs="Arial"/>
          <w:color w:val="000000"/>
          <w:sz w:val="21"/>
          <w:szCs w:val="21"/>
          <w:lang w:val="es-MX" w:eastAsia="en-GB"/>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9B22A31" w14:textId="77777777" w:rsidR="009850DE" w:rsidRPr="009850DE" w:rsidRDefault="009850DE" w:rsidP="009850DE">
      <w:pPr>
        <w:spacing w:after="0" w:line="276" w:lineRule="auto"/>
        <w:ind w:right="709"/>
        <w:jc w:val="both"/>
        <w:rPr>
          <w:rFonts w:ascii="Verdana" w:eastAsia="Calibri" w:hAnsi="Verdana" w:cs="Arial"/>
          <w:color w:val="000000"/>
          <w:lang w:val="es-MX" w:eastAsia="en-GB"/>
        </w:rPr>
      </w:pPr>
    </w:p>
    <w:p w14:paraId="73099C66" w14:textId="77777777" w:rsidR="009850DE" w:rsidRPr="009850DE" w:rsidRDefault="009850DE" w:rsidP="009850DE">
      <w:pPr>
        <w:spacing w:after="120" w:line="276" w:lineRule="auto"/>
        <w:ind w:firstLine="709"/>
        <w:jc w:val="both"/>
        <w:rPr>
          <w:rFonts w:ascii="Verdana" w:eastAsia="Calibri" w:hAnsi="Verdana" w:cs="Arial"/>
          <w:color w:val="000000"/>
          <w:lang w:eastAsia="en-GB"/>
        </w:rPr>
      </w:pPr>
      <w:r w:rsidRPr="009850DE">
        <w:rPr>
          <w:rFonts w:ascii="Verdana" w:eastAsia="Calibri" w:hAnsi="Verdana" w:cs="Arial"/>
          <w:color w:val="000000"/>
          <w:lang w:val="es-MX" w:eastAsia="en-GB"/>
        </w:rPr>
        <w:t xml:space="preserve">De acuerdo con </w:t>
      </w:r>
      <w:r w:rsidRPr="009850DE">
        <w:rPr>
          <w:rFonts w:ascii="Verdana" w:eastAsia="Calibri" w:hAnsi="Verdana"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52C1E5E5" w14:textId="77777777" w:rsidR="009850DE" w:rsidRPr="009850DE" w:rsidRDefault="009850DE" w:rsidP="009850DE">
      <w:pPr>
        <w:spacing w:after="120" w:line="276" w:lineRule="auto"/>
        <w:ind w:firstLine="709"/>
        <w:jc w:val="both"/>
        <w:rPr>
          <w:rFonts w:ascii="Verdana" w:eastAsia="Calibri" w:hAnsi="Verdana" w:cs="Arial"/>
          <w:color w:val="000000"/>
          <w:lang w:val="es-MX" w:eastAsia="en-GB"/>
        </w:rPr>
      </w:pPr>
      <w:bookmarkStart w:id="1" w:name="_Hlk103608376"/>
      <w:r w:rsidRPr="009850DE">
        <w:rPr>
          <w:rFonts w:ascii="Verdana" w:eastAsia="Calibri" w:hAnsi="Verdana" w:cs="Arial"/>
          <w:color w:val="000000"/>
          <w:lang w:val="es-MX" w:eastAsia="en-GB"/>
        </w:rPr>
        <w:lastRenderedPageBreak/>
        <w:t>Por su parte, el artículo 2.2.1.1.1.6.4 del Decreto 1082 de 2015 dispone que las Entidades Estatales deberán calcular la Capacidad Residual conforme a la metodología definida por la Agencia Nacional de Contratación Pública – Colombia Compra Eficiente. Para tales fines, resulta necesario tener en cuenta los factores de: i) Experiencia –E–, ii) Capacidad Financiera –CF–, iii) Capacidad Técnica –CT–, iv) Capacidad de Organización y v) los Saldos de los Contratos en Ejecución –SCE–.</w:t>
      </w:r>
    </w:p>
    <w:p w14:paraId="739D714F" w14:textId="77777777" w:rsidR="009850DE" w:rsidRPr="009850DE" w:rsidRDefault="009850DE" w:rsidP="009850DE">
      <w:pPr>
        <w:spacing w:after="120" w:line="276" w:lineRule="auto"/>
        <w:ind w:firstLine="709"/>
        <w:jc w:val="both"/>
        <w:rPr>
          <w:rFonts w:ascii="Verdana" w:eastAsia="Calibri" w:hAnsi="Verdana" w:cs="Arial"/>
          <w:lang w:val="es-MX" w:eastAsia="en-GB"/>
        </w:rPr>
      </w:pPr>
      <w:r w:rsidRPr="009850DE">
        <w:rPr>
          <w:rFonts w:ascii="Verdana" w:eastAsia="Calibri" w:hAnsi="Verdana" w:cs="Arial"/>
          <w:color w:val="000000"/>
          <w:lang w:val="es-MX" w:eastAsia="en-GB"/>
        </w:rPr>
        <w:t xml:space="preserve">De igual manera, </w:t>
      </w:r>
      <w:r w:rsidRPr="009850DE">
        <w:rPr>
          <w:rFonts w:ascii="Verdana" w:eastAsia="Calibri" w:hAnsi="Verdana" w:cs="Arial"/>
          <w:lang w:val="es-MX" w:eastAsia="en-GB"/>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1"/>
      <w:r w:rsidRPr="009850DE">
        <w:rPr>
          <w:rFonts w:ascii="Verdana" w:eastAsia="Calibri" w:hAnsi="Verdana" w:cs="Arial"/>
          <w:vertAlign w:val="superscript"/>
          <w:lang w:val="es-MX" w:eastAsia="en-GB"/>
        </w:rPr>
        <w:footnoteReference w:id="3"/>
      </w:r>
      <w:r w:rsidRPr="009850DE">
        <w:rPr>
          <w:rFonts w:ascii="Verdana" w:eastAsia="Calibri" w:hAnsi="Verdana" w:cs="Arial"/>
          <w:lang w:val="es-MX" w:eastAsia="en-GB"/>
        </w:rPr>
        <w:t xml:space="preserve">. </w:t>
      </w:r>
    </w:p>
    <w:p w14:paraId="7A10CBD9" w14:textId="77777777" w:rsidR="009850DE" w:rsidRPr="009850DE" w:rsidRDefault="009850DE" w:rsidP="009850DE">
      <w:pPr>
        <w:spacing w:after="120" w:line="276" w:lineRule="auto"/>
        <w:ind w:firstLine="709"/>
        <w:jc w:val="both"/>
        <w:rPr>
          <w:rFonts w:ascii="Verdana" w:eastAsia="Calibri" w:hAnsi="Verdana" w:cs="Arial"/>
          <w:bCs/>
          <w:color w:val="000000"/>
          <w:lang w:eastAsia="en-GB"/>
        </w:rPr>
      </w:pPr>
      <w:r w:rsidRPr="009850DE">
        <w:rPr>
          <w:rFonts w:ascii="Verdana" w:eastAsia="Calibri" w:hAnsi="Verdana" w:cs="Arial"/>
          <w:color w:val="000000"/>
          <w:lang w:val="es-MX" w:eastAsia="en-GB"/>
        </w:rPr>
        <w:t xml:space="preserve">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w:t>
      </w:r>
      <w:r w:rsidRPr="009850DE">
        <w:rPr>
          <w:rFonts w:ascii="Verdana" w:eastAsia="Calibri" w:hAnsi="Verdana" w:cs="Arial"/>
          <w:color w:val="000000"/>
          <w:lang w:val="es-MX" w:eastAsia="en-GB"/>
        </w:rPr>
        <w:lastRenderedPageBreak/>
        <w:t>Proceso de Contratación “CRPC” y, segundo, determinar si los proponentes cumplen con la Capacidad Residual del Proceso de Contratación, teniendo en cuenta la información mencionada en el párrafo precedente.</w:t>
      </w:r>
    </w:p>
    <w:p w14:paraId="71693040" w14:textId="77777777" w:rsidR="009850DE" w:rsidRPr="009850DE" w:rsidRDefault="009850DE" w:rsidP="009850DE">
      <w:pPr>
        <w:spacing w:after="120" w:line="276" w:lineRule="auto"/>
        <w:ind w:firstLine="709"/>
        <w:jc w:val="both"/>
        <w:rPr>
          <w:rFonts w:ascii="Verdana" w:eastAsia="Calibri" w:hAnsi="Verdana" w:cs="Arial"/>
          <w:bCs/>
          <w:color w:val="000000"/>
          <w:lang w:eastAsia="en-GB"/>
        </w:rPr>
      </w:pPr>
      <w:r w:rsidRPr="009850DE">
        <w:rPr>
          <w:rFonts w:ascii="Verdana" w:eastAsia="Calibri" w:hAnsi="Verdana" w:cs="Arial"/>
          <w:bCs/>
          <w:color w:val="000000"/>
          <w:lang w:eastAsia="en-GB"/>
        </w:rPr>
        <w:t>En relación con el primer aspecto, sobre la determinación de la Capacidad Residual del Proceso de Contratación “CRPC”, debe determinarse si el plazo del contrato es superior a doce (12) meses. Si no lo es, la CRPC equivale al presupuesto oficial estimado del Proceso de Contratación menos el anticipo o pago anticipado cuando haya lugar. Si lo es, equivale a la proporción lineal de doce (12) meses del presupuesto oficial estimado menos el anticipo o pago anticipado.</w:t>
      </w:r>
    </w:p>
    <w:p w14:paraId="6B6D0128" w14:textId="77777777" w:rsidR="009850DE" w:rsidRPr="009850DE" w:rsidRDefault="009850DE" w:rsidP="009850DE">
      <w:pPr>
        <w:spacing w:after="0" w:line="276" w:lineRule="auto"/>
        <w:ind w:firstLine="709"/>
        <w:jc w:val="both"/>
        <w:rPr>
          <w:rFonts w:ascii="Verdana" w:eastAsia="Calibri" w:hAnsi="Verdana" w:cs="Arial"/>
          <w:bCs/>
          <w:color w:val="000000"/>
          <w:lang w:eastAsia="en-GB"/>
        </w:rPr>
      </w:pPr>
      <w:r w:rsidRPr="009850DE">
        <w:rPr>
          <w:rFonts w:ascii="Verdana" w:eastAsia="Calibri" w:hAnsi="Verdana" w:cs="Arial"/>
          <w:bCs/>
          <w:color w:val="000000"/>
          <w:lang w:eastAsia="en-GB"/>
        </w:rPr>
        <w:t xml:space="preserve">En cuanto al segundo aspecto, sobre la validación de </w:t>
      </w:r>
      <w:bookmarkStart w:id="2" w:name="_Hlk68683272"/>
      <w:r w:rsidRPr="009850DE">
        <w:rPr>
          <w:rFonts w:ascii="Verdana" w:eastAsia="Calibri" w:hAnsi="Verdana" w:cs="Arial"/>
          <w:bCs/>
          <w:color w:val="000000"/>
          <w:lang w:eastAsia="en-GB"/>
        </w:rPr>
        <w:t>que cada proponente cumpla con la CRPC</w:t>
      </w:r>
      <w:bookmarkEnd w:id="2"/>
      <w:r w:rsidRPr="009850DE">
        <w:rPr>
          <w:rFonts w:ascii="Verdana" w:eastAsia="Calibri" w:hAnsi="Verdana" w:cs="Arial"/>
          <w:bCs/>
          <w:color w:val="000000"/>
          <w:lang w:eastAsia="en-GB"/>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9850DE">
        <w:rPr>
          <w:rFonts w:ascii="Verdana" w:eastAsia="Calibri" w:hAnsi="Verdana" w:cs="Arial"/>
          <w:bCs/>
          <w:color w:val="000000"/>
          <w:lang w:eastAsia="en-GB"/>
        </w:rPr>
        <w:t>ii</w:t>
      </w:r>
      <w:proofErr w:type="spellEnd"/>
      <w:r w:rsidRPr="009850DE">
        <w:rPr>
          <w:rFonts w:ascii="Verdana" w:eastAsia="Calibri" w:hAnsi="Verdana" w:cs="Arial"/>
          <w:bCs/>
          <w:color w:val="000000"/>
          <w:lang w:eastAsia="en-GB"/>
        </w:rPr>
        <w:t xml:space="preserve">) capacidad financiera “CF”; </w:t>
      </w:r>
      <w:proofErr w:type="spellStart"/>
      <w:r w:rsidRPr="009850DE">
        <w:rPr>
          <w:rFonts w:ascii="Verdana" w:eastAsia="Calibri" w:hAnsi="Verdana" w:cs="Arial"/>
          <w:bCs/>
          <w:color w:val="000000"/>
          <w:lang w:eastAsia="en-GB"/>
        </w:rPr>
        <w:t>iii</w:t>
      </w:r>
      <w:proofErr w:type="spellEnd"/>
      <w:r w:rsidRPr="009850DE">
        <w:rPr>
          <w:rFonts w:ascii="Verdana" w:eastAsia="Calibri" w:hAnsi="Verdana" w:cs="Arial"/>
          <w:bCs/>
          <w:color w:val="000000"/>
          <w:lang w:eastAsia="en-GB"/>
        </w:rPr>
        <w:t xml:space="preserve">) capacidad técnica “CT”; </w:t>
      </w:r>
      <w:proofErr w:type="spellStart"/>
      <w:r w:rsidRPr="009850DE">
        <w:rPr>
          <w:rFonts w:ascii="Verdana" w:eastAsia="Calibri" w:hAnsi="Verdana" w:cs="Arial"/>
          <w:bCs/>
          <w:color w:val="000000"/>
          <w:lang w:eastAsia="en-GB"/>
        </w:rPr>
        <w:t>iv</w:t>
      </w:r>
      <w:proofErr w:type="spellEnd"/>
      <w:r w:rsidRPr="009850DE">
        <w:rPr>
          <w:rFonts w:ascii="Verdana" w:eastAsia="Calibri" w:hAnsi="Verdana" w:cs="Arial"/>
          <w:bCs/>
          <w:color w:val="000000"/>
          <w:lang w:eastAsia="en-GB"/>
        </w:rPr>
        <w:t>) capacidad de organización “CO”, y v) los saldos de los contratos en ejecución “SCE”, según la siguiente formula:</w:t>
      </w:r>
    </w:p>
    <w:p w14:paraId="4FD249C0" w14:textId="77777777" w:rsidR="009850DE" w:rsidRPr="009850DE" w:rsidRDefault="009850DE" w:rsidP="009850DE">
      <w:pPr>
        <w:spacing w:after="0" w:line="276" w:lineRule="auto"/>
        <w:ind w:firstLine="709"/>
        <w:jc w:val="both"/>
        <w:rPr>
          <w:rFonts w:ascii="Verdana" w:eastAsia="Calibri" w:hAnsi="Verdana" w:cs="Arial"/>
          <w:bCs/>
          <w:color w:val="000000"/>
          <w:lang w:eastAsia="en-GB"/>
        </w:rPr>
      </w:pPr>
    </w:p>
    <w:p w14:paraId="51642C15" w14:textId="77777777" w:rsidR="009850DE" w:rsidRPr="009850DE" w:rsidRDefault="009850DE" w:rsidP="009850DE">
      <w:pPr>
        <w:spacing w:after="0" w:line="276" w:lineRule="auto"/>
        <w:ind w:firstLine="709"/>
        <w:rPr>
          <w:rFonts w:ascii="Verdana" w:eastAsia="Calibri" w:hAnsi="Verdana" w:cs="Arial"/>
          <w:bCs/>
          <w:color w:val="000000"/>
          <w:lang w:eastAsia="en-GB"/>
        </w:rPr>
      </w:pPr>
      <w:r w:rsidRPr="009850DE">
        <w:rPr>
          <w:rFonts w:ascii="Verdana" w:eastAsia="Calibri" w:hAnsi="Verdana" w:cs="Arial"/>
          <w:bCs/>
          <w:noProof/>
          <w:color w:val="000000"/>
          <w:lang w:eastAsia="en-GB"/>
        </w:rPr>
        <w:drawing>
          <wp:inline distT="0" distB="0" distL="0" distR="0" wp14:anchorId="5E6C0B40" wp14:editId="71F86DFD">
            <wp:extent cx="4095115" cy="460989"/>
            <wp:effectExtent l="0" t="0" r="635" b="0"/>
            <wp:docPr id="6159233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23349" name=""/>
                    <pic:cNvPicPr/>
                  </pic:nvPicPr>
                  <pic:blipFill>
                    <a:blip r:embed="rId11"/>
                    <a:stretch>
                      <a:fillRect/>
                    </a:stretch>
                  </pic:blipFill>
                  <pic:spPr>
                    <a:xfrm>
                      <a:off x="0" y="0"/>
                      <a:ext cx="4208786" cy="473785"/>
                    </a:xfrm>
                    <a:prstGeom prst="rect">
                      <a:avLst/>
                    </a:prstGeom>
                  </pic:spPr>
                </pic:pic>
              </a:graphicData>
            </a:graphic>
          </wp:inline>
        </w:drawing>
      </w:r>
    </w:p>
    <w:p w14:paraId="0AFBF999" w14:textId="77777777" w:rsidR="009850DE" w:rsidRPr="009850DE" w:rsidRDefault="009850DE" w:rsidP="009850DE">
      <w:pPr>
        <w:spacing w:after="0" w:line="276" w:lineRule="auto"/>
        <w:contextualSpacing/>
        <w:jc w:val="both"/>
        <w:rPr>
          <w:rFonts w:ascii="Verdana" w:eastAsia="Calibri" w:hAnsi="Verdana" w:cs="Arial"/>
          <w:bCs/>
          <w:color w:val="000000"/>
          <w:lang w:val="es-MX" w:eastAsia="en-GB"/>
        </w:rPr>
      </w:pPr>
    </w:p>
    <w:p w14:paraId="7FA31F7F" w14:textId="77777777" w:rsidR="009850DE" w:rsidRPr="009850DE" w:rsidRDefault="009850DE" w:rsidP="009850DE">
      <w:pPr>
        <w:spacing w:after="120" w:line="276" w:lineRule="auto"/>
        <w:ind w:firstLine="709"/>
        <w:jc w:val="both"/>
        <w:rPr>
          <w:rFonts w:ascii="Verdana" w:eastAsia="Times New Roman" w:hAnsi="Verdana" w:cs="Arial"/>
          <w:kern w:val="2"/>
          <w:lang w:eastAsia="es-MX"/>
          <w14:ligatures w14:val="standardContextual"/>
        </w:rPr>
      </w:pPr>
      <w:bookmarkStart w:id="3" w:name="_Hlk128390666"/>
      <w:r w:rsidRPr="009850DE">
        <w:rPr>
          <w:rFonts w:ascii="Verdana" w:eastAsia="Times New Roman" w:hAnsi="Verdana" w:cs="Arial"/>
          <w:kern w:val="2"/>
          <w:lang w:eastAsia="es-MX"/>
          <w14:ligatures w14:val="standardContextual"/>
        </w:rPr>
        <w:t xml:space="preserve">Por otra parte, esta Agencia ha manifestado en anteriores oportunidades que los contratos en ejecución son aquellos que, a la fecha de presentación de la oferta, obligan al proponente con Entidades Estatales y con entidades privadas para ejecutar obras públicas, incluyendo la ejecución de obras civiles en los contratos de concesión y los contratos de obra suscritos con concesionarios, incluyendo los contratos suspendidos y aquellos que no tengan acta de inicio. Es decir, los saldos pendientes se derivan de las obligaciones que se encuentran en ejecución al momento de la presentación de la oferta. A este respecto, no se entenderán como contratos en ejecución los que se encuentren en liquidación o liquidados. Teniendo en cuenta que los contratos en ejecución son aquellos que a la fecha de presentación de la oferta obligan al proponente, se aclara que deben tenerse en cuenta los contratos sin acta de inicio, pues el criterio </w:t>
      </w:r>
      <w:r w:rsidRPr="009850DE">
        <w:rPr>
          <w:rFonts w:ascii="Verdana" w:eastAsia="Times New Roman" w:hAnsi="Verdana" w:cs="Arial"/>
          <w:kern w:val="2"/>
          <w:lang w:eastAsia="es-MX"/>
          <w14:ligatures w14:val="standardContextual"/>
        </w:rPr>
        <w:lastRenderedPageBreak/>
        <w:t>determinante para establecer si un contrato se encuentra en ejecución no lo determina el acta de inicio, sino que el mismo obligue al proponente</w:t>
      </w:r>
      <w:r w:rsidRPr="009850DE">
        <w:rPr>
          <w:rFonts w:ascii="Verdana" w:eastAsia="Times New Roman" w:hAnsi="Verdana" w:cs="Arial"/>
          <w:kern w:val="2"/>
          <w:vertAlign w:val="superscript"/>
          <w:lang w:eastAsia="es-MX"/>
          <w14:ligatures w14:val="standardContextual"/>
        </w:rPr>
        <w:footnoteReference w:id="4"/>
      </w:r>
      <w:r w:rsidRPr="009850DE">
        <w:rPr>
          <w:rFonts w:ascii="Verdana" w:eastAsia="Times New Roman" w:hAnsi="Verdana" w:cs="Arial"/>
          <w:kern w:val="2"/>
          <w:lang w:eastAsia="es-MX"/>
          <w14:ligatures w14:val="standardContextual"/>
        </w:rPr>
        <w:t xml:space="preserve">.  </w:t>
      </w:r>
      <w:bookmarkEnd w:id="3"/>
    </w:p>
    <w:p w14:paraId="2FFC3ED4" w14:textId="77777777" w:rsidR="009850DE" w:rsidRPr="009850DE" w:rsidRDefault="009850DE" w:rsidP="009850DE">
      <w:pPr>
        <w:spacing w:after="0" w:line="276" w:lineRule="auto"/>
        <w:ind w:firstLine="709"/>
        <w:jc w:val="both"/>
        <w:rPr>
          <w:rFonts w:ascii="Verdana" w:eastAsia="Calibri" w:hAnsi="Verdana" w:cs="Arial"/>
          <w:i/>
          <w:iCs/>
          <w:lang w:eastAsia="en-GB"/>
        </w:rPr>
      </w:pPr>
      <w:r w:rsidRPr="009850DE">
        <w:rPr>
          <w:rFonts w:ascii="Verdana" w:eastAsia="Calibri" w:hAnsi="Verdana" w:cs="Arial"/>
          <w:bCs/>
          <w:color w:val="000000"/>
          <w:lang w:val="es-MX" w:eastAsia="en-GB"/>
        </w:rPr>
        <w:t xml:space="preserve">Particularmente, </w:t>
      </w:r>
      <w:bookmarkStart w:id="4" w:name="_Hlk100139879"/>
      <w:r w:rsidRPr="009850DE">
        <w:rPr>
          <w:rFonts w:ascii="Verdana" w:eastAsia="Calibri" w:hAnsi="Verdana" w:cs="Arial"/>
          <w:bCs/>
          <w:color w:val="000000"/>
          <w:lang w:val="es-MX" w:eastAsia="en-GB"/>
        </w:rPr>
        <w:t xml:space="preserve">respecto del factor de saldos de los contratos en ejecución </w:t>
      </w:r>
      <w:r w:rsidRPr="009850DE">
        <w:rPr>
          <w:rFonts w:ascii="Verdana" w:eastAsia="Calibri" w:hAnsi="Verdana" w:cs="Arial"/>
          <w:bCs/>
          <w:color w:val="000000"/>
          <w:lang w:eastAsia="en-GB"/>
        </w:rPr>
        <w:t>“SCE”,</w:t>
      </w:r>
      <w:r w:rsidRPr="009850DE">
        <w:rPr>
          <w:rFonts w:ascii="Verdana" w:eastAsia="Calibri" w:hAnsi="Verdana" w:cs="Arial"/>
          <w:lang w:eastAsia="en-GB"/>
        </w:rPr>
        <w:t xml:space="preserve"> es necesario tener en cuenta que la “Guía para Determinar y Verificar la Capacidad Residual del Proponente en los Procesos de Contratación de Obra Pública”</w:t>
      </w:r>
      <w:r w:rsidRPr="009850DE">
        <w:rPr>
          <w:rFonts w:ascii="Verdana" w:eastAsia="Calibri" w:hAnsi="Verdana" w:cs="Arial"/>
          <w:i/>
          <w:iCs/>
          <w:lang w:eastAsia="en-GB"/>
        </w:rPr>
        <w:t xml:space="preserve">, </w:t>
      </w:r>
      <w:r w:rsidRPr="009850DE">
        <w:rPr>
          <w:rFonts w:ascii="Verdana" w:eastAsia="Calibri" w:hAnsi="Verdana" w:cs="Arial"/>
          <w:lang w:eastAsia="en-GB"/>
        </w:rPr>
        <w:t xml:space="preserve">define a este factor </w:t>
      </w:r>
      <w:r w:rsidRPr="009850DE">
        <w:rPr>
          <w:rFonts w:ascii="Verdana" w:eastAsia="Calibri" w:hAnsi="Verdana" w:cs="Arial"/>
          <w:bCs/>
          <w:color w:val="000000"/>
          <w:lang w:eastAsia="en-GB"/>
        </w:rPr>
        <w:t>como “la suma de los montos por ejecutar de los contratos en ejecución durante los 12 meses siguientes</w:t>
      </w:r>
      <w:bookmarkEnd w:id="4"/>
      <w:r w:rsidRPr="009850DE">
        <w:rPr>
          <w:rFonts w:ascii="Verdana" w:eastAsia="Calibri" w:hAnsi="Verdana" w:cs="Arial"/>
          <w:bCs/>
          <w:color w:val="000000"/>
          <w:lang w:eastAsia="en-GB"/>
        </w:rPr>
        <w:t>”. Así mismo, define los</w:t>
      </w:r>
      <w:r w:rsidRPr="009850DE">
        <w:rPr>
          <w:rFonts w:ascii="Verdana" w:eastAsia="Calibri" w:hAnsi="Verdana" w:cs="Arial"/>
          <w:lang w:eastAsia="en-GB"/>
        </w:rPr>
        <w:t xml:space="preserve"> </w:t>
      </w:r>
      <w:bookmarkStart w:id="5" w:name="_Hlk78819022"/>
      <w:r w:rsidRPr="009850DE">
        <w:rPr>
          <w:rFonts w:ascii="Verdana" w:eastAsia="Calibri" w:hAnsi="Verdana" w:cs="Arial"/>
          <w:i/>
          <w:iCs/>
          <w:lang w:eastAsia="en-GB"/>
        </w:rPr>
        <w:t>Contratos en Ejecución</w:t>
      </w:r>
      <w:r w:rsidRPr="009850DE">
        <w:rPr>
          <w:rFonts w:ascii="Verdana" w:eastAsia="Calibri" w:hAnsi="Verdana" w:cs="Arial"/>
          <w:lang w:eastAsia="en-GB"/>
        </w:rPr>
        <w:t xml:space="preserve"> </w:t>
      </w:r>
      <w:bookmarkEnd w:id="5"/>
      <w:r w:rsidRPr="009850DE">
        <w:rPr>
          <w:rFonts w:ascii="Verdana" w:eastAsia="Calibri" w:hAnsi="Verdana" w:cs="Arial"/>
          <w:lang w:eastAsia="en-GB"/>
        </w:rPr>
        <w:t xml:space="preserve">de la siguiente manera: </w:t>
      </w:r>
      <w:r w:rsidRPr="009850DE">
        <w:rPr>
          <w:rFonts w:ascii="Verdana" w:eastAsia="Calibri" w:hAnsi="Verdana" w:cs="Arial"/>
          <w:i/>
          <w:iCs/>
          <w:lang w:eastAsia="en-GB"/>
        </w:rPr>
        <w:t xml:space="preserve"> </w:t>
      </w:r>
    </w:p>
    <w:p w14:paraId="7B030FDF" w14:textId="77777777" w:rsidR="009850DE" w:rsidRPr="009850DE" w:rsidRDefault="009850DE" w:rsidP="009850DE">
      <w:pPr>
        <w:spacing w:after="0" w:line="276" w:lineRule="auto"/>
        <w:ind w:firstLine="709"/>
        <w:contextualSpacing/>
        <w:jc w:val="both"/>
        <w:rPr>
          <w:rFonts w:ascii="Verdana" w:eastAsia="Calibri" w:hAnsi="Verdana" w:cs="Arial"/>
          <w:lang w:eastAsia="en-GB"/>
        </w:rPr>
      </w:pPr>
    </w:p>
    <w:p w14:paraId="3F84DB71" w14:textId="77777777" w:rsidR="009850DE" w:rsidRPr="009850DE" w:rsidRDefault="009850DE" w:rsidP="009850DE">
      <w:pPr>
        <w:spacing w:after="0" w:line="240" w:lineRule="auto"/>
        <w:ind w:left="709" w:right="709"/>
        <w:jc w:val="both"/>
        <w:rPr>
          <w:rFonts w:ascii="Verdana" w:eastAsia="Calibri" w:hAnsi="Verdana" w:cs="Arial"/>
          <w:sz w:val="21"/>
          <w:szCs w:val="21"/>
          <w:lang w:eastAsia="en-GB"/>
        </w:rPr>
      </w:pPr>
      <w:r w:rsidRPr="009850DE">
        <w:rPr>
          <w:rFonts w:ascii="Verdana" w:eastAsia="Calibri" w:hAnsi="Verdana" w:cs="Arial"/>
          <w:sz w:val="21"/>
          <w:szCs w:val="21"/>
          <w:lang w:eastAsia="en-GB"/>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que se encuentren suspendidos y aquellos que no tengan acta de inicio.   </w:t>
      </w:r>
    </w:p>
    <w:p w14:paraId="66E35A96" w14:textId="77777777" w:rsidR="009850DE" w:rsidRPr="009850DE" w:rsidRDefault="009850DE" w:rsidP="009850DE">
      <w:pPr>
        <w:spacing w:after="0" w:line="240" w:lineRule="auto"/>
        <w:ind w:left="709" w:right="709"/>
        <w:jc w:val="both"/>
        <w:rPr>
          <w:rFonts w:ascii="Verdana" w:eastAsia="Calibri" w:hAnsi="Verdana" w:cs="Arial"/>
          <w:sz w:val="21"/>
          <w:szCs w:val="21"/>
          <w:lang w:eastAsia="en-GB"/>
        </w:rPr>
      </w:pPr>
    </w:p>
    <w:p w14:paraId="3B1712D8" w14:textId="77777777" w:rsidR="009850DE" w:rsidRPr="009850DE" w:rsidRDefault="009850DE" w:rsidP="009850DE">
      <w:pPr>
        <w:spacing w:after="0" w:line="240" w:lineRule="auto"/>
        <w:ind w:left="709" w:right="709"/>
        <w:jc w:val="both"/>
        <w:rPr>
          <w:rFonts w:ascii="Verdana" w:eastAsia="Calibri" w:hAnsi="Verdana" w:cs="Arial"/>
          <w:sz w:val="21"/>
          <w:szCs w:val="21"/>
          <w:lang w:eastAsia="en-GB"/>
        </w:rPr>
      </w:pPr>
      <w:r w:rsidRPr="009850DE">
        <w:rPr>
          <w:rFonts w:ascii="Verdana" w:eastAsia="Calibri" w:hAnsi="Verdana" w:cs="Arial"/>
          <w:sz w:val="21"/>
          <w:szCs w:val="21"/>
          <w:lang w:eastAsia="en-GB"/>
        </w:rPr>
        <w:t>No se entenderá como Contratos en Ejecución los que se encuentren en etapa de liquidación o ya fueron liquidados.”</w:t>
      </w:r>
    </w:p>
    <w:p w14:paraId="7F3AC6F3" w14:textId="77777777" w:rsidR="009850DE" w:rsidRPr="009850DE" w:rsidRDefault="009850DE" w:rsidP="009850DE">
      <w:pPr>
        <w:spacing w:after="0" w:line="276" w:lineRule="auto"/>
        <w:ind w:right="709"/>
        <w:jc w:val="both"/>
        <w:rPr>
          <w:rFonts w:ascii="Verdana" w:eastAsia="Calibri" w:hAnsi="Verdana" w:cs="Arial"/>
          <w:lang w:eastAsia="en-GB"/>
        </w:rPr>
      </w:pPr>
    </w:p>
    <w:p w14:paraId="0CEF5A5B" w14:textId="77777777" w:rsidR="009850DE" w:rsidRPr="009850DE" w:rsidRDefault="009850DE" w:rsidP="009850DE">
      <w:pPr>
        <w:spacing w:after="0" w:line="276" w:lineRule="auto"/>
        <w:ind w:firstLine="709"/>
        <w:jc w:val="both"/>
        <w:rPr>
          <w:rFonts w:ascii="Verdana" w:eastAsia="Calibri" w:hAnsi="Verdana" w:cs="Arial"/>
          <w:lang w:val="es-MX" w:eastAsia="en-GB"/>
        </w:rPr>
      </w:pPr>
      <w:bookmarkStart w:id="6" w:name="_Hlk100139912"/>
      <w:bookmarkStart w:id="7" w:name="_Hlk103609030"/>
      <w:r w:rsidRPr="009850DE">
        <w:rPr>
          <w:rFonts w:ascii="Verdana" w:eastAsia="Calibri" w:hAnsi="Verdana" w:cs="Arial"/>
          <w:lang w:eastAsia="en-GB"/>
        </w:rPr>
        <w:t>En este sentido, los saldos pendientes se derivan de las obligaciones que se encuentran en ejecución al momento de la presentación de la oferta y se refieren a contratos cuyo objeto sea la ejecución de obras civiles</w:t>
      </w:r>
      <w:bookmarkEnd w:id="6"/>
      <w:r w:rsidRPr="009850DE">
        <w:rPr>
          <w:rFonts w:ascii="Verdana" w:eastAsia="Calibri" w:hAnsi="Verdana" w:cs="Arial"/>
          <w:lang w:eastAsia="en-GB"/>
        </w:rPr>
        <w:t xml:space="preserve">. </w:t>
      </w:r>
      <w:bookmarkStart w:id="8" w:name="_Hlk100139986"/>
      <w:r w:rsidRPr="009850DE">
        <w:rPr>
          <w:rFonts w:ascii="Verdana" w:eastAsia="Calibri" w:hAnsi="Verdana" w:cs="Arial"/>
          <w:lang w:eastAsia="en-GB"/>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9850DE">
        <w:rPr>
          <w:rFonts w:ascii="Verdana" w:eastAsia="Calibri" w:hAnsi="Verdana" w:cs="Arial"/>
          <w:bCs/>
          <w:color w:val="000000"/>
          <w:lang w:eastAsia="en-GB"/>
        </w:rPr>
        <w:t>“CRP”</w:t>
      </w:r>
      <w:r w:rsidRPr="009850DE">
        <w:rPr>
          <w:rFonts w:ascii="Verdana" w:eastAsia="Calibri" w:hAnsi="Verdana" w:cs="Arial"/>
          <w:lang w:eastAsia="en-GB"/>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7"/>
      <w:bookmarkEnd w:id="8"/>
      <w:r w:rsidRPr="009850DE">
        <w:rPr>
          <w:rFonts w:ascii="Verdana" w:eastAsia="Calibri" w:hAnsi="Verdana" w:cs="Arial"/>
          <w:lang w:eastAsia="en-GB"/>
        </w:rPr>
        <w:t xml:space="preserve">. </w:t>
      </w:r>
      <w:r w:rsidRPr="009850DE">
        <w:rPr>
          <w:rFonts w:ascii="Verdana" w:eastAsia="Calibri" w:hAnsi="Verdana" w:cs="Arial"/>
          <w:lang w:val="es-MX" w:eastAsia="en-GB"/>
        </w:rPr>
        <w:t>Por lo demás, en dicha Guía también se precisa que:</w:t>
      </w:r>
    </w:p>
    <w:p w14:paraId="556A151F" w14:textId="77777777" w:rsidR="009850DE" w:rsidRPr="009850DE" w:rsidRDefault="009850DE" w:rsidP="009850DE">
      <w:pPr>
        <w:spacing w:after="0" w:line="276" w:lineRule="auto"/>
        <w:ind w:firstLine="709"/>
        <w:jc w:val="both"/>
        <w:rPr>
          <w:rFonts w:ascii="Verdana" w:eastAsia="Calibri" w:hAnsi="Verdana" w:cs="Arial"/>
          <w:lang w:val="es-MX" w:eastAsia="en-GB"/>
        </w:rPr>
      </w:pPr>
    </w:p>
    <w:p w14:paraId="61B92BB7" w14:textId="77777777" w:rsidR="009850DE" w:rsidRPr="009850DE" w:rsidRDefault="009850DE" w:rsidP="009850DE">
      <w:pPr>
        <w:spacing w:after="0" w:line="240" w:lineRule="auto"/>
        <w:ind w:left="709" w:right="709"/>
        <w:jc w:val="both"/>
        <w:rPr>
          <w:rFonts w:ascii="Verdana" w:eastAsia="Calibri" w:hAnsi="Verdana" w:cs="Arial"/>
          <w:sz w:val="21"/>
          <w:szCs w:val="21"/>
          <w:lang w:eastAsia="en-GB"/>
        </w:rPr>
      </w:pPr>
      <w:bookmarkStart w:id="9" w:name="_Hlk100140013"/>
      <w:r w:rsidRPr="009850DE">
        <w:rPr>
          <w:rFonts w:ascii="Verdana" w:eastAsia="Calibri" w:hAnsi="Verdana" w:cs="Arial"/>
          <w:sz w:val="21"/>
          <w:szCs w:val="21"/>
          <w:lang w:eastAsia="en-GB"/>
        </w:rPr>
        <w:t>“</w:t>
      </w:r>
      <w:bookmarkEnd w:id="9"/>
      <w:r w:rsidRPr="009850DE">
        <w:rPr>
          <w:rFonts w:ascii="Verdana" w:eastAsia="Calibri" w:hAnsi="Verdana" w:cs="Arial"/>
          <w:sz w:val="21"/>
          <w:szCs w:val="21"/>
          <w:lang w:eastAsia="en-GB"/>
        </w:rPr>
        <w:t>El cálculo del Saldo de los Contratos en Ejecución (SCE) debe hacerse linealmente calculando una ejecución diaria equivalente al valor del contrato divido por el plazo del contrato y si el contrato es ejecutado por una estructura plural por la participación del proponente en el respectivo contratista. Si el número de días por ejecutar en un contrato es superior a doce (12) meses, es decir 360 días, el Saldo del Contrato en Ejecución (SCE) solo tendrá en cuenta la proporcional lineal de doce [12] meses.</w:t>
      </w:r>
    </w:p>
    <w:p w14:paraId="17CEE313" w14:textId="77777777" w:rsidR="009850DE" w:rsidRPr="009850DE" w:rsidRDefault="009850DE" w:rsidP="009850DE">
      <w:pPr>
        <w:spacing w:after="0" w:line="240" w:lineRule="auto"/>
        <w:ind w:left="709" w:right="709"/>
        <w:jc w:val="both"/>
        <w:rPr>
          <w:rFonts w:ascii="Verdana" w:eastAsia="Calibri" w:hAnsi="Verdana" w:cs="Arial"/>
          <w:sz w:val="21"/>
          <w:szCs w:val="21"/>
          <w:lang w:val="es-MX" w:eastAsia="en-GB"/>
        </w:rPr>
      </w:pPr>
      <w:r w:rsidRPr="009850DE">
        <w:rPr>
          <w:rFonts w:ascii="Verdana" w:eastAsia="Calibri" w:hAnsi="Verdana" w:cs="Arial"/>
          <w:sz w:val="21"/>
          <w:szCs w:val="21"/>
          <w:lang w:val="es-MX" w:eastAsia="en-GB"/>
        </w:rPr>
        <w:t>[…]</w:t>
      </w:r>
    </w:p>
    <w:p w14:paraId="76EA1056" w14:textId="77777777" w:rsidR="009850DE" w:rsidRPr="009850DE" w:rsidRDefault="009850DE" w:rsidP="009850DE">
      <w:pPr>
        <w:spacing w:after="0" w:line="240" w:lineRule="auto"/>
        <w:ind w:left="709" w:right="709"/>
        <w:jc w:val="both"/>
        <w:rPr>
          <w:rFonts w:ascii="Verdana" w:eastAsia="Calibri" w:hAnsi="Verdana" w:cs="Arial"/>
          <w:sz w:val="21"/>
          <w:szCs w:val="21"/>
          <w:lang w:eastAsia="en-GB"/>
        </w:rPr>
      </w:pPr>
      <w:r w:rsidRPr="009850DE">
        <w:rPr>
          <w:rFonts w:ascii="Verdana" w:eastAsia="Calibri" w:hAnsi="Verdana" w:cs="Arial"/>
          <w:sz w:val="21"/>
          <w:szCs w:val="21"/>
          <w:lang w:eastAsia="en-GB"/>
        </w:rPr>
        <w:t xml:space="preserve">Si un contrato se encuentra suspendido, el cálculo del Saldo del Contrato en Ejecución (SCE) de dicho contrato debe calcularse asumiendo que lo que falta por ejecutar empezará en la fecha de la presentación de la oferta del Proceso de Contratación.”  </w:t>
      </w:r>
    </w:p>
    <w:p w14:paraId="0C81BB8A" w14:textId="77777777" w:rsidR="009850DE" w:rsidRPr="009850DE" w:rsidRDefault="009850DE" w:rsidP="009850DE">
      <w:pPr>
        <w:spacing w:after="0" w:line="276" w:lineRule="auto"/>
        <w:ind w:firstLine="709"/>
        <w:jc w:val="both"/>
        <w:rPr>
          <w:rFonts w:ascii="Verdana" w:eastAsia="Calibri" w:hAnsi="Verdana" w:cs="Arial"/>
          <w:lang w:eastAsia="en-GB"/>
        </w:rPr>
      </w:pPr>
    </w:p>
    <w:p w14:paraId="68046031" w14:textId="77777777" w:rsidR="009850DE" w:rsidRPr="009850DE" w:rsidRDefault="009850DE" w:rsidP="009850DE">
      <w:pPr>
        <w:spacing w:after="120" w:line="276" w:lineRule="auto"/>
        <w:ind w:firstLine="709"/>
        <w:jc w:val="both"/>
        <w:rPr>
          <w:rFonts w:ascii="Verdana" w:eastAsia="Calibri" w:hAnsi="Verdana" w:cs="Arial"/>
          <w:lang w:eastAsia="en-GB"/>
        </w:rPr>
      </w:pPr>
      <w:r w:rsidRPr="009850DE">
        <w:rPr>
          <w:rFonts w:ascii="Verdana" w:eastAsia="Calibri" w:hAnsi="Verdana" w:cs="Arial"/>
          <w:lang w:eastAsia="en-GB"/>
        </w:rPr>
        <w:t xml:space="preserve">De este modo, para acreditar el factor </w:t>
      </w:r>
      <w:r w:rsidRPr="009850DE">
        <w:rPr>
          <w:rFonts w:ascii="Verdana" w:eastAsia="Calibri" w:hAnsi="Verdana" w:cs="Arial"/>
          <w:bCs/>
          <w:color w:val="000000"/>
          <w:lang w:val="es-MX" w:eastAsia="en-GB"/>
        </w:rPr>
        <w:t xml:space="preserve">saldos de los contratos en ejecución </w:t>
      </w:r>
      <w:r w:rsidRPr="009850DE">
        <w:rPr>
          <w:rFonts w:ascii="Verdana" w:eastAsia="Calibri" w:hAnsi="Verdana" w:cs="Arial"/>
          <w:bCs/>
          <w:color w:val="000000"/>
          <w:lang w:eastAsia="en-GB"/>
        </w:rPr>
        <w:t>“SCE”,</w:t>
      </w:r>
      <w:r w:rsidRPr="009850DE">
        <w:rPr>
          <w:rFonts w:ascii="Verdana" w:eastAsia="Calibri" w:hAnsi="Verdana" w:cs="Arial"/>
          <w:lang w:eastAsia="en-GB"/>
        </w:rPr>
        <w:t xml:space="preserve"> como lo establece la Guía, el proponente debe presentar la lista de contratos de obras civiles en ejecución, tanto a nivel nacional como internacional, señalando: i) el valor del contrato; </w:t>
      </w:r>
      <w:proofErr w:type="spellStart"/>
      <w:r w:rsidRPr="009850DE">
        <w:rPr>
          <w:rFonts w:ascii="Verdana" w:eastAsia="Calibri" w:hAnsi="Verdana" w:cs="Arial"/>
          <w:lang w:eastAsia="en-GB"/>
        </w:rPr>
        <w:t>ii</w:t>
      </w:r>
      <w:proofErr w:type="spellEnd"/>
      <w:r w:rsidRPr="009850DE">
        <w:rPr>
          <w:rFonts w:ascii="Verdana" w:eastAsia="Calibri" w:hAnsi="Verdana" w:cs="Arial"/>
          <w:lang w:eastAsia="en-GB"/>
        </w:rPr>
        <w:t xml:space="preserve">) el plazo de ejecución del contrato en meses; </w:t>
      </w:r>
      <w:proofErr w:type="spellStart"/>
      <w:r w:rsidRPr="009850DE">
        <w:rPr>
          <w:rFonts w:ascii="Verdana" w:eastAsia="Calibri" w:hAnsi="Verdana" w:cs="Arial"/>
          <w:lang w:eastAsia="en-GB"/>
        </w:rPr>
        <w:t>iii</w:t>
      </w:r>
      <w:proofErr w:type="spellEnd"/>
      <w:r w:rsidRPr="009850DE">
        <w:rPr>
          <w:rFonts w:ascii="Verdana" w:eastAsia="Calibri" w:hAnsi="Verdana" w:cs="Arial"/>
          <w:lang w:eastAsia="en-GB"/>
        </w:rPr>
        <w:t xml:space="preserve">) la fecha de inicio de las obras objeto del contrato (día, mes, año); </w:t>
      </w:r>
      <w:proofErr w:type="spellStart"/>
      <w:r w:rsidRPr="009850DE">
        <w:rPr>
          <w:rFonts w:ascii="Verdana" w:eastAsia="Calibri" w:hAnsi="Verdana" w:cs="Arial"/>
          <w:lang w:eastAsia="en-GB"/>
        </w:rPr>
        <w:t>iv</w:t>
      </w:r>
      <w:proofErr w:type="spellEnd"/>
      <w:r w:rsidRPr="009850DE">
        <w:rPr>
          <w:rFonts w:ascii="Verdana" w:eastAsia="Calibri" w:hAnsi="Verdana" w:cs="Arial"/>
          <w:lang w:eastAsia="en-GB"/>
        </w:rPr>
        <w:t xml:space="preserve">) si la obra la ejecuta un consorcio o unión temporal, junto con el porcentaje de participación del oferente que presenta el certificado; v) si el contrato se encuentra suspendido, y si es así, la fecha de suspensión, además del saldo pendiente por ejecutar. Si el proponente no tiene contratos en ejecución, en el certificado debe constar expresamente esa circunstancia. </w:t>
      </w:r>
    </w:p>
    <w:p w14:paraId="0AEB2773" w14:textId="77777777" w:rsidR="009850DE" w:rsidRPr="009850DE" w:rsidRDefault="009850DE" w:rsidP="009850DE">
      <w:pPr>
        <w:spacing w:after="0" w:line="276" w:lineRule="auto"/>
        <w:ind w:firstLine="709"/>
        <w:jc w:val="both"/>
        <w:rPr>
          <w:rFonts w:ascii="Verdana" w:eastAsia="Calibri" w:hAnsi="Verdana" w:cs="Arial"/>
          <w:lang w:eastAsia="en-GB"/>
        </w:rPr>
      </w:pPr>
      <w:r w:rsidRPr="009850DE">
        <w:rPr>
          <w:rFonts w:ascii="Verdana" w:eastAsia="Calibri" w:hAnsi="Verdana" w:cs="Arial"/>
          <w:lang w:eastAsia="en-GB"/>
        </w:rPr>
        <w:t xml:space="preserve">En concordancia con lo anterior, sobre la acreditación del factor </w:t>
      </w:r>
      <w:r w:rsidRPr="009850DE">
        <w:rPr>
          <w:rFonts w:ascii="Verdana" w:eastAsia="Calibri" w:hAnsi="Verdana" w:cs="Arial"/>
          <w:bCs/>
          <w:color w:val="000000"/>
          <w:lang w:eastAsia="en-GB"/>
        </w:rPr>
        <w:t xml:space="preserve">“SCE” </w:t>
      </w:r>
      <w:r w:rsidRPr="009850DE">
        <w:rPr>
          <w:rFonts w:ascii="Verdana" w:eastAsia="Calibri" w:hAnsi="Verdana" w:cs="Arial"/>
          <w:lang w:eastAsia="en-GB"/>
        </w:rPr>
        <w:t>en los Documentos Tipo de Licitación de Obra Pública para Infraestructura de Transporte</w:t>
      </w:r>
      <w:r w:rsidRPr="009850DE">
        <w:rPr>
          <w:rFonts w:ascii="Verdana" w:eastAsia="Calibri" w:hAnsi="Verdana" w:cs="Arial"/>
          <w:vertAlign w:val="superscript"/>
          <w:lang w:eastAsia="en-GB"/>
        </w:rPr>
        <w:footnoteReference w:id="5"/>
      </w:r>
      <w:r w:rsidRPr="009850DE">
        <w:rPr>
          <w:rFonts w:ascii="Verdana" w:eastAsia="Calibri" w:hAnsi="Verdana" w:cs="Arial"/>
          <w:lang w:eastAsia="en-GB"/>
        </w:rPr>
        <w:t xml:space="preserve">, </w:t>
      </w:r>
      <w:bookmarkStart w:id="10" w:name="_Hlk100140108"/>
      <w:r w:rsidRPr="009850DE">
        <w:rPr>
          <w:rFonts w:ascii="Verdana" w:eastAsia="Calibri" w:hAnsi="Verdana" w:cs="Arial"/>
          <w:lang w:eastAsia="en-GB"/>
        </w:rPr>
        <w:t>el literal E del numeral 3.11.2 “CÁLCULO DE LA CAPACIDAD RESIDUAL DEL PROPONENTE (CRP)” del Documento Base</w:t>
      </w:r>
      <w:bookmarkEnd w:id="10"/>
      <w:r w:rsidRPr="009850DE">
        <w:rPr>
          <w:rFonts w:ascii="Verdana" w:eastAsia="Calibri" w:hAnsi="Verdana" w:cs="Arial"/>
          <w:lang w:eastAsia="en-GB"/>
        </w:rPr>
        <w:t xml:space="preserve"> señala lo siguiente:</w:t>
      </w:r>
    </w:p>
    <w:p w14:paraId="7A550C9D" w14:textId="77777777" w:rsidR="009850DE" w:rsidRPr="009850DE" w:rsidRDefault="009850DE" w:rsidP="009850DE">
      <w:pPr>
        <w:spacing w:after="0" w:line="276" w:lineRule="auto"/>
        <w:ind w:firstLine="709"/>
        <w:jc w:val="both"/>
        <w:rPr>
          <w:rFonts w:ascii="Verdana" w:eastAsia="Calibri" w:hAnsi="Verdana" w:cs="Arial"/>
          <w:lang w:eastAsia="en-GB"/>
        </w:rPr>
      </w:pPr>
    </w:p>
    <w:p w14:paraId="2BD1D8D3" w14:textId="77777777" w:rsidR="009850DE" w:rsidRPr="009850DE" w:rsidRDefault="009850DE" w:rsidP="009850DE">
      <w:pPr>
        <w:spacing w:after="0" w:line="240" w:lineRule="auto"/>
        <w:ind w:left="709" w:right="709"/>
        <w:jc w:val="both"/>
        <w:rPr>
          <w:rFonts w:ascii="Verdana" w:eastAsia="Arial," w:hAnsi="Verdana" w:cs="Arial"/>
          <w:sz w:val="21"/>
          <w:szCs w:val="21"/>
          <w:lang w:eastAsia="en-GB"/>
        </w:rPr>
      </w:pPr>
      <w:r w:rsidRPr="009850DE">
        <w:rPr>
          <w:rFonts w:ascii="Verdana" w:eastAsia="Calibri" w:hAnsi="Verdana" w:cs="Arial"/>
          <w:sz w:val="21"/>
          <w:szCs w:val="21"/>
          <w:lang w:eastAsia="en-GB"/>
        </w:rPr>
        <w:t>“Para</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acreditar</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el</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factor</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(SCE)</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el</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proponente</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tendrá</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en</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cuenta</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lo</w:t>
      </w:r>
      <w:r w:rsidRPr="009850DE">
        <w:rPr>
          <w:rFonts w:ascii="Verdana" w:eastAsia="Arial," w:hAnsi="Verdana" w:cs="Arial"/>
          <w:sz w:val="21"/>
          <w:szCs w:val="21"/>
          <w:lang w:eastAsia="en-GB"/>
        </w:rPr>
        <w:t xml:space="preserve"> </w:t>
      </w:r>
      <w:r w:rsidRPr="009850DE">
        <w:rPr>
          <w:rFonts w:ascii="Verdana" w:eastAsia="Calibri" w:hAnsi="Verdana" w:cs="Arial"/>
          <w:sz w:val="21"/>
          <w:szCs w:val="21"/>
          <w:lang w:eastAsia="en-GB"/>
        </w:rPr>
        <w:t>siguiente:</w:t>
      </w:r>
    </w:p>
    <w:p w14:paraId="2C77DECF" w14:textId="77777777" w:rsidR="009850DE" w:rsidRPr="009850DE" w:rsidRDefault="009850DE" w:rsidP="009850DE">
      <w:pPr>
        <w:spacing w:after="0" w:line="240" w:lineRule="auto"/>
        <w:ind w:left="709" w:right="709"/>
        <w:jc w:val="both"/>
        <w:rPr>
          <w:rFonts w:ascii="Verdana" w:eastAsia="Arial," w:hAnsi="Verdana" w:cs="Arial"/>
          <w:sz w:val="21"/>
          <w:szCs w:val="21"/>
          <w:lang w:eastAsia="en-GB"/>
        </w:rPr>
      </w:pPr>
      <w:r w:rsidRPr="009850DE">
        <w:rPr>
          <w:rFonts w:ascii="Verdana" w:eastAsia="Arial," w:hAnsi="Verdana" w:cs="Arial"/>
          <w:sz w:val="21"/>
          <w:szCs w:val="21"/>
          <w:lang w:eastAsia="en-GB"/>
        </w:rPr>
        <w:t>[…]</w:t>
      </w:r>
    </w:p>
    <w:p w14:paraId="0DAB81F8" w14:textId="77777777" w:rsidR="009850DE" w:rsidRPr="009850DE" w:rsidRDefault="009850DE" w:rsidP="009850DE">
      <w:pPr>
        <w:spacing w:after="0" w:line="240" w:lineRule="auto"/>
        <w:ind w:left="1134" w:right="709" w:hanging="425"/>
        <w:jc w:val="both"/>
        <w:rPr>
          <w:rFonts w:ascii="Verdana" w:eastAsia="Arial" w:hAnsi="Verdana" w:cs="Arial"/>
          <w:sz w:val="21"/>
          <w:szCs w:val="21"/>
          <w:lang w:val="es-MX" w:eastAsia="en-GB"/>
        </w:rPr>
      </w:pPr>
      <w:r w:rsidRPr="009850DE">
        <w:rPr>
          <w:rFonts w:ascii="Verdana" w:eastAsia="Arial" w:hAnsi="Verdana" w:cs="Arial"/>
          <w:sz w:val="21"/>
          <w:szCs w:val="21"/>
          <w:lang w:val="es-MX" w:eastAsia="en-GB"/>
        </w:rPr>
        <w:t>II.</w:t>
      </w:r>
      <w:r w:rsidRPr="009850DE">
        <w:rPr>
          <w:rFonts w:ascii="Verdana" w:eastAsia="Arial" w:hAnsi="Verdana" w:cs="Arial"/>
          <w:sz w:val="21"/>
          <w:szCs w:val="21"/>
          <w:lang w:val="es-MX" w:eastAsia="en-GB"/>
        </w:rPr>
        <w:tab/>
        <w:t xml:space="preserve">Los contratos de obras civiles en ejecución son aquellos que a la fecha de presentación de la oferta obligan al proponente con entidades estatales y con entidades privadas para ejecutar obras </w:t>
      </w:r>
      <w:r w:rsidRPr="009850DE">
        <w:rPr>
          <w:rFonts w:ascii="Verdana" w:eastAsia="Arial" w:hAnsi="Verdana" w:cs="Arial"/>
          <w:sz w:val="21"/>
          <w:szCs w:val="21"/>
          <w:lang w:val="es-MX" w:eastAsia="en-GB"/>
        </w:rPr>
        <w:lastRenderedPageBreak/>
        <w:t>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07A5C79C" w14:textId="77777777" w:rsidR="009850DE" w:rsidRPr="009850DE" w:rsidRDefault="009850DE" w:rsidP="009850DE">
      <w:pPr>
        <w:spacing w:after="0" w:line="240" w:lineRule="auto"/>
        <w:ind w:left="1134" w:right="709" w:hanging="425"/>
        <w:jc w:val="both"/>
        <w:rPr>
          <w:rFonts w:ascii="Verdana" w:eastAsia="Arial" w:hAnsi="Verdana" w:cs="Arial"/>
          <w:sz w:val="21"/>
          <w:szCs w:val="21"/>
          <w:lang w:val="es-MX" w:eastAsia="en-GB"/>
        </w:rPr>
      </w:pPr>
      <w:r w:rsidRPr="009850DE">
        <w:rPr>
          <w:rFonts w:ascii="Verdana" w:eastAsia="Arial" w:hAnsi="Verdana" w:cs="Arial"/>
          <w:sz w:val="21"/>
          <w:szCs w:val="21"/>
          <w:lang w:val="es-MX" w:eastAsia="en-GB"/>
        </w:rPr>
        <w:t>III.</w:t>
      </w:r>
      <w:r w:rsidRPr="009850DE">
        <w:rPr>
          <w:rFonts w:ascii="Verdana" w:eastAsia="Arial" w:hAnsi="Verdana" w:cs="Arial"/>
          <w:sz w:val="21"/>
          <w:szCs w:val="21"/>
          <w:lang w:val="es-MX" w:eastAsia="en-GB"/>
        </w:rPr>
        <w:tab/>
        <w:t xml:space="preserve">Se tendrán en cuenta los </w:t>
      </w:r>
      <w:bookmarkStart w:id="11" w:name="_Hlk199239771"/>
      <w:r w:rsidRPr="009850DE">
        <w:rPr>
          <w:rFonts w:ascii="Verdana" w:eastAsia="Arial" w:hAnsi="Verdana" w:cs="Arial"/>
          <w:sz w:val="21"/>
          <w:szCs w:val="21"/>
          <w:lang w:val="es-MX" w:eastAsia="en-GB"/>
        </w:rPr>
        <w:t xml:space="preserve">contratos de obras civiles en ejecución </w:t>
      </w:r>
      <w:bookmarkEnd w:id="11"/>
      <w:r w:rsidRPr="009850DE">
        <w:rPr>
          <w:rFonts w:ascii="Verdana" w:eastAsia="Arial" w:hAnsi="Verdana" w:cs="Arial"/>
          <w:sz w:val="21"/>
          <w:szCs w:val="21"/>
          <w:lang w:val="es-MX" w:eastAsia="en-GB"/>
        </w:rPr>
        <w:t xml:space="preserve">suscritos por el proponente o por sociedades, consorcios o uniones temporales en los cuales el proponente tenga participación. </w:t>
      </w:r>
    </w:p>
    <w:p w14:paraId="7DE76E34" w14:textId="77777777" w:rsidR="009850DE" w:rsidRPr="009850DE" w:rsidRDefault="009850DE" w:rsidP="009850DE">
      <w:pPr>
        <w:spacing w:after="0" w:line="240" w:lineRule="auto"/>
        <w:ind w:left="1134" w:right="709" w:hanging="425"/>
        <w:jc w:val="both"/>
        <w:rPr>
          <w:rFonts w:ascii="Verdana" w:eastAsia="Arial" w:hAnsi="Verdana" w:cs="Arial"/>
          <w:sz w:val="21"/>
          <w:szCs w:val="21"/>
          <w:lang w:val="es-MX" w:eastAsia="en-GB"/>
        </w:rPr>
      </w:pPr>
      <w:r w:rsidRPr="009850DE">
        <w:rPr>
          <w:rFonts w:ascii="Verdana" w:eastAsia="Arial" w:hAnsi="Verdana" w:cs="Arial"/>
          <w:sz w:val="21"/>
          <w:szCs w:val="21"/>
          <w:lang w:val="es-MX" w:eastAsia="en-GB"/>
        </w:rPr>
        <w:t>IV.</w:t>
      </w:r>
      <w:r w:rsidRPr="009850DE">
        <w:rPr>
          <w:rFonts w:ascii="Verdana" w:eastAsia="Arial" w:hAnsi="Verdana" w:cs="Arial"/>
          <w:sz w:val="21"/>
          <w:szCs w:val="21"/>
          <w:lang w:val="es-MX" w:eastAsia="en-GB"/>
        </w:rPr>
        <w:tab/>
        <w:t>Si un contrato se encuentra suspendido, el cálculo del (SCE) de dicho contrato debe efectuarse asumiendo que lo que falta por ejecutar iniciara en la fecha de presentación de la oferta del Proceso de Contratación. Si el contrato está suspendido el proponente debe informar el saldo pendiente por ejecutar.</w:t>
      </w:r>
    </w:p>
    <w:p w14:paraId="327BCC7C" w14:textId="77777777" w:rsidR="009850DE" w:rsidRPr="009850DE" w:rsidRDefault="009850DE" w:rsidP="009850DE">
      <w:pPr>
        <w:spacing w:after="0" w:line="240" w:lineRule="auto"/>
        <w:ind w:left="1134" w:right="709" w:hanging="425"/>
        <w:jc w:val="both"/>
        <w:rPr>
          <w:rFonts w:ascii="Verdana" w:eastAsia="Arial" w:hAnsi="Verdana" w:cs="Arial"/>
          <w:sz w:val="21"/>
          <w:szCs w:val="21"/>
          <w:lang w:val="es-MX" w:eastAsia="en-GB"/>
        </w:rPr>
      </w:pPr>
      <w:r w:rsidRPr="009850DE">
        <w:rPr>
          <w:rFonts w:ascii="Verdana" w:eastAsia="Arial" w:hAnsi="Verdana" w:cs="Arial"/>
          <w:sz w:val="21"/>
          <w:szCs w:val="21"/>
          <w:lang w:val="es-MX" w:eastAsia="en-GB"/>
        </w:rPr>
        <w:t>V.</w:t>
      </w:r>
      <w:r w:rsidRPr="009850DE">
        <w:rPr>
          <w:rFonts w:ascii="Verdana" w:eastAsia="Arial" w:hAnsi="Verdana" w:cs="Arial"/>
          <w:sz w:val="21"/>
          <w:szCs w:val="21"/>
          <w:lang w:val="es-MX" w:eastAsia="en-GB"/>
        </w:rPr>
        <w:tab/>
        <w:t>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w:t>
      </w:r>
    </w:p>
    <w:p w14:paraId="526073CF" w14:textId="77777777" w:rsidR="009850DE" w:rsidRPr="009850DE" w:rsidRDefault="009850DE" w:rsidP="009850DE">
      <w:pPr>
        <w:spacing w:after="0" w:line="276" w:lineRule="auto"/>
        <w:jc w:val="both"/>
        <w:rPr>
          <w:rFonts w:ascii="Verdana" w:eastAsia="Arial," w:hAnsi="Verdana" w:cs="Arial"/>
          <w:lang w:val="es-MX" w:eastAsia="en-GB"/>
        </w:rPr>
      </w:pPr>
    </w:p>
    <w:p w14:paraId="59479FF8" w14:textId="77777777" w:rsidR="009850DE" w:rsidRPr="009850DE" w:rsidRDefault="009850DE" w:rsidP="009850DE">
      <w:pPr>
        <w:spacing w:after="120" w:line="276" w:lineRule="auto"/>
        <w:ind w:firstLine="709"/>
        <w:jc w:val="both"/>
        <w:rPr>
          <w:rFonts w:ascii="Verdana" w:eastAsia="Calibri" w:hAnsi="Verdana" w:cs="Arial"/>
          <w:lang w:val="es-MX" w:eastAsia="en-GB"/>
        </w:rPr>
      </w:pPr>
      <w:r w:rsidRPr="009850DE">
        <w:rPr>
          <w:rFonts w:ascii="Verdana" w:eastAsia="Arial," w:hAnsi="Verdana" w:cs="Arial"/>
          <w:lang w:eastAsia="en-GB"/>
        </w:rPr>
        <w:t>Como se aprecia, los apartados transcritos del Documento Base están en armonía con lo dispuesto en la “</w:t>
      </w:r>
      <w:r w:rsidRPr="009850DE">
        <w:rPr>
          <w:rFonts w:ascii="Verdana" w:eastAsia="Calibri" w:hAnsi="Verdana" w:cs="Arial"/>
          <w:lang w:eastAsia="en-GB"/>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9850DE">
        <w:rPr>
          <w:rFonts w:ascii="Verdana" w:eastAsia="Calibri" w:hAnsi="Verdana" w:cs="Arial"/>
          <w:color w:val="000000"/>
          <w:lang w:val="es-MX" w:eastAsia="en-GB"/>
        </w:rPr>
        <w:t xml:space="preserve">el artículo 2.2.1.1.1.6.4 del Decreto 1082 de 2015, en virtud del cual, para efectos de </w:t>
      </w:r>
      <w:r w:rsidRPr="009850DE">
        <w:rPr>
          <w:rFonts w:ascii="Verdana" w:eastAsia="Calibri" w:hAnsi="Verdana" w:cs="Arial"/>
          <w:lang w:val="es-MX" w:eastAsia="en-GB"/>
        </w:rPr>
        <w:t xml:space="preserve">acreditar la Capacidad Residual del proponente, se requiere el listado de contratos de obra civiles en ejecución suscritos con Entidades Estatales y con entidades privadas. </w:t>
      </w:r>
    </w:p>
    <w:p w14:paraId="2BD0C9C8" w14:textId="77777777" w:rsidR="009850DE" w:rsidRPr="009850DE" w:rsidRDefault="009850DE" w:rsidP="009850DE">
      <w:pPr>
        <w:spacing w:after="120" w:line="276" w:lineRule="auto"/>
        <w:ind w:firstLine="709"/>
        <w:jc w:val="both"/>
        <w:rPr>
          <w:rFonts w:ascii="Verdana" w:eastAsia="Calibri" w:hAnsi="Verdana" w:cs="Arial"/>
          <w:lang w:eastAsia="en-GB"/>
        </w:rPr>
      </w:pPr>
      <w:r w:rsidRPr="009850DE">
        <w:rPr>
          <w:rFonts w:ascii="Verdana" w:eastAsia="Calibri" w:hAnsi="Verdana" w:cs="Arial"/>
          <w:lang w:val="es-MX" w:eastAsia="en-GB"/>
        </w:rPr>
        <w:t xml:space="preserve">En consecuencia, para acreditar el factor de saldos de contratos en ejecución (SCE), es necesario que se presenten </w:t>
      </w:r>
      <w:r w:rsidRPr="009850DE">
        <w:rPr>
          <w:rFonts w:ascii="Verdana" w:eastAsia="Calibri" w:hAnsi="Verdana" w:cs="Arial"/>
          <w:lang w:eastAsia="en-GB"/>
        </w:rPr>
        <w:t xml:space="preserve">los contratos de obras civiles en ejecución, tanto a nivel nacional como internacional, </w:t>
      </w:r>
      <w:r w:rsidRPr="009850DE">
        <w:rPr>
          <w:rFonts w:ascii="Verdana" w:eastAsia="Calibri" w:hAnsi="Verdana" w:cs="Arial"/>
          <w:i/>
          <w:iCs/>
          <w:lang w:eastAsia="en-GB"/>
        </w:rPr>
        <w:t>independientemente de su denominación o tipología contractual</w:t>
      </w:r>
      <w:r w:rsidRPr="009850DE">
        <w:rPr>
          <w:rFonts w:ascii="Verdana" w:eastAsia="Calibri" w:hAnsi="Verdana" w:cs="Arial"/>
          <w:lang w:eastAsia="en-GB"/>
        </w:rPr>
        <w:t xml:space="preserve">. Esto implica que deben tenerse en cuenta todos aquellos contratos que tengan por objeto </w:t>
      </w:r>
      <w:r w:rsidRPr="009850DE">
        <w:rPr>
          <w:rFonts w:ascii="Verdana" w:eastAsia="Calibri" w:hAnsi="Verdana" w:cs="Arial"/>
          <w:i/>
          <w:iCs/>
          <w:lang w:eastAsia="en-GB"/>
        </w:rPr>
        <w:t>obras civiles</w:t>
      </w:r>
      <w:r w:rsidRPr="009850DE">
        <w:rPr>
          <w:rFonts w:ascii="Verdana" w:eastAsia="Calibri" w:hAnsi="Verdana" w:cs="Arial"/>
          <w:lang w:eastAsia="en-GB"/>
        </w:rPr>
        <w:t xml:space="preserve"> y que se encuentren en ejecución, en los términos expuestos en este concepto y de conformidad con las normas y la Guía a las que se hizo referencia. </w:t>
      </w:r>
    </w:p>
    <w:p w14:paraId="03D9CB96"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En línea con lo anterior, en el numeral “9.5 ¿Cómo calcular el Saldo de Contratos en Ejecución?”, la guía presenta una descripción detallada de la forma de acreditación el componente. De conformidad con el numeral:</w:t>
      </w:r>
    </w:p>
    <w:p w14:paraId="5563E95F" w14:textId="77777777" w:rsidR="009850DE" w:rsidRPr="009850DE" w:rsidRDefault="009850DE" w:rsidP="009850DE">
      <w:pPr>
        <w:spacing w:after="0" w:line="276" w:lineRule="auto"/>
        <w:ind w:firstLine="709"/>
        <w:jc w:val="both"/>
        <w:rPr>
          <w:rFonts w:ascii="Verdana" w:eastAsia="Calibri" w:hAnsi="Verdana" w:cs="Arial"/>
          <w:lang w:eastAsia="en-GB"/>
        </w:rPr>
      </w:pPr>
    </w:p>
    <w:p w14:paraId="74FCBDF8"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“El proponente debe presentar un certificado suscrito por su representante legal y su revisor fiscal, si el proponente está obligado a tenerlo, o por el Contador Público o auditor independiente, para lo cual se sugiere el formato establecido en el Anexo 3 de la presente Guía.  El certificado deberá contener la lista de los Contratos en Ejecución, tanto a nivel nacional como internacional, indicando: </w:t>
      </w:r>
    </w:p>
    <w:p w14:paraId="1F10D8D8"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El valor del contrato en pesos colombianos.</w:t>
      </w:r>
    </w:p>
    <w:p w14:paraId="645B92C9"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 El plazo de ejecución del contrato en meses.  </w:t>
      </w:r>
    </w:p>
    <w:p w14:paraId="281B0B54"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 La fecha de inicio de las obras objeto del contrato: día, mes, año.  </w:t>
      </w:r>
    </w:p>
    <w:p w14:paraId="308E54FB"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 Si la obra la ejecuta un consorcio o unión temporal, el porcentaje de participación del oferente que presenta el certificado.  </w:t>
      </w:r>
    </w:p>
    <w:p w14:paraId="5F5EF540"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Si el contrato se encuentra suspendido, y si es así, la fecha de suspensión. En todo caso, si el contrato está suspendido el proponente debe informar el saldo pendiente por ejecutar.</w:t>
      </w:r>
    </w:p>
    <w:p w14:paraId="58F390CF"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Si un contrato se encuentra suspendido, el cálculo del (SCE) de dicho contrato debe efectuarse asumiendo que lo que falta por ejecutar iniciará en la fecha de presentación de la oferta del Proceso de Contratación. Si el contrato está suspendido, el proponente debe informar el saldo pendiente por ejecutar.</w:t>
      </w:r>
    </w:p>
    <w:p w14:paraId="13073902"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En el caso en el cual el contrato haya sido suspendido más de una vez, se deberá relacionar la última fecha de suspensión que se encuentre vigente al momento de presentación de la oferta.  </w:t>
      </w:r>
    </w:p>
    <w:p w14:paraId="1722B31B"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Si el proponente no tiene Contratos en Ejecución, en el certificado debe constar expresamente esa circunstancia. En todo caso, debe tener en cuenta que no se entenderá como Contratos en Ejecución los que se encuentren en etapa de liquidación o ya fueron liquidados. </w:t>
      </w:r>
    </w:p>
    <w:p w14:paraId="293DE12F" w14:textId="77777777" w:rsidR="009850DE" w:rsidRPr="009850DE" w:rsidRDefault="009850DE" w:rsidP="009850DE">
      <w:pPr>
        <w:snapToGrid w:val="0"/>
        <w:spacing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  </w:t>
      </w:r>
    </w:p>
    <w:p w14:paraId="45F4A1C3" w14:textId="77777777" w:rsidR="009850DE" w:rsidRPr="009850DE" w:rsidRDefault="009850DE" w:rsidP="009850DE">
      <w:pPr>
        <w:snapToGrid w:val="0"/>
        <w:spacing w:after="0" w:line="240" w:lineRule="auto"/>
        <w:ind w:left="709" w:right="709"/>
        <w:jc w:val="both"/>
        <w:rPr>
          <w:rFonts w:ascii="Verdana" w:eastAsia="Aptos" w:hAnsi="Verdana" w:cs="Times New Roman"/>
          <w:i/>
          <w:iCs/>
          <w:kern w:val="2"/>
          <w:sz w:val="21"/>
          <w:szCs w:val="21"/>
          <w14:ligatures w14:val="standardContextual"/>
        </w:rPr>
      </w:pPr>
      <w:r w:rsidRPr="009850DE">
        <w:rPr>
          <w:rFonts w:ascii="Verdana" w:eastAsia="Aptos" w:hAnsi="Verdana" w:cs="Times New Roman"/>
          <w:i/>
          <w:iCs/>
          <w:kern w:val="2"/>
          <w:sz w:val="21"/>
          <w:szCs w:val="21"/>
          <w14:ligatures w14:val="standardContextual"/>
        </w:rPr>
        <w:t xml:space="preserve">El Decreto 1082 de 2015 se refiere a los contratos para ejecutar obras civiles, bien sean suscritos con Entidades Estatales o con entidades privadas, incluyendo los contratos de concesión y contratos de obra suscritos con concesionarios4. Lo anterior puesto que la capacidad del </w:t>
      </w:r>
      <w:r w:rsidRPr="009850DE">
        <w:rPr>
          <w:rFonts w:ascii="Verdana" w:eastAsia="Aptos" w:hAnsi="Verdana" w:cs="Times New Roman"/>
          <w:i/>
          <w:iCs/>
          <w:kern w:val="2"/>
          <w:sz w:val="21"/>
          <w:szCs w:val="21"/>
          <w14:ligatures w14:val="standardContextual"/>
        </w:rPr>
        <w:lastRenderedPageBreak/>
        <w:t xml:space="preserve">contratista para acometer nuevas obras es afectada tanto por los contratos públicos como los privados. Igualmente se refiere a los contratos suscritos por el proponente como aquellos suscritos por consorcios o uniones temporales en las cuales participe el oferente”.  </w:t>
      </w:r>
    </w:p>
    <w:p w14:paraId="54EE9FF0" w14:textId="77777777" w:rsidR="009850DE" w:rsidRPr="009850DE" w:rsidRDefault="009850DE" w:rsidP="009850DE">
      <w:pPr>
        <w:spacing w:after="0" w:line="276" w:lineRule="auto"/>
        <w:jc w:val="both"/>
        <w:rPr>
          <w:rFonts w:ascii="Verdana" w:eastAsia="Aptos" w:hAnsi="Verdana" w:cs="Times New Roman"/>
          <w:kern w:val="2"/>
          <w14:ligatures w14:val="standardContextual"/>
        </w:rPr>
      </w:pPr>
    </w:p>
    <w:p w14:paraId="617A9BD1"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Ahora bien, teniendo en cuenta su solicitud, conviene señalar lo siguiente:</w:t>
      </w:r>
    </w:p>
    <w:p w14:paraId="37B894C4" w14:textId="77777777" w:rsidR="009850DE" w:rsidRPr="009850DE" w:rsidRDefault="009850DE" w:rsidP="009850DE">
      <w:pPr>
        <w:spacing w:after="0"/>
        <w:ind w:firstLine="709"/>
        <w:jc w:val="both"/>
        <w:rPr>
          <w:rFonts w:ascii="Verdana" w:eastAsia="Aptos" w:hAnsi="Verdana" w:cs="Times New Roman"/>
          <w:kern w:val="2"/>
          <w14:ligatures w14:val="standardContextual"/>
        </w:rPr>
      </w:pPr>
    </w:p>
    <w:p w14:paraId="3F2FF600" w14:textId="77777777" w:rsidR="009850DE" w:rsidRPr="009850DE" w:rsidRDefault="009850DE" w:rsidP="009850DE">
      <w:pPr>
        <w:spacing w:after="0"/>
        <w:jc w:val="both"/>
        <w:rPr>
          <w:rFonts w:ascii="Verdana" w:eastAsia="Aptos" w:hAnsi="Verdana" w:cs="Times New Roman"/>
          <w:b/>
          <w:bCs/>
          <w:kern w:val="2"/>
          <w14:ligatures w14:val="standardContextual"/>
        </w:rPr>
      </w:pPr>
      <w:r w:rsidRPr="009850DE">
        <w:rPr>
          <w:rFonts w:ascii="Verdana" w:eastAsia="Aptos" w:hAnsi="Verdana" w:cs="Times New Roman"/>
          <w:b/>
          <w:bCs/>
          <w:kern w:val="2"/>
          <w14:ligatures w14:val="standardContextual"/>
        </w:rPr>
        <w:t>i. Criterio para determinar el deber de reporte.</w:t>
      </w:r>
    </w:p>
    <w:p w14:paraId="2DFD2CD3" w14:textId="77777777" w:rsidR="009850DE" w:rsidRPr="009850DE" w:rsidRDefault="009850DE" w:rsidP="009850DE">
      <w:pPr>
        <w:spacing w:after="0"/>
        <w:jc w:val="both"/>
        <w:rPr>
          <w:rFonts w:ascii="Verdana" w:eastAsia="Aptos" w:hAnsi="Verdana" w:cs="Times New Roman"/>
          <w:kern w:val="2"/>
          <w14:ligatures w14:val="standardContextual"/>
        </w:rPr>
      </w:pPr>
    </w:p>
    <w:p w14:paraId="64AD77C9" w14:textId="77777777" w:rsidR="009850DE" w:rsidRPr="009850DE" w:rsidRDefault="009850DE" w:rsidP="009850DE">
      <w:p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 definición de Contrato en Ejecución contiene dos (2) elementos que deben concurrir, y el deber de reporte no nace si falta alguno:</w:t>
      </w:r>
    </w:p>
    <w:p w14:paraId="6DD951C1"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1. Que el vínculo esté vigente a la fecha de presentación de la oferta, sin estar en etapa de liquidación ni liquidado, y que el contrato exista en algún momento anterior o posterior a esa fecha.</w:t>
      </w:r>
    </w:p>
    <w:p w14:paraId="45223CFE"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2. Que el contrato obligue al proponente a ejecutar obras civiles y que el contrato permita, faculte o contemple la construcción entre varias alternativas.</w:t>
      </w:r>
    </w:p>
    <w:p w14:paraId="4D8ABB0F"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 xml:space="preserve">El verbo que emplea la metodología es “obligan”, no “pueden comprender” ni “contemplan”. La razón es funcional y no meramente literal, pues el SCE mide la porción de la capacidad del contratista que ya está comprometida en obra civil y que, por tanto, no estará disponible para el nuevo contrato. Una alternativa técnica que todavía puede no materializarse en obra no compromete capacidad de obra, porque el contratista no está jurídicamente constreñido a destinarla a ese fin.  Para distinguir una obligación de obra determinable desde el perfeccionamiento de una posibilidad de construcción sujeta a factibilidad, el análisis debe recaer sobre el contenido obligacional del contrato, no sobre su denominación ni sobre el vocabulario de sus anexos. Son indicativos de una obligación de obra: i) Que el contrato imponga construir como prestación debida, aunque el diseño de detalle se elabore después. La indeterminación del </w:t>
      </w:r>
      <w:r w:rsidRPr="009850DE">
        <w:rPr>
          <w:rFonts w:ascii="Verdana" w:eastAsia="Aptos" w:hAnsi="Verdana" w:cs="Times New Roman"/>
          <w:i/>
          <w:iCs/>
          <w:kern w:val="2"/>
          <w14:ligatures w14:val="standardContextual"/>
        </w:rPr>
        <w:t>cómo</w:t>
      </w:r>
      <w:r w:rsidRPr="009850DE">
        <w:rPr>
          <w:rFonts w:ascii="Verdana" w:eastAsia="Aptos" w:hAnsi="Verdana" w:cs="Times New Roman"/>
          <w:kern w:val="2"/>
          <w14:ligatures w14:val="standardContextual"/>
        </w:rPr>
        <w:t xml:space="preserve"> no afecta la existencia del </w:t>
      </w:r>
      <w:r w:rsidRPr="009850DE">
        <w:rPr>
          <w:rFonts w:ascii="Verdana" w:eastAsia="Aptos" w:hAnsi="Verdana" w:cs="Times New Roman"/>
          <w:i/>
          <w:iCs/>
          <w:kern w:val="2"/>
          <w14:ligatures w14:val="standardContextual"/>
        </w:rPr>
        <w:t>qué</w:t>
      </w:r>
      <w:r w:rsidRPr="009850DE">
        <w:rPr>
          <w:rFonts w:ascii="Verdana" w:eastAsia="Aptos" w:hAnsi="Verdana" w:cs="Times New Roman"/>
          <w:kern w:val="2"/>
          <w14:ligatures w14:val="standardContextual"/>
        </w:rPr>
        <w:t xml:space="preserve">: si el contratista no puede cumplir el objeto sin construir, la obligación existe desde el perfeccionamiento, </w:t>
      </w:r>
      <w:proofErr w:type="spellStart"/>
      <w:r w:rsidRPr="009850DE">
        <w:rPr>
          <w:rFonts w:ascii="Verdana" w:eastAsia="Aptos" w:hAnsi="Verdana" w:cs="Times New Roman"/>
          <w:kern w:val="2"/>
          <w14:ligatures w14:val="standardContextual"/>
        </w:rPr>
        <w:t>ii</w:t>
      </w:r>
      <w:proofErr w:type="spellEnd"/>
      <w:r w:rsidRPr="009850DE">
        <w:rPr>
          <w:rFonts w:ascii="Verdana" w:eastAsia="Aptos" w:hAnsi="Verdana" w:cs="Times New Roman"/>
          <w:kern w:val="2"/>
          <w14:ligatures w14:val="standardContextual"/>
        </w:rPr>
        <w:t xml:space="preserve">) Que exista un producto de obra exigible, con cantidades, especificaciones o metas físicas de construcción, aun sujetas a ajuste y </w:t>
      </w:r>
      <w:proofErr w:type="spellStart"/>
      <w:r w:rsidRPr="009850DE">
        <w:rPr>
          <w:rFonts w:ascii="Verdana" w:eastAsia="Aptos" w:hAnsi="Verdana" w:cs="Times New Roman"/>
          <w:kern w:val="2"/>
          <w14:ligatures w14:val="standardContextual"/>
        </w:rPr>
        <w:t>iii</w:t>
      </w:r>
      <w:proofErr w:type="spellEnd"/>
      <w:r w:rsidRPr="009850DE">
        <w:rPr>
          <w:rFonts w:ascii="Verdana" w:eastAsia="Aptos" w:hAnsi="Verdana" w:cs="Times New Roman"/>
          <w:kern w:val="2"/>
          <w14:ligatures w14:val="standardContextual"/>
        </w:rPr>
        <w:t>) Que el incumplimiento de la construcción sea, por sí solo, incumplimiento del contrato.</w:t>
      </w:r>
    </w:p>
    <w:p w14:paraId="5E36FFAC"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Son indicativos de una posibilidad de construcción aún no obligatoria:</w:t>
      </w:r>
    </w:p>
    <w:p w14:paraId="7EFB3F6C" w14:textId="77777777" w:rsidR="009850DE" w:rsidRPr="009850DE" w:rsidRDefault="009850DE" w:rsidP="009850DE">
      <w:pPr>
        <w:numPr>
          <w:ilvl w:val="0"/>
          <w:numId w:val="18"/>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lastRenderedPageBreak/>
        <w:t>Que el contrato prevea varias soluciones técnicas alternativas y admita cumplir el objeto sin ejecutar obra civil, de modo que el contratista podría satisfacer íntegramente su prestación mediante adquisición de equipos, suministro de insumos, arrendamiento de instalaciones existentes o contratación de servicios.</w:t>
      </w:r>
    </w:p>
    <w:p w14:paraId="07BD1F8E" w14:textId="77777777" w:rsidR="009850DE" w:rsidRPr="009850DE" w:rsidRDefault="009850DE" w:rsidP="009850DE">
      <w:pPr>
        <w:numPr>
          <w:ilvl w:val="0"/>
          <w:numId w:val="18"/>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Que la selección de la alternativa dependa de un estudio de factibilidad cuyo resultado no está predeterminado.</w:t>
      </w:r>
    </w:p>
    <w:p w14:paraId="7D702DE0" w14:textId="77777777" w:rsidR="009850DE" w:rsidRPr="009850DE" w:rsidRDefault="009850DE" w:rsidP="009850DE">
      <w:pPr>
        <w:numPr>
          <w:ilvl w:val="0"/>
          <w:numId w:val="18"/>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Que la solución seleccionada quede sujeta a revisión y aprobación contractualmente previstas, sin las cuales no es exigible ejecutarla.</w:t>
      </w:r>
    </w:p>
    <w:p w14:paraId="539CD96B"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 diferencia, en síntesis, es entre indeterminación del alcance de una obligación de obra ya adquirida, que no exime del reporte e inexistencia actual de esa obligación, que lo excluye hasta que la obligación nazca.</w:t>
      </w:r>
    </w:p>
    <w:p w14:paraId="434DBF34"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p>
    <w:p w14:paraId="18AD05DC" w14:textId="77777777" w:rsidR="009850DE" w:rsidRPr="009850DE" w:rsidRDefault="009850DE" w:rsidP="009850DE">
      <w:pPr>
        <w:spacing w:after="0"/>
        <w:jc w:val="both"/>
        <w:rPr>
          <w:rFonts w:ascii="Verdana" w:eastAsia="Aptos" w:hAnsi="Verdana" w:cs="Times New Roman"/>
          <w:b/>
          <w:bCs/>
          <w:kern w:val="2"/>
          <w14:ligatures w14:val="standardContextual"/>
        </w:rPr>
      </w:pPr>
      <w:proofErr w:type="spellStart"/>
      <w:r w:rsidRPr="009850DE">
        <w:rPr>
          <w:rFonts w:ascii="Verdana" w:eastAsia="Aptos" w:hAnsi="Verdana" w:cs="Times New Roman"/>
          <w:b/>
          <w:bCs/>
          <w:kern w:val="2"/>
          <w14:ligatures w14:val="standardContextual"/>
        </w:rPr>
        <w:t>ii</w:t>
      </w:r>
      <w:proofErr w:type="spellEnd"/>
      <w:r w:rsidRPr="009850DE">
        <w:rPr>
          <w:rFonts w:ascii="Verdana" w:eastAsia="Aptos" w:hAnsi="Verdana" w:cs="Times New Roman"/>
          <w:b/>
          <w:bCs/>
          <w:kern w:val="2"/>
          <w14:ligatures w14:val="standardContextual"/>
        </w:rPr>
        <w:t>. Momento en que surge el deber de inclusión.</w:t>
      </w:r>
    </w:p>
    <w:p w14:paraId="40C685D7" w14:textId="77777777" w:rsidR="009850DE" w:rsidRPr="009850DE" w:rsidRDefault="009850DE" w:rsidP="009850DE">
      <w:pPr>
        <w:spacing w:after="0"/>
        <w:jc w:val="both"/>
        <w:rPr>
          <w:rFonts w:ascii="Verdana" w:eastAsia="Aptos" w:hAnsi="Verdana" w:cs="Times New Roman"/>
          <w:kern w:val="2"/>
          <w14:ligatures w14:val="standardContextual"/>
        </w:rPr>
      </w:pPr>
    </w:p>
    <w:p w14:paraId="1B09566F" w14:textId="77777777" w:rsidR="009850DE" w:rsidRPr="009850DE" w:rsidRDefault="009850DE" w:rsidP="009850DE">
      <w:p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 sola inclusión de la construcción entre las alternativas posibles no genera, por sí misma, el deber de reportar el contrato desde su perfeccionamiento. Enumerar alternativas de cumplimiento es describir el campo de soluciones admisibles, no imponer una de ellas.</w:t>
      </w:r>
    </w:p>
    <w:p w14:paraId="5045A52F"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El deber de reporte depende del contenido obligacional y sigue esta regla temporal:</w:t>
      </w:r>
    </w:p>
    <w:p w14:paraId="1ADED325" w14:textId="77777777" w:rsidR="009850DE" w:rsidRPr="009850DE" w:rsidRDefault="009850DE" w:rsidP="009850DE">
      <w:pPr>
        <w:numPr>
          <w:ilvl w:val="0"/>
          <w:numId w:val="19"/>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Si el contrato, desde su perfeccionamiento, obliga a construir, porque el objeto no puede cumplirse sin obra civil, o porque la obra es prestación debida aunque sus diseños se elaboren luego, el deber de inclusión existe desde entonces y se mantiene mientras el vínculo esté vigente a la fecha de presentación de la oferta.</w:t>
      </w:r>
    </w:p>
    <w:p w14:paraId="7156E876" w14:textId="77777777" w:rsidR="009850DE" w:rsidRPr="009850DE" w:rsidRDefault="009850DE" w:rsidP="009850DE">
      <w:pPr>
        <w:numPr>
          <w:ilvl w:val="0"/>
          <w:numId w:val="19"/>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Si el contrato admite cumplirse sin obra civil y la construcción es una de varias alternativas sujetas a selección, el deber de inclusión surge cuando se selecciona y aprueba, conforme a las reglas contractuales, una solución que comprende obra civil. A partir de ese momento el contrato obliga a ejecutar obras civiles y, si la oferta se presenta después, es reportable.</w:t>
      </w:r>
    </w:p>
    <w:p w14:paraId="2E20F5A6"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 xml:space="preserve">Los elementos que permiten establecer en cuál de los dos supuestos se está son: el objeto y las obligaciones del contratista tal como quedaron </w:t>
      </w:r>
      <w:r w:rsidRPr="009850DE">
        <w:rPr>
          <w:rFonts w:ascii="Verdana" w:eastAsia="Aptos" w:hAnsi="Verdana" w:cs="Times New Roman"/>
          <w:kern w:val="2"/>
          <w14:ligatures w14:val="standardContextual"/>
        </w:rPr>
        <w:lastRenderedPageBreak/>
        <w:t>pactados; la existencia o no de alternativas contractualmente admisibles que excluyan la obra; la condición a la que está sometida la ejecución de la construcción; y la exigibilidad actual de esa prestación a la fecha de presentación de la oferta.  Debe subrayarse que el momento relevante es únicamente la fecha de presentación de la oferta. </w:t>
      </w:r>
    </w:p>
    <w:p w14:paraId="417CA1AB"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p>
    <w:p w14:paraId="6552F815" w14:textId="77777777" w:rsidR="009850DE" w:rsidRPr="009850DE" w:rsidRDefault="009850DE" w:rsidP="009850DE">
      <w:pPr>
        <w:spacing w:after="0"/>
        <w:jc w:val="both"/>
        <w:rPr>
          <w:rFonts w:ascii="Verdana" w:eastAsia="Aptos" w:hAnsi="Verdana" w:cs="Times New Roman"/>
          <w:b/>
          <w:bCs/>
          <w:kern w:val="2"/>
          <w14:ligatures w14:val="standardContextual"/>
        </w:rPr>
      </w:pPr>
      <w:proofErr w:type="spellStart"/>
      <w:r w:rsidRPr="009850DE">
        <w:rPr>
          <w:rFonts w:ascii="Verdana" w:eastAsia="Aptos" w:hAnsi="Verdana" w:cs="Times New Roman"/>
          <w:b/>
          <w:bCs/>
          <w:kern w:val="2"/>
          <w14:ligatures w14:val="standardContextual"/>
        </w:rPr>
        <w:t>iii</w:t>
      </w:r>
      <w:proofErr w:type="spellEnd"/>
      <w:r w:rsidRPr="009850DE">
        <w:rPr>
          <w:rFonts w:ascii="Verdana" w:eastAsia="Aptos" w:hAnsi="Verdana" w:cs="Times New Roman"/>
          <w:b/>
          <w:bCs/>
          <w:kern w:val="2"/>
          <w14:ligatures w14:val="standardContextual"/>
        </w:rPr>
        <w:t>. Alcance de la aprobación posterior.</w:t>
      </w:r>
    </w:p>
    <w:p w14:paraId="3B042B1A" w14:textId="77777777" w:rsidR="009850DE" w:rsidRPr="009850DE" w:rsidRDefault="009850DE" w:rsidP="009850DE">
      <w:pPr>
        <w:spacing w:after="0"/>
        <w:jc w:val="both"/>
        <w:rPr>
          <w:rFonts w:ascii="Verdana" w:eastAsia="Aptos" w:hAnsi="Verdana" w:cs="Times New Roman"/>
          <w:kern w:val="2"/>
          <w14:ligatures w14:val="standardContextual"/>
        </w:rPr>
      </w:pPr>
    </w:p>
    <w:p w14:paraId="29F64662" w14:textId="77777777" w:rsidR="009850DE" w:rsidRPr="009850DE" w:rsidRDefault="009850DE" w:rsidP="009850DE">
      <w:p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 xml:space="preserve">La sujeción de la factibilidad, el plan de inversiones y el plan de compras a aprobación no equivale a inexistencia de obligaciones contractuales, y así debe precisarse. Desde el perfeccionamiento el contratista está obligado a elaborar los estudios, a proponer la solución, a someterla a revisión, a ejecutar lo que se apruebe. Lo que la aprobación pendiente determina no es </w:t>
      </w:r>
      <w:r w:rsidRPr="009850DE">
        <w:rPr>
          <w:rFonts w:ascii="Verdana" w:eastAsia="Aptos" w:hAnsi="Verdana" w:cs="Times New Roman"/>
          <w:i/>
          <w:iCs/>
          <w:kern w:val="2"/>
          <w14:ligatures w14:val="standardContextual"/>
        </w:rPr>
        <w:t>si hay obligaciones</w:t>
      </w:r>
      <w:r w:rsidRPr="009850DE">
        <w:rPr>
          <w:rFonts w:ascii="Verdana" w:eastAsia="Aptos" w:hAnsi="Verdana" w:cs="Times New Roman"/>
          <w:kern w:val="2"/>
          <w14:ligatures w14:val="standardContextual"/>
        </w:rPr>
        <w:t xml:space="preserve">, sino </w:t>
      </w:r>
      <w:r w:rsidRPr="009850DE">
        <w:rPr>
          <w:rFonts w:ascii="Verdana" w:eastAsia="Aptos" w:hAnsi="Verdana" w:cs="Times New Roman"/>
          <w:i/>
          <w:iCs/>
          <w:kern w:val="2"/>
          <w14:ligatures w14:val="standardContextual"/>
        </w:rPr>
        <w:t>cuál es su contenido</w:t>
      </w:r>
      <w:r w:rsidRPr="009850DE">
        <w:rPr>
          <w:rFonts w:ascii="Verdana" w:eastAsia="Aptos" w:hAnsi="Verdana" w:cs="Times New Roman"/>
          <w:kern w:val="2"/>
          <w14:ligatures w14:val="standardContextual"/>
        </w:rPr>
        <w:t xml:space="preserve"> en materia de obra civil.</w:t>
      </w:r>
    </w:p>
    <w:p w14:paraId="67F6F172"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 distinción pertinente es entre dos funciones que puede cumplir una aprobación posterior:</w:t>
      </w:r>
    </w:p>
    <w:p w14:paraId="07998613"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t>1. Aprobación que concreta una obligación de obra ya adquirida.</w:t>
      </w:r>
      <w:r w:rsidRPr="009850DE">
        <w:rPr>
          <w:rFonts w:ascii="Verdana" w:eastAsia="Aptos" w:hAnsi="Verdana" w:cs="Times New Roman"/>
          <w:kern w:val="2"/>
          <w14:ligatures w14:val="standardContextual"/>
        </w:rPr>
        <w:t xml:space="preserve"> El contrato ya obliga a construir y la aprobación recae sobre el cómo: diseños, cantidades, especificaciones, cronograma. Aquí la obligación de obra preexiste a la aprobación y el contrato es reportable desde el perfeccionamiento. Es el mismo supuesto del contrato de obra cuyos diseños de detalle se elaboran durante la ejecución, que su consulta distingue correctamente.</w:t>
      </w:r>
    </w:p>
    <w:p w14:paraId="27B92A58"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t>2. Aprobación que selecciona entre alternativas que pueden comprender o excluir obra.</w:t>
      </w:r>
      <w:r w:rsidRPr="009850DE">
        <w:rPr>
          <w:rFonts w:ascii="Verdana" w:eastAsia="Aptos" w:hAnsi="Verdana" w:cs="Times New Roman"/>
          <w:kern w:val="2"/>
          <w14:ligatures w14:val="standardContextual"/>
        </w:rPr>
        <w:t xml:space="preserve"> El contrato no obliga aún a construir, y la aprobación decide si la obra se incorpora o no al contenido obligacional. Aquí la obligación de obra no preexiste: nace, si nace, con la aprobación.</w:t>
      </w:r>
    </w:p>
    <w:p w14:paraId="059A4897"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El criterio para ubicar un caso en uno u otro supuesto es si el resultado de la aprobación puede, conforme al propio contrato, ser una solución sin obra civil que satisfaga íntegramente el objeto. Si puede, la obligación de obra es eventual. Si toda solución admisible supone construir, la obligación existe desde el perfeccionamiento, por más que su alcance se defina después.</w:t>
      </w:r>
    </w:p>
    <w:p w14:paraId="0ADF7B70"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p>
    <w:p w14:paraId="3A8F1C1A" w14:textId="77777777" w:rsidR="009850DE" w:rsidRPr="009850DE" w:rsidRDefault="009850DE" w:rsidP="009850DE">
      <w:pPr>
        <w:spacing w:after="0"/>
        <w:jc w:val="both"/>
        <w:rPr>
          <w:rFonts w:ascii="Verdana" w:eastAsia="Aptos" w:hAnsi="Verdana" w:cs="Times New Roman"/>
          <w:b/>
          <w:bCs/>
          <w:kern w:val="2"/>
          <w14:ligatures w14:val="standardContextual"/>
        </w:rPr>
      </w:pPr>
      <w:proofErr w:type="spellStart"/>
      <w:r w:rsidRPr="009850DE">
        <w:rPr>
          <w:rFonts w:ascii="Verdana" w:eastAsia="Aptos" w:hAnsi="Verdana" w:cs="Times New Roman"/>
          <w:b/>
          <w:bCs/>
          <w:kern w:val="2"/>
          <w14:ligatures w14:val="standardContextual"/>
        </w:rPr>
        <w:t>iv</w:t>
      </w:r>
      <w:proofErr w:type="spellEnd"/>
      <w:r w:rsidRPr="009850DE">
        <w:rPr>
          <w:rFonts w:ascii="Verdana" w:eastAsia="Aptos" w:hAnsi="Verdana" w:cs="Times New Roman"/>
          <w:b/>
          <w:bCs/>
          <w:kern w:val="2"/>
          <w14:ligatures w14:val="standardContextual"/>
        </w:rPr>
        <w:t>. Diferencia frente a contratos suspendidos o sin acta de inicio.</w:t>
      </w:r>
    </w:p>
    <w:p w14:paraId="1F35F5ED" w14:textId="77777777" w:rsidR="009850DE" w:rsidRPr="009850DE" w:rsidRDefault="009850DE" w:rsidP="009850DE">
      <w:pPr>
        <w:spacing w:after="0"/>
        <w:jc w:val="both"/>
        <w:rPr>
          <w:rFonts w:ascii="Verdana" w:eastAsia="Aptos" w:hAnsi="Verdana" w:cs="Times New Roman"/>
          <w:kern w:val="2"/>
          <w14:ligatures w14:val="standardContextual"/>
        </w:rPr>
      </w:pPr>
    </w:p>
    <w:p w14:paraId="74284ED3" w14:textId="77777777" w:rsidR="009850DE" w:rsidRPr="009850DE" w:rsidRDefault="009850DE" w:rsidP="009850DE">
      <w:p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lastRenderedPageBreak/>
        <w:t>Sí la regla que incluye contratos suspendidos o sin acta de inicio presupone haber establecido previamente que el vínculo obliga a ejecutar obras civiles. No es una regla de calificación, sino de no exclusión.</w:t>
      </w:r>
    </w:p>
    <w:p w14:paraId="4964EAAA"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 estructura de la definición lo muestra. Primero fija el supuesto de hecho, es decir contratos que obligan a ejecutar obras civiles y solo después aclara que dentro de ese universo se incluyen los suspendidos y los que no tienen acta de inicio. La mención cumple la función de impedir que circunstancias de la ejecución material saquen del cómputo a un contrato que sí obliga a construir.</w:t>
      </w:r>
    </w:p>
    <w:p w14:paraId="3F8B58E5"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 Guía es expresa al explicar por qué el acta de inicio es irrelevante en este caso, en su numeral 9.5 que determina:</w:t>
      </w:r>
    </w:p>
    <w:p w14:paraId="5FDE1A90"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¿Cómo calcular el Saldo de Contratos en Ejecución?</w:t>
      </w:r>
      <w:r w:rsidRPr="009850DE">
        <w:rPr>
          <w:rFonts w:ascii="Verdana" w:eastAsia="Aptos" w:hAnsi="Verdana" w:cs="Times New Roman"/>
          <w:kern w:val="2"/>
          <w14:ligatures w14:val="standardContextual"/>
        </w:rPr>
        <w:br/>
        <w:t xml:space="preserve">El proponente debe presentar un certificado suscrito por su representante legal y su revisor fiscal, si el proponente está obligado a tenerlo, o por el Contador Público o auditor independiente, para lo cual se sugiere el formato establecido en el Anexo 3 de la presente Guía. (...) </w:t>
      </w:r>
      <w:r w:rsidRPr="009850DE">
        <w:rPr>
          <w:rFonts w:ascii="Verdana" w:eastAsia="Aptos" w:hAnsi="Verdana" w:cs="Times New Roman"/>
          <w:i/>
          <w:iCs/>
          <w:kern w:val="2"/>
          <w14:ligatures w14:val="standardContextual"/>
        </w:rPr>
        <w:t>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w:t>
      </w:r>
    </w:p>
    <w:p w14:paraId="66ADEA31"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Es decir, el criterio determinante es la obligación, no el estado fáctico de la ejecución. De ahí se sigue la diferencia con el supuesto consultado:</w:t>
      </w:r>
    </w:p>
    <w:p w14:paraId="38FE3883"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1. Contrato de obra suspendido, la obligación de reporte existe.</w:t>
      </w:r>
    </w:p>
    <w:p w14:paraId="0BCAC3D9"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2. Contrato de obra sin acta de inicio, la obligación de reporte existe.</w:t>
      </w:r>
    </w:p>
    <w:p w14:paraId="7CC80F87"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3. Contrato con alternativas aún no seleccionadas que no existe aún y que no existe la prestación de obra que ejecutar, no debería reportarse mientras no nazca la obligación de obra civil</w:t>
      </w:r>
    </w:p>
    <w:p w14:paraId="2208BAFC"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En los dos primeros casos hay capacidad de obra comprometida que no se ha liberado; por eso la metodología ordena computarla, y para el contrato suspendido indica calcular el SCE asumiendo que lo que falta por ejecutar iniciará en la fecha de presentación de la oferta. En el tercero no hay aún prestación de obra que comprometa capacidad, y aplicar la regla de no exclusión equivaldría a usarla para crear la obligación que ella presupone.</w:t>
      </w:r>
    </w:p>
    <w:p w14:paraId="43FA22A6"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p>
    <w:p w14:paraId="6E10109F" w14:textId="77777777" w:rsidR="009850DE" w:rsidRPr="009850DE" w:rsidRDefault="009850DE" w:rsidP="009850DE">
      <w:pPr>
        <w:spacing w:after="0"/>
        <w:jc w:val="both"/>
        <w:rPr>
          <w:rFonts w:ascii="Verdana" w:eastAsia="Aptos" w:hAnsi="Verdana" w:cs="Times New Roman"/>
          <w:b/>
          <w:bCs/>
          <w:kern w:val="2"/>
          <w14:ligatures w14:val="standardContextual"/>
        </w:rPr>
      </w:pPr>
      <w:r w:rsidRPr="009850DE">
        <w:rPr>
          <w:rFonts w:ascii="Verdana" w:eastAsia="Aptos" w:hAnsi="Verdana" w:cs="Times New Roman"/>
          <w:b/>
          <w:bCs/>
          <w:kern w:val="2"/>
          <w14:ligatures w14:val="standardContextual"/>
        </w:rPr>
        <w:t>v. Elementos suficientes para la clasificación.</w:t>
      </w:r>
    </w:p>
    <w:p w14:paraId="795A8730" w14:textId="77777777" w:rsidR="009850DE" w:rsidRPr="009850DE" w:rsidRDefault="009850DE" w:rsidP="009850DE">
      <w:pPr>
        <w:spacing w:after="0"/>
        <w:jc w:val="both"/>
        <w:rPr>
          <w:rFonts w:ascii="Verdana" w:eastAsia="Aptos" w:hAnsi="Verdana" w:cs="Times New Roman"/>
          <w:kern w:val="2"/>
          <w14:ligatures w14:val="standardContextual"/>
        </w:rPr>
      </w:pPr>
    </w:p>
    <w:p w14:paraId="21013E24" w14:textId="77777777" w:rsidR="009850DE" w:rsidRPr="009850DE" w:rsidRDefault="009850DE" w:rsidP="009850DE">
      <w:p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Las menciones a construcción, plantas, edificaciones, diseños o licencias dentro de actividades potenciales o rubros presupuestales no son suficientes, por sí solas, para concluir que existe un contrato reportable en el SCE. Deben interpretarse conjuntamente con las cláusulas que regulan las alternativas de cumplimiento, la factibilidad y la selección de las inversiones.  La razón es que esas menciones pueden cumplir funciones distintas de la de imponer una obligación:</w:t>
      </w:r>
    </w:p>
    <w:p w14:paraId="47B9AEBD" w14:textId="77777777" w:rsidR="009850DE" w:rsidRPr="009850DE" w:rsidRDefault="009850DE" w:rsidP="009850DE">
      <w:pPr>
        <w:numPr>
          <w:ilvl w:val="0"/>
          <w:numId w:val="20"/>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Un rubro presupuestal puede ser una previsión de disponibilidad para el caso en que la alternativa se seleccione, no la orden de ejecutarla. Su existencia prueba que la construcción es financiable, no que sea debida.</w:t>
      </w:r>
    </w:p>
    <w:p w14:paraId="39716353" w14:textId="77777777" w:rsidR="009850DE" w:rsidRPr="009850DE" w:rsidRDefault="009850DE" w:rsidP="009850DE">
      <w:pPr>
        <w:numPr>
          <w:ilvl w:val="0"/>
          <w:numId w:val="20"/>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Una actividad potencial enumerada en un anexo describe el menú de soluciones admisibles.</w:t>
      </w:r>
    </w:p>
    <w:p w14:paraId="4DFC38C0" w14:textId="77777777" w:rsidR="009850DE" w:rsidRPr="009850DE" w:rsidRDefault="009850DE" w:rsidP="009850DE">
      <w:pPr>
        <w:numPr>
          <w:ilvl w:val="0"/>
          <w:numId w:val="20"/>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Una mención a diseños o licencias puede corresponder a la fase de estructuración –identificar qué permisos requeriría cada alternativa– y no a una obligación de construir.</w:t>
      </w:r>
    </w:p>
    <w:p w14:paraId="6019F02B"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Admitir lo contrario tendría una consecuencia inaceptable: cualquier contrato de consultoría, estructuración o gestión de proyectos que mencione obra en sus anexos quedaría convertido en contrato de obra reportable, con lo que se restaría capacidad residual por compromisos de obra inexistentes. Eso contradice la finalidad de la capacidad residual a los compromisos que efectivamente afectan la habilidad del oferente para responder por el nuevo contrato de obra.  El análisis debe ser sistemático, sobre el contrato en su conjunto: objeto, obligaciones, alternativas de cumplimiento, condiciones de exigibilidad y régimen de aprobaciones. Una palabra aislada en un anexo técnico o en una matriz presupuestal no desplaza el contenido obligacional pactado.</w:t>
      </w:r>
    </w:p>
    <w:p w14:paraId="5E1F9A54"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p>
    <w:p w14:paraId="7D707A41" w14:textId="77777777" w:rsidR="009850DE" w:rsidRPr="009850DE" w:rsidRDefault="009850DE" w:rsidP="009850DE">
      <w:pPr>
        <w:spacing w:after="0"/>
        <w:jc w:val="both"/>
        <w:rPr>
          <w:rFonts w:ascii="Verdana" w:eastAsia="Aptos" w:hAnsi="Verdana" w:cs="Times New Roman"/>
          <w:b/>
          <w:bCs/>
          <w:kern w:val="2"/>
          <w14:ligatures w14:val="standardContextual"/>
        </w:rPr>
      </w:pPr>
      <w:r w:rsidRPr="009850DE">
        <w:rPr>
          <w:rFonts w:ascii="Verdana" w:eastAsia="Aptos" w:hAnsi="Verdana" w:cs="Times New Roman"/>
          <w:b/>
          <w:bCs/>
          <w:kern w:val="2"/>
          <w14:ligatures w14:val="standardContextual"/>
        </w:rPr>
        <w:t>vi. Contratos que combinan prestaciones.</w:t>
      </w:r>
    </w:p>
    <w:p w14:paraId="5F0F0579" w14:textId="77777777" w:rsidR="009850DE" w:rsidRPr="009850DE" w:rsidRDefault="009850DE" w:rsidP="009850DE">
      <w:pPr>
        <w:spacing w:after="0"/>
        <w:jc w:val="both"/>
        <w:rPr>
          <w:rFonts w:ascii="Verdana" w:eastAsia="Aptos" w:hAnsi="Verdana" w:cs="Times New Roman"/>
          <w:kern w:val="2"/>
          <w14:ligatures w14:val="standardContextual"/>
        </w:rPr>
      </w:pPr>
    </w:p>
    <w:p w14:paraId="5E51E885" w14:textId="77777777" w:rsidR="009850DE" w:rsidRPr="009850DE" w:rsidRDefault="009850DE" w:rsidP="009850DE">
      <w:p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 xml:space="preserve">El criterio de inclusión es el mismo: si el contrato, a la fecha de presentación de la oferta, obliga a ejecutar obras civiles, aunque junto a servicios y suministros, es reportable; si no obliga a ello, no lo es. La combinación de prestaciones no </w:t>
      </w:r>
      <w:r w:rsidRPr="009850DE">
        <w:rPr>
          <w:rFonts w:ascii="Verdana" w:eastAsia="Aptos" w:hAnsi="Verdana" w:cs="Times New Roman"/>
          <w:kern w:val="2"/>
          <w14:ligatures w14:val="standardContextual"/>
        </w:rPr>
        <w:lastRenderedPageBreak/>
        <w:t>crea un régimen intermedio.  Sobre la base de cálculo, la metodología opera sobre el valor total del contrato y su plazo total, no sobre un componente de obra desagregado, de conformidad a lo dispuesto en la Guía que lo establece en su numeral 9.5.</w:t>
      </w:r>
    </w:p>
    <w:p w14:paraId="07520FEF"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Las variables son, entonces, valor del contrato, plazo, fecha de inicio, días por ejecutar –con tope de 360– y porcentaje de participación. Lo confirma el propio aplicativo de la ANCP–CCE, en el formulario de contratos vigentes que debe capturar únicamente Valor (COP), Fecha de inicio, Plazo (meses), Oferente plural, Participación (%), si está suspendido y Fecha de suspensión. No existe campo para un componente de obra ni para un valor parcial, y el saldo diario se obtiene dividiendo el valor registrado entre el plazo registrado. La Certificación del Anexo 3 de la Guía sigue la misma estructura: columna (K) “Valor del contrato (incluir adicionales)”, no valor del componente.</w:t>
      </w:r>
    </w:p>
    <w:p w14:paraId="723A0097"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De esto se siguen dos consecuencias prácticas:</w:t>
      </w:r>
    </w:p>
    <w:p w14:paraId="3635869C" w14:textId="77777777" w:rsidR="009850DE" w:rsidRPr="009850DE" w:rsidRDefault="009850DE" w:rsidP="009850DE">
      <w:pPr>
        <w:numPr>
          <w:ilvl w:val="0"/>
          <w:numId w:val="21"/>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Si el contrato es reportable, se reporta por su valor y plazo totales. La metodología no habilita a la entidad ni al proponente a fraccionar el valor para reportar solo la parte de obra. Tal fraccionamiento carece de fundamento normativo y alteraría el cálculo que la Guía hace obligatorio.</w:t>
      </w:r>
    </w:p>
    <w:p w14:paraId="3E79DBEC" w14:textId="77777777" w:rsidR="009850DE" w:rsidRPr="009850DE" w:rsidRDefault="009850DE" w:rsidP="009850DE">
      <w:pPr>
        <w:numPr>
          <w:ilvl w:val="0"/>
          <w:numId w:val="21"/>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Si el componente de obra no ha sido definido ni cuantificado, esa indefinición es un indicio de que la obligación de obra aún no existe, más que un problema de cálculo. Cuando una entidad concluye que un contrato es reportable pero no puede identificar qué obra obliga a ejecutar, con qué alcance ni en qué plazo, conviene revisar la calificación previa: la metodología presupone un compromiso de obra determinado o determinable, y no ofrece regla para computar una obra inexistente.</w:t>
      </w:r>
    </w:p>
    <w:p w14:paraId="63F6D0FD"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No debe presumirse que siempre sea jurídicamente posible separar valores, y precisamente por eso la metodología no lo exige: resuelve el problema mediante la calificación del contrato como reportable o no, y no mediante una prorrata.</w:t>
      </w:r>
    </w:p>
    <w:p w14:paraId="0EBC551A"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p>
    <w:p w14:paraId="6A197C17" w14:textId="77777777" w:rsidR="009850DE" w:rsidRPr="009850DE" w:rsidRDefault="009850DE" w:rsidP="009850DE">
      <w:pPr>
        <w:spacing w:after="0"/>
        <w:jc w:val="both"/>
        <w:rPr>
          <w:rFonts w:ascii="Verdana" w:eastAsia="Aptos" w:hAnsi="Verdana" w:cs="Times New Roman"/>
          <w:b/>
          <w:bCs/>
          <w:kern w:val="2"/>
          <w14:ligatures w14:val="standardContextual"/>
        </w:rPr>
      </w:pPr>
      <w:proofErr w:type="spellStart"/>
      <w:r w:rsidRPr="009850DE">
        <w:rPr>
          <w:rFonts w:ascii="Verdana" w:eastAsia="Aptos" w:hAnsi="Verdana" w:cs="Times New Roman"/>
          <w:b/>
          <w:bCs/>
          <w:kern w:val="2"/>
          <w14:ligatures w14:val="standardContextual"/>
        </w:rPr>
        <w:t>vii</w:t>
      </w:r>
      <w:proofErr w:type="spellEnd"/>
      <w:r w:rsidRPr="009850DE">
        <w:rPr>
          <w:rFonts w:ascii="Verdana" w:eastAsia="Aptos" w:hAnsi="Verdana" w:cs="Times New Roman"/>
          <w:b/>
          <w:bCs/>
          <w:kern w:val="2"/>
          <w14:ligatures w14:val="standardContextual"/>
        </w:rPr>
        <w:t>. Soporte de la decisión de la entidad evaluadora.</w:t>
      </w:r>
    </w:p>
    <w:p w14:paraId="6EBA80A7" w14:textId="77777777" w:rsidR="009850DE" w:rsidRPr="009850DE" w:rsidRDefault="009850DE" w:rsidP="009850DE">
      <w:pPr>
        <w:spacing w:after="0"/>
        <w:jc w:val="both"/>
        <w:rPr>
          <w:rFonts w:ascii="Verdana" w:eastAsia="Aptos" w:hAnsi="Verdana" w:cs="Times New Roman"/>
          <w:kern w:val="2"/>
          <w14:ligatures w14:val="standardContextual"/>
        </w:rPr>
      </w:pPr>
    </w:p>
    <w:p w14:paraId="03E68201" w14:textId="77777777" w:rsidR="009850DE" w:rsidRPr="009850DE" w:rsidRDefault="009850DE" w:rsidP="009850DE">
      <w:p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lastRenderedPageBreak/>
        <w:t>Antes de concluir que un contrato con alternativas de ejecución debía reportarse como compromiso de obra civil, la entidad debe verificar y dejar expuesto en el informe de evaluación:</w:t>
      </w:r>
    </w:p>
    <w:p w14:paraId="3D16133D"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1. Que el vínculo estaba vigente a la fecha de presentación de la oferta y no se encontraba en etapa de liquidación ni liquidado.</w:t>
      </w:r>
    </w:p>
    <w:p w14:paraId="12ECF1D1"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2. Cuál es la cláusula, obligación o estipulación concreta de la que surge el deber de ejecutar obras civiles, identificada de forma específica y no por remisión genérica al contrato o a sus anexos.</w:t>
      </w:r>
    </w:p>
    <w:p w14:paraId="27058C8F"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3. Que el contrato no admitía, conforme a su propio texto, cumplirse mediante una alternativa sin obra civil; o, si la admitía, que la alternativa con obra ya había sido seleccionada y aprobada antes de la fecha de presentación de la oferta.</w:t>
      </w:r>
    </w:p>
    <w:p w14:paraId="1AEE152E"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4. Por qué las menciones a construcción, plantas, diseños, licencias o rubros en que se apoya constituyen obligación y no previsión de una alternativa posible.</w:t>
      </w:r>
    </w:p>
    <w:p w14:paraId="3AAF4746" w14:textId="77777777" w:rsidR="009850DE" w:rsidRPr="009850DE" w:rsidRDefault="009850DE" w:rsidP="009850DE">
      <w:pPr>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5. El valor y el plazo del contrato y, con ellos, el efecto cuantitativo de la omisión sobre el SCE y sobre la capacidad residual del proponente.</w:t>
      </w:r>
    </w:p>
    <w:p w14:paraId="714E1FCB" w14:textId="77777777" w:rsidR="009850DE" w:rsidRPr="009850DE" w:rsidRDefault="009850DE" w:rsidP="009850DE">
      <w:pPr>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El estándar es el del deber de motivación y el principio de selección objetiva, una conclusión que modifica la situación jurídica de un proponente debe sustentarse en el análisis del contenido obligacional, no en inferencias a partir de vocabulario.  Sobre las certificaciones de la entidad contratante y de la interventoría acerca del estado de la estructuración, las alternativas aprobadas y las obligaciones de construcción existentes a la fecha de presentación de la oferta: son medios de prueba pertinentes y conducentes, que la entidad evaluadora debe valorar expresamente y no puede descartar sin motivación.</w:t>
      </w:r>
    </w:p>
    <w:p w14:paraId="5D26A701" w14:textId="77777777" w:rsidR="009850DE" w:rsidRPr="009850DE" w:rsidRDefault="009850DE" w:rsidP="009850DE">
      <w:pPr>
        <w:numPr>
          <w:ilvl w:val="0"/>
          <w:numId w:val="22"/>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Provienen de quienes administran y vigilan el contrato y, por tanto, están en la mejor posición para constatar qué se había aprobado y qué obligaciones existían en una fecha determinada.</w:t>
      </w:r>
    </w:p>
    <w:p w14:paraId="2EE1BFBC" w14:textId="77777777" w:rsidR="009850DE" w:rsidRPr="009850DE" w:rsidRDefault="009850DE" w:rsidP="009850DE">
      <w:pPr>
        <w:numPr>
          <w:ilvl w:val="0"/>
          <w:numId w:val="22"/>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Prueban hechos –el estado de la estructuración, la existencia o no de aprobaciones, lo efectivamente exigido al contratista–, que es precisamente lo que la calificación requiere.</w:t>
      </w:r>
    </w:p>
    <w:p w14:paraId="25855821" w14:textId="77777777" w:rsidR="009850DE" w:rsidRPr="009850DE" w:rsidRDefault="009850DE" w:rsidP="009850DE">
      <w:pPr>
        <w:numPr>
          <w:ilvl w:val="0"/>
          <w:numId w:val="22"/>
        </w:numPr>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lastRenderedPageBreak/>
        <w:t>No sustituyen el contrato como fuente de la obligación: si su contenido contradice lo pactado, prevalece el texto contractual. Su función es acreditar la situación a la fecha de la oferta, no redefinir el vínculo.</w:t>
      </w:r>
    </w:p>
    <w:p w14:paraId="0792B2BF"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 xml:space="preserve">En todo caso, las reglas sobre valoración probatoria, </w:t>
      </w:r>
      <w:proofErr w:type="spellStart"/>
      <w:r w:rsidRPr="009850DE">
        <w:rPr>
          <w:rFonts w:ascii="Verdana" w:eastAsia="Aptos" w:hAnsi="Verdana" w:cs="Times New Roman"/>
          <w:kern w:val="2"/>
          <w14:ligatures w14:val="standardContextual"/>
        </w:rPr>
        <w:t>subsanabilidad</w:t>
      </w:r>
      <w:proofErr w:type="spellEnd"/>
      <w:r w:rsidRPr="009850DE">
        <w:rPr>
          <w:rFonts w:ascii="Verdana" w:eastAsia="Aptos" w:hAnsi="Verdana" w:cs="Times New Roman"/>
          <w:kern w:val="2"/>
          <w14:ligatures w14:val="standardContextual"/>
        </w:rPr>
        <w:t xml:space="preserve"> y traslado de informes de evaluación son las del respectivo pliego de condiciones, los documentos tipo y las normas generales aplicables al procedimiento, cuya aplicación corresponde a la entidad.</w:t>
      </w:r>
    </w:p>
    <w:p w14:paraId="21E00B2D" w14:textId="77777777" w:rsidR="009850DE" w:rsidRPr="009850DE" w:rsidRDefault="009850DE" w:rsidP="009850DE">
      <w:pPr>
        <w:spacing w:after="0" w:line="276" w:lineRule="auto"/>
        <w:ind w:firstLine="709"/>
        <w:jc w:val="both"/>
        <w:rPr>
          <w:rFonts w:ascii="Verdana" w:eastAsia="Aptos" w:hAnsi="Verdana" w:cs="Times New Roman"/>
          <w:kern w:val="2"/>
          <w14:ligatures w14:val="standardContextual"/>
        </w:rPr>
      </w:pPr>
    </w:p>
    <w:p w14:paraId="2B198342" w14:textId="77777777" w:rsidR="009850DE" w:rsidRPr="009850DE" w:rsidRDefault="009850DE" w:rsidP="009850DE">
      <w:pPr>
        <w:spacing w:after="0"/>
        <w:jc w:val="both"/>
        <w:rPr>
          <w:rFonts w:ascii="Verdana" w:eastAsia="Aptos" w:hAnsi="Verdana" w:cs="Times New Roman"/>
          <w:b/>
          <w:bCs/>
          <w:kern w:val="2"/>
          <w14:ligatures w14:val="standardContextual"/>
        </w:rPr>
      </w:pPr>
      <w:proofErr w:type="spellStart"/>
      <w:r w:rsidRPr="009850DE">
        <w:rPr>
          <w:rFonts w:ascii="Verdana" w:eastAsia="Aptos" w:hAnsi="Verdana" w:cs="Times New Roman"/>
          <w:b/>
          <w:bCs/>
          <w:kern w:val="2"/>
          <w14:ligatures w14:val="standardContextual"/>
        </w:rPr>
        <w:t>viii</w:t>
      </w:r>
      <w:proofErr w:type="spellEnd"/>
      <w:r w:rsidRPr="009850DE">
        <w:rPr>
          <w:rFonts w:ascii="Verdana" w:eastAsia="Aptos" w:hAnsi="Verdana" w:cs="Times New Roman"/>
          <w:b/>
          <w:bCs/>
          <w:kern w:val="2"/>
          <w14:ligatures w14:val="standardContextual"/>
        </w:rPr>
        <w:t>. Aplicación de la causal de rechazo.</w:t>
      </w:r>
    </w:p>
    <w:p w14:paraId="0CCD4083" w14:textId="77777777" w:rsidR="009850DE" w:rsidRPr="009850DE" w:rsidRDefault="009850DE" w:rsidP="009850DE">
      <w:pPr>
        <w:spacing w:after="0"/>
        <w:jc w:val="both"/>
        <w:rPr>
          <w:rFonts w:ascii="Verdana" w:eastAsia="Aptos" w:hAnsi="Verdana" w:cs="Times New Roman"/>
          <w:kern w:val="2"/>
          <w14:ligatures w14:val="standardContextual"/>
        </w:rPr>
      </w:pPr>
    </w:p>
    <w:p w14:paraId="3930AAA5" w14:textId="77777777" w:rsidR="009850DE" w:rsidRPr="009850DE" w:rsidRDefault="009850DE" w:rsidP="009850DE">
      <w:pPr>
        <w:snapToGrid w:val="0"/>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Para aplicar la causal del numeral 1.15 del Documento Base referida a la omisión de contratos en el Formato 5C, debe establecerse previamente que el contrato no informado pertenece al universo de contratos de obras civiles reportables conforme al numeral 3.11. La causal sanciona la omisión de un contrato reportable; si el contrato no lo era, no hay omisión que sancionar.</w:t>
      </w:r>
    </w:p>
    <w:p w14:paraId="1B0F599B" w14:textId="77777777" w:rsidR="009850DE" w:rsidRPr="009850DE" w:rsidRDefault="009850DE" w:rsidP="009850DE">
      <w:pPr>
        <w:snapToGrid w:val="0"/>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 precisión que usted formula de superar el mínimo de capacidad residual exigido no dispensa del deber de informar los contratos reportables. El Formato 5C es una declaración cuya integridad se exige con independencia del resultado del cálculo, porque de ella depende que la entidad pueda verificar el requisito habilitante. Conservar capacidad residual suficiente después de incorporar el contrato omitido no convierte la omisión en irrelevante.  En consecuencia, el alcance preciso de la causal, su literal y sus condiciones de aplicación son los del Documento Base vigente para el respectivo proceso, cuya aplicación corresponde a la entidad contratante.</w:t>
      </w:r>
    </w:p>
    <w:p w14:paraId="36ED44BC" w14:textId="77777777" w:rsidR="009850DE" w:rsidRPr="009850DE" w:rsidRDefault="009850DE" w:rsidP="009850DE">
      <w:pPr>
        <w:snapToGrid w:val="0"/>
        <w:spacing w:after="0" w:line="276" w:lineRule="auto"/>
        <w:ind w:firstLine="709"/>
        <w:jc w:val="both"/>
        <w:rPr>
          <w:rFonts w:ascii="Verdana" w:eastAsia="Aptos" w:hAnsi="Verdana" w:cs="Times New Roman"/>
          <w:kern w:val="2"/>
          <w14:ligatures w14:val="standardContextual"/>
        </w:rPr>
      </w:pPr>
    </w:p>
    <w:p w14:paraId="4772A754" w14:textId="77777777" w:rsidR="009850DE" w:rsidRPr="009850DE" w:rsidRDefault="009850DE" w:rsidP="009850DE">
      <w:pPr>
        <w:spacing w:after="0"/>
        <w:jc w:val="both"/>
        <w:rPr>
          <w:rFonts w:ascii="Verdana" w:eastAsia="Aptos" w:hAnsi="Verdana" w:cs="Times New Roman"/>
          <w:b/>
          <w:bCs/>
          <w:kern w:val="2"/>
          <w14:ligatures w14:val="standardContextual"/>
        </w:rPr>
      </w:pPr>
      <w:proofErr w:type="spellStart"/>
      <w:r w:rsidRPr="009850DE">
        <w:rPr>
          <w:rFonts w:ascii="Verdana" w:eastAsia="Aptos" w:hAnsi="Verdana" w:cs="Times New Roman"/>
          <w:b/>
          <w:bCs/>
          <w:kern w:val="2"/>
          <w14:ligatures w14:val="standardContextual"/>
        </w:rPr>
        <w:t>ix</w:t>
      </w:r>
      <w:proofErr w:type="spellEnd"/>
      <w:r w:rsidRPr="009850DE">
        <w:rPr>
          <w:rFonts w:ascii="Verdana" w:eastAsia="Aptos" w:hAnsi="Verdana" w:cs="Times New Roman"/>
          <w:b/>
          <w:bCs/>
          <w:kern w:val="2"/>
          <w14:ligatures w14:val="standardContextual"/>
        </w:rPr>
        <w:t>. Articulación con los conceptos C-836 y C-1101 de 2026.</w:t>
      </w:r>
    </w:p>
    <w:p w14:paraId="148A22DA" w14:textId="77777777" w:rsidR="009850DE" w:rsidRPr="009850DE" w:rsidRDefault="009850DE" w:rsidP="009850DE">
      <w:pPr>
        <w:spacing w:after="0"/>
        <w:jc w:val="both"/>
        <w:rPr>
          <w:rFonts w:ascii="Verdana" w:eastAsia="Aptos" w:hAnsi="Verdana" w:cs="Times New Roman"/>
          <w:kern w:val="2"/>
          <w14:ligatures w14:val="standardContextual"/>
        </w:rPr>
      </w:pPr>
    </w:p>
    <w:p w14:paraId="1267B6CD" w14:textId="77777777" w:rsidR="009850DE" w:rsidRPr="009850DE" w:rsidRDefault="009850DE" w:rsidP="009850DE">
      <w:pPr>
        <w:snapToGrid w:val="0"/>
        <w:spacing w:after="120" w:line="276" w:lineRule="auto"/>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Los criterios de los conceptos C-836 y C-1101 de 2026 sobre objeto material, obligación de ejecutar obras civiles y omisión de contratos se articulan con el supuesto consultado del siguiente modo:</w:t>
      </w:r>
    </w:p>
    <w:p w14:paraId="2FDC9364" w14:textId="77777777" w:rsidR="009850DE" w:rsidRPr="009850DE" w:rsidRDefault="009850DE" w:rsidP="009850DE">
      <w:pPr>
        <w:snapToGrid w:val="0"/>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 xml:space="preserve">El criterio del objeto material significa que la calificación de un contrato para efectos del SCE no depende de su denominación ni de la tipología que le haya asignado la entidad contratante, sino de las prestaciones realmente pactadas. Ese criterio opera en ambas direcciones, en atención a que impide que un contrato que materialmente obliga a construir se excluya del reporte por </w:t>
      </w:r>
      <w:r w:rsidRPr="009850DE">
        <w:rPr>
          <w:rFonts w:ascii="Verdana" w:eastAsia="Aptos" w:hAnsi="Verdana" w:cs="Times New Roman"/>
          <w:kern w:val="2"/>
          <w14:ligatures w14:val="standardContextual"/>
        </w:rPr>
        <w:lastRenderedPageBreak/>
        <w:t>llamarse de otro modo, e impide igualmente que un contrato que materialmente no obliga a construir se incluya por contener vocabulario de obra. Aplicado al supuesto de alternativas técnicas, obliga a examinar si el contratista está constreñido a ejecutar obra civil, no si el contrato habla de ella.  Lo que esos conceptos exigen acreditar es una obligación, con el contenido que el derecho de las obligaciones atribuye a ese término: una prestación debida y exigible, no una facultad ni una previsión eventual.</w:t>
      </w:r>
    </w:p>
    <w:p w14:paraId="3C0F30A8" w14:textId="77777777" w:rsidR="009850DE" w:rsidRPr="009850DE" w:rsidRDefault="009850DE" w:rsidP="009850DE">
      <w:pPr>
        <w:snapToGrid w:val="0"/>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En consecuencia, esos criterios no permiten equiparar la mera posibilidad contractual de construir con una obligación de obra reportable. La equiparación exigiría demostrar, adicionalmente, que el contrato no admite ser cumplido mediante una alternativa sin obra civil, o que la alternativa con obra ya había sido seleccionada y aprobada antes de la fecha de presentación de la oferta. Sin ese análisis adicional, la invocación del criterio de objeto material se convertiría en lo contrario de lo que postula: una calificación basada en el nombre de las actividades y no en el contenido obligacional.</w:t>
      </w:r>
    </w:p>
    <w:p w14:paraId="2DCA61E4" w14:textId="77777777" w:rsidR="009850DE" w:rsidRPr="009850DE" w:rsidRDefault="009850DE" w:rsidP="009850DE">
      <w:pPr>
        <w:snapToGrid w:val="0"/>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Así las cosas, no existe una solución general única aplicable a todo contrato con alternativas técnicas, porque la respuesta depende del contenido obligacional de cada vínculo. Los criterios jurídicos que se recomiendan como orientación del análisis, podrían ser:</w:t>
      </w:r>
    </w:p>
    <w:p w14:paraId="481A3EE5" w14:textId="77777777" w:rsidR="009850DE" w:rsidRPr="009850DE" w:rsidRDefault="009850DE" w:rsidP="009850DE">
      <w:pPr>
        <w:snapToGrid w:val="0"/>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t>1. Vigencia.</w:t>
      </w:r>
      <w:r w:rsidRPr="009850DE">
        <w:rPr>
          <w:rFonts w:ascii="Verdana" w:eastAsia="Aptos" w:hAnsi="Verdana" w:cs="Times New Roman"/>
          <w:kern w:val="2"/>
          <w14:ligatures w14:val="standardContextual"/>
        </w:rPr>
        <w:t xml:space="preserve"> Verificar que el contrato estaba vigente a la fecha de presentación de la oferta y no en liquidación ni liquidado.</w:t>
      </w:r>
    </w:p>
    <w:p w14:paraId="31EBB394" w14:textId="77777777" w:rsidR="009850DE" w:rsidRPr="009850DE" w:rsidRDefault="009850DE" w:rsidP="009850DE">
      <w:pPr>
        <w:snapToGrid w:val="0"/>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t>2. Obligación.</w:t>
      </w:r>
      <w:r w:rsidRPr="009850DE">
        <w:rPr>
          <w:rFonts w:ascii="Verdana" w:eastAsia="Aptos" w:hAnsi="Verdana" w:cs="Times New Roman"/>
          <w:kern w:val="2"/>
          <w14:ligatures w14:val="standardContextual"/>
        </w:rPr>
        <w:t xml:space="preserve"> Establecer si a esa fecha el contrato obligaba a ejecutar obras civiles, examinando objeto, obligaciones y alternativas de cumplimiento, y no la denominación ni el vocabulario de los anexos.</w:t>
      </w:r>
    </w:p>
    <w:p w14:paraId="3A550D2F" w14:textId="77777777" w:rsidR="009850DE" w:rsidRPr="009850DE" w:rsidRDefault="009850DE" w:rsidP="009850DE">
      <w:pPr>
        <w:snapToGrid w:val="0"/>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t>3. Alternativas.</w:t>
      </w:r>
      <w:r w:rsidRPr="009850DE">
        <w:rPr>
          <w:rFonts w:ascii="Verdana" w:eastAsia="Aptos" w:hAnsi="Verdana" w:cs="Times New Roman"/>
          <w:kern w:val="2"/>
          <w14:ligatures w14:val="standardContextual"/>
        </w:rPr>
        <w:t xml:space="preserve"> Si el contrato admitía cumplirse sin obra civil, determinar si la alternativa con obra ya había sido seleccionada y aprobada antes de esa fecha.</w:t>
      </w:r>
    </w:p>
    <w:p w14:paraId="6BE7846F" w14:textId="77777777" w:rsidR="009850DE" w:rsidRPr="009850DE" w:rsidRDefault="009850DE" w:rsidP="009850DE">
      <w:pPr>
        <w:snapToGrid w:val="0"/>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t>4. Naturaleza de la aprobación pendiente.</w:t>
      </w:r>
      <w:r w:rsidRPr="009850DE">
        <w:rPr>
          <w:rFonts w:ascii="Verdana" w:eastAsia="Aptos" w:hAnsi="Verdana" w:cs="Times New Roman"/>
          <w:kern w:val="2"/>
          <w14:ligatures w14:val="standardContextual"/>
        </w:rPr>
        <w:t xml:space="preserve"> Distinguir la aprobación que concreta el alcance de una obligación de obra preexistente –que no difiere el reporte– de la que decide si la obra se incorpora al contenido obligacional –que sí lo difiere–.</w:t>
      </w:r>
    </w:p>
    <w:p w14:paraId="2BD097A7" w14:textId="77777777" w:rsidR="009850DE" w:rsidRPr="009850DE" w:rsidRDefault="009850DE" w:rsidP="009850DE">
      <w:pPr>
        <w:snapToGrid w:val="0"/>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t>5. Cálculo.</w:t>
      </w:r>
      <w:r w:rsidRPr="009850DE">
        <w:rPr>
          <w:rFonts w:ascii="Verdana" w:eastAsia="Aptos" w:hAnsi="Verdana" w:cs="Times New Roman"/>
          <w:kern w:val="2"/>
          <w14:ligatures w14:val="standardContextual"/>
        </w:rPr>
        <w:t xml:space="preserve"> Solo una vez calificado como reportable, aplicar la metodología sobre el valor y el plazo totales del contrato, con el tope de 360 días y el porcentaje de participación cuando corresponda.</w:t>
      </w:r>
    </w:p>
    <w:p w14:paraId="7C56A8EC" w14:textId="77777777" w:rsidR="009850DE" w:rsidRPr="009850DE" w:rsidRDefault="009850DE" w:rsidP="009850DE">
      <w:pPr>
        <w:snapToGrid w:val="0"/>
        <w:spacing w:after="120" w:line="276" w:lineRule="auto"/>
        <w:ind w:left="720"/>
        <w:jc w:val="both"/>
        <w:rPr>
          <w:rFonts w:ascii="Verdana" w:eastAsia="Aptos" w:hAnsi="Verdana" w:cs="Times New Roman"/>
          <w:kern w:val="2"/>
          <w14:ligatures w14:val="standardContextual"/>
        </w:rPr>
      </w:pPr>
      <w:r w:rsidRPr="009850DE">
        <w:rPr>
          <w:rFonts w:ascii="Verdana" w:eastAsia="Aptos" w:hAnsi="Verdana" w:cs="Times New Roman"/>
          <w:b/>
          <w:bCs/>
          <w:kern w:val="2"/>
          <w14:ligatures w14:val="standardContextual"/>
        </w:rPr>
        <w:lastRenderedPageBreak/>
        <w:t>6. Motivación.</w:t>
      </w:r>
      <w:r w:rsidRPr="009850DE">
        <w:rPr>
          <w:rFonts w:ascii="Verdana" w:eastAsia="Aptos" w:hAnsi="Verdana" w:cs="Times New Roman"/>
          <w:kern w:val="2"/>
          <w14:ligatures w14:val="standardContextual"/>
        </w:rPr>
        <w:t xml:space="preserve"> Dejar constancia del análisis de los pasos anteriores antes de derivar cualquier consecuencia de una omisión.</w:t>
      </w:r>
    </w:p>
    <w:p w14:paraId="239B5BF9" w14:textId="77777777" w:rsidR="009850DE" w:rsidRPr="009850DE" w:rsidRDefault="009850DE" w:rsidP="009850DE">
      <w:pPr>
        <w:snapToGrid w:val="0"/>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Estos criterios permiten diferenciar los compromisos efectivos de obra de las alternativas técnicas sujetas a definición, sin desconocer las obligaciones determinables desde la celebración del contrato, que es la finalidad que su consulta plantea.</w:t>
      </w:r>
    </w:p>
    <w:p w14:paraId="1A242B36" w14:textId="77777777" w:rsidR="009850DE" w:rsidRPr="009850DE" w:rsidRDefault="009850DE" w:rsidP="009850DE">
      <w:pPr>
        <w:snapToGrid w:val="0"/>
        <w:spacing w:after="12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En conclusión, corresponde al oferente aportar la documentación de correcta manera, y a la entidad contratante, en cada procedimiento, calificar si un contrato determinado obliga a ejecutar obras civiles a la fecha de presentación de la oferta y, en consecuencia, si debe reportarse en el Formato 5C. Al tratarse de un análisis que depende del contenido obligacional de cada contrato, esta Agencia no puede definir por vía consultiva un criterio universal y absoluto, sino brindar elementos de carácter general para que los partícipes del sistema de compras y contratación pública adopten la decisión que corresponda, lo cual es acorde con el principio de juridicidad.</w:t>
      </w:r>
    </w:p>
    <w:p w14:paraId="789A8297" w14:textId="77777777" w:rsidR="009850DE" w:rsidRPr="009850DE" w:rsidRDefault="009850DE" w:rsidP="009850DE">
      <w:pPr>
        <w:snapToGrid w:val="0"/>
        <w:spacing w:after="0" w:line="276" w:lineRule="auto"/>
        <w:ind w:firstLine="709"/>
        <w:jc w:val="both"/>
        <w:rPr>
          <w:rFonts w:ascii="Verdana" w:eastAsia="Aptos" w:hAnsi="Verdana" w:cs="Times New Roman"/>
          <w:kern w:val="2"/>
          <w14:ligatures w14:val="standardContextual"/>
        </w:rPr>
      </w:pPr>
      <w:r w:rsidRPr="009850DE">
        <w:rPr>
          <w:rFonts w:ascii="Verdana" w:eastAsia="Aptos" w:hAnsi="Verdana" w:cs="Times New Roman"/>
          <w:kern w:val="2"/>
          <w14:ligatures w14:val="standardContextual"/>
        </w:rPr>
        <w:t>Las afirmaciones aquí realizadas no pueden interpretarse como juicios de valor sobre circunstancias concretas. La solución de situaciones particulares corresponde a los interesados, previo concepto de sus asesores, y en caso de conflicto a las autoridades judiciales, fiscales y disciplinarias.</w:t>
      </w:r>
    </w:p>
    <w:p w14:paraId="5A90E21A" w14:textId="77777777" w:rsidR="009850DE" w:rsidRPr="009850DE" w:rsidRDefault="009850DE" w:rsidP="009850DE">
      <w:pPr>
        <w:spacing w:after="0" w:line="276" w:lineRule="auto"/>
        <w:jc w:val="both"/>
        <w:rPr>
          <w:rFonts w:ascii="Verdana" w:eastAsia="Aptos" w:hAnsi="Verdana" w:cs="Times New Roman"/>
          <w:kern w:val="2"/>
          <w14:ligatures w14:val="standardContextual"/>
        </w:rPr>
      </w:pPr>
    </w:p>
    <w:p w14:paraId="033ED40B" w14:textId="77777777" w:rsidR="009850DE" w:rsidRPr="009850DE" w:rsidRDefault="009850DE" w:rsidP="009850DE">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9850DE">
        <w:rPr>
          <w:rFonts w:ascii="Verdana" w:eastAsia="Century Gothic" w:hAnsi="Verdana" w:cs="Century Gothic"/>
          <w:b/>
          <w:bCs/>
          <w:lang w:val="es-ES_tradnl"/>
        </w:rPr>
        <w:t>Referencias normativas, jurisprudenciales y otras fuentes:</w:t>
      </w:r>
    </w:p>
    <w:p w14:paraId="1C59603F" w14:textId="77777777" w:rsidR="009850DE" w:rsidRPr="009850DE" w:rsidRDefault="009850DE" w:rsidP="009850DE">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850DE" w:rsidRPr="009850DE" w14:paraId="6E7D4B75" w14:textId="77777777" w:rsidTr="0032582B">
        <w:trPr>
          <w:trHeight w:val="870"/>
        </w:trPr>
        <w:tc>
          <w:tcPr>
            <w:tcW w:w="8647" w:type="dxa"/>
          </w:tcPr>
          <w:p w14:paraId="2BCE17D9" w14:textId="77777777" w:rsidR="009850DE" w:rsidRPr="009850DE" w:rsidRDefault="009850DE" w:rsidP="009850DE">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9850DE">
              <w:rPr>
                <w:rFonts w:ascii="Verdana" w:eastAsia="Calibri" w:hAnsi="Verdana" w:cs="Arial"/>
                <w:lang w:val="es-ES_tradnl"/>
              </w:rPr>
              <w:t xml:space="preserve">Ley 2022 de 2020, artículo 1. </w:t>
            </w:r>
          </w:p>
          <w:p w14:paraId="1C75AAD6" w14:textId="77777777" w:rsidR="009850DE" w:rsidRPr="009850DE" w:rsidRDefault="009850DE" w:rsidP="009850DE">
            <w:pPr>
              <w:widowControl w:val="0"/>
              <w:numPr>
                <w:ilvl w:val="0"/>
                <w:numId w:val="17"/>
              </w:numPr>
              <w:autoSpaceDE w:val="0"/>
              <w:autoSpaceDN w:val="0"/>
              <w:spacing w:after="120" w:line="276" w:lineRule="auto"/>
              <w:jc w:val="both"/>
              <w:rPr>
                <w:rFonts w:ascii="Verdana" w:eastAsia="Calibri" w:hAnsi="Verdana" w:cs="Arial"/>
                <w:lang w:val="es-ES_tradnl"/>
              </w:rPr>
            </w:pPr>
            <w:r w:rsidRPr="009850DE">
              <w:rPr>
                <w:rFonts w:ascii="Verdana" w:eastAsia="Calibri" w:hAnsi="Verdana" w:cs="Arial"/>
                <w:lang w:val="es-ES_tradnl"/>
              </w:rPr>
              <w:t>Ley 1682 de 2013, artículo 72.</w:t>
            </w:r>
          </w:p>
          <w:p w14:paraId="6927A6C3" w14:textId="77777777" w:rsidR="009850DE" w:rsidRPr="009850DE" w:rsidRDefault="009850DE" w:rsidP="009850DE">
            <w:pPr>
              <w:widowControl w:val="0"/>
              <w:numPr>
                <w:ilvl w:val="0"/>
                <w:numId w:val="17"/>
              </w:numPr>
              <w:autoSpaceDE w:val="0"/>
              <w:autoSpaceDN w:val="0"/>
              <w:spacing w:after="120" w:line="276" w:lineRule="auto"/>
              <w:jc w:val="both"/>
              <w:rPr>
                <w:rFonts w:ascii="Verdana" w:eastAsia="Calibri" w:hAnsi="Verdana" w:cs="Arial"/>
                <w:lang w:val="es-ES_tradnl"/>
              </w:rPr>
            </w:pPr>
            <w:r w:rsidRPr="009850DE">
              <w:rPr>
                <w:rFonts w:ascii="Verdana" w:eastAsia="Calibri" w:hAnsi="Verdana" w:cs="Arial"/>
                <w:lang w:val="es-ES_tradnl"/>
              </w:rPr>
              <w:t>Ley 1150 de 2007, artículo 6.</w:t>
            </w:r>
          </w:p>
          <w:p w14:paraId="31356A92" w14:textId="77777777" w:rsidR="009850DE" w:rsidRPr="009850DE" w:rsidRDefault="009850DE" w:rsidP="009850DE">
            <w:pPr>
              <w:widowControl w:val="0"/>
              <w:numPr>
                <w:ilvl w:val="0"/>
                <w:numId w:val="17"/>
              </w:numPr>
              <w:autoSpaceDE w:val="0"/>
              <w:autoSpaceDN w:val="0"/>
              <w:spacing w:after="120" w:line="276" w:lineRule="auto"/>
              <w:jc w:val="both"/>
              <w:rPr>
                <w:rFonts w:ascii="Verdana" w:eastAsia="Calibri" w:hAnsi="Verdana" w:cs="Arial"/>
                <w:lang w:val="es-ES_tradnl"/>
              </w:rPr>
            </w:pPr>
            <w:r w:rsidRPr="009850DE">
              <w:rPr>
                <w:rFonts w:ascii="Verdana" w:eastAsia="Calibri" w:hAnsi="Verdana" w:cs="Arial"/>
                <w:lang w:val="es-ES_tradnl"/>
              </w:rPr>
              <w:t>Decreto 1082 de 2015, artículos 2.2.1.1.1.3.1 y 2.2.1.1.1.6.4.</w:t>
            </w:r>
          </w:p>
          <w:p w14:paraId="694633CF" w14:textId="77777777" w:rsidR="009850DE" w:rsidRPr="009850DE" w:rsidRDefault="009850DE" w:rsidP="009850DE">
            <w:pPr>
              <w:widowControl w:val="0"/>
              <w:numPr>
                <w:ilvl w:val="0"/>
                <w:numId w:val="17"/>
              </w:numPr>
              <w:autoSpaceDE w:val="0"/>
              <w:autoSpaceDN w:val="0"/>
              <w:spacing w:after="120" w:line="276" w:lineRule="auto"/>
              <w:jc w:val="both"/>
              <w:rPr>
                <w:rFonts w:ascii="Verdana" w:eastAsia="Calibri" w:hAnsi="Verdana" w:cs="Arial"/>
                <w:lang w:val="es-ES_tradnl"/>
              </w:rPr>
            </w:pPr>
            <w:r w:rsidRPr="009850DE">
              <w:rPr>
                <w:rFonts w:ascii="Verdana" w:eastAsia="Calibri" w:hAnsi="Verdana" w:cs="Arial"/>
                <w:lang w:val="es-ES_tradnl"/>
              </w:rPr>
              <w:t>Consejo de Estado. Sección Tercera. Sentencia del 26 de junio de 2003. Rad. 13.354. C.P. María Elena Giraldo Gómez.</w:t>
            </w:r>
          </w:p>
          <w:p w14:paraId="453E850F" w14:textId="77777777" w:rsidR="009850DE" w:rsidRPr="009850DE" w:rsidRDefault="009850DE" w:rsidP="009850DE">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9850DE">
              <w:rPr>
                <w:rFonts w:ascii="Verdana" w:eastAsia="Calibri" w:hAnsi="Verdana" w:cs="Arial"/>
                <w:lang w:val="es-ES_tradnl"/>
              </w:rPr>
              <w:t xml:space="preserve">Documentos Tipo. Disponibles en: </w:t>
            </w:r>
            <w:hyperlink r:id="rId12" w:history="1">
              <w:r w:rsidRPr="009850DE">
                <w:rPr>
                  <w:rFonts w:ascii="Verdana" w:eastAsia="Calibri" w:hAnsi="Verdana" w:cs="Arial"/>
                  <w:color w:val="467886"/>
                  <w:u w:val="single"/>
                  <w:lang w:val="es-ES_tradnl"/>
                </w:rPr>
                <w:t>https://www.colombiacompra.gov.co/normativa-y-relatoria/documentos-tipo</w:t>
              </w:r>
            </w:hyperlink>
            <w:r w:rsidRPr="009850DE">
              <w:rPr>
                <w:rFonts w:ascii="Verdana" w:eastAsia="Calibri" w:hAnsi="Verdana" w:cs="Arial"/>
                <w:lang w:val="es-ES_tradnl"/>
              </w:rPr>
              <w:t xml:space="preserve">. </w:t>
            </w:r>
          </w:p>
          <w:p w14:paraId="0A8369C4" w14:textId="77777777" w:rsidR="009850DE" w:rsidRPr="009850DE" w:rsidRDefault="009850DE" w:rsidP="009850DE">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9850DE">
              <w:rPr>
                <w:rFonts w:ascii="Verdana" w:eastAsia="Aptos" w:hAnsi="Verdana" w:cs="Times New Roman"/>
                <w:lang w:val="es-ES_tradnl"/>
              </w:rPr>
              <w:t xml:space="preserve">Guía para Determinar y Verificar la Capacidad Residual del Proponente en los Procesos de Contratación de Obra Pública. Disponible en: </w:t>
            </w:r>
            <w:hyperlink r:id="rId13" w:history="1">
              <w:r w:rsidRPr="009850DE">
                <w:rPr>
                  <w:rFonts w:ascii="Verdana" w:eastAsia="Aptos" w:hAnsi="Verdana" w:cs="Times New Roman"/>
                  <w:color w:val="0000FF"/>
                  <w:u w:val="single"/>
                  <w:lang w:val="es-ES_tradnl"/>
                </w:rPr>
                <w:t>https://www.colombiacompra.gov.co/normativa-y-relatoria/guias-y-manuales</w:t>
              </w:r>
            </w:hyperlink>
            <w:r w:rsidRPr="009850DE">
              <w:rPr>
                <w:rFonts w:ascii="Verdana" w:eastAsia="Aptos" w:hAnsi="Verdana" w:cs="Times New Roman"/>
                <w:lang w:val="es-ES_tradnl"/>
              </w:rPr>
              <w:t xml:space="preserve"> </w:t>
            </w:r>
          </w:p>
        </w:tc>
      </w:tr>
    </w:tbl>
    <w:p w14:paraId="57C4BDBD" w14:textId="77777777" w:rsidR="009850DE" w:rsidRPr="009850DE" w:rsidRDefault="009850DE" w:rsidP="009850DE">
      <w:pPr>
        <w:widowControl w:val="0"/>
        <w:autoSpaceDE w:val="0"/>
        <w:autoSpaceDN w:val="0"/>
        <w:snapToGrid w:val="0"/>
        <w:spacing w:after="0" w:line="276" w:lineRule="auto"/>
        <w:jc w:val="both"/>
        <w:rPr>
          <w:rFonts w:ascii="Verdana" w:eastAsia="Calibri" w:hAnsi="Verdana" w:cs="Arial"/>
          <w:lang w:val="es-ES_tradnl"/>
        </w:rPr>
      </w:pPr>
    </w:p>
    <w:p w14:paraId="31AFEDC7" w14:textId="77777777" w:rsidR="009850DE" w:rsidRPr="009850DE" w:rsidRDefault="009850DE" w:rsidP="009850DE">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9850DE">
        <w:rPr>
          <w:rFonts w:ascii="Verdana" w:eastAsia="Century Gothic" w:hAnsi="Verdana" w:cs="Century Gothic"/>
          <w:b/>
          <w:bCs/>
          <w:lang w:val="es-ES_tradnl"/>
        </w:rPr>
        <w:t>Doctrina de la Agencia Nacional de Contratación Pública:</w:t>
      </w:r>
    </w:p>
    <w:p w14:paraId="4541B745" w14:textId="77777777" w:rsidR="009850DE" w:rsidRPr="009850DE" w:rsidRDefault="009850DE" w:rsidP="009850DE">
      <w:pPr>
        <w:widowControl w:val="0"/>
        <w:autoSpaceDE w:val="0"/>
        <w:autoSpaceDN w:val="0"/>
        <w:snapToGrid w:val="0"/>
        <w:spacing w:after="0" w:line="276" w:lineRule="auto"/>
        <w:jc w:val="both"/>
        <w:rPr>
          <w:rFonts w:ascii="Verdana" w:eastAsia="Calibri" w:hAnsi="Verdana" w:cs="Arial"/>
          <w:lang w:val="es-ES_tradnl"/>
        </w:rPr>
      </w:pPr>
    </w:p>
    <w:p w14:paraId="0520B2F4" w14:textId="77777777" w:rsidR="009850DE" w:rsidRPr="009850DE" w:rsidRDefault="009850DE" w:rsidP="009850DE">
      <w:pPr>
        <w:widowControl w:val="0"/>
        <w:autoSpaceDE w:val="0"/>
        <w:autoSpaceDN w:val="0"/>
        <w:spacing w:after="0" w:line="276" w:lineRule="auto"/>
        <w:jc w:val="both"/>
        <w:rPr>
          <w:rFonts w:ascii="Verdana" w:eastAsia="Times New Roman" w:hAnsi="Verdana" w:cs="Arial"/>
          <w:shd w:val="clear" w:color="auto" w:fill="FFFFFF"/>
          <w:lang w:val="es-ES_tradnl"/>
        </w:rPr>
      </w:pPr>
      <w:r w:rsidRPr="009850DE">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9850DE">
        <w:rPr>
          <w:rFonts w:ascii="Aptos" w:eastAsia="Aptos" w:hAnsi="Aptos" w:cs="Times New Roman"/>
          <w:kern w:val="2"/>
          <w:sz w:val="24"/>
          <w:szCs w:val="24"/>
          <w:lang w:val="es-ES_tradnl"/>
          <w14:ligatures w14:val="standardContextual"/>
        </w:rPr>
        <w:t xml:space="preserve"> </w:t>
      </w:r>
      <w:r w:rsidRPr="009850DE">
        <w:rPr>
          <w:rFonts w:ascii="Verdana" w:eastAsia="Calibri" w:hAnsi="Verdana" w:cs="Arial"/>
          <w:kern w:val="2"/>
          <w:shd w:val="clear" w:color="auto" w:fill="FFFFFF"/>
          <w:lang w:val="es-ES"/>
          <w14:ligatures w14:val="standardContextual"/>
        </w:rPr>
        <w:t>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C-351 del 23 de mayo de 2022, C-392 del 16 de junio de 2022, C-411 del 4 de diciembre de 2023, C-486 del 29 de mayo de 2025, C-687 del 5 de junio de 2026, entre otros.</w:t>
      </w:r>
      <w:r w:rsidRPr="009850DE">
        <w:rPr>
          <w:rFonts w:ascii="Verdana" w:eastAsia="Calibri" w:hAnsi="Verdana" w:cs="Arial"/>
          <w:kern w:val="2"/>
          <w:shd w:val="clear" w:color="auto" w:fill="FFFFFF"/>
          <w:lang w:val="es-ES_tradnl"/>
          <w14:ligatures w14:val="standardContextual"/>
        </w:rPr>
        <w:t xml:space="preserve"> </w:t>
      </w:r>
      <w:r w:rsidRPr="009850DE">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history="1">
        <w:r w:rsidRPr="009850DE">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9850DE">
        <w:rPr>
          <w:rFonts w:ascii="Verdana" w:eastAsia="Aptos" w:hAnsi="Verdana" w:cs="Arial"/>
          <w:kern w:val="2"/>
          <w:shd w:val="clear" w:color="auto" w:fill="FFFFFF"/>
          <w:lang w:val="es-ES_tradnl"/>
          <w14:ligatures w14:val="standardContextual"/>
        </w:rPr>
        <w:t xml:space="preserve">. </w:t>
      </w:r>
      <w:r w:rsidRPr="009850DE">
        <w:rPr>
          <w:rFonts w:ascii="Verdana" w:eastAsia="Aptos" w:hAnsi="Verdana" w:cs="Arial"/>
          <w:color w:val="FF0000"/>
          <w:kern w:val="2"/>
          <w:shd w:val="clear" w:color="auto" w:fill="FFFFFF"/>
          <w:lang w:val="es-ES_tradnl"/>
          <w14:ligatures w14:val="standardContextual"/>
        </w:rPr>
        <w:t xml:space="preserve">  </w:t>
      </w:r>
    </w:p>
    <w:p w14:paraId="527DE8CC" w14:textId="77777777" w:rsidR="009850DE" w:rsidRPr="009850DE" w:rsidRDefault="009850DE" w:rsidP="009850DE">
      <w:pPr>
        <w:spacing w:after="0" w:line="240" w:lineRule="auto"/>
        <w:jc w:val="both"/>
        <w:rPr>
          <w:rFonts w:ascii="Verdana" w:eastAsia="Calibri" w:hAnsi="Verdana" w:cs="Arial"/>
          <w:color w:val="000000"/>
          <w:shd w:val="clear" w:color="auto" w:fill="FFFFFF"/>
          <w:lang w:val="es-ES_tradnl"/>
        </w:rPr>
      </w:pPr>
    </w:p>
    <w:p w14:paraId="4358AFC1" w14:textId="77777777" w:rsidR="009850DE" w:rsidRPr="009850DE" w:rsidRDefault="009850DE" w:rsidP="009850D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9850DE">
        <w:rPr>
          <w:rFonts w:ascii="Verdana" w:eastAsia="Calibri" w:hAnsi="Verdana" w:cs="Arial"/>
          <w:kern w:val="2"/>
          <w:shd w:val="clear" w:color="auto" w:fill="FFFFFF"/>
          <w:lang w:val="es-ES_tradnl"/>
          <w14:ligatures w14:val="standardContextual"/>
        </w:rPr>
        <w:t>La</w:t>
      </w:r>
      <w:r w:rsidRPr="009850D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9850D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9850DE">
        <w:rPr>
          <w:rFonts w:ascii="Verdana" w:eastAsia="Calibri" w:hAnsi="Verdana" w:cs="Arial"/>
          <w:b/>
          <w:bCs/>
          <w:kern w:val="2"/>
          <w:shd w:val="clear" w:color="auto" w:fill="FFFFFF"/>
          <w:lang w:val="es-ES_tradnl"/>
          <w14:ligatures w14:val="standardContextual"/>
        </w:rPr>
        <w:t>Documentos Tipo</w:t>
      </w:r>
      <w:r w:rsidRPr="009850D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9850DE">
        <w:rPr>
          <w:rFonts w:ascii="Verdana" w:eastAsia="Calibri" w:hAnsi="Verdana" w:cs="Arial"/>
          <w:b/>
          <w:bCs/>
          <w:kern w:val="2"/>
          <w:shd w:val="clear" w:color="auto" w:fill="FFFFFF"/>
          <w:lang w:val="es-ES_tradnl"/>
          <w14:ligatures w14:val="standardContextual"/>
        </w:rPr>
        <w:t>transparencia</w:t>
      </w:r>
      <w:r w:rsidRPr="009850DE">
        <w:rPr>
          <w:rFonts w:ascii="Verdana" w:eastAsia="Calibri" w:hAnsi="Verdana" w:cs="Arial"/>
          <w:kern w:val="2"/>
          <w:shd w:val="clear" w:color="auto" w:fill="FFFFFF"/>
          <w:lang w:val="es-ES_tradnl"/>
          <w14:ligatures w14:val="standardContextual"/>
        </w:rPr>
        <w:t> y promover un proceso de </w:t>
      </w:r>
      <w:r w:rsidRPr="009850DE">
        <w:rPr>
          <w:rFonts w:ascii="Verdana" w:eastAsia="Calibri" w:hAnsi="Verdana" w:cs="Arial"/>
          <w:b/>
          <w:bCs/>
          <w:kern w:val="2"/>
          <w:shd w:val="clear" w:color="auto" w:fill="FFFFFF"/>
          <w:lang w:val="es-ES_tradnl"/>
          <w14:ligatures w14:val="standardContextual"/>
        </w:rPr>
        <w:t>selección objetiva</w:t>
      </w:r>
      <w:r w:rsidRPr="009850DE">
        <w:rPr>
          <w:rFonts w:ascii="Verdana" w:eastAsia="Calibri" w:hAnsi="Verdana" w:cs="Arial"/>
          <w:kern w:val="2"/>
          <w:shd w:val="clear" w:color="auto" w:fill="FFFFFF"/>
          <w:lang w:val="es-ES_tradnl"/>
          <w14:ligatures w14:val="standardContextual"/>
        </w:rPr>
        <w:t xml:space="preserve"> en la contratación pública, contribuyendo así a mejorar la eficiencia, la competencia y la confianza en el manejo de los recursos </w:t>
      </w:r>
      <w:r w:rsidRPr="009850DE">
        <w:rPr>
          <w:rFonts w:ascii="Verdana" w:eastAsia="Calibri" w:hAnsi="Verdana" w:cs="Arial"/>
          <w:kern w:val="2"/>
          <w:shd w:val="clear" w:color="auto" w:fill="FFFFFF"/>
          <w:lang w:val="es-ES_tradnl"/>
          <w14:ligatures w14:val="standardContextual"/>
        </w:rPr>
        <w:lastRenderedPageBreak/>
        <w:t>del Estado.</w:t>
      </w:r>
    </w:p>
    <w:p w14:paraId="3C5B4A31" w14:textId="77777777" w:rsidR="009850DE" w:rsidRPr="009850DE" w:rsidRDefault="009850DE" w:rsidP="009850D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53A13CB" w14:textId="77777777" w:rsidR="009850DE" w:rsidRPr="009850DE" w:rsidRDefault="009850DE" w:rsidP="009850DE">
      <w:pPr>
        <w:spacing w:after="0" w:line="276" w:lineRule="auto"/>
        <w:jc w:val="both"/>
        <w:rPr>
          <w:rFonts w:ascii="Verdana" w:eastAsia="Aptos" w:hAnsi="Verdana" w:cs="Times New Roman"/>
          <w:kern w:val="2"/>
          <w:lang w:val="es-ES_tradnl"/>
          <w14:ligatures w14:val="standardContextual"/>
        </w:rPr>
      </w:pPr>
      <w:r w:rsidRPr="009850DE">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9850DE">
        <w:rPr>
          <w:rFonts w:ascii="Verdana" w:eastAsia="Aptos" w:hAnsi="Verdana" w:cs="Times New Roman"/>
          <w:b/>
          <w:bCs/>
          <w:kern w:val="2"/>
          <w:lang w:val="es-ES_tradnl"/>
          <w14:ligatures w14:val="standardContextual"/>
        </w:rPr>
        <w:t>Guía para la Exigencia y Constitución de Garantías en los Procesos de Contratación</w:t>
      </w:r>
      <w:r w:rsidRPr="009850DE">
        <w:rPr>
          <w:rFonts w:ascii="Verdana" w:eastAsia="Aptos" w:hAnsi="Verdana" w:cs="Times New Roman"/>
          <w:kern w:val="2"/>
          <w:lang w:val="es-ES_tradnl"/>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5" w:tgtFrame="_blank" w:tooltip="Original URL: https://www.colombiacompra.gov.co/archivos/manual/guia-de-garantias-en-procesos-de-contratacion. Click or tap if you trust this link." w:history="1">
        <w:r w:rsidRPr="009850DE">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70160BFD" w14:textId="77777777" w:rsidR="009850DE" w:rsidRPr="009850DE" w:rsidRDefault="009850DE" w:rsidP="009850DE">
      <w:pPr>
        <w:spacing w:after="0" w:line="276" w:lineRule="auto"/>
        <w:jc w:val="both"/>
        <w:rPr>
          <w:rFonts w:ascii="Verdana" w:eastAsia="Aptos" w:hAnsi="Verdana" w:cs="Times New Roman"/>
          <w:kern w:val="2"/>
          <w:lang w:val="es-ES_tradnl"/>
          <w14:ligatures w14:val="standardContextual"/>
        </w:rPr>
      </w:pPr>
    </w:p>
    <w:p w14:paraId="18D6E06C" w14:textId="77777777" w:rsidR="009850DE" w:rsidRPr="009850DE" w:rsidRDefault="009850DE" w:rsidP="009850DE">
      <w:pPr>
        <w:spacing w:after="0" w:line="276" w:lineRule="auto"/>
        <w:jc w:val="both"/>
        <w:rPr>
          <w:rFonts w:ascii="Verdana" w:eastAsia="Aptos" w:hAnsi="Verdana" w:cs="Times New Roman"/>
          <w:kern w:val="2"/>
          <w:lang w:val="es-ES_tradnl"/>
          <w14:ligatures w14:val="standardContextual"/>
        </w:rPr>
      </w:pPr>
      <w:r w:rsidRPr="009850DE">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9850DE">
        <w:rPr>
          <w:rFonts w:ascii="Verdana" w:eastAsia="Aptos" w:hAnsi="Verdana" w:cs="Times New Roman"/>
          <w:b/>
          <w:bCs/>
          <w:kern w:val="2"/>
          <w:lang w:val="es-ES_tradnl"/>
          <w14:ligatures w14:val="standardContextual"/>
        </w:rPr>
        <w:t>Sistema Integral de Preferencias en favor de las personas con discapacidad</w:t>
      </w:r>
      <w:r w:rsidRPr="009850DE">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9850DE">
        <w:rPr>
          <w:rFonts w:ascii="Verdana" w:eastAsia="Aptos" w:hAnsi="Verdana" w:cs="Times New Roman"/>
          <w:b/>
          <w:bCs/>
          <w:kern w:val="2"/>
          <w:lang w:val="es-ES_tradnl"/>
          <w14:ligatures w14:val="standardContextual"/>
        </w:rPr>
        <w:t>Circular Externa 003 del 12 de mayo de 2026, </w:t>
      </w:r>
      <w:r w:rsidRPr="009850DE">
        <w:rPr>
          <w:rFonts w:ascii="Verdana" w:eastAsia="Aptos" w:hAnsi="Verdana" w:cs="Times New Roman"/>
          <w:kern w:val="2"/>
          <w:lang w:val="es-ES_tradnl"/>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6" w:tgtFrame="_blank" w:tooltip="Original URL: https://www.colombiacompra.gov.co/archivos/circular/circular-externa-003-de-2026. Click or tap if you trust this link." w:history="1">
        <w:r w:rsidRPr="009850DE">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066C5E4A" w14:textId="77777777" w:rsidR="009850DE" w:rsidRPr="009850DE" w:rsidRDefault="009850DE" w:rsidP="009850DE">
      <w:pPr>
        <w:spacing w:after="0" w:line="276" w:lineRule="auto"/>
        <w:jc w:val="both"/>
        <w:rPr>
          <w:rFonts w:ascii="Verdana" w:eastAsia="Aptos" w:hAnsi="Verdana" w:cs="Times New Roman"/>
          <w:kern w:val="2"/>
          <w:lang w:val="es-ES_tradnl"/>
          <w14:ligatures w14:val="standardContextual"/>
        </w:rPr>
      </w:pPr>
    </w:p>
    <w:p w14:paraId="0669E233" w14:textId="77777777" w:rsidR="009850DE" w:rsidRPr="009850DE" w:rsidRDefault="009850DE" w:rsidP="009850DE">
      <w:pPr>
        <w:spacing w:after="0" w:line="276" w:lineRule="auto"/>
        <w:jc w:val="both"/>
        <w:rPr>
          <w:rFonts w:ascii="Verdana" w:eastAsia="Aptos" w:hAnsi="Verdana" w:cs="Times New Roman"/>
          <w:kern w:val="2"/>
          <w:lang w:val="es-ES_tradnl"/>
          <w14:ligatures w14:val="standardContextual"/>
        </w:rPr>
      </w:pPr>
      <w:r w:rsidRPr="009850DE">
        <w:rPr>
          <w:rFonts w:ascii="Verdana" w:eastAsia="Aptos" w:hAnsi="Verdana" w:cs="Times New Roman"/>
          <w:kern w:val="2"/>
          <w:lang w:val="es-ES_tradnl"/>
          <w14:ligatures w14:val="standardContextual"/>
        </w:rPr>
        <w:t>Recuerde también que la</w:t>
      </w:r>
      <w:r w:rsidRPr="009850DE">
        <w:rPr>
          <w:rFonts w:ascii="Verdana" w:eastAsia="Aptos" w:hAnsi="Verdana" w:cs="Times New Roman"/>
          <w:b/>
          <w:bCs/>
          <w:kern w:val="2"/>
          <w:lang w:val="es-ES_tradnl"/>
          <w14:ligatures w14:val="standardContextual"/>
        </w:rPr>
        <w:t> información sobre sanciones e inhabilidades </w:t>
      </w:r>
      <w:r w:rsidRPr="009850DE">
        <w:rPr>
          <w:rFonts w:ascii="Verdana" w:eastAsia="Aptos" w:hAnsi="Verdana" w:cs="Times New Roman"/>
          <w:kern w:val="2"/>
          <w:lang w:val="es-ES_tradnl"/>
          <w14:ligatures w14:val="standardContextual"/>
        </w:rPr>
        <w:t>solo cumple su función preventiva si llega oportunamente a los registros públicos. Sobre este deber, esta Agencia expidió la </w:t>
      </w:r>
      <w:r w:rsidRPr="009850DE">
        <w:rPr>
          <w:rFonts w:ascii="Verdana" w:eastAsia="Aptos" w:hAnsi="Verdana" w:cs="Times New Roman"/>
          <w:b/>
          <w:bCs/>
          <w:kern w:val="2"/>
          <w:lang w:val="es-ES_tradnl"/>
          <w14:ligatures w14:val="standardContextual"/>
        </w:rPr>
        <w:t>Circular Externa 002 del 5 de mayo de 2026,</w:t>
      </w:r>
      <w:r w:rsidRPr="009850DE">
        <w:rPr>
          <w:rFonts w:ascii="Verdana" w:eastAsia="Aptos" w:hAnsi="Verdana" w:cs="Times New Roman"/>
          <w:kern w:val="2"/>
          <w:lang w:val="es-ES_tradnl"/>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9850DE">
        <w:rPr>
          <w:rFonts w:ascii="Verdana" w:eastAsia="Aptos" w:hAnsi="Verdana" w:cs="Times New Roman"/>
          <w:kern w:val="2"/>
          <w:lang w:val="es-ES_tradnl"/>
          <w14:ligatures w14:val="standardContextual"/>
        </w:rPr>
        <w:lastRenderedPageBreak/>
        <w:t>aquí: </w:t>
      </w:r>
      <w:hyperlink r:id="rId17" w:tgtFrame="_blank" w:tooltip="Original URL: https://www.colombiacompra.gov.co/archivos/circular/circular-externa-002-de-2026. Click or tap if you trust this link." w:history="1">
        <w:r w:rsidRPr="009850DE">
          <w:rPr>
            <w:rFonts w:ascii="Verdana" w:eastAsia="Aptos" w:hAnsi="Verdana" w:cs="Times New Roman"/>
            <w:color w:val="0000FF"/>
            <w:kern w:val="2"/>
            <w:u w:val="single"/>
            <w:lang w:val="es-ES_tradnl"/>
            <w14:ligatures w14:val="standardContextual"/>
          </w:rPr>
          <w:t>https://www.colombiacompra.gov.co/archivos/circular/circular-externa-002-de-2026</w:t>
        </w:r>
      </w:hyperlink>
    </w:p>
    <w:p w14:paraId="2717838A" w14:textId="77777777" w:rsidR="009850DE" w:rsidRPr="009850DE" w:rsidRDefault="009850DE" w:rsidP="009850DE">
      <w:pPr>
        <w:spacing w:after="0" w:line="276" w:lineRule="auto"/>
        <w:jc w:val="both"/>
        <w:rPr>
          <w:rFonts w:ascii="Verdana" w:eastAsia="Aptos" w:hAnsi="Verdana" w:cs="Times New Roman"/>
          <w:kern w:val="2"/>
          <w:lang w:val="es-ES_tradnl"/>
          <w14:ligatures w14:val="standardContextual"/>
        </w:rPr>
      </w:pPr>
    </w:p>
    <w:p w14:paraId="4C1E03C6" w14:textId="77777777" w:rsidR="009850DE" w:rsidRPr="009850DE" w:rsidRDefault="009850DE" w:rsidP="009850DE">
      <w:pPr>
        <w:spacing w:after="0" w:line="276" w:lineRule="auto"/>
        <w:jc w:val="both"/>
        <w:rPr>
          <w:rFonts w:ascii="Verdana" w:eastAsia="Aptos" w:hAnsi="Verdana" w:cs="Times New Roman"/>
          <w:kern w:val="2"/>
          <w:lang w:val="es-ES_tradnl"/>
          <w14:ligatures w14:val="standardContextual"/>
        </w:rPr>
      </w:pPr>
      <w:r w:rsidRPr="009850DE">
        <w:rPr>
          <w:rFonts w:ascii="Verdana" w:eastAsia="Aptos" w:hAnsi="Verdana" w:cs="Times New Roman"/>
          <w:kern w:val="2"/>
          <w:lang w:val="es-ES_tradnl"/>
          <w14:ligatures w14:val="standardContextual"/>
        </w:rPr>
        <w:t>Si quiere seguir de cerca la actividad de la Agencia, la tercera edición de 2026 del</w:t>
      </w:r>
      <w:r w:rsidRPr="009850DE">
        <w:rPr>
          <w:rFonts w:ascii="Verdana" w:eastAsia="Aptos" w:hAnsi="Verdana" w:cs="Times New Roman"/>
          <w:b/>
          <w:bCs/>
          <w:kern w:val="2"/>
          <w:lang w:val="es-ES_tradnl"/>
          <w14:ligatures w14:val="standardContextual"/>
        </w:rPr>
        <w:t> Radar de la Compra Pública</w:t>
      </w:r>
      <w:r w:rsidRPr="009850DE">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8" w:tgtFrame="_blank" w:tooltip="Original URL: https://www.colombiacompra.gov.co/archivos/boletin/boletin-edicion-n-3-de-2026-radar-de-la-compra-publica. Click or tap if you trust this link." w:history="1">
        <w:r w:rsidRPr="009850DE">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36839713" w14:textId="77777777" w:rsidR="009850DE" w:rsidRPr="009850DE" w:rsidRDefault="009850DE" w:rsidP="009850DE">
      <w:pPr>
        <w:widowControl w:val="0"/>
        <w:autoSpaceDE w:val="0"/>
        <w:autoSpaceDN w:val="0"/>
        <w:spacing w:after="0" w:line="276" w:lineRule="auto"/>
        <w:jc w:val="both"/>
        <w:rPr>
          <w:rFonts w:ascii="Verdana" w:eastAsia="Calibri" w:hAnsi="Verdana" w:cs="Arial"/>
          <w:shd w:val="clear" w:color="auto" w:fill="FFFFFF"/>
          <w:lang w:val="es-ES_tradnl"/>
        </w:rPr>
      </w:pPr>
    </w:p>
    <w:p w14:paraId="71478D10" w14:textId="77777777" w:rsidR="009850DE" w:rsidRPr="009850DE" w:rsidRDefault="009850DE" w:rsidP="009850DE">
      <w:pPr>
        <w:spacing w:after="0" w:line="276" w:lineRule="auto"/>
        <w:jc w:val="both"/>
        <w:rPr>
          <w:rFonts w:ascii="Verdana" w:eastAsia="Calibri" w:hAnsi="Verdana" w:cs="Times New Roman"/>
          <w:lang w:val="es-ES_tradnl"/>
        </w:rPr>
      </w:pPr>
      <w:r w:rsidRPr="009850DE">
        <w:rPr>
          <w:rFonts w:ascii="Verdana" w:eastAsia="Calibri" w:hAnsi="Verdana" w:cs="Times New Roman"/>
          <w:lang w:val="es-ES_tradnl"/>
        </w:rPr>
        <w:t xml:space="preserve">Por último, los invitamos a seguirnos en las redes sociales, en las cuales se difunde información institucional: </w:t>
      </w:r>
    </w:p>
    <w:p w14:paraId="60FBA4DC" w14:textId="77777777" w:rsidR="009850DE" w:rsidRPr="009850DE" w:rsidRDefault="009850DE" w:rsidP="009850DE">
      <w:pPr>
        <w:spacing w:after="0" w:line="240" w:lineRule="auto"/>
        <w:jc w:val="both"/>
        <w:rPr>
          <w:rFonts w:ascii="Verdana" w:eastAsia="Calibri" w:hAnsi="Verdana" w:cs="Times New Roman"/>
          <w:kern w:val="2"/>
          <w:lang w:val="es-ES_tradnl"/>
          <w14:ligatures w14:val="standardContextual"/>
        </w:rPr>
      </w:pPr>
    </w:p>
    <w:p w14:paraId="30F0641D" w14:textId="77777777" w:rsidR="009850DE" w:rsidRPr="009850DE" w:rsidRDefault="009850DE" w:rsidP="009850DE">
      <w:pPr>
        <w:spacing w:after="0" w:line="240" w:lineRule="auto"/>
        <w:jc w:val="both"/>
        <w:rPr>
          <w:rFonts w:ascii="Verdana" w:eastAsia="Calibri" w:hAnsi="Verdana" w:cs="Times New Roman"/>
          <w:kern w:val="2"/>
          <w:lang w:val="es-ES_tradnl"/>
          <w14:ligatures w14:val="standardContextual"/>
        </w:rPr>
      </w:pPr>
      <w:r w:rsidRPr="009850DE">
        <w:rPr>
          <w:rFonts w:ascii="Verdana" w:eastAsia="Calibri" w:hAnsi="Verdana" w:cs="Times New Roman"/>
          <w:kern w:val="2"/>
          <w:lang w:val="es-ES_tradnl"/>
          <w14:ligatures w14:val="standardContextual"/>
        </w:rPr>
        <w:t xml:space="preserve">X: </w:t>
      </w:r>
      <w:r w:rsidRPr="009850DE">
        <w:rPr>
          <w:rFonts w:ascii="Verdana" w:eastAsia="Calibri" w:hAnsi="Verdana" w:cs="Times New Roman"/>
          <w:kern w:val="2"/>
          <w:u w:val="single"/>
          <w:lang w:val="es-ES_tradnl"/>
          <w14:ligatures w14:val="standardContextual"/>
        </w:rPr>
        <w:t>@colombiacompra</w:t>
      </w:r>
      <w:r w:rsidRPr="009850DE">
        <w:rPr>
          <w:rFonts w:ascii="Verdana" w:eastAsia="Calibri" w:hAnsi="Verdana" w:cs="Times New Roman"/>
          <w:kern w:val="2"/>
          <w:lang w:val="es-ES_tradnl"/>
          <w14:ligatures w14:val="standardContextual"/>
        </w:rPr>
        <w:t xml:space="preserve"> </w:t>
      </w:r>
    </w:p>
    <w:p w14:paraId="113D7E5C" w14:textId="77777777" w:rsidR="009850DE" w:rsidRPr="009850DE" w:rsidRDefault="009850DE" w:rsidP="009850DE">
      <w:pPr>
        <w:spacing w:after="0" w:line="240" w:lineRule="auto"/>
        <w:jc w:val="both"/>
        <w:rPr>
          <w:rFonts w:ascii="Verdana" w:eastAsia="Calibri" w:hAnsi="Verdana" w:cs="Times New Roman"/>
          <w:kern w:val="2"/>
          <w:lang w:val="es-ES"/>
          <w14:ligatures w14:val="standardContextual"/>
        </w:rPr>
      </w:pPr>
      <w:r w:rsidRPr="009850DE">
        <w:rPr>
          <w:rFonts w:ascii="Verdana" w:eastAsia="Calibri" w:hAnsi="Verdana" w:cs="Times New Roman"/>
          <w:kern w:val="2"/>
          <w:lang w:val="es-ES"/>
          <w14:ligatures w14:val="standardContextual"/>
        </w:rPr>
        <w:t xml:space="preserve">Facebook: </w:t>
      </w:r>
      <w:proofErr w:type="spellStart"/>
      <w:r w:rsidRPr="009850DE">
        <w:rPr>
          <w:rFonts w:ascii="Verdana" w:eastAsia="Calibri" w:hAnsi="Verdana" w:cs="Times New Roman"/>
          <w:kern w:val="2"/>
          <w:u w:val="single"/>
          <w:lang w:val="es-ES"/>
          <w14:ligatures w14:val="standardContextual"/>
        </w:rPr>
        <w:t>ColombiaCompraEficiente</w:t>
      </w:r>
      <w:proofErr w:type="spellEnd"/>
    </w:p>
    <w:p w14:paraId="7F255062" w14:textId="77777777" w:rsidR="009850DE" w:rsidRPr="009850DE" w:rsidRDefault="009850DE" w:rsidP="009850DE">
      <w:pPr>
        <w:spacing w:after="0" w:line="240" w:lineRule="auto"/>
        <w:jc w:val="both"/>
        <w:rPr>
          <w:rFonts w:ascii="Verdana" w:eastAsia="Calibri" w:hAnsi="Verdana" w:cs="Times New Roman"/>
          <w:kern w:val="2"/>
          <w:lang w:val="es-ES_tradnl"/>
          <w14:ligatures w14:val="standardContextual"/>
        </w:rPr>
      </w:pPr>
      <w:r w:rsidRPr="009850DE">
        <w:rPr>
          <w:rFonts w:ascii="Verdana" w:eastAsia="Calibri" w:hAnsi="Verdana" w:cs="Times New Roman"/>
          <w:kern w:val="2"/>
          <w:lang w:val="es-ES_tradnl"/>
          <w14:ligatures w14:val="standardContextual"/>
        </w:rPr>
        <w:t xml:space="preserve">LinkedIn: </w:t>
      </w:r>
      <w:r w:rsidRPr="009850DE">
        <w:rPr>
          <w:rFonts w:ascii="Verdana" w:eastAsia="Calibri" w:hAnsi="Verdana" w:cs="Times New Roman"/>
          <w:kern w:val="2"/>
          <w:u w:val="single"/>
          <w:lang w:val="es-ES_tradnl"/>
          <w14:ligatures w14:val="standardContextual"/>
        </w:rPr>
        <w:t>Agencia Nacional de Contratación Pública - Colombia Compra Eficiente</w:t>
      </w:r>
      <w:r w:rsidRPr="009850DE">
        <w:rPr>
          <w:rFonts w:ascii="Verdana" w:eastAsia="Calibri" w:hAnsi="Verdana" w:cs="Times New Roman"/>
          <w:kern w:val="2"/>
          <w:lang w:val="es-ES_tradnl"/>
          <w14:ligatures w14:val="standardContextual"/>
        </w:rPr>
        <w:t xml:space="preserve"> Instagram: </w:t>
      </w:r>
      <w:r w:rsidRPr="009850DE">
        <w:rPr>
          <w:rFonts w:ascii="Verdana" w:eastAsia="Calibri" w:hAnsi="Verdana" w:cs="Times New Roman"/>
          <w:kern w:val="2"/>
          <w:u w:val="single"/>
          <w:lang w:val="es-ES_tradnl"/>
          <w14:ligatures w14:val="standardContextual"/>
        </w:rPr>
        <w:t>@colombiacompraeficiente_cce</w:t>
      </w:r>
    </w:p>
    <w:p w14:paraId="5589ABF2" w14:textId="77777777" w:rsidR="009850DE" w:rsidRPr="009850DE" w:rsidRDefault="009850DE" w:rsidP="009850DE">
      <w:pPr>
        <w:spacing w:after="0" w:line="240" w:lineRule="auto"/>
        <w:jc w:val="both"/>
        <w:rPr>
          <w:rFonts w:ascii="Verdana" w:eastAsia="Calibri" w:hAnsi="Verdana" w:cs="Times New Roman"/>
          <w:kern w:val="2"/>
          <w:lang w:val="es-ES_tradnl"/>
          <w14:ligatures w14:val="standardContextual"/>
        </w:rPr>
      </w:pPr>
    </w:p>
    <w:p w14:paraId="1D9655EE" w14:textId="77777777" w:rsidR="009850DE" w:rsidRPr="009850DE" w:rsidRDefault="009850DE" w:rsidP="009850DE">
      <w:pPr>
        <w:widowControl w:val="0"/>
        <w:autoSpaceDE w:val="0"/>
        <w:autoSpaceDN w:val="0"/>
        <w:spacing w:after="0" w:line="276" w:lineRule="auto"/>
        <w:jc w:val="both"/>
        <w:rPr>
          <w:rFonts w:ascii="Verdana" w:eastAsia="Calibri" w:hAnsi="Verdana" w:cs="Arial"/>
          <w:kern w:val="2"/>
          <w:lang w:val="es-ES_tradnl"/>
          <w14:ligatures w14:val="standardContextual"/>
        </w:rPr>
      </w:pPr>
      <w:r w:rsidRPr="009850DE">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B6B5E55" w14:textId="77777777" w:rsidR="009850DE" w:rsidRPr="009850DE" w:rsidRDefault="009850DE" w:rsidP="009850DE">
      <w:pPr>
        <w:widowControl w:val="0"/>
        <w:autoSpaceDE w:val="0"/>
        <w:autoSpaceDN w:val="0"/>
        <w:spacing w:after="0" w:line="276" w:lineRule="auto"/>
        <w:jc w:val="both"/>
        <w:rPr>
          <w:rFonts w:ascii="Verdana" w:eastAsia="Calibri" w:hAnsi="Verdana" w:cs="Arial"/>
          <w:lang w:val="es-ES_tradnl"/>
        </w:rPr>
      </w:pPr>
    </w:p>
    <w:p w14:paraId="510EB8AC" w14:textId="77777777" w:rsidR="009850DE" w:rsidRPr="009850DE" w:rsidRDefault="009850DE" w:rsidP="009850DE">
      <w:pPr>
        <w:spacing w:after="0" w:line="240" w:lineRule="auto"/>
        <w:rPr>
          <w:rFonts w:ascii="Verdana" w:eastAsia="Calibri" w:hAnsi="Verdana" w:cs="Arial"/>
          <w:lang w:val="es-ES_tradnl" w:eastAsia="es-CO"/>
        </w:rPr>
      </w:pPr>
      <w:r w:rsidRPr="009850DE">
        <w:rPr>
          <w:rFonts w:ascii="Verdana" w:eastAsia="Times New Roman" w:hAnsi="Verdana" w:cs="Arial"/>
          <w:lang w:val="es-ES_tradnl" w:eastAsia="es-CO"/>
        </w:rPr>
        <w:t>Atentamente,</w:t>
      </w:r>
      <w:r w:rsidRPr="009850DE">
        <w:rPr>
          <w:rFonts w:ascii="Verdana" w:eastAsia="Calibri" w:hAnsi="Verdana" w:cs="Arial"/>
          <w:lang w:val="es-ES_tradnl" w:eastAsia="es-CO"/>
        </w:rPr>
        <w:t xml:space="preserve"> </w:t>
      </w:r>
    </w:p>
    <w:p w14:paraId="7E283B3E" w14:textId="6BBE5A31" w:rsidR="009850DE" w:rsidRPr="009850DE" w:rsidRDefault="00816A1E" w:rsidP="00816A1E">
      <w:pPr>
        <w:spacing w:line="276" w:lineRule="auto"/>
        <w:jc w:val="center"/>
        <w:rPr>
          <w:rFonts w:ascii="Verdana" w:eastAsia="Calibri" w:hAnsi="Verdana" w:cs="Arial"/>
          <w:lang w:val="es-ES_tradnl" w:eastAsia="es-CO"/>
        </w:rPr>
      </w:pPr>
      <w:r w:rsidRPr="00816A1E">
        <w:rPr>
          <w:rFonts w:ascii="Verdana" w:eastAsia="Calibri" w:hAnsi="Verdana" w:cs="Arial"/>
          <w:noProof/>
          <w:lang w:val="es-ES_tradnl" w:eastAsia="es-CO"/>
        </w:rPr>
        <w:drawing>
          <wp:inline distT="0" distB="0" distL="0" distR="0" wp14:anchorId="0096F0AE" wp14:editId="399C05D3">
            <wp:extent cx="3352800" cy="1244600"/>
            <wp:effectExtent l="0" t="0" r="0" b="0"/>
            <wp:docPr id="747261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639" name=""/>
                    <pic:cNvPicPr/>
                  </pic:nvPicPr>
                  <pic:blipFill>
                    <a:blip r:embed="rId19"/>
                    <a:stretch>
                      <a:fillRect/>
                    </a:stretch>
                  </pic:blipFill>
                  <pic:spPr>
                    <a:xfrm>
                      <a:off x="0" y="0"/>
                      <a:ext cx="3352800" cy="12446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850DE" w:rsidRPr="009850DE" w14:paraId="70C5CC06" w14:textId="77777777" w:rsidTr="0032582B">
        <w:trPr>
          <w:trHeight w:val="315"/>
        </w:trPr>
        <w:tc>
          <w:tcPr>
            <w:tcW w:w="893" w:type="dxa"/>
            <w:vAlign w:val="center"/>
            <w:hideMark/>
          </w:tcPr>
          <w:p w14:paraId="6875C03E" w14:textId="77777777" w:rsidR="009850DE" w:rsidRPr="009850DE" w:rsidRDefault="009850DE" w:rsidP="009850DE">
            <w:pPr>
              <w:rPr>
                <w:rFonts w:ascii="Verdana" w:eastAsia="Calibri" w:hAnsi="Verdana" w:cs="Arial"/>
                <w:sz w:val="16"/>
                <w:szCs w:val="16"/>
                <w:lang w:val="es-ES_tradnl" w:eastAsia="es-ES"/>
              </w:rPr>
            </w:pPr>
            <w:r w:rsidRPr="009850DE">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85CFB25" w14:textId="77777777" w:rsidR="009850DE" w:rsidRPr="009850DE" w:rsidRDefault="009850DE" w:rsidP="009850DE">
            <w:pPr>
              <w:rPr>
                <w:rFonts w:ascii="Verdana" w:eastAsia="Arial" w:hAnsi="Verdana" w:cs="Arial"/>
                <w:sz w:val="16"/>
                <w:szCs w:val="16"/>
                <w:lang w:val="es-ES_tradnl"/>
              </w:rPr>
            </w:pPr>
            <w:r w:rsidRPr="009850DE">
              <w:rPr>
                <w:rFonts w:ascii="Verdana" w:eastAsia="Arial" w:hAnsi="Verdana" w:cs="Arial"/>
                <w:sz w:val="16"/>
                <w:szCs w:val="16"/>
                <w:lang w:val="es-ES_tradnl"/>
              </w:rPr>
              <w:t>Kevin Arlid Herrera Santa</w:t>
            </w:r>
          </w:p>
          <w:p w14:paraId="721B6E24" w14:textId="77777777" w:rsidR="009850DE" w:rsidRPr="009850DE" w:rsidRDefault="009850DE" w:rsidP="009850DE">
            <w:pPr>
              <w:rPr>
                <w:rFonts w:ascii="Verdana" w:eastAsia="Arial" w:hAnsi="Verdana" w:cs="Arial"/>
                <w:sz w:val="16"/>
                <w:szCs w:val="16"/>
                <w:lang w:val="es-ES_tradnl"/>
              </w:rPr>
            </w:pPr>
            <w:r w:rsidRPr="009850DE">
              <w:rPr>
                <w:rFonts w:ascii="Verdana" w:eastAsia="Arial" w:hAnsi="Verdana" w:cs="Arial"/>
                <w:sz w:val="16"/>
                <w:szCs w:val="16"/>
                <w:lang w:val="es-ES_tradnl"/>
              </w:rPr>
              <w:t xml:space="preserve">Contratista de la Subdirección de Gestión Contractual </w:t>
            </w:r>
          </w:p>
          <w:p w14:paraId="215D41A8" w14:textId="77777777" w:rsidR="009850DE" w:rsidRPr="009850DE" w:rsidRDefault="009850DE" w:rsidP="009850DE">
            <w:pPr>
              <w:rPr>
                <w:rFonts w:ascii="Verdana" w:eastAsia="Arial" w:hAnsi="Verdana" w:cs="Arial"/>
                <w:sz w:val="16"/>
                <w:szCs w:val="16"/>
                <w:lang w:val="es-ES_tradnl"/>
              </w:rPr>
            </w:pPr>
            <w:r w:rsidRPr="009850DE">
              <w:rPr>
                <w:rFonts w:ascii="Verdana" w:eastAsia="Arial" w:hAnsi="Verdana" w:cs="Arial"/>
                <w:sz w:val="16"/>
                <w:szCs w:val="16"/>
                <w:lang w:val="es-ES_tradnl"/>
              </w:rPr>
              <w:t>Alexandra Rodríguez Motta</w:t>
            </w:r>
          </w:p>
          <w:p w14:paraId="11AC9723" w14:textId="77777777" w:rsidR="009850DE" w:rsidRPr="009850DE" w:rsidRDefault="009850DE" w:rsidP="009850DE">
            <w:pPr>
              <w:rPr>
                <w:rFonts w:ascii="Verdana" w:eastAsia="Arial" w:hAnsi="Verdana" w:cs="Arial"/>
                <w:sz w:val="16"/>
                <w:szCs w:val="16"/>
                <w:lang w:val="es-ES_tradnl"/>
              </w:rPr>
            </w:pPr>
            <w:r w:rsidRPr="009850DE">
              <w:rPr>
                <w:rFonts w:ascii="Verdana" w:eastAsia="Arial" w:hAnsi="Verdana" w:cs="Arial"/>
                <w:sz w:val="16"/>
                <w:szCs w:val="16"/>
                <w:lang w:val="es-ES_tradnl"/>
              </w:rPr>
              <w:t xml:space="preserve">Contratista de la Subdirección de Gestión Contractual </w:t>
            </w:r>
          </w:p>
          <w:p w14:paraId="252EC9AC" w14:textId="77777777" w:rsidR="009850DE" w:rsidRPr="009850DE" w:rsidRDefault="009850DE" w:rsidP="009850DE">
            <w:pPr>
              <w:rPr>
                <w:rFonts w:ascii="Verdana" w:eastAsia="Arial" w:hAnsi="Verdana" w:cs="Arial"/>
                <w:sz w:val="16"/>
                <w:szCs w:val="16"/>
                <w:lang w:val="es-ES_tradnl"/>
              </w:rPr>
            </w:pPr>
            <w:r w:rsidRPr="009850DE">
              <w:rPr>
                <w:rFonts w:ascii="Verdana" w:eastAsia="Arial" w:hAnsi="Verdana" w:cs="Arial"/>
                <w:sz w:val="16"/>
                <w:szCs w:val="16"/>
                <w:lang w:val="es-ES_tradnl"/>
              </w:rPr>
              <w:t>Alejandro Gamboa Cárdenas</w:t>
            </w:r>
          </w:p>
          <w:p w14:paraId="0EFB888E" w14:textId="77777777" w:rsidR="009850DE" w:rsidRPr="009850DE" w:rsidRDefault="009850DE" w:rsidP="009850DE">
            <w:pPr>
              <w:rPr>
                <w:rFonts w:ascii="Verdana" w:eastAsia="Arial" w:hAnsi="Verdana" w:cs="Arial"/>
                <w:sz w:val="16"/>
                <w:szCs w:val="16"/>
                <w:lang w:val="es-ES_tradnl"/>
              </w:rPr>
            </w:pPr>
            <w:r w:rsidRPr="009850DE">
              <w:rPr>
                <w:rFonts w:ascii="Verdana" w:eastAsia="Arial" w:hAnsi="Verdana" w:cs="Arial"/>
                <w:sz w:val="16"/>
                <w:szCs w:val="16"/>
                <w:lang w:val="es-ES_tradnl"/>
              </w:rPr>
              <w:t>Contratista de la Subdirección de Gestión Contractual</w:t>
            </w:r>
          </w:p>
          <w:p w14:paraId="62B2647C" w14:textId="77777777" w:rsidR="009850DE" w:rsidRPr="009850DE" w:rsidRDefault="009850DE" w:rsidP="009850DE">
            <w:pPr>
              <w:rPr>
                <w:rFonts w:ascii="Verdana" w:eastAsia="Arial" w:hAnsi="Verdana" w:cs="Arial"/>
                <w:sz w:val="16"/>
                <w:szCs w:val="16"/>
                <w:lang w:val="es-ES_tradnl"/>
              </w:rPr>
            </w:pPr>
          </w:p>
        </w:tc>
      </w:tr>
      <w:tr w:rsidR="009850DE" w:rsidRPr="009850DE" w14:paraId="01BB41EA" w14:textId="77777777" w:rsidTr="0032582B">
        <w:trPr>
          <w:trHeight w:val="330"/>
        </w:trPr>
        <w:tc>
          <w:tcPr>
            <w:tcW w:w="893" w:type="dxa"/>
            <w:vAlign w:val="center"/>
            <w:hideMark/>
          </w:tcPr>
          <w:p w14:paraId="6F31005B" w14:textId="77777777" w:rsidR="009850DE" w:rsidRPr="009850DE" w:rsidRDefault="009850DE" w:rsidP="009850DE">
            <w:pPr>
              <w:rPr>
                <w:rFonts w:ascii="Verdana" w:eastAsia="Calibri" w:hAnsi="Verdana" w:cs="Arial"/>
                <w:sz w:val="16"/>
                <w:szCs w:val="16"/>
                <w:lang w:val="es-ES_tradnl" w:eastAsia="es-ES"/>
              </w:rPr>
            </w:pPr>
            <w:r w:rsidRPr="009850DE">
              <w:rPr>
                <w:rFonts w:ascii="Verdana" w:eastAsia="Calibri" w:hAnsi="Verdana" w:cs="Arial"/>
                <w:sz w:val="16"/>
                <w:szCs w:val="16"/>
                <w:lang w:val="es-ES_tradnl"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45E79EC4" w14:textId="77777777" w:rsidR="009850DE" w:rsidRPr="009850DE" w:rsidRDefault="009850DE" w:rsidP="009850DE">
            <w:pPr>
              <w:textAlignment w:val="baseline"/>
              <w:rPr>
                <w:rFonts w:ascii="Verdana" w:eastAsia="Times New Roman" w:hAnsi="Verdana" w:cs="Segoe UI"/>
                <w:sz w:val="16"/>
                <w:szCs w:val="16"/>
                <w:lang w:val="es-ES_tradnl" w:eastAsia="es-ES_tradnl"/>
              </w:rPr>
            </w:pPr>
            <w:r w:rsidRPr="009850DE">
              <w:rPr>
                <w:rFonts w:ascii="Verdana" w:eastAsia="Times New Roman" w:hAnsi="Verdana" w:cs="Segoe UI"/>
                <w:sz w:val="16"/>
                <w:szCs w:val="16"/>
                <w:lang w:val="es-ES_tradnl" w:eastAsia="es-ES_tradnl"/>
              </w:rPr>
              <w:t>Juan David Cárdenas Cabeza</w:t>
            </w:r>
          </w:p>
          <w:p w14:paraId="61C29AD8" w14:textId="77777777" w:rsidR="009850DE" w:rsidRPr="009850DE" w:rsidRDefault="009850DE" w:rsidP="009850DE">
            <w:pPr>
              <w:textAlignment w:val="baseline"/>
              <w:rPr>
                <w:rFonts w:ascii="Verdana" w:eastAsia="Times New Roman" w:hAnsi="Verdana" w:cs="Segoe UI"/>
                <w:sz w:val="16"/>
                <w:szCs w:val="16"/>
                <w:lang w:val="es-ES_tradnl" w:eastAsia="es-ES_tradnl"/>
              </w:rPr>
            </w:pPr>
            <w:r w:rsidRPr="009850DE">
              <w:rPr>
                <w:rFonts w:ascii="Verdana" w:eastAsia="Times New Roman" w:hAnsi="Verdana" w:cs="Arial"/>
                <w:sz w:val="16"/>
                <w:szCs w:val="16"/>
                <w:lang w:val="es-ES_tradnl" w:eastAsia="es-ES_tradnl"/>
              </w:rPr>
              <w:t>Contratista de la Subdirección de Gestión Contractual </w:t>
            </w:r>
          </w:p>
        </w:tc>
      </w:tr>
      <w:tr w:rsidR="009850DE" w:rsidRPr="009850DE" w14:paraId="5CE2BFC0" w14:textId="77777777" w:rsidTr="0032582B">
        <w:trPr>
          <w:trHeight w:val="300"/>
        </w:trPr>
        <w:tc>
          <w:tcPr>
            <w:tcW w:w="893" w:type="dxa"/>
            <w:vAlign w:val="center"/>
          </w:tcPr>
          <w:p w14:paraId="07DC61A3" w14:textId="77777777" w:rsidR="009850DE" w:rsidRPr="009850DE" w:rsidRDefault="009850DE" w:rsidP="009850DE">
            <w:pPr>
              <w:rPr>
                <w:rFonts w:ascii="Verdana" w:eastAsia="Calibri" w:hAnsi="Verdana" w:cs="Arial"/>
                <w:sz w:val="16"/>
                <w:szCs w:val="16"/>
                <w:lang w:val="es-ES_tradnl" w:eastAsia="es-ES"/>
              </w:rPr>
            </w:pPr>
            <w:r w:rsidRPr="009850DE">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2C9A6377" w14:textId="77777777" w:rsidR="009850DE" w:rsidRPr="009850DE" w:rsidRDefault="009850DE" w:rsidP="009850DE">
            <w:pPr>
              <w:rPr>
                <w:rFonts w:ascii="Verdana" w:eastAsia="Calibri" w:hAnsi="Verdana" w:cs="Arial"/>
                <w:sz w:val="16"/>
                <w:szCs w:val="16"/>
                <w:lang w:val="es-ES" w:eastAsia="es-ES"/>
              </w:rPr>
            </w:pPr>
            <w:r w:rsidRPr="009850DE">
              <w:rPr>
                <w:rFonts w:ascii="Verdana" w:eastAsia="Calibri" w:hAnsi="Verdana" w:cs="Arial"/>
                <w:sz w:val="16"/>
                <w:szCs w:val="16"/>
                <w:lang w:val="es-ES" w:eastAsia="es-ES"/>
              </w:rPr>
              <w:t>William Javier Murcia Acevedo</w:t>
            </w:r>
          </w:p>
          <w:p w14:paraId="39E68E02" w14:textId="77777777" w:rsidR="009850DE" w:rsidRPr="009850DE" w:rsidRDefault="009850DE" w:rsidP="009850DE">
            <w:pPr>
              <w:rPr>
                <w:rFonts w:ascii="Verdana" w:eastAsia="Calibri" w:hAnsi="Verdana" w:cs="Arial"/>
                <w:sz w:val="16"/>
                <w:szCs w:val="16"/>
                <w:lang w:val="es-ES_tradnl" w:eastAsia="es-ES"/>
              </w:rPr>
            </w:pPr>
            <w:r w:rsidRPr="009850DE">
              <w:rPr>
                <w:rFonts w:ascii="Verdana" w:eastAsia="Calibri" w:hAnsi="Verdana" w:cs="Arial"/>
                <w:sz w:val="16"/>
                <w:szCs w:val="16"/>
                <w:lang w:val="es-ES_tradnl" w:eastAsia="es-ES"/>
              </w:rPr>
              <w:t>Subdirector de Gestión Contractual (E) ANCP – CCE</w:t>
            </w:r>
          </w:p>
        </w:tc>
      </w:tr>
      <w:bookmarkEnd w:id="0"/>
    </w:tbl>
    <w:p w14:paraId="16774E1C" w14:textId="6D6B8421" w:rsidR="009850DE" w:rsidRPr="009850DE" w:rsidRDefault="009850DE" w:rsidP="009850DE">
      <w:pPr>
        <w:spacing w:after="0" w:line="240" w:lineRule="auto"/>
        <w:textAlignment w:val="baseline"/>
        <w:rPr>
          <w:rFonts w:ascii="Verdana" w:eastAsia="Verdana" w:hAnsi="Verdana" w:cs="Verdana"/>
          <w:lang w:eastAsia="es-CO"/>
        </w:rPr>
      </w:pPr>
    </w:p>
    <w:sectPr w:rsidR="009850DE" w:rsidRPr="009850D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3E3ECD" w14:textId="77777777" w:rsidR="00C0155B" w:rsidRDefault="00C0155B" w:rsidP="004A1847">
      <w:pPr>
        <w:spacing w:after="0" w:line="240" w:lineRule="auto"/>
      </w:pPr>
      <w:r>
        <w:separator/>
      </w:r>
    </w:p>
  </w:endnote>
  <w:endnote w:type="continuationSeparator" w:id="0">
    <w:p w14:paraId="15DD7A83" w14:textId="77777777" w:rsidR="00C0155B" w:rsidRDefault="00C0155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auto"/>
    <w:pitch w:val="default"/>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5A53EF" w14:textId="77777777" w:rsidR="00C0155B" w:rsidRDefault="00C0155B" w:rsidP="004A1847">
      <w:pPr>
        <w:spacing w:after="0" w:line="240" w:lineRule="auto"/>
      </w:pPr>
      <w:r>
        <w:separator/>
      </w:r>
    </w:p>
  </w:footnote>
  <w:footnote w:type="continuationSeparator" w:id="0">
    <w:p w14:paraId="1E785385" w14:textId="77777777" w:rsidR="00C0155B" w:rsidRDefault="00C0155B" w:rsidP="004A1847">
      <w:pPr>
        <w:spacing w:after="0" w:line="240" w:lineRule="auto"/>
      </w:pPr>
      <w:r>
        <w:continuationSeparator/>
      </w:r>
    </w:p>
  </w:footnote>
  <w:footnote w:id="1">
    <w:p w14:paraId="62A077A6" w14:textId="77777777" w:rsidR="009850DE" w:rsidRPr="0012365A" w:rsidRDefault="009850DE" w:rsidP="009850DE">
      <w:pPr>
        <w:pStyle w:val="Textonotapie"/>
        <w:ind w:firstLine="709"/>
        <w:contextualSpacing/>
        <w:jc w:val="both"/>
        <w:rPr>
          <w:rFonts w:ascii="Verdana" w:eastAsia="Calibri" w:hAnsi="Verdana" w:cs="Arial"/>
          <w:color w:val="000000"/>
          <w:sz w:val="18"/>
          <w:szCs w:val="18"/>
        </w:rPr>
      </w:pPr>
      <w:r w:rsidRPr="0012365A">
        <w:rPr>
          <w:rStyle w:val="Refdenotaalpie"/>
          <w:rFonts w:ascii="Verdana" w:hAnsi="Verdana" w:cs="Arial"/>
          <w:color w:val="000000"/>
          <w:sz w:val="18"/>
          <w:szCs w:val="18"/>
        </w:rPr>
        <w:footnoteRef/>
      </w:r>
      <w:r w:rsidRPr="0012365A">
        <w:rPr>
          <w:rFonts w:ascii="Verdana" w:hAnsi="Verdana" w:cs="Arial"/>
          <w:color w:val="000000"/>
          <w:sz w:val="18"/>
          <w:szCs w:val="18"/>
        </w:rPr>
        <w:t xml:space="preserve"> </w:t>
      </w:r>
      <w:r w:rsidRPr="0012365A">
        <w:rPr>
          <w:rFonts w:ascii="Verdana" w:eastAsia="Calibri" w:hAnsi="Verdana"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11AF525" w14:textId="77777777" w:rsidR="009850DE" w:rsidRPr="0012365A" w:rsidRDefault="009850DE" w:rsidP="009850DE">
      <w:pPr>
        <w:pStyle w:val="Textonotapie"/>
        <w:ind w:firstLine="709"/>
        <w:contextualSpacing/>
        <w:jc w:val="both"/>
        <w:rPr>
          <w:rFonts w:ascii="Verdana" w:eastAsia="Calibri" w:hAnsi="Verdana" w:cs="Arial"/>
          <w:color w:val="000000"/>
          <w:sz w:val="18"/>
          <w:szCs w:val="18"/>
        </w:rPr>
      </w:pPr>
      <w:r w:rsidRPr="0012365A">
        <w:rPr>
          <w:rFonts w:ascii="Verdana" w:eastAsia="Calibri" w:hAnsi="Verdana" w:cs="Arial"/>
          <w:color w:val="000000"/>
          <w:sz w:val="18"/>
          <w:szCs w:val="18"/>
        </w:rPr>
        <w:t>[…]</w:t>
      </w:r>
    </w:p>
    <w:p w14:paraId="423B5E1D" w14:textId="77777777" w:rsidR="009850DE" w:rsidRPr="0012365A" w:rsidRDefault="009850DE" w:rsidP="009850DE">
      <w:pPr>
        <w:pStyle w:val="Textonotapie"/>
        <w:ind w:firstLine="709"/>
        <w:contextualSpacing/>
        <w:jc w:val="both"/>
        <w:rPr>
          <w:rFonts w:ascii="Verdana" w:hAnsi="Verdana" w:cs="Arial"/>
          <w:color w:val="000000"/>
          <w:sz w:val="18"/>
          <w:szCs w:val="18"/>
          <w:lang w:val="es-CO"/>
        </w:rPr>
      </w:pPr>
      <w:r w:rsidRPr="0012365A">
        <w:rPr>
          <w:rFonts w:ascii="Verdana" w:eastAsia="Calibri" w:hAnsi="Verdana"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12365A">
        <w:rPr>
          <w:rFonts w:ascii="Verdana" w:hAnsi="Verdana" w:cs="Arial"/>
          <w:color w:val="000000"/>
          <w:sz w:val="18"/>
          <w:szCs w:val="18"/>
          <w:lang w:val="es-CO"/>
        </w:rPr>
        <w:t xml:space="preserve"> </w:t>
      </w:r>
    </w:p>
  </w:footnote>
  <w:footnote w:id="2">
    <w:p w14:paraId="74B7ED52" w14:textId="77777777" w:rsidR="009850DE" w:rsidRPr="0012365A" w:rsidRDefault="009850DE" w:rsidP="009850DE">
      <w:pPr>
        <w:pStyle w:val="Textonotapie"/>
        <w:ind w:firstLine="709"/>
        <w:contextualSpacing/>
        <w:jc w:val="both"/>
        <w:rPr>
          <w:rFonts w:ascii="Verdana" w:hAnsi="Verdana" w:cs="Arial"/>
          <w:color w:val="000000"/>
          <w:sz w:val="18"/>
          <w:szCs w:val="18"/>
          <w:lang w:val="es-CO"/>
        </w:rPr>
      </w:pPr>
      <w:r w:rsidRPr="0012365A">
        <w:rPr>
          <w:rFonts w:ascii="Verdana" w:eastAsia="Calibri" w:hAnsi="Verdana" w:cs="Arial"/>
          <w:color w:val="000000"/>
          <w:sz w:val="18"/>
          <w:szCs w:val="18"/>
          <w:vertAlign w:val="superscript"/>
        </w:rPr>
        <w:footnoteRef/>
      </w:r>
      <w:r w:rsidRPr="0012365A">
        <w:rPr>
          <w:rFonts w:ascii="Verdana" w:eastAsia="Calibri" w:hAnsi="Verdana" w:cs="Arial"/>
          <w:color w:val="000000"/>
          <w:sz w:val="18"/>
          <w:szCs w:val="18"/>
          <w:vertAlign w:val="superscript"/>
        </w:rPr>
        <w:t xml:space="preserve"> </w:t>
      </w:r>
      <w:r w:rsidRPr="0012365A">
        <w:rPr>
          <w:rFonts w:ascii="Verdana" w:eastAsia="Calibri" w:hAnsi="Verdana" w:cs="Arial"/>
          <w:color w:val="000000"/>
          <w:sz w:val="18"/>
          <w:szCs w:val="18"/>
        </w:rPr>
        <w:t xml:space="preserve">Consejo de Estado. Sección Tercera. Sentencia del 26 de junio de 2003. Rad. 13.354. C.P. María Elena Giraldo Gómez. </w:t>
      </w:r>
    </w:p>
  </w:footnote>
  <w:footnote w:id="3">
    <w:p w14:paraId="4F1854E7" w14:textId="77777777" w:rsidR="009850DE" w:rsidRPr="0012365A" w:rsidRDefault="009850DE" w:rsidP="009850DE">
      <w:pPr>
        <w:pStyle w:val="NormalWeb1"/>
        <w:shd w:val="clear" w:color="auto" w:fill="FFFFFF"/>
        <w:ind w:firstLine="709"/>
        <w:contextualSpacing/>
        <w:jc w:val="both"/>
        <w:rPr>
          <w:rFonts w:ascii="Verdana" w:hAnsi="Verdana" w:cs="Arial"/>
          <w:sz w:val="18"/>
          <w:szCs w:val="18"/>
        </w:rPr>
      </w:pPr>
      <w:r w:rsidRPr="0012365A">
        <w:rPr>
          <w:rStyle w:val="Refdenotaalpie"/>
          <w:rFonts w:ascii="Verdana" w:eastAsia="Times New Roman" w:hAnsi="Verdana" w:cs="Arial"/>
          <w:sz w:val="18"/>
          <w:szCs w:val="18"/>
        </w:rPr>
        <w:footnoteRef/>
      </w:r>
      <w:r w:rsidRPr="0012365A">
        <w:rPr>
          <w:rStyle w:val="Refdenotaalpie"/>
          <w:rFonts w:ascii="Verdana" w:eastAsia="Times New Roman" w:hAnsi="Verdana" w:cs="Arial"/>
          <w:sz w:val="18"/>
          <w:szCs w:val="18"/>
        </w:rPr>
        <w:t xml:space="preserve"> </w:t>
      </w:r>
      <w:r w:rsidRPr="0012365A">
        <w:rPr>
          <w:rFonts w:ascii="Verdana" w:eastAsia="Times New Roman" w:hAnsi="Verdana" w:cs="Arial"/>
          <w:sz w:val="18"/>
          <w:szCs w:val="18"/>
        </w:rPr>
        <w:t xml:space="preserve">Decreto 1082 de 2015: </w:t>
      </w:r>
      <w:r w:rsidRPr="0012365A">
        <w:rPr>
          <w:rFonts w:ascii="Verdana" w:hAnsi="Verdana" w:cs="Arial"/>
          <w:sz w:val="18"/>
          <w:szCs w:val="18"/>
        </w:rPr>
        <w:t>“Artículo 2.2.1.1.1.6.4. Capacidad Residual: El interesado en celebrar contratos de obra pública con Entidades Estatales debe acreditar su Capacidad Residual o K de Contratación con los siguientes documentos:</w:t>
      </w:r>
    </w:p>
    <w:p w14:paraId="737E1455" w14:textId="77777777" w:rsidR="009850DE" w:rsidRPr="0012365A" w:rsidRDefault="009850DE" w:rsidP="009850DE">
      <w:pPr>
        <w:shd w:val="clear" w:color="auto" w:fill="FFFFFF"/>
        <w:ind w:firstLine="709"/>
        <w:contextualSpacing/>
        <w:jc w:val="both"/>
        <w:rPr>
          <w:rFonts w:ascii="Verdana" w:hAnsi="Verdana" w:cs="Arial"/>
          <w:sz w:val="18"/>
          <w:szCs w:val="18"/>
        </w:rPr>
      </w:pPr>
      <w:r w:rsidRPr="0012365A">
        <w:rPr>
          <w:rFonts w:ascii="Verdana" w:hAnsi="Verdana"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46DEE8BB" w14:textId="77777777" w:rsidR="009850DE" w:rsidRPr="0012365A" w:rsidRDefault="009850DE" w:rsidP="009850DE">
      <w:pPr>
        <w:shd w:val="clear" w:color="auto" w:fill="FFFFFF"/>
        <w:ind w:firstLine="709"/>
        <w:contextualSpacing/>
        <w:jc w:val="both"/>
        <w:rPr>
          <w:rFonts w:ascii="Verdana" w:hAnsi="Verdana" w:cs="Arial"/>
          <w:sz w:val="18"/>
          <w:szCs w:val="18"/>
        </w:rPr>
      </w:pPr>
      <w:r w:rsidRPr="0012365A">
        <w:rPr>
          <w:rFonts w:ascii="Verdana" w:hAnsi="Verdana"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0931E7B" w14:textId="77777777" w:rsidR="009850DE" w:rsidRPr="0012365A" w:rsidRDefault="009850DE" w:rsidP="009850DE">
      <w:pPr>
        <w:shd w:val="clear" w:color="auto" w:fill="FFFFFF"/>
        <w:ind w:firstLine="709"/>
        <w:contextualSpacing/>
        <w:jc w:val="both"/>
        <w:rPr>
          <w:rFonts w:ascii="Verdana" w:hAnsi="Verdana" w:cs="Arial"/>
          <w:sz w:val="18"/>
          <w:szCs w:val="18"/>
        </w:rPr>
      </w:pPr>
      <w:r w:rsidRPr="0012365A">
        <w:rPr>
          <w:rFonts w:ascii="Verdana" w:hAnsi="Verdana"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570538A3" w14:textId="77777777" w:rsidR="009850DE" w:rsidRPr="0012365A" w:rsidRDefault="009850DE" w:rsidP="009850DE">
      <w:pPr>
        <w:pStyle w:val="NormalWeb"/>
        <w:shd w:val="clear" w:color="auto" w:fill="FFFFFF"/>
        <w:ind w:firstLine="708"/>
        <w:jc w:val="both"/>
        <w:rPr>
          <w:rFonts w:ascii="Verdana" w:hAnsi="Verdana" w:cs="Arial"/>
          <w:sz w:val="18"/>
          <w:szCs w:val="18"/>
        </w:rPr>
      </w:pPr>
      <w:r w:rsidRPr="0012365A">
        <w:rPr>
          <w:rStyle w:val="Refdenotaalpie"/>
          <w:rFonts w:ascii="Verdana" w:hAnsi="Verdana" w:cs="Arial"/>
          <w:sz w:val="18"/>
          <w:szCs w:val="18"/>
        </w:rPr>
        <w:footnoteRef/>
      </w:r>
      <w:r w:rsidRPr="0012365A">
        <w:rPr>
          <w:rFonts w:ascii="Verdana" w:hAnsi="Verdana" w:cs="Arial"/>
          <w:sz w:val="18"/>
          <w:szCs w:val="18"/>
        </w:rPr>
        <w:t xml:space="preserve"> Agencia Nacional de Contratación Pública – Colombia Compra Eficiente. </w:t>
      </w:r>
      <w:r w:rsidRPr="0012365A">
        <w:rPr>
          <w:rFonts w:ascii="Verdana" w:hAnsi="Verdana" w:cs="Arial"/>
          <w:sz w:val="18"/>
          <w:szCs w:val="18"/>
          <w:lang w:val="es-ES"/>
        </w:rPr>
        <w:t>Concepto C-017 de 2023.</w:t>
      </w:r>
    </w:p>
  </w:footnote>
  <w:footnote w:id="5">
    <w:p w14:paraId="7E5AAB0A" w14:textId="77777777" w:rsidR="009850DE" w:rsidRPr="0012365A" w:rsidRDefault="009850DE" w:rsidP="009850DE">
      <w:pPr>
        <w:pStyle w:val="Textonotapie"/>
        <w:ind w:firstLine="708"/>
        <w:contextualSpacing/>
        <w:jc w:val="both"/>
        <w:rPr>
          <w:rFonts w:ascii="Verdana" w:hAnsi="Verdana"/>
          <w:sz w:val="18"/>
          <w:szCs w:val="18"/>
        </w:rPr>
      </w:pPr>
      <w:r w:rsidRPr="0012365A">
        <w:rPr>
          <w:rStyle w:val="Refdenotaalpie"/>
          <w:rFonts w:ascii="Verdana" w:hAnsi="Verdana"/>
          <w:sz w:val="18"/>
          <w:szCs w:val="18"/>
        </w:rPr>
        <w:footnoteRef/>
      </w:r>
      <w:r w:rsidRPr="0012365A">
        <w:rPr>
          <w:rFonts w:ascii="Verdana" w:hAnsi="Verdana"/>
          <w:sz w:val="18"/>
          <w:szCs w:val="18"/>
        </w:rPr>
        <w:t xml:space="preserve"> Los Documentos Tipo </w:t>
      </w:r>
      <w:r w:rsidRPr="0012365A">
        <w:rPr>
          <w:rFonts w:ascii="Verdana" w:hAnsi="Verdana" w:cs="Arial"/>
          <w:sz w:val="18"/>
          <w:szCs w:val="18"/>
          <w:lang w:eastAsia="en-GB"/>
        </w:rPr>
        <w:t xml:space="preserve">Licitación de Obra Pública para Infraestructura de Transporte pueden consultarse en el siguiente enlace: </w:t>
      </w:r>
      <w:hyperlink r:id="rId1" w:history="1">
        <w:r w:rsidRPr="0012365A">
          <w:rPr>
            <w:rStyle w:val="Hipervnculo"/>
            <w:rFonts w:ascii="Verdana" w:hAnsi="Verdana" w:cs="Arial"/>
            <w:sz w:val="18"/>
            <w:szCs w:val="18"/>
            <w:lang w:eastAsia="en-GB"/>
          </w:rPr>
          <w:t>https://www.colombiacompra.gov.co/normativa-y-relatoria/documentos-tipo</w:t>
        </w:r>
      </w:hyperlink>
      <w:r w:rsidRPr="0012365A">
        <w:rPr>
          <w:rFonts w:ascii="Verdana" w:hAnsi="Verdana" w:cs="Arial"/>
          <w:sz w:val="18"/>
          <w:szCs w:val="18"/>
          <w:lang w:eastAsia="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D353C3B"/>
    <w:multiLevelType w:val="multilevel"/>
    <w:tmpl w:val="E6201C0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DE03FC"/>
    <w:multiLevelType w:val="multilevel"/>
    <w:tmpl w:val="F7621F3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7363EE"/>
    <w:multiLevelType w:val="multilevel"/>
    <w:tmpl w:val="D142762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D912262"/>
    <w:multiLevelType w:val="multilevel"/>
    <w:tmpl w:val="A6B617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A55982"/>
    <w:multiLevelType w:val="multilevel"/>
    <w:tmpl w:val="231A1A0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4"/>
  </w:num>
  <w:num w:numId="14" w16cid:durableId="895897244">
    <w:abstractNumId w:val="19"/>
  </w:num>
  <w:num w:numId="15" w16cid:durableId="390349800">
    <w:abstractNumId w:val="14"/>
  </w:num>
  <w:num w:numId="16" w16cid:durableId="341274352">
    <w:abstractNumId w:val="0"/>
  </w:num>
  <w:num w:numId="17" w16cid:durableId="679089576">
    <w:abstractNumId w:val="12"/>
  </w:num>
  <w:num w:numId="18" w16cid:durableId="1771000341">
    <w:abstractNumId w:val="3"/>
  </w:num>
  <w:num w:numId="19" w16cid:durableId="387993486">
    <w:abstractNumId w:val="13"/>
  </w:num>
  <w:num w:numId="20" w16cid:durableId="788819039">
    <w:abstractNumId w:val="5"/>
  </w:num>
  <w:num w:numId="21" w16cid:durableId="597177747">
    <w:abstractNumId w:val="11"/>
  </w:num>
  <w:num w:numId="22" w16cid:durableId="2072380607">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97C"/>
    <w:rsid w:val="00046945"/>
    <w:rsid w:val="00061B2A"/>
    <w:rsid w:val="00082362"/>
    <w:rsid w:val="000A683E"/>
    <w:rsid w:val="000B19B9"/>
    <w:rsid w:val="000D0334"/>
    <w:rsid w:val="000D5DA7"/>
    <w:rsid w:val="000F6486"/>
    <w:rsid w:val="00116940"/>
    <w:rsid w:val="00125105"/>
    <w:rsid w:val="00127233"/>
    <w:rsid w:val="0015699B"/>
    <w:rsid w:val="00194CC3"/>
    <w:rsid w:val="001A33BF"/>
    <w:rsid w:val="001D2B62"/>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35B1"/>
    <w:rsid w:val="00324168"/>
    <w:rsid w:val="00330834"/>
    <w:rsid w:val="003448F4"/>
    <w:rsid w:val="00374F5E"/>
    <w:rsid w:val="00377E3E"/>
    <w:rsid w:val="003A779E"/>
    <w:rsid w:val="003D0F4D"/>
    <w:rsid w:val="003D5B0D"/>
    <w:rsid w:val="003E0499"/>
    <w:rsid w:val="003E0E50"/>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07E1F"/>
    <w:rsid w:val="00816A1E"/>
    <w:rsid w:val="00820278"/>
    <w:rsid w:val="008258C9"/>
    <w:rsid w:val="00844AE9"/>
    <w:rsid w:val="00867F95"/>
    <w:rsid w:val="008843B6"/>
    <w:rsid w:val="00891928"/>
    <w:rsid w:val="008A446D"/>
    <w:rsid w:val="008B25F1"/>
    <w:rsid w:val="008C2E2D"/>
    <w:rsid w:val="008D180B"/>
    <w:rsid w:val="008F0EA7"/>
    <w:rsid w:val="00923EEF"/>
    <w:rsid w:val="009419F9"/>
    <w:rsid w:val="0095685E"/>
    <w:rsid w:val="00961B09"/>
    <w:rsid w:val="00965334"/>
    <w:rsid w:val="0097093E"/>
    <w:rsid w:val="009850D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E0BDA"/>
    <w:rsid w:val="00BF7425"/>
    <w:rsid w:val="00C0155B"/>
    <w:rsid w:val="00C04FB3"/>
    <w:rsid w:val="00C11D8B"/>
    <w:rsid w:val="00C15139"/>
    <w:rsid w:val="00C330EB"/>
    <w:rsid w:val="00C45B8B"/>
    <w:rsid w:val="00C50D69"/>
    <w:rsid w:val="00C5365C"/>
    <w:rsid w:val="00C55179"/>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1DDB"/>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850DE"/>
    <w:pPr>
      <w:spacing w:line="240" w:lineRule="exact"/>
    </w:pPr>
    <w:rPr>
      <w:vertAlign w:val="superscript"/>
    </w:rPr>
  </w:style>
  <w:style w:type="paragraph" w:customStyle="1" w:styleId="NormalWeb1">
    <w:name w:val="Normal (Web)1"/>
    <w:basedOn w:val="Normal"/>
    <w:next w:val="NormalWeb"/>
    <w:uiPriority w:val="99"/>
    <w:semiHidden/>
    <w:unhideWhenUsed/>
    <w:rsid w:val="009850DE"/>
    <w:pPr>
      <w:spacing w:after="0" w:line="240" w:lineRule="auto"/>
    </w:pPr>
    <w:rPr>
      <w:rFonts w:ascii="Times New Roman" w:hAnsi="Times New Roman" w:cs="Times New Roman"/>
      <w:kern w:val="2"/>
      <w:sz w:val="24"/>
      <w:szCs w:val="24"/>
      <w:lang w:val="es-ES_trad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guias-y-manuales" TargetMode="External"/><Relationship Id="rId18"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0481D-F97B-413B-A0F2-8672AE78271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33</Pages>
  <Words>10609</Words>
  <Characters>58352</Characters>
  <Application>Microsoft Office Word</Application>
  <DocSecurity>0</DocSecurity>
  <Lines>486</Lines>
  <Paragraphs>137</Paragraphs>
  <ScaleCrop>false</ScaleCrop>
  <Company/>
  <LinksUpToDate>false</LinksUpToDate>
  <CharactersWithSpaces>68824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2026-10-26T20:17:00Z</dcterms:created>
  <dcterms:modified xsi:type="dcterms:W3CDTF">2026-10-29T01:30:00Z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