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803C5" w14:textId="77777777" w:rsidR="00A77A1C" w:rsidRPr="004F23F2" w:rsidRDefault="00A77A1C" w:rsidP="00A77A1C">
      <w:pPr>
        <w:spacing w:after="0" w:line="240" w:lineRule="auto"/>
        <w:jc w:val="both"/>
        <w:rPr>
          <w:rFonts w:ascii="Verdana" w:hAnsi="Verdana"/>
          <w:b/>
          <w:bCs/>
        </w:rPr>
      </w:pPr>
      <w:r w:rsidRPr="004F23F2">
        <w:rPr>
          <w:rFonts w:ascii="Verdana" w:hAnsi="Verdana"/>
          <w:b/>
          <w:bCs/>
        </w:rPr>
        <w:t>SISTEMA DE SEGURIDAD SOCIAL</w:t>
      </w:r>
      <w:r>
        <w:rPr>
          <w:rFonts w:ascii="Verdana" w:hAnsi="Verdana"/>
          <w:b/>
          <w:bCs/>
        </w:rPr>
        <w:t xml:space="preserve"> INTEGRAL</w:t>
      </w:r>
      <w:r w:rsidRPr="004F23F2">
        <w:rPr>
          <w:rFonts w:ascii="Verdana" w:hAnsi="Verdana"/>
          <w:b/>
          <w:bCs/>
        </w:rPr>
        <w:t xml:space="preserve"> – Noción – Contratación estatal – </w:t>
      </w:r>
      <w:r w:rsidRPr="00AA716D">
        <w:rPr>
          <w:rFonts w:ascii="Verdana" w:hAnsi="Verdana"/>
          <w:b/>
          <w:bCs/>
        </w:rPr>
        <w:t>Perfeccionamiento del contrato</w:t>
      </w:r>
    </w:p>
    <w:p w14:paraId="23F59F2B" w14:textId="77777777" w:rsidR="00A77A1C" w:rsidRDefault="00A77A1C" w:rsidP="00A77A1C">
      <w:pPr>
        <w:spacing w:after="0" w:line="240" w:lineRule="auto"/>
        <w:jc w:val="both"/>
        <w:rPr>
          <w:rFonts w:ascii="Verdana" w:hAnsi="Verdana"/>
          <w:b/>
          <w:bCs/>
          <w:color w:val="EE0000"/>
        </w:rPr>
      </w:pPr>
    </w:p>
    <w:p w14:paraId="20E7FF2D" w14:textId="77777777" w:rsidR="00A77A1C" w:rsidRPr="003F5350" w:rsidRDefault="00A77A1C" w:rsidP="00A77A1C">
      <w:pPr>
        <w:pStyle w:val="Textoindependiente"/>
        <w:spacing w:after="120"/>
        <w:ind w:right="49"/>
        <w:jc w:val="both"/>
        <w:rPr>
          <w:rFonts w:ascii="Verdana" w:hAnsi="Verdana"/>
          <w:sz w:val="20"/>
          <w:szCs w:val="20"/>
        </w:rPr>
      </w:pPr>
      <w:r w:rsidRPr="003F5350">
        <w:rPr>
          <w:rFonts w:ascii="Verdana" w:eastAsia="Calibri" w:hAnsi="Verdana"/>
          <w:bCs/>
          <w:sz w:val="20"/>
          <w:szCs w:val="20"/>
          <w:lang w:val="es-CO"/>
        </w:rPr>
        <w:t xml:space="preserve">[…] </w:t>
      </w:r>
      <w:r w:rsidRPr="003F5350">
        <w:rPr>
          <w:rFonts w:ascii="Verdana" w:hAnsi="Verdana"/>
          <w:sz w:val="20"/>
          <w:szCs w:val="20"/>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7F3530EB" w14:textId="77777777" w:rsidR="00A77A1C" w:rsidRDefault="00A77A1C" w:rsidP="00A77A1C">
      <w:pPr>
        <w:pStyle w:val="Textoindependiente"/>
        <w:spacing w:after="120"/>
        <w:ind w:right="51"/>
        <w:jc w:val="both"/>
        <w:rPr>
          <w:rFonts w:ascii="Verdana" w:hAnsi="Verdana"/>
          <w:sz w:val="20"/>
          <w:szCs w:val="20"/>
        </w:rPr>
      </w:pPr>
      <w:r w:rsidRPr="003F5350">
        <w:rPr>
          <w:rFonts w:ascii="Verdana" w:hAnsi="Verdana"/>
          <w:sz w:val="20"/>
          <w:szCs w:val="20"/>
        </w:rPr>
        <w:t>En materia de contratación estatal, el texto original del artículo 41 de la Ley 80 de 1993 dispuso que los requisitos para perfeccionar</w:t>
      </w:r>
      <w:r w:rsidRPr="003F5350">
        <w:rPr>
          <w:rFonts w:ascii="Verdana" w:hAnsi="Verdana"/>
          <w:spacing w:val="-7"/>
          <w:sz w:val="20"/>
          <w:szCs w:val="20"/>
        </w:rPr>
        <w:t xml:space="preserve"> </w:t>
      </w:r>
      <w:r w:rsidRPr="003F5350">
        <w:rPr>
          <w:rFonts w:ascii="Verdana" w:hAnsi="Verdana"/>
          <w:sz w:val="20"/>
          <w:szCs w:val="20"/>
        </w:rPr>
        <w:t>el</w:t>
      </w:r>
      <w:r w:rsidRPr="003F5350">
        <w:rPr>
          <w:rFonts w:ascii="Verdana" w:hAnsi="Verdana"/>
          <w:spacing w:val="-6"/>
          <w:sz w:val="20"/>
          <w:szCs w:val="20"/>
        </w:rPr>
        <w:t xml:space="preserve"> </w:t>
      </w:r>
      <w:r w:rsidRPr="003F5350">
        <w:rPr>
          <w:rFonts w:ascii="Verdana" w:hAnsi="Verdana"/>
          <w:sz w:val="20"/>
          <w:szCs w:val="20"/>
        </w:rPr>
        <w:t>contrato</w:t>
      </w:r>
      <w:r w:rsidRPr="003F5350">
        <w:rPr>
          <w:rFonts w:ascii="Verdana" w:hAnsi="Verdana"/>
          <w:spacing w:val="-7"/>
          <w:sz w:val="20"/>
          <w:szCs w:val="20"/>
        </w:rPr>
        <w:t xml:space="preserve"> </w:t>
      </w:r>
      <w:r w:rsidRPr="003F5350">
        <w:rPr>
          <w:rFonts w:ascii="Verdana" w:hAnsi="Verdana"/>
          <w:sz w:val="20"/>
          <w:szCs w:val="20"/>
        </w:rPr>
        <w:t>son:</w:t>
      </w:r>
      <w:r w:rsidRPr="003F5350">
        <w:rPr>
          <w:rFonts w:ascii="Verdana" w:hAnsi="Verdana"/>
          <w:spacing w:val="-7"/>
          <w:sz w:val="20"/>
          <w:szCs w:val="20"/>
        </w:rPr>
        <w:t xml:space="preserve"> </w:t>
      </w:r>
      <w:r w:rsidRPr="003F5350">
        <w:rPr>
          <w:rFonts w:ascii="Verdana" w:hAnsi="Verdana"/>
          <w:sz w:val="20"/>
          <w:szCs w:val="20"/>
        </w:rPr>
        <w:t>i)</w:t>
      </w:r>
      <w:r w:rsidRPr="003F5350">
        <w:rPr>
          <w:rFonts w:ascii="Verdana" w:hAnsi="Verdana"/>
          <w:spacing w:val="-7"/>
          <w:sz w:val="20"/>
          <w:szCs w:val="20"/>
        </w:rPr>
        <w:t xml:space="preserve"> </w:t>
      </w:r>
      <w:r w:rsidRPr="003F5350">
        <w:rPr>
          <w:rFonts w:ascii="Verdana" w:hAnsi="Verdana"/>
          <w:sz w:val="20"/>
          <w:szCs w:val="20"/>
        </w:rPr>
        <w:t>el</w:t>
      </w:r>
      <w:r w:rsidRPr="003F5350">
        <w:rPr>
          <w:rFonts w:ascii="Verdana" w:hAnsi="Verdana"/>
          <w:spacing w:val="-6"/>
          <w:sz w:val="20"/>
          <w:szCs w:val="20"/>
        </w:rPr>
        <w:t xml:space="preserve"> </w:t>
      </w:r>
      <w:r w:rsidRPr="003F5350">
        <w:rPr>
          <w:rFonts w:ascii="Verdana" w:hAnsi="Verdana"/>
          <w:sz w:val="20"/>
          <w:szCs w:val="20"/>
        </w:rPr>
        <w:t>acuerdo</w:t>
      </w:r>
      <w:r w:rsidRPr="003F5350">
        <w:rPr>
          <w:rFonts w:ascii="Verdana" w:hAnsi="Verdana"/>
          <w:spacing w:val="-6"/>
          <w:sz w:val="20"/>
          <w:szCs w:val="20"/>
        </w:rPr>
        <w:t xml:space="preserve"> </w:t>
      </w:r>
      <w:r w:rsidRPr="003F5350">
        <w:rPr>
          <w:rFonts w:ascii="Verdana" w:hAnsi="Verdana"/>
          <w:sz w:val="20"/>
          <w:szCs w:val="20"/>
        </w:rPr>
        <w:t>sobre</w:t>
      </w:r>
      <w:r w:rsidRPr="003F5350">
        <w:rPr>
          <w:rFonts w:ascii="Verdana" w:hAnsi="Verdana"/>
          <w:spacing w:val="-7"/>
          <w:sz w:val="20"/>
          <w:szCs w:val="20"/>
        </w:rPr>
        <w:t xml:space="preserve"> </w:t>
      </w:r>
      <w:r w:rsidRPr="003F5350">
        <w:rPr>
          <w:rFonts w:ascii="Verdana" w:hAnsi="Verdana"/>
          <w:sz w:val="20"/>
          <w:szCs w:val="20"/>
        </w:rPr>
        <w:t>el</w:t>
      </w:r>
      <w:r w:rsidRPr="003F5350">
        <w:rPr>
          <w:rFonts w:ascii="Verdana" w:hAnsi="Verdana"/>
          <w:spacing w:val="-6"/>
          <w:sz w:val="20"/>
          <w:szCs w:val="20"/>
        </w:rPr>
        <w:t xml:space="preserve"> </w:t>
      </w:r>
      <w:r w:rsidRPr="003F5350">
        <w:rPr>
          <w:rFonts w:ascii="Verdana" w:hAnsi="Verdana"/>
          <w:sz w:val="20"/>
          <w:szCs w:val="20"/>
        </w:rPr>
        <w:t>objeto</w:t>
      </w:r>
      <w:r w:rsidRPr="003F5350">
        <w:rPr>
          <w:rFonts w:ascii="Verdana" w:hAnsi="Verdana"/>
          <w:spacing w:val="-7"/>
          <w:sz w:val="20"/>
          <w:szCs w:val="20"/>
        </w:rPr>
        <w:t xml:space="preserve"> </w:t>
      </w:r>
      <w:r w:rsidRPr="003F5350">
        <w:rPr>
          <w:rFonts w:ascii="Verdana" w:hAnsi="Verdana"/>
          <w:sz w:val="20"/>
          <w:szCs w:val="20"/>
        </w:rPr>
        <w:t>y</w:t>
      </w:r>
      <w:r w:rsidRPr="003F5350">
        <w:rPr>
          <w:rFonts w:ascii="Verdana" w:hAnsi="Verdana"/>
          <w:spacing w:val="-7"/>
          <w:sz w:val="20"/>
          <w:szCs w:val="20"/>
        </w:rPr>
        <w:t xml:space="preserve"> </w:t>
      </w:r>
      <w:r w:rsidRPr="003F5350">
        <w:rPr>
          <w:rFonts w:ascii="Verdana" w:hAnsi="Verdana"/>
          <w:sz w:val="20"/>
          <w:szCs w:val="20"/>
        </w:rPr>
        <w:t>la</w:t>
      </w:r>
      <w:r w:rsidRPr="003F5350">
        <w:rPr>
          <w:rFonts w:ascii="Verdana" w:hAnsi="Verdana"/>
          <w:spacing w:val="-6"/>
          <w:sz w:val="20"/>
          <w:szCs w:val="20"/>
        </w:rPr>
        <w:t xml:space="preserve"> </w:t>
      </w:r>
      <w:r w:rsidRPr="003F5350">
        <w:rPr>
          <w:rFonts w:ascii="Verdana" w:hAnsi="Verdana"/>
          <w:sz w:val="20"/>
          <w:szCs w:val="20"/>
        </w:rPr>
        <w:t>contraprestación, y ii) que conste por escrito. Por su parte, para iniciar la ejecución se requiere: i) la constitución</w:t>
      </w:r>
      <w:r w:rsidRPr="003F5350">
        <w:rPr>
          <w:rFonts w:ascii="Verdana" w:hAnsi="Verdana"/>
          <w:spacing w:val="-16"/>
          <w:sz w:val="20"/>
          <w:szCs w:val="20"/>
        </w:rPr>
        <w:t xml:space="preserve"> </w:t>
      </w:r>
      <w:r w:rsidRPr="003F5350">
        <w:rPr>
          <w:rFonts w:ascii="Verdana" w:hAnsi="Verdana"/>
          <w:sz w:val="20"/>
          <w:szCs w:val="20"/>
        </w:rPr>
        <w:t>y</w:t>
      </w:r>
      <w:r w:rsidRPr="003F5350">
        <w:rPr>
          <w:rFonts w:ascii="Verdana" w:hAnsi="Verdana"/>
          <w:spacing w:val="-17"/>
          <w:sz w:val="20"/>
          <w:szCs w:val="20"/>
        </w:rPr>
        <w:t xml:space="preserve"> </w:t>
      </w:r>
      <w:r w:rsidRPr="003F5350">
        <w:rPr>
          <w:rFonts w:ascii="Verdana" w:hAnsi="Verdana"/>
          <w:sz w:val="20"/>
          <w:szCs w:val="20"/>
        </w:rPr>
        <w:t>aprobación</w:t>
      </w:r>
      <w:r w:rsidRPr="003F5350">
        <w:rPr>
          <w:rFonts w:ascii="Verdana" w:hAnsi="Verdana"/>
          <w:spacing w:val="-16"/>
          <w:sz w:val="20"/>
          <w:szCs w:val="20"/>
        </w:rPr>
        <w:t xml:space="preserve"> </w:t>
      </w:r>
      <w:r w:rsidRPr="003F5350">
        <w:rPr>
          <w:rFonts w:ascii="Verdana" w:hAnsi="Verdana"/>
          <w:sz w:val="20"/>
          <w:szCs w:val="20"/>
        </w:rPr>
        <w:t>de</w:t>
      </w:r>
      <w:r w:rsidRPr="003F5350">
        <w:rPr>
          <w:rFonts w:ascii="Verdana" w:hAnsi="Verdana"/>
          <w:spacing w:val="-16"/>
          <w:sz w:val="20"/>
          <w:szCs w:val="20"/>
        </w:rPr>
        <w:t xml:space="preserve"> </w:t>
      </w:r>
      <w:r w:rsidRPr="003F5350">
        <w:rPr>
          <w:rFonts w:ascii="Verdana" w:hAnsi="Verdana"/>
          <w:sz w:val="20"/>
          <w:szCs w:val="20"/>
        </w:rPr>
        <w:t>la</w:t>
      </w:r>
      <w:r w:rsidRPr="003F5350">
        <w:rPr>
          <w:rFonts w:ascii="Verdana" w:hAnsi="Verdana"/>
          <w:spacing w:val="-16"/>
          <w:sz w:val="20"/>
          <w:szCs w:val="20"/>
        </w:rPr>
        <w:t xml:space="preserve"> </w:t>
      </w:r>
      <w:r w:rsidRPr="003F5350">
        <w:rPr>
          <w:rFonts w:ascii="Verdana" w:hAnsi="Verdana"/>
          <w:sz w:val="20"/>
          <w:szCs w:val="20"/>
        </w:rPr>
        <w:t>garantía</w:t>
      </w:r>
      <w:r w:rsidRPr="003F5350">
        <w:rPr>
          <w:rFonts w:ascii="Verdana" w:hAnsi="Verdana"/>
          <w:spacing w:val="-16"/>
          <w:sz w:val="20"/>
          <w:szCs w:val="20"/>
        </w:rPr>
        <w:t xml:space="preserve"> </w:t>
      </w:r>
      <w:r w:rsidRPr="003F5350">
        <w:rPr>
          <w:rFonts w:ascii="Verdana" w:hAnsi="Verdana"/>
          <w:sz w:val="20"/>
          <w:szCs w:val="20"/>
        </w:rPr>
        <w:t>y</w:t>
      </w:r>
      <w:r w:rsidRPr="003F5350">
        <w:rPr>
          <w:rFonts w:ascii="Verdana" w:hAnsi="Verdana"/>
          <w:spacing w:val="-16"/>
          <w:sz w:val="20"/>
          <w:szCs w:val="20"/>
        </w:rPr>
        <w:t xml:space="preserve"> </w:t>
      </w:r>
      <w:r w:rsidRPr="003F5350">
        <w:rPr>
          <w:rFonts w:ascii="Verdana" w:hAnsi="Verdana"/>
          <w:sz w:val="20"/>
          <w:szCs w:val="20"/>
        </w:rPr>
        <w:t>ii)</w:t>
      </w:r>
      <w:r w:rsidRPr="003F5350">
        <w:rPr>
          <w:rFonts w:ascii="Verdana" w:hAnsi="Verdana"/>
          <w:spacing w:val="-16"/>
          <w:sz w:val="20"/>
          <w:szCs w:val="20"/>
        </w:rPr>
        <w:t xml:space="preserve"> </w:t>
      </w:r>
      <w:r w:rsidRPr="003F5350">
        <w:rPr>
          <w:rFonts w:ascii="Verdana" w:hAnsi="Verdana"/>
          <w:sz w:val="20"/>
          <w:szCs w:val="20"/>
        </w:rPr>
        <w:t>la</w:t>
      </w:r>
      <w:r w:rsidRPr="003F5350">
        <w:rPr>
          <w:rFonts w:ascii="Verdana" w:hAnsi="Verdana"/>
          <w:spacing w:val="-16"/>
          <w:sz w:val="20"/>
          <w:szCs w:val="20"/>
        </w:rPr>
        <w:t xml:space="preserve"> </w:t>
      </w:r>
      <w:r w:rsidRPr="003F5350">
        <w:rPr>
          <w:rFonts w:ascii="Verdana" w:hAnsi="Verdana"/>
          <w:sz w:val="20"/>
          <w:szCs w:val="20"/>
        </w:rPr>
        <w:t>existencia</w:t>
      </w:r>
      <w:r w:rsidRPr="003F5350">
        <w:rPr>
          <w:rFonts w:ascii="Verdana" w:hAnsi="Verdana"/>
          <w:spacing w:val="-16"/>
          <w:sz w:val="20"/>
          <w:szCs w:val="20"/>
        </w:rPr>
        <w:t xml:space="preserve"> </w:t>
      </w:r>
      <w:r w:rsidRPr="003F5350">
        <w:rPr>
          <w:rFonts w:ascii="Verdana" w:hAnsi="Verdana"/>
          <w:sz w:val="20"/>
          <w:szCs w:val="20"/>
        </w:rPr>
        <w:t>del</w:t>
      </w:r>
      <w:r w:rsidRPr="003F5350">
        <w:rPr>
          <w:rFonts w:ascii="Verdana" w:hAnsi="Verdana"/>
          <w:spacing w:val="-16"/>
          <w:sz w:val="20"/>
          <w:szCs w:val="20"/>
        </w:rPr>
        <w:t xml:space="preserve"> </w:t>
      </w:r>
      <w:r w:rsidRPr="003F5350">
        <w:rPr>
          <w:rFonts w:ascii="Verdana" w:hAnsi="Verdana"/>
          <w:sz w:val="20"/>
          <w:szCs w:val="20"/>
        </w:rPr>
        <w:t>registro</w:t>
      </w:r>
      <w:r w:rsidRPr="003F5350">
        <w:rPr>
          <w:rFonts w:ascii="Verdana" w:hAnsi="Verdana"/>
          <w:spacing w:val="-16"/>
          <w:sz w:val="20"/>
          <w:szCs w:val="20"/>
        </w:rPr>
        <w:t xml:space="preserve"> </w:t>
      </w:r>
      <w:r w:rsidRPr="003F5350">
        <w:rPr>
          <w:rFonts w:ascii="Verdana" w:hAnsi="Verdana"/>
          <w:sz w:val="20"/>
          <w:szCs w:val="20"/>
        </w:rPr>
        <w:t>presupuestal,</w:t>
      </w:r>
      <w:r w:rsidRPr="003F5350">
        <w:rPr>
          <w:rFonts w:ascii="Verdana" w:hAnsi="Verdana"/>
          <w:spacing w:val="-16"/>
          <w:sz w:val="20"/>
          <w:szCs w:val="20"/>
        </w:rPr>
        <w:t xml:space="preserve"> </w:t>
      </w:r>
      <w:r w:rsidRPr="003F5350">
        <w:rPr>
          <w:rFonts w:ascii="Verdana" w:hAnsi="Verdana"/>
          <w:sz w:val="20"/>
          <w:szCs w:val="20"/>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3F5350">
        <w:rPr>
          <w:rFonts w:ascii="Verdana" w:hAnsi="Verdana"/>
          <w:spacing w:val="-26"/>
          <w:sz w:val="20"/>
          <w:szCs w:val="20"/>
        </w:rPr>
        <w:t xml:space="preserve"> </w:t>
      </w:r>
      <w:r w:rsidRPr="003F5350">
        <w:rPr>
          <w:rFonts w:ascii="Verdana" w:hAnsi="Verdana"/>
          <w:sz w:val="20"/>
          <w:szCs w:val="20"/>
        </w:rPr>
        <w:t>Integral […]</w:t>
      </w:r>
    </w:p>
    <w:p w14:paraId="36A2A3D4" w14:textId="77777777" w:rsidR="00A77A1C" w:rsidRPr="006E12AA" w:rsidRDefault="00A77A1C" w:rsidP="00A77A1C">
      <w:pPr>
        <w:pStyle w:val="Textoindependiente"/>
        <w:ind w:right="51"/>
        <w:jc w:val="both"/>
        <w:rPr>
          <w:rFonts w:ascii="Verdana" w:hAnsi="Verdana"/>
          <w:color w:val="000000" w:themeColor="text1"/>
          <w:sz w:val="20"/>
          <w:szCs w:val="20"/>
        </w:rPr>
      </w:pPr>
    </w:p>
    <w:p w14:paraId="1873CA9E" w14:textId="77777777" w:rsidR="00A77A1C" w:rsidRPr="006E12AA" w:rsidRDefault="00A77A1C" w:rsidP="00A77A1C">
      <w:pPr>
        <w:spacing w:after="0" w:line="240" w:lineRule="auto"/>
        <w:jc w:val="both"/>
        <w:rPr>
          <w:rFonts w:ascii="Verdana" w:hAnsi="Verdana"/>
          <w:b/>
          <w:bCs/>
          <w:color w:val="000000" w:themeColor="text1"/>
        </w:rPr>
      </w:pPr>
      <w:r w:rsidRPr="006E12AA">
        <w:rPr>
          <w:rFonts w:ascii="Verdana" w:hAnsi="Verdana"/>
          <w:b/>
          <w:bCs/>
          <w:color w:val="000000" w:themeColor="text1"/>
        </w:rPr>
        <w:t>SISTEMA DE SEGURIDAD SOCIAL INTEGRAL – Régimen Jurídico – Obligación legal – Afiliación y aportes – Requisito de ejecución</w:t>
      </w:r>
    </w:p>
    <w:p w14:paraId="2D30D7A1" w14:textId="77777777" w:rsidR="00A77A1C" w:rsidRPr="00760A3C" w:rsidRDefault="00A77A1C" w:rsidP="00A77A1C">
      <w:pPr>
        <w:spacing w:after="0" w:line="240" w:lineRule="auto"/>
        <w:jc w:val="both"/>
        <w:rPr>
          <w:rFonts w:ascii="Verdana" w:hAnsi="Verdana"/>
          <w:b/>
          <w:bCs/>
          <w:color w:val="EE0000"/>
        </w:rPr>
      </w:pPr>
    </w:p>
    <w:p w14:paraId="45CD1939" w14:textId="77777777" w:rsidR="00A77A1C" w:rsidRPr="00760A3C" w:rsidRDefault="00A77A1C" w:rsidP="00A77A1C">
      <w:pPr>
        <w:spacing w:after="0" w:line="240" w:lineRule="auto"/>
        <w:jc w:val="both"/>
        <w:rPr>
          <w:rFonts w:ascii="Verdana" w:hAnsi="Verdana"/>
          <w:color w:val="000000" w:themeColor="text1"/>
          <w:sz w:val="20"/>
          <w:szCs w:val="20"/>
        </w:rPr>
      </w:pPr>
      <w:r>
        <w:rPr>
          <w:rFonts w:ascii="Verdana" w:hAnsi="Verdana"/>
          <w:color w:val="000000" w:themeColor="text1"/>
          <w:sz w:val="20"/>
          <w:szCs w:val="20"/>
        </w:rPr>
        <w:t xml:space="preserve">[…] </w:t>
      </w:r>
      <w:r w:rsidRPr="00760A3C">
        <w:rPr>
          <w:rFonts w:ascii="Verdana" w:hAnsi="Verdana"/>
          <w:color w:val="000000" w:themeColor="text1"/>
          <w:sz w:val="20"/>
          <w:szCs w:val="20"/>
        </w:rPr>
        <w:t>Por su parte,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684D8276" w14:textId="77777777" w:rsidR="00A77A1C" w:rsidRPr="00760A3C" w:rsidRDefault="00A77A1C" w:rsidP="00A77A1C">
      <w:pPr>
        <w:spacing w:after="0" w:line="240" w:lineRule="auto"/>
        <w:jc w:val="both"/>
        <w:rPr>
          <w:rFonts w:ascii="Verdana" w:hAnsi="Verdana"/>
          <w:color w:val="000000" w:themeColor="text1"/>
          <w:sz w:val="20"/>
          <w:szCs w:val="20"/>
        </w:rPr>
      </w:pPr>
    </w:p>
    <w:p w14:paraId="0092D225" w14:textId="77777777" w:rsidR="00A77A1C" w:rsidRPr="00760A3C" w:rsidRDefault="00A77A1C" w:rsidP="00A77A1C">
      <w:pPr>
        <w:spacing w:after="0" w:line="240" w:lineRule="auto"/>
        <w:jc w:val="both"/>
        <w:rPr>
          <w:rFonts w:ascii="Verdana" w:hAnsi="Verdana"/>
          <w:color w:val="000000" w:themeColor="text1"/>
          <w:sz w:val="20"/>
          <w:szCs w:val="20"/>
        </w:rPr>
      </w:pPr>
      <w:r w:rsidRPr="00760A3C">
        <w:rPr>
          <w:rFonts w:ascii="Verdana" w:hAnsi="Verdana"/>
          <w:color w:val="000000" w:themeColor="text1"/>
          <w:sz w:val="20"/>
          <w:szCs w:val="20"/>
        </w:rPr>
        <w:t xml:space="preserve">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w:t>
      </w:r>
      <w:r w:rsidRPr="00760A3C">
        <w:rPr>
          <w:rFonts w:ascii="Verdana" w:hAnsi="Verdana"/>
          <w:color w:val="000000" w:themeColor="text1"/>
          <w:sz w:val="20"/>
          <w:szCs w:val="20"/>
        </w:rPr>
        <w:lastRenderedPageBreak/>
        <w:t>que para presentar la oferta las personas jurídicas deben acreditar el requisito señalado anteriormente</w:t>
      </w:r>
      <w:r>
        <w:rPr>
          <w:rFonts w:ascii="Verdana" w:hAnsi="Verdana"/>
          <w:color w:val="000000" w:themeColor="text1"/>
          <w:sz w:val="20"/>
          <w:szCs w:val="20"/>
        </w:rPr>
        <w:t xml:space="preserve"> […]</w:t>
      </w:r>
    </w:p>
    <w:p w14:paraId="1B9490CA" w14:textId="77777777" w:rsidR="00A77A1C" w:rsidRPr="00CD462D" w:rsidRDefault="00A77A1C" w:rsidP="00A77A1C">
      <w:pPr>
        <w:spacing w:after="0" w:line="240" w:lineRule="auto"/>
        <w:jc w:val="both"/>
        <w:rPr>
          <w:rFonts w:ascii="Verdana" w:hAnsi="Verdana"/>
          <w:color w:val="4472C4" w:themeColor="accent1"/>
          <w:sz w:val="20"/>
          <w:szCs w:val="20"/>
        </w:rPr>
      </w:pPr>
    </w:p>
    <w:p w14:paraId="2D834377" w14:textId="77777777" w:rsidR="00A77A1C" w:rsidRPr="00CA654E" w:rsidRDefault="00A77A1C" w:rsidP="00A77A1C">
      <w:pPr>
        <w:spacing w:after="0" w:line="240" w:lineRule="auto"/>
        <w:jc w:val="both"/>
        <w:rPr>
          <w:rFonts w:ascii="Verdana" w:hAnsi="Verdana"/>
          <w:b/>
          <w:bCs/>
        </w:rPr>
      </w:pPr>
      <w:r w:rsidRPr="00CA654E">
        <w:rPr>
          <w:rFonts w:ascii="Verdana" w:hAnsi="Verdana"/>
          <w:b/>
          <w:bCs/>
        </w:rPr>
        <w:t>SISTEMA DE SEGURIDAD SOCIAL INTEGRAL – Ley 1150 de 2007 – Deber de la entidad estatal – Oportunidad de verificación</w:t>
      </w:r>
    </w:p>
    <w:p w14:paraId="1FC00669" w14:textId="77777777" w:rsidR="00A77A1C" w:rsidRPr="00CA654E" w:rsidRDefault="00A77A1C" w:rsidP="00A77A1C">
      <w:pPr>
        <w:spacing w:after="0" w:line="240" w:lineRule="auto"/>
        <w:jc w:val="both"/>
        <w:rPr>
          <w:rFonts w:ascii="Verdana" w:hAnsi="Verdana"/>
          <w:b/>
          <w:bCs/>
        </w:rPr>
      </w:pPr>
    </w:p>
    <w:p w14:paraId="24C2A1A2" w14:textId="77777777" w:rsidR="00A77A1C" w:rsidRPr="00CA654E" w:rsidRDefault="00A77A1C" w:rsidP="00A77A1C">
      <w:pPr>
        <w:pStyle w:val="Textoindependiente"/>
        <w:spacing w:after="120"/>
        <w:ind w:right="49"/>
        <w:jc w:val="both"/>
        <w:rPr>
          <w:rFonts w:ascii="Verdana" w:hAnsi="Verdana"/>
          <w:sz w:val="20"/>
          <w:szCs w:val="20"/>
        </w:rPr>
      </w:pPr>
      <w:r w:rsidRPr="00CA654E">
        <w:rPr>
          <w:rFonts w:ascii="Verdana" w:eastAsia="Calibri" w:hAnsi="Verdana"/>
          <w:bCs/>
          <w:sz w:val="20"/>
          <w:szCs w:val="20"/>
          <w:lang w:val="es-CO"/>
        </w:rPr>
        <w:t xml:space="preserve">[…] </w:t>
      </w:r>
      <w:r w:rsidRPr="00CA654E">
        <w:rPr>
          <w:rFonts w:ascii="Verdana" w:hAnsi="Verdana"/>
          <w:sz w:val="20"/>
          <w:szCs w:val="20"/>
        </w:rPr>
        <w:t>Esta norma fue analizada en una sentencia del Consejo de Estado , donde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p>
    <w:p w14:paraId="59BF7783" w14:textId="77777777" w:rsidR="00A77A1C" w:rsidRPr="00CA654E" w:rsidRDefault="00A77A1C" w:rsidP="00A77A1C">
      <w:pPr>
        <w:pStyle w:val="Textoindependiente"/>
        <w:spacing w:after="120"/>
        <w:ind w:right="49"/>
        <w:jc w:val="both"/>
        <w:rPr>
          <w:rFonts w:ascii="Verdana" w:hAnsi="Verdana"/>
          <w:sz w:val="20"/>
          <w:szCs w:val="20"/>
        </w:rPr>
      </w:pPr>
      <w:r w:rsidRPr="00CA654E">
        <w:rPr>
          <w:rFonts w:ascii="Verdana" w:hAnsi="Verdana"/>
          <w:sz w:val="20"/>
          <w:szCs w:val="20"/>
        </w:rPr>
        <w:t>Por lo tanto, la jurisprudencia reiteró la necesidad de que las entidades estatales, durante la ejecución de un contrato, verifiquen el cumplimiento de las obligaciones del sistema de seguridad social por parte de los oferentes. Posteriormente, el artículo 23 de la Ley 1150 de 2007 modificó el inciso segundo del artículo 41 de la Ley 80 de 1993, incluyendo la obligación, para los proponentes y contratistas, de estar a paz y salvo con los aportes parafiscales al Sistema de Seguridad Social integral […]</w:t>
      </w:r>
    </w:p>
    <w:p w14:paraId="2158D2DE" w14:textId="77777777" w:rsidR="00A77A1C" w:rsidRDefault="00A77A1C" w:rsidP="00A77A1C">
      <w:pPr>
        <w:pStyle w:val="Textoindependiente"/>
        <w:spacing w:after="240"/>
        <w:ind w:right="51"/>
        <w:jc w:val="both"/>
        <w:rPr>
          <w:rFonts w:ascii="Verdana" w:hAnsi="Verdana"/>
          <w:sz w:val="20"/>
          <w:szCs w:val="20"/>
        </w:rPr>
      </w:pPr>
      <w:r w:rsidRPr="00CA654E">
        <w:rPr>
          <w:rFonts w:ascii="Verdana" w:hAnsi="Verdana"/>
          <w:sz w:val="20"/>
          <w:szCs w:val="20"/>
        </w:rPr>
        <w:t>De la lectura integral 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w:t>
      </w:r>
    </w:p>
    <w:p w14:paraId="679E4A97" w14:textId="77777777" w:rsidR="00A77A1C" w:rsidRDefault="00A77A1C" w:rsidP="00A77A1C">
      <w:pPr>
        <w:spacing w:after="0" w:line="240" w:lineRule="auto"/>
        <w:jc w:val="both"/>
        <w:rPr>
          <w:rFonts w:ascii="Verdana" w:eastAsia="Calibri" w:hAnsi="Verdana" w:cs="Arial"/>
          <w:b/>
          <w:bCs/>
          <w:lang w:val="es-ES" w:eastAsia="es-ES_tradnl"/>
        </w:rPr>
      </w:pPr>
      <w:r w:rsidRPr="00FD3BF6">
        <w:rPr>
          <w:rFonts w:ascii="Verdana" w:eastAsia="Calibri" w:hAnsi="Verdana" w:cs="Arial"/>
          <w:b/>
          <w:bCs/>
          <w:lang w:val="es-ES" w:eastAsia="es-ES_tradnl"/>
        </w:rPr>
        <w:t xml:space="preserve">CONTRATO DE PRESTACIÓN DE SERVICIOS - Cotizaciones al sistema general de pensiones - Contratista pensionado - Exigibilidad </w:t>
      </w:r>
    </w:p>
    <w:p w14:paraId="3EA068AF" w14:textId="77777777" w:rsidR="00A77A1C" w:rsidRDefault="00A77A1C" w:rsidP="00A77A1C">
      <w:pPr>
        <w:spacing w:after="0" w:line="240" w:lineRule="auto"/>
        <w:jc w:val="both"/>
        <w:rPr>
          <w:rFonts w:ascii="Verdana" w:eastAsia="Calibri" w:hAnsi="Verdana" w:cs="Arial"/>
          <w:b/>
          <w:bCs/>
          <w:lang w:val="es-ES" w:eastAsia="es-ES_tradnl"/>
        </w:rPr>
      </w:pPr>
    </w:p>
    <w:p w14:paraId="2ADCD5A5" w14:textId="77777777" w:rsidR="00A77A1C" w:rsidRDefault="00A77A1C" w:rsidP="00A77A1C">
      <w:pPr>
        <w:spacing w:after="0" w:line="240" w:lineRule="auto"/>
        <w:jc w:val="both"/>
        <w:rPr>
          <w:rFonts w:ascii="Verdana" w:eastAsia="Calibri" w:hAnsi="Verdana" w:cs="Arial"/>
          <w:sz w:val="20"/>
          <w:szCs w:val="20"/>
          <w:lang w:val="es-ES" w:eastAsia="es-ES_tradnl"/>
        </w:rPr>
      </w:pPr>
      <w:r w:rsidRPr="00F52960">
        <w:rPr>
          <w:rFonts w:ascii="Verdana" w:eastAsia="Calibri" w:hAnsi="Verdana" w:cs="Arial"/>
          <w:sz w:val="20"/>
          <w:szCs w:val="20"/>
          <w:lang w:val="es-ES" w:eastAsia="es-ES_tradnl"/>
        </w:rPr>
        <w:t>[…]</w:t>
      </w:r>
      <w:r>
        <w:rPr>
          <w:rFonts w:ascii="Verdana" w:eastAsia="Calibri" w:hAnsi="Verdana" w:cs="Arial"/>
          <w:sz w:val="20"/>
          <w:szCs w:val="20"/>
          <w:lang w:val="es-ES" w:eastAsia="es-ES_tradnl"/>
        </w:rPr>
        <w:t xml:space="preserve"> </w:t>
      </w:r>
      <w:r w:rsidRPr="004D77B7">
        <w:rPr>
          <w:rFonts w:ascii="Verdana" w:eastAsia="Calibri" w:hAnsi="Verdana" w:cs="Arial"/>
          <w:sz w:val="20"/>
          <w:szCs w:val="20"/>
          <w:lang w:val="es-ES" w:eastAsia="es-ES_tradnl"/>
        </w:rPr>
        <w:t>Así las cosas, la obligación de efectuar las cotizaciones pensionales durante la ejecución del contrato no puede analizarse únicamente a partir de la existencia del vínculo contractual, pues la propia legislación contempla una circunstancia que modifica su exigibilidad. En consecuencia, cuando el contratista reúne durante la ejecución contractual los requisitos para acceder a la pensión mínima de vejez, se produce, a partir de ese momento, el cese de la obligación de cotizar al Sistema General de Pensiones, de conformidad con lo previsto expresamente en el artículo 4 de la Ley 797 de 2003.</w:t>
      </w:r>
    </w:p>
    <w:p w14:paraId="74FCED23" w14:textId="77777777" w:rsidR="00A77A1C" w:rsidRPr="004D77B7" w:rsidRDefault="00A77A1C" w:rsidP="00A77A1C">
      <w:pPr>
        <w:spacing w:after="0" w:line="240" w:lineRule="auto"/>
        <w:jc w:val="both"/>
        <w:rPr>
          <w:rFonts w:ascii="Verdana" w:eastAsia="Calibri" w:hAnsi="Verdana" w:cs="Arial"/>
          <w:sz w:val="20"/>
          <w:szCs w:val="20"/>
          <w:lang w:val="es-ES" w:eastAsia="es-ES_tradnl"/>
        </w:rPr>
      </w:pPr>
      <w:r w:rsidRPr="004D77B7">
        <w:rPr>
          <w:rFonts w:ascii="Verdana" w:eastAsia="Calibri" w:hAnsi="Verdana" w:cs="Arial"/>
          <w:sz w:val="20"/>
          <w:szCs w:val="20"/>
          <w:lang w:val="es-ES" w:eastAsia="es-ES_tradnl"/>
        </w:rPr>
        <w:t xml:space="preserve"> </w:t>
      </w:r>
    </w:p>
    <w:p w14:paraId="26223B85" w14:textId="77777777" w:rsidR="00A77A1C" w:rsidRDefault="00A77A1C" w:rsidP="00A77A1C">
      <w:pPr>
        <w:spacing w:after="0" w:line="240" w:lineRule="auto"/>
        <w:jc w:val="both"/>
        <w:rPr>
          <w:rFonts w:ascii="Verdana" w:eastAsia="Calibri" w:hAnsi="Verdana" w:cs="Arial"/>
          <w:sz w:val="20"/>
          <w:szCs w:val="20"/>
          <w:lang w:val="es-ES" w:eastAsia="es-ES_tradnl"/>
        </w:rPr>
      </w:pPr>
      <w:r w:rsidRPr="004D77B7">
        <w:rPr>
          <w:rFonts w:ascii="Verdana" w:eastAsia="Calibri" w:hAnsi="Verdana" w:cs="Arial"/>
          <w:sz w:val="20"/>
          <w:szCs w:val="20"/>
          <w:lang w:val="es-ES" w:eastAsia="es-ES_tradnl"/>
        </w:rPr>
        <w:t xml:space="preserve">Esto resulta relevante para efectos de la obligación de verificación a cargo de la entidad, toda vez que esta no se limita a constatar de manera formal la existencia de un pago al Sistema General de Pensiones, sino que debe verificar el cumplimiento de las obligaciones de seguridad social que resulten exigibles al contratista en cada período de ejecución contractual y, por tanto, atendiendo a las circunstancias jurídicas que determinen su exigibilidad. En ese sentido, si durante la ejecución del contrato se configura el cumplimiento de los requisitos para acceder a la pensión mínima de vejez, </w:t>
      </w:r>
      <w:r w:rsidRPr="004D77B7">
        <w:rPr>
          <w:rFonts w:ascii="Verdana" w:eastAsia="Calibri" w:hAnsi="Verdana" w:cs="Arial"/>
          <w:sz w:val="20"/>
          <w:szCs w:val="20"/>
          <w:lang w:val="es-ES" w:eastAsia="es-ES_tradnl"/>
        </w:rPr>
        <w:lastRenderedPageBreak/>
        <w:t>será necesario establecer el momento a partir del cual cesó la obligación de cotizar, con el fin de determinar las cotizaciones efectivamente exigibles y, consecuentemente, el alcance de la verificación que debe realizar la entidad para efectos de los pagos contractuales</w:t>
      </w:r>
      <w:r>
        <w:rPr>
          <w:rFonts w:ascii="Verdana" w:eastAsia="Calibri" w:hAnsi="Verdana" w:cs="Arial"/>
          <w:sz w:val="20"/>
          <w:szCs w:val="20"/>
          <w:lang w:val="es-ES" w:eastAsia="es-ES_tradnl"/>
        </w:rPr>
        <w:t xml:space="preserve"> […]</w:t>
      </w:r>
    </w:p>
    <w:p w14:paraId="0A523510" w14:textId="77777777" w:rsidR="00A77A1C" w:rsidRPr="00CA654E" w:rsidRDefault="00A77A1C" w:rsidP="00A77A1C">
      <w:pPr>
        <w:spacing w:after="0" w:line="240" w:lineRule="auto"/>
        <w:jc w:val="both"/>
        <w:rPr>
          <w:rFonts w:ascii="Verdana" w:hAnsi="Verdana"/>
          <w:sz w:val="20"/>
          <w:szCs w:val="20"/>
        </w:rPr>
      </w:pPr>
    </w:p>
    <w:p w14:paraId="0ECA4ED4" w14:textId="77777777" w:rsidR="00A77A1C" w:rsidRPr="008E0F52" w:rsidRDefault="00A77A1C" w:rsidP="00A77A1C">
      <w:pPr>
        <w:spacing w:after="0" w:line="240" w:lineRule="auto"/>
        <w:jc w:val="both"/>
        <w:rPr>
          <w:rFonts w:ascii="Verdana" w:eastAsia="Calibri" w:hAnsi="Verdana" w:cs="Arial"/>
          <w:b/>
          <w:bCs/>
          <w:lang w:val="es-ES" w:eastAsia="es-ES_tradnl"/>
        </w:rPr>
      </w:pPr>
      <w:r w:rsidRPr="008E0F52">
        <w:rPr>
          <w:rFonts w:ascii="Verdana" w:eastAsia="Calibri" w:hAnsi="Verdana" w:cs="Arial"/>
          <w:b/>
          <w:bCs/>
          <w:lang w:val="es-ES" w:eastAsia="es-ES_tradnl"/>
        </w:rPr>
        <w:t xml:space="preserve">CONTRATO DE PRESTACIÓN DE SERVICIOS – Cuentas de cobro – Autonomía de la voluntad </w:t>
      </w:r>
    </w:p>
    <w:p w14:paraId="023ECE58" w14:textId="77777777" w:rsidR="00A77A1C" w:rsidRPr="009B0701" w:rsidRDefault="00A77A1C" w:rsidP="00A77A1C">
      <w:pPr>
        <w:spacing w:after="0" w:line="240" w:lineRule="auto"/>
        <w:jc w:val="both"/>
        <w:rPr>
          <w:rFonts w:ascii="Verdana" w:eastAsia="Calibri" w:hAnsi="Verdana" w:cs="Arial"/>
          <w:color w:val="ED7D31" w:themeColor="accent2"/>
          <w:sz w:val="20"/>
          <w:szCs w:val="20"/>
          <w:lang w:val="es-ES" w:eastAsia="es-ES_tradnl"/>
        </w:rPr>
      </w:pPr>
    </w:p>
    <w:p w14:paraId="3E7EC9B4" w14:textId="77777777" w:rsidR="00A77A1C" w:rsidRDefault="00A77A1C" w:rsidP="00A77A1C">
      <w:pPr>
        <w:spacing w:after="0" w:line="240" w:lineRule="auto"/>
        <w:jc w:val="both"/>
        <w:rPr>
          <w:rFonts w:ascii="Verdana" w:eastAsia="Calibri" w:hAnsi="Verdana" w:cs="Arial"/>
          <w:sz w:val="20"/>
          <w:szCs w:val="20"/>
          <w:lang w:val="es-ES_tradnl" w:eastAsia="es-ES_tradnl"/>
        </w:rPr>
      </w:pPr>
      <w:r w:rsidRPr="001B0C4F">
        <w:rPr>
          <w:rFonts w:ascii="Verdana" w:eastAsia="Calibri" w:hAnsi="Verdana" w:cs="Arial"/>
          <w:sz w:val="20"/>
          <w:szCs w:val="20"/>
          <w:lang w:val="es-ES_tradnl" w:eastAsia="es-ES_tradnl"/>
        </w:rPr>
        <w:t xml:space="preserve">[…] </w:t>
      </w:r>
      <w:r w:rsidRPr="00AF660B">
        <w:rPr>
          <w:rFonts w:ascii="Verdana" w:eastAsia="Calibri" w:hAnsi="Verdana" w:cs="Arial"/>
          <w:sz w:val="20"/>
          <w:szCs w:val="20"/>
          <w:lang w:val="es-ES_tradnl" w:eastAsia="es-ES_tradnl"/>
        </w:rPr>
        <w:t xml:space="preserve">De igual forma, es importante tener presente que, con respecto a la forma, los documentos y las fechas en que debe presentarse las cuentas de cobro en los contratos de prestación de servicios, es pertinente precisar que no existe en el Sistema de Compra y Contratación Pública una disposición normativa que lo indique, pues en virtud del principio de autonomía de la voluntad, las partes pueden determinar el contenido de los contratos estatales e incluir las condiciones, cláusulas o estipulaciones que consideren necesarias para desarrollar el objeto contractual, la forma de ejecución, los documentos necesarios para cancelar los honorarios, entre otros aspectos, siempre en consideración de lo que arroja la etapa de planeación a través de los documentos previos. </w:t>
      </w:r>
    </w:p>
    <w:p w14:paraId="210CE007" w14:textId="77777777" w:rsidR="00A77A1C" w:rsidRDefault="00A77A1C" w:rsidP="00A77A1C">
      <w:pPr>
        <w:spacing w:after="0" w:line="240" w:lineRule="auto"/>
        <w:jc w:val="both"/>
        <w:rPr>
          <w:rFonts w:ascii="Verdana" w:eastAsia="Calibri" w:hAnsi="Verdana" w:cs="Arial"/>
          <w:sz w:val="20"/>
          <w:szCs w:val="20"/>
          <w:lang w:val="es-ES_tradnl" w:eastAsia="es-ES_tradnl"/>
        </w:rPr>
      </w:pPr>
    </w:p>
    <w:p w14:paraId="05FB2AAA" w14:textId="77777777" w:rsidR="00A77A1C" w:rsidRPr="00AF660B" w:rsidRDefault="00A77A1C" w:rsidP="00A77A1C">
      <w:pPr>
        <w:spacing w:after="0" w:line="240" w:lineRule="auto"/>
        <w:jc w:val="both"/>
        <w:rPr>
          <w:rFonts w:ascii="Verdana" w:eastAsia="Calibri" w:hAnsi="Verdana" w:cs="Arial"/>
          <w:sz w:val="20"/>
          <w:szCs w:val="20"/>
          <w:lang w:val="es-ES_tradnl" w:eastAsia="es-ES_tradnl"/>
        </w:rPr>
      </w:pPr>
      <w:r w:rsidRPr="00AF660B">
        <w:rPr>
          <w:rFonts w:ascii="Verdana" w:eastAsia="Calibri" w:hAnsi="Verdana" w:cs="Arial"/>
          <w:sz w:val="20"/>
          <w:szCs w:val="20"/>
          <w:lang w:val="es-ES_tradnl" w:eastAsia="es-ES_tradnl"/>
        </w:rPr>
        <w:t>En ese sentido, las Entidades Públicas desde los estudios previos definirán las condiciones del contrato de prestación de servicios a celebrar, plasmado en la minuta del contrato de prestación de servicios profesionales, de apoyo a la gestión y trabajos artísticos. Finalmente, se resalta que en la Ley 80 de 1993, Ley 1150 de 2007 y en el Decreto 1082 de 2015 no se encuentran disposiciones que establezcan la forma en que deben presentarse las cuentas de cobro, tales como el informe de ejecución o el informe y certificación de cumplimiento, así como las fechas para su presentación, por cuanto esto dependerá de las directrices fijadas al interior de la entidad estatal en su guías, circulares o manuales, que se verán reflejados en las cláusulas contenidas en la minuta del contrato de prestación de servicios.</w:t>
      </w:r>
      <w:r>
        <w:rPr>
          <w:rFonts w:ascii="Verdana" w:eastAsia="Calibri" w:hAnsi="Verdana" w:cs="Arial"/>
          <w:sz w:val="20"/>
          <w:szCs w:val="20"/>
          <w:lang w:val="es-ES_tradnl" w:eastAsia="es-ES_tradnl"/>
        </w:rPr>
        <w:t xml:space="preserve"> […]</w:t>
      </w:r>
    </w:p>
    <w:p w14:paraId="0FA05F21" w14:textId="77777777" w:rsidR="00A77A1C" w:rsidRPr="00AF660B" w:rsidRDefault="00A77A1C" w:rsidP="00A77A1C">
      <w:pPr>
        <w:spacing w:after="0" w:line="240" w:lineRule="auto"/>
        <w:jc w:val="both"/>
        <w:rPr>
          <w:rFonts w:ascii="Verdana" w:eastAsia="Calibri" w:hAnsi="Verdana" w:cs="Arial"/>
          <w:sz w:val="20"/>
          <w:szCs w:val="20"/>
          <w:lang w:val="es-ES_tradnl" w:eastAsia="es-ES_tradnl"/>
        </w:rPr>
      </w:pPr>
    </w:p>
    <w:p w14:paraId="166E1E47" w14:textId="77777777" w:rsidR="00A77A1C" w:rsidRPr="00C23F70" w:rsidRDefault="00A77A1C" w:rsidP="00A77A1C">
      <w:pPr>
        <w:spacing w:after="0" w:line="240" w:lineRule="auto"/>
        <w:jc w:val="both"/>
        <w:rPr>
          <w:rFonts w:ascii="Verdana" w:eastAsia="Calibri" w:hAnsi="Verdana" w:cs="Arial"/>
          <w:b/>
          <w:kern w:val="2"/>
          <w14:ligatures w14:val="standardContextual"/>
        </w:rPr>
      </w:pPr>
      <w:r w:rsidRPr="00C23F70">
        <w:rPr>
          <w:rFonts w:ascii="Verdana" w:eastAsia="Calibri" w:hAnsi="Verdana" w:cs="Arial"/>
          <w:b/>
          <w:kern w:val="2"/>
          <w14:ligatures w14:val="standardContextual"/>
        </w:rPr>
        <w:t xml:space="preserve">CONTRATO DE PRESTACIÓN DE SERVICIOS - </w:t>
      </w:r>
      <w:r>
        <w:rPr>
          <w:rFonts w:ascii="Verdana" w:eastAsia="Calibri" w:hAnsi="Verdana" w:cs="Arial"/>
          <w:b/>
          <w:kern w:val="2"/>
          <w14:ligatures w14:val="standardContextual"/>
        </w:rPr>
        <w:t>P</w:t>
      </w:r>
      <w:r w:rsidRPr="00C23F70">
        <w:rPr>
          <w:rFonts w:ascii="Verdana" w:eastAsia="Calibri" w:hAnsi="Verdana" w:cs="Arial"/>
          <w:b/>
          <w:kern w:val="2"/>
          <w14:ligatures w14:val="standardContextual"/>
        </w:rPr>
        <w:t xml:space="preserve">ago de cuentas de cobro – Circular Externa 001 del 5 de enero de 2026 – PAC </w:t>
      </w:r>
    </w:p>
    <w:p w14:paraId="198C407E" w14:textId="77777777" w:rsidR="00A77A1C" w:rsidRPr="009B0701" w:rsidRDefault="00A77A1C" w:rsidP="00A77A1C">
      <w:pPr>
        <w:spacing w:after="0" w:line="240" w:lineRule="auto"/>
        <w:jc w:val="both"/>
        <w:rPr>
          <w:rFonts w:ascii="Verdana" w:eastAsia="Calibri" w:hAnsi="Verdana" w:cs="Arial"/>
          <w:color w:val="ED7D31" w:themeColor="accent2"/>
          <w:sz w:val="20"/>
          <w:szCs w:val="20"/>
          <w:lang w:val="es-ES_tradnl" w:eastAsia="es-ES_tradnl"/>
        </w:rPr>
      </w:pPr>
    </w:p>
    <w:p w14:paraId="3492EC2E" w14:textId="77777777" w:rsidR="00A77A1C" w:rsidRDefault="00A77A1C" w:rsidP="00A77A1C">
      <w:pPr>
        <w:spacing w:after="0" w:line="240" w:lineRule="auto"/>
        <w:jc w:val="both"/>
        <w:rPr>
          <w:rFonts w:ascii="Verdana" w:eastAsia="Calibri" w:hAnsi="Verdana" w:cs="Arial"/>
          <w:sz w:val="20"/>
          <w:szCs w:val="20"/>
        </w:rPr>
      </w:pPr>
      <w:r w:rsidRPr="00B747B9">
        <w:rPr>
          <w:rFonts w:ascii="Verdana" w:eastAsia="Calibri" w:hAnsi="Verdana" w:cs="Arial"/>
          <w:sz w:val="20"/>
          <w:szCs w:val="20"/>
        </w:rPr>
        <w:t>[…] Es importante señalar que dentro de las cuentas de cobro lo que sí resulta obligatorio desde el ámbito normativo, es el cumplimiento de las obligaciones al Sistema de Seguridad Social Integral que deberá asumir el contratista, de conformidad con lo establecido en el artículo 41 de la Ley 80 de 1993. En este contexto, resulta indispensable tener en consideración la Circular Externa 001 del 5 de enero de 2026, expedida por el Subdirector de Operaciones de la Dirección General de Crédito Público y del Tesoro Nacional, mediante el cual indica en términos generales el calendario del Plan Anual Mensualizado de Caja – en adelante PAC – vigencia fiscal 2026 y aspectos a considerar para su aprobación. En ese escenario, la asignación del PAC se efectuará de manera mensual previa revisión de los ingresos de la Nación y atendiendo los gastos eminentemente básicos del Estado. Las asignaciones del PAC se harán mes anticipado, y solo se estudiará su aprobación si media una solicitud previamente registrada en SIIF- Nación. […]</w:t>
      </w:r>
    </w:p>
    <w:p w14:paraId="037B625A" w14:textId="007C97BB" w:rsidR="00A77A1C" w:rsidRPr="00292ED7" w:rsidRDefault="002F5DD2" w:rsidP="00A77A1C">
      <w:pPr>
        <w:spacing w:after="0" w:line="240" w:lineRule="auto"/>
        <w:jc w:val="both"/>
        <w:rPr>
          <w:rFonts w:ascii="Verdana" w:eastAsia="Calibri" w:hAnsi="Verdana" w:cs="Arial"/>
          <w:sz w:val="20"/>
          <w:szCs w:val="20"/>
        </w:rPr>
      </w:pPr>
      <w:r w:rsidRPr="002F5DD2">
        <w:rPr>
          <w:rFonts w:ascii="Verdana" w:hAnsi="Verdana"/>
        </w:rPr>
        <w:lastRenderedPageBreak/>
        <w:drawing>
          <wp:anchor distT="0" distB="0" distL="114300" distR="114300" simplePos="0" relativeHeight="251659264" behindDoc="1" locked="0" layoutInCell="1" allowOverlap="1" wp14:anchorId="0A2BCE02" wp14:editId="75DA0194">
            <wp:simplePos x="0" y="0"/>
            <wp:positionH relativeFrom="column">
              <wp:posOffset>3148330</wp:posOffset>
            </wp:positionH>
            <wp:positionV relativeFrom="paragraph">
              <wp:posOffset>-118745</wp:posOffset>
            </wp:positionV>
            <wp:extent cx="2581275" cy="719779"/>
            <wp:effectExtent l="0" t="0" r="0" b="4445"/>
            <wp:wrapNone/>
            <wp:docPr id="3351168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16805" name=""/>
                    <pic:cNvPicPr/>
                  </pic:nvPicPr>
                  <pic:blipFill>
                    <a:blip r:embed="rId10">
                      <a:extLst>
                        <a:ext uri="{28A0092B-C50C-407E-A947-70E740481C1C}">
                          <a14:useLocalDpi xmlns:a14="http://schemas.microsoft.com/office/drawing/2010/main" val="0"/>
                        </a:ext>
                      </a:extLst>
                    </a:blip>
                    <a:stretch>
                      <a:fillRect/>
                    </a:stretch>
                  </pic:blipFill>
                  <pic:spPr>
                    <a:xfrm>
                      <a:off x="0" y="0"/>
                      <a:ext cx="2581275" cy="719779"/>
                    </a:xfrm>
                    <a:prstGeom prst="rect">
                      <a:avLst/>
                    </a:prstGeom>
                  </pic:spPr>
                </pic:pic>
              </a:graphicData>
            </a:graphic>
            <wp14:sizeRelH relativeFrom="margin">
              <wp14:pctWidth>0</wp14:pctWidth>
            </wp14:sizeRelH>
            <wp14:sizeRelV relativeFrom="margin">
              <wp14:pctHeight>0</wp14:pctHeight>
            </wp14:sizeRelV>
          </wp:anchor>
        </w:drawing>
      </w:r>
      <w:r w:rsidR="00A77A1C" w:rsidRPr="00A92AFD">
        <w:rPr>
          <w:rFonts w:ascii="Verdana" w:hAnsi="Verdana"/>
        </w:rPr>
        <w:t xml:space="preserve">Bogotá D.C., </w:t>
      </w:r>
      <w:r w:rsidR="00D22F71">
        <w:rPr>
          <w:rFonts w:ascii="Verdana" w:hAnsi="Verdana"/>
        </w:rPr>
        <w:t>15 Octubre 2026</w:t>
      </w:r>
      <w:r>
        <w:rPr>
          <w:rFonts w:ascii="Verdana" w:hAnsi="Verdana"/>
        </w:rPr>
        <w:t xml:space="preserve"> </w:t>
      </w:r>
    </w:p>
    <w:p w14:paraId="2F78CEAB" w14:textId="77777777" w:rsidR="00A77A1C" w:rsidRPr="00A17E1B" w:rsidRDefault="00A77A1C" w:rsidP="00573048">
      <w:pPr>
        <w:spacing w:after="0" w:line="240" w:lineRule="auto"/>
        <w:rPr>
          <w:rFonts w:ascii="Verdana" w:hAnsi="Verdana"/>
          <w:color w:val="EE0000"/>
          <w:lang w:val="es-ES"/>
        </w:rPr>
      </w:pPr>
    </w:p>
    <w:p w14:paraId="489D43E5" w14:textId="77777777" w:rsidR="00A77A1C" w:rsidRPr="0081070C" w:rsidRDefault="00A77A1C" w:rsidP="00A77A1C">
      <w:pPr>
        <w:spacing w:after="0" w:line="240" w:lineRule="auto"/>
        <w:rPr>
          <w:rFonts w:ascii="Verdana" w:hAnsi="Verdana"/>
          <w:lang w:val="es-ES"/>
        </w:rPr>
      </w:pPr>
      <w:bookmarkStart w:id="0" w:name="_Hlk143780582"/>
      <w:r w:rsidRPr="0081070C">
        <w:rPr>
          <w:rFonts w:ascii="Verdana" w:eastAsia="Calibri" w:hAnsi="Verdana" w:cs="Arial"/>
          <w:lang w:val="es-ES" w:eastAsia="es-ES"/>
        </w:rPr>
        <w:t>Señora</w:t>
      </w:r>
    </w:p>
    <w:p w14:paraId="544296DC" w14:textId="77777777" w:rsidR="00A77A1C" w:rsidRPr="0081070C" w:rsidRDefault="00A77A1C" w:rsidP="00A77A1C">
      <w:pPr>
        <w:spacing w:after="0" w:line="240" w:lineRule="auto"/>
        <w:rPr>
          <w:rFonts w:ascii="Verdana" w:eastAsia="Calibri" w:hAnsi="Verdana" w:cs="Arial"/>
          <w:b/>
          <w:bCs/>
          <w:lang w:eastAsia="es-ES"/>
        </w:rPr>
      </w:pPr>
      <w:r w:rsidRPr="0081070C">
        <w:rPr>
          <w:rFonts w:ascii="Verdana" w:eastAsia="Calibri" w:hAnsi="Verdana" w:cs="Arial"/>
          <w:b/>
          <w:bCs/>
          <w:lang w:eastAsia="es-ES"/>
        </w:rPr>
        <w:t>Olga Constanza Serrano Quintero</w:t>
      </w:r>
    </w:p>
    <w:p w14:paraId="19A25AA1" w14:textId="77777777" w:rsidR="00A77A1C" w:rsidRPr="0081070C" w:rsidRDefault="00A77A1C" w:rsidP="00A77A1C">
      <w:pPr>
        <w:spacing w:after="0" w:line="240" w:lineRule="auto"/>
        <w:rPr>
          <w:rFonts w:ascii="Verdana" w:eastAsia="Calibri" w:hAnsi="Verdana" w:cs="Arial"/>
          <w:lang w:eastAsia="es-ES"/>
        </w:rPr>
      </w:pPr>
      <w:r w:rsidRPr="0081070C">
        <w:rPr>
          <w:rFonts w:ascii="Verdana" w:eastAsia="Calibri" w:hAnsi="Verdana" w:cs="Arial"/>
          <w:lang w:eastAsia="es-ES"/>
        </w:rPr>
        <w:t>Instituto Distrital de Gestión de Riesgos y Cambio Climático</w:t>
      </w:r>
    </w:p>
    <w:p w14:paraId="047B8AC3" w14:textId="77777777" w:rsidR="00A77A1C" w:rsidRPr="00357850" w:rsidRDefault="00A77A1C" w:rsidP="00A77A1C">
      <w:pPr>
        <w:spacing w:after="0" w:line="240" w:lineRule="auto"/>
        <w:rPr>
          <w:rFonts w:ascii="Verdana" w:hAnsi="Verdana"/>
          <w:color w:val="EE0000"/>
          <w:lang w:val="es-ES"/>
        </w:rPr>
      </w:pPr>
      <w:hyperlink r:id="rId11" w:history="1">
        <w:r w:rsidRPr="00357850">
          <w:rPr>
            <w:rStyle w:val="Hipervnculo"/>
            <w:rFonts w:ascii="Verdana" w:eastAsia="Calibri" w:hAnsi="Verdana" w:cs="Arial"/>
            <w:lang w:eastAsia="es-ES"/>
          </w:rPr>
          <w:t>oserrano@idiger.gov.co</w:t>
        </w:r>
      </w:hyperlink>
      <w:r w:rsidRPr="00357850">
        <w:rPr>
          <w:rFonts w:ascii="Verdana" w:eastAsia="Calibri" w:hAnsi="Verdana" w:cs="Arial"/>
          <w:color w:val="EE0000"/>
          <w:lang w:eastAsia="es-ES"/>
        </w:rPr>
        <w:tab/>
      </w:r>
    </w:p>
    <w:p w14:paraId="12871E21" w14:textId="77777777" w:rsidR="00A77A1C" w:rsidRPr="0081070C" w:rsidRDefault="00A77A1C" w:rsidP="00573048">
      <w:pPr>
        <w:spacing w:after="0" w:line="240" w:lineRule="auto"/>
        <w:rPr>
          <w:rFonts w:ascii="Verdana" w:eastAsia="Calibri" w:hAnsi="Verdana" w:cs="Arial"/>
          <w:lang w:val="es-ES" w:eastAsia="es-ES"/>
        </w:rPr>
      </w:pPr>
      <w:r w:rsidRPr="0081070C">
        <w:rPr>
          <w:rFonts w:ascii="Verdana" w:eastAsia="Calibri" w:hAnsi="Verdana" w:cs="Arial"/>
          <w:lang w:val="es-ES" w:eastAsia="es-ES"/>
        </w:rPr>
        <w:t>Bogotá D.C</w:t>
      </w:r>
    </w:p>
    <w:p w14:paraId="649B8FCF" w14:textId="77777777" w:rsidR="00A77A1C" w:rsidRPr="00A17E1B" w:rsidRDefault="00A77A1C" w:rsidP="00573048">
      <w:pPr>
        <w:spacing w:after="0" w:line="240" w:lineRule="auto"/>
        <w:rPr>
          <w:rFonts w:ascii="Verdana" w:eastAsia="Calibri" w:hAnsi="Verdana" w:cs="Arial"/>
          <w:color w:val="EE0000"/>
          <w:lang w:val="es-ES" w:eastAsia="es-ES"/>
        </w:rPr>
      </w:pPr>
    </w:p>
    <w:p w14:paraId="3EE8DE67" w14:textId="77777777" w:rsidR="00A77A1C" w:rsidRPr="00A17E1B" w:rsidRDefault="00A77A1C" w:rsidP="00A77A1C">
      <w:pPr>
        <w:spacing w:after="0" w:line="240" w:lineRule="auto"/>
        <w:rPr>
          <w:rFonts w:ascii="Verdana" w:eastAsia="Calibri" w:hAnsi="Verdana" w:cs="Arial"/>
          <w:b/>
          <w:bCs/>
          <w:color w:val="EE000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A77A1C" w:rsidRPr="00A17E1B" w14:paraId="24D49EC0" w14:textId="77777777" w:rsidTr="00394903">
        <w:trPr>
          <w:trHeight w:val="300"/>
        </w:trPr>
        <w:tc>
          <w:tcPr>
            <w:tcW w:w="2410" w:type="dxa"/>
          </w:tcPr>
          <w:p w14:paraId="06A8E5F8" w14:textId="77777777" w:rsidR="00A77A1C" w:rsidRPr="00A92AFD" w:rsidRDefault="00A77A1C" w:rsidP="00394903">
            <w:pPr>
              <w:ind w:left="-142"/>
              <w:jc w:val="both"/>
              <w:rPr>
                <w:rFonts w:ascii="Verdana" w:eastAsia="Calibri" w:hAnsi="Verdana" w:cs="Arial"/>
                <w:b/>
                <w:bCs/>
                <w:lang w:val="es-ES" w:eastAsia="es-ES_tradnl"/>
              </w:rPr>
            </w:pPr>
          </w:p>
        </w:tc>
        <w:tc>
          <w:tcPr>
            <w:tcW w:w="6379" w:type="dxa"/>
          </w:tcPr>
          <w:p w14:paraId="188B18B0" w14:textId="77777777" w:rsidR="00A77A1C" w:rsidRPr="00A92AFD" w:rsidRDefault="00A77A1C" w:rsidP="00394903">
            <w:pPr>
              <w:ind w:left="3"/>
              <w:jc w:val="both"/>
              <w:rPr>
                <w:rFonts w:ascii="Verdana" w:eastAsia="Calibri" w:hAnsi="Verdana" w:cs="Arial"/>
                <w:b/>
                <w:bCs/>
                <w:lang w:val="es-ES" w:eastAsia="es-ES"/>
              </w:rPr>
            </w:pPr>
            <w:r w:rsidRPr="00A92AFD">
              <w:rPr>
                <w:rFonts w:ascii="Verdana" w:eastAsia="Calibri" w:hAnsi="Verdana" w:cs="Arial"/>
                <w:b/>
                <w:bCs/>
                <w:lang w:val="es-ES" w:eastAsia="es-ES"/>
              </w:rPr>
              <w:t>Concepto C-1470 de 2026</w:t>
            </w:r>
          </w:p>
          <w:p w14:paraId="2B3ED741" w14:textId="77777777" w:rsidR="00A77A1C" w:rsidRPr="00A92AFD" w:rsidRDefault="00A77A1C" w:rsidP="00394903">
            <w:pPr>
              <w:ind w:left="3"/>
              <w:jc w:val="both"/>
              <w:rPr>
                <w:rFonts w:ascii="Verdana" w:eastAsia="Calibri" w:hAnsi="Verdana" w:cs="Arial"/>
                <w:b/>
                <w:bCs/>
                <w:lang w:val="es-ES" w:eastAsia="es-ES"/>
              </w:rPr>
            </w:pPr>
          </w:p>
        </w:tc>
      </w:tr>
      <w:tr w:rsidR="00A77A1C" w:rsidRPr="00A17E1B" w14:paraId="5F09695A" w14:textId="77777777" w:rsidTr="00394903">
        <w:trPr>
          <w:trHeight w:val="300"/>
        </w:trPr>
        <w:tc>
          <w:tcPr>
            <w:tcW w:w="2410" w:type="dxa"/>
          </w:tcPr>
          <w:p w14:paraId="0BDADFD4" w14:textId="77777777" w:rsidR="00A77A1C" w:rsidRPr="00A17E1B" w:rsidRDefault="00A77A1C" w:rsidP="00394903">
            <w:pPr>
              <w:ind w:left="424" w:firstLine="142"/>
              <w:jc w:val="both"/>
              <w:rPr>
                <w:rFonts w:ascii="Verdana" w:eastAsia="Calibri" w:hAnsi="Verdana" w:cs="Arial"/>
                <w:color w:val="EE0000"/>
                <w:lang w:val="es-ES" w:eastAsia="es-ES_tradnl"/>
              </w:rPr>
            </w:pPr>
            <w:r w:rsidRPr="0081070C">
              <w:rPr>
                <w:rFonts w:ascii="Verdana" w:eastAsia="Calibri" w:hAnsi="Verdana" w:cs="Arial"/>
                <w:b/>
                <w:lang w:val="es-ES" w:eastAsia="es-ES_tradnl"/>
              </w:rPr>
              <w:t>Temas:</w:t>
            </w:r>
            <w:r w:rsidRPr="0081070C">
              <w:rPr>
                <w:rFonts w:ascii="Verdana" w:eastAsia="Calibri" w:hAnsi="Verdana" w:cs="Arial"/>
                <w:lang w:val="es-ES" w:eastAsia="es-ES_tradnl"/>
              </w:rPr>
              <w:t xml:space="preserve">                  </w:t>
            </w:r>
          </w:p>
        </w:tc>
        <w:tc>
          <w:tcPr>
            <w:tcW w:w="6379" w:type="dxa"/>
          </w:tcPr>
          <w:p w14:paraId="66C984B5" w14:textId="77777777" w:rsidR="00A77A1C" w:rsidRPr="004D77B7" w:rsidRDefault="00A77A1C" w:rsidP="00310D46">
            <w:pPr>
              <w:jc w:val="both"/>
              <w:rPr>
                <w:rFonts w:ascii="Verdana" w:hAnsi="Verdana" w:cs="Arial"/>
                <w:lang w:val="es-ES_tradnl"/>
              </w:rPr>
            </w:pPr>
            <w:r w:rsidRPr="004D77B7">
              <w:rPr>
                <w:rFonts w:ascii="Verdana" w:hAnsi="Verdana" w:cs="Arial"/>
                <w:lang w:val="es-ES_tradnl"/>
              </w:rPr>
              <w:t xml:space="preserve">SISTEMA DE SEGURIDAD SOCIAL INTEGRAL – Noción – Contratación estatal – Perfeccionamiento del contrato / SISTEMA DE SEGURIDAD SOCIAL INTEGRAL – Régimen Jurídico – Obligación legal – Afiliación y aportes – Requisito de ejecución / SISTEMA DE SEGURIDAD SOCIAL INTEGRAL – Ley 1150 de 2007 – Deber de la entidad estatal – Oportunidad de verificación / CONTRATO DE PRESTACIÓN DE SERVICIOS - Cotizaciones al sistema general de pensiones -  Contratista pensionado - Exigibilidad / CONTRATO DE PRESTACIÓN DE SERVICIOS – Cuentas de cobro – Autonomía de la voluntad / CONTRATO DE PRESTACIÓN DE SERVICIOS - Pago de cuentas de cobro – Circular Externa 001 del 5 de enero de 2026 – PAC </w:t>
            </w:r>
          </w:p>
          <w:p w14:paraId="5BF4F289" w14:textId="77777777" w:rsidR="00A77A1C" w:rsidRPr="004D77B7" w:rsidRDefault="00A77A1C" w:rsidP="00310D46">
            <w:pPr>
              <w:jc w:val="both"/>
              <w:rPr>
                <w:rFonts w:ascii="Verdana" w:eastAsia="Calibri" w:hAnsi="Verdana" w:cs="Arial"/>
              </w:rPr>
            </w:pPr>
          </w:p>
        </w:tc>
      </w:tr>
      <w:tr w:rsidR="00A77A1C" w:rsidRPr="00A17E1B" w14:paraId="1D44CA8D" w14:textId="77777777" w:rsidTr="00394903">
        <w:trPr>
          <w:trHeight w:val="350"/>
        </w:trPr>
        <w:tc>
          <w:tcPr>
            <w:tcW w:w="2410" w:type="dxa"/>
          </w:tcPr>
          <w:p w14:paraId="071B9E01" w14:textId="77777777" w:rsidR="00A77A1C" w:rsidRPr="009A06C2" w:rsidRDefault="00A77A1C" w:rsidP="00394903">
            <w:pPr>
              <w:ind w:left="561"/>
              <w:jc w:val="both"/>
              <w:rPr>
                <w:rFonts w:ascii="Verdana" w:eastAsia="Calibri" w:hAnsi="Verdana" w:cs="Arial"/>
                <w:b/>
                <w:lang w:val="es-ES" w:eastAsia="es-ES_tradnl"/>
              </w:rPr>
            </w:pPr>
            <w:r w:rsidRPr="009A06C2">
              <w:rPr>
                <w:rFonts w:ascii="Verdana" w:eastAsia="Calibri" w:hAnsi="Verdana" w:cs="Arial"/>
                <w:b/>
                <w:lang w:val="es-ES" w:eastAsia="es-ES_tradnl"/>
              </w:rPr>
              <w:t>Radicación:</w:t>
            </w:r>
            <w:r w:rsidRPr="009A06C2">
              <w:rPr>
                <w:rFonts w:ascii="Verdana" w:eastAsia="Calibri" w:hAnsi="Verdana" w:cs="Arial"/>
                <w:lang w:val="es-ES" w:eastAsia="es-ES_tradnl"/>
              </w:rPr>
              <w:t xml:space="preserve">              </w:t>
            </w:r>
          </w:p>
        </w:tc>
        <w:tc>
          <w:tcPr>
            <w:tcW w:w="6379" w:type="dxa"/>
          </w:tcPr>
          <w:p w14:paraId="49894CF4" w14:textId="77777777" w:rsidR="00A77A1C" w:rsidRPr="009A06C2" w:rsidRDefault="00A77A1C" w:rsidP="00394903">
            <w:pPr>
              <w:ind w:left="3"/>
              <w:jc w:val="both"/>
              <w:rPr>
                <w:rFonts w:ascii="Verdana" w:eastAsia="Calibri" w:hAnsi="Verdana" w:cs="Arial"/>
                <w:lang w:val="es-ES" w:eastAsia="es-ES"/>
              </w:rPr>
            </w:pPr>
            <w:r w:rsidRPr="009A06C2">
              <w:rPr>
                <w:rFonts w:ascii="Verdana" w:eastAsia="Calibri" w:hAnsi="Verdana" w:cs="Arial"/>
                <w:lang w:val="es-ES" w:eastAsia="es-ES"/>
              </w:rPr>
              <w:t>Respuesta a consulta con radicado No. 1_2026_09_16_012420</w:t>
            </w:r>
          </w:p>
          <w:p w14:paraId="3359F625" w14:textId="77777777" w:rsidR="00A77A1C" w:rsidRPr="009A06C2" w:rsidRDefault="00A77A1C" w:rsidP="00394903">
            <w:pPr>
              <w:ind w:left="3"/>
              <w:jc w:val="both"/>
              <w:rPr>
                <w:rFonts w:ascii="Verdana" w:hAnsi="Verdana"/>
                <w:lang w:val="es-ES"/>
              </w:rPr>
            </w:pPr>
          </w:p>
        </w:tc>
      </w:tr>
      <w:tr w:rsidR="00A77A1C" w:rsidRPr="00994460" w14:paraId="3557AFD3" w14:textId="77777777" w:rsidTr="00394903">
        <w:trPr>
          <w:trHeight w:val="350"/>
        </w:trPr>
        <w:tc>
          <w:tcPr>
            <w:tcW w:w="2410" w:type="dxa"/>
          </w:tcPr>
          <w:p w14:paraId="731B4648" w14:textId="77777777" w:rsidR="00A77A1C" w:rsidRPr="00994460" w:rsidRDefault="00A77A1C" w:rsidP="00394903">
            <w:pPr>
              <w:ind w:left="561"/>
              <w:jc w:val="both"/>
              <w:rPr>
                <w:rFonts w:ascii="Verdana" w:eastAsia="Calibri" w:hAnsi="Verdana" w:cs="Arial"/>
                <w:b/>
                <w:lang w:val="es-ES" w:eastAsia="es-ES_tradnl"/>
              </w:rPr>
            </w:pPr>
          </w:p>
        </w:tc>
        <w:tc>
          <w:tcPr>
            <w:tcW w:w="6379" w:type="dxa"/>
          </w:tcPr>
          <w:p w14:paraId="786427CC" w14:textId="77777777" w:rsidR="00A77A1C" w:rsidRPr="00994460" w:rsidRDefault="00A77A1C" w:rsidP="00394903">
            <w:pPr>
              <w:ind w:left="3"/>
              <w:jc w:val="both"/>
              <w:rPr>
                <w:rFonts w:ascii="Verdana" w:eastAsia="Calibri" w:hAnsi="Verdana" w:cs="Arial"/>
                <w:lang w:val="es-ES" w:eastAsia="es-ES"/>
              </w:rPr>
            </w:pPr>
          </w:p>
        </w:tc>
      </w:tr>
    </w:tbl>
    <w:p w14:paraId="00010F18" w14:textId="77777777" w:rsidR="00A77A1C" w:rsidRPr="00994460" w:rsidRDefault="00A77A1C" w:rsidP="00A77A1C">
      <w:pPr>
        <w:spacing w:after="0" w:line="276" w:lineRule="auto"/>
        <w:jc w:val="both"/>
        <w:rPr>
          <w:rFonts w:ascii="Verdana" w:eastAsia="Calibri" w:hAnsi="Verdana" w:cs="Arial"/>
          <w:lang w:val="es-ES" w:eastAsia="es-ES"/>
        </w:rPr>
      </w:pPr>
      <w:r w:rsidRPr="00994460">
        <w:rPr>
          <w:rFonts w:ascii="Verdana" w:eastAsia="Calibri" w:hAnsi="Verdana" w:cs="Arial"/>
          <w:lang w:val="es-ES" w:eastAsia="es-ES"/>
        </w:rPr>
        <w:t>Estimada Señora Serrano:</w:t>
      </w:r>
    </w:p>
    <w:p w14:paraId="43ACAC3D" w14:textId="77777777" w:rsidR="00A77A1C" w:rsidRPr="00994460" w:rsidRDefault="00A77A1C" w:rsidP="00A77A1C">
      <w:pPr>
        <w:tabs>
          <w:tab w:val="left" w:pos="3768"/>
        </w:tabs>
        <w:spacing w:after="0" w:line="276" w:lineRule="auto"/>
        <w:jc w:val="both"/>
        <w:rPr>
          <w:rFonts w:ascii="Verdana" w:eastAsia="Calibri" w:hAnsi="Verdana" w:cs="Arial"/>
          <w:lang w:val="es-ES" w:eastAsia="es-ES"/>
        </w:rPr>
      </w:pPr>
      <w:r w:rsidRPr="00994460">
        <w:rPr>
          <w:rFonts w:ascii="Verdana" w:eastAsia="Calibri" w:hAnsi="Verdana" w:cs="Arial"/>
          <w:lang w:val="es-ES" w:eastAsia="es-ES"/>
        </w:rPr>
        <w:tab/>
      </w:r>
    </w:p>
    <w:p w14:paraId="5258738E" w14:textId="77777777" w:rsidR="00A77A1C" w:rsidRPr="00A17E1B" w:rsidRDefault="00A77A1C" w:rsidP="00A77A1C">
      <w:pPr>
        <w:spacing w:after="0" w:line="276" w:lineRule="auto"/>
        <w:jc w:val="both"/>
        <w:rPr>
          <w:rFonts w:ascii="Verdana" w:eastAsia="Calibri" w:hAnsi="Verdana" w:cs="Arial"/>
          <w:color w:val="EE0000"/>
          <w:lang w:val="es-ES" w:eastAsia="es-ES"/>
        </w:rPr>
      </w:pPr>
      <w:r w:rsidRPr="00994460">
        <w:rPr>
          <w:rFonts w:ascii="Verdana" w:eastAsia="Calibri" w:hAnsi="Verdana" w:cs="Arial"/>
          <w:lang w:val="es-ES" w:eastAsia="es-ES"/>
        </w:rPr>
        <w:t>En ejercicio de la competencia otorgada por los artículos 3, numeral 5º, y 11, numeral 8º, del Decreto Ley 4170 de 2011,</w:t>
      </w:r>
      <w:r w:rsidRPr="00994460">
        <w:rPr>
          <w:rFonts w:ascii="Verdana" w:eastAsia="Arial MT" w:hAnsi="Verdana" w:cs="Arial MT"/>
          <w:lang w:val="es-ES" w:eastAsia="es-ES"/>
        </w:rPr>
        <w:t xml:space="preserve"> </w:t>
      </w:r>
      <w:r w:rsidRPr="00994460">
        <w:rPr>
          <w:rFonts w:ascii="Verdana" w:hAnsi="Verdana" w:cs="Arial"/>
          <w:lang w:val="es-ES"/>
        </w:rPr>
        <w:t xml:space="preserve">así como lo establecido en el artículo 4 de la Resolución 469 de 2025 expedida por esta Entidad, </w:t>
      </w:r>
      <w:r w:rsidRPr="00994460">
        <w:rPr>
          <w:rFonts w:ascii="Verdana" w:eastAsia="Calibri" w:hAnsi="Verdana" w:cs="Arial"/>
          <w:lang w:val="es-ES" w:eastAsia="es-ES"/>
        </w:rPr>
        <w:t xml:space="preserve">la Agencia Nacional de Contratación Pública – Colombia Compra Eficiente– responde a su solicitud de consulta de fecha 16 de septiembre de 2026, en la cual manifiesta lo siguiente: </w:t>
      </w:r>
    </w:p>
    <w:p w14:paraId="2655FCA8" w14:textId="77777777" w:rsidR="00A77A1C" w:rsidRPr="00220F79" w:rsidRDefault="00A77A1C" w:rsidP="00A77A1C">
      <w:pPr>
        <w:tabs>
          <w:tab w:val="left" w:pos="142"/>
          <w:tab w:val="left" w:pos="284"/>
        </w:tabs>
        <w:spacing w:after="0" w:line="276" w:lineRule="auto"/>
        <w:jc w:val="both"/>
        <w:rPr>
          <w:rFonts w:ascii="Verdana" w:eastAsia="Century Gothic" w:hAnsi="Verdana" w:cs="Century Gothic"/>
          <w:b/>
          <w:bCs/>
          <w:lang w:val="es-ES"/>
        </w:rPr>
      </w:pPr>
    </w:p>
    <w:p w14:paraId="4BCA8C5A" w14:textId="77777777" w:rsidR="00A77A1C" w:rsidRPr="00220F79" w:rsidRDefault="00A77A1C" w:rsidP="00A77A1C">
      <w:pPr>
        <w:spacing w:after="0" w:line="240" w:lineRule="auto"/>
        <w:ind w:left="709" w:right="709"/>
        <w:jc w:val="both"/>
        <w:rPr>
          <w:rFonts w:ascii="Verdana" w:eastAsia="Century Gothic" w:hAnsi="Verdana" w:cs="Century Gothic"/>
          <w:i/>
          <w:iCs/>
          <w:sz w:val="20"/>
          <w:szCs w:val="20"/>
          <w:lang w:val="es-ES"/>
        </w:rPr>
      </w:pPr>
      <w:r w:rsidRPr="00220F79">
        <w:rPr>
          <w:rFonts w:ascii="Verdana" w:eastAsia="Century Gothic" w:hAnsi="Verdana" w:cs="Century Gothic"/>
          <w:i/>
          <w:iCs/>
          <w:sz w:val="20"/>
          <w:szCs w:val="20"/>
          <w:lang w:val="es-ES"/>
        </w:rPr>
        <w:lastRenderedPageBreak/>
        <w:t>“[…] En los contratos de prestación de servicios profesionales y/o apoyo a la gestión celebrados por las entidades estatales, durante la ejecución del contrato, el contratista se encuentra obligado a realizar aportes al Sistema de Seguridad Social (incluido el pago a pensiones) conforme a la normatividad vigente y, por tanto, la entidad tiene el deber de verificar dicho cumplimiento como requisito para efectuar los pagos.</w:t>
      </w:r>
    </w:p>
    <w:p w14:paraId="347731F0" w14:textId="77777777" w:rsidR="00A77A1C" w:rsidRPr="00220F79" w:rsidRDefault="00A77A1C" w:rsidP="00A77A1C">
      <w:pPr>
        <w:spacing w:after="0" w:line="240" w:lineRule="auto"/>
        <w:ind w:left="709" w:right="709"/>
        <w:jc w:val="both"/>
        <w:rPr>
          <w:rFonts w:ascii="Verdana" w:eastAsia="Century Gothic" w:hAnsi="Verdana" w:cs="Century Gothic"/>
          <w:i/>
          <w:iCs/>
          <w:sz w:val="20"/>
          <w:szCs w:val="20"/>
          <w:lang w:val="es-ES"/>
        </w:rPr>
      </w:pPr>
    </w:p>
    <w:p w14:paraId="5BC38479" w14:textId="77777777" w:rsidR="00A77A1C" w:rsidRPr="00220F79" w:rsidRDefault="00A77A1C" w:rsidP="00A77A1C">
      <w:pPr>
        <w:spacing w:after="0" w:line="240" w:lineRule="auto"/>
        <w:ind w:left="709" w:right="709"/>
        <w:jc w:val="both"/>
        <w:rPr>
          <w:rFonts w:ascii="Verdana" w:eastAsia="Century Gothic" w:hAnsi="Verdana" w:cs="Century Gothic"/>
          <w:i/>
          <w:iCs/>
          <w:sz w:val="20"/>
          <w:szCs w:val="20"/>
        </w:rPr>
      </w:pPr>
      <w:r w:rsidRPr="00220F79">
        <w:rPr>
          <w:rFonts w:ascii="Verdana" w:eastAsia="Century Gothic" w:hAnsi="Verdana" w:cs="Century Gothic"/>
          <w:i/>
          <w:iCs/>
          <w:sz w:val="20"/>
          <w:szCs w:val="20"/>
          <w:lang w:val="es-ES"/>
        </w:rPr>
        <w:t>Sin embargo, si durante la ejecución del contrato, el contratista no radica sus cuentas de cobro ni realiza los pagos a la seguridad social, y posteriormente, entre la terminación del contrato y la solicitud de pago de las cuentas pendientes, la situación jurídica del contratista frente al, Sistema General de Pensiones cambia, de manera que para el momento del cobro, es beneficiario de la figura de devolución de saldos y ya no se encuentra obligado a efectuar aportes al sistema pensional ¿debe la entidad estatal, exigir la acreditación del pago de aportes pensionales correspondientes al período de ejecución del contrato como requisito para efectuar el pago de los honorarios adeudados, o dicho cambio en la situación jurídica del contratista incide en el alcance de esa obligación?</w:t>
      </w:r>
      <w:r w:rsidRPr="00220F79">
        <w:rPr>
          <w:rFonts w:ascii="Verdana" w:eastAsia="Century Gothic" w:hAnsi="Verdana" w:cs="Century Gothic"/>
          <w:i/>
          <w:iCs/>
          <w:sz w:val="20"/>
          <w:szCs w:val="20"/>
        </w:rPr>
        <w:t xml:space="preserve"> […]”</w:t>
      </w:r>
    </w:p>
    <w:p w14:paraId="76BE1050" w14:textId="77777777" w:rsidR="00A77A1C" w:rsidRPr="00A17E1B" w:rsidRDefault="00A77A1C" w:rsidP="00A77A1C">
      <w:pPr>
        <w:spacing w:before="120" w:after="120" w:line="240" w:lineRule="auto"/>
        <w:ind w:left="709" w:right="709"/>
        <w:contextualSpacing/>
        <w:jc w:val="both"/>
        <w:rPr>
          <w:rFonts w:ascii="Verdana" w:eastAsia="Century Gothic" w:hAnsi="Verdana" w:cs="Century Gothic"/>
          <w:i/>
          <w:iCs/>
          <w:color w:val="EE0000"/>
          <w:sz w:val="20"/>
          <w:szCs w:val="20"/>
          <w:lang w:val="es-ES"/>
        </w:rPr>
      </w:pPr>
    </w:p>
    <w:p w14:paraId="7484BEA7" w14:textId="77777777" w:rsidR="00A77A1C" w:rsidRPr="00FD4D16" w:rsidRDefault="00A77A1C" w:rsidP="00A77A1C">
      <w:pPr>
        <w:spacing w:after="120" w:line="276" w:lineRule="auto"/>
        <w:ind w:firstLine="708"/>
        <w:jc w:val="both"/>
        <w:rPr>
          <w:rFonts w:ascii="Verdana" w:eastAsia="Calibri" w:hAnsi="Verdana" w:cs="Arial"/>
          <w:lang w:val="es-ES" w:eastAsia="es-ES"/>
        </w:rPr>
      </w:pPr>
      <w:r w:rsidRPr="00FD4D1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D4D16">
        <w:rPr>
          <w:rFonts w:ascii="Verdana" w:hAnsi="Verdana"/>
          <w:lang w:val="es-ES"/>
        </w:rPr>
        <w:tab/>
      </w:r>
    </w:p>
    <w:p w14:paraId="2392F498" w14:textId="77777777" w:rsidR="00A77A1C" w:rsidRDefault="00A77A1C" w:rsidP="00A77A1C">
      <w:pPr>
        <w:spacing w:after="0" w:line="276" w:lineRule="auto"/>
        <w:ind w:firstLine="709"/>
        <w:jc w:val="both"/>
        <w:rPr>
          <w:rFonts w:ascii="Verdana" w:eastAsia="Calibri" w:hAnsi="Verdana" w:cs="Arial"/>
          <w:lang w:val="es-ES" w:eastAsia="es-ES"/>
        </w:rPr>
      </w:pPr>
      <w:r w:rsidRPr="00FD4D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57BE42A9" w14:textId="77777777" w:rsidR="00A77A1C" w:rsidRPr="000F5221" w:rsidRDefault="00A77A1C" w:rsidP="00A77A1C">
      <w:pPr>
        <w:spacing w:after="0" w:line="276" w:lineRule="auto"/>
        <w:ind w:firstLine="709"/>
        <w:jc w:val="both"/>
        <w:rPr>
          <w:rFonts w:ascii="Verdana" w:eastAsia="Calibri" w:hAnsi="Verdana" w:cs="Arial"/>
          <w:lang w:val="es-ES" w:eastAsia="es-ES"/>
        </w:rPr>
      </w:pPr>
    </w:p>
    <w:p w14:paraId="39102643" w14:textId="77777777" w:rsidR="00A77A1C" w:rsidRPr="000F5221" w:rsidRDefault="00A77A1C" w:rsidP="00A77A1C">
      <w:pPr>
        <w:tabs>
          <w:tab w:val="left" w:pos="142"/>
          <w:tab w:val="left" w:pos="284"/>
        </w:tabs>
        <w:spacing w:after="0" w:line="276" w:lineRule="auto"/>
        <w:jc w:val="both"/>
        <w:rPr>
          <w:rFonts w:ascii="Verdana" w:eastAsia="Century Gothic" w:hAnsi="Verdana" w:cs="Century Gothic"/>
          <w:b/>
          <w:lang w:val="es-ES"/>
        </w:rPr>
      </w:pPr>
      <w:r w:rsidRPr="000F5221">
        <w:rPr>
          <w:rFonts w:ascii="Verdana" w:eastAsia="Century Gothic" w:hAnsi="Verdana" w:cs="Century Gothic"/>
          <w:b/>
          <w:lang w:val="es-ES"/>
        </w:rPr>
        <w:lastRenderedPageBreak/>
        <w:t>1. Problema planteado:</w:t>
      </w:r>
    </w:p>
    <w:p w14:paraId="3B989C27" w14:textId="77777777" w:rsidR="00A77A1C" w:rsidRPr="000F5221" w:rsidRDefault="00A77A1C" w:rsidP="00A77A1C">
      <w:pPr>
        <w:tabs>
          <w:tab w:val="left" w:pos="426"/>
        </w:tabs>
        <w:spacing w:after="0" w:line="276" w:lineRule="auto"/>
        <w:jc w:val="both"/>
        <w:rPr>
          <w:rFonts w:ascii="Verdana" w:eastAsia="Century Gothic" w:hAnsi="Verdana" w:cs="Century Gothic"/>
          <w:lang w:val="es-ES"/>
        </w:rPr>
      </w:pPr>
    </w:p>
    <w:p w14:paraId="68AB4667" w14:textId="62056197" w:rsidR="00A77A1C" w:rsidRPr="00A3479C" w:rsidRDefault="00A77A1C" w:rsidP="00A77A1C">
      <w:pPr>
        <w:spacing w:after="0" w:line="276" w:lineRule="auto"/>
        <w:jc w:val="both"/>
        <w:rPr>
          <w:rFonts w:ascii="Verdana" w:eastAsia="Calibri" w:hAnsi="Verdana" w:cs="Times New Roman"/>
        </w:rPr>
      </w:pPr>
      <w:r w:rsidRPr="000F5221">
        <w:rPr>
          <w:rFonts w:ascii="Verdana" w:eastAsia="Century Gothic" w:hAnsi="Verdana" w:cs="Century Gothic"/>
          <w:lang w:val="es-ES"/>
        </w:rPr>
        <w:t>De acuerdo con el contenido de su solicitud, esta Agencia resolverá los siguientes problemas jurídicos:</w:t>
      </w:r>
      <w:r w:rsidRPr="000F5221">
        <w:rPr>
          <w:rFonts w:ascii="Verdana" w:eastAsia="Century Gothic" w:hAnsi="Verdana" w:cs="Century Gothic"/>
        </w:rPr>
        <w:t xml:space="preserve"> </w:t>
      </w:r>
      <w:r w:rsidRPr="00A3479C">
        <w:rPr>
          <w:rFonts w:ascii="Verdana" w:eastAsia="Calibri" w:hAnsi="Verdana" w:cs="Times New Roman"/>
        </w:rPr>
        <w:t>¿La situación pensional sobreviniente del contratista</w:t>
      </w:r>
      <w:r>
        <w:rPr>
          <w:rFonts w:ascii="Verdana" w:eastAsia="Calibri" w:hAnsi="Verdana" w:cs="Times New Roman"/>
        </w:rPr>
        <w:t xml:space="preserve"> </w:t>
      </w:r>
      <w:r w:rsidRPr="00A3479C">
        <w:rPr>
          <w:rFonts w:ascii="Verdana" w:eastAsia="Calibri" w:hAnsi="Verdana" w:cs="Times New Roman"/>
        </w:rPr>
        <w:t>durante la ejecución contractual modifica la exigibilidad de los aportes pensionales causados?</w:t>
      </w:r>
    </w:p>
    <w:p w14:paraId="0DB8CD24" w14:textId="77777777" w:rsidR="00A77A1C" w:rsidRPr="00A17E1B" w:rsidRDefault="00A77A1C" w:rsidP="00A77A1C">
      <w:pPr>
        <w:spacing w:after="0" w:line="276" w:lineRule="auto"/>
        <w:jc w:val="both"/>
        <w:rPr>
          <w:rFonts w:ascii="Verdana" w:eastAsia="Century Gothic" w:hAnsi="Verdana" w:cs="Century Gothic"/>
          <w:color w:val="EE0000"/>
        </w:rPr>
      </w:pPr>
    </w:p>
    <w:p w14:paraId="05A28AE4" w14:textId="77777777" w:rsidR="00A77A1C" w:rsidRPr="000F5221" w:rsidRDefault="00A77A1C" w:rsidP="00A77A1C">
      <w:pPr>
        <w:tabs>
          <w:tab w:val="left" w:pos="142"/>
          <w:tab w:val="left" w:pos="284"/>
        </w:tabs>
        <w:spacing w:after="0" w:line="276" w:lineRule="auto"/>
        <w:jc w:val="both"/>
        <w:rPr>
          <w:rFonts w:ascii="Verdana" w:eastAsia="Century Gothic" w:hAnsi="Verdana" w:cs="Century Gothic"/>
          <w:b/>
          <w:lang w:val="es-ES"/>
        </w:rPr>
      </w:pPr>
      <w:r w:rsidRPr="000F5221">
        <w:rPr>
          <w:rFonts w:ascii="Verdana" w:eastAsia="Century Gothic" w:hAnsi="Verdana" w:cs="Century Gothic"/>
          <w:b/>
          <w:lang w:val="es-ES"/>
        </w:rPr>
        <w:t>2. Respuesta:</w:t>
      </w:r>
    </w:p>
    <w:p w14:paraId="47B6F1C5" w14:textId="77777777" w:rsidR="00A77A1C" w:rsidRPr="00A17E1B" w:rsidRDefault="00A77A1C" w:rsidP="00A77A1C">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77A1C" w:rsidRPr="00A17E1B" w14:paraId="086331E5" w14:textId="77777777" w:rsidTr="00394903">
        <w:tc>
          <w:tcPr>
            <w:tcW w:w="8828" w:type="dxa"/>
          </w:tcPr>
          <w:p w14:paraId="5065DB19" w14:textId="77777777" w:rsidR="00A77A1C" w:rsidRDefault="00A77A1C" w:rsidP="00394903">
            <w:pPr>
              <w:spacing w:after="160" w:line="276" w:lineRule="auto"/>
              <w:jc w:val="both"/>
              <w:rPr>
                <w:rFonts w:ascii="Verdana" w:eastAsia="Arial" w:hAnsi="Verdana" w:cs="Arial"/>
                <w:bCs/>
              </w:rPr>
            </w:pPr>
            <w:r w:rsidRPr="003220EE">
              <w:rPr>
                <w:rFonts w:ascii="Verdana" w:eastAsia="Arial" w:hAnsi="Verdana" w:cs="Arial"/>
                <w:bCs/>
              </w:rPr>
              <w:t>i. Para dar respuesta al problema planteado, resulta necesario precisar el alcance de las obligaciones relacionadas con los aportes al Sistema General de Pensiones a cargo de los contratistas de prestación de servicios. En este sentido, la Ley 797 de 2003, que modificó el Sistema General de Pensiones, estableció en su artículo 3 que tienen la obligación de estar afiliadas al Sistema General de Pensiones, entre otras, las personas naturales que presten directamente servicios al Estado o a las entidades bajo la modalidad de contratos de prestación de servicios.</w:t>
            </w:r>
          </w:p>
          <w:p w14:paraId="6E932153" w14:textId="77777777" w:rsidR="00A77A1C" w:rsidRDefault="00A77A1C" w:rsidP="00394903">
            <w:pPr>
              <w:spacing w:after="160" w:line="276" w:lineRule="auto"/>
              <w:ind w:firstLine="709"/>
              <w:jc w:val="both"/>
              <w:rPr>
                <w:rFonts w:ascii="Verdana" w:eastAsia="Arial" w:hAnsi="Verdana" w:cs="Arial"/>
                <w:bCs/>
              </w:rPr>
            </w:pPr>
            <w:r w:rsidRPr="002A37D1">
              <w:rPr>
                <w:rFonts w:ascii="Verdana" w:eastAsia="Arial" w:hAnsi="Verdana" w:cs="Arial"/>
                <w:bCs/>
              </w:rPr>
              <w:t>Por su parte, el artículo 4 de la misma ley dispone que durante la vigencia de la relación laboral y del contrato de prestación de servicios deben efectuarse cotizaciones obligatorias al Sistema General de Pensiones, por parte de los afiliados, empleadores y contratistas, con base en el salario o los ingresos por prestación de servicios que aquellos devenguen. No obstante, la misma disposición establece que la obligación de cotizar cesa cuando el afiliado reúna los requisitos para acceder a la pensión mínima de vejez, o cuando se pensione por invalidez o anticipadamente.</w:t>
            </w:r>
          </w:p>
          <w:p w14:paraId="1D7265CA" w14:textId="77777777" w:rsidR="00A77A1C" w:rsidRDefault="00A77A1C" w:rsidP="00394903">
            <w:pPr>
              <w:spacing w:after="160" w:line="276" w:lineRule="auto"/>
              <w:ind w:firstLine="709"/>
              <w:jc w:val="both"/>
              <w:rPr>
                <w:rFonts w:ascii="Verdana" w:eastAsia="Arial" w:hAnsi="Verdana" w:cs="Arial"/>
                <w:bCs/>
              </w:rPr>
            </w:pPr>
            <w:r w:rsidRPr="00CF304F">
              <w:rPr>
                <w:rFonts w:ascii="Verdana" w:eastAsia="Arial" w:hAnsi="Verdana" w:cs="Arial"/>
                <w:bCs/>
              </w:rPr>
              <w:t>De acuerdo con lo anterior, la obligación de efectuar aportes al Sistema General de Pensiones se encuentra vinculada, en principio, a la vigencia del contrato de prestación de servicios</w:t>
            </w:r>
            <w:r>
              <w:rPr>
                <w:rFonts w:ascii="Verdana" w:eastAsia="Arial" w:hAnsi="Verdana" w:cs="Arial"/>
                <w:bCs/>
              </w:rPr>
              <w:t>. S</w:t>
            </w:r>
            <w:r w:rsidRPr="00CF304F">
              <w:rPr>
                <w:rFonts w:ascii="Verdana" w:eastAsia="Arial" w:hAnsi="Verdana" w:cs="Arial"/>
                <w:bCs/>
              </w:rPr>
              <w:t xml:space="preserve">in embargo, su exigibilidad puede verse modificada por las circunstancias previstas expresamente en la ley que determinan el cese de la obligación de cotizar. Por ello, cuando durante la ejecución contractual el contratista reúne los requisitos para acceder a la pensión mínima de vejez, resulta necesario determinar el momento a partir del cual cesa </w:t>
            </w:r>
            <w:r>
              <w:rPr>
                <w:rFonts w:ascii="Verdana" w:eastAsia="Arial" w:hAnsi="Verdana" w:cs="Arial"/>
                <w:bCs/>
              </w:rPr>
              <w:t>dicha</w:t>
            </w:r>
            <w:r w:rsidRPr="00CF304F">
              <w:rPr>
                <w:rFonts w:ascii="Verdana" w:eastAsia="Arial" w:hAnsi="Verdana" w:cs="Arial"/>
                <w:bCs/>
              </w:rPr>
              <w:t xml:space="preserve"> obligación de efectuar las cotizaciones</w:t>
            </w:r>
            <w:r>
              <w:rPr>
                <w:rFonts w:ascii="Verdana" w:eastAsia="Arial" w:hAnsi="Verdana" w:cs="Arial"/>
                <w:bCs/>
              </w:rPr>
              <w:t xml:space="preserve"> al sistema de pensiones</w:t>
            </w:r>
            <w:r w:rsidRPr="00CF304F">
              <w:rPr>
                <w:rFonts w:ascii="Verdana" w:eastAsia="Arial" w:hAnsi="Verdana" w:cs="Arial"/>
                <w:bCs/>
              </w:rPr>
              <w:t xml:space="preserve"> y, consecuentemente, cuáles son los aportes que continúan siendo exigibles.</w:t>
            </w:r>
          </w:p>
          <w:p w14:paraId="48B7BAF1" w14:textId="77777777" w:rsidR="00A77A1C" w:rsidRPr="00B91533" w:rsidRDefault="00A77A1C" w:rsidP="00394903">
            <w:pPr>
              <w:spacing w:after="160" w:line="276" w:lineRule="auto"/>
              <w:ind w:firstLine="709"/>
              <w:jc w:val="both"/>
              <w:rPr>
                <w:rFonts w:ascii="Verdana" w:hAnsi="Verdana"/>
              </w:rPr>
            </w:pPr>
            <w:r w:rsidRPr="00253BA9">
              <w:rPr>
                <w:rFonts w:ascii="Verdana" w:eastAsia="Arial" w:hAnsi="Verdana" w:cs="Arial"/>
                <w:bCs/>
              </w:rPr>
              <w:lastRenderedPageBreak/>
              <w:t xml:space="preserve">En este contexto, </w:t>
            </w:r>
            <w:r w:rsidRPr="00B91533">
              <w:rPr>
                <w:rFonts w:ascii="Verdana" w:hAnsi="Verdana"/>
                <w:lang w:bidi="es-ES"/>
              </w:rPr>
              <w:t>la obligación de efectuar las cotizaciones pensionales durante la ejecución del contrato no puede analizarse únicamente a partir de la existencia del vínculo contractual, pues la propia legislación contempla una circunstancia que modifica su exigibilidad. En consecuencia, cuando el contratista reúne durante la ejecución contractual los requisitos para acceder a la pensión mínima de vejez, se produce, a partir de ese momento, el cese de la obligación de cotizar al Sistema General de Pensiones, de conformidad con lo previsto expresamente en el artículo 4 de la Ley 797 de 2003.</w:t>
            </w:r>
            <w:r w:rsidRPr="00B91533">
              <w:rPr>
                <w:rFonts w:ascii="Verdana" w:hAnsi="Verdana"/>
              </w:rPr>
              <w:t xml:space="preserve"> </w:t>
            </w:r>
          </w:p>
          <w:p w14:paraId="4B8B911B" w14:textId="77777777" w:rsidR="00A77A1C" w:rsidRPr="00D749E6" w:rsidRDefault="00A77A1C" w:rsidP="00394903">
            <w:pPr>
              <w:pStyle w:val="Textoindependiente"/>
              <w:spacing w:after="120" w:line="276" w:lineRule="auto"/>
              <w:ind w:right="49" w:firstLine="709"/>
              <w:jc w:val="both"/>
              <w:rPr>
                <w:rFonts w:ascii="Verdana" w:hAnsi="Verdana"/>
                <w:lang w:val="es-CO"/>
              </w:rPr>
            </w:pPr>
            <w:r w:rsidRPr="00B91533">
              <w:rPr>
                <w:rFonts w:ascii="Verdana" w:hAnsi="Verdana"/>
                <w:lang w:val="es-CO"/>
              </w:rPr>
              <w:t xml:space="preserve">Esto resulta relevante para efectos de la obligación de verificación a cargo de la entidad, toda vez que esta no se limita a constatar de manera formal la existencia de un pago al Sistema General de Pensiones, sino que debe verificar el cumplimiento de las obligaciones de seguridad social que resulten exigibles al contratista en cada período de ejecución contractual y, por tanto, atendiendo a las circunstancias jurídicas que determinen su exigibilidad. En ese sentido, si durante la ejecución del contrato se configura el cumplimiento de los requisitos para acceder a la pensión mínima de vejez, será necesario establecer el momento a partir del cual cesó la obligación de cotizar, con el fin de determinar las cotizaciones efectivamente exigibles y, consecuentemente, el alcance de la verificación que debe realizar la entidad para </w:t>
            </w:r>
            <w:r w:rsidRPr="00D749E6">
              <w:rPr>
                <w:rFonts w:ascii="Verdana" w:hAnsi="Verdana"/>
                <w:lang w:val="es-CO"/>
              </w:rPr>
              <w:t>efectos de los pagos contractuales.</w:t>
            </w:r>
          </w:p>
          <w:p w14:paraId="444AA5AE" w14:textId="77777777" w:rsidR="00A77A1C" w:rsidRPr="00A57DC3" w:rsidRDefault="00A77A1C" w:rsidP="00394903">
            <w:pPr>
              <w:pStyle w:val="Textoindependiente"/>
              <w:spacing w:after="120" w:line="276" w:lineRule="auto"/>
              <w:ind w:right="49" w:firstLine="709"/>
              <w:jc w:val="both"/>
              <w:rPr>
                <w:rFonts w:ascii="Verdana" w:hAnsi="Verdana"/>
                <w:lang w:val="es-CO"/>
              </w:rPr>
            </w:pPr>
            <w:r w:rsidRPr="00D749E6">
              <w:rPr>
                <w:rFonts w:ascii="Verdana" w:hAnsi="Verdana"/>
                <w:lang w:val="es-CO"/>
              </w:rPr>
              <w:t>De igual forma, con respecto a la forma, los documentos y las fechas en que debe presentarse las cuentas de cobro en los contratos de prestación de servicios, no existe en el Sistema de Compra y Contratación Pública una disposición normativa que lo indique, pues en virtud del principio de autonomía de la voluntad, las partes pueden determinar el contenido de los contratos estatales e incluir las condiciones, cláusulas o estipulaciones que consideren necesarias para desarrollar el objeto contractual, la forma de ejecución, los documentos necesarios para cancelar los honorarios, entre otros aspectos, siempre en consideración de lo que arroja la etapa de planeación a través de los documentos previos.</w:t>
            </w:r>
            <w:r w:rsidRPr="00A57DC3">
              <w:rPr>
                <w:rFonts w:ascii="Verdana" w:hAnsi="Verdana"/>
                <w:lang w:val="es-CO"/>
              </w:rPr>
              <w:t xml:space="preserve"> </w:t>
            </w:r>
          </w:p>
          <w:p w14:paraId="7EC2DB20" w14:textId="77777777" w:rsidR="00A77A1C" w:rsidRPr="00A57DC3" w:rsidRDefault="00A77A1C" w:rsidP="00394903">
            <w:pPr>
              <w:pStyle w:val="Textoindependiente"/>
              <w:spacing w:after="120" w:line="276" w:lineRule="auto"/>
              <w:ind w:right="49" w:firstLine="709"/>
              <w:jc w:val="both"/>
              <w:rPr>
                <w:rFonts w:ascii="Verdana" w:hAnsi="Verdana"/>
                <w:lang w:val="es-CO"/>
              </w:rPr>
            </w:pPr>
            <w:r w:rsidRPr="00A57DC3">
              <w:rPr>
                <w:rFonts w:ascii="Verdana" w:hAnsi="Verdana"/>
                <w:lang w:val="es-CO"/>
              </w:rPr>
              <w:t xml:space="preserve">En ese sentido, las Entidades Públicas desde los estudios previos definirán las condiciones del contrato de prestación de servicios a celebrar, plasmado en la minuta del contrato de prestación de servicios profesionales, de apoyo a la gestión y trabajos artísticos. Finalmente, se resalta que en la Ley 80 de 1993, Ley 1150 de 2007 y en el Decreto 1082 de 2015 no se </w:t>
            </w:r>
            <w:r w:rsidRPr="00A57DC3">
              <w:rPr>
                <w:rFonts w:ascii="Verdana" w:hAnsi="Verdana"/>
                <w:lang w:val="es-CO"/>
              </w:rPr>
              <w:lastRenderedPageBreak/>
              <w:t xml:space="preserve">encuentran disposiciones que establezcan la forma en que deben presentarse las cuentas de cobro, tales como el informe de ejecución o el informe y certificación de cumplimiento, así como las fechas para su presentación, por cuanto esto dependerá de las directrices fijadas al interior de la entidad estatal en su guías, circulares o manuales, que se verán reflejados en las cláusulas contenidas en la minuta del contrato de prestación de servicios. </w:t>
            </w:r>
          </w:p>
          <w:p w14:paraId="145D4F71" w14:textId="77777777" w:rsidR="00A77A1C" w:rsidRPr="00A57DC3" w:rsidRDefault="00A77A1C" w:rsidP="00394903">
            <w:pPr>
              <w:pStyle w:val="Textoindependiente"/>
              <w:spacing w:after="120" w:line="276" w:lineRule="auto"/>
              <w:ind w:right="49" w:firstLine="709"/>
              <w:jc w:val="both"/>
              <w:rPr>
                <w:rFonts w:ascii="Verdana" w:hAnsi="Verdana"/>
                <w:lang w:val="es-CO"/>
              </w:rPr>
            </w:pPr>
            <w:r w:rsidRPr="00A57DC3">
              <w:rPr>
                <w:rFonts w:ascii="Verdana" w:hAnsi="Verdana"/>
                <w:lang w:val="es-CO"/>
              </w:rPr>
              <w:t xml:space="preserve">Es importante señalar que dentro de las cuentas de cobro lo que sí resulta obligatorio desde el ámbito normativo, es el cumplimiento de las obligaciones al Sistema de Seguridad Social Integral que deberá asumir el contratista, de conformidad con lo establecido en el artículo 41 de la Ley 80 de 1993. En este contexto, resulta indispensable tener en consideración la Circular Externa 001 del 5 de enero de 2026, expedida por el Subdirector de Operaciones de la Dirección General de Crédito Público y del Tesoro Nacional, mediante el cual indica en términos generales el calendario del Plan Anual Mensualizado de Caja – en adelante PAC – vigencia fiscal 2026 y aspectos a considerar para su aprobación. </w:t>
            </w:r>
          </w:p>
          <w:p w14:paraId="5ABD5C6B" w14:textId="77777777" w:rsidR="00A77A1C" w:rsidRDefault="00A77A1C" w:rsidP="00394903">
            <w:pPr>
              <w:pStyle w:val="Textoindependiente"/>
              <w:spacing w:after="120" w:line="276" w:lineRule="auto"/>
              <w:ind w:right="49" w:firstLine="709"/>
              <w:jc w:val="both"/>
              <w:rPr>
                <w:rFonts w:ascii="Verdana" w:hAnsi="Verdana"/>
                <w:lang w:val="es-CO"/>
              </w:rPr>
            </w:pPr>
            <w:r w:rsidRPr="00A57DC3">
              <w:rPr>
                <w:rFonts w:ascii="Verdana" w:hAnsi="Verdana"/>
                <w:lang w:val="es-CO"/>
              </w:rPr>
              <w:t>Estas deberán contener una justificación consistente sobre el uso que se dará a los recursos solicitados, agrupando los conceptos del gasto con sus respectivos valores, de mayor a menor. Así mismo, determinó un calendario correspondiente al año fiscal 2026 que deberá ser adoptado por parte de las entidades del estado. Con base en lo anterior, será la Entidad Estatal la competente para determinar en el PAC los recursos necesarios para hacerlos efectivos, previo el cumplimiento de los lineamientos determinados por parte de la Dirección General de Crédito Público y del Tesoro Nacional y lo establecido en las cláusulas del contrato de prestación de servicios, pues el contenido debe determinar la forma de pago y el procedimiento para ello.</w:t>
            </w:r>
          </w:p>
          <w:p w14:paraId="2D8F61D1" w14:textId="77777777" w:rsidR="00A77A1C" w:rsidRPr="00D749E6" w:rsidRDefault="00A77A1C" w:rsidP="00394903">
            <w:pPr>
              <w:pStyle w:val="Textoindependiente"/>
              <w:spacing w:after="120" w:line="276" w:lineRule="auto"/>
              <w:ind w:right="49" w:firstLine="709"/>
              <w:jc w:val="both"/>
              <w:rPr>
                <w:rStyle w:val="s15"/>
                <w:rFonts w:ascii="Verdana" w:hAnsi="Verdana"/>
                <w:lang w:val="es-CO"/>
              </w:rPr>
            </w:pPr>
            <w:r w:rsidRPr="009E52A0">
              <w:rPr>
                <w:rFonts w:ascii="Verdana" w:eastAsia="Calibri" w:hAnsi="Verdana"/>
                <w:bCs/>
              </w:rPr>
              <w:t xml:space="preserve">Finalmente, al margen de la explicación precedente debe advertirse que </w:t>
            </w:r>
            <w:r w:rsidRPr="009E52A0">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9E52A0">
              <w:rPr>
                <w:rStyle w:val="apple-converted-space"/>
                <w:rFonts w:ascii="Verdana" w:hAnsi="Verdana"/>
              </w:rPr>
              <w:t> </w:t>
            </w:r>
            <w:r w:rsidRPr="009E52A0">
              <w:rPr>
                <w:rStyle w:val="s15"/>
                <w:rFonts w:ascii="Verdana" w:hAnsi="Verdana"/>
              </w:rPr>
              <w:t>Por lo anterior, previo</w:t>
            </w:r>
            <w:r w:rsidRPr="009E52A0">
              <w:rPr>
                <w:rStyle w:val="apple-converted-space"/>
                <w:rFonts w:ascii="Verdana" w:hAnsi="Verdana"/>
              </w:rPr>
              <w:t> </w:t>
            </w:r>
            <w:r w:rsidRPr="009E52A0">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w:t>
            </w:r>
          </w:p>
          <w:p w14:paraId="70A86CCF" w14:textId="77777777" w:rsidR="00A77A1C" w:rsidRPr="00A17E1B" w:rsidRDefault="00A77A1C" w:rsidP="00394903">
            <w:pPr>
              <w:spacing w:after="120" w:line="276" w:lineRule="auto"/>
              <w:ind w:right="79" w:firstLine="709"/>
              <w:jc w:val="both"/>
              <w:rPr>
                <w:rFonts w:ascii="Verdana" w:hAnsi="Verdana" w:cs="Arial"/>
                <w:bCs/>
                <w:color w:val="EE0000"/>
              </w:rPr>
            </w:pPr>
            <w:r w:rsidRPr="009E52A0">
              <w:rPr>
                <w:rFonts w:ascii="Verdana" w:hAnsi="Verdana"/>
              </w:rPr>
              <w:t xml:space="preserve">Sin perjuicio de lo anterior, se precisa que los conceptos emitidos por esta Subdirección en el marco de la función consultiva representan una </w:t>
            </w:r>
            <w:r w:rsidRPr="009E52A0">
              <w:rPr>
                <w:rFonts w:ascii="Verdana" w:hAnsi="Verdana"/>
              </w:rPr>
              <w:lastRenderedPageBreak/>
              <w:t>posición hermenéutica respecto de las disposiciones normativas del Sistema de Compras Públicas, que no tiene efectos vinculantes frente a una situación jurídica particular y concreta y que, aunque jurídicamente fundamentada, no constituye la única interpretación válida del ordenamiento. Por tanto, cada entidad definirá la forma de adelantar su gestión contractual, sin que sea atribución de Colombia Compra Eficiente validar sus actuaciones.</w:t>
            </w:r>
          </w:p>
        </w:tc>
      </w:tr>
    </w:tbl>
    <w:p w14:paraId="607DD8DC" w14:textId="77777777" w:rsidR="00A77A1C" w:rsidRPr="000F5221" w:rsidRDefault="00A77A1C" w:rsidP="00A77A1C">
      <w:pPr>
        <w:tabs>
          <w:tab w:val="left" w:pos="142"/>
          <w:tab w:val="left" w:pos="284"/>
        </w:tabs>
        <w:spacing w:after="0" w:line="276" w:lineRule="auto"/>
        <w:jc w:val="both"/>
        <w:rPr>
          <w:rFonts w:ascii="Verdana" w:eastAsia="Century Gothic" w:hAnsi="Verdana" w:cs="Century Gothic"/>
          <w:b/>
          <w:bCs/>
          <w:lang w:val="es-ES"/>
        </w:rPr>
      </w:pPr>
    </w:p>
    <w:p w14:paraId="56F55260" w14:textId="77777777" w:rsidR="00A77A1C" w:rsidRPr="000F5221" w:rsidRDefault="00A77A1C" w:rsidP="00A77A1C">
      <w:pPr>
        <w:tabs>
          <w:tab w:val="left" w:pos="142"/>
          <w:tab w:val="left" w:pos="284"/>
        </w:tabs>
        <w:spacing w:after="0" w:line="276" w:lineRule="auto"/>
        <w:jc w:val="both"/>
        <w:rPr>
          <w:rFonts w:ascii="Verdana" w:eastAsia="Century Gothic" w:hAnsi="Verdana" w:cs="Century Gothic"/>
          <w:b/>
          <w:lang w:val="es-ES"/>
        </w:rPr>
      </w:pPr>
      <w:r w:rsidRPr="000F5221">
        <w:rPr>
          <w:rFonts w:ascii="Verdana" w:eastAsia="Century Gothic" w:hAnsi="Verdana" w:cs="Century Gothic"/>
          <w:b/>
          <w:lang w:val="es-ES"/>
        </w:rPr>
        <w:t>3. Razones de la respuesta:</w:t>
      </w:r>
    </w:p>
    <w:p w14:paraId="1C6620A4" w14:textId="77777777" w:rsidR="00A77A1C" w:rsidRPr="000F5221" w:rsidRDefault="00A77A1C" w:rsidP="00A77A1C">
      <w:pPr>
        <w:spacing w:after="0" w:line="276" w:lineRule="auto"/>
        <w:jc w:val="both"/>
        <w:rPr>
          <w:rFonts w:ascii="Verdana" w:eastAsia="Calibri" w:hAnsi="Verdana" w:cs="Arial"/>
          <w:lang w:val="es-ES"/>
        </w:rPr>
      </w:pPr>
    </w:p>
    <w:p w14:paraId="14FEFF69" w14:textId="77777777" w:rsidR="00A77A1C" w:rsidRPr="000F5221" w:rsidRDefault="00A77A1C" w:rsidP="00A77A1C">
      <w:pPr>
        <w:spacing w:after="0" w:line="276" w:lineRule="auto"/>
        <w:jc w:val="both"/>
        <w:rPr>
          <w:rFonts w:ascii="Verdana" w:eastAsia="Calibri" w:hAnsi="Verdana" w:cs="Arial"/>
          <w:lang w:val="es-ES"/>
        </w:rPr>
      </w:pPr>
      <w:r w:rsidRPr="000F5221">
        <w:rPr>
          <w:rFonts w:ascii="Verdana" w:eastAsia="Calibri" w:hAnsi="Verdana" w:cs="Arial"/>
          <w:lang w:val="es-ES"/>
        </w:rPr>
        <w:t xml:space="preserve">Las respuestas anteriores se sustentan en las siguientes consideraciones: </w:t>
      </w:r>
    </w:p>
    <w:p w14:paraId="15990BBB" w14:textId="77777777" w:rsidR="00A77A1C" w:rsidRPr="00A17E1B" w:rsidRDefault="00A77A1C" w:rsidP="00A77A1C">
      <w:pPr>
        <w:tabs>
          <w:tab w:val="left" w:pos="142"/>
          <w:tab w:val="left" w:pos="284"/>
        </w:tabs>
        <w:spacing w:after="0" w:line="276" w:lineRule="auto"/>
        <w:jc w:val="both"/>
        <w:rPr>
          <w:rFonts w:ascii="Verdana" w:eastAsia="Century Gothic" w:hAnsi="Verdana" w:cs="Century Gothic"/>
          <w:b/>
          <w:color w:val="EE0000"/>
          <w:lang w:val="es-ES"/>
        </w:rPr>
      </w:pPr>
    </w:p>
    <w:p w14:paraId="2B63BB55" w14:textId="77777777" w:rsidR="00A77A1C" w:rsidRDefault="00A77A1C" w:rsidP="00A77A1C">
      <w:pPr>
        <w:pStyle w:val="Textoindependiente"/>
        <w:spacing w:after="120" w:line="276" w:lineRule="auto"/>
        <w:ind w:right="49"/>
        <w:jc w:val="both"/>
        <w:rPr>
          <w:rFonts w:ascii="Verdana" w:hAnsi="Verdana"/>
        </w:rPr>
      </w:pPr>
      <w:r w:rsidRPr="00E94E4B">
        <w:rPr>
          <w:rFonts w:ascii="Verdana" w:eastAsia="Calibri" w:hAnsi="Verdana"/>
          <w:bCs/>
        </w:rPr>
        <w:t xml:space="preserve">i. </w:t>
      </w:r>
      <w:r w:rsidRPr="00E94E4B">
        <w:rPr>
          <w:rFonts w:ascii="Verdana" w:hAnsi="Verdana"/>
        </w:rPr>
        <w:t>La Seguridad Social es un servicio público obligatorio, cuya dirección,</w:t>
      </w:r>
      <w:r w:rsidRPr="00C458AB">
        <w:rPr>
          <w:rFonts w:ascii="Verdana" w:hAnsi="Verdana"/>
        </w:rPr>
        <w:t xml:space="preserve">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2C1680C6" w14:textId="77777777" w:rsidR="00A77A1C" w:rsidRDefault="00A77A1C" w:rsidP="00A77A1C">
      <w:pPr>
        <w:pStyle w:val="Textoindependiente"/>
        <w:spacing w:after="120" w:line="276" w:lineRule="auto"/>
        <w:ind w:right="51"/>
        <w:jc w:val="both"/>
        <w:rPr>
          <w:rFonts w:ascii="Verdana" w:hAnsi="Verdana"/>
        </w:rPr>
      </w:pPr>
      <w:r>
        <w:rPr>
          <w:rFonts w:ascii="Verdana" w:hAnsi="Verdana"/>
        </w:rPr>
        <w:tab/>
      </w:r>
      <w:r w:rsidRPr="001F41BC">
        <w:rPr>
          <w:rFonts w:ascii="Verdana" w:hAnsi="Verdana"/>
        </w:rPr>
        <w:t>En materia de contratación estatal, el texto original del artículo 41 de la Ley 80 de 1993 dispuso que los requisitos para perfeccionar</w:t>
      </w:r>
      <w:r w:rsidRPr="001F41BC">
        <w:rPr>
          <w:rFonts w:ascii="Verdana" w:hAnsi="Verdana"/>
          <w:spacing w:val="-7"/>
        </w:rPr>
        <w:t xml:space="preserve"> </w:t>
      </w:r>
      <w:r w:rsidRPr="001F41BC">
        <w:rPr>
          <w:rFonts w:ascii="Verdana" w:hAnsi="Verdana"/>
        </w:rPr>
        <w:t>el</w:t>
      </w:r>
      <w:r w:rsidRPr="001F41BC">
        <w:rPr>
          <w:rFonts w:ascii="Verdana" w:hAnsi="Verdana"/>
          <w:spacing w:val="-6"/>
        </w:rPr>
        <w:t xml:space="preserve"> </w:t>
      </w:r>
      <w:r w:rsidRPr="001F41BC">
        <w:rPr>
          <w:rFonts w:ascii="Verdana" w:hAnsi="Verdana"/>
        </w:rPr>
        <w:t>contrato</w:t>
      </w:r>
      <w:r w:rsidRPr="001F41BC">
        <w:rPr>
          <w:rFonts w:ascii="Verdana" w:hAnsi="Verdana"/>
          <w:spacing w:val="-7"/>
        </w:rPr>
        <w:t xml:space="preserve"> </w:t>
      </w:r>
      <w:r w:rsidRPr="001F41BC">
        <w:rPr>
          <w:rFonts w:ascii="Verdana" w:hAnsi="Verdana"/>
        </w:rPr>
        <w:t>son:</w:t>
      </w:r>
      <w:r w:rsidRPr="001F41BC">
        <w:rPr>
          <w:rFonts w:ascii="Verdana" w:hAnsi="Verdana"/>
          <w:spacing w:val="-7"/>
        </w:rPr>
        <w:t xml:space="preserve"> </w:t>
      </w:r>
      <w:r w:rsidRPr="001F41BC">
        <w:rPr>
          <w:rFonts w:ascii="Verdana" w:hAnsi="Verdana"/>
        </w:rPr>
        <w:t>i)</w:t>
      </w:r>
      <w:r w:rsidRPr="001F41BC">
        <w:rPr>
          <w:rFonts w:ascii="Verdana" w:hAnsi="Verdana"/>
          <w:spacing w:val="-7"/>
        </w:rPr>
        <w:t xml:space="preserve"> </w:t>
      </w:r>
      <w:r w:rsidRPr="001F41BC">
        <w:rPr>
          <w:rFonts w:ascii="Verdana" w:hAnsi="Verdana"/>
        </w:rPr>
        <w:t>el</w:t>
      </w:r>
      <w:r w:rsidRPr="001F41BC">
        <w:rPr>
          <w:rFonts w:ascii="Verdana" w:hAnsi="Verdana"/>
          <w:spacing w:val="-6"/>
        </w:rPr>
        <w:t xml:space="preserve"> </w:t>
      </w:r>
      <w:r w:rsidRPr="001F41BC">
        <w:rPr>
          <w:rFonts w:ascii="Verdana" w:hAnsi="Verdana"/>
        </w:rPr>
        <w:t>acuerdo</w:t>
      </w:r>
      <w:r w:rsidRPr="001F41BC">
        <w:rPr>
          <w:rFonts w:ascii="Verdana" w:hAnsi="Verdana"/>
          <w:spacing w:val="-6"/>
        </w:rPr>
        <w:t xml:space="preserve"> </w:t>
      </w:r>
      <w:r w:rsidRPr="001F41BC">
        <w:rPr>
          <w:rFonts w:ascii="Verdana" w:hAnsi="Verdana"/>
        </w:rPr>
        <w:t>sobre</w:t>
      </w:r>
      <w:r w:rsidRPr="001F41BC">
        <w:rPr>
          <w:rFonts w:ascii="Verdana" w:hAnsi="Verdana"/>
          <w:spacing w:val="-7"/>
        </w:rPr>
        <w:t xml:space="preserve"> </w:t>
      </w:r>
      <w:r w:rsidRPr="001F41BC">
        <w:rPr>
          <w:rFonts w:ascii="Verdana" w:hAnsi="Verdana"/>
        </w:rPr>
        <w:t>el</w:t>
      </w:r>
      <w:r w:rsidRPr="001F41BC">
        <w:rPr>
          <w:rFonts w:ascii="Verdana" w:hAnsi="Verdana"/>
          <w:spacing w:val="-6"/>
        </w:rPr>
        <w:t xml:space="preserve"> </w:t>
      </w:r>
      <w:r w:rsidRPr="001F41BC">
        <w:rPr>
          <w:rFonts w:ascii="Verdana" w:hAnsi="Verdana"/>
        </w:rPr>
        <w:t>objeto</w:t>
      </w:r>
      <w:r w:rsidRPr="001F41BC">
        <w:rPr>
          <w:rFonts w:ascii="Verdana" w:hAnsi="Verdana"/>
          <w:spacing w:val="-7"/>
        </w:rPr>
        <w:t xml:space="preserve"> </w:t>
      </w:r>
      <w:r w:rsidRPr="001F41BC">
        <w:rPr>
          <w:rFonts w:ascii="Verdana" w:hAnsi="Verdana"/>
        </w:rPr>
        <w:t>y</w:t>
      </w:r>
      <w:r w:rsidRPr="001F41BC">
        <w:rPr>
          <w:rFonts w:ascii="Verdana" w:hAnsi="Verdana"/>
          <w:spacing w:val="-7"/>
        </w:rPr>
        <w:t xml:space="preserve"> </w:t>
      </w:r>
      <w:r w:rsidRPr="001F41BC">
        <w:rPr>
          <w:rFonts w:ascii="Verdana" w:hAnsi="Verdana"/>
        </w:rPr>
        <w:t>la</w:t>
      </w:r>
      <w:r w:rsidRPr="001F41BC">
        <w:rPr>
          <w:rFonts w:ascii="Verdana" w:hAnsi="Verdana"/>
          <w:spacing w:val="-6"/>
        </w:rPr>
        <w:t xml:space="preserve"> </w:t>
      </w:r>
      <w:r w:rsidRPr="001F41BC">
        <w:rPr>
          <w:rFonts w:ascii="Verdana" w:hAnsi="Verdana"/>
        </w:rPr>
        <w:t>contraprestación, y ii) que conste por escrito. Por su parte, para iniciar la ejecución se requiere: i) la constitución</w:t>
      </w:r>
      <w:r w:rsidRPr="001F41BC">
        <w:rPr>
          <w:rFonts w:ascii="Verdana" w:hAnsi="Verdana"/>
          <w:spacing w:val="-16"/>
        </w:rPr>
        <w:t xml:space="preserve"> </w:t>
      </w:r>
      <w:r w:rsidRPr="001F41BC">
        <w:rPr>
          <w:rFonts w:ascii="Verdana" w:hAnsi="Verdana"/>
        </w:rPr>
        <w:t>y</w:t>
      </w:r>
      <w:r w:rsidRPr="001F41BC">
        <w:rPr>
          <w:rFonts w:ascii="Verdana" w:hAnsi="Verdana"/>
          <w:spacing w:val="-17"/>
        </w:rPr>
        <w:t xml:space="preserve"> </w:t>
      </w:r>
      <w:r w:rsidRPr="001F41BC">
        <w:rPr>
          <w:rFonts w:ascii="Verdana" w:hAnsi="Verdana"/>
        </w:rPr>
        <w:t>aprobación</w:t>
      </w:r>
      <w:r w:rsidRPr="001F41BC">
        <w:rPr>
          <w:rFonts w:ascii="Verdana" w:hAnsi="Verdana"/>
          <w:spacing w:val="-16"/>
        </w:rPr>
        <w:t xml:space="preserve"> </w:t>
      </w:r>
      <w:r w:rsidRPr="001F41BC">
        <w:rPr>
          <w:rFonts w:ascii="Verdana" w:hAnsi="Verdana"/>
        </w:rPr>
        <w:t>de</w:t>
      </w:r>
      <w:r w:rsidRPr="001F41BC">
        <w:rPr>
          <w:rFonts w:ascii="Verdana" w:hAnsi="Verdana"/>
          <w:spacing w:val="-16"/>
        </w:rPr>
        <w:t xml:space="preserve"> </w:t>
      </w:r>
      <w:r w:rsidRPr="001F41BC">
        <w:rPr>
          <w:rFonts w:ascii="Verdana" w:hAnsi="Verdana"/>
        </w:rPr>
        <w:t>la</w:t>
      </w:r>
      <w:r w:rsidRPr="001F41BC">
        <w:rPr>
          <w:rFonts w:ascii="Verdana" w:hAnsi="Verdana"/>
          <w:spacing w:val="-16"/>
        </w:rPr>
        <w:t xml:space="preserve"> </w:t>
      </w:r>
      <w:r w:rsidRPr="001F41BC">
        <w:rPr>
          <w:rFonts w:ascii="Verdana" w:hAnsi="Verdana"/>
        </w:rPr>
        <w:t>garantía</w:t>
      </w:r>
      <w:r w:rsidRPr="001F41BC">
        <w:rPr>
          <w:rFonts w:ascii="Verdana" w:hAnsi="Verdana"/>
          <w:spacing w:val="-16"/>
        </w:rPr>
        <w:t xml:space="preserve"> </w:t>
      </w:r>
      <w:r w:rsidRPr="001F41BC">
        <w:rPr>
          <w:rFonts w:ascii="Verdana" w:hAnsi="Verdana"/>
        </w:rPr>
        <w:t>y</w:t>
      </w:r>
      <w:r w:rsidRPr="001F41BC">
        <w:rPr>
          <w:rFonts w:ascii="Verdana" w:hAnsi="Verdana"/>
          <w:spacing w:val="-16"/>
        </w:rPr>
        <w:t xml:space="preserve"> </w:t>
      </w:r>
      <w:r w:rsidRPr="001F41BC">
        <w:rPr>
          <w:rFonts w:ascii="Verdana" w:hAnsi="Verdana"/>
        </w:rPr>
        <w:t>ii)</w:t>
      </w:r>
      <w:r w:rsidRPr="001F41BC">
        <w:rPr>
          <w:rFonts w:ascii="Verdana" w:hAnsi="Verdana"/>
          <w:spacing w:val="-16"/>
        </w:rPr>
        <w:t xml:space="preserve"> </w:t>
      </w:r>
      <w:r w:rsidRPr="001F41BC">
        <w:rPr>
          <w:rFonts w:ascii="Verdana" w:hAnsi="Verdana"/>
        </w:rPr>
        <w:t>la</w:t>
      </w:r>
      <w:r w:rsidRPr="001F41BC">
        <w:rPr>
          <w:rFonts w:ascii="Verdana" w:hAnsi="Verdana"/>
          <w:spacing w:val="-16"/>
        </w:rPr>
        <w:t xml:space="preserve"> </w:t>
      </w:r>
      <w:r w:rsidRPr="001F41BC">
        <w:rPr>
          <w:rFonts w:ascii="Verdana" w:hAnsi="Verdana"/>
        </w:rPr>
        <w:t>existencia</w:t>
      </w:r>
      <w:r w:rsidRPr="001F41BC">
        <w:rPr>
          <w:rFonts w:ascii="Verdana" w:hAnsi="Verdana"/>
          <w:spacing w:val="-16"/>
        </w:rPr>
        <w:t xml:space="preserve"> </w:t>
      </w:r>
      <w:r w:rsidRPr="001F41BC">
        <w:rPr>
          <w:rFonts w:ascii="Verdana" w:hAnsi="Verdana"/>
        </w:rPr>
        <w:t>del</w:t>
      </w:r>
      <w:r w:rsidRPr="001F41BC">
        <w:rPr>
          <w:rFonts w:ascii="Verdana" w:hAnsi="Verdana"/>
          <w:spacing w:val="-16"/>
        </w:rPr>
        <w:t xml:space="preserve"> </w:t>
      </w:r>
      <w:r w:rsidRPr="001F41BC">
        <w:rPr>
          <w:rFonts w:ascii="Verdana" w:hAnsi="Verdana"/>
        </w:rPr>
        <w:t>registro</w:t>
      </w:r>
      <w:r w:rsidRPr="001F41BC">
        <w:rPr>
          <w:rFonts w:ascii="Verdana" w:hAnsi="Verdana"/>
          <w:spacing w:val="-16"/>
        </w:rPr>
        <w:t xml:space="preserve"> </w:t>
      </w:r>
      <w:r w:rsidRPr="001F41BC">
        <w:rPr>
          <w:rFonts w:ascii="Verdana" w:hAnsi="Verdana"/>
        </w:rPr>
        <w:t>presupuestal,</w:t>
      </w:r>
      <w:r w:rsidRPr="001F41BC">
        <w:rPr>
          <w:rFonts w:ascii="Verdana" w:hAnsi="Verdana"/>
          <w:spacing w:val="-16"/>
        </w:rPr>
        <w:t xml:space="preserve"> </w:t>
      </w:r>
      <w:r w:rsidRPr="001F41BC">
        <w:rPr>
          <w:rFonts w:ascii="Verdana" w:hAnsi="Verdana"/>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hAnsi="Verdana"/>
          <w:spacing w:val="-26"/>
        </w:rPr>
        <w:t xml:space="preserve"> </w:t>
      </w:r>
      <w:r w:rsidRPr="001F41BC">
        <w:rPr>
          <w:rFonts w:ascii="Verdana" w:hAnsi="Verdana"/>
        </w:rPr>
        <w:t>Integral.</w:t>
      </w:r>
    </w:p>
    <w:p w14:paraId="7656FE0C" w14:textId="77777777" w:rsidR="00A77A1C" w:rsidRDefault="00A77A1C" w:rsidP="00A77A1C">
      <w:pPr>
        <w:pStyle w:val="Textoindependiente"/>
        <w:spacing w:after="120" w:line="276" w:lineRule="auto"/>
        <w:ind w:right="51" w:firstLine="709"/>
        <w:jc w:val="both"/>
        <w:rPr>
          <w:rFonts w:ascii="Verdana" w:hAnsi="Verdana"/>
        </w:rPr>
      </w:pPr>
      <w:r w:rsidRPr="004C3DC0">
        <w:rPr>
          <w:rFonts w:ascii="Verdana" w:hAnsi="Verdana"/>
        </w:rPr>
        <w:lastRenderedPageBreak/>
        <w:t>Po</w:t>
      </w:r>
      <w:r>
        <w:rPr>
          <w:rFonts w:ascii="Verdana" w:hAnsi="Verdana"/>
        </w:rPr>
        <w:t>r su parte</w:t>
      </w:r>
      <w:r w:rsidRPr="004C3DC0">
        <w:rPr>
          <w:rFonts w:ascii="Verdana" w:hAnsi="Verdana"/>
        </w:rPr>
        <w:t>, la Ley 789 de 2002</w:t>
      </w:r>
      <w:r>
        <w:rPr>
          <w:rStyle w:val="Refdenotaalpie"/>
          <w:rFonts w:ascii="Verdana" w:hAnsi="Verdana"/>
        </w:rPr>
        <w:footnoteReference w:id="1"/>
      </w:r>
      <w:r>
        <w:rPr>
          <w:rFonts w:ascii="Verdana" w:hAnsi="Verdana"/>
        </w:rPr>
        <w:t xml:space="preserve"> </w:t>
      </w:r>
      <w:r w:rsidRPr="004C3DC0">
        <w:rPr>
          <w:rFonts w:ascii="Verdana" w:hAnsi="Verdana"/>
        </w:rPr>
        <w:t>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w:t>
      </w:r>
      <w:r w:rsidRPr="004C3DC0">
        <w:rPr>
          <w:rFonts w:ascii="Verdana" w:hAnsi="Verdana"/>
          <w:spacing w:val="-4"/>
        </w:rPr>
        <w:t xml:space="preserve"> </w:t>
      </w:r>
      <w:r w:rsidRPr="004C3DC0">
        <w:rPr>
          <w:rFonts w:ascii="Verdana" w:hAnsi="Verdana"/>
        </w:rPr>
        <w:t>cotizar</w:t>
      </w:r>
      <w:r w:rsidRPr="004C3DC0">
        <w:rPr>
          <w:rStyle w:val="Refdenotaalpie"/>
          <w:rFonts w:ascii="Verdana" w:hAnsi="Verdana"/>
        </w:rPr>
        <w:footnoteReference w:id="2"/>
      </w:r>
      <w:r>
        <w:rPr>
          <w:rFonts w:ascii="Verdana" w:hAnsi="Verdana"/>
        </w:rPr>
        <w:t>.</w:t>
      </w:r>
    </w:p>
    <w:p w14:paraId="025D1590" w14:textId="77777777" w:rsidR="00A77A1C" w:rsidRDefault="00A77A1C" w:rsidP="00A77A1C">
      <w:pPr>
        <w:pStyle w:val="Textoindependiente"/>
        <w:spacing w:after="120" w:line="276" w:lineRule="auto"/>
        <w:ind w:right="51" w:firstLine="709"/>
        <w:jc w:val="both"/>
        <w:rPr>
          <w:rFonts w:ascii="Verdana" w:hAnsi="Verdana"/>
        </w:rPr>
      </w:pPr>
      <w:r w:rsidRPr="004C3DC0">
        <w:rPr>
          <w:rFonts w:ascii="Verdana" w:hAnsi="Verdana"/>
        </w:rPr>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w:t>
      </w:r>
      <w:r w:rsidRPr="004C3DC0">
        <w:rPr>
          <w:rFonts w:ascii="Verdana" w:hAnsi="Verdana"/>
          <w:spacing w:val="8"/>
        </w:rPr>
        <w:t xml:space="preserve"> </w:t>
      </w:r>
      <w:r w:rsidRPr="004C3DC0">
        <w:rPr>
          <w:rFonts w:ascii="Verdana" w:hAnsi="Verdana"/>
        </w:rPr>
        <w:t>para</w:t>
      </w:r>
      <w:r w:rsidRPr="004C3DC0">
        <w:rPr>
          <w:rFonts w:ascii="Verdana" w:hAnsi="Verdana"/>
          <w:spacing w:val="8"/>
        </w:rPr>
        <w:t xml:space="preserve"> </w:t>
      </w:r>
      <w:r w:rsidRPr="004C3DC0">
        <w:rPr>
          <w:rFonts w:ascii="Verdana" w:hAnsi="Verdana"/>
        </w:rPr>
        <w:t>que</w:t>
      </w:r>
      <w:r w:rsidRPr="004C3DC0">
        <w:rPr>
          <w:rFonts w:ascii="Verdana" w:hAnsi="Verdana"/>
          <w:spacing w:val="8"/>
        </w:rPr>
        <w:t xml:space="preserve"> </w:t>
      </w:r>
      <w:r w:rsidRPr="004C3DC0">
        <w:rPr>
          <w:rFonts w:ascii="Verdana" w:hAnsi="Verdana"/>
        </w:rPr>
        <w:t>se</w:t>
      </w:r>
      <w:r w:rsidRPr="004C3DC0">
        <w:rPr>
          <w:rFonts w:ascii="Verdana" w:hAnsi="Verdana"/>
          <w:spacing w:val="6"/>
        </w:rPr>
        <w:t xml:space="preserve"> </w:t>
      </w:r>
      <w:r w:rsidRPr="004C3DC0">
        <w:rPr>
          <w:rFonts w:ascii="Verdana" w:hAnsi="Verdana"/>
        </w:rPr>
        <w:t>hubiera</w:t>
      </w:r>
      <w:r w:rsidRPr="004C3DC0">
        <w:rPr>
          <w:rFonts w:ascii="Verdana" w:hAnsi="Verdana"/>
          <w:spacing w:val="7"/>
        </w:rPr>
        <w:t xml:space="preserve"> </w:t>
      </w:r>
      <w:r w:rsidRPr="004C3DC0">
        <w:rPr>
          <w:rFonts w:ascii="Verdana" w:hAnsi="Verdana"/>
        </w:rPr>
        <w:t>constituido</w:t>
      </w:r>
      <w:r w:rsidRPr="004C3DC0">
        <w:rPr>
          <w:rFonts w:ascii="Verdana" w:hAnsi="Verdana"/>
          <w:spacing w:val="6"/>
        </w:rPr>
        <w:t xml:space="preserve"> </w:t>
      </w:r>
      <w:r w:rsidRPr="004C3DC0">
        <w:rPr>
          <w:rFonts w:ascii="Verdana" w:hAnsi="Verdana"/>
        </w:rPr>
        <w:t>la</w:t>
      </w:r>
      <w:r w:rsidRPr="004C3DC0">
        <w:rPr>
          <w:rFonts w:ascii="Verdana" w:hAnsi="Verdana"/>
          <w:spacing w:val="8"/>
        </w:rPr>
        <w:t xml:space="preserve"> </w:t>
      </w:r>
      <w:r w:rsidRPr="004C3DC0">
        <w:rPr>
          <w:rFonts w:ascii="Verdana" w:hAnsi="Verdana"/>
        </w:rPr>
        <w:t>sociedad,</w:t>
      </w:r>
      <w:r w:rsidRPr="004C3DC0">
        <w:rPr>
          <w:rFonts w:ascii="Verdana" w:hAnsi="Verdana"/>
          <w:spacing w:val="8"/>
        </w:rPr>
        <w:t xml:space="preserve"> </w:t>
      </w:r>
      <w:r w:rsidRPr="004C3DC0">
        <w:rPr>
          <w:rFonts w:ascii="Verdana" w:hAnsi="Verdana"/>
        </w:rPr>
        <w:t>el</w:t>
      </w:r>
      <w:r w:rsidRPr="004C3DC0">
        <w:rPr>
          <w:rFonts w:ascii="Verdana" w:hAnsi="Verdana"/>
          <w:spacing w:val="9"/>
        </w:rPr>
        <w:t xml:space="preserve"> </w:t>
      </w:r>
      <w:r w:rsidRPr="004C3DC0">
        <w:rPr>
          <w:rFonts w:ascii="Verdana" w:hAnsi="Verdana"/>
        </w:rPr>
        <w:t>cual</w:t>
      </w:r>
      <w:r w:rsidRPr="004C3DC0">
        <w:rPr>
          <w:rFonts w:ascii="Verdana" w:hAnsi="Verdana"/>
          <w:spacing w:val="10"/>
        </w:rPr>
        <w:t xml:space="preserve"> </w:t>
      </w:r>
      <w:r w:rsidRPr="004C3DC0">
        <w:rPr>
          <w:rFonts w:ascii="Verdana" w:hAnsi="Verdana"/>
        </w:rPr>
        <w:t>no</w:t>
      </w:r>
      <w:r w:rsidRPr="004C3DC0">
        <w:rPr>
          <w:rFonts w:ascii="Verdana" w:hAnsi="Verdana"/>
          <w:spacing w:val="8"/>
        </w:rPr>
        <w:t xml:space="preserve"> </w:t>
      </w:r>
      <w:r w:rsidRPr="004C3DC0">
        <w:rPr>
          <w:rFonts w:ascii="Verdana" w:hAnsi="Verdana"/>
        </w:rPr>
        <w:t>será</w:t>
      </w:r>
      <w:r w:rsidRPr="004C3DC0">
        <w:rPr>
          <w:rFonts w:ascii="Verdana" w:hAnsi="Verdana"/>
          <w:spacing w:val="6"/>
        </w:rPr>
        <w:t xml:space="preserve"> </w:t>
      </w:r>
      <w:r w:rsidRPr="004C3DC0">
        <w:rPr>
          <w:rFonts w:ascii="Verdana" w:hAnsi="Verdana"/>
        </w:rPr>
        <w:t>inferior</w:t>
      </w:r>
      <w:r w:rsidRPr="004C3DC0">
        <w:rPr>
          <w:rFonts w:ascii="Verdana" w:hAnsi="Verdana"/>
          <w:spacing w:val="7"/>
        </w:rPr>
        <w:t xml:space="preserve"> </w:t>
      </w:r>
      <w:r w:rsidRPr="004C3DC0">
        <w:rPr>
          <w:rFonts w:ascii="Verdana" w:hAnsi="Verdana"/>
        </w:rPr>
        <w:t>a</w:t>
      </w:r>
      <w:r w:rsidRPr="004C3DC0">
        <w:rPr>
          <w:rFonts w:ascii="Verdana" w:hAnsi="Verdana"/>
          <w:spacing w:val="9"/>
        </w:rPr>
        <w:t xml:space="preserve"> </w:t>
      </w:r>
      <w:r w:rsidRPr="004C3DC0">
        <w:rPr>
          <w:rFonts w:ascii="Verdana" w:hAnsi="Verdana"/>
        </w:rPr>
        <w:t>los</w:t>
      </w:r>
      <w:r w:rsidRPr="004C3DC0">
        <w:rPr>
          <w:rFonts w:ascii="Verdana" w:hAnsi="Verdana"/>
          <w:spacing w:val="8"/>
        </w:rPr>
        <w:t xml:space="preserve"> </w:t>
      </w:r>
      <w:r w:rsidRPr="004C3DC0">
        <w:rPr>
          <w:rFonts w:ascii="Verdana" w:hAnsi="Verdana"/>
        </w:rPr>
        <w:t>seis</w:t>
      </w:r>
      <w:r>
        <w:rPr>
          <w:rFonts w:ascii="Verdana" w:hAnsi="Verdana"/>
        </w:rPr>
        <w:t xml:space="preserve"> </w:t>
      </w:r>
      <w:r w:rsidRPr="004C3DC0">
        <w:rPr>
          <w:rFonts w:ascii="Verdana" w:hAnsi="Verdana"/>
        </w:rPr>
        <w:t xml:space="preserve">(6) meses anteriores a la celebración del contrato. En este sentido, la ley señala que para presentar la oferta las </w:t>
      </w:r>
      <w:r w:rsidRPr="004C3DC0">
        <w:rPr>
          <w:rFonts w:ascii="Verdana" w:hAnsi="Verdana"/>
        </w:rPr>
        <w:lastRenderedPageBreak/>
        <w:t>personas jurídicas deben acreditar el requisito señalado anteriormente</w:t>
      </w:r>
      <w:r>
        <w:rPr>
          <w:rFonts w:ascii="Verdana" w:hAnsi="Verdana"/>
        </w:rPr>
        <w:t xml:space="preserve">. </w:t>
      </w:r>
    </w:p>
    <w:p w14:paraId="4810EAE3" w14:textId="77777777" w:rsidR="00A77A1C" w:rsidRDefault="00A77A1C" w:rsidP="00A77A1C">
      <w:pPr>
        <w:pStyle w:val="Textoindependiente"/>
        <w:spacing w:after="120" w:line="276" w:lineRule="auto"/>
        <w:ind w:right="51" w:firstLine="709"/>
        <w:jc w:val="both"/>
        <w:rPr>
          <w:rFonts w:ascii="Verdana" w:hAnsi="Verdana"/>
        </w:rPr>
      </w:pPr>
      <w:r w:rsidRPr="004C3DC0">
        <w:rPr>
          <w:rFonts w:ascii="Verdana" w:hAnsi="Verdana"/>
        </w:rPr>
        <w:t>Esta norma fue analizada en una sentencia del Consejo de Estado</w:t>
      </w:r>
      <w:r>
        <w:rPr>
          <w:rStyle w:val="Refdenotaalpie"/>
          <w:rFonts w:ascii="Verdana" w:hAnsi="Verdana"/>
        </w:rPr>
        <w:footnoteReference w:id="3"/>
      </w:r>
      <w:r w:rsidRPr="004C3DC0">
        <w:rPr>
          <w:rFonts w:ascii="Verdana" w:hAnsi="Verdana"/>
        </w:rPr>
        <w:t>, donde consideró que el artículo 50 de la Ley 789 de 2002  tiene</w:t>
      </w:r>
      <w:r w:rsidRPr="004C3DC0">
        <w:rPr>
          <w:rFonts w:ascii="Verdana" w:hAnsi="Verdana"/>
          <w:spacing w:val="45"/>
        </w:rPr>
        <w:t xml:space="preserve"> </w:t>
      </w:r>
      <w:r w:rsidRPr="004C3DC0">
        <w:rPr>
          <w:rFonts w:ascii="Verdana" w:hAnsi="Verdana"/>
        </w:rPr>
        <w:t>por</w:t>
      </w:r>
      <w:r w:rsidRPr="004C3DC0">
        <w:rPr>
          <w:rFonts w:ascii="Verdana" w:hAnsi="Verdana"/>
          <w:spacing w:val="45"/>
        </w:rPr>
        <w:t xml:space="preserve"> </w:t>
      </w:r>
      <w:r w:rsidRPr="004C3DC0">
        <w:rPr>
          <w:rFonts w:ascii="Verdana" w:hAnsi="Verdana"/>
        </w:rPr>
        <w:t>objeto</w:t>
      </w:r>
      <w:r w:rsidRPr="004C3DC0">
        <w:rPr>
          <w:rFonts w:ascii="Verdana" w:hAnsi="Verdana"/>
          <w:spacing w:val="45"/>
        </w:rPr>
        <w:t xml:space="preserve"> </w:t>
      </w:r>
      <w:r w:rsidRPr="004C3DC0">
        <w:rPr>
          <w:rFonts w:ascii="Verdana" w:hAnsi="Verdana"/>
        </w:rPr>
        <w:t>evitar</w:t>
      </w:r>
      <w:r w:rsidRPr="004C3DC0">
        <w:rPr>
          <w:rFonts w:ascii="Verdana" w:hAnsi="Verdana"/>
          <w:spacing w:val="44"/>
        </w:rPr>
        <w:t xml:space="preserve"> </w:t>
      </w:r>
      <w:r w:rsidRPr="004C3DC0">
        <w:rPr>
          <w:rFonts w:ascii="Verdana" w:hAnsi="Verdana"/>
        </w:rPr>
        <w:t>la</w:t>
      </w:r>
      <w:r w:rsidRPr="004C3DC0">
        <w:rPr>
          <w:rFonts w:ascii="Verdana" w:hAnsi="Verdana"/>
          <w:spacing w:val="47"/>
        </w:rPr>
        <w:t xml:space="preserve"> </w:t>
      </w:r>
      <w:r w:rsidRPr="004C3DC0">
        <w:rPr>
          <w:rFonts w:ascii="Verdana" w:hAnsi="Verdana"/>
        </w:rPr>
        <w:t>evasión</w:t>
      </w:r>
      <w:r w:rsidRPr="004C3DC0">
        <w:rPr>
          <w:rFonts w:ascii="Verdana" w:hAnsi="Verdana"/>
          <w:spacing w:val="45"/>
        </w:rPr>
        <w:t xml:space="preserve"> </w:t>
      </w:r>
      <w:r w:rsidRPr="004C3DC0">
        <w:rPr>
          <w:rFonts w:ascii="Verdana" w:hAnsi="Verdana"/>
        </w:rPr>
        <w:t>por</w:t>
      </w:r>
      <w:r w:rsidRPr="004C3DC0">
        <w:rPr>
          <w:rFonts w:ascii="Verdana" w:hAnsi="Verdana"/>
          <w:spacing w:val="49"/>
        </w:rPr>
        <w:t xml:space="preserve"> </w:t>
      </w:r>
      <w:r w:rsidRPr="004C3DC0">
        <w:rPr>
          <w:rFonts w:ascii="Verdana" w:hAnsi="Verdana"/>
        </w:rPr>
        <w:t>parte</w:t>
      </w:r>
      <w:r w:rsidRPr="004C3DC0">
        <w:rPr>
          <w:rFonts w:ascii="Verdana" w:hAnsi="Verdana"/>
          <w:spacing w:val="45"/>
        </w:rPr>
        <w:t xml:space="preserve"> </w:t>
      </w:r>
      <w:r w:rsidRPr="004C3DC0">
        <w:rPr>
          <w:rFonts w:ascii="Verdana" w:hAnsi="Verdana"/>
        </w:rPr>
        <w:t>de</w:t>
      </w:r>
      <w:r w:rsidRPr="004C3DC0">
        <w:rPr>
          <w:rFonts w:ascii="Verdana" w:hAnsi="Verdana"/>
          <w:spacing w:val="45"/>
        </w:rPr>
        <w:t xml:space="preserve"> </w:t>
      </w:r>
      <w:r w:rsidRPr="004C3DC0">
        <w:rPr>
          <w:rFonts w:ascii="Verdana" w:hAnsi="Verdana"/>
        </w:rPr>
        <w:t>los</w:t>
      </w:r>
      <w:r w:rsidRPr="004C3DC0">
        <w:rPr>
          <w:rFonts w:ascii="Verdana" w:hAnsi="Verdana"/>
          <w:spacing w:val="45"/>
        </w:rPr>
        <w:t xml:space="preserve"> </w:t>
      </w:r>
      <w:r w:rsidRPr="004C3DC0">
        <w:rPr>
          <w:rFonts w:ascii="Verdana" w:hAnsi="Verdana"/>
        </w:rPr>
        <w:t>empleadores</w:t>
      </w:r>
      <w:r w:rsidRPr="004C3DC0">
        <w:rPr>
          <w:rFonts w:ascii="Verdana" w:hAnsi="Verdana"/>
          <w:spacing w:val="45"/>
        </w:rPr>
        <w:t xml:space="preserve"> </w:t>
      </w:r>
      <w:r w:rsidRPr="004C3DC0">
        <w:rPr>
          <w:rFonts w:ascii="Verdana" w:hAnsi="Verdana"/>
        </w:rPr>
        <w:t>de</w:t>
      </w:r>
      <w:r w:rsidRPr="004C3DC0">
        <w:rPr>
          <w:rFonts w:ascii="Verdana" w:hAnsi="Verdana"/>
          <w:spacing w:val="43"/>
        </w:rPr>
        <w:t xml:space="preserve"> </w:t>
      </w:r>
      <w:r w:rsidRPr="004C3DC0">
        <w:rPr>
          <w:rFonts w:ascii="Verdana" w:hAnsi="Verdana"/>
        </w:rPr>
        <w:t>las</w:t>
      </w:r>
      <w:r w:rsidRPr="004C3DC0">
        <w:rPr>
          <w:rFonts w:ascii="Verdana" w:hAnsi="Verdana"/>
          <w:spacing w:val="45"/>
        </w:rPr>
        <w:t xml:space="preserve"> </w:t>
      </w:r>
      <w:r w:rsidRPr="004C3DC0">
        <w:rPr>
          <w:rFonts w:ascii="Verdana" w:hAnsi="Verdana"/>
        </w:rPr>
        <w:t>cotizaciones</w:t>
      </w:r>
      <w:r w:rsidRPr="004C3DC0">
        <w:rPr>
          <w:rFonts w:ascii="Verdana" w:hAnsi="Verdana"/>
          <w:spacing w:val="45"/>
        </w:rPr>
        <w:t xml:space="preserve"> </w:t>
      </w:r>
      <w:r w:rsidRPr="004C3DC0">
        <w:rPr>
          <w:rFonts w:ascii="Verdana" w:hAnsi="Verdana"/>
        </w:rPr>
        <w:t>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Pr="004C3DC0">
        <w:rPr>
          <w:rStyle w:val="Refdenotaalpie"/>
          <w:rFonts w:ascii="Verdana" w:hAnsi="Verdana"/>
        </w:rPr>
        <w:footnoteReference w:id="4"/>
      </w:r>
      <w:r w:rsidRPr="004C3DC0">
        <w:rPr>
          <w:rFonts w:ascii="Verdana" w:hAnsi="Verdana"/>
        </w:rPr>
        <w:t xml:space="preserve">. </w:t>
      </w:r>
    </w:p>
    <w:p w14:paraId="4C0FDB6F" w14:textId="77777777" w:rsidR="00A77A1C" w:rsidRPr="001B777E" w:rsidRDefault="00A77A1C" w:rsidP="00A77A1C">
      <w:pPr>
        <w:pStyle w:val="Textoindependiente"/>
        <w:spacing w:after="240" w:line="276" w:lineRule="auto"/>
        <w:ind w:right="51" w:firstLine="709"/>
        <w:jc w:val="both"/>
        <w:rPr>
          <w:rFonts w:ascii="Verdana" w:hAnsi="Verdana"/>
        </w:rPr>
      </w:pPr>
      <w:r w:rsidRPr="004C3DC0">
        <w:rPr>
          <w:rFonts w:ascii="Verdana" w:hAnsi="Verdana"/>
        </w:rPr>
        <w:t>Por lo tanto, la jurisprudencia reiteró la necesidad de que las entidades estatales, durante la ejecución de un contrato, verifiquen el cumplimiento de las obligaciones del sistema de seguridad social por parte de los</w:t>
      </w:r>
      <w:r w:rsidRPr="004C3DC0">
        <w:rPr>
          <w:rFonts w:ascii="Verdana" w:hAnsi="Verdana"/>
          <w:spacing w:val="-9"/>
        </w:rPr>
        <w:t xml:space="preserve"> </w:t>
      </w:r>
      <w:r w:rsidRPr="004C3DC0">
        <w:rPr>
          <w:rFonts w:ascii="Verdana" w:hAnsi="Verdana"/>
        </w:rPr>
        <w:t>oferentes.</w:t>
      </w:r>
      <w:r>
        <w:rPr>
          <w:rFonts w:ascii="Verdana" w:hAnsi="Verdana"/>
        </w:rPr>
        <w:t xml:space="preserve"> Posteriormente</w:t>
      </w:r>
      <w:r w:rsidRPr="004C3DC0">
        <w:rPr>
          <w:rFonts w:ascii="Verdana" w:hAnsi="Verdana"/>
        </w:rPr>
        <w:t>, el artículo 23 de la Ley 1150 de 2007 modificó el inciso segundo del artículo 41 de la Ley 80 de 1993, incluyendo la obligación, para los proponentes y contratistas, de estar a paz</w:t>
      </w:r>
      <w:r w:rsidRPr="004C3DC0">
        <w:rPr>
          <w:rFonts w:ascii="Verdana" w:hAnsi="Verdana"/>
          <w:spacing w:val="-4"/>
        </w:rPr>
        <w:t xml:space="preserve"> </w:t>
      </w:r>
      <w:r w:rsidRPr="004C3DC0">
        <w:rPr>
          <w:rFonts w:ascii="Verdana" w:hAnsi="Verdana"/>
        </w:rPr>
        <w:t>y</w:t>
      </w:r>
      <w:r w:rsidRPr="004C3DC0">
        <w:rPr>
          <w:rFonts w:ascii="Verdana" w:hAnsi="Verdana"/>
          <w:spacing w:val="-4"/>
        </w:rPr>
        <w:t xml:space="preserve"> </w:t>
      </w:r>
      <w:r w:rsidRPr="004C3DC0">
        <w:rPr>
          <w:rFonts w:ascii="Verdana" w:hAnsi="Verdana"/>
        </w:rPr>
        <w:t>salvo</w:t>
      </w:r>
      <w:r w:rsidRPr="004C3DC0">
        <w:rPr>
          <w:rFonts w:ascii="Verdana" w:hAnsi="Verdana"/>
          <w:spacing w:val="-3"/>
        </w:rPr>
        <w:t xml:space="preserve"> </w:t>
      </w:r>
      <w:r w:rsidRPr="004C3DC0">
        <w:rPr>
          <w:rFonts w:ascii="Verdana" w:hAnsi="Verdana"/>
        </w:rPr>
        <w:t>con</w:t>
      </w:r>
      <w:r w:rsidRPr="004C3DC0">
        <w:rPr>
          <w:rFonts w:ascii="Verdana" w:hAnsi="Verdana"/>
          <w:spacing w:val="-3"/>
        </w:rPr>
        <w:t xml:space="preserve"> </w:t>
      </w:r>
      <w:r w:rsidRPr="004C3DC0">
        <w:rPr>
          <w:rFonts w:ascii="Verdana" w:hAnsi="Verdana"/>
        </w:rPr>
        <w:t>los</w:t>
      </w:r>
      <w:r w:rsidRPr="004C3DC0">
        <w:rPr>
          <w:rFonts w:ascii="Verdana" w:hAnsi="Verdana"/>
          <w:spacing w:val="-3"/>
        </w:rPr>
        <w:t xml:space="preserve"> </w:t>
      </w:r>
      <w:r w:rsidRPr="004C3DC0">
        <w:rPr>
          <w:rFonts w:ascii="Verdana" w:hAnsi="Verdana"/>
        </w:rPr>
        <w:t>aportes</w:t>
      </w:r>
      <w:r w:rsidRPr="004C3DC0">
        <w:rPr>
          <w:rFonts w:ascii="Verdana" w:hAnsi="Verdana"/>
          <w:spacing w:val="-4"/>
        </w:rPr>
        <w:t xml:space="preserve"> </w:t>
      </w:r>
      <w:r w:rsidRPr="004C3DC0">
        <w:rPr>
          <w:rFonts w:ascii="Verdana" w:hAnsi="Verdana"/>
        </w:rPr>
        <w:t>parafiscales</w:t>
      </w:r>
      <w:r w:rsidRPr="004C3DC0">
        <w:rPr>
          <w:rFonts w:ascii="Verdana" w:hAnsi="Verdana"/>
          <w:spacing w:val="-3"/>
        </w:rPr>
        <w:t xml:space="preserve"> </w:t>
      </w:r>
      <w:r w:rsidRPr="004C3DC0">
        <w:rPr>
          <w:rFonts w:ascii="Verdana" w:hAnsi="Verdana"/>
        </w:rPr>
        <w:t>al</w:t>
      </w:r>
      <w:r w:rsidRPr="004C3DC0">
        <w:rPr>
          <w:rFonts w:ascii="Verdana" w:hAnsi="Verdana"/>
          <w:spacing w:val="-2"/>
        </w:rPr>
        <w:t xml:space="preserve"> </w:t>
      </w:r>
      <w:r w:rsidRPr="004C3DC0">
        <w:rPr>
          <w:rFonts w:ascii="Verdana" w:hAnsi="Verdana"/>
        </w:rPr>
        <w:t>Sistema</w:t>
      </w:r>
      <w:r w:rsidRPr="004C3DC0">
        <w:rPr>
          <w:rFonts w:ascii="Verdana" w:hAnsi="Verdana"/>
          <w:spacing w:val="-5"/>
        </w:rPr>
        <w:t xml:space="preserve"> </w:t>
      </w:r>
      <w:r w:rsidRPr="004C3DC0">
        <w:rPr>
          <w:rFonts w:ascii="Verdana" w:hAnsi="Verdana"/>
        </w:rPr>
        <w:t>de</w:t>
      </w:r>
      <w:r w:rsidRPr="004C3DC0">
        <w:rPr>
          <w:rFonts w:ascii="Verdana" w:hAnsi="Verdana"/>
          <w:spacing w:val="-3"/>
        </w:rPr>
        <w:t xml:space="preserve"> </w:t>
      </w:r>
      <w:r w:rsidRPr="004C3DC0">
        <w:rPr>
          <w:rFonts w:ascii="Verdana" w:hAnsi="Verdana"/>
        </w:rPr>
        <w:t>Seguridad</w:t>
      </w:r>
      <w:r w:rsidRPr="004C3DC0">
        <w:rPr>
          <w:rFonts w:ascii="Verdana" w:hAnsi="Verdana"/>
          <w:spacing w:val="-3"/>
        </w:rPr>
        <w:t xml:space="preserve"> </w:t>
      </w:r>
      <w:r w:rsidRPr="004C3DC0">
        <w:rPr>
          <w:rFonts w:ascii="Verdana" w:hAnsi="Verdana"/>
        </w:rPr>
        <w:t>Social</w:t>
      </w:r>
      <w:r w:rsidRPr="004C3DC0">
        <w:rPr>
          <w:rFonts w:ascii="Verdana" w:hAnsi="Verdana"/>
          <w:spacing w:val="-2"/>
        </w:rPr>
        <w:t xml:space="preserve"> </w:t>
      </w:r>
      <w:r w:rsidRPr="004C3DC0">
        <w:rPr>
          <w:rFonts w:ascii="Verdana" w:hAnsi="Verdana"/>
        </w:rPr>
        <w:t>integral,</w:t>
      </w:r>
      <w:r w:rsidRPr="004C3DC0">
        <w:rPr>
          <w:rFonts w:ascii="Verdana" w:hAnsi="Verdana"/>
          <w:spacing w:val="-5"/>
        </w:rPr>
        <w:t xml:space="preserve"> </w:t>
      </w:r>
      <w:r w:rsidRPr="004C3DC0">
        <w:rPr>
          <w:rFonts w:ascii="Verdana" w:hAnsi="Verdana"/>
        </w:rPr>
        <w:t>al</w:t>
      </w:r>
      <w:r w:rsidRPr="004C3DC0">
        <w:rPr>
          <w:rFonts w:ascii="Verdana" w:hAnsi="Verdana"/>
          <w:spacing w:val="-2"/>
        </w:rPr>
        <w:t xml:space="preserve"> </w:t>
      </w:r>
      <w:r w:rsidRPr="004C3DC0">
        <w:rPr>
          <w:rFonts w:ascii="Verdana" w:hAnsi="Verdana"/>
        </w:rPr>
        <w:t>señalar:</w:t>
      </w:r>
    </w:p>
    <w:p w14:paraId="1762216B" w14:textId="77777777" w:rsidR="00A77A1C" w:rsidRPr="004C3DC0" w:rsidRDefault="00A77A1C" w:rsidP="00A77A1C">
      <w:pPr>
        <w:spacing w:line="240" w:lineRule="auto"/>
        <w:ind w:left="709" w:right="758"/>
        <w:jc w:val="both"/>
        <w:rPr>
          <w:rFonts w:ascii="Verdana" w:hAnsi="Verdana"/>
          <w:sz w:val="20"/>
        </w:rPr>
      </w:pPr>
      <w:r>
        <w:rPr>
          <w:rFonts w:ascii="Verdana" w:hAnsi="Verdana"/>
          <w:sz w:val="20"/>
        </w:rPr>
        <w:lastRenderedPageBreak/>
        <w:t>“</w:t>
      </w:r>
      <w:r w:rsidRPr="004C3DC0">
        <w:rPr>
          <w:rFonts w:ascii="Verdana" w:hAnsi="Verdana"/>
          <w:sz w:val="20"/>
        </w:rPr>
        <w:t>Para</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9"/>
          <w:sz w:val="20"/>
        </w:rPr>
        <w:t xml:space="preserve"> </w:t>
      </w:r>
      <w:r w:rsidRPr="004C3DC0">
        <w:rPr>
          <w:rFonts w:ascii="Verdana" w:hAnsi="Verdana"/>
          <w:sz w:val="20"/>
        </w:rPr>
        <w:t>ejecución</w:t>
      </w:r>
      <w:r w:rsidRPr="004C3DC0">
        <w:rPr>
          <w:rFonts w:ascii="Verdana" w:hAnsi="Verdana"/>
          <w:spacing w:val="6"/>
          <w:sz w:val="20"/>
        </w:rPr>
        <w:t xml:space="preserve"> </w:t>
      </w:r>
      <w:r w:rsidRPr="004C3DC0">
        <w:rPr>
          <w:rFonts w:ascii="Verdana" w:hAnsi="Verdana"/>
          <w:sz w:val="20"/>
        </w:rPr>
        <w:t>se</w:t>
      </w:r>
      <w:r w:rsidRPr="004C3DC0">
        <w:rPr>
          <w:rFonts w:ascii="Verdana" w:hAnsi="Verdana"/>
          <w:spacing w:val="7"/>
          <w:sz w:val="20"/>
        </w:rPr>
        <w:t xml:space="preserve"> </w:t>
      </w:r>
      <w:r w:rsidRPr="004C3DC0">
        <w:rPr>
          <w:rFonts w:ascii="Verdana" w:hAnsi="Verdana"/>
          <w:sz w:val="20"/>
        </w:rPr>
        <w:t>requerirá</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10"/>
          <w:sz w:val="20"/>
        </w:rPr>
        <w:t xml:space="preserve"> </w:t>
      </w:r>
      <w:r w:rsidRPr="004C3DC0">
        <w:rPr>
          <w:rFonts w:ascii="Verdana" w:hAnsi="Verdana"/>
          <w:sz w:val="20"/>
        </w:rPr>
        <w:t>aprobación</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6"/>
          <w:sz w:val="20"/>
        </w:rPr>
        <w:t xml:space="preserve"> </w:t>
      </w:r>
      <w:r w:rsidRPr="004C3DC0">
        <w:rPr>
          <w:rFonts w:ascii="Verdana" w:hAnsi="Verdana"/>
          <w:sz w:val="20"/>
        </w:rPr>
        <w:t>la</w:t>
      </w:r>
      <w:r w:rsidRPr="004C3DC0">
        <w:rPr>
          <w:rFonts w:ascii="Verdana" w:hAnsi="Verdana"/>
          <w:spacing w:val="10"/>
          <w:sz w:val="20"/>
        </w:rPr>
        <w:t xml:space="preserve"> </w:t>
      </w:r>
      <w:r w:rsidRPr="004C3DC0">
        <w:rPr>
          <w:rFonts w:ascii="Verdana" w:hAnsi="Verdana"/>
          <w:sz w:val="20"/>
        </w:rPr>
        <w:t>garantía</w:t>
      </w:r>
      <w:r w:rsidRPr="004C3DC0">
        <w:rPr>
          <w:rFonts w:ascii="Verdana" w:hAnsi="Verdana"/>
          <w:spacing w:val="8"/>
          <w:sz w:val="20"/>
        </w:rPr>
        <w:t xml:space="preserve"> </w:t>
      </w:r>
      <w:r w:rsidRPr="004C3DC0">
        <w:rPr>
          <w:rFonts w:ascii="Verdana" w:hAnsi="Verdana"/>
          <w:sz w:val="20"/>
        </w:rPr>
        <w:t>y</w:t>
      </w:r>
      <w:r w:rsidRPr="004C3DC0">
        <w:rPr>
          <w:rFonts w:ascii="Verdana" w:hAnsi="Verdana"/>
          <w:spacing w:val="4"/>
          <w:sz w:val="20"/>
        </w:rPr>
        <w:t xml:space="preserve"> </w:t>
      </w:r>
      <w:r w:rsidRPr="004C3DC0">
        <w:rPr>
          <w:rFonts w:ascii="Verdana" w:hAnsi="Verdana"/>
          <w:sz w:val="20"/>
        </w:rPr>
        <w:t>de</w:t>
      </w:r>
      <w:r w:rsidRPr="004C3DC0">
        <w:rPr>
          <w:rFonts w:ascii="Verdana" w:hAnsi="Verdana"/>
          <w:spacing w:val="7"/>
          <w:sz w:val="20"/>
        </w:rPr>
        <w:t xml:space="preserve"> </w:t>
      </w:r>
      <w:r w:rsidRPr="004C3DC0">
        <w:rPr>
          <w:rFonts w:ascii="Verdana" w:hAnsi="Verdana"/>
          <w:sz w:val="20"/>
        </w:rPr>
        <w:t>la</w:t>
      </w:r>
      <w:r w:rsidRPr="004C3DC0">
        <w:rPr>
          <w:rFonts w:ascii="Verdana" w:hAnsi="Verdana"/>
          <w:spacing w:val="6"/>
          <w:sz w:val="20"/>
        </w:rPr>
        <w:t xml:space="preserve"> </w:t>
      </w:r>
      <w:r w:rsidRPr="004C3DC0">
        <w:rPr>
          <w:rFonts w:ascii="Verdana" w:hAnsi="Verdana"/>
          <w:sz w:val="20"/>
        </w:rPr>
        <w:t>existencia</w:t>
      </w:r>
      <w:r w:rsidRPr="004C3DC0">
        <w:rPr>
          <w:rFonts w:ascii="Verdana" w:hAnsi="Verdana"/>
          <w:spacing w:val="6"/>
          <w:sz w:val="20"/>
        </w:rPr>
        <w:t xml:space="preserve"> </w:t>
      </w:r>
      <w:r w:rsidRPr="004C3DC0">
        <w:rPr>
          <w:rFonts w:ascii="Verdana" w:hAnsi="Verdana"/>
          <w:sz w:val="20"/>
        </w:rPr>
        <w:t>de</w:t>
      </w:r>
      <w:r w:rsidRPr="004C3DC0">
        <w:rPr>
          <w:rFonts w:ascii="Verdana" w:hAnsi="Verdana"/>
          <w:spacing w:val="7"/>
          <w:sz w:val="20"/>
        </w:rPr>
        <w:t xml:space="preserve"> </w:t>
      </w:r>
      <w:r w:rsidRPr="004C3DC0">
        <w:rPr>
          <w:rFonts w:ascii="Verdana" w:hAnsi="Verdana"/>
          <w:sz w:val="20"/>
        </w:rPr>
        <w:t>las</w:t>
      </w:r>
      <w:r>
        <w:rPr>
          <w:rFonts w:ascii="Verdana" w:hAnsi="Verdana"/>
          <w:sz w:val="20"/>
        </w:rPr>
        <w:t xml:space="preserve"> </w:t>
      </w:r>
      <w:r w:rsidRPr="004C3DC0">
        <w:rPr>
          <w:rFonts w:ascii="Verdana" w:hAnsi="Verdana"/>
          <w:sz w:val="20"/>
        </w:rPr>
        <w:t>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w:t>
      </w:r>
      <w:r w:rsidRPr="004C3DC0">
        <w:rPr>
          <w:rFonts w:ascii="Verdana" w:hAnsi="Verdana"/>
          <w:spacing w:val="-5"/>
          <w:sz w:val="20"/>
        </w:rPr>
        <w:t xml:space="preserve"> </w:t>
      </w:r>
      <w:r w:rsidRPr="004C3DC0">
        <w:rPr>
          <w:rFonts w:ascii="Verdana" w:hAnsi="Verdana"/>
          <w:sz w:val="20"/>
        </w:rPr>
        <w:t>corresponda.</w:t>
      </w:r>
    </w:p>
    <w:p w14:paraId="2AA8D586" w14:textId="77777777" w:rsidR="00A77A1C" w:rsidRDefault="00A77A1C" w:rsidP="00A77A1C">
      <w:pPr>
        <w:spacing w:after="240" w:line="240" w:lineRule="auto"/>
        <w:ind w:left="709" w:right="743"/>
        <w:jc w:val="both"/>
        <w:rPr>
          <w:rFonts w:ascii="Verdana" w:hAnsi="Verdana"/>
          <w:sz w:val="20"/>
        </w:rPr>
      </w:pPr>
      <w:r w:rsidRPr="004C3DC0">
        <w:rPr>
          <w:rFonts w:ascii="Verdana" w:hAnsi="Verdana"/>
          <w:sz w:val="20"/>
        </w:rPr>
        <w:t>Parágrafo 1. El requisito establecido en la parte final del inciso segundo de este artículo deberá acreditarse para la realización de cada pago derivado del contrato estatal</w:t>
      </w:r>
      <w:r>
        <w:rPr>
          <w:rFonts w:ascii="Verdana" w:hAnsi="Verdana"/>
          <w:sz w:val="20"/>
        </w:rPr>
        <w:t xml:space="preserve"> </w:t>
      </w:r>
      <w:r w:rsidRPr="004C3DC0">
        <w:rPr>
          <w:rFonts w:ascii="Verdana" w:hAnsi="Verdana"/>
          <w:sz w:val="20"/>
        </w:rPr>
        <w:t>El servidor público que sin justa causa no verifique el pago de los aportes a que se refiere el presente artículo, incurrirá en causal de mala conducta, que será sancionada con arreglo al régimen disciplinario vigente.</w:t>
      </w:r>
      <w:r>
        <w:rPr>
          <w:rFonts w:ascii="Verdana" w:hAnsi="Verdana"/>
          <w:sz w:val="20"/>
        </w:rPr>
        <w:t>”</w:t>
      </w:r>
    </w:p>
    <w:p w14:paraId="2A142C61" w14:textId="77777777" w:rsidR="00A77A1C" w:rsidRDefault="00A77A1C" w:rsidP="00A77A1C">
      <w:pPr>
        <w:pStyle w:val="Textoindependiente"/>
        <w:spacing w:after="120" w:line="276" w:lineRule="auto"/>
        <w:ind w:right="49" w:firstLine="709"/>
        <w:jc w:val="both"/>
        <w:rPr>
          <w:rFonts w:ascii="Verdana" w:hAnsi="Verdana"/>
        </w:rPr>
      </w:pPr>
      <w:r w:rsidRPr="00202CCF">
        <w:rPr>
          <w:rFonts w:ascii="Verdana" w:hAnsi="Verdana"/>
        </w:rPr>
        <w:t xml:space="preserve">De la lectura integral 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2F74FA4" w14:textId="77777777" w:rsidR="00A77A1C" w:rsidRPr="00E238A1" w:rsidRDefault="00A77A1C" w:rsidP="00A77A1C">
      <w:pPr>
        <w:pStyle w:val="Textoindependiente"/>
        <w:spacing w:after="120" w:line="276" w:lineRule="auto"/>
        <w:ind w:right="49"/>
        <w:jc w:val="both"/>
        <w:rPr>
          <w:rFonts w:ascii="Verdana" w:hAnsi="Verdana"/>
          <w:highlight w:val="green"/>
        </w:rPr>
      </w:pPr>
      <w:r w:rsidRPr="00E94E4B">
        <w:rPr>
          <w:rFonts w:ascii="Verdana" w:hAnsi="Verdana"/>
        </w:rPr>
        <w:t>ii. Ahora bien, integrando las diferentes disposiciones que regulan el deber de</w:t>
      </w:r>
      <w:r w:rsidRPr="001F41BC">
        <w:rPr>
          <w:rFonts w:ascii="Verdana" w:hAnsi="Verdana"/>
        </w:rPr>
        <w:t xml:space="preserv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hAnsi="Verdana"/>
        </w:rPr>
        <w:t xml:space="preserve"> </w:t>
      </w:r>
      <w:r w:rsidRPr="001F41BC">
        <w:rPr>
          <w:rFonts w:ascii="Verdana" w:hAnsi="Verdana"/>
        </w:rPr>
        <w:t>que la acreditación de dicho requisito se realiza en diferentes momentos del proceso contractual, tal como se detalla a continuación</w:t>
      </w:r>
      <w:r>
        <w:rPr>
          <w:rFonts w:ascii="Verdana" w:hAnsi="Verdana"/>
        </w:rPr>
        <w:t>:</w:t>
      </w:r>
      <w:r w:rsidRPr="001F41BC">
        <w:rPr>
          <w:rFonts w:ascii="Verdana" w:hAnsi="Verdana"/>
        </w:rPr>
        <w:t xml:space="preserve"> </w:t>
      </w:r>
    </w:p>
    <w:p w14:paraId="44B72E94" w14:textId="77777777" w:rsidR="00A77A1C" w:rsidRPr="001F41BC" w:rsidRDefault="00A77A1C" w:rsidP="00A77A1C">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 xml:space="preserve">lapso equivalente al que exija el respectivo régimen de contratación para el que se hubiera constituido la sociedad, el cual, </w:t>
      </w:r>
      <w:r w:rsidRPr="001F41BC">
        <w:rPr>
          <w:rFonts w:ascii="Verdana" w:eastAsia="Arial" w:hAnsi="Verdana" w:cs="Arial"/>
          <w:lang w:val="es-ES"/>
        </w:rPr>
        <w:lastRenderedPageBreak/>
        <w:t>en todo caso, no será inferior a los seis (6) meses anteriores a la celebración del contrato</w:t>
      </w:r>
      <w:r w:rsidRPr="001F41BC">
        <w:rPr>
          <w:rStyle w:val="Refdenotaalpie"/>
          <w:rFonts w:ascii="Verdana" w:eastAsia="Arial" w:hAnsi="Verdana" w:cs="Arial"/>
          <w:lang w:val="es-ES"/>
        </w:rPr>
        <w:footnoteReference w:id="5"/>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4282C21A" w14:textId="77777777" w:rsidR="00A77A1C" w:rsidRPr="001F41BC" w:rsidRDefault="00A77A1C" w:rsidP="00A77A1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2D5D2D39" w14:textId="77777777" w:rsidR="00A77A1C" w:rsidRPr="001F41BC" w:rsidRDefault="00A77A1C" w:rsidP="00A77A1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6A9CAC03" w14:textId="77777777" w:rsidR="00A77A1C" w:rsidRPr="001F41BC" w:rsidRDefault="00A77A1C" w:rsidP="00A77A1C">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w:t>
      </w:r>
      <w:r w:rsidRPr="001F41BC">
        <w:rPr>
          <w:rFonts w:ascii="Verdana" w:eastAsia="Arial" w:hAnsi="Verdana" w:cs="Arial"/>
          <w:lang w:val="es-ES"/>
        </w:rPr>
        <w:lastRenderedPageBreak/>
        <w:t xml:space="preserve">realizar cada pago originado en el contrato –parágrafo 1, art. 41 de la Ley 80 de 1993, modificado por el art. 23 de la Ley 1150 de 2007. </w:t>
      </w:r>
    </w:p>
    <w:p w14:paraId="177FD3CC" w14:textId="77777777" w:rsidR="00A77A1C" w:rsidRPr="001F41BC" w:rsidRDefault="00A77A1C" w:rsidP="00A77A1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1DECF162" w14:textId="77777777" w:rsidR="00A77A1C" w:rsidRDefault="00A77A1C" w:rsidP="00A77A1C">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25F4FFE4" w14:textId="77777777" w:rsidR="00A77A1C" w:rsidRPr="0064561F" w:rsidRDefault="00A77A1C" w:rsidP="00A77A1C">
      <w:pPr>
        <w:widowControl w:val="0"/>
        <w:autoSpaceDE w:val="0"/>
        <w:autoSpaceDN w:val="0"/>
        <w:spacing w:after="0" w:line="276" w:lineRule="auto"/>
        <w:ind w:firstLine="709"/>
        <w:jc w:val="both"/>
        <w:rPr>
          <w:rFonts w:ascii="Verdana" w:eastAsia="Arial" w:hAnsi="Verdana" w:cs="Arial"/>
          <w:lang w:val="es-ES"/>
        </w:rPr>
      </w:pPr>
    </w:p>
    <w:p w14:paraId="430985A6" w14:textId="77777777" w:rsidR="00A77A1C" w:rsidRDefault="00A77A1C" w:rsidP="00A77A1C">
      <w:pPr>
        <w:pStyle w:val="Textoindependiente"/>
        <w:spacing w:after="120" w:line="276" w:lineRule="auto"/>
        <w:ind w:right="49"/>
        <w:jc w:val="both"/>
        <w:rPr>
          <w:rFonts w:ascii="Verdana" w:hAnsi="Verdana"/>
        </w:rPr>
      </w:pPr>
      <w:r w:rsidRPr="004D77B7">
        <w:rPr>
          <w:rFonts w:ascii="Verdana" w:hAnsi="Verdana"/>
        </w:rPr>
        <w:t xml:space="preserve">iii. </w:t>
      </w:r>
      <w:r w:rsidRPr="004D77B7">
        <w:rPr>
          <w:rFonts w:ascii="Verdana" w:hAnsi="Verdana"/>
          <w:lang w:val="es-CO"/>
        </w:rPr>
        <w:t xml:space="preserve">En ese contexto, respecto de la obligación de la entidad de exigir al </w:t>
      </w:r>
      <w:r w:rsidRPr="00E90112">
        <w:rPr>
          <w:rFonts w:ascii="Verdana" w:hAnsi="Verdana"/>
          <w:lang w:val="es-CO"/>
        </w:rPr>
        <w:t>contratista el</w:t>
      </w:r>
      <w:r w:rsidRPr="00EA3D04">
        <w:rPr>
          <w:rFonts w:ascii="Verdana" w:hAnsi="Verdana"/>
          <w:lang w:val="es-CO"/>
        </w:rPr>
        <w:t xml:space="preserve"> cumplimiento de sus obligaciones frente al Sistema General de Pensiones, cuando este cumple durante la ejecución del contrato los requisitos para pensionarse, es necesario precisar el alcance de dicha obligación, particularmente en lo relacionado con el pago de las cotizaciones al Sistema de Seguridad Social en Pensiones.</w:t>
      </w:r>
      <w:r>
        <w:rPr>
          <w:rFonts w:ascii="Verdana" w:hAnsi="Verdana"/>
          <w:lang w:val="es-CO"/>
        </w:rPr>
        <w:t xml:space="preserve"> Dicho lo anterior, l</w:t>
      </w:r>
      <w:r>
        <w:rPr>
          <w:rFonts w:ascii="Verdana" w:hAnsi="Verdana"/>
        </w:rPr>
        <w:t>a Le</w:t>
      </w:r>
      <w:r w:rsidRPr="004C3DC0">
        <w:rPr>
          <w:rFonts w:ascii="Verdana" w:hAnsi="Verdana"/>
        </w:rPr>
        <w:t>y 797 de 2003, que regula el Sistema General de Pensiones, en el artículo 3 establece que tienen la obligación de estar afiliados al Sistema General de Pensiones todas las personas naturales que presten directamente servicios al Estado o a las entidades bajo la modalidad de contratos de prestación de</w:t>
      </w:r>
      <w:r w:rsidRPr="004C3DC0">
        <w:rPr>
          <w:rFonts w:ascii="Verdana" w:hAnsi="Verdana"/>
          <w:spacing w:val="-13"/>
        </w:rPr>
        <w:t xml:space="preserve"> </w:t>
      </w:r>
      <w:r w:rsidRPr="004C3DC0">
        <w:rPr>
          <w:rFonts w:ascii="Verdana" w:hAnsi="Verdana"/>
        </w:rPr>
        <w:t>servicios</w:t>
      </w:r>
      <w:r w:rsidRPr="004C3DC0">
        <w:rPr>
          <w:rStyle w:val="Refdenotaalpie"/>
          <w:rFonts w:ascii="Verdana" w:hAnsi="Verdana"/>
        </w:rPr>
        <w:footnoteReference w:id="6"/>
      </w:r>
      <w:r w:rsidRPr="004C3DC0">
        <w:rPr>
          <w:rFonts w:ascii="Verdana" w:hAnsi="Verdana"/>
        </w:rPr>
        <w:t>.</w:t>
      </w:r>
      <w:r w:rsidRPr="005125AD">
        <w:rPr>
          <w:rFonts w:ascii="Verdana" w:hAnsi="Verdana"/>
        </w:rPr>
        <w:t xml:space="preserve"> </w:t>
      </w:r>
    </w:p>
    <w:p w14:paraId="5F591781" w14:textId="77777777" w:rsidR="00A77A1C" w:rsidRDefault="00A77A1C" w:rsidP="00A77A1C">
      <w:pPr>
        <w:pStyle w:val="Textoindependiente"/>
        <w:spacing w:after="120" w:line="276" w:lineRule="auto"/>
        <w:ind w:right="51" w:firstLine="709"/>
        <w:jc w:val="both"/>
        <w:rPr>
          <w:rFonts w:ascii="Verdana" w:hAnsi="Verdana"/>
        </w:rPr>
      </w:pPr>
      <w:r w:rsidRPr="004C3DC0">
        <w:rPr>
          <w:rFonts w:ascii="Verdana" w:hAnsi="Verdana"/>
        </w:rPr>
        <w:t>Ahora bien, el artículo 4 señala</w:t>
      </w:r>
      <w:r>
        <w:rPr>
          <w:rStyle w:val="Refdenotaalpie"/>
          <w:rFonts w:ascii="Verdana" w:hAnsi="Verdana"/>
        </w:rPr>
        <w:footnoteReference w:id="7"/>
      </w:r>
      <w:r w:rsidRPr="004C3DC0">
        <w:rPr>
          <w:rFonts w:ascii="Verdana" w:hAnsi="Verdana"/>
        </w:rPr>
        <w:t xml:space="preserve">, en relación con la cotización al Sistema </w:t>
      </w:r>
      <w:r w:rsidRPr="004C3DC0">
        <w:rPr>
          <w:rFonts w:ascii="Verdana" w:hAnsi="Verdana"/>
        </w:rPr>
        <w:lastRenderedPageBreak/>
        <w:t xml:space="preserve">General </w:t>
      </w:r>
      <w:r w:rsidRPr="004C3DC0">
        <w:rPr>
          <w:rFonts w:ascii="Verdana" w:hAnsi="Verdana"/>
          <w:spacing w:val="-3"/>
        </w:rPr>
        <w:t xml:space="preserve">de </w:t>
      </w:r>
      <w:r w:rsidRPr="004C3DC0">
        <w:rPr>
          <w:rFonts w:ascii="Verdana" w:hAnsi="Verdana"/>
        </w:rPr>
        <w:t>Pensiones, que durante la vigencia del contrato de prestación de servicios se efectuarán cotizaciones obligatorias por parte de los empleadores y contratistas con base en el salario o ingresos por prestación de servicios que ellos devenguen, sin embargo, la obligación de cotizar cesa al momento en que el afiliado reúna los requisitos para acceder a la pensión mínima de vejez, o cuando el afiliado se pensione por invalidez o anticipadamente</w:t>
      </w:r>
      <w:r w:rsidRPr="004C3DC0">
        <w:rPr>
          <w:rStyle w:val="Refdenotaalpie"/>
          <w:rFonts w:ascii="Verdana" w:hAnsi="Verdana"/>
        </w:rPr>
        <w:footnoteReference w:id="8"/>
      </w:r>
      <w:r w:rsidRPr="004C3DC0">
        <w:rPr>
          <w:rFonts w:ascii="Verdana" w:hAnsi="Verdana"/>
        </w:rPr>
        <w:t>. En este sentido, una persona natural que se encuentre pensionada y celebre un contrato con una entidad estatal no está obligada a cotizar al Sistema de Pensiones, por expresa disposición</w:t>
      </w:r>
      <w:r w:rsidRPr="004C3DC0">
        <w:rPr>
          <w:rFonts w:ascii="Verdana" w:hAnsi="Verdana"/>
          <w:spacing w:val="-2"/>
        </w:rPr>
        <w:t xml:space="preserve"> </w:t>
      </w:r>
      <w:r w:rsidRPr="004C3DC0">
        <w:rPr>
          <w:rFonts w:ascii="Verdana" w:hAnsi="Verdana"/>
        </w:rPr>
        <w:t>legal.</w:t>
      </w:r>
    </w:p>
    <w:p w14:paraId="77E7A6C5" w14:textId="77777777" w:rsidR="00A77A1C" w:rsidRPr="00B91533" w:rsidRDefault="00A77A1C" w:rsidP="00A77A1C">
      <w:pPr>
        <w:pStyle w:val="Textoindependiente"/>
        <w:spacing w:after="120" w:line="276" w:lineRule="auto"/>
        <w:ind w:right="49" w:firstLine="709"/>
        <w:jc w:val="both"/>
        <w:rPr>
          <w:rFonts w:ascii="Verdana" w:hAnsi="Verdana"/>
          <w:lang w:val="es-CO"/>
        </w:rPr>
      </w:pPr>
      <w:r w:rsidRPr="00B91533">
        <w:rPr>
          <w:rFonts w:ascii="Verdana" w:hAnsi="Verdana"/>
          <w:lang w:val="es-CO"/>
        </w:rPr>
        <w:t xml:space="preserve">Así las cosas, la obligación de efectuar las cotizaciones pensionales durante la ejecución del contrato no puede analizarse únicamente a partir de la existencia del vínculo contractual, pues la propia legislación contempla una circunstancia que modifica su exigibilidad. En consecuencia, cuando el contratista reúne durante la ejecución contractual los requisitos para acceder a la pensión mínima de vejez, se produce, a partir de ese momento, el cese de la obligación de cotizar al Sistema General de Pensiones, de conformidad con lo previsto expresamente en el artículo 4 de la Ley 797 de 2003. </w:t>
      </w:r>
    </w:p>
    <w:p w14:paraId="0CF5DDE3" w14:textId="77777777" w:rsidR="00A77A1C" w:rsidRDefault="00A77A1C" w:rsidP="00A77A1C">
      <w:pPr>
        <w:pStyle w:val="Textoindependiente"/>
        <w:spacing w:after="120" w:line="276" w:lineRule="auto"/>
        <w:ind w:right="49" w:firstLine="709"/>
        <w:jc w:val="both"/>
        <w:rPr>
          <w:rFonts w:ascii="Verdana" w:hAnsi="Verdana"/>
          <w:lang w:val="es-CO"/>
        </w:rPr>
      </w:pPr>
      <w:r w:rsidRPr="00B91533">
        <w:rPr>
          <w:rFonts w:ascii="Verdana" w:hAnsi="Verdana"/>
          <w:lang w:val="es-CO"/>
        </w:rPr>
        <w:t>Esto resulta relevante para efectos de la obligación de verificación a cargo de la entidad, toda vez que esta no se limita a constatar de manera formal la existencia de un pago al Sistema General de Pensiones, sino que debe verificar el cumplimiento de las obligaciones de seguridad social que resulten exigibles al contratista en cada período de ejecución contractual y, por tanto, atendiendo a las circunstancias jurídicas que determinen su exigibilidad. En ese sentido, si durante la ejecución del contrato se configura el cumplimiento de los requisitos para acceder a la pensión mínima de vejez, será necesario establecer el momento a partir del cual cesó la obligación de cotizar, con el fin de determinar las cotizaciones efectivamente exigibles y, consecuentemente, el alcance de la verificación que debe realizar la entidad para efectos de los pagos contractuales.</w:t>
      </w:r>
    </w:p>
    <w:p w14:paraId="4F4E0CEE" w14:textId="77777777" w:rsidR="00A77A1C" w:rsidRPr="00DD350F" w:rsidRDefault="00A77A1C" w:rsidP="00A77A1C">
      <w:pPr>
        <w:spacing w:after="120" w:line="276" w:lineRule="auto"/>
        <w:jc w:val="both"/>
        <w:rPr>
          <w:rFonts w:ascii="Verdana" w:eastAsia="Century Gothic" w:hAnsi="Verdana" w:cs="Century Gothic"/>
          <w:lang w:val="es-ES"/>
        </w:rPr>
      </w:pPr>
      <w:r w:rsidRPr="004D77B7">
        <w:rPr>
          <w:rFonts w:ascii="Verdana" w:hAnsi="Verdana"/>
        </w:rPr>
        <w:lastRenderedPageBreak/>
        <w:t>iv. De igual forma,</w:t>
      </w:r>
      <w:r w:rsidRPr="004D77B7">
        <w:rPr>
          <w:rFonts w:ascii="Verdana" w:eastAsia="Calibri" w:hAnsi="Verdana" w:cs="Arial"/>
          <w:color w:val="000000" w:themeColor="text1"/>
          <w:lang w:val="es-ES"/>
        </w:rPr>
        <w:t xml:space="preserve"> con respecto </w:t>
      </w:r>
      <w:r w:rsidRPr="004D77B7">
        <w:rPr>
          <w:rFonts w:ascii="Verdana" w:eastAsia="Arial" w:hAnsi="Verdana" w:cs="Arial"/>
          <w:iCs/>
          <w:lang w:val="es-ES"/>
        </w:rPr>
        <w:t xml:space="preserve">a la </w:t>
      </w:r>
      <w:r w:rsidRPr="004D77B7">
        <w:rPr>
          <w:rFonts w:ascii="Verdana" w:eastAsia="Century Gothic" w:hAnsi="Verdana" w:cs="Century Gothic"/>
        </w:rPr>
        <w:t>forma,</w:t>
      </w:r>
      <w:r>
        <w:rPr>
          <w:rFonts w:ascii="Verdana" w:eastAsia="Century Gothic" w:hAnsi="Verdana" w:cs="Century Gothic"/>
        </w:rPr>
        <w:t xml:space="preserve"> los documentos y las fechas en que debe presentarse las cuentas de cobro en los contratos de prestación de servicios</w:t>
      </w:r>
      <w:r w:rsidRPr="00DD350F">
        <w:rPr>
          <w:rFonts w:ascii="Verdana" w:eastAsia="Arial" w:hAnsi="Verdana" w:cs="Arial"/>
          <w:iCs/>
          <w:lang w:val="es-ES"/>
        </w:rPr>
        <w:t xml:space="preserve">, </w:t>
      </w:r>
      <w:r w:rsidRPr="00DD350F">
        <w:rPr>
          <w:rFonts w:ascii="Verdana" w:eastAsia="Calibri" w:hAnsi="Verdana" w:cs="Arial"/>
          <w:bCs/>
          <w:color w:val="000000"/>
          <w:kern w:val="2"/>
          <w14:ligatures w14:val="standardContextual"/>
        </w:rPr>
        <w:t xml:space="preserve">es pertinente precisar que no existe en el Sistema de Compra y Contratación Pública una disposición </w:t>
      </w:r>
      <w:r>
        <w:rPr>
          <w:rFonts w:ascii="Verdana" w:eastAsia="Calibri" w:hAnsi="Verdana" w:cs="Arial"/>
          <w:bCs/>
          <w:color w:val="000000"/>
          <w:kern w:val="2"/>
          <w14:ligatures w14:val="standardContextual"/>
        </w:rPr>
        <w:t>normativa que lo indique</w:t>
      </w:r>
      <w:r w:rsidRPr="00DD350F">
        <w:rPr>
          <w:rFonts w:ascii="Verdana" w:eastAsia="Calibri" w:hAnsi="Verdana" w:cs="Arial"/>
          <w:bCs/>
          <w:color w:val="000000"/>
          <w:kern w:val="2"/>
          <w14:ligatures w14:val="standardContextual"/>
        </w:rPr>
        <w:t xml:space="preserve">, pues en virtud del principio de autonomía de la voluntad, las partes pueden determinar el contenido de los contratos estatales e incluir las condiciones, cláusulas o estipulaciones que consideren necesarias para desarrollar el objeto contractual, </w:t>
      </w:r>
      <w:r>
        <w:rPr>
          <w:rFonts w:ascii="Verdana" w:eastAsia="Calibri" w:hAnsi="Verdana" w:cs="Arial"/>
          <w:bCs/>
          <w:color w:val="000000"/>
          <w:kern w:val="2"/>
          <w14:ligatures w14:val="standardContextual"/>
        </w:rPr>
        <w:t xml:space="preserve">la forma de ejecución, los documentos necesarios para cancelar los honorarios, entre otros aspectos, siempre en consideración de lo que arroja la etapa de planeación a través de los documentos previos. </w:t>
      </w:r>
    </w:p>
    <w:p w14:paraId="0052DA89" w14:textId="77777777" w:rsidR="00A77A1C" w:rsidRDefault="00A77A1C" w:rsidP="00A77A1C">
      <w:pPr>
        <w:spacing w:after="120" w:line="276" w:lineRule="auto"/>
        <w:ind w:firstLine="709"/>
        <w:jc w:val="both"/>
        <w:rPr>
          <w:rFonts w:ascii="Verdana" w:eastAsia="Calibri" w:hAnsi="Verdana" w:cs="Arial"/>
          <w:bCs/>
          <w:color w:val="000000"/>
          <w:kern w:val="2"/>
          <w14:ligatures w14:val="standardContextual"/>
        </w:rPr>
      </w:pPr>
      <w:r w:rsidRPr="00F31A35">
        <w:rPr>
          <w:rFonts w:ascii="Verdana" w:eastAsia="Calibri" w:hAnsi="Verdana" w:cs="Arial"/>
          <w:bCs/>
          <w:color w:val="000000"/>
          <w:kern w:val="2"/>
          <w14:ligatures w14:val="standardContextual"/>
        </w:rPr>
        <w:t xml:space="preserve">En ese sentido, las Entidades Públicas </w:t>
      </w:r>
      <w:r>
        <w:rPr>
          <w:rFonts w:ascii="Verdana" w:eastAsia="Calibri" w:hAnsi="Verdana" w:cs="Arial"/>
          <w:bCs/>
          <w:color w:val="000000"/>
          <w:kern w:val="2"/>
          <w14:ligatures w14:val="standardContextual"/>
        </w:rPr>
        <w:t xml:space="preserve">desde los estudios previos definirán las condiciones del contrato de prestación de servicios a celebrar, plasmado en la minuta del contrato </w:t>
      </w:r>
      <w:r w:rsidRPr="00F31A35">
        <w:rPr>
          <w:rFonts w:ascii="Verdana" w:eastAsia="Calibri" w:hAnsi="Verdana" w:cs="Arial"/>
          <w:bCs/>
          <w:color w:val="000000"/>
          <w:kern w:val="2"/>
          <w14:ligatures w14:val="standardContextual"/>
        </w:rPr>
        <w:t xml:space="preserve">de prestación de servicios profesionales, de apoyo a la gestión y trabajos artísticos. </w:t>
      </w:r>
      <w:bookmarkStart w:id="1" w:name="_Hlk139612360"/>
      <w:r w:rsidRPr="00F31A35">
        <w:rPr>
          <w:rFonts w:ascii="Verdana" w:eastAsia="Calibri" w:hAnsi="Verdana" w:cs="Arial"/>
          <w:bCs/>
          <w:color w:val="000000"/>
          <w:kern w:val="2"/>
          <w14:ligatures w14:val="standardContextual"/>
        </w:rPr>
        <w:t xml:space="preserve">Finalmente, se resalta que en la Ley 80 de 1993, Ley 1150 de 2007 y en el Decreto 1082 de 2015 no se encuentran disposiciones que establezcan </w:t>
      </w:r>
      <w:r>
        <w:rPr>
          <w:rFonts w:ascii="Verdana" w:eastAsia="Calibri" w:hAnsi="Verdana" w:cs="Arial"/>
          <w:bCs/>
          <w:color w:val="000000"/>
          <w:kern w:val="2"/>
          <w14:ligatures w14:val="standardContextual"/>
        </w:rPr>
        <w:t xml:space="preserve">la forma en que deben presentarse las cuentas de cobro, tales como el informe de ejecución </w:t>
      </w:r>
      <w:r w:rsidRPr="001153C9">
        <w:rPr>
          <w:rFonts w:ascii="Verdana" w:eastAsia="Calibri" w:hAnsi="Verdana" w:cs="Arial"/>
          <w:bCs/>
          <w:color w:val="000000"/>
          <w:kern w:val="2"/>
          <w14:ligatures w14:val="standardContextual"/>
        </w:rPr>
        <w:t>o el informe y certificación de cumplimiento</w:t>
      </w:r>
      <w:r>
        <w:rPr>
          <w:rFonts w:ascii="Verdana" w:eastAsia="Calibri" w:hAnsi="Verdana" w:cs="Arial"/>
          <w:bCs/>
          <w:color w:val="000000"/>
          <w:kern w:val="2"/>
          <w14:ligatures w14:val="standardContextual"/>
        </w:rPr>
        <w:t>, así como las fechas para su presentación</w:t>
      </w:r>
      <w:bookmarkStart w:id="2" w:name="_Hlk139612160"/>
      <w:r w:rsidRPr="0037766C">
        <w:rPr>
          <w:rFonts w:ascii="Verdana" w:eastAsia="Calibri" w:hAnsi="Verdana" w:cs="Arial"/>
          <w:bCs/>
          <w:color w:val="000000"/>
          <w:kern w:val="2"/>
          <w14:ligatures w14:val="standardContextual"/>
        </w:rPr>
        <w:t xml:space="preserve">, </w:t>
      </w:r>
      <w:r>
        <w:rPr>
          <w:rFonts w:ascii="Verdana" w:eastAsia="Calibri" w:hAnsi="Verdana" w:cs="Arial"/>
          <w:bCs/>
          <w:color w:val="000000"/>
          <w:kern w:val="2"/>
          <w14:ligatures w14:val="standardContextual"/>
        </w:rPr>
        <w:t>por cuanto esto dependerá de las directrices fijadas al interior de la entidad estatal en su guías, circulares o manuales, que se verán reflejados en las cláusulas contenidas en la minuta del contrato de prestación de servicios</w:t>
      </w:r>
      <w:r w:rsidRPr="00F31A35">
        <w:rPr>
          <w:rFonts w:ascii="Verdana" w:eastAsia="Calibri" w:hAnsi="Verdana" w:cs="Arial"/>
          <w:bCs/>
          <w:color w:val="000000"/>
          <w:kern w:val="2"/>
          <w14:ligatures w14:val="standardContextual"/>
        </w:rPr>
        <w:t>.</w:t>
      </w:r>
      <w:bookmarkEnd w:id="1"/>
      <w:r>
        <w:rPr>
          <w:rFonts w:ascii="Verdana" w:eastAsia="Calibri" w:hAnsi="Verdana" w:cs="Arial"/>
          <w:bCs/>
          <w:color w:val="000000"/>
          <w:kern w:val="2"/>
          <w14:ligatures w14:val="standardContextual"/>
        </w:rPr>
        <w:t xml:space="preserve"> </w:t>
      </w:r>
    </w:p>
    <w:p w14:paraId="0596659B" w14:textId="77777777" w:rsidR="00A77A1C" w:rsidRDefault="00A77A1C" w:rsidP="00A77A1C">
      <w:pPr>
        <w:spacing w:after="120" w:line="276" w:lineRule="auto"/>
        <w:ind w:firstLine="709"/>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 xml:space="preserve">Es importante señalar que dentro de las cuentas de cobro lo que sí resulta obligatorio desde el ámbito normativo, es el cumplimiento de las obligaciones al Sistema de Seguridad Social Integral que deberá asumir el contratista, de conformidad con lo establecido en el artículo 41 de la Ley 80 de 1993. En este contexto, </w:t>
      </w:r>
      <w:r w:rsidRPr="00972554">
        <w:rPr>
          <w:rFonts w:ascii="Verdana" w:eastAsia="Calibri" w:hAnsi="Verdana" w:cs="Arial"/>
          <w:bCs/>
          <w:color w:val="000000"/>
          <w:kern w:val="2"/>
          <w14:ligatures w14:val="standardContextual"/>
        </w:rPr>
        <w:t>resulta indispensable tener en consideración la Circular Externa 00</w:t>
      </w:r>
      <w:r>
        <w:rPr>
          <w:rFonts w:ascii="Verdana" w:eastAsia="Calibri" w:hAnsi="Verdana" w:cs="Arial"/>
          <w:bCs/>
          <w:color w:val="000000"/>
          <w:kern w:val="2"/>
          <w14:ligatures w14:val="standardContextual"/>
        </w:rPr>
        <w:t>1</w:t>
      </w:r>
      <w:r w:rsidRPr="00972554">
        <w:rPr>
          <w:rFonts w:ascii="Verdana" w:eastAsia="Calibri" w:hAnsi="Verdana" w:cs="Arial"/>
          <w:bCs/>
          <w:color w:val="000000"/>
          <w:kern w:val="2"/>
          <w14:ligatures w14:val="standardContextual"/>
        </w:rPr>
        <w:t xml:space="preserve"> del </w:t>
      </w:r>
      <w:r>
        <w:rPr>
          <w:rFonts w:ascii="Verdana" w:eastAsia="Calibri" w:hAnsi="Verdana" w:cs="Arial"/>
          <w:bCs/>
          <w:color w:val="000000"/>
          <w:kern w:val="2"/>
          <w14:ligatures w14:val="standardContextual"/>
        </w:rPr>
        <w:t xml:space="preserve">5 </w:t>
      </w:r>
      <w:r w:rsidRPr="00972554">
        <w:rPr>
          <w:rFonts w:ascii="Verdana" w:eastAsia="Calibri" w:hAnsi="Verdana" w:cs="Arial"/>
          <w:bCs/>
          <w:color w:val="000000"/>
          <w:kern w:val="2"/>
          <w14:ligatures w14:val="standardContextual"/>
        </w:rPr>
        <w:t>de enero de 202</w:t>
      </w:r>
      <w:r>
        <w:rPr>
          <w:rFonts w:ascii="Verdana" w:eastAsia="Calibri" w:hAnsi="Verdana" w:cs="Arial"/>
          <w:bCs/>
          <w:color w:val="000000"/>
          <w:kern w:val="2"/>
          <w14:ligatures w14:val="standardContextual"/>
        </w:rPr>
        <w:t>6</w:t>
      </w:r>
      <w:r>
        <w:rPr>
          <w:rStyle w:val="Refdenotaalpie"/>
          <w:rFonts w:ascii="Verdana" w:eastAsia="Calibri" w:hAnsi="Verdana" w:cs="Arial"/>
          <w:bCs/>
          <w:color w:val="000000"/>
          <w:kern w:val="2"/>
          <w14:ligatures w14:val="standardContextual"/>
        </w:rPr>
        <w:footnoteReference w:id="9"/>
      </w:r>
      <w:r w:rsidRPr="00972554">
        <w:rPr>
          <w:rFonts w:ascii="Verdana" w:eastAsia="Calibri" w:hAnsi="Verdana" w:cs="Arial"/>
          <w:bCs/>
          <w:color w:val="000000"/>
          <w:kern w:val="2"/>
          <w14:ligatures w14:val="standardContextual"/>
        </w:rPr>
        <w:t>, expedida por el Subdirector de Operaciones de la Dirección General de Crédito Público y del Tesoro Nacional, mediante el cual indica en términos generales el calendario del Plan Anual Mensualizado de Caja – en adelante PAC – vigencia fiscal 202</w:t>
      </w:r>
      <w:r>
        <w:rPr>
          <w:rFonts w:ascii="Verdana" w:eastAsia="Calibri" w:hAnsi="Verdana" w:cs="Arial"/>
          <w:bCs/>
          <w:color w:val="000000"/>
          <w:kern w:val="2"/>
          <w14:ligatures w14:val="standardContextual"/>
        </w:rPr>
        <w:t>6</w:t>
      </w:r>
      <w:r w:rsidRPr="00972554">
        <w:rPr>
          <w:rFonts w:ascii="Verdana" w:eastAsia="Calibri" w:hAnsi="Verdana" w:cs="Arial"/>
          <w:bCs/>
          <w:color w:val="000000"/>
          <w:kern w:val="2"/>
          <w14:ligatures w14:val="standardContextual"/>
        </w:rPr>
        <w:t xml:space="preserve"> y aspectos a considerar para su aprobación. En ese escenario, la asignación del PAC se efectuará de manera mensual previa revisión de los ingresos de la Nación y atendiendo los gastos eminentemente básicos del Estado. Las asignaciones del PAC se harán mes </w:t>
      </w:r>
      <w:r w:rsidRPr="00972554">
        <w:rPr>
          <w:rFonts w:ascii="Verdana" w:eastAsia="Calibri" w:hAnsi="Verdana" w:cs="Arial"/>
          <w:bCs/>
          <w:color w:val="000000"/>
          <w:kern w:val="2"/>
          <w14:ligatures w14:val="standardContextual"/>
        </w:rPr>
        <w:lastRenderedPageBreak/>
        <w:t>anticipado, y solo se estudiará su aprobación si media una solicitud previamente registrada en SIIF- Nación.</w:t>
      </w:r>
    </w:p>
    <w:p w14:paraId="75C4A8C0" w14:textId="77777777" w:rsidR="00A77A1C" w:rsidRPr="00E76E81" w:rsidRDefault="00A77A1C" w:rsidP="00A77A1C">
      <w:pPr>
        <w:spacing w:after="120" w:line="276" w:lineRule="auto"/>
        <w:ind w:firstLine="709"/>
        <w:jc w:val="both"/>
        <w:rPr>
          <w:rFonts w:ascii="Verdana" w:eastAsia="Calibri" w:hAnsi="Verdana" w:cs="Arial"/>
        </w:rPr>
      </w:pPr>
      <w:r w:rsidRPr="0094332D">
        <w:rPr>
          <w:rFonts w:ascii="Verdana" w:eastAsia="Calibri" w:hAnsi="Verdana" w:cs="Arial"/>
        </w:rPr>
        <w:t>Estas deberán contener una justificación consistente sobre el uso que se dará a los recursos solicitados, agrupando los conceptos del gasto con sus respectivos valores, de mayor a menor.</w:t>
      </w:r>
      <w:r>
        <w:rPr>
          <w:rFonts w:ascii="Verdana" w:eastAsia="Calibri" w:hAnsi="Verdana" w:cs="Arial"/>
        </w:rPr>
        <w:t xml:space="preserve"> Así mismo, determinó un calendario correspondiente al año fiscal 2026 que deberá ser adoptado por parte de las entidades del estado. Con base en lo anterior, será la Entidad Estatal la competente para determinar en el PAC los recursos necesarios para hacerlos efectivos, previo el cumplimiento de los lineamientos determinados por parte de la Dirección General de Crédito Público y del Tesoro Nacional y lo establecido en las cláusulas del contrato de prestación de servicios, pues el contenido debe determinar la forma de pago y el procedimiento para ello.</w:t>
      </w:r>
      <w:bookmarkEnd w:id="2"/>
    </w:p>
    <w:p w14:paraId="148AB3DE" w14:textId="77777777" w:rsidR="00A77A1C" w:rsidRPr="00A17E1B" w:rsidRDefault="00A77A1C" w:rsidP="00A77A1C">
      <w:pPr>
        <w:spacing w:after="120" w:line="276" w:lineRule="auto"/>
        <w:jc w:val="both"/>
        <w:rPr>
          <w:rFonts w:ascii="Verdana" w:hAnsi="Verdana" w:cs="Arial"/>
          <w:color w:val="EE0000"/>
        </w:rPr>
      </w:pPr>
      <w:r w:rsidRPr="004D77B7">
        <w:rPr>
          <w:rFonts w:ascii="Verdana" w:hAnsi="Verdana" w:cs="Arial"/>
        </w:rPr>
        <w:t xml:space="preserve">v. </w:t>
      </w:r>
      <w:r w:rsidRPr="004D77B7">
        <w:rPr>
          <w:rFonts w:ascii="Verdana" w:eastAsia="Calibri" w:hAnsi="Verdana" w:cs="Arial"/>
        </w:rPr>
        <w:t>Finalmente, es pertinente indicar que la Agencia Nacional de Contratación</w:t>
      </w:r>
      <w:r w:rsidRPr="000D42B5">
        <w:rPr>
          <w:rFonts w:ascii="Verdana" w:eastAsia="Calibri" w:hAnsi="Verdana" w:cs="Arial"/>
        </w:rPr>
        <w:t xml:space="preserve">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r w:rsidRPr="000D42B5">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p w14:paraId="2822FE60" w14:textId="77777777" w:rsidR="00A77A1C" w:rsidRPr="00253B1F" w:rsidRDefault="00A77A1C" w:rsidP="00A77A1C">
      <w:pPr>
        <w:spacing w:after="0" w:line="276" w:lineRule="auto"/>
        <w:jc w:val="both"/>
        <w:rPr>
          <w:rFonts w:ascii="Verdana" w:eastAsia="Century Gothic" w:hAnsi="Verdana" w:cs="Century Gothic"/>
          <w:b/>
          <w:lang w:val="es-ES"/>
        </w:rPr>
      </w:pPr>
      <w:r w:rsidRPr="00253B1F">
        <w:rPr>
          <w:rFonts w:ascii="Verdana" w:eastAsia="Century Gothic" w:hAnsi="Verdana" w:cs="Century Gothic"/>
          <w:b/>
          <w:lang w:val="es-ES"/>
        </w:rPr>
        <w:t>4. Referencias normativas, jurisprudenciales y otras fuentes:</w:t>
      </w:r>
    </w:p>
    <w:p w14:paraId="61858197" w14:textId="77777777" w:rsidR="00A77A1C" w:rsidRPr="00A17E1B" w:rsidRDefault="00A77A1C" w:rsidP="00A77A1C">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77A1C" w:rsidRPr="00A17E1B" w14:paraId="04C05471" w14:textId="77777777" w:rsidTr="00394903">
        <w:trPr>
          <w:trHeight w:val="311"/>
        </w:trPr>
        <w:tc>
          <w:tcPr>
            <w:tcW w:w="8647" w:type="dxa"/>
          </w:tcPr>
          <w:p w14:paraId="59C95A17" w14:textId="77777777" w:rsidR="00A77A1C" w:rsidRPr="008F1770" w:rsidRDefault="00A77A1C" w:rsidP="00A77A1C">
            <w:pPr>
              <w:widowControl w:val="0"/>
              <w:numPr>
                <w:ilvl w:val="0"/>
                <w:numId w:val="16"/>
              </w:numPr>
              <w:autoSpaceDE w:val="0"/>
              <w:autoSpaceDN w:val="0"/>
              <w:ind w:left="720"/>
              <w:jc w:val="both"/>
              <w:rPr>
                <w:rFonts w:ascii="Verdana" w:eastAsia="Calibri" w:hAnsi="Verdana" w:cs="Arial"/>
                <w:lang w:val="es-ES"/>
              </w:rPr>
            </w:pPr>
            <w:r w:rsidRPr="008F1770">
              <w:rPr>
                <w:rFonts w:ascii="Verdana" w:eastAsia="Calibri" w:hAnsi="Verdana" w:cs="Arial"/>
                <w:lang w:val="es-ES"/>
              </w:rPr>
              <w:t>Ley 80 de 1993. Artículo 41.</w:t>
            </w:r>
          </w:p>
          <w:p w14:paraId="1C921533" w14:textId="77777777" w:rsidR="00A77A1C" w:rsidRPr="008F1770" w:rsidRDefault="00A77A1C" w:rsidP="00A77A1C">
            <w:pPr>
              <w:widowControl w:val="0"/>
              <w:numPr>
                <w:ilvl w:val="0"/>
                <w:numId w:val="16"/>
              </w:numPr>
              <w:autoSpaceDE w:val="0"/>
              <w:autoSpaceDN w:val="0"/>
              <w:spacing w:before="120" w:after="120"/>
              <w:ind w:left="714" w:hanging="357"/>
              <w:jc w:val="both"/>
              <w:rPr>
                <w:rFonts w:ascii="Verdana" w:eastAsia="Calibri" w:hAnsi="Verdana" w:cs="Arial"/>
                <w:lang w:val="es-ES"/>
              </w:rPr>
            </w:pPr>
            <w:r w:rsidRPr="008F1770">
              <w:rPr>
                <w:rFonts w:ascii="Verdana" w:eastAsia="Calibri" w:hAnsi="Verdana" w:cs="Arial"/>
                <w:lang w:val="es-ES"/>
              </w:rPr>
              <w:t>Ley 100 de 1993. Artículos 10, 17 y 61.</w:t>
            </w:r>
          </w:p>
          <w:p w14:paraId="2B440E22" w14:textId="77777777" w:rsidR="00A77A1C" w:rsidRPr="008F1770" w:rsidRDefault="00A77A1C" w:rsidP="00A77A1C">
            <w:pPr>
              <w:widowControl w:val="0"/>
              <w:numPr>
                <w:ilvl w:val="0"/>
                <w:numId w:val="16"/>
              </w:numPr>
              <w:autoSpaceDE w:val="0"/>
              <w:autoSpaceDN w:val="0"/>
              <w:spacing w:after="120"/>
              <w:ind w:left="714" w:hanging="357"/>
              <w:jc w:val="both"/>
              <w:rPr>
                <w:rFonts w:ascii="Verdana" w:eastAsia="Calibri" w:hAnsi="Verdana" w:cs="Arial"/>
                <w:lang w:val="es-ES"/>
              </w:rPr>
            </w:pPr>
            <w:r w:rsidRPr="008F1770">
              <w:rPr>
                <w:rFonts w:ascii="Verdana" w:eastAsia="Calibri" w:hAnsi="Verdana" w:cs="Arial"/>
                <w:lang w:val="es-ES"/>
              </w:rPr>
              <w:t>Ley 789 de 2002. Artículo 50.</w:t>
            </w:r>
          </w:p>
          <w:p w14:paraId="6CDF0890" w14:textId="77777777" w:rsidR="00A77A1C" w:rsidRPr="008F1770" w:rsidRDefault="00A77A1C" w:rsidP="00A77A1C">
            <w:pPr>
              <w:widowControl w:val="0"/>
              <w:numPr>
                <w:ilvl w:val="0"/>
                <w:numId w:val="16"/>
              </w:numPr>
              <w:autoSpaceDE w:val="0"/>
              <w:autoSpaceDN w:val="0"/>
              <w:spacing w:after="120"/>
              <w:ind w:left="714" w:hanging="357"/>
              <w:jc w:val="both"/>
              <w:rPr>
                <w:rFonts w:ascii="Verdana" w:eastAsia="Calibri" w:hAnsi="Verdana" w:cs="Arial"/>
                <w:lang w:val="es-ES"/>
              </w:rPr>
            </w:pPr>
            <w:r w:rsidRPr="008F1770">
              <w:rPr>
                <w:rFonts w:ascii="Verdana" w:eastAsia="Calibri" w:hAnsi="Verdana" w:cs="Arial"/>
                <w:lang w:val="es-ES"/>
              </w:rPr>
              <w:t>Ley 793 de 2003. Artículo 3.</w:t>
            </w:r>
          </w:p>
          <w:p w14:paraId="435870D3" w14:textId="77777777" w:rsidR="00A77A1C" w:rsidRPr="008F1770" w:rsidRDefault="00A77A1C" w:rsidP="00A77A1C">
            <w:pPr>
              <w:widowControl w:val="0"/>
              <w:numPr>
                <w:ilvl w:val="0"/>
                <w:numId w:val="16"/>
              </w:numPr>
              <w:autoSpaceDE w:val="0"/>
              <w:autoSpaceDN w:val="0"/>
              <w:spacing w:after="120"/>
              <w:ind w:left="714" w:hanging="357"/>
              <w:jc w:val="both"/>
              <w:rPr>
                <w:rFonts w:ascii="Verdana" w:eastAsia="Calibri" w:hAnsi="Verdana" w:cs="Arial"/>
                <w:lang w:val="es-ES"/>
              </w:rPr>
            </w:pPr>
            <w:r w:rsidRPr="008F1770">
              <w:rPr>
                <w:rFonts w:ascii="Verdana" w:eastAsia="Calibri" w:hAnsi="Verdana" w:cs="Arial"/>
                <w:lang w:val="es-ES"/>
              </w:rPr>
              <w:t>Ley 1150 de 2007. Artículos 3, 4 y 23.</w:t>
            </w:r>
          </w:p>
          <w:p w14:paraId="32ED39E0" w14:textId="77777777" w:rsidR="00A77A1C" w:rsidRPr="008F1770" w:rsidRDefault="00A77A1C" w:rsidP="00A77A1C">
            <w:pPr>
              <w:widowControl w:val="0"/>
              <w:numPr>
                <w:ilvl w:val="0"/>
                <w:numId w:val="16"/>
              </w:numPr>
              <w:autoSpaceDE w:val="0"/>
              <w:autoSpaceDN w:val="0"/>
              <w:spacing w:after="120"/>
              <w:ind w:left="714" w:hanging="357"/>
              <w:jc w:val="both"/>
              <w:rPr>
                <w:rFonts w:ascii="Verdana" w:eastAsia="Calibri" w:hAnsi="Verdana" w:cs="Arial"/>
                <w:lang w:val="es-ES"/>
              </w:rPr>
            </w:pPr>
            <w:r w:rsidRPr="008F1770">
              <w:rPr>
                <w:rFonts w:ascii="Verdana" w:eastAsia="Calibri" w:hAnsi="Verdana" w:cs="Arial"/>
                <w:lang w:val="es-ES"/>
              </w:rPr>
              <w:t xml:space="preserve">Consejo de Estado. Sala de lo Contencioso Administrativo. Sección </w:t>
            </w:r>
            <w:r w:rsidRPr="008F1770">
              <w:rPr>
                <w:rFonts w:ascii="Verdana" w:eastAsia="Calibri" w:hAnsi="Verdana" w:cs="Arial"/>
                <w:lang w:val="es-ES"/>
              </w:rPr>
              <w:lastRenderedPageBreak/>
              <w:t>Tercera. Subsección C. Sentencia del 8 de junio de 2011. Radicado No. 20001-23-31-000-2005-00409-01(AP). C.P: Enrique Gil Botero.</w:t>
            </w:r>
          </w:p>
          <w:p w14:paraId="51D21D71" w14:textId="77777777" w:rsidR="00A77A1C" w:rsidRPr="00EA08CA" w:rsidRDefault="00A77A1C" w:rsidP="00A77A1C">
            <w:pPr>
              <w:pStyle w:val="Prrafodelista"/>
              <w:numPr>
                <w:ilvl w:val="0"/>
                <w:numId w:val="16"/>
              </w:numPr>
              <w:ind w:left="720"/>
              <w:jc w:val="both"/>
              <w:rPr>
                <w:rFonts w:ascii="Verdana" w:eastAsia="Calibri" w:hAnsi="Verdana" w:cs="Arial"/>
              </w:rPr>
            </w:pPr>
            <w:r w:rsidRPr="00EA08CA">
              <w:rPr>
                <w:rFonts w:ascii="Verdana" w:eastAsia="Calibri" w:hAnsi="Verdana" w:cs="Arial"/>
              </w:rPr>
              <w:t xml:space="preserve">Ministerio de Hacienda y Crédito Público. Circular Externa 001 enero 05 2026 - Calendario PAC. Disponible en el siguiente enlace: </w:t>
            </w:r>
            <w:hyperlink r:id="rId12" w:history="1">
              <w:r w:rsidRPr="00DD0A97">
                <w:rPr>
                  <w:rStyle w:val="Hipervnculo"/>
                  <w:rFonts w:ascii="Verdana" w:eastAsia="Calibri" w:hAnsi="Verdana" w:cs="Arial"/>
                </w:rPr>
                <w:t>https://www.minhacienda.gov.co/siif/ciclo-de-negocios/programacion-anual-de-caja</w:t>
              </w:r>
            </w:hyperlink>
            <w:r>
              <w:rPr>
                <w:rFonts w:ascii="Verdana" w:eastAsia="Calibri" w:hAnsi="Verdana" w:cs="Arial"/>
              </w:rPr>
              <w:t xml:space="preserve"> </w:t>
            </w:r>
          </w:p>
        </w:tc>
      </w:tr>
    </w:tbl>
    <w:p w14:paraId="6174251A" w14:textId="77777777" w:rsidR="00A77A1C" w:rsidRPr="00A17E1B" w:rsidRDefault="00A77A1C" w:rsidP="00A77A1C">
      <w:pPr>
        <w:widowControl w:val="0"/>
        <w:autoSpaceDE w:val="0"/>
        <w:autoSpaceDN w:val="0"/>
        <w:spacing w:after="0" w:line="276" w:lineRule="auto"/>
        <w:jc w:val="both"/>
        <w:rPr>
          <w:rFonts w:ascii="Verdana" w:hAnsi="Verdana" w:cs="Arial"/>
          <w:color w:val="EE0000"/>
          <w:lang w:val="es-ES"/>
        </w:rPr>
      </w:pPr>
    </w:p>
    <w:p w14:paraId="3FC03D2C" w14:textId="77777777" w:rsidR="00A77A1C" w:rsidRPr="00253B1F" w:rsidRDefault="00A77A1C" w:rsidP="00A77A1C">
      <w:pPr>
        <w:tabs>
          <w:tab w:val="left" w:pos="142"/>
          <w:tab w:val="left" w:pos="284"/>
        </w:tabs>
        <w:spacing w:after="0" w:line="276" w:lineRule="auto"/>
        <w:jc w:val="both"/>
        <w:rPr>
          <w:rFonts w:ascii="Verdana" w:eastAsia="Century Gothic" w:hAnsi="Verdana" w:cs="Century Gothic"/>
          <w:b/>
          <w:lang w:val="es-ES"/>
        </w:rPr>
      </w:pPr>
      <w:r w:rsidRPr="00253B1F">
        <w:rPr>
          <w:rFonts w:ascii="Verdana" w:eastAsia="Century Gothic" w:hAnsi="Verdana" w:cs="Century Gothic"/>
          <w:b/>
          <w:lang w:val="es-ES"/>
        </w:rPr>
        <w:t>5. Doctrina de la Agencia Nacional de Contratación Pública:</w:t>
      </w:r>
    </w:p>
    <w:p w14:paraId="4CF79BF2" w14:textId="77777777" w:rsidR="00A77A1C" w:rsidRDefault="00A77A1C" w:rsidP="00A77A1C">
      <w:pPr>
        <w:spacing w:after="0" w:line="276" w:lineRule="auto"/>
        <w:jc w:val="both"/>
        <w:rPr>
          <w:rFonts w:ascii="Verdana" w:eastAsia="Calibri" w:hAnsi="Verdana" w:cs="Arial"/>
          <w:lang w:val="es-ES"/>
        </w:rPr>
      </w:pPr>
    </w:p>
    <w:p w14:paraId="52268062" w14:textId="77777777" w:rsidR="00A77A1C" w:rsidRPr="002A4F47" w:rsidRDefault="00A77A1C" w:rsidP="00A77A1C">
      <w:pPr>
        <w:spacing w:line="276" w:lineRule="auto"/>
        <w:jc w:val="both"/>
        <w:rPr>
          <w:rFonts w:ascii="Verdana" w:hAnsi="Verdana" w:cs="Arial"/>
          <w:shd w:val="clear" w:color="auto" w:fill="FFFFFF"/>
          <w:lang w:val="es-ES"/>
        </w:rPr>
      </w:pPr>
      <w:r w:rsidRPr="000D42B5">
        <w:rPr>
          <w:rFonts w:ascii="Verdana" w:eastAsia="Calibri" w:hAnsi="Verdana" w:cs="Arial"/>
          <w:lang w:val="es-ES"/>
        </w:rPr>
        <w:t xml:space="preserve">La Agencia Nacional de Contratación Pública – Colombia Compra Eficiente se ha referido </w:t>
      </w:r>
      <w:r w:rsidRPr="000D42B5">
        <w:rPr>
          <w:rFonts w:ascii="Verdana" w:hAnsi="Verdana" w:cs="Arial"/>
          <w:shd w:val="clear" w:color="auto" w:fill="FFFFFF"/>
          <w:lang w:val="es-ES"/>
        </w:rPr>
        <w:t xml:space="preserve">sobre </w:t>
      </w:r>
      <w:r>
        <w:rPr>
          <w:rFonts w:ascii="Verdana" w:hAnsi="Verdana" w:cs="Arial"/>
          <w:shd w:val="clear" w:color="auto" w:fill="FFFFFF"/>
          <w:lang w:val="es-ES"/>
        </w:rPr>
        <w:t>el Sistema de Seguridad Social Integral en la contratación estatal en los conceptos con radicado</w:t>
      </w:r>
      <w:r w:rsidRPr="00F6599C">
        <w:rPr>
          <w:rFonts w:ascii="Verdana" w:hAnsi="Verdana" w:cs="Arial"/>
          <w:shd w:val="clear" w:color="auto" w:fill="FFFFFF"/>
        </w:rPr>
        <w:t xml:space="preserve"> C-040 de</w:t>
      </w:r>
      <w:r>
        <w:rPr>
          <w:rFonts w:ascii="Verdana" w:hAnsi="Verdana" w:cs="Arial"/>
          <w:shd w:val="clear" w:color="auto" w:fill="FFFFFF"/>
        </w:rPr>
        <w:t>l</w:t>
      </w:r>
      <w:r w:rsidRPr="00F6599C">
        <w:rPr>
          <w:rFonts w:ascii="Verdana" w:hAnsi="Verdana" w:cs="Arial"/>
          <w:shd w:val="clear" w:color="auto" w:fill="FFFFFF"/>
        </w:rPr>
        <w:t xml:space="preserve"> </w:t>
      </w:r>
      <w:r>
        <w:rPr>
          <w:rFonts w:ascii="Verdana" w:hAnsi="Verdana" w:cs="Arial"/>
          <w:shd w:val="clear" w:color="auto" w:fill="FFFFFF"/>
        </w:rPr>
        <w:t>0</w:t>
      </w:r>
      <w:r w:rsidRPr="00F6599C">
        <w:rPr>
          <w:rFonts w:ascii="Verdana" w:hAnsi="Verdana" w:cs="Arial"/>
          <w:shd w:val="clear" w:color="auto" w:fill="FFFFFF"/>
        </w:rPr>
        <w:t>5 de febrero de 2020, C-042 de</w:t>
      </w:r>
      <w:r>
        <w:rPr>
          <w:rFonts w:ascii="Verdana" w:hAnsi="Verdana" w:cs="Arial"/>
          <w:shd w:val="clear" w:color="auto" w:fill="FFFFFF"/>
        </w:rPr>
        <w:t>l</w:t>
      </w:r>
      <w:r w:rsidRPr="00F6599C">
        <w:rPr>
          <w:rFonts w:ascii="Verdana" w:hAnsi="Verdana" w:cs="Arial"/>
          <w:shd w:val="clear" w:color="auto" w:fill="FFFFFF"/>
        </w:rPr>
        <w:t xml:space="preserve"> </w:t>
      </w:r>
      <w:r>
        <w:rPr>
          <w:rFonts w:ascii="Verdana" w:hAnsi="Verdana" w:cs="Arial"/>
          <w:shd w:val="clear" w:color="auto" w:fill="FFFFFF"/>
        </w:rPr>
        <w:t>0</w:t>
      </w:r>
      <w:r w:rsidRPr="00F6599C">
        <w:rPr>
          <w:rFonts w:ascii="Verdana" w:hAnsi="Verdana" w:cs="Arial"/>
          <w:shd w:val="clear" w:color="auto" w:fill="FFFFFF"/>
        </w:rPr>
        <w:t xml:space="preserve">5 de febrero de 2020, C-134 del 7 de abril 2021, C-038 del </w:t>
      </w:r>
      <w:r>
        <w:rPr>
          <w:rFonts w:ascii="Verdana" w:hAnsi="Verdana" w:cs="Arial"/>
          <w:shd w:val="clear" w:color="auto" w:fill="FFFFFF"/>
        </w:rPr>
        <w:t>01</w:t>
      </w:r>
      <w:r w:rsidRPr="00F6599C">
        <w:rPr>
          <w:rFonts w:ascii="Verdana" w:hAnsi="Verdana" w:cs="Arial"/>
          <w:shd w:val="clear" w:color="auto" w:fill="FFFFFF"/>
        </w:rPr>
        <w:t xml:space="preserve">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C-655 del 17 de junio de 2025, C-1705 del 22 de diciembre de 2025, </w:t>
      </w:r>
      <w:r w:rsidRPr="002A4F47">
        <w:rPr>
          <w:rFonts w:ascii="Verdana" w:hAnsi="Verdana" w:cs="Arial"/>
          <w:shd w:val="clear" w:color="auto" w:fill="FFFFFF"/>
        </w:rPr>
        <w:t>C-305 del 10 de abril de 2026,</w:t>
      </w:r>
      <w:r>
        <w:rPr>
          <w:rFonts w:ascii="Verdana" w:hAnsi="Verdana" w:cs="Arial"/>
          <w:shd w:val="clear" w:color="auto" w:fill="FFFFFF"/>
        </w:rPr>
        <w:t xml:space="preserve"> C-490 del 07 de mayo de 2026, </w:t>
      </w:r>
      <w:r>
        <w:rPr>
          <w:rFonts w:ascii="Verdana" w:hAnsi="Verdana" w:cs="Arial"/>
          <w:shd w:val="clear" w:color="auto" w:fill="FFFFFF"/>
          <w:lang w:val="es-ES"/>
        </w:rPr>
        <w:t xml:space="preserve">C-1371 del 20 de septiembre de 2026, C-1329 </w:t>
      </w:r>
      <w:r w:rsidRPr="002A4F47">
        <w:rPr>
          <w:rFonts w:ascii="Verdana" w:hAnsi="Verdana" w:cs="Arial"/>
          <w:shd w:val="clear" w:color="auto" w:fill="FFFFFF"/>
          <w:lang w:val="es-ES"/>
        </w:rPr>
        <w:t>del 30 de septiembre de 2026, entre otros.</w:t>
      </w:r>
    </w:p>
    <w:p w14:paraId="2A1817E7" w14:textId="77777777" w:rsidR="00A77A1C" w:rsidRDefault="00A77A1C" w:rsidP="00A77A1C">
      <w:pPr>
        <w:widowControl w:val="0"/>
        <w:autoSpaceDE w:val="0"/>
        <w:autoSpaceDN w:val="0"/>
        <w:spacing w:line="276" w:lineRule="auto"/>
        <w:jc w:val="both"/>
        <w:rPr>
          <w:rFonts w:ascii="Verdana" w:hAnsi="Verdana" w:cs="Arial"/>
          <w:color w:val="EE0000"/>
          <w:u w:val="single"/>
          <w:shd w:val="clear" w:color="auto" w:fill="FFFFFF"/>
          <w:lang w:val="es-ES"/>
        </w:rPr>
      </w:pPr>
      <w:r w:rsidRPr="00EF3E79">
        <w:rPr>
          <w:rFonts w:ascii="Verdana" w:hAnsi="Verdana" w:cs="Arial"/>
          <w:shd w:val="clear" w:color="auto" w:fill="FFFFFF"/>
          <w:lang w:val="es-ES"/>
        </w:rPr>
        <w:t>Estos</w:t>
      </w:r>
      <w:r w:rsidRPr="00EF3E79">
        <w:rPr>
          <w:rFonts w:ascii="Verdana" w:hAnsi="Verdana"/>
          <w:lang w:val="es-ES"/>
        </w:rPr>
        <w:t xml:space="preserve"> y otros se encuentran disponibles para consulta en el Sistema de relatoría de la Agencia, al cual se puede acceder a través del siguiente enlace:</w:t>
      </w:r>
      <w:r w:rsidRPr="00EF3E79">
        <w:rPr>
          <w:rFonts w:ascii="Verdana" w:hAnsi="Verdana" w:cs="Arial"/>
          <w:shd w:val="clear" w:color="auto" w:fill="FFFFFF"/>
          <w:lang w:val="es-ES"/>
        </w:rPr>
        <w:t xml:space="preserve"> </w:t>
      </w:r>
      <w:hyperlink r:id="rId13" w:history="1">
        <w:r w:rsidRPr="00DD0A97">
          <w:rPr>
            <w:rStyle w:val="Hipervnculo"/>
            <w:rFonts w:ascii="Verdana" w:hAnsi="Verdana" w:cs="Arial"/>
            <w:shd w:val="clear" w:color="auto" w:fill="FFFFFF"/>
            <w:lang w:val="es-ES"/>
          </w:rPr>
          <w:t>https://relatoria.colombiacompra.gov.co/busqueda/conceptos</w:t>
        </w:r>
      </w:hyperlink>
      <w:r>
        <w:rPr>
          <w:rFonts w:ascii="Verdana" w:hAnsi="Verdana" w:cs="Arial"/>
          <w:color w:val="EE0000"/>
          <w:u w:val="single"/>
          <w:shd w:val="clear" w:color="auto" w:fill="FFFFFF"/>
          <w:lang w:val="es-ES"/>
        </w:rPr>
        <w:t xml:space="preserve"> </w:t>
      </w:r>
    </w:p>
    <w:p w14:paraId="7959CCC2" w14:textId="77777777" w:rsidR="00A77A1C" w:rsidRPr="00EF3E79" w:rsidRDefault="00A77A1C" w:rsidP="00A77A1C">
      <w:pPr>
        <w:widowControl w:val="0"/>
        <w:autoSpaceDE w:val="0"/>
        <w:autoSpaceDN w:val="0"/>
        <w:spacing w:line="276" w:lineRule="auto"/>
        <w:jc w:val="both"/>
        <w:rPr>
          <w:rFonts w:ascii="Verdana" w:hAnsi="Verdana"/>
          <w:color w:val="EE0000"/>
        </w:rPr>
      </w:pPr>
      <w:r w:rsidRPr="00EF3E7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F3E79">
        <w:rPr>
          <w:rFonts w:ascii="Verdana" w:hAnsi="Verdana"/>
          <w:b/>
          <w:bCs/>
        </w:rPr>
        <w:t>Guía para la Exigencia y Constitución de Garantías en los Procesos de Contratación</w:t>
      </w:r>
      <w:r w:rsidRPr="00EF3E7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EF3E79">
        <w:rPr>
          <w:rFonts w:ascii="Verdana" w:hAnsi="Verdana"/>
          <w:color w:val="EE0000"/>
        </w:rPr>
        <w:t> </w:t>
      </w:r>
      <w:hyperlink r:id="rId14" w:tgtFrame="_blank" w:tooltip="Dirección URL original: https://www.colombiacompra.gov.co/archivos/manual/guia-de-garantias-en-procesos-de-contratacion. Haga clic o pulse si confía en este vínculo." w:history="1">
        <w:r w:rsidRPr="00EF3E79">
          <w:rPr>
            <w:rStyle w:val="Hipervnculo"/>
            <w:rFonts w:ascii="Verdana" w:hAnsi="Verdana"/>
          </w:rPr>
          <w:t>https://www.colombiacompra.gov.co/archivos/manual/guia-de-garantias-en-procesos-de-contratacion</w:t>
        </w:r>
      </w:hyperlink>
    </w:p>
    <w:p w14:paraId="05113880" w14:textId="77777777" w:rsidR="00A77A1C" w:rsidRPr="00EF3E79" w:rsidRDefault="00A77A1C" w:rsidP="00A77A1C">
      <w:pPr>
        <w:spacing w:after="0" w:line="276" w:lineRule="auto"/>
        <w:jc w:val="both"/>
        <w:rPr>
          <w:rFonts w:ascii="Verdana" w:hAnsi="Verdana"/>
          <w:color w:val="EE0000"/>
        </w:rPr>
      </w:pPr>
    </w:p>
    <w:p w14:paraId="00B12A18" w14:textId="77777777" w:rsidR="00A77A1C" w:rsidRPr="00EF3E79" w:rsidRDefault="00A77A1C" w:rsidP="00A77A1C">
      <w:pPr>
        <w:spacing w:after="0" w:line="276" w:lineRule="auto"/>
        <w:jc w:val="both"/>
        <w:rPr>
          <w:rFonts w:ascii="Verdana" w:hAnsi="Verdana"/>
          <w:color w:val="EE0000"/>
        </w:rPr>
      </w:pPr>
      <w:r w:rsidRPr="00EF3E79">
        <w:rPr>
          <w:rFonts w:ascii="Verdana" w:hAnsi="Verdana"/>
        </w:rPr>
        <w:t xml:space="preserve">De otro lado, te contamos que el Decreto 287 del 19 de marzo de 2026 sustituyó los artículos 2.2.1.2.4.2.6., 2.2.1.2.4.2.7. y 2.2.1.2.4.2.8. del Decreto 1082 de </w:t>
      </w:r>
      <w:r w:rsidRPr="00EF3E79">
        <w:rPr>
          <w:rFonts w:ascii="Verdana" w:hAnsi="Verdana"/>
        </w:rPr>
        <w:lastRenderedPageBreak/>
        <w:t>2015 y estructuró el </w:t>
      </w:r>
      <w:r w:rsidRPr="00EF3E79">
        <w:rPr>
          <w:rFonts w:ascii="Verdana" w:hAnsi="Verdana"/>
          <w:b/>
          <w:bCs/>
        </w:rPr>
        <w:t>Sistema Integral de Preferencias en favor de las personas con discapacidad</w:t>
      </w:r>
      <w:r w:rsidRPr="00EF3E79">
        <w:rPr>
          <w:rFonts w:ascii="Verdana" w:hAnsi="Verdana"/>
        </w:rPr>
        <w:t>, en cumplimiento del artículo 13 de la Ley Estatutaria 1618 de 2013. Para orientar su aplicación, esta Agencia expidió la </w:t>
      </w:r>
      <w:r w:rsidRPr="00EF3E79">
        <w:rPr>
          <w:rFonts w:ascii="Verdana" w:hAnsi="Verdana"/>
          <w:b/>
          <w:bCs/>
        </w:rPr>
        <w:t>Circular Externa 003 del 12 de mayo de 2026, </w:t>
      </w:r>
      <w:r w:rsidRPr="00EF3E7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EF3E79">
        <w:rPr>
          <w:rFonts w:ascii="Verdana" w:hAnsi="Verdana"/>
          <w:color w:val="EE0000"/>
        </w:rPr>
        <w:t> </w:t>
      </w:r>
      <w:hyperlink r:id="rId15" w:tgtFrame="_blank" w:tooltip="Dirección URL original: https://www.colombiacompra.gov.co/archivos/circular/circular-externa-003-de-2026. Haga clic o pulse si confía en este vínculo." w:history="1">
        <w:r w:rsidRPr="00EF3E79">
          <w:rPr>
            <w:rStyle w:val="Hipervnculo"/>
            <w:rFonts w:ascii="Verdana" w:hAnsi="Verdana"/>
          </w:rPr>
          <w:t>https://www.colombiacompra.gov.co/archivos/circular/circular-externa-003-de-2026</w:t>
        </w:r>
      </w:hyperlink>
    </w:p>
    <w:p w14:paraId="27A898E9" w14:textId="77777777" w:rsidR="00A77A1C" w:rsidRPr="00EF3E79" w:rsidRDefault="00A77A1C" w:rsidP="00A77A1C">
      <w:pPr>
        <w:spacing w:after="0" w:line="276" w:lineRule="auto"/>
        <w:jc w:val="both"/>
        <w:rPr>
          <w:rFonts w:ascii="Verdana" w:hAnsi="Verdana"/>
          <w:color w:val="EE0000"/>
        </w:rPr>
      </w:pPr>
    </w:p>
    <w:p w14:paraId="09FEF359" w14:textId="77777777" w:rsidR="00A77A1C" w:rsidRPr="00EF3E79" w:rsidRDefault="00A77A1C" w:rsidP="00A77A1C">
      <w:pPr>
        <w:spacing w:after="0" w:line="276" w:lineRule="auto"/>
        <w:jc w:val="both"/>
        <w:rPr>
          <w:rFonts w:ascii="Verdana" w:hAnsi="Verdana"/>
          <w:color w:val="EE0000"/>
        </w:rPr>
      </w:pPr>
      <w:r w:rsidRPr="00EF3E79">
        <w:rPr>
          <w:rFonts w:ascii="Verdana" w:hAnsi="Verdana"/>
        </w:rPr>
        <w:t>Recuerda también que la</w:t>
      </w:r>
      <w:r w:rsidRPr="00EF3E79">
        <w:rPr>
          <w:rFonts w:ascii="Verdana" w:hAnsi="Verdana"/>
          <w:b/>
          <w:bCs/>
        </w:rPr>
        <w:t> información sobre sanciones e inhabilidades </w:t>
      </w:r>
      <w:r w:rsidRPr="00EF3E79">
        <w:rPr>
          <w:rFonts w:ascii="Verdana" w:hAnsi="Verdana"/>
        </w:rPr>
        <w:t>solo cumple su función preventiva si llega oportunamente a los registros públicos. Sobre este deber, esta Agencia expidió la </w:t>
      </w:r>
      <w:r w:rsidRPr="00EF3E79">
        <w:rPr>
          <w:rFonts w:ascii="Verdana" w:hAnsi="Verdana"/>
          <w:b/>
          <w:bCs/>
        </w:rPr>
        <w:t>Circular Externa 002 del 5 de mayo de 2026,</w:t>
      </w:r>
      <w:r w:rsidRPr="00EF3E7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EF3E79">
          <w:rPr>
            <w:rStyle w:val="Hipervnculo"/>
            <w:rFonts w:ascii="Verdana" w:hAnsi="Verdana"/>
          </w:rPr>
          <w:t>https://www.colombiacompra.gov.co/archivos/circular/circular-externa-002-de-2026</w:t>
        </w:r>
      </w:hyperlink>
    </w:p>
    <w:p w14:paraId="14CA4E00" w14:textId="77777777" w:rsidR="00A77A1C" w:rsidRPr="00EF3E79" w:rsidRDefault="00A77A1C" w:rsidP="00A77A1C">
      <w:pPr>
        <w:spacing w:after="0" w:line="276" w:lineRule="auto"/>
        <w:jc w:val="both"/>
        <w:rPr>
          <w:rFonts w:ascii="Verdana" w:hAnsi="Verdana"/>
          <w:color w:val="EE0000"/>
        </w:rPr>
      </w:pPr>
    </w:p>
    <w:p w14:paraId="301F1BB9" w14:textId="77777777" w:rsidR="00A77A1C" w:rsidRPr="00EF3E79" w:rsidRDefault="00A77A1C" w:rsidP="00A77A1C">
      <w:pPr>
        <w:spacing w:after="0" w:line="276" w:lineRule="auto"/>
        <w:jc w:val="both"/>
        <w:rPr>
          <w:rFonts w:ascii="Verdana" w:hAnsi="Verdana"/>
          <w:color w:val="EE0000"/>
        </w:rPr>
      </w:pPr>
      <w:r w:rsidRPr="00EF3E79">
        <w:rPr>
          <w:rFonts w:ascii="Verdana" w:hAnsi="Verdana"/>
        </w:rPr>
        <w:t>Finalmente, si quieres seguir de cerca la actividad de la Agencia, la tercera edición de 2026 del</w:t>
      </w:r>
      <w:r w:rsidRPr="00EF3E79">
        <w:rPr>
          <w:rFonts w:ascii="Verdana" w:hAnsi="Verdana"/>
          <w:b/>
          <w:bCs/>
        </w:rPr>
        <w:t> Radar de la Compra Pública</w:t>
      </w:r>
      <w:r w:rsidRPr="00EF3E7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EF3E79">
        <w:rPr>
          <w:rFonts w:ascii="Verdana" w:hAnsi="Verdana"/>
          <w:color w:val="EE0000"/>
        </w:rPr>
        <w:t> </w:t>
      </w:r>
      <w:hyperlink r:id="rId17" w:tgtFrame="_blank" w:tooltip="Dirección URL original: https://www.colombiacompra.gov.co/archivos/boletin/boletin-edicion-n-3-de-2026-radar-de-la-compra-publica. Haga clic o pulse si confía en este vínculo." w:history="1">
        <w:r w:rsidRPr="00EF3E79">
          <w:rPr>
            <w:rStyle w:val="Hipervnculo"/>
            <w:rFonts w:ascii="Verdana" w:hAnsi="Verdana"/>
          </w:rPr>
          <w:t>https://www.colombiacompra.gov.co/archivos/boletin/boletin-edicion-n-3-de-2026-radar-de-la-compra-publica</w:t>
        </w:r>
      </w:hyperlink>
    </w:p>
    <w:p w14:paraId="34774F81" w14:textId="77777777" w:rsidR="00A77A1C" w:rsidRPr="00EF3E79" w:rsidRDefault="00A77A1C" w:rsidP="00A77A1C">
      <w:pPr>
        <w:spacing w:after="0" w:line="276" w:lineRule="auto"/>
        <w:jc w:val="both"/>
        <w:rPr>
          <w:rFonts w:ascii="Verdana" w:hAnsi="Verdana" w:cs="Arial"/>
          <w:shd w:val="clear" w:color="auto" w:fill="FFFFFF"/>
        </w:rPr>
      </w:pPr>
    </w:p>
    <w:p w14:paraId="6031C80A" w14:textId="77777777" w:rsidR="00A77A1C" w:rsidRPr="00EF3E79" w:rsidRDefault="00A77A1C" w:rsidP="00A77A1C">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Por último, lo invitamos a seguirnos en las redes sociales en las cuales se difunde información institucional: </w:t>
      </w:r>
    </w:p>
    <w:p w14:paraId="70D4045B" w14:textId="77777777" w:rsidR="00A77A1C" w:rsidRPr="00EF3E79" w:rsidRDefault="00A77A1C" w:rsidP="00A77A1C">
      <w:pPr>
        <w:spacing w:after="0" w:line="276" w:lineRule="auto"/>
        <w:jc w:val="both"/>
        <w:rPr>
          <w:rFonts w:ascii="Verdana" w:hAnsi="Verdana" w:cs="Arial"/>
          <w:shd w:val="clear" w:color="auto" w:fill="FFFFFF"/>
        </w:rPr>
      </w:pPr>
    </w:p>
    <w:p w14:paraId="10B7FB9E" w14:textId="77777777" w:rsidR="00A77A1C" w:rsidRPr="00EF3E79" w:rsidRDefault="00A77A1C" w:rsidP="00A77A1C">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Twitter: </w:t>
      </w:r>
      <w:r w:rsidRPr="00EF3E79">
        <w:rPr>
          <w:rStyle w:val="Hipervnculo"/>
          <w:rFonts w:ascii="Verdana" w:hAnsi="Verdana"/>
        </w:rPr>
        <w:t>@colombiacompra</w:t>
      </w:r>
      <w:r w:rsidRPr="00EF3E79">
        <w:rPr>
          <w:rFonts w:ascii="Verdana" w:hAnsi="Verdana" w:cs="Arial"/>
          <w:shd w:val="clear" w:color="auto" w:fill="FFFFFF"/>
        </w:rPr>
        <w:t xml:space="preserve"> </w:t>
      </w:r>
    </w:p>
    <w:p w14:paraId="7D3C86E1" w14:textId="77777777" w:rsidR="00A77A1C" w:rsidRPr="00EF3E79" w:rsidRDefault="00A77A1C" w:rsidP="00A77A1C">
      <w:pPr>
        <w:spacing w:after="0" w:line="276" w:lineRule="auto"/>
        <w:jc w:val="both"/>
        <w:rPr>
          <w:rFonts w:ascii="Verdana" w:hAnsi="Verdana" w:cs="Arial"/>
          <w:shd w:val="clear" w:color="auto" w:fill="FFFFFF"/>
        </w:rPr>
      </w:pPr>
      <w:r w:rsidRPr="00EF3E79">
        <w:rPr>
          <w:rFonts w:ascii="Verdana" w:hAnsi="Verdana" w:cs="Arial"/>
          <w:shd w:val="clear" w:color="auto" w:fill="FFFFFF"/>
        </w:rPr>
        <w:t>Facebook:</w:t>
      </w:r>
      <w:r w:rsidRPr="00EF3E79">
        <w:rPr>
          <w:rStyle w:val="Hipervnculo"/>
          <w:rFonts w:ascii="Verdana" w:hAnsi="Verdana"/>
          <w:color w:val="auto"/>
          <w:lang w:val="es-ES"/>
        </w:rPr>
        <w:t xml:space="preserve"> </w:t>
      </w:r>
      <w:r w:rsidRPr="00EF3E79">
        <w:rPr>
          <w:rStyle w:val="Hipervnculo"/>
          <w:rFonts w:ascii="Verdana" w:hAnsi="Verdana"/>
        </w:rPr>
        <w:t>ColombiaCompraEficiente</w:t>
      </w:r>
    </w:p>
    <w:p w14:paraId="160F6592" w14:textId="77777777" w:rsidR="00A77A1C" w:rsidRPr="00EF3E79" w:rsidRDefault="00A77A1C" w:rsidP="00A77A1C">
      <w:pPr>
        <w:spacing w:after="0" w:line="276" w:lineRule="auto"/>
        <w:jc w:val="both"/>
        <w:rPr>
          <w:rFonts w:ascii="Verdana" w:hAnsi="Verdana" w:cs="Arial"/>
          <w:shd w:val="clear" w:color="auto" w:fill="FFFFFF"/>
        </w:rPr>
      </w:pPr>
      <w:r w:rsidRPr="00EF3E79">
        <w:rPr>
          <w:rFonts w:ascii="Verdana" w:hAnsi="Verdana" w:cs="Arial"/>
          <w:shd w:val="clear" w:color="auto" w:fill="FFFFFF"/>
        </w:rPr>
        <w:lastRenderedPageBreak/>
        <w:t xml:space="preserve">LinkedIn: </w:t>
      </w:r>
      <w:r w:rsidRPr="00EF3E79">
        <w:rPr>
          <w:rStyle w:val="Hipervnculo"/>
          <w:rFonts w:ascii="Verdana" w:hAnsi="Verdana"/>
        </w:rPr>
        <w:t>Agencia Nacional de Contratación Pública - Colombia Compra Eficiente</w:t>
      </w:r>
      <w:r w:rsidRPr="00EF3E79">
        <w:rPr>
          <w:rFonts w:ascii="Verdana" w:hAnsi="Verdana" w:cs="Arial"/>
          <w:shd w:val="clear" w:color="auto" w:fill="FFFFFF"/>
        </w:rPr>
        <w:t xml:space="preserve"> </w:t>
      </w:r>
    </w:p>
    <w:p w14:paraId="67B84104" w14:textId="77777777" w:rsidR="00A77A1C" w:rsidRPr="00EF3E79" w:rsidRDefault="00A77A1C" w:rsidP="00A77A1C">
      <w:pPr>
        <w:spacing w:after="0" w:line="276" w:lineRule="auto"/>
        <w:jc w:val="both"/>
        <w:rPr>
          <w:rFonts w:ascii="Verdana" w:hAnsi="Verdana" w:cs="Arial"/>
          <w:shd w:val="clear" w:color="auto" w:fill="FFFFFF"/>
        </w:rPr>
      </w:pPr>
      <w:r w:rsidRPr="00EF3E79">
        <w:rPr>
          <w:rFonts w:ascii="Verdana" w:hAnsi="Verdana" w:cs="Arial"/>
          <w:shd w:val="clear" w:color="auto" w:fill="FFFFFF"/>
        </w:rPr>
        <w:t xml:space="preserve">Instagram: </w:t>
      </w:r>
      <w:r w:rsidRPr="00EF3E79">
        <w:rPr>
          <w:rStyle w:val="Hipervnculo"/>
          <w:rFonts w:ascii="Verdana" w:hAnsi="Verdana"/>
        </w:rPr>
        <w:t>@colombiacompraeficiente_cce</w:t>
      </w:r>
    </w:p>
    <w:p w14:paraId="22A33263" w14:textId="77777777" w:rsidR="00A77A1C" w:rsidRPr="00EF3E79" w:rsidRDefault="00A77A1C" w:rsidP="00A77A1C">
      <w:pPr>
        <w:widowControl w:val="0"/>
        <w:autoSpaceDE w:val="0"/>
        <w:autoSpaceDN w:val="0"/>
        <w:spacing w:after="0" w:line="276" w:lineRule="auto"/>
        <w:jc w:val="both"/>
        <w:rPr>
          <w:rFonts w:ascii="Verdana" w:hAnsi="Verdana" w:cs="Arial"/>
          <w:lang w:val="es-ES"/>
        </w:rPr>
      </w:pPr>
    </w:p>
    <w:p w14:paraId="69D0C413" w14:textId="77777777" w:rsidR="00A77A1C" w:rsidRPr="00EF3E79" w:rsidRDefault="00A77A1C" w:rsidP="00A77A1C">
      <w:pPr>
        <w:widowControl w:val="0"/>
        <w:autoSpaceDE w:val="0"/>
        <w:autoSpaceDN w:val="0"/>
        <w:spacing w:after="0" w:line="276" w:lineRule="auto"/>
        <w:jc w:val="both"/>
        <w:rPr>
          <w:rFonts w:ascii="Verdana" w:hAnsi="Verdana" w:cs="Arial"/>
          <w:lang w:val="es-ES"/>
        </w:rPr>
      </w:pPr>
      <w:r w:rsidRPr="00EF3E7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8FEEB04" w14:textId="77777777" w:rsidR="00A77A1C" w:rsidRPr="00EF3E79" w:rsidRDefault="00A77A1C" w:rsidP="00A77A1C">
      <w:pPr>
        <w:widowControl w:val="0"/>
        <w:autoSpaceDE w:val="0"/>
        <w:autoSpaceDN w:val="0"/>
        <w:spacing w:after="0" w:line="276" w:lineRule="auto"/>
        <w:jc w:val="both"/>
        <w:rPr>
          <w:rFonts w:ascii="Verdana" w:hAnsi="Verdana" w:cs="Arial"/>
          <w:lang w:val="es-ES"/>
        </w:rPr>
      </w:pPr>
    </w:p>
    <w:p w14:paraId="07D515DB" w14:textId="6213F490" w:rsidR="00A77A1C" w:rsidRPr="002D0D2B" w:rsidRDefault="00A77A1C" w:rsidP="002D0D2B">
      <w:pPr>
        <w:spacing w:after="0" w:line="276" w:lineRule="auto"/>
        <w:rPr>
          <w:rFonts w:ascii="Verdana" w:hAnsi="Verdana" w:cs="Arial"/>
          <w:lang w:val="es-ES" w:eastAsia="es-CO"/>
        </w:rPr>
      </w:pPr>
      <w:r w:rsidRPr="00EF3E79">
        <w:rPr>
          <w:rFonts w:ascii="Verdana" w:eastAsia="Times New Roman" w:hAnsi="Verdana" w:cs="Arial"/>
          <w:lang w:val="es-ES" w:eastAsia="es-CO"/>
        </w:rPr>
        <w:t>Atentamente,</w:t>
      </w:r>
      <w:r w:rsidRPr="00EF3E79">
        <w:rPr>
          <w:rFonts w:ascii="Verdana" w:hAnsi="Verdana" w:cs="Arial"/>
          <w:lang w:val="es-ES" w:eastAsia="es-CO"/>
        </w:rPr>
        <w:t xml:space="preserve"> </w:t>
      </w:r>
    </w:p>
    <w:p w14:paraId="14B417A7" w14:textId="1BC2068E" w:rsidR="00A77A1C" w:rsidRPr="00EF3E79" w:rsidRDefault="002D0D2B" w:rsidP="00A77A1C">
      <w:pPr>
        <w:spacing w:after="0" w:line="276" w:lineRule="auto"/>
        <w:jc w:val="center"/>
        <w:rPr>
          <w:rFonts w:ascii="Verdana" w:hAnsi="Verdana"/>
          <w:noProof/>
          <w:color w:val="ED7D31" w:themeColor="accent2"/>
        </w:rPr>
      </w:pPr>
      <w:r w:rsidRPr="002D0D2B">
        <w:rPr>
          <w:rFonts w:ascii="Verdana" w:hAnsi="Verdana"/>
          <w:noProof/>
          <w:color w:val="ED7D31" w:themeColor="accent2"/>
        </w:rPr>
        <w:drawing>
          <wp:inline distT="0" distB="0" distL="0" distR="0" wp14:anchorId="7D822A42" wp14:editId="059C1A6B">
            <wp:extent cx="3048425" cy="1038370"/>
            <wp:effectExtent l="0" t="0" r="0" b="9525"/>
            <wp:docPr id="1556583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83682" name=""/>
                    <pic:cNvPicPr/>
                  </pic:nvPicPr>
                  <pic:blipFill>
                    <a:blip r:embed="rId18"/>
                    <a:stretch>
                      <a:fillRect/>
                    </a:stretch>
                  </pic:blipFill>
                  <pic:spPr>
                    <a:xfrm>
                      <a:off x="0" y="0"/>
                      <a:ext cx="3048425" cy="1038370"/>
                    </a:xfrm>
                    <a:prstGeom prst="rect">
                      <a:avLst/>
                    </a:prstGeom>
                  </pic:spPr>
                </pic:pic>
              </a:graphicData>
            </a:graphic>
          </wp:inline>
        </w:drawing>
      </w:r>
    </w:p>
    <w:p w14:paraId="4797DAD8" w14:textId="77777777" w:rsidR="00A77A1C" w:rsidRPr="00EF3E79" w:rsidRDefault="00A77A1C" w:rsidP="00A77A1C">
      <w:pPr>
        <w:spacing w:after="0" w:line="276" w:lineRule="auto"/>
        <w:jc w:val="center"/>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77A1C" w:rsidRPr="00EF3E79" w14:paraId="4E3261E8" w14:textId="77777777" w:rsidTr="00394903">
        <w:trPr>
          <w:trHeight w:val="315"/>
        </w:trPr>
        <w:tc>
          <w:tcPr>
            <w:tcW w:w="893" w:type="dxa"/>
            <w:vAlign w:val="center"/>
            <w:hideMark/>
          </w:tcPr>
          <w:p w14:paraId="27B37433" w14:textId="77777777" w:rsidR="00A77A1C" w:rsidRPr="00EF3E79" w:rsidRDefault="00A77A1C" w:rsidP="00394903">
            <w:pPr>
              <w:contextualSpacing/>
              <w:rPr>
                <w:rFonts w:ascii="Verdana" w:hAnsi="Verdana" w:cs="Arial"/>
                <w:sz w:val="16"/>
                <w:szCs w:val="16"/>
                <w:lang w:val="es-ES" w:eastAsia="es-ES"/>
              </w:rPr>
            </w:pPr>
            <w:r w:rsidRPr="00EF3E7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7D994D" w14:textId="77777777" w:rsidR="00A77A1C" w:rsidRPr="00EF3E79" w:rsidRDefault="00A77A1C" w:rsidP="00394903">
            <w:pPr>
              <w:rPr>
                <w:rFonts w:ascii="Verdana" w:eastAsia="Times New Roman" w:hAnsi="Verdana" w:cs="Arial"/>
                <w:sz w:val="16"/>
                <w:szCs w:val="16"/>
                <w:lang w:eastAsia="es-ES"/>
              </w:rPr>
            </w:pPr>
            <w:r w:rsidRPr="00EF3E79">
              <w:rPr>
                <w:rFonts w:ascii="Verdana" w:eastAsia="Times New Roman" w:hAnsi="Verdana" w:cs="Arial"/>
                <w:sz w:val="16"/>
                <w:szCs w:val="16"/>
                <w:lang w:eastAsia="es-ES"/>
              </w:rPr>
              <w:t>Camila Alejandra Naranjo Gómez</w:t>
            </w:r>
          </w:p>
          <w:p w14:paraId="2F6EF178" w14:textId="77777777" w:rsidR="00A77A1C" w:rsidRPr="00EF3E79" w:rsidRDefault="00A77A1C" w:rsidP="00394903">
            <w:pPr>
              <w:contextualSpacing/>
              <w:rPr>
                <w:rFonts w:ascii="Verdana" w:eastAsia="Arial" w:hAnsi="Verdana" w:cs="Arial"/>
                <w:sz w:val="16"/>
                <w:szCs w:val="16"/>
                <w:lang w:val="es-ES"/>
              </w:rPr>
            </w:pPr>
            <w:r w:rsidRPr="00EF3E79">
              <w:rPr>
                <w:rFonts w:ascii="Verdana" w:eastAsia="Times New Roman" w:hAnsi="Verdana" w:cs="Arial"/>
                <w:sz w:val="16"/>
                <w:szCs w:val="16"/>
                <w:lang w:eastAsia="es-ES"/>
              </w:rPr>
              <w:t>Analista T2-02 de la Subdirección de Gestión Contractual</w:t>
            </w:r>
          </w:p>
        </w:tc>
      </w:tr>
      <w:tr w:rsidR="00A77A1C" w:rsidRPr="00EF3E79" w14:paraId="7C113079" w14:textId="77777777" w:rsidTr="00394903">
        <w:trPr>
          <w:trHeight w:val="330"/>
        </w:trPr>
        <w:tc>
          <w:tcPr>
            <w:tcW w:w="893" w:type="dxa"/>
            <w:vAlign w:val="center"/>
            <w:hideMark/>
          </w:tcPr>
          <w:p w14:paraId="7DE2EEE6" w14:textId="77777777" w:rsidR="00A77A1C" w:rsidRPr="00EF3E79" w:rsidRDefault="00A77A1C" w:rsidP="00394903">
            <w:pPr>
              <w:contextualSpacing/>
              <w:rPr>
                <w:rFonts w:ascii="Verdana" w:hAnsi="Verdana" w:cs="Arial"/>
                <w:sz w:val="16"/>
                <w:szCs w:val="16"/>
                <w:lang w:val="es-ES" w:eastAsia="es-ES"/>
              </w:rPr>
            </w:pPr>
            <w:r w:rsidRPr="00EF3E7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F3E3CC" w14:textId="77777777" w:rsidR="00A77A1C" w:rsidRPr="00EF3E79" w:rsidRDefault="00A77A1C" w:rsidP="00394903">
            <w:pPr>
              <w:rPr>
                <w:rFonts w:ascii="Verdana" w:eastAsia="Times New Roman" w:hAnsi="Verdana" w:cs="Arial"/>
                <w:sz w:val="16"/>
                <w:szCs w:val="16"/>
                <w:lang w:eastAsia="es-ES"/>
              </w:rPr>
            </w:pPr>
            <w:r>
              <w:rPr>
                <w:rFonts w:ascii="Verdana" w:eastAsia="Times New Roman" w:hAnsi="Verdana" w:cs="Arial"/>
                <w:sz w:val="16"/>
                <w:szCs w:val="16"/>
                <w:lang w:eastAsia="es-ES"/>
              </w:rPr>
              <w:t>Diana Lucía Saavedra Castañeda</w:t>
            </w:r>
          </w:p>
          <w:p w14:paraId="7876AE7F" w14:textId="77777777" w:rsidR="00A77A1C" w:rsidRPr="00EF3E79" w:rsidRDefault="00A77A1C" w:rsidP="00394903">
            <w:pPr>
              <w:pStyle w:val="paragraph"/>
              <w:spacing w:before="0" w:beforeAutospacing="0" w:after="0" w:afterAutospacing="0"/>
              <w:contextualSpacing/>
              <w:textAlignment w:val="baseline"/>
              <w:rPr>
                <w:rFonts w:ascii="Verdana" w:hAnsi="Verdana" w:cs="Segoe UI"/>
                <w:sz w:val="16"/>
                <w:szCs w:val="16"/>
                <w:lang w:val="es-ES"/>
              </w:rPr>
            </w:pPr>
            <w:r w:rsidRPr="00EF3E79">
              <w:rPr>
                <w:rFonts w:ascii="Verdana" w:hAnsi="Verdana" w:cs="Arial"/>
                <w:sz w:val="16"/>
                <w:szCs w:val="16"/>
                <w:lang w:eastAsia="es-ES"/>
              </w:rPr>
              <w:t>Contratista de la Subdirección de Gestión Contractual</w:t>
            </w:r>
          </w:p>
        </w:tc>
      </w:tr>
      <w:tr w:rsidR="00A77A1C" w:rsidRPr="00EF3E79" w14:paraId="23809BE9" w14:textId="77777777" w:rsidTr="00394903">
        <w:trPr>
          <w:trHeight w:val="300"/>
        </w:trPr>
        <w:tc>
          <w:tcPr>
            <w:tcW w:w="893" w:type="dxa"/>
            <w:vAlign w:val="center"/>
          </w:tcPr>
          <w:p w14:paraId="3A7D995A" w14:textId="77777777" w:rsidR="00A77A1C" w:rsidRPr="00EF3E79" w:rsidRDefault="00A77A1C" w:rsidP="00394903">
            <w:pPr>
              <w:contextualSpacing/>
              <w:rPr>
                <w:rFonts w:ascii="Verdana" w:hAnsi="Verdana" w:cs="Arial"/>
                <w:sz w:val="16"/>
                <w:szCs w:val="16"/>
                <w:lang w:val="es-ES" w:eastAsia="es-ES"/>
              </w:rPr>
            </w:pPr>
            <w:r w:rsidRPr="00EF3E7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70F439" w14:textId="77777777" w:rsidR="00A77A1C" w:rsidRPr="00EF3E79" w:rsidRDefault="00A77A1C" w:rsidP="00394903">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Carolina Quintero Gacharná</w:t>
            </w:r>
          </w:p>
          <w:p w14:paraId="2B562971" w14:textId="77777777" w:rsidR="00A77A1C" w:rsidRPr="00EF3E79" w:rsidRDefault="00A77A1C" w:rsidP="00394903">
            <w:pPr>
              <w:contextualSpacing/>
              <w:rPr>
                <w:rFonts w:ascii="Verdana" w:eastAsia="Calibri" w:hAnsi="Verdana" w:cs="Arial"/>
                <w:sz w:val="16"/>
                <w:szCs w:val="16"/>
                <w:lang w:val="es-ES" w:eastAsia="es-ES"/>
              </w:rPr>
            </w:pPr>
            <w:r w:rsidRPr="00EF3E79">
              <w:rPr>
                <w:rFonts w:ascii="Verdana" w:eastAsia="Calibri" w:hAnsi="Verdana" w:cs="Arial"/>
                <w:sz w:val="16"/>
                <w:szCs w:val="16"/>
                <w:lang w:val="es-ES" w:eastAsia="es-ES"/>
              </w:rPr>
              <w:t>Subdirectora de Gestión Contractual ANCP – CCE</w:t>
            </w:r>
          </w:p>
        </w:tc>
      </w:tr>
      <w:bookmarkEnd w:id="0"/>
    </w:tbl>
    <w:p w14:paraId="17E9F48A" w14:textId="77777777" w:rsidR="00A77A1C" w:rsidRPr="00EF3E79" w:rsidRDefault="00A77A1C" w:rsidP="00A77A1C">
      <w:pPr>
        <w:spacing w:after="120" w:line="276" w:lineRule="auto"/>
        <w:jc w:val="both"/>
        <w:rPr>
          <w:rFonts w:ascii="Verdana" w:eastAsia="Century Gothic" w:hAnsi="Verdana" w:cs="Century Gothic"/>
          <w:b/>
          <w:color w:val="ED7D31" w:themeColor="accent2"/>
          <w:lang w:val="es-ES"/>
        </w:rPr>
      </w:pPr>
    </w:p>
    <w:p w14:paraId="05572322" w14:textId="477B93BC" w:rsidR="00A77A1C" w:rsidRDefault="00A77A1C" w:rsidP="00A77A1C">
      <w:pPr>
        <w:spacing w:after="120" w:line="276" w:lineRule="auto"/>
        <w:jc w:val="both"/>
        <w:rPr>
          <w:rFonts w:ascii="Verdana" w:eastAsia="Century Gothic" w:hAnsi="Verdana" w:cs="Century Gothic"/>
          <w:b/>
          <w:color w:val="ED7D31" w:themeColor="accent2"/>
          <w:lang w:val="es-ES"/>
        </w:rPr>
      </w:pPr>
    </w:p>
    <w:p w14:paraId="7AEB9063" w14:textId="77777777" w:rsidR="00A77A1C" w:rsidRDefault="00A77A1C" w:rsidP="00A77A1C">
      <w:pPr>
        <w:rPr>
          <w:lang w:val="es-ES"/>
        </w:rPr>
      </w:pPr>
    </w:p>
    <w:p w14:paraId="3A0F1948" w14:textId="77777777" w:rsidR="00A77A1C" w:rsidRDefault="00A77A1C" w:rsidP="00A77A1C">
      <w:pPr>
        <w:rPr>
          <w:lang w:val="es-ES"/>
        </w:rPr>
      </w:pPr>
    </w:p>
    <w:p w14:paraId="0F293BF4" w14:textId="4FAB285B" w:rsidR="00127233" w:rsidRPr="00A77A1C" w:rsidRDefault="00127233" w:rsidP="00A77A1C"/>
    <w:sectPr w:rsidR="00127233" w:rsidRPr="00A77A1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257C" w14:textId="77777777" w:rsidR="00291856" w:rsidRDefault="00291856" w:rsidP="004A1847">
      <w:pPr>
        <w:spacing w:after="0" w:line="240" w:lineRule="auto"/>
      </w:pPr>
      <w:r>
        <w:separator/>
      </w:r>
    </w:p>
  </w:endnote>
  <w:endnote w:type="continuationSeparator" w:id="0">
    <w:p w14:paraId="282675A6" w14:textId="77777777" w:rsidR="00291856" w:rsidRDefault="0029185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1517" w14:textId="77777777" w:rsidR="00291856" w:rsidRDefault="00291856" w:rsidP="004A1847">
      <w:pPr>
        <w:spacing w:after="0" w:line="240" w:lineRule="auto"/>
      </w:pPr>
      <w:r>
        <w:separator/>
      </w:r>
    </w:p>
  </w:footnote>
  <w:footnote w:type="continuationSeparator" w:id="0">
    <w:p w14:paraId="5FD683CA" w14:textId="77777777" w:rsidR="00291856" w:rsidRDefault="00291856" w:rsidP="004A1847">
      <w:pPr>
        <w:spacing w:after="0" w:line="240" w:lineRule="auto"/>
      </w:pPr>
      <w:r>
        <w:continuationSeparator/>
      </w:r>
    </w:p>
  </w:footnote>
  <w:footnote w:id="1">
    <w:p w14:paraId="581C9634" w14:textId="77777777" w:rsidR="00A77A1C" w:rsidRDefault="00A77A1C" w:rsidP="00A77A1C">
      <w:pPr>
        <w:pStyle w:val="Textonotapie"/>
        <w:ind w:firstLine="709"/>
        <w:rPr>
          <w:rFonts w:ascii="Verdana" w:hAnsi="Verdana"/>
          <w:sz w:val="16"/>
          <w:szCs w:val="16"/>
          <w:lang w:val="es-CO"/>
        </w:rPr>
      </w:pPr>
      <w:r w:rsidRPr="001E153D">
        <w:rPr>
          <w:rStyle w:val="Refdenotaalpie"/>
          <w:rFonts w:ascii="Verdana" w:hAnsi="Verdana"/>
          <w:sz w:val="16"/>
          <w:szCs w:val="16"/>
        </w:rPr>
        <w:footnoteRef/>
      </w:r>
      <w:r w:rsidRPr="001E153D">
        <w:rPr>
          <w:rFonts w:ascii="Verdana" w:hAnsi="Verdana"/>
          <w:sz w:val="16"/>
          <w:szCs w:val="16"/>
        </w:rPr>
        <w:t xml:space="preserve"> </w:t>
      </w:r>
      <w:r w:rsidRPr="001E153D">
        <w:rPr>
          <w:rFonts w:ascii="Verdana" w:hAnsi="Verdana"/>
          <w:sz w:val="16"/>
          <w:szCs w:val="16"/>
          <w:lang w:val="es-CO"/>
        </w:rPr>
        <w:t>Por la cual se dictan normas para apoyar el empleo y ampliar la protección social y se modifican algunos artículos del Código Sustantivo de Trabajo.</w:t>
      </w:r>
    </w:p>
    <w:p w14:paraId="5BBB3AEE" w14:textId="77777777" w:rsidR="00A77A1C" w:rsidRPr="00847076" w:rsidRDefault="00A77A1C" w:rsidP="00A77A1C">
      <w:pPr>
        <w:pStyle w:val="Textonotapie"/>
        <w:ind w:firstLine="709"/>
        <w:rPr>
          <w:rFonts w:ascii="Verdana" w:hAnsi="Verdana"/>
          <w:sz w:val="16"/>
          <w:szCs w:val="16"/>
          <w:lang w:val="es-CO"/>
        </w:rPr>
      </w:pPr>
    </w:p>
  </w:footnote>
  <w:footnote w:id="2">
    <w:p w14:paraId="37C37B62" w14:textId="77777777" w:rsidR="00A77A1C" w:rsidRPr="004C3DC0" w:rsidRDefault="00A77A1C" w:rsidP="00A77A1C">
      <w:pPr>
        <w:spacing w:after="0" w:line="240" w:lineRule="auto"/>
        <w:ind w:right="306" w:firstLine="709"/>
        <w:jc w:val="both"/>
        <w:rPr>
          <w:rFonts w:ascii="Verdana" w:hAnsi="Verdana"/>
          <w:sz w:val="16"/>
          <w:szCs w:val="16"/>
        </w:rPr>
      </w:pPr>
      <w:r w:rsidRPr="004C3DC0">
        <w:rPr>
          <w:rStyle w:val="Refdenotaalpie"/>
          <w:rFonts w:ascii="Verdana" w:hAnsi="Verdana"/>
          <w:sz w:val="16"/>
          <w:szCs w:val="16"/>
        </w:rPr>
        <w:footnoteRef/>
      </w:r>
      <w:r w:rsidRPr="004C3DC0">
        <w:rPr>
          <w:rFonts w:ascii="Verdana" w:hAnsi="Verdana"/>
          <w:sz w:val="16"/>
          <w:szCs w:val="16"/>
        </w:rPr>
        <w:t xml:space="preserve"> 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616132BF" w14:textId="77777777" w:rsidR="00A77A1C" w:rsidRPr="004C3DC0" w:rsidRDefault="00A77A1C" w:rsidP="00A77A1C">
      <w:pPr>
        <w:spacing w:after="0" w:line="240" w:lineRule="auto"/>
        <w:ind w:right="307" w:firstLine="709"/>
        <w:jc w:val="both"/>
        <w:rPr>
          <w:rFonts w:ascii="Verdana" w:hAnsi="Verdana"/>
          <w:sz w:val="16"/>
          <w:szCs w:val="16"/>
        </w:rPr>
      </w:pPr>
      <w:r w:rsidRPr="004C3DC0">
        <w:rPr>
          <w:rFonts w:ascii="Verdana" w:hAnsi="Verdana"/>
          <w:sz w:val="16"/>
          <w:szCs w:val="16"/>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8E4A28D" w14:textId="77777777" w:rsidR="00A77A1C" w:rsidRDefault="00A77A1C" w:rsidP="00A77A1C">
      <w:pPr>
        <w:spacing w:after="0" w:line="240" w:lineRule="auto"/>
        <w:ind w:right="308" w:firstLine="709"/>
        <w:jc w:val="both"/>
        <w:rPr>
          <w:rFonts w:ascii="Verdana" w:hAnsi="Verdana"/>
          <w:sz w:val="16"/>
          <w:szCs w:val="16"/>
        </w:rPr>
      </w:pPr>
      <w:r w:rsidRPr="004C3DC0">
        <w:rPr>
          <w:rFonts w:ascii="Verdana" w:hAnsi="Verdana"/>
          <w:sz w:val="16"/>
          <w:szCs w:val="16"/>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263CDAE8" w14:textId="77777777" w:rsidR="00A77A1C" w:rsidRDefault="00A77A1C" w:rsidP="00A77A1C">
      <w:pPr>
        <w:spacing w:after="0" w:line="240" w:lineRule="auto"/>
        <w:ind w:right="308" w:firstLine="709"/>
        <w:jc w:val="both"/>
        <w:rPr>
          <w:rFonts w:ascii="Verdana" w:hAnsi="Verdana"/>
          <w:sz w:val="16"/>
          <w:szCs w:val="16"/>
        </w:rPr>
      </w:pPr>
      <w:r w:rsidRPr="004C3DC0">
        <w:rPr>
          <w:rFonts w:ascii="Verdana" w:hAnsi="Verdana"/>
          <w:sz w:val="16"/>
          <w:szCs w:val="16"/>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07A6CE67" w14:textId="77777777" w:rsidR="00A77A1C" w:rsidRPr="004C3DC0" w:rsidRDefault="00A77A1C" w:rsidP="00A77A1C">
      <w:pPr>
        <w:spacing w:after="0" w:line="240" w:lineRule="auto"/>
        <w:ind w:right="308" w:firstLine="709"/>
        <w:jc w:val="both"/>
        <w:rPr>
          <w:rFonts w:ascii="Verdana" w:hAnsi="Verdana"/>
          <w:sz w:val="16"/>
          <w:szCs w:val="16"/>
        </w:rPr>
      </w:pPr>
    </w:p>
  </w:footnote>
  <w:footnote w:id="3">
    <w:p w14:paraId="2548E9E9" w14:textId="77777777" w:rsidR="00A77A1C" w:rsidRDefault="00A77A1C" w:rsidP="00A77A1C">
      <w:pPr>
        <w:pStyle w:val="Textonotapie"/>
        <w:ind w:right="333" w:firstLine="709"/>
        <w:jc w:val="both"/>
        <w:rPr>
          <w:rFonts w:ascii="Verdana" w:hAnsi="Verdana"/>
          <w:sz w:val="16"/>
          <w:szCs w:val="16"/>
        </w:rPr>
      </w:pPr>
      <w:r w:rsidRPr="00D61F40">
        <w:rPr>
          <w:rStyle w:val="Refdenotaalpie"/>
          <w:rFonts w:ascii="Verdana" w:hAnsi="Verdana"/>
          <w:sz w:val="16"/>
          <w:szCs w:val="16"/>
        </w:rPr>
        <w:footnoteRef/>
      </w:r>
      <w:r w:rsidRPr="00D61F40">
        <w:rPr>
          <w:rFonts w:ascii="Verdana" w:hAnsi="Verdana"/>
          <w:sz w:val="16"/>
          <w:szCs w:val="16"/>
        </w:rPr>
        <w:t xml:space="preserve"> Consejo de Estado. Sala de lo Contencioso Administrativo. Sección Tercera. Subsección C. Sentencia del 8 de junio de 2011. Radicado No. 20001-23-31-000-2005-00409-01(AP). C.P: Enrique Gil Botero.</w:t>
      </w:r>
    </w:p>
    <w:p w14:paraId="794254BA" w14:textId="77777777" w:rsidR="00A77A1C" w:rsidRPr="00D61F40" w:rsidRDefault="00A77A1C" w:rsidP="00A77A1C">
      <w:pPr>
        <w:pStyle w:val="Textonotapie"/>
        <w:ind w:right="333" w:firstLine="709"/>
        <w:jc w:val="both"/>
        <w:rPr>
          <w:rFonts w:ascii="Verdana" w:hAnsi="Verdana"/>
          <w:sz w:val="16"/>
          <w:szCs w:val="16"/>
        </w:rPr>
      </w:pPr>
    </w:p>
  </w:footnote>
  <w:footnote w:id="4">
    <w:p w14:paraId="00B94F8C" w14:textId="77777777" w:rsidR="00A77A1C" w:rsidRPr="00307CB1" w:rsidRDefault="00A77A1C" w:rsidP="00A77A1C">
      <w:pPr>
        <w:spacing w:after="0" w:line="240" w:lineRule="auto"/>
        <w:ind w:right="310" w:firstLine="709"/>
        <w:jc w:val="both"/>
        <w:rPr>
          <w:rFonts w:ascii="Verdana" w:hAnsi="Verdana"/>
          <w:sz w:val="16"/>
          <w:szCs w:val="16"/>
        </w:rPr>
      </w:pPr>
      <w:r w:rsidRPr="00307CB1">
        <w:rPr>
          <w:rStyle w:val="Refdenotaalpie"/>
          <w:rFonts w:ascii="Verdana" w:hAnsi="Verdana"/>
          <w:sz w:val="16"/>
          <w:szCs w:val="16"/>
        </w:rPr>
        <w:footnoteRef/>
      </w:r>
      <w:r w:rsidRPr="00307CB1">
        <w:rPr>
          <w:rFonts w:ascii="Verdana" w:hAnsi="Verdana"/>
          <w:sz w:val="16"/>
          <w:szCs w:val="16"/>
        </w:rPr>
        <w:t xml:space="preserve"> 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602D5798" w14:textId="77777777" w:rsidR="00A77A1C" w:rsidRPr="00307CB1" w:rsidRDefault="00A77A1C" w:rsidP="00A77A1C">
      <w:pPr>
        <w:spacing w:after="0" w:line="240" w:lineRule="auto"/>
        <w:ind w:firstLine="709"/>
        <w:jc w:val="both"/>
        <w:rPr>
          <w:rFonts w:ascii="Verdana" w:hAnsi="Verdana"/>
          <w:sz w:val="16"/>
          <w:szCs w:val="16"/>
        </w:rPr>
      </w:pPr>
      <w:r w:rsidRPr="00307CB1">
        <w:rPr>
          <w:rFonts w:ascii="Verdana" w:hAnsi="Verdana"/>
          <w:sz w:val="16"/>
          <w:szCs w:val="16"/>
        </w:rPr>
        <w:t>“De la disposición referenciada la Sala concluye lo siguiente:</w:t>
      </w:r>
    </w:p>
    <w:p w14:paraId="468642BA" w14:textId="77777777" w:rsidR="00A77A1C" w:rsidRPr="00307CB1" w:rsidRDefault="00A77A1C" w:rsidP="00A77A1C">
      <w:pPr>
        <w:spacing w:after="0" w:line="240" w:lineRule="auto"/>
        <w:ind w:right="308" w:firstLine="709"/>
        <w:jc w:val="both"/>
        <w:rPr>
          <w:rFonts w:ascii="Verdana" w:hAnsi="Verdana"/>
          <w:sz w:val="16"/>
          <w:szCs w:val="16"/>
        </w:rPr>
      </w:pPr>
      <w:r w:rsidRPr="00307CB1">
        <w:rPr>
          <w:rFonts w:ascii="Verdana" w:hAnsi="Verdana"/>
          <w:sz w:val="16"/>
          <w:szCs w:val="16"/>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27BABD14" w14:textId="77777777" w:rsidR="00A77A1C" w:rsidRPr="00307CB1" w:rsidRDefault="00A77A1C" w:rsidP="00A77A1C">
      <w:pPr>
        <w:spacing w:after="0" w:line="240" w:lineRule="auto"/>
        <w:ind w:right="309" w:firstLine="709"/>
        <w:jc w:val="both"/>
        <w:rPr>
          <w:rFonts w:ascii="Verdana" w:hAnsi="Verdana"/>
          <w:sz w:val="16"/>
          <w:szCs w:val="16"/>
        </w:rPr>
      </w:pPr>
      <w:r w:rsidRPr="00307CB1">
        <w:rPr>
          <w:rFonts w:ascii="Verdana" w:hAnsi="Verdana"/>
          <w:sz w:val="16"/>
          <w:szCs w:val="16"/>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307CB1">
        <w:rPr>
          <w:rFonts w:ascii="Verdana" w:hAnsi="Verdana"/>
          <w:spacing w:val="-2"/>
          <w:sz w:val="16"/>
          <w:szCs w:val="16"/>
        </w:rPr>
        <w:t xml:space="preserve"> </w:t>
      </w:r>
      <w:r w:rsidRPr="00307CB1">
        <w:rPr>
          <w:rFonts w:ascii="Verdana" w:hAnsi="Verdana"/>
          <w:sz w:val="16"/>
          <w:szCs w:val="16"/>
        </w:rPr>
        <w:t>trabajadores.</w:t>
      </w:r>
    </w:p>
    <w:p w14:paraId="41F46422" w14:textId="77777777" w:rsidR="00A77A1C" w:rsidRPr="00307CB1" w:rsidRDefault="00A77A1C" w:rsidP="00A77A1C">
      <w:pPr>
        <w:spacing w:after="0" w:line="240" w:lineRule="auto"/>
        <w:ind w:right="310" w:firstLine="709"/>
        <w:jc w:val="both"/>
        <w:rPr>
          <w:rFonts w:ascii="Verdana" w:hAnsi="Verdana"/>
          <w:sz w:val="16"/>
          <w:szCs w:val="16"/>
        </w:rPr>
      </w:pPr>
      <w:r w:rsidRPr="00307CB1">
        <w:rPr>
          <w:rFonts w:ascii="Verdana" w:hAnsi="Verdana"/>
          <w:sz w:val="16"/>
          <w:szCs w:val="16"/>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w:t>
      </w:r>
      <w:r w:rsidRPr="00307CB1">
        <w:rPr>
          <w:rFonts w:ascii="Verdana" w:hAnsi="Verdana"/>
          <w:spacing w:val="-34"/>
          <w:sz w:val="16"/>
          <w:szCs w:val="16"/>
        </w:rPr>
        <w:t xml:space="preserve"> </w:t>
      </w:r>
      <w:r w:rsidRPr="00307CB1">
        <w:rPr>
          <w:rFonts w:ascii="Verdana" w:hAnsi="Verdana"/>
          <w:sz w:val="16"/>
          <w:szCs w:val="16"/>
        </w:rPr>
        <w:t>jurídico.</w:t>
      </w:r>
    </w:p>
    <w:p w14:paraId="57B24B36" w14:textId="77777777" w:rsidR="00A77A1C" w:rsidRPr="00307CB1" w:rsidRDefault="00A77A1C" w:rsidP="00A77A1C">
      <w:pPr>
        <w:spacing w:after="0" w:line="240" w:lineRule="auto"/>
        <w:ind w:right="314" w:firstLine="709"/>
        <w:jc w:val="both"/>
        <w:rPr>
          <w:rFonts w:ascii="Verdana" w:hAnsi="Verdana"/>
          <w:sz w:val="16"/>
          <w:szCs w:val="16"/>
        </w:rPr>
      </w:pPr>
      <w:r w:rsidRPr="00307CB1">
        <w:rPr>
          <w:rFonts w:ascii="Verdana" w:hAnsi="Verdana"/>
          <w:sz w:val="16"/>
          <w:szCs w:val="16"/>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307CB1">
        <w:rPr>
          <w:rFonts w:ascii="Verdana" w:hAnsi="Verdana"/>
          <w:spacing w:val="-16"/>
          <w:sz w:val="16"/>
          <w:szCs w:val="16"/>
        </w:rPr>
        <w:t xml:space="preserve"> </w:t>
      </w:r>
      <w:r w:rsidRPr="00307CB1">
        <w:rPr>
          <w:rFonts w:ascii="Verdana" w:hAnsi="Verdana"/>
          <w:sz w:val="16"/>
          <w:szCs w:val="16"/>
        </w:rPr>
        <w:t>entidad.</w:t>
      </w:r>
    </w:p>
    <w:p w14:paraId="6DFC2ECE" w14:textId="77777777" w:rsidR="00A77A1C" w:rsidRPr="004C3DC0" w:rsidRDefault="00A77A1C" w:rsidP="00A77A1C">
      <w:pPr>
        <w:spacing w:after="0" w:line="240" w:lineRule="auto"/>
        <w:ind w:right="305" w:firstLine="709"/>
        <w:jc w:val="both"/>
        <w:rPr>
          <w:rFonts w:ascii="Verdana" w:hAnsi="Verdana"/>
          <w:sz w:val="16"/>
          <w:szCs w:val="16"/>
        </w:rPr>
      </w:pPr>
      <w:r w:rsidRPr="00307CB1">
        <w:rPr>
          <w:rFonts w:ascii="Verdana" w:hAnsi="Verdana"/>
          <w:sz w:val="16"/>
          <w:szCs w:val="16"/>
        </w:rPr>
        <w:t>“5. En caso de que se compruebe un incumplimiento en el pago de los aportes parafiscales y al Sistema General de Seguridad Social, la ley otorga la facultad a la entidad pública de retener el monto adeudado y hacer las consignaciones</w:t>
      </w:r>
      <w:r w:rsidRPr="00307CB1">
        <w:rPr>
          <w:rFonts w:ascii="Verdana" w:hAnsi="Verdana"/>
          <w:spacing w:val="-4"/>
          <w:sz w:val="16"/>
          <w:szCs w:val="16"/>
        </w:rPr>
        <w:t xml:space="preserve"> </w:t>
      </w:r>
      <w:r w:rsidRPr="00307CB1">
        <w:rPr>
          <w:rFonts w:ascii="Verdana" w:hAnsi="Verdana"/>
          <w:sz w:val="16"/>
          <w:szCs w:val="16"/>
        </w:rPr>
        <w:t>correspondientes”.</w:t>
      </w:r>
    </w:p>
  </w:footnote>
  <w:footnote w:id="5">
    <w:p w14:paraId="7E9C8D04" w14:textId="77777777" w:rsidR="00A77A1C" w:rsidRPr="001F41BC" w:rsidRDefault="00A77A1C" w:rsidP="00A77A1C">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56DAE024" w14:textId="77777777" w:rsidR="00A77A1C" w:rsidRPr="001F41BC" w:rsidRDefault="00A77A1C" w:rsidP="00A77A1C">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6">
    <w:p w14:paraId="25D5B180" w14:textId="77777777" w:rsidR="00A77A1C" w:rsidRDefault="00A77A1C" w:rsidP="00A77A1C">
      <w:pPr>
        <w:spacing w:after="0" w:line="240" w:lineRule="auto"/>
        <w:ind w:firstLine="709"/>
        <w:jc w:val="both"/>
        <w:rPr>
          <w:rFonts w:ascii="Verdana" w:hAnsi="Verdana"/>
          <w:sz w:val="16"/>
          <w:szCs w:val="16"/>
        </w:rPr>
      </w:pPr>
      <w:r w:rsidRPr="00D53FEF">
        <w:rPr>
          <w:rStyle w:val="Refdenotaalpie"/>
          <w:rFonts w:ascii="Verdana" w:hAnsi="Verdana"/>
          <w:sz w:val="16"/>
          <w:szCs w:val="16"/>
        </w:rPr>
        <w:footnoteRef/>
      </w:r>
      <w:r w:rsidRPr="00D53FEF">
        <w:rPr>
          <w:rFonts w:ascii="Verdana" w:hAnsi="Verdana"/>
          <w:sz w:val="16"/>
          <w:szCs w:val="16"/>
        </w:rPr>
        <w:t xml:space="preserve"> Ley 797 de 2003: “Artículo 3o El </w:t>
      </w:r>
      <w:r w:rsidRPr="00FF77AB">
        <w:rPr>
          <w:rFonts w:ascii="Verdana" w:hAnsi="Verdana"/>
          <w:sz w:val="16"/>
          <w:szCs w:val="16"/>
        </w:rPr>
        <w:t>artículo 15 de la Ley 100 de 1993, quedará así: “Artículo 15. Afiliados. Serán afiliados al Sistema General de Pensiones: “1</w:t>
      </w:r>
      <w:r w:rsidRPr="00D53FEF">
        <w:rPr>
          <w:rFonts w:ascii="Verdana" w:hAnsi="Verdana"/>
          <w:sz w:val="16"/>
          <w:szCs w:val="16"/>
        </w:rPr>
        <w:t>.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14:paraId="12074EF9" w14:textId="77777777" w:rsidR="00A77A1C" w:rsidRPr="00D53FEF" w:rsidRDefault="00A77A1C" w:rsidP="00A77A1C">
      <w:pPr>
        <w:spacing w:after="0" w:line="240" w:lineRule="auto"/>
        <w:ind w:firstLine="709"/>
        <w:jc w:val="both"/>
        <w:rPr>
          <w:rFonts w:ascii="Verdana" w:hAnsi="Verdana"/>
          <w:sz w:val="16"/>
          <w:szCs w:val="16"/>
        </w:rPr>
      </w:pPr>
    </w:p>
  </w:footnote>
  <w:footnote w:id="7">
    <w:p w14:paraId="3D6D6745" w14:textId="77777777" w:rsidR="00A77A1C" w:rsidRDefault="00A77A1C" w:rsidP="00A77A1C">
      <w:pPr>
        <w:spacing w:after="0" w:line="240" w:lineRule="auto"/>
        <w:ind w:firstLine="709"/>
        <w:jc w:val="both"/>
        <w:rPr>
          <w:rFonts w:ascii="Verdana" w:hAnsi="Verdana"/>
          <w:sz w:val="16"/>
          <w:szCs w:val="16"/>
        </w:rPr>
      </w:pPr>
      <w:r w:rsidRPr="00D53FEF">
        <w:rPr>
          <w:rStyle w:val="Refdenotaalpie"/>
          <w:rFonts w:ascii="Verdana" w:hAnsi="Verdana"/>
          <w:sz w:val="16"/>
          <w:szCs w:val="16"/>
        </w:rPr>
        <w:footnoteRef/>
      </w:r>
      <w:r w:rsidRPr="00D53FEF">
        <w:rPr>
          <w:rFonts w:ascii="Verdana" w:hAnsi="Verdana"/>
          <w:sz w:val="16"/>
          <w:szCs w:val="16"/>
        </w:rPr>
        <w:t xml:space="preserve"> Ley 797 de 2003: “Artículo 4. El artículo</w:t>
      </w:r>
      <w:hyperlink r:id="rId1" w:anchor="17">
        <w:r w:rsidRPr="00D53FEF">
          <w:rPr>
            <w:rFonts w:ascii="Verdana" w:hAnsi="Verdana"/>
            <w:sz w:val="16"/>
            <w:szCs w:val="16"/>
          </w:rPr>
          <w:t xml:space="preserve"> 17 </w:t>
        </w:r>
      </w:hyperlink>
      <w:r w:rsidRPr="00D53FEF">
        <w:rPr>
          <w:rFonts w:ascii="Verdana" w:hAnsi="Verdana"/>
          <w:sz w:val="16"/>
          <w:szCs w:val="16"/>
        </w:rPr>
        <w:t>de la Ley 100 de 1993 quedará así:</w:t>
      </w:r>
      <w:r>
        <w:rPr>
          <w:rFonts w:ascii="Verdana" w:hAnsi="Verdana"/>
          <w:sz w:val="16"/>
          <w:szCs w:val="16"/>
        </w:rPr>
        <w:t xml:space="preserve"> </w:t>
      </w:r>
      <w:r w:rsidRPr="00D53FEF">
        <w:rPr>
          <w:rFonts w:ascii="Verdana" w:hAnsi="Verdana"/>
          <w:sz w:val="16"/>
          <w:szCs w:val="16"/>
        </w:rPr>
        <w:t>“Artículo 17. Obligatoriedad de las Cotizaciones. Durante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w:t>
      </w:r>
      <w:r>
        <w:rPr>
          <w:rFonts w:ascii="Verdana" w:hAnsi="Verdana"/>
          <w:sz w:val="16"/>
          <w:szCs w:val="16"/>
        </w:rPr>
        <w:t xml:space="preserve"> </w:t>
      </w:r>
      <w:r w:rsidRPr="00D53FEF">
        <w:rPr>
          <w:rFonts w:ascii="Verdana" w:hAnsi="Verdana"/>
          <w:sz w:val="16"/>
          <w:szCs w:val="16"/>
        </w:rPr>
        <w:t>“La obligación de cotizar cesa al momento en que el afiliado reúna los requisitos para acceder a la pensión mínima de vejez, o cuando el afiliado se pensione por invalidez o anticipadamente”.</w:t>
      </w:r>
    </w:p>
    <w:p w14:paraId="291FA07A" w14:textId="77777777" w:rsidR="00A77A1C" w:rsidRPr="00D53FEF" w:rsidRDefault="00A77A1C" w:rsidP="00A77A1C">
      <w:pPr>
        <w:spacing w:after="0" w:line="240" w:lineRule="auto"/>
        <w:ind w:firstLine="709"/>
        <w:jc w:val="both"/>
        <w:rPr>
          <w:rFonts w:ascii="Verdana" w:hAnsi="Verdana"/>
          <w:sz w:val="16"/>
          <w:szCs w:val="16"/>
        </w:rPr>
      </w:pPr>
    </w:p>
  </w:footnote>
  <w:footnote w:id="8">
    <w:p w14:paraId="3D5C3D11" w14:textId="77777777" w:rsidR="00A77A1C" w:rsidRPr="007A7286" w:rsidRDefault="00A77A1C" w:rsidP="00A77A1C">
      <w:pPr>
        <w:spacing w:after="0" w:line="240" w:lineRule="auto"/>
        <w:ind w:firstLine="709"/>
        <w:jc w:val="both"/>
        <w:rPr>
          <w:rFonts w:ascii="Verdana" w:hAnsi="Verdana"/>
          <w:sz w:val="16"/>
          <w:szCs w:val="16"/>
        </w:rPr>
      </w:pPr>
      <w:r w:rsidRPr="007A7286">
        <w:rPr>
          <w:rStyle w:val="Refdenotaalpie"/>
          <w:rFonts w:ascii="Verdana" w:hAnsi="Verdana"/>
          <w:sz w:val="16"/>
          <w:szCs w:val="16"/>
        </w:rPr>
        <w:footnoteRef/>
      </w:r>
      <w:r w:rsidRPr="007A7286">
        <w:rPr>
          <w:rFonts w:ascii="Verdana" w:hAnsi="Verdana"/>
          <w:sz w:val="16"/>
          <w:szCs w:val="16"/>
        </w:rPr>
        <w:t xml:space="preserve"> (…)</w:t>
      </w:r>
      <w:r>
        <w:rPr>
          <w:rFonts w:ascii="Verdana" w:hAnsi="Verdana"/>
          <w:sz w:val="16"/>
          <w:szCs w:val="16"/>
        </w:rPr>
        <w:t xml:space="preserve"> </w:t>
      </w:r>
      <w:r w:rsidRPr="007A7286">
        <w:rPr>
          <w:rFonts w:ascii="Verdana" w:hAnsi="Verdana"/>
          <w:sz w:val="16"/>
          <w:szCs w:val="16"/>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w:t>
      </w:r>
      <w:r w:rsidRPr="007A7286">
        <w:rPr>
          <w:rFonts w:ascii="Verdana" w:hAnsi="Verdana"/>
          <w:spacing w:val="-20"/>
          <w:sz w:val="16"/>
          <w:szCs w:val="16"/>
        </w:rPr>
        <w:t xml:space="preserve"> </w:t>
      </w:r>
      <w:r w:rsidRPr="007A7286">
        <w:rPr>
          <w:rFonts w:ascii="Verdana" w:hAnsi="Verdana"/>
          <w:sz w:val="16"/>
          <w:szCs w:val="16"/>
        </w:rPr>
        <w:t>vigente”.</w:t>
      </w:r>
    </w:p>
  </w:footnote>
  <w:footnote w:id="9">
    <w:p w14:paraId="169F795D" w14:textId="77777777" w:rsidR="00A77A1C" w:rsidRPr="00AC2680" w:rsidRDefault="00A77A1C" w:rsidP="00A77A1C">
      <w:pPr>
        <w:pStyle w:val="Textonotapie"/>
        <w:jc w:val="both"/>
        <w:rPr>
          <w:rFonts w:ascii="Verdana" w:hAnsi="Verdana"/>
        </w:rPr>
      </w:pPr>
      <w:r>
        <w:tab/>
      </w:r>
      <w:r w:rsidRPr="00154311">
        <w:rPr>
          <w:rStyle w:val="Refdenotaalpie"/>
          <w:rFonts w:ascii="Verdana" w:hAnsi="Verdana"/>
          <w:sz w:val="16"/>
          <w:szCs w:val="16"/>
        </w:rPr>
        <w:footnoteRef/>
      </w:r>
      <w:r w:rsidRPr="00154311">
        <w:rPr>
          <w:rFonts w:ascii="Verdana" w:hAnsi="Verdana"/>
          <w:sz w:val="16"/>
          <w:szCs w:val="16"/>
        </w:rPr>
        <w:t xml:space="preserve"> </w:t>
      </w:r>
      <w:r w:rsidRPr="00154311">
        <w:rPr>
          <w:rFonts w:ascii="Verdana" w:hAnsi="Verdana"/>
          <w:sz w:val="16"/>
          <w:szCs w:val="16"/>
          <w:lang w:val="es-CO"/>
        </w:rPr>
        <w:t xml:space="preserve">Ministerio de Hacienda y Crédito Público. </w:t>
      </w:r>
      <w:r w:rsidRPr="00154311">
        <w:rPr>
          <w:rFonts w:ascii="Verdana" w:hAnsi="Verdana"/>
          <w:sz w:val="16"/>
          <w:szCs w:val="16"/>
        </w:rPr>
        <w:t>Circular Externa 001 enero 05 2026 - Calendario PAC</w:t>
      </w:r>
      <w:r>
        <w:rPr>
          <w:rFonts w:ascii="Verdana" w:hAnsi="Verdana"/>
          <w:sz w:val="16"/>
          <w:szCs w:val="16"/>
        </w:rPr>
        <w:t xml:space="preserve">. Disponible en el siguiente enlace: </w:t>
      </w:r>
      <w:hyperlink r:id="rId2" w:history="1">
        <w:r w:rsidRPr="00D87255">
          <w:rPr>
            <w:rStyle w:val="Hipervnculo"/>
            <w:rFonts w:ascii="Verdana" w:hAnsi="Verdana"/>
            <w:sz w:val="16"/>
            <w:szCs w:val="16"/>
          </w:rPr>
          <w:t>https://www.minhacienda.gov.co/siif/ciclo-de-negocios/programacion-anual-de-caja/</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732" w:hanging="360"/>
      </w:pPr>
      <w:rPr>
        <w:rFonts w:ascii="Symbol" w:hAnsi="Symbol" w:hint="default"/>
        <w:color w:val="auto"/>
        <w:sz w:val="22"/>
        <w:szCs w:val="22"/>
      </w:rPr>
    </w:lvl>
    <w:lvl w:ilvl="1" w:tplc="240A0003" w:tentative="1">
      <w:start w:val="1"/>
      <w:numFmt w:val="bullet"/>
      <w:lvlText w:val="o"/>
      <w:lvlJc w:val="left"/>
      <w:pPr>
        <w:ind w:left="8452" w:hanging="360"/>
      </w:pPr>
      <w:rPr>
        <w:rFonts w:ascii="Courier New" w:hAnsi="Courier New" w:cs="Courier New" w:hint="default"/>
      </w:rPr>
    </w:lvl>
    <w:lvl w:ilvl="2" w:tplc="240A0005" w:tentative="1">
      <w:start w:val="1"/>
      <w:numFmt w:val="bullet"/>
      <w:lvlText w:val=""/>
      <w:lvlJc w:val="left"/>
      <w:pPr>
        <w:ind w:left="9172" w:hanging="360"/>
      </w:pPr>
      <w:rPr>
        <w:rFonts w:ascii="Wingdings" w:hAnsi="Wingdings" w:hint="default"/>
      </w:rPr>
    </w:lvl>
    <w:lvl w:ilvl="3" w:tplc="240A0001" w:tentative="1">
      <w:start w:val="1"/>
      <w:numFmt w:val="bullet"/>
      <w:lvlText w:val=""/>
      <w:lvlJc w:val="left"/>
      <w:pPr>
        <w:ind w:left="9892" w:hanging="360"/>
      </w:pPr>
      <w:rPr>
        <w:rFonts w:ascii="Symbol" w:hAnsi="Symbol" w:hint="default"/>
      </w:rPr>
    </w:lvl>
    <w:lvl w:ilvl="4" w:tplc="240A0003" w:tentative="1">
      <w:start w:val="1"/>
      <w:numFmt w:val="bullet"/>
      <w:lvlText w:val="o"/>
      <w:lvlJc w:val="left"/>
      <w:pPr>
        <w:ind w:left="10612" w:hanging="360"/>
      </w:pPr>
      <w:rPr>
        <w:rFonts w:ascii="Courier New" w:hAnsi="Courier New" w:cs="Courier New" w:hint="default"/>
      </w:rPr>
    </w:lvl>
    <w:lvl w:ilvl="5" w:tplc="240A0005" w:tentative="1">
      <w:start w:val="1"/>
      <w:numFmt w:val="bullet"/>
      <w:lvlText w:val=""/>
      <w:lvlJc w:val="left"/>
      <w:pPr>
        <w:ind w:left="11332" w:hanging="360"/>
      </w:pPr>
      <w:rPr>
        <w:rFonts w:ascii="Wingdings" w:hAnsi="Wingdings" w:hint="default"/>
      </w:rPr>
    </w:lvl>
    <w:lvl w:ilvl="6" w:tplc="240A0001" w:tentative="1">
      <w:start w:val="1"/>
      <w:numFmt w:val="bullet"/>
      <w:lvlText w:val=""/>
      <w:lvlJc w:val="left"/>
      <w:pPr>
        <w:ind w:left="12052" w:hanging="360"/>
      </w:pPr>
      <w:rPr>
        <w:rFonts w:ascii="Symbol" w:hAnsi="Symbol" w:hint="default"/>
      </w:rPr>
    </w:lvl>
    <w:lvl w:ilvl="7" w:tplc="240A0003" w:tentative="1">
      <w:start w:val="1"/>
      <w:numFmt w:val="bullet"/>
      <w:lvlText w:val="o"/>
      <w:lvlJc w:val="left"/>
      <w:pPr>
        <w:ind w:left="12772" w:hanging="360"/>
      </w:pPr>
      <w:rPr>
        <w:rFonts w:ascii="Courier New" w:hAnsi="Courier New" w:cs="Courier New" w:hint="default"/>
      </w:rPr>
    </w:lvl>
    <w:lvl w:ilvl="8" w:tplc="240A0005" w:tentative="1">
      <w:start w:val="1"/>
      <w:numFmt w:val="bullet"/>
      <w:lvlText w:val=""/>
      <w:lvlJc w:val="left"/>
      <w:pPr>
        <w:ind w:left="13492"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34E09"/>
    <w:rsid w:val="0015699B"/>
    <w:rsid w:val="001A33BF"/>
    <w:rsid w:val="001E4177"/>
    <w:rsid w:val="001F0B24"/>
    <w:rsid w:val="001F7DC6"/>
    <w:rsid w:val="0022400B"/>
    <w:rsid w:val="002421BB"/>
    <w:rsid w:val="0025796E"/>
    <w:rsid w:val="002707A2"/>
    <w:rsid w:val="00291856"/>
    <w:rsid w:val="002951A0"/>
    <w:rsid w:val="002962BC"/>
    <w:rsid w:val="002A093D"/>
    <w:rsid w:val="002A0DD0"/>
    <w:rsid w:val="002A49AC"/>
    <w:rsid w:val="002A64FD"/>
    <w:rsid w:val="002C7A84"/>
    <w:rsid w:val="002D0D2B"/>
    <w:rsid w:val="002E2BF8"/>
    <w:rsid w:val="002E4FD9"/>
    <w:rsid w:val="002F5DD2"/>
    <w:rsid w:val="0030657A"/>
    <w:rsid w:val="00310D46"/>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4E74"/>
    <w:rsid w:val="004A1847"/>
    <w:rsid w:val="004A305D"/>
    <w:rsid w:val="004F21C4"/>
    <w:rsid w:val="004F685F"/>
    <w:rsid w:val="005566E8"/>
    <w:rsid w:val="0057304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7694"/>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61A5"/>
    <w:rsid w:val="009B2D26"/>
    <w:rsid w:val="009C71FA"/>
    <w:rsid w:val="009C72E7"/>
    <w:rsid w:val="009C7F7E"/>
    <w:rsid w:val="009D3058"/>
    <w:rsid w:val="009E03AF"/>
    <w:rsid w:val="009F3A13"/>
    <w:rsid w:val="00A122D3"/>
    <w:rsid w:val="00A14468"/>
    <w:rsid w:val="00A17F13"/>
    <w:rsid w:val="00A20739"/>
    <w:rsid w:val="00A23AF9"/>
    <w:rsid w:val="00A33C78"/>
    <w:rsid w:val="00A77A1C"/>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0A8E"/>
    <w:rsid w:val="00CB6357"/>
    <w:rsid w:val="00CC1B26"/>
    <w:rsid w:val="00D22F71"/>
    <w:rsid w:val="00D361FD"/>
    <w:rsid w:val="00D423A2"/>
    <w:rsid w:val="00D44E26"/>
    <w:rsid w:val="00D520D8"/>
    <w:rsid w:val="00D63AC2"/>
    <w:rsid w:val="00D7383B"/>
    <w:rsid w:val="00D7788A"/>
    <w:rsid w:val="00DA231B"/>
    <w:rsid w:val="00DB2019"/>
    <w:rsid w:val="00DC39FC"/>
    <w:rsid w:val="00DF5254"/>
    <w:rsid w:val="00DF7F9B"/>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91104"/>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77A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77A1C"/>
    <w:rPr>
      <w:rFonts w:ascii="Geomanist Light" w:hAnsi="Geomanist Light"/>
      <w:lang w:val="es-ES"/>
    </w:rPr>
  </w:style>
  <w:style w:type="character" w:customStyle="1" w:styleId="s15">
    <w:name w:val="s15"/>
    <w:basedOn w:val="Fuentedeprrafopredeter"/>
    <w:rsid w:val="00A77A1C"/>
  </w:style>
  <w:style w:type="character" w:customStyle="1" w:styleId="apple-converted-space">
    <w:name w:val="apple-converted-space"/>
    <w:basedOn w:val="Fuentedeprrafopredeter"/>
    <w:rsid w:val="00A77A1C"/>
  </w:style>
  <w:style w:type="paragraph" w:styleId="Textoindependiente">
    <w:name w:val="Body Text"/>
    <w:basedOn w:val="Normal"/>
    <w:link w:val="TextoindependienteCar"/>
    <w:uiPriority w:val="1"/>
    <w:qFormat/>
    <w:rsid w:val="00A77A1C"/>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A77A1C"/>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minhacienda.gov.co/siif/ciclo-de-negocios/programacion-anual-de-caja" TargetMode="External"/><Relationship Id="rId17"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errano@idige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minhacienda.gov.co/siif/ciclo-de-negocios/programacion-anual-de-caja/" TargetMode="External"/><Relationship Id="rId1" Type="http://schemas.openxmlformats.org/officeDocument/2006/relationships/hyperlink" Target="http://www.secretariasenado.gov.co/senado/basedoc/ley_010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1E8DA4-ACD5-4790-A6C6-C2D513895C0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7174</Words>
  <Characters>39463</Characters>
  <Application>Microsoft Office Word</Application>
  <DocSecurity>0</DocSecurity>
  <Lines>328</Lines>
  <Paragraphs>93</Paragraphs>
  <ScaleCrop>false</ScaleCrop>
  <Company/>
  <LinksUpToDate>false</LinksUpToDate>
  <CharactersWithSpaces>46544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5</cp:revision>
  <cp:lastPrinted>2023-01-10T21:18:00Z</cp:lastPrinted>
  <dcterms:created xsi:type="dcterms:W3CDTF">2026-10-15T21:44:00Z</dcterms:created>
  <dcterms:modified xsi:type="dcterms:W3CDTF">2026-10-15T22:47:00Z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