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79622" w14:textId="77777777" w:rsidR="00C22DB4" w:rsidRDefault="00C22DB4" w:rsidP="00C22DB4">
      <w:pPr>
        <w:spacing w:after="0" w:line="240" w:lineRule="auto"/>
        <w:jc w:val="both"/>
        <w:rPr>
          <w:rFonts w:ascii="Verdana" w:hAnsi="Verdana"/>
          <w:b/>
          <w:bCs/>
        </w:rPr>
      </w:pPr>
      <w:r w:rsidRPr="008E0F52">
        <w:rPr>
          <w:rFonts w:ascii="Verdana" w:hAnsi="Verdana"/>
          <w:b/>
          <w:bCs/>
        </w:rPr>
        <w:t xml:space="preserve">CONTRATO DE PRESTACIÓN DE SERVICIOS – Concepto  </w:t>
      </w:r>
    </w:p>
    <w:p w14:paraId="161766FA" w14:textId="77777777" w:rsidR="00C22DB4" w:rsidRPr="001C23E1" w:rsidRDefault="00C22DB4" w:rsidP="00C22DB4">
      <w:pPr>
        <w:spacing w:after="0" w:line="240" w:lineRule="auto"/>
        <w:jc w:val="both"/>
        <w:rPr>
          <w:rFonts w:ascii="Verdana" w:hAnsi="Verdana"/>
          <w:b/>
          <w:bCs/>
          <w:sz w:val="20"/>
          <w:szCs w:val="20"/>
        </w:rPr>
      </w:pPr>
    </w:p>
    <w:p w14:paraId="1AD64962" w14:textId="77777777" w:rsidR="00C22DB4" w:rsidRPr="001C23E1" w:rsidRDefault="00C22DB4" w:rsidP="00C22DB4">
      <w:pPr>
        <w:spacing w:after="0" w:line="240" w:lineRule="auto"/>
        <w:jc w:val="both"/>
        <w:rPr>
          <w:rFonts w:ascii="Verdana" w:hAnsi="Verdana"/>
          <w:sz w:val="20"/>
          <w:szCs w:val="20"/>
        </w:rPr>
      </w:pPr>
      <w:r w:rsidRPr="001C23E1">
        <w:rPr>
          <w:rFonts w:ascii="Verdana" w:hAnsi="Verdana"/>
          <w:sz w:val="20"/>
          <w:szCs w:val="20"/>
        </w:rPr>
        <w:t>[…] 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1C23E1">
        <w:rPr>
          <w:rFonts w:ascii="Verdana" w:hAnsi="Verdana"/>
          <w:sz w:val="20"/>
          <w:szCs w:val="20"/>
          <w:lang w:val="es-ES_tradnl"/>
        </w:rPr>
        <w:t xml:space="preserve"> “</w:t>
      </w:r>
      <w:r w:rsidRPr="001C23E1">
        <w:rPr>
          <w:rFonts w:ascii="Verdana" w:hAnsi="Verdana"/>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1C23E1">
        <w:rPr>
          <w:rFonts w:ascii="Verdana" w:hAnsi="Verdana"/>
          <w:sz w:val="20"/>
          <w:szCs w:val="20"/>
          <w:lang w:val="es-ES_tradnl"/>
        </w:rPr>
        <w:t xml:space="preserve"> </w:t>
      </w:r>
      <w:r w:rsidRPr="001C23E1">
        <w:rPr>
          <w:rFonts w:ascii="Verdana" w:hAnsi="Verdana"/>
          <w:sz w:val="20"/>
          <w:szCs w:val="20"/>
        </w:rPr>
        <w:t>En ningún caso estos contratos generan relación laboral ni prestaciones sociales y se celebrarán por el término estrictamente indispensable” […]</w:t>
      </w:r>
    </w:p>
    <w:p w14:paraId="29C9EFCC" w14:textId="77777777" w:rsidR="00C22DB4" w:rsidRPr="008E0F52" w:rsidRDefault="00C22DB4" w:rsidP="00C22DB4">
      <w:pPr>
        <w:spacing w:after="0" w:line="240" w:lineRule="auto"/>
        <w:jc w:val="both"/>
        <w:rPr>
          <w:rFonts w:ascii="Verdana" w:hAnsi="Verdana"/>
          <w:b/>
          <w:bCs/>
          <w:color w:val="ED7D31" w:themeColor="accent2"/>
        </w:rPr>
      </w:pPr>
    </w:p>
    <w:p w14:paraId="43012B9E" w14:textId="77777777" w:rsidR="00C22DB4" w:rsidRPr="008E0F52" w:rsidRDefault="00C22DB4" w:rsidP="00C22DB4">
      <w:pPr>
        <w:spacing w:after="0" w:line="240" w:lineRule="auto"/>
        <w:jc w:val="both"/>
        <w:rPr>
          <w:rFonts w:ascii="Verdana" w:eastAsia="Calibri" w:hAnsi="Verdana" w:cs="Arial"/>
          <w:b/>
          <w:bCs/>
          <w:lang w:eastAsia="es-ES_tradnl"/>
        </w:rPr>
      </w:pPr>
      <w:r w:rsidRPr="008E0F52">
        <w:rPr>
          <w:rFonts w:ascii="Verdana" w:eastAsia="Calibri" w:hAnsi="Verdana" w:cs="Arial"/>
          <w:b/>
          <w:bCs/>
          <w:lang w:eastAsia="es-ES_tradnl"/>
        </w:rPr>
        <w:t>CONTRATO DE PRESTACIÓN DE SERVICIOS – Características</w:t>
      </w:r>
    </w:p>
    <w:p w14:paraId="1EF32351" w14:textId="77777777" w:rsidR="00C22DB4" w:rsidRPr="006C12C3" w:rsidRDefault="00C22DB4" w:rsidP="00C22DB4">
      <w:pPr>
        <w:spacing w:after="0" w:line="240" w:lineRule="auto"/>
        <w:jc w:val="both"/>
        <w:rPr>
          <w:rFonts w:ascii="Verdana" w:eastAsia="Calibri" w:hAnsi="Verdana" w:cs="Arial"/>
          <w:sz w:val="20"/>
          <w:szCs w:val="20"/>
          <w:lang w:eastAsia="es-ES_tradnl"/>
        </w:rPr>
      </w:pPr>
    </w:p>
    <w:p w14:paraId="709EA8E0" w14:textId="77777777" w:rsidR="00C22DB4" w:rsidRPr="006C12C3" w:rsidRDefault="00C22DB4" w:rsidP="00C22DB4">
      <w:pPr>
        <w:spacing w:after="0" w:line="240" w:lineRule="auto"/>
        <w:jc w:val="both"/>
        <w:rPr>
          <w:rFonts w:ascii="Verdana" w:eastAsia="Calibri" w:hAnsi="Verdana" w:cs="Arial"/>
          <w:sz w:val="20"/>
          <w:szCs w:val="20"/>
          <w:lang w:val="es-MX" w:eastAsia="es-ES_tradnl"/>
        </w:rPr>
      </w:pPr>
      <w:r w:rsidRPr="006C12C3">
        <w:rPr>
          <w:rFonts w:ascii="Verdana" w:eastAsia="Calibri" w:hAnsi="Verdana" w:cs="Arial"/>
          <w:sz w:val="20"/>
          <w:szCs w:val="20"/>
          <w:lang w:eastAsia="es-ES_tradnl"/>
        </w:rPr>
        <w:t>[…] a) Solo puede celebrarse para realizar</w:t>
      </w:r>
      <w:r w:rsidRPr="006C12C3">
        <w:rPr>
          <w:rFonts w:ascii="Verdana" w:eastAsia="Calibri" w:hAnsi="Verdana" w:cs="Arial"/>
          <w:sz w:val="20"/>
          <w:szCs w:val="20"/>
          <w:lang w:val="es-ES_tradnl" w:eastAsia="es-ES_tradnl"/>
        </w:rPr>
        <w:t xml:space="preserve">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r>
        <w:rPr>
          <w:rFonts w:ascii="Verdana" w:eastAsia="Calibri" w:hAnsi="Verdana" w:cs="Arial"/>
          <w:sz w:val="20"/>
          <w:szCs w:val="20"/>
          <w:lang w:val="es-ES_tradnl" w:eastAsia="es-ES_tradnl"/>
        </w:rPr>
        <w:t xml:space="preserve"> </w:t>
      </w:r>
      <w:r w:rsidRPr="006C12C3">
        <w:rPr>
          <w:rFonts w:ascii="Verdana" w:eastAsia="Calibri" w:hAnsi="Verdana" w:cs="Arial"/>
          <w:sz w:val="20"/>
          <w:szCs w:val="20"/>
          <w:lang w:val="es-ES_tradnl" w:eastAsia="es-ES_tradnl"/>
        </w:rPr>
        <w:t xml:space="preserve">[…] </w:t>
      </w:r>
    </w:p>
    <w:p w14:paraId="11C17A09" w14:textId="77777777" w:rsidR="00C22DB4" w:rsidRDefault="00C22DB4" w:rsidP="00C22DB4">
      <w:pPr>
        <w:spacing w:after="0" w:line="240" w:lineRule="auto"/>
        <w:jc w:val="both"/>
        <w:rPr>
          <w:rFonts w:ascii="Verdana" w:hAnsi="Verdana"/>
          <w:color w:val="2F5496" w:themeColor="accent1" w:themeShade="BF"/>
          <w:sz w:val="20"/>
          <w:szCs w:val="20"/>
          <w:lang w:val="es-MX"/>
        </w:rPr>
      </w:pPr>
    </w:p>
    <w:p w14:paraId="46736B09" w14:textId="77777777" w:rsidR="00C22DB4" w:rsidRPr="000B1B16" w:rsidRDefault="00C22DB4" w:rsidP="00C22DB4">
      <w:pPr>
        <w:spacing w:after="0" w:line="240" w:lineRule="auto"/>
        <w:jc w:val="both"/>
        <w:rPr>
          <w:rFonts w:ascii="Verdana" w:eastAsia="Calibri" w:hAnsi="Verdana" w:cs="Arial"/>
          <w:b/>
          <w:lang w:val="es-ES"/>
        </w:rPr>
      </w:pPr>
      <w:r w:rsidRPr="000B1B16">
        <w:rPr>
          <w:rFonts w:ascii="Verdana" w:eastAsia="Calibri" w:hAnsi="Verdana" w:cs="Arial"/>
          <w:b/>
          <w:lang w:val="es-ES"/>
        </w:rPr>
        <w:t xml:space="preserve">CONTRATO DE OBRA PÚBLICA – </w:t>
      </w:r>
      <w:r>
        <w:rPr>
          <w:rFonts w:ascii="Verdana" w:eastAsia="Calibri" w:hAnsi="Verdana" w:cs="Arial"/>
          <w:b/>
          <w:lang w:val="es-ES"/>
        </w:rPr>
        <w:t>Noción</w:t>
      </w:r>
    </w:p>
    <w:p w14:paraId="54DE01D9" w14:textId="77777777" w:rsidR="00C22DB4" w:rsidRPr="000B1B16" w:rsidRDefault="00C22DB4" w:rsidP="00C22DB4">
      <w:pPr>
        <w:spacing w:after="0" w:line="240" w:lineRule="auto"/>
        <w:jc w:val="both"/>
        <w:rPr>
          <w:rFonts w:ascii="Verdana" w:eastAsia="Calibri" w:hAnsi="Verdana" w:cs="Arial"/>
          <w:b/>
          <w:lang w:val="es-ES"/>
        </w:rPr>
      </w:pPr>
    </w:p>
    <w:p w14:paraId="63F9C9E8" w14:textId="77777777" w:rsidR="00C22DB4" w:rsidRPr="000B1B16" w:rsidRDefault="00C22DB4" w:rsidP="00C22DB4">
      <w:pPr>
        <w:spacing w:after="0" w:line="240" w:lineRule="auto"/>
        <w:jc w:val="both"/>
        <w:rPr>
          <w:rFonts w:ascii="Verdana" w:eastAsia="Calibri" w:hAnsi="Verdana" w:cs="Arial"/>
          <w:bCs/>
          <w:sz w:val="20"/>
          <w:szCs w:val="20"/>
          <w:lang w:val="es-ES"/>
        </w:rPr>
      </w:pPr>
      <w:r w:rsidRPr="000B1B16">
        <w:rPr>
          <w:rFonts w:ascii="Verdana" w:eastAsia="Calibri" w:hAnsi="Verdana" w:cs="Arial"/>
          <w:bCs/>
          <w:sz w:val="20"/>
          <w:szCs w:val="20"/>
          <w:lang w:val="es-ES"/>
        </w:rPr>
        <w:t xml:space="preserve">[…] Por su parte, 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00C3AE97" w14:textId="77777777" w:rsidR="00C22DB4" w:rsidRPr="000B1B16" w:rsidRDefault="00C22DB4" w:rsidP="00C22DB4">
      <w:pPr>
        <w:spacing w:after="0" w:line="240" w:lineRule="auto"/>
        <w:jc w:val="both"/>
        <w:rPr>
          <w:rFonts w:ascii="Verdana" w:eastAsia="Calibri" w:hAnsi="Verdana" w:cs="Arial"/>
          <w:bCs/>
          <w:sz w:val="20"/>
          <w:szCs w:val="20"/>
          <w:lang w:val="es-ES"/>
        </w:rPr>
      </w:pPr>
    </w:p>
    <w:p w14:paraId="6E0D7A25" w14:textId="77777777" w:rsidR="00C22DB4" w:rsidRPr="000B1B16" w:rsidRDefault="00C22DB4" w:rsidP="00C22DB4">
      <w:pPr>
        <w:spacing w:after="0" w:line="240" w:lineRule="auto"/>
        <w:jc w:val="both"/>
        <w:rPr>
          <w:rFonts w:ascii="Verdana" w:eastAsia="Calibri" w:hAnsi="Verdana" w:cs="Arial"/>
          <w:bCs/>
          <w:sz w:val="20"/>
          <w:szCs w:val="20"/>
          <w:lang w:val="es-ES"/>
        </w:rPr>
      </w:pPr>
      <w:r w:rsidRPr="000B1B16">
        <w:rPr>
          <w:rFonts w:ascii="Verdana" w:eastAsia="Calibri" w:hAnsi="Verdana" w:cs="Arial"/>
          <w:bCs/>
          <w:sz w:val="20"/>
          <w:szCs w:val="20"/>
          <w:lang w:val="es-ES"/>
        </w:rPr>
        <w:t xml:space="preserve">En efecto,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w:t>
      </w:r>
      <w:r w:rsidRPr="000B1B16">
        <w:rPr>
          <w:rFonts w:ascii="Verdana" w:eastAsia="Calibri" w:hAnsi="Verdana" w:cs="Arial"/>
          <w:bCs/>
          <w:sz w:val="20"/>
          <w:szCs w:val="20"/>
          <w:lang w:val="es-ES"/>
        </w:rPr>
        <w:lastRenderedPageBreak/>
        <w:t xml:space="preserve">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 </w:t>
      </w:r>
    </w:p>
    <w:p w14:paraId="1613CC7D" w14:textId="77777777" w:rsidR="00C22DB4" w:rsidRPr="000B1B16" w:rsidRDefault="00C22DB4" w:rsidP="00C22DB4">
      <w:pPr>
        <w:spacing w:after="0" w:line="240" w:lineRule="auto"/>
        <w:jc w:val="both"/>
        <w:rPr>
          <w:rFonts w:ascii="Verdana" w:eastAsia="Calibri" w:hAnsi="Verdana" w:cs="Arial"/>
          <w:b/>
          <w:lang w:val="es-ES"/>
        </w:rPr>
      </w:pPr>
    </w:p>
    <w:p w14:paraId="10989DC5" w14:textId="77777777" w:rsidR="00C22DB4" w:rsidRPr="000B1B16" w:rsidRDefault="00C22DB4" w:rsidP="00C22DB4">
      <w:pPr>
        <w:spacing w:after="0" w:line="240" w:lineRule="auto"/>
        <w:jc w:val="both"/>
        <w:rPr>
          <w:rFonts w:ascii="Verdana" w:eastAsia="Calibri" w:hAnsi="Verdana" w:cs="Arial"/>
          <w:b/>
          <w:lang w:val="es-ES"/>
        </w:rPr>
      </w:pPr>
      <w:r w:rsidRPr="000B1B16">
        <w:rPr>
          <w:rFonts w:ascii="Verdana" w:eastAsia="Calibri" w:hAnsi="Verdana" w:cs="Arial"/>
          <w:b/>
          <w:lang w:val="es-ES"/>
        </w:rPr>
        <w:t xml:space="preserve">CONTRATO DE OBRA PÚBLICA – Concepto </w:t>
      </w:r>
      <w:r>
        <w:rPr>
          <w:rFonts w:ascii="Verdana" w:eastAsia="Calibri" w:hAnsi="Verdana" w:cs="Arial"/>
          <w:b/>
          <w:lang w:val="es-ES"/>
        </w:rPr>
        <w:t>– Sentido restringido</w:t>
      </w:r>
    </w:p>
    <w:p w14:paraId="49E9578C" w14:textId="77777777" w:rsidR="00C22DB4" w:rsidRPr="00DD7BFC" w:rsidRDefault="00C22DB4" w:rsidP="00C22DB4">
      <w:pPr>
        <w:spacing w:after="0" w:line="240" w:lineRule="auto"/>
        <w:jc w:val="both"/>
        <w:rPr>
          <w:rFonts w:ascii="Verdana" w:eastAsia="Calibri" w:hAnsi="Verdana" w:cs="Arial"/>
          <w:b/>
          <w:lang w:val="es-ES"/>
        </w:rPr>
      </w:pPr>
    </w:p>
    <w:p w14:paraId="17D06C8E" w14:textId="77777777" w:rsidR="00C22DB4" w:rsidRPr="00DD7BFC" w:rsidRDefault="00C22DB4" w:rsidP="00C22DB4">
      <w:pPr>
        <w:spacing w:after="0" w:line="240" w:lineRule="auto"/>
        <w:jc w:val="both"/>
        <w:rPr>
          <w:rFonts w:ascii="Verdana" w:eastAsia="Calibri" w:hAnsi="Verdana" w:cs="Arial"/>
          <w:bCs/>
          <w:sz w:val="20"/>
          <w:szCs w:val="20"/>
          <w:lang w:val="es-ES"/>
        </w:rPr>
      </w:pPr>
      <w:r w:rsidRPr="00DD7BFC">
        <w:rPr>
          <w:rFonts w:ascii="Verdana" w:eastAsia="Calibri" w:hAnsi="Verdana" w:cs="Arial"/>
          <w:bCs/>
          <w:sz w:val="20"/>
          <w:szCs w:val="20"/>
          <w:lang w:val="es-ES"/>
        </w:rPr>
        <w:t xml:space="preserve">[…]  </w:t>
      </w:r>
      <w:r w:rsidRPr="00DD7BFC">
        <w:rPr>
          <w:rFonts w:ascii="Verdana" w:eastAsia="Calibri" w:hAnsi="Verdana" w:cs="Arial"/>
          <w:sz w:val="20"/>
          <w:szCs w:val="20"/>
          <w:lang w:val="es-ES_tradnl" w:eastAsia="es-ES_tradnl"/>
        </w:rPr>
        <w:t>En sentido amplio, dado que la “obra” es un bien que crea la actividad humana, el hecho de que sea “pública” significa que es todo trabajo material en cuya creación o realización interviene el Estado. No obstante, el numeral 1 del artículo 32 de la Ley 80 de 1993 opta por un sentido restringido,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p>
    <w:p w14:paraId="31E13D22" w14:textId="77777777" w:rsidR="00C22DB4" w:rsidRPr="00DD7BFC" w:rsidRDefault="00C22DB4" w:rsidP="00C22DB4">
      <w:pPr>
        <w:spacing w:after="0" w:line="240" w:lineRule="auto"/>
        <w:jc w:val="both"/>
        <w:rPr>
          <w:rFonts w:ascii="Verdana" w:eastAsia="Calibri" w:hAnsi="Verdana" w:cs="Arial"/>
          <w:sz w:val="20"/>
          <w:szCs w:val="20"/>
          <w:lang w:val="es-ES_tradnl" w:eastAsia="es-ES_tradnl"/>
        </w:rPr>
      </w:pPr>
      <w:r w:rsidRPr="00DD7BFC">
        <w:rPr>
          <w:rFonts w:ascii="Verdana" w:eastAsia="Calibri" w:hAnsi="Verdana" w:cs="Arial"/>
          <w:sz w:val="20"/>
          <w:szCs w:val="20"/>
          <w:lang w:val="es-ES_tradnl" w:eastAsia="es-ES_tradnl"/>
        </w:rPr>
        <w:t xml:space="preserve"> </w:t>
      </w:r>
    </w:p>
    <w:p w14:paraId="28F30803" w14:textId="77777777" w:rsidR="00C22DB4" w:rsidRPr="00DD7BFC" w:rsidRDefault="00C22DB4" w:rsidP="00C22DB4">
      <w:pPr>
        <w:spacing w:after="0" w:line="240" w:lineRule="auto"/>
        <w:jc w:val="both"/>
        <w:rPr>
          <w:rFonts w:ascii="Verdana" w:eastAsia="Calibri" w:hAnsi="Verdana" w:cs="Arial"/>
          <w:sz w:val="20"/>
          <w:szCs w:val="20"/>
          <w:lang w:val="es-ES_tradnl"/>
        </w:rPr>
      </w:pPr>
      <w:r w:rsidRPr="00DD7BFC">
        <w:rPr>
          <w:rFonts w:ascii="Verdana" w:eastAsia="Calibri" w:hAnsi="Verdana" w:cs="Arial"/>
          <w:sz w:val="20"/>
          <w:szCs w:val="20"/>
          <w:lang w:val="es-ES_tradnl" w:eastAsia="es-ES_tradnl"/>
        </w:rPr>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r w:rsidRPr="00DD7BFC">
        <w:rPr>
          <w:rFonts w:ascii="Verdana" w:eastAsia="Calibri" w:hAnsi="Verdana" w:cs="Arial"/>
          <w:sz w:val="20"/>
          <w:szCs w:val="20"/>
          <w:lang w:val="es-ES_tradnl"/>
        </w:rPr>
        <w:t>.</w:t>
      </w:r>
      <w:r>
        <w:rPr>
          <w:rFonts w:ascii="Verdana" w:eastAsia="Calibri" w:hAnsi="Verdana" w:cs="Arial"/>
          <w:sz w:val="20"/>
          <w:szCs w:val="20"/>
          <w:lang w:val="es-ES_tradnl"/>
        </w:rPr>
        <w:t xml:space="preserve"> […] </w:t>
      </w:r>
    </w:p>
    <w:p w14:paraId="0E871995" w14:textId="77777777" w:rsidR="00C22DB4" w:rsidRPr="00073EA8" w:rsidRDefault="00C22DB4" w:rsidP="00C22DB4">
      <w:pPr>
        <w:spacing w:after="0" w:line="240" w:lineRule="auto"/>
        <w:jc w:val="both"/>
        <w:rPr>
          <w:rFonts w:ascii="Verdana" w:hAnsi="Verdana"/>
          <w:sz w:val="20"/>
          <w:szCs w:val="20"/>
          <w:lang w:val="es-ES_tradnl"/>
        </w:rPr>
      </w:pPr>
    </w:p>
    <w:p w14:paraId="6FED2F56" w14:textId="77777777" w:rsidR="00C22DB4" w:rsidRDefault="00C22DB4" w:rsidP="00C22DB4">
      <w:pPr>
        <w:spacing w:after="0" w:line="240" w:lineRule="auto"/>
        <w:jc w:val="both"/>
        <w:rPr>
          <w:rFonts w:ascii="Verdana" w:eastAsia="Calibri" w:hAnsi="Verdana" w:cs="Arial"/>
          <w:b/>
          <w:bCs/>
          <w:color w:val="2F5496" w:themeColor="accent1" w:themeShade="BF"/>
          <w:lang w:val="es-ES" w:eastAsia="es-ES_tradnl"/>
        </w:rPr>
      </w:pPr>
      <w:r w:rsidRPr="009A5EA5">
        <w:rPr>
          <w:rFonts w:ascii="Verdana" w:eastAsia="Times New Roman" w:hAnsi="Verdana" w:cs="Arial"/>
          <w:b/>
          <w:bCs/>
          <w:lang w:eastAsia="es-ES_tradnl"/>
        </w:rPr>
        <w:t xml:space="preserve">CONTRATOS DE PRESTACIÓN DE SERVICIOS – Costos administrativos y estampillas – </w:t>
      </w:r>
      <w:r>
        <w:rPr>
          <w:rFonts w:ascii="Verdana" w:eastAsia="Times New Roman" w:hAnsi="Verdana" w:cs="Arial"/>
          <w:b/>
          <w:bCs/>
          <w:lang w:eastAsia="es-ES_tradnl"/>
        </w:rPr>
        <w:t xml:space="preserve">Naturaleza tributaria - </w:t>
      </w:r>
      <w:r w:rsidRPr="009A5EA5">
        <w:rPr>
          <w:rFonts w:ascii="Verdana" w:eastAsia="Times New Roman" w:hAnsi="Verdana" w:cs="Arial"/>
          <w:b/>
          <w:bCs/>
          <w:lang w:eastAsia="es-ES_tradnl"/>
        </w:rPr>
        <w:t>Hecho generador</w:t>
      </w:r>
    </w:p>
    <w:p w14:paraId="793DD7A5" w14:textId="77777777" w:rsidR="00C22DB4" w:rsidRDefault="00C22DB4" w:rsidP="00C22DB4">
      <w:pPr>
        <w:spacing w:after="0" w:line="240" w:lineRule="auto"/>
        <w:jc w:val="both"/>
        <w:rPr>
          <w:rFonts w:ascii="Verdana" w:eastAsia="Calibri" w:hAnsi="Verdana" w:cs="Arial"/>
          <w:b/>
          <w:bCs/>
          <w:color w:val="2F5496" w:themeColor="accent1" w:themeShade="BF"/>
          <w:lang w:val="es-ES" w:eastAsia="es-ES_tradnl"/>
        </w:rPr>
      </w:pPr>
    </w:p>
    <w:p w14:paraId="5486DA3D" w14:textId="77777777" w:rsidR="00C22DB4" w:rsidRPr="00D177EC" w:rsidRDefault="00C22DB4" w:rsidP="00C22DB4">
      <w:pPr>
        <w:spacing w:after="0" w:line="240" w:lineRule="auto"/>
        <w:jc w:val="both"/>
        <w:rPr>
          <w:rFonts w:ascii="Verdana" w:eastAsia="Calibri" w:hAnsi="Verdana" w:cs="Arial"/>
          <w:sz w:val="20"/>
          <w:szCs w:val="20"/>
          <w:lang w:val="es-ES_tradnl" w:eastAsia="es-ES_tradnl"/>
        </w:rPr>
      </w:pPr>
      <w:r w:rsidRPr="00D177EC">
        <w:rPr>
          <w:rFonts w:ascii="Verdana" w:eastAsia="Calibri" w:hAnsi="Verdana" w:cs="Arial"/>
          <w:sz w:val="20"/>
          <w:szCs w:val="20"/>
          <w:lang w:val="es-ES_tradnl" w:eastAsia="es-ES_tradnl"/>
        </w:rPr>
        <w:t>[…] Ahora bien, la incorporación de las denominadas “estampillas” al ordenamiento jurídico colombiano tan sólo puede darse por disposición legal y, tratándose de tributos territoriales, por disposición expresa de las correspondientes ordenanzas departamentales o acuerdos distritales o municipales. Estas normas deben indicar a detalle las condiciones de su emisión, recaudo, causación y aplicación del gravamen, así como los demás elementos necesarios para determinar la obligación tributaria. Dependiendo de su configuración normativa, las estampillas pueden ser concebidas como una tasa parafiscal, o como impuesto con destinación específica.</w:t>
      </w:r>
    </w:p>
    <w:p w14:paraId="546F3565" w14:textId="77777777" w:rsidR="00C22DB4" w:rsidRPr="00D177EC" w:rsidRDefault="00C22DB4" w:rsidP="00C22DB4">
      <w:pPr>
        <w:spacing w:after="0" w:line="240" w:lineRule="auto"/>
        <w:jc w:val="both"/>
        <w:rPr>
          <w:rFonts w:ascii="Verdana" w:eastAsia="Calibri" w:hAnsi="Verdana" w:cs="Arial"/>
          <w:sz w:val="20"/>
          <w:szCs w:val="20"/>
          <w:lang w:val="es-ES_tradnl" w:eastAsia="es-ES_tradnl"/>
        </w:rPr>
      </w:pPr>
    </w:p>
    <w:p w14:paraId="4960385C" w14:textId="77777777" w:rsidR="00C22DB4" w:rsidRPr="00D177EC" w:rsidRDefault="00C22DB4" w:rsidP="00C22DB4">
      <w:pPr>
        <w:spacing w:after="0" w:line="240" w:lineRule="auto"/>
        <w:jc w:val="both"/>
        <w:rPr>
          <w:rFonts w:ascii="Verdana" w:eastAsia="Calibri" w:hAnsi="Verdana" w:cs="Arial"/>
          <w:sz w:val="20"/>
          <w:szCs w:val="20"/>
          <w:lang w:val="es-ES_tradnl" w:eastAsia="es-ES_tradnl"/>
        </w:rPr>
      </w:pPr>
      <w:r w:rsidRPr="00D177EC">
        <w:rPr>
          <w:rFonts w:ascii="Verdana" w:eastAsia="Calibri" w:hAnsi="Verdana" w:cs="Arial"/>
          <w:sz w:val="20"/>
          <w:szCs w:val="20"/>
          <w:lang w:val="es-ES_tradnl" w:eastAsia="es-ES_tradnl"/>
        </w:rPr>
        <w:t>Sobre el tema, es importante indicar que tanto la naturaleza de cada estampilla, así como las condiciones que se deben tener en cuenta para su causación, recaudo, destinación y objetivos pueden diferir en función de las decisiones que en su configuración adoptó el Legislador al autorizar su creación y, de manera complementaria, por los órganos colegiados de las autoridades territoriales al desarrollarlas en ejercicio de sus competencias. En consecuencia, la procedencia de una estampilla determinada debe analizarse a partir de las disposiciones específicas que regulan su existencia y aplicación</w:t>
      </w:r>
      <w:r>
        <w:rPr>
          <w:rFonts w:ascii="Verdana" w:eastAsia="Calibri" w:hAnsi="Verdana" w:cs="Arial"/>
          <w:sz w:val="20"/>
          <w:szCs w:val="20"/>
          <w:lang w:val="es-ES_tradnl" w:eastAsia="es-ES_tradnl"/>
        </w:rPr>
        <w:t xml:space="preserve"> […]</w:t>
      </w:r>
    </w:p>
    <w:p w14:paraId="0B5F0501" w14:textId="77777777" w:rsidR="00C22DB4" w:rsidRDefault="00C22DB4" w:rsidP="00C22DB4">
      <w:pPr>
        <w:spacing w:after="0" w:line="240" w:lineRule="auto"/>
        <w:jc w:val="both"/>
        <w:rPr>
          <w:rFonts w:ascii="Verdana" w:eastAsia="Calibri" w:hAnsi="Verdana" w:cs="Arial"/>
          <w:b/>
          <w:bCs/>
          <w:color w:val="2F5496" w:themeColor="accent1" w:themeShade="BF"/>
          <w:lang w:val="es-ES" w:eastAsia="es-ES_tradnl"/>
        </w:rPr>
      </w:pPr>
    </w:p>
    <w:p w14:paraId="0F432023" w14:textId="77777777" w:rsidR="00EE27D0" w:rsidRDefault="00EE27D0" w:rsidP="00C22DB4">
      <w:pPr>
        <w:spacing w:after="0" w:line="240" w:lineRule="auto"/>
        <w:jc w:val="both"/>
        <w:rPr>
          <w:rFonts w:ascii="Verdana" w:hAnsi="Verdana"/>
        </w:rPr>
      </w:pPr>
    </w:p>
    <w:p w14:paraId="28A71144" w14:textId="4A18D602" w:rsidR="00C22DB4" w:rsidRPr="000E0D0E" w:rsidRDefault="00C22DB4" w:rsidP="00C22DB4">
      <w:pPr>
        <w:spacing w:after="0" w:line="240" w:lineRule="auto"/>
        <w:jc w:val="both"/>
        <w:rPr>
          <w:rFonts w:ascii="Verdana" w:eastAsia="Calibri" w:hAnsi="Verdana" w:cs="Arial"/>
          <w:sz w:val="20"/>
          <w:szCs w:val="20"/>
        </w:rPr>
      </w:pPr>
      <w:r w:rsidRPr="000E0D0E">
        <w:rPr>
          <w:rFonts w:ascii="Verdana" w:hAnsi="Verdana"/>
        </w:rPr>
        <w:lastRenderedPageBreak/>
        <w:t xml:space="preserve">Bogotá D.C., </w:t>
      </w:r>
      <w:r w:rsidR="00EA581C">
        <w:rPr>
          <w:rFonts w:ascii="Verdana" w:hAnsi="Verdana"/>
        </w:rPr>
        <w:t>15 Octubre 2026</w:t>
      </w:r>
    </w:p>
    <w:p w14:paraId="2C4E3645" w14:textId="1D2356FA" w:rsidR="00C22DB4" w:rsidRPr="00014B0F" w:rsidRDefault="00521840" w:rsidP="00F32BB2">
      <w:pPr>
        <w:spacing w:after="0" w:line="240" w:lineRule="auto"/>
        <w:rPr>
          <w:rFonts w:ascii="Verdana" w:hAnsi="Verdana"/>
          <w:color w:val="2F5496" w:themeColor="accent1" w:themeShade="BF"/>
          <w:lang w:val="es-ES"/>
        </w:rPr>
      </w:pPr>
      <w:r w:rsidRPr="00521840">
        <w:rPr>
          <w:rFonts w:ascii="Verdana" w:eastAsia="Calibri" w:hAnsi="Verdana" w:cs="Arial"/>
          <w:lang w:val="es-ES" w:eastAsia="es-ES"/>
        </w:rPr>
        <w:drawing>
          <wp:anchor distT="0" distB="0" distL="114300" distR="114300" simplePos="0" relativeHeight="251658240" behindDoc="1" locked="0" layoutInCell="1" allowOverlap="1" wp14:anchorId="7854A6D9" wp14:editId="71FE3C02">
            <wp:simplePos x="0" y="0"/>
            <wp:positionH relativeFrom="margin">
              <wp:align>right</wp:align>
            </wp:positionH>
            <wp:positionV relativeFrom="paragraph">
              <wp:posOffset>16510</wp:posOffset>
            </wp:positionV>
            <wp:extent cx="2628900" cy="768829"/>
            <wp:effectExtent l="0" t="0" r="0" b="0"/>
            <wp:wrapNone/>
            <wp:docPr id="13122292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29223" name=""/>
                    <pic:cNvPicPr/>
                  </pic:nvPicPr>
                  <pic:blipFill>
                    <a:blip r:embed="rId10">
                      <a:extLst>
                        <a:ext uri="{28A0092B-C50C-407E-A947-70E740481C1C}">
                          <a14:useLocalDpi xmlns:a14="http://schemas.microsoft.com/office/drawing/2010/main" val="0"/>
                        </a:ext>
                      </a:extLst>
                    </a:blip>
                    <a:stretch>
                      <a:fillRect/>
                    </a:stretch>
                  </pic:blipFill>
                  <pic:spPr>
                    <a:xfrm>
                      <a:off x="0" y="0"/>
                      <a:ext cx="2628900" cy="768829"/>
                    </a:xfrm>
                    <a:prstGeom prst="rect">
                      <a:avLst/>
                    </a:prstGeom>
                  </pic:spPr>
                </pic:pic>
              </a:graphicData>
            </a:graphic>
            <wp14:sizeRelH relativeFrom="margin">
              <wp14:pctWidth>0</wp14:pctWidth>
            </wp14:sizeRelH>
            <wp14:sizeRelV relativeFrom="margin">
              <wp14:pctHeight>0</wp14:pctHeight>
            </wp14:sizeRelV>
          </wp:anchor>
        </w:drawing>
      </w:r>
    </w:p>
    <w:p w14:paraId="4F84C35E" w14:textId="3BC8B061" w:rsidR="00C22DB4" w:rsidRPr="00F65607" w:rsidRDefault="00C22DB4" w:rsidP="00C22DB4">
      <w:pPr>
        <w:spacing w:after="0" w:line="240" w:lineRule="auto"/>
        <w:rPr>
          <w:rFonts w:ascii="Verdana" w:hAnsi="Verdana"/>
          <w:lang w:val="es-ES"/>
        </w:rPr>
      </w:pPr>
      <w:bookmarkStart w:id="0" w:name="_Hlk143780582"/>
      <w:r w:rsidRPr="00F65607">
        <w:rPr>
          <w:rFonts w:ascii="Verdana" w:eastAsia="Calibri" w:hAnsi="Verdana" w:cs="Arial"/>
          <w:lang w:val="es-ES" w:eastAsia="es-ES"/>
        </w:rPr>
        <w:t>Señor</w:t>
      </w:r>
    </w:p>
    <w:p w14:paraId="3347BFDF" w14:textId="77777777" w:rsidR="00C22DB4" w:rsidRPr="00F65607" w:rsidRDefault="00C22DB4" w:rsidP="00C22DB4">
      <w:pPr>
        <w:spacing w:after="0" w:line="240" w:lineRule="auto"/>
        <w:rPr>
          <w:rFonts w:ascii="Verdana" w:eastAsia="Calibri" w:hAnsi="Verdana" w:cs="Arial"/>
          <w:b/>
          <w:bCs/>
          <w:lang w:eastAsia="es-ES"/>
        </w:rPr>
      </w:pPr>
      <w:r w:rsidRPr="00F65607">
        <w:rPr>
          <w:rFonts w:ascii="Verdana" w:eastAsia="Calibri" w:hAnsi="Verdana" w:cs="Arial"/>
          <w:b/>
          <w:bCs/>
          <w:lang w:eastAsia="es-ES"/>
        </w:rPr>
        <w:t>Ciudadano Anónimo</w:t>
      </w:r>
    </w:p>
    <w:p w14:paraId="629895DE" w14:textId="77777777" w:rsidR="00C22DB4" w:rsidRPr="00014B0F" w:rsidRDefault="00C22DB4" w:rsidP="00C22DB4">
      <w:pPr>
        <w:spacing w:after="0" w:line="240" w:lineRule="auto"/>
        <w:rPr>
          <w:rFonts w:ascii="Verdana" w:hAnsi="Verdana"/>
          <w:color w:val="2F5496" w:themeColor="accent1" w:themeShade="BF"/>
          <w:lang w:val="es-ES"/>
        </w:rPr>
      </w:pPr>
      <w:hyperlink r:id="rId11" w:history="1">
        <w:r w:rsidRPr="006110C4">
          <w:rPr>
            <w:rStyle w:val="Hipervnculo"/>
            <w:rFonts w:ascii="Verdana" w:eastAsia="Calibri" w:hAnsi="Verdana" w:cs="Arial"/>
            <w:lang w:eastAsia="es-ES"/>
            <w14:textFill>
              <w14:solidFill>
                <w14:srgbClr w14:val="0000FF">
                  <w14:lumMod w14:val="75000"/>
                </w14:srgbClr>
              </w14:solidFill>
            </w14:textFill>
          </w:rPr>
          <w:t>andres01711@hotmail.com</w:t>
        </w:r>
      </w:hyperlink>
      <w:r>
        <w:rPr>
          <w:rFonts w:ascii="Verdana" w:eastAsia="Calibri" w:hAnsi="Verdana" w:cs="Arial"/>
          <w:color w:val="2F5496" w:themeColor="accent1" w:themeShade="BF"/>
          <w:lang w:eastAsia="es-ES"/>
        </w:rPr>
        <w:t xml:space="preserve"> </w:t>
      </w:r>
    </w:p>
    <w:p w14:paraId="12BA46E9" w14:textId="77777777" w:rsidR="00C22DB4" w:rsidRPr="00F57E0F" w:rsidRDefault="00C22DB4" w:rsidP="00F32BB2">
      <w:pPr>
        <w:spacing w:after="0" w:line="240" w:lineRule="auto"/>
        <w:rPr>
          <w:rFonts w:ascii="Verdana" w:eastAsia="Calibri" w:hAnsi="Verdana" w:cs="Arial"/>
          <w:lang w:val="es-ES" w:eastAsia="es-ES"/>
        </w:rPr>
      </w:pPr>
      <w:r w:rsidRPr="00F57E0F">
        <w:rPr>
          <w:rFonts w:ascii="Verdana" w:eastAsia="Calibri" w:hAnsi="Verdana" w:cs="Arial"/>
          <w:lang w:val="es-ES" w:eastAsia="es-ES"/>
        </w:rPr>
        <w:t>Ciudad</w:t>
      </w:r>
    </w:p>
    <w:p w14:paraId="0F3F0348" w14:textId="77777777" w:rsidR="00C22DB4" w:rsidRPr="00014B0F" w:rsidRDefault="00C22DB4" w:rsidP="00F32BB2">
      <w:pPr>
        <w:spacing w:after="0" w:line="240" w:lineRule="auto"/>
        <w:rPr>
          <w:rFonts w:ascii="Verdana" w:eastAsia="Calibri" w:hAnsi="Verdana" w:cs="Arial"/>
          <w:color w:val="2F5496" w:themeColor="accent1" w:themeShade="BF"/>
          <w:lang w:val="es-ES" w:eastAsia="es-ES"/>
        </w:rPr>
      </w:pPr>
    </w:p>
    <w:p w14:paraId="7F6DA231" w14:textId="77777777" w:rsidR="00C22DB4" w:rsidRPr="00014B0F" w:rsidRDefault="00C22DB4" w:rsidP="00C22DB4">
      <w:pPr>
        <w:spacing w:after="0" w:line="240" w:lineRule="auto"/>
        <w:rPr>
          <w:rFonts w:ascii="Verdana" w:eastAsia="Calibri" w:hAnsi="Verdana" w:cs="Arial"/>
          <w:b/>
          <w:bCs/>
          <w:color w:val="2F5496" w:themeColor="accent1" w:themeShade="BF"/>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C22DB4" w:rsidRPr="00014B0F" w14:paraId="72D684A2" w14:textId="77777777" w:rsidTr="007127D1">
        <w:trPr>
          <w:trHeight w:val="300"/>
        </w:trPr>
        <w:tc>
          <w:tcPr>
            <w:tcW w:w="2410" w:type="dxa"/>
          </w:tcPr>
          <w:p w14:paraId="2BF4251E" w14:textId="77777777" w:rsidR="00C22DB4" w:rsidRPr="003D4CAF" w:rsidRDefault="00C22DB4" w:rsidP="007127D1">
            <w:pPr>
              <w:ind w:left="-142"/>
              <w:jc w:val="both"/>
              <w:rPr>
                <w:rFonts w:ascii="Verdana" w:eastAsia="Calibri" w:hAnsi="Verdana" w:cs="Arial"/>
                <w:b/>
                <w:bCs/>
                <w:lang w:val="es-ES" w:eastAsia="es-ES_tradnl"/>
              </w:rPr>
            </w:pPr>
          </w:p>
        </w:tc>
        <w:tc>
          <w:tcPr>
            <w:tcW w:w="6379" w:type="dxa"/>
          </w:tcPr>
          <w:p w14:paraId="5040B85A" w14:textId="77777777" w:rsidR="00C22DB4" w:rsidRPr="003D4CAF" w:rsidRDefault="00C22DB4" w:rsidP="007127D1">
            <w:pPr>
              <w:ind w:left="3"/>
              <w:jc w:val="both"/>
              <w:rPr>
                <w:rFonts w:ascii="Verdana" w:eastAsia="Calibri" w:hAnsi="Verdana" w:cs="Arial"/>
                <w:b/>
                <w:bCs/>
                <w:lang w:val="es-ES" w:eastAsia="es-ES"/>
              </w:rPr>
            </w:pPr>
            <w:r w:rsidRPr="003D4CAF">
              <w:rPr>
                <w:rFonts w:ascii="Verdana" w:eastAsia="Calibri" w:hAnsi="Verdana" w:cs="Arial"/>
                <w:b/>
                <w:bCs/>
                <w:lang w:val="es-ES" w:eastAsia="es-ES"/>
              </w:rPr>
              <w:t>Concepto C-1477 de 2026</w:t>
            </w:r>
          </w:p>
          <w:p w14:paraId="5DED4756" w14:textId="77777777" w:rsidR="00C22DB4" w:rsidRPr="003D4CAF" w:rsidRDefault="00C22DB4" w:rsidP="007127D1">
            <w:pPr>
              <w:ind w:left="3"/>
              <w:jc w:val="both"/>
              <w:rPr>
                <w:rFonts w:ascii="Verdana" w:eastAsia="Calibri" w:hAnsi="Verdana" w:cs="Arial"/>
                <w:b/>
                <w:bCs/>
                <w:lang w:val="es-ES" w:eastAsia="es-ES"/>
              </w:rPr>
            </w:pPr>
          </w:p>
        </w:tc>
      </w:tr>
      <w:tr w:rsidR="00C22DB4" w:rsidRPr="00014B0F" w14:paraId="067327E0" w14:textId="77777777" w:rsidTr="007127D1">
        <w:trPr>
          <w:trHeight w:val="300"/>
        </w:trPr>
        <w:tc>
          <w:tcPr>
            <w:tcW w:w="2410" w:type="dxa"/>
          </w:tcPr>
          <w:p w14:paraId="2AAB2540" w14:textId="77777777" w:rsidR="00C22DB4" w:rsidRPr="00351BBF" w:rsidRDefault="00C22DB4" w:rsidP="007127D1">
            <w:pPr>
              <w:ind w:left="424" w:firstLine="142"/>
              <w:jc w:val="both"/>
              <w:rPr>
                <w:rFonts w:ascii="Verdana" w:eastAsia="Calibri" w:hAnsi="Verdana" w:cs="Arial"/>
                <w:lang w:val="es-ES" w:eastAsia="es-ES_tradnl"/>
              </w:rPr>
            </w:pPr>
            <w:r w:rsidRPr="00351BBF">
              <w:rPr>
                <w:rFonts w:ascii="Verdana" w:eastAsia="Calibri" w:hAnsi="Verdana" w:cs="Arial"/>
                <w:b/>
                <w:lang w:val="es-ES" w:eastAsia="es-ES_tradnl"/>
              </w:rPr>
              <w:t>Temas:</w:t>
            </w:r>
            <w:r w:rsidRPr="00351BBF">
              <w:rPr>
                <w:rFonts w:ascii="Verdana" w:eastAsia="Calibri" w:hAnsi="Verdana" w:cs="Arial"/>
                <w:lang w:val="es-ES" w:eastAsia="es-ES_tradnl"/>
              </w:rPr>
              <w:t xml:space="preserve">                  </w:t>
            </w:r>
          </w:p>
        </w:tc>
        <w:tc>
          <w:tcPr>
            <w:tcW w:w="6379" w:type="dxa"/>
          </w:tcPr>
          <w:p w14:paraId="02C0DF65" w14:textId="77777777" w:rsidR="00C22DB4" w:rsidRPr="00351BBF" w:rsidRDefault="00C22DB4" w:rsidP="007127D1">
            <w:pPr>
              <w:contextualSpacing/>
              <w:jc w:val="both"/>
              <w:rPr>
                <w:rFonts w:ascii="Verdana" w:hAnsi="Verdana" w:cs="Arial"/>
                <w:lang w:val="es-ES_tradnl"/>
              </w:rPr>
            </w:pPr>
            <w:r w:rsidRPr="00351BBF">
              <w:rPr>
                <w:rFonts w:ascii="Verdana" w:hAnsi="Verdana" w:cs="Arial"/>
                <w:lang w:val="es-ES_tradnl"/>
              </w:rPr>
              <w:t xml:space="preserve">CONTRATO DE PRESTACIÓN DE SERVICIOS – Concepto / CONTRATO DE PRESTACIÓN DE SERVICIOS – Características / CONTRATO DE OBRA PÚBLICA – Noción / CONTRATO DE OBRA PÚBLICA – Concepto – Sentido restringido / CONTRATOS DE PRESTACIÓN DE SERVICIOS – Costos administrativos y estampillas – Naturaleza tributaria - Hecho generador </w:t>
            </w:r>
          </w:p>
          <w:p w14:paraId="3C46E2AF" w14:textId="77777777" w:rsidR="00C22DB4" w:rsidRPr="00351BBF" w:rsidRDefault="00C22DB4" w:rsidP="007127D1">
            <w:pPr>
              <w:contextualSpacing/>
              <w:jc w:val="both"/>
              <w:rPr>
                <w:rFonts w:ascii="Verdana" w:eastAsia="Calibri" w:hAnsi="Verdana" w:cs="Arial"/>
              </w:rPr>
            </w:pPr>
          </w:p>
        </w:tc>
      </w:tr>
      <w:tr w:rsidR="00C22DB4" w:rsidRPr="00014B0F" w14:paraId="17E7F52F" w14:textId="77777777" w:rsidTr="007127D1">
        <w:trPr>
          <w:trHeight w:val="350"/>
        </w:trPr>
        <w:tc>
          <w:tcPr>
            <w:tcW w:w="2410" w:type="dxa"/>
          </w:tcPr>
          <w:p w14:paraId="0ACD6DC2" w14:textId="77777777" w:rsidR="00C22DB4" w:rsidRPr="0008405C" w:rsidRDefault="00C22DB4" w:rsidP="007127D1">
            <w:pPr>
              <w:ind w:left="561"/>
              <w:jc w:val="both"/>
              <w:rPr>
                <w:rFonts w:ascii="Verdana" w:eastAsia="Calibri" w:hAnsi="Verdana" w:cs="Arial"/>
                <w:b/>
                <w:lang w:val="es-ES" w:eastAsia="es-ES_tradnl"/>
              </w:rPr>
            </w:pPr>
            <w:r w:rsidRPr="0008405C">
              <w:rPr>
                <w:rFonts w:ascii="Verdana" w:eastAsia="Calibri" w:hAnsi="Verdana" w:cs="Arial"/>
                <w:b/>
                <w:lang w:val="es-ES" w:eastAsia="es-ES_tradnl"/>
              </w:rPr>
              <w:t>Radicación:</w:t>
            </w:r>
            <w:r w:rsidRPr="0008405C">
              <w:rPr>
                <w:rFonts w:ascii="Verdana" w:eastAsia="Calibri" w:hAnsi="Verdana" w:cs="Arial"/>
                <w:lang w:val="es-ES" w:eastAsia="es-ES_tradnl"/>
              </w:rPr>
              <w:t xml:space="preserve">              </w:t>
            </w:r>
          </w:p>
        </w:tc>
        <w:tc>
          <w:tcPr>
            <w:tcW w:w="6379" w:type="dxa"/>
          </w:tcPr>
          <w:p w14:paraId="05F8537E" w14:textId="77777777" w:rsidR="00C22DB4" w:rsidRPr="0008405C" w:rsidRDefault="00C22DB4" w:rsidP="007127D1">
            <w:pPr>
              <w:ind w:left="3"/>
              <w:jc w:val="both"/>
              <w:rPr>
                <w:rFonts w:ascii="Verdana" w:eastAsia="Calibri" w:hAnsi="Verdana" w:cs="Arial"/>
                <w:lang w:val="es-ES" w:eastAsia="es-ES"/>
              </w:rPr>
            </w:pPr>
            <w:r w:rsidRPr="0008405C">
              <w:rPr>
                <w:rFonts w:ascii="Verdana" w:eastAsia="Calibri" w:hAnsi="Verdana" w:cs="Arial"/>
                <w:lang w:val="es-ES" w:eastAsia="es-ES"/>
              </w:rPr>
              <w:t xml:space="preserve">Respuesta a consulta con radicado No. </w:t>
            </w:r>
            <w:r w:rsidRPr="001F49E8">
              <w:rPr>
                <w:rFonts w:ascii="Verdana" w:eastAsia="Calibri" w:hAnsi="Verdana" w:cs="Arial"/>
                <w:lang w:val="es-ES" w:eastAsia="es-ES"/>
              </w:rPr>
              <w:t>1_2026_09_18_012542</w:t>
            </w:r>
          </w:p>
          <w:p w14:paraId="22A7BC1A" w14:textId="77777777" w:rsidR="00C22DB4" w:rsidRPr="0008405C" w:rsidRDefault="00C22DB4" w:rsidP="007127D1">
            <w:pPr>
              <w:ind w:left="3"/>
              <w:jc w:val="both"/>
              <w:rPr>
                <w:rFonts w:ascii="Verdana" w:hAnsi="Verdana"/>
                <w:lang w:val="es-ES"/>
              </w:rPr>
            </w:pPr>
          </w:p>
        </w:tc>
      </w:tr>
      <w:tr w:rsidR="00C22DB4" w:rsidRPr="00014B0F" w14:paraId="02C11037" w14:textId="77777777" w:rsidTr="007127D1">
        <w:trPr>
          <w:trHeight w:val="350"/>
        </w:trPr>
        <w:tc>
          <w:tcPr>
            <w:tcW w:w="2410" w:type="dxa"/>
          </w:tcPr>
          <w:p w14:paraId="38B5C758" w14:textId="77777777" w:rsidR="00C22DB4" w:rsidRPr="00014B0F" w:rsidRDefault="00C22DB4" w:rsidP="00F32BB2">
            <w:pPr>
              <w:spacing w:line="276" w:lineRule="auto"/>
              <w:ind w:left="561"/>
              <w:jc w:val="both"/>
              <w:rPr>
                <w:rFonts w:ascii="Verdana" w:eastAsia="Calibri" w:hAnsi="Verdana" w:cs="Arial"/>
                <w:b/>
                <w:color w:val="2F5496" w:themeColor="accent1" w:themeShade="BF"/>
                <w:lang w:val="es-ES" w:eastAsia="es-ES_tradnl"/>
              </w:rPr>
            </w:pPr>
          </w:p>
        </w:tc>
        <w:tc>
          <w:tcPr>
            <w:tcW w:w="6379" w:type="dxa"/>
          </w:tcPr>
          <w:p w14:paraId="30AD4872" w14:textId="77777777" w:rsidR="00C22DB4" w:rsidRPr="00014B0F" w:rsidRDefault="00C22DB4" w:rsidP="00F32BB2">
            <w:pPr>
              <w:spacing w:line="276" w:lineRule="auto"/>
              <w:ind w:left="3"/>
              <w:jc w:val="both"/>
              <w:rPr>
                <w:rFonts w:ascii="Verdana" w:eastAsia="Calibri" w:hAnsi="Verdana" w:cs="Arial"/>
                <w:color w:val="2F5496" w:themeColor="accent1" w:themeShade="BF"/>
                <w:lang w:val="es-ES" w:eastAsia="es-ES"/>
              </w:rPr>
            </w:pPr>
          </w:p>
        </w:tc>
      </w:tr>
    </w:tbl>
    <w:p w14:paraId="4397B671" w14:textId="77777777" w:rsidR="00C22DB4" w:rsidRPr="000D16CE" w:rsidRDefault="00C22DB4" w:rsidP="00C22DB4">
      <w:pPr>
        <w:spacing w:after="0" w:line="276" w:lineRule="auto"/>
        <w:jc w:val="both"/>
        <w:rPr>
          <w:rFonts w:ascii="Verdana" w:eastAsia="Calibri" w:hAnsi="Verdana" w:cs="Arial"/>
          <w:lang w:val="es-ES" w:eastAsia="es-ES"/>
        </w:rPr>
      </w:pPr>
      <w:r w:rsidRPr="000D16CE">
        <w:rPr>
          <w:rFonts w:ascii="Verdana" w:eastAsia="Calibri" w:hAnsi="Verdana" w:cs="Arial"/>
          <w:lang w:val="es-ES" w:eastAsia="es-ES"/>
        </w:rPr>
        <w:t>Estimado Ciudadano:</w:t>
      </w:r>
    </w:p>
    <w:p w14:paraId="2E3EEA31" w14:textId="77777777" w:rsidR="00C22DB4" w:rsidRPr="000D16CE" w:rsidRDefault="00C22DB4" w:rsidP="00C22DB4">
      <w:pPr>
        <w:tabs>
          <w:tab w:val="left" w:pos="3768"/>
        </w:tabs>
        <w:spacing w:after="0" w:line="276" w:lineRule="auto"/>
        <w:jc w:val="both"/>
        <w:rPr>
          <w:rFonts w:ascii="Verdana" w:eastAsia="Calibri" w:hAnsi="Verdana" w:cs="Arial"/>
          <w:lang w:val="es-ES" w:eastAsia="es-ES"/>
        </w:rPr>
      </w:pPr>
      <w:r w:rsidRPr="000D16CE">
        <w:rPr>
          <w:rFonts w:ascii="Verdana" w:eastAsia="Calibri" w:hAnsi="Verdana" w:cs="Arial"/>
          <w:lang w:val="es-ES" w:eastAsia="es-ES"/>
        </w:rPr>
        <w:tab/>
      </w:r>
    </w:p>
    <w:p w14:paraId="3EAB1BD0" w14:textId="77777777" w:rsidR="00C22DB4" w:rsidRPr="000D16CE" w:rsidRDefault="00C22DB4" w:rsidP="00C22DB4">
      <w:pPr>
        <w:spacing w:after="0" w:line="276" w:lineRule="auto"/>
        <w:jc w:val="both"/>
        <w:rPr>
          <w:rFonts w:ascii="Verdana" w:eastAsia="Calibri" w:hAnsi="Verdana" w:cs="Arial"/>
          <w:lang w:val="es-ES" w:eastAsia="es-ES"/>
        </w:rPr>
      </w:pPr>
      <w:r w:rsidRPr="000D16CE">
        <w:rPr>
          <w:rFonts w:ascii="Verdana" w:eastAsia="Calibri" w:hAnsi="Verdana" w:cs="Arial"/>
          <w:lang w:val="es-ES" w:eastAsia="es-ES"/>
        </w:rPr>
        <w:t>En ejercicio de la competencia otorgada por los artículos 3, numeral 5º, y 11, numeral 8º, del Decreto Ley 4170 de 2011,</w:t>
      </w:r>
      <w:r w:rsidRPr="000D16CE">
        <w:rPr>
          <w:rFonts w:ascii="Verdana" w:eastAsia="Arial MT" w:hAnsi="Verdana" w:cs="Arial MT"/>
          <w:lang w:val="es-ES" w:eastAsia="es-ES"/>
        </w:rPr>
        <w:t xml:space="preserve"> </w:t>
      </w:r>
      <w:r w:rsidRPr="000D16CE">
        <w:rPr>
          <w:rFonts w:ascii="Verdana" w:hAnsi="Verdana" w:cs="Arial"/>
          <w:lang w:val="es-ES"/>
        </w:rPr>
        <w:t xml:space="preserve">así como lo establecido en el artículo 4 de la Resolución 469 de 2025 expedida por esta Entidad, </w:t>
      </w:r>
      <w:r w:rsidRPr="000D16CE">
        <w:rPr>
          <w:rFonts w:ascii="Verdana" w:eastAsia="Calibri" w:hAnsi="Verdana" w:cs="Arial"/>
          <w:lang w:val="es-ES" w:eastAsia="es-ES"/>
        </w:rPr>
        <w:t xml:space="preserve">la Agencia Nacional de Contratación Pública – Colombia Compra Eficiente– responde a su solicitud de consulta de fecha 18 de septiembre de 2026, en la cual manifiesta lo siguiente: </w:t>
      </w:r>
    </w:p>
    <w:p w14:paraId="4556D560" w14:textId="77777777" w:rsidR="00C22DB4" w:rsidRPr="003966D0" w:rsidRDefault="00C22DB4" w:rsidP="00C22DB4">
      <w:pPr>
        <w:tabs>
          <w:tab w:val="left" w:pos="142"/>
          <w:tab w:val="left" w:pos="284"/>
        </w:tabs>
        <w:spacing w:after="0" w:line="276" w:lineRule="auto"/>
        <w:jc w:val="both"/>
        <w:rPr>
          <w:rFonts w:ascii="Verdana" w:eastAsia="Century Gothic" w:hAnsi="Verdana" w:cs="Century Gothic"/>
          <w:b/>
          <w:bCs/>
          <w:lang w:val="es-ES"/>
        </w:rPr>
      </w:pPr>
    </w:p>
    <w:p w14:paraId="2F44A369" w14:textId="77777777" w:rsidR="00C22DB4" w:rsidRPr="003966D0" w:rsidRDefault="00C22DB4" w:rsidP="00C22DB4">
      <w:pPr>
        <w:spacing w:after="0" w:line="240" w:lineRule="auto"/>
        <w:ind w:left="709" w:right="709"/>
        <w:jc w:val="both"/>
        <w:rPr>
          <w:rFonts w:ascii="Verdana" w:eastAsia="Century Gothic" w:hAnsi="Verdana" w:cs="Century Gothic"/>
          <w:i/>
          <w:iCs/>
          <w:sz w:val="20"/>
          <w:szCs w:val="20"/>
          <w:lang w:val="es-ES"/>
        </w:rPr>
      </w:pPr>
      <w:r w:rsidRPr="003966D0">
        <w:rPr>
          <w:rFonts w:ascii="Verdana" w:eastAsia="Century Gothic" w:hAnsi="Verdana" w:cs="Century Gothic"/>
          <w:i/>
          <w:iCs/>
          <w:sz w:val="20"/>
          <w:szCs w:val="20"/>
          <w:lang w:val="es-ES"/>
        </w:rPr>
        <w:t xml:space="preserve">“[…] ¿Debe pagar los impuestos de Fonsecon y estampillas pro-universidad nacional? Teniendo en cuenta que estos impuestos se causan exclusivamente en contratos de obra pública, concesiones o contratos conexos al de obra pública según (Ley 418 de 1997 y ley 1697 de 2013). </w:t>
      </w:r>
    </w:p>
    <w:p w14:paraId="773DBD52" w14:textId="77777777" w:rsidR="00C22DB4" w:rsidRPr="003966D0" w:rsidRDefault="00C22DB4" w:rsidP="00C22DB4">
      <w:pPr>
        <w:spacing w:after="0" w:line="240" w:lineRule="auto"/>
        <w:ind w:left="709" w:right="709"/>
        <w:jc w:val="both"/>
        <w:rPr>
          <w:rFonts w:ascii="Verdana" w:eastAsia="Century Gothic" w:hAnsi="Verdana" w:cs="Century Gothic"/>
          <w:i/>
          <w:iCs/>
          <w:sz w:val="20"/>
          <w:szCs w:val="20"/>
          <w:lang w:val="es-ES"/>
        </w:rPr>
      </w:pPr>
    </w:p>
    <w:p w14:paraId="1694EC40" w14:textId="77777777" w:rsidR="00C22DB4" w:rsidRDefault="00C22DB4" w:rsidP="00C22DB4">
      <w:pPr>
        <w:spacing w:after="0" w:line="240" w:lineRule="auto"/>
        <w:ind w:left="709" w:right="709"/>
        <w:jc w:val="both"/>
        <w:rPr>
          <w:rFonts w:ascii="Verdana" w:eastAsia="Century Gothic" w:hAnsi="Verdana" w:cs="Century Gothic"/>
          <w:i/>
          <w:iCs/>
          <w:sz w:val="20"/>
          <w:szCs w:val="20"/>
          <w:lang w:val="es-ES"/>
        </w:rPr>
      </w:pPr>
      <w:r w:rsidRPr="003966D0">
        <w:rPr>
          <w:rFonts w:ascii="Verdana" w:eastAsia="Century Gothic" w:hAnsi="Verdana" w:cs="Century Gothic"/>
          <w:i/>
          <w:iCs/>
          <w:sz w:val="20"/>
          <w:szCs w:val="20"/>
          <w:lang w:val="es-ES"/>
        </w:rPr>
        <w:t xml:space="preserve">Esto en virtud a que existe una interpretación de que por el hecho de que en el objeto contractual dice mantenimiento entonces lo asemejan como si fuera obra pública, por la definición que la ley 80 articulo 32 da al contrato de obra. favor esclarecer este asunto hasta donde un contrato de prestación de servicios de apoyo a la gestión de un de operario que realiza </w:t>
      </w:r>
      <w:r w:rsidRPr="003966D0">
        <w:rPr>
          <w:rFonts w:ascii="Verdana" w:eastAsia="Century Gothic" w:hAnsi="Verdana" w:cs="Century Gothic"/>
          <w:i/>
          <w:iCs/>
          <w:sz w:val="20"/>
          <w:szCs w:val="20"/>
          <w:lang w:val="es-ES"/>
        </w:rPr>
        <w:lastRenderedPageBreak/>
        <w:t>labores diarias de mantenimiento como pintar, reparar una llave de agua, resanar, arreglar una puerta, un escritorio, sobre el inmueble de la entidad, se puede convertir en un contrato de obra pública y se le cobre estos impuestos.</w:t>
      </w:r>
    </w:p>
    <w:p w14:paraId="6A3817A8" w14:textId="77777777" w:rsidR="00C22DB4" w:rsidRPr="003966D0" w:rsidRDefault="00C22DB4" w:rsidP="00C22DB4">
      <w:pPr>
        <w:spacing w:after="0" w:line="240" w:lineRule="auto"/>
        <w:ind w:left="709" w:right="709"/>
        <w:jc w:val="both"/>
        <w:rPr>
          <w:rFonts w:ascii="Verdana" w:eastAsia="Century Gothic" w:hAnsi="Verdana" w:cs="Century Gothic"/>
          <w:i/>
          <w:iCs/>
          <w:sz w:val="20"/>
          <w:szCs w:val="20"/>
          <w:lang w:val="es-ES"/>
        </w:rPr>
      </w:pPr>
    </w:p>
    <w:p w14:paraId="04F08205" w14:textId="77777777" w:rsidR="00C22DB4" w:rsidRPr="003966D0" w:rsidRDefault="00C22DB4" w:rsidP="00C22DB4">
      <w:pPr>
        <w:spacing w:after="0" w:line="240" w:lineRule="auto"/>
        <w:ind w:left="709" w:right="709"/>
        <w:jc w:val="both"/>
        <w:rPr>
          <w:rFonts w:ascii="Verdana" w:eastAsia="Century Gothic" w:hAnsi="Verdana" w:cs="Century Gothic"/>
          <w:i/>
          <w:iCs/>
          <w:sz w:val="20"/>
          <w:szCs w:val="20"/>
          <w:lang w:val="es-ES"/>
        </w:rPr>
      </w:pPr>
      <w:r w:rsidRPr="003966D0">
        <w:rPr>
          <w:rFonts w:ascii="Verdana" w:eastAsia="Century Gothic" w:hAnsi="Verdana" w:cs="Century Gothic"/>
          <w:i/>
          <w:iCs/>
          <w:sz w:val="20"/>
          <w:szCs w:val="20"/>
          <w:lang w:val="es-ES"/>
        </w:rPr>
        <w:t xml:space="preserve">Se </w:t>
      </w:r>
      <w:r w:rsidRPr="00EC3F9D">
        <w:rPr>
          <w:rFonts w:ascii="Verdana" w:eastAsia="Century Gothic" w:hAnsi="Verdana" w:cs="Century Gothic"/>
          <w:i/>
          <w:iCs/>
          <w:sz w:val="20"/>
          <w:szCs w:val="20"/>
          <w:lang w:val="es-ES"/>
        </w:rPr>
        <w:t xml:space="preserve">agradece especificar a detalle los alcances del contrato de obra pública, así como el de uno de prestación de servicios que involucre mantenimiento como el del presente caso. Ya que existen ciertos vacíos en la ley, la jurisprudencia y doctrina, que dan lugar a interpretaciones diferentes </w:t>
      </w:r>
      <w:r w:rsidRPr="00EC3F9D">
        <w:rPr>
          <w:rFonts w:ascii="Verdana" w:eastAsia="Century Gothic" w:hAnsi="Verdana" w:cs="Century Gothic"/>
          <w:i/>
          <w:iCs/>
          <w:sz w:val="20"/>
          <w:szCs w:val="20"/>
        </w:rPr>
        <w:t>[…]”</w:t>
      </w:r>
    </w:p>
    <w:p w14:paraId="19B8A235" w14:textId="77777777" w:rsidR="00C22DB4" w:rsidRPr="00F32BB2" w:rsidRDefault="00C22DB4" w:rsidP="00F32BB2">
      <w:pPr>
        <w:spacing w:before="120" w:after="120" w:line="276" w:lineRule="auto"/>
        <w:ind w:left="709" w:right="709"/>
        <w:contextualSpacing/>
        <w:jc w:val="both"/>
        <w:rPr>
          <w:rFonts w:ascii="Verdana" w:eastAsia="Century Gothic" w:hAnsi="Verdana" w:cs="Century Gothic"/>
          <w:i/>
          <w:color w:val="2F5496" w:themeColor="accent1" w:themeShade="BF"/>
          <w:lang w:val="es-ES"/>
        </w:rPr>
      </w:pPr>
    </w:p>
    <w:p w14:paraId="5B337B0F" w14:textId="77777777" w:rsidR="00C22DB4" w:rsidRPr="004E4488" w:rsidRDefault="00C22DB4" w:rsidP="00F32BB2">
      <w:pPr>
        <w:spacing w:after="120" w:line="276" w:lineRule="auto"/>
        <w:ind w:firstLine="709"/>
        <w:jc w:val="both"/>
        <w:rPr>
          <w:rFonts w:ascii="Verdana" w:eastAsia="Calibri" w:hAnsi="Verdana" w:cs="Arial"/>
          <w:lang w:val="es-ES" w:eastAsia="es-ES"/>
        </w:rPr>
      </w:pPr>
      <w:r w:rsidRPr="004E448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E4488">
        <w:rPr>
          <w:rFonts w:ascii="Verdana" w:hAnsi="Verdana"/>
          <w:lang w:val="es-ES"/>
        </w:rPr>
        <w:tab/>
      </w:r>
    </w:p>
    <w:p w14:paraId="6104C3F1" w14:textId="77777777" w:rsidR="00C22DB4" w:rsidRPr="004E4488" w:rsidRDefault="00C22DB4" w:rsidP="00C22DB4">
      <w:pPr>
        <w:spacing w:after="0" w:line="276" w:lineRule="auto"/>
        <w:ind w:firstLine="709"/>
        <w:jc w:val="both"/>
        <w:rPr>
          <w:rFonts w:ascii="Verdana" w:eastAsia="Calibri" w:hAnsi="Verdana" w:cs="Arial"/>
          <w:lang w:val="es-ES" w:eastAsia="es-ES"/>
        </w:rPr>
      </w:pPr>
      <w:r w:rsidRPr="004E4488">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w:t>
      </w:r>
      <w:r>
        <w:rPr>
          <w:rFonts w:ascii="Verdana" w:eastAsia="Calibri" w:hAnsi="Verdana" w:cs="Arial"/>
          <w:lang w:val="es-ES" w:eastAsia="es-ES"/>
        </w:rPr>
        <w:t xml:space="preserve"> los</w:t>
      </w:r>
      <w:r w:rsidRPr="004E4488">
        <w:rPr>
          <w:rFonts w:ascii="Verdana" w:eastAsia="Calibri" w:hAnsi="Verdana" w:cs="Arial"/>
          <w:lang w:val="es-ES" w:eastAsia="es-ES"/>
        </w:rPr>
        <w:t xml:space="preserve"> problema</w:t>
      </w:r>
      <w:r>
        <w:rPr>
          <w:rFonts w:ascii="Verdana" w:eastAsia="Calibri" w:hAnsi="Verdana" w:cs="Arial"/>
          <w:lang w:val="es-ES" w:eastAsia="es-ES"/>
        </w:rPr>
        <w:t>s</w:t>
      </w:r>
      <w:r w:rsidRPr="004E4488">
        <w:rPr>
          <w:rFonts w:ascii="Verdana" w:eastAsia="Calibri" w:hAnsi="Verdana" w:cs="Arial"/>
          <w:lang w:val="es-ES" w:eastAsia="es-ES"/>
        </w:rPr>
        <w:t xml:space="preserve"> jurídico</w:t>
      </w:r>
      <w:r>
        <w:rPr>
          <w:rFonts w:ascii="Verdana" w:eastAsia="Calibri" w:hAnsi="Verdana" w:cs="Arial"/>
          <w:lang w:val="es-ES" w:eastAsia="es-ES"/>
        </w:rPr>
        <w:t>s</w:t>
      </w:r>
      <w:r w:rsidRPr="004E4488">
        <w:rPr>
          <w:rFonts w:ascii="Verdana" w:eastAsia="Calibri" w:hAnsi="Verdana" w:cs="Arial"/>
          <w:lang w:val="es-ES" w:eastAsia="es-ES"/>
        </w:rPr>
        <w:t xml:space="preserve"> de su consulta. </w:t>
      </w:r>
    </w:p>
    <w:p w14:paraId="0EDDD80F" w14:textId="77777777" w:rsidR="00C22DB4" w:rsidRPr="00014B0F" w:rsidRDefault="00C22DB4" w:rsidP="00C22DB4">
      <w:pPr>
        <w:spacing w:after="0" w:line="276" w:lineRule="auto"/>
        <w:ind w:firstLine="709"/>
        <w:jc w:val="both"/>
        <w:rPr>
          <w:rFonts w:ascii="Verdana" w:eastAsia="Calibri" w:hAnsi="Verdana" w:cs="Arial"/>
          <w:color w:val="2F5496" w:themeColor="accent1" w:themeShade="BF"/>
          <w:lang w:val="es-ES" w:eastAsia="es-ES"/>
        </w:rPr>
      </w:pPr>
    </w:p>
    <w:p w14:paraId="6FB67350" w14:textId="77777777" w:rsidR="00C22DB4" w:rsidRPr="00A82414" w:rsidRDefault="00C22DB4" w:rsidP="00C22DB4">
      <w:pPr>
        <w:tabs>
          <w:tab w:val="left" w:pos="142"/>
          <w:tab w:val="left" w:pos="284"/>
        </w:tabs>
        <w:spacing w:after="0" w:line="276" w:lineRule="auto"/>
        <w:jc w:val="both"/>
        <w:rPr>
          <w:rFonts w:ascii="Verdana" w:eastAsia="Century Gothic" w:hAnsi="Verdana" w:cs="Century Gothic"/>
          <w:b/>
          <w:lang w:val="es-ES"/>
        </w:rPr>
      </w:pPr>
      <w:r w:rsidRPr="00A82414">
        <w:rPr>
          <w:rFonts w:ascii="Verdana" w:eastAsia="Century Gothic" w:hAnsi="Verdana" w:cs="Century Gothic"/>
          <w:b/>
          <w:lang w:val="es-ES"/>
        </w:rPr>
        <w:t>1. Problema planteado:</w:t>
      </w:r>
    </w:p>
    <w:p w14:paraId="4572C949" w14:textId="77777777" w:rsidR="00C22DB4" w:rsidRPr="00A82414" w:rsidRDefault="00C22DB4" w:rsidP="00C22DB4">
      <w:pPr>
        <w:tabs>
          <w:tab w:val="left" w:pos="426"/>
        </w:tabs>
        <w:spacing w:after="0" w:line="276" w:lineRule="auto"/>
        <w:jc w:val="both"/>
        <w:rPr>
          <w:rFonts w:ascii="Verdana" w:eastAsia="Century Gothic" w:hAnsi="Verdana" w:cs="Century Gothic"/>
          <w:lang w:val="es-ES"/>
        </w:rPr>
      </w:pPr>
    </w:p>
    <w:p w14:paraId="5FA0CDDC" w14:textId="77777777" w:rsidR="00C22DB4" w:rsidRDefault="00C22DB4" w:rsidP="00C22DB4">
      <w:pPr>
        <w:spacing w:after="0" w:line="276" w:lineRule="auto"/>
        <w:jc w:val="both"/>
        <w:rPr>
          <w:rFonts w:ascii="Verdana" w:eastAsia="Calibri" w:hAnsi="Verdana" w:cs="Times New Roman"/>
          <w:color w:val="2F5496" w:themeColor="accent1" w:themeShade="BF"/>
        </w:rPr>
      </w:pPr>
      <w:r w:rsidRPr="00A82414">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los</w:t>
      </w:r>
      <w:r w:rsidRPr="00A82414">
        <w:rPr>
          <w:rFonts w:ascii="Verdana" w:eastAsia="Century Gothic" w:hAnsi="Verdana" w:cs="Century Gothic"/>
          <w:lang w:val="es-ES"/>
        </w:rPr>
        <w:t xml:space="preserve"> siguiente</w:t>
      </w:r>
      <w:r>
        <w:rPr>
          <w:rFonts w:ascii="Verdana" w:eastAsia="Century Gothic" w:hAnsi="Verdana" w:cs="Century Gothic"/>
          <w:lang w:val="es-ES"/>
        </w:rPr>
        <w:t>s</w:t>
      </w:r>
      <w:r w:rsidRPr="00A82414">
        <w:rPr>
          <w:rFonts w:ascii="Verdana" w:eastAsia="Century Gothic" w:hAnsi="Verdana" w:cs="Century Gothic"/>
          <w:lang w:val="es-ES"/>
        </w:rPr>
        <w:t xml:space="preserve"> problema</w:t>
      </w:r>
      <w:r>
        <w:rPr>
          <w:rFonts w:ascii="Verdana" w:eastAsia="Century Gothic" w:hAnsi="Verdana" w:cs="Century Gothic"/>
          <w:lang w:val="es-ES"/>
        </w:rPr>
        <w:t>s</w:t>
      </w:r>
      <w:r w:rsidRPr="00A82414">
        <w:rPr>
          <w:rFonts w:ascii="Verdana" w:eastAsia="Century Gothic" w:hAnsi="Verdana" w:cs="Century Gothic"/>
          <w:lang w:val="es-ES"/>
        </w:rPr>
        <w:t xml:space="preserve"> </w:t>
      </w:r>
      <w:r w:rsidRPr="008A086F">
        <w:rPr>
          <w:rFonts w:ascii="Verdana" w:eastAsia="Century Gothic" w:hAnsi="Verdana" w:cs="Century Gothic"/>
          <w:lang w:val="es-ES"/>
        </w:rPr>
        <w:t>jurídicos:</w:t>
      </w:r>
      <w:r w:rsidRPr="008A086F">
        <w:rPr>
          <w:rFonts w:ascii="Verdana" w:eastAsia="Century Gothic" w:hAnsi="Verdana" w:cs="Century Gothic"/>
        </w:rPr>
        <w:t xml:space="preserve"> </w:t>
      </w:r>
      <w:r w:rsidRPr="008A086F">
        <w:rPr>
          <w:rFonts w:ascii="Verdana" w:eastAsia="Calibri" w:hAnsi="Verdana" w:cs="Times New Roman"/>
        </w:rPr>
        <w:t>i. ¿Cuál es la naturaleza jurídica del contrato de prestación de servicios y apoyo a la gestión y cuáles son sus características esenciales? ii. ¿Cuál es el alcance del contrato de obra pública de conformidad con el Estatuto General de Contratación de la Administración Pública?</w:t>
      </w:r>
      <w:r>
        <w:rPr>
          <w:rFonts w:ascii="Verdana" w:eastAsia="Calibri" w:hAnsi="Verdana" w:cs="Times New Roman"/>
        </w:rPr>
        <w:t xml:space="preserve"> y iii. </w:t>
      </w:r>
      <w:r w:rsidRPr="009C0CCA">
        <w:rPr>
          <w:rFonts w:ascii="Verdana" w:eastAsia="Calibri" w:hAnsi="Verdana" w:cs="Times New Roman"/>
        </w:rPr>
        <w:t xml:space="preserve">¿Cuál es el ámbito </w:t>
      </w:r>
      <w:r w:rsidRPr="009C0CCA">
        <w:rPr>
          <w:rFonts w:ascii="Verdana" w:eastAsia="Calibri" w:hAnsi="Verdana" w:cs="Times New Roman"/>
        </w:rPr>
        <w:lastRenderedPageBreak/>
        <w:t>de aplicación de las contribuciones y estampillas previstas en el ordenamiento jurídico en materia de contratación estatal?</w:t>
      </w:r>
    </w:p>
    <w:p w14:paraId="370650AE" w14:textId="77777777" w:rsidR="00C22DB4" w:rsidRPr="00014B0F" w:rsidRDefault="00C22DB4" w:rsidP="00C22DB4">
      <w:pPr>
        <w:spacing w:after="0" w:line="276" w:lineRule="auto"/>
        <w:jc w:val="both"/>
        <w:rPr>
          <w:rFonts w:ascii="Verdana" w:eastAsia="Century Gothic" w:hAnsi="Verdana" w:cs="Century Gothic"/>
          <w:color w:val="2F5496" w:themeColor="accent1" w:themeShade="BF"/>
        </w:rPr>
      </w:pPr>
    </w:p>
    <w:p w14:paraId="0852024C" w14:textId="77777777" w:rsidR="00C22DB4" w:rsidRPr="00A82414" w:rsidRDefault="00C22DB4" w:rsidP="00C22DB4">
      <w:pPr>
        <w:tabs>
          <w:tab w:val="left" w:pos="142"/>
          <w:tab w:val="left" w:pos="284"/>
        </w:tabs>
        <w:spacing w:after="0" w:line="276" w:lineRule="auto"/>
        <w:jc w:val="both"/>
        <w:rPr>
          <w:rFonts w:ascii="Verdana" w:eastAsia="Century Gothic" w:hAnsi="Verdana" w:cs="Century Gothic"/>
          <w:b/>
          <w:lang w:val="es-ES"/>
        </w:rPr>
      </w:pPr>
      <w:r w:rsidRPr="00A82414">
        <w:rPr>
          <w:rFonts w:ascii="Verdana" w:eastAsia="Century Gothic" w:hAnsi="Verdana" w:cs="Century Gothic"/>
          <w:b/>
          <w:lang w:val="es-ES"/>
        </w:rPr>
        <w:t>2. Respuesta:</w:t>
      </w:r>
    </w:p>
    <w:p w14:paraId="4D2EE457" w14:textId="77777777" w:rsidR="00C22DB4" w:rsidRPr="00014B0F" w:rsidRDefault="00C22DB4" w:rsidP="00C22DB4">
      <w:pPr>
        <w:tabs>
          <w:tab w:val="left" w:pos="142"/>
          <w:tab w:val="left" w:pos="284"/>
        </w:tabs>
        <w:spacing w:after="0" w:line="276" w:lineRule="auto"/>
        <w:jc w:val="both"/>
        <w:rPr>
          <w:rFonts w:ascii="Verdana" w:eastAsia="Century Gothic" w:hAnsi="Verdana" w:cs="Century Gothic"/>
          <w:b/>
          <w:color w:val="2F5496" w:themeColor="accent1" w:themeShade="BF"/>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22DB4" w:rsidRPr="00014B0F" w14:paraId="16B98046" w14:textId="77777777" w:rsidTr="007127D1">
        <w:tc>
          <w:tcPr>
            <w:tcW w:w="8828" w:type="dxa"/>
          </w:tcPr>
          <w:p w14:paraId="1AFAC96E" w14:textId="77777777" w:rsidR="00C22DB4" w:rsidRDefault="00C22DB4" w:rsidP="007127D1">
            <w:pPr>
              <w:spacing w:after="160" w:line="276" w:lineRule="auto"/>
              <w:jc w:val="both"/>
              <w:rPr>
                <w:rFonts w:ascii="Verdana" w:eastAsia="Arial" w:hAnsi="Verdana" w:cs="Arial"/>
                <w:bCs/>
              </w:rPr>
            </w:pPr>
            <w:r w:rsidRPr="00170507">
              <w:rPr>
                <w:rFonts w:ascii="Verdana" w:eastAsia="Arial" w:hAnsi="Verdana" w:cs="Arial"/>
                <w:bCs/>
              </w:rPr>
              <w:t>i. Para dar respuesta al primer problema planteado, el contrato de prestación de servicios es</w:t>
            </w:r>
            <w:r>
              <w:rPr>
                <w:rFonts w:ascii="Verdana" w:eastAsia="Arial" w:hAnsi="Verdana" w:cs="Arial"/>
                <w:bCs/>
              </w:rPr>
              <w:t xml:space="preserve"> </w:t>
            </w:r>
            <w:r w:rsidRPr="004E57C8">
              <w:rPr>
                <w:rFonts w:ascii="Verdana" w:eastAsia="Arial" w:hAnsi="Verdana" w:cs="Arial"/>
                <w:bCs/>
              </w:rPr>
              <w:t>una de las tipologías contractuales previstas en el Estatuto General de Contratación de la Administración Pública, cuyo objeto consiste en desarrollar actividades relacionadas con la administración o el funcionamiento de las Entidades Estatales. Dentro de esta categoría se encuentran los contratos de prestación de servicios profesionales, de apoyo a la gestión y aquellos destinados a la ejecución de trabajos artísticos que solo pueden encomendarse a determinadas personas naturales. Su celebración debe responder a las necesidades de la Administración y sujetarse a los presupuestos legales aplicables, de acuerdo con la naturaleza de las actividades que se pretenden contratar</w:t>
            </w:r>
            <w:r>
              <w:rPr>
                <w:rFonts w:ascii="Verdana" w:eastAsia="Arial" w:hAnsi="Verdana" w:cs="Arial"/>
                <w:bCs/>
              </w:rPr>
              <w:t>.</w:t>
            </w:r>
          </w:p>
          <w:p w14:paraId="220E430D" w14:textId="77777777" w:rsidR="00C22DB4" w:rsidRDefault="00C22DB4" w:rsidP="007127D1">
            <w:pPr>
              <w:spacing w:after="160" w:line="276" w:lineRule="auto"/>
              <w:ind w:firstLine="709"/>
              <w:jc w:val="both"/>
              <w:rPr>
                <w:rFonts w:ascii="Verdana" w:eastAsia="Arial" w:hAnsi="Verdana" w:cs="Arial"/>
                <w:bCs/>
              </w:rPr>
            </w:pPr>
            <w:r w:rsidRPr="004E57C8">
              <w:rPr>
                <w:rFonts w:ascii="Verdana" w:eastAsia="Arial" w:hAnsi="Verdana" w:cs="Arial"/>
                <w:bCs/>
              </w:rPr>
              <w:t>Entre sus características principales se encuentran la temporalidad, la autonomía e independencia del contratista en la ejecución de las obligaciones pactadas y la ausencia de subordinación laboral. Asimismo, estos contratos cuentan con reglas particulares en materia de selección del contratista, requisitos para su celebración, garantías, liquidación y ejecución contractual. En particular, los contratos de prestación de servicios de apoyo a la gestión comprenden actividades de naturaleza intelectual, técnica, operativa, logística o asistencial, relacionadas con las funciones de la entidad y orientadas a satisfacer sus necesidades institucionales.</w:t>
            </w:r>
            <w:r>
              <w:rPr>
                <w:rFonts w:ascii="Verdana" w:eastAsia="Arial" w:hAnsi="Verdana" w:cs="Arial"/>
                <w:bCs/>
              </w:rPr>
              <w:t xml:space="preserve"> </w:t>
            </w:r>
            <w:r w:rsidRPr="004E57C8">
              <w:rPr>
                <w:rFonts w:ascii="Verdana" w:eastAsia="Arial" w:hAnsi="Verdana" w:cs="Arial"/>
                <w:bCs/>
              </w:rPr>
              <w:t>En ese sentido, la naturaleza jurídica, las características y el régimen aplicable a los contratos de prestación de servicios, con especial referencia a los de apoyo a la gestión, se desarrollarán en las consideraciones del presente concept</w:t>
            </w:r>
            <w:r>
              <w:rPr>
                <w:rFonts w:ascii="Verdana" w:eastAsia="Arial" w:hAnsi="Verdana" w:cs="Arial"/>
                <w:bCs/>
              </w:rPr>
              <w:t>o.</w:t>
            </w:r>
          </w:p>
          <w:p w14:paraId="182F0525" w14:textId="77777777" w:rsidR="00C22DB4" w:rsidRDefault="00C22DB4" w:rsidP="007127D1">
            <w:pPr>
              <w:spacing w:after="160" w:line="276" w:lineRule="auto"/>
              <w:ind w:firstLine="22"/>
              <w:jc w:val="both"/>
              <w:rPr>
                <w:rFonts w:ascii="Verdana" w:eastAsia="Arial" w:hAnsi="Verdana" w:cs="Arial"/>
                <w:bCs/>
              </w:rPr>
            </w:pPr>
            <w:r>
              <w:rPr>
                <w:rFonts w:ascii="Verdana" w:eastAsia="Arial" w:hAnsi="Verdana" w:cs="Arial"/>
                <w:bCs/>
              </w:rPr>
              <w:t>ii. Con respecto al segundo problema jurídico, el</w:t>
            </w:r>
            <w:r w:rsidRPr="00276FA3">
              <w:rPr>
                <w:rFonts w:ascii="Verdana" w:eastAsia="Arial" w:hAnsi="Verdana" w:cs="Arial"/>
                <w:bCs/>
              </w:rPr>
              <w:t xml:space="preserve"> contrato de obra pública es una tipología de contrato estatal regulada en el numeral 1 del artículo 32 de la Ley 80 de 1993, que comprende los negocios jurídicos celebrados por las Entidades Estatales para la construcción, el mantenimiento, la instalación y, en general, la realización de cualquier trabajo material sobre bienes inmuebles, independientemente de la modalidad de ejecución y pago pactada.</w:t>
            </w:r>
          </w:p>
          <w:p w14:paraId="5EE5117D" w14:textId="77777777" w:rsidR="00C22DB4" w:rsidRDefault="00C22DB4" w:rsidP="007127D1">
            <w:pPr>
              <w:spacing w:after="160" w:line="276" w:lineRule="auto"/>
              <w:ind w:firstLine="709"/>
              <w:jc w:val="both"/>
              <w:rPr>
                <w:rFonts w:ascii="Verdana" w:eastAsia="Arial" w:hAnsi="Verdana" w:cs="Arial"/>
                <w:bCs/>
              </w:rPr>
            </w:pPr>
            <w:r>
              <w:rPr>
                <w:rFonts w:ascii="Verdana" w:eastAsia="Arial" w:hAnsi="Verdana" w:cs="Arial"/>
                <w:bCs/>
              </w:rPr>
              <w:lastRenderedPageBreak/>
              <w:t>Así las cosas, su</w:t>
            </w:r>
            <w:r w:rsidRPr="007D0C21">
              <w:rPr>
                <w:rFonts w:ascii="Verdana" w:eastAsia="Arial" w:hAnsi="Verdana" w:cs="Arial"/>
                <w:bCs/>
              </w:rPr>
              <w:t xml:space="preserve"> alcance no se limita a la construcción de nuevas edificaciones, sino que comprende también las intervenciones materiales dirigidas a conservar, reparar, modificar o demoler inmuebles, siempre que las actividades contratadas correspondan a los supuestos previstos legalmente. En este sentido, el elemento determinante para su identificación es la naturaleza material del objeto contractual y su relación con un bien inmueble, lo que permite distinguirlo de otras tipologías contractuales, así como del contrato de confección de obra material propio del derecho privado</w:t>
            </w:r>
            <w:r>
              <w:rPr>
                <w:rFonts w:ascii="Verdana" w:eastAsia="Arial" w:hAnsi="Verdana" w:cs="Arial"/>
                <w:bCs/>
              </w:rPr>
              <w:t xml:space="preserve">. </w:t>
            </w:r>
            <w:r w:rsidRPr="003603A3">
              <w:rPr>
                <w:rFonts w:ascii="Verdana" w:eastAsia="Arial" w:hAnsi="Verdana" w:cs="Arial"/>
                <w:bCs/>
              </w:rPr>
              <w:t xml:space="preserve">En consecuencia, la determinación de su naturaleza jurídica no depende exclusivamente de la denominación que las partes asignen al negocio ni de la modalidad de ejecución o pago, sino del contenido y alcance de las obligaciones que integran su objeto. </w:t>
            </w:r>
          </w:p>
          <w:p w14:paraId="3C0FF88F" w14:textId="77777777" w:rsidR="005A0192" w:rsidRPr="005A0192" w:rsidRDefault="005A0192" w:rsidP="005A0192">
            <w:pPr>
              <w:spacing w:after="160" w:line="276" w:lineRule="auto"/>
              <w:ind w:firstLine="709"/>
              <w:jc w:val="both"/>
              <w:rPr>
                <w:rFonts w:ascii="Verdana" w:eastAsia="Arial" w:hAnsi="Verdana" w:cs="Arial"/>
                <w:bCs/>
              </w:rPr>
            </w:pPr>
            <w:r w:rsidRPr="005A0192">
              <w:rPr>
                <w:rFonts w:ascii="Verdana" w:eastAsia="Arial" w:hAnsi="Verdana" w:cs="Arial"/>
                <w:bCs/>
              </w:rPr>
              <w:t>Una diferencia fundamental entre el contrato de prestación de servicios y el contrato de obra radica en la naturaleza de su objeto contractual. Mientras el contrato de prestación de servicios tiene por finalidad desarrollar actividades relacionadas con la administración, funcionamiento o apoyo a la gestión de la entidad estatal, mediante la ejecución de labores de carácter profesional, técnico, operativo, logístico o asistencial, que se cumplen con autonomía e independencia del contratista y sin que exista subordinación laboral, el contrato de obra está orientado a la realización de trabajos materiales sobre bienes inmuebles, tales como la construcción, mantenimiento, instalación, reparación, modificación o demolición de estos. En consecuencia, el elemento diferenciador no se encuentra en la denominación que las partes otorguen al negocio jurídico, sino en el contenido real de las obligaciones asumidas</w:t>
            </w:r>
          </w:p>
          <w:p w14:paraId="14DCD954" w14:textId="77777777" w:rsidR="00C22DB4" w:rsidRDefault="00C22DB4" w:rsidP="007127D1">
            <w:pPr>
              <w:spacing w:after="160" w:line="276" w:lineRule="auto"/>
              <w:jc w:val="both"/>
              <w:rPr>
                <w:rFonts w:ascii="Verdana" w:hAnsi="Verdana"/>
                <w:bCs/>
              </w:rPr>
            </w:pPr>
            <w:r>
              <w:rPr>
                <w:rFonts w:ascii="Verdana" w:eastAsia="Arial" w:hAnsi="Verdana" w:cs="Arial"/>
                <w:bCs/>
              </w:rPr>
              <w:t xml:space="preserve">iii. </w:t>
            </w:r>
            <w:r w:rsidRPr="003040D9">
              <w:rPr>
                <w:rFonts w:ascii="Verdana" w:eastAsia="Arial" w:hAnsi="Verdana" w:cs="Arial"/>
                <w:bCs/>
              </w:rPr>
              <w:t xml:space="preserve">Ahora </w:t>
            </w:r>
            <w:r>
              <w:rPr>
                <w:rFonts w:ascii="Verdana" w:eastAsia="Arial" w:hAnsi="Verdana" w:cs="Arial"/>
                <w:bCs/>
              </w:rPr>
              <w:t xml:space="preserve">bien, frente al tercer problema jurídico, </w:t>
            </w:r>
            <w:r w:rsidRPr="00D62141">
              <w:rPr>
                <w:rFonts w:ascii="Verdana" w:hAnsi="Verdana"/>
                <w:bCs/>
              </w:rPr>
              <w:t>la exigibilidad de estampillas en los contratos de prestación de servicios o de obra depende estrictamente de las condiciones establecidas en la normativa que regula estos tributos a nivel territorial. En efecto, la incorporación en el ordenamiento jurídico de las denominadas “estampillas” solo puede darse por disposición legal o por disposición expresa de contenida en ordenanzas departamentales o acuerdos distritales o municipales, en las cuales se deben establecer de manera detallada las condiciones de su emisión, pago o adherencia, así como la</w:t>
            </w:r>
            <w:r>
              <w:rPr>
                <w:rFonts w:ascii="Verdana" w:hAnsi="Verdana"/>
                <w:bCs/>
              </w:rPr>
              <w:t xml:space="preserve"> </w:t>
            </w:r>
            <w:r w:rsidRPr="00472E11">
              <w:rPr>
                <w:rFonts w:ascii="Verdana" w:hAnsi="Verdana"/>
                <w:bCs/>
              </w:rPr>
              <w:t>naturaleza del tributo, esto es, si corresponde a una tasa parafiscal o a un impuesto con destinación específica.</w:t>
            </w:r>
          </w:p>
          <w:p w14:paraId="778A3B16" w14:textId="77777777" w:rsidR="00C22DB4" w:rsidRDefault="00C22DB4" w:rsidP="007127D1">
            <w:pPr>
              <w:spacing w:after="160" w:line="276" w:lineRule="auto"/>
              <w:ind w:firstLine="709"/>
              <w:jc w:val="both"/>
              <w:rPr>
                <w:rFonts w:ascii="Verdana" w:hAnsi="Verdana"/>
                <w:bCs/>
                <w:lang w:val="es-ES"/>
              </w:rPr>
            </w:pPr>
            <w:r>
              <w:rPr>
                <w:rFonts w:ascii="Verdana" w:hAnsi="Verdana"/>
                <w:bCs/>
                <w:lang w:val="es-ES"/>
              </w:rPr>
              <w:lastRenderedPageBreak/>
              <w:t>En ese contexto,</w:t>
            </w:r>
            <w:r>
              <w:t xml:space="preserve"> </w:t>
            </w:r>
            <w:r w:rsidRPr="00F86B8E">
              <w:rPr>
                <w:rFonts w:ascii="Verdana" w:hAnsi="Verdana"/>
                <w:bCs/>
                <w:lang w:val="es-ES"/>
              </w:rPr>
              <w:t>las estampillas existen por disposición de las corporaciones públicas territoriales, en ejercicio de la potestad normativa derivada prevista en los artículos 287, 300 y 313 de la Constitución Política. Su creación y regulación deben respetar el marco fijado por la ley, que autoriza estos tributos y establece los límites de la potestad tributaria territorial. En virtud de ello, las entidades territoriales solo pueden crear tributos, entre ellos las estampillas, cuando una ley nacional les otorga expresamente esa facultad. En virtud de ello, las asambleas departamentales y los concejos municipales o distritales pueden desarrollar la ley mediante ordenanzas o acuerdos, en los cuales se determinen el hecho generador, la base gravable, la tarifa, los sujetos pasivos y los mecanismos de recaudo.</w:t>
            </w:r>
          </w:p>
          <w:p w14:paraId="0D09B774" w14:textId="77777777" w:rsidR="00C22DB4" w:rsidRDefault="00C22DB4" w:rsidP="007127D1">
            <w:pPr>
              <w:spacing w:after="160" w:line="276" w:lineRule="auto"/>
              <w:ind w:firstLine="709"/>
              <w:jc w:val="both"/>
              <w:rPr>
                <w:rFonts w:ascii="Verdana" w:hAnsi="Verdana"/>
                <w:bCs/>
              </w:rPr>
            </w:pPr>
            <w:r w:rsidRPr="00D1257F">
              <w:rPr>
                <w:rFonts w:ascii="Verdana" w:hAnsi="Verdana"/>
                <w:bCs/>
              </w:rPr>
              <w:t>Por consiguiente, las estampillas constituyen tributos de carácter departamental o municipal, cuya exigibilidad frente a los contratos de prestación de servicios —como aquellos relacionados con la prestación de servicios de aseo y cafetería—, así como de obra dependerá exclusivamente de lo que dispongan las respectivas ordenanzas o acuerdos territoriales que las hayan cread</w:t>
            </w:r>
            <w:r>
              <w:rPr>
                <w:rFonts w:ascii="Verdana" w:hAnsi="Verdana"/>
                <w:bCs/>
              </w:rPr>
              <w:t>o</w:t>
            </w:r>
            <w:r w:rsidRPr="00D1257F">
              <w:rPr>
                <w:rFonts w:ascii="Verdana" w:hAnsi="Verdana"/>
                <w:bCs/>
              </w:rPr>
              <w:t xml:space="preserve">. De manera particular, los aspectos determinantes serán lo relativo al hecho generador del tributo, a los sujetos obligados al pago y a las condiciones de su </w:t>
            </w:r>
            <w:r>
              <w:rPr>
                <w:rFonts w:ascii="Verdana" w:hAnsi="Verdana"/>
                <w:bCs/>
              </w:rPr>
              <w:t>aplicación</w:t>
            </w:r>
          </w:p>
          <w:p w14:paraId="48CF8560" w14:textId="77777777" w:rsidR="00C22DB4" w:rsidRPr="000854E4" w:rsidRDefault="00C22DB4" w:rsidP="007127D1">
            <w:pPr>
              <w:spacing w:after="160" w:line="276" w:lineRule="auto"/>
              <w:ind w:firstLine="709"/>
              <w:jc w:val="both"/>
              <w:rPr>
                <w:rFonts w:ascii="Verdana" w:hAnsi="Verdana"/>
                <w:bCs/>
                <w:lang w:val="es-ES"/>
              </w:rPr>
            </w:pPr>
            <w:r w:rsidRPr="000854E4">
              <w:rPr>
                <w:rFonts w:ascii="Verdana" w:hAnsi="Verdana"/>
                <w:bCs/>
                <w:lang w:val="es-ES"/>
              </w:rPr>
              <w:t>En consecuencia, no existe una obligación general o automática de imponer estampillas en los contratos de prestación de servicios o de obra celebrados por las entidades estatales. Su exigencia solo procederá cuando la norma territorial correspondiente incluya expresamente la suscripción o ejecución de contratos con entidades públicas dentro del hecho generador del tributo, en estricto cumplimiento del principio de legalidad tributaria previsto en el artículo 338 de la Constitución Política.</w:t>
            </w:r>
          </w:p>
          <w:p w14:paraId="5C3CA278" w14:textId="77777777" w:rsidR="00C22DB4" w:rsidRPr="00BB2261" w:rsidRDefault="00C22DB4" w:rsidP="007127D1">
            <w:pPr>
              <w:pStyle w:val="Textoindependiente"/>
              <w:spacing w:after="120" w:line="276" w:lineRule="auto"/>
              <w:ind w:right="49" w:firstLine="709"/>
              <w:jc w:val="both"/>
              <w:rPr>
                <w:rStyle w:val="s15"/>
                <w:rFonts w:ascii="Verdana" w:hAnsi="Verdana"/>
                <w:lang w:val="es-CO"/>
              </w:rPr>
            </w:pPr>
            <w:r w:rsidRPr="00BB2261">
              <w:rPr>
                <w:rFonts w:ascii="Verdana" w:eastAsia="Calibri" w:hAnsi="Verdana"/>
                <w:bCs/>
              </w:rPr>
              <w:t xml:space="preserve">Finalmente, al margen de la explicación precedente debe advertirse que </w:t>
            </w:r>
            <w:r w:rsidRPr="00BB2261">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BB2261">
              <w:rPr>
                <w:rStyle w:val="apple-converted-space"/>
                <w:rFonts w:ascii="Verdana" w:hAnsi="Verdana"/>
              </w:rPr>
              <w:t> </w:t>
            </w:r>
            <w:r w:rsidRPr="00BB2261">
              <w:rPr>
                <w:rStyle w:val="s15"/>
                <w:rFonts w:ascii="Verdana" w:hAnsi="Verdana"/>
              </w:rPr>
              <w:t>Por lo anterior, previo</w:t>
            </w:r>
            <w:r w:rsidRPr="00BB2261">
              <w:rPr>
                <w:rStyle w:val="apple-converted-space"/>
                <w:rFonts w:ascii="Verdana" w:hAnsi="Verdana"/>
              </w:rPr>
              <w:t> </w:t>
            </w:r>
            <w:r w:rsidRPr="00BB2261">
              <w:rPr>
                <w:rStyle w:val="s15"/>
                <w:rFonts w:ascii="Verdana" w:hAnsi="Verdana"/>
              </w:rPr>
              <w:t xml:space="preserve">concepto de sus asesores, la solución de situaciones particulares corresponde a los interesados adoptar la decisión correspondiente y, en caso de conflicto, a las autoridades judiciales, fiscales y disciplinarias. </w:t>
            </w:r>
          </w:p>
          <w:p w14:paraId="1D31B355" w14:textId="77777777" w:rsidR="00C22DB4" w:rsidRPr="00014B0F" w:rsidRDefault="00C22DB4" w:rsidP="007127D1">
            <w:pPr>
              <w:spacing w:after="120" w:line="276" w:lineRule="auto"/>
              <w:ind w:right="79" w:firstLine="709"/>
              <w:jc w:val="both"/>
              <w:rPr>
                <w:rFonts w:ascii="Verdana" w:hAnsi="Verdana" w:cs="Arial"/>
                <w:bCs/>
                <w:color w:val="2F5496" w:themeColor="accent1" w:themeShade="BF"/>
              </w:rPr>
            </w:pPr>
            <w:r w:rsidRPr="00BB2261">
              <w:rPr>
                <w:rFonts w:ascii="Verdana" w:hAnsi="Verdana"/>
              </w:rPr>
              <w:lastRenderedPageBreak/>
              <w:t>Sin perjuicio de lo anterior, se precisa que los conceptos emitidos por esta Subdirección en el marco de la función consultiva representan una posición hermenéutica respecto de las disposiciones normativas del Sistema de Compras Públicas, que no tiene efectos vinculantes frente a una situación jurídica particular y concreta y que, aunque jurídicamente fundamentada, no constituye la única interpretación válida del ordenamiento. Por tanto, cada entidad definirá la forma de adelantar su gestión contractual, sin que sea atribución de Colombia Compra Eficiente validar sus actuaciones.</w:t>
            </w:r>
          </w:p>
        </w:tc>
      </w:tr>
    </w:tbl>
    <w:p w14:paraId="657AC057" w14:textId="77777777" w:rsidR="00C22DB4" w:rsidRPr="00014B0F" w:rsidRDefault="00C22DB4" w:rsidP="00C22DB4">
      <w:pPr>
        <w:tabs>
          <w:tab w:val="left" w:pos="142"/>
          <w:tab w:val="left" w:pos="284"/>
        </w:tabs>
        <w:spacing w:after="0" w:line="276" w:lineRule="auto"/>
        <w:jc w:val="both"/>
        <w:rPr>
          <w:rFonts w:ascii="Verdana" w:eastAsia="Century Gothic" w:hAnsi="Verdana" w:cs="Century Gothic"/>
          <w:b/>
          <w:bCs/>
          <w:color w:val="2F5496" w:themeColor="accent1" w:themeShade="BF"/>
          <w:lang w:val="es-ES"/>
        </w:rPr>
      </w:pPr>
    </w:p>
    <w:p w14:paraId="3131AB50" w14:textId="77777777" w:rsidR="00C22DB4" w:rsidRPr="00A82414" w:rsidRDefault="00C22DB4" w:rsidP="00C22DB4">
      <w:pPr>
        <w:tabs>
          <w:tab w:val="left" w:pos="142"/>
          <w:tab w:val="left" w:pos="284"/>
        </w:tabs>
        <w:spacing w:after="0" w:line="276" w:lineRule="auto"/>
        <w:jc w:val="both"/>
        <w:rPr>
          <w:rFonts w:ascii="Verdana" w:eastAsia="Century Gothic" w:hAnsi="Verdana" w:cs="Century Gothic"/>
          <w:b/>
          <w:lang w:val="es-ES"/>
        </w:rPr>
      </w:pPr>
      <w:r w:rsidRPr="00A82414">
        <w:rPr>
          <w:rFonts w:ascii="Verdana" w:eastAsia="Century Gothic" w:hAnsi="Verdana" w:cs="Century Gothic"/>
          <w:b/>
          <w:lang w:val="es-ES"/>
        </w:rPr>
        <w:t>3. Razones de la respuesta:</w:t>
      </w:r>
    </w:p>
    <w:p w14:paraId="5985F081" w14:textId="77777777" w:rsidR="00C22DB4" w:rsidRPr="00A82414" w:rsidRDefault="00C22DB4" w:rsidP="00C22DB4">
      <w:pPr>
        <w:spacing w:after="0" w:line="276" w:lineRule="auto"/>
        <w:jc w:val="both"/>
        <w:rPr>
          <w:rFonts w:ascii="Verdana" w:eastAsia="Calibri" w:hAnsi="Verdana" w:cs="Arial"/>
          <w:lang w:val="es-ES"/>
        </w:rPr>
      </w:pPr>
    </w:p>
    <w:p w14:paraId="026879E8" w14:textId="77777777" w:rsidR="00C22DB4" w:rsidRPr="00A82414" w:rsidRDefault="00C22DB4" w:rsidP="00C22DB4">
      <w:pPr>
        <w:spacing w:after="0" w:line="276" w:lineRule="auto"/>
        <w:jc w:val="both"/>
        <w:rPr>
          <w:rFonts w:ascii="Verdana" w:eastAsia="Calibri" w:hAnsi="Verdana" w:cs="Arial"/>
          <w:lang w:val="es-ES"/>
        </w:rPr>
      </w:pPr>
      <w:r w:rsidRPr="00A82414">
        <w:rPr>
          <w:rFonts w:ascii="Verdana" w:eastAsia="Calibri" w:hAnsi="Verdana" w:cs="Arial"/>
          <w:lang w:val="es-ES"/>
        </w:rPr>
        <w:t xml:space="preserve">Las respuestas anteriores se sustentan en las siguientes consideraciones: </w:t>
      </w:r>
    </w:p>
    <w:p w14:paraId="7D19621D" w14:textId="77777777" w:rsidR="00C22DB4" w:rsidRPr="00014B0F" w:rsidRDefault="00C22DB4" w:rsidP="00C22DB4">
      <w:pPr>
        <w:tabs>
          <w:tab w:val="left" w:pos="142"/>
          <w:tab w:val="left" w:pos="284"/>
        </w:tabs>
        <w:spacing w:after="0" w:line="276" w:lineRule="auto"/>
        <w:jc w:val="both"/>
        <w:rPr>
          <w:rFonts w:ascii="Verdana" w:eastAsia="Century Gothic" w:hAnsi="Verdana" w:cs="Century Gothic"/>
          <w:b/>
          <w:color w:val="2F5496" w:themeColor="accent1" w:themeShade="BF"/>
          <w:lang w:val="es-ES"/>
        </w:rPr>
      </w:pPr>
    </w:p>
    <w:p w14:paraId="51D5F284" w14:textId="77777777" w:rsidR="00C22DB4" w:rsidRDefault="00C22DB4" w:rsidP="007C369C">
      <w:pPr>
        <w:pStyle w:val="Textoindependiente"/>
        <w:spacing w:line="276" w:lineRule="auto"/>
        <w:ind w:right="51"/>
        <w:jc w:val="both"/>
        <w:rPr>
          <w:rFonts w:ascii="Verdana" w:hAnsi="Verdana"/>
        </w:rPr>
      </w:pPr>
      <w:r w:rsidRPr="00BD210D">
        <w:rPr>
          <w:rFonts w:ascii="Verdana" w:eastAsia="Calibri" w:hAnsi="Verdana"/>
          <w:bCs/>
        </w:rPr>
        <w:t xml:space="preserve">i. </w:t>
      </w:r>
      <w:r w:rsidRPr="00BD210D">
        <w:rPr>
          <w:rFonts w:ascii="Verdana" w:hAnsi="Verdana"/>
        </w:rPr>
        <w:t>El contrato de prestación de servicios es uno de los tipos contractuales</w:t>
      </w:r>
      <w:r w:rsidRPr="00C43705">
        <w:rPr>
          <w:rFonts w:ascii="Verdana" w:hAnsi="Verdana"/>
        </w:rPr>
        <w:t xml:space="preserve">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1C40BCF5" w14:textId="77777777" w:rsidR="007C369C" w:rsidRDefault="007C369C" w:rsidP="00F32BB2">
      <w:pPr>
        <w:pStyle w:val="Textoindependiente"/>
        <w:spacing w:line="276" w:lineRule="auto"/>
        <w:ind w:right="51"/>
        <w:jc w:val="both"/>
        <w:rPr>
          <w:rFonts w:ascii="Verdana" w:hAnsi="Verdana"/>
        </w:rPr>
      </w:pPr>
    </w:p>
    <w:p w14:paraId="17C585CD"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FAAC6C4"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p>
    <w:p w14:paraId="25981702"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t>En ningún caso estos contratos generan relación laboral ni prestaciones sociales y se celebrarán por el término estrictamente indispensable</w:t>
      </w: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w:t>
      </w:r>
    </w:p>
    <w:p w14:paraId="56B77E58" w14:textId="77777777" w:rsidR="00C22DB4" w:rsidRDefault="00C22DB4" w:rsidP="00C22DB4">
      <w:pPr>
        <w:spacing w:after="0" w:line="276" w:lineRule="auto"/>
        <w:ind w:firstLine="709"/>
        <w:jc w:val="both"/>
        <w:rPr>
          <w:rFonts w:ascii="Verdana" w:eastAsia="Calibri" w:hAnsi="Verdana" w:cs="Arial"/>
          <w:lang w:val="es-ES_tradnl" w:eastAsia="es-ES"/>
        </w:rPr>
      </w:pPr>
    </w:p>
    <w:p w14:paraId="5876CEE8" w14:textId="77777777" w:rsidR="00C22DB4" w:rsidRPr="00095EAC" w:rsidRDefault="00C22DB4" w:rsidP="00C22DB4">
      <w:pPr>
        <w:spacing w:after="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De otro lado, la celebración de dicho contrato se debe efectuar a través de la modalidad de la contratación directa. Así lo prevé el artículo 2, numeral 4, literal h), de la Ley 1150 de 2007, que dispone:</w:t>
      </w:r>
    </w:p>
    <w:p w14:paraId="60EC8B6C" w14:textId="77777777" w:rsidR="00C22DB4" w:rsidRPr="00095EAC" w:rsidRDefault="00C22DB4" w:rsidP="00C22DB4">
      <w:pPr>
        <w:spacing w:after="0" w:line="276" w:lineRule="auto"/>
        <w:ind w:firstLine="709"/>
        <w:jc w:val="both"/>
        <w:rPr>
          <w:rFonts w:ascii="Verdana" w:eastAsia="Calibri" w:hAnsi="Verdana" w:cs="Arial"/>
          <w:lang w:val="es-ES_tradnl" w:eastAsia="es-ES_tradnl"/>
        </w:rPr>
      </w:pPr>
    </w:p>
    <w:p w14:paraId="6DAD92B6"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 Contratación directa. La modalidad de selección de contratación directa solamente procederá en los siguientes casos:</w:t>
      </w:r>
    </w:p>
    <w:p w14:paraId="36E24036"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p>
    <w:p w14:paraId="20C62745"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t>[…]</w:t>
      </w:r>
    </w:p>
    <w:p w14:paraId="6CDD38C3"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p>
    <w:p w14:paraId="7DD7819A"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lastRenderedPageBreak/>
        <w:t>h) Para la prestación de servicios profesionales y de apoyo a la gestión, o para la ejecución de trabajos artísticos que sólo puedan encomendarse a determinadas personas naturales […]</w:t>
      </w:r>
      <w:r w:rsidRPr="00095EAC">
        <w:rPr>
          <w:rFonts w:ascii="Verdana" w:eastAsia="Times New Roman" w:hAnsi="Verdana" w:cs="Arial"/>
          <w:sz w:val="20"/>
          <w:szCs w:val="20"/>
          <w:lang w:eastAsia="es-ES_tradnl"/>
        </w:rPr>
        <w:t xml:space="preserve">”. </w:t>
      </w:r>
    </w:p>
    <w:p w14:paraId="4F93FF62" w14:textId="77777777" w:rsidR="00C22DB4" w:rsidRPr="00095EAC" w:rsidRDefault="00C22DB4" w:rsidP="00C22DB4">
      <w:pPr>
        <w:spacing w:after="0" w:line="276" w:lineRule="auto"/>
        <w:ind w:left="709" w:right="709"/>
        <w:jc w:val="both"/>
        <w:rPr>
          <w:rFonts w:ascii="Verdana" w:eastAsia="Calibri" w:hAnsi="Verdana" w:cs="Arial"/>
          <w:sz w:val="20"/>
          <w:szCs w:val="20"/>
          <w:lang w:val="es-ES_tradnl" w:eastAsia="es-ES_tradnl"/>
        </w:rPr>
      </w:pPr>
    </w:p>
    <w:p w14:paraId="7BB937FA" w14:textId="77777777" w:rsidR="00C22DB4" w:rsidRPr="00095EAC" w:rsidRDefault="00C22DB4" w:rsidP="00C22DB4">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BA568CF" w14:textId="77777777" w:rsidR="00C22DB4" w:rsidRPr="00095EAC" w:rsidRDefault="00C22DB4" w:rsidP="00C22DB4">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a) Solo puede celebrarse para realizar “actividades relacionadas con la administración o funcionamiento de la entidad”, es decir, que hagan parte de su giro ordinario o quehacer cotidiano.</w:t>
      </w:r>
    </w:p>
    <w:p w14:paraId="63B291C2" w14:textId="77777777" w:rsidR="00C22DB4"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b)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095EAC">
        <w:rPr>
          <w:rFonts w:ascii="Verdana" w:eastAsia="Calibri" w:hAnsi="Verdana" w:cs="Arial"/>
          <w:vertAlign w:val="superscript"/>
          <w:lang w:val="es-ES" w:eastAsia="es-ES"/>
        </w:rPr>
        <w:footnoteReference w:id="1"/>
      </w:r>
      <w:r w:rsidRPr="00095EAC">
        <w:rPr>
          <w:rFonts w:ascii="Verdana" w:eastAsia="Calibri" w:hAnsi="Verdana" w:cs="Arial"/>
          <w:lang w:val="es-ES" w:eastAsia="es-ES"/>
        </w:rPr>
        <w:t xml:space="preserve">. </w:t>
      </w:r>
    </w:p>
    <w:p w14:paraId="548EA108" w14:textId="77777777" w:rsidR="00C22DB4" w:rsidRPr="00095EAC"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EC49CC6" w14:textId="77777777" w:rsidR="00C22DB4" w:rsidRPr="00095EAC"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c) Si bien se celebran para obtener la prestación personal de un servicio, se diferencian del contrato de trabajo</w:t>
      </w:r>
      <w:r w:rsidRPr="00095EAC">
        <w:rPr>
          <w:rFonts w:ascii="Verdana" w:eastAsia="Calibri" w:hAnsi="Verdana" w:cs="Arial"/>
          <w:vertAlign w:val="superscript"/>
          <w:lang w:val="es-ES" w:eastAsia="es-ES"/>
        </w:rPr>
        <w:footnoteReference w:id="2"/>
      </w:r>
      <w:r w:rsidRPr="00095EAC">
        <w:rPr>
          <w:rFonts w:ascii="Verdana" w:eastAsia="Calibri" w:hAnsi="Verdana" w:cs="Arial"/>
          <w:lang w:val="es-ES" w:eastAsia="es-ES"/>
        </w:rPr>
        <w:t xml:space="preserve"> en que quien celebra el contrato de </w:t>
      </w:r>
      <w:r w:rsidRPr="00095EAC">
        <w:rPr>
          <w:rFonts w:ascii="Verdana" w:eastAsia="Calibri" w:hAnsi="Verdana" w:cs="Arial"/>
          <w:lang w:val="es-ES" w:eastAsia="es-ES"/>
        </w:rPr>
        <w:lastRenderedPageBreak/>
        <w:t xml:space="preserve">prestación de servicios debe mantener autonomía e independencia en la ejecución de la labor, lo que significa que no puede existir la </w:t>
      </w:r>
      <w:r w:rsidRPr="00095EAC">
        <w:rPr>
          <w:rFonts w:ascii="Verdana" w:eastAsia="Calibri" w:hAnsi="Verdana" w:cs="Arial"/>
          <w:i/>
          <w:lang w:val="es-ES" w:eastAsia="es-ES"/>
        </w:rPr>
        <w:t>subordinación y dependencia</w:t>
      </w:r>
      <w:r w:rsidRPr="00095EAC">
        <w:rPr>
          <w:rFonts w:ascii="Verdana" w:eastAsia="Calibri" w:hAnsi="Verdana" w:cs="Arial"/>
          <w:lang w:val="es-ES" w:eastAsia="es-ES"/>
        </w:rPr>
        <w:t>, que es uno de los elementos constitutivos del vínculo laboral.</w:t>
      </w:r>
    </w:p>
    <w:p w14:paraId="57BF5535" w14:textId="77777777" w:rsidR="00C22DB4" w:rsidRPr="00095EAC"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 xml:space="preserve">Por ello, el numeral 3 del artículo 32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095EAC">
        <w:rPr>
          <w:rFonts w:ascii="Verdana" w:eastAsia="Calibri" w:hAnsi="Verdana" w:cs="Arial"/>
          <w:i/>
          <w:lang w:val="es-ES" w:eastAsia="es-ES"/>
        </w:rPr>
        <w:t>no pueden</w:t>
      </w:r>
      <w:r w:rsidRPr="00095EAC">
        <w:rPr>
          <w:rFonts w:ascii="Verdana" w:eastAsia="Calibri" w:hAnsi="Verdana" w:cs="Arial"/>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6234C711" w14:textId="77777777" w:rsidR="00C22DB4" w:rsidRPr="00095EAC"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 xml:space="preserve">Pero es posible que, a pesar de este mandato deontológico, en la práctica surja la relación laboral, pues, como se sabe, el contrato de trabajo es un </w:t>
      </w:r>
      <w:r w:rsidRPr="00095EAC">
        <w:rPr>
          <w:rFonts w:ascii="Verdana" w:eastAsia="Calibri" w:hAnsi="Verdana" w:cs="Arial"/>
          <w:i/>
          <w:lang w:val="es-ES" w:eastAsia="es-ES"/>
        </w:rPr>
        <w:t>contrato realidad</w:t>
      </w:r>
      <w:r w:rsidRPr="00095EAC">
        <w:rPr>
          <w:rFonts w:ascii="Verdana" w:eastAsia="Calibri" w:hAnsi="Verdana" w:cs="Arial"/>
          <w:lang w:val="es-ES" w:eastAsia="es-ES"/>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095EAC">
        <w:rPr>
          <w:rFonts w:ascii="Verdana" w:eastAsia="Calibri" w:hAnsi="Verdana" w:cs="Arial"/>
          <w:vertAlign w:val="superscript"/>
          <w:lang w:val="es-ES" w:eastAsia="es-ES"/>
        </w:rPr>
        <w:footnoteReference w:id="3"/>
      </w:r>
      <w:r w:rsidRPr="00095EAC">
        <w:rPr>
          <w:rFonts w:ascii="Verdana" w:eastAsia="Calibri" w:hAnsi="Verdana" w:cs="Arial"/>
          <w:lang w:val="es-ES" w:eastAsia="es-ES"/>
        </w:rPr>
        <w:t>.</w:t>
      </w:r>
    </w:p>
    <w:p w14:paraId="1DC5B7D6" w14:textId="77777777" w:rsidR="00C22DB4" w:rsidRPr="00095EAC" w:rsidRDefault="00C22DB4" w:rsidP="00C22DB4">
      <w:pPr>
        <w:spacing w:after="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d) Deben ser temporales. Así lo señaló la Corte Constitucional en la misma providencia a la que se aludió previamente, expresando que:</w:t>
      </w:r>
    </w:p>
    <w:p w14:paraId="452A4C5B" w14:textId="77777777" w:rsidR="00C22DB4" w:rsidRPr="00095EAC" w:rsidRDefault="00C22DB4" w:rsidP="00C22DB4">
      <w:pPr>
        <w:spacing w:after="0" w:line="276" w:lineRule="auto"/>
        <w:ind w:firstLine="709"/>
        <w:jc w:val="both"/>
        <w:rPr>
          <w:rFonts w:ascii="Verdana" w:eastAsia="Calibri" w:hAnsi="Verdana" w:cs="Arial"/>
          <w:lang w:val="es-ES_tradnl" w:eastAsia="es-ES_tradnl"/>
        </w:rPr>
      </w:pPr>
    </w:p>
    <w:p w14:paraId="02C02112"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w:t>
      </w:r>
      <w:r w:rsidRPr="00095EAC">
        <w:rPr>
          <w:rFonts w:ascii="Verdana" w:eastAsia="Calibri" w:hAnsi="Verdana" w:cs="Arial"/>
          <w:sz w:val="20"/>
          <w:szCs w:val="20"/>
          <w:lang w:val="es-ES_tradnl" w:eastAsia="es-ES_tradnl"/>
        </w:rPr>
        <w:lastRenderedPageBreak/>
        <w:t>Carta Política, según el cual se requiere que el empleo público quede contemplado en la respectiva planta y previstos sus emolumentos en el presupuesto correspondiente</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_tradnl" w:eastAsia="es-ES_tradnl"/>
        </w:rPr>
        <w:footnoteReference w:id="4"/>
      </w:r>
      <w:r w:rsidRPr="00095EAC">
        <w:rPr>
          <w:rFonts w:ascii="Verdana" w:eastAsia="Calibri" w:hAnsi="Verdana" w:cs="Arial"/>
          <w:sz w:val="20"/>
          <w:szCs w:val="20"/>
          <w:lang w:val="es-ES_tradnl" w:eastAsia="es-ES_tradnl"/>
        </w:rPr>
        <w:t>.</w:t>
      </w:r>
    </w:p>
    <w:p w14:paraId="1FC15322" w14:textId="77777777" w:rsidR="00C22DB4" w:rsidRPr="00095EAC" w:rsidRDefault="00C22DB4" w:rsidP="00C22DB4">
      <w:pPr>
        <w:spacing w:after="0" w:line="276" w:lineRule="auto"/>
        <w:ind w:left="709" w:right="709"/>
        <w:jc w:val="both"/>
        <w:rPr>
          <w:rFonts w:ascii="Verdana" w:eastAsia="Calibri" w:hAnsi="Verdana" w:cs="Arial"/>
          <w:sz w:val="21"/>
          <w:szCs w:val="21"/>
          <w:lang w:val="es-ES_tradnl" w:eastAsia="es-ES_tradnl"/>
        </w:rPr>
      </w:pPr>
    </w:p>
    <w:p w14:paraId="569EFD8B" w14:textId="77777777" w:rsidR="00C22DB4" w:rsidRPr="00095EAC" w:rsidRDefault="00C22DB4" w:rsidP="00C22DB4">
      <w:pPr>
        <w:spacing w:after="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 xml:space="preserve">e) Los contratos de prestación de servicios constituyen un </w:t>
      </w:r>
      <w:r w:rsidRPr="00095EAC">
        <w:rPr>
          <w:rFonts w:ascii="Verdana" w:eastAsia="Calibri" w:hAnsi="Verdana" w:cs="Arial"/>
          <w:i/>
          <w:lang w:val="es-ES" w:eastAsia="es-ES"/>
        </w:rPr>
        <w:t>género</w:t>
      </w:r>
      <w:r w:rsidRPr="00095EAC">
        <w:rPr>
          <w:rFonts w:ascii="Verdana" w:eastAsia="Calibri" w:hAnsi="Verdana" w:cs="Arial"/>
          <w:lang w:val="es-ES" w:eastAsia="es-ES"/>
        </w:rPr>
        <w:t xml:space="preserve"> que incluye, como </w:t>
      </w:r>
      <w:r w:rsidRPr="00095EAC">
        <w:rPr>
          <w:rFonts w:ascii="Verdana" w:eastAsia="Calibri" w:hAnsi="Verdana" w:cs="Arial"/>
          <w:i/>
          <w:lang w:val="es-ES" w:eastAsia="es-ES"/>
        </w:rPr>
        <w:t>especies</w:t>
      </w:r>
      <w:r w:rsidRPr="00095EAC">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095EAC">
        <w:rPr>
          <w:rFonts w:ascii="Verdana" w:eastAsia="Calibri" w:hAnsi="Verdana" w:cs="Arial"/>
          <w:vertAlign w:val="superscript"/>
          <w:lang w:val="es-ES" w:eastAsia="es-ES"/>
        </w:rPr>
        <w:footnoteReference w:id="5"/>
      </w:r>
      <w:r w:rsidRPr="00095EAC">
        <w:rPr>
          <w:rFonts w:ascii="Verdana" w:eastAsia="Calibri" w:hAnsi="Verdana" w:cs="Arial"/>
          <w:lang w:val="es-ES" w:eastAsia="es-ES"/>
        </w:rPr>
        <w:t xml:space="preserve">. La diferencia entre el contrato de prestación de servicios </w:t>
      </w:r>
      <w:r w:rsidRPr="00095EAC">
        <w:rPr>
          <w:rFonts w:ascii="Verdana" w:eastAsia="Calibri" w:hAnsi="Verdana" w:cs="Arial"/>
          <w:i/>
          <w:lang w:val="es-ES" w:eastAsia="es-ES"/>
        </w:rPr>
        <w:t>profesionales</w:t>
      </w:r>
      <w:r w:rsidRPr="00095EAC">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C71A533" w14:textId="77777777" w:rsidR="00C22DB4" w:rsidRPr="00095EAC" w:rsidRDefault="00C22DB4" w:rsidP="00C22DB4">
      <w:pPr>
        <w:spacing w:after="0" w:line="276" w:lineRule="auto"/>
        <w:ind w:firstLine="709"/>
        <w:jc w:val="both"/>
        <w:rPr>
          <w:rFonts w:ascii="Verdana" w:eastAsia="Calibri" w:hAnsi="Verdana" w:cs="Arial"/>
          <w:lang w:val="es-ES_tradnl" w:eastAsia="es-ES_tradnl"/>
        </w:rPr>
      </w:pPr>
    </w:p>
    <w:p w14:paraId="1EDB57FE" w14:textId="77777777" w:rsidR="00C22DB4" w:rsidRPr="00095EAC" w:rsidRDefault="00C22DB4" w:rsidP="00C22DB4">
      <w:pPr>
        <w:spacing w:after="0" w:line="240" w:lineRule="auto"/>
        <w:ind w:left="709" w:right="709"/>
        <w:jc w:val="both"/>
        <w:rPr>
          <w:rFonts w:ascii="Verdana" w:eastAsia="Calibri" w:hAnsi="Verdana" w:cs="Arial"/>
          <w:sz w:val="20"/>
          <w:szCs w:val="20"/>
          <w:lang w:val="es-ES"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 w:eastAsia="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 w:eastAsia="es-ES_tradnl"/>
        </w:rPr>
        <w:footnoteReference w:id="6"/>
      </w:r>
      <w:r w:rsidRPr="00095EAC">
        <w:rPr>
          <w:rFonts w:ascii="Verdana" w:eastAsia="Times New Roman" w:hAnsi="Verdana" w:cs="Arial"/>
          <w:sz w:val="20"/>
          <w:szCs w:val="20"/>
          <w:lang w:eastAsia="es-ES_tradnl"/>
        </w:rPr>
        <w:t>.</w:t>
      </w:r>
    </w:p>
    <w:p w14:paraId="5FCB632B" w14:textId="77777777" w:rsidR="00C22DB4" w:rsidRPr="00095EAC" w:rsidRDefault="00C22DB4" w:rsidP="00C22DB4">
      <w:pPr>
        <w:spacing w:after="0" w:line="276" w:lineRule="auto"/>
        <w:ind w:firstLine="709"/>
        <w:jc w:val="both"/>
        <w:rPr>
          <w:rFonts w:ascii="Verdana" w:eastAsia="Calibri" w:hAnsi="Verdana" w:cs="Arial"/>
          <w:lang w:val="es-ES_tradnl" w:eastAsia="es-ES_tradnl"/>
        </w:rPr>
      </w:pPr>
    </w:p>
    <w:p w14:paraId="18A855CB" w14:textId="77777777" w:rsidR="00C22DB4" w:rsidRPr="00095EAC" w:rsidRDefault="00C22DB4" w:rsidP="00C22DB4">
      <w:pPr>
        <w:spacing w:after="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lastRenderedPageBreak/>
        <w:t>Objeto que, según la sentencia que se cita, se diferencia del contrato de prestación de servicios de apoyo a la gestión, porque en este:</w:t>
      </w:r>
    </w:p>
    <w:p w14:paraId="0CF0192D" w14:textId="77777777" w:rsidR="00C22DB4" w:rsidRPr="00095EAC" w:rsidRDefault="00C22DB4" w:rsidP="00C22DB4">
      <w:pPr>
        <w:spacing w:after="0" w:line="240" w:lineRule="auto"/>
        <w:ind w:firstLine="709"/>
        <w:jc w:val="both"/>
        <w:rPr>
          <w:rFonts w:ascii="Verdana" w:eastAsia="Calibri" w:hAnsi="Verdana" w:cs="Arial"/>
          <w:lang w:val="es-ES_tradnl" w:eastAsia="es-ES_tradnl"/>
        </w:rPr>
      </w:pPr>
    </w:p>
    <w:p w14:paraId="72029150"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78D8C37"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p>
    <w:p w14:paraId="3C491863" w14:textId="77777777" w:rsidR="00C22DB4" w:rsidRPr="00095EAC" w:rsidRDefault="00C22DB4" w:rsidP="00C22DB4">
      <w:pPr>
        <w:spacing w:after="0" w:line="240" w:lineRule="auto"/>
        <w:ind w:left="709" w:right="709"/>
        <w:jc w:val="both"/>
        <w:rPr>
          <w:rFonts w:ascii="Verdana" w:eastAsia="Calibri" w:hAnsi="Verdana" w:cs="Arial"/>
          <w:sz w:val="20"/>
          <w:szCs w:val="20"/>
          <w:lang w:val="es-ES" w:eastAsia="es-ES"/>
        </w:rPr>
      </w:pPr>
      <w:r w:rsidRPr="00095EAC">
        <w:rPr>
          <w:rFonts w:ascii="Verdana" w:eastAsia="Calibri" w:hAnsi="Verdana" w:cs="Arial"/>
          <w:sz w:val="20"/>
          <w:szCs w:val="20"/>
          <w:lang w:val="es-ES" w:eastAsia="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5B3951D9" w14:textId="77777777" w:rsidR="00C22DB4" w:rsidRPr="00095EAC" w:rsidRDefault="00C22DB4" w:rsidP="00C22DB4">
      <w:pPr>
        <w:spacing w:after="0" w:line="240" w:lineRule="auto"/>
        <w:ind w:right="709"/>
        <w:jc w:val="both"/>
        <w:rPr>
          <w:rFonts w:ascii="Verdana" w:eastAsia="Calibri" w:hAnsi="Verdana" w:cs="Arial"/>
          <w:sz w:val="20"/>
          <w:szCs w:val="20"/>
          <w:lang w:val="es-ES_tradnl" w:eastAsia="es-ES_tradnl"/>
        </w:rPr>
      </w:pPr>
    </w:p>
    <w:p w14:paraId="4105E167" w14:textId="77777777" w:rsidR="00C22DB4"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Calibri" w:hAnsi="Verdana" w:cs="Arial"/>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_tradnl" w:eastAsia="es-ES_tradnl"/>
        </w:rPr>
        <w:footnoteReference w:id="7"/>
      </w:r>
      <w:r w:rsidRPr="00095EAC">
        <w:rPr>
          <w:rFonts w:ascii="Verdana" w:eastAsia="Calibri" w:hAnsi="Verdana" w:cs="Arial"/>
          <w:sz w:val="20"/>
          <w:szCs w:val="20"/>
          <w:lang w:val="es-ES_tradnl" w:eastAsia="es-ES_tradnl"/>
        </w:rPr>
        <w:t>.</w:t>
      </w:r>
    </w:p>
    <w:p w14:paraId="19A4F1A8" w14:textId="77777777" w:rsidR="00C22DB4" w:rsidRPr="00B27A7C" w:rsidRDefault="00C22DB4" w:rsidP="00C22DB4">
      <w:pPr>
        <w:spacing w:after="0" w:line="240" w:lineRule="auto"/>
        <w:ind w:left="709" w:right="709"/>
        <w:jc w:val="both"/>
        <w:rPr>
          <w:rFonts w:ascii="Verdana" w:eastAsia="Calibri" w:hAnsi="Verdana" w:cs="Arial"/>
          <w:sz w:val="20"/>
          <w:szCs w:val="20"/>
          <w:lang w:val="es-ES_tradnl" w:eastAsia="es-ES_tradnl"/>
        </w:rPr>
      </w:pPr>
    </w:p>
    <w:p w14:paraId="67D76736" w14:textId="77777777" w:rsidR="00C22DB4" w:rsidRPr="00095EAC" w:rsidRDefault="00C22DB4" w:rsidP="00C22DB4">
      <w:pPr>
        <w:spacing w:after="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En relación con el contrato de prestación de servicios artísticos que solo pueden encomendarse a determinadas personas naturales, señala el mencionado fallo que:</w:t>
      </w:r>
    </w:p>
    <w:p w14:paraId="4D9F70C3" w14:textId="77777777" w:rsidR="00C22DB4" w:rsidRPr="00095EAC" w:rsidRDefault="00C22DB4" w:rsidP="00C22DB4">
      <w:pPr>
        <w:spacing w:after="0" w:line="276" w:lineRule="auto"/>
        <w:ind w:left="709" w:right="709"/>
        <w:jc w:val="both"/>
        <w:rPr>
          <w:rFonts w:ascii="Verdana" w:eastAsia="Calibri" w:hAnsi="Verdana" w:cs="Arial"/>
          <w:lang w:val="es-ES_tradnl" w:eastAsia="es-ES_tradnl"/>
        </w:rPr>
      </w:pPr>
    </w:p>
    <w:p w14:paraId="78B5C320"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r w:rsidRPr="00095EAC">
        <w:rPr>
          <w:rFonts w:ascii="Verdana" w:eastAsia="Times New Roman" w:hAnsi="Verdana" w:cs="Arial"/>
          <w:sz w:val="20"/>
          <w:szCs w:val="20"/>
          <w:lang w:eastAsia="es-ES_tradnl"/>
        </w:rPr>
        <w:t>“</w:t>
      </w:r>
      <w:r w:rsidRPr="00095EAC">
        <w:rPr>
          <w:rFonts w:ascii="Verdana" w:eastAsia="Calibri" w:hAnsi="Verdana" w:cs="Arial"/>
          <w:sz w:val="20"/>
          <w:szCs w:val="20"/>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095EAC">
        <w:rPr>
          <w:rFonts w:ascii="Verdana" w:eastAsia="Times New Roman" w:hAnsi="Verdana" w:cs="Arial"/>
          <w:sz w:val="20"/>
          <w:szCs w:val="20"/>
          <w:lang w:eastAsia="es-ES_tradnl"/>
        </w:rPr>
        <w:t>”</w:t>
      </w:r>
      <w:r w:rsidRPr="00095EAC">
        <w:rPr>
          <w:rFonts w:ascii="Verdana" w:eastAsia="Calibri" w:hAnsi="Verdana" w:cs="Arial"/>
          <w:sz w:val="20"/>
          <w:szCs w:val="20"/>
          <w:vertAlign w:val="superscript"/>
          <w:lang w:val="es-ES_tradnl" w:eastAsia="es-ES_tradnl"/>
        </w:rPr>
        <w:footnoteReference w:id="8"/>
      </w:r>
      <w:r w:rsidRPr="00095EAC">
        <w:rPr>
          <w:rFonts w:ascii="Verdana" w:eastAsia="Calibri" w:hAnsi="Verdana" w:cs="Arial"/>
          <w:sz w:val="20"/>
          <w:szCs w:val="20"/>
          <w:lang w:val="es-ES_tradnl" w:eastAsia="es-ES_tradnl"/>
        </w:rPr>
        <w:t>.</w:t>
      </w:r>
    </w:p>
    <w:p w14:paraId="700B9E1B" w14:textId="77777777" w:rsidR="00C22DB4" w:rsidRPr="00095EAC" w:rsidRDefault="00C22DB4" w:rsidP="00C22DB4">
      <w:pPr>
        <w:spacing w:after="0" w:line="240" w:lineRule="auto"/>
        <w:ind w:left="709" w:right="709"/>
        <w:jc w:val="both"/>
        <w:rPr>
          <w:rFonts w:ascii="Verdana" w:eastAsia="Calibri" w:hAnsi="Verdana" w:cs="Arial"/>
          <w:sz w:val="20"/>
          <w:szCs w:val="20"/>
          <w:lang w:val="es-ES_tradnl" w:eastAsia="es-ES_tradnl"/>
        </w:rPr>
      </w:pPr>
    </w:p>
    <w:p w14:paraId="08BD58D7" w14:textId="77777777" w:rsidR="00C22DB4" w:rsidRPr="00095EAC" w:rsidRDefault="00C22DB4" w:rsidP="00C22DB4">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 xml:space="preserve">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w:t>
      </w:r>
      <w:r w:rsidRPr="00095EAC">
        <w:rPr>
          <w:rFonts w:ascii="Verdana" w:eastAsia="Calibri" w:hAnsi="Verdana" w:cs="Arial"/>
          <w:lang w:val="es-ES_tradnl" w:eastAsia="es-ES_tradnl"/>
        </w:rPr>
        <w:lastRenderedPageBreak/>
        <w:t>por regla general, precedido de un concurso de méritos</w:t>
      </w:r>
      <w:r w:rsidRPr="00095EAC">
        <w:rPr>
          <w:rFonts w:ascii="Verdana" w:eastAsia="Calibri" w:hAnsi="Verdana" w:cs="Arial"/>
          <w:vertAlign w:val="superscript"/>
          <w:lang w:val="es-ES_tradnl" w:eastAsia="es-ES_tradnl"/>
        </w:rPr>
        <w:footnoteReference w:id="9"/>
      </w:r>
      <w:r w:rsidRPr="00095EAC">
        <w:rPr>
          <w:rFonts w:ascii="Verdana" w:eastAsia="Calibri" w:hAnsi="Verdana" w:cs="Arial"/>
          <w:lang w:val="es-ES_tradnl" w:eastAsia="es-ES_tradn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6305DA4A" w14:textId="77777777" w:rsidR="00C22DB4" w:rsidRPr="00095EAC"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g) Para su celebración no se requiere en algunos casos la expedición del acto administrativo de justificación de la contratación directa</w:t>
      </w:r>
      <w:r w:rsidRPr="00095EAC">
        <w:rPr>
          <w:rFonts w:ascii="Verdana" w:eastAsia="Calibri" w:hAnsi="Verdana" w:cs="Arial"/>
          <w:vertAlign w:val="superscript"/>
          <w:lang w:val="es-ES" w:eastAsia="es-ES"/>
        </w:rPr>
        <w:footnoteReference w:id="10"/>
      </w:r>
      <w:r w:rsidRPr="00095EAC">
        <w:rPr>
          <w:rFonts w:ascii="Verdana" w:eastAsia="Calibri" w:hAnsi="Verdana" w:cs="Arial"/>
          <w:lang w:val="es-ES" w:eastAsia="es-ES"/>
        </w:rPr>
        <w:t xml:space="preserve">. </w:t>
      </w:r>
    </w:p>
    <w:p w14:paraId="72942CD6" w14:textId="77777777" w:rsidR="00C22DB4" w:rsidRPr="00095EAC"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t>h)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 de la Ley 80 de 1993</w:t>
      </w:r>
      <w:r w:rsidRPr="00095EAC">
        <w:rPr>
          <w:rFonts w:ascii="Verdana" w:eastAsia="Calibri" w:hAnsi="Verdana" w:cs="Arial"/>
          <w:vertAlign w:val="superscript"/>
          <w:lang w:val="es-ES" w:eastAsia="es-ES"/>
        </w:rPr>
        <w:footnoteReference w:id="11"/>
      </w:r>
      <w:r w:rsidRPr="00095EAC">
        <w:rPr>
          <w:rFonts w:ascii="Verdana" w:eastAsia="Calibri" w:hAnsi="Verdana" w:cs="Arial"/>
          <w:lang w:val="es-ES" w:eastAsia="es-ES"/>
        </w:rPr>
        <w:t>.</w:t>
      </w:r>
    </w:p>
    <w:p w14:paraId="3988F36C" w14:textId="77777777" w:rsidR="00C22DB4" w:rsidRPr="00095EAC" w:rsidRDefault="00C22DB4" w:rsidP="00C22DB4">
      <w:pPr>
        <w:spacing w:after="120" w:line="276" w:lineRule="auto"/>
        <w:ind w:firstLine="709"/>
        <w:jc w:val="both"/>
        <w:rPr>
          <w:rFonts w:ascii="Verdana" w:eastAsia="Calibri" w:hAnsi="Verdana" w:cs="Arial"/>
          <w:lang w:val="es-ES" w:eastAsia="es-ES"/>
        </w:rPr>
      </w:pPr>
      <w:r w:rsidRPr="00095EAC">
        <w:rPr>
          <w:rFonts w:ascii="Verdana" w:eastAsia="Calibri" w:hAnsi="Verdana" w:cs="Arial"/>
          <w:lang w:val="es-ES" w:eastAsia="es-ES"/>
        </w:rPr>
        <w:lastRenderedPageBreak/>
        <w:t>i) En algunos casos no es obligatoria la liquidación, pues así lo estableció el artículo 217 del Decreto 019 de 2012, que modificó el artículo 60 de la Ley 80 de 1993</w:t>
      </w:r>
      <w:r w:rsidRPr="00095EAC">
        <w:rPr>
          <w:rFonts w:ascii="Verdana" w:eastAsia="Calibri" w:hAnsi="Verdana" w:cs="Arial"/>
          <w:vertAlign w:val="superscript"/>
          <w:lang w:val="es-ES" w:eastAsia="es-ES"/>
        </w:rPr>
        <w:footnoteReference w:id="12"/>
      </w:r>
      <w:r w:rsidRPr="00095EAC">
        <w:rPr>
          <w:rFonts w:ascii="Verdana" w:eastAsia="Calibri" w:hAnsi="Verdana" w:cs="Arial"/>
          <w:lang w:val="es-ES" w:eastAsia="es-ES"/>
        </w:rPr>
        <w:t>, refiriéndose a los contratos de prestación de servicios profesionales y de apoyo a la gestión.</w:t>
      </w:r>
    </w:p>
    <w:p w14:paraId="55EF3C71" w14:textId="77777777" w:rsidR="00C22DB4" w:rsidRPr="00095EAC" w:rsidRDefault="00C22DB4" w:rsidP="00C22DB4">
      <w:pPr>
        <w:spacing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j) Para su celebración no se requiere inscripción en el Registro Único de Proponentes – en adelante RUP–, según lo prevé el artículo 6 de la Ley 1150 de 2007</w:t>
      </w:r>
      <w:r w:rsidRPr="00095EAC">
        <w:rPr>
          <w:rFonts w:ascii="Verdana" w:eastAsia="Calibri" w:hAnsi="Verdana" w:cs="Arial"/>
          <w:vertAlign w:val="superscript"/>
          <w:lang w:val="es-ES_tradnl" w:eastAsia="es-ES_tradnl"/>
        </w:rPr>
        <w:footnoteReference w:id="13"/>
      </w:r>
      <w:r w:rsidRPr="00095EAC">
        <w:rPr>
          <w:rFonts w:ascii="Verdana" w:eastAsia="Calibri" w:hAnsi="Verdana" w:cs="Arial"/>
          <w:lang w:val="es-ES_tradnl" w:eastAsia="es-ES_tradnl"/>
        </w:rPr>
        <w:t>.</w:t>
      </w:r>
    </w:p>
    <w:p w14:paraId="55EE9C75" w14:textId="77777777" w:rsidR="00C22DB4" w:rsidRPr="00095EAC" w:rsidRDefault="00C22DB4" w:rsidP="00C22DB4">
      <w:pPr>
        <w:spacing w:before="120" w:after="120" w:line="276" w:lineRule="auto"/>
        <w:ind w:firstLine="709"/>
        <w:jc w:val="both"/>
        <w:rPr>
          <w:rFonts w:ascii="Verdana" w:eastAsia="Calibri" w:hAnsi="Verdana" w:cs="Arial"/>
          <w:lang w:val="es-ES_tradnl" w:eastAsia="es-ES_tradnl"/>
        </w:rPr>
      </w:pPr>
      <w:r w:rsidRPr="00095EAC">
        <w:rPr>
          <w:rFonts w:ascii="Verdana" w:eastAsia="Calibri" w:hAnsi="Verdana" w:cs="Arial"/>
          <w:lang w:val="es-ES_tradnl" w:eastAsia="es-ES_tradnl"/>
        </w:rPr>
        <w:t>k) En ellos no son necesarias las garantías</w:t>
      </w:r>
      <w:r w:rsidRPr="00095EAC">
        <w:rPr>
          <w:rFonts w:ascii="Verdana" w:eastAsia="Calibri" w:hAnsi="Verdana" w:cs="Arial"/>
          <w:vertAlign w:val="superscript"/>
          <w:lang w:val="es-ES_tradnl" w:eastAsia="es-ES_tradnl"/>
        </w:rPr>
        <w:footnoteReference w:id="14"/>
      </w:r>
      <w:r w:rsidRPr="00095EAC">
        <w:rPr>
          <w:rFonts w:ascii="Verdana" w:eastAsia="Calibri" w:hAnsi="Verdana" w:cs="Arial"/>
          <w:lang w:val="es-ES_tradnl" w:eastAsia="es-ES_tradnl"/>
        </w:rPr>
        <w:t>.</w:t>
      </w:r>
    </w:p>
    <w:p w14:paraId="3DF51370" w14:textId="77777777" w:rsidR="00C22DB4" w:rsidRPr="00A02D67" w:rsidRDefault="00C22DB4" w:rsidP="00F32BB2">
      <w:pPr>
        <w:pStyle w:val="Textoindependiente"/>
        <w:spacing w:line="276" w:lineRule="auto"/>
        <w:jc w:val="both"/>
        <w:rPr>
          <w:rFonts w:ascii="Verdana" w:hAnsi="Verdana"/>
          <w:lang w:val="es-CO"/>
        </w:rPr>
      </w:pPr>
      <w:r>
        <w:rPr>
          <w:rFonts w:ascii="Verdana" w:hAnsi="Verdana"/>
          <w:lang w:val="es-CO"/>
        </w:rPr>
        <w:tab/>
      </w:r>
      <w:r w:rsidRPr="00643469">
        <w:rPr>
          <w:rFonts w:ascii="Verdana" w:hAnsi="Verdana"/>
          <w:lang w:val="es-CO"/>
        </w:rPr>
        <w:t xml:space="preserve">En consecuencia, el contrato de prestación de servicios de apoyo a la gestión se identifica por la naturaleza de las actividades que comprende, las cuales pueden ser de carácter operativo, logístico o asistencial y deben estar relacionadas con las funciones de la entidad estatal. Su celebración debe </w:t>
      </w:r>
      <w:r w:rsidRPr="00D6482A">
        <w:rPr>
          <w:rFonts w:ascii="Verdana" w:hAnsi="Verdana"/>
          <w:lang w:val="es-CO"/>
        </w:rPr>
        <w:t xml:space="preserve">sujetarse a los requisitos legales y reglamentarios que regulan esta modalidad </w:t>
      </w:r>
      <w:r w:rsidRPr="00A02D67">
        <w:rPr>
          <w:rFonts w:ascii="Verdana" w:hAnsi="Verdana"/>
          <w:lang w:val="es-CO"/>
        </w:rPr>
        <w:t>contractual, de conformidad con las necesidades de la Administración y las obligaciones que integran su objeto.</w:t>
      </w:r>
    </w:p>
    <w:p w14:paraId="3FD0723B" w14:textId="77777777" w:rsidR="000D019D" w:rsidRPr="00A02D67" w:rsidRDefault="000D019D" w:rsidP="00F32BB2">
      <w:pPr>
        <w:pStyle w:val="Textoindependiente"/>
        <w:spacing w:line="276" w:lineRule="auto"/>
        <w:ind w:right="49"/>
        <w:jc w:val="both"/>
        <w:rPr>
          <w:rFonts w:ascii="Verdana" w:hAnsi="Verdana"/>
          <w:lang w:val="es-CO"/>
        </w:rPr>
      </w:pPr>
    </w:p>
    <w:p w14:paraId="7DF78ED8" w14:textId="77777777" w:rsidR="00C22DB4" w:rsidRPr="00D6482A" w:rsidRDefault="00C22DB4" w:rsidP="00C22DB4">
      <w:pPr>
        <w:pStyle w:val="Textoindependiente"/>
        <w:spacing w:after="120" w:line="276" w:lineRule="auto"/>
        <w:ind w:right="49"/>
        <w:jc w:val="both"/>
        <w:rPr>
          <w:rFonts w:ascii="Verdana" w:hAnsi="Verdana"/>
        </w:rPr>
      </w:pPr>
      <w:r w:rsidRPr="00A02D67">
        <w:rPr>
          <w:rFonts w:ascii="Verdana" w:hAnsi="Verdana"/>
        </w:rPr>
        <w:t>ii. Por su parte, la obra pública es una tipología de los contratos estatales,</w:t>
      </w:r>
      <w:r w:rsidRPr="00D6482A">
        <w:rPr>
          <w:rFonts w:ascii="Verdana" w:hAnsi="Verdana"/>
        </w:rPr>
        <w:t xml:space="preserve"> entendidos estos últimos como los actos jurídicos generadores de obligaciones que han sido celebrados por alguna de las entidades estatales enlistadas en el artículo 2 de la Ley 80 de 1993.  Lo anterior resulta de especial relevancia, en </w:t>
      </w:r>
      <w:r w:rsidRPr="00D6482A">
        <w:rPr>
          <w:rFonts w:ascii="Verdana" w:hAnsi="Verdana"/>
        </w:rPr>
        <w:lastRenderedPageBreak/>
        <w:t xml:space="preserve">la medida en que dicho tipo contractual se diferencia de la definición y regulación prevista en el derecho privado para el contrato de confección de obra material regulado en el Código Civil.   </w:t>
      </w:r>
    </w:p>
    <w:p w14:paraId="1D2FE889" w14:textId="77777777" w:rsidR="00C22DB4" w:rsidRPr="00D6482A" w:rsidRDefault="00C22DB4" w:rsidP="00EF436C">
      <w:pPr>
        <w:pStyle w:val="Textoindependiente"/>
        <w:spacing w:line="276" w:lineRule="auto"/>
        <w:ind w:right="51"/>
        <w:jc w:val="both"/>
        <w:rPr>
          <w:rFonts w:ascii="Verdana" w:hAnsi="Verdana"/>
        </w:rPr>
      </w:pPr>
      <w:r w:rsidRPr="00D6482A">
        <w:rPr>
          <w:rFonts w:ascii="Verdana" w:hAnsi="Verdana"/>
        </w:rPr>
        <w:tab/>
        <w:t>En efecto,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p>
    <w:p w14:paraId="1708BBCA" w14:textId="77777777" w:rsidR="00EF436C" w:rsidRPr="00D6482A" w:rsidRDefault="00EF436C" w:rsidP="00F32BB2">
      <w:pPr>
        <w:pStyle w:val="Textoindependiente"/>
        <w:spacing w:line="276" w:lineRule="auto"/>
        <w:ind w:right="51"/>
        <w:jc w:val="both"/>
        <w:rPr>
          <w:rFonts w:ascii="Verdana" w:hAnsi="Verdana"/>
        </w:rPr>
      </w:pPr>
    </w:p>
    <w:p w14:paraId="51F8912E" w14:textId="77777777" w:rsidR="00C22DB4" w:rsidRPr="00D6482A" w:rsidRDefault="00C22DB4" w:rsidP="0010338B">
      <w:pPr>
        <w:widowControl w:val="0"/>
        <w:autoSpaceDE w:val="0"/>
        <w:autoSpaceDN w:val="0"/>
        <w:spacing w:after="0" w:line="240" w:lineRule="auto"/>
        <w:ind w:left="709" w:right="709"/>
        <w:jc w:val="both"/>
        <w:rPr>
          <w:rFonts w:ascii="Verdana" w:eastAsia="Calibri" w:hAnsi="Verdana" w:cs="Arial"/>
          <w:sz w:val="20"/>
          <w:szCs w:val="20"/>
          <w:lang w:val="es-ES_tradnl" w:eastAsia="es-ES" w:bidi="es-ES"/>
        </w:rPr>
      </w:pPr>
      <w:r w:rsidRPr="00D6482A">
        <w:rPr>
          <w:rFonts w:ascii="Verdana" w:eastAsia="Calibri" w:hAnsi="Verdana" w:cs="Arial"/>
          <w:sz w:val="20"/>
          <w:szCs w:val="20"/>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09DD9B0A" w14:textId="77777777" w:rsidR="0010338B" w:rsidRPr="00D6482A" w:rsidRDefault="0010338B" w:rsidP="00F32BB2">
      <w:pPr>
        <w:widowControl w:val="0"/>
        <w:autoSpaceDE w:val="0"/>
        <w:autoSpaceDN w:val="0"/>
        <w:spacing w:after="0" w:line="240" w:lineRule="auto"/>
        <w:ind w:left="709" w:right="709"/>
        <w:jc w:val="both"/>
        <w:rPr>
          <w:rFonts w:ascii="Verdana" w:eastAsia="Calibri" w:hAnsi="Verdana" w:cs="Arial"/>
          <w:sz w:val="20"/>
          <w:szCs w:val="20"/>
          <w:lang w:val="es-ES_tradnl" w:eastAsia="es-ES" w:bidi="es-ES"/>
        </w:rPr>
      </w:pPr>
    </w:p>
    <w:p w14:paraId="47E68181" w14:textId="77777777" w:rsidR="00C22DB4" w:rsidRPr="00D6482A" w:rsidRDefault="00C22DB4" w:rsidP="00F32BB2">
      <w:pPr>
        <w:widowControl w:val="0"/>
        <w:autoSpaceDE w:val="0"/>
        <w:autoSpaceDN w:val="0"/>
        <w:spacing w:after="0" w:line="240" w:lineRule="auto"/>
        <w:ind w:left="709" w:right="709"/>
        <w:jc w:val="both"/>
        <w:rPr>
          <w:rFonts w:ascii="Verdana" w:eastAsia="Calibri" w:hAnsi="Verdana" w:cs="Arial"/>
          <w:sz w:val="20"/>
          <w:szCs w:val="20"/>
          <w:lang w:val="es-ES_tradnl" w:eastAsia="es-ES" w:bidi="es-ES"/>
        </w:rPr>
      </w:pPr>
      <w:r w:rsidRPr="00D6482A">
        <w:rPr>
          <w:rFonts w:ascii="Verdana" w:eastAsia="Calibri" w:hAnsi="Verdana" w:cs="Arial"/>
          <w:sz w:val="20"/>
          <w:szCs w:val="20"/>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D6482A">
        <w:rPr>
          <w:rFonts w:ascii="Verdana" w:eastAsia="Calibri" w:hAnsi="Verdana" w:cs="Arial"/>
          <w:sz w:val="20"/>
          <w:szCs w:val="20"/>
          <w:vertAlign w:val="superscript"/>
          <w:lang w:val="es-ES_tradnl" w:eastAsia="es-ES" w:bidi="es-ES"/>
        </w:rPr>
        <w:footnoteReference w:id="15"/>
      </w:r>
      <w:r w:rsidRPr="00D6482A">
        <w:rPr>
          <w:rFonts w:ascii="Verdana" w:eastAsia="Calibri" w:hAnsi="Verdana" w:cs="Arial"/>
          <w:sz w:val="20"/>
          <w:szCs w:val="20"/>
          <w:lang w:val="es-ES_tradnl" w:eastAsia="es-ES" w:bidi="es-ES"/>
        </w:rPr>
        <w:t xml:space="preserve">.  </w:t>
      </w:r>
    </w:p>
    <w:p w14:paraId="71030C00" w14:textId="77777777" w:rsidR="00C22DB4" w:rsidRPr="00F32BB2" w:rsidRDefault="00C22DB4" w:rsidP="00F32BB2">
      <w:pPr>
        <w:pStyle w:val="Textoindependiente"/>
        <w:spacing w:line="276" w:lineRule="auto"/>
        <w:ind w:right="51"/>
        <w:jc w:val="both"/>
        <w:rPr>
          <w:rFonts w:ascii="Verdana" w:hAnsi="Verdana"/>
          <w:lang w:val="es-ES_tradnl"/>
        </w:rPr>
      </w:pPr>
    </w:p>
    <w:p w14:paraId="1CF0498C" w14:textId="77777777" w:rsidR="00C22DB4" w:rsidRPr="00D6482A" w:rsidRDefault="00C22DB4" w:rsidP="00C22DB4">
      <w:pPr>
        <w:pStyle w:val="Textoindependiente"/>
        <w:spacing w:after="120" w:line="276" w:lineRule="auto"/>
        <w:ind w:right="49"/>
        <w:jc w:val="both"/>
        <w:rPr>
          <w:rFonts w:ascii="Verdana" w:hAnsi="Verdana"/>
        </w:rPr>
      </w:pPr>
      <w:r w:rsidRPr="00D6482A">
        <w:rPr>
          <w:rFonts w:ascii="Verdana" w:hAnsi="Verdana"/>
        </w:rPr>
        <w:tab/>
        <w:t xml:space="preserve">En sentido amplio, dado que la “obra” es un bien que crea la actividad humana, el hecho de que sea “pública” significa que es todo trabajo material en cuya creación o realización interviene el Estado. No obstante, el numeral 1 del </w:t>
      </w:r>
      <w:r w:rsidRPr="00D6482A">
        <w:rPr>
          <w:rFonts w:ascii="Verdana" w:hAnsi="Verdana"/>
        </w:rPr>
        <w:lastRenderedPageBreak/>
        <w:t xml:space="preserve">artículo 32 de la Ley 80 de 1993 opta por un sentido restringido,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w:t>
      </w:r>
    </w:p>
    <w:p w14:paraId="494248EA" w14:textId="77777777" w:rsidR="00C22DB4" w:rsidRPr="00D6482A" w:rsidRDefault="00C22DB4" w:rsidP="00C22DB4">
      <w:pPr>
        <w:pStyle w:val="Textoindependiente"/>
        <w:spacing w:after="360" w:line="276" w:lineRule="auto"/>
        <w:ind w:right="51"/>
        <w:jc w:val="both"/>
        <w:rPr>
          <w:rFonts w:ascii="Verdana" w:hAnsi="Verdana"/>
        </w:rPr>
      </w:pPr>
      <w:r w:rsidRPr="00D6482A">
        <w:rPr>
          <w:rFonts w:ascii="Verdana" w:hAnsi="Verdana"/>
        </w:rPr>
        <w:tab/>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 De esta manera:</w:t>
      </w:r>
    </w:p>
    <w:p w14:paraId="0EF416AC" w14:textId="77777777" w:rsidR="00C22DB4" w:rsidRPr="00D6482A" w:rsidRDefault="00C22DB4" w:rsidP="0010338B">
      <w:pPr>
        <w:widowControl w:val="0"/>
        <w:autoSpaceDE w:val="0"/>
        <w:autoSpaceDN w:val="0"/>
        <w:spacing w:after="0" w:line="240" w:lineRule="auto"/>
        <w:ind w:left="709" w:right="709"/>
        <w:jc w:val="both"/>
        <w:rPr>
          <w:rFonts w:ascii="Verdana" w:eastAsia="Calibri" w:hAnsi="Verdana" w:cs="Arial"/>
          <w:sz w:val="20"/>
          <w:szCs w:val="20"/>
          <w:lang w:val="es-ES_tradnl" w:eastAsia="es-ES" w:bidi="es-ES"/>
        </w:rPr>
      </w:pPr>
      <w:r w:rsidRPr="00D6482A">
        <w:rPr>
          <w:rFonts w:ascii="Verdana" w:eastAsia="Calibri" w:hAnsi="Verdana" w:cs="Arial"/>
          <w:sz w:val="20"/>
          <w:szCs w:val="20"/>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647A00CF" w14:textId="77777777" w:rsidR="0010338B" w:rsidRPr="00D6482A" w:rsidRDefault="0010338B" w:rsidP="00F32BB2">
      <w:pPr>
        <w:widowControl w:val="0"/>
        <w:autoSpaceDE w:val="0"/>
        <w:autoSpaceDN w:val="0"/>
        <w:spacing w:after="0" w:line="240" w:lineRule="auto"/>
        <w:ind w:left="709" w:right="709"/>
        <w:jc w:val="both"/>
        <w:rPr>
          <w:rFonts w:ascii="Verdana" w:eastAsia="Calibri" w:hAnsi="Verdana" w:cs="Arial"/>
          <w:sz w:val="20"/>
          <w:szCs w:val="20"/>
          <w:lang w:val="es-ES_tradnl" w:eastAsia="es-ES" w:bidi="es-ES"/>
        </w:rPr>
      </w:pPr>
    </w:p>
    <w:p w14:paraId="451679E9" w14:textId="77777777" w:rsidR="00C22DB4" w:rsidRPr="00D6482A" w:rsidRDefault="00C22DB4" w:rsidP="00F32BB2">
      <w:pPr>
        <w:widowControl w:val="0"/>
        <w:autoSpaceDE w:val="0"/>
        <w:autoSpaceDN w:val="0"/>
        <w:spacing w:after="0" w:line="240" w:lineRule="auto"/>
        <w:ind w:left="709" w:right="709"/>
        <w:jc w:val="both"/>
        <w:rPr>
          <w:rFonts w:ascii="Verdana" w:eastAsia="Calibri" w:hAnsi="Verdana" w:cs="Arial"/>
          <w:sz w:val="20"/>
          <w:szCs w:val="20"/>
          <w:lang w:val="es-ES_tradnl" w:eastAsia="es-ES" w:bidi="es-ES"/>
        </w:rPr>
      </w:pPr>
      <w:r w:rsidRPr="00D6482A">
        <w:rPr>
          <w:rFonts w:ascii="Verdana" w:eastAsia="Calibri" w:hAnsi="Verdana" w:cs="Arial"/>
          <w:sz w:val="20"/>
          <w:szCs w:val="20"/>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D6482A">
        <w:rPr>
          <w:rFonts w:ascii="Verdana" w:eastAsia="Calibri" w:hAnsi="Verdana" w:cs="Arial"/>
          <w:sz w:val="20"/>
          <w:szCs w:val="20"/>
          <w:vertAlign w:val="superscript"/>
          <w:lang w:val="es-ES_tradnl" w:eastAsia="es-ES" w:bidi="es-ES"/>
        </w:rPr>
        <w:footnoteReference w:id="16"/>
      </w:r>
      <w:r w:rsidRPr="00D6482A">
        <w:rPr>
          <w:rFonts w:ascii="Verdana" w:eastAsia="Calibri" w:hAnsi="Verdana" w:cs="Arial"/>
          <w:sz w:val="20"/>
          <w:szCs w:val="20"/>
          <w:lang w:val="es-ES_tradnl" w:eastAsia="es-ES" w:bidi="es-ES"/>
        </w:rPr>
        <w:t>.</w:t>
      </w:r>
    </w:p>
    <w:p w14:paraId="0A4FA6AE" w14:textId="77777777" w:rsidR="00C22DB4" w:rsidRPr="00D6482A" w:rsidRDefault="00C22DB4" w:rsidP="00F32BB2">
      <w:pPr>
        <w:widowControl w:val="0"/>
        <w:autoSpaceDE w:val="0"/>
        <w:autoSpaceDN w:val="0"/>
        <w:spacing w:after="0" w:line="240" w:lineRule="auto"/>
        <w:ind w:left="709"/>
        <w:jc w:val="both"/>
        <w:rPr>
          <w:rFonts w:ascii="Verdana" w:eastAsia="Calibri" w:hAnsi="Verdana" w:cs="Arial"/>
          <w:sz w:val="20"/>
          <w:szCs w:val="20"/>
          <w:lang w:val="es-ES_tradnl" w:eastAsia="es-ES" w:bidi="es-ES"/>
        </w:rPr>
      </w:pPr>
    </w:p>
    <w:p w14:paraId="2CBA1C2E" w14:textId="77777777" w:rsidR="00C22DB4" w:rsidRPr="00D6482A" w:rsidRDefault="00C22DB4" w:rsidP="00F32BB2">
      <w:pPr>
        <w:pStyle w:val="Textoindependiente"/>
        <w:spacing w:after="120" w:line="276" w:lineRule="auto"/>
        <w:jc w:val="both"/>
        <w:rPr>
          <w:rFonts w:ascii="Verdana" w:hAnsi="Verdana"/>
        </w:rPr>
      </w:pPr>
      <w:r w:rsidRPr="00D6482A">
        <w:rPr>
          <w:rFonts w:ascii="Verdana" w:hAnsi="Verdana"/>
        </w:rPr>
        <w:tab/>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7AD7E8AC" w14:textId="77777777" w:rsidR="00C22DB4" w:rsidRPr="00A02D67" w:rsidRDefault="00C22DB4" w:rsidP="00F32BB2">
      <w:pPr>
        <w:pStyle w:val="Textoindependiente"/>
        <w:spacing w:line="276" w:lineRule="auto"/>
        <w:jc w:val="both"/>
        <w:rPr>
          <w:rFonts w:ascii="Verdana" w:hAnsi="Verdana"/>
        </w:rPr>
      </w:pPr>
      <w:r w:rsidRPr="00D6482A">
        <w:rPr>
          <w:rFonts w:ascii="Verdana" w:hAnsi="Verdana"/>
        </w:rPr>
        <w:lastRenderedPageBreak/>
        <w:tab/>
        <w:t xml:space="preserve">En consecuencia, como la obra pública existe con independencia de la modalidad de ejecución o de pago, sea que el objeto se ejecute a través de administración delegada o por administración de recursos, ambas categorías pertenecen a la tipología contractual del numeral 1 del artículo 32 de la Ley 80 de 1993. Es decir, al margen de la nominación asignada por las partes, cualquier negocio jurídico que implique un trabajo material sobre bienes inmuebles a favor de una entidad pública, tiene la naturaleza jurídica de una obra pública. Como este contrato tiene carácter bilateral y oneroso, en los términos del inciso primero del artículo 41 del EGCAP, las obligaciones básicas dependen del acuerdo sobre el inmueble objeto de construcción, mantenimiento, instalación, </w:t>
      </w:r>
      <w:r w:rsidRPr="00A02D67">
        <w:rPr>
          <w:rFonts w:ascii="Verdana" w:hAnsi="Verdana"/>
        </w:rPr>
        <w:t>reforma o demolición, por un lado, y la remuneración del contratista de acuerdo con la forma de ejecución, por el otro.</w:t>
      </w:r>
    </w:p>
    <w:p w14:paraId="65E75663" w14:textId="77777777" w:rsidR="002D0185" w:rsidRPr="00A02D67" w:rsidRDefault="002D0185" w:rsidP="00F32BB2">
      <w:pPr>
        <w:pStyle w:val="Textoindependiente"/>
        <w:spacing w:line="276" w:lineRule="auto"/>
        <w:jc w:val="both"/>
        <w:rPr>
          <w:rFonts w:ascii="Verdana" w:hAnsi="Verdana"/>
        </w:rPr>
      </w:pPr>
    </w:p>
    <w:p w14:paraId="48061821" w14:textId="77777777" w:rsidR="00C22DB4" w:rsidRDefault="00C22DB4" w:rsidP="00C22DB4">
      <w:pPr>
        <w:spacing w:after="120" w:line="276" w:lineRule="auto"/>
        <w:jc w:val="both"/>
        <w:rPr>
          <w:rFonts w:ascii="Verdana" w:eastAsia="Calibri" w:hAnsi="Verdana" w:cs="Arial"/>
          <w:color w:val="000000"/>
          <w:lang w:val="es-ES"/>
        </w:rPr>
      </w:pPr>
      <w:r w:rsidRPr="00A02D67">
        <w:rPr>
          <w:rFonts w:ascii="Verdana" w:hAnsi="Verdana"/>
        </w:rPr>
        <w:t xml:space="preserve">iii. Ahora bien, </w:t>
      </w:r>
      <w:r w:rsidRPr="00A02D67">
        <w:rPr>
          <w:rFonts w:ascii="Verdana" w:eastAsia="Calibri" w:hAnsi="Verdana" w:cs="Arial"/>
          <w:color w:val="000000"/>
          <w:lang w:val="es-ES"/>
        </w:rPr>
        <w:t xml:space="preserve">la incorporación de las denominadas “estampillas” </w:t>
      </w:r>
      <w:r w:rsidRPr="00A02D67">
        <w:rPr>
          <w:rFonts w:ascii="Verdana" w:eastAsia="Calibri" w:hAnsi="Verdana" w:cs="Arial"/>
          <w:color w:val="000000" w:themeColor="text1"/>
          <w:lang w:val="es-ES"/>
        </w:rPr>
        <w:t>al</w:t>
      </w:r>
      <w:r w:rsidRPr="4C21B453">
        <w:rPr>
          <w:rFonts w:ascii="Verdana" w:eastAsia="Calibri" w:hAnsi="Verdana" w:cs="Arial"/>
          <w:color w:val="000000" w:themeColor="text1"/>
          <w:lang w:val="es-ES"/>
        </w:rPr>
        <w:t xml:space="preserve"> ordenamiento jurídico colombiano </w:t>
      </w:r>
      <w:r w:rsidRPr="4C21B453">
        <w:rPr>
          <w:rFonts w:ascii="Verdana" w:eastAsia="Calibri" w:hAnsi="Verdana" w:cs="Arial"/>
          <w:color w:val="000000"/>
          <w:lang w:val="es-ES"/>
        </w:rPr>
        <w:t xml:space="preserve">tan sólo puede darse por disposición legal </w:t>
      </w:r>
      <w:r w:rsidRPr="4C21B453">
        <w:rPr>
          <w:rFonts w:ascii="Verdana" w:eastAsia="Calibri" w:hAnsi="Verdana" w:cs="Arial"/>
          <w:color w:val="000000" w:themeColor="text1"/>
          <w:lang w:val="es-ES"/>
        </w:rPr>
        <w:t xml:space="preserve">y, tratándose de tributos territoriales, </w:t>
      </w:r>
      <w:r w:rsidRPr="4C21B453">
        <w:rPr>
          <w:rFonts w:ascii="Verdana" w:eastAsia="Calibri" w:hAnsi="Verdana" w:cs="Arial"/>
          <w:color w:val="000000"/>
          <w:lang w:val="es-ES"/>
        </w:rPr>
        <w:t>por disposición expresa de</w:t>
      </w:r>
      <w:r w:rsidRPr="4C21B453">
        <w:rPr>
          <w:rFonts w:ascii="Verdana" w:eastAsia="Calibri" w:hAnsi="Verdana" w:cs="Arial"/>
          <w:color w:val="000000" w:themeColor="text1"/>
          <w:lang w:val="es-ES"/>
        </w:rPr>
        <w:t xml:space="preserve"> las correspondientes</w:t>
      </w:r>
      <w:r w:rsidRPr="4C21B453">
        <w:rPr>
          <w:rFonts w:ascii="Verdana" w:eastAsia="Calibri" w:hAnsi="Verdana" w:cs="Arial"/>
          <w:color w:val="000000"/>
          <w:lang w:val="es-ES"/>
        </w:rPr>
        <w:t xml:space="preserve"> ordenanzas departamentales o acuerdos distritales o municipales</w:t>
      </w:r>
      <w:r w:rsidRPr="4C21B453">
        <w:rPr>
          <w:rFonts w:ascii="Verdana" w:eastAsia="Calibri" w:hAnsi="Verdana" w:cs="Arial"/>
          <w:color w:val="000000" w:themeColor="text1"/>
          <w:lang w:val="es-ES"/>
        </w:rPr>
        <w:t xml:space="preserve">. Estas normas </w:t>
      </w:r>
      <w:r w:rsidRPr="4C21B453">
        <w:rPr>
          <w:rFonts w:ascii="Verdana" w:eastAsia="Calibri" w:hAnsi="Verdana" w:cs="Arial"/>
          <w:color w:val="000000"/>
          <w:lang w:val="es-ES"/>
        </w:rPr>
        <w:t>debe</w:t>
      </w:r>
      <w:r w:rsidRPr="4C21B453">
        <w:rPr>
          <w:rFonts w:ascii="Verdana" w:eastAsia="Calibri" w:hAnsi="Verdana" w:cs="Arial"/>
          <w:color w:val="000000" w:themeColor="text1"/>
          <w:lang w:val="es-ES"/>
        </w:rPr>
        <w:t>n</w:t>
      </w:r>
      <w:r w:rsidRPr="4C21B453">
        <w:rPr>
          <w:rFonts w:ascii="Verdana" w:eastAsia="Calibri" w:hAnsi="Verdana" w:cs="Arial"/>
          <w:color w:val="000000"/>
          <w:lang w:val="es-ES"/>
        </w:rPr>
        <w:t xml:space="preserve"> indicar a detalle las condiciones de su emisión</w:t>
      </w:r>
      <w:r w:rsidRPr="4C21B453">
        <w:rPr>
          <w:rFonts w:ascii="Verdana" w:eastAsia="Calibri" w:hAnsi="Verdana" w:cs="Arial"/>
          <w:color w:val="000000" w:themeColor="text1"/>
          <w:lang w:val="es-ES"/>
        </w:rPr>
        <w:t xml:space="preserve">, recaudo, causación y aplicación del gravamen, así como los demás elementos necesarios para determinar la obligación tributaria. Dependiendo de su configuración normativa, las estampillas pueden ser </w:t>
      </w:r>
      <w:r w:rsidRPr="4C21B453">
        <w:rPr>
          <w:rFonts w:ascii="Verdana" w:eastAsia="Calibri" w:hAnsi="Verdana" w:cs="Arial"/>
          <w:color w:val="000000"/>
          <w:lang w:val="es-ES"/>
        </w:rPr>
        <w:t>conceb</w:t>
      </w:r>
      <w:r w:rsidRPr="4C21B453">
        <w:rPr>
          <w:rFonts w:ascii="Verdana" w:eastAsia="Calibri" w:hAnsi="Verdana" w:cs="Arial"/>
          <w:color w:val="000000" w:themeColor="text1"/>
          <w:lang w:val="es-ES"/>
        </w:rPr>
        <w:t xml:space="preserve">idas </w:t>
      </w:r>
      <w:r w:rsidRPr="4C21B453">
        <w:rPr>
          <w:rFonts w:ascii="Verdana" w:eastAsia="Calibri" w:hAnsi="Verdana" w:cs="Arial"/>
          <w:color w:val="000000"/>
          <w:lang w:val="es-ES"/>
        </w:rPr>
        <w:t>como una tasa parafiscal</w:t>
      </w:r>
      <w:r w:rsidRPr="4C21B453">
        <w:rPr>
          <w:rStyle w:val="Refdenotaalpie"/>
          <w:rFonts w:ascii="Verdana" w:eastAsia="Calibri" w:hAnsi="Verdana" w:cs="Arial"/>
          <w:color w:val="000000"/>
          <w:lang w:val="es-ES"/>
        </w:rPr>
        <w:footnoteReference w:id="17"/>
      </w:r>
      <w:r w:rsidRPr="4C21B453">
        <w:rPr>
          <w:rFonts w:ascii="Verdana" w:eastAsia="Calibri" w:hAnsi="Verdana" w:cs="Arial"/>
          <w:color w:val="000000"/>
          <w:lang w:val="es-ES"/>
        </w:rPr>
        <w:t>, o como impuesto con destinación específica</w:t>
      </w:r>
      <w:r w:rsidRPr="4C21B453">
        <w:rPr>
          <w:rStyle w:val="Refdenotaalpie"/>
          <w:rFonts w:ascii="Verdana" w:eastAsia="Calibri" w:hAnsi="Verdana" w:cs="Arial"/>
          <w:color w:val="000000"/>
          <w:lang w:val="es-ES"/>
        </w:rPr>
        <w:footnoteReference w:id="18"/>
      </w:r>
      <w:r w:rsidRPr="4C21B453">
        <w:rPr>
          <w:rFonts w:ascii="Verdana" w:eastAsia="Calibri" w:hAnsi="Verdana" w:cs="Arial"/>
          <w:color w:val="000000"/>
          <w:lang w:val="es-ES"/>
        </w:rPr>
        <w:t>.</w:t>
      </w:r>
    </w:p>
    <w:p w14:paraId="2CD87764" w14:textId="77777777" w:rsidR="00C22DB4" w:rsidRPr="009E6071" w:rsidRDefault="00C22DB4" w:rsidP="00C22DB4">
      <w:pPr>
        <w:spacing w:after="120" w:line="276" w:lineRule="auto"/>
        <w:jc w:val="both"/>
        <w:rPr>
          <w:rFonts w:ascii="Verdana" w:eastAsia="Calibri" w:hAnsi="Verdana" w:cs="Arial"/>
          <w:color w:val="000000"/>
          <w:lang w:val="es-ES"/>
        </w:rPr>
      </w:pPr>
      <w:r>
        <w:rPr>
          <w:rFonts w:ascii="Verdana" w:eastAsia="Calibri" w:hAnsi="Verdana" w:cs="Arial"/>
          <w:color w:val="000000"/>
          <w:lang w:val="es-ES"/>
        </w:rPr>
        <w:lastRenderedPageBreak/>
        <w:tab/>
      </w:r>
      <w:r w:rsidRPr="4C21B453">
        <w:rPr>
          <w:rFonts w:ascii="Verdana" w:eastAsia="Calibri" w:hAnsi="Verdana" w:cs="Arial"/>
          <w:color w:val="000000" w:themeColor="text1"/>
          <w:lang w:val="es-ES"/>
        </w:rPr>
        <w:t xml:space="preserve">Sobre el tema, es importante indicar que tanto la naturaleza de cada estampilla, así como las condiciones que se deben tener en cuenta para su causación, recaudo, destinación y objetivos pueden diferir en función de las decisiones que en su configuración adoptó el Legislador al autorizar su creación y, de manera complementaria, por los órganos colegiados de las autoridades territoriales al desarrollarlas en ejercicio de sus competencias. En consecuencia, la procedencia de una estampilla determinada debe analizarse a partir de las disposiciones específicas que regulan su existencia y aplicación. </w:t>
      </w:r>
    </w:p>
    <w:p w14:paraId="07690329" w14:textId="77777777" w:rsidR="00C22DB4" w:rsidRDefault="00C22DB4" w:rsidP="00C22DB4">
      <w:pPr>
        <w:spacing w:after="0" w:line="276" w:lineRule="auto"/>
        <w:ind w:firstLine="708"/>
        <w:jc w:val="both"/>
        <w:rPr>
          <w:rFonts w:ascii="Verdana" w:eastAsia="Calibri" w:hAnsi="Verdana" w:cs="Arial"/>
          <w:color w:val="000000"/>
          <w:lang w:val="es-ES_tradnl"/>
        </w:rPr>
      </w:pPr>
      <w:r w:rsidRPr="009E6071">
        <w:rPr>
          <w:rFonts w:ascii="Verdana" w:eastAsia="Calibri" w:hAnsi="Verdana" w:cs="Arial"/>
          <w:color w:val="000000"/>
          <w:lang w:val="es-ES_tradnl"/>
        </w:rPr>
        <w:t>En efecto, la Corte Constitucional, Sentencia C-768 de 23 de septiembre de 2010. M.P.: Juan Carlos Henao Pérez indicó:</w:t>
      </w:r>
    </w:p>
    <w:p w14:paraId="62AAE87A" w14:textId="77777777" w:rsidR="00C22DB4" w:rsidRPr="009E6071" w:rsidRDefault="00C22DB4" w:rsidP="00C22DB4">
      <w:pPr>
        <w:spacing w:after="0" w:line="276" w:lineRule="auto"/>
        <w:ind w:firstLine="708"/>
        <w:jc w:val="both"/>
        <w:rPr>
          <w:rFonts w:ascii="Verdana" w:eastAsia="Calibri" w:hAnsi="Verdana" w:cs="Arial"/>
          <w:color w:val="000000"/>
          <w:lang w:val="es-ES_tradnl"/>
        </w:rPr>
      </w:pPr>
    </w:p>
    <w:p w14:paraId="51A56D15" w14:textId="77777777" w:rsidR="00C22DB4" w:rsidRDefault="00C22DB4" w:rsidP="00C22DB4">
      <w:pPr>
        <w:spacing w:after="0" w:line="240" w:lineRule="auto"/>
        <w:ind w:left="709" w:right="709"/>
        <w:jc w:val="both"/>
        <w:rPr>
          <w:rFonts w:ascii="Verdana" w:eastAsia="Calibri" w:hAnsi="Verdana" w:cs="Arial"/>
          <w:color w:val="000000"/>
          <w:sz w:val="20"/>
          <w:szCs w:val="20"/>
          <w:lang w:val="es-ES_tradnl"/>
        </w:rPr>
      </w:pPr>
      <w:r w:rsidRPr="00055B0F">
        <w:rPr>
          <w:rFonts w:ascii="Verdana" w:eastAsia="Calibri" w:hAnsi="Verdana" w:cs="Arial"/>
          <w:color w:val="000000"/>
          <w:sz w:val="20"/>
          <w:szCs w:val="20"/>
          <w:lang w:val="es-ES_tradnl"/>
        </w:rPr>
        <w:t xml:space="preserve">“Para explicar esta afirmación conviene señalar que las estampillas han sido definidas por la jurisprudencia del Consejo de Estado </w:t>
      </w:r>
      <w:r>
        <w:rPr>
          <w:rFonts w:ascii="Verdana" w:eastAsia="Calibri" w:hAnsi="Verdana" w:cs="Arial"/>
          <w:color w:val="000000"/>
          <w:sz w:val="20"/>
          <w:szCs w:val="20"/>
          <w:lang w:val="es-ES_tradnl"/>
        </w:rPr>
        <w:t>[</w:t>
      </w:r>
      <w:r w:rsidRPr="00055B0F">
        <w:rPr>
          <w:rFonts w:ascii="Verdana" w:eastAsia="Calibri" w:hAnsi="Verdana" w:cs="Arial"/>
          <w:color w:val="000000"/>
          <w:sz w:val="20"/>
          <w:szCs w:val="20"/>
          <w:lang w:val="es-ES_tradnl"/>
        </w:rPr>
        <w:t>…</w:t>
      </w:r>
      <w:r>
        <w:rPr>
          <w:rFonts w:ascii="Verdana" w:eastAsia="Calibri" w:hAnsi="Verdana" w:cs="Arial"/>
          <w:color w:val="000000"/>
          <w:sz w:val="20"/>
          <w:szCs w:val="20"/>
          <w:lang w:val="es-ES_tradnl"/>
        </w:rPr>
        <w:t>]</w:t>
      </w:r>
      <w:r w:rsidRPr="00055B0F">
        <w:rPr>
          <w:rFonts w:ascii="Verdana" w:eastAsia="Calibri" w:hAnsi="Verdana" w:cs="Arial"/>
          <w:color w:val="000000"/>
          <w:sz w:val="20"/>
          <w:szCs w:val="20"/>
          <w:lang w:val="es-ES_tradnl"/>
        </w:rPr>
        <w:t xml:space="preserve"> como tributos dentro de la especie de “tasas parafiscales”, en la medida en que participan de la naturaleza de las contribuciones parafiscales, pues constituyen un gravamen cuyo pago obligatorio deben realizar los usuarios de algunas operaciones o actividades que se realizan frente a organismos de carácter público; son de carácter excepcional en cuanto al sujeto pasivo del tributo; los recursos se revierten en beneficio de un sector específico; y están destinados a sufragar gastos en que incurran las entidades que desarrollan o prestan un servicio público, como función propia del Estado. // La “tasa” si bien puede corresponder a la prestación directa de un servicio público, del cual es usuario el contribuyente que se beneficia efectivamente, también puede corresponder al beneficio potencial por la utilización de servicios de aprovechamiento común, como la educación, 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 en beneficio de organismos públicos o privados, per o no por la prestación de un servicio propiamente dicho, sino por contener un carácter social”.</w:t>
      </w:r>
    </w:p>
    <w:p w14:paraId="52569386" w14:textId="77777777" w:rsidR="00C22DB4" w:rsidRPr="00296187" w:rsidRDefault="00C22DB4" w:rsidP="00C22DB4">
      <w:pPr>
        <w:spacing w:after="0" w:line="240" w:lineRule="auto"/>
        <w:ind w:left="709" w:right="709"/>
        <w:jc w:val="both"/>
        <w:rPr>
          <w:rFonts w:ascii="Verdana" w:eastAsia="Calibri" w:hAnsi="Verdana" w:cs="Arial"/>
          <w:color w:val="000000"/>
          <w:sz w:val="20"/>
          <w:szCs w:val="20"/>
          <w:lang w:val="es-ES_tradnl"/>
        </w:rPr>
      </w:pPr>
    </w:p>
    <w:p w14:paraId="5E664DCD" w14:textId="77777777" w:rsidR="00C22DB4" w:rsidRDefault="00C22DB4" w:rsidP="00C22DB4">
      <w:pPr>
        <w:spacing w:after="0" w:line="276" w:lineRule="auto"/>
        <w:ind w:firstLine="708"/>
        <w:jc w:val="both"/>
        <w:rPr>
          <w:rFonts w:ascii="Verdana" w:eastAsia="Calibri" w:hAnsi="Verdana" w:cs="Arial"/>
          <w:color w:val="000000"/>
          <w:lang w:val="es-ES_tradnl"/>
        </w:rPr>
      </w:pPr>
      <w:r w:rsidRPr="009E6071">
        <w:rPr>
          <w:rFonts w:ascii="Verdana" w:eastAsia="Calibri" w:hAnsi="Verdana" w:cs="Arial"/>
          <w:color w:val="000000"/>
          <w:lang w:val="es-ES_tradnl"/>
        </w:rPr>
        <w:t>De la misma manera la Corte Constitucional, Sentencia C-221 de 22 de mayo de 2019. M.P. Carlos Bernal Pulido, indicó frente a la estampilla Pro- Universidad Nacional de Colombia y demás universidades estatales:</w:t>
      </w:r>
    </w:p>
    <w:p w14:paraId="15C38E50" w14:textId="77777777" w:rsidR="00C22DB4" w:rsidRPr="009E6071" w:rsidRDefault="00C22DB4" w:rsidP="00C22DB4">
      <w:pPr>
        <w:spacing w:after="0" w:line="276" w:lineRule="auto"/>
        <w:ind w:firstLine="708"/>
        <w:jc w:val="both"/>
        <w:rPr>
          <w:rFonts w:ascii="Verdana" w:eastAsia="Calibri" w:hAnsi="Verdana" w:cs="Arial"/>
          <w:color w:val="000000"/>
          <w:lang w:val="es-ES_tradnl"/>
        </w:rPr>
      </w:pPr>
    </w:p>
    <w:p w14:paraId="0A374891" w14:textId="77777777" w:rsidR="00C22DB4" w:rsidRDefault="00C22DB4" w:rsidP="00C22DB4">
      <w:pPr>
        <w:spacing w:after="0" w:line="240" w:lineRule="auto"/>
        <w:ind w:left="709" w:right="709"/>
        <w:jc w:val="both"/>
        <w:rPr>
          <w:rFonts w:ascii="Verdana" w:eastAsia="Calibri" w:hAnsi="Verdana" w:cs="Arial"/>
          <w:color w:val="000000"/>
          <w:sz w:val="20"/>
          <w:szCs w:val="20"/>
          <w:lang w:val="es-ES_tradnl"/>
        </w:rPr>
      </w:pPr>
      <w:r w:rsidRPr="00055B0F">
        <w:rPr>
          <w:rFonts w:ascii="Verdana" w:eastAsia="Calibri" w:hAnsi="Verdana" w:cs="Arial"/>
          <w:color w:val="000000"/>
          <w:sz w:val="20"/>
          <w:szCs w:val="20"/>
          <w:lang w:val="es-ES_tradnl"/>
        </w:rPr>
        <w:t>“se trataba de un impuesto con destinación específica pues se trata de una imposición obligatoria y definitiva que no guarda relación directa e inmediata con la prestación de un bien o un servicio por parte del Estado al ciudadano”.</w:t>
      </w:r>
    </w:p>
    <w:p w14:paraId="05E78A51" w14:textId="77777777" w:rsidR="00C22DB4" w:rsidRDefault="00C22DB4" w:rsidP="00C22DB4">
      <w:pPr>
        <w:spacing w:after="0" w:line="240" w:lineRule="auto"/>
        <w:ind w:left="709" w:right="709"/>
        <w:jc w:val="both"/>
        <w:rPr>
          <w:rFonts w:ascii="Verdana" w:eastAsia="Calibri" w:hAnsi="Verdana" w:cs="Arial"/>
          <w:color w:val="000000"/>
          <w:sz w:val="20"/>
          <w:szCs w:val="20"/>
          <w:lang w:val="es-ES_tradnl"/>
        </w:rPr>
      </w:pPr>
    </w:p>
    <w:p w14:paraId="1EB1FC47" w14:textId="77777777" w:rsidR="00C22DB4" w:rsidRPr="00541C92" w:rsidRDefault="00C22DB4" w:rsidP="00C22DB4">
      <w:pPr>
        <w:spacing w:after="120" w:line="276" w:lineRule="auto"/>
        <w:ind w:firstLine="708"/>
        <w:jc w:val="both"/>
        <w:rPr>
          <w:rFonts w:ascii="Verdana" w:eastAsia="Calibri" w:hAnsi="Verdana" w:cs="Arial"/>
          <w:color w:val="000000"/>
          <w:lang w:val="es-ES_tradnl"/>
        </w:rPr>
      </w:pPr>
      <w:r w:rsidRPr="00055B0F">
        <w:rPr>
          <w:rFonts w:ascii="Verdana" w:eastAsia="Times New Roman" w:hAnsi="Verdana" w:cs="Segoe UI"/>
          <w:lang w:eastAsia="es-ES_tradnl"/>
        </w:rPr>
        <w:t>Lo anterior demuestra que no existe una naturaleza única para todas las estampillas. Por el contrario, cada una responde a una regulación específica que determina su estructura tributaria, sus finalidades y las condiciones bajo las cuales surge la obligación de pago.</w:t>
      </w:r>
      <w:r>
        <w:rPr>
          <w:rFonts w:ascii="Verdana" w:eastAsia="Calibri" w:hAnsi="Verdana" w:cs="Arial"/>
          <w:color w:val="000000"/>
          <w:lang w:val="es-ES_tradnl"/>
        </w:rPr>
        <w:t xml:space="preserve"> </w:t>
      </w:r>
      <w:r w:rsidRPr="5AA5CD58">
        <w:rPr>
          <w:rFonts w:ascii="Verdana" w:eastAsia="Calibri" w:hAnsi="Verdana" w:cs="Arial"/>
          <w:color w:val="000000" w:themeColor="text1"/>
          <w:lang w:val="es-ES"/>
        </w:rPr>
        <w:t xml:space="preserve">Así las cosas, las estampillas constituyen tributos de carácter departamental o municipal, y su exigibilidad frente a los contratos </w:t>
      </w:r>
      <w:r>
        <w:rPr>
          <w:rFonts w:ascii="Verdana" w:eastAsia="Calibri" w:hAnsi="Verdana" w:cs="Arial"/>
          <w:color w:val="000000" w:themeColor="text1"/>
          <w:lang w:val="es-ES"/>
        </w:rPr>
        <w:t>depende</w:t>
      </w:r>
      <w:r w:rsidRPr="5AA5CD58">
        <w:rPr>
          <w:rFonts w:ascii="Verdana" w:eastAsia="Calibri" w:hAnsi="Verdana" w:cs="Arial"/>
          <w:color w:val="000000" w:themeColor="text1"/>
          <w:lang w:val="es-ES"/>
        </w:rPr>
        <w:t>rá de lo que dispongan las respectivas ordenanzas o acuerdos territoriales que las hayan creado. Particularmente, para establecer su procedencia deberá analizarse lo relativo al hecho generador del tributo, a los sujetos obligados al pago y a las condiciones de su aplicación.</w:t>
      </w:r>
    </w:p>
    <w:p w14:paraId="2D27E1C6" w14:textId="77777777" w:rsidR="00C22DB4" w:rsidRDefault="00C22DB4" w:rsidP="00C22DB4">
      <w:pPr>
        <w:spacing w:after="120" w:line="276" w:lineRule="auto"/>
        <w:ind w:firstLine="709"/>
        <w:jc w:val="both"/>
        <w:rPr>
          <w:rFonts w:ascii="Verdana" w:eastAsia="Times New Roman" w:hAnsi="Verdana" w:cs="Segoe UI"/>
          <w:lang w:eastAsia="es-ES_tradnl"/>
        </w:rPr>
      </w:pPr>
      <w:r w:rsidRPr="00055B0F">
        <w:rPr>
          <w:rFonts w:ascii="Verdana" w:eastAsia="Times New Roman" w:hAnsi="Verdana" w:cs="Segoe UI"/>
          <w:lang w:eastAsia="es-ES_tradnl"/>
        </w:rPr>
        <w:t>En este punto resulta pertinente recordar que las estampillas están sometidas al principio de legalidad tributaria. Por tal razón, la exigibilidad del gravamen solo procede cuando la normativa correspondiente permite identificar con claridad los elementos esenciales de la obligación tributaria, entre ellos: (i) el hecho generador; (ii) los sujetos activos y pasivos; (iii) la base gravable; (iv) la tarifa; y (v) las reglas de recaudo. La ausencia de alguno de estos elementos o la falta de inclusión expresa del supuesto de hecho objeto de análisis impide extender el tributo mediante analogía o interpretación expansiva.</w:t>
      </w:r>
    </w:p>
    <w:p w14:paraId="6E0D2253" w14:textId="77777777" w:rsidR="00C22DB4" w:rsidRPr="009A257A" w:rsidRDefault="00C22DB4" w:rsidP="00C22DB4">
      <w:pPr>
        <w:spacing w:after="120" w:line="276" w:lineRule="auto"/>
        <w:ind w:firstLine="708"/>
        <w:jc w:val="both"/>
        <w:rPr>
          <w:rFonts w:ascii="Verdana" w:eastAsia="Verdana" w:hAnsi="Verdana" w:cs="Verdana"/>
        </w:rPr>
      </w:pPr>
      <w:r>
        <w:rPr>
          <w:rFonts w:ascii="Verdana" w:eastAsia="Verdana" w:hAnsi="Verdana" w:cs="Verdana"/>
        </w:rPr>
        <w:t xml:space="preserve">Sobre el particular, debe recordarse, en </w:t>
      </w:r>
      <w:r w:rsidRPr="009A257A">
        <w:rPr>
          <w:rFonts w:ascii="Verdana" w:eastAsia="Verdana" w:hAnsi="Verdana" w:cs="Verdana"/>
        </w:rPr>
        <w:t xml:space="preserve">primer lugar, </w:t>
      </w:r>
      <w:r>
        <w:rPr>
          <w:rFonts w:ascii="Verdana" w:eastAsia="Verdana" w:hAnsi="Verdana" w:cs="Verdana"/>
        </w:rPr>
        <w:t xml:space="preserve">que </w:t>
      </w:r>
      <w:r w:rsidRPr="009A257A">
        <w:rPr>
          <w:rFonts w:ascii="Verdana" w:eastAsia="Verdana" w:hAnsi="Verdana" w:cs="Verdana"/>
        </w:rPr>
        <w:t>el artículo 338 de la Constitución Política establece el principio de legalidad tributaria, conforme al cual, en tiempo de paz, solamente el Congreso, las asambleas departamentales y los concejos distritales y municipales pueden imponer contribuciones fiscales o parafiscales. La misma disposición exige que la ley, las ordenanzas y los acuerdos determinen directamente los sujetos activos y pasivos, los hechos y las bases gravables y las tarifas de los impuestos.</w:t>
      </w:r>
    </w:p>
    <w:p w14:paraId="08EAA93D" w14:textId="77777777" w:rsidR="00C22DB4" w:rsidRPr="009A257A" w:rsidRDefault="00C22DB4" w:rsidP="00C22DB4">
      <w:pPr>
        <w:spacing w:after="120" w:line="276" w:lineRule="auto"/>
        <w:jc w:val="both"/>
        <w:rPr>
          <w:rFonts w:ascii="Verdana" w:eastAsia="Verdana" w:hAnsi="Verdana" w:cs="Verdana"/>
        </w:rPr>
      </w:pPr>
      <w:r>
        <w:rPr>
          <w:rFonts w:ascii="Verdana" w:eastAsia="Verdana" w:hAnsi="Verdana" w:cs="Verdana"/>
        </w:rPr>
        <w:t xml:space="preserve">        </w:t>
      </w:r>
      <w:r w:rsidRPr="009A257A">
        <w:rPr>
          <w:rFonts w:ascii="Verdana" w:eastAsia="Verdana" w:hAnsi="Verdana" w:cs="Verdana"/>
        </w:rPr>
        <w:t>A su vez, el artículo 287 de la Constitución Política reconoce a las entidades territoriales autonomía para la gestión de sus intereses y, dentro de los límites de la Constitución y la ley, para administrar sus recursos y establecer los tributos necesarios para el cumplimiento de sus funciones. Esta competencia se desarrolla, para los departamentos, en el artículo 300 de la Constitución y, para los municipios y distritos, en el artículo 313.</w:t>
      </w:r>
    </w:p>
    <w:p w14:paraId="2D6B4FF8" w14:textId="77777777" w:rsidR="00C22DB4" w:rsidRPr="009A257A" w:rsidRDefault="00C22DB4" w:rsidP="00C22DB4">
      <w:pPr>
        <w:spacing w:after="120" w:line="276" w:lineRule="auto"/>
        <w:jc w:val="both"/>
        <w:rPr>
          <w:rFonts w:ascii="Verdana" w:eastAsia="Verdana" w:hAnsi="Verdana" w:cs="Verdana"/>
        </w:rPr>
      </w:pPr>
      <w:r>
        <w:rPr>
          <w:rFonts w:ascii="Verdana" w:eastAsia="Verdana" w:hAnsi="Verdana" w:cs="Verdana"/>
        </w:rPr>
        <w:t xml:space="preserve">       </w:t>
      </w:r>
      <w:r w:rsidRPr="009A257A">
        <w:rPr>
          <w:rFonts w:ascii="Verdana" w:eastAsia="Verdana" w:hAnsi="Verdana" w:cs="Verdana"/>
        </w:rPr>
        <w:t xml:space="preserve">De estas disposiciones se desprende que la potestad tributaria de las entidades territoriales no es absoluta, sino que debe ejercerse dentro del marco establecido por la Constitución y la ley. En consecuencia, las asambleas departamentales y los concejos municipales o distritales solamente pueden </w:t>
      </w:r>
      <w:r w:rsidRPr="009A257A">
        <w:rPr>
          <w:rFonts w:ascii="Verdana" w:eastAsia="Verdana" w:hAnsi="Verdana" w:cs="Verdana"/>
        </w:rPr>
        <w:lastRenderedPageBreak/>
        <w:t>adoptar las estampillas respecto de las cuales exista una autorización legal y deben establecer su regulación dentro de los límites fijados por el legislador.</w:t>
      </w:r>
    </w:p>
    <w:p w14:paraId="08E7A986" w14:textId="77777777" w:rsidR="00C22DB4" w:rsidRPr="00055B0F" w:rsidRDefault="00C22DB4" w:rsidP="00C22DB4">
      <w:pPr>
        <w:spacing w:after="120" w:line="276" w:lineRule="auto"/>
        <w:jc w:val="both"/>
        <w:rPr>
          <w:rFonts w:ascii="Verdana" w:eastAsia="Verdana" w:hAnsi="Verdana" w:cs="Verdana"/>
        </w:rPr>
      </w:pPr>
      <w:r>
        <w:rPr>
          <w:rFonts w:ascii="Verdana" w:eastAsia="Verdana" w:hAnsi="Verdana" w:cs="Verdana"/>
        </w:rPr>
        <w:tab/>
      </w:r>
      <w:r w:rsidRPr="009A257A">
        <w:rPr>
          <w:rFonts w:ascii="Verdana" w:eastAsia="Verdana" w:hAnsi="Verdana" w:cs="Verdana"/>
        </w:rPr>
        <w:t>En este sentido, las estampillas constituyen gravámenes cuya exigibilidad debe encontrarse sustentada en la correspondiente normativa y, tratándose de tributos territoriales, en la respectiva ordenanza departamental o acuerdo municipal o distrital. Dichas disposiciones deben permitir identificar los elementos necesarios para determinar la obligación tributaria, entre ellos, el hecho generador, los sujetos obligados, la base gravable, la tarifa y las condiciones de recaudo.</w:t>
      </w:r>
    </w:p>
    <w:p w14:paraId="3A5F37A5" w14:textId="77777777" w:rsidR="00C22DB4" w:rsidRPr="00055B0F" w:rsidRDefault="00C22DB4" w:rsidP="00C22DB4">
      <w:pPr>
        <w:spacing w:after="120" w:line="276" w:lineRule="auto"/>
        <w:ind w:firstLine="708"/>
        <w:jc w:val="both"/>
        <w:rPr>
          <w:rFonts w:ascii="Verdana" w:eastAsia="Times New Roman" w:hAnsi="Verdana" w:cs="Segoe UI"/>
          <w:lang w:eastAsia="es-ES_tradnl"/>
        </w:rPr>
      </w:pPr>
      <w:r w:rsidRPr="00B05697">
        <w:rPr>
          <w:rFonts w:ascii="Verdana" w:eastAsia="Times New Roman" w:hAnsi="Verdana" w:cs="Segoe UI"/>
          <w:lang w:eastAsia="es-ES_tradnl"/>
        </w:rPr>
        <w:t>Bajo este entendimiento, la procedencia del descuento dependerá de que la correspondiente ley habilitante y la ordenanza departamental o acuerdo municipal o distrital que desarrolla el tributo hayan previsto expresamente que la celebración, ejecución, pago, adición o liquidación de contratos de prestación de servicios, de obra o de cualquier otra modalidad contractual constituye hecho generador de la obligación tributaria.</w:t>
      </w:r>
      <w:r w:rsidRPr="00B05697">
        <w:rPr>
          <w:rFonts w:ascii="Verdana" w:eastAsia="Verdana" w:hAnsi="Verdana" w:cs="Verdana"/>
        </w:rPr>
        <w:t xml:space="preserve"> Sobre</w:t>
      </w:r>
      <w:r w:rsidRPr="009A257A">
        <w:rPr>
          <w:rFonts w:ascii="Verdana" w:eastAsia="Verdana" w:hAnsi="Verdana" w:cs="Verdana"/>
        </w:rPr>
        <w:t xml:space="preserve"> este particular, resulta pertinente traer a colación el criterio expuesto por la Agencia Nacional de Contratación Pública – Colombia Compra Eficiente en el Concepto C-131 del 11 de marzo de 2026, en el cual, al analizar la exigibilidad de estampillas en contratos de prestación de servicios y de obra, señaló que su procedencia depende estrictamente de las condiciones establecidas en la normativa que regula estos tributos a nivel territorial</w:t>
      </w:r>
      <w:r>
        <w:rPr>
          <w:rFonts w:ascii="Verdana" w:eastAsia="Verdana" w:hAnsi="Verdana" w:cs="Verdana"/>
        </w:rPr>
        <w:t>.</w:t>
      </w:r>
    </w:p>
    <w:p w14:paraId="71E69718" w14:textId="77777777" w:rsidR="00C22DB4" w:rsidRPr="009A257A" w:rsidRDefault="00C22DB4" w:rsidP="00C22DB4">
      <w:pPr>
        <w:spacing w:after="120" w:line="276" w:lineRule="auto"/>
        <w:ind w:firstLine="708"/>
        <w:jc w:val="both"/>
        <w:rPr>
          <w:rFonts w:ascii="Verdana" w:eastAsia="Verdana" w:hAnsi="Verdana" w:cs="Verdana"/>
        </w:rPr>
      </w:pPr>
      <w:r w:rsidRPr="009A257A">
        <w:rPr>
          <w:rFonts w:ascii="Verdana" w:eastAsia="Verdana" w:hAnsi="Verdana" w:cs="Verdana"/>
        </w:rPr>
        <w:t>En dicho concepto, la Agencia precisó que la incorporación de las estampillas al ordenamiento jurídico debe efectuarse mediante disposición legal o mediante la correspondiente ordenanza departamental o acuerdo municipal o distrital, según el caso, y que en dichas disposiciones deben establecerse las condiciones para su aplicación y los elementos propios del tributo.</w:t>
      </w:r>
    </w:p>
    <w:p w14:paraId="363F71F9" w14:textId="77777777" w:rsidR="00C22DB4" w:rsidRPr="009A257A" w:rsidRDefault="00C22DB4" w:rsidP="00C22DB4">
      <w:pPr>
        <w:spacing w:after="120" w:line="276" w:lineRule="auto"/>
        <w:ind w:firstLine="708"/>
        <w:jc w:val="both"/>
        <w:rPr>
          <w:rFonts w:ascii="Verdana" w:eastAsia="Verdana" w:hAnsi="Verdana" w:cs="Verdana"/>
        </w:rPr>
      </w:pPr>
      <w:r w:rsidRPr="009A257A">
        <w:rPr>
          <w:rFonts w:ascii="Verdana" w:eastAsia="Verdana" w:hAnsi="Verdana" w:cs="Verdana"/>
        </w:rPr>
        <w:t>Asimismo, Colombia Compra Eficiente indicó que la exigibilidad de las estampillas frente a los contratos de prestación de servicios o de obra depende particularmente de lo establecido en las respectivas normas territoriales respecto del hecho generador y de los sujetos obligados al pago, razón por la cual no existe una obligación general y automática de imponer estampillas a todos los contratos celebrados por las entidades estatales.</w:t>
      </w:r>
    </w:p>
    <w:p w14:paraId="3B0439D8" w14:textId="77777777" w:rsidR="00C22DB4" w:rsidRDefault="00C22DB4" w:rsidP="002D0185">
      <w:pPr>
        <w:spacing w:after="0" w:line="276" w:lineRule="auto"/>
        <w:ind w:firstLine="709"/>
        <w:jc w:val="both"/>
        <w:rPr>
          <w:rFonts w:ascii="Verdana" w:eastAsia="Verdana" w:hAnsi="Verdana" w:cs="Verdana"/>
        </w:rPr>
      </w:pPr>
      <w:r w:rsidRPr="009A257A">
        <w:rPr>
          <w:rFonts w:ascii="Verdana" w:eastAsia="Verdana" w:hAnsi="Verdana" w:cs="Verdana"/>
        </w:rPr>
        <w:t xml:space="preserve">De acuerdo con este criterio, la procedencia del descuento por concepto de estampillas debe verificarse caso por caso, atendiendo a la literalidad de la </w:t>
      </w:r>
      <w:r w:rsidRPr="009A257A">
        <w:rPr>
          <w:rFonts w:ascii="Verdana" w:eastAsia="Verdana" w:hAnsi="Verdana" w:cs="Verdana"/>
        </w:rPr>
        <w:lastRenderedPageBreak/>
        <w:t>ley que autoriza el tributo y de la respectiva ordenanza o acuerdo que lo desarrolla. Por tanto, la administración no podría extender mediante interpretación, analogía o aplicación general el ámbito de una estampilla a contratos o hechos que no se encuentren comprendidos dentro de su hecho generador.</w:t>
      </w:r>
    </w:p>
    <w:p w14:paraId="093E7C2A" w14:textId="77777777" w:rsidR="002D0185" w:rsidRDefault="002D0185" w:rsidP="00F32BB2">
      <w:pPr>
        <w:spacing w:after="0" w:line="276" w:lineRule="auto"/>
        <w:ind w:firstLine="709"/>
        <w:jc w:val="both"/>
        <w:rPr>
          <w:rFonts w:ascii="Verdana" w:eastAsia="Verdana" w:hAnsi="Verdana" w:cs="Verdana"/>
        </w:rPr>
      </w:pPr>
    </w:p>
    <w:p w14:paraId="2C2BEBE3" w14:textId="748F1271" w:rsidR="00C22DB4" w:rsidRPr="004C15CF" w:rsidRDefault="00C22DB4" w:rsidP="00F32BB2">
      <w:pPr>
        <w:spacing w:after="120" w:line="276" w:lineRule="auto"/>
        <w:jc w:val="both"/>
        <w:rPr>
          <w:rFonts w:ascii="Verdana" w:eastAsia="Calibri" w:hAnsi="Verdana" w:cs="Arial"/>
        </w:rPr>
      </w:pPr>
      <w:r>
        <w:rPr>
          <w:rFonts w:ascii="Verdana" w:hAnsi="Verdana" w:cs="Arial"/>
        </w:rPr>
        <w:t>i</w:t>
      </w:r>
      <w:r w:rsidRPr="004C15CF">
        <w:rPr>
          <w:rFonts w:ascii="Verdana" w:hAnsi="Verdana" w:cs="Arial"/>
        </w:rPr>
        <w:t xml:space="preserve">v. </w:t>
      </w:r>
      <w:r w:rsidRPr="004C15CF">
        <w:rPr>
          <w:rFonts w:ascii="Verdana" w:eastAsia="Calibri" w:hAnsi="Verdana" w:cs="Arial"/>
        </w:rPr>
        <w:t xml:space="preserve">Finalmente, es pertinente indicar que la Agencia Nacional de Contratación Púbica </w:t>
      </w:r>
      <w:r w:rsidR="00D907D0">
        <w:rPr>
          <w:rFonts w:ascii="Verdana" w:eastAsia="Calibri" w:hAnsi="Verdana" w:cs="Arial"/>
        </w:rPr>
        <w:t>–</w:t>
      </w:r>
      <w:r w:rsidRPr="004C15CF">
        <w:rPr>
          <w:rFonts w:ascii="Verdana" w:eastAsia="Calibri" w:hAnsi="Verdana" w:cs="Arial"/>
        </w:rPr>
        <w:t xml:space="preserv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Estatuto General de Contratación de la Administración Pública.  </w:t>
      </w:r>
    </w:p>
    <w:p w14:paraId="2C0523D4" w14:textId="77777777" w:rsidR="00C22DB4" w:rsidRDefault="00C22DB4" w:rsidP="00D907D0">
      <w:pPr>
        <w:spacing w:after="0" w:line="276" w:lineRule="auto"/>
        <w:jc w:val="both"/>
        <w:rPr>
          <w:rFonts w:ascii="Verdana" w:eastAsia="Times New Roman" w:hAnsi="Verdana" w:cs="Times New Roman"/>
          <w:lang w:eastAsia="es-ES"/>
        </w:rPr>
      </w:pPr>
      <w:r w:rsidRPr="004C15CF">
        <w:rPr>
          <w:rFonts w:ascii="Verdana" w:eastAsia="Calibri" w:hAnsi="Verdana" w:cs="Arial"/>
        </w:rPr>
        <w:tab/>
      </w:r>
      <w:r w:rsidRPr="004C15CF">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5C779717" w14:textId="77777777" w:rsidR="00D907D0" w:rsidRPr="00D907D0" w:rsidRDefault="00D907D0" w:rsidP="00F32BB2">
      <w:pPr>
        <w:spacing w:after="0" w:line="276" w:lineRule="auto"/>
        <w:jc w:val="both"/>
        <w:rPr>
          <w:rFonts w:ascii="Verdana" w:hAnsi="Verdana" w:cs="Arial"/>
        </w:rPr>
      </w:pPr>
    </w:p>
    <w:p w14:paraId="5C3C56FA" w14:textId="77777777" w:rsidR="00C22DB4" w:rsidRPr="00452D87" w:rsidRDefault="00C22DB4" w:rsidP="00C22DB4">
      <w:pPr>
        <w:spacing w:after="0" w:line="276" w:lineRule="auto"/>
        <w:jc w:val="both"/>
        <w:rPr>
          <w:rFonts w:ascii="Verdana" w:eastAsia="Century Gothic" w:hAnsi="Verdana" w:cs="Century Gothic"/>
          <w:b/>
          <w:lang w:val="es-ES"/>
        </w:rPr>
      </w:pPr>
      <w:r w:rsidRPr="00452D87">
        <w:rPr>
          <w:rFonts w:ascii="Verdana" w:eastAsia="Century Gothic" w:hAnsi="Verdana" w:cs="Century Gothic"/>
          <w:b/>
          <w:lang w:val="es-ES"/>
        </w:rPr>
        <w:t>4. Referencias normativas, jurisprudenciales y otras fuentes:</w:t>
      </w:r>
    </w:p>
    <w:p w14:paraId="11E1A24B" w14:textId="77777777" w:rsidR="00C22DB4" w:rsidRPr="00014B0F" w:rsidRDefault="00C22DB4" w:rsidP="00C22DB4">
      <w:pPr>
        <w:spacing w:after="0" w:line="276" w:lineRule="auto"/>
        <w:jc w:val="both"/>
        <w:rPr>
          <w:rFonts w:ascii="Verdana" w:eastAsia="Century Gothic" w:hAnsi="Verdana" w:cs="Century Gothic"/>
          <w:b/>
          <w:color w:val="2F5496" w:themeColor="accent1" w:themeShade="BF"/>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22DB4" w:rsidRPr="00014B0F" w14:paraId="2D45A4EB" w14:textId="77777777" w:rsidTr="007127D1">
        <w:trPr>
          <w:trHeight w:val="311"/>
        </w:trPr>
        <w:tc>
          <w:tcPr>
            <w:tcW w:w="8647" w:type="dxa"/>
          </w:tcPr>
          <w:p w14:paraId="181BD930" w14:textId="77777777" w:rsidR="00C22DB4" w:rsidRPr="00732B3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Constitución Política de Colombia. Artículos 287, 300, 313 y 338</w:t>
            </w:r>
            <w:r>
              <w:rPr>
                <w:rFonts w:ascii="Verdana" w:eastAsia="Calibri" w:hAnsi="Verdana" w:cs="Arial"/>
              </w:rPr>
              <w:t>.</w:t>
            </w:r>
          </w:p>
          <w:p w14:paraId="7F67B3EA" w14:textId="77777777" w:rsidR="00C22DB4" w:rsidRPr="00732B3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Ley 84 de 1873. Artículos 2053, 2060 y 2061</w:t>
            </w:r>
            <w:r>
              <w:rPr>
                <w:rFonts w:ascii="Verdana" w:eastAsia="Calibri" w:hAnsi="Verdana" w:cs="Arial"/>
              </w:rPr>
              <w:t>.</w:t>
            </w:r>
          </w:p>
          <w:p w14:paraId="486E2207" w14:textId="77777777" w:rsidR="00C22DB4" w:rsidRPr="00732B3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Ley 80 de 1993. Artículos 2, 32</w:t>
            </w:r>
            <w:r>
              <w:rPr>
                <w:rFonts w:ascii="Verdana" w:eastAsia="Calibri" w:hAnsi="Verdana" w:cs="Arial"/>
              </w:rPr>
              <w:t xml:space="preserve"> y </w:t>
            </w:r>
            <w:r w:rsidRPr="00732B30">
              <w:rPr>
                <w:rFonts w:ascii="Verdana" w:eastAsia="Calibri" w:hAnsi="Verdana" w:cs="Arial"/>
              </w:rPr>
              <w:t>60</w:t>
            </w:r>
            <w:r>
              <w:rPr>
                <w:rFonts w:ascii="Verdana" w:eastAsia="Calibri" w:hAnsi="Verdana" w:cs="Arial"/>
              </w:rPr>
              <w:t>.</w:t>
            </w:r>
          </w:p>
          <w:p w14:paraId="441C307F" w14:textId="77777777" w:rsidR="00C22DB4" w:rsidRPr="00732B3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Ley 1150 de 2007. Artículos 2</w:t>
            </w:r>
            <w:r>
              <w:rPr>
                <w:rFonts w:ascii="Verdana" w:eastAsia="Calibri" w:hAnsi="Verdana" w:cs="Arial"/>
              </w:rPr>
              <w:t xml:space="preserve"> y 6.</w:t>
            </w:r>
          </w:p>
          <w:p w14:paraId="087D5CB2" w14:textId="77777777" w:rsidR="00C22DB4" w:rsidRPr="00732B3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Decreto Ley 2663 de 1950. Artículo 22</w:t>
            </w:r>
            <w:r>
              <w:rPr>
                <w:rFonts w:ascii="Verdana" w:eastAsia="Calibri" w:hAnsi="Verdana" w:cs="Arial"/>
              </w:rPr>
              <w:t>.</w:t>
            </w:r>
          </w:p>
          <w:p w14:paraId="4C59C300" w14:textId="77777777" w:rsidR="00C22DB4" w:rsidRPr="00D20DF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Decreto 1068 de 2015. Artículo 2.8.4.4.5.</w:t>
            </w:r>
          </w:p>
          <w:p w14:paraId="2A9AA288" w14:textId="77777777" w:rsidR="00C22DB4" w:rsidRPr="00D20DF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Decreto 1082 de 2015. Artículos 2.2.1.2.1.4.1, 2.2.1.2.1.4.5. y 2.2.1.2.1.4.9</w:t>
            </w:r>
            <w:r>
              <w:rPr>
                <w:rFonts w:ascii="Verdana" w:eastAsia="Calibri" w:hAnsi="Verdana" w:cs="Arial"/>
              </w:rPr>
              <w:t>.</w:t>
            </w:r>
          </w:p>
          <w:p w14:paraId="0959F27B" w14:textId="77777777" w:rsidR="00C22DB4" w:rsidRPr="00D20DF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Corte Constitucional. Sentencia C-154 del 19 de marzo de 1997. M. P. Hernando Herrera Vergara.</w:t>
            </w:r>
          </w:p>
          <w:p w14:paraId="5AB81F91" w14:textId="77777777" w:rsidR="00C22DB4" w:rsidRPr="00732B3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t xml:space="preserve">Corte Constitucional. Sentencia C-768 de 23 de septiembre de 2010. M.P.: Juan Carlos Henao Pérez </w:t>
            </w:r>
          </w:p>
          <w:p w14:paraId="649FD112" w14:textId="77777777" w:rsidR="00C22DB4" w:rsidRPr="00D20DF0" w:rsidRDefault="00C22DB4" w:rsidP="00F32BB2">
            <w:pPr>
              <w:pStyle w:val="Prrafodelista"/>
              <w:numPr>
                <w:ilvl w:val="0"/>
                <w:numId w:val="16"/>
              </w:numPr>
              <w:spacing w:line="276" w:lineRule="auto"/>
              <w:ind w:left="720"/>
              <w:contextualSpacing w:val="0"/>
              <w:jc w:val="both"/>
              <w:rPr>
                <w:rFonts w:ascii="Verdana" w:eastAsia="Calibri" w:hAnsi="Verdana" w:cs="Arial"/>
              </w:rPr>
            </w:pPr>
            <w:r w:rsidRPr="00732B30">
              <w:rPr>
                <w:rFonts w:ascii="Verdana" w:eastAsia="Calibri" w:hAnsi="Verdana" w:cs="Arial"/>
              </w:rPr>
              <w:lastRenderedPageBreak/>
              <w:t>Consejo de Estado. Sala de lo Contencioso Administrativo. Sección Tercera. Subsección C. Sentencia del 2 de diciembre de 2013. Exp. 41719. Consejero Ponente: Jaime Orlando Santofimio Gamboa.</w:t>
            </w:r>
          </w:p>
          <w:p w14:paraId="62247FBF" w14:textId="77777777" w:rsidR="00C22DB4" w:rsidRPr="00014B0F" w:rsidRDefault="00C22DB4" w:rsidP="00F32BB2">
            <w:pPr>
              <w:pStyle w:val="Prrafodelista"/>
              <w:numPr>
                <w:ilvl w:val="0"/>
                <w:numId w:val="16"/>
              </w:numPr>
              <w:spacing w:line="276" w:lineRule="auto"/>
              <w:ind w:left="738" w:hanging="284"/>
              <w:contextualSpacing w:val="0"/>
              <w:jc w:val="both"/>
              <w:rPr>
                <w:rFonts w:ascii="Verdana" w:eastAsia="Calibri" w:hAnsi="Verdana" w:cs="Arial"/>
                <w:color w:val="2F5496" w:themeColor="accent1" w:themeShade="BF"/>
              </w:rPr>
            </w:pPr>
            <w:r w:rsidRPr="00732B30">
              <w:rPr>
                <w:rFonts w:ascii="Verdana" w:eastAsia="Calibri" w:hAnsi="Verdana" w:cs="Arial"/>
                <w:lang w:val="es-CO"/>
              </w:rPr>
              <w:t>Consejo de Estado. Sala de Consulta y Servicio Civil. Concepto del 5 de septiembre de 2018. Rad. 2.386. C.P. Edgar González López.</w:t>
            </w:r>
            <w:r w:rsidRPr="00732B30">
              <w:rPr>
                <w:rFonts w:ascii="Verdana" w:eastAsia="Calibri" w:hAnsi="Verdana" w:cs="Arial"/>
              </w:rPr>
              <w:t xml:space="preserve"> </w:t>
            </w:r>
          </w:p>
        </w:tc>
      </w:tr>
    </w:tbl>
    <w:p w14:paraId="1CF7A9D6" w14:textId="77777777" w:rsidR="00D907D0" w:rsidRDefault="00D907D0" w:rsidP="00D907D0">
      <w:pPr>
        <w:tabs>
          <w:tab w:val="left" w:pos="142"/>
          <w:tab w:val="left" w:pos="284"/>
        </w:tabs>
        <w:spacing w:after="0" w:line="276" w:lineRule="auto"/>
        <w:jc w:val="both"/>
        <w:rPr>
          <w:rFonts w:ascii="Verdana" w:eastAsia="Century Gothic" w:hAnsi="Verdana" w:cs="Century Gothic"/>
          <w:b/>
          <w:lang w:val="es-ES"/>
        </w:rPr>
      </w:pPr>
    </w:p>
    <w:p w14:paraId="63D49FBD" w14:textId="57C4337A" w:rsidR="00C22DB4" w:rsidRPr="00452D87" w:rsidRDefault="00C22DB4" w:rsidP="00C22DB4">
      <w:pPr>
        <w:tabs>
          <w:tab w:val="left" w:pos="142"/>
          <w:tab w:val="left" w:pos="284"/>
        </w:tabs>
        <w:spacing w:after="0" w:line="276" w:lineRule="auto"/>
        <w:jc w:val="both"/>
        <w:rPr>
          <w:rFonts w:ascii="Verdana" w:eastAsia="Century Gothic" w:hAnsi="Verdana" w:cs="Century Gothic"/>
          <w:b/>
          <w:lang w:val="es-ES"/>
        </w:rPr>
      </w:pPr>
      <w:r w:rsidRPr="00452D87">
        <w:rPr>
          <w:rFonts w:ascii="Verdana" w:eastAsia="Century Gothic" w:hAnsi="Verdana" w:cs="Century Gothic"/>
          <w:b/>
          <w:lang w:val="es-ES"/>
        </w:rPr>
        <w:t>5. Doctrina de la Agencia Nacional de Contratación Pública:</w:t>
      </w:r>
    </w:p>
    <w:p w14:paraId="6F0103BA" w14:textId="77777777" w:rsidR="00C22DB4" w:rsidRPr="00014B0F" w:rsidRDefault="00C22DB4" w:rsidP="00C22DB4">
      <w:pPr>
        <w:spacing w:after="0" w:line="276" w:lineRule="auto"/>
        <w:jc w:val="both"/>
        <w:rPr>
          <w:rFonts w:ascii="Verdana" w:eastAsia="Calibri" w:hAnsi="Verdana" w:cs="Arial"/>
          <w:color w:val="2F5496" w:themeColor="accent1" w:themeShade="BF"/>
          <w:lang w:val="es-ES"/>
        </w:rPr>
      </w:pPr>
    </w:p>
    <w:p w14:paraId="14F8F042" w14:textId="77777777" w:rsidR="00C22DB4" w:rsidRPr="00C82469" w:rsidRDefault="00C22DB4" w:rsidP="00D907D0">
      <w:pPr>
        <w:spacing w:after="0" w:line="276" w:lineRule="auto"/>
        <w:jc w:val="both"/>
        <w:rPr>
          <w:rFonts w:ascii="Verdana" w:hAnsi="Verdana" w:cs="Arial"/>
          <w:shd w:val="clear" w:color="auto" w:fill="FFFFFF"/>
          <w:lang w:val="es-ES"/>
        </w:rPr>
      </w:pPr>
      <w:r w:rsidRPr="00C82469">
        <w:rPr>
          <w:rFonts w:ascii="Verdana" w:eastAsia="Calibri" w:hAnsi="Verdana" w:cs="Arial"/>
          <w:lang w:val="es-ES"/>
        </w:rPr>
        <w:t xml:space="preserve">La Agencia Nacional de Contratación Pública – Colombia Compra Eficiente se ha referido </w:t>
      </w:r>
      <w:r w:rsidRPr="00C82469">
        <w:rPr>
          <w:rFonts w:ascii="Verdana" w:hAnsi="Verdana" w:cs="Arial"/>
          <w:shd w:val="clear" w:color="auto" w:fill="FFFFFF"/>
          <w:lang w:val="es-ES"/>
        </w:rPr>
        <w:t>sobre las generalidades del contrato de prestación de servicios en los conceptos, C-009 del 20 de febrero de 2023, C-351 del 30 de agosto de 2024, C-372 del 26 de agosto 2024, C-904 del 9 de diciembre de 2024, C-754 del 4 de diciembre de 2024, C-363 del 15 de abril de 2025</w:t>
      </w:r>
      <w:r w:rsidRPr="00C82469">
        <w:rPr>
          <w:rFonts w:ascii="Verdana" w:hAnsi="Verdana" w:cs="Arial"/>
          <w:lang w:val="es-ES"/>
        </w:rPr>
        <w:t xml:space="preserve">, C-441 del 16 de mayo de 2025, C-517 del 27 de mayo de 2025, C- 578 del 24 de junio del 2025, </w:t>
      </w:r>
      <w:r w:rsidRPr="00C82469">
        <w:rPr>
          <w:rFonts w:ascii="Verdana" w:hAnsi="Verdana" w:cs="Arial"/>
          <w:shd w:val="clear" w:color="auto" w:fill="FFFFFF"/>
          <w:lang w:val="es-ES"/>
        </w:rPr>
        <w:t>C-115 del 6 de febrero de 2026, C-613 del 26 de mayo de 2026, C-678 del 04 de junio de 2026, C-819 del 26 de junio de 2026, C-762 del 10 de julio de 2026, C-977 del 28 de julio de 2026, C-1091 del 18 de agosto de 2026, C-1129 del 26 de agosto de 2026, C-1319 del 17 de septiembre de 2026, C-1265 del 21 de septiembre de 2026, C-1287 del 22 de septiembre de 2026, entre otros.</w:t>
      </w:r>
    </w:p>
    <w:p w14:paraId="5334368C" w14:textId="77777777" w:rsidR="00D907D0" w:rsidRPr="00D907D0" w:rsidRDefault="00D907D0" w:rsidP="00F32BB2">
      <w:pPr>
        <w:spacing w:after="0" w:line="276" w:lineRule="auto"/>
        <w:jc w:val="both"/>
        <w:rPr>
          <w:rFonts w:ascii="Verdana" w:hAnsi="Verdana" w:cs="Arial"/>
          <w:shd w:val="clear" w:color="auto" w:fill="FFFFFF"/>
          <w:lang w:val="es-ES"/>
        </w:rPr>
      </w:pPr>
    </w:p>
    <w:p w14:paraId="2D25C6DB" w14:textId="77777777" w:rsidR="00C22DB4" w:rsidRPr="00C82469" w:rsidRDefault="00C22DB4" w:rsidP="00D907D0">
      <w:pPr>
        <w:spacing w:after="0" w:line="276" w:lineRule="auto"/>
        <w:jc w:val="both"/>
        <w:rPr>
          <w:rFonts w:ascii="Verdana" w:hAnsi="Verdana" w:cs="Arial"/>
          <w:shd w:val="clear" w:color="auto" w:fill="FFFFFF"/>
          <w:lang w:val="es-ES"/>
        </w:rPr>
      </w:pPr>
      <w:r w:rsidRPr="00C82469">
        <w:rPr>
          <w:rStyle w:val="normaltextrun"/>
          <w:rFonts w:ascii="Verdana" w:hAnsi="Verdana" w:cs="Arial"/>
          <w:shd w:val="clear" w:color="auto" w:fill="FFFFFF"/>
          <w:lang w:val="es-ES"/>
        </w:rPr>
        <w:t xml:space="preserve">Así mismo, se ha pronunciado sobre el objeto y las características del contrato de obra pública en los conceptos con radicado 4201913000008014 del 24 de diciembre del año 2019, C-530 del 13 de agosto de 2020, C-038 del 5 de abril de 2021, </w:t>
      </w:r>
      <w:r w:rsidRPr="00C82469">
        <w:rPr>
          <w:rFonts w:ascii="Verdana" w:hAnsi="Verdana" w:cs="Arial"/>
          <w:shd w:val="clear" w:color="auto" w:fill="FFFFFF"/>
          <w:lang w:val="es-ES"/>
        </w:rPr>
        <w:t>C-302 del 08 de agosto de 2024, C-1554 del 03 de diciembre de 2025. Finalmente</w:t>
      </w:r>
      <w:r w:rsidRPr="00C82469">
        <w:rPr>
          <w:rFonts w:ascii="Verdana" w:hAnsi="Verdana" w:cs="Arial"/>
          <w:shd w:val="clear" w:color="auto" w:fill="FFFFFF"/>
        </w:rPr>
        <w:t xml:space="preserve">, sobre la aplicación de estampillas en los conceptos con radicado </w:t>
      </w:r>
      <w:r>
        <w:rPr>
          <w:rFonts w:ascii="Verdana" w:hAnsi="Verdana" w:cs="Arial"/>
          <w:shd w:val="clear" w:color="auto" w:fill="FFFFFF"/>
        </w:rPr>
        <w:t xml:space="preserve">C-091 del 06 de junio de 2024, C-109 del 06 de agosto de 2024, </w:t>
      </w:r>
      <w:r w:rsidRPr="00C82469">
        <w:rPr>
          <w:rFonts w:ascii="Verdana" w:hAnsi="Verdana" w:cs="Arial"/>
          <w:shd w:val="clear" w:color="auto" w:fill="FFFFFF"/>
        </w:rPr>
        <w:t>C-1375 del 31 de octubre de 2025, C-131 del 11 de marzo de 2026,</w:t>
      </w:r>
      <w:r>
        <w:rPr>
          <w:rFonts w:ascii="Verdana" w:hAnsi="Verdana" w:cs="Arial"/>
          <w:shd w:val="clear" w:color="auto" w:fill="FFFFFF"/>
        </w:rPr>
        <w:t xml:space="preserve"> C-963 del 07 de julio de 2026 y C-1287 del 22 de septiembre de 2026,</w:t>
      </w:r>
      <w:r w:rsidRPr="00C82469">
        <w:rPr>
          <w:rFonts w:ascii="Verdana" w:hAnsi="Verdana" w:cs="Arial"/>
          <w:shd w:val="clear" w:color="auto" w:fill="FFFFFF"/>
        </w:rPr>
        <w:t xml:space="preserve"> entre otros</w:t>
      </w:r>
      <w:r w:rsidRPr="00C82469">
        <w:rPr>
          <w:rFonts w:ascii="Verdana" w:hAnsi="Verdana" w:cs="Arial"/>
          <w:shd w:val="clear" w:color="auto" w:fill="FFFFFF"/>
          <w:lang w:val="es-ES"/>
        </w:rPr>
        <w:t>.</w:t>
      </w:r>
    </w:p>
    <w:p w14:paraId="102DA435" w14:textId="77777777" w:rsidR="00D907D0" w:rsidRPr="00D907D0" w:rsidRDefault="00D907D0" w:rsidP="00F32BB2">
      <w:pPr>
        <w:spacing w:after="0" w:line="276" w:lineRule="auto"/>
        <w:jc w:val="both"/>
        <w:rPr>
          <w:rFonts w:ascii="Verdana" w:hAnsi="Verdana" w:cs="Arial"/>
          <w:shd w:val="clear" w:color="auto" w:fill="FFFFFF"/>
          <w:lang w:val="es-ES"/>
        </w:rPr>
      </w:pPr>
    </w:p>
    <w:p w14:paraId="1D4A7FD9" w14:textId="77777777" w:rsidR="00C22DB4" w:rsidRDefault="00C22DB4" w:rsidP="00D907D0">
      <w:pPr>
        <w:widowControl w:val="0"/>
        <w:autoSpaceDE w:val="0"/>
        <w:autoSpaceDN w:val="0"/>
        <w:spacing w:after="0" w:line="276" w:lineRule="auto"/>
        <w:jc w:val="both"/>
        <w:rPr>
          <w:rFonts w:ascii="Verdana" w:hAnsi="Verdana" w:cs="Arial"/>
          <w:color w:val="EE0000"/>
          <w:u w:val="single"/>
          <w:shd w:val="clear" w:color="auto" w:fill="FFFFFF"/>
          <w:lang w:val="es-ES"/>
        </w:rPr>
      </w:pPr>
      <w:r w:rsidRPr="00EF3E79">
        <w:rPr>
          <w:rFonts w:ascii="Verdana" w:hAnsi="Verdana" w:cs="Arial"/>
          <w:shd w:val="clear" w:color="auto" w:fill="FFFFFF"/>
          <w:lang w:val="es-ES"/>
        </w:rPr>
        <w:t>Estos</w:t>
      </w:r>
      <w:r w:rsidRPr="00EF3E79">
        <w:rPr>
          <w:rFonts w:ascii="Verdana" w:hAnsi="Verdana"/>
          <w:lang w:val="es-ES"/>
        </w:rPr>
        <w:t xml:space="preserve"> y otros se encuentran disponibles para consulta en el Sistema de relatoría de la Agencia, al cual se puede acceder a través del siguiente enlace:</w:t>
      </w:r>
      <w:r w:rsidRPr="00EF3E79">
        <w:rPr>
          <w:rFonts w:ascii="Verdana" w:hAnsi="Verdana" w:cs="Arial"/>
          <w:shd w:val="clear" w:color="auto" w:fill="FFFFFF"/>
          <w:lang w:val="es-ES"/>
        </w:rPr>
        <w:t xml:space="preserve"> </w:t>
      </w:r>
      <w:hyperlink r:id="rId12" w:history="1">
        <w:r w:rsidRPr="00DD0A97">
          <w:rPr>
            <w:rStyle w:val="Hipervnculo"/>
            <w:rFonts w:ascii="Verdana" w:hAnsi="Verdana" w:cs="Arial"/>
            <w:shd w:val="clear" w:color="auto" w:fill="FFFFFF"/>
            <w:lang w:val="es-ES"/>
          </w:rPr>
          <w:t>https://relatoria.colombiacompra.gov.co/busqueda/conceptos</w:t>
        </w:r>
      </w:hyperlink>
      <w:r>
        <w:rPr>
          <w:rFonts w:ascii="Verdana" w:hAnsi="Verdana" w:cs="Arial"/>
          <w:color w:val="EE0000"/>
          <w:u w:val="single"/>
          <w:shd w:val="clear" w:color="auto" w:fill="FFFFFF"/>
          <w:lang w:val="es-ES"/>
        </w:rPr>
        <w:t xml:space="preserve"> </w:t>
      </w:r>
    </w:p>
    <w:p w14:paraId="21EFAC3E" w14:textId="77777777" w:rsidR="00D907D0" w:rsidRPr="00D907D0" w:rsidRDefault="00D907D0" w:rsidP="00F32BB2">
      <w:pPr>
        <w:widowControl w:val="0"/>
        <w:autoSpaceDE w:val="0"/>
        <w:autoSpaceDN w:val="0"/>
        <w:spacing w:after="0" w:line="276" w:lineRule="auto"/>
        <w:jc w:val="both"/>
        <w:rPr>
          <w:rFonts w:ascii="Verdana" w:hAnsi="Verdana" w:cs="Arial"/>
          <w:color w:val="EE0000"/>
          <w:u w:val="single"/>
          <w:shd w:val="clear" w:color="auto" w:fill="FFFFFF"/>
          <w:lang w:val="es-ES"/>
        </w:rPr>
      </w:pPr>
    </w:p>
    <w:p w14:paraId="4E177BD3" w14:textId="77777777" w:rsidR="00C22DB4" w:rsidRDefault="00C22DB4" w:rsidP="00D907D0">
      <w:pPr>
        <w:widowControl w:val="0"/>
        <w:autoSpaceDE w:val="0"/>
        <w:autoSpaceDN w:val="0"/>
        <w:spacing w:after="0" w:line="276" w:lineRule="auto"/>
        <w:jc w:val="both"/>
        <w:rPr>
          <w:rFonts w:ascii="Verdana" w:hAnsi="Verdana"/>
        </w:rPr>
      </w:pPr>
      <w:r w:rsidRPr="00EF3E79">
        <w:rPr>
          <w:rFonts w:ascii="Verdana" w:hAnsi="Verdana"/>
        </w:rPr>
        <w:t xml:space="preserve">Las garantías no son un requisito formal: son el instrumento con el que se protege el patrimonio público frente a los riesgos del contrato. Por ello, la Agencia Nacional de Contratación Pública –Colombia Compra Eficiente– te invita </w:t>
      </w:r>
      <w:r w:rsidRPr="00EF3E79">
        <w:rPr>
          <w:rFonts w:ascii="Verdana" w:hAnsi="Verdana"/>
        </w:rPr>
        <w:lastRenderedPageBreak/>
        <w:t>a consultar la nueva versión de la </w:t>
      </w:r>
      <w:r w:rsidRPr="00EF3E79">
        <w:rPr>
          <w:rFonts w:ascii="Verdana" w:hAnsi="Verdana"/>
          <w:b/>
          <w:bCs/>
        </w:rPr>
        <w:t>Guía para la Exigencia y Constitución de Garantías en los Procesos de Contratación</w:t>
      </w:r>
      <w:r w:rsidRPr="00EF3E7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EF3E79">
        <w:rPr>
          <w:rFonts w:ascii="Verdana" w:hAnsi="Verdana"/>
          <w:color w:val="EE0000"/>
        </w:rPr>
        <w:t> </w:t>
      </w:r>
      <w:hyperlink r:id="rId13" w:tgtFrame="_blank" w:tooltip="Dirección URL original: https://www.colombiacompra.gov.co/archivos/manual/guia-de-garantias-en-procesos-de-contratacion. Haga clic o pulse si confía en este vínculo." w:history="1">
        <w:r w:rsidRPr="00EF3E79">
          <w:rPr>
            <w:rStyle w:val="Hipervnculo"/>
            <w:rFonts w:ascii="Verdana" w:hAnsi="Verdana"/>
          </w:rPr>
          <w:t>https://www.colombiacompra.gov.co/archivos/manual/guia-de-garantias-en-procesos-de-contratacion</w:t>
        </w:r>
      </w:hyperlink>
    </w:p>
    <w:p w14:paraId="0C554FD1" w14:textId="77777777" w:rsidR="00D907D0" w:rsidRPr="00D907D0" w:rsidRDefault="00D907D0" w:rsidP="00F32BB2">
      <w:pPr>
        <w:widowControl w:val="0"/>
        <w:autoSpaceDE w:val="0"/>
        <w:autoSpaceDN w:val="0"/>
        <w:spacing w:after="0" w:line="276" w:lineRule="auto"/>
        <w:jc w:val="both"/>
        <w:rPr>
          <w:rFonts w:ascii="Verdana" w:hAnsi="Verdana"/>
          <w:color w:val="EE0000"/>
        </w:rPr>
      </w:pPr>
    </w:p>
    <w:p w14:paraId="75F63F3E" w14:textId="77777777" w:rsidR="00C22DB4" w:rsidRPr="00EF3E79" w:rsidRDefault="00C22DB4" w:rsidP="00C22DB4">
      <w:pPr>
        <w:spacing w:after="0" w:line="276" w:lineRule="auto"/>
        <w:jc w:val="both"/>
        <w:rPr>
          <w:rFonts w:ascii="Verdana" w:hAnsi="Verdana"/>
          <w:color w:val="EE0000"/>
        </w:rPr>
      </w:pPr>
      <w:r w:rsidRPr="00EF3E79">
        <w:rPr>
          <w:rFonts w:ascii="Verdana" w:hAnsi="Verdana"/>
        </w:rPr>
        <w:t>De otro lado, te contamos que el Decreto 287 del 19 de marzo de 2026 sustituyó los artículos 2.2.1.2.4.2.6., 2.2.1.2.4.2.7. y 2.2.1.2.4.2.8. del Decreto 1082 de 2015 y estructuró el </w:t>
      </w:r>
      <w:r w:rsidRPr="00EF3E79">
        <w:rPr>
          <w:rFonts w:ascii="Verdana" w:hAnsi="Verdana"/>
          <w:b/>
          <w:bCs/>
        </w:rPr>
        <w:t>Sistema Integral de Preferencias en favor de las personas con discapacidad</w:t>
      </w:r>
      <w:r w:rsidRPr="00EF3E79">
        <w:rPr>
          <w:rFonts w:ascii="Verdana" w:hAnsi="Verdana"/>
        </w:rPr>
        <w:t>, en cumplimiento del artículo 13 de la Ley Estatutaria 1618 de 2013. Para orientar su aplicación, esta Agencia expidió la </w:t>
      </w:r>
      <w:r w:rsidRPr="00EF3E79">
        <w:rPr>
          <w:rFonts w:ascii="Verdana" w:hAnsi="Verdana"/>
          <w:b/>
          <w:bCs/>
        </w:rPr>
        <w:t>Circular Externa 003 del 12 de mayo de 2026, </w:t>
      </w:r>
      <w:r w:rsidRPr="00EF3E7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EF3E79">
        <w:rPr>
          <w:rFonts w:ascii="Verdana" w:hAnsi="Verdana"/>
          <w:color w:val="EE0000"/>
        </w:rPr>
        <w:t> </w:t>
      </w:r>
      <w:hyperlink r:id="rId14" w:tgtFrame="_blank" w:tooltip="Dirección URL original: https://www.colombiacompra.gov.co/archivos/circular/circular-externa-003-de-2026. Haga clic o pulse si confía en este vínculo." w:history="1">
        <w:r w:rsidRPr="00EF3E79">
          <w:rPr>
            <w:rStyle w:val="Hipervnculo"/>
            <w:rFonts w:ascii="Verdana" w:hAnsi="Verdana"/>
          </w:rPr>
          <w:t>https://www.colombiacompra.gov.co/archivos/circular/circular-externa-003-de-2026</w:t>
        </w:r>
      </w:hyperlink>
    </w:p>
    <w:p w14:paraId="02E51574" w14:textId="77777777" w:rsidR="00C22DB4" w:rsidRPr="00EF3E79" w:rsidRDefault="00C22DB4" w:rsidP="00C22DB4">
      <w:pPr>
        <w:spacing w:after="0" w:line="276" w:lineRule="auto"/>
        <w:jc w:val="both"/>
        <w:rPr>
          <w:rFonts w:ascii="Verdana" w:hAnsi="Verdana"/>
          <w:color w:val="EE0000"/>
        </w:rPr>
      </w:pPr>
    </w:p>
    <w:p w14:paraId="2974B438" w14:textId="77777777" w:rsidR="00C22DB4" w:rsidRPr="00EF3E79" w:rsidRDefault="00C22DB4" w:rsidP="00C22DB4">
      <w:pPr>
        <w:spacing w:after="0" w:line="276" w:lineRule="auto"/>
        <w:jc w:val="both"/>
        <w:rPr>
          <w:rFonts w:ascii="Verdana" w:hAnsi="Verdana"/>
          <w:color w:val="EE0000"/>
        </w:rPr>
      </w:pPr>
      <w:r w:rsidRPr="00EF3E79">
        <w:rPr>
          <w:rFonts w:ascii="Verdana" w:hAnsi="Verdana"/>
        </w:rPr>
        <w:t>Recuerda también que la</w:t>
      </w:r>
      <w:r w:rsidRPr="00EF3E79">
        <w:rPr>
          <w:rFonts w:ascii="Verdana" w:hAnsi="Verdana"/>
          <w:b/>
          <w:bCs/>
        </w:rPr>
        <w:t> información sobre sanciones e inhabilidades </w:t>
      </w:r>
      <w:r w:rsidRPr="00EF3E79">
        <w:rPr>
          <w:rFonts w:ascii="Verdana" w:hAnsi="Verdana"/>
        </w:rPr>
        <w:t>solo cumple su función preventiva si llega oportunamente a los registros públicos. Sobre este deber, esta Agencia expidió la </w:t>
      </w:r>
      <w:r w:rsidRPr="00EF3E79">
        <w:rPr>
          <w:rFonts w:ascii="Verdana" w:hAnsi="Verdana"/>
          <w:b/>
          <w:bCs/>
        </w:rPr>
        <w:t>Circular Externa 002 del 5 de mayo de 2026,</w:t>
      </w:r>
      <w:r w:rsidRPr="00EF3E7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EF3E79">
          <w:rPr>
            <w:rStyle w:val="Hipervnculo"/>
            <w:rFonts w:ascii="Verdana" w:hAnsi="Verdana"/>
          </w:rPr>
          <w:t>https://www.colombiacompra.gov.co/archivos/circular/circular-externa-002-de-2026</w:t>
        </w:r>
      </w:hyperlink>
    </w:p>
    <w:p w14:paraId="7D32A135" w14:textId="77777777" w:rsidR="00C22DB4" w:rsidRPr="00EF3E79" w:rsidRDefault="00C22DB4" w:rsidP="00C22DB4">
      <w:pPr>
        <w:spacing w:after="0" w:line="276" w:lineRule="auto"/>
        <w:jc w:val="both"/>
        <w:rPr>
          <w:rFonts w:ascii="Verdana" w:hAnsi="Verdana"/>
          <w:color w:val="EE0000"/>
        </w:rPr>
      </w:pPr>
    </w:p>
    <w:p w14:paraId="1A5F6F6F" w14:textId="77777777" w:rsidR="00C22DB4" w:rsidRPr="00EF3E79" w:rsidRDefault="00C22DB4" w:rsidP="00C22DB4">
      <w:pPr>
        <w:spacing w:after="0" w:line="276" w:lineRule="auto"/>
        <w:jc w:val="both"/>
        <w:rPr>
          <w:rFonts w:ascii="Verdana" w:hAnsi="Verdana"/>
          <w:color w:val="EE0000"/>
        </w:rPr>
      </w:pPr>
      <w:r w:rsidRPr="00EF3E79">
        <w:rPr>
          <w:rFonts w:ascii="Verdana" w:hAnsi="Verdana"/>
        </w:rPr>
        <w:t>Finalmente, si quieres seguir de cerca la actividad de la Agencia, la tercera edición de 2026 del</w:t>
      </w:r>
      <w:r w:rsidRPr="00EF3E79">
        <w:rPr>
          <w:rFonts w:ascii="Verdana" w:hAnsi="Verdana"/>
          <w:b/>
          <w:bCs/>
        </w:rPr>
        <w:t> Radar de la Compra Pública</w:t>
      </w:r>
      <w:r w:rsidRPr="00EF3E79">
        <w:rPr>
          <w:rFonts w:ascii="Verdana" w:hAnsi="Verdana"/>
        </w:rPr>
        <w:t xml:space="preserve"> reúne, entre otros contenidos, la Circular Externa 003 de 2026, el Decreto 552 de 2026, un estudio </w:t>
      </w:r>
      <w:r w:rsidRPr="00EF3E79">
        <w:rPr>
          <w:rFonts w:ascii="Verdana" w:hAnsi="Verdana"/>
        </w:rPr>
        <w:lastRenderedPageBreak/>
        <w:t>sobre inteligencia artificial en la compra pública, los avances de la Relatoría, análisis jurisprudencial, conceptos jurídicos destacados y la oferta de la Escuela Virtual ANCP-CCE. Descárgalo aquí:</w:t>
      </w:r>
      <w:r w:rsidRPr="00EF3E79">
        <w:rPr>
          <w:rFonts w:ascii="Verdana" w:hAnsi="Verdana"/>
          <w:color w:val="EE0000"/>
        </w:rPr>
        <w:t> </w:t>
      </w:r>
      <w:hyperlink r:id="rId16" w:tgtFrame="_blank" w:tooltip="Dirección URL original: https://www.colombiacompra.gov.co/archivos/boletin/boletin-edicion-n-3-de-2026-radar-de-la-compra-publica. Haga clic o pulse si confía en este vínculo." w:history="1">
        <w:r w:rsidRPr="00EF3E79">
          <w:rPr>
            <w:rStyle w:val="Hipervnculo"/>
            <w:rFonts w:ascii="Verdana" w:hAnsi="Verdana"/>
          </w:rPr>
          <w:t>https://www.colombiacompra.gov.co/archivos/boletin/boletin-edicion-n-3-de-2026-radar-de-la-compra-publica</w:t>
        </w:r>
      </w:hyperlink>
    </w:p>
    <w:p w14:paraId="5A42AE7E" w14:textId="77777777" w:rsidR="00C22DB4" w:rsidRPr="00EF3E79" w:rsidRDefault="00C22DB4" w:rsidP="00C22DB4">
      <w:pPr>
        <w:spacing w:after="0" w:line="276" w:lineRule="auto"/>
        <w:jc w:val="both"/>
        <w:rPr>
          <w:rFonts w:ascii="Verdana" w:hAnsi="Verdana" w:cs="Arial"/>
          <w:shd w:val="clear" w:color="auto" w:fill="FFFFFF"/>
        </w:rPr>
      </w:pPr>
    </w:p>
    <w:p w14:paraId="4B2D0851" w14:textId="77777777" w:rsidR="00C22DB4" w:rsidRPr="00EF3E79" w:rsidRDefault="00C22DB4" w:rsidP="00C22DB4">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Por último, lo invitamos a seguirnos en las redes sociales en las cuales se difunde información institucional: </w:t>
      </w:r>
    </w:p>
    <w:p w14:paraId="19A4DE86" w14:textId="77777777" w:rsidR="00C22DB4" w:rsidRPr="00EF3E79" w:rsidRDefault="00C22DB4" w:rsidP="00C22DB4">
      <w:pPr>
        <w:spacing w:after="0" w:line="276" w:lineRule="auto"/>
        <w:jc w:val="both"/>
        <w:rPr>
          <w:rFonts w:ascii="Verdana" w:hAnsi="Verdana" w:cs="Arial"/>
          <w:shd w:val="clear" w:color="auto" w:fill="FFFFFF"/>
        </w:rPr>
      </w:pPr>
    </w:p>
    <w:p w14:paraId="64F97F03" w14:textId="77777777" w:rsidR="00C22DB4" w:rsidRPr="00EF3E79" w:rsidRDefault="00C22DB4" w:rsidP="00C22DB4">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Twitter: </w:t>
      </w:r>
      <w:r w:rsidRPr="00EF3E79">
        <w:rPr>
          <w:rStyle w:val="Hipervnculo"/>
          <w:rFonts w:ascii="Verdana" w:hAnsi="Verdana"/>
        </w:rPr>
        <w:t>@colombiacompra</w:t>
      </w:r>
      <w:r w:rsidRPr="00EF3E79">
        <w:rPr>
          <w:rFonts w:ascii="Verdana" w:hAnsi="Verdana" w:cs="Arial"/>
          <w:shd w:val="clear" w:color="auto" w:fill="FFFFFF"/>
        </w:rPr>
        <w:t xml:space="preserve"> </w:t>
      </w:r>
    </w:p>
    <w:p w14:paraId="528A891B" w14:textId="77777777" w:rsidR="00C22DB4" w:rsidRPr="00EF3E79" w:rsidRDefault="00C22DB4" w:rsidP="00C22DB4">
      <w:pPr>
        <w:spacing w:after="0" w:line="276" w:lineRule="auto"/>
        <w:jc w:val="both"/>
        <w:rPr>
          <w:rFonts w:ascii="Verdana" w:hAnsi="Verdana" w:cs="Arial"/>
          <w:shd w:val="clear" w:color="auto" w:fill="FFFFFF"/>
        </w:rPr>
      </w:pPr>
      <w:r w:rsidRPr="00EF3E79">
        <w:rPr>
          <w:rFonts w:ascii="Verdana" w:hAnsi="Verdana" w:cs="Arial"/>
          <w:shd w:val="clear" w:color="auto" w:fill="FFFFFF"/>
        </w:rPr>
        <w:t>Facebook:</w:t>
      </w:r>
      <w:r w:rsidRPr="00EF3E79">
        <w:rPr>
          <w:rStyle w:val="Hipervnculo"/>
          <w:rFonts w:ascii="Verdana" w:hAnsi="Verdana"/>
          <w:color w:val="auto"/>
          <w:lang w:val="es-ES"/>
        </w:rPr>
        <w:t xml:space="preserve"> </w:t>
      </w:r>
      <w:r w:rsidRPr="00EF3E79">
        <w:rPr>
          <w:rStyle w:val="Hipervnculo"/>
          <w:rFonts w:ascii="Verdana" w:hAnsi="Verdana"/>
        </w:rPr>
        <w:t>ColombiaCompraEficiente</w:t>
      </w:r>
    </w:p>
    <w:p w14:paraId="27BAA3AE" w14:textId="77777777" w:rsidR="00C22DB4" w:rsidRPr="00EF3E79" w:rsidRDefault="00C22DB4" w:rsidP="00C22DB4">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LinkedIn: </w:t>
      </w:r>
      <w:r w:rsidRPr="00EF3E79">
        <w:rPr>
          <w:rStyle w:val="Hipervnculo"/>
          <w:rFonts w:ascii="Verdana" w:hAnsi="Verdana"/>
        </w:rPr>
        <w:t>Agencia Nacional de Contratación Pública - Colombia Compra Eficiente</w:t>
      </w:r>
      <w:r w:rsidRPr="00EF3E79">
        <w:rPr>
          <w:rFonts w:ascii="Verdana" w:hAnsi="Verdana" w:cs="Arial"/>
          <w:shd w:val="clear" w:color="auto" w:fill="FFFFFF"/>
        </w:rPr>
        <w:t xml:space="preserve"> </w:t>
      </w:r>
    </w:p>
    <w:p w14:paraId="3E262001" w14:textId="77777777" w:rsidR="00C22DB4" w:rsidRPr="00EF3E79" w:rsidRDefault="00C22DB4" w:rsidP="00C22DB4">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Instagram: </w:t>
      </w:r>
      <w:r w:rsidRPr="00EF3E79">
        <w:rPr>
          <w:rStyle w:val="Hipervnculo"/>
          <w:rFonts w:ascii="Verdana" w:hAnsi="Verdana"/>
        </w:rPr>
        <w:t>@colombiacompraeficiente_cce</w:t>
      </w:r>
    </w:p>
    <w:p w14:paraId="57A69F61" w14:textId="77777777" w:rsidR="00C22DB4" w:rsidRPr="00EF3E79" w:rsidRDefault="00C22DB4" w:rsidP="00C22DB4">
      <w:pPr>
        <w:widowControl w:val="0"/>
        <w:autoSpaceDE w:val="0"/>
        <w:autoSpaceDN w:val="0"/>
        <w:spacing w:after="0" w:line="276" w:lineRule="auto"/>
        <w:jc w:val="both"/>
        <w:rPr>
          <w:rFonts w:ascii="Verdana" w:hAnsi="Verdana" w:cs="Arial"/>
          <w:lang w:val="es-ES"/>
        </w:rPr>
      </w:pPr>
    </w:p>
    <w:p w14:paraId="2E3D1DFD" w14:textId="77777777" w:rsidR="00C22DB4" w:rsidRPr="00EF3E79" w:rsidRDefault="00C22DB4" w:rsidP="00C22DB4">
      <w:pPr>
        <w:widowControl w:val="0"/>
        <w:autoSpaceDE w:val="0"/>
        <w:autoSpaceDN w:val="0"/>
        <w:spacing w:after="0" w:line="276" w:lineRule="auto"/>
        <w:jc w:val="both"/>
        <w:rPr>
          <w:rFonts w:ascii="Verdana" w:hAnsi="Verdana" w:cs="Arial"/>
          <w:lang w:val="es-ES"/>
        </w:rPr>
      </w:pPr>
      <w:r w:rsidRPr="00EF3E79">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9B42CE7" w14:textId="77777777" w:rsidR="00C22DB4" w:rsidRPr="00EF3E79" w:rsidRDefault="00C22DB4" w:rsidP="00C22DB4">
      <w:pPr>
        <w:widowControl w:val="0"/>
        <w:autoSpaceDE w:val="0"/>
        <w:autoSpaceDN w:val="0"/>
        <w:spacing w:after="0" w:line="276" w:lineRule="auto"/>
        <w:jc w:val="both"/>
        <w:rPr>
          <w:rFonts w:ascii="Verdana" w:hAnsi="Verdana" w:cs="Arial"/>
          <w:lang w:val="es-ES"/>
        </w:rPr>
      </w:pPr>
    </w:p>
    <w:p w14:paraId="6CA91583" w14:textId="7F3D4B0E" w:rsidR="00C22DB4" w:rsidRPr="00EA581C" w:rsidRDefault="00C22DB4" w:rsidP="00EA581C">
      <w:pPr>
        <w:spacing w:after="0" w:line="276" w:lineRule="auto"/>
        <w:rPr>
          <w:rFonts w:ascii="Verdana" w:hAnsi="Verdana" w:cs="Arial"/>
          <w:lang w:val="es-ES" w:eastAsia="es-CO"/>
        </w:rPr>
      </w:pPr>
      <w:r w:rsidRPr="00EF3E79">
        <w:rPr>
          <w:rFonts w:ascii="Verdana" w:eastAsia="Times New Roman" w:hAnsi="Verdana" w:cs="Arial"/>
          <w:lang w:val="es-ES" w:eastAsia="es-CO"/>
        </w:rPr>
        <w:t>Atentamente,</w:t>
      </w:r>
      <w:r w:rsidRPr="00EF3E79">
        <w:rPr>
          <w:rFonts w:ascii="Verdana" w:hAnsi="Verdana" w:cs="Arial"/>
          <w:lang w:val="es-ES" w:eastAsia="es-CO"/>
        </w:rPr>
        <w:t xml:space="preserve"> </w:t>
      </w:r>
    </w:p>
    <w:p w14:paraId="6D591D08" w14:textId="36525E95" w:rsidR="00C22DB4" w:rsidRDefault="00EA581C" w:rsidP="00C22DB4">
      <w:pPr>
        <w:spacing w:after="0" w:line="276" w:lineRule="auto"/>
        <w:jc w:val="center"/>
        <w:rPr>
          <w:rFonts w:ascii="Verdana" w:hAnsi="Verdana"/>
          <w:noProof/>
          <w:color w:val="ED7D31" w:themeColor="accent2"/>
        </w:rPr>
      </w:pPr>
      <w:r w:rsidRPr="00EA581C">
        <w:rPr>
          <w:rFonts w:ascii="Verdana" w:hAnsi="Verdana"/>
          <w:noProof/>
          <w:color w:val="ED7D31" w:themeColor="accent2"/>
        </w:rPr>
        <w:drawing>
          <wp:inline distT="0" distB="0" distL="0" distR="0" wp14:anchorId="4A747120" wp14:editId="7024B742">
            <wp:extent cx="3238952" cy="1162212"/>
            <wp:effectExtent l="0" t="0" r="0" b="0"/>
            <wp:docPr id="9584432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43285" name=""/>
                    <pic:cNvPicPr/>
                  </pic:nvPicPr>
                  <pic:blipFill>
                    <a:blip r:embed="rId17"/>
                    <a:stretch>
                      <a:fillRect/>
                    </a:stretch>
                  </pic:blipFill>
                  <pic:spPr>
                    <a:xfrm>
                      <a:off x="0" y="0"/>
                      <a:ext cx="3238952" cy="1162212"/>
                    </a:xfrm>
                    <a:prstGeom prst="rect">
                      <a:avLst/>
                    </a:prstGeom>
                  </pic:spPr>
                </pic:pic>
              </a:graphicData>
            </a:graphic>
          </wp:inline>
        </w:drawing>
      </w:r>
    </w:p>
    <w:p w14:paraId="324F7367" w14:textId="77777777" w:rsidR="00EE27D0" w:rsidRPr="00EA581C" w:rsidRDefault="00EE27D0" w:rsidP="00C22DB4">
      <w:pPr>
        <w:spacing w:after="0" w:line="276" w:lineRule="auto"/>
        <w:jc w:val="center"/>
        <w:rPr>
          <w:rFonts w:ascii="Verdana" w:hAnsi="Verdana"/>
          <w:noProof/>
          <w:color w:val="ED7D31" w:themeColor="accent2"/>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22DB4" w:rsidRPr="00EF3E79" w14:paraId="4BC01B85" w14:textId="77777777" w:rsidTr="007127D1">
        <w:trPr>
          <w:trHeight w:val="315"/>
        </w:trPr>
        <w:tc>
          <w:tcPr>
            <w:tcW w:w="893" w:type="dxa"/>
            <w:vAlign w:val="center"/>
            <w:hideMark/>
          </w:tcPr>
          <w:p w14:paraId="0EBBA5B5" w14:textId="77777777" w:rsidR="00C22DB4" w:rsidRPr="00EF3E79" w:rsidRDefault="00C22DB4" w:rsidP="007127D1">
            <w:pPr>
              <w:contextualSpacing/>
              <w:rPr>
                <w:rFonts w:ascii="Verdana" w:hAnsi="Verdana" w:cs="Arial"/>
                <w:sz w:val="16"/>
                <w:szCs w:val="16"/>
                <w:lang w:val="es-ES" w:eastAsia="es-ES"/>
              </w:rPr>
            </w:pPr>
            <w:r w:rsidRPr="00EF3E7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FD0D683" w14:textId="77777777" w:rsidR="00C22DB4" w:rsidRPr="00EF3E79" w:rsidRDefault="00C22DB4" w:rsidP="007127D1">
            <w:pPr>
              <w:rPr>
                <w:rFonts w:ascii="Verdana" w:eastAsia="Times New Roman" w:hAnsi="Verdana" w:cs="Arial"/>
                <w:sz w:val="16"/>
                <w:szCs w:val="16"/>
                <w:lang w:eastAsia="es-ES"/>
              </w:rPr>
            </w:pPr>
            <w:r w:rsidRPr="00EF3E79">
              <w:rPr>
                <w:rFonts w:ascii="Verdana" w:eastAsia="Times New Roman" w:hAnsi="Verdana" w:cs="Arial"/>
                <w:sz w:val="16"/>
                <w:szCs w:val="16"/>
                <w:lang w:eastAsia="es-ES"/>
              </w:rPr>
              <w:t>Camila Alejandra Naranjo Gómez</w:t>
            </w:r>
          </w:p>
          <w:p w14:paraId="19C23D8D" w14:textId="77777777" w:rsidR="00C22DB4" w:rsidRPr="00EF3E79" w:rsidRDefault="00C22DB4" w:rsidP="007127D1">
            <w:pPr>
              <w:contextualSpacing/>
              <w:rPr>
                <w:rFonts w:ascii="Verdana" w:eastAsia="Arial" w:hAnsi="Verdana" w:cs="Arial"/>
                <w:sz w:val="16"/>
                <w:szCs w:val="16"/>
                <w:lang w:val="es-ES"/>
              </w:rPr>
            </w:pPr>
            <w:r w:rsidRPr="00EF3E79">
              <w:rPr>
                <w:rFonts w:ascii="Verdana" w:eastAsia="Times New Roman" w:hAnsi="Verdana" w:cs="Arial"/>
                <w:sz w:val="16"/>
                <w:szCs w:val="16"/>
                <w:lang w:eastAsia="es-ES"/>
              </w:rPr>
              <w:t>Analista T2-02 de la Subdirección de Gestión Contractual</w:t>
            </w:r>
          </w:p>
        </w:tc>
      </w:tr>
      <w:tr w:rsidR="00C22DB4" w:rsidRPr="00EF3E79" w14:paraId="5D1447B2" w14:textId="77777777" w:rsidTr="007127D1">
        <w:trPr>
          <w:trHeight w:val="330"/>
        </w:trPr>
        <w:tc>
          <w:tcPr>
            <w:tcW w:w="893" w:type="dxa"/>
            <w:vAlign w:val="center"/>
            <w:hideMark/>
          </w:tcPr>
          <w:p w14:paraId="23EC9A3B" w14:textId="77777777" w:rsidR="00C22DB4" w:rsidRPr="00EF3E79" w:rsidRDefault="00C22DB4" w:rsidP="007127D1">
            <w:pPr>
              <w:contextualSpacing/>
              <w:rPr>
                <w:rFonts w:ascii="Verdana" w:hAnsi="Verdana" w:cs="Arial"/>
                <w:sz w:val="16"/>
                <w:szCs w:val="16"/>
                <w:lang w:val="es-ES" w:eastAsia="es-ES"/>
              </w:rPr>
            </w:pPr>
            <w:r w:rsidRPr="00EF3E7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6E585E7" w14:textId="77777777" w:rsidR="00C22DB4" w:rsidRPr="00EF3E79" w:rsidRDefault="00C22DB4" w:rsidP="007127D1">
            <w:pPr>
              <w:rPr>
                <w:rFonts w:ascii="Verdana" w:eastAsia="Times New Roman" w:hAnsi="Verdana" w:cs="Arial"/>
                <w:sz w:val="16"/>
                <w:szCs w:val="16"/>
                <w:lang w:eastAsia="es-ES"/>
              </w:rPr>
            </w:pPr>
            <w:r>
              <w:rPr>
                <w:rFonts w:ascii="Verdana" w:eastAsia="Times New Roman" w:hAnsi="Verdana" w:cs="Arial"/>
                <w:sz w:val="16"/>
                <w:szCs w:val="16"/>
                <w:lang w:eastAsia="es-ES"/>
              </w:rPr>
              <w:t>Diana Lucía Saavedra Castañeda</w:t>
            </w:r>
          </w:p>
          <w:p w14:paraId="6E4EB8CB" w14:textId="77777777" w:rsidR="00C22DB4" w:rsidRPr="00EF3E79" w:rsidRDefault="00C22DB4" w:rsidP="007127D1">
            <w:pPr>
              <w:pStyle w:val="paragraph"/>
              <w:spacing w:before="0" w:beforeAutospacing="0" w:after="0" w:afterAutospacing="0"/>
              <w:contextualSpacing/>
              <w:textAlignment w:val="baseline"/>
              <w:rPr>
                <w:rFonts w:ascii="Verdana" w:hAnsi="Verdana" w:cs="Segoe UI"/>
                <w:sz w:val="16"/>
                <w:szCs w:val="16"/>
                <w:lang w:val="es-ES"/>
              </w:rPr>
            </w:pPr>
            <w:r w:rsidRPr="00EF3E79">
              <w:rPr>
                <w:rFonts w:ascii="Verdana" w:hAnsi="Verdana" w:cs="Arial"/>
                <w:sz w:val="16"/>
                <w:szCs w:val="16"/>
                <w:lang w:eastAsia="es-ES"/>
              </w:rPr>
              <w:t>Contratista de la Subdirección de Gestión Contractual</w:t>
            </w:r>
          </w:p>
        </w:tc>
      </w:tr>
      <w:tr w:rsidR="00C22DB4" w:rsidRPr="00EF3E79" w14:paraId="53CCEDBC" w14:textId="77777777" w:rsidTr="007127D1">
        <w:trPr>
          <w:trHeight w:val="300"/>
        </w:trPr>
        <w:tc>
          <w:tcPr>
            <w:tcW w:w="893" w:type="dxa"/>
            <w:vAlign w:val="center"/>
          </w:tcPr>
          <w:p w14:paraId="6E0F4C8E" w14:textId="77777777" w:rsidR="00C22DB4" w:rsidRPr="00EF3E79" w:rsidRDefault="00C22DB4" w:rsidP="007127D1">
            <w:pPr>
              <w:contextualSpacing/>
              <w:rPr>
                <w:rFonts w:ascii="Verdana" w:hAnsi="Verdana" w:cs="Arial"/>
                <w:sz w:val="16"/>
                <w:szCs w:val="16"/>
                <w:lang w:val="es-ES" w:eastAsia="es-ES"/>
              </w:rPr>
            </w:pPr>
            <w:r w:rsidRPr="00EF3E7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F8DC12" w14:textId="77777777" w:rsidR="00C22DB4" w:rsidRPr="00EF3E79" w:rsidRDefault="00C22DB4" w:rsidP="007127D1">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Carolina Quintero Gacharná</w:t>
            </w:r>
          </w:p>
          <w:p w14:paraId="751F7B5F" w14:textId="77777777" w:rsidR="00C22DB4" w:rsidRPr="00EF3E79" w:rsidRDefault="00C22DB4" w:rsidP="007127D1">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Subdirectora de Gestión Contractual ANCP – CCE</w:t>
            </w:r>
          </w:p>
        </w:tc>
      </w:tr>
      <w:bookmarkEnd w:id="0"/>
    </w:tbl>
    <w:p w14:paraId="7DBBA558" w14:textId="34CED82A" w:rsidR="00C22DB4" w:rsidRDefault="00C22DB4" w:rsidP="00C22DB4">
      <w:pPr>
        <w:spacing w:after="120" w:line="276" w:lineRule="auto"/>
        <w:jc w:val="both"/>
        <w:rPr>
          <w:rFonts w:ascii="Verdana" w:eastAsia="Century Gothic" w:hAnsi="Verdana" w:cs="Century Gothic"/>
          <w:b/>
          <w:color w:val="ED7D31" w:themeColor="accent2"/>
          <w:lang w:val="es-ES"/>
        </w:rPr>
      </w:pPr>
    </w:p>
    <w:p w14:paraId="0F293BF4" w14:textId="1322C5B6" w:rsidR="00127233" w:rsidRPr="00C22DB4" w:rsidRDefault="00127233" w:rsidP="00C22DB4"/>
    <w:sectPr w:rsidR="00127233" w:rsidRPr="00C22DB4"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7EDE5" w14:textId="77777777" w:rsidR="00C64DD2" w:rsidRDefault="00C64DD2" w:rsidP="004A1847">
      <w:pPr>
        <w:spacing w:after="0" w:line="240" w:lineRule="auto"/>
      </w:pPr>
      <w:r>
        <w:separator/>
      </w:r>
    </w:p>
  </w:endnote>
  <w:endnote w:type="continuationSeparator" w:id="0">
    <w:p w14:paraId="297ACF57" w14:textId="77777777" w:rsidR="00C64DD2" w:rsidRDefault="00C64DD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4C09" w14:textId="77777777" w:rsidR="00C64DD2" w:rsidRDefault="00C64DD2" w:rsidP="004A1847">
      <w:pPr>
        <w:spacing w:after="0" w:line="240" w:lineRule="auto"/>
      </w:pPr>
      <w:r>
        <w:separator/>
      </w:r>
    </w:p>
  </w:footnote>
  <w:footnote w:type="continuationSeparator" w:id="0">
    <w:p w14:paraId="1AC0DCAA" w14:textId="77777777" w:rsidR="00C64DD2" w:rsidRDefault="00C64DD2" w:rsidP="004A1847">
      <w:pPr>
        <w:spacing w:after="0" w:line="240" w:lineRule="auto"/>
      </w:pPr>
      <w:r>
        <w:continuationSeparator/>
      </w:r>
    </w:p>
  </w:footnote>
  <w:footnote w:id="1">
    <w:p w14:paraId="006CC404" w14:textId="77777777" w:rsidR="00C22DB4" w:rsidRPr="001122C9" w:rsidRDefault="00C22DB4" w:rsidP="00C22DB4">
      <w:pPr>
        <w:pStyle w:val="Textonotapie"/>
        <w:ind w:firstLine="709"/>
        <w:contextualSpacing/>
        <w:jc w:val="both"/>
        <w:rPr>
          <w:rFonts w:ascii="Verdana" w:hAnsi="Verdana" w:cs="Arial"/>
          <w:color w:val="000000"/>
          <w:sz w:val="16"/>
          <w:szCs w:val="16"/>
        </w:rPr>
      </w:pPr>
      <w:r w:rsidRPr="001122C9">
        <w:rPr>
          <w:rStyle w:val="Refdenotaalpie"/>
          <w:rFonts w:ascii="Verdana" w:hAnsi="Verdana" w:cs="Arial"/>
          <w:sz w:val="16"/>
          <w:szCs w:val="16"/>
        </w:rPr>
        <w:footnoteRef/>
      </w:r>
      <w:r w:rsidRPr="001122C9">
        <w:rPr>
          <w:rFonts w:ascii="Verdana" w:hAnsi="Verdana" w:cs="Arial"/>
          <w:sz w:val="16"/>
          <w:szCs w:val="16"/>
        </w:rPr>
        <w:t xml:space="preserve"> Decreto 1068 de 2015: “</w:t>
      </w:r>
      <w:r w:rsidRPr="001122C9">
        <w:rPr>
          <w:rFonts w:ascii="Verdana" w:hAnsi="Verdana" w:cs="Arial"/>
          <w:color w:val="000000"/>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67A887E5" w14:textId="77777777" w:rsidR="00C22DB4" w:rsidRPr="001122C9" w:rsidRDefault="00C22DB4" w:rsidP="00C22DB4">
      <w:pPr>
        <w:pStyle w:val="Textonotapie"/>
        <w:ind w:firstLine="709"/>
        <w:contextualSpacing/>
        <w:jc w:val="both"/>
        <w:rPr>
          <w:rFonts w:ascii="Verdana" w:hAnsi="Verdana" w:cs="Arial"/>
          <w:color w:val="000000"/>
          <w:sz w:val="16"/>
          <w:szCs w:val="16"/>
        </w:rPr>
      </w:pPr>
      <w:r w:rsidRPr="001122C9">
        <w:rPr>
          <w:rFonts w:ascii="Verdana" w:hAnsi="Verdana" w:cs="Arial"/>
          <w:color w:val="000000"/>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4772501B" w14:textId="77777777" w:rsidR="00C22DB4" w:rsidRPr="001122C9" w:rsidRDefault="00C22DB4" w:rsidP="00C22DB4">
      <w:pPr>
        <w:pStyle w:val="Textonotapie"/>
        <w:ind w:firstLine="708"/>
        <w:contextualSpacing/>
        <w:jc w:val="both"/>
        <w:rPr>
          <w:rFonts w:ascii="Verdana" w:hAnsi="Verdana" w:cs="Arial"/>
          <w:sz w:val="16"/>
          <w:szCs w:val="16"/>
        </w:rPr>
      </w:pPr>
      <w:r w:rsidRPr="001122C9">
        <w:rPr>
          <w:rFonts w:ascii="Verdana" w:hAnsi="Verdana" w:cs="Arial"/>
          <w:color w:val="000000"/>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1122C9">
        <w:rPr>
          <w:rFonts w:ascii="Verdana" w:hAnsi="Verdana" w:cs="Arial"/>
          <w:sz w:val="16"/>
          <w:szCs w:val="16"/>
        </w:rPr>
        <w:t xml:space="preserve"> </w:t>
      </w:r>
    </w:p>
  </w:footnote>
  <w:footnote w:id="2">
    <w:p w14:paraId="21CC9F52"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208D997"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3">
    <w:p w14:paraId="689056A9" w14:textId="77777777" w:rsidR="00C22DB4" w:rsidRDefault="00C22DB4" w:rsidP="00C22DB4">
      <w:pPr>
        <w:pStyle w:val="Textonotapie"/>
        <w:ind w:firstLine="709"/>
        <w:contextualSpacing/>
        <w:jc w:val="both"/>
        <w:rPr>
          <w:rFonts w:ascii="Verdana" w:hAnsi="Verdana" w:cs="Arial"/>
          <w:color w:val="000000"/>
          <w:sz w:val="16"/>
          <w:szCs w:val="16"/>
          <w:lang w:val="pt-PT"/>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lang w:val="pt-PT"/>
        </w:rPr>
        <w:t xml:space="preserve"> </w:t>
      </w:r>
      <w:r w:rsidRPr="00CA3436">
        <w:rPr>
          <w:rFonts w:ascii="Verdana" w:hAnsi="Verdana" w:cs="Arial"/>
          <w:color w:val="000000"/>
          <w:sz w:val="16"/>
          <w:szCs w:val="16"/>
          <w:lang w:val="pt-PT"/>
        </w:rPr>
        <w:t>Corte Constitucional. Sentencia C-154 del 19 de marzo de 1997. M. P. Hernando Herrera Vergara.</w:t>
      </w:r>
    </w:p>
    <w:p w14:paraId="04598550" w14:textId="77777777" w:rsidR="00C22DB4" w:rsidRPr="008A6102" w:rsidRDefault="00C22DB4" w:rsidP="00C22DB4">
      <w:pPr>
        <w:pStyle w:val="Textonotapie"/>
        <w:ind w:firstLine="709"/>
        <w:contextualSpacing/>
        <w:jc w:val="both"/>
        <w:rPr>
          <w:rFonts w:ascii="Verdana" w:hAnsi="Verdana" w:cs="Arial"/>
          <w:color w:val="000000"/>
          <w:sz w:val="16"/>
          <w:szCs w:val="16"/>
          <w:lang w:val="pt-PT"/>
        </w:rPr>
      </w:pPr>
    </w:p>
  </w:footnote>
  <w:footnote w:id="4">
    <w:p w14:paraId="795C0176"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Pr>
          <w:rFonts w:ascii="Verdana" w:hAnsi="Verdana" w:cs="Arial"/>
          <w:color w:val="000000"/>
          <w:sz w:val="16"/>
          <w:szCs w:val="16"/>
        </w:rPr>
        <w:t>I</w:t>
      </w:r>
      <w:r w:rsidRPr="00412975">
        <w:rPr>
          <w:rFonts w:ascii="Verdana" w:hAnsi="Verdana" w:cs="Arial"/>
          <w:color w:val="000000"/>
          <w:sz w:val="16"/>
          <w:szCs w:val="16"/>
          <w:lang w:val="es-ES"/>
        </w:rPr>
        <w:t>bíd.</w:t>
      </w:r>
    </w:p>
  </w:footnote>
  <w:footnote w:id="5">
    <w:p w14:paraId="59B0FCEF" w14:textId="77777777" w:rsidR="00C22DB4" w:rsidRPr="001122C9" w:rsidRDefault="00C22DB4" w:rsidP="00C22DB4">
      <w:pPr>
        <w:pStyle w:val="Textonotapie"/>
        <w:ind w:firstLine="709"/>
        <w:contextualSpacing/>
        <w:jc w:val="both"/>
        <w:rPr>
          <w:rFonts w:ascii="Verdana" w:hAnsi="Verdana" w:cs="Arial"/>
          <w:color w:val="000000"/>
          <w:sz w:val="16"/>
          <w:szCs w:val="16"/>
        </w:rPr>
      </w:pPr>
    </w:p>
    <w:p w14:paraId="75E43A68"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FA1A2F6"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6F5A8E3" w14:textId="77777777" w:rsidR="00C22DB4"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195CC710"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p>
  </w:footnote>
  <w:footnote w:id="6">
    <w:p w14:paraId="174D65F1"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Consejo de Estado. Sala de lo Contencioso Administrativo. Sección Tercera. Subsección C. Sentencia del 2 de diciembre de 2013. Exp. 41719. Consejero Ponente: Jaime Orlando Santofimio Gamboa.</w:t>
      </w:r>
    </w:p>
  </w:footnote>
  <w:footnote w:id="7">
    <w:p w14:paraId="0F4C79B6" w14:textId="77777777" w:rsidR="00C22DB4" w:rsidRDefault="00C22DB4" w:rsidP="00C22DB4">
      <w:pPr>
        <w:pStyle w:val="Textonotapie"/>
        <w:ind w:firstLine="709"/>
        <w:contextualSpacing/>
        <w:jc w:val="both"/>
        <w:rPr>
          <w:rFonts w:ascii="Verdana" w:hAnsi="Verdana" w:cs="Arial"/>
          <w:color w:val="000000"/>
          <w:sz w:val="16"/>
          <w:szCs w:val="16"/>
        </w:rPr>
      </w:pPr>
    </w:p>
    <w:p w14:paraId="03E60693"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Ibid.</w:t>
      </w:r>
    </w:p>
    <w:p w14:paraId="2A96E582"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p>
  </w:footnote>
  <w:footnote w:id="8">
    <w:p w14:paraId="79EF773A"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Ibid.</w:t>
      </w:r>
    </w:p>
  </w:footnote>
  <w:footnote w:id="9">
    <w:p w14:paraId="72BDE574"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A1876DE"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179519DD" w14:textId="77777777" w:rsidR="00C22DB4"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4E0DE676"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p>
  </w:footnote>
  <w:footnote w:id="10">
    <w:p w14:paraId="064F1908"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23800B6B"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“1. La causal que invoca para contratar directamente.</w:t>
      </w:r>
    </w:p>
    <w:p w14:paraId="0242D49A"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“2. El objeto del contrato.</w:t>
      </w:r>
    </w:p>
    <w:p w14:paraId="58E2CB6B"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“3. El presupuesto para la contratación y las condiciones que exigirá al contratista.</w:t>
      </w:r>
    </w:p>
    <w:p w14:paraId="0FA2BFE9"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“4. El lugar en el cual los interesados pueden consultar los estudios y documentos previos.</w:t>
      </w:r>
    </w:p>
    <w:p w14:paraId="71A917AC" w14:textId="77777777" w:rsidR="00C22DB4" w:rsidRDefault="00C22DB4" w:rsidP="00C22DB4">
      <w:pPr>
        <w:pStyle w:val="Textonotapie"/>
        <w:ind w:firstLine="709"/>
        <w:contextualSpacing/>
        <w:jc w:val="both"/>
        <w:rPr>
          <w:rFonts w:ascii="Verdana" w:hAnsi="Verdana" w:cs="Arial"/>
          <w:color w:val="000000"/>
          <w:sz w:val="16"/>
          <w:szCs w:val="16"/>
          <w:lang w:val="es-ES"/>
        </w:rPr>
      </w:pPr>
      <w:r w:rsidRPr="001122C9">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7EFE0D01"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p>
  </w:footnote>
  <w:footnote w:id="11">
    <w:p w14:paraId="7345D260"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1122C9">
        <w:rPr>
          <w:rStyle w:val="Refdenotaalpie"/>
          <w:rFonts w:ascii="Verdana" w:hAnsi="Verdana" w:cs="Arial"/>
          <w:color w:val="000000"/>
          <w:sz w:val="16"/>
          <w:szCs w:val="16"/>
        </w:rPr>
        <w:footnoteRef/>
      </w:r>
      <w:r w:rsidRPr="001122C9">
        <w:rPr>
          <w:rFonts w:ascii="Verdana" w:hAnsi="Verdana" w:cs="Arial"/>
          <w:color w:val="000000"/>
          <w:sz w:val="16"/>
          <w:szCs w:val="16"/>
        </w:rPr>
        <w:t xml:space="preserve"> </w:t>
      </w:r>
      <w:r w:rsidRPr="001122C9">
        <w:rPr>
          <w:rFonts w:ascii="Verdana" w:hAnsi="Verdana" w:cs="Arial"/>
          <w:color w:val="000000"/>
          <w:sz w:val="16"/>
          <w:szCs w:val="16"/>
          <w:lang w:val="es-ES"/>
        </w:rPr>
        <w:t>Esta norma expresa: “</w:t>
      </w:r>
      <w:r w:rsidRPr="001122C9">
        <w:rPr>
          <w:rFonts w:ascii="Verdana" w:hAnsi="Verdana" w:cs="Arial"/>
          <w:color w:val="000000"/>
          <w:sz w:val="16"/>
          <w:szCs w:val="16"/>
        </w:rPr>
        <w:t>P</w:t>
      </w:r>
      <w:r w:rsidRPr="001122C9">
        <w:rPr>
          <w:rFonts w:ascii="Verdana" w:hAnsi="Verdana" w:cs="Arial"/>
          <w:color w:val="000000"/>
          <w:sz w:val="16"/>
          <w:szCs w:val="16"/>
          <w:lang w:val="es-ES"/>
        </w:rPr>
        <w:t>ara el cumplimiento de los fines de la contratación, las entidades estatales al celebrar un contrato:</w:t>
      </w:r>
    </w:p>
    <w:p w14:paraId="58A4A62F" w14:textId="77777777" w:rsidR="00C22DB4" w:rsidRDefault="00C22DB4" w:rsidP="00C22DB4">
      <w:pPr>
        <w:pStyle w:val="Textonotapie"/>
        <w:ind w:firstLine="709"/>
        <w:contextualSpacing/>
        <w:jc w:val="both"/>
        <w:rPr>
          <w:rFonts w:ascii="Verdana" w:hAnsi="Verdana" w:cs="Arial"/>
          <w:color w:val="000000"/>
          <w:sz w:val="16"/>
          <w:szCs w:val="16"/>
          <w:lang w:val="es-ES"/>
        </w:rPr>
      </w:pPr>
      <w:r w:rsidRPr="00F36849">
        <w:rPr>
          <w:rFonts w:ascii="Verdana" w:hAnsi="Verdana" w:cs="Arial"/>
          <w:color w:val="000000"/>
          <w:sz w:val="16"/>
          <w:szCs w:val="16"/>
          <w:lang w:val="es-ES"/>
        </w:rPr>
        <w:t>[…]</w:t>
      </w:r>
    </w:p>
    <w:p w14:paraId="3F8835E9" w14:textId="77777777" w:rsidR="00C22DB4" w:rsidRPr="004920C9" w:rsidRDefault="00C22DB4" w:rsidP="00C22DB4">
      <w:pPr>
        <w:pStyle w:val="Textonotapie"/>
        <w:ind w:firstLine="709"/>
        <w:contextualSpacing/>
        <w:jc w:val="both"/>
        <w:rPr>
          <w:rFonts w:ascii="Verdana" w:hAnsi="Verdana" w:cs="Arial"/>
          <w:color w:val="000000"/>
          <w:sz w:val="16"/>
          <w:szCs w:val="16"/>
          <w:lang w:val="es-ES"/>
        </w:rPr>
      </w:pPr>
      <w:r w:rsidRPr="004920C9">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7890781" w14:textId="77777777" w:rsidR="00C22DB4" w:rsidRPr="004920C9" w:rsidRDefault="00C22DB4" w:rsidP="00C22DB4">
      <w:pPr>
        <w:pStyle w:val="Textonotapie"/>
        <w:ind w:firstLine="709"/>
        <w:contextualSpacing/>
        <w:jc w:val="both"/>
        <w:rPr>
          <w:rFonts w:ascii="Verdana" w:hAnsi="Verdana" w:cs="Arial"/>
          <w:color w:val="000000"/>
          <w:sz w:val="16"/>
          <w:szCs w:val="16"/>
          <w:lang w:val="es-ES"/>
        </w:rPr>
      </w:pPr>
      <w:r w:rsidRPr="004920C9">
        <w:rPr>
          <w:rFonts w:ascii="Verdana" w:hAnsi="Verdana" w:cs="Arial"/>
          <w:color w:val="000000"/>
          <w:sz w:val="16"/>
          <w:szCs w:val="16"/>
          <w:lang w:val="es-ES"/>
        </w:rPr>
        <w:t>“Las entidades estatales podrán pactar estas cláusulas en los contratos de suministro y de prestación de servicios.</w:t>
      </w:r>
    </w:p>
    <w:p w14:paraId="0EF1D43B" w14:textId="77777777" w:rsidR="00C22DB4" w:rsidRDefault="00C22DB4" w:rsidP="00C22DB4">
      <w:pPr>
        <w:pStyle w:val="Textonotapie"/>
        <w:ind w:firstLine="709"/>
        <w:contextualSpacing/>
        <w:jc w:val="both"/>
        <w:rPr>
          <w:rFonts w:ascii="Verdana" w:hAnsi="Verdana" w:cs="Arial"/>
          <w:color w:val="000000"/>
          <w:sz w:val="16"/>
          <w:szCs w:val="16"/>
          <w:lang w:val="es-ES"/>
        </w:rPr>
      </w:pPr>
      <w:r w:rsidRPr="004920C9">
        <w:rPr>
          <w:rFonts w:ascii="Verdana" w:hAnsi="Verdana" w:cs="Arial"/>
          <w:color w:val="000000"/>
          <w:sz w:val="16"/>
          <w:szCs w:val="16"/>
          <w:lang w:val="es-ES"/>
        </w:rPr>
        <w:t>[…]”.</w:t>
      </w:r>
    </w:p>
    <w:p w14:paraId="6E679247" w14:textId="77777777" w:rsidR="00C22DB4" w:rsidRPr="004920C9" w:rsidRDefault="00C22DB4" w:rsidP="00C22DB4">
      <w:pPr>
        <w:pStyle w:val="Textonotapie"/>
        <w:ind w:firstLine="709"/>
        <w:contextualSpacing/>
        <w:jc w:val="both"/>
        <w:rPr>
          <w:rFonts w:ascii="Verdana" w:hAnsi="Verdana" w:cs="Arial"/>
          <w:color w:val="000000"/>
          <w:sz w:val="16"/>
          <w:szCs w:val="16"/>
          <w:lang w:val="es-ES"/>
        </w:rPr>
      </w:pPr>
    </w:p>
  </w:footnote>
  <w:footnote w:id="12">
    <w:p w14:paraId="1663AC80" w14:textId="77777777" w:rsidR="00C22DB4" w:rsidRDefault="00C22DB4" w:rsidP="00C22DB4">
      <w:pPr>
        <w:pStyle w:val="Textonotapie"/>
        <w:ind w:firstLine="709"/>
        <w:contextualSpacing/>
        <w:jc w:val="both"/>
        <w:rPr>
          <w:rFonts w:ascii="Verdana" w:hAnsi="Verdana" w:cs="Arial"/>
          <w:color w:val="000000"/>
          <w:sz w:val="16"/>
          <w:szCs w:val="16"/>
          <w:lang w:val="es-ES"/>
        </w:rPr>
      </w:pPr>
      <w:r w:rsidRPr="004920C9">
        <w:rPr>
          <w:rStyle w:val="Refdenotaalpie"/>
          <w:rFonts w:ascii="Verdana" w:hAnsi="Verdana" w:cs="Arial"/>
          <w:color w:val="000000"/>
          <w:sz w:val="16"/>
          <w:szCs w:val="16"/>
        </w:rPr>
        <w:footnoteRef/>
      </w:r>
      <w:r w:rsidRPr="004920C9">
        <w:rPr>
          <w:rFonts w:ascii="Verdana" w:hAnsi="Verdana" w:cs="Arial"/>
          <w:color w:val="000000"/>
          <w:sz w:val="16"/>
          <w:szCs w:val="16"/>
        </w:rPr>
        <w:t xml:space="preserve"> </w:t>
      </w:r>
      <w:r w:rsidRPr="004920C9">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08DD63F9" w14:textId="77777777" w:rsidR="00C22DB4" w:rsidRPr="004920C9" w:rsidRDefault="00C22DB4" w:rsidP="00C22DB4">
      <w:pPr>
        <w:pStyle w:val="Textonotapie"/>
        <w:ind w:firstLine="709"/>
        <w:contextualSpacing/>
        <w:jc w:val="both"/>
        <w:rPr>
          <w:rFonts w:ascii="Verdana" w:hAnsi="Verdana" w:cs="Arial"/>
          <w:color w:val="000000"/>
          <w:sz w:val="16"/>
          <w:szCs w:val="16"/>
          <w:lang w:val="es-ES"/>
        </w:rPr>
      </w:pPr>
    </w:p>
  </w:footnote>
  <w:footnote w:id="13">
    <w:p w14:paraId="30510726" w14:textId="77777777" w:rsidR="00C22DB4" w:rsidRPr="004920C9" w:rsidRDefault="00C22DB4" w:rsidP="00C22DB4">
      <w:pPr>
        <w:pStyle w:val="Textonotapie"/>
        <w:ind w:firstLine="709"/>
        <w:contextualSpacing/>
        <w:jc w:val="both"/>
        <w:rPr>
          <w:rFonts w:ascii="Verdana" w:hAnsi="Verdana" w:cs="Arial"/>
          <w:color w:val="000000"/>
          <w:sz w:val="16"/>
          <w:szCs w:val="16"/>
        </w:rPr>
      </w:pPr>
      <w:r w:rsidRPr="004920C9">
        <w:rPr>
          <w:rStyle w:val="Refdenotaalpie"/>
          <w:rFonts w:ascii="Verdana" w:hAnsi="Verdana" w:cs="Arial"/>
          <w:color w:val="000000"/>
          <w:sz w:val="16"/>
          <w:szCs w:val="16"/>
        </w:rPr>
        <w:footnoteRef/>
      </w:r>
      <w:r w:rsidRPr="004920C9">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F8BFF6B" w14:textId="77777777" w:rsidR="00C22DB4" w:rsidRPr="004920C9" w:rsidRDefault="00C22DB4" w:rsidP="00C22DB4">
      <w:pPr>
        <w:pStyle w:val="Textonotapie"/>
        <w:ind w:firstLine="709"/>
        <w:contextualSpacing/>
        <w:jc w:val="both"/>
        <w:rPr>
          <w:rFonts w:ascii="Verdana" w:hAnsi="Verdana" w:cs="Arial"/>
          <w:color w:val="000000"/>
          <w:sz w:val="16"/>
          <w:szCs w:val="16"/>
        </w:rPr>
      </w:pPr>
      <w:r w:rsidRPr="004920C9">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8D271B5" w14:textId="77777777" w:rsidR="00C22DB4" w:rsidRDefault="00C22DB4" w:rsidP="00C22DB4">
      <w:pPr>
        <w:pStyle w:val="Textonotapie"/>
        <w:ind w:firstLine="709"/>
        <w:contextualSpacing/>
        <w:jc w:val="both"/>
        <w:rPr>
          <w:rFonts w:ascii="Verdana" w:hAnsi="Verdana" w:cs="Arial"/>
          <w:color w:val="000000"/>
          <w:sz w:val="16"/>
          <w:szCs w:val="16"/>
        </w:rPr>
      </w:pPr>
      <w:r w:rsidRPr="004920C9">
        <w:rPr>
          <w:rFonts w:ascii="Verdana" w:hAnsi="Verdana" w:cs="Arial"/>
          <w:color w:val="000000"/>
          <w:sz w:val="16"/>
          <w:szCs w:val="16"/>
        </w:rPr>
        <w:t>[…]”.</w:t>
      </w:r>
    </w:p>
    <w:p w14:paraId="2C60EB52" w14:textId="77777777" w:rsidR="00C22DB4" w:rsidRPr="004920C9" w:rsidRDefault="00C22DB4" w:rsidP="00C22DB4">
      <w:pPr>
        <w:pStyle w:val="Textonotapie"/>
        <w:ind w:firstLine="709"/>
        <w:contextualSpacing/>
        <w:jc w:val="both"/>
        <w:rPr>
          <w:rFonts w:ascii="Verdana" w:hAnsi="Verdana" w:cs="Arial"/>
          <w:color w:val="000000"/>
          <w:sz w:val="16"/>
          <w:szCs w:val="16"/>
        </w:rPr>
      </w:pPr>
    </w:p>
  </w:footnote>
  <w:footnote w:id="14">
    <w:p w14:paraId="1D3075F8" w14:textId="77777777" w:rsidR="00C22DB4" w:rsidRPr="001122C9" w:rsidRDefault="00C22DB4" w:rsidP="00C22DB4">
      <w:pPr>
        <w:pStyle w:val="Textonotapie"/>
        <w:ind w:firstLine="709"/>
        <w:contextualSpacing/>
        <w:jc w:val="both"/>
        <w:rPr>
          <w:rFonts w:ascii="Verdana" w:hAnsi="Verdana" w:cs="Arial"/>
          <w:color w:val="000000"/>
          <w:sz w:val="16"/>
          <w:szCs w:val="16"/>
          <w:lang w:val="es-ES"/>
        </w:rPr>
      </w:pPr>
      <w:r w:rsidRPr="004920C9">
        <w:rPr>
          <w:rStyle w:val="Refdenotaalpie"/>
          <w:rFonts w:ascii="Verdana" w:hAnsi="Verdana" w:cs="Arial"/>
          <w:color w:val="000000"/>
          <w:sz w:val="16"/>
          <w:szCs w:val="16"/>
        </w:rPr>
        <w:footnoteRef/>
      </w:r>
      <w:r w:rsidRPr="004920C9">
        <w:rPr>
          <w:rFonts w:ascii="Verdana" w:hAnsi="Verdana" w:cs="Arial"/>
          <w:color w:val="000000"/>
          <w:sz w:val="16"/>
          <w:szCs w:val="16"/>
        </w:rPr>
        <w:t xml:space="preserve"> </w:t>
      </w:r>
      <w:r w:rsidRPr="004920C9">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5">
    <w:p w14:paraId="672A6204" w14:textId="77777777" w:rsidR="00C22DB4" w:rsidRPr="00B324A4" w:rsidRDefault="00C22DB4" w:rsidP="00C22DB4">
      <w:pPr>
        <w:pStyle w:val="Textonotapie"/>
        <w:ind w:firstLine="709"/>
        <w:jc w:val="both"/>
        <w:rPr>
          <w:rFonts w:ascii="Verdana" w:hAnsi="Verdana" w:cs="Arial"/>
          <w:color w:val="000000"/>
          <w:sz w:val="16"/>
          <w:szCs w:val="16"/>
        </w:rPr>
      </w:pPr>
      <w:r w:rsidRPr="00B324A4">
        <w:rPr>
          <w:rStyle w:val="Refdenotaalpie"/>
          <w:rFonts w:ascii="Verdana" w:hAnsi="Verdana" w:cs="Arial"/>
          <w:color w:val="000000"/>
          <w:sz w:val="16"/>
          <w:szCs w:val="16"/>
        </w:rPr>
        <w:footnoteRef/>
      </w:r>
      <w:r w:rsidRPr="00B324A4">
        <w:rPr>
          <w:rFonts w:ascii="Verdana" w:hAnsi="Verdana" w:cs="Arial"/>
          <w:color w:val="000000"/>
          <w:sz w:val="16"/>
          <w:szCs w:val="16"/>
        </w:rPr>
        <w:t xml:space="preserve"> Alessandri Rodríguez, Arturo. De los contratos. Santiago de Chile: Editorial Jurídica EDIAR-CONOCSUR LTDA, 1988. p. 182. </w:t>
      </w:r>
    </w:p>
  </w:footnote>
  <w:footnote w:id="16">
    <w:p w14:paraId="5FFF12C3" w14:textId="77777777" w:rsidR="00C22DB4" w:rsidRPr="00B324A4" w:rsidRDefault="00C22DB4" w:rsidP="00C22DB4">
      <w:pPr>
        <w:pStyle w:val="Textonotapie"/>
        <w:ind w:firstLine="709"/>
        <w:jc w:val="both"/>
        <w:rPr>
          <w:rFonts w:ascii="Verdana" w:hAnsi="Verdana" w:cs="Arial"/>
          <w:color w:val="000000"/>
          <w:sz w:val="16"/>
          <w:szCs w:val="16"/>
        </w:rPr>
      </w:pPr>
      <w:r w:rsidRPr="00B324A4">
        <w:rPr>
          <w:rStyle w:val="Refdenotaalpie"/>
          <w:rFonts w:ascii="Verdana" w:hAnsi="Verdana" w:cs="Arial"/>
          <w:color w:val="000000"/>
          <w:sz w:val="16"/>
          <w:szCs w:val="16"/>
        </w:rPr>
        <w:footnoteRef/>
      </w:r>
      <w:r w:rsidRPr="00B324A4">
        <w:rPr>
          <w:rFonts w:ascii="Verdana" w:hAnsi="Verdana" w:cs="Arial"/>
          <w:color w:val="000000"/>
          <w:sz w:val="16"/>
          <w:szCs w:val="16"/>
        </w:rPr>
        <w:t xml:space="preserve"> Consejo De Estado. Sala de Consulta y Servicio Civil. Concepto del 5 de septiembre de 2018. Rad. 2.386. C.P. Edgar González López.</w:t>
      </w:r>
    </w:p>
  </w:footnote>
  <w:footnote w:id="17">
    <w:p w14:paraId="577F9E7A" w14:textId="77777777" w:rsidR="00C22DB4" w:rsidRDefault="00C22DB4" w:rsidP="00C22DB4">
      <w:pPr>
        <w:pStyle w:val="Textonotapie"/>
        <w:ind w:firstLine="709"/>
        <w:jc w:val="both"/>
        <w:rPr>
          <w:rFonts w:ascii="Verdana" w:hAnsi="Verdana"/>
          <w:sz w:val="16"/>
          <w:szCs w:val="16"/>
        </w:rPr>
      </w:pPr>
      <w:r w:rsidRPr="00055B0F">
        <w:rPr>
          <w:rStyle w:val="Refdenotaalpie"/>
          <w:rFonts w:ascii="Verdana" w:hAnsi="Verdana"/>
          <w:sz w:val="16"/>
          <w:szCs w:val="16"/>
        </w:rPr>
        <w:footnoteRef/>
      </w:r>
      <w:r w:rsidRPr="00055B0F">
        <w:rPr>
          <w:rFonts w:ascii="Verdana" w:hAnsi="Verdana"/>
          <w:sz w:val="16"/>
          <w:szCs w:val="16"/>
        </w:rPr>
        <w:t xml:space="preserve"> </w:t>
      </w:r>
      <w:r w:rsidRPr="00E45351">
        <w:rPr>
          <w:rFonts w:ascii="Verdana" w:hAnsi="Verdana"/>
          <w:sz w:val="16"/>
          <w:szCs w:val="16"/>
        </w:rPr>
        <w:t>Corte Constitucional, Sentencia C-768 de 23 de septiembre de 2010. M.P.: Juan Carlos Henao Pérez indicó: “Para explicar esta afirmación conviene señalar que las estampillas han sido definidas por la jurisprudencia del Consejo de Estado (…) como tributos dentro de la especie de “tasas parafiscales”, en la medida en que participan de la naturaleza de las contribuciones parafiscales, pues constituyen un gravamen cuyo pago obligatorio deben realizar los usuarios de algunas operaciones o actividades que se realizan frente a organismos de carácter público; son de carácter excepcional en cuanto al sujeto pasivo del tributo; los recursos se revierten en beneficio de un sector específico; y están destinados a sufragar gastos en que incurran las entidad des que desarrollan o prestan un servicio público, como función propia del Estado. // La “tasa” si bien puede corresponder a la prestación directa de un servicio público, del cual es usuario el contribuyente que se beneficia efectivamente, también puede corresponder al beneficio potencial por la utilización de servicios de aprovechamiento común, como la educación, 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 en beneficio de organismos públicos o privados, pero no por la prestación de un servicio propiamente dicho, sino por contener un carácter social”.</w:t>
      </w:r>
    </w:p>
    <w:p w14:paraId="55EF8DC7" w14:textId="77777777" w:rsidR="00C22DB4" w:rsidRPr="00055B0F" w:rsidRDefault="00C22DB4" w:rsidP="00C22DB4">
      <w:pPr>
        <w:pStyle w:val="Textonotapie"/>
        <w:ind w:firstLine="709"/>
        <w:jc w:val="both"/>
        <w:rPr>
          <w:rFonts w:ascii="Verdana" w:hAnsi="Verdana"/>
          <w:sz w:val="16"/>
          <w:szCs w:val="16"/>
          <w:lang w:val="es-ES"/>
        </w:rPr>
      </w:pPr>
    </w:p>
  </w:footnote>
  <w:footnote w:id="18">
    <w:p w14:paraId="621EF4DD" w14:textId="77777777" w:rsidR="00C22DB4" w:rsidRPr="00E45351" w:rsidRDefault="00C22DB4" w:rsidP="00C22DB4">
      <w:pPr>
        <w:pStyle w:val="Textonotapie"/>
        <w:ind w:firstLine="709"/>
        <w:jc w:val="both"/>
        <w:rPr>
          <w:rFonts w:ascii="Verdana" w:hAnsi="Verdana"/>
          <w:sz w:val="16"/>
          <w:szCs w:val="16"/>
          <w:lang w:val="es-ES"/>
        </w:rPr>
      </w:pPr>
      <w:r w:rsidRPr="00E45351">
        <w:rPr>
          <w:rStyle w:val="Refdenotaalpie"/>
          <w:rFonts w:ascii="Verdana" w:hAnsi="Verdana"/>
          <w:sz w:val="16"/>
          <w:szCs w:val="16"/>
        </w:rPr>
        <w:footnoteRef/>
      </w:r>
      <w:r w:rsidRPr="00E45351">
        <w:rPr>
          <w:rFonts w:ascii="Verdana" w:hAnsi="Verdana"/>
          <w:sz w:val="16"/>
          <w:szCs w:val="16"/>
        </w:rPr>
        <w:t xml:space="preserve"> Corte Constitucional, Sentencia C-221 de 22 de mayo de 2019. M.P. Carlos Bernal Pulido. En la sentencia se indicó que la estampilla ‘Pro-Universidad Nacional de Colombia y demás universidades estatales de Colombia’ indicó que se trataba de un impuesto con destinación específica “pues se trata de una “imposición obligatoria y definitiva que no guarda relación directa e inmediata con la prestación de un bien o un servicio por parte del Estado al ciudadano”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732" w:hanging="360"/>
      </w:pPr>
      <w:rPr>
        <w:rFonts w:ascii="Symbol" w:hAnsi="Symbol" w:hint="default"/>
        <w:color w:val="auto"/>
        <w:sz w:val="22"/>
        <w:szCs w:val="22"/>
      </w:rPr>
    </w:lvl>
    <w:lvl w:ilvl="1" w:tplc="240A0003" w:tentative="1">
      <w:start w:val="1"/>
      <w:numFmt w:val="bullet"/>
      <w:lvlText w:val="o"/>
      <w:lvlJc w:val="left"/>
      <w:pPr>
        <w:ind w:left="8452" w:hanging="360"/>
      </w:pPr>
      <w:rPr>
        <w:rFonts w:ascii="Courier New" w:hAnsi="Courier New" w:cs="Courier New" w:hint="default"/>
      </w:rPr>
    </w:lvl>
    <w:lvl w:ilvl="2" w:tplc="240A0005" w:tentative="1">
      <w:start w:val="1"/>
      <w:numFmt w:val="bullet"/>
      <w:lvlText w:val=""/>
      <w:lvlJc w:val="left"/>
      <w:pPr>
        <w:ind w:left="9172" w:hanging="360"/>
      </w:pPr>
      <w:rPr>
        <w:rFonts w:ascii="Wingdings" w:hAnsi="Wingdings" w:hint="default"/>
      </w:rPr>
    </w:lvl>
    <w:lvl w:ilvl="3" w:tplc="240A0001" w:tentative="1">
      <w:start w:val="1"/>
      <w:numFmt w:val="bullet"/>
      <w:lvlText w:val=""/>
      <w:lvlJc w:val="left"/>
      <w:pPr>
        <w:ind w:left="9892" w:hanging="360"/>
      </w:pPr>
      <w:rPr>
        <w:rFonts w:ascii="Symbol" w:hAnsi="Symbol" w:hint="default"/>
      </w:rPr>
    </w:lvl>
    <w:lvl w:ilvl="4" w:tplc="240A0003" w:tentative="1">
      <w:start w:val="1"/>
      <w:numFmt w:val="bullet"/>
      <w:lvlText w:val="o"/>
      <w:lvlJc w:val="left"/>
      <w:pPr>
        <w:ind w:left="10612" w:hanging="360"/>
      </w:pPr>
      <w:rPr>
        <w:rFonts w:ascii="Courier New" w:hAnsi="Courier New" w:cs="Courier New" w:hint="default"/>
      </w:rPr>
    </w:lvl>
    <w:lvl w:ilvl="5" w:tplc="240A0005" w:tentative="1">
      <w:start w:val="1"/>
      <w:numFmt w:val="bullet"/>
      <w:lvlText w:val=""/>
      <w:lvlJc w:val="left"/>
      <w:pPr>
        <w:ind w:left="11332" w:hanging="360"/>
      </w:pPr>
      <w:rPr>
        <w:rFonts w:ascii="Wingdings" w:hAnsi="Wingdings" w:hint="default"/>
      </w:rPr>
    </w:lvl>
    <w:lvl w:ilvl="6" w:tplc="240A0001" w:tentative="1">
      <w:start w:val="1"/>
      <w:numFmt w:val="bullet"/>
      <w:lvlText w:val=""/>
      <w:lvlJc w:val="left"/>
      <w:pPr>
        <w:ind w:left="12052" w:hanging="360"/>
      </w:pPr>
      <w:rPr>
        <w:rFonts w:ascii="Symbol" w:hAnsi="Symbol" w:hint="default"/>
      </w:rPr>
    </w:lvl>
    <w:lvl w:ilvl="7" w:tplc="240A0003" w:tentative="1">
      <w:start w:val="1"/>
      <w:numFmt w:val="bullet"/>
      <w:lvlText w:val="o"/>
      <w:lvlJc w:val="left"/>
      <w:pPr>
        <w:ind w:left="12772" w:hanging="360"/>
      </w:pPr>
      <w:rPr>
        <w:rFonts w:ascii="Courier New" w:hAnsi="Courier New" w:cs="Courier New" w:hint="default"/>
      </w:rPr>
    </w:lvl>
    <w:lvl w:ilvl="8" w:tplc="240A0005" w:tentative="1">
      <w:start w:val="1"/>
      <w:numFmt w:val="bullet"/>
      <w:lvlText w:val=""/>
      <w:lvlJc w:val="left"/>
      <w:pPr>
        <w:ind w:left="13492"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69146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19D"/>
    <w:rsid w:val="000D0334"/>
    <w:rsid w:val="000D5DA7"/>
    <w:rsid w:val="000F6486"/>
    <w:rsid w:val="0010338B"/>
    <w:rsid w:val="00116940"/>
    <w:rsid w:val="00125105"/>
    <w:rsid w:val="00127233"/>
    <w:rsid w:val="00134E09"/>
    <w:rsid w:val="00140F45"/>
    <w:rsid w:val="0015699B"/>
    <w:rsid w:val="001A33BF"/>
    <w:rsid w:val="001D7A0B"/>
    <w:rsid w:val="001E4177"/>
    <w:rsid w:val="001F0B24"/>
    <w:rsid w:val="001F7DC6"/>
    <w:rsid w:val="0022400B"/>
    <w:rsid w:val="00231CA2"/>
    <w:rsid w:val="002421BB"/>
    <w:rsid w:val="0025796E"/>
    <w:rsid w:val="002707A2"/>
    <w:rsid w:val="002951A0"/>
    <w:rsid w:val="002962BC"/>
    <w:rsid w:val="002A093D"/>
    <w:rsid w:val="002A0DD0"/>
    <w:rsid w:val="002A49AC"/>
    <w:rsid w:val="002A64FD"/>
    <w:rsid w:val="002C7A84"/>
    <w:rsid w:val="002D0185"/>
    <w:rsid w:val="002E2BF8"/>
    <w:rsid w:val="002E4FD9"/>
    <w:rsid w:val="0030657A"/>
    <w:rsid w:val="00322A85"/>
    <w:rsid w:val="00324168"/>
    <w:rsid w:val="00330834"/>
    <w:rsid w:val="003448F4"/>
    <w:rsid w:val="00374F5E"/>
    <w:rsid w:val="00377E3E"/>
    <w:rsid w:val="003A779E"/>
    <w:rsid w:val="003C62B6"/>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1840"/>
    <w:rsid w:val="00554524"/>
    <w:rsid w:val="005566E8"/>
    <w:rsid w:val="00574867"/>
    <w:rsid w:val="00591460"/>
    <w:rsid w:val="005A0192"/>
    <w:rsid w:val="005A65E0"/>
    <w:rsid w:val="005C1687"/>
    <w:rsid w:val="005C3777"/>
    <w:rsid w:val="005C5CDC"/>
    <w:rsid w:val="005C7827"/>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69C"/>
    <w:rsid w:val="007C3DC2"/>
    <w:rsid w:val="007E5497"/>
    <w:rsid w:val="00806F5F"/>
    <w:rsid w:val="00820278"/>
    <w:rsid w:val="008258C9"/>
    <w:rsid w:val="00834811"/>
    <w:rsid w:val="00844AE9"/>
    <w:rsid w:val="00867F95"/>
    <w:rsid w:val="00882A74"/>
    <w:rsid w:val="008843B6"/>
    <w:rsid w:val="00891928"/>
    <w:rsid w:val="008A446D"/>
    <w:rsid w:val="008B25F1"/>
    <w:rsid w:val="008D180B"/>
    <w:rsid w:val="008F0EA7"/>
    <w:rsid w:val="008F3954"/>
    <w:rsid w:val="00923EEF"/>
    <w:rsid w:val="009419F9"/>
    <w:rsid w:val="0095685E"/>
    <w:rsid w:val="00961B09"/>
    <w:rsid w:val="00965334"/>
    <w:rsid w:val="0097093E"/>
    <w:rsid w:val="009A0DFA"/>
    <w:rsid w:val="009A1C6F"/>
    <w:rsid w:val="009B2D26"/>
    <w:rsid w:val="009C71FA"/>
    <w:rsid w:val="009C72E7"/>
    <w:rsid w:val="009C7F7E"/>
    <w:rsid w:val="009D3058"/>
    <w:rsid w:val="009D3B5A"/>
    <w:rsid w:val="009F3A13"/>
    <w:rsid w:val="00A0703E"/>
    <w:rsid w:val="00A122D3"/>
    <w:rsid w:val="00A14468"/>
    <w:rsid w:val="00A17F13"/>
    <w:rsid w:val="00A20739"/>
    <w:rsid w:val="00A210FD"/>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22DB4"/>
    <w:rsid w:val="00C330EB"/>
    <w:rsid w:val="00C50D69"/>
    <w:rsid w:val="00C5365C"/>
    <w:rsid w:val="00C64DD2"/>
    <w:rsid w:val="00C754BE"/>
    <w:rsid w:val="00C76B1C"/>
    <w:rsid w:val="00C925AC"/>
    <w:rsid w:val="00C934D9"/>
    <w:rsid w:val="00CB6357"/>
    <w:rsid w:val="00CC1B26"/>
    <w:rsid w:val="00CE3BAB"/>
    <w:rsid w:val="00D361FD"/>
    <w:rsid w:val="00D423A2"/>
    <w:rsid w:val="00D44E26"/>
    <w:rsid w:val="00D520D8"/>
    <w:rsid w:val="00D63AC2"/>
    <w:rsid w:val="00D7383B"/>
    <w:rsid w:val="00D7788A"/>
    <w:rsid w:val="00D907D0"/>
    <w:rsid w:val="00DA1C05"/>
    <w:rsid w:val="00DA231B"/>
    <w:rsid w:val="00DC39FC"/>
    <w:rsid w:val="00DF5254"/>
    <w:rsid w:val="00E02524"/>
    <w:rsid w:val="00E16408"/>
    <w:rsid w:val="00E20894"/>
    <w:rsid w:val="00E245AB"/>
    <w:rsid w:val="00E2764C"/>
    <w:rsid w:val="00E27F2E"/>
    <w:rsid w:val="00E361A0"/>
    <w:rsid w:val="00E50AFE"/>
    <w:rsid w:val="00E75C92"/>
    <w:rsid w:val="00E771DC"/>
    <w:rsid w:val="00E8772A"/>
    <w:rsid w:val="00E90F6B"/>
    <w:rsid w:val="00E92C27"/>
    <w:rsid w:val="00EA0E3D"/>
    <w:rsid w:val="00EA581C"/>
    <w:rsid w:val="00EC38A7"/>
    <w:rsid w:val="00EE1AA8"/>
    <w:rsid w:val="00EE27D0"/>
    <w:rsid w:val="00EF436C"/>
    <w:rsid w:val="00F23FEA"/>
    <w:rsid w:val="00F31EDC"/>
    <w:rsid w:val="00F32BB2"/>
    <w:rsid w:val="00F462B3"/>
    <w:rsid w:val="00F5664F"/>
    <w:rsid w:val="00F666C4"/>
    <w:rsid w:val="00F76AFC"/>
    <w:rsid w:val="00FA47C0"/>
    <w:rsid w:val="00FB5DD1"/>
    <w:rsid w:val="00FC2B5D"/>
    <w:rsid w:val="00FE18B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22DB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22DB4"/>
    <w:rPr>
      <w:rFonts w:ascii="Geomanist Light" w:hAnsi="Geomanist Light"/>
      <w:lang w:val="es-ES"/>
    </w:rPr>
  </w:style>
  <w:style w:type="character" w:customStyle="1" w:styleId="s15">
    <w:name w:val="s15"/>
    <w:basedOn w:val="Fuentedeprrafopredeter"/>
    <w:rsid w:val="00C22DB4"/>
  </w:style>
  <w:style w:type="character" w:customStyle="1" w:styleId="apple-converted-space">
    <w:name w:val="apple-converted-space"/>
    <w:basedOn w:val="Fuentedeprrafopredeter"/>
    <w:rsid w:val="00C22DB4"/>
  </w:style>
  <w:style w:type="paragraph" w:styleId="Textoindependiente">
    <w:name w:val="Body Text"/>
    <w:basedOn w:val="Normal"/>
    <w:link w:val="TextoindependienteCar"/>
    <w:uiPriority w:val="1"/>
    <w:qFormat/>
    <w:rsid w:val="00C22DB4"/>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C22DB4"/>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01711@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B7B30B-88C9-4F83-8BE3-B7DEC9056D2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24</Pages>
  <Words>8217</Words>
  <Characters>45197</Characters>
  <Application>Microsoft Office Word</Application>
  <DocSecurity>0</DocSecurity>
  <Lines>376</Lines>
  <Paragraphs>106</Paragraphs>
  <ScaleCrop>false</ScaleCrop>
  <Company/>
  <LinksUpToDate>false</LinksUpToDate>
  <CharactersWithSpaces>53308</CharactersWithSpaces>
  <SharedDoc>false</SharedDoc>
  <HLinks>
    <vt:vector size="36" baseType="variant">
      <vt:variant>
        <vt:i4>2687010</vt:i4>
      </vt:variant>
      <vt:variant>
        <vt:i4>15</vt:i4>
      </vt:variant>
      <vt:variant>
        <vt:i4>0</vt:i4>
      </vt:variant>
      <vt:variant>
        <vt:i4>5</vt:i4>
      </vt:variant>
      <vt:variant>
        <vt:lpwstr>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vt:lpwstr>
      </vt:variant>
      <vt:variant>
        <vt:lpwstr/>
      </vt:variant>
      <vt:variant>
        <vt:i4>3014777</vt:i4>
      </vt:variant>
      <vt:variant>
        <vt:i4>12</vt:i4>
      </vt:variant>
      <vt:variant>
        <vt:i4>0</vt:i4>
      </vt:variant>
      <vt:variant>
        <vt:i4>5</vt:i4>
      </vt:variant>
      <vt:variant>
        <vt:lpwstr>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vt:lpwstr>
      </vt:variant>
      <vt:variant>
        <vt:lpwstr/>
      </vt:variant>
      <vt:variant>
        <vt:i4>3080313</vt:i4>
      </vt:variant>
      <vt:variant>
        <vt:i4>9</vt:i4>
      </vt:variant>
      <vt:variant>
        <vt:i4>0</vt:i4>
      </vt:variant>
      <vt:variant>
        <vt:i4>5</vt:i4>
      </vt:variant>
      <vt:variant>
        <vt:lpwstr>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vt:lpwstr>
      </vt:variant>
      <vt:variant>
        <vt:lpwstr/>
      </vt:variant>
      <vt:variant>
        <vt:i4>7798893</vt:i4>
      </vt:variant>
      <vt:variant>
        <vt:i4>6</vt:i4>
      </vt:variant>
      <vt:variant>
        <vt:i4>0</vt:i4>
      </vt:variant>
      <vt:variant>
        <vt:i4>5</vt:i4>
      </vt:variant>
      <vt:variant>
        <vt:lpwstr>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2818127</vt:i4>
      </vt:variant>
      <vt:variant>
        <vt:i4>0</vt:i4>
      </vt:variant>
      <vt:variant>
        <vt:i4>0</vt:i4>
      </vt:variant>
      <vt:variant>
        <vt:i4>5</vt:i4>
      </vt:variant>
      <vt:variant>
        <vt:lpwstr>mailto:andres01711@hotmail.com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6</cp:revision>
  <cp:lastPrinted>2023-01-10T21:18:00Z</cp:lastPrinted>
  <dcterms:created xsi:type="dcterms:W3CDTF">2026-10-15T22:37:00Z</dcterms:created>
  <dcterms:modified xsi:type="dcterms:W3CDTF">2026-10-15T23:16:00Z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