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32C1E" w14:textId="77777777" w:rsidR="00EC2023" w:rsidRDefault="00EC2023" w:rsidP="00EC2023">
      <w:pPr>
        <w:spacing w:after="0"/>
        <w:jc w:val="both"/>
        <w:rPr>
          <w:rFonts w:ascii="Verdana" w:hAnsi="Verdana" w:cs="Arial"/>
          <w:b/>
          <w:bCs/>
          <w:lang w:val="es-ES" w:eastAsia="es-ES"/>
        </w:rPr>
      </w:pPr>
      <w:r w:rsidRPr="00180DAF">
        <w:rPr>
          <w:rFonts w:ascii="Verdana" w:hAnsi="Verdana" w:cs="Arial"/>
          <w:b/>
          <w:bCs/>
          <w:lang w:val="es-ES" w:eastAsia="es-ES"/>
        </w:rPr>
        <w:t xml:space="preserve">CONTRATO ESTATAL – Concepto </w:t>
      </w:r>
    </w:p>
    <w:p w14:paraId="24307AA7" w14:textId="77777777" w:rsidR="00EC2023" w:rsidRDefault="00EC2023" w:rsidP="00EC2023">
      <w:pPr>
        <w:spacing w:after="0"/>
        <w:jc w:val="both"/>
        <w:rPr>
          <w:rFonts w:ascii="Verdana" w:hAnsi="Verdana" w:cs="Arial"/>
          <w:b/>
          <w:bCs/>
          <w:lang w:val="es-ES" w:eastAsia="es-ES"/>
        </w:rPr>
      </w:pPr>
    </w:p>
    <w:p w14:paraId="72DE26F7" w14:textId="77777777" w:rsidR="00EC2023" w:rsidRPr="00B82C26" w:rsidRDefault="00EC2023" w:rsidP="00EC2023">
      <w:pPr>
        <w:spacing w:after="0" w:line="240" w:lineRule="auto"/>
        <w:jc w:val="both"/>
        <w:rPr>
          <w:rFonts w:ascii="Verdana" w:hAnsi="Verdana" w:cs="Arial"/>
          <w:sz w:val="20"/>
        </w:rPr>
      </w:pPr>
      <w:r w:rsidRPr="00B82C26">
        <w:rPr>
          <w:rFonts w:ascii="Verdana" w:eastAsia="Calibri" w:hAnsi="Verdana" w:cs="Arial"/>
          <w:sz w:val="20"/>
          <w:lang w:val="es-ES"/>
        </w:rPr>
        <w:t xml:space="preserve">El Estatuto General de Contratación de la Administración Pública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B82C26">
        <w:rPr>
          <w:rFonts w:ascii="Verdana" w:hAnsi="Verdana" w:cs="Arial"/>
          <w:sz w:val="20"/>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4F89CAD0" w14:textId="77777777" w:rsidR="00EC2023" w:rsidRDefault="00EC2023" w:rsidP="00EC2023">
      <w:pPr>
        <w:spacing w:after="0" w:line="240" w:lineRule="auto"/>
        <w:jc w:val="both"/>
        <w:rPr>
          <w:rFonts w:ascii="Verdana" w:hAnsi="Verdana" w:cs="Arial"/>
          <w:sz w:val="20"/>
        </w:rPr>
      </w:pPr>
    </w:p>
    <w:p w14:paraId="74367BC7" w14:textId="77777777" w:rsidR="00EC2023" w:rsidRPr="00930772" w:rsidRDefault="00EC2023" w:rsidP="00EC2023">
      <w:pPr>
        <w:spacing w:after="0" w:line="240" w:lineRule="auto"/>
        <w:jc w:val="both"/>
        <w:rPr>
          <w:rFonts w:ascii="Verdana" w:hAnsi="Verdana" w:cs="Arial"/>
          <w:sz w:val="20"/>
        </w:rPr>
      </w:pPr>
      <w:r w:rsidRPr="00B82C26">
        <w:rPr>
          <w:rFonts w:ascii="Verdana" w:hAnsi="Verdana" w:cs="Arial"/>
          <w:sz w:val="20"/>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693788E9" w14:textId="77777777" w:rsidR="00EC2023" w:rsidRDefault="00EC2023" w:rsidP="00EC2023">
      <w:pPr>
        <w:spacing w:after="0"/>
        <w:jc w:val="both"/>
        <w:rPr>
          <w:rFonts w:ascii="Verdana" w:eastAsia="Calibri" w:hAnsi="Verdana" w:cs="Arial"/>
          <w:b/>
          <w:bCs/>
          <w:lang w:val="es-MX"/>
        </w:rPr>
      </w:pPr>
    </w:p>
    <w:p w14:paraId="128C4A29" w14:textId="77777777" w:rsidR="00EC2023" w:rsidRPr="00584164" w:rsidRDefault="00EC2023" w:rsidP="00EC2023">
      <w:pPr>
        <w:spacing w:after="0"/>
        <w:jc w:val="both"/>
        <w:rPr>
          <w:rFonts w:ascii="Verdana" w:eastAsia="Calibri" w:hAnsi="Verdana" w:cs="Arial"/>
          <w:b/>
          <w:bCs/>
          <w:lang w:val="es-MX"/>
        </w:rPr>
      </w:pPr>
      <w:r w:rsidRPr="00584164">
        <w:rPr>
          <w:rFonts w:ascii="Verdana" w:eastAsia="Calibri" w:hAnsi="Verdana" w:cs="Arial"/>
          <w:b/>
          <w:bCs/>
          <w:lang w:val="es-MX"/>
        </w:rPr>
        <w:t>CONTRATO ESTATAL</w:t>
      </w:r>
      <w:r>
        <w:rPr>
          <w:rFonts w:ascii="Verdana" w:eastAsia="Calibri" w:hAnsi="Verdana" w:cs="Arial"/>
          <w:b/>
          <w:bCs/>
          <w:lang w:val="es-MX"/>
        </w:rPr>
        <w:t xml:space="preserve"> -</w:t>
      </w:r>
      <w:r w:rsidRPr="00584164">
        <w:rPr>
          <w:rFonts w:ascii="Verdana" w:eastAsia="Calibri" w:hAnsi="Verdana" w:cs="Arial"/>
          <w:b/>
          <w:bCs/>
          <w:lang w:val="es-MX"/>
        </w:rPr>
        <w:t xml:space="preserve"> Perfeccionamiento </w:t>
      </w:r>
    </w:p>
    <w:p w14:paraId="2B05AF82" w14:textId="77777777" w:rsidR="00EC2023" w:rsidRDefault="00EC2023" w:rsidP="00EC2023">
      <w:pPr>
        <w:spacing w:after="0"/>
        <w:rPr>
          <w:rFonts w:ascii="Verdana" w:eastAsia="Calibri" w:hAnsi="Verdana" w:cs="Arial"/>
          <w:lang w:val="es-MX"/>
        </w:rPr>
      </w:pPr>
    </w:p>
    <w:p w14:paraId="142AD2F0" w14:textId="77777777" w:rsidR="00EC2023" w:rsidRPr="00973500" w:rsidRDefault="00EC2023" w:rsidP="00EC2023">
      <w:pPr>
        <w:spacing w:after="120" w:line="240" w:lineRule="auto"/>
        <w:jc w:val="both"/>
        <w:rPr>
          <w:rFonts w:ascii="Verdana" w:hAnsi="Verdana"/>
          <w:sz w:val="20"/>
          <w:szCs w:val="20"/>
        </w:rPr>
      </w:pPr>
      <w:r w:rsidRPr="00973500">
        <w:rPr>
          <w:rFonts w:ascii="Verdana" w:hAnsi="Verdana"/>
          <w:sz w:val="20"/>
          <w:szCs w:val="20"/>
        </w:rPr>
        <w:t>[…] La única diferencia es que, en los contratos estatales, aquel debe cumplir con la solemnidad escrituraria, que significa la formalidad del escrito, convirtiéndose así en lo sustancial del acto jurídico, en virtud de los artículos 39 y 41 de la Ley 80 de 1993. En otras palabras, el contrato estatal existe y se perfecciona cuando consta por escrito y el contenido de ese escrito contenga el acuerdo sobre el objeto y la contraprestación.</w:t>
      </w:r>
    </w:p>
    <w:p w14:paraId="49EB0A51" w14:textId="77777777" w:rsidR="00EC2023" w:rsidRPr="00F62693" w:rsidRDefault="00EC2023" w:rsidP="00EC2023">
      <w:pPr>
        <w:spacing w:after="0" w:line="240" w:lineRule="auto"/>
        <w:rPr>
          <w:rFonts w:ascii="Verdana" w:eastAsia="Calibri" w:hAnsi="Verdana" w:cs="Arial"/>
          <w:b/>
          <w:bCs/>
          <w:color w:val="FFC000" w:themeColor="accent4"/>
          <w:sz w:val="20"/>
          <w:szCs w:val="20"/>
          <w:lang w:val="es-ES_tradnl"/>
        </w:rPr>
      </w:pPr>
    </w:p>
    <w:p w14:paraId="58F7AA0E" w14:textId="77777777" w:rsidR="00EC2023" w:rsidRDefault="00EC2023" w:rsidP="00EC2023">
      <w:pPr>
        <w:spacing w:after="0"/>
        <w:jc w:val="both"/>
        <w:rPr>
          <w:rFonts w:ascii="Verdana" w:hAnsi="Verdana" w:cs="Arial"/>
          <w:b/>
          <w:bCs/>
          <w:lang w:val="es-ES" w:eastAsia="es-ES"/>
        </w:rPr>
      </w:pPr>
      <w:r w:rsidRPr="002F5B2F">
        <w:rPr>
          <w:rFonts w:ascii="Verdana" w:hAnsi="Verdana" w:cs="Arial"/>
          <w:b/>
          <w:bCs/>
          <w:lang w:val="es-ES" w:eastAsia="es-ES"/>
        </w:rPr>
        <w:t>RED DE HOGARES DE PASO – Ley 1098 de 2006 – Guía Operativa de la Modalidad Hogar de Paso – Modalidades</w:t>
      </w:r>
    </w:p>
    <w:p w14:paraId="3043B2C1" w14:textId="77777777" w:rsidR="00EC2023" w:rsidRPr="002F5B2F" w:rsidRDefault="00EC2023" w:rsidP="00EC2023">
      <w:pPr>
        <w:spacing w:before="120" w:after="120" w:line="240" w:lineRule="auto"/>
        <w:jc w:val="both"/>
        <w:rPr>
          <w:rFonts w:ascii="Verdana" w:hAnsi="Verdana"/>
          <w:sz w:val="20"/>
          <w:szCs w:val="20"/>
          <w:lang w:val="es-ES_tradnl"/>
        </w:rPr>
      </w:pPr>
      <w:r>
        <w:rPr>
          <w:rFonts w:ascii="Verdana" w:hAnsi="Verdana"/>
          <w:sz w:val="20"/>
          <w:szCs w:val="20"/>
          <w:lang w:val="es-ES_tradnl"/>
        </w:rPr>
        <w:t>L</w:t>
      </w:r>
      <w:r w:rsidRPr="002F5B2F">
        <w:rPr>
          <w:rFonts w:ascii="Verdana" w:hAnsi="Verdana"/>
          <w:sz w:val="20"/>
          <w:szCs w:val="20"/>
          <w:lang w:val="es-ES_tradnl"/>
        </w:rPr>
        <w:t>a red de hogares de paso constituye un sistema de alcance territorial y nacional, cuyo objetivo es garantizar la ubicación y la atención inmediata de niñas, niños y adolescentes que se encuentran en un proceso administrativo de restablecimiento de derechos. Estos hogares deben estar debidamente registrados y facilitar el ejercicio de las funciones de seguimiento y control por parte de las autoridades competentes. Así mismo, podrán ser administrados directamente por la entidad territorial o a través de una entidad del Sistema Nacional de Bienestar Familiar que cuente con licencia de funcionamiento para la prestación del Servicio Público de Bienestar Familiar, contratada por la respectiva entidad territorial</w:t>
      </w:r>
      <w:r>
        <w:rPr>
          <w:rFonts w:ascii="Verdana" w:hAnsi="Verdana"/>
          <w:sz w:val="20"/>
          <w:szCs w:val="20"/>
          <w:lang w:val="es-ES_tradnl"/>
        </w:rPr>
        <w:t>.</w:t>
      </w:r>
    </w:p>
    <w:p w14:paraId="302D5D85" w14:textId="77777777" w:rsidR="00EC2023" w:rsidRDefault="00EC2023" w:rsidP="00EC2023">
      <w:pPr>
        <w:spacing w:before="120" w:after="120" w:line="240" w:lineRule="auto"/>
        <w:jc w:val="both"/>
        <w:rPr>
          <w:rFonts w:ascii="Verdana" w:hAnsi="Verdana"/>
          <w:sz w:val="20"/>
          <w:szCs w:val="20"/>
          <w:lang w:val="es-ES"/>
        </w:rPr>
      </w:pPr>
      <w:r w:rsidRPr="4ED4972E">
        <w:rPr>
          <w:rFonts w:ascii="Verdana" w:hAnsi="Verdana"/>
          <w:sz w:val="20"/>
          <w:szCs w:val="20"/>
          <w:lang w:val="es-ES"/>
        </w:rPr>
        <w:t xml:space="preserve">En cuanto a las modalidades para la operación del Hogar de Paso, la “Guía Operativa de la Modalidad Hogar de Paso” expedida por el Instituto Colombiano de Bienestar Familiar – ICBF establece dos: i) Hogar de Paso con operador, la cual para prestar los servicios de protección integral requiere licencia de funcionamiento otorgada por el Instituto Colombiano de Bienestar Familiar, en razón a lo establecido en el artículo 16 de la Ley </w:t>
      </w:r>
      <w:r w:rsidRPr="4ED4972E">
        <w:rPr>
          <w:rFonts w:ascii="Verdana" w:hAnsi="Verdana"/>
          <w:sz w:val="20"/>
          <w:szCs w:val="20"/>
          <w:lang w:val="es-ES"/>
        </w:rPr>
        <w:lastRenderedPageBreak/>
        <w:t xml:space="preserve">1098 de 2006. Frente a dicha licencia es necesario acreditar los requisitos de carácter legal, financiero, técnicos y administrativos establecidos en la Resolución 3899 de 2010, y </w:t>
      </w:r>
      <w:proofErr w:type="spellStart"/>
      <w:r w:rsidRPr="4ED4972E">
        <w:rPr>
          <w:rFonts w:ascii="Verdana" w:hAnsi="Verdana"/>
          <w:sz w:val="20"/>
          <w:szCs w:val="20"/>
          <w:lang w:val="es-ES"/>
        </w:rPr>
        <w:t>ii</w:t>
      </w:r>
      <w:proofErr w:type="spellEnd"/>
      <w:r w:rsidRPr="4ED4972E">
        <w:rPr>
          <w:rFonts w:ascii="Verdana" w:hAnsi="Verdana"/>
          <w:sz w:val="20"/>
          <w:szCs w:val="20"/>
          <w:lang w:val="es-ES"/>
        </w:rPr>
        <w:t>) Hogar de Paso Familia, modalidad de operación administrada y financiada directamente por la entidad territorial, así como la ejecución del proceso de selección.</w:t>
      </w:r>
    </w:p>
    <w:p w14:paraId="088AD65A" w14:textId="77777777" w:rsidR="00EC2023" w:rsidRDefault="00EC2023" w:rsidP="00EC2023">
      <w:pPr>
        <w:spacing w:after="0"/>
        <w:jc w:val="both"/>
        <w:rPr>
          <w:rFonts w:ascii="Verdana" w:hAnsi="Verdana" w:cs="Arial"/>
          <w:b/>
          <w:bCs/>
          <w:lang w:val="es-ES" w:eastAsia="es-ES"/>
        </w:rPr>
      </w:pPr>
      <w:r w:rsidRPr="002F5B2F">
        <w:rPr>
          <w:rFonts w:ascii="Verdana" w:hAnsi="Verdana" w:cs="Arial"/>
          <w:b/>
          <w:bCs/>
          <w:lang w:val="es-ES" w:eastAsia="es-ES"/>
        </w:rPr>
        <w:t>RED DE HOGARES DE PASO – Vinculación – Entidad territorial – Autonomía</w:t>
      </w:r>
    </w:p>
    <w:p w14:paraId="53A25AF9" w14:textId="77777777" w:rsidR="004F2D5D" w:rsidRDefault="00EC2023" w:rsidP="004F2D5D">
      <w:pPr>
        <w:spacing w:after="0"/>
        <w:jc w:val="both"/>
        <w:rPr>
          <w:rFonts w:ascii="Verdana" w:hAnsi="Verdana" w:cs="Arial"/>
          <w:b/>
          <w:bCs/>
          <w:lang w:val="es-ES" w:eastAsia="es-ES"/>
        </w:rPr>
      </w:pPr>
      <w:r w:rsidRPr="002F5B2F">
        <w:rPr>
          <w:rFonts w:ascii="Verdana" w:hAnsi="Verdana" w:cs="Arial"/>
          <w:b/>
          <w:bCs/>
          <w:lang w:val="es-ES" w:eastAsia="es-ES"/>
        </w:rPr>
        <w:t xml:space="preserve"> </w:t>
      </w:r>
    </w:p>
    <w:p w14:paraId="3768EC21" w14:textId="6C2B4927" w:rsidR="00EC2023" w:rsidRPr="004F2D5D" w:rsidRDefault="00EC2023" w:rsidP="004F2D5D">
      <w:pPr>
        <w:spacing w:after="0"/>
        <w:jc w:val="both"/>
        <w:rPr>
          <w:rFonts w:ascii="Verdana" w:hAnsi="Verdana" w:cs="Arial"/>
          <w:b/>
          <w:bCs/>
          <w:lang w:val="es-ES" w:eastAsia="es-ES"/>
        </w:rPr>
      </w:pPr>
      <w:r w:rsidRPr="002F5B2F">
        <w:rPr>
          <w:rFonts w:ascii="Verdana" w:hAnsi="Verdana"/>
          <w:sz w:val="20"/>
          <w:szCs w:val="20"/>
          <w:lang w:val="es-ES_tradnl"/>
        </w:rPr>
        <w:t>Para efectos de la modalidad de Hogar de Paso Familia, la Guía establece orientaciones y recomendaciones para la realización de un proceso de selección para que sea aplicado directamente por la entidad territorial, por los operadores contratados para administrar la modalidad o por los profesionales destinados para este fin. El objetivo es orientar a la selección directa de familias, con el cumplimiento de los criterios de idoneidad para el cuidado de las niñas, los niños y los adolescentes, con el fin de ofrecer las mejores condiciones para la atención de ellos. En tal sentido, la Guía indica que debe realizar estos procesos de manera constante y como mínimo dos procesos de selección al año, preferiblemente uno en cada semestre, con el fin de mantener un banco de datos con la información de las familias disponibles para la ubicación de las niñas, los niños y los adolescentes en el momento en que sea requerido. Este procedimiento culmina con un acta de aprobación y la resolución en la cual se establece la figura del responsable de Hogar de Paso.</w:t>
      </w:r>
    </w:p>
    <w:p w14:paraId="4F377EE9" w14:textId="77777777" w:rsidR="00EC2023" w:rsidRDefault="00EC2023" w:rsidP="00EC2023">
      <w:pPr>
        <w:spacing w:after="0" w:line="240" w:lineRule="auto"/>
        <w:jc w:val="both"/>
        <w:rPr>
          <w:rFonts w:ascii="Verdana" w:hAnsi="Verdana"/>
          <w:sz w:val="20"/>
          <w:szCs w:val="20"/>
          <w:lang w:val="es-ES_tradnl"/>
        </w:rPr>
      </w:pPr>
    </w:p>
    <w:p w14:paraId="1F0C9114" w14:textId="77777777" w:rsidR="00EC2023" w:rsidRPr="002F5B2F" w:rsidRDefault="00EC2023" w:rsidP="00EC2023">
      <w:pPr>
        <w:spacing w:after="0" w:line="240" w:lineRule="auto"/>
        <w:jc w:val="both"/>
        <w:rPr>
          <w:rFonts w:ascii="Verdana" w:hAnsi="Verdana"/>
          <w:sz w:val="20"/>
          <w:szCs w:val="20"/>
          <w:lang w:val="es-ES_tradnl"/>
        </w:rPr>
      </w:pPr>
      <w:r w:rsidRPr="002F5B2F">
        <w:rPr>
          <w:rFonts w:ascii="Verdana" w:hAnsi="Verdana"/>
          <w:sz w:val="20"/>
          <w:szCs w:val="20"/>
          <w:lang w:val="es-ES_tradnl"/>
        </w:rPr>
        <w:t>Sin embargo, ni el artículo 58 de la Ley 1098 de 2006 ni la Guía Operativa Hogar de Paso del ICBF establecen una forma específica de vinculación de las familias que integran la red de hogares de paso ni exigen la celebración de un contrato determinado para la prestación del servicio. En consecuencia, las entidades territoriales deberán atender las orientaciones técnicas y operativas del ICBF y cumplir los requisitos previstos para cada modalidad de hogar de paso, sin perjuicio de su autonomía para determinar la forma jurídica mediante la cual desarrollarán el servicio. Para tal efecto, deberán identificar la tipología contractual que corresponda, atendiendo al objeto, las obligaciones y la estructura económica del negocio jurídico. En ejercicio de dicha autonomía y de conformidad con los artículos 13, 32 y 40 de la Ley 80 de 1993, podrán considerar las tipologías contractuales legalmente previstas y las figuras admitidas por el derecho privado, siempre que resulten compatibles con el ordenamiento jurídico, el régimen de contratación aplicable y las necesidades del servicio.</w:t>
      </w:r>
    </w:p>
    <w:p w14:paraId="40267D57" w14:textId="77777777" w:rsidR="00EC2023" w:rsidRPr="002F5B2F" w:rsidRDefault="00EC2023" w:rsidP="00EC2023">
      <w:pPr>
        <w:spacing w:after="0" w:line="240" w:lineRule="auto"/>
        <w:rPr>
          <w:rFonts w:ascii="Verdana" w:hAnsi="Verdana"/>
          <w:sz w:val="20"/>
          <w:szCs w:val="20"/>
          <w:lang w:val="es-ES_tradnl"/>
        </w:rPr>
      </w:pPr>
    </w:p>
    <w:p w14:paraId="1FA33A9D" w14:textId="77777777" w:rsidR="00EC2023" w:rsidRPr="00F62693" w:rsidRDefault="00EC2023" w:rsidP="00EC2023">
      <w:pPr>
        <w:spacing w:after="0" w:line="240" w:lineRule="auto"/>
        <w:rPr>
          <w:rFonts w:ascii="Verdana" w:eastAsia="Calibri" w:hAnsi="Verdana" w:cs="Arial"/>
          <w:b/>
          <w:bCs/>
          <w:color w:val="FFC000" w:themeColor="accent4"/>
          <w:sz w:val="20"/>
          <w:szCs w:val="20"/>
          <w:lang w:val="es-ES_tradnl"/>
        </w:rPr>
      </w:pPr>
    </w:p>
    <w:p w14:paraId="540C61DD" w14:textId="77777777" w:rsidR="00EC2023" w:rsidRPr="00305DF6" w:rsidRDefault="00EC2023" w:rsidP="00EC2023">
      <w:pPr>
        <w:spacing w:after="0"/>
        <w:rPr>
          <w:rFonts w:ascii="Verdana" w:eastAsia="Calibri" w:hAnsi="Verdana" w:cs="Arial"/>
          <w:b/>
          <w:bCs/>
          <w:lang w:val="es-ES_tradnl"/>
        </w:rPr>
      </w:pPr>
    </w:p>
    <w:p w14:paraId="7A134A67" w14:textId="77777777" w:rsidR="00EC2023" w:rsidRDefault="00EC2023" w:rsidP="00EC2023">
      <w:pPr>
        <w:spacing w:after="0"/>
        <w:rPr>
          <w:rFonts w:ascii="Verdana" w:eastAsia="Calibri" w:hAnsi="Verdana" w:cs="Arial"/>
          <w:b/>
          <w:bCs/>
          <w:color w:val="FFC000" w:themeColor="accent4"/>
          <w:lang w:val="es-ES_tradnl"/>
        </w:rPr>
      </w:pPr>
    </w:p>
    <w:p w14:paraId="511A3991" w14:textId="77777777" w:rsidR="00EC2023" w:rsidRDefault="00EC2023" w:rsidP="00EC2023">
      <w:pPr>
        <w:spacing w:after="0"/>
        <w:rPr>
          <w:rFonts w:ascii="Verdana" w:eastAsia="Calibri" w:hAnsi="Verdana" w:cs="Arial"/>
          <w:b/>
          <w:bCs/>
          <w:color w:val="FFC000" w:themeColor="accent4"/>
          <w:lang w:val="es-ES_tradnl"/>
        </w:rPr>
      </w:pPr>
    </w:p>
    <w:p w14:paraId="761F5C18" w14:textId="77777777" w:rsidR="00EC2023" w:rsidRDefault="00EC2023" w:rsidP="00EC2023">
      <w:pPr>
        <w:spacing w:after="0"/>
        <w:rPr>
          <w:rFonts w:ascii="Verdana" w:eastAsia="Calibri" w:hAnsi="Verdana" w:cs="Arial"/>
          <w:b/>
          <w:bCs/>
          <w:color w:val="FFC000" w:themeColor="accent4"/>
          <w:lang w:val="es-ES_tradnl"/>
        </w:rPr>
      </w:pPr>
    </w:p>
    <w:p w14:paraId="2C1CFE8E" w14:textId="77777777" w:rsidR="00EC2023" w:rsidRDefault="00EC2023" w:rsidP="00EC2023">
      <w:pPr>
        <w:spacing w:after="0"/>
        <w:rPr>
          <w:rFonts w:ascii="Verdana" w:eastAsia="Calibri" w:hAnsi="Verdana" w:cs="Arial"/>
          <w:b/>
          <w:bCs/>
          <w:color w:val="FFC000" w:themeColor="accent4"/>
          <w:lang w:val="es-ES_tradnl"/>
        </w:rPr>
      </w:pPr>
    </w:p>
    <w:p w14:paraId="6F5E4E8C" w14:textId="77777777" w:rsidR="00EC2023" w:rsidRDefault="00EC2023" w:rsidP="00EC2023">
      <w:pPr>
        <w:spacing w:after="0"/>
        <w:rPr>
          <w:rFonts w:ascii="Verdana" w:hAnsi="Verdana"/>
        </w:rPr>
      </w:pPr>
    </w:p>
    <w:p w14:paraId="0FF83D35" w14:textId="0189FB66" w:rsidR="00EC2023" w:rsidRDefault="00EC2023" w:rsidP="00EC2023">
      <w:pPr>
        <w:spacing w:after="0"/>
        <w:rPr>
          <w:rFonts w:ascii="Verdana" w:eastAsia="Geomanist Light" w:hAnsi="Verdana" w:cs="Arial"/>
          <w:color w:val="201F1E"/>
        </w:rPr>
      </w:pPr>
      <w:r w:rsidRPr="00737E84">
        <w:rPr>
          <w:rFonts w:ascii="Verdana" w:hAnsi="Verdana"/>
        </w:rPr>
        <w:lastRenderedPageBreak/>
        <w:t xml:space="preserve">Bogotá D.C., </w:t>
      </w:r>
      <w:r w:rsidR="0058513D">
        <w:rPr>
          <w:rFonts w:ascii="Verdana" w:eastAsia="Geomanist Light" w:hAnsi="Verdana" w:cs="Arial"/>
          <w:color w:val="201F1E"/>
        </w:rPr>
        <w:t>19 de octubre de 2026</w:t>
      </w:r>
    </w:p>
    <w:p w14:paraId="2EC7A458" w14:textId="77777777" w:rsidR="0058513D" w:rsidRDefault="0058513D" w:rsidP="00EC2023">
      <w:pPr>
        <w:spacing w:after="0"/>
        <w:rPr>
          <w:rFonts w:ascii="Verdana" w:eastAsia="Geomanist Light" w:hAnsi="Verdana" w:cs="Arial"/>
          <w:color w:val="201F1E"/>
        </w:rPr>
      </w:pPr>
    </w:p>
    <w:p w14:paraId="7F29F9CE" w14:textId="52370984" w:rsidR="0058513D" w:rsidRPr="00EE191C" w:rsidRDefault="0058513D" w:rsidP="0058513D">
      <w:pPr>
        <w:spacing w:after="0"/>
        <w:jc w:val="right"/>
        <w:rPr>
          <w:rFonts w:ascii="Verdana" w:hAnsi="Verdana"/>
        </w:rPr>
      </w:pPr>
      <w:r w:rsidRPr="0058513D">
        <w:rPr>
          <w:rFonts w:ascii="Verdana" w:hAnsi="Verdana"/>
          <w:noProof/>
        </w:rPr>
        <w:drawing>
          <wp:anchor distT="0" distB="0" distL="114300" distR="114300" simplePos="0" relativeHeight="251658240" behindDoc="0" locked="0" layoutInCell="1" allowOverlap="1" wp14:anchorId="7780CC33" wp14:editId="15E2DE25">
            <wp:simplePos x="0" y="0"/>
            <wp:positionH relativeFrom="column">
              <wp:posOffset>3385185</wp:posOffset>
            </wp:positionH>
            <wp:positionV relativeFrom="paragraph">
              <wp:posOffset>-1270</wp:posOffset>
            </wp:positionV>
            <wp:extent cx="2225040" cy="792480"/>
            <wp:effectExtent l="0" t="0" r="3810" b="7620"/>
            <wp:wrapSquare wrapText="bothSides"/>
            <wp:docPr id="14319046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5040" cy="792480"/>
                    </a:xfrm>
                    <a:prstGeom prst="rect">
                      <a:avLst/>
                    </a:prstGeom>
                    <a:noFill/>
                    <a:ln>
                      <a:noFill/>
                    </a:ln>
                  </pic:spPr>
                </pic:pic>
              </a:graphicData>
            </a:graphic>
          </wp:anchor>
        </w:drawing>
      </w:r>
    </w:p>
    <w:p w14:paraId="57B72527" w14:textId="77777777" w:rsidR="00EC2023" w:rsidRPr="00296002" w:rsidRDefault="00EC2023" w:rsidP="00EC2023">
      <w:pPr>
        <w:spacing w:after="0" w:line="240" w:lineRule="auto"/>
        <w:rPr>
          <w:rFonts w:ascii="Verdana" w:hAnsi="Verdana"/>
          <w:lang w:val="es-ES"/>
        </w:rPr>
      </w:pPr>
      <w:r w:rsidRPr="00296002">
        <w:rPr>
          <w:rFonts w:ascii="Verdana" w:eastAsia="Calibri" w:hAnsi="Verdana" w:cs="Arial"/>
          <w:lang w:val="es-ES" w:eastAsia="es-ES"/>
        </w:rPr>
        <w:t>Señor</w:t>
      </w:r>
    </w:p>
    <w:p w14:paraId="28191EF6" w14:textId="77777777" w:rsidR="00EC2023" w:rsidRDefault="00EC2023" w:rsidP="00EC2023">
      <w:pPr>
        <w:spacing w:after="0"/>
        <w:rPr>
          <w:rFonts w:ascii="Verdana" w:eastAsia="Calibri" w:hAnsi="Verdana" w:cs="Arial"/>
          <w:b/>
          <w:bCs/>
          <w:lang w:eastAsia="es-ES"/>
        </w:rPr>
      </w:pPr>
      <w:r w:rsidRPr="00AA27BE">
        <w:rPr>
          <w:rFonts w:ascii="Verdana" w:eastAsia="Calibri" w:hAnsi="Verdana" w:cs="Arial"/>
          <w:b/>
          <w:bCs/>
          <w:lang w:eastAsia="es-ES"/>
        </w:rPr>
        <w:t xml:space="preserve">Marlon Mariano </w:t>
      </w:r>
      <w:proofErr w:type="spellStart"/>
      <w:r w:rsidRPr="00AA27BE">
        <w:rPr>
          <w:rFonts w:ascii="Verdana" w:eastAsia="Calibri" w:hAnsi="Verdana" w:cs="Arial"/>
          <w:b/>
          <w:bCs/>
          <w:lang w:eastAsia="es-ES"/>
        </w:rPr>
        <w:t>Jaimes</w:t>
      </w:r>
      <w:proofErr w:type="spellEnd"/>
      <w:r w:rsidRPr="00AA27BE">
        <w:rPr>
          <w:rFonts w:ascii="Verdana" w:eastAsia="Calibri" w:hAnsi="Verdana" w:cs="Arial"/>
          <w:b/>
          <w:bCs/>
          <w:lang w:eastAsia="es-ES"/>
        </w:rPr>
        <w:t xml:space="preserve"> Leal</w:t>
      </w:r>
    </w:p>
    <w:p w14:paraId="66C59C61" w14:textId="77777777" w:rsidR="00EC2023" w:rsidRDefault="00EC2023" w:rsidP="00EC2023">
      <w:pPr>
        <w:spacing w:after="0"/>
        <w:rPr>
          <w:rFonts w:ascii="Verdana" w:eastAsia="Calibri" w:hAnsi="Verdana" w:cs="Arial"/>
          <w:lang w:eastAsia="es-ES"/>
        </w:rPr>
      </w:pPr>
      <w:hyperlink r:id="rId11" w:history="1">
        <w:r w:rsidRPr="00F677E6">
          <w:rPr>
            <w:rStyle w:val="Hipervnculo"/>
            <w:rFonts w:ascii="Verdana" w:eastAsia="Calibri" w:hAnsi="Verdana" w:cs="Arial"/>
            <w:lang w:eastAsia="es-ES"/>
          </w:rPr>
          <w:t>Abogado.marianoleal@gmail.com</w:t>
        </w:r>
      </w:hyperlink>
      <w:r>
        <w:rPr>
          <w:rFonts w:ascii="Verdana" w:eastAsia="Calibri" w:hAnsi="Verdana" w:cs="Arial"/>
          <w:lang w:eastAsia="es-ES"/>
        </w:rPr>
        <w:t xml:space="preserve"> </w:t>
      </w:r>
    </w:p>
    <w:p w14:paraId="460D2D59" w14:textId="77777777" w:rsidR="00EC2023" w:rsidRPr="00795FA8" w:rsidRDefault="00EC2023" w:rsidP="00EC2023">
      <w:pPr>
        <w:spacing w:after="0"/>
        <w:rPr>
          <w:rFonts w:ascii="Verdana" w:eastAsia="Calibri" w:hAnsi="Verdana" w:cs="Arial"/>
          <w:lang w:val="es-ES" w:eastAsia="es-ES"/>
        </w:rPr>
      </w:pPr>
      <w:r>
        <w:rPr>
          <w:rFonts w:ascii="Verdana" w:eastAsia="Calibri" w:hAnsi="Verdana" w:cs="Arial"/>
          <w:lang w:eastAsia="es-ES"/>
        </w:rPr>
        <w:t>Ciudad</w:t>
      </w:r>
    </w:p>
    <w:p w14:paraId="02918FB2" w14:textId="77777777" w:rsidR="00EC2023" w:rsidRDefault="00EC2023" w:rsidP="00EC2023">
      <w:pPr>
        <w:spacing w:after="0"/>
        <w:rPr>
          <w:rFonts w:ascii="Verdana" w:eastAsia="Calibri" w:hAnsi="Verdana" w:cs="Arial"/>
          <w:b/>
          <w:bCs/>
          <w:lang w:val="es-ES" w:eastAsia="es-ES"/>
        </w:rPr>
      </w:pPr>
    </w:p>
    <w:p w14:paraId="25424368" w14:textId="77777777" w:rsidR="00EC2023" w:rsidRPr="009971BC" w:rsidRDefault="00EC2023" w:rsidP="00EC2023">
      <w:pPr>
        <w:spacing w:after="0" w:line="240" w:lineRule="auto"/>
        <w:rPr>
          <w:rFonts w:ascii="Verdana" w:eastAsia="Calibri" w:hAnsi="Verdana" w:cs="Arial"/>
          <w:b/>
          <w:bCs/>
          <w:color w:val="FFC000" w:themeColor="accent4"/>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EC2023" w:rsidRPr="009971BC" w14:paraId="5FF3BBC6" w14:textId="77777777" w:rsidTr="00F33424">
        <w:trPr>
          <w:trHeight w:val="300"/>
        </w:trPr>
        <w:tc>
          <w:tcPr>
            <w:tcW w:w="2410" w:type="dxa"/>
          </w:tcPr>
          <w:p w14:paraId="7A20B8E8" w14:textId="77777777" w:rsidR="00EC2023" w:rsidRPr="009971BC" w:rsidRDefault="00EC2023" w:rsidP="00F33424">
            <w:pPr>
              <w:ind w:left="-142"/>
              <w:jc w:val="both"/>
              <w:rPr>
                <w:rFonts w:ascii="Verdana" w:eastAsia="Calibri" w:hAnsi="Verdana" w:cs="Arial"/>
                <w:b/>
                <w:bCs/>
                <w:color w:val="FFC000" w:themeColor="accent4"/>
                <w:lang w:val="es-ES" w:eastAsia="es-ES_tradnl"/>
              </w:rPr>
            </w:pPr>
          </w:p>
        </w:tc>
        <w:tc>
          <w:tcPr>
            <w:tcW w:w="6100" w:type="dxa"/>
          </w:tcPr>
          <w:p w14:paraId="5462A21A" w14:textId="77777777" w:rsidR="00EC2023" w:rsidRPr="008F7E46" w:rsidRDefault="00EC2023" w:rsidP="00F33424">
            <w:pPr>
              <w:ind w:left="3"/>
              <w:jc w:val="both"/>
              <w:rPr>
                <w:rFonts w:ascii="Verdana" w:eastAsia="Calibri" w:hAnsi="Verdana" w:cs="Arial"/>
                <w:b/>
                <w:bCs/>
                <w:lang w:val="es-ES" w:eastAsia="es-ES"/>
              </w:rPr>
            </w:pPr>
            <w:r w:rsidRPr="008F7E46">
              <w:rPr>
                <w:rFonts w:ascii="Verdana" w:eastAsia="Calibri" w:hAnsi="Verdana" w:cs="Arial"/>
                <w:b/>
                <w:bCs/>
                <w:lang w:val="es-ES" w:eastAsia="es-ES"/>
              </w:rPr>
              <w:t>Concepto C-1</w:t>
            </w:r>
            <w:r>
              <w:rPr>
                <w:rFonts w:ascii="Verdana" w:eastAsia="Calibri" w:hAnsi="Verdana" w:cs="Arial"/>
                <w:b/>
                <w:bCs/>
                <w:lang w:val="es-ES" w:eastAsia="es-ES"/>
              </w:rPr>
              <w:t>480</w:t>
            </w:r>
            <w:r w:rsidRPr="008F7E46">
              <w:rPr>
                <w:rFonts w:ascii="Verdana" w:eastAsia="Calibri" w:hAnsi="Verdana" w:cs="Arial"/>
                <w:b/>
                <w:bCs/>
                <w:lang w:val="es-ES" w:eastAsia="es-ES"/>
              </w:rPr>
              <w:t xml:space="preserve"> de 202</w:t>
            </w:r>
            <w:r>
              <w:rPr>
                <w:rFonts w:ascii="Verdana" w:eastAsia="Calibri" w:hAnsi="Verdana" w:cs="Arial"/>
                <w:b/>
                <w:bCs/>
                <w:lang w:val="es-ES" w:eastAsia="es-ES"/>
              </w:rPr>
              <w:t>6</w:t>
            </w:r>
          </w:p>
          <w:p w14:paraId="66F1A92B" w14:textId="77777777" w:rsidR="00EC2023" w:rsidRPr="009971BC" w:rsidRDefault="00EC2023" w:rsidP="00F33424">
            <w:pPr>
              <w:jc w:val="both"/>
              <w:rPr>
                <w:rFonts w:ascii="Verdana" w:eastAsia="Calibri" w:hAnsi="Verdana" w:cs="Arial"/>
                <w:b/>
                <w:bCs/>
                <w:color w:val="FFC000" w:themeColor="accent4"/>
                <w:lang w:val="es-ES" w:eastAsia="es-ES"/>
              </w:rPr>
            </w:pPr>
          </w:p>
        </w:tc>
      </w:tr>
      <w:tr w:rsidR="00EC2023" w:rsidRPr="009971BC" w14:paraId="44E5E1C1" w14:textId="77777777" w:rsidTr="00F33424">
        <w:trPr>
          <w:trHeight w:val="300"/>
        </w:trPr>
        <w:tc>
          <w:tcPr>
            <w:tcW w:w="2410" w:type="dxa"/>
          </w:tcPr>
          <w:p w14:paraId="24777D03" w14:textId="77777777" w:rsidR="00EC2023" w:rsidRPr="009971BC" w:rsidRDefault="00EC2023" w:rsidP="00F33424">
            <w:pPr>
              <w:ind w:left="424" w:firstLine="137"/>
              <w:jc w:val="both"/>
              <w:rPr>
                <w:rFonts w:ascii="Verdana" w:eastAsia="Calibri" w:hAnsi="Verdana" w:cs="Arial"/>
                <w:color w:val="FFC000" w:themeColor="accent4"/>
                <w:lang w:val="es-ES" w:eastAsia="es-ES_tradnl"/>
              </w:rPr>
            </w:pPr>
            <w:r w:rsidRPr="00A72116">
              <w:rPr>
                <w:rFonts w:ascii="Verdana" w:eastAsia="Calibri" w:hAnsi="Verdana" w:cs="Arial"/>
                <w:b/>
                <w:lang w:val="es-ES" w:eastAsia="es-ES_tradnl"/>
              </w:rPr>
              <w:t>Temas:</w:t>
            </w:r>
            <w:r w:rsidRPr="00A72116">
              <w:rPr>
                <w:rFonts w:ascii="Verdana" w:eastAsia="Calibri" w:hAnsi="Verdana" w:cs="Arial"/>
                <w:lang w:val="es-ES" w:eastAsia="es-ES_tradnl"/>
              </w:rPr>
              <w:t xml:space="preserve"> </w:t>
            </w:r>
            <w:r w:rsidRPr="009971BC">
              <w:rPr>
                <w:rFonts w:ascii="Verdana" w:eastAsia="Calibri" w:hAnsi="Verdana" w:cs="Arial"/>
                <w:color w:val="FFC000" w:themeColor="accent4"/>
                <w:lang w:val="es-ES" w:eastAsia="es-ES_tradnl"/>
              </w:rPr>
              <w:t xml:space="preserve">              </w:t>
            </w:r>
          </w:p>
        </w:tc>
        <w:tc>
          <w:tcPr>
            <w:tcW w:w="6100" w:type="dxa"/>
          </w:tcPr>
          <w:p w14:paraId="1703AD04" w14:textId="77777777" w:rsidR="00EC2023" w:rsidRDefault="00EC2023" w:rsidP="00F33424">
            <w:pPr>
              <w:spacing w:line="276" w:lineRule="auto"/>
              <w:jc w:val="both"/>
              <w:rPr>
                <w:rFonts w:ascii="Verdana" w:eastAsia="Calibri" w:hAnsi="Verdana" w:cs="Arial"/>
                <w:lang w:val="es-ES" w:eastAsia="es-ES"/>
              </w:rPr>
            </w:pPr>
            <w:r w:rsidRPr="006A4753">
              <w:rPr>
                <w:rFonts w:ascii="Verdana" w:eastAsia="Calibri" w:hAnsi="Verdana" w:cs="Arial"/>
                <w:lang w:val="es-ES" w:eastAsia="es-ES"/>
              </w:rPr>
              <w:t>CONTRATO ESTATAL – Concepto / CONTRATO ESTATAL - Perfeccionamiento / RED DE HOGARES DE PASO –</w:t>
            </w:r>
            <w:r>
              <w:rPr>
                <w:rFonts w:ascii="Verdana" w:eastAsia="Calibri" w:hAnsi="Verdana" w:cs="Arial"/>
                <w:lang w:val="es-ES" w:eastAsia="es-ES"/>
              </w:rPr>
              <w:t xml:space="preserve"> </w:t>
            </w:r>
            <w:r w:rsidRPr="4CFD7942">
              <w:rPr>
                <w:rFonts w:ascii="Verdana" w:hAnsi="Verdana"/>
                <w:lang w:val="es-ES"/>
              </w:rPr>
              <w:t xml:space="preserve">Ley 1098 de 2006 </w:t>
            </w:r>
            <w:r w:rsidRPr="006A4753">
              <w:rPr>
                <w:rFonts w:ascii="Verdana" w:eastAsia="Calibri" w:hAnsi="Verdana" w:cs="Arial"/>
                <w:lang w:val="es-ES" w:eastAsia="es-ES"/>
              </w:rPr>
              <w:t>–</w:t>
            </w:r>
            <w:r>
              <w:rPr>
                <w:rFonts w:ascii="Verdana" w:eastAsia="Calibri" w:hAnsi="Verdana" w:cs="Arial"/>
                <w:lang w:val="es-ES" w:eastAsia="es-ES"/>
              </w:rPr>
              <w:t xml:space="preserve"> </w:t>
            </w:r>
            <w:r>
              <w:rPr>
                <w:rFonts w:ascii="Verdana" w:hAnsi="Verdana"/>
              </w:rPr>
              <w:t xml:space="preserve">Guía Operativa de la Modalidad Hogar de Paso </w:t>
            </w:r>
            <w:r w:rsidRPr="006A4753">
              <w:rPr>
                <w:rFonts w:ascii="Verdana" w:eastAsia="Calibri" w:hAnsi="Verdana" w:cs="Arial"/>
                <w:lang w:val="es-ES" w:eastAsia="es-ES"/>
              </w:rPr>
              <w:t>–</w:t>
            </w:r>
            <w:r>
              <w:rPr>
                <w:rFonts w:ascii="Verdana" w:eastAsia="Calibri" w:hAnsi="Verdana" w:cs="Arial"/>
                <w:lang w:val="es-ES" w:eastAsia="es-ES"/>
              </w:rPr>
              <w:t xml:space="preserve"> Modalidades / </w:t>
            </w:r>
            <w:r w:rsidRPr="006A4753">
              <w:rPr>
                <w:rFonts w:ascii="Verdana" w:eastAsia="Calibri" w:hAnsi="Verdana" w:cs="Arial"/>
                <w:lang w:val="es-ES" w:eastAsia="es-ES"/>
              </w:rPr>
              <w:t>RED DE HOGARES DE PASO</w:t>
            </w:r>
            <w:r>
              <w:rPr>
                <w:rFonts w:ascii="Verdana" w:eastAsia="Calibri" w:hAnsi="Verdana" w:cs="Arial"/>
                <w:lang w:val="es-ES" w:eastAsia="es-ES"/>
              </w:rPr>
              <w:t xml:space="preserve"> </w:t>
            </w:r>
            <w:r w:rsidRPr="006A4753">
              <w:rPr>
                <w:rFonts w:ascii="Verdana" w:eastAsia="Calibri" w:hAnsi="Verdana" w:cs="Arial"/>
                <w:lang w:val="es-ES" w:eastAsia="es-ES"/>
              </w:rPr>
              <w:t>–</w:t>
            </w:r>
            <w:r>
              <w:rPr>
                <w:rFonts w:ascii="Verdana" w:eastAsia="Calibri" w:hAnsi="Verdana" w:cs="Arial"/>
                <w:lang w:val="es-ES" w:eastAsia="es-ES"/>
              </w:rPr>
              <w:t xml:space="preserve"> Vinculación </w:t>
            </w:r>
            <w:r w:rsidRPr="006A4753">
              <w:rPr>
                <w:rFonts w:ascii="Verdana" w:eastAsia="Calibri" w:hAnsi="Verdana" w:cs="Arial"/>
                <w:lang w:val="es-ES" w:eastAsia="es-ES"/>
              </w:rPr>
              <w:t>–</w:t>
            </w:r>
            <w:r>
              <w:rPr>
                <w:rFonts w:ascii="Verdana" w:eastAsia="Calibri" w:hAnsi="Verdana" w:cs="Arial"/>
                <w:lang w:val="es-ES" w:eastAsia="es-ES"/>
              </w:rPr>
              <w:t xml:space="preserve"> Entidad territorial </w:t>
            </w:r>
            <w:r w:rsidRPr="006A4753">
              <w:rPr>
                <w:rFonts w:ascii="Verdana" w:eastAsia="Calibri" w:hAnsi="Verdana" w:cs="Arial"/>
                <w:lang w:val="es-ES" w:eastAsia="es-ES"/>
              </w:rPr>
              <w:t>–</w:t>
            </w:r>
            <w:r>
              <w:rPr>
                <w:rFonts w:ascii="Verdana" w:eastAsia="Calibri" w:hAnsi="Verdana" w:cs="Arial"/>
                <w:lang w:val="es-ES" w:eastAsia="es-ES"/>
              </w:rPr>
              <w:t xml:space="preserve"> Autonomía </w:t>
            </w:r>
          </w:p>
          <w:p w14:paraId="03112C87" w14:textId="77777777" w:rsidR="00EC2023" w:rsidRPr="009971BC" w:rsidRDefault="00EC2023" w:rsidP="00F33424">
            <w:pPr>
              <w:jc w:val="both"/>
              <w:rPr>
                <w:rFonts w:ascii="Verdana" w:hAnsi="Verdana"/>
                <w:color w:val="FFC000" w:themeColor="accent4"/>
              </w:rPr>
            </w:pPr>
          </w:p>
        </w:tc>
      </w:tr>
      <w:tr w:rsidR="00EC2023" w:rsidRPr="009971BC" w14:paraId="571388C5" w14:textId="77777777" w:rsidTr="00F33424">
        <w:tc>
          <w:tcPr>
            <w:tcW w:w="2410" w:type="dxa"/>
          </w:tcPr>
          <w:p w14:paraId="4212711F" w14:textId="77777777" w:rsidR="00EC2023" w:rsidRPr="008F7E46" w:rsidRDefault="00EC2023" w:rsidP="00F33424">
            <w:pPr>
              <w:ind w:left="561"/>
              <w:jc w:val="both"/>
              <w:rPr>
                <w:rFonts w:ascii="Verdana" w:eastAsia="Calibri" w:hAnsi="Verdana" w:cs="Arial"/>
                <w:b/>
                <w:lang w:val="es-ES" w:eastAsia="es-ES_tradnl"/>
              </w:rPr>
            </w:pPr>
            <w:r w:rsidRPr="008F7E46">
              <w:rPr>
                <w:rFonts w:ascii="Verdana" w:eastAsia="Calibri" w:hAnsi="Verdana" w:cs="Arial"/>
                <w:b/>
                <w:lang w:val="es-ES" w:eastAsia="es-ES_tradnl"/>
              </w:rPr>
              <w:t>Radicación:</w:t>
            </w:r>
            <w:r w:rsidRPr="008F7E46">
              <w:rPr>
                <w:rFonts w:ascii="Verdana" w:eastAsia="Calibri" w:hAnsi="Verdana" w:cs="Arial"/>
                <w:lang w:val="es-ES" w:eastAsia="es-ES_tradnl"/>
              </w:rPr>
              <w:t xml:space="preserve">              </w:t>
            </w:r>
          </w:p>
        </w:tc>
        <w:tc>
          <w:tcPr>
            <w:tcW w:w="6100" w:type="dxa"/>
          </w:tcPr>
          <w:p w14:paraId="588A9218" w14:textId="77777777" w:rsidR="00EC2023" w:rsidRPr="008F7E46" w:rsidRDefault="00EC2023" w:rsidP="00F33424">
            <w:pPr>
              <w:ind w:left="3"/>
              <w:jc w:val="both"/>
              <w:rPr>
                <w:rFonts w:ascii="Verdana" w:hAnsi="Verdana"/>
                <w:lang w:val="es-ES"/>
              </w:rPr>
            </w:pPr>
            <w:r w:rsidRPr="008F7E46">
              <w:rPr>
                <w:rFonts w:ascii="Verdana" w:eastAsia="Calibri" w:hAnsi="Verdana" w:cs="Arial"/>
                <w:lang w:val="es-ES" w:eastAsia="es-ES"/>
              </w:rPr>
              <w:t xml:space="preserve">Respuesta a consulta con radicado No. </w:t>
            </w:r>
            <w:r w:rsidRPr="002F4775">
              <w:rPr>
                <w:rFonts w:ascii="Verdana" w:eastAsia="Calibri" w:hAnsi="Verdana" w:cs="Arial"/>
                <w:lang w:val="es-ES" w:eastAsia="es-ES"/>
              </w:rPr>
              <w:t>1_2026_09_18_012566</w:t>
            </w:r>
          </w:p>
        </w:tc>
      </w:tr>
    </w:tbl>
    <w:p w14:paraId="2372D68B" w14:textId="77777777" w:rsidR="00EC2023" w:rsidRPr="009971BC" w:rsidRDefault="00EC2023" w:rsidP="00EC2023">
      <w:pPr>
        <w:spacing w:after="0" w:line="276" w:lineRule="auto"/>
        <w:jc w:val="both"/>
        <w:rPr>
          <w:rFonts w:ascii="Verdana" w:eastAsia="Calibri" w:hAnsi="Verdana" w:cs="Arial"/>
          <w:color w:val="FFC000" w:themeColor="accent4"/>
          <w:lang w:val="es-ES" w:eastAsia="es-ES"/>
        </w:rPr>
      </w:pPr>
    </w:p>
    <w:p w14:paraId="079D5855" w14:textId="77777777" w:rsidR="00EC2023" w:rsidRDefault="00EC2023" w:rsidP="00EC2023">
      <w:pPr>
        <w:spacing w:after="0" w:line="276" w:lineRule="auto"/>
        <w:jc w:val="both"/>
        <w:rPr>
          <w:rFonts w:ascii="Verdana" w:eastAsia="Calibri" w:hAnsi="Verdana" w:cs="Arial"/>
          <w:lang w:val="es-ES" w:eastAsia="es-ES"/>
        </w:rPr>
      </w:pPr>
    </w:p>
    <w:p w14:paraId="3A527372" w14:textId="77777777" w:rsidR="00EC2023" w:rsidRPr="00A72116" w:rsidRDefault="00EC2023" w:rsidP="00EC2023">
      <w:pPr>
        <w:spacing w:after="0" w:line="276" w:lineRule="auto"/>
        <w:jc w:val="both"/>
        <w:rPr>
          <w:rFonts w:ascii="Verdana" w:eastAsia="Calibri" w:hAnsi="Verdana" w:cs="Arial"/>
          <w:lang w:val="es-ES" w:eastAsia="es-ES"/>
        </w:rPr>
      </w:pPr>
      <w:r w:rsidRPr="00A72116">
        <w:rPr>
          <w:rFonts w:ascii="Verdana" w:eastAsia="Calibri" w:hAnsi="Verdana" w:cs="Arial"/>
          <w:lang w:val="es-ES" w:eastAsia="es-ES"/>
        </w:rPr>
        <w:t>Estimad</w:t>
      </w:r>
      <w:r>
        <w:rPr>
          <w:rFonts w:ascii="Verdana" w:eastAsia="Calibri" w:hAnsi="Verdana" w:cs="Arial"/>
          <w:lang w:val="es-ES" w:eastAsia="es-ES"/>
        </w:rPr>
        <w:t>o</w:t>
      </w:r>
      <w:r w:rsidRPr="00A72116">
        <w:rPr>
          <w:rFonts w:ascii="Verdana" w:eastAsia="Calibri" w:hAnsi="Verdana" w:cs="Arial"/>
          <w:lang w:val="es-ES" w:eastAsia="es-ES"/>
        </w:rPr>
        <w:t xml:space="preserve"> Señor </w:t>
      </w:r>
      <w:proofErr w:type="spellStart"/>
      <w:r>
        <w:rPr>
          <w:rFonts w:ascii="Verdana" w:eastAsia="Calibri" w:hAnsi="Verdana" w:cs="Arial"/>
          <w:lang w:val="es-ES" w:eastAsia="es-ES"/>
        </w:rPr>
        <w:t>Jaimes</w:t>
      </w:r>
      <w:proofErr w:type="spellEnd"/>
      <w:r w:rsidRPr="00A72116">
        <w:rPr>
          <w:rFonts w:ascii="Verdana" w:eastAsia="Calibri" w:hAnsi="Verdana" w:cs="Arial"/>
          <w:lang w:val="es-ES" w:eastAsia="es-ES"/>
        </w:rPr>
        <w:t>,</w:t>
      </w:r>
    </w:p>
    <w:p w14:paraId="0823A998" w14:textId="77777777" w:rsidR="00EC2023" w:rsidRPr="00A72116" w:rsidRDefault="00EC2023" w:rsidP="00EC2023">
      <w:pPr>
        <w:spacing w:after="0" w:line="276" w:lineRule="auto"/>
        <w:jc w:val="both"/>
        <w:rPr>
          <w:rFonts w:ascii="Verdana" w:eastAsia="Calibri" w:hAnsi="Verdana" w:cs="Arial"/>
          <w:lang w:val="es-ES" w:eastAsia="es-ES"/>
        </w:rPr>
      </w:pPr>
    </w:p>
    <w:p w14:paraId="5B2DE324" w14:textId="77777777" w:rsidR="00EC2023" w:rsidRPr="000E6350" w:rsidRDefault="00EC2023" w:rsidP="00EC202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21 de septiembre de 2026, donde solicita conceptuar sobre los siguientes aspectos</w:t>
      </w:r>
      <w:r w:rsidRPr="006B4E20">
        <w:rPr>
          <w:rFonts w:ascii="Verdana" w:eastAsia="Calibri" w:hAnsi="Verdana" w:cs="Arial"/>
          <w:lang w:val="es-ES" w:eastAsia="es-ES"/>
        </w:rPr>
        <w:t xml:space="preserve">: </w:t>
      </w:r>
    </w:p>
    <w:p w14:paraId="0A6FBB64" w14:textId="77777777" w:rsidR="00EC2023" w:rsidRPr="006B4E20" w:rsidRDefault="00EC2023" w:rsidP="00EC2023">
      <w:pPr>
        <w:tabs>
          <w:tab w:val="left" w:pos="142"/>
          <w:tab w:val="left" w:pos="284"/>
        </w:tabs>
        <w:spacing w:after="0" w:line="276" w:lineRule="auto"/>
        <w:contextualSpacing/>
        <w:jc w:val="both"/>
        <w:rPr>
          <w:rFonts w:ascii="Verdana" w:eastAsia="Century Gothic" w:hAnsi="Verdana" w:cs="Century Gothic"/>
          <w:b/>
          <w:bCs/>
          <w:lang w:val="es-ES"/>
        </w:rPr>
      </w:pPr>
    </w:p>
    <w:p w14:paraId="7B74A099" w14:textId="77777777" w:rsidR="00EC2023" w:rsidRDefault="00EC2023" w:rsidP="00EC2023">
      <w:pPr>
        <w:spacing w:before="120" w:after="120"/>
        <w:ind w:left="709" w:right="709"/>
        <w:contextualSpacing/>
        <w:jc w:val="both"/>
        <w:rPr>
          <w:rFonts w:ascii="Verdana" w:eastAsia="Century Gothic" w:hAnsi="Verdana" w:cs="Century Gothic"/>
          <w:sz w:val="20"/>
          <w:szCs w:val="20"/>
          <w:lang w:val="es-ES"/>
        </w:rPr>
      </w:pPr>
      <w:r w:rsidRPr="007A68F1">
        <w:rPr>
          <w:rFonts w:ascii="Verdana" w:eastAsia="Century Gothic" w:hAnsi="Verdana" w:cs="Century Gothic"/>
          <w:sz w:val="20"/>
          <w:szCs w:val="20"/>
          <w:lang w:val="es-ES"/>
        </w:rPr>
        <w:t>“</w:t>
      </w:r>
      <w:r>
        <w:rPr>
          <w:rFonts w:ascii="Verdana" w:eastAsia="Century Gothic" w:hAnsi="Verdana" w:cs="Century Gothic"/>
          <w:sz w:val="20"/>
          <w:szCs w:val="20"/>
          <w:lang w:val="es-ES"/>
        </w:rPr>
        <w:t>(…)</w:t>
      </w:r>
    </w:p>
    <w:p w14:paraId="44421367" w14:textId="77777777" w:rsidR="00EC2023" w:rsidRDefault="00EC2023" w:rsidP="00EC2023">
      <w:pPr>
        <w:spacing w:before="120" w:after="120"/>
        <w:ind w:left="709" w:right="709"/>
        <w:contextualSpacing/>
        <w:jc w:val="both"/>
        <w:rPr>
          <w:rFonts w:ascii="Verdana" w:eastAsia="Century Gothic" w:hAnsi="Verdana" w:cs="Century Gothic"/>
          <w:sz w:val="20"/>
          <w:szCs w:val="20"/>
          <w:lang w:val="es-ES"/>
        </w:rPr>
      </w:pPr>
    </w:p>
    <w:p w14:paraId="35EF4025" w14:textId="77777777" w:rsidR="00EC2023" w:rsidRDefault="00EC2023" w:rsidP="00EC2023">
      <w:pPr>
        <w:spacing w:before="120" w:after="120"/>
        <w:ind w:left="709" w:right="709"/>
        <w:contextualSpacing/>
        <w:jc w:val="both"/>
        <w:rPr>
          <w:rFonts w:ascii="Verdana" w:eastAsia="Century Gothic" w:hAnsi="Verdana" w:cs="Century Gothic"/>
          <w:sz w:val="20"/>
          <w:szCs w:val="20"/>
        </w:rPr>
      </w:pPr>
      <w:r w:rsidRPr="007A68F1">
        <w:rPr>
          <w:rFonts w:ascii="Verdana" w:eastAsia="Century Gothic" w:hAnsi="Verdana" w:cs="Century Gothic"/>
          <w:sz w:val="20"/>
          <w:szCs w:val="20"/>
        </w:rPr>
        <w:t>Solicito un pronunciamiento claro, preciso, de fondo y diferenciado sobre los instrumentos jurídicos mediante los cuales las entidades territoriales pueden organizar, financiar y garantizar la operación de hogares de paso para niños, niñas y adolescentes, así como sobre el procedimiento de selección que corresponde a cada supuesto.</w:t>
      </w:r>
    </w:p>
    <w:p w14:paraId="367C8A3B" w14:textId="77777777" w:rsidR="00EC2023" w:rsidRDefault="00EC2023" w:rsidP="00EC2023">
      <w:pPr>
        <w:spacing w:before="120" w:after="120"/>
        <w:ind w:left="709" w:right="709"/>
        <w:contextualSpacing/>
        <w:jc w:val="both"/>
        <w:rPr>
          <w:rFonts w:ascii="Verdana" w:eastAsia="Century Gothic" w:hAnsi="Verdana" w:cs="Century Gothic"/>
          <w:sz w:val="20"/>
          <w:szCs w:val="20"/>
        </w:rPr>
      </w:pPr>
    </w:p>
    <w:p w14:paraId="62CFDB83" w14:textId="77777777" w:rsidR="00EC2023" w:rsidRDefault="00EC2023" w:rsidP="00EC2023">
      <w:pPr>
        <w:spacing w:before="120" w:after="120"/>
        <w:ind w:left="709" w:right="709"/>
        <w:contextualSpacing/>
        <w:jc w:val="both"/>
        <w:rPr>
          <w:rFonts w:ascii="Verdana" w:eastAsia="Century Gothic" w:hAnsi="Verdana" w:cs="Century Gothic"/>
          <w:sz w:val="20"/>
          <w:szCs w:val="20"/>
        </w:rPr>
      </w:pPr>
      <w:r w:rsidRPr="007A68F1">
        <w:rPr>
          <w:rFonts w:ascii="Verdana" w:eastAsia="Century Gothic" w:hAnsi="Verdana" w:cs="Century Gothic"/>
          <w:sz w:val="20"/>
          <w:szCs w:val="20"/>
        </w:rPr>
        <w:lastRenderedPageBreak/>
        <w:t xml:space="preserve">La consulta se circunscribe a los hogares de paso relacionados con las medidas de restablecimiento de derechos y la red contemplada en los artículos 57 y 58 de la Ley 1098 de 2006. No se refiere a alojamientos para pacientes, habitantes de calle o personas mayores, ni equipara el hogar de paso con el hogar sustituto. </w:t>
      </w:r>
    </w:p>
    <w:p w14:paraId="5B2527E0" w14:textId="77777777" w:rsidR="00EC2023" w:rsidRDefault="00EC2023" w:rsidP="00EC2023">
      <w:pPr>
        <w:spacing w:before="120" w:after="120"/>
        <w:ind w:left="709" w:right="709"/>
        <w:contextualSpacing/>
        <w:jc w:val="both"/>
        <w:rPr>
          <w:rFonts w:ascii="Verdana" w:eastAsia="Century Gothic" w:hAnsi="Verdana" w:cs="Century Gothic"/>
          <w:sz w:val="20"/>
          <w:szCs w:val="20"/>
        </w:rPr>
      </w:pPr>
    </w:p>
    <w:p w14:paraId="3B779CCF" w14:textId="77777777" w:rsidR="00EC2023" w:rsidRDefault="00EC2023" w:rsidP="00EC2023">
      <w:pPr>
        <w:spacing w:before="120" w:after="120"/>
        <w:ind w:left="709" w:right="709"/>
        <w:contextualSpacing/>
        <w:jc w:val="both"/>
        <w:rPr>
          <w:rFonts w:ascii="Verdana" w:eastAsia="Century Gothic" w:hAnsi="Verdana" w:cs="Century Gothic"/>
          <w:sz w:val="20"/>
          <w:szCs w:val="20"/>
        </w:rPr>
      </w:pPr>
      <w:r w:rsidRPr="007A68F1">
        <w:rPr>
          <w:rFonts w:ascii="Verdana" w:eastAsia="Century Gothic" w:hAnsi="Verdana" w:cs="Century Gothic"/>
          <w:sz w:val="20"/>
          <w:szCs w:val="20"/>
        </w:rPr>
        <w:t xml:space="preserve">El propósito es contar con criterios generales que orienten la gestión municipal y la articulación del Sistema Nacional de Bienestar Familiar. No solicito aprobar un proceso contractual particular, seleccionar un contratista ni sustituir las competencias del ordenador del gasto. Tampoco actúo en representación de una entidad pública. </w:t>
      </w:r>
    </w:p>
    <w:p w14:paraId="76C78245" w14:textId="77777777" w:rsidR="00EC2023" w:rsidRDefault="00EC2023" w:rsidP="00EC2023">
      <w:pPr>
        <w:spacing w:before="120" w:after="120"/>
        <w:ind w:left="709" w:right="709"/>
        <w:contextualSpacing/>
        <w:jc w:val="both"/>
        <w:rPr>
          <w:rFonts w:ascii="Verdana" w:eastAsia="Century Gothic" w:hAnsi="Verdana" w:cs="Century Gothic"/>
          <w:sz w:val="20"/>
          <w:szCs w:val="20"/>
        </w:rPr>
      </w:pPr>
    </w:p>
    <w:p w14:paraId="5EDD7F6F" w14:textId="77777777" w:rsidR="00EC2023" w:rsidRDefault="00EC2023" w:rsidP="00EC2023">
      <w:pPr>
        <w:spacing w:before="120" w:after="120"/>
        <w:ind w:left="709" w:right="709"/>
        <w:contextualSpacing/>
        <w:jc w:val="both"/>
        <w:rPr>
          <w:rFonts w:ascii="Verdana" w:eastAsia="Century Gothic" w:hAnsi="Verdana" w:cs="Century Gothic"/>
          <w:sz w:val="20"/>
          <w:szCs w:val="20"/>
        </w:rPr>
      </w:pPr>
      <w:r w:rsidRPr="007A68F1">
        <w:rPr>
          <w:rFonts w:ascii="Verdana" w:eastAsia="Century Gothic" w:hAnsi="Verdana" w:cs="Century Gothic"/>
          <w:sz w:val="20"/>
          <w:szCs w:val="20"/>
        </w:rPr>
        <w:t>Para evitar confusiones entre la modalidad de atención y la modalidad de selección contractual, solicito distinguir: a) la vinculación directa de una familia acogedora; b) la contratación de una persona natural para obligaciones determinadas; c) la contratación de una persona jurídica operadora; y d) la articulación entre entidades públicas. Si alguno de estos supuestos no es jurídicamente viable para el servicio consultado, indíquese expresamente</w:t>
      </w:r>
    </w:p>
    <w:p w14:paraId="726EB497" w14:textId="77777777" w:rsidR="00EC2023" w:rsidRDefault="00EC2023" w:rsidP="00EC2023">
      <w:pPr>
        <w:spacing w:before="120" w:after="120"/>
        <w:ind w:left="709" w:right="709"/>
        <w:contextualSpacing/>
        <w:jc w:val="both"/>
        <w:rPr>
          <w:rFonts w:ascii="Verdana" w:eastAsia="Century Gothic" w:hAnsi="Verdana" w:cs="Century Gothic"/>
          <w:sz w:val="20"/>
          <w:szCs w:val="20"/>
        </w:rPr>
      </w:pPr>
    </w:p>
    <w:p w14:paraId="1C12FAF2" w14:textId="77777777" w:rsidR="00EC2023" w:rsidRPr="007A68F1" w:rsidRDefault="00EC2023" w:rsidP="00EC2023">
      <w:pPr>
        <w:spacing w:before="120" w:after="120"/>
        <w:ind w:left="709" w:right="709"/>
        <w:contextualSpacing/>
        <w:jc w:val="both"/>
        <w:rPr>
          <w:rFonts w:ascii="Verdana" w:eastAsia="Century Gothic" w:hAnsi="Verdana" w:cs="Century Gothic"/>
          <w:sz w:val="20"/>
          <w:szCs w:val="20"/>
        </w:rPr>
      </w:pPr>
      <w:r>
        <w:rPr>
          <w:rFonts w:ascii="Verdana" w:eastAsia="Century Gothic" w:hAnsi="Verdana" w:cs="Century Gothic"/>
          <w:sz w:val="20"/>
          <w:szCs w:val="20"/>
        </w:rPr>
        <w:t>(…)</w:t>
      </w:r>
      <w:r w:rsidRPr="007A68F1">
        <w:rPr>
          <w:rFonts w:ascii="Verdana" w:eastAsia="Century Gothic" w:hAnsi="Verdana" w:cs="Century Gothic"/>
          <w:sz w:val="20"/>
          <w:szCs w:val="20"/>
        </w:rPr>
        <w:t xml:space="preserve">”. </w:t>
      </w:r>
    </w:p>
    <w:p w14:paraId="1F31D395" w14:textId="77777777" w:rsidR="00EC2023" w:rsidRPr="00313F0D" w:rsidRDefault="00EC2023" w:rsidP="00EC2023">
      <w:pPr>
        <w:spacing w:before="120" w:after="120"/>
        <w:ind w:right="709"/>
        <w:contextualSpacing/>
        <w:jc w:val="both"/>
        <w:rPr>
          <w:rFonts w:ascii="Verdana" w:eastAsia="Century Gothic" w:hAnsi="Verdana" w:cs="Century Gothic"/>
          <w:i/>
          <w:iCs/>
          <w:sz w:val="20"/>
          <w:szCs w:val="20"/>
          <w:lang w:val="es-ES"/>
        </w:rPr>
      </w:pPr>
    </w:p>
    <w:p w14:paraId="558EC169" w14:textId="77777777" w:rsidR="00EC2023" w:rsidRPr="00313F0D" w:rsidRDefault="00EC2023" w:rsidP="00EC2023">
      <w:pPr>
        <w:spacing w:after="120" w:line="276" w:lineRule="auto"/>
        <w:ind w:firstLine="708"/>
        <w:jc w:val="both"/>
        <w:rPr>
          <w:rFonts w:ascii="Verdana" w:eastAsia="Calibri" w:hAnsi="Verdana" w:cs="Arial"/>
          <w:lang w:val="es-ES" w:eastAsia="es-ES"/>
        </w:rPr>
      </w:pPr>
      <w:r w:rsidRPr="00313F0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3F0D">
        <w:rPr>
          <w:rFonts w:ascii="Verdana" w:hAnsi="Verdana"/>
          <w:lang w:val="es-ES"/>
        </w:rPr>
        <w:tab/>
      </w:r>
    </w:p>
    <w:p w14:paraId="609EC185" w14:textId="77777777" w:rsidR="00EC2023" w:rsidRPr="00313F0D" w:rsidRDefault="00EC2023" w:rsidP="00EC2023">
      <w:pPr>
        <w:spacing w:after="0" w:line="276" w:lineRule="auto"/>
        <w:ind w:firstLine="709"/>
        <w:jc w:val="both"/>
        <w:rPr>
          <w:rFonts w:ascii="Verdana" w:eastAsia="Calibri" w:hAnsi="Verdana" w:cs="Arial"/>
          <w:lang w:val="es-ES" w:eastAsia="es-ES"/>
        </w:rPr>
      </w:pPr>
      <w:r w:rsidRPr="00313F0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572E621" w14:textId="77777777" w:rsidR="00EC2023" w:rsidRPr="009971BC" w:rsidRDefault="00EC2023" w:rsidP="00EC2023">
      <w:pPr>
        <w:spacing w:after="0" w:line="276" w:lineRule="auto"/>
        <w:ind w:firstLine="709"/>
        <w:jc w:val="both"/>
        <w:rPr>
          <w:rFonts w:ascii="Verdana" w:eastAsia="Calibri" w:hAnsi="Verdana" w:cs="Arial"/>
          <w:color w:val="FFC000" w:themeColor="accent4"/>
          <w:lang w:val="es-ES" w:eastAsia="es-ES"/>
        </w:rPr>
      </w:pPr>
    </w:p>
    <w:p w14:paraId="63F35F85" w14:textId="77777777" w:rsidR="00EC2023" w:rsidRPr="00E03B87" w:rsidRDefault="00EC2023" w:rsidP="00EC2023">
      <w:pPr>
        <w:tabs>
          <w:tab w:val="left" w:pos="142"/>
          <w:tab w:val="left" w:pos="284"/>
        </w:tabs>
        <w:spacing w:after="0" w:line="276" w:lineRule="auto"/>
        <w:contextualSpacing/>
        <w:jc w:val="both"/>
        <w:rPr>
          <w:rFonts w:ascii="Verdana" w:eastAsia="Century Gothic" w:hAnsi="Verdana" w:cs="Century Gothic"/>
          <w:b/>
          <w:lang w:val="es-ES"/>
        </w:rPr>
      </w:pPr>
      <w:r w:rsidRPr="00E03B87">
        <w:rPr>
          <w:rFonts w:ascii="Verdana" w:eastAsia="Century Gothic" w:hAnsi="Verdana" w:cs="Century Gothic"/>
          <w:b/>
          <w:lang w:val="es-ES"/>
        </w:rPr>
        <w:t>1. Problemas planteados:</w:t>
      </w:r>
    </w:p>
    <w:p w14:paraId="0AA461DD" w14:textId="77777777" w:rsidR="00EC2023" w:rsidRPr="009971BC" w:rsidRDefault="00EC2023" w:rsidP="00EC2023">
      <w:pPr>
        <w:tabs>
          <w:tab w:val="left" w:pos="426"/>
        </w:tabs>
        <w:spacing w:after="0" w:line="276" w:lineRule="auto"/>
        <w:jc w:val="both"/>
        <w:rPr>
          <w:rFonts w:ascii="Verdana" w:eastAsia="Century Gothic" w:hAnsi="Verdana" w:cs="Century Gothic"/>
          <w:color w:val="FFC000" w:themeColor="accent4"/>
          <w:lang w:val="es-ES"/>
        </w:rPr>
      </w:pPr>
    </w:p>
    <w:p w14:paraId="5F4B0804" w14:textId="77777777" w:rsidR="00EC2023" w:rsidRDefault="00EC2023" w:rsidP="00EC2023">
      <w:pPr>
        <w:spacing w:after="0" w:line="276" w:lineRule="auto"/>
        <w:jc w:val="both"/>
        <w:rPr>
          <w:rFonts w:ascii="Verdana" w:eastAsia="Century Gothic" w:hAnsi="Verdana" w:cs="Century Gothic"/>
          <w:lang w:val="es-ES"/>
        </w:rPr>
      </w:pPr>
      <w:r w:rsidRPr="00E03B87">
        <w:rPr>
          <w:rFonts w:ascii="Verdana" w:eastAsia="Century Gothic" w:hAnsi="Verdana" w:cs="Century Gothic"/>
          <w:lang w:val="es-ES"/>
        </w:rPr>
        <w:t xml:space="preserve">De acuerdo con el contenido de su solicitud, esta Agencia resolverá los siguientes problemas jurídicos: </w:t>
      </w:r>
      <w:r>
        <w:rPr>
          <w:rFonts w:ascii="Verdana" w:eastAsia="Century Gothic" w:hAnsi="Verdana" w:cs="Century Gothic"/>
          <w:lang w:val="es-ES"/>
        </w:rPr>
        <w:t>i) ¿</w:t>
      </w:r>
      <w:r w:rsidRPr="00BF1272">
        <w:rPr>
          <w:rFonts w:ascii="Verdana" w:eastAsia="Century Gothic" w:hAnsi="Verdana" w:cs="Century Gothic"/>
          <w:lang w:val="es-ES"/>
        </w:rPr>
        <w:t>Cuáles son los criterios para determinar la forma de vinculación de las familias que integran la red de hogares de paso</w:t>
      </w:r>
      <w:r>
        <w:rPr>
          <w:rFonts w:ascii="Verdana" w:eastAsia="Century Gothic" w:hAnsi="Verdana" w:cs="Century Gothic"/>
          <w:lang w:val="es-ES"/>
        </w:rPr>
        <w:t xml:space="preserve">?, </w:t>
      </w:r>
      <w:proofErr w:type="spellStart"/>
      <w:r>
        <w:rPr>
          <w:rFonts w:ascii="Verdana" w:eastAsia="Century Gothic" w:hAnsi="Verdana" w:cs="Century Gothic"/>
          <w:lang w:val="es-ES"/>
        </w:rPr>
        <w:t>ii</w:t>
      </w:r>
      <w:proofErr w:type="spellEnd"/>
      <w:r>
        <w:rPr>
          <w:rFonts w:ascii="Verdana" w:eastAsia="Century Gothic" w:hAnsi="Verdana" w:cs="Century Gothic"/>
          <w:lang w:val="es-ES"/>
        </w:rPr>
        <w:t xml:space="preserve">) </w:t>
      </w:r>
      <w:r w:rsidRPr="00655D2B">
        <w:rPr>
          <w:rFonts w:ascii="Verdana" w:eastAsia="Century Gothic" w:hAnsi="Verdana" w:cs="Century Gothic"/>
        </w:rPr>
        <w:t>¿Cuáles son las modalidades de selección</w:t>
      </w:r>
      <w:r w:rsidRPr="00E46409">
        <w:rPr>
          <w:rFonts w:ascii="Verdana" w:eastAsia="Century Gothic" w:hAnsi="Verdana" w:cs="Century Gothic"/>
          <w:lang w:val="es-ES"/>
        </w:rPr>
        <w:t xml:space="preserve"> </w:t>
      </w:r>
      <w:r>
        <w:rPr>
          <w:rFonts w:ascii="Verdana" w:eastAsia="Century Gothic" w:hAnsi="Verdana" w:cs="Century Gothic"/>
          <w:lang w:val="es-ES"/>
        </w:rPr>
        <w:t xml:space="preserve">y </w:t>
      </w:r>
      <w:r w:rsidRPr="00BF1272">
        <w:rPr>
          <w:rFonts w:ascii="Verdana" w:eastAsia="Century Gothic" w:hAnsi="Verdana" w:cs="Century Gothic"/>
          <w:lang w:val="es-ES"/>
        </w:rPr>
        <w:t>la tipología contractual</w:t>
      </w:r>
      <w:r>
        <w:rPr>
          <w:rFonts w:ascii="Verdana" w:eastAsia="Century Gothic" w:hAnsi="Verdana" w:cs="Century Gothic"/>
        </w:rPr>
        <w:t xml:space="preserve"> </w:t>
      </w:r>
      <w:r w:rsidRPr="00655D2B">
        <w:rPr>
          <w:rFonts w:ascii="Verdana" w:eastAsia="Century Gothic" w:hAnsi="Verdana" w:cs="Century Gothic"/>
        </w:rPr>
        <w:t>que pueden resultar aplicables para la operación de los hogares de paso</w:t>
      </w:r>
      <w:r>
        <w:rPr>
          <w:rFonts w:ascii="Verdana" w:eastAsia="Century Gothic" w:hAnsi="Verdana" w:cs="Century Gothic"/>
        </w:rPr>
        <w:t xml:space="preserve">?, y </w:t>
      </w:r>
      <w:proofErr w:type="spellStart"/>
      <w:r>
        <w:rPr>
          <w:rFonts w:ascii="Verdana" w:eastAsia="Century Gothic" w:hAnsi="Verdana" w:cs="Century Gothic"/>
        </w:rPr>
        <w:t>iii</w:t>
      </w:r>
      <w:proofErr w:type="spellEnd"/>
      <w:r>
        <w:rPr>
          <w:rFonts w:ascii="Verdana" w:eastAsia="Century Gothic" w:hAnsi="Verdana" w:cs="Century Gothic"/>
        </w:rPr>
        <w:t xml:space="preserve">) </w:t>
      </w:r>
      <w:r w:rsidRPr="00143E00">
        <w:rPr>
          <w:rFonts w:ascii="Verdana" w:eastAsia="Century Gothic" w:hAnsi="Verdana" w:cs="Century Gothic"/>
        </w:rPr>
        <w:t xml:space="preserve">¿Qué criterios deben observar las entidades territoriales para </w:t>
      </w:r>
      <w:r>
        <w:rPr>
          <w:rFonts w:ascii="Verdana" w:eastAsia="Century Gothic" w:hAnsi="Verdana" w:cs="Century Gothic"/>
        </w:rPr>
        <w:t xml:space="preserve">la </w:t>
      </w:r>
      <w:r w:rsidRPr="00143E00">
        <w:rPr>
          <w:rFonts w:ascii="Verdana" w:eastAsia="Century Gothic" w:hAnsi="Verdana" w:cs="Century Gothic"/>
        </w:rPr>
        <w:t xml:space="preserve">estructurar </w:t>
      </w:r>
      <w:r>
        <w:rPr>
          <w:rFonts w:ascii="Verdana" w:eastAsia="Century Gothic" w:hAnsi="Verdana" w:cs="Century Gothic"/>
        </w:rPr>
        <w:t xml:space="preserve">y ejecución del servicio </w:t>
      </w:r>
      <w:r w:rsidRPr="00143E00">
        <w:rPr>
          <w:rFonts w:ascii="Verdana" w:eastAsia="Century Gothic" w:hAnsi="Verdana" w:cs="Century Gothic"/>
        </w:rPr>
        <w:t>de</w:t>
      </w:r>
      <w:r>
        <w:rPr>
          <w:rFonts w:ascii="Verdana" w:eastAsia="Century Gothic" w:hAnsi="Verdana" w:cs="Century Gothic"/>
        </w:rPr>
        <w:t xml:space="preserve"> la red de</w:t>
      </w:r>
      <w:r w:rsidRPr="00143E00">
        <w:rPr>
          <w:rFonts w:ascii="Verdana" w:eastAsia="Century Gothic" w:hAnsi="Verdana" w:cs="Century Gothic"/>
        </w:rPr>
        <w:t xml:space="preserve"> hogares de paso</w:t>
      </w:r>
      <w:r>
        <w:rPr>
          <w:rFonts w:ascii="Verdana" w:eastAsia="Century Gothic" w:hAnsi="Verdana" w:cs="Century Gothic"/>
        </w:rPr>
        <w:t>?.</w:t>
      </w:r>
    </w:p>
    <w:p w14:paraId="5C7F6C26" w14:textId="77777777" w:rsidR="00EC2023" w:rsidRPr="009971BC" w:rsidRDefault="00EC2023" w:rsidP="00EC2023">
      <w:pPr>
        <w:spacing w:after="0" w:line="276" w:lineRule="auto"/>
        <w:jc w:val="both"/>
        <w:rPr>
          <w:rFonts w:ascii="Verdana" w:eastAsia="Century Gothic" w:hAnsi="Verdana" w:cs="Century Gothic"/>
          <w:color w:val="FFC000" w:themeColor="accent4"/>
        </w:rPr>
      </w:pPr>
    </w:p>
    <w:p w14:paraId="1F64E0D2" w14:textId="77777777" w:rsidR="00EC2023" w:rsidRPr="00E03B87" w:rsidRDefault="00EC2023" w:rsidP="00EC2023">
      <w:pPr>
        <w:tabs>
          <w:tab w:val="left" w:pos="142"/>
          <w:tab w:val="left" w:pos="284"/>
        </w:tabs>
        <w:spacing w:after="0" w:line="276" w:lineRule="auto"/>
        <w:jc w:val="both"/>
        <w:rPr>
          <w:rFonts w:ascii="Verdana" w:eastAsia="Century Gothic" w:hAnsi="Verdana" w:cs="Century Gothic"/>
          <w:b/>
          <w:lang w:val="es-ES"/>
        </w:rPr>
      </w:pPr>
      <w:r w:rsidRPr="00E03B87">
        <w:rPr>
          <w:rFonts w:ascii="Verdana" w:eastAsia="Century Gothic" w:hAnsi="Verdana" w:cs="Century Gothic"/>
          <w:b/>
          <w:lang w:val="es-ES"/>
        </w:rPr>
        <w:t>2. Respuesta:</w:t>
      </w:r>
    </w:p>
    <w:p w14:paraId="7C11AB28" w14:textId="77777777" w:rsidR="00EC2023" w:rsidRPr="009971BC" w:rsidRDefault="00EC2023" w:rsidP="00EC2023">
      <w:pPr>
        <w:tabs>
          <w:tab w:val="left" w:pos="142"/>
          <w:tab w:val="left" w:pos="284"/>
        </w:tabs>
        <w:spacing w:after="0" w:line="276" w:lineRule="auto"/>
        <w:jc w:val="both"/>
        <w:rPr>
          <w:rFonts w:ascii="Verdana" w:eastAsia="Century Gothic" w:hAnsi="Verdana" w:cs="Century Gothic"/>
          <w:b/>
          <w:bCs/>
          <w:color w:val="FFC000" w:themeColor="accent4"/>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C2023" w:rsidRPr="009971BC" w14:paraId="1276FB5B" w14:textId="77777777" w:rsidTr="00F33424">
        <w:tc>
          <w:tcPr>
            <w:tcW w:w="8828" w:type="dxa"/>
          </w:tcPr>
          <w:p w14:paraId="4CE019B0" w14:textId="77777777" w:rsidR="00EC2023" w:rsidRDefault="00EC2023" w:rsidP="00F33424">
            <w:pPr>
              <w:spacing w:before="120" w:after="120" w:line="276" w:lineRule="auto"/>
              <w:jc w:val="both"/>
              <w:rPr>
                <w:rFonts w:ascii="Verdana" w:hAnsi="Verdana"/>
              </w:rPr>
            </w:pPr>
            <w:r>
              <w:rPr>
                <w:rFonts w:ascii="Verdana" w:eastAsia="Calibri" w:hAnsi="Verdana" w:cs="Times New Roman"/>
                <w:lang w:val="es-ES"/>
              </w:rPr>
              <w:t>i. L</w:t>
            </w:r>
            <w:r w:rsidRPr="00FF2574">
              <w:rPr>
                <w:rFonts w:ascii="Verdana" w:eastAsia="Calibri" w:hAnsi="Verdana" w:cs="Arial"/>
              </w:rPr>
              <w:t>a</w:t>
            </w:r>
            <w:r w:rsidRPr="00FF2574">
              <w:rPr>
                <w:rFonts w:ascii="Verdana" w:hAnsi="Verdana"/>
              </w:rPr>
              <w:t xml:space="preserve"> red de hogares de paso constituye un sistema de alcance territorial y nacional, cuyo objetivo es garantizar la ubicación y la atención inmediata de niñas, niños y adolescentes que se encuentran en un proceso administrativo de restablecimiento de derechos. Estos hogares deben estar debidamente registrados y facilitar el ejercicio de las funciones de seguimiento y control por parte de las autoridades competentes. </w:t>
            </w:r>
          </w:p>
          <w:p w14:paraId="4C464E07" w14:textId="77777777" w:rsidR="00EC2023" w:rsidRDefault="00EC2023" w:rsidP="00F33424">
            <w:pPr>
              <w:spacing w:before="120" w:after="120" w:line="276" w:lineRule="auto"/>
              <w:ind w:firstLine="743"/>
              <w:jc w:val="both"/>
              <w:rPr>
                <w:rFonts w:ascii="Verdana" w:hAnsi="Verdana"/>
                <w:lang w:val="es-ES"/>
              </w:rPr>
            </w:pPr>
            <w:r w:rsidRPr="4ED4972E">
              <w:rPr>
                <w:rFonts w:ascii="Verdana" w:hAnsi="Verdana"/>
                <w:lang w:val="es-ES"/>
              </w:rPr>
              <w:t xml:space="preserve">Estos hogares operan en dos modalidades, la primera el </w:t>
            </w:r>
            <w:r w:rsidRPr="4ED4972E">
              <w:rPr>
                <w:rFonts w:ascii="Verdana" w:hAnsi="Verdana"/>
                <w:i/>
                <w:iCs/>
                <w:lang w:val="es-ES"/>
              </w:rPr>
              <w:t>Hogar de Paso con operador</w:t>
            </w:r>
            <w:r w:rsidRPr="4ED4972E">
              <w:rPr>
                <w:rFonts w:ascii="Verdana" w:hAnsi="Verdana"/>
                <w:lang w:val="es-ES"/>
              </w:rPr>
              <w:t xml:space="preserve">, el </w:t>
            </w:r>
            <w:proofErr w:type="gramStart"/>
            <w:r w:rsidRPr="4ED4972E">
              <w:rPr>
                <w:rFonts w:ascii="Verdana" w:hAnsi="Verdana"/>
                <w:lang w:val="es-ES"/>
              </w:rPr>
              <w:t>cual</w:t>
            </w:r>
            <w:proofErr w:type="gramEnd"/>
            <w:r w:rsidRPr="4ED4972E">
              <w:rPr>
                <w:rFonts w:ascii="Verdana" w:hAnsi="Verdana"/>
                <w:lang w:val="es-ES"/>
              </w:rPr>
              <w:t xml:space="preserve"> para prestar los servicios de protección integral, requiere licencia de funcionamiento otorgada por el Instituto Colombiano de Bienestar Familiar, en razón a lo establecido en el artículo 16 de la Ley 1098 de 2006, frente a dicha licencia es necesario acreditar los requisitos estipulados en la Resolución 3899 de 2010, de carácter legal, financiero, técnicos, administrativos, según corresponda. Y segundo, </w:t>
            </w:r>
            <w:r w:rsidRPr="4ED4972E">
              <w:rPr>
                <w:rFonts w:ascii="Verdana" w:hAnsi="Verdana"/>
                <w:i/>
                <w:iCs/>
                <w:lang w:val="es-ES"/>
              </w:rPr>
              <w:t>el Hogar de Paso Familia</w:t>
            </w:r>
            <w:r w:rsidRPr="4ED4972E">
              <w:rPr>
                <w:rFonts w:ascii="Verdana" w:hAnsi="Verdana"/>
                <w:lang w:val="es-ES"/>
              </w:rPr>
              <w:t xml:space="preserve">, en esta modalidad de operación es administrada y financiada directamente por la entidad territorial, así como la ejecución del proceso de selección. </w:t>
            </w:r>
          </w:p>
          <w:p w14:paraId="402C3B42" w14:textId="77777777" w:rsidR="00EC2023" w:rsidRDefault="00EC2023" w:rsidP="00F33424">
            <w:pPr>
              <w:spacing w:before="120" w:after="120" w:line="276" w:lineRule="auto"/>
              <w:ind w:firstLine="709"/>
              <w:jc w:val="both"/>
              <w:rPr>
                <w:rFonts w:ascii="Verdana" w:hAnsi="Verdana"/>
              </w:rPr>
            </w:pPr>
            <w:r>
              <w:rPr>
                <w:rFonts w:ascii="Verdana" w:hAnsi="Verdana"/>
              </w:rPr>
              <w:t xml:space="preserve">Para efectos de la modalidad de </w:t>
            </w:r>
            <w:r w:rsidRPr="0099567D">
              <w:rPr>
                <w:rFonts w:ascii="Verdana" w:hAnsi="Verdana"/>
                <w:i/>
                <w:iCs/>
              </w:rPr>
              <w:t>Hogar de Paso Familia</w:t>
            </w:r>
            <w:r>
              <w:rPr>
                <w:rFonts w:ascii="Verdana" w:hAnsi="Verdana"/>
              </w:rPr>
              <w:t xml:space="preserve">, la Guía establece orientaciones y recomendaciones para la realización de un proceso de selección </w:t>
            </w:r>
            <w:r w:rsidRPr="00065180">
              <w:rPr>
                <w:rFonts w:ascii="Verdana" w:hAnsi="Verdana"/>
              </w:rPr>
              <w:t>para que sea aplicado directamente por la entidad territorial, por los</w:t>
            </w:r>
            <w:r>
              <w:rPr>
                <w:rFonts w:ascii="Verdana" w:hAnsi="Verdana"/>
              </w:rPr>
              <w:t xml:space="preserve"> </w:t>
            </w:r>
            <w:r w:rsidRPr="00065180">
              <w:rPr>
                <w:rFonts w:ascii="Verdana" w:hAnsi="Verdana"/>
              </w:rPr>
              <w:t>operadores contratados para administrar la modalidad o por los profesionales destinados para este fin.</w:t>
            </w:r>
            <w:r w:rsidRPr="00A8612B">
              <w:t xml:space="preserve"> </w:t>
            </w:r>
            <w:r w:rsidRPr="00A8612B">
              <w:rPr>
                <w:rFonts w:ascii="Verdana" w:hAnsi="Verdana"/>
              </w:rPr>
              <w:t xml:space="preserve">El objetivo es orientar a la selección directa de familias, con el cumplimiento de los criterios de idoneidad para el cuidado de las niñas, los niños y los adolescentes, con el fin de ofrecer las mejores </w:t>
            </w:r>
            <w:r w:rsidRPr="00A8612B">
              <w:rPr>
                <w:rFonts w:ascii="Verdana" w:hAnsi="Verdana"/>
              </w:rPr>
              <w:lastRenderedPageBreak/>
              <w:t>condiciones para la atención de ellos.</w:t>
            </w:r>
            <w:r>
              <w:rPr>
                <w:rFonts w:ascii="Verdana" w:hAnsi="Verdana"/>
              </w:rPr>
              <w:t xml:space="preserve"> En tal sentido, la Guía indica que</w:t>
            </w:r>
            <w:r w:rsidRPr="00DC1D93">
              <w:t xml:space="preserve"> </w:t>
            </w:r>
            <w:r w:rsidRPr="00DC1D93">
              <w:rPr>
                <w:rFonts w:ascii="Verdana" w:hAnsi="Verdana"/>
              </w:rPr>
              <w:t>debe realizar estos procesos de manera constante y como mínimo dos procesos de selección al año, preferiblemente uno en cada semestre, con el fin de mantener un banco de datos con la información de las familias disponibles para la ubicación de las niñas, los niños y los adolescentes en el momento en que sea requerido.</w:t>
            </w:r>
            <w:r>
              <w:rPr>
                <w:rFonts w:ascii="Verdana" w:hAnsi="Verdana"/>
              </w:rPr>
              <w:t xml:space="preserve"> Este procedimiento culmina con un acta de aprobación y la resolución en la cual se establece la figura del responsable de Hogar de Paso.</w:t>
            </w:r>
          </w:p>
          <w:p w14:paraId="7BEA2F36" w14:textId="77777777" w:rsidR="00EC2023" w:rsidRDefault="00EC2023" w:rsidP="00F33424">
            <w:pPr>
              <w:spacing w:before="120" w:after="120" w:line="276" w:lineRule="auto"/>
              <w:ind w:firstLine="709"/>
              <w:jc w:val="both"/>
              <w:rPr>
                <w:rFonts w:ascii="Verdana" w:hAnsi="Verdana"/>
              </w:rPr>
            </w:pPr>
            <w:r>
              <w:rPr>
                <w:rFonts w:ascii="Verdana" w:hAnsi="Verdana"/>
              </w:rPr>
              <w:t xml:space="preserve"> Sin embargo, n</w:t>
            </w:r>
            <w:r w:rsidRPr="00E46409">
              <w:rPr>
                <w:rFonts w:ascii="Verdana" w:hAnsi="Verdana"/>
              </w:rPr>
              <w:t>i el artículo 58 de la Ley 1098 de 2006 ni la Guía Operativa Hogar de Paso del ICBF establecen una forma específica de vinculación de las familias que integran la red de hogares de paso ni exigen la celebración de un contrato determinado para la prestación del servicio. En consecuencia, las entidades territoriales deberán atender las orientaciones técnicas y operativas del ICBF y cumplir los requisitos previstos para cada modalidad de hogar de paso, sin perjuicio de su autonomía para determinar la forma jurídica mediante la cual desarrollarán el servicio. Para tal efecto, deberán identificar la tipología contractual que corresponda, atendiendo al objeto, las obligaciones y la estructura económica del negocio jurídico. En ejercicio de dicha autonomía y de conformidad con los artículos 13, 32 y 40 de la Ley 80 de 1993, podrán considerar las tipologías contractuales legalmente previstas y las figuras admitidas por el derecho privado, siempre que resulten compatibles con el ordenamiento jurídico, el régimen de contratación aplicable y las necesidades del servicio.</w:t>
            </w:r>
          </w:p>
          <w:p w14:paraId="62221B75" w14:textId="77777777" w:rsidR="00EC2023" w:rsidRDefault="00EC2023" w:rsidP="00F33424">
            <w:pPr>
              <w:spacing w:before="120" w:after="120" w:line="276" w:lineRule="auto"/>
              <w:ind w:firstLine="709"/>
              <w:jc w:val="both"/>
              <w:rPr>
                <w:rFonts w:ascii="Verdana" w:hAnsi="Verdana"/>
              </w:rPr>
            </w:pPr>
            <w:r w:rsidRPr="00713230">
              <w:rPr>
                <w:rFonts w:ascii="Verdana" w:hAnsi="Verdana"/>
              </w:rPr>
              <w:t xml:space="preserve">En este contexto, toda entidad que desarrolle el Servicio Público de Bienestar Familiar ya sea de manera directa o a través de operadores, </w:t>
            </w:r>
            <w:r w:rsidRPr="00905C7F">
              <w:rPr>
                <w:rFonts w:ascii="Verdana" w:hAnsi="Verdana"/>
                <w:i/>
                <w:iCs/>
              </w:rPr>
              <w:t>goza de autonomía</w:t>
            </w:r>
            <w:r w:rsidRPr="00713230">
              <w:rPr>
                <w:rFonts w:ascii="Verdana" w:hAnsi="Verdana"/>
              </w:rPr>
              <w:t xml:space="preserve"> para definir el tipo de vínculo mediante el cual se ejecutará dicho servicio.</w:t>
            </w:r>
            <w:r>
              <w:rPr>
                <w:rFonts w:ascii="Verdana" w:hAnsi="Verdana"/>
              </w:rPr>
              <w:t xml:space="preserve"> </w:t>
            </w:r>
            <w:r w:rsidRPr="00713230">
              <w:rPr>
                <w:rFonts w:ascii="Verdana" w:hAnsi="Verdana"/>
              </w:rPr>
              <w:t>En consecuencia, la entidad territorial es la competente para establecer el tipo de contrato</w:t>
            </w:r>
            <w:r w:rsidRPr="002D615A">
              <w:rPr>
                <w:rFonts w:ascii="Verdana" w:hAnsi="Verdana"/>
              </w:rPr>
              <w:t xml:space="preserve"> </w:t>
            </w:r>
            <w:r>
              <w:rPr>
                <w:rFonts w:ascii="Verdana" w:hAnsi="Verdana"/>
              </w:rPr>
              <w:t>o vinculación</w:t>
            </w:r>
            <w:r w:rsidRPr="00713230">
              <w:rPr>
                <w:rFonts w:ascii="Verdana" w:hAnsi="Verdana"/>
              </w:rPr>
              <w:t xml:space="preserve"> a través del cual se desarrollará el Servicio Público de Bienestar Familiar en las distintas modalidades referidas, atendiendo a su marco normativo, a sus capacidades institucionales y a las necesidades del servicio</w:t>
            </w:r>
            <w:r>
              <w:rPr>
                <w:rFonts w:ascii="Verdana" w:hAnsi="Verdana"/>
              </w:rPr>
              <w:t xml:space="preserve">. </w:t>
            </w:r>
          </w:p>
          <w:p w14:paraId="5184469F" w14:textId="77777777" w:rsidR="00EC2023" w:rsidRDefault="00EC2023" w:rsidP="00F33424">
            <w:pPr>
              <w:spacing w:before="120" w:after="120" w:line="276" w:lineRule="auto"/>
              <w:jc w:val="both"/>
              <w:rPr>
                <w:rFonts w:ascii="Verdana" w:hAnsi="Verdana"/>
              </w:rPr>
            </w:pPr>
            <w:proofErr w:type="spellStart"/>
            <w:r>
              <w:rPr>
                <w:rFonts w:ascii="Verdana" w:hAnsi="Verdana"/>
              </w:rPr>
              <w:t>ii</w:t>
            </w:r>
            <w:proofErr w:type="spellEnd"/>
            <w:r>
              <w:rPr>
                <w:rFonts w:ascii="Verdana" w:hAnsi="Verdana"/>
              </w:rPr>
              <w:t>. C</w:t>
            </w:r>
            <w:r w:rsidRPr="00DE4464">
              <w:rPr>
                <w:rFonts w:ascii="Verdana" w:hAnsi="Verdana"/>
              </w:rPr>
              <w:t xml:space="preserve">uando la entidad territorial deba celebrar un contrato estatal para </w:t>
            </w:r>
            <w:r>
              <w:rPr>
                <w:rFonts w:ascii="Verdana" w:hAnsi="Verdana"/>
              </w:rPr>
              <w:t xml:space="preserve">la </w:t>
            </w:r>
            <w:r w:rsidRPr="00DE4464">
              <w:rPr>
                <w:rFonts w:ascii="Verdana" w:hAnsi="Verdana"/>
              </w:rPr>
              <w:t xml:space="preserve">operación del </w:t>
            </w:r>
            <w:r>
              <w:rPr>
                <w:rFonts w:ascii="Verdana" w:hAnsi="Verdana"/>
              </w:rPr>
              <w:t>H</w:t>
            </w:r>
            <w:r w:rsidRPr="00DE4464">
              <w:rPr>
                <w:rFonts w:ascii="Verdana" w:hAnsi="Verdana"/>
              </w:rPr>
              <w:t xml:space="preserve">ogar de </w:t>
            </w:r>
            <w:r>
              <w:rPr>
                <w:rFonts w:ascii="Verdana" w:hAnsi="Verdana"/>
              </w:rPr>
              <w:t>P</w:t>
            </w:r>
            <w:r w:rsidRPr="00DE4464">
              <w:rPr>
                <w:rFonts w:ascii="Verdana" w:hAnsi="Verdana"/>
              </w:rPr>
              <w:t xml:space="preserve">aso, la selección del contratista </w:t>
            </w:r>
            <w:r>
              <w:rPr>
                <w:rFonts w:ascii="Verdana" w:hAnsi="Verdana"/>
              </w:rPr>
              <w:t xml:space="preserve">estará </w:t>
            </w:r>
            <w:r w:rsidRPr="00DE4464">
              <w:rPr>
                <w:rFonts w:ascii="Verdana" w:hAnsi="Verdana"/>
              </w:rPr>
              <w:t>sometida a las modalidades previstas en el artículo 2 de la Ley 1150 de 2007 y sus normas reglamentarias</w:t>
            </w:r>
            <w:r>
              <w:rPr>
                <w:rFonts w:ascii="Verdana" w:hAnsi="Verdana"/>
              </w:rPr>
              <w:t xml:space="preserve">. </w:t>
            </w:r>
            <w:r w:rsidRPr="00F044FE">
              <w:rPr>
                <w:rFonts w:ascii="Verdana" w:hAnsi="Verdana"/>
              </w:rPr>
              <w:t xml:space="preserve">de acuerdo con las características del servicio, su objeto, las obligaciones que se pretendan asumir y el régimen de contratación aplicable </w:t>
            </w:r>
            <w:r w:rsidRPr="00F044FE">
              <w:rPr>
                <w:rFonts w:ascii="Verdana" w:hAnsi="Verdana"/>
              </w:rPr>
              <w:lastRenderedPageBreak/>
              <w:t>a la entidad territorial. En consecuencia, podrán considerarse, según las circunstancias de cada caso, contratos de prestación de servicios, contratos interadministrativos, convenios de asociación con entidades sin ánimo de lucro u</w:t>
            </w:r>
            <w:r>
              <w:rPr>
                <w:rFonts w:ascii="Verdana" w:hAnsi="Verdana"/>
              </w:rPr>
              <w:t xml:space="preserve"> otros contratos, </w:t>
            </w:r>
            <w:r w:rsidRPr="00F044FE">
              <w:rPr>
                <w:rFonts w:ascii="Verdana" w:hAnsi="Verdana"/>
              </w:rPr>
              <w:t xml:space="preserve">siempre que se cumplan los presupuestos legales para su celebración. </w:t>
            </w:r>
          </w:p>
          <w:p w14:paraId="5A9629E9" w14:textId="77777777" w:rsidR="00EC2023" w:rsidRDefault="00EC2023" w:rsidP="00F33424">
            <w:pPr>
              <w:spacing w:before="120" w:after="120" w:line="276" w:lineRule="auto"/>
              <w:ind w:firstLine="743"/>
              <w:jc w:val="both"/>
              <w:rPr>
                <w:rFonts w:ascii="Verdana" w:hAnsi="Verdana"/>
              </w:rPr>
            </w:pPr>
            <w:r w:rsidRPr="00F044FE">
              <w:rPr>
                <w:rFonts w:ascii="Verdana" w:hAnsi="Verdana"/>
              </w:rPr>
              <w:t>En particular, la contratación directa solo procederá cuando se configure alguna de las causales previstas legalmente. Así, los convenios de asociación y los contratos con entidades privadas sin ánimo de lucro deberán sujetarse, según corresponda, al artículo 96 de la Ley 489 de 1998, al artículo 355 de la Constitución Política y al Decreto 092 de 2017, mientras que los contratos interadministrativos deberán cumplir los requisitos y límites establecidos en el Estatuto General de Contratación de la Administración Pública.</w:t>
            </w:r>
          </w:p>
          <w:p w14:paraId="4DD2BBEA" w14:textId="77777777" w:rsidR="00EC2023" w:rsidRDefault="00EC2023" w:rsidP="00F33424">
            <w:pPr>
              <w:spacing w:before="120" w:after="120" w:line="276" w:lineRule="auto"/>
              <w:ind w:firstLine="743"/>
              <w:jc w:val="both"/>
              <w:rPr>
                <w:rFonts w:ascii="Verdana" w:hAnsi="Verdana"/>
              </w:rPr>
            </w:pPr>
            <w:r w:rsidRPr="00F044FE">
              <w:rPr>
                <w:rFonts w:ascii="Verdana" w:hAnsi="Verdana"/>
              </w:rPr>
              <w:t>Por su parte, el contrato de aporte cuenta con regulación especial en el marco de las competencias del ICBF, particularmente en la Ley 7 de 1979 y el Decreto 2388 de 1979, compilado en el Decreto 1084 de 2015. Sin embargo, esa regulación no permite concluir que las entidades territoriales deban emplear necesariamente dicha tipología contractual para operar los hogares de paso, ni que puedan trasladar automáticamente a su contratación el régimen especial del ICBF. Por tanto, corresponde a cada entidad territorial determinar la figura jurídica y la modalidad de selección procedentes, con fundamento en las normas aplicables y en la estructuración del servicio.</w:t>
            </w:r>
          </w:p>
          <w:p w14:paraId="287FEBE8" w14:textId="77777777" w:rsidR="00EC2023" w:rsidRDefault="00EC2023" w:rsidP="00F33424">
            <w:pPr>
              <w:spacing w:before="120" w:after="120" w:line="276" w:lineRule="auto"/>
              <w:jc w:val="both"/>
              <w:rPr>
                <w:rFonts w:ascii="Verdana" w:hAnsi="Verdana"/>
              </w:rPr>
            </w:pPr>
            <w:proofErr w:type="spellStart"/>
            <w:r>
              <w:rPr>
                <w:rFonts w:ascii="Verdana" w:hAnsi="Verdana"/>
              </w:rPr>
              <w:t>iii</w:t>
            </w:r>
            <w:proofErr w:type="spellEnd"/>
            <w:r>
              <w:rPr>
                <w:rFonts w:ascii="Verdana" w:hAnsi="Verdana"/>
              </w:rPr>
              <w:t xml:space="preserve">. </w:t>
            </w:r>
            <w:r w:rsidRPr="00BD238A">
              <w:rPr>
                <w:rFonts w:ascii="Verdana" w:hAnsi="Verdana"/>
              </w:rPr>
              <w:t xml:space="preserve">Las entidades territoriales, en la estructuración del proceso que determinen, de acuerdo con la modalidad de selección aplicable y la tipología contractual escogida, deberán elaborar los estudios y documentos previos que permitan identificar la necesidad, definir el objeto, estimar el presupuesto, analizar el sector, establecer los requisitos habilitantes y asignar los riesgos previsibles. </w:t>
            </w:r>
          </w:p>
          <w:p w14:paraId="4E89EC56" w14:textId="77777777" w:rsidR="00EC2023" w:rsidRDefault="00EC2023" w:rsidP="00F33424">
            <w:pPr>
              <w:spacing w:before="120" w:after="120" w:line="276" w:lineRule="auto"/>
              <w:ind w:firstLine="743"/>
              <w:jc w:val="both"/>
              <w:rPr>
                <w:rFonts w:ascii="Verdana" w:hAnsi="Verdana"/>
              </w:rPr>
            </w:pPr>
            <w:r w:rsidRPr="00BD238A">
              <w:rPr>
                <w:rFonts w:ascii="Verdana" w:hAnsi="Verdana"/>
              </w:rPr>
              <w:t xml:space="preserve">Estas exigencias deberán ser proporcionales al objeto y a las condiciones de ejecución, evitar restricciones injustificadas a la participación y considerar las particularidades de las familias acogedoras y de los operadores. Asimismo, la planeación deberá contemplar la duración requerida para atender la necesidad, los esquemas de pago, la procedencia de prórrogas, adiciones y vigencias futuras, cuando corresponda. La exigencia de inscripción en el Registro Único de Proponentes (RUP), de garantías y de experiencia deberá </w:t>
            </w:r>
            <w:r w:rsidRPr="00BD238A">
              <w:rPr>
                <w:rFonts w:ascii="Verdana" w:hAnsi="Verdana"/>
              </w:rPr>
              <w:lastRenderedPageBreak/>
              <w:t>definirse conforme al régimen jurídico, la modalidad de selección y las excepciones legales aplicables, con la debida justificación en los documentos del proceso.</w:t>
            </w:r>
          </w:p>
          <w:p w14:paraId="1C3C7CE8" w14:textId="77777777" w:rsidR="00EC2023" w:rsidRDefault="00EC2023" w:rsidP="00F33424">
            <w:pPr>
              <w:spacing w:before="120" w:after="120" w:line="276" w:lineRule="auto"/>
              <w:ind w:firstLine="743"/>
              <w:jc w:val="both"/>
              <w:rPr>
                <w:rFonts w:ascii="Verdana" w:hAnsi="Verdana"/>
              </w:rPr>
            </w:pPr>
            <w:r w:rsidRPr="00BD238A">
              <w:rPr>
                <w:rFonts w:ascii="Verdana" w:hAnsi="Verdana"/>
              </w:rPr>
              <w:t>En la estructuración del servicio, las entidades deberán incorporar los lineamientos técnicos del ICBF, así como los criterios de idoneidad, estándares de atención, licencias y autorizaciones exigibles, según corresponda. También deberán determinar la naturaleza jurídica y finalidad de los recursos destinados a las familias acogedoras, de manera que se establezcan los instrumentos para formalizar el vínculo, los soportes para la entrega de recursos y los controles aplicables. Durante la ejecución, deberán implementar mecanismos de seguimiento y supervisión que permitan verificar la disponibilidad efectiva de los hogares, la atención prestada, el cumplimiento de las obligaciones y estándares técnicos, y la correspondencia entre los servicios acreditados y los pagos efectuados, sin sustituir las competencias de las autoridades administrativas responsables del proceso de restablecimiento de derechos.</w:t>
            </w:r>
          </w:p>
          <w:p w14:paraId="579085B4" w14:textId="77777777" w:rsidR="00EC2023" w:rsidRDefault="00EC2023" w:rsidP="00F33424">
            <w:pPr>
              <w:spacing w:before="120" w:after="120" w:line="276" w:lineRule="auto"/>
              <w:ind w:firstLine="743"/>
              <w:jc w:val="both"/>
              <w:rPr>
                <w:rFonts w:ascii="Verdana" w:hAnsi="Verdana"/>
              </w:rPr>
            </w:pPr>
            <w:r>
              <w:rPr>
                <w:rFonts w:ascii="Verdana" w:hAnsi="Verdana"/>
              </w:rPr>
              <w:t>L</w:t>
            </w:r>
            <w:r w:rsidRPr="00BD238A">
              <w:rPr>
                <w:rFonts w:ascii="Verdana" w:hAnsi="Verdana"/>
              </w:rPr>
              <w:t xml:space="preserve">as entidades territoriales deberán garantizar la publicidad de los documentos y actuaciones contractuales en SECOP, de conformidad con las reglas aplicables, sin desconocer las reservas legales ni los deberes de protección de los datos personales y de la intimidad y seguridad de los niños, niñas, adolescentes y familias acogedoras. En todo caso, corresponde a cada entidad, en ejercicio de sus competencias y autonomía contractual, estructurar y adelantar el proceso, justificar la modalidad de selección, ordenar el gasto, administrar los recursos y ejercer la supervisión. </w:t>
            </w:r>
          </w:p>
          <w:p w14:paraId="5E6637C9" w14:textId="77777777" w:rsidR="00EC2023" w:rsidRPr="00507FE6" w:rsidRDefault="00EC2023" w:rsidP="00F33424">
            <w:pPr>
              <w:spacing w:before="120" w:after="120" w:line="276" w:lineRule="auto"/>
              <w:ind w:firstLine="743"/>
              <w:jc w:val="both"/>
              <w:rPr>
                <w:rFonts w:ascii="Verdana" w:hAnsi="Verdana"/>
              </w:rPr>
            </w:pPr>
            <w:r w:rsidRPr="003650DA">
              <w:rPr>
                <w:rFonts w:ascii="Verdana" w:eastAsia="Calibri" w:hAnsi="Verdana" w:cs="Arial"/>
                <w:bCs/>
              </w:rPr>
              <w:t>Finalmente</w:t>
            </w:r>
            <w:r w:rsidRPr="003650DA">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tc>
      </w:tr>
    </w:tbl>
    <w:p w14:paraId="799583A8" w14:textId="77777777" w:rsidR="00EC2023" w:rsidRDefault="00EC2023" w:rsidP="00EC2023">
      <w:pPr>
        <w:tabs>
          <w:tab w:val="left" w:pos="142"/>
          <w:tab w:val="left" w:pos="284"/>
        </w:tabs>
        <w:spacing w:after="0" w:line="276" w:lineRule="auto"/>
        <w:jc w:val="both"/>
        <w:rPr>
          <w:rFonts w:ascii="Verdana" w:eastAsia="Century Gothic" w:hAnsi="Verdana" w:cs="Century Gothic"/>
          <w:b/>
          <w:lang w:val="es-ES"/>
        </w:rPr>
      </w:pPr>
    </w:p>
    <w:p w14:paraId="77E8CDAC" w14:textId="77777777" w:rsidR="00EC2023" w:rsidRPr="00682D5D" w:rsidRDefault="00EC2023" w:rsidP="00EC2023">
      <w:pPr>
        <w:tabs>
          <w:tab w:val="left" w:pos="142"/>
          <w:tab w:val="left" w:pos="284"/>
        </w:tabs>
        <w:spacing w:after="0" w:line="276" w:lineRule="auto"/>
        <w:jc w:val="both"/>
        <w:rPr>
          <w:rFonts w:ascii="Verdana" w:eastAsia="Century Gothic" w:hAnsi="Verdana" w:cs="Century Gothic"/>
          <w:b/>
          <w:lang w:val="es-ES"/>
        </w:rPr>
      </w:pPr>
      <w:r w:rsidRPr="00682D5D">
        <w:rPr>
          <w:rFonts w:ascii="Verdana" w:eastAsia="Century Gothic" w:hAnsi="Verdana" w:cs="Century Gothic"/>
          <w:b/>
          <w:lang w:val="es-ES"/>
        </w:rPr>
        <w:t>3. Razones de la respuesta:</w:t>
      </w:r>
    </w:p>
    <w:p w14:paraId="39273340" w14:textId="77777777" w:rsidR="00EC2023" w:rsidRPr="009971BC" w:rsidRDefault="00EC2023" w:rsidP="00EC2023">
      <w:pPr>
        <w:tabs>
          <w:tab w:val="left" w:pos="142"/>
          <w:tab w:val="left" w:pos="284"/>
        </w:tabs>
        <w:spacing w:after="0" w:line="276" w:lineRule="auto"/>
        <w:jc w:val="both"/>
        <w:rPr>
          <w:rFonts w:ascii="Verdana" w:eastAsia="Century Gothic" w:hAnsi="Verdana" w:cs="Century Gothic"/>
          <w:b/>
          <w:color w:val="FFC000" w:themeColor="accent4"/>
          <w:lang w:val="es-ES"/>
        </w:rPr>
      </w:pPr>
    </w:p>
    <w:p w14:paraId="2FE5EA27" w14:textId="77777777" w:rsidR="00EC2023" w:rsidRPr="00682D5D" w:rsidRDefault="00EC2023" w:rsidP="00EC2023">
      <w:pPr>
        <w:spacing w:after="0" w:line="276" w:lineRule="auto"/>
        <w:jc w:val="both"/>
        <w:rPr>
          <w:rFonts w:ascii="Verdana" w:eastAsia="Calibri" w:hAnsi="Verdana" w:cs="Arial"/>
          <w:lang w:val="es-ES"/>
        </w:rPr>
      </w:pPr>
      <w:r w:rsidRPr="00682D5D">
        <w:rPr>
          <w:rFonts w:ascii="Verdana" w:eastAsia="Calibri" w:hAnsi="Verdana" w:cs="Arial"/>
          <w:lang w:val="es-ES"/>
        </w:rPr>
        <w:lastRenderedPageBreak/>
        <w:t>Lo anterior se sustenta en las siguientes consideraciones:</w:t>
      </w:r>
    </w:p>
    <w:p w14:paraId="2254B416" w14:textId="77777777" w:rsidR="00EC2023" w:rsidRPr="009971BC" w:rsidRDefault="00EC2023" w:rsidP="00EC2023">
      <w:pPr>
        <w:spacing w:after="0" w:line="276" w:lineRule="auto"/>
        <w:jc w:val="both"/>
        <w:rPr>
          <w:rFonts w:ascii="Verdana" w:eastAsia="Calibri" w:hAnsi="Verdana" w:cs="Arial"/>
          <w:color w:val="FFC000" w:themeColor="accent4"/>
          <w:lang w:val="es-ES"/>
        </w:rPr>
      </w:pPr>
    </w:p>
    <w:p w14:paraId="268D6245" w14:textId="77777777" w:rsidR="00EC2023" w:rsidRDefault="00EC2023" w:rsidP="00EC2023">
      <w:pPr>
        <w:tabs>
          <w:tab w:val="left" w:pos="426"/>
        </w:tabs>
        <w:spacing w:after="120" w:line="276" w:lineRule="auto"/>
        <w:jc w:val="both"/>
        <w:rPr>
          <w:rFonts w:ascii="Verdana" w:eastAsia="Verdana" w:hAnsi="Verdana" w:cs="Verdana"/>
          <w:lang w:val="es-ES"/>
        </w:rPr>
      </w:pPr>
      <w:bookmarkStart w:id="0" w:name="_Hlk102983874"/>
      <w:bookmarkStart w:id="1" w:name="_Hlk102388095"/>
      <w:r w:rsidRPr="00BA579D">
        <w:rPr>
          <w:rFonts w:ascii="Verdana" w:eastAsia="Calibri" w:hAnsi="Verdana" w:cs="Arial"/>
          <w:lang w:val="es-ES"/>
        </w:rPr>
        <w:t>i</w:t>
      </w:r>
      <w:r w:rsidRPr="00BA579D">
        <w:rPr>
          <w:rFonts w:ascii="Verdana" w:eastAsia="Verdana" w:hAnsi="Verdana" w:cs="Verdana"/>
          <w:lang w:val="es-ES"/>
        </w:rPr>
        <w:t xml:space="preserve"> </w:t>
      </w:r>
      <w:bookmarkStart w:id="2" w:name="_Hlk35535746"/>
      <w:r w:rsidRPr="00BA579D">
        <w:rPr>
          <w:rFonts w:ascii="Verdana" w:eastAsia="Calibri" w:hAnsi="Verdana" w:cs="Arial"/>
          <w:lang w:val="es-ES"/>
        </w:rPr>
        <w:t>El Estatuto</w:t>
      </w:r>
      <w:r w:rsidRPr="00CB68C5">
        <w:rPr>
          <w:rFonts w:ascii="Verdana" w:eastAsia="Calibri" w:hAnsi="Verdana" w:cs="Arial"/>
          <w:lang w:val="es-ES"/>
        </w:rPr>
        <w:t xml:space="preserve"> General de Contratación de la Administración Pública</w:t>
      </w:r>
      <w:r>
        <w:rPr>
          <w:rFonts w:ascii="Verdana" w:eastAsia="Calibri" w:hAnsi="Verdana" w:cs="Arial"/>
          <w:lang w:val="es-ES"/>
        </w:rPr>
        <w:t xml:space="preserve"> –EGCAP-</w:t>
      </w:r>
      <w:r w:rsidRPr="00CB68C5">
        <w:rPr>
          <w:rFonts w:ascii="Verdana" w:eastAsia="Calibri" w:hAnsi="Verdana" w:cs="Arial"/>
          <w:lang w:val="es-ES"/>
        </w:rPr>
        <w:t xml:space="preserve">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el inciso prim</w:t>
      </w:r>
      <w:r>
        <w:rPr>
          <w:rFonts w:ascii="Verdana" w:hAnsi="Verdana" w:cs="Arial"/>
        </w:rPr>
        <w:t xml:space="preserve">ero del artículo 13 dispone: </w:t>
      </w:r>
      <w:r w:rsidRPr="00CB68C5">
        <w:rPr>
          <w:rFonts w:ascii="Verdana" w:hAnsi="Verdana" w:cs="Arial"/>
        </w:rPr>
        <w:t>“Los contratos que celebren las entidades a que se refiere el artículo 2o. del presente estatuto se regirán por las disposiciones comerciales y civiles pertinentes, salvo en las materias particularmente reguladas en esta ley”.</w:t>
      </w:r>
    </w:p>
    <w:p w14:paraId="18FFC656" w14:textId="77777777" w:rsidR="00EC2023" w:rsidRDefault="00EC2023" w:rsidP="00EC2023">
      <w:pPr>
        <w:spacing w:after="120" w:line="276" w:lineRule="auto"/>
        <w:ind w:firstLine="709"/>
        <w:jc w:val="both"/>
        <w:rPr>
          <w:rFonts w:ascii="Verdana" w:hAnsi="Verdana" w:cs="Arial"/>
        </w:rPr>
      </w:pPr>
      <w:r w:rsidRPr="00CB68C5">
        <w:rPr>
          <w:rFonts w:ascii="Verdana" w:hAnsi="Verdana" w:cs="Arial"/>
        </w:rPr>
        <w:t>Dicha idea también se reitera en el EGCAP considerando que</w:t>
      </w:r>
      <w:r>
        <w:rPr>
          <w:rFonts w:ascii="Verdana" w:hAnsi="Verdana" w:cs="Arial"/>
        </w:rPr>
        <w:t>:</w:t>
      </w:r>
      <w:r w:rsidRPr="00CB68C5">
        <w:rPr>
          <w:rFonts w:ascii="Verdana" w:hAnsi="Verdana" w:cs="Arial"/>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27689FD8" w14:textId="77777777" w:rsidR="00EC2023" w:rsidRPr="00C26DBC" w:rsidRDefault="00EC2023" w:rsidP="00EC2023">
      <w:pPr>
        <w:spacing w:after="120" w:line="276" w:lineRule="auto"/>
        <w:ind w:firstLine="709"/>
        <w:jc w:val="both"/>
        <w:rPr>
          <w:rFonts w:ascii="Verdana" w:hAnsi="Verdana" w:cs="Arial"/>
        </w:rPr>
      </w:pPr>
      <w:r w:rsidRPr="004E0D4D">
        <w:rPr>
          <w:rFonts w:ascii="Verdana" w:hAnsi="Verdana" w:cs="Arial"/>
          <w:lang w:val="es-ES"/>
        </w:rPr>
        <w:t xml:space="preserve">Los contratos se fundan bajo el principio de autonomía de voluntad de las partes, donde ocurren varias personas en la celebración de un negocio que suelen ser quienes materialmente, y en la práctica, actúan como partes del correspondiente acuerdo, es decir, quienes se obligan en virtud de este. </w:t>
      </w:r>
      <w:r>
        <w:rPr>
          <w:rFonts w:ascii="Verdana" w:eastAsia="Calibri" w:hAnsi="Verdana"/>
          <w:color w:val="000000" w:themeColor="text1"/>
        </w:rPr>
        <w:t>Se pone de presente que conforme al artículo 13 de la Ley 80 de 1993, el contrato estatal se rige por las disposiciones comerciales y civiles pertinentes en todo aquello que no esté regulado por el EGCAP,</w:t>
      </w:r>
      <w:r>
        <w:rPr>
          <w:rFonts w:ascii="Verdana" w:hAnsi="Verdana" w:cs="Arial"/>
          <w:lang w:val="es-ES"/>
        </w:rPr>
        <w:t xml:space="preserve"> por lo que se resalta</w:t>
      </w:r>
      <w:r w:rsidRPr="004E0D4D">
        <w:rPr>
          <w:rFonts w:ascii="Verdana" w:eastAsia="Arial" w:hAnsi="Verdana" w:cs="Arial"/>
          <w:color w:val="000000" w:themeColor="text1"/>
          <w:lang w:val="es-ES" w:eastAsia="es-ES"/>
        </w:rPr>
        <w:t xml:space="preserve"> el artículo 1495 del Código Civil </w:t>
      </w:r>
      <w:r>
        <w:rPr>
          <w:rFonts w:ascii="Verdana" w:eastAsia="Arial" w:hAnsi="Verdana" w:cs="Arial"/>
          <w:color w:val="000000" w:themeColor="text1"/>
          <w:lang w:val="es-ES" w:eastAsia="es-ES"/>
        </w:rPr>
        <w:t>que dispone</w:t>
      </w:r>
      <w:r w:rsidRPr="004E0D4D">
        <w:rPr>
          <w:rFonts w:ascii="Verdana" w:eastAsia="Arial" w:hAnsi="Verdana" w:cs="Arial"/>
          <w:color w:val="000000" w:themeColor="text1"/>
          <w:lang w:val="es-ES" w:eastAsia="es-ES"/>
        </w:rPr>
        <w:t xml:space="preserve"> el “</w:t>
      </w:r>
      <w:r>
        <w:rPr>
          <w:rFonts w:ascii="Verdana" w:eastAsia="Arial" w:hAnsi="Verdana" w:cs="Arial"/>
          <w:color w:val="000000" w:themeColor="text1"/>
          <w:lang w:val="es-ES" w:eastAsia="es-ES"/>
        </w:rPr>
        <w:t>co</w:t>
      </w:r>
      <w:r w:rsidRPr="004E0D4D">
        <w:rPr>
          <w:rFonts w:ascii="Verdana" w:eastAsia="Arial" w:hAnsi="Verdana" w:cs="Arial"/>
          <w:color w:val="000000" w:themeColor="text1"/>
          <w:lang w:val="es-ES" w:eastAsia="es-ES"/>
        </w:rPr>
        <w:t>ntrato o convención es un acto por el cual una parte se obliga para con otra a dar, hacer, o no alguna cosa. Cada parte puede ser de una o muchas personas”. A su turno, el Código de Comercio establece en el artículo 864 que “</w:t>
      </w:r>
      <w:r>
        <w:rPr>
          <w:rFonts w:ascii="Verdana" w:eastAsia="Arial" w:hAnsi="Verdana" w:cs="Arial"/>
          <w:color w:val="000000" w:themeColor="text1"/>
          <w:lang w:val="es-ES" w:eastAsia="es-ES"/>
        </w:rPr>
        <w:t>el</w:t>
      </w:r>
      <w:r w:rsidRPr="004E0D4D">
        <w:rPr>
          <w:rFonts w:ascii="Verdana" w:eastAsia="Arial" w:hAnsi="Verdana" w:cs="Arial"/>
          <w:color w:val="000000" w:themeColor="text1"/>
          <w:lang w:val="es-ES" w:eastAsia="es-ES"/>
        </w:rPr>
        <w:t xml:space="preserve"> contrato es un acuerdo de dos o más partes para constituir, regular o extinguir entre ellas una relación jurídica patrimonial”.</w:t>
      </w:r>
    </w:p>
    <w:p w14:paraId="73C8E9B2" w14:textId="77777777" w:rsidR="00EC2023" w:rsidRDefault="00EC2023" w:rsidP="00EC2023">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4E0D4D">
        <w:rPr>
          <w:rFonts w:ascii="Verdana" w:eastAsia="Arial" w:hAnsi="Verdana" w:cs="Arial"/>
          <w:color w:val="000000" w:themeColor="text1"/>
          <w:lang w:val="es-ES_tradnl" w:eastAsia="es-ES_tradnl"/>
        </w:rPr>
        <w:t xml:space="preserve">Por su parte, el artículo 1º de la Ley 80 de 1993 determina que su objetivo es disponer de reglas y principios que rigen los contratos de las entidades estatales y, en ese sentido, el artículo 32 </w:t>
      </w:r>
      <w:r w:rsidRPr="004E0D4D">
        <w:rPr>
          <w:rFonts w:ascii="Verdana" w:eastAsia="Arial" w:hAnsi="Verdana" w:cs="Arial"/>
          <w:i/>
          <w:iCs/>
          <w:color w:val="000000" w:themeColor="text1"/>
          <w:lang w:val="es-ES_tradnl" w:eastAsia="es-ES_tradnl"/>
        </w:rPr>
        <w:t>ibidem</w:t>
      </w:r>
      <w:r w:rsidRPr="004E0D4D">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w:t>
      </w:r>
      <w:r w:rsidRPr="004E0D4D">
        <w:rPr>
          <w:rFonts w:ascii="Verdana" w:eastAsia="Arial" w:hAnsi="Verdana" w:cs="Arial"/>
          <w:color w:val="000000" w:themeColor="text1"/>
          <w:lang w:val="es-ES_tradnl" w:eastAsia="es-ES_tradnl"/>
        </w:rPr>
        <w:lastRenderedPageBreak/>
        <w:t>o en disposiciones especiales, o derivados del ejercicio de la autonomía de la voluntad”. De acuerdo con lo anterior, para la definición de contrato estatal basta con que una de las entidades que enumera el artículo 2º de la Ley 80 de 1993</w:t>
      </w:r>
      <w:r w:rsidRPr="004E0D4D">
        <w:rPr>
          <w:rFonts w:ascii="Verdana" w:eastAsia="Arial" w:hAnsi="Verdana" w:cs="Arial"/>
          <w:color w:val="000000" w:themeColor="text1"/>
          <w:vertAlign w:val="superscript"/>
          <w:lang w:val="es-ES_tradnl" w:eastAsia="es-ES_tradnl"/>
        </w:rPr>
        <w:footnoteReference w:id="1"/>
      </w:r>
      <w:r w:rsidRPr="004E0D4D">
        <w:rPr>
          <w:rFonts w:ascii="Verdana" w:eastAsia="Arial" w:hAnsi="Verdana" w:cs="Arial"/>
          <w:color w:val="000000" w:themeColor="text1"/>
          <w:lang w:val="es-ES_tradnl" w:eastAsia="es-ES_tradnl"/>
        </w:rPr>
        <w:t xml:space="preserve"> sea una de </w:t>
      </w:r>
      <w:r w:rsidRPr="00FB776B">
        <w:rPr>
          <w:rFonts w:ascii="Verdana" w:eastAsia="Arial" w:hAnsi="Verdana" w:cs="Arial"/>
          <w:color w:val="000000" w:themeColor="text1"/>
          <w:lang w:val="es-ES_tradnl" w:eastAsia="es-ES_tradnl"/>
        </w:rPr>
        <w:t>las partes, sin importar el extremo de la relación jurídico negocial que</w:t>
      </w:r>
      <w:r w:rsidRPr="00FB776B">
        <w:rPr>
          <w:rFonts w:ascii="Verdana" w:eastAsia="Arial" w:hAnsi="Verdana" w:cs="Arial"/>
          <w:color w:val="000000" w:themeColor="text1"/>
          <w:spacing w:val="-14"/>
          <w:lang w:val="es-ES_tradnl" w:eastAsia="es-ES_tradnl"/>
        </w:rPr>
        <w:t xml:space="preserve"> </w:t>
      </w:r>
      <w:r w:rsidRPr="00FB776B">
        <w:rPr>
          <w:rFonts w:ascii="Verdana" w:eastAsia="Arial" w:hAnsi="Verdana" w:cs="Arial"/>
          <w:color w:val="000000" w:themeColor="text1"/>
          <w:lang w:val="es-ES_tradnl" w:eastAsia="es-ES_tradnl"/>
        </w:rPr>
        <w:t xml:space="preserve">asuma. </w:t>
      </w:r>
    </w:p>
    <w:p w14:paraId="7DBA55C2" w14:textId="77777777" w:rsidR="00EC2023" w:rsidRPr="00BC7CB2" w:rsidRDefault="00EC2023" w:rsidP="00EC2023">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Pr>
          <w:rFonts w:ascii="Verdana" w:eastAsia="Calibri" w:hAnsi="Verdana" w:cs="Arial"/>
          <w:lang w:val="es-ES"/>
        </w:rPr>
        <w:t>Por otra parte, el</w:t>
      </w:r>
      <w:r w:rsidRPr="573DC269">
        <w:rPr>
          <w:rFonts w:ascii="Verdana" w:eastAsia="Calibri" w:hAnsi="Verdana" w:cs="Arial"/>
          <w:lang w:val="es-ES"/>
        </w:rPr>
        <w:t xml:space="preserve"> Estatuto General de Contratación de la Administración Pública – en adelante EGCAP – prevé dos tipos de exigencias en relación con los contratos estatales: (i) las relacionadas con el perfeccionamiento y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xml:space="preserve">) las que tienen que ver con la ejecución. Si bien ambas se complementan y marcan el origen de la fase contractual –o de ejecución–, es importante distinguirlas, ya que las consecuencias jurídicas que generan son diferentes. </w:t>
      </w:r>
    </w:p>
    <w:p w14:paraId="7078FCAB" w14:textId="77777777" w:rsidR="00EC2023" w:rsidRDefault="00EC2023" w:rsidP="00EC2023">
      <w:pPr>
        <w:spacing w:after="120" w:line="276" w:lineRule="auto"/>
        <w:ind w:firstLine="709"/>
        <w:jc w:val="both"/>
        <w:rPr>
          <w:rFonts w:ascii="Verdana" w:eastAsia="Calibri" w:hAnsi="Verdana" w:cs="Arial"/>
          <w:lang w:val="es-ES"/>
        </w:rPr>
      </w:pPr>
      <w:r w:rsidRPr="1952E7C8">
        <w:rPr>
          <w:rFonts w:ascii="Verdana" w:eastAsia="Calibri" w:hAnsi="Verdana" w:cs="Arial"/>
          <w:lang w:val="es-ES"/>
        </w:rPr>
        <w:t xml:space="preserve">Los </w:t>
      </w:r>
      <w:r w:rsidRPr="1952E7C8">
        <w:rPr>
          <w:rFonts w:ascii="Verdana" w:eastAsia="Calibri" w:hAnsi="Verdana" w:cs="Arial"/>
          <w:i/>
          <w:iCs/>
          <w:lang w:val="es-ES"/>
        </w:rPr>
        <w:t>requisitos de perfeccionamiento</w:t>
      </w:r>
      <w:r w:rsidRPr="1952E7C8">
        <w:rPr>
          <w:rFonts w:ascii="Verdana" w:eastAsia="Calibri" w:hAnsi="Verdana" w:cs="Arial"/>
          <w:lang w:val="es-ES"/>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w:t>
      </w:r>
    </w:p>
    <w:p w14:paraId="6C821C70" w14:textId="77777777" w:rsidR="00EC2023" w:rsidRPr="00515AC9" w:rsidRDefault="00EC2023" w:rsidP="00EC2023">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Los de la </w:t>
      </w:r>
      <w:r w:rsidRPr="00515AC9">
        <w:rPr>
          <w:rFonts w:ascii="Verdana" w:eastAsia="Calibri" w:hAnsi="Verdana" w:cs="Arial"/>
          <w:i/>
          <w:iCs/>
          <w:lang w:val="es-ES_tradnl"/>
        </w:rPr>
        <w:t>esencia</w:t>
      </w:r>
      <w:r w:rsidRPr="00515AC9">
        <w:rPr>
          <w:rFonts w:ascii="Verdana" w:eastAsia="Calibri" w:hAnsi="Verdana" w:cs="Arial"/>
          <w:lang w:val="es-ES_tradnl"/>
        </w:rPr>
        <w:t xml:space="preserve"> son aquellos que, al cumplirse, marcan la existencia del contrato y le otorgan su identidad o tipología, permitiendo que no se confunda con otro contrato. Los de la </w:t>
      </w:r>
      <w:r w:rsidRPr="00515AC9">
        <w:rPr>
          <w:rFonts w:ascii="Verdana" w:eastAsia="Calibri" w:hAnsi="Verdana" w:cs="Arial"/>
          <w:i/>
          <w:iCs/>
          <w:lang w:val="es-ES_tradnl"/>
        </w:rPr>
        <w:t>naturaleza</w:t>
      </w:r>
      <w:r w:rsidRPr="00515AC9">
        <w:rPr>
          <w:rFonts w:ascii="Verdana" w:eastAsia="Calibri" w:hAnsi="Verdana" w:cs="Arial"/>
          <w:lang w:val="es-ES_tradnl"/>
        </w:rPr>
        <w:t xml:space="preserve"> son aquellos que, no siendo esenciales al contrato, se entienden incorporados por ministerio de la ley, aun ante el silencio de las partes. Y los </w:t>
      </w:r>
      <w:r w:rsidRPr="00515AC9">
        <w:rPr>
          <w:rFonts w:ascii="Verdana" w:eastAsia="Calibri" w:hAnsi="Verdana" w:cs="Arial"/>
          <w:i/>
          <w:iCs/>
          <w:lang w:val="es-ES_tradnl"/>
        </w:rPr>
        <w:t>accidentales</w:t>
      </w:r>
      <w:r w:rsidRPr="00515AC9">
        <w:rPr>
          <w:rFonts w:ascii="Verdana" w:eastAsia="Calibri" w:hAnsi="Verdana" w:cs="Arial"/>
          <w:lang w:val="es-ES_tradnl"/>
        </w:rPr>
        <w:t xml:space="preserve"> son los que las partes agregan en ejercicio de su autonomía de la voluntad, ya que no son ni esenciales, ni de la naturaleza del contrato</w:t>
      </w:r>
      <w:r w:rsidRPr="00515AC9">
        <w:rPr>
          <w:rStyle w:val="Refdenotaalpie"/>
          <w:rFonts w:ascii="Verdana" w:hAnsi="Verdana" w:cs="Arial"/>
        </w:rPr>
        <w:footnoteReference w:id="2"/>
      </w:r>
      <w:r w:rsidRPr="00515AC9">
        <w:rPr>
          <w:rFonts w:ascii="Verdana" w:eastAsia="Calibri" w:hAnsi="Verdana" w:cs="Arial"/>
          <w:lang w:val="es-ES_tradnl"/>
        </w:rPr>
        <w:t>. Los requisitos de perfeccionamiento del contrato estatal ingresan dentro de los elementos de la esencia.</w:t>
      </w:r>
    </w:p>
    <w:p w14:paraId="5689D951" w14:textId="77777777" w:rsidR="00EC2023" w:rsidRPr="00515AC9" w:rsidRDefault="00EC2023" w:rsidP="00EC2023">
      <w:pPr>
        <w:spacing w:after="0"/>
        <w:ind w:firstLine="708"/>
        <w:jc w:val="both"/>
        <w:rPr>
          <w:rFonts w:ascii="Verdana" w:eastAsia="Calibri" w:hAnsi="Verdana" w:cs="Arial"/>
        </w:rPr>
      </w:pPr>
      <w:r>
        <w:rPr>
          <w:rFonts w:ascii="Verdana" w:eastAsia="Calibri" w:hAnsi="Verdana" w:cs="Arial"/>
          <w:lang w:val="es-ES_tradnl"/>
        </w:rPr>
        <w:lastRenderedPageBreak/>
        <w:t>Así las cosas, en relación con</w:t>
      </w:r>
      <w:r w:rsidRPr="00515AC9">
        <w:rPr>
          <w:rFonts w:ascii="Verdana" w:eastAsia="Calibri" w:hAnsi="Verdana" w:cs="Arial"/>
          <w:lang w:val="es-ES_tradnl"/>
        </w:rPr>
        <w:t xml:space="preserve"> los </w:t>
      </w:r>
      <w:r w:rsidRPr="00515AC9">
        <w:rPr>
          <w:rFonts w:ascii="Verdana" w:eastAsia="Calibri" w:hAnsi="Verdana" w:cs="Arial"/>
          <w:i/>
          <w:iCs/>
          <w:lang w:val="es-ES_tradnl"/>
        </w:rPr>
        <w:t>requisitos de ejecución</w:t>
      </w:r>
      <w:r>
        <w:rPr>
          <w:rFonts w:ascii="Verdana" w:eastAsia="Calibri" w:hAnsi="Verdana" w:cs="Arial"/>
          <w:lang w:val="es-ES_tradnl"/>
        </w:rPr>
        <w:t xml:space="preserve"> debe señalarse que, estos</w:t>
      </w:r>
      <w:r w:rsidRPr="00515AC9">
        <w:rPr>
          <w:rFonts w:ascii="Verdana" w:eastAsia="Calibri" w:hAnsi="Verdana" w:cs="Arial"/>
          <w:lang w:val="es-ES_tradnl"/>
        </w:rPr>
        <w:t xml:space="preserve"> posibilitan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w:t>
      </w:r>
      <w:r>
        <w:rPr>
          <w:rFonts w:ascii="Verdana" w:eastAsia="Calibri" w:hAnsi="Verdana" w:cs="Arial"/>
          <w:lang w:val="es-ES_tradnl"/>
        </w:rPr>
        <w:t xml:space="preserve">. </w:t>
      </w:r>
      <w:r w:rsidRPr="00515AC9">
        <w:rPr>
          <w:rFonts w:ascii="Verdana" w:eastAsia="Calibri" w:hAnsi="Verdana" w:cs="Arial"/>
          <w:lang w:val="es-ES_tradnl"/>
        </w:rPr>
        <w:t xml:space="preserve">Sobre el particular, </w:t>
      </w:r>
      <w:r w:rsidRPr="00515AC9">
        <w:rPr>
          <w:rFonts w:ascii="Verdana" w:eastAsia="Calibri" w:hAnsi="Verdana" w:cs="Arial"/>
        </w:rPr>
        <w:t>el Consejo de Estado aclaró la diferencia entre el perfeccionamiento y la ejecución del contrato, de la siguiente manera:</w:t>
      </w:r>
    </w:p>
    <w:p w14:paraId="0162D02C" w14:textId="77777777" w:rsidR="00EC2023" w:rsidRPr="00515AC9" w:rsidRDefault="00EC2023" w:rsidP="00EC2023">
      <w:pPr>
        <w:spacing w:after="0"/>
        <w:jc w:val="both"/>
        <w:rPr>
          <w:rFonts w:ascii="Verdana" w:eastAsia="Calibri" w:hAnsi="Verdana" w:cs="Arial"/>
        </w:rPr>
      </w:pPr>
    </w:p>
    <w:p w14:paraId="46D8CFFF" w14:textId="77777777" w:rsidR="00EC2023" w:rsidRDefault="00EC2023" w:rsidP="00EC2023">
      <w:pPr>
        <w:spacing w:after="0"/>
        <w:ind w:left="708" w:right="709"/>
        <w:jc w:val="both"/>
        <w:rPr>
          <w:rFonts w:ascii="Verdana" w:eastAsia="Calibri" w:hAnsi="Verdana" w:cs="Arial"/>
          <w:sz w:val="20"/>
          <w:szCs w:val="20"/>
          <w:lang w:val="es-ES_tradnl"/>
        </w:rPr>
      </w:pPr>
      <w:r w:rsidRPr="00F00E70">
        <w:rPr>
          <w:rFonts w:ascii="Verdana" w:eastAsia="Calibri" w:hAnsi="Verdana" w:cs="Arial"/>
          <w:sz w:val="20"/>
          <w:szCs w:val="20"/>
          <w:lang w:val="es-ES_tradnl"/>
        </w:rPr>
        <w:t>“</w:t>
      </w:r>
      <w:r w:rsidRPr="00F00E70">
        <w:rPr>
          <w:rFonts w:ascii="Verdana" w:eastAsia="Calibri" w:hAnsi="Verdana" w:cs="Arial"/>
          <w:sz w:val="20"/>
          <w:szCs w:val="20"/>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F00E70">
        <w:rPr>
          <w:rFonts w:ascii="Verdana" w:eastAsia="Calibri" w:hAnsi="Verdana" w:cs="Arial"/>
          <w:sz w:val="20"/>
          <w:szCs w:val="20"/>
        </w:rPr>
        <w:t>ii</w:t>
      </w:r>
      <w:proofErr w:type="spellEnd"/>
      <w:r w:rsidRPr="00F00E70">
        <w:rPr>
          <w:rFonts w:ascii="Verdana" w:eastAsia="Calibri" w:hAnsi="Verdana" w:cs="Arial"/>
          <w:sz w:val="20"/>
          <w:szCs w:val="20"/>
        </w:rPr>
        <w:t xml:space="preserve">) por virtud de lo dispuesto en la Ley 80 de 1993 el contrato estatal existe, esto es, “se perfecciona” cuando “se logra acuerdo sobre el objeto y la contraprestación y éste se eleve a escrito”; </w:t>
      </w:r>
      <w:proofErr w:type="spellStart"/>
      <w:r w:rsidRPr="00F00E70">
        <w:rPr>
          <w:rFonts w:ascii="Verdana" w:eastAsia="Calibri" w:hAnsi="Verdana" w:cs="Arial"/>
          <w:sz w:val="20"/>
          <w:szCs w:val="20"/>
        </w:rPr>
        <w:t>iii</w:t>
      </w:r>
      <w:proofErr w:type="spellEnd"/>
      <w:r w:rsidRPr="00F00E70">
        <w:rPr>
          <w:rFonts w:ascii="Verdana" w:eastAsia="Calibri" w:hAnsi="Verdana" w:cs="Arial"/>
          <w:sz w:val="20"/>
          <w:szCs w:val="20"/>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F00E70">
        <w:rPr>
          <w:rFonts w:ascii="Verdana" w:eastAsia="Calibri" w:hAnsi="Verdana" w:cs="Arial"/>
          <w:sz w:val="20"/>
          <w:szCs w:val="20"/>
        </w:rPr>
        <w:t>iv</w:t>
      </w:r>
      <w:proofErr w:type="spellEnd"/>
      <w:r w:rsidRPr="00F00E70">
        <w:rPr>
          <w:rFonts w:ascii="Verdana" w:eastAsia="Calibri" w:hAnsi="Verdana" w:cs="Arial"/>
          <w:sz w:val="20"/>
          <w:szCs w:val="20"/>
        </w:rPr>
        <w:t>) el requisito relativo al registro presupuestal no es una condición de existencia del contrato estatal, es un requisito de ejecución”</w:t>
      </w:r>
      <w:r w:rsidRPr="00F00E70">
        <w:rPr>
          <w:rStyle w:val="Refdenotaalpie"/>
          <w:rFonts w:ascii="Verdana" w:hAnsi="Verdana" w:cs="Arial"/>
          <w:sz w:val="20"/>
          <w:szCs w:val="20"/>
        </w:rPr>
        <w:footnoteReference w:id="3"/>
      </w:r>
      <w:r w:rsidRPr="00F00E70">
        <w:rPr>
          <w:rFonts w:ascii="Verdana" w:eastAsia="Calibri" w:hAnsi="Verdana" w:cs="Arial"/>
          <w:sz w:val="20"/>
          <w:szCs w:val="20"/>
        </w:rPr>
        <w:t>.</w:t>
      </w:r>
    </w:p>
    <w:p w14:paraId="06B04355" w14:textId="77777777" w:rsidR="00EC2023" w:rsidRPr="00E17EA1" w:rsidRDefault="00EC2023" w:rsidP="00EC2023">
      <w:pPr>
        <w:spacing w:after="0"/>
        <w:ind w:left="708" w:right="709"/>
        <w:jc w:val="both"/>
        <w:rPr>
          <w:rFonts w:ascii="Verdana" w:eastAsia="Calibri" w:hAnsi="Verdana" w:cs="Arial"/>
          <w:sz w:val="20"/>
          <w:szCs w:val="20"/>
          <w:lang w:val="es-ES_tradnl"/>
        </w:rPr>
      </w:pPr>
    </w:p>
    <w:p w14:paraId="3313BCB7" w14:textId="77777777" w:rsidR="00EC2023" w:rsidRPr="00031217" w:rsidRDefault="00EC2023" w:rsidP="00EC2023">
      <w:pPr>
        <w:shd w:val="clear" w:color="auto" w:fill="FFFFFF"/>
        <w:spacing w:after="120" w:line="276" w:lineRule="auto"/>
        <w:jc w:val="both"/>
        <w:rPr>
          <w:rFonts w:ascii="Verdana" w:hAnsi="Verdana"/>
          <w:sz w:val="20"/>
          <w:szCs w:val="20"/>
        </w:rPr>
      </w:pPr>
      <w:r>
        <w:rPr>
          <w:rFonts w:ascii="Verdana" w:hAnsi="Verdana"/>
        </w:rPr>
        <w:t xml:space="preserve">En ese sentido, los contratos del derecho común y los contratos de la Administración están determinados por la generalidad de sus elementos esenciales tales como la capacidad legal de los contratantes, el consentimiento sin que adolezca de vicios y objeto y causa lícitos a los que se refiere el 1501 en cita. La única diferencia es que, en los contratos estatales, aquel debe </w:t>
      </w:r>
      <w:r w:rsidRPr="005F2F48">
        <w:rPr>
          <w:rFonts w:ascii="Verdana" w:hAnsi="Verdana"/>
        </w:rPr>
        <w:t>cumplir con la solemnidad escriturar</w:t>
      </w:r>
      <w:r>
        <w:rPr>
          <w:rFonts w:ascii="Verdana" w:hAnsi="Verdana"/>
        </w:rPr>
        <w:t>i</w:t>
      </w:r>
      <w:r w:rsidRPr="005F2F48">
        <w:rPr>
          <w:rFonts w:ascii="Verdana" w:hAnsi="Verdana"/>
        </w:rPr>
        <w:t>a</w:t>
      </w:r>
      <w:r>
        <w:rPr>
          <w:rFonts w:ascii="Verdana" w:hAnsi="Verdana"/>
        </w:rPr>
        <w:t>, que significa</w:t>
      </w:r>
      <w:r w:rsidRPr="005F2F48">
        <w:rPr>
          <w:rFonts w:ascii="Verdana" w:hAnsi="Verdana"/>
        </w:rPr>
        <w:t xml:space="preserve"> la formalidad del escrito</w:t>
      </w:r>
      <w:r>
        <w:rPr>
          <w:rFonts w:ascii="Verdana" w:hAnsi="Verdana"/>
        </w:rPr>
        <w:t>,</w:t>
      </w:r>
      <w:r w:rsidRPr="005F2F48">
        <w:rPr>
          <w:rFonts w:ascii="Verdana" w:hAnsi="Verdana"/>
        </w:rPr>
        <w:t xml:space="preserve"> </w:t>
      </w:r>
      <w:r>
        <w:rPr>
          <w:rFonts w:ascii="Verdana" w:hAnsi="Verdana"/>
        </w:rPr>
        <w:t xml:space="preserve">convirtiéndose así en lo sustancial del acto jurídico, en virtud de los artículos 39 y 41 de la Ley 80 de 1993. En otras palabras, el contrato estatal existe y se perfecciona cuando consta por escrito y el contenido de ese escrito contenga el acuerdo sobre </w:t>
      </w:r>
      <w:r w:rsidRPr="00772E5A">
        <w:rPr>
          <w:rFonts w:ascii="Verdana" w:hAnsi="Verdana"/>
        </w:rPr>
        <w:t>el objeto y la contraprestación</w:t>
      </w:r>
      <w:r>
        <w:rPr>
          <w:rFonts w:ascii="Verdana" w:hAnsi="Verdana"/>
        </w:rPr>
        <w:t>.</w:t>
      </w:r>
      <w:r w:rsidRPr="00212B7A">
        <w:rPr>
          <w:rFonts w:ascii="Verdana" w:hAnsi="Verdana"/>
          <w:sz w:val="20"/>
          <w:szCs w:val="20"/>
        </w:rPr>
        <w:t xml:space="preserve"> </w:t>
      </w:r>
    </w:p>
    <w:p w14:paraId="173B9219" w14:textId="77777777" w:rsidR="00EC2023" w:rsidRDefault="00EC2023" w:rsidP="00EC2023">
      <w:pPr>
        <w:spacing w:after="120" w:line="276" w:lineRule="auto"/>
        <w:jc w:val="both"/>
        <w:rPr>
          <w:rFonts w:ascii="Verdana" w:hAnsi="Verdana"/>
          <w:lang w:val="es-ES"/>
        </w:rPr>
      </w:pPr>
      <w:proofErr w:type="spellStart"/>
      <w:r w:rsidRPr="4CFD7942">
        <w:rPr>
          <w:rFonts w:ascii="Verdana" w:hAnsi="Verdana"/>
          <w:lang w:val="es-ES"/>
        </w:rPr>
        <w:lastRenderedPageBreak/>
        <w:t>ii</w:t>
      </w:r>
      <w:proofErr w:type="spellEnd"/>
      <w:r>
        <w:rPr>
          <w:rFonts w:ascii="Verdana" w:hAnsi="Verdana"/>
          <w:lang w:val="es-ES"/>
        </w:rPr>
        <w:t>.</w:t>
      </w:r>
      <w:r w:rsidRPr="4CFD7942">
        <w:rPr>
          <w:rFonts w:ascii="Verdana" w:hAnsi="Verdana"/>
          <w:lang w:val="es-ES"/>
        </w:rPr>
        <w:t xml:space="preserve"> Precisado lo anterior y para responder </w:t>
      </w:r>
      <w:r>
        <w:rPr>
          <w:rFonts w:ascii="Verdana" w:hAnsi="Verdana"/>
          <w:lang w:val="es-ES"/>
        </w:rPr>
        <w:t>los</w:t>
      </w:r>
      <w:r w:rsidRPr="4CFD7942">
        <w:rPr>
          <w:rFonts w:ascii="Verdana" w:hAnsi="Verdana"/>
          <w:lang w:val="es-ES"/>
        </w:rPr>
        <w:t xml:space="preserve"> problema</w:t>
      </w:r>
      <w:r>
        <w:rPr>
          <w:rFonts w:ascii="Verdana" w:hAnsi="Verdana"/>
          <w:lang w:val="es-ES"/>
        </w:rPr>
        <w:t xml:space="preserve">s </w:t>
      </w:r>
      <w:r w:rsidRPr="4CFD7942">
        <w:rPr>
          <w:rFonts w:ascii="Verdana" w:hAnsi="Verdana"/>
          <w:lang w:val="es-ES"/>
        </w:rPr>
        <w:t>jurídico</w:t>
      </w:r>
      <w:r>
        <w:rPr>
          <w:rFonts w:ascii="Verdana" w:hAnsi="Verdana"/>
          <w:lang w:val="es-ES"/>
        </w:rPr>
        <w:t>s planteados</w:t>
      </w:r>
      <w:r w:rsidRPr="4CFD7942">
        <w:rPr>
          <w:rFonts w:ascii="Verdana" w:hAnsi="Verdana"/>
          <w:lang w:val="es-ES"/>
        </w:rPr>
        <w:t xml:space="preserve">, en primer </w:t>
      </w:r>
      <w:proofErr w:type="gramStart"/>
      <w:r w:rsidRPr="4CFD7942">
        <w:rPr>
          <w:rFonts w:ascii="Verdana" w:hAnsi="Verdana"/>
          <w:lang w:val="es-ES"/>
        </w:rPr>
        <w:t>lugar</w:t>
      </w:r>
      <w:proofErr w:type="gramEnd"/>
      <w:r w:rsidRPr="4CFD7942">
        <w:rPr>
          <w:rFonts w:ascii="Verdana" w:hAnsi="Verdana"/>
          <w:lang w:val="es-ES"/>
        </w:rPr>
        <w:t xml:space="preserve"> </w:t>
      </w:r>
      <w:r>
        <w:rPr>
          <w:rFonts w:ascii="Verdana" w:hAnsi="Verdana"/>
          <w:lang w:val="es-ES"/>
        </w:rPr>
        <w:t>es pertinente indicar que</w:t>
      </w:r>
      <w:r w:rsidRPr="4CFD7942">
        <w:rPr>
          <w:rFonts w:ascii="Verdana" w:hAnsi="Verdana"/>
          <w:lang w:val="es-ES"/>
        </w:rPr>
        <w:t xml:space="preserve"> la Ley 1098 de 2006 en su artículo 58, define la red de hogares de paso: </w:t>
      </w:r>
    </w:p>
    <w:p w14:paraId="636085D9" w14:textId="77777777" w:rsidR="00EC2023" w:rsidRDefault="00EC2023" w:rsidP="00EC2023">
      <w:pPr>
        <w:spacing w:after="0" w:line="276" w:lineRule="auto"/>
        <w:jc w:val="both"/>
        <w:rPr>
          <w:rFonts w:ascii="Verdana" w:hAnsi="Verdana"/>
          <w:lang w:val="es-ES"/>
        </w:rPr>
      </w:pPr>
    </w:p>
    <w:p w14:paraId="08FBBB97" w14:textId="77777777" w:rsidR="00EC2023" w:rsidRPr="00F2608F" w:rsidRDefault="00EC2023" w:rsidP="00EC2023">
      <w:pPr>
        <w:spacing w:after="120" w:line="240" w:lineRule="auto"/>
        <w:ind w:left="709" w:right="709"/>
        <w:jc w:val="both"/>
        <w:rPr>
          <w:rFonts w:ascii="Verdana" w:hAnsi="Verdana"/>
          <w:sz w:val="20"/>
          <w:szCs w:val="20"/>
          <w:lang w:val="es-ES_tradnl"/>
        </w:rPr>
      </w:pPr>
      <w:r w:rsidRPr="00F2608F">
        <w:rPr>
          <w:rFonts w:ascii="Verdana" w:hAnsi="Verdana"/>
          <w:sz w:val="20"/>
          <w:szCs w:val="20"/>
          <w:lang w:val="es-ES_tradnl"/>
        </w:rPr>
        <w:t>“Artículo 58. Red De Hogares De Paso. Se entiende por Red de Hogares de Paso el grupo de familias registradas en el programa de protección de los niños, las niñas y los adolescentes, que están dispuestas a acogerlos, de manera voluntaria y subsidiada por el Estado, en forma inmediata, para brindarles el cuidado y atención necesarios.</w:t>
      </w:r>
    </w:p>
    <w:p w14:paraId="3C583698" w14:textId="77777777" w:rsidR="00EC2023" w:rsidRDefault="00EC2023" w:rsidP="00EC2023">
      <w:pPr>
        <w:spacing w:before="120" w:after="120" w:line="240" w:lineRule="auto"/>
        <w:ind w:left="709" w:right="709"/>
        <w:jc w:val="both"/>
        <w:rPr>
          <w:rFonts w:ascii="Verdana" w:hAnsi="Verdana"/>
          <w:sz w:val="20"/>
          <w:szCs w:val="20"/>
          <w:lang w:val="es-ES_tradnl"/>
        </w:rPr>
      </w:pPr>
      <w:r w:rsidRPr="00F2608F">
        <w:rPr>
          <w:rFonts w:ascii="Verdana" w:hAnsi="Verdana"/>
          <w:sz w:val="20"/>
          <w:szCs w:val="20"/>
          <w:lang w:val="es-ES_tradnl"/>
        </w:rPr>
        <w:t>En todos los distritos, municipios y territorios indígenas del territorio nacional, los gobernadores, los alcaldes, con la asistencia técnica del Instituto Colombiano de Bienestar Familiar, organizarán las redes de hogares de paso y establecerá el registro, el reglamento, los recursos, los criterios de selección y los controles y mecanismos de seguimiento y vigilancia de las familias, de acuerdo con los principios establecidos en este código.”</w:t>
      </w:r>
    </w:p>
    <w:p w14:paraId="1F333B8A" w14:textId="77777777" w:rsidR="00EC2023" w:rsidRDefault="00EC2023" w:rsidP="00EC2023">
      <w:pPr>
        <w:spacing w:after="0" w:line="276" w:lineRule="auto"/>
        <w:ind w:left="709" w:right="709"/>
        <w:jc w:val="both"/>
        <w:rPr>
          <w:rFonts w:ascii="Verdana" w:hAnsi="Verdana"/>
          <w:sz w:val="20"/>
          <w:szCs w:val="20"/>
          <w:lang w:val="es-ES_tradnl"/>
        </w:rPr>
      </w:pPr>
    </w:p>
    <w:p w14:paraId="0B7FDA34" w14:textId="77777777" w:rsidR="00EC2023" w:rsidRDefault="00EC2023" w:rsidP="00EC2023">
      <w:pPr>
        <w:spacing w:before="120" w:after="120" w:line="276" w:lineRule="auto"/>
        <w:ind w:firstLine="708"/>
        <w:jc w:val="both"/>
        <w:rPr>
          <w:rFonts w:ascii="Verdana" w:hAnsi="Verdana"/>
          <w:lang w:val="es-ES_tradnl"/>
        </w:rPr>
      </w:pPr>
      <w:r w:rsidRPr="00C366CA">
        <w:rPr>
          <w:rFonts w:ascii="Verdana" w:hAnsi="Verdana"/>
        </w:rPr>
        <w:t>En el marco de la mencionada ley, la red de hogares de paso constituye un sistema de alcance territorial y nacional, cuyo objetivo es garantizar la ubicación y la atención inmediata de niñas, niños y adolescentes que se encuentran en un proceso administrativo de restablecimiento de derechos. Estos hogares deben estar debidamente registrados y facilitar el ejercicio de las funciones de seguimiento y control por parte de las autoridades competentes. Así mismo, podrán ser administrados directamente por la entidad territorial o a través de una entidad del Sistema Nacional de Bienestar Familiar que cuente con licencia de funcionamiento para la prestación del Servicio Público de Bienestar Familiar, contratada por la respectiva entidad territorial</w:t>
      </w:r>
      <w:r>
        <w:rPr>
          <w:rStyle w:val="Refdenotaalpie"/>
          <w:rFonts w:ascii="Verdana" w:hAnsi="Verdana"/>
        </w:rPr>
        <w:footnoteReference w:id="4"/>
      </w:r>
      <w:r w:rsidRPr="00C366CA">
        <w:rPr>
          <w:rFonts w:ascii="Verdana" w:hAnsi="Verdana"/>
        </w:rPr>
        <w:t>.</w:t>
      </w:r>
    </w:p>
    <w:bookmarkEnd w:id="2"/>
    <w:p w14:paraId="42E2B1CA" w14:textId="77777777" w:rsidR="00EC2023" w:rsidRDefault="00EC2023" w:rsidP="00EC2023">
      <w:pPr>
        <w:spacing w:before="120" w:after="120" w:line="276" w:lineRule="auto"/>
        <w:jc w:val="both"/>
        <w:rPr>
          <w:rFonts w:ascii="Verdana" w:hAnsi="Verdana"/>
          <w:lang w:val="es-ES_tradnl"/>
        </w:rPr>
      </w:pPr>
      <w:r>
        <w:rPr>
          <w:rFonts w:ascii="Verdana" w:hAnsi="Verdana"/>
          <w:lang w:val="es-ES_tradnl"/>
        </w:rPr>
        <w:tab/>
        <w:t>En cuanto a las modalidades para la operación del Hogar de Paso, la “</w:t>
      </w:r>
      <w:r>
        <w:rPr>
          <w:rFonts w:ascii="Verdana" w:hAnsi="Verdana"/>
        </w:rPr>
        <w:t>Guía Operativa de la Modalidad Hogar de Paso” expedida por el Instituto Colombiano de Bienestar Familiar – ICBF</w:t>
      </w:r>
      <w:r>
        <w:rPr>
          <w:rFonts w:ascii="Verdana" w:hAnsi="Verdana"/>
          <w:lang w:val="es-ES_tradnl"/>
        </w:rPr>
        <w:t xml:space="preserve"> establece dos: i) </w:t>
      </w:r>
      <w:r>
        <w:rPr>
          <w:rFonts w:ascii="Verdana" w:hAnsi="Verdana"/>
          <w:i/>
          <w:iCs/>
          <w:lang w:val="es-ES_tradnl"/>
        </w:rPr>
        <w:t>Hogar de Paso con operador</w:t>
      </w:r>
      <w:r>
        <w:rPr>
          <w:rFonts w:ascii="Verdana" w:hAnsi="Verdana"/>
          <w:lang w:val="es-ES_tradnl"/>
        </w:rPr>
        <w:t xml:space="preserve">, la cual para prestar los servicios de protección integral requiere licencia de funcionamiento otorgada por el Instituto Colombiano de Bienestar Familiar, en </w:t>
      </w:r>
      <w:r>
        <w:rPr>
          <w:rFonts w:ascii="Verdana" w:hAnsi="Verdana"/>
          <w:lang w:val="es-ES_tradnl"/>
        </w:rPr>
        <w:lastRenderedPageBreak/>
        <w:t>razón a lo establecido en el artículo 16 de la Ley 1098 de 2006</w:t>
      </w:r>
      <w:r>
        <w:rPr>
          <w:rStyle w:val="Refdenotaalpie"/>
          <w:rFonts w:ascii="Verdana" w:hAnsi="Verdana"/>
          <w:lang w:val="es-ES_tradnl"/>
        </w:rPr>
        <w:footnoteReference w:id="5"/>
      </w:r>
      <w:r>
        <w:rPr>
          <w:rFonts w:ascii="Verdana" w:hAnsi="Verdana"/>
          <w:lang w:val="es-ES_tradnl"/>
        </w:rPr>
        <w:t xml:space="preserve">. Frente a dicha licencia es necesario acreditar los requisitos de carácter legal, financiero, técnicos y administrativos establecidos en la Resolución 3899 de 2010, y </w:t>
      </w:r>
      <w:proofErr w:type="spellStart"/>
      <w:r>
        <w:rPr>
          <w:rFonts w:ascii="Verdana" w:hAnsi="Verdana"/>
          <w:lang w:val="es-ES_tradnl"/>
        </w:rPr>
        <w:t>ii</w:t>
      </w:r>
      <w:proofErr w:type="spellEnd"/>
      <w:r>
        <w:rPr>
          <w:rFonts w:ascii="Verdana" w:hAnsi="Verdana"/>
          <w:lang w:val="es-ES_tradnl"/>
        </w:rPr>
        <w:t>) Hogar</w:t>
      </w:r>
      <w:r>
        <w:rPr>
          <w:rFonts w:ascii="Verdana" w:hAnsi="Verdana"/>
          <w:i/>
          <w:iCs/>
          <w:lang w:val="es-ES_tradnl"/>
        </w:rPr>
        <w:t xml:space="preserve"> de Paso Familia</w:t>
      </w:r>
      <w:r>
        <w:rPr>
          <w:rFonts w:ascii="Verdana" w:hAnsi="Verdana"/>
          <w:lang w:val="es-ES_tradnl"/>
        </w:rPr>
        <w:t>, modalidad de operación administrada y financiada directamente por la entidad territorial, así como la ejecución del proceso de selección.</w:t>
      </w:r>
    </w:p>
    <w:p w14:paraId="0DCB755E" w14:textId="77777777" w:rsidR="00EC2023" w:rsidRPr="00DC1D93" w:rsidRDefault="00EC2023" w:rsidP="00EC2023">
      <w:pPr>
        <w:spacing w:before="120" w:after="120" w:line="276" w:lineRule="auto"/>
        <w:ind w:firstLine="709"/>
        <w:jc w:val="both"/>
        <w:rPr>
          <w:rFonts w:ascii="Verdana" w:hAnsi="Verdana"/>
        </w:rPr>
      </w:pPr>
      <w:r>
        <w:rPr>
          <w:rFonts w:ascii="Verdana" w:hAnsi="Verdana"/>
        </w:rPr>
        <w:t xml:space="preserve">Para efectos de la modalidad de </w:t>
      </w:r>
      <w:r w:rsidRPr="0099567D">
        <w:rPr>
          <w:rFonts w:ascii="Verdana" w:hAnsi="Verdana"/>
          <w:i/>
          <w:iCs/>
        </w:rPr>
        <w:t>Hogar de Paso Familia</w:t>
      </w:r>
      <w:r>
        <w:rPr>
          <w:rFonts w:ascii="Verdana" w:hAnsi="Verdana"/>
        </w:rPr>
        <w:t xml:space="preserve">, la Guía establece orientaciones y recomendaciones para la realización de un proceso de selección </w:t>
      </w:r>
      <w:r w:rsidRPr="00065180">
        <w:rPr>
          <w:rFonts w:ascii="Verdana" w:hAnsi="Verdana"/>
        </w:rPr>
        <w:t>para que sea aplicado directamente por la entidad territorial, por los</w:t>
      </w:r>
      <w:r>
        <w:rPr>
          <w:rFonts w:ascii="Verdana" w:hAnsi="Verdana"/>
        </w:rPr>
        <w:t xml:space="preserve"> </w:t>
      </w:r>
      <w:r w:rsidRPr="00065180">
        <w:rPr>
          <w:rFonts w:ascii="Verdana" w:hAnsi="Verdana"/>
        </w:rPr>
        <w:t>operadores contratados para administrar la modalidad o por los profesionales destinados para este fin.</w:t>
      </w:r>
      <w:r w:rsidRPr="00A8612B">
        <w:t xml:space="preserve"> </w:t>
      </w:r>
      <w:r w:rsidRPr="00A8612B">
        <w:rPr>
          <w:rFonts w:ascii="Verdana" w:hAnsi="Verdana"/>
        </w:rPr>
        <w:t>El objetivo es orientar a la selección directa de familias, con el cumplimiento de los criterios de idoneidad para el cuidado de las niñas, los niños y los adolescentes, con el fin de ofrecer las mejores condiciones para la atención de ellos.</w:t>
      </w:r>
      <w:r>
        <w:rPr>
          <w:rFonts w:ascii="Verdana" w:hAnsi="Verdana"/>
        </w:rPr>
        <w:t xml:space="preserve"> En tal sentido, la Guía indica que</w:t>
      </w:r>
      <w:r w:rsidRPr="00DC1D93">
        <w:t xml:space="preserve"> </w:t>
      </w:r>
      <w:r w:rsidRPr="00DC1D93">
        <w:rPr>
          <w:rFonts w:ascii="Verdana" w:hAnsi="Verdana"/>
        </w:rPr>
        <w:t>debe realizar estos procesos de manera constante y como mínimo dos procesos de selección al año, preferiblemente uno en cada semestre, con el fin de mantener un banco de datos con la información de las familias disponibles para la ubicación de las niñas, los niños y los adolescentes en el momento en que sea requerido.</w:t>
      </w:r>
      <w:r>
        <w:rPr>
          <w:rFonts w:ascii="Verdana" w:hAnsi="Verdana"/>
        </w:rPr>
        <w:t xml:space="preserve"> Este procedimiento culmina con un acta de aprobación y la resolución en la cual se establece la figura del responsable de Hogar de Paso. </w:t>
      </w:r>
    </w:p>
    <w:p w14:paraId="5162489A" w14:textId="77777777" w:rsidR="00EC2023" w:rsidRDefault="00EC2023" w:rsidP="00EC2023">
      <w:pPr>
        <w:spacing w:before="120" w:after="120" w:line="276" w:lineRule="auto"/>
        <w:ind w:firstLine="709"/>
        <w:jc w:val="both"/>
        <w:rPr>
          <w:rFonts w:ascii="Verdana" w:hAnsi="Verdana"/>
        </w:rPr>
      </w:pPr>
      <w:r>
        <w:rPr>
          <w:rFonts w:ascii="Verdana" w:hAnsi="Verdana"/>
        </w:rPr>
        <w:t xml:space="preserve">Asimismo, de conformidad con la </w:t>
      </w:r>
      <w:r w:rsidRPr="000B5C2F">
        <w:rPr>
          <w:rFonts w:ascii="Verdana" w:hAnsi="Verdana"/>
        </w:rPr>
        <w:t xml:space="preserve">Guía </w:t>
      </w:r>
      <w:r>
        <w:rPr>
          <w:rFonts w:ascii="Verdana" w:hAnsi="Verdana"/>
        </w:rPr>
        <w:t>“c</w:t>
      </w:r>
      <w:r w:rsidRPr="00852994">
        <w:rPr>
          <w:rFonts w:ascii="Verdana" w:hAnsi="Verdana"/>
        </w:rPr>
        <w:t xml:space="preserve">uando la operación de la modalidad hogar de paso casa hogar o familiar se desarrolla directamente por la entidad territorial no se requiere de licencia de funcionamiento. Ahora bien, si la entidad territorial desarrolla la modalidad </w:t>
      </w:r>
      <w:r w:rsidRPr="000B5C2F">
        <w:rPr>
          <w:rFonts w:ascii="Verdana" w:hAnsi="Verdana"/>
          <w:i/>
          <w:iCs/>
        </w:rPr>
        <w:t>a través de la contratación de un tercero</w:t>
      </w:r>
      <w:r w:rsidRPr="00852994">
        <w:rPr>
          <w:rFonts w:ascii="Verdana" w:hAnsi="Verdana"/>
        </w:rPr>
        <w:t>, éste sí debe contar con la respetiva licencia de funcionamiento</w:t>
      </w:r>
      <w:r>
        <w:rPr>
          <w:rFonts w:ascii="Verdana" w:hAnsi="Verdana"/>
        </w:rPr>
        <w:t xml:space="preserve"> (…)”. De igual forma, en cuanto a la estructura de costos la Guía indica lo siguiente: </w:t>
      </w:r>
    </w:p>
    <w:p w14:paraId="4288114A" w14:textId="77777777" w:rsidR="00EC2023" w:rsidRDefault="00EC2023" w:rsidP="00EC2023">
      <w:pPr>
        <w:spacing w:after="0" w:line="276" w:lineRule="auto"/>
        <w:ind w:firstLine="709"/>
        <w:jc w:val="both"/>
        <w:rPr>
          <w:rFonts w:ascii="Verdana" w:hAnsi="Verdana"/>
        </w:rPr>
      </w:pPr>
    </w:p>
    <w:p w14:paraId="790C1973" w14:textId="77777777" w:rsidR="00EC2023" w:rsidRDefault="00EC2023" w:rsidP="00EC2023">
      <w:pPr>
        <w:spacing w:after="120" w:line="240" w:lineRule="auto"/>
        <w:ind w:left="709" w:right="709"/>
        <w:jc w:val="both"/>
        <w:rPr>
          <w:rFonts w:ascii="Verdana" w:hAnsi="Verdana"/>
          <w:sz w:val="20"/>
          <w:szCs w:val="20"/>
          <w:lang w:val="es-ES_tradnl"/>
        </w:rPr>
      </w:pPr>
      <w:r w:rsidRPr="00BA3230">
        <w:rPr>
          <w:rFonts w:ascii="Verdana" w:hAnsi="Verdana"/>
          <w:sz w:val="20"/>
          <w:szCs w:val="20"/>
          <w:lang w:val="es-ES_tradnl"/>
        </w:rPr>
        <w:t xml:space="preserve">Desde el ICBF se brindan orientaciones técnicas y algunas recomendaciones frente al cumplimiento de requisitos para prestar la modalidad; sin embargo, </w:t>
      </w:r>
      <w:r w:rsidRPr="00407830">
        <w:rPr>
          <w:rFonts w:ascii="Verdana" w:hAnsi="Verdana"/>
          <w:sz w:val="20"/>
          <w:szCs w:val="20"/>
          <w:lang w:val="es-ES_tradnl"/>
        </w:rPr>
        <w:t xml:space="preserve">la entidad territorial sea con operador o de </w:t>
      </w:r>
      <w:r w:rsidRPr="00407830">
        <w:rPr>
          <w:rFonts w:ascii="Verdana" w:hAnsi="Verdana"/>
          <w:sz w:val="20"/>
          <w:szCs w:val="20"/>
          <w:lang w:val="es-ES_tradnl"/>
        </w:rPr>
        <w:lastRenderedPageBreak/>
        <w:t>manera directa es autónoma del tipo de contrato de aporte que realiza y de los términos de contratación</w:t>
      </w:r>
      <w:r w:rsidRPr="00522CAA">
        <w:rPr>
          <w:rFonts w:ascii="Verdana" w:hAnsi="Verdana"/>
          <w:i/>
          <w:iCs/>
          <w:sz w:val="20"/>
          <w:szCs w:val="20"/>
          <w:lang w:val="es-ES_tradnl"/>
        </w:rPr>
        <w:t>.</w:t>
      </w:r>
      <w:r w:rsidRPr="00BA3230">
        <w:rPr>
          <w:rFonts w:ascii="Verdana" w:hAnsi="Verdana"/>
          <w:sz w:val="20"/>
          <w:szCs w:val="20"/>
          <w:lang w:val="es-ES_tradnl"/>
        </w:rPr>
        <w:t xml:space="preserve"> Los recursos del contrato de aporte cuando sea con operador se destinarán a proporcionar los requerimientos para la operación de la modalidad con el fin de que el proceso de atención responda de manera exitosa al efectivo restablecimiento de los derechos amenazados y/o vulnerados de las niñas, niños y adolescentes ubicados. </w:t>
      </w:r>
    </w:p>
    <w:p w14:paraId="60393B40" w14:textId="77777777" w:rsidR="00EC2023" w:rsidRPr="00BA3230" w:rsidRDefault="00EC2023" w:rsidP="00EC2023">
      <w:pPr>
        <w:spacing w:after="120" w:line="240" w:lineRule="auto"/>
        <w:ind w:left="709" w:right="709"/>
        <w:jc w:val="both"/>
        <w:rPr>
          <w:rFonts w:ascii="Verdana" w:hAnsi="Verdana"/>
          <w:sz w:val="20"/>
          <w:szCs w:val="20"/>
          <w:lang w:val="es-ES"/>
        </w:rPr>
      </w:pPr>
      <w:r w:rsidRPr="4ED4972E">
        <w:rPr>
          <w:rFonts w:ascii="Verdana" w:hAnsi="Verdana"/>
          <w:sz w:val="20"/>
          <w:szCs w:val="20"/>
          <w:lang w:val="es-ES"/>
        </w:rPr>
        <w:t>Los recursos cuando se trata de operador serán destinados para cumplir con la contratación y cualificación del talento humano, el fortalecimiento y acompañamiento a los hogares de paso familia, infraestructura del Hogar de Paso Casa Hogar, llevar a cabo el proceso de atención de los niños, niñas y adolescentes ubicados y cubrimiento de necesidades de la población. Por parte de la administración directa de Hogar de Paso Familia la entidad territorial garantizará que la familia de paso brinde cubrimiento de necesidades básicas (vivienda, aseo, alimentación, transporte, vestuario y demás) durante el tiempo que esté allí ubicado.</w:t>
      </w:r>
    </w:p>
    <w:p w14:paraId="0EA2E470" w14:textId="77777777" w:rsidR="00EC2023" w:rsidRDefault="00EC2023" w:rsidP="00EC2023">
      <w:pPr>
        <w:spacing w:after="0" w:line="276" w:lineRule="auto"/>
        <w:ind w:firstLine="709"/>
        <w:jc w:val="both"/>
        <w:rPr>
          <w:rFonts w:ascii="Verdana" w:hAnsi="Verdana"/>
        </w:rPr>
      </w:pPr>
    </w:p>
    <w:p w14:paraId="1A225C87" w14:textId="77777777" w:rsidR="00EC2023" w:rsidRDefault="00EC2023" w:rsidP="00EC2023">
      <w:pPr>
        <w:spacing w:before="120" w:after="120" w:line="276" w:lineRule="auto"/>
        <w:ind w:firstLine="709"/>
        <w:jc w:val="both"/>
        <w:rPr>
          <w:rFonts w:ascii="Verdana" w:hAnsi="Verdana"/>
        </w:rPr>
      </w:pPr>
      <w:r>
        <w:rPr>
          <w:rFonts w:ascii="Verdana" w:hAnsi="Verdana"/>
        </w:rPr>
        <w:t xml:space="preserve">Como se evidencia, el artículo 58 de la </w:t>
      </w:r>
      <w:r w:rsidRPr="4CFD7942">
        <w:rPr>
          <w:rFonts w:ascii="Verdana" w:hAnsi="Verdana"/>
          <w:lang w:val="es-ES"/>
        </w:rPr>
        <w:t>Ley 1098 de 2006</w:t>
      </w:r>
      <w:r>
        <w:rPr>
          <w:rFonts w:ascii="Verdana" w:hAnsi="Verdana"/>
          <w:lang w:val="es-ES"/>
        </w:rPr>
        <w:t xml:space="preserve"> atribuye la facultad a </w:t>
      </w:r>
      <w:r w:rsidRPr="00D72768">
        <w:rPr>
          <w:rFonts w:ascii="Verdana" w:hAnsi="Verdana"/>
          <w:lang w:val="es-ES_tradnl"/>
        </w:rPr>
        <w:t>los distritos, municipios y territorios indígenas del territorio nacional, los gobernadores, los alcaldes, con la asistencia técnica del Instituto Colombiano de Bienestar Familiar, de organiza</w:t>
      </w:r>
      <w:r>
        <w:rPr>
          <w:rFonts w:ascii="Verdana" w:hAnsi="Verdana"/>
          <w:lang w:val="es-ES_tradnl"/>
        </w:rPr>
        <w:t>r</w:t>
      </w:r>
      <w:r w:rsidRPr="00D72768">
        <w:rPr>
          <w:rFonts w:ascii="Verdana" w:hAnsi="Verdana"/>
          <w:lang w:val="es-ES_tradnl"/>
        </w:rPr>
        <w:t xml:space="preserve"> las redes de hogares de paso y establecerá el registro, el reglamento, los recursos, los criterios de selección y los controles y mecanismos de seguimiento y vigilancia de las familias, de acuerdo con los principios establecidos en este código. Sin embargo, esta normativa no establece una forma de vinculación particular </w:t>
      </w:r>
      <w:r>
        <w:rPr>
          <w:rFonts w:ascii="Verdana" w:hAnsi="Verdana"/>
          <w:lang w:val="es-ES_tradnl"/>
        </w:rPr>
        <w:t xml:space="preserve">o la celebración de un contrato específico para tales efectos. </w:t>
      </w:r>
    </w:p>
    <w:p w14:paraId="33447798" w14:textId="77777777" w:rsidR="00EC2023" w:rsidRPr="00A27A8F" w:rsidRDefault="00EC2023" w:rsidP="00EC2023">
      <w:pPr>
        <w:spacing w:before="120" w:after="120" w:line="276" w:lineRule="auto"/>
        <w:ind w:firstLine="709"/>
        <w:jc w:val="both"/>
        <w:rPr>
          <w:rFonts w:ascii="Verdana" w:hAnsi="Verdana"/>
        </w:rPr>
      </w:pPr>
      <w:r w:rsidRPr="00A27A8F">
        <w:rPr>
          <w:rFonts w:ascii="Verdana" w:hAnsi="Verdana"/>
        </w:rPr>
        <w:t xml:space="preserve">Por su parte, la Guía Operativa de la Modalidad Hogar de Paso, expedida por el ICBF, contempla las modalidades de operación del servicio y prevé que la entidad territorial puede prestarlo directamente o a través de un operador. Al respecto, si bien la Guía establece un proceso de selección para la modalidad de Hogar de Paso Familia, este tiene como finalidad “mantener un banco de datos con la información de las familias disponibles para la ubicación de las niñas, los niños y los adolescentes en el momento en que sea requerido”, como parte de la organización operativa de dicha modalidad. Asimismo, señala que toda entidad que desarrolle el Servicio Público de Bienestar </w:t>
      </w:r>
      <w:proofErr w:type="gramStart"/>
      <w:r w:rsidRPr="00A27A8F">
        <w:rPr>
          <w:rFonts w:ascii="Verdana" w:hAnsi="Verdana"/>
        </w:rPr>
        <w:t>Familiar,</w:t>
      </w:r>
      <w:proofErr w:type="gramEnd"/>
      <w:r w:rsidRPr="00A27A8F">
        <w:rPr>
          <w:rFonts w:ascii="Verdana" w:hAnsi="Verdana"/>
        </w:rPr>
        <w:t xml:space="preserve"> ya sea directamente o mediante un operador, es “autónoma del tipo de contrato de aporte que realiza y de los términos de contratación”.</w:t>
      </w:r>
    </w:p>
    <w:p w14:paraId="64ACBFCF" w14:textId="77777777" w:rsidR="00EC2023" w:rsidRDefault="00EC2023" w:rsidP="00EC2023">
      <w:pPr>
        <w:spacing w:before="120" w:after="120" w:line="276" w:lineRule="auto"/>
        <w:ind w:firstLine="709"/>
        <w:jc w:val="both"/>
        <w:rPr>
          <w:rFonts w:ascii="Verdana" w:hAnsi="Verdana"/>
        </w:rPr>
      </w:pPr>
      <w:r w:rsidRPr="00A27A8F">
        <w:rPr>
          <w:rFonts w:ascii="Verdana" w:hAnsi="Verdana"/>
        </w:rPr>
        <w:lastRenderedPageBreak/>
        <w:t>En consecuencia, las entidades territoriales deberán atender las orientaciones técnicas y operativas del ICBF para el cumplimiento de los requisitos previstos para cada modalidad de Hogar de Paso, sin perjuicio de su autonomía para determinar la forma jurídica mediante la cual desarrollarán el servicio. Para tal efecto, deberán identificar la tipología contractual que corresponda, atendiendo al objeto, las obligaciones y la estructura económica del negocio jurídico. En ejercicio de dicha autonomía y de conformidad con los artículos 13, 32 y 40 de la Ley 80 de 1993, podrán considerar las tipologías contractuales legalmente previstas y las figuras admitidas por el derecho privado, siempre que sean compatibles con el ordenamiento jurídico, el régimen de contratación aplicable y las necesidades del servicio.</w:t>
      </w:r>
    </w:p>
    <w:p w14:paraId="52474DE0" w14:textId="77777777" w:rsidR="00EC2023" w:rsidRDefault="00EC2023" w:rsidP="00EC2023">
      <w:pPr>
        <w:spacing w:before="120" w:after="120" w:line="276" w:lineRule="auto"/>
        <w:ind w:firstLine="709"/>
        <w:jc w:val="both"/>
        <w:rPr>
          <w:rFonts w:ascii="Verdana" w:hAnsi="Verdana"/>
        </w:rPr>
      </w:pPr>
      <w:r w:rsidRPr="00713230">
        <w:rPr>
          <w:rFonts w:ascii="Verdana" w:hAnsi="Verdana"/>
        </w:rPr>
        <w:t xml:space="preserve">En este contexto, toda entidad que desarrolle el Servicio Público de Bienestar Familiar ya sea de manera directa o a través de operadores, </w:t>
      </w:r>
      <w:r w:rsidRPr="00905C7F">
        <w:rPr>
          <w:rFonts w:ascii="Verdana" w:hAnsi="Verdana"/>
          <w:i/>
          <w:iCs/>
        </w:rPr>
        <w:t>goza de autonomía</w:t>
      </w:r>
      <w:r w:rsidRPr="00713230">
        <w:rPr>
          <w:rFonts w:ascii="Verdana" w:hAnsi="Verdana"/>
        </w:rPr>
        <w:t xml:space="preserve"> para definir el tipo de vínculo mediante el cual se ejecutará dicho servicio.</w:t>
      </w:r>
      <w:r>
        <w:rPr>
          <w:rFonts w:ascii="Verdana" w:hAnsi="Verdana"/>
        </w:rPr>
        <w:t xml:space="preserve"> </w:t>
      </w:r>
      <w:r w:rsidRPr="00713230">
        <w:rPr>
          <w:rFonts w:ascii="Verdana" w:hAnsi="Verdana"/>
        </w:rPr>
        <w:t>En consecuencia, la entidad territorial es la competente para establecer el tipo de contrato</w:t>
      </w:r>
      <w:r w:rsidRPr="002D615A">
        <w:rPr>
          <w:rFonts w:ascii="Verdana" w:hAnsi="Verdana"/>
        </w:rPr>
        <w:t xml:space="preserve"> </w:t>
      </w:r>
      <w:r>
        <w:rPr>
          <w:rFonts w:ascii="Verdana" w:hAnsi="Verdana"/>
        </w:rPr>
        <w:t>o vinculación</w:t>
      </w:r>
      <w:r w:rsidRPr="00713230">
        <w:rPr>
          <w:rFonts w:ascii="Verdana" w:hAnsi="Verdana"/>
        </w:rPr>
        <w:t xml:space="preserve"> a través del cual se desarrollará el Servicio Público de Bienestar Familiar en las distintas modalidades referidas, atendiendo a su marco normativo, a sus capacidades institucionales y a las necesidades del servicio</w:t>
      </w:r>
      <w:r>
        <w:rPr>
          <w:rFonts w:ascii="Verdana" w:hAnsi="Verdana"/>
        </w:rPr>
        <w:t xml:space="preserve">. </w:t>
      </w:r>
    </w:p>
    <w:p w14:paraId="148376E0" w14:textId="77777777" w:rsidR="00EC2023" w:rsidRDefault="00EC2023" w:rsidP="00EC2023">
      <w:pPr>
        <w:spacing w:before="120" w:after="120" w:line="276" w:lineRule="auto"/>
        <w:ind w:firstLine="709"/>
        <w:jc w:val="both"/>
        <w:rPr>
          <w:rFonts w:ascii="Verdana" w:hAnsi="Verdana"/>
        </w:rPr>
      </w:pPr>
      <w:r>
        <w:rPr>
          <w:rFonts w:ascii="Verdana" w:hAnsi="Verdana" w:cs="Arial"/>
          <w:color w:val="000000" w:themeColor="text1"/>
        </w:rPr>
        <w:t xml:space="preserve">En todo caso, es importante señalar que </w:t>
      </w:r>
      <w:r w:rsidRPr="00C32A88">
        <w:rPr>
          <w:rFonts w:ascii="Verdana" w:hAnsi="Verdana" w:cs="Arial"/>
          <w:color w:val="000000" w:themeColor="text1"/>
        </w:rPr>
        <w:t xml:space="preserve">los aspectos y requisitos técnicos y operativos aplicables a cada una </w:t>
      </w:r>
      <w:r>
        <w:rPr>
          <w:rFonts w:ascii="Verdana" w:hAnsi="Verdana" w:cs="Arial"/>
          <w:color w:val="000000" w:themeColor="text1"/>
        </w:rPr>
        <w:t xml:space="preserve">de las modalidades para descritas para la prestación del servicio </w:t>
      </w:r>
      <w:r w:rsidRPr="00C32A88">
        <w:rPr>
          <w:rFonts w:ascii="Verdana" w:hAnsi="Verdana" w:cs="Arial"/>
          <w:color w:val="000000" w:themeColor="text1"/>
        </w:rPr>
        <w:t>se encuentran definidos en los lineamientos del</w:t>
      </w:r>
      <w:r>
        <w:rPr>
          <w:rFonts w:ascii="Verdana" w:hAnsi="Verdana" w:cs="Arial"/>
          <w:color w:val="000000" w:themeColor="text1"/>
        </w:rPr>
        <w:t xml:space="preserve"> </w:t>
      </w:r>
      <w:r w:rsidRPr="00C32A88">
        <w:rPr>
          <w:rFonts w:ascii="Verdana" w:hAnsi="Verdana" w:cs="Arial"/>
          <w:color w:val="000000" w:themeColor="text1"/>
        </w:rPr>
        <w:t xml:space="preserve">ICBF. Por su parte, corresponde a la entidad territorial, en ejercicio de su autonomía y atendiendo al marco normativo aplicable, determinar la forma mediante la cual establecerá el vínculo para el desarrollo del servicio, así como las condiciones de dicha </w:t>
      </w:r>
      <w:r>
        <w:rPr>
          <w:rFonts w:ascii="Verdana" w:hAnsi="Verdana" w:cs="Arial"/>
          <w:color w:val="000000" w:themeColor="text1"/>
        </w:rPr>
        <w:t>contratación</w:t>
      </w:r>
      <w:r w:rsidRPr="00C32A88">
        <w:rPr>
          <w:rFonts w:ascii="Verdana" w:hAnsi="Verdana" w:cs="Arial"/>
          <w:color w:val="000000" w:themeColor="text1"/>
        </w:rPr>
        <w:t>.</w:t>
      </w:r>
      <w:r>
        <w:rPr>
          <w:rFonts w:ascii="Verdana" w:hAnsi="Verdana" w:cs="Arial"/>
          <w:color w:val="000000" w:themeColor="text1"/>
        </w:rPr>
        <w:t xml:space="preserve"> </w:t>
      </w:r>
      <w:r>
        <w:rPr>
          <w:rFonts w:ascii="Verdana" w:hAnsi="Verdana"/>
        </w:rPr>
        <w:t xml:space="preserve"> </w:t>
      </w:r>
      <w:r w:rsidRPr="003A6421">
        <w:rPr>
          <w:rFonts w:ascii="Verdana" w:hAnsi="Verdana"/>
          <w:b/>
          <w:bCs/>
        </w:rPr>
        <w:t>(Respuesta a preguntas 1 a 4)</w:t>
      </w:r>
    </w:p>
    <w:p w14:paraId="12742374" w14:textId="77777777" w:rsidR="00EC2023" w:rsidRDefault="00EC2023" w:rsidP="00EC2023">
      <w:pPr>
        <w:spacing w:before="120" w:after="120" w:line="276" w:lineRule="auto"/>
        <w:ind w:firstLine="709"/>
        <w:jc w:val="both"/>
        <w:rPr>
          <w:rFonts w:ascii="Verdana" w:hAnsi="Verdana"/>
          <w:lang w:val="es-ES"/>
        </w:rPr>
      </w:pPr>
      <w:r>
        <w:rPr>
          <w:rFonts w:ascii="Verdana" w:hAnsi="Verdana"/>
        </w:rPr>
        <w:t>Asi las cosas, c</w:t>
      </w:r>
      <w:r w:rsidRPr="00DE4464">
        <w:rPr>
          <w:rFonts w:ascii="Verdana" w:hAnsi="Verdana"/>
        </w:rPr>
        <w:t xml:space="preserve">uando la entidad territorial deba celebrar un contrato estatal para </w:t>
      </w:r>
      <w:r>
        <w:rPr>
          <w:rFonts w:ascii="Verdana" w:hAnsi="Verdana"/>
        </w:rPr>
        <w:t xml:space="preserve">la </w:t>
      </w:r>
      <w:r w:rsidRPr="00DE4464">
        <w:rPr>
          <w:rFonts w:ascii="Verdana" w:hAnsi="Verdana"/>
        </w:rPr>
        <w:t xml:space="preserve">operación del </w:t>
      </w:r>
      <w:r>
        <w:rPr>
          <w:rFonts w:ascii="Verdana" w:hAnsi="Verdana"/>
        </w:rPr>
        <w:t>H</w:t>
      </w:r>
      <w:r w:rsidRPr="00DE4464">
        <w:rPr>
          <w:rFonts w:ascii="Verdana" w:hAnsi="Verdana"/>
        </w:rPr>
        <w:t xml:space="preserve">ogar de </w:t>
      </w:r>
      <w:r>
        <w:rPr>
          <w:rFonts w:ascii="Verdana" w:hAnsi="Verdana"/>
        </w:rPr>
        <w:t>P</w:t>
      </w:r>
      <w:r w:rsidRPr="00DE4464">
        <w:rPr>
          <w:rFonts w:ascii="Verdana" w:hAnsi="Verdana"/>
        </w:rPr>
        <w:t xml:space="preserve">aso, la selección del contratista </w:t>
      </w:r>
      <w:r>
        <w:rPr>
          <w:rFonts w:ascii="Verdana" w:hAnsi="Verdana"/>
        </w:rPr>
        <w:t xml:space="preserve">estará </w:t>
      </w:r>
      <w:r w:rsidRPr="00DE4464">
        <w:rPr>
          <w:rFonts w:ascii="Verdana" w:hAnsi="Verdana"/>
        </w:rPr>
        <w:t xml:space="preserve">sometida a las modalidades previstas en el artículo 2 de la Ley 1150 de 2007 y sus normas reglamentarias. </w:t>
      </w:r>
      <w:r>
        <w:rPr>
          <w:rFonts w:ascii="Verdana" w:hAnsi="Verdana"/>
        </w:rPr>
        <w:t xml:space="preserve">En efecto, según esta disposición </w:t>
      </w:r>
      <w:r w:rsidRPr="0083230D">
        <w:rPr>
          <w:rFonts w:ascii="Verdana" w:hAnsi="Verdana"/>
          <w:lang w:val="es-ES"/>
        </w:rPr>
        <w:t xml:space="preserve">las modalidades de selección a las que actualmente pueden recurrir las Entidades Estatales para adelantar sus procesos de contratación estatal son: 1) la licitación pública, 2) la selección abreviada, 3) el concurso de méritos, 4) la mínima cuantía y 5) la contratación directa. </w:t>
      </w:r>
    </w:p>
    <w:p w14:paraId="0C80D5D6" w14:textId="77777777" w:rsidR="00EC2023" w:rsidRPr="0083230D" w:rsidRDefault="00EC2023" w:rsidP="00EC2023">
      <w:pPr>
        <w:spacing w:before="120" w:after="120" w:line="276" w:lineRule="auto"/>
        <w:ind w:firstLine="709"/>
        <w:jc w:val="both"/>
        <w:rPr>
          <w:rFonts w:ascii="Verdana" w:hAnsi="Verdana"/>
          <w:lang w:val="es-ES"/>
        </w:rPr>
      </w:pPr>
      <w:r w:rsidRPr="0083230D">
        <w:rPr>
          <w:rFonts w:ascii="Verdana" w:hAnsi="Verdana"/>
          <w:lang w:val="es-ES"/>
        </w:rPr>
        <w:lastRenderedPageBreak/>
        <w:t>En términos generales, la licitación pública, la selección abreviada, el concurso de méritos y la mínima cuantía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En contraste, la modalidad de selección de contratación directa no es competitiva, es decir, que no es abierta a los proponentes para que los interesados presenten sus ofertas. En esta, es la entidad la que determina, de forma directa, la persona que puede participar y que será seleccionada. En relación con esta última, es importante señalar que es una excepción al principio de libre concurrencia y competencia por lo que es de aplicación restrictiva, es decir, solo procede por las causales señaladas expresamente en la ley.</w:t>
      </w:r>
    </w:p>
    <w:p w14:paraId="45982B2A" w14:textId="77777777" w:rsidR="00EC2023" w:rsidRPr="002471DC" w:rsidRDefault="00EC2023" w:rsidP="00EC2023">
      <w:pPr>
        <w:spacing w:before="120" w:after="120" w:line="276" w:lineRule="auto"/>
        <w:ind w:firstLine="709"/>
        <w:jc w:val="both"/>
        <w:rPr>
          <w:rFonts w:ascii="Verdana" w:hAnsi="Verdana"/>
          <w:lang w:val="es-ES"/>
        </w:rPr>
      </w:pPr>
      <w:r w:rsidRPr="0083230D">
        <w:rPr>
          <w:rFonts w:ascii="Verdana" w:hAnsi="Verdana"/>
          <w:lang w:val="es-ES"/>
        </w:rPr>
        <w:t>El Estatuto General de Contratación de la Administración Pública (compuesto principalmente por la Ley 80 de 1993, Ley 1150 de 2007 y el Decreto 1082 de 2015) señala las etapas y requisitos que deben cumplir las entidades para adelantar cada uno de estos procedimientos, incluyendo las circunstancias que los hacen procedentes para la adquisición de obras, bienes y servicios. Con base en este marco jurídico, cada entidad es responsable de determinar la modalidad de selección adecuada para satisfacer su necesidad y estructurar sus procedimientos contractuales en cumplimiento de los principios de la función administrativa, los presupuestales y los de contratación pública. En efecto, los Procesos de Contratación que deben adelantar las Entidades Estatales para adquirir los bienes, obras o servicios que requieren, se rigen por procedimientos reglados establecidos por la ley y el reglamento.</w:t>
      </w:r>
    </w:p>
    <w:p w14:paraId="79BCBB7A" w14:textId="77777777" w:rsidR="00EC2023" w:rsidRDefault="00EC2023" w:rsidP="00EC2023">
      <w:pPr>
        <w:spacing w:before="120" w:after="120" w:line="276" w:lineRule="auto"/>
        <w:ind w:firstLine="709"/>
        <w:jc w:val="both"/>
        <w:rPr>
          <w:rFonts w:ascii="Verdana" w:hAnsi="Verdana"/>
        </w:rPr>
      </w:pPr>
      <w:r>
        <w:rPr>
          <w:rFonts w:ascii="Verdana" w:hAnsi="Verdana"/>
        </w:rPr>
        <w:t>En consecuencia, l</w:t>
      </w:r>
      <w:r w:rsidRPr="00DE4464">
        <w:rPr>
          <w:rFonts w:ascii="Verdana" w:hAnsi="Verdana"/>
        </w:rPr>
        <w:t>a licitación pública constituye la regla general</w:t>
      </w:r>
      <w:r>
        <w:rPr>
          <w:rFonts w:ascii="Verdana" w:hAnsi="Verdana"/>
        </w:rPr>
        <w:t>,</w:t>
      </w:r>
      <w:r w:rsidRPr="00DE4464">
        <w:rPr>
          <w:rFonts w:ascii="Verdana" w:hAnsi="Verdana"/>
        </w:rPr>
        <w:t xml:space="preserve"> la selección abreviada procederá cuando se configure alguna de las causales legales</w:t>
      </w:r>
      <w:r>
        <w:rPr>
          <w:rFonts w:ascii="Verdana" w:hAnsi="Verdana"/>
        </w:rPr>
        <w:t>,</w:t>
      </w:r>
      <w:r w:rsidRPr="00DE4464">
        <w:rPr>
          <w:rFonts w:ascii="Verdana" w:hAnsi="Verdana"/>
        </w:rPr>
        <w:t xml:space="preserve"> la mínima cuantía dependerá del límite económico aplicable a la entidad, y la contratación directa únicamente será viable cuando se acredite una causal taxativa. La elección deberá sustentarse en los estudios y documentos del proceso, atendiendo al objeto, la cuantía, las condiciones del mercado y la naturaleza del contratista.</w:t>
      </w:r>
      <w:r>
        <w:rPr>
          <w:rFonts w:ascii="Verdana" w:hAnsi="Verdana"/>
        </w:rPr>
        <w:t xml:space="preserve"> </w:t>
      </w:r>
      <w:r w:rsidRPr="002950E8">
        <w:rPr>
          <w:rFonts w:ascii="Verdana" w:hAnsi="Verdana"/>
          <w:b/>
          <w:bCs/>
        </w:rPr>
        <w:t>(Respuesta a pregunta 5)</w:t>
      </w:r>
    </w:p>
    <w:p w14:paraId="587133A0" w14:textId="77777777" w:rsidR="00EC2023" w:rsidRDefault="00EC2023" w:rsidP="00EC2023">
      <w:pPr>
        <w:spacing w:before="120" w:after="120" w:line="276" w:lineRule="auto"/>
        <w:ind w:firstLine="709"/>
        <w:jc w:val="both"/>
        <w:rPr>
          <w:rFonts w:ascii="Verdana" w:hAnsi="Verdana"/>
        </w:rPr>
      </w:pPr>
      <w:r>
        <w:rPr>
          <w:rFonts w:ascii="Verdana" w:hAnsi="Verdana"/>
        </w:rPr>
        <w:t>Ahora bien</w:t>
      </w:r>
      <w:r w:rsidRPr="008D7A03">
        <w:rPr>
          <w:rFonts w:ascii="Verdana" w:hAnsi="Verdana"/>
        </w:rPr>
        <w:t>,</w:t>
      </w:r>
      <w:r>
        <w:rPr>
          <w:rFonts w:ascii="Verdana" w:hAnsi="Verdana"/>
        </w:rPr>
        <w:t xml:space="preserve"> en atención a la autonomía con que cuenta la entidad para determina el tipo de contrato,</w:t>
      </w:r>
      <w:r w:rsidRPr="008D7A03">
        <w:rPr>
          <w:rFonts w:ascii="Verdana" w:hAnsi="Verdana"/>
        </w:rPr>
        <w:t xml:space="preserve"> podrá evaluar la viabilidad de suscribir contratos de colaboración</w:t>
      </w:r>
      <w:r w:rsidRPr="008D7A03">
        <w:rPr>
          <w:rFonts w:ascii="Verdana" w:hAnsi="Verdana"/>
          <w:lang w:val="es-MX"/>
        </w:rPr>
        <w:t xml:space="preserve"> con entidades sin ánimo de lucro – ESAL-</w:t>
      </w:r>
      <w:r w:rsidRPr="008D7A03">
        <w:rPr>
          <w:rFonts w:ascii="Verdana" w:hAnsi="Verdana"/>
        </w:rPr>
        <w:t xml:space="preserve"> que </w:t>
      </w:r>
      <w:r w:rsidRPr="008D7A03">
        <w:rPr>
          <w:rFonts w:ascii="Verdana" w:hAnsi="Verdana"/>
          <w:lang w:val="es-ES"/>
        </w:rPr>
        <w:t xml:space="preserve">se celebran con </w:t>
      </w:r>
      <w:r w:rsidRPr="008D7A03">
        <w:rPr>
          <w:rFonts w:ascii="Verdana" w:hAnsi="Verdana"/>
          <w:lang w:val="es-ES"/>
        </w:rPr>
        <w:lastRenderedPageBreak/>
        <w:t>el fin impulsar programas y actividades de interés público de acuerdo con el Plan Nacional o los planes seccionales de desarrollo, en los términos del artículo 355 de la Constitución Política y teniendo en cuenta lo dispuesto en el Decreto 092 de 2017. Estos contratos, no dan lugar a una contraprestación directa a favor de la entidad y tampoco a una relación conmutativa entre esta y la ESAL, toda vez que el beneficio directo lo recibirán, en últimas, los sectores de este tipo de acciones de fomento</w:t>
      </w:r>
      <w:r w:rsidRPr="008D7A03">
        <w:rPr>
          <w:rFonts w:ascii="Verdana" w:hAnsi="Verdana"/>
        </w:rPr>
        <w:t xml:space="preserve">. </w:t>
      </w:r>
    </w:p>
    <w:p w14:paraId="09D66828" w14:textId="77777777" w:rsidR="00EC2023" w:rsidRDefault="00EC2023" w:rsidP="00EC2023">
      <w:pPr>
        <w:spacing w:before="120" w:after="120" w:line="276" w:lineRule="auto"/>
        <w:ind w:firstLine="709"/>
        <w:jc w:val="both"/>
        <w:rPr>
          <w:rFonts w:ascii="Verdana" w:eastAsia="Calibri" w:hAnsi="Verdana" w:cs="Arial"/>
        </w:rPr>
      </w:pPr>
      <w:r>
        <w:rPr>
          <w:rFonts w:ascii="Verdana" w:hAnsi="Verdana"/>
        </w:rPr>
        <w:t xml:space="preserve">Asimismo, podrá revisar la posibilidad de celebrar convenios de asociación con ESAL </w:t>
      </w:r>
      <w:r>
        <w:rPr>
          <w:rFonts w:ascii="Verdana" w:eastAsia="Calibri" w:hAnsi="Verdana" w:cs="Arial"/>
          <w:lang w:val="es-ES"/>
        </w:rPr>
        <w:t xml:space="preserve">para el desarrollo conjunto de actividades relacionadas con las funciones de las entidades estatales, en desarrollo del artículo 96 de la Ley 489 de 1998, en los términos establecidos por el artículo 5 del Decreto 092 de 2017. </w:t>
      </w:r>
      <w:r>
        <w:rPr>
          <w:rFonts w:ascii="Verdana" w:eastAsia="Calibri" w:hAnsi="Verdana" w:cs="Arial"/>
          <w:bCs/>
          <w:lang w:val="es-ES_tradnl"/>
        </w:rPr>
        <w:t xml:space="preserve">Estos </w:t>
      </w:r>
      <w:r w:rsidRPr="00A114A3">
        <w:rPr>
          <w:rFonts w:ascii="Verdana" w:eastAsia="Calibri" w:hAnsi="Verdana" w:cs="Arial"/>
          <w:bCs/>
          <w:iCs/>
          <w:lang w:val="es-ES_tradnl"/>
        </w:rPr>
        <w:t>convenios</w:t>
      </w:r>
      <w:r w:rsidRPr="00A114A3">
        <w:rPr>
          <w:rFonts w:ascii="Verdana" w:eastAsia="Calibri" w:hAnsi="Verdana" w:cs="Arial"/>
          <w:bCs/>
          <w:i/>
          <w:lang w:val="es-ES_tradnl"/>
        </w:rPr>
        <w:t xml:space="preserve"> </w:t>
      </w:r>
      <w:r w:rsidRPr="00A114A3">
        <w:rPr>
          <w:rFonts w:ascii="Verdana" w:eastAsia="Calibri" w:hAnsi="Verdana" w:cs="Arial"/>
          <w:bCs/>
          <w:lang w:val="es-ES_tradnl"/>
        </w:rPr>
        <w:t>“[t]</w:t>
      </w:r>
      <w:proofErr w:type="spellStart"/>
      <w:r w:rsidRPr="00A114A3">
        <w:rPr>
          <w:rFonts w:ascii="Verdana" w:eastAsia="Calibri" w:hAnsi="Verdana" w:cs="Arial"/>
          <w:bCs/>
          <w:lang w:val="es-ES_tradnl"/>
        </w:rPr>
        <w:t>ienen</w:t>
      </w:r>
      <w:proofErr w:type="spellEnd"/>
      <w:r w:rsidRPr="00A114A3">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A114A3">
        <w:rPr>
          <w:rFonts w:ascii="Verdana" w:eastAsia="Calibri" w:hAnsi="Verdana" w:cs="Arial"/>
          <w:vertAlign w:val="superscript"/>
        </w:rPr>
        <w:footnoteReference w:id="6"/>
      </w:r>
      <w:r w:rsidRPr="00A114A3">
        <w:rPr>
          <w:rFonts w:ascii="Verdana" w:eastAsia="Calibri" w:hAnsi="Verdana"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A114A3">
        <w:rPr>
          <w:rFonts w:ascii="Verdana" w:eastAsia="Calibri" w:hAnsi="Verdana" w:cs="Arial"/>
          <w:vertAlign w:val="superscript"/>
        </w:rPr>
        <w:footnoteReference w:id="7"/>
      </w:r>
      <w:r w:rsidRPr="00A114A3">
        <w:rPr>
          <w:rFonts w:ascii="Verdana" w:eastAsia="Calibri" w:hAnsi="Verdana" w:cs="Arial"/>
          <w:bCs/>
          <w:lang w:val="es-ES_tradnl"/>
        </w:rPr>
        <w:t>.</w:t>
      </w:r>
      <w:r w:rsidRPr="00A114A3">
        <w:rPr>
          <w:rFonts w:ascii="Verdana" w:eastAsia="Calibri" w:hAnsi="Verdana" w:cs="Arial"/>
        </w:rPr>
        <w:t xml:space="preserve"> </w:t>
      </w:r>
    </w:p>
    <w:p w14:paraId="016670A5" w14:textId="77777777" w:rsidR="00EC2023" w:rsidRDefault="00EC2023" w:rsidP="00EC2023">
      <w:pPr>
        <w:pStyle w:val="Sinespaciado"/>
        <w:spacing w:line="276" w:lineRule="auto"/>
        <w:ind w:firstLine="708"/>
        <w:jc w:val="both"/>
        <w:rPr>
          <w:rFonts w:ascii="Verdana" w:hAnsi="Verdana" w:cs="Arial"/>
          <w:color w:val="000000" w:themeColor="text1"/>
          <w:sz w:val="22"/>
        </w:rPr>
      </w:pPr>
      <w:r>
        <w:rPr>
          <w:rFonts w:ascii="Verdana" w:hAnsi="Verdana" w:cs="Arial"/>
          <w:color w:val="000000" w:themeColor="text1"/>
          <w:sz w:val="22"/>
        </w:rPr>
        <w:t xml:space="preserve">Es importante aclarar que los negocios jurídicos que regula el Decreto 092 de 2017 “[…] son esencialmente distintos a los contratos para la adquisición y aprovisionamiento de bienes, obras o servicios regulados por el estatuto de contratación </w:t>
      </w:r>
      <w:proofErr w:type="gramStart"/>
      <w:r>
        <w:rPr>
          <w:rFonts w:ascii="Verdana" w:hAnsi="Verdana" w:cs="Arial"/>
          <w:color w:val="000000" w:themeColor="text1"/>
          <w:sz w:val="22"/>
        </w:rPr>
        <w:t>y[</w:t>
      </w:r>
      <w:proofErr w:type="gramEnd"/>
      <w:r>
        <w:rPr>
          <w:rFonts w:ascii="Verdana" w:hAnsi="Verdana" w:cs="Arial"/>
          <w:color w:val="000000" w:themeColor="text1"/>
          <w:sz w:val="22"/>
        </w:rPr>
        <w:t xml:space="preserve">,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w:t>
      </w:r>
      <w:r>
        <w:rPr>
          <w:rFonts w:ascii="Verdana" w:hAnsi="Verdana" w:cs="Arial"/>
          <w:color w:val="000000" w:themeColor="text1"/>
          <w:sz w:val="22"/>
        </w:rPr>
        <w:lastRenderedPageBreak/>
        <w:t>2007, y no el Decreto 092 de 2017”</w:t>
      </w:r>
      <w:r>
        <w:rPr>
          <w:rStyle w:val="Refdenotaalpie"/>
          <w:rFonts w:ascii="Verdana" w:hAnsi="Verdana" w:cs="Arial"/>
          <w:color w:val="000000" w:themeColor="text1"/>
          <w:sz w:val="22"/>
        </w:rPr>
        <w:footnoteReference w:id="8"/>
      </w:r>
      <w:r>
        <w:rPr>
          <w:rFonts w:ascii="Verdana" w:hAnsi="Verdana" w:cs="Arial"/>
          <w:color w:val="000000" w:themeColor="text1"/>
          <w:sz w:val="22"/>
        </w:rPr>
        <w:t>. Así lo consideró la Sala de Consulta y Servicio Civil del Consejo de Estado:</w:t>
      </w:r>
    </w:p>
    <w:p w14:paraId="51FC2090" w14:textId="77777777" w:rsidR="00EC2023" w:rsidRDefault="00EC2023" w:rsidP="00EC2023">
      <w:pPr>
        <w:pStyle w:val="Sinespaciado"/>
        <w:spacing w:line="276" w:lineRule="auto"/>
        <w:jc w:val="both"/>
        <w:rPr>
          <w:rFonts w:ascii="Verdana" w:hAnsi="Verdana" w:cs="Arial"/>
          <w:color w:val="000000" w:themeColor="text1"/>
          <w:sz w:val="22"/>
        </w:rPr>
      </w:pPr>
    </w:p>
    <w:p w14:paraId="507A1E1D" w14:textId="77777777" w:rsidR="00EC2023" w:rsidRDefault="00EC2023" w:rsidP="00EC2023">
      <w:pPr>
        <w:spacing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Pr>
          <w:rFonts w:ascii="Verdana" w:eastAsia="Calibri" w:hAnsi="Verdana" w:cs="Arial"/>
          <w:color w:val="000000" w:themeColor="text1"/>
          <w:sz w:val="20"/>
          <w:szCs w:val="20"/>
        </w:rPr>
        <w:t>y</w:t>
      </w:r>
      <w:proofErr w:type="gramEnd"/>
      <w:r>
        <w:rPr>
          <w:rFonts w:ascii="Verdana" w:eastAsia="Calibri" w:hAnsi="Verdana" w:cs="Arial"/>
          <w:color w:val="000000" w:themeColor="text1"/>
          <w:sz w:val="20"/>
          <w:szCs w:val="20"/>
        </w:rPr>
        <w:t xml:space="preserve"> por lo tanto, se tipifican dentro de cualquiera de las modalidades de contratación de la ley 80 de 1.993, debiendo sujetarse a los procedimientos allí previstos, en especial los de escogencia del contratista.</w:t>
      </w:r>
    </w:p>
    <w:p w14:paraId="77E20FC1" w14:textId="77777777" w:rsidR="00EC2023" w:rsidRDefault="00EC2023" w:rsidP="00EC2023">
      <w:pPr>
        <w:spacing w:after="0" w:line="240" w:lineRule="auto"/>
        <w:ind w:left="708"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Pr>
          <w:rFonts w:ascii="Verdana" w:eastAsia="Calibri" w:hAnsi="Verdana" w:cs="Arial"/>
          <w:color w:val="000000" w:themeColor="text1"/>
          <w:sz w:val="20"/>
          <w:szCs w:val="20"/>
        </w:rPr>
        <w:t>sería</w:t>
      </w:r>
      <w:proofErr w:type="gramEnd"/>
      <w:r>
        <w:rPr>
          <w:rFonts w:ascii="Verdana" w:eastAsia="Calibri" w:hAnsi="Verdana" w:cs="Arial"/>
          <w:color w:val="000000" w:themeColor="text1"/>
          <w:sz w:val="20"/>
          <w:szCs w:val="20"/>
        </w:rPr>
        <w:t xml:space="preserve"> por ejemplo, contratos de prestación de servicios o de obra pública”</w:t>
      </w:r>
      <w:r>
        <w:rPr>
          <w:rStyle w:val="Refdenotaalpie"/>
          <w:rFonts w:ascii="Verdana" w:hAnsi="Verdana" w:cs="Arial"/>
          <w:color w:val="000000" w:themeColor="text1"/>
          <w:sz w:val="20"/>
          <w:szCs w:val="20"/>
        </w:rPr>
        <w:t xml:space="preserve"> </w:t>
      </w:r>
      <w:r>
        <w:rPr>
          <w:rStyle w:val="Refdenotaalpie"/>
          <w:rFonts w:ascii="Verdana" w:hAnsi="Verdana" w:cs="Arial"/>
          <w:color w:val="000000" w:themeColor="text1"/>
          <w:sz w:val="20"/>
          <w:szCs w:val="20"/>
        </w:rPr>
        <w:footnoteReference w:id="9"/>
      </w:r>
      <w:r>
        <w:rPr>
          <w:rFonts w:ascii="Verdana" w:eastAsia="Calibri" w:hAnsi="Verdana" w:cs="Arial"/>
          <w:color w:val="000000" w:themeColor="text1"/>
          <w:sz w:val="20"/>
          <w:szCs w:val="20"/>
        </w:rPr>
        <w:t>.</w:t>
      </w:r>
    </w:p>
    <w:p w14:paraId="36835B6C" w14:textId="77777777" w:rsidR="00EC2023" w:rsidRDefault="00EC2023" w:rsidP="00EC2023">
      <w:pPr>
        <w:spacing w:after="0" w:line="276" w:lineRule="auto"/>
        <w:ind w:firstLine="708"/>
        <w:jc w:val="both"/>
        <w:rPr>
          <w:rFonts w:ascii="Verdana" w:eastAsia="Calibri" w:hAnsi="Verdana" w:cs="Arial"/>
          <w:color w:val="000000" w:themeColor="text1"/>
        </w:rPr>
      </w:pPr>
    </w:p>
    <w:p w14:paraId="6856FEE5" w14:textId="77777777" w:rsidR="00EC2023" w:rsidRPr="00937049" w:rsidRDefault="00EC2023" w:rsidP="00EC2023">
      <w:pPr>
        <w:spacing w:after="120" w:line="276" w:lineRule="auto"/>
        <w:ind w:firstLine="709"/>
        <w:jc w:val="both"/>
        <w:rPr>
          <w:rFonts w:ascii="Verdana" w:hAnsi="Verdana" w:cs="Arial"/>
          <w:color w:val="000000" w:themeColor="text1"/>
          <w:lang w:val="es-MX"/>
        </w:rPr>
      </w:pPr>
      <w:r w:rsidRPr="00937049">
        <w:rPr>
          <w:rFonts w:ascii="Verdana" w:hAnsi="Verdana" w:cs="Arial"/>
          <w:color w:val="000000" w:themeColor="text1"/>
          <w:lang w:val="es-MX"/>
        </w:rPr>
        <w:t>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r>
        <w:rPr>
          <w:rFonts w:ascii="Verdana" w:hAnsi="Verdana" w:cs="Arial"/>
          <w:color w:val="000000" w:themeColor="text1"/>
          <w:lang w:val="es-MX"/>
        </w:rPr>
        <w:t xml:space="preserve">. </w:t>
      </w:r>
      <w:r w:rsidRPr="002950E8">
        <w:rPr>
          <w:rFonts w:ascii="Verdana" w:hAnsi="Verdana" w:cs="Arial"/>
          <w:b/>
          <w:bCs/>
          <w:color w:val="000000" w:themeColor="text1"/>
          <w:lang w:val="es-MX"/>
        </w:rPr>
        <w:t>(Respuesta a pregunta 7)</w:t>
      </w:r>
      <w:r>
        <w:rPr>
          <w:rFonts w:ascii="Verdana" w:hAnsi="Verdana" w:cs="Arial"/>
          <w:color w:val="000000" w:themeColor="text1"/>
          <w:lang w:val="es-MX"/>
        </w:rPr>
        <w:t xml:space="preserve"> </w:t>
      </w:r>
    </w:p>
    <w:p w14:paraId="6C7D8E06" w14:textId="77777777" w:rsidR="00EC2023" w:rsidRDefault="00EC2023" w:rsidP="00EC2023">
      <w:pPr>
        <w:spacing w:before="120" w:after="120" w:line="276" w:lineRule="auto"/>
        <w:ind w:firstLine="709"/>
        <w:jc w:val="both"/>
        <w:rPr>
          <w:rFonts w:ascii="Verdana" w:hAnsi="Verdana"/>
        </w:rPr>
      </w:pPr>
      <w:r>
        <w:rPr>
          <w:rFonts w:ascii="Verdana" w:hAnsi="Verdana"/>
        </w:rPr>
        <w:t>Ahora bien, r</w:t>
      </w:r>
      <w:r w:rsidRPr="008D7A03">
        <w:rPr>
          <w:rFonts w:ascii="Verdana" w:hAnsi="Verdana"/>
        </w:rPr>
        <w:t xml:space="preserve">especto de la viabilidad de suscribir un contrato de prestación de servicios, es importante precisar que </w:t>
      </w:r>
      <w:r w:rsidRPr="008D7A03">
        <w:rPr>
          <w:rFonts w:ascii="Verdana" w:hAnsi="Verdana"/>
          <w:lang w:val="es-ES"/>
        </w:rPr>
        <w:t xml:space="preserve">las actividades y obligaciones de este contrato deben estar </w:t>
      </w:r>
      <w:r w:rsidRPr="008D7A03">
        <w:rPr>
          <w:rFonts w:ascii="Verdana" w:hAnsi="Verdana"/>
        </w:rPr>
        <w:t xml:space="preserve">relacionadas con la administración o funcionamiento de la entidad, es decir, que hagan parte de su giro ordinario o quehacer cotidiano. </w:t>
      </w:r>
      <w:r>
        <w:rPr>
          <w:rFonts w:ascii="Verdana" w:hAnsi="Verdana"/>
        </w:rPr>
        <w:t>E</w:t>
      </w:r>
      <w:r w:rsidRPr="008D7A03">
        <w:rPr>
          <w:rFonts w:ascii="Verdana" w:hAnsi="Verdana"/>
        </w:rPr>
        <w:t xml:space="preserve">stas actividades deben guardar relación con el funcionamiento de la entidad y ejecutarse por el tiempo estrictamente indispensable, teniendo en cuenta las </w:t>
      </w:r>
      <w:r w:rsidRPr="008D7A03">
        <w:rPr>
          <w:rFonts w:ascii="Verdana" w:hAnsi="Verdana"/>
        </w:rPr>
        <w:lastRenderedPageBreak/>
        <w:t>necesidades que la administración pública pretenda satisfacer. En otras palabras, su propósito es desarrollar actividades relacionadas con el cumplimiento de las funciones y objeto misional a cargo de la entidad contratante, siempre que tales actividades o funciones sean temporales, excepcionales u ocasionales y no puedan realizarse con el personal de planta, bien por ser insuficiente o bien porque se requieran conocimientos especializados. Por consiguiente, en estos contratos no pueden suplirse, de forma definitiva, las funciones permanentes de la entidad</w:t>
      </w:r>
      <w:r>
        <w:rPr>
          <w:rFonts w:ascii="Verdana" w:hAnsi="Verdana"/>
        </w:rPr>
        <w:t>.</w:t>
      </w:r>
    </w:p>
    <w:p w14:paraId="27BE7F88" w14:textId="77777777" w:rsidR="00EC2023" w:rsidRPr="003C329A" w:rsidRDefault="00EC2023" w:rsidP="00EC2023">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V</w:t>
      </w:r>
      <w:r w:rsidRPr="0014781E">
        <w:rPr>
          <w:rFonts w:ascii="Verdana" w:hAnsi="Verdana" w:cs="Arial"/>
          <w:color w:val="000000" w:themeColor="text1"/>
        </w:rPr>
        <w:t>ale la pena poner de presente lo establecido en la</w:t>
      </w:r>
      <w:r w:rsidRPr="0014781E">
        <w:t xml:space="preserve"> “</w:t>
      </w:r>
      <w:r w:rsidRPr="0014781E">
        <w:rPr>
          <w:rFonts w:ascii="Verdana" w:hAnsi="Verdana"/>
        </w:rPr>
        <w:t>Guía para la Incorporación de Lineamientos de Integridad en la Contratación de Prestación de Servicios” expedida por esta Agencia, en la que se indicó que:</w:t>
      </w:r>
      <w:r w:rsidRPr="0014781E">
        <w:t xml:space="preserve"> </w:t>
      </w:r>
      <w:r w:rsidRPr="0014781E">
        <w:rPr>
          <w:rFonts w:ascii="Verdana" w:hAnsi="Verdana" w:cs="Arial"/>
          <w:color w:val="000000" w:themeColor="text1"/>
        </w:rPr>
        <w:t xml:space="preserve"> “la delimitación del objeto del contrato proviene no sólo de las normas positivas que lo definen, sino también de disposiciones prohibitivas o restrictivas que indican que el contrato de prestación de servicios no es un medio para suplir la vinculación de personas naturales en el desempeño de la función pública, ni constituye un instrumento para el cumplimiento propiamente dicho de ella”. </w:t>
      </w:r>
      <w:r>
        <w:rPr>
          <w:rFonts w:ascii="Verdana" w:hAnsi="Verdana" w:cs="Arial"/>
          <w:color w:val="000000" w:themeColor="text1"/>
        </w:rPr>
        <w:t xml:space="preserve">De esta manera, únicamente se deberá acudir a esta figura contractual siempre que el objeto a contratar se enmarque en las actividades señaladas, teniendo en cuenta las normas que lo definen y el desarrollo jurisprudencial. </w:t>
      </w:r>
      <w:r w:rsidRPr="002950E8">
        <w:rPr>
          <w:rFonts w:ascii="Verdana" w:hAnsi="Verdana" w:cs="Arial"/>
          <w:b/>
          <w:bCs/>
          <w:color w:val="000000" w:themeColor="text1"/>
        </w:rPr>
        <w:t>(Respuesta a pregunta 6)</w:t>
      </w:r>
    </w:p>
    <w:p w14:paraId="522F47EA" w14:textId="77777777" w:rsidR="00EC2023" w:rsidRDefault="00EC2023" w:rsidP="00EC2023">
      <w:pPr>
        <w:spacing w:before="120" w:after="120" w:line="276" w:lineRule="auto"/>
        <w:ind w:firstLine="709"/>
        <w:jc w:val="both"/>
        <w:rPr>
          <w:rFonts w:ascii="Verdana" w:hAnsi="Verdana"/>
        </w:rPr>
      </w:pPr>
      <w:r>
        <w:rPr>
          <w:rFonts w:ascii="Verdana" w:hAnsi="Verdana"/>
        </w:rPr>
        <w:t>Respecto d</w:t>
      </w:r>
      <w:r w:rsidRPr="00943CC5">
        <w:rPr>
          <w:rFonts w:ascii="Verdana" w:hAnsi="Verdana"/>
        </w:rPr>
        <w:t>el contrato</w:t>
      </w:r>
      <w:r w:rsidRPr="002D25CF">
        <w:rPr>
          <w:rFonts w:ascii="Verdana" w:hAnsi="Verdana"/>
        </w:rPr>
        <w:t xml:space="preserve"> de aporte </w:t>
      </w:r>
      <w:r>
        <w:rPr>
          <w:rFonts w:ascii="Verdana" w:hAnsi="Verdana"/>
        </w:rPr>
        <w:t xml:space="preserve">es importante señalar </w:t>
      </w:r>
      <w:r>
        <w:rPr>
          <w:rFonts w:ascii="Verdana" w:eastAsia="Calibri" w:hAnsi="Verdana"/>
          <w:color w:val="000000" w:themeColor="text1"/>
          <w:lang w:val="es-ES_tradnl"/>
        </w:rPr>
        <w:t xml:space="preserve">corresponden a contratos atípicos, cuya posibilidad de suscripción está fundamentada en el numeral </w:t>
      </w:r>
      <w:r w:rsidRPr="006E23BA">
        <w:rPr>
          <w:rFonts w:ascii="Verdana" w:eastAsia="Calibri" w:hAnsi="Verdana"/>
          <w:color w:val="000000" w:themeColor="text1"/>
        </w:rPr>
        <w:t>9 del artículo 21 de ley 7 de 197</w:t>
      </w:r>
      <w:r>
        <w:rPr>
          <w:rFonts w:ascii="Verdana" w:eastAsia="Calibri" w:hAnsi="Verdana"/>
          <w:color w:val="000000" w:themeColor="text1"/>
        </w:rPr>
        <w:t>9</w:t>
      </w:r>
      <w:r>
        <w:rPr>
          <w:rStyle w:val="Refdenotaalpie"/>
          <w:rFonts w:ascii="Verdana" w:eastAsia="Calibri" w:hAnsi="Verdana"/>
          <w:color w:val="000000" w:themeColor="text1"/>
        </w:rPr>
        <w:footnoteReference w:id="10"/>
      </w:r>
      <w:r w:rsidRPr="006E23BA">
        <w:rPr>
          <w:rFonts w:ascii="Verdana" w:eastAsia="Calibri" w:hAnsi="Verdana"/>
          <w:color w:val="000000" w:themeColor="text1"/>
          <w:vertAlign w:val="superscript"/>
        </w:rPr>
        <w:t xml:space="preserve"> </w:t>
      </w:r>
      <w:r w:rsidRPr="00627F02">
        <w:rPr>
          <w:rFonts w:ascii="Verdana" w:eastAsia="Calibri" w:hAnsi="Verdana"/>
          <w:color w:val="000000" w:themeColor="text1"/>
        </w:rPr>
        <w:t xml:space="preserve">y el </w:t>
      </w:r>
      <w:r>
        <w:rPr>
          <w:rFonts w:ascii="Verdana" w:eastAsia="Calibri" w:hAnsi="Verdana"/>
          <w:color w:val="000000" w:themeColor="text1"/>
        </w:rPr>
        <w:t>D</w:t>
      </w:r>
      <w:r w:rsidRPr="006E23BA">
        <w:rPr>
          <w:rFonts w:ascii="Verdana" w:eastAsia="Calibri" w:hAnsi="Verdana"/>
          <w:color w:val="000000" w:themeColor="text1"/>
        </w:rPr>
        <w:t>ecreto 2388 de 1979</w:t>
      </w:r>
      <w:r>
        <w:rPr>
          <w:rFonts w:ascii="Verdana" w:eastAsia="Calibri" w:hAnsi="Verdana"/>
          <w:color w:val="000000" w:themeColor="text1"/>
        </w:rPr>
        <w:t xml:space="preserve"> compilado por el Decreto 1084 de 2015, </w:t>
      </w:r>
      <w:r w:rsidRPr="006E23BA">
        <w:rPr>
          <w:rFonts w:ascii="Verdana" w:eastAsia="Calibri" w:hAnsi="Verdana"/>
          <w:color w:val="000000" w:themeColor="text1"/>
        </w:rPr>
        <w:t>“</w:t>
      </w:r>
      <w:r w:rsidRPr="006E23BA">
        <w:rPr>
          <w:rFonts w:ascii="Verdana" w:eastAsia="Calibri" w:hAnsi="Verdana"/>
          <w:bCs/>
          <w:color w:val="000000" w:themeColor="text1"/>
        </w:rPr>
        <w:t>por medio del cual se expide el Decreto Único Reglamentario del Sector de Inclusión Social y Reconciliación”</w:t>
      </w:r>
      <w:r w:rsidRPr="006E23BA">
        <w:rPr>
          <w:rStyle w:val="Refdenotaalpie"/>
          <w:rFonts w:ascii="Verdana" w:eastAsia="Calibri" w:hAnsi="Verdana"/>
          <w:color w:val="000000" w:themeColor="text1"/>
        </w:rPr>
        <w:footnoteReference w:id="11"/>
      </w:r>
      <w:r w:rsidRPr="006E23BA">
        <w:rPr>
          <w:rFonts w:ascii="Verdana" w:eastAsia="Calibri" w:hAnsi="Verdana"/>
          <w:color w:val="000000" w:themeColor="text1"/>
        </w:rPr>
        <w:t>.</w:t>
      </w:r>
      <w:r>
        <w:rPr>
          <w:rFonts w:ascii="Verdana" w:eastAsia="Calibri" w:hAnsi="Verdana"/>
          <w:color w:val="000000" w:themeColor="text1"/>
        </w:rPr>
        <w:t xml:space="preserve"> </w:t>
      </w:r>
      <w:r w:rsidRPr="002C173D">
        <w:rPr>
          <w:rFonts w:ascii="Verdana" w:eastAsia="Calibri" w:hAnsi="Verdana"/>
          <w:color w:val="000000" w:themeColor="text1"/>
        </w:rPr>
        <w:t xml:space="preserve">En esta línea, se trata de una clase de contrato atípico que busca que el ICBF como </w:t>
      </w:r>
      <w:r w:rsidRPr="002C173D">
        <w:rPr>
          <w:rFonts w:ascii="Verdana" w:eastAsia="Calibri" w:hAnsi="Verdana"/>
          <w:color w:val="000000" w:themeColor="text1"/>
        </w:rPr>
        <w:lastRenderedPageBreak/>
        <w:t xml:space="preserve">establecimiento público del orden nacional, en virtud de sus funciones, suscriba </w:t>
      </w:r>
      <w:r>
        <w:rPr>
          <w:rFonts w:ascii="Verdana" w:eastAsia="Calibri" w:hAnsi="Verdana"/>
          <w:color w:val="000000" w:themeColor="text1"/>
        </w:rPr>
        <w:t>negocios jurídicos</w:t>
      </w:r>
      <w:r w:rsidRPr="002C173D">
        <w:rPr>
          <w:rFonts w:ascii="Verdana" w:eastAsia="Calibri" w:hAnsi="Verdana"/>
          <w:color w:val="000000" w:themeColor="text1"/>
        </w:rPr>
        <w:t xml:space="preserve"> dirigid</w:t>
      </w:r>
      <w:r>
        <w:rPr>
          <w:rFonts w:ascii="Verdana" w:eastAsia="Calibri" w:hAnsi="Verdana"/>
          <w:color w:val="000000" w:themeColor="text1"/>
        </w:rPr>
        <w:t>os</w:t>
      </w:r>
      <w:r w:rsidRPr="002C173D">
        <w:rPr>
          <w:rFonts w:ascii="Verdana" w:eastAsia="Calibri" w:hAnsi="Verdana"/>
          <w:color w:val="000000" w:themeColor="text1"/>
        </w:rPr>
        <w:t xml:space="preserve"> a la atención a la integración y realización armónica de la familia, así como a la protección efectiva de la niñez y la adolescencia</w:t>
      </w:r>
      <w:r w:rsidRPr="006E23BA">
        <w:rPr>
          <w:rFonts w:ascii="Verdana" w:eastAsia="Calibri" w:hAnsi="Verdana"/>
          <w:color w:val="000000" w:themeColor="text1"/>
        </w:rPr>
        <w:t>.</w:t>
      </w:r>
    </w:p>
    <w:p w14:paraId="7AE6CF18" w14:textId="77777777" w:rsidR="00EC2023" w:rsidRDefault="00EC2023" w:rsidP="00EC2023">
      <w:pPr>
        <w:spacing w:before="120" w:after="120" w:line="276" w:lineRule="auto"/>
        <w:ind w:firstLine="709"/>
        <w:jc w:val="both"/>
        <w:rPr>
          <w:rFonts w:ascii="Verdana" w:hAnsi="Verdana"/>
        </w:rPr>
      </w:pPr>
      <w:r>
        <w:rPr>
          <w:rFonts w:ascii="Verdana" w:hAnsi="Verdana"/>
        </w:rPr>
        <w:t xml:space="preserve">De esta manera, este contrato </w:t>
      </w:r>
      <w:r w:rsidRPr="002D25CF">
        <w:rPr>
          <w:rFonts w:ascii="Verdana" w:hAnsi="Verdana"/>
        </w:rPr>
        <w:t>cuenta con una regulación especial en el ámbito del</w:t>
      </w:r>
      <w:r>
        <w:rPr>
          <w:rFonts w:ascii="Verdana" w:hAnsi="Verdana"/>
        </w:rPr>
        <w:t xml:space="preserve"> ICBF</w:t>
      </w:r>
      <w:r w:rsidRPr="002D25CF">
        <w:rPr>
          <w:rFonts w:ascii="Verdana" w:hAnsi="Verdana"/>
        </w:rPr>
        <w:t xml:space="preserve">, que debe analizarse a partir de sus disposiciones específicas. </w:t>
      </w:r>
      <w:r>
        <w:rPr>
          <w:rFonts w:ascii="Verdana" w:hAnsi="Verdana"/>
        </w:rPr>
        <w:t>Por tanto, a juicio de esta Agencia, l</w:t>
      </w:r>
      <w:r w:rsidRPr="002D25CF">
        <w:rPr>
          <w:rFonts w:ascii="Verdana" w:hAnsi="Verdana"/>
        </w:rPr>
        <w:t xml:space="preserve">a participación de una entidad territorial en el Sistema Nacional de Bienestar Familiar o la aplicación de lineamientos técnicos del ICBF no supone, por sí sola, que </w:t>
      </w:r>
      <w:r>
        <w:rPr>
          <w:rFonts w:ascii="Verdana" w:hAnsi="Verdana"/>
        </w:rPr>
        <w:t xml:space="preserve">se </w:t>
      </w:r>
      <w:r w:rsidRPr="002D25CF">
        <w:rPr>
          <w:rFonts w:ascii="Verdana" w:hAnsi="Verdana"/>
        </w:rPr>
        <w:t>traslad</w:t>
      </w:r>
      <w:r>
        <w:rPr>
          <w:rFonts w:ascii="Verdana" w:hAnsi="Verdana"/>
        </w:rPr>
        <w:t>e</w:t>
      </w:r>
      <w:r w:rsidRPr="002D25CF">
        <w:rPr>
          <w:rFonts w:ascii="Verdana" w:hAnsi="Verdana"/>
        </w:rPr>
        <w:t xml:space="preserve"> automáticamente a sus contratos el régimen especial del </w:t>
      </w:r>
      <w:r>
        <w:rPr>
          <w:rFonts w:ascii="Verdana" w:hAnsi="Verdana"/>
        </w:rPr>
        <w:t>ICBF</w:t>
      </w:r>
      <w:r w:rsidRPr="002D25CF">
        <w:rPr>
          <w:rFonts w:ascii="Verdana" w:hAnsi="Verdana"/>
        </w:rPr>
        <w:t>. Por tanto, la utilización de esta figura debe sustentarse en el marco normativo aplicable a la entidad contratante y en la naturaleza del vínculo que se pretende establecer.</w:t>
      </w:r>
      <w:r>
        <w:rPr>
          <w:rFonts w:ascii="Verdana" w:hAnsi="Verdana"/>
        </w:rPr>
        <w:t xml:space="preserve"> </w:t>
      </w:r>
    </w:p>
    <w:p w14:paraId="03A3CBED" w14:textId="77777777" w:rsidR="00EC2023" w:rsidRDefault="00EC2023" w:rsidP="00EC2023">
      <w:pPr>
        <w:spacing w:before="120" w:after="120" w:line="276" w:lineRule="auto"/>
        <w:ind w:firstLine="709"/>
        <w:jc w:val="both"/>
        <w:rPr>
          <w:rFonts w:ascii="Verdana" w:hAnsi="Verdana"/>
        </w:rPr>
      </w:pPr>
      <w:r>
        <w:rPr>
          <w:rFonts w:ascii="Verdana" w:hAnsi="Verdana"/>
        </w:rPr>
        <w:t xml:space="preserve">Así, aunque en el marco de la </w:t>
      </w:r>
      <w:r w:rsidRPr="004B65B2">
        <w:rPr>
          <w:rFonts w:ascii="Verdana" w:hAnsi="Verdana"/>
        </w:rPr>
        <w:t>Guía Operativa de la Modalidad Hogar de Paso</w:t>
      </w:r>
      <w:r>
        <w:rPr>
          <w:rFonts w:ascii="Verdana" w:hAnsi="Verdana"/>
        </w:rPr>
        <w:t xml:space="preserve"> expedida por el ICBF se hace referencia a la autonomía de la entidad territorial para determinar el </w:t>
      </w:r>
      <w:r w:rsidRPr="00A114A3">
        <w:rPr>
          <w:rFonts w:ascii="Verdana" w:hAnsi="Verdana"/>
          <w:i/>
          <w:iCs/>
        </w:rPr>
        <w:t>tipo de contrato de aporte</w:t>
      </w:r>
      <w:r>
        <w:rPr>
          <w:rFonts w:ascii="Verdana" w:hAnsi="Verdana"/>
        </w:rPr>
        <w:t xml:space="preserve">, </w:t>
      </w:r>
      <w:r w:rsidRPr="00ED1FCE">
        <w:rPr>
          <w:rFonts w:ascii="Verdana" w:hAnsi="Verdana"/>
        </w:rPr>
        <w:t>esta orientación no implica que dichas entidades adquieran automáticamente la misma posición jurídica del ICBF ni que les resulte aplicable, por ese solo hecho, la totalidad del régimen especial de contratación previsto para este Instituto. La entidad territorial deberá establecer el fundamento jurídico de la figura que pretende utilizar y determinar las normas aplicables de acuerdo con sus competencias, el objeto contractual y las obligaciones que se acuerden.</w:t>
      </w:r>
      <w:r>
        <w:rPr>
          <w:rFonts w:ascii="Verdana" w:hAnsi="Verdana"/>
        </w:rPr>
        <w:t xml:space="preserve"> </w:t>
      </w:r>
      <w:r w:rsidRPr="00D5137B">
        <w:rPr>
          <w:rFonts w:ascii="Verdana" w:hAnsi="Verdana"/>
          <w:b/>
          <w:bCs/>
        </w:rPr>
        <w:t>(Respuesta pregunta 3)</w:t>
      </w:r>
    </w:p>
    <w:p w14:paraId="3DD2EE7B" w14:textId="77777777" w:rsidR="00EC2023" w:rsidRPr="00D5137B" w:rsidRDefault="00EC2023" w:rsidP="00EC2023">
      <w:pPr>
        <w:spacing w:before="120" w:after="120" w:line="276" w:lineRule="auto"/>
        <w:ind w:firstLine="709"/>
        <w:jc w:val="both"/>
        <w:rPr>
          <w:rFonts w:ascii="Verdana" w:hAnsi="Verdana"/>
        </w:rPr>
      </w:pPr>
      <w:r>
        <w:rPr>
          <w:rFonts w:ascii="Verdana" w:hAnsi="Verdana"/>
        </w:rPr>
        <w:t xml:space="preserve">En cuanto a la celebración de convenios o contratos interadministrativos, se precisa que </w:t>
      </w:r>
      <w:r>
        <w:rPr>
          <w:rFonts w:ascii="Verdana" w:eastAsia="Calibri" w:hAnsi="Verdana" w:cs="Arial"/>
          <w:bCs/>
          <w:color w:val="000000" w:themeColor="text1"/>
          <w:lang w:eastAsia="es-ES_tradnl" w:bidi="es-ES"/>
        </w:rPr>
        <w:t>s</w:t>
      </w:r>
      <w:r w:rsidRPr="00214793">
        <w:rPr>
          <w:rFonts w:ascii="Verdana" w:eastAsia="Calibri" w:hAnsi="Verdana" w:cs="Arial"/>
          <w:bCs/>
          <w:color w:val="000000" w:themeColor="text1"/>
          <w:lang w:eastAsia="es-ES_tradnl" w:bidi="es-ES"/>
        </w:rPr>
        <w:t>i bien el Estatuto General de Contratación de la Administración Pública hace referencia de manera expresa al contrato interadministrativo o, en términos generales, a los interadministrativos y no al convenio,</w:t>
      </w:r>
      <w:r w:rsidRPr="00214793">
        <w:rPr>
          <w:rFonts w:ascii="Verdana" w:eastAsia="Calibri" w:hAnsi="Verdana" w:cs="Arial"/>
          <w:color w:val="000000" w:themeColor="text1"/>
          <w:lang w:val="es-ES_tradnl"/>
        </w:rPr>
        <w:t xml:space="preserve"> tanto jurisprudencial como doctrinariamente, se han hecho diferenciaciones conceptuales entre </w:t>
      </w:r>
      <w:r w:rsidRPr="00214793">
        <w:rPr>
          <w:rFonts w:ascii="Verdana" w:hAnsi="Verdana" w:cs="Arial"/>
          <w:bCs/>
          <w:color w:val="000000" w:themeColor="text1"/>
          <w:szCs w:val="24"/>
          <w:lang w:eastAsia="es-ES_tradnl" w:bidi="es-ES"/>
        </w:rPr>
        <w:t xml:space="preserve">los contratos interadministrativos y los convenios interadministrativos de que trata el artículo 95 de la Ley 489 de 1998, que para efectos de la consulta planteada resultan determinantes. </w:t>
      </w:r>
    </w:p>
    <w:p w14:paraId="6013C50A" w14:textId="77777777" w:rsidR="00EC2023" w:rsidRPr="00214793" w:rsidRDefault="00EC2023" w:rsidP="00EC2023">
      <w:pPr>
        <w:snapToGrid w:val="0"/>
        <w:spacing w:before="120" w:line="276" w:lineRule="auto"/>
        <w:ind w:firstLine="601"/>
        <w:jc w:val="both"/>
        <w:rPr>
          <w:rFonts w:ascii="Verdana" w:eastAsia="Calibri" w:hAnsi="Verdana" w:cs="Arial"/>
          <w:bCs/>
          <w:color w:val="000000" w:themeColor="text1"/>
          <w:lang w:eastAsia="es-ES_tradnl" w:bidi="es-ES"/>
        </w:rPr>
      </w:pPr>
      <w:r w:rsidRPr="00214793">
        <w:rPr>
          <w:rFonts w:ascii="Verdana" w:hAnsi="Verdana" w:cs="Arial"/>
          <w:bCs/>
          <w:color w:val="000000" w:themeColor="text1"/>
          <w:szCs w:val="24"/>
          <w:lang w:eastAsia="es-ES_tradnl" w:bidi="es-ES"/>
        </w:rPr>
        <w:t xml:space="preserve">En este sentido, la jurisprudencia del Consejo de Estado ha resaltado que aunque </w:t>
      </w:r>
      <w:r w:rsidRPr="00214793">
        <w:rPr>
          <w:rFonts w:ascii="Verdana" w:eastAsia="Calibri" w:hAnsi="Verdana" w:cs="Arial"/>
          <w:bCs/>
          <w:color w:val="000000" w:themeColor="text1"/>
          <w:lang w:eastAsia="es-ES_tradnl" w:bidi="es-ES"/>
        </w:rPr>
        <w:t xml:space="preserve">estas tienen un tronco común, se diferencian en su naturaleza y finalidad en la medida en que los contratos estatales –en general– comportan obligaciones de contenido patrimonial que se traducen en intereses contrapuestos entre las partes pues implican un gravamen a cambio de un beneficio en una relación de carácter conmutativo, mientras que los convenios interadministrativos </w:t>
      </w:r>
      <w:r w:rsidRPr="00214793">
        <w:rPr>
          <w:rFonts w:ascii="Verdana" w:eastAsia="Calibri" w:hAnsi="Verdana" w:cs="Arial"/>
          <w:bCs/>
          <w:color w:val="000000" w:themeColor="text1"/>
          <w:lang w:eastAsia="es-ES_tradnl" w:bidi="es-ES"/>
        </w:rPr>
        <w:lastRenderedPageBreak/>
        <w:t xml:space="preserve">involucran la ejecución de actividades en función de un interés común para las partes; en esencia se pretende el cumplimiento de fines coincidentes entre quienes lo ejecutan. </w:t>
      </w:r>
    </w:p>
    <w:p w14:paraId="717B0119" w14:textId="77777777" w:rsidR="00EC2023" w:rsidRDefault="00EC2023" w:rsidP="00EC2023">
      <w:pPr>
        <w:spacing w:before="120" w:after="120" w:line="276" w:lineRule="auto"/>
        <w:ind w:firstLine="709"/>
        <w:jc w:val="both"/>
        <w:rPr>
          <w:rFonts w:ascii="Verdana" w:eastAsia="Calibri" w:hAnsi="Verdana" w:cs="Arial"/>
          <w:bCs/>
          <w:color w:val="000000" w:themeColor="text1"/>
          <w:lang w:eastAsia="es-ES_tradnl" w:bidi="es-ES"/>
        </w:rPr>
      </w:pPr>
      <w:r w:rsidRPr="00214793">
        <w:rPr>
          <w:rFonts w:ascii="Verdana" w:eastAsia="Calibri" w:hAnsi="Verdana" w:cs="Arial"/>
          <w:bCs/>
          <w:color w:val="000000" w:themeColor="text1"/>
          <w:lang w:eastAsia="es-ES_tradnl" w:bidi="es-ES"/>
        </w:rPr>
        <w:t>Mientras que en el contrato interadministrativo las finalidades de las partes divergen, en el convenio convergen y cooperan en función del cumplimiento eficiente de un propósito estatal común superior. En esa línea, una interpretación sistemática de las leyes 80 de 1993, 1150 de 2007 y 1474 de 2011 invitaría a considerar el contrato interadministrativo como una relación jurídica patrimonial, onerosa y conmutativa, en la que existen unas exigencias y restricciones normativas adicionales, de manera que, en efecto, dista de la naturaleza y esencia del convenio interadministrativo</w:t>
      </w:r>
      <w:r>
        <w:rPr>
          <w:rFonts w:ascii="Verdana" w:eastAsia="Calibri" w:hAnsi="Verdana" w:cs="Arial"/>
          <w:bCs/>
          <w:color w:val="000000" w:themeColor="text1"/>
          <w:lang w:eastAsia="es-ES_tradnl" w:bidi="es-ES"/>
        </w:rPr>
        <w:t xml:space="preserve">. </w:t>
      </w:r>
    </w:p>
    <w:p w14:paraId="16E60E93" w14:textId="77777777" w:rsidR="00EC2023" w:rsidRDefault="00EC2023" w:rsidP="00EC2023">
      <w:pPr>
        <w:snapToGrid w:val="0"/>
        <w:spacing w:after="120" w:line="276" w:lineRule="auto"/>
        <w:ind w:firstLine="709"/>
        <w:jc w:val="both"/>
        <w:rPr>
          <w:rFonts w:ascii="Verdana" w:eastAsia="Calibri" w:hAnsi="Verdana" w:cs="Arial"/>
          <w:bCs/>
          <w:color w:val="000000" w:themeColor="text1"/>
          <w:lang w:eastAsia="es-ES_tradnl" w:bidi="es-ES"/>
        </w:rPr>
      </w:pPr>
      <w:r>
        <w:rPr>
          <w:rFonts w:ascii="Verdana" w:eastAsia="Calibri" w:hAnsi="Verdana" w:cs="Arial"/>
          <w:bCs/>
          <w:color w:val="000000" w:themeColor="text1"/>
          <w:lang w:eastAsia="es-ES_tradnl" w:bidi="es-ES"/>
        </w:rPr>
        <w:t xml:space="preserve">De esta manera, </w:t>
      </w:r>
      <w:r w:rsidRPr="00214793">
        <w:rPr>
          <w:rFonts w:ascii="Verdana" w:eastAsia="Calibri" w:hAnsi="Verdana" w:cs="Arial"/>
          <w:bCs/>
          <w:color w:val="000000" w:themeColor="text1"/>
          <w:lang w:eastAsia="es-ES_tradnl" w:bidi="es-ES"/>
        </w:rPr>
        <w:t xml:space="preserve">si bien tanto los contratos como convenios interadministrativos comparten características comunes, entre ellas que ambos se celebran entre entidades públicas, difieren en cuanto a ciertas características esenciales, según lo ha venido señalando el Consejo de Estado. Así, mientras que el contrato interadministrativo se caracteriza por su naturaleza onerosa, patrimonial y se conforma por intereses básicamente contrapuestos, los convenios interadministrativos,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 </w:t>
      </w:r>
    </w:p>
    <w:p w14:paraId="12C9E5DC" w14:textId="77777777" w:rsidR="00EC2023" w:rsidRDefault="00EC2023" w:rsidP="00EC2023">
      <w:pPr>
        <w:spacing w:before="120" w:after="120" w:line="276" w:lineRule="auto"/>
        <w:ind w:firstLine="709"/>
        <w:jc w:val="both"/>
        <w:rPr>
          <w:rFonts w:ascii="Verdana" w:hAnsi="Verdana" w:cs="Arial"/>
        </w:rPr>
      </w:pPr>
      <w:r w:rsidRPr="00214793">
        <w:rPr>
          <w:rFonts w:ascii="Verdana" w:hAnsi="Verdana" w:cs="Arial"/>
          <w:iCs/>
          <w:lang w:eastAsia="es-ES_tradnl"/>
        </w:rPr>
        <w:t>Al respecto, se precisa que</w:t>
      </w:r>
      <w:r w:rsidRPr="00214793">
        <w:rPr>
          <w:rFonts w:ascii="Verdana" w:hAnsi="Verdana" w:cs="Arial"/>
        </w:rPr>
        <w:t>, en relación con la modalidad de selección aplicable a la celebración de contratos interadministrativos</w:t>
      </w:r>
      <w:r>
        <w:rPr>
          <w:rFonts w:ascii="Verdana" w:hAnsi="Verdana" w:cs="Arial"/>
        </w:rPr>
        <w:t>,</w:t>
      </w:r>
      <w:r w:rsidRPr="00CE595E">
        <w:rPr>
          <w:rFonts w:ascii="Verdana" w:hAnsi="Verdana" w:cs="Arial"/>
        </w:rPr>
        <w:t xml:space="preserve"> </w:t>
      </w:r>
      <w:r>
        <w:rPr>
          <w:rFonts w:ascii="Verdana" w:hAnsi="Verdana" w:cs="Arial"/>
        </w:rPr>
        <w:t xml:space="preserve">el </w:t>
      </w:r>
      <w:r w:rsidRPr="00214793">
        <w:rPr>
          <w:rFonts w:ascii="Verdana" w:hAnsi="Verdana" w:cs="Arial"/>
        </w:rPr>
        <w:t>literal c)</w:t>
      </w:r>
      <w:r>
        <w:rPr>
          <w:rFonts w:ascii="Verdana" w:hAnsi="Verdana" w:cs="Arial"/>
        </w:rPr>
        <w:t xml:space="preserve"> del</w:t>
      </w:r>
      <w:r w:rsidRPr="00CE595E">
        <w:rPr>
          <w:rFonts w:ascii="Verdana" w:hAnsi="Verdana" w:cs="Arial"/>
        </w:rPr>
        <w:t xml:space="preserve"> </w:t>
      </w:r>
      <w:r w:rsidRPr="00214793">
        <w:rPr>
          <w:rFonts w:ascii="Verdana" w:hAnsi="Verdana" w:cs="Arial"/>
        </w:rPr>
        <w:t>numeral 4</w:t>
      </w:r>
      <w:r>
        <w:rPr>
          <w:rFonts w:ascii="Verdana" w:hAnsi="Verdana" w:cs="Arial"/>
        </w:rPr>
        <w:t xml:space="preserve"> d</w:t>
      </w:r>
      <w:r w:rsidRPr="00214793">
        <w:rPr>
          <w:rFonts w:ascii="Verdana" w:hAnsi="Verdana" w:cs="Arial"/>
        </w:rPr>
        <w:t>el artículo 2</w:t>
      </w:r>
      <w:r>
        <w:rPr>
          <w:rFonts w:ascii="Verdana" w:hAnsi="Verdana" w:cs="Arial"/>
        </w:rPr>
        <w:t xml:space="preserve"> de </w:t>
      </w:r>
      <w:r w:rsidRPr="00214793">
        <w:rPr>
          <w:rFonts w:ascii="Verdana" w:hAnsi="Verdana" w:cs="Arial"/>
        </w:rPr>
        <w:t>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w:t>
      </w:r>
      <w:r>
        <w:rPr>
          <w:rFonts w:ascii="Verdana" w:hAnsi="Verdana" w:cs="Arial"/>
        </w:rPr>
        <w:t xml:space="preserve">. </w:t>
      </w:r>
    </w:p>
    <w:p w14:paraId="6683F532" w14:textId="77777777" w:rsidR="00EC2023" w:rsidRDefault="00EC2023" w:rsidP="00EC2023">
      <w:pPr>
        <w:spacing w:before="120" w:after="120" w:line="276" w:lineRule="auto"/>
        <w:ind w:firstLine="709"/>
        <w:jc w:val="both"/>
        <w:rPr>
          <w:rFonts w:ascii="Verdana" w:hAnsi="Verdana" w:cs="Arial"/>
        </w:rPr>
      </w:pPr>
      <w:r>
        <w:rPr>
          <w:rFonts w:ascii="Verdana" w:hAnsi="Verdana" w:cs="Arial"/>
        </w:rPr>
        <w:t xml:space="preserve">De esta manera, si la entidad territorial contempla la celebración de un contrato interadministrativo para </w:t>
      </w:r>
      <w:r w:rsidRPr="00713230">
        <w:rPr>
          <w:rFonts w:ascii="Verdana" w:hAnsi="Verdana"/>
        </w:rPr>
        <w:t>desarroll</w:t>
      </w:r>
      <w:r>
        <w:rPr>
          <w:rFonts w:ascii="Verdana" w:hAnsi="Verdana"/>
        </w:rPr>
        <w:t>ar</w:t>
      </w:r>
      <w:r w:rsidRPr="00713230">
        <w:rPr>
          <w:rFonts w:ascii="Verdana" w:hAnsi="Verdana"/>
        </w:rPr>
        <w:t xml:space="preserve"> el Servicio Público de Bienestar Familiar</w:t>
      </w:r>
      <w:r>
        <w:rPr>
          <w:rFonts w:ascii="Verdana" w:hAnsi="Verdana"/>
        </w:rPr>
        <w:t xml:space="preserve"> de red de hogares de paso, </w:t>
      </w:r>
      <w:r w:rsidRPr="00214793">
        <w:rPr>
          <w:rFonts w:ascii="Verdana" w:hAnsi="Verdana" w:cs="Arial"/>
        </w:rPr>
        <w:t>las obligaciones derivadas de</w:t>
      </w:r>
      <w:r>
        <w:rPr>
          <w:rFonts w:ascii="Verdana" w:hAnsi="Verdana" w:cs="Arial"/>
        </w:rPr>
        <w:t xml:space="preserve"> este deben guardar </w:t>
      </w:r>
      <w:r w:rsidRPr="00214793">
        <w:rPr>
          <w:rFonts w:ascii="Verdana" w:hAnsi="Verdana" w:cs="Arial"/>
        </w:rPr>
        <w:t>relación con el objeto de la entidad ejecutora</w:t>
      </w:r>
      <w:r>
        <w:rPr>
          <w:rFonts w:ascii="Verdana" w:hAnsi="Verdana" w:cs="Arial"/>
        </w:rPr>
        <w:t>. Así mismo, como lo dispone el inciso 3 del</w:t>
      </w:r>
      <w:r w:rsidRPr="00CE595E">
        <w:rPr>
          <w:rFonts w:ascii="Verdana" w:hAnsi="Verdana" w:cs="Arial"/>
        </w:rPr>
        <w:t xml:space="preserve"> </w:t>
      </w:r>
      <w:r w:rsidRPr="00214793">
        <w:rPr>
          <w:rFonts w:ascii="Verdana" w:hAnsi="Verdana" w:cs="Arial"/>
        </w:rPr>
        <w:t>literal c)</w:t>
      </w:r>
      <w:r>
        <w:rPr>
          <w:rFonts w:ascii="Verdana" w:hAnsi="Verdana" w:cs="Arial"/>
        </w:rPr>
        <w:t xml:space="preserve"> del</w:t>
      </w:r>
      <w:r w:rsidRPr="00CE595E">
        <w:rPr>
          <w:rFonts w:ascii="Verdana" w:hAnsi="Verdana" w:cs="Arial"/>
        </w:rPr>
        <w:t xml:space="preserve"> </w:t>
      </w:r>
      <w:r w:rsidRPr="00214793">
        <w:rPr>
          <w:rFonts w:ascii="Verdana" w:hAnsi="Verdana" w:cs="Arial"/>
        </w:rPr>
        <w:t>numeral 4</w:t>
      </w:r>
      <w:r>
        <w:rPr>
          <w:rFonts w:ascii="Verdana" w:hAnsi="Verdana" w:cs="Arial"/>
        </w:rPr>
        <w:t xml:space="preserve"> d</w:t>
      </w:r>
      <w:r w:rsidRPr="00214793">
        <w:rPr>
          <w:rFonts w:ascii="Verdana" w:hAnsi="Verdana" w:cs="Arial"/>
        </w:rPr>
        <w:t>el artículo 2</w:t>
      </w:r>
      <w:r>
        <w:rPr>
          <w:rFonts w:ascii="Verdana" w:hAnsi="Verdana" w:cs="Arial"/>
        </w:rPr>
        <w:t xml:space="preserve"> de </w:t>
      </w:r>
      <w:r w:rsidRPr="00214793">
        <w:rPr>
          <w:rFonts w:ascii="Verdana" w:hAnsi="Verdana" w:cs="Arial"/>
        </w:rPr>
        <w:t xml:space="preserve">la Ley 1150 de </w:t>
      </w:r>
      <w:r w:rsidRPr="00214793">
        <w:rPr>
          <w:rFonts w:ascii="Verdana" w:hAnsi="Verdana" w:cs="Arial"/>
        </w:rPr>
        <w:lastRenderedPageBreak/>
        <w:t>2007</w:t>
      </w:r>
      <w:r>
        <w:rPr>
          <w:rFonts w:ascii="Verdana" w:hAnsi="Verdana" w:cs="Arial"/>
        </w:rPr>
        <w:t xml:space="preserve"> “E</w:t>
      </w:r>
      <w:r w:rsidRPr="00833B4F">
        <w:rPr>
          <w:rFonts w:ascii="Verdana" w:hAnsi="Verdana" w:cs="Arial"/>
        </w:rPr>
        <w:t xml:space="preserve">n aquellos eventos en que el régimen aplicable a la contratación de la entidad ejecutora no sea el de la Ley </w:t>
      </w:r>
      <w:hyperlink r:id="rId12" w:anchor="1" w:history="1">
        <w:r w:rsidRPr="00833B4F">
          <w:rPr>
            <w:rStyle w:val="Hipervnculo"/>
            <w:rFonts w:ascii="Verdana" w:hAnsi="Verdana" w:cs="Arial"/>
            <w:color w:val="000000" w:themeColor="text1"/>
            <w:u w:val="none"/>
          </w:rPr>
          <w:t>80</w:t>
        </w:r>
      </w:hyperlink>
      <w:r w:rsidRPr="00833B4F">
        <w:rPr>
          <w:rFonts w:ascii="Verdana" w:hAnsi="Verdana" w:cs="Arial"/>
          <w:color w:val="000000" w:themeColor="text1"/>
        </w:rPr>
        <w:t xml:space="preserve"> </w:t>
      </w:r>
      <w:r w:rsidRPr="00833B4F">
        <w:rPr>
          <w:rFonts w:ascii="Verdana" w:hAnsi="Verdana" w:cs="Arial"/>
        </w:rPr>
        <w:t>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r>
        <w:rPr>
          <w:rFonts w:ascii="Verdana" w:hAnsi="Verdana" w:cs="Arial"/>
        </w:rPr>
        <w:t>”</w:t>
      </w:r>
      <w:r w:rsidRPr="00833B4F">
        <w:rPr>
          <w:rFonts w:ascii="Verdana" w:hAnsi="Verdana" w:cs="Arial"/>
        </w:rPr>
        <w:t>.</w:t>
      </w:r>
      <w:r>
        <w:rPr>
          <w:rFonts w:ascii="Verdana" w:hAnsi="Verdana" w:cs="Arial"/>
        </w:rPr>
        <w:t xml:space="preserve"> </w:t>
      </w:r>
      <w:r w:rsidRPr="00DC13D8">
        <w:rPr>
          <w:rFonts w:ascii="Verdana" w:hAnsi="Verdana" w:cs="Arial"/>
          <w:b/>
          <w:bCs/>
        </w:rPr>
        <w:t>(Respuesta a pregunta 8)</w:t>
      </w:r>
    </w:p>
    <w:p w14:paraId="6F627BEB" w14:textId="77777777" w:rsidR="00EC2023" w:rsidRDefault="00EC2023" w:rsidP="00EC2023">
      <w:pPr>
        <w:spacing w:before="120" w:after="120" w:line="276" w:lineRule="auto"/>
        <w:ind w:firstLine="709"/>
        <w:jc w:val="both"/>
        <w:rPr>
          <w:rFonts w:ascii="Verdana" w:hAnsi="Verdana"/>
        </w:rPr>
      </w:pPr>
      <w:r>
        <w:rPr>
          <w:rFonts w:ascii="Verdana" w:hAnsi="Verdana"/>
        </w:rPr>
        <w:t>Por su parte, se precisa que l</w:t>
      </w:r>
      <w:r w:rsidRPr="001F3A18">
        <w:rPr>
          <w:rFonts w:ascii="Verdana" w:hAnsi="Verdana"/>
        </w:rPr>
        <w:t>a ausencia de familias disponibles, la falta de oferentes en un proceso o la declaratoria de desierta constituyen situaciones jurídicamente diferenciables y deben atenderse mediante los mecanismos previstos en el ordenamiento. La urgencia manifiesta, regulada en los artículos 42 y 43 de la Ley 80 de 1993, requiere la configuración de sus presupuestos legales y la expedición del acto administrativo motivado correspondiente. La necesidad inmediata de proteger a un niño, niña o adolescente no configura automáticamente esta causal, sin perjuicio del deber de las autoridades competentes de adoptar oportunamente las medidas de protección y de que la entidad territorial adelante las actuaciones contractuales necesarias para garantizar la continuidad del servicio</w:t>
      </w:r>
      <w:r>
        <w:rPr>
          <w:rFonts w:ascii="Verdana" w:hAnsi="Verdana"/>
        </w:rPr>
        <w:t>, dentro del marco legal respectivo</w:t>
      </w:r>
      <w:r w:rsidRPr="001F3A18">
        <w:rPr>
          <w:rFonts w:ascii="Verdana" w:hAnsi="Verdana"/>
        </w:rPr>
        <w:t>.</w:t>
      </w:r>
      <w:r>
        <w:rPr>
          <w:rFonts w:ascii="Verdana" w:hAnsi="Verdana"/>
        </w:rPr>
        <w:t xml:space="preserve"> </w:t>
      </w:r>
      <w:r w:rsidRPr="007912BD">
        <w:rPr>
          <w:rFonts w:ascii="Verdana" w:hAnsi="Verdana"/>
          <w:b/>
          <w:bCs/>
        </w:rPr>
        <w:t>(Respuesta a pregunta 9)</w:t>
      </w:r>
    </w:p>
    <w:p w14:paraId="3038D0C5" w14:textId="77777777" w:rsidR="00EC2023" w:rsidRDefault="00EC2023" w:rsidP="00EC2023">
      <w:pPr>
        <w:spacing w:before="120" w:after="0" w:line="276" w:lineRule="auto"/>
        <w:ind w:firstLine="708"/>
        <w:jc w:val="both"/>
        <w:rPr>
          <w:rFonts w:ascii="Verdana" w:eastAsia="Calibri" w:hAnsi="Verdana"/>
          <w:color w:val="000000" w:themeColor="text1"/>
          <w:lang w:val="es-ES_tradnl"/>
        </w:rPr>
      </w:pPr>
      <w:r>
        <w:rPr>
          <w:rFonts w:ascii="Verdana" w:eastAsia="Calibri" w:hAnsi="Verdana" w:cs="Arial"/>
          <w:bCs/>
        </w:rPr>
        <w:t xml:space="preserve">Bajo estas consideraciones, </w:t>
      </w:r>
      <w:r w:rsidRPr="006C555A">
        <w:rPr>
          <w:rFonts w:ascii="Verdana" w:eastAsia="Calibri" w:hAnsi="Verdana"/>
          <w:color w:val="000000" w:themeColor="text1"/>
          <w:lang w:val="es-ES_tradnl"/>
        </w:rPr>
        <w:t xml:space="preserve">debe precisarse que, es la entidad estatal, después de analizar detalladamente el objeto, y previa justificación de su régimen jurídico, quien debe definir en que tipo contractual se encuadra la actividad a contratar, para lo cual resultan relevantes las consideraciones aquí esbozadas. En ese sentido, determinar el </w:t>
      </w:r>
      <w:r>
        <w:rPr>
          <w:rFonts w:ascii="Verdana" w:eastAsia="Calibri" w:hAnsi="Verdana"/>
          <w:color w:val="000000" w:themeColor="text1"/>
          <w:lang w:val="es-ES_tradnl"/>
        </w:rPr>
        <w:t>tipo de vinculación</w:t>
      </w:r>
      <w:r w:rsidRPr="006C555A">
        <w:rPr>
          <w:rFonts w:ascii="Verdana" w:eastAsia="Calibri" w:hAnsi="Verdana"/>
          <w:color w:val="000000" w:themeColor="text1"/>
          <w:lang w:val="es-ES_tradnl"/>
        </w:rPr>
        <w:t xml:space="preserve">, es un asunto que compete a la correspondiente entidad, labor que además tampoco resulta posible en una valoración </w:t>
      </w:r>
      <w:r w:rsidRPr="006C555A">
        <w:rPr>
          <w:rFonts w:ascii="Verdana" w:eastAsia="Calibri" w:hAnsi="Verdana"/>
          <w:i/>
          <w:iCs/>
          <w:color w:val="000000" w:themeColor="text1"/>
          <w:lang w:val="es-ES_tradnl"/>
        </w:rPr>
        <w:t xml:space="preserve">ex ante </w:t>
      </w:r>
      <w:r w:rsidRPr="006C555A">
        <w:rPr>
          <w:rFonts w:ascii="Verdana" w:eastAsia="Calibri" w:hAnsi="Verdana"/>
          <w:color w:val="000000" w:themeColor="text1"/>
          <w:lang w:val="es-ES_tradnl"/>
        </w:rPr>
        <w:t>realizada en el marco del ejercicio de la función consultiva, sin conocer las particularidades técnicas del objeto contractual. Esto sin perjuicio del análisis jurídico aquí realizado en torno a las categorías contractuales que pudieran ser relevantes para dicho propósito.</w:t>
      </w:r>
    </w:p>
    <w:p w14:paraId="0EADECB6" w14:textId="77777777" w:rsidR="00EC2023" w:rsidRPr="000A5B23" w:rsidRDefault="00EC2023" w:rsidP="00EC2023">
      <w:pPr>
        <w:spacing w:before="120" w:after="0" w:line="276" w:lineRule="auto"/>
        <w:ind w:firstLine="708"/>
        <w:jc w:val="both"/>
        <w:rPr>
          <w:rFonts w:ascii="Verdana" w:eastAsia="Calibri" w:hAnsi="Verdana"/>
          <w:color w:val="000000" w:themeColor="text1"/>
          <w:lang w:val="es-ES_tradnl"/>
        </w:rPr>
      </w:pPr>
      <w:r>
        <w:rPr>
          <w:rFonts w:ascii="Verdana" w:eastAsia="Calibri" w:hAnsi="Verdana"/>
          <w:color w:val="000000" w:themeColor="text1"/>
          <w:lang w:val="es-ES_tradnl"/>
        </w:rPr>
        <w:t>En este contexto, e</w:t>
      </w:r>
      <w:r w:rsidRPr="000A5B23">
        <w:rPr>
          <w:rFonts w:ascii="Verdana" w:eastAsia="Calibri" w:hAnsi="Verdana"/>
          <w:color w:val="000000" w:themeColor="text1"/>
          <w:lang w:val="es-ES_tradnl"/>
        </w:rPr>
        <w:t>n la estructuración del proceso</w:t>
      </w:r>
      <w:r>
        <w:rPr>
          <w:rFonts w:ascii="Verdana" w:eastAsia="Calibri" w:hAnsi="Verdana"/>
          <w:color w:val="000000" w:themeColor="text1"/>
          <w:lang w:val="es-ES_tradnl"/>
        </w:rPr>
        <w:t xml:space="preserve"> que la entidad determine, atendiendo a la modalidad de selección aplicable y al tipo de contrato,</w:t>
      </w:r>
      <w:r w:rsidRPr="000A5B23">
        <w:rPr>
          <w:rFonts w:ascii="Verdana" w:eastAsia="Calibri" w:hAnsi="Verdana"/>
          <w:color w:val="000000" w:themeColor="text1"/>
          <w:lang w:val="es-ES_tradnl"/>
        </w:rPr>
        <w:t xml:space="preserve"> </w:t>
      </w:r>
      <w:r>
        <w:rPr>
          <w:rFonts w:ascii="Verdana" w:eastAsia="Calibri" w:hAnsi="Verdana"/>
          <w:color w:val="000000" w:themeColor="text1"/>
          <w:lang w:val="es-ES_tradnl"/>
        </w:rPr>
        <w:t xml:space="preserve">se </w:t>
      </w:r>
      <w:r w:rsidRPr="000A5B23">
        <w:rPr>
          <w:rFonts w:ascii="Verdana" w:eastAsia="Calibri" w:hAnsi="Verdana"/>
          <w:color w:val="000000" w:themeColor="text1"/>
          <w:lang w:val="es-ES_tradnl"/>
        </w:rPr>
        <w:t xml:space="preserve">deberá elaborar los estudios y documentos previos que permitan identificar la necesidad, determinar el objeto, estimar el presupuesto, analizar el sector, establecer los requisitos habilitantes y asignar los riesgos previsibles. Tales exigencias deberán guardar relación con el objeto y las condiciones de ejecución, ser proporcionales a los riesgos y evitar restricciones injustificadas a la </w:t>
      </w:r>
      <w:r w:rsidRPr="000A5B23">
        <w:rPr>
          <w:rFonts w:ascii="Verdana" w:eastAsia="Calibri" w:hAnsi="Verdana"/>
          <w:color w:val="000000" w:themeColor="text1"/>
          <w:lang w:val="es-ES_tradnl"/>
        </w:rPr>
        <w:lastRenderedPageBreak/>
        <w:t>participación, particularmente cuando se trate de familias acogedoras o de entidades con capacidades operativas limitadas.</w:t>
      </w:r>
      <w:r w:rsidRPr="003E739F">
        <w:rPr>
          <w:rFonts w:ascii="Verdana" w:eastAsia="Calibri" w:hAnsi="Verdana"/>
          <w:color w:val="000000" w:themeColor="text1"/>
          <w:lang w:val="es-ES_tradnl"/>
        </w:rPr>
        <w:t xml:space="preserve"> </w:t>
      </w:r>
      <w:r w:rsidRPr="000A5B23">
        <w:rPr>
          <w:rFonts w:ascii="Verdana" w:eastAsia="Calibri" w:hAnsi="Verdana"/>
          <w:color w:val="000000" w:themeColor="text1"/>
          <w:lang w:val="es-ES_tradnl"/>
        </w:rPr>
        <w:t>La planeación contractual deberá considerar la duración necesaria para atender la necesidad pública, la posibilidad de prórrogas y adiciones dentro de los límites legales, y la procedencia de vigencias futuras cuando corresponda</w:t>
      </w:r>
      <w:r>
        <w:rPr>
          <w:rFonts w:ascii="Verdana" w:eastAsia="Calibri" w:hAnsi="Verdana"/>
          <w:color w:val="000000" w:themeColor="text1"/>
          <w:lang w:val="es-ES_tradnl"/>
        </w:rPr>
        <w:t xml:space="preserve">. </w:t>
      </w:r>
    </w:p>
    <w:p w14:paraId="415EBF1C" w14:textId="77777777" w:rsidR="00EC2023" w:rsidRPr="000A5B23" w:rsidRDefault="00EC2023" w:rsidP="00EC2023">
      <w:pPr>
        <w:spacing w:before="120" w:after="0" w:line="276" w:lineRule="auto"/>
        <w:ind w:firstLine="708"/>
        <w:jc w:val="both"/>
        <w:rPr>
          <w:rFonts w:ascii="Verdana" w:eastAsia="Calibri" w:hAnsi="Verdana"/>
          <w:color w:val="000000" w:themeColor="text1"/>
          <w:lang w:val="es-ES_tradnl"/>
        </w:rPr>
      </w:pPr>
      <w:r w:rsidRPr="000A5B23">
        <w:rPr>
          <w:rFonts w:ascii="Verdana" w:eastAsia="Calibri" w:hAnsi="Verdana"/>
          <w:color w:val="000000" w:themeColor="text1"/>
          <w:lang w:val="es-ES_tradnl"/>
        </w:rPr>
        <w:t xml:space="preserve">La exigencia del Registro Único de Proponentes, de garantías y de experiencia deberá determinarse conforme al régimen jurídico aplicable, </w:t>
      </w:r>
      <w:r>
        <w:rPr>
          <w:rFonts w:ascii="Verdana" w:eastAsia="Calibri" w:hAnsi="Verdana"/>
          <w:color w:val="000000" w:themeColor="text1"/>
          <w:lang w:val="es-ES_tradnl"/>
        </w:rPr>
        <w:t xml:space="preserve">al tipo de contratación, la modalidad de selección, </w:t>
      </w:r>
      <w:r w:rsidRPr="000A5B23">
        <w:rPr>
          <w:rFonts w:ascii="Verdana" w:eastAsia="Calibri" w:hAnsi="Verdana"/>
          <w:color w:val="000000" w:themeColor="text1"/>
          <w:lang w:val="es-ES_tradnl"/>
        </w:rPr>
        <w:t>las excepciones legales y la naturaleza del procedimiento. En los casos en que las garantías no sean obligatorias, la entidad deberá justificar su exigencia o no exigencia en los estudios y documentos previos, de acuerdo con la reglamentación correspondiente.</w:t>
      </w:r>
    </w:p>
    <w:p w14:paraId="6AD66977" w14:textId="77777777" w:rsidR="00EC2023" w:rsidRPr="000A5B23" w:rsidRDefault="00EC2023" w:rsidP="00EC2023">
      <w:pPr>
        <w:spacing w:before="120" w:after="0" w:line="276" w:lineRule="auto"/>
        <w:ind w:firstLine="708"/>
        <w:jc w:val="both"/>
        <w:rPr>
          <w:rFonts w:ascii="Verdana" w:eastAsia="Calibri" w:hAnsi="Verdana"/>
          <w:color w:val="000000" w:themeColor="text1"/>
          <w:lang w:val="es-ES_tradnl"/>
        </w:rPr>
      </w:pPr>
      <w:r>
        <w:rPr>
          <w:rFonts w:ascii="Verdana" w:eastAsia="Calibri" w:hAnsi="Verdana"/>
          <w:color w:val="000000" w:themeColor="text1"/>
          <w:lang w:val="es-ES_tradnl"/>
        </w:rPr>
        <w:t xml:space="preserve">Adicionalmente, en atención a que la entidad es autónoma en celebrar los </w:t>
      </w:r>
      <w:r w:rsidRPr="00FE4B01">
        <w:rPr>
          <w:rFonts w:ascii="Verdana" w:eastAsia="Calibri" w:hAnsi="Verdana"/>
          <w:color w:val="000000" w:themeColor="text1"/>
        </w:rPr>
        <w:t>acuerdos que permitan la autonomía de la voluntad</w:t>
      </w:r>
      <w:r>
        <w:rPr>
          <w:rFonts w:ascii="Verdana" w:eastAsia="Calibri" w:hAnsi="Verdana"/>
          <w:color w:val="000000" w:themeColor="text1"/>
        </w:rPr>
        <w:t xml:space="preserve">, </w:t>
      </w:r>
      <w:r>
        <w:rPr>
          <w:rFonts w:ascii="Verdana" w:eastAsia="Calibri" w:hAnsi="Verdana"/>
          <w:color w:val="000000" w:themeColor="text1"/>
          <w:lang w:val="es-ES_tradnl"/>
        </w:rPr>
        <w:t>l</w:t>
      </w:r>
      <w:r w:rsidRPr="000A5B23">
        <w:rPr>
          <w:rFonts w:ascii="Verdana" w:eastAsia="Calibri" w:hAnsi="Verdana"/>
          <w:color w:val="000000" w:themeColor="text1"/>
          <w:lang w:val="es-ES_tradnl"/>
        </w:rPr>
        <w:t xml:space="preserve">a estructuración </w:t>
      </w:r>
      <w:r>
        <w:rPr>
          <w:rFonts w:ascii="Verdana" w:eastAsia="Calibri" w:hAnsi="Verdana"/>
          <w:color w:val="000000" w:themeColor="text1"/>
          <w:lang w:val="es-ES_tradnl"/>
        </w:rPr>
        <w:t xml:space="preserve">del contrato a celebrar </w:t>
      </w:r>
      <w:r w:rsidRPr="000A5B23">
        <w:rPr>
          <w:rFonts w:ascii="Verdana" w:eastAsia="Calibri" w:hAnsi="Verdana"/>
          <w:color w:val="000000" w:themeColor="text1"/>
          <w:lang w:val="es-ES_tradnl"/>
        </w:rPr>
        <w:t xml:space="preserve">podrá considerar </w:t>
      </w:r>
      <w:r>
        <w:rPr>
          <w:rFonts w:ascii="Verdana" w:eastAsia="Calibri" w:hAnsi="Verdana"/>
          <w:color w:val="000000" w:themeColor="text1"/>
          <w:lang w:val="es-ES_tradnl"/>
        </w:rPr>
        <w:t xml:space="preserve">los </w:t>
      </w:r>
      <w:r w:rsidRPr="000A5B23">
        <w:rPr>
          <w:rFonts w:ascii="Verdana" w:eastAsia="Calibri" w:hAnsi="Verdana"/>
          <w:color w:val="000000" w:themeColor="text1"/>
          <w:lang w:val="es-ES_tradnl"/>
        </w:rPr>
        <w:t xml:space="preserve">esquemas de pago </w:t>
      </w:r>
      <w:r>
        <w:rPr>
          <w:rFonts w:ascii="Verdana" w:eastAsia="Calibri" w:hAnsi="Verdana"/>
          <w:color w:val="000000" w:themeColor="text1"/>
          <w:lang w:val="es-ES_tradnl"/>
        </w:rPr>
        <w:t xml:space="preserve">que considere adecuado, ya sea </w:t>
      </w:r>
      <w:r w:rsidRPr="000A5B23">
        <w:rPr>
          <w:rFonts w:ascii="Verdana" w:eastAsia="Calibri" w:hAnsi="Verdana"/>
          <w:color w:val="000000" w:themeColor="text1"/>
          <w:lang w:val="es-ES_tradnl"/>
        </w:rPr>
        <w:t xml:space="preserve">por disponibilidad efectiva, </w:t>
      </w:r>
      <w:r>
        <w:rPr>
          <w:rFonts w:ascii="Verdana" w:eastAsia="Calibri" w:hAnsi="Verdana"/>
          <w:color w:val="000000" w:themeColor="text1"/>
          <w:lang w:val="es-ES_tradnl"/>
        </w:rPr>
        <w:t xml:space="preserve">por </w:t>
      </w:r>
      <w:r w:rsidRPr="000A5B23">
        <w:rPr>
          <w:rFonts w:ascii="Verdana" w:eastAsia="Calibri" w:hAnsi="Verdana"/>
          <w:color w:val="000000" w:themeColor="text1"/>
          <w:lang w:val="es-ES_tradnl"/>
        </w:rPr>
        <w:t>atención prestada o una combinación de componentes fijos y variables, siempre que su justificación responda a la estructura de costos, las obligaciones contractuales y los riesgos de la operación.</w:t>
      </w:r>
      <w:r>
        <w:rPr>
          <w:rFonts w:ascii="Verdana" w:eastAsia="Calibri" w:hAnsi="Verdana"/>
          <w:color w:val="000000" w:themeColor="text1"/>
          <w:lang w:val="es-ES_tradnl"/>
        </w:rPr>
        <w:t xml:space="preserve"> En este marco, se recomienda que l</w:t>
      </w:r>
      <w:r w:rsidRPr="000A5B23">
        <w:rPr>
          <w:rFonts w:ascii="Verdana" w:eastAsia="Calibri" w:hAnsi="Verdana"/>
          <w:color w:val="000000" w:themeColor="text1"/>
          <w:lang w:val="es-ES_tradnl"/>
        </w:rPr>
        <w:t xml:space="preserve">os documentos del proceso </w:t>
      </w:r>
      <w:r>
        <w:rPr>
          <w:rFonts w:ascii="Verdana" w:eastAsia="Calibri" w:hAnsi="Verdana"/>
          <w:color w:val="000000" w:themeColor="text1"/>
          <w:lang w:val="es-ES_tradnl"/>
        </w:rPr>
        <w:t xml:space="preserve">permitan establecer </w:t>
      </w:r>
      <w:r w:rsidRPr="000A5B23">
        <w:rPr>
          <w:rFonts w:ascii="Verdana" w:eastAsia="Calibri" w:hAnsi="Verdana"/>
          <w:color w:val="000000" w:themeColor="text1"/>
          <w:lang w:val="es-ES_tradnl"/>
        </w:rPr>
        <w:t xml:space="preserve">los indicadores, soportes y mecanismos de verificación </w:t>
      </w:r>
      <w:r>
        <w:rPr>
          <w:rFonts w:ascii="Verdana" w:eastAsia="Calibri" w:hAnsi="Verdana"/>
          <w:color w:val="000000" w:themeColor="text1"/>
          <w:lang w:val="es-ES_tradnl"/>
        </w:rPr>
        <w:t xml:space="preserve">para </w:t>
      </w:r>
      <w:r w:rsidRPr="000A5B23">
        <w:rPr>
          <w:rFonts w:ascii="Verdana" w:eastAsia="Calibri" w:hAnsi="Verdana"/>
          <w:color w:val="000000" w:themeColor="text1"/>
          <w:lang w:val="es-ES_tradnl"/>
        </w:rPr>
        <w:t>acreditar el cumplimiento, diferenciar la disponibilidad de la ocupación efectiva y duplicidad de reconocimientos</w:t>
      </w:r>
      <w:r>
        <w:rPr>
          <w:rFonts w:ascii="Verdana" w:eastAsia="Calibri" w:hAnsi="Verdana"/>
          <w:color w:val="000000" w:themeColor="text1"/>
          <w:lang w:val="es-ES_tradnl"/>
        </w:rPr>
        <w:t xml:space="preserve">. </w:t>
      </w:r>
    </w:p>
    <w:p w14:paraId="3E98E155" w14:textId="77777777" w:rsidR="00EC2023" w:rsidRPr="000A5B23" w:rsidRDefault="00EC2023" w:rsidP="00EC2023">
      <w:pPr>
        <w:spacing w:before="120" w:after="0" w:line="276" w:lineRule="auto"/>
        <w:ind w:firstLine="708"/>
        <w:jc w:val="both"/>
        <w:rPr>
          <w:rFonts w:ascii="Verdana" w:eastAsia="Calibri" w:hAnsi="Verdana"/>
          <w:color w:val="000000" w:themeColor="text1"/>
          <w:lang w:val="es-ES_tradnl"/>
        </w:rPr>
      </w:pPr>
      <w:r>
        <w:rPr>
          <w:rFonts w:ascii="Verdana" w:eastAsia="Calibri" w:hAnsi="Verdana"/>
          <w:color w:val="000000" w:themeColor="text1"/>
          <w:lang w:val="es-ES_tradnl"/>
        </w:rPr>
        <w:t>Así mismo, se recomienda que l</w:t>
      </w:r>
      <w:r w:rsidRPr="000A5B23">
        <w:rPr>
          <w:rFonts w:ascii="Verdana" w:eastAsia="Calibri" w:hAnsi="Verdana"/>
          <w:color w:val="000000" w:themeColor="text1"/>
          <w:lang w:val="es-ES_tradnl"/>
        </w:rPr>
        <w:t xml:space="preserve">os recursos destinados a las familias acogedoras </w:t>
      </w:r>
      <w:r>
        <w:rPr>
          <w:rFonts w:ascii="Verdana" w:eastAsia="Calibri" w:hAnsi="Verdana"/>
          <w:color w:val="000000" w:themeColor="text1"/>
          <w:lang w:val="es-ES_tradnl"/>
        </w:rPr>
        <w:t xml:space="preserve">se clasifiquen de </w:t>
      </w:r>
      <w:r w:rsidRPr="000A5B23">
        <w:rPr>
          <w:rFonts w:ascii="Verdana" w:eastAsia="Calibri" w:hAnsi="Verdana"/>
          <w:color w:val="000000" w:themeColor="text1"/>
          <w:lang w:val="es-ES_tradnl"/>
        </w:rPr>
        <w:t>acuerdo con su finalidad y con la naturaleza jurídica del vínculo. Esta determinación permitirá establecer los instrumentos de formalización, los soportes para su entrega, las obligaciones de rendición de cuentas y los controles aplicables</w:t>
      </w:r>
      <w:r>
        <w:rPr>
          <w:rFonts w:ascii="Verdana" w:eastAsia="Calibri" w:hAnsi="Verdana"/>
          <w:color w:val="000000" w:themeColor="text1"/>
          <w:lang w:val="es-ES_tradnl"/>
        </w:rPr>
        <w:t xml:space="preserve">. </w:t>
      </w:r>
    </w:p>
    <w:p w14:paraId="0A095153" w14:textId="77777777" w:rsidR="00EC2023" w:rsidRDefault="00EC2023" w:rsidP="00EC2023">
      <w:pPr>
        <w:spacing w:before="120" w:after="0" w:line="276" w:lineRule="auto"/>
        <w:ind w:firstLine="708"/>
        <w:jc w:val="both"/>
        <w:rPr>
          <w:rFonts w:ascii="Verdana" w:eastAsia="Calibri" w:hAnsi="Verdana"/>
          <w:color w:val="000000" w:themeColor="text1"/>
          <w:lang w:val="es-ES_tradnl"/>
        </w:rPr>
      </w:pPr>
      <w:r w:rsidRPr="000A5B23">
        <w:rPr>
          <w:rFonts w:ascii="Verdana" w:eastAsia="Calibri" w:hAnsi="Verdana"/>
          <w:color w:val="000000" w:themeColor="text1"/>
          <w:lang w:val="es-ES_tradnl"/>
        </w:rPr>
        <w:t>Los lineamientos técnicos del ICBF, los criterios de idoneidad y las licencias o autorizaciones exigibles deberán incorporarse a la estructuración del servicio en cuanto resulten aplicables</w:t>
      </w:r>
      <w:r>
        <w:rPr>
          <w:rFonts w:ascii="Verdana" w:eastAsia="Calibri" w:hAnsi="Verdana"/>
          <w:color w:val="000000" w:themeColor="text1"/>
          <w:lang w:val="es-ES_tradnl"/>
        </w:rPr>
        <w:t xml:space="preserve"> y conforme a las orientaciones que determine esta entidad</w:t>
      </w:r>
      <w:r w:rsidRPr="000A5B23">
        <w:rPr>
          <w:rFonts w:ascii="Verdana" w:eastAsia="Calibri" w:hAnsi="Verdana"/>
          <w:color w:val="000000" w:themeColor="text1"/>
          <w:lang w:val="es-ES_tradnl"/>
        </w:rPr>
        <w:t xml:space="preserve">. </w:t>
      </w:r>
      <w:r>
        <w:rPr>
          <w:rFonts w:ascii="Verdana" w:eastAsia="Calibri" w:hAnsi="Verdana"/>
          <w:color w:val="000000" w:themeColor="text1"/>
          <w:lang w:val="es-ES_tradnl"/>
        </w:rPr>
        <w:t xml:space="preserve">Así, los </w:t>
      </w:r>
      <w:r w:rsidRPr="000A5B23">
        <w:rPr>
          <w:rFonts w:ascii="Verdana" w:eastAsia="Calibri" w:hAnsi="Verdana"/>
          <w:color w:val="000000" w:themeColor="text1"/>
          <w:lang w:val="es-ES_tradnl"/>
        </w:rPr>
        <w:t>aspectos relacionados con los estándares de atención, la modalidad de protección y las autorizaciones propias del Servicio Público de Bienestar Familiar deberán examinarse conforme a las disposiciones y orientaciones de la autoridad competente.</w:t>
      </w:r>
    </w:p>
    <w:p w14:paraId="22818FA8" w14:textId="77777777" w:rsidR="00EC2023" w:rsidRPr="000A5B23" w:rsidRDefault="00EC2023" w:rsidP="00EC2023">
      <w:pPr>
        <w:spacing w:before="120" w:after="0" w:line="276" w:lineRule="auto"/>
        <w:ind w:firstLine="708"/>
        <w:jc w:val="both"/>
        <w:rPr>
          <w:rFonts w:ascii="Verdana" w:eastAsia="Calibri" w:hAnsi="Verdana"/>
          <w:color w:val="000000" w:themeColor="text1"/>
          <w:lang w:val="es-ES_tradnl"/>
        </w:rPr>
      </w:pPr>
      <w:r w:rsidRPr="000A5B23">
        <w:rPr>
          <w:rFonts w:ascii="Verdana" w:eastAsia="Calibri" w:hAnsi="Verdana"/>
          <w:color w:val="000000" w:themeColor="text1"/>
          <w:lang w:val="es-ES_tradnl"/>
        </w:rPr>
        <w:lastRenderedPageBreak/>
        <w:t>Durante la ejecución, la entidad deberá establecer mecanismos de seguimiento que permitan verificar la disponibilidad efectiva de los hogares, la atención prestada, el cumplimiento de los estándares técnicos y la correspondencia entre los servicios acreditados y los pagos efectuados. La supervisión contractual deberá desarrollarse conforme a las obligaciones asignadas y a las disposiciones aplicables, sin sustituir las funciones de las autoridades administrativas responsables del proceso de restablecimiento de derechos.</w:t>
      </w:r>
    </w:p>
    <w:p w14:paraId="5F70E3D7" w14:textId="77777777" w:rsidR="00EC2023" w:rsidRPr="000A5B23" w:rsidRDefault="00EC2023" w:rsidP="00EC2023">
      <w:pPr>
        <w:spacing w:before="120" w:after="0" w:line="276" w:lineRule="auto"/>
        <w:ind w:firstLine="708"/>
        <w:jc w:val="both"/>
        <w:rPr>
          <w:rFonts w:ascii="Verdana" w:eastAsia="Calibri" w:hAnsi="Verdana"/>
          <w:color w:val="000000" w:themeColor="text1"/>
          <w:lang w:val="es-ES_tradnl"/>
        </w:rPr>
      </w:pPr>
      <w:r w:rsidRPr="000A5B23">
        <w:rPr>
          <w:rFonts w:ascii="Verdana" w:eastAsia="Calibri" w:hAnsi="Verdana"/>
          <w:color w:val="000000" w:themeColor="text1"/>
          <w:lang w:val="es-ES_tradnl"/>
        </w:rPr>
        <w:t>La publicidad de los documentos y actuaciones contractuales deberá observar las reglas aplicables al Sistema Electrónico para la Contratación Pública —SECOP—, sin perjuicio de las reservas legales y de los deberes de protección de los datos personales. En particular, la información publicada deberá tratarse de manera que no se divulguen indebidamente los expedientes de protección ni los datos que permitan identificar o comprometer la intimidad y seguridad de los niños, niñas, adolescentes y familias acogedoras.</w:t>
      </w:r>
    </w:p>
    <w:p w14:paraId="08E197B6" w14:textId="77777777" w:rsidR="00EC2023" w:rsidRDefault="00EC2023" w:rsidP="00EC2023">
      <w:pPr>
        <w:spacing w:before="120" w:after="0" w:line="276" w:lineRule="auto"/>
        <w:ind w:firstLine="708"/>
        <w:jc w:val="both"/>
        <w:rPr>
          <w:rFonts w:ascii="Verdana" w:eastAsia="Calibri" w:hAnsi="Verdana"/>
          <w:color w:val="000000" w:themeColor="text1"/>
          <w:lang w:val="es-ES_tradnl"/>
        </w:rPr>
      </w:pPr>
      <w:r>
        <w:rPr>
          <w:rFonts w:ascii="Verdana" w:eastAsia="Calibri" w:hAnsi="Verdana"/>
          <w:color w:val="000000" w:themeColor="text1"/>
          <w:lang w:val="es-ES_tradnl"/>
        </w:rPr>
        <w:t>En suma, c</w:t>
      </w:r>
      <w:r w:rsidRPr="000A5B23">
        <w:rPr>
          <w:rFonts w:ascii="Verdana" w:eastAsia="Calibri" w:hAnsi="Verdana"/>
          <w:color w:val="000000" w:themeColor="text1"/>
          <w:lang w:val="es-ES_tradnl"/>
        </w:rPr>
        <w:t>orresponde a la entidad territorial, dentro de sus competencias, estructurar y adelantar las actuaciones contractuales, justificar la modalidad de selección, ordenar el gasto, administrar los recursos y ejercer la supervisión. El ICBF desarrolla las funciones técnicas y de orientación que le atribuye el ordenamiento, mientras que las autoridades administrativas competentes adoptan y revisan las medidas de protección conforme a la Ley 1098 de 2006. En consecuencia, la articulación institucional dentro del Sistema Nacional de Bienestar Familiar, la inscripción de una familia en la red o la expedición de una medida de ubicación no reemplazan, cuando sean exigibles, los requisitos y actuaciones necesarios para formalizar y ejecutar el vínculo contractual correspondiente.</w:t>
      </w:r>
      <w:r>
        <w:rPr>
          <w:rFonts w:ascii="Verdana" w:eastAsia="Calibri" w:hAnsi="Verdana"/>
          <w:color w:val="000000" w:themeColor="text1"/>
          <w:lang w:val="es-ES_tradnl"/>
        </w:rPr>
        <w:t xml:space="preserve"> </w:t>
      </w:r>
      <w:r w:rsidRPr="00A11C5C">
        <w:rPr>
          <w:rFonts w:ascii="Verdana" w:eastAsia="Calibri" w:hAnsi="Verdana"/>
          <w:b/>
          <w:bCs/>
          <w:color w:val="000000" w:themeColor="text1"/>
          <w:lang w:val="es-ES_tradnl"/>
        </w:rPr>
        <w:t>(Respuesta a las preguntas 10 a 16)</w:t>
      </w:r>
    </w:p>
    <w:p w14:paraId="5185C41C" w14:textId="77777777" w:rsidR="00EC2023" w:rsidRPr="006E6BFC" w:rsidRDefault="00EC2023" w:rsidP="00EC2023">
      <w:pPr>
        <w:spacing w:before="120" w:after="0" w:line="276" w:lineRule="auto"/>
        <w:ind w:firstLine="708"/>
        <w:jc w:val="both"/>
        <w:rPr>
          <w:rFonts w:ascii="Verdana" w:hAnsi="Verdana" w:cs="Arial"/>
          <w:color w:val="000000" w:themeColor="text1"/>
        </w:rPr>
      </w:pPr>
      <w:r w:rsidRPr="00305DF6">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305DF6">
        <w:rPr>
          <w:rFonts w:ascii="Verdana" w:eastAsia="Times New Roman" w:hAnsi="Verdana" w:cs="Times New Roman"/>
          <w:lang w:eastAsia="es-ES"/>
        </w:rPr>
        <w:t xml:space="preserve">En otras palabras, los conceptos de esta Agencia tienen como objeto la interpretación de normas de carácter general, esto es, del ordenamiento jurídico </w:t>
      </w:r>
      <w:r w:rsidRPr="00305DF6">
        <w:rPr>
          <w:rFonts w:ascii="Verdana" w:eastAsia="Times New Roman" w:hAnsi="Verdana" w:cs="Times New Roman"/>
          <w:lang w:eastAsia="es-ES"/>
        </w:rPr>
        <w:lastRenderedPageBreak/>
        <w:t>en abstracto, no la resolución de controversias o la asesoría para casos concretos; además, no son vinculantes o de obligatorio cumplimiento para el destinatario, sino que expresan la posición interpretativa del organismo que elabora el concepto.</w:t>
      </w:r>
      <w:bookmarkEnd w:id="0"/>
      <w:bookmarkEnd w:id="1"/>
    </w:p>
    <w:p w14:paraId="13C13958" w14:textId="77777777" w:rsidR="00EC2023" w:rsidRPr="00682D5D" w:rsidRDefault="00EC2023" w:rsidP="00EC2023">
      <w:pPr>
        <w:spacing w:after="0" w:line="276" w:lineRule="auto"/>
        <w:ind w:firstLine="709"/>
        <w:jc w:val="both"/>
        <w:rPr>
          <w:rFonts w:ascii="Verdana" w:eastAsia="Times New Roman" w:hAnsi="Verdana" w:cs="Times New Roman"/>
          <w:lang w:eastAsia="es-ES"/>
        </w:rPr>
      </w:pPr>
    </w:p>
    <w:p w14:paraId="76C1B045" w14:textId="77777777" w:rsidR="00EC2023" w:rsidRPr="00682D5D" w:rsidRDefault="00EC2023" w:rsidP="00EC2023">
      <w:pPr>
        <w:spacing w:after="120" w:line="276" w:lineRule="auto"/>
        <w:jc w:val="both"/>
        <w:rPr>
          <w:rFonts w:ascii="Verdana" w:eastAsia="Century Gothic" w:hAnsi="Verdana" w:cs="Century Gothic"/>
          <w:b/>
          <w:lang w:val="es-ES"/>
        </w:rPr>
      </w:pPr>
      <w:r w:rsidRPr="00682D5D">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C2023" w:rsidRPr="009971BC" w14:paraId="36B62DD2" w14:textId="77777777" w:rsidTr="00F33424">
        <w:trPr>
          <w:trHeight w:val="3442"/>
        </w:trPr>
        <w:tc>
          <w:tcPr>
            <w:tcW w:w="8647" w:type="dxa"/>
          </w:tcPr>
          <w:p w14:paraId="7F9435F5" w14:textId="77777777" w:rsidR="00EC2023" w:rsidRPr="00693EA5" w:rsidRDefault="00EC2023" w:rsidP="00F33424">
            <w:pPr>
              <w:widowControl w:val="0"/>
              <w:numPr>
                <w:ilvl w:val="0"/>
                <w:numId w:val="16"/>
              </w:numPr>
              <w:autoSpaceDE w:val="0"/>
              <w:autoSpaceDN w:val="0"/>
              <w:spacing w:line="276" w:lineRule="auto"/>
              <w:jc w:val="both"/>
              <w:rPr>
                <w:rFonts w:ascii="Verdana" w:eastAsia="Arial MT" w:hAnsi="Verdana" w:cs="Arial"/>
                <w:lang w:val="es-ES" w:eastAsia="es-ES" w:bidi="es-ES"/>
              </w:rPr>
            </w:pPr>
            <w:r w:rsidRPr="00693EA5">
              <w:rPr>
                <w:rFonts w:ascii="Verdana" w:eastAsia="Arial MT" w:hAnsi="Verdana" w:cs="Arial"/>
                <w:lang w:val="es-ES" w:eastAsia="es-ES" w:bidi="es-ES"/>
              </w:rPr>
              <w:t>Ley 7 de 1979. Artículo 21</w:t>
            </w:r>
          </w:p>
          <w:p w14:paraId="73E6F19C" w14:textId="77777777" w:rsidR="00EC2023" w:rsidRPr="00693EA5" w:rsidRDefault="00EC2023" w:rsidP="00F33424">
            <w:pPr>
              <w:widowControl w:val="0"/>
              <w:numPr>
                <w:ilvl w:val="0"/>
                <w:numId w:val="16"/>
              </w:numPr>
              <w:autoSpaceDE w:val="0"/>
              <w:autoSpaceDN w:val="0"/>
              <w:spacing w:line="276" w:lineRule="auto"/>
              <w:jc w:val="both"/>
              <w:rPr>
                <w:rFonts w:ascii="Verdana" w:eastAsia="Arial MT" w:hAnsi="Verdana" w:cs="Arial"/>
                <w:lang w:val="es-ES" w:eastAsia="es-ES" w:bidi="es-ES"/>
              </w:rPr>
            </w:pPr>
            <w:r w:rsidRPr="00693EA5">
              <w:rPr>
                <w:rFonts w:ascii="Verdana" w:eastAsia="Arial MT" w:hAnsi="Verdana" w:cs="Arial"/>
                <w:lang w:val="es-ES" w:eastAsia="es-ES" w:bidi="es-ES"/>
              </w:rPr>
              <w:t>Ley 80 de 1993. Artículos 13, 32,</w:t>
            </w:r>
            <w:r>
              <w:rPr>
                <w:rFonts w:ascii="Verdana" w:eastAsia="Arial MT" w:hAnsi="Verdana" w:cs="Arial"/>
                <w:lang w:val="es-ES" w:eastAsia="es-ES" w:bidi="es-ES"/>
              </w:rPr>
              <w:t xml:space="preserve"> 39, 40,</w:t>
            </w:r>
            <w:r w:rsidRPr="00693EA5">
              <w:rPr>
                <w:rFonts w:ascii="Verdana" w:eastAsia="Arial MT" w:hAnsi="Verdana" w:cs="Arial"/>
                <w:lang w:val="es-ES" w:eastAsia="es-ES" w:bidi="es-ES"/>
              </w:rPr>
              <w:t xml:space="preserve"> 41</w:t>
            </w:r>
          </w:p>
          <w:p w14:paraId="7DCFE661" w14:textId="77777777" w:rsidR="00EC2023" w:rsidRPr="0065709B" w:rsidRDefault="00EC2023" w:rsidP="00F33424">
            <w:pPr>
              <w:widowControl w:val="0"/>
              <w:numPr>
                <w:ilvl w:val="0"/>
                <w:numId w:val="16"/>
              </w:numPr>
              <w:autoSpaceDE w:val="0"/>
              <w:autoSpaceDN w:val="0"/>
              <w:spacing w:line="276" w:lineRule="auto"/>
              <w:jc w:val="both"/>
              <w:rPr>
                <w:rFonts w:ascii="Verdana" w:eastAsia="Arial MT" w:hAnsi="Verdana" w:cs="Arial"/>
                <w:lang w:val="es-ES" w:eastAsia="es-ES" w:bidi="es-ES"/>
              </w:rPr>
            </w:pPr>
            <w:r w:rsidRPr="00693EA5">
              <w:rPr>
                <w:rFonts w:ascii="Verdana" w:eastAsia="Arial MT" w:hAnsi="Verdana" w:cs="Arial"/>
                <w:lang w:val="es-ES" w:eastAsia="es-ES" w:bidi="es-ES"/>
              </w:rPr>
              <w:t xml:space="preserve">Ley 1150 de 2007. Artículo </w:t>
            </w:r>
            <w:r>
              <w:rPr>
                <w:rFonts w:ascii="Verdana" w:eastAsia="Arial MT" w:hAnsi="Verdana" w:cs="Arial"/>
                <w:lang w:val="es-ES" w:eastAsia="es-ES" w:bidi="es-ES"/>
              </w:rPr>
              <w:t>2</w:t>
            </w:r>
          </w:p>
          <w:p w14:paraId="2BC6090E" w14:textId="77777777" w:rsidR="00EC2023" w:rsidRDefault="00EC2023" w:rsidP="00F33424">
            <w:pPr>
              <w:widowControl w:val="0"/>
              <w:numPr>
                <w:ilvl w:val="0"/>
                <w:numId w:val="16"/>
              </w:numPr>
              <w:autoSpaceDE w:val="0"/>
              <w:autoSpaceDN w:val="0"/>
              <w:spacing w:line="276" w:lineRule="auto"/>
              <w:jc w:val="both"/>
              <w:rPr>
                <w:rFonts w:ascii="Verdana" w:eastAsia="Arial MT" w:hAnsi="Verdana" w:cs="Arial"/>
                <w:lang w:val="es-ES" w:eastAsia="es-ES" w:bidi="es-ES"/>
              </w:rPr>
            </w:pPr>
            <w:r w:rsidRPr="00693EA5">
              <w:rPr>
                <w:rFonts w:ascii="Verdana" w:eastAsia="Arial MT" w:hAnsi="Verdana" w:cs="Arial"/>
                <w:lang w:val="es-ES" w:eastAsia="es-ES" w:bidi="es-ES"/>
              </w:rPr>
              <w:t>Ley 1098 de 2006. Artículo 58</w:t>
            </w:r>
          </w:p>
          <w:p w14:paraId="675634A0" w14:textId="77777777" w:rsidR="00EC2023" w:rsidRPr="004014D4" w:rsidRDefault="00EC2023" w:rsidP="00F33424">
            <w:pPr>
              <w:widowControl w:val="0"/>
              <w:numPr>
                <w:ilvl w:val="0"/>
                <w:numId w:val="16"/>
              </w:numPr>
              <w:autoSpaceDE w:val="0"/>
              <w:autoSpaceDN w:val="0"/>
              <w:spacing w:line="276" w:lineRule="auto"/>
              <w:jc w:val="both"/>
              <w:rPr>
                <w:rFonts w:ascii="Verdana" w:eastAsia="Arial MT" w:hAnsi="Verdana" w:cs="Arial"/>
                <w:lang w:val="es-ES" w:eastAsia="es-ES" w:bidi="es-ES"/>
              </w:rPr>
            </w:pPr>
            <w:r>
              <w:rPr>
                <w:rFonts w:ascii="Verdana" w:hAnsi="Verdana" w:cs="Arial"/>
                <w:color w:val="000000" w:themeColor="text1"/>
              </w:rPr>
              <w:t>Decreto 092 de 2017</w:t>
            </w:r>
          </w:p>
          <w:p w14:paraId="712DD675" w14:textId="77777777" w:rsidR="00EC2023" w:rsidRPr="00693EA5" w:rsidRDefault="00EC2023" w:rsidP="00F33424">
            <w:pPr>
              <w:widowControl w:val="0"/>
              <w:numPr>
                <w:ilvl w:val="0"/>
                <w:numId w:val="16"/>
              </w:numPr>
              <w:autoSpaceDE w:val="0"/>
              <w:autoSpaceDN w:val="0"/>
              <w:spacing w:line="276" w:lineRule="auto"/>
              <w:jc w:val="both"/>
              <w:rPr>
                <w:rFonts w:ascii="Verdana" w:eastAsia="Arial MT" w:hAnsi="Verdana" w:cs="Arial"/>
                <w:lang w:val="es-ES" w:eastAsia="es-ES" w:bidi="es-ES"/>
              </w:rPr>
            </w:pPr>
            <w:r>
              <w:rPr>
                <w:rFonts w:ascii="Verdana" w:eastAsia="Calibri" w:hAnsi="Verdana"/>
                <w:color w:val="000000" w:themeColor="text1"/>
              </w:rPr>
              <w:t>D</w:t>
            </w:r>
            <w:r w:rsidRPr="006E23BA">
              <w:rPr>
                <w:rFonts w:ascii="Verdana" w:eastAsia="Calibri" w:hAnsi="Verdana"/>
                <w:color w:val="000000" w:themeColor="text1"/>
              </w:rPr>
              <w:t>ecreto 2388 de 1979</w:t>
            </w:r>
          </w:p>
          <w:p w14:paraId="06893BC5" w14:textId="77777777" w:rsidR="00EC2023" w:rsidRPr="00693EA5" w:rsidRDefault="00EC2023" w:rsidP="00F33424">
            <w:pPr>
              <w:widowControl w:val="0"/>
              <w:numPr>
                <w:ilvl w:val="0"/>
                <w:numId w:val="16"/>
              </w:numPr>
              <w:autoSpaceDE w:val="0"/>
              <w:autoSpaceDN w:val="0"/>
              <w:spacing w:line="276" w:lineRule="auto"/>
              <w:jc w:val="both"/>
              <w:rPr>
                <w:rFonts w:ascii="Verdana" w:eastAsia="Arial MT" w:hAnsi="Verdana" w:cs="Arial"/>
                <w:lang w:val="es-ES" w:eastAsia="es-ES" w:bidi="es-ES"/>
              </w:rPr>
            </w:pPr>
            <w:r w:rsidRPr="00693EA5">
              <w:rPr>
                <w:rFonts w:ascii="Verdana" w:eastAsia="Arial MT" w:hAnsi="Verdana" w:cs="Arial"/>
                <w:lang w:val="es-ES" w:eastAsia="es-ES" w:bidi="es-ES"/>
              </w:rPr>
              <w:t xml:space="preserve">Consejo de Estado. Sala de lo Contencioso Administrativo. Sección Tercera. Subsección B. Sentencia del 10 de mayo de 2018. </w:t>
            </w:r>
            <w:proofErr w:type="spellStart"/>
            <w:r w:rsidRPr="00693EA5">
              <w:rPr>
                <w:rFonts w:ascii="Verdana" w:eastAsia="Arial MT" w:hAnsi="Verdana" w:cs="Arial"/>
                <w:lang w:val="es-ES" w:eastAsia="es-ES" w:bidi="es-ES"/>
              </w:rPr>
              <w:t>Exp</w:t>
            </w:r>
            <w:proofErr w:type="spellEnd"/>
            <w:r w:rsidRPr="00693EA5">
              <w:rPr>
                <w:rFonts w:ascii="Verdana" w:eastAsia="Arial MT" w:hAnsi="Verdana" w:cs="Arial"/>
                <w:lang w:val="es-ES" w:eastAsia="es-ES" w:bidi="es-ES"/>
              </w:rPr>
              <w:t>. 41186. C.P. Stella Conto Díaz del Castillo.</w:t>
            </w:r>
          </w:p>
          <w:p w14:paraId="59C6B262" w14:textId="77777777" w:rsidR="00EC2023" w:rsidRPr="00E80DFD" w:rsidRDefault="00EC2023" w:rsidP="00F33424">
            <w:pPr>
              <w:widowControl w:val="0"/>
              <w:numPr>
                <w:ilvl w:val="0"/>
                <w:numId w:val="16"/>
              </w:numPr>
              <w:autoSpaceDE w:val="0"/>
              <w:autoSpaceDN w:val="0"/>
              <w:spacing w:line="276" w:lineRule="auto"/>
              <w:jc w:val="both"/>
              <w:rPr>
                <w:rFonts w:ascii="Verdana" w:eastAsia="Arial MT" w:hAnsi="Verdana" w:cs="Arial"/>
                <w:color w:val="FFC000" w:themeColor="accent4"/>
                <w:sz w:val="32"/>
                <w:szCs w:val="32"/>
                <w:lang w:val="es-ES" w:eastAsia="es-ES" w:bidi="es-ES"/>
              </w:rPr>
            </w:pPr>
            <w:r w:rsidRPr="00693EA5">
              <w:rPr>
                <w:rFonts w:ascii="Verdana" w:eastAsia="Arial MT" w:hAnsi="Verdana" w:cs="Arial"/>
                <w:lang w:val="es-ES" w:eastAsia="es-ES" w:bidi="es-ES"/>
              </w:rPr>
              <w:t>Instituto Colombiano de Bienestar Familiar. Guía Operativa de la Modalidad de Hogar de Paso. Disponible:</w:t>
            </w:r>
            <w:r w:rsidRPr="00693EA5">
              <w:rPr>
                <w:rFonts w:ascii="Verdana" w:hAnsi="Verdana"/>
              </w:rPr>
              <w:t xml:space="preserve"> </w:t>
            </w:r>
            <w:hyperlink r:id="rId13" w:history="1">
              <w:r w:rsidRPr="00693EA5">
                <w:rPr>
                  <w:rStyle w:val="Hipervnculo"/>
                  <w:rFonts w:ascii="Verdana" w:hAnsi="Verdana"/>
                </w:rPr>
                <w:t>Aquí</w:t>
              </w:r>
            </w:hyperlink>
          </w:p>
        </w:tc>
      </w:tr>
    </w:tbl>
    <w:p w14:paraId="0608B16D" w14:textId="77777777" w:rsidR="00EC2023" w:rsidRPr="009971BC" w:rsidRDefault="00EC2023" w:rsidP="00EC2023">
      <w:pPr>
        <w:widowControl w:val="0"/>
        <w:autoSpaceDE w:val="0"/>
        <w:autoSpaceDN w:val="0"/>
        <w:spacing w:after="0" w:line="276" w:lineRule="auto"/>
        <w:jc w:val="both"/>
        <w:rPr>
          <w:rFonts w:ascii="Verdana" w:hAnsi="Verdana" w:cs="Arial"/>
          <w:color w:val="FFC000" w:themeColor="accent4"/>
          <w:lang w:val="es-ES"/>
        </w:rPr>
      </w:pPr>
    </w:p>
    <w:p w14:paraId="168B57CD" w14:textId="77777777" w:rsidR="00EC2023" w:rsidRPr="00682D5D" w:rsidRDefault="00EC2023" w:rsidP="00EC2023">
      <w:pPr>
        <w:tabs>
          <w:tab w:val="left" w:pos="142"/>
          <w:tab w:val="left" w:pos="284"/>
        </w:tabs>
        <w:spacing w:after="0" w:line="276" w:lineRule="auto"/>
        <w:jc w:val="both"/>
        <w:rPr>
          <w:rFonts w:ascii="Verdana" w:eastAsia="Century Gothic" w:hAnsi="Verdana" w:cs="Century Gothic"/>
          <w:b/>
          <w:lang w:val="es-ES"/>
        </w:rPr>
      </w:pPr>
      <w:r w:rsidRPr="00682D5D">
        <w:rPr>
          <w:rFonts w:ascii="Verdana" w:eastAsia="Century Gothic" w:hAnsi="Verdana" w:cs="Century Gothic"/>
          <w:b/>
          <w:lang w:val="es-ES"/>
        </w:rPr>
        <w:t>5. Doctrina de la Agencia Nacional de Contratación Pública:</w:t>
      </w:r>
    </w:p>
    <w:p w14:paraId="7AB40599" w14:textId="77777777" w:rsidR="00EC2023" w:rsidRPr="009971BC" w:rsidRDefault="00EC2023" w:rsidP="00EC2023">
      <w:pPr>
        <w:widowControl w:val="0"/>
        <w:autoSpaceDE w:val="0"/>
        <w:autoSpaceDN w:val="0"/>
        <w:spacing w:after="0" w:line="276" w:lineRule="auto"/>
        <w:jc w:val="both"/>
        <w:rPr>
          <w:rFonts w:ascii="Verdana" w:hAnsi="Verdana" w:cs="Arial"/>
          <w:color w:val="FFC000" w:themeColor="accent4"/>
          <w:lang w:val="es-ES"/>
        </w:rPr>
      </w:pPr>
    </w:p>
    <w:p w14:paraId="6747AC46" w14:textId="77777777" w:rsidR="00EC2023" w:rsidRPr="009233BB" w:rsidRDefault="00EC2023" w:rsidP="00EC2023">
      <w:pPr>
        <w:spacing w:after="0" w:line="276" w:lineRule="auto"/>
        <w:jc w:val="both"/>
        <w:rPr>
          <w:rFonts w:ascii="Verdana" w:hAnsi="Verdana"/>
          <w:color w:val="ED7D31" w:themeColor="accent2"/>
          <w:lang w:val="es-ES"/>
        </w:rPr>
      </w:pPr>
      <w:r w:rsidRPr="00213515">
        <w:rPr>
          <w:rFonts w:ascii="Verdana" w:eastAsia="Calibri" w:hAnsi="Verdana" w:cs="Arial"/>
          <w:lang w:val="es-ES"/>
        </w:rPr>
        <w:t>La Agencia Nacional de Contratación Pública – Colombia Compra Eficiente se</w:t>
      </w:r>
      <w:r>
        <w:rPr>
          <w:rFonts w:ascii="Verdana" w:eastAsia="Calibri" w:hAnsi="Verdana" w:cs="Arial"/>
          <w:lang w:val="es-ES"/>
        </w:rPr>
        <w:t xml:space="preserve"> refirió</w:t>
      </w:r>
      <w:r w:rsidRPr="00213515">
        <w:rPr>
          <w:rFonts w:ascii="Verdana" w:eastAsia="Calibri" w:hAnsi="Verdana" w:cs="Arial"/>
          <w:lang w:val="es-ES"/>
        </w:rPr>
        <w:t xml:space="preserve"> </w:t>
      </w:r>
      <w:r w:rsidRPr="00213515">
        <w:rPr>
          <w:rFonts w:ascii="Verdana" w:hAnsi="Verdana" w:cs="Arial"/>
          <w:shd w:val="clear" w:color="auto" w:fill="FFFFFF"/>
          <w:lang w:val="es-ES"/>
        </w:rPr>
        <w:t>sobre</w:t>
      </w:r>
      <w:r>
        <w:rPr>
          <w:rFonts w:ascii="Verdana" w:hAnsi="Verdana" w:cs="Arial"/>
          <w:shd w:val="clear" w:color="auto" w:fill="FFFFFF"/>
          <w:lang w:val="es-ES"/>
        </w:rPr>
        <w:t xml:space="preserve"> la Red de Hogares de Paso en el concepto C-1853 del 2025. </w:t>
      </w:r>
      <w:r w:rsidRPr="00B8716D">
        <w:rPr>
          <w:rFonts w:ascii="Verdana" w:hAnsi="Verdana" w:cs="Arial"/>
          <w:shd w:val="clear" w:color="auto" w:fill="FFFFFF"/>
          <w:lang w:val="es-ES"/>
        </w:rPr>
        <w:t>Est</w:t>
      </w:r>
      <w:r>
        <w:rPr>
          <w:rFonts w:ascii="Verdana" w:hAnsi="Verdana" w:cs="Arial"/>
          <w:shd w:val="clear" w:color="auto" w:fill="FFFFFF"/>
          <w:lang w:val="es-ES"/>
        </w:rPr>
        <w:t>e</w:t>
      </w:r>
      <w:r w:rsidRPr="00B8716D">
        <w:rPr>
          <w:rFonts w:ascii="Verdana" w:hAnsi="Verdana"/>
          <w:lang w:val="es-ES"/>
        </w:rPr>
        <w:t xml:space="preserve"> y otros se encuentran disponibles para consulta en el Sistema de relatoría de la Agencia, al cual se puede acceder a través del siguiente enlace:</w:t>
      </w:r>
      <w:r w:rsidRPr="00B8716D">
        <w:rPr>
          <w:rFonts w:ascii="Verdana" w:hAnsi="Verdana" w:cs="Arial"/>
          <w:shd w:val="clear" w:color="auto" w:fill="FFFFFF"/>
          <w:lang w:val="es-ES"/>
        </w:rPr>
        <w:t xml:space="preserve"> </w:t>
      </w:r>
      <w:hyperlink r:id="rId14" w:history="1">
        <w:r w:rsidRPr="00336764">
          <w:rPr>
            <w:rStyle w:val="Hipervnculo"/>
            <w:rFonts w:ascii="Verdana" w:hAnsi="Verdana" w:cs="Arial"/>
            <w:shd w:val="clear" w:color="auto" w:fill="FFFFFF"/>
            <w:lang w:val="es-ES"/>
          </w:rPr>
          <w:t>https://relatoria.colombiacompra.gov.co/busqueda/conceptos</w:t>
        </w:r>
      </w:hyperlink>
    </w:p>
    <w:p w14:paraId="43A8F6A3" w14:textId="77777777" w:rsidR="00EC2023" w:rsidRPr="009233BB" w:rsidRDefault="00EC2023" w:rsidP="00EC2023">
      <w:pPr>
        <w:spacing w:after="0"/>
        <w:jc w:val="both"/>
        <w:rPr>
          <w:rFonts w:ascii="Verdana" w:hAnsi="Verdana" w:cs="Arial"/>
          <w:color w:val="ED7D31" w:themeColor="accent2"/>
          <w:shd w:val="clear" w:color="auto" w:fill="FFFFFF"/>
          <w:lang w:val="es-ES"/>
        </w:rPr>
      </w:pPr>
    </w:p>
    <w:p w14:paraId="440A92B2" w14:textId="77777777" w:rsidR="00EC2023" w:rsidRPr="00F42673" w:rsidRDefault="00EC2023" w:rsidP="00EC2023">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42673">
        <w:rPr>
          <w:rFonts w:ascii="Verdana" w:eastAsia="Times New Roman" w:hAnsi="Verdana" w:cs="Times New Roman"/>
          <w:b/>
          <w:bCs/>
          <w:color w:val="000000"/>
          <w:lang w:eastAsia="es-MX"/>
        </w:rPr>
        <w:t>Guía para la Exigencia y Constitución de Garantías en los Procesos de Contratación</w:t>
      </w:r>
      <w:r w:rsidRPr="00F42673">
        <w:rPr>
          <w:rFonts w:ascii="Verdana" w:eastAsia="Times New Roman" w:hAnsi="Verdana" w:cs="Times New Roman"/>
          <w:color w:val="000000"/>
          <w:lang w:eastAsia="es-MX"/>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w:t>
      </w:r>
      <w:r w:rsidRPr="00F42673">
        <w:rPr>
          <w:rFonts w:ascii="Verdana" w:eastAsia="Times New Roman" w:hAnsi="Verdana" w:cs="Times New Roman"/>
          <w:color w:val="000000"/>
          <w:lang w:eastAsia="es-MX"/>
        </w:rPr>
        <w:lastRenderedPageBreak/>
        <w:t>aquí: </w:t>
      </w:r>
      <w:hyperlink r:id="rId15" w:tooltip="Original URL:&#10;https://www.colombiacompra.gov.co/archivos/manual/guia-de-garantias-en-procesos-de-contratacion&#10;&#10;Click to follow link." w:history="1">
        <w:r w:rsidRPr="00F42673">
          <w:rPr>
            <w:rFonts w:ascii="Verdana" w:eastAsia="Times New Roman" w:hAnsi="Verdana" w:cs="Times New Roman"/>
            <w:color w:val="0086F0"/>
            <w:u w:val="single"/>
            <w:lang w:eastAsia="es-MX"/>
          </w:rPr>
          <w:t>https://www.colombiacompra.gov.co/archivos/manual/guia-de-garantias-en-procesos-de-contratacion</w:t>
        </w:r>
      </w:hyperlink>
    </w:p>
    <w:p w14:paraId="64AA9B71" w14:textId="77777777" w:rsidR="00EC2023" w:rsidRPr="00F42673" w:rsidRDefault="00EC2023" w:rsidP="00EC2023">
      <w:pPr>
        <w:spacing w:after="0" w:line="276" w:lineRule="auto"/>
        <w:jc w:val="both"/>
        <w:rPr>
          <w:rFonts w:ascii="Verdana" w:eastAsia="Times New Roman" w:hAnsi="Verdana" w:cs="Times New Roman"/>
          <w:color w:val="000000"/>
          <w:lang w:eastAsia="es-MX"/>
        </w:rPr>
      </w:pPr>
    </w:p>
    <w:p w14:paraId="001A23A8" w14:textId="77777777" w:rsidR="00EC2023" w:rsidRPr="00F42673" w:rsidRDefault="00EC2023" w:rsidP="00EC2023">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F42673">
        <w:rPr>
          <w:rFonts w:ascii="Verdana" w:eastAsia="Times New Roman" w:hAnsi="Verdana" w:cs="Times New Roman"/>
          <w:b/>
          <w:bCs/>
          <w:color w:val="000000"/>
          <w:lang w:eastAsia="es-MX"/>
        </w:rPr>
        <w:t>Sistema Integral de Preferencias en favor de las personas con discapacidad</w:t>
      </w:r>
      <w:r w:rsidRPr="00F42673">
        <w:rPr>
          <w:rFonts w:ascii="Verdana" w:eastAsia="Times New Roman" w:hAnsi="Verdana" w:cs="Times New Roman"/>
          <w:color w:val="000000"/>
          <w:lang w:eastAsia="es-MX"/>
        </w:rPr>
        <w:t>, en cumplimiento del artículo 13 de la Ley Estatutaria 1618 de 2013. Para orientar su aplicación, esta Agencia expidió la </w:t>
      </w:r>
      <w:r w:rsidRPr="00F42673">
        <w:rPr>
          <w:rFonts w:ascii="Verdana" w:eastAsia="Times New Roman" w:hAnsi="Verdana" w:cs="Times New Roman"/>
          <w:b/>
          <w:bCs/>
          <w:color w:val="000000"/>
          <w:lang w:eastAsia="es-MX"/>
        </w:rPr>
        <w:t>Circular Externa 003 del 12 de mayo de 2026, </w:t>
      </w:r>
      <w:r w:rsidRPr="00F42673">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6" w:tooltip="Original URL:&#10;https://www.colombiacompra.gov.co/archivos/circular/circular-externa-003-de-2026&#10;&#10;Click to follow link." w:history="1">
        <w:r w:rsidRPr="00F42673">
          <w:rPr>
            <w:rFonts w:ascii="Verdana" w:eastAsia="Times New Roman" w:hAnsi="Verdana" w:cs="Times New Roman"/>
            <w:color w:val="0086F0"/>
            <w:u w:val="single"/>
            <w:lang w:eastAsia="es-MX"/>
          </w:rPr>
          <w:t>https://www.colombiacompra.gov.co/archivos/circular/circular-externa-003-de-2026</w:t>
        </w:r>
      </w:hyperlink>
    </w:p>
    <w:p w14:paraId="05D6A333" w14:textId="77777777" w:rsidR="00EC2023" w:rsidRPr="00F42673" w:rsidRDefault="00EC2023" w:rsidP="00EC2023">
      <w:pPr>
        <w:spacing w:after="0" w:line="276" w:lineRule="auto"/>
        <w:jc w:val="both"/>
        <w:rPr>
          <w:rFonts w:ascii="Verdana" w:eastAsia="Times New Roman" w:hAnsi="Verdana" w:cs="Times New Roman"/>
          <w:color w:val="000000"/>
          <w:lang w:eastAsia="es-MX"/>
        </w:rPr>
      </w:pPr>
    </w:p>
    <w:p w14:paraId="163F93BA" w14:textId="77777777" w:rsidR="00EC2023" w:rsidRPr="00F42673" w:rsidRDefault="00EC2023" w:rsidP="00EC2023">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Recuerda también que la</w:t>
      </w:r>
      <w:r w:rsidRPr="00F42673">
        <w:rPr>
          <w:rFonts w:ascii="Verdana" w:eastAsia="Times New Roman" w:hAnsi="Verdana" w:cs="Times New Roman"/>
          <w:b/>
          <w:bCs/>
          <w:color w:val="000000"/>
          <w:lang w:eastAsia="es-MX"/>
        </w:rPr>
        <w:t> información sobre sanciones e inhabilidades </w:t>
      </w:r>
      <w:r w:rsidRPr="00F42673">
        <w:rPr>
          <w:rFonts w:ascii="Verdana" w:eastAsia="Times New Roman" w:hAnsi="Verdana" w:cs="Times New Roman"/>
          <w:color w:val="000000"/>
          <w:lang w:eastAsia="es-MX"/>
        </w:rPr>
        <w:t>solo cumple su función preventiva si llega oportunamente a los registros públicos. Sobre este deber, esta Agencia expidió la </w:t>
      </w:r>
      <w:r w:rsidRPr="00F42673">
        <w:rPr>
          <w:rFonts w:ascii="Verdana" w:eastAsia="Times New Roman" w:hAnsi="Verdana" w:cs="Times New Roman"/>
          <w:b/>
          <w:bCs/>
          <w:color w:val="000000"/>
          <w:lang w:eastAsia="es-MX"/>
        </w:rPr>
        <w:t xml:space="preserve">Circular Externa 002 del 5 de mayo de </w:t>
      </w:r>
      <w:proofErr w:type="gramStart"/>
      <w:r w:rsidRPr="00F42673">
        <w:rPr>
          <w:rFonts w:ascii="Verdana" w:eastAsia="Times New Roman" w:hAnsi="Verdana" w:cs="Times New Roman"/>
          <w:b/>
          <w:bCs/>
          <w:color w:val="000000"/>
          <w:lang w:eastAsia="es-MX"/>
        </w:rPr>
        <w:t>2026,</w:t>
      </w:r>
      <w:r w:rsidRPr="00F42673">
        <w:rPr>
          <w:rFonts w:ascii="Verdana" w:eastAsia="Times New Roman" w:hAnsi="Verdana" w:cs="Times New Roman"/>
          <w:color w:val="000000"/>
          <w:lang w:eastAsia="es-MX"/>
        </w:rPr>
        <w:t>dirigida</w:t>
      </w:r>
      <w:proofErr w:type="gramEnd"/>
      <w:r w:rsidRPr="00F42673">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ooltip="Original URL:&#10;https://www.colombiacompra.gov.co/archivos/circular/circular-externa-002-de-2026&#10;&#10;Click to follow link." w:history="1">
        <w:r w:rsidRPr="00F42673">
          <w:rPr>
            <w:rFonts w:ascii="Verdana" w:eastAsia="Times New Roman" w:hAnsi="Verdana" w:cs="Times New Roman"/>
            <w:color w:val="0086F0"/>
            <w:u w:val="single"/>
            <w:lang w:eastAsia="es-MX"/>
          </w:rPr>
          <w:t>https://www.colombiacompra.gov.co/archivos/circular/circular-externa-002-de-2026</w:t>
        </w:r>
      </w:hyperlink>
    </w:p>
    <w:p w14:paraId="20131143" w14:textId="77777777" w:rsidR="00EC2023" w:rsidRPr="00F42673" w:rsidRDefault="00EC2023" w:rsidP="00EC2023">
      <w:pPr>
        <w:spacing w:after="0" w:line="276" w:lineRule="auto"/>
        <w:jc w:val="both"/>
        <w:rPr>
          <w:rFonts w:ascii="Verdana" w:eastAsia="Times New Roman" w:hAnsi="Verdana" w:cs="Times New Roman"/>
          <w:color w:val="000000"/>
          <w:lang w:eastAsia="es-MX"/>
        </w:rPr>
      </w:pPr>
    </w:p>
    <w:p w14:paraId="1689FDF6" w14:textId="77777777" w:rsidR="00EC2023" w:rsidRPr="00797CA8" w:rsidRDefault="00EC2023" w:rsidP="00EC2023">
      <w:pPr>
        <w:spacing w:after="0" w:line="276" w:lineRule="auto"/>
        <w:jc w:val="both"/>
        <w:rPr>
          <w:rFonts w:ascii="Aptos" w:eastAsia="Times New Roman" w:hAnsi="Aptos" w:cs="Times New Roman"/>
          <w:color w:val="000000"/>
          <w:lang w:eastAsia="es-MX"/>
        </w:rPr>
      </w:pPr>
      <w:r w:rsidRPr="00F42673">
        <w:rPr>
          <w:rFonts w:ascii="Verdana" w:eastAsia="Times New Roman" w:hAnsi="Verdana" w:cs="Times New Roman"/>
          <w:color w:val="000000"/>
          <w:lang w:eastAsia="es-MX"/>
        </w:rPr>
        <w:t>Finalmente, si quieres seguir de cerca la actividad de la Agencia, la tercera edición de 2026 del</w:t>
      </w:r>
      <w:r w:rsidRPr="00F42673">
        <w:rPr>
          <w:rFonts w:ascii="Verdana" w:eastAsia="Times New Roman" w:hAnsi="Verdana" w:cs="Times New Roman"/>
          <w:b/>
          <w:bCs/>
          <w:color w:val="000000"/>
          <w:lang w:eastAsia="es-MX"/>
        </w:rPr>
        <w:t> Radar de la Compra Pública</w:t>
      </w:r>
      <w:r w:rsidRPr="00F42673">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ooltip="Original URL:&#10;https://www.colombiacompra.gov.co/archivos/boletin/boletin-edicion-n-3-de-2026-radar-de-la-compra-publica&#10;&#10;Click to follow link." w:history="1">
        <w:r w:rsidRPr="00F42673">
          <w:rPr>
            <w:rFonts w:ascii="Verdana" w:eastAsia="Times New Roman" w:hAnsi="Verdana" w:cs="Times New Roman"/>
            <w:color w:val="0086F0"/>
            <w:u w:val="single"/>
            <w:lang w:eastAsia="es-MX"/>
          </w:rPr>
          <w:t>https://www.colombiacompra.gov.co/archivos/boletin/boletin-edicion-n-3-de-2026-radar-de-la-compra-publica</w:t>
        </w:r>
      </w:hyperlink>
    </w:p>
    <w:p w14:paraId="46E0948E" w14:textId="77777777" w:rsidR="00EC2023" w:rsidRDefault="00EC2023" w:rsidP="00EC2023">
      <w:pPr>
        <w:shd w:val="clear" w:color="auto" w:fill="FFFFFF"/>
        <w:spacing w:after="0" w:line="276" w:lineRule="auto"/>
        <w:jc w:val="both"/>
        <w:rPr>
          <w:rFonts w:ascii="Verdana" w:hAnsi="Verdana"/>
          <w:color w:val="000000"/>
          <w:u w:val="single"/>
        </w:rPr>
      </w:pPr>
    </w:p>
    <w:p w14:paraId="30AFE70A" w14:textId="77777777" w:rsidR="00EC2023" w:rsidRPr="00116940" w:rsidRDefault="00EC2023" w:rsidP="00EC2023">
      <w:pPr>
        <w:spacing w:after="0"/>
        <w:jc w:val="both"/>
        <w:rPr>
          <w:rFonts w:ascii="Verdana" w:hAnsi="Verdana"/>
        </w:rPr>
      </w:pPr>
      <w:r>
        <w:rPr>
          <w:rFonts w:ascii="Verdana" w:hAnsi="Verdana"/>
        </w:rPr>
        <w:lastRenderedPageBreak/>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73F2586" w14:textId="77777777" w:rsidR="00EC2023" w:rsidRPr="00116940" w:rsidRDefault="00EC2023" w:rsidP="00EC2023">
      <w:pPr>
        <w:spacing w:after="0"/>
        <w:jc w:val="both"/>
        <w:rPr>
          <w:rFonts w:ascii="Verdana" w:hAnsi="Verdana"/>
        </w:rPr>
      </w:pPr>
    </w:p>
    <w:p w14:paraId="7C8F7D09" w14:textId="77777777" w:rsidR="00EC2023" w:rsidRPr="00116940" w:rsidRDefault="00EC2023" w:rsidP="00EC2023">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7BCD009" w14:textId="77777777" w:rsidR="00EC2023" w:rsidRPr="00116940" w:rsidRDefault="00EC2023" w:rsidP="00EC2023">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1185B639" w14:textId="77777777" w:rsidR="00EC2023" w:rsidRPr="00116940" w:rsidRDefault="00EC2023" w:rsidP="00EC2023">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51AC7116" w14:textId="77777777" w:rsidR="00EC2023" w:rsidRPr="00116940" w:rsidRDefault="00EC2023" w:rsidP="00EC2023">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5F7B44AA" w14:textId="77777777" w:rsidR="00EC2023" w:rsidRPr="00116940" w:rsidRDefault="00EC2023" w:rsidP="00EC2023">
      <w:pPr>
        <w:spacing w:after="0" w:line="240" w:lineRule="auto"/>
        <w:ind w:left="720"/>
        <w:jc w:val="both"/>
        <w:rPr>
          <w:rFonts w:ascii="Verdana" w:hAnsi="Verdana"/>
        </w:rPr>
      </w:pPr>
    </w:p>
    <w:p w14:paraId="17060846" w14:textId="77777777" w:rsidR="00EC2023" w:rsidRPr="00116940" w:rsidRDefault="00EC2023" w:rsidP="00EC2023">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1"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D782917" w14:textId="77777777" w:rsidR="00EC2023" w:rsidRPr="00116940" w:rsidRDefault="00EC2023" w:rsidP="00EC2023">
      <w:pPr>
        <w:spacing w:after="0" w:line="240" w:lineRule="auto"/>
        <w:rPr>
          <w:rFonts w:ascii="Verdana" w:hAnsi="Verdana"/>
        </w:rPr>
      </w:pPr>
    </w:p>
    <w:p w14:paraId="65CD3204" w14:textId="77777777" w:rsidR="00EC2023" w:rsidRPr="00116940" w:rsidRDefault="00EC2023" w:rsidP="00EC2023">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0C04BB6B" w14:textId="77777777" w:rsidR="00EC2023" w:rsidRPr="00116940" w:rsidRDefault="00EC2023" w:rsidP="00EC2023">
      <w:pPr>
        <w:spacing w:after="0" w:line="240" w:lineRule="auto"/>
        <w:jc w:val="both"/>
        <w:rPr>
          <w:rFonts w:ascii="Verdana" w:hAnsi="Verdana"/>
        </w:rPr>
      </w:pPr>
    </w:p>
    <w:p w14:paraId="2C96A3EE" w14:textId="77777777" w:rsidR="00EC2023" w:rsidRPr="00116940" w:rsidRDefault="00EC2023" w:rsidP="00EC2023">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A1BB3CF" w14:textId="77777777" w:rsidR="00EC2023" w:rsidRPr="00116940" w:rsidRDefault="00EC2023" w:rsidP="00EC2023">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3CDD795" w14:textId="77777777" w:rsidR="00EC2023" w:rsidRPr="00116940" w:rsidRDefault="00EC2023" w:rsidP="00EC2023">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AD41845" w14:textId="77777777" w:rsidR="00EC2023" w:rsidRPr="009C4035" w:rsidRDefault="00EC2023" w:rsidP="00EC2023">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05B3B7D5" w14:textId="77777777" w:rsidR="00EC2023" w:rsidRPr="00593A5F" w:rsidRDefault="00EC2023" w:rsidP="00EC202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AA012A9" w14:textId="77777777" w:rsidR="00EC2023" w:rsidRPr="00593A5F" w:rsidRDefault="00EC2023" w:rsidP="00EC2023">
      <w:pPr>
        <w:widowControl w:val="0"/>
        <w:autoSpaceDE w:val="0"/>
        <w:autoSpaceDN w:val="0"/>
        <w:spacing w:after="0" w:line="276" w:lineRule="auto"/>
        <w:jc w:val="both"/>
        <w:rPr>
          <w:rFonts w:ascii="Verdana" w:hAnsi="Verdana" w:cs="Arial"/>
        </w:rPr>
      </w:pPr>
    </w:p>
    <w:p w14:paraId="679CD351" w14:textId="7FB9F509" w:rsidR="00EC2023" w:rsidRPr="00603C5A" w:rsidRDefault="00EC2023" w:rsidP="00603C5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1D8A290" w14:textId="4D928579" w:rsidR="00EC2023" w:rsidRDefault="00603C5A" w:rsidP="00603C5A">
      <w:pPr>
        <w:contextualSpacing/>
        <w:jc w:val="center"/>
        <w:rPr>
          <w:rFonts w:ascii="Verdana" w:eastAsia="Calibri" w:hAnsi="Verdana" w:cs="Arial"/>
          <w:b/>
          <w:bCs/>
          <w:lang w:val="pt-BR" w:eastAsia="es-ES"/>
        </w:rPr>
      </w:pPr>
      <w:r w:rsidRPr="00603C5A">
        <w:rPr>
          <w:rFonts w:ascii="Verdana" w:eastAsia="Calibri" w:hAnsi="Verdana" w:cs="Arial"/>
          <w:b/>
          <w:bCs/>
          <w:noProof/>
          <w:lang w:val="pt-BR" w:eastAsia="es-ES"/>
        </w:rPr>
        <w:lastRenderedPageBreak/>
        <w:drawing>
          <wp:inline distT="0" distB="0" distL="0" distR="0" wp14:anchorId="02D0F23B" wp14:editId="0DEECC31">
            <wp:extent cx="3322320" cy="1348740"/>
            <wp:effectExtent l="0" t="0" r="0" b="3810"/>
            <wp:docPr id="1830840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0232" name=""/>
                    <pic:cNvPicPr/>
                  </pic:nvPicPr>
                  <pic:blipFill>
                    <a:blip r:embed="rId22"/>
                    <a:stretch>
                      <a:fillRect/>
                    </a:stretch>
                  </pic:blipFill>
                  <pic:spPr>
                    <a:xfrm>
                      <a:off x="0" y="0"/>
                      <a:ext cx="3322613" cy="1348859"/>
                    </a:xfrm>
                    <a:prstGeom prst="rect">
                      <a:avLst/>
                    </a:prstGeom>
                  </pic:spPr>
                </pic:pic>
              </a:graphicData>
            </a:graphic>
          </wp:inline>
        </w:drawing>
      </w:r>
    </w:p>
    <w:p w14:paraId="5C09F561" w14:textId="77777777" w:rsidR="00603C5A" w:rsidRPr="00603C5A" w:rsidRDefault="00603C5A" w:rsidP="00603C5A">
      <w:pPr>
        <w:contextualSpacing/>
        <w:rPr>
          <w:rFonts w:ascii="Verdana" w:eastAsia="Calibri" w:hAnsi="Verdana" w:cs="Arial"/>
          <w:b/>
          <w:bCs/>
          <w:lang w:val="pt-BR" w:eastAsia="es-ES"/>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C2023" w:rsidRPr="002F7DE0" w14:paraId="59379ED0" w14:textId="77777777" w:rsidTr="00F33424">
        <w:trPr>
          <w:trHeight w:val="315"/>
        </w:trPr>
        <w:tc>
          <w:tcPr>
            <w:tcW w:w="893" w:type="dxa"/>
            <w:vAlign w:val="center"/>
            <w:hideMark/>
          </w:tcPr>
          <w:p w14:paraId="4EE14EF8" w14:textId="77777777" w:rsidR="00EC2023" w:rsidRPr="002F7DE0" w:rsidRDefault="00EC2023" w:rsidP="00F33424">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49F6612" w14:textId="77777777" w:rsidR="00EC2023" w:rsidRPr="002F7DE0" w:rsidRDefault="00EC2023" w:rsidP="00F33424">
            <w:pPr>
              <w:contextualSpacing/>
              <w:rPr>
                <w:rFonts w:ascii="Verdana" w:hAnsi="Verdana"/>
                <w:sz w:val="16"/>
                <w:szCs w:val="16"/>
              </w:rPr>
            </w:pPr>
            <w:r w:rsidRPr="002F7DE0">
              <w:rPr>
                <w:rFonts w:ascii="Verdana" w:hAnsi="Verdana"/>
                <w:sz w:val="16"/>
                <w:szCs w:val="16"/>
              </w:rPr>
              <w:t>Tatiana Baquero Iguarán</w:t>
            </w:r>
          </w:p>
          <w:p w14:paraId="621BA28B" w14:textId="77777777" w:rsidR="00EC2023" w:rsidRPr="002F7DE0" w:rsidRDefault="00EC2023" w:rsidP="00F33424">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EC2023" w:rsidRPr="002F7DE0" w14:paraId="58C1999C" w14:textId="77777777" w:rsidTr="00F33424">
        <w:trPr>
          <w:trHeight w:val="330"/>
        </w:trPr>
        <w:tc>
          <w:tcPr>
            <w:tcW w:w="893" w:type="dxa"/>
            <w:vAlign w:val="center"/>
            <w:hideMark/>
          </w:tcPr>
          <w:p w14:paraId="45D4761E" w14:textId="77777777" w:rsidR="00EC2023" w:rsidRPr="002F7DE0" w:rsidRDefault="00EC2023" w:rsidP="00F33424">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2C42D9A" w14:textId="77777777" w:rsidR="00EC2023" w:rsidRPr="002F7DE0" w:rsidRDefault="00EC2023" w:rsidP="00F33424">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3B16121C" w14:textId="77777777" w:rsidR="00EC2023" w:rsidRPr="002F7DE0" w:rsidRDefault="00EC2023" w:rsidP="00F33424">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EC2023" w:rsidRPr="002F7DE0" w14:paraId="36478C1C" w14:textId="77777777" w:rsidTr="00F33424">
        <w:trPr>
          <w:trHeight w:val="300"/>
        </w:trPr>
        <w:tc>
          <w:tcPr>
            <w:tcW w:w="893" w:type="dxa"/>
            <w:vAlign w:val="center"/>
          </w:tcPr>
          <w:p w14:paraId="162ED38F" w14:textId="77777777" w:rsidR="00EC2023" w:rsidRPr="002F7DE0" w:rsidRDefault="00EC2023" w:rsidP="00F33424">
            <w:pPr>
              <w:contextualSpacing/>
              <w:rPr>
                <w:rFonts w:ascii="Verdana" w:hAnsi="Verdana" w:cs="Arial"/>
                <w:sz w:val="16"/>
                <w:szCs w:val="16"/>
                <w:lang w:val="es-ES" w:eastAsia="es-ES"/>
              </w:rPr>
            </w:pPr>
            <w:r w:rsidRPr="002F7D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76DF48" w14:textId="77777777" w:rsidR="00EC2023" w:rsidRPr="002F7DE0" w:rsidRDefault="00EC2023" w:rsidP="00F33424">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William Javier Murcia </w:t>
            </w:r>
            <w:proofErr w:type="spellStart"/>
            <w:r>
              <w:rPr>
                <w:rFonts w:ascii="Verdana" w:eastAsia="Calibri" w:hAnsi="Verdana" w:cs="Arial"/>
                <w:sz w:val="16"/>
                <w:szCs w:val="16"/>
                <w:lang w:val="pt-BR" w:eastAsia="es-ES"/>
              </w:rPr>
              <w:t>Acevedo</w:t>
            </w:r>
            <w:proofErr w:type="spellEnd"/>
            <w:r>
              <w:rPr>
                <w:rFonts w:ascii="Verdana" w:eastAsia="Calibri" w:hAnsi="Verdana" w:cs="Arial"/>
                <w:sz w:val="16"/>
                <w:szCs w:val="16"/>
                <w:lang w:val="pt-BR" w:eastAsia="es-ES"/>
              </w:rPr>
              <w:t xml:space="preserve"> </w:t>
            </w:r>
          </w:p>
          <w:p w14:paraId="746087D2" w14:textId="65578486" w:rsidR="00EC2023" w:rsidRPr="002F7DE0" w:rsidRDefault="00EC2023" w:rsidP="00F33424">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t>Subdirector</w:t>
            </w:r>
            <w:r w:rsidRPr="002F7DE0">
              <w:rPr>
                <w:rFonts w:ascii="Verdana" w:eastAsia="Calibri" w:hAnsi="Verdana" w:cs="Arial"/>
                <w:sz w:val="16"/>
                <w:szCs w:val="16"/>
                <w:lang w:val="pt-BR" w:eastAsia="es-ES"/>
              </w:rPr>
              <w:t xml:space="preserve"> de Gestión </w:t>
            </w:r>
            <w:proofErr w:type="spellStart"/>
            <w:r w:rsidR="00030A14" w:rsidRPr="002F7DE0">
              <w:rPr>
                <w:rFonts w:ascii="Verdana" w:eastAsia="Calibri" w:hAnsi="Verdana" w:cs="Arial"/>
                <w:sz w:val="16"/>
                <w:szCs w:val="16"/>
                <w:lang w:val="pt-BR" w:eastAsia="es-ES"/>
              </w:rPr>
              <w:t>Contractual</w:t>
            </w:r>
            <w:proofErr w:type="spellEnd"/>
            <w:r w:rsidR="00030A14" w:rsidRPr="002F7DE0">
              <w:rPr>
                <w:rFonts w:ascii="Verdana" w:eastAsia="Calibri" w:hAnsi="Verdana" w:cs="Arial"/>
                <w:sz w:val="16"/>
                <w:szCs w:val="16"/>
                <w:lang w:val="pt-BR" w:eastAsia="es-ES"/>
              </w:rPr>
              <w:t xml:space="preserve"> </w:t>
            </w:r>
            <w:r w:rsidR="00030A14">
              <w:rPr>
                <w:rFonts w:ascii="Verdana" w:eastAsia="Calibri" w:hAnsi="Verdana" w:cs="Arial"/>
                <w:sz w:val="16"/>
                <w:szCs w:val="16"/>
                <w:lang w:val="pt-BR" w:eastAsia="es-ES"/>
              </w:rPr>
              <w:t>(</w:t>
            </w:r>
            <w:r>
              <w:rPr>
                <w:rFonts w:ascii="Verdana" w:eastAsia="Calibri" w:hAnsi="Verdana" w:cs="Arial"/>
                <w:sz w:val="16"/>
                <w:szCs w:val="16"/>
                <w:lang w:val="pt-BR" w:eastAsia="es-ES"/>
              </w:rPr>
              <w:t xml:space="preserve">E) </w:t>
            </w:r>
            <w:r w:rsidRPr="002F7DE0">
              <w:rPr>
                <w:rFonts w:ascii="Verdana" w:eastAsia="Calibri" w:hAnsi="Verdana" w:cs="Arial"/>
                <w:sz w:val="16"/>
                <w:szCs w:val="16"/>
                <w:lang w:val="pt-BR" w:eastAsia="es-ES"/>
              </w:rPr>
              <w:t xml:space="preserve">ANCP </w:t>
            </w:r>
            <w:r w:rsidR="00030A14">
              <w:rPr>
                <w:rFonts w:ascii="Verdana" w:eastAsia="Calibri" w:hAnsi="Verdana" w:cs="Arial"/>
                <w:sz w:val="16"/>
                <w:szCs w:val="16"/>
                <w:lang w:val="pt-BR" w:eastAsia="es-ES"/>
              </w:rPr>
              <w:t>-</w:t>
            </w:r>
            <w:r w:rsidRPr="002F7DE0">
              <w:rPr>
                <w:rFonts w:ascii="Verdana" w:eastAsia="Calibri" w:hAnsi="Verdana" w:cs="Arial"/>
                <w:sz w:val="16"/>
                <w:szCs w:val="16"/>
                <w:lang w:val="pt-BR" w:eastAsia="es-ES"/>
              </w:rPr>
              <w:t xml:space="preserve"> CCE</w:t>
            </w:r>
          </w:p>
        </w:tc>
      </w:tr>
    </w:tbl>
    <w:p w14:paraId="71D6DBB8" w14:textId="77777777" w:rsidR="00EC2023" w:rsidRPr="002F7DE0" w:rsidRDefault="00EC2023" w:rsidP="00EC2023">
      <w:pPr>
        <w:spacing w:after="0" w:line="240" w:lineRule="auto"/>
        <w:jc w:val="both"/>
        <w:textAlignment w:val="baseline"/>
        <w:rPr>
          <w:rFonts w:ascii="Verdana" w:eastAsia="Verdana" w:hAnsi="Verdana" w:cs="Verdana"/>
          <w:lang w:eastAsia="es-CO"/>
        </w:rPr>
      </w:pPr>
    </w:p>
    <w:p w14:paraId="5AB821F8" w14:textId="77777777" w:rsidR="00EC2023" w:rsidRPr="002F7DE0" w:rsidRDefault="00EC2023" w:rsidP="00EC2023">
      <w:pPr>
        <w:spacing w:after="0" w:line="240" w:lineRule="auto"/>
        <w:jc w:val="both"/>
        <w:textAlignment w:val="baseline"/>
        <w:rPr>
          <w:rFonts w:ascii="Verdana" w:eastAsia="Verdana" w:hAnsi="Verdana" w:cs="Verdana"/>
          <w:lang w:eastAsia="es-CO"/>
        </w:rPr>
      </w:pPr>
    </w:p>
    <w:p w14:paraId="64FC184F" w14:textId="77777777" w:rsidR="00EC2023" w:rsidRPr="00C534E3" w:rsidRDefault="00EC2023" w:rsidP="00EC2023">
      <w:pPr>
        <w:spacing w:after="0" w:line="240" w:lineRule="auto"/>
        <w:textAlignment w:val="baseline"/>
        <w:rPr>
          <w:rFonts w:ascii="Verdana" w:eastAsia="Verdana" w:hAnsi="Verdana" w:cs="Verdana"/>
          <w:lang w:eastAsia="es-CO"/>
        </w:rPr>
      </w:pPr>
      <w:r w:rsidRPr="002F7DE0">
        <w:rPr>
          <w:rFonts w:ascii="Verdana" w:eastAsia="Verdana" w:hAnsi="Verdana" w:cs="Verdana"/>
          <w:lang w:eastAsia="es-CO"/>
        </w:rPr>
        <w:t> </w:t>
      </w:r>
    </w:p>
    <w:p w14:paraId="363D7A26" w14:textId="77777777" w:rsidR="00EC2023" w:rsidRPr="002F7DE0" w:rsidRDefault="00EC2023" w:rsidP="00EC2023"/>
    <w:p w14:paraId="6F83C969" w14:textId="77777777" w:rsidR="00EC2023" w:rsidRPr="007034A3" w:rsidRDefault="00EC2023" w:rsidP="00EC2023"/>
    <w:p w14:paraId="0F293BF4" w14:textId="30CDBCBB" w:rsidR="00127233" w:rsidRPr="00EC2023" w:rsidRDefault="00127233" w:rsidP="00EC2023"/>
    <w:sectPr w:rsidR="00127233" w:rsidRPr="00EC2023"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5EF37" w14:textId="77777777" w:rsidR="002B2EF8" w:rsidRDefault="002B2EF8" w:rsidP="004A1847">
      <w:pPr>
        <w:spacing w:after="0" w:line="240" w:lineRule="auto"/>
      </w:pPr>
      <w:r>
        <w:separator/>
      </w:r>
    </w:p>
  </w:endnote>
  <w:endnote w:type="continuationSeparator" w:id="0">
    <w:p w14:paraId="4D1A46FA" w14:textId="77777777" w:rsidR="002B2EF8" w:rsidRDefault="002B2EF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5A6F1" w14:textId="77777777" w:rsidR="002B2EF8" w:rsidRDefault="002B2EF8" w:rsidP="004A1847">
      <w:pPr>
        <w:spacing w:after="0" w:line="240" w:lineRule="auto"/>
      </w:pPr>
      <w:r>
        <w:separator/>
      </w:r>
    </w:p>
  </w:footnote>
  <w:footnote w:type="continuationSeparator" w:id="0">
    <w:p w14:paraId="02BF3818" w14:textId="77777777" w:rsidR="002B2EF8" w:rsidRDefault="002B2EF8" w:rsidP="004A1847">
      <w:pPr>
        <w:spacing w:after="0" w:line="240" w:lineRule="auto"/>
      </w:pPr>
      <w:r>
        <w:continuationSeparator/>
      </w:r>
    </w:p>
  </w:footnote>
  <w:footnote w:id="1">
    <w:p w14:paraId="796BE113" w14:textId="77777777" w:rsidR="00EC2023" w:rsidRPr="00830C3C" w:rsidRDefault="00EC2023" w:rsidP="00EC2023">
      <w:pPr>
        <w:pStyle w:val="Textoindependiente"/>
        <w:ind w:firstLine="708"/>
        <w:jc w:val="both"/>
        <w:rPr>
          <w:rFonts w:ascii="Verdana" w:hAnsi="Verdana"/>
          <w:sz w:val="16"/>
          <w:szCs w:val="16"/>
        </w:rPr>
      </w:pPr>
      <w:r w:rsidRPr="00830C3C">
        <w:rPr>
          <w:rStyle w:val="Refdenotaalpie"/>
          <w:rFonts w:ascii="Verdana" w:hAnsi="Verdana"/>
          <w:sz w:val="16"/>
          <w:szCs w:val="16"/>
        </w:rPr>
        <w:footnoteRef/>
      </w:r>
      <w:r w:rsidRPr="00830C3C">
        <w:rPr>
          <w:rFonts w:ascii="Verdana" w:hAnsi="Verdana"/>
          <w:sz w:val="16"/>
          <w:szCs w:val="16"/>
        </w:rPr>
        <w:t xml:space="preserve"> </w:t>
      </w:r>
      <w:r w:rsidRPr="00830C3C">
        <w:rPr>
          <w:rFonts w:ascii="Verdana" w:hAnsi="Verdana"/>
          <w:sz w:val="16"/>
          <w:szCs w:val="16"/>
          <w:lang w:val="es-ES_tradnl"/>
        </w:rPr>
        <w:t xml:space="preserve">El artículo 2º define, para los efectos del ámbito de sujeción del estatuto, que se denominan entidades estatales: “a) </w:t>
      </w:r>
      <w:r w:rsidRPr="00830C3C">
        <w:rPr>
          <w:rFonts w:ascii="Verdana" w:hAnsi="Verdana"/>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2">
    <w:p w14:paraId="2080C219" w14:textId="77777777" w:rsidR="00EC2023" w:rsidRPr="003C7690" w:rsidRDefault="00EC2023" w:rsidP="00EC2023">
      <w:pPr>
        <w:spacing w:after="0" w:line="240" w:lineRule="auto"/>
        <w:ind w:firstLine="709"/>
        <w:jc w:val="both"/>
        <w:rPr>
          <w:rFonts w:ascii="Verdana" w:hAnsi="Verdana" w:cs="Arial"/>
          <w:sz w:val="16"/>
          <w:szCs w:val="16"/>
          <w:lang w:val="es-ES"/>
        </w:rPr>
      </w:pPr>
      <w:r w:rsidRPr="00C72227">
        <w:rPr>
          <w:rStyle w:val="Refdenotaalpie"/>
          <w:rFonts w:ascii="Verdana" w:hAnsi="Verdana" w:cs="Arial"/>
          <w:sz w:val="16"/>
          <w:szCs w:val="16"/>
        </w:rPr>
        <w:footnoteRef/>
      </w:r>
      <w:r w:rsidRPr="00C72227">
        <w:rPr>
          <w:rFonts w:ascii="Verdana" w:hAnsi="Verdana" w:cs="Arial"/>
          <w:sz w:val="16"/>
          <w:szCs w:val="16"/>
        </w:rPr>
        <w:t xml:space="preserve"> </w:t>
      </w:r>
      <w:r w:rsidRPr="00C72227">
        <w:rPr>
          <w:rFonts w:ascii="Verdana" w:hAnsi="Verdana" w:cs="Arial"/>
          <w:sz w:val="16"/>
          <w:szCs w:val="16"/>
          <w:lang w:val="es-ES"/>
        </w:rPr>
        <w:t>En efecto, este enunciado normativo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footnote>
  <w:footnote w:id="3">
    <w:p w14:paraId="06A2F388" w14:textId="77777777" w:rsidR="00EC2023" w:rsidRPr="00A932ED" w:rsidRDefault="00EC2023" w:rsidP="00EC2023">
      <w:pPr>
        <w:pStyle w:val="Textonotapie"/>
        <w:ind w:firstLine="709"/>
        <w:jc w:val="both"/>
        <w:rPr>
          <w:rFonts w:ascii="Verdana" w:hAnsi="Verdana" w:cs="Arial"/>
          <w:color w:val="000000" w:themeColor="text1"/>
          <w:sz w:val="16"/>
          <w:szCs w:val="16"/>
        </w:rPr>
      </w:pPr>
      <w:r w:rsidRPr="00A932ED">
        <w:rPr>
          <w:rStyle w:val="Refdenotaalpie"/>
          <w:rFonts w:ascii="Verdana" w:hAnsi="Verdana" w:cs="Arial"/>
          <w:sz w:val="16"/>
          <w:szCs w:val="16"/>
        </w:rPr>
        <w:footnoteRef/>
      </w:r>
      <w:r w:rsidRPr="00A932ED">
        <w:rPr>
          <w:rFonts w:ascii="Verdana" w:hAnsi="Verdana" w:cs="Arial"/>
          <w:color w:val="000000" w:themeColor="text1"/>
          <w:sz w:val="16"/>
          <w:szCs w:val="16"/>
        </w:rPr>
        <w:t xml:space="preserve"> Consejo de Estado. Sala de lo Contencioso Administrativo. Sección Tercera. Subsección B. Sentencia del 10 de mayo de 2018. Exp. 41.186. C.P. Stella Conto Díaz del Castillo.</w:t>
      </w:r>
    </w:p>
    <w:p w14:paraId="34654F98" w14:textId="77777777" w:rsidR="00EC2023" w:rsidRPr="00B41137" w:rsidRDefault="00EC2023" w:rsidP="00EC2023">
      <w:pPr>
        <w:pStyle w:val="Textonotapie"/>
        <w:ind w:firstLine="709"/>
        <w:jc w:val="both"/>
        <w:rPr>
          <w:rFonts w:ascii="Verdana" w:hAnsi="Verdana" w:cs="Arial"/>
          <w:color w:val="000000" w:themeColor="text1"/>
          <w:sz w:val="14"/>
          <w:szCs w:val="14"/>
          <w:lang w:val="es-ES"/>
        </w:rPr>
      </w:pPr>
    </w:p>
  </w:footnote>
  <w:footnote w:id="4">
    <w:p w14:paraId="2DAB53FC" w14:textId="77777777" w:rsidR="00EC2023" w:rsidRPr="004A5CC5" w:rsidRDefault="00EC2023" w:rsidP="00EC2023">
      <w:pPr>
        <w:pStyle w:val="Textonotapie"/>
        <w:ind w:firstLine="709"/>
        <w:jc w:val="both"/>
        <w:rPr>
          <w:rFonts w:ascii="Verdana" w:hAnsi="Verdana"/>
          <w:sz w:val="16"/>
          <w:szCs w:val="16"/>
        </w:rPr>
      </w:pPr>
      <w:r>
        <w:rPr>
          <w:rStyle w:val="Refdenotaalpie"/>
        </w:rPr>
        <w:footnoteRef/>
      </w:r>
      <w:r>
        <w:t xml:space="preserve"> </w:t>
      </w:r>
      <w:r w:rsidRPr="00905C7F">
        <w:rPr>
          <w:rFonts w:ascii="Verdana" w:hAnsi="Verdana"/>
          <w:sz w:val="16"/>
          <w:szCs w:val="16"/>
        </w:rPr>
        <w:t xml:space="preserve">Así lo establece la </w:t>
      </w:r>
      <w:r w:rsidRPr="0021556C">
        <w:rPr>
          <w:rFonts w:ascii="Verdana" w:hAnsi="Verdana"/>
          <w:sz w:val="16"/>
          <w:szCs w:val="16"/>
        </w:rPr>
        <w:t>Guía Operativa de la Modalidad de Hogar de Paso</w:t>
      </w:r>
      <w:r w:rsidRPr="00905C7F">
        <w:rPr>
          <w:rFonts w:ascii="Verdana" w:hAnsi="Verdana"/>
          <w:sz w:val="16"/>
          <w:szCs w:val="16"/>
          <w:lang w:val="es-CO"/>
        </w:rPr>
        <w:t xml:space="preserve"> </w:t>
      </w:r>
      <w:r w:rsidRPr="0021556C">
        <w:rPr>
          <w:rFonts w:ascii="Verdana" w:hAnsi="Verdana"/>
          <w:sz w:val="16"/>
          <w:szCs w:val="16"/>
          <w:lang w:val="es-CO"/>
        </w:rPr>
        <w:t>expedida por el Instituto Colombiano de Bienestar Familiar – ICBF</w:t>
      </w:r>
      <w:r w:rsidRPr="004A5CC5">
        <w:rPr>
          <w:rFonts w:ascii="Verdana" w:hAnsi="Verdana"/>
          <w:sz w:val="16"/>
          <w:szCs w:val="16"/>
        </w:rPr>
        <w:t xml:space="preserve">. Disponible </w:t>
      </w:r>
      <w:hyperlink r:id="rId1" w:history="1">
        <w:r w:rsidRPr="004A5CC5">
          <w:rPr>
            <w:rStyle w:val="Hipervnculo"/>
            <w:rFonts w:ascii="Verdana" w:hAnsi="Verdana"/>
            <w:sz w:val="16"/>
            <w:szCs w:val="16"/>
          </w:rPr>
          <w:t>Aquí</w:t>
        </w:r>
      </w:hyperlink>
    </w:p>
    <w:p w14:paraId="20C1B541" w14:textId="77777777" w:rsidR="00EC2023" w:rsidRPr="00905C7F" w:rsidRDefault="00EC2023" w:rsidP="00EC2023">
      <w:pPr>
        <w:pStyle w:val="Textonotapie"/>
        <w:rPr>
          <w:lang w:val="es-CO"/>
        </w:rPr>
      </w:pPr>
    </w:p>
  </w:footnote>
  <w:footnote w:id="5">
    <w:p w14:paraId="425335C3" w14:textId="77777777" w:rsidR="00EC2023" w:rsidRPr="00580420" w:rsidRDefault="00EC2023" w:rsidP="00EC2023">
      <w:pPr>
        <w:pStyle w:val="Textonotapie"/>
        <w:ind w:firstLine="709"/>
        <w:jc w:val="both"/>
        <w:rPr>
          <w:rFonts w:ascii="Verdana" w:hAnsi="Verdana"/>
          <w:sz w:val="16"/>
          <w:szCs w:val="16"/>
        </w:rPr>
      </w:pPr>
      <w:r w:rsidRPr="00580420">
        <w:rPr>
          <w:rStyle w:val="Refdenotaalpie"/>
          <w:rFonts w:ascii="Verdana" w:hAnsi="Verdana"/>
          <w:sz w:val="16"/>
          <w:szCs w:val="16"/>
        </w:rPr>
        <w:footnoteRef/>
      </w:r>
      <w:r w:rsidRPr="00580420">
        <w:rPr>
          <w:rFonts w:ascii="Verdana" w:hAnsi="Verdana"/>
          <w:sz w:val="16"/>
          <w:szCs w:val="16"/>
          <w:vertAlign w:val="superscript"/>
        </w:rPr>
        <w:t xml:space="preserve"> </w:t>
      </w:r>
      <w:r w:rsidRPr="00580420">
        <w:rPr>
          <w:rFonts w:ascii="Verdana" w:hAnsi="Verdana"/>
          <w:sz w:val="16"/>
          <w:szCs w:val="16"/>
        </w:rPr>
        <w:t xml:space="preserve"> Artículo 17. </w:t>
      </w:r>
      <w:r w:rsidRPr="00580420">
        <w:rPr>
          <w:rFonts w:ascii="Verdana" w:hAnsi="Verdana"/>
          <w:i/>
          <w:iCs/>
          <w:sz w:val="16"/>
          <w:szCs w:val="16"/>
        </w:rPr>
        <w:t>Derecho a la vida y a la calidad de vida y a un ambiente sano.</w:t>
      </w:r>
      <w:r w:rsidRPr="00580420">
        <w:rPr>
          <w:rFonts w:ascii="Verdana" w:hAnsi="Verdana"/>
          <w:sz w:val="16"/>
          <w:szCs w:val="16"/>
        </w:rPr>
        <w:t xml:space="preserve"> Los niños, las niñas y los adolescentes tienen derecho a la vida, a una buena calidad de vida y a un ambiente sano en condiciones de dignidad y goce de todos sus derechos en forma prevalente. La calidad de vida es esencial para su desarrollo integral acorde con la dignidad de ser humano. Este derecho supone la generación de condiciones que les aseguren desde la concepción cuidado, protección, alimentación nutritiva y equilibrada, acceso a los servicios de salud, educación, vestuario adecuado, recreación y vivienda segura dotada de servicios públicos esenciales en un ambiente sano. PARÁGRAFO. El Estado desarrollará políticas públicas orientadas hacia el fortalecimiento de la primera infancia.</w:t>
      </w:r>
    </w:p>
  </w:footnote>
  <w:footnote w:id="6">
    <w:p w14:paraId="0D4247B2" w14:textId="77777777" w:rsidR="00EC2023" w:rsidRDefault="00EC2023" w:rsidP="00EC2023">
      <w:pPr>
        <w:pStyle w:val="Textonotapie"/>
        <w:ind w:firstLine="708"/>
        <w:jc w:val="both"/>
        <w:rPr>
          <w:rFonts w:ascii="Verdana" w:hAnsi="Verdana" w:cs="Arial"/>
          <w:sz w:val="18"/>
          <w:szCs w:val="18"/>
        </w:rPr>
      </w:pPr>
      <w:r>
        <w:rPr>
          <w:rStyle w:val="Refdenotaalpie"/>
          <w:rFonts w:ascii="Verdana" w:hAnsi="Verdana" w:cs="Arial"/>
          <w:sz w:val="18"/>
          <w:szCs w:val="18"/>
        </w:rPr>
        <w:footnoteRef/>
      </w:r>
      <w:r>
        <w:rPr>
          <w:rFonts w:ascii="Verdana" w:hAnsi="Verdana" w:cs="Arial"/>
          <w:sz w:val="18"/>
          <w:szCs w:val="18"/>
        </w:rPr>
        <w:t xml:space="preserve"> Concepto del 3 de septiembre de 2019, con radicado No. 2201913000006512.</w:t>
      </w:r>
    </w:p>
    <w:p w14:paraId="42C52093" w14:textId="77777777" w:rsidR="00EC2023" w:rsidRDefault="00EC2023" w:rsidP="00EC2023">
      <w:pPr>
        <w:pStyle w:val="Textonotapie"/>
        <w:ind w:firstLine="708"/>
        <w:jc w:val="both"/>
        <w:rPr>
          <w:rFonts w:ascii="Verdana" w:hAnsi="Verdana" w:cs="Arial"/>
          <w:sz w:val="18"/>
          <w:szCs w:val="18"/>
        </w:rPr>
      </w:pPr>
    </w:p>
  </w:footnote>
  <w:footnote w:id="7">
    <w:p w14:paraId="1F7F87FD" w14:textId="77777777" w:rsidR="00EC2023" w:rsidRDefault="00EC2023" w:rsidP="00EC2023">
      <w:pPr>
        <w:pStyle w:val="Textonotapie"/>
        <w:ind w:firstLine="708"/>
        <w:jc w:val="both"/>
        <w:rPr>
          <w:rFonts w:ascii="Verdana" w:hAnsi="Verdana" w:cs="Arial"/>
          <w:sz w:val="18"/>
          <w:szCs w:val="18"/>
        </w:rPr>
      </w:pPr>
      <w:r>
        <w:rPr>
          <w:rStyle w:val="Refdenotaalpie"/>
          <w:rFonts w:ascii="Verdana" w:hAnsi="Verdana" w:cs="Arial"/>
          <w:sz w:val="18"/>
          <w:szCs w:val="18"/>
        </w:rPr>
        <w:footnoteRef/>
      </w:r>
      <w:r>
        <w:rPr>
          <w:rFonts w:ascii="Verdana" w:hAnsi="Verdana" w:cs="Arial"/>
          <w:sz w:val="18"/>
          <w:szCs w:val="18"/>
        </w:rPr>
        <w:t xml:space="preserve"> Sobre la naturaleza de los convenios de asociación, se reitera lo expuesto en el concepto del 19 de noviembre de 2019, con radicado No. 2201913000008611.</w:t>
      </w:r>
    </w:p>
  </w:footnote>
  <w:footnote w:id="8">
    <w:p w14:paraId="7A90AD8D" w14:textId="77777777" w:rsidR="00EC2023" w:rsidRDefault="00EC2023" w:rsidP="00EC2023">
      <w:pPr>
        <w:pStyle w:val="Textonotapie"/>
        <w:ind w:firstLine="708"/>
        <w:jc w:val="both"/>
        <w:rPr>
          <w:rFonts w:ascii="Verdana" w:hAnsi="Verdana" w:cs="Arial"/>
          <w:color w:val="000000" w:themeColor="text1"/>
          <w:sz w:val="18"/>
          <w:szCs w:val="18"/>
        </w:rPr>
      </w:pPr>
      <w:r>
        <w:rPr>
          <w:rStyle w:val="Refdenotaalpie"/>
          <w:rFonts w:ascii="Verdana" w:hAnsi="Verdana" w:cs="Arial"/>
          <w:color w:val="000000" w:themeColor="text1"/>
          <w:sz w:val="18"/>
          <w:szCs w:val="18"/>
        </w:rPr>
        <w:footnoteRef/>
      </w:r>
      <w:r>
        <w:rPr>
          <w:rFonts w:ascii="Verdana" w:hAnsi="Verdana" w:cs="Arial"/>
          <w:color w:val="000000" w:themeColor="text1"/>
          <w:sz w:val="18"/>
          <w:szCs w:val="18"/>
        </w:rPr>
        <w:t xml:space="preserve"> Cfr. Concepto del 21 de agosto de 2019, dictado dentro del radicado No. 2201913000006047.</w:t>
      </w:r>
    </w:p>
  </w:footnote>
  <w:footnote w:id="9">
    <w:p w14:paraId="1B5F06B7" w14:textId="77777777" w:rsidR="00EC2023" w:rsidRDefault="00EC2023" w:rsidP="00EC2023">
      <w:pPr>
        <w:pStyle w:val="Textonotapie"/>
        <w:ind w:firstLine="708"/>
        <w:jc w:val="both"/>
        <w:rPr>
          <w:rFonts w:ascii="Verdana" w:hAnsi="Verdana" w:cs="Arial"/>
          <w:color w:val="000000" w:themeColor="text1"/>
          <w:sz w:val="18"/>
          <w:szCs w:val="18"/>
        </w:rPr>
      </w:pPr>
      <w:r>
        <w:rPr>
          <w:rStyle w:val="Refdenotaalpie"/>
          <w:rFonts w:ascii="Verdana" w:hAnsi="Verdana" w:cs="Arial"/>
          <w:color w:val="000000" w:themeColor="text1"/>
          <w:sz w:val="18"/>
          <w:szCs w:val="18"/>
        </w:rPr>
        <w:footnoteRef/>
      </w:r>
      <w:r>
        <w:rPr>
          <w:rFonts w:ascii="Verdana" w:hAnsi="Verdana" w:cs="Arial"/>
          <w:color w:val="000000" w:themeColor="text1"/>
          <w:sz w:val="18"/>
          <w:szCs w:val="18"/>
        </w:rPr>
        <w:t xml:space="preserve"> Concepto del 24 de febrero de 2005, con radicado No. 1626, C.P. Dra. Gloria Duque Hernández. </w:t>
      </w:r>
    </w:p>
  </w:footnote>
  <w:footnote w:id="10">
    <w:p w14:paraId="27916423" w14:textId="77777777" w:rsidR="00EC2023" w:rsidRPr="00160F11" w:rsidRDefault="00EC2023" w:rsidP="00EC2023">
      <w:pPr>
        <w:pStyle w:val="Textonotapie"/>
        <w:ind w:firstLine="708"/>
        <w:jc w:val="both"/>
        <w:rPr>
          <w:rFonts w:ascii="Verdana" w:hAnsi="Verdana"/>
          <w:sz w:val="16"/>
          <w:szCs w:val="16"/>
          <w:lang w:val="es-CO"/>
        </w:rPr>
      </w:pPr>
      <w:r w:rsidRPr="00160F11">
        <w:rPr>
          <w:rStyle w:val="Refdenotaalpie"/>
          <w:rFonts w:ascii="Verdana" w:hAnsi="Verdana"/>
          <w:sz w:val="16"/>
          <w:szCs w:val="16"/>
        </w:rPr>
        <w:footnoteRef/>
      </w:r>
      <w:r w:rsidRPr="00160F11">
        <w:rPr>
          <w:rFonts w:ascii="Verdana" w:hAnsi="Verdana"/>
          <w:sz w:val="16"/>
          <w:szCs w:val="16"/>
        </w:rPr>
        <w:t xml:space="preserve"> Artículo 21 de la Ley 7 de 1979: “</w:t>
      </w:r>
      <w:r w:rsidRPr="00160F11">
        <w:rPr>
          <w:rFonts w:ascii="Verdana" w:hAnsi="Verdana"/>
          <w:bCs/>
          <w:sz w:val="16"/>
          <w:szCs w:val="16"/>
          <w:lang w:val="es-CO"/>
        </w:rPr>
        <w:t>Artículo veintiuno. </w:t>
      </w:r>
      <w:r w:rsidRPr="00160F11">
        <w:rPr>
          <w:rFonts w:ascii="Verdana" w:hAnsi="Verdana"/>
          <w:sz w:val="16"/>
          <w:szCs w:val="16"/>
          <w:lang w:val="es-CO"/>
        </w:rPr>
        <w:t>El Instituto Colombiano de Bienestar Familiar tendrá las siguientes funciones:</w:t>
      </w:r>
    </w:p>
    <w:p w14:paraId="0FBB5B66" w14:textId="77777777" w:rsidR="00EC2023" w:rsidRPr="00160F11" w:rsidRDefault="00EC2023" w:rsidP="00EC2023">
      <w:pPr>
        <w:pStyle w:val="Textonotapie"/>
        <w:ind w:firstLine="708"/>
        <w:jc w:val="both"/>
        <w:rPr>
          <w:rFonts w:ascii="Verdana" w:hAnsi="Verdana"/>
          <w:sz w:val="16"/>
          <w:szCs w:val="16"/>
          <w:lang w:val="es-CO"/>
        </w:rPr>
      </w:pPr>
      <w:r w:rsidRPr="00160F11">
        <w:rPr>
          <w:rFonts w:ascii="Verdana" w:hAnsi="Verdana"/>
          <w:sz w:val="16"/>
          <w:szCs w:val="16"/>
          <w:lang w:val="es-CO"/>
        </w:rPr>
        <w:t xml:space="preserve">[…] </w:t>
      </w:r>
    </w:p>
    <w:p w14:paraId="21AE12E0" w14:textId="77777777" w:rsidR="00EC2023" w:rsidRPr="00160F11" w:rsidRDefault="00EC2023" w:rsidP="00EC2023">
      <w:pPr>
        <w:pStyle w:val="Textonotapie"/>
        <w:ind w:firstLine="708"/>
        <w:jc w:val="both"/>
        <w:rPr>
          <w:rFonts w:ascii="Verdana" w:hAnsi="Verdana"/>
          <w:sz w:val="16"/>
          <w:szCs w:val="16"/>
          <w:lang w:val="es-CO"/>
        </w:rPr>
      </w:pPr>
      <w:r w:rsidRPr="00160F11">
        <w:rPr>
          <w:rFonts w:ascii="Verdana" w:hAnsi="Verdana"/>
          <w:sz w:val="16"/>
          <w:szCs w:val="16"/>
          <w:lang w:val="es-CO"/>
        </w:rPr>
        <w:t>9. Celebrar contratos con personas naturales o jurídicas, públicas o privadas, nacionales o internacionales para el manejo de sus campañas, de los establecimientos destinados a sus programas y en general para el desarrollo de su objetivo […]”</w:t>
      </w:r>
    </w:p>
  </w:footnote>
  <w:footnote w:id="11">
    <w:p w14:paraId="2E16E568" w14:textId="77777777" w:rsidR="00EC2023" w:rsidRPr="00160F11" w:rsidRDefault="00EC2023" w:rsidP="00EC2023">
      <w:pPr>
        <w:pStyle w:val="Textonotapie"/>
        <w:ind w:firstLine="708"/>
        <w:jc w:val="both"/>
        <w:rPr>
          <w:rFonts w:ascii="Verdana" w:hAnsi="Verdana"/>
          <w:sz w:val="16"/>
          <w:szCs w:val="16"/>
          <w:lang w:val="es-CO"/>
        </w:rPr>
      </w:pPr>
      <w:r w:rsidRPr="00160F11">
        <w:rPr>
          <w:rStyle w:val="Refdenotaalpie"/>
          <w:rFonts w:ascii="Verdana" w:hAnsi="Verdana"/>
          <w:sz w:val="16"/>
          <w:szCs w:val="16"/>
        </w:rPr>
        <w:footnoteRef/>
      </w:r>
      <w:r w:rsidRPr="00160F11">
        <w:rPr>
          <w:rFonts w:ascii="Verdana" w:hAnsi="Verdana"/>
          <w:sz w:val="16"/>
          <w:szCs w:val="16"/>
        </w:rPr>
        <w:t xml:space="preserve"> “</w:t>
      </w:r>
      <w:r w:rsidRPr="00160F11">
        <w:rPr>
          <w:rFonts w:ascii="Verdana" w:hAnsi="Verdana"/>
          <w:bCs/>
          <w:sz w:val="16"/>
          <w:szCs w:val="16"/>
          <w:lang w:val="es-CO"/>
        </w:rPr>
        <w:t>Artículo 2.4.3.2.9. </w:t>
      </w:r>
      <w:r w:rsidRPr="00160F11">
        <w:rPr>
          <w:rFonts w:ascii="Verdana" w:hAnsi="Verdana"/>
          <w:bCs/>
          <w:i/>
          <w:iCs/>
          <w:sz w:val="16"/>
          <w:szCs w:val="16"/>
          <w:lang w:val="es-CO"/>
        </w:rPr>
        <w:t>Organismo nacional responsable de la acreditación</w:t>
      </w:r>
      <w:r w:rsidRPr="00160F11">
        <w:rPr>
          <w:rFonts w:ascii="Verdana" w:hAnsi="Verdana"/>
          <w:b/>
          <w:bCs/>
          <w:i/>
          <w:iCs/>
          <w:sz w:val="16"/>
          <w:szCs w:val="16"/>
          <w:lang w:val="es-CO"/>
        </w:rPr>
        <w:t>.</w:t>
      </w:r>
      <w:r w:rsidRPr="00160F11">
        <w:rPr>
          <w:rFonts w:ascii="Verdana" w:hAnsi="Verdana"/>
          <w:sz w:val="16"/>
          <w:szCs w:val="16"/>
          <w:lang w:val="es-CO"/>
        </w:rPr>
        <w:t> Por la naturaleza especial del servicio de bienestar familiar, el ICBF podrá celebrar contratos de aporte, entendiéndose por tal cuando el Instituto se obliga a proveer a una institución de utilidad pública o social de los bienes (edificios, dineros, etc.) indispensables para la prestación total o parcial del servicio, actividad que se cumple bajo la exclusiva responsabilidad de la institución, con personal de su dependencia, pero de acuerdo con las normas y el control del Instituto Colombiano de Bienestar Familiar, su vigencia será anual, pero podrá prorrogarse de año en año”.</w:t>
      </w:r>
    </w:p>
    <w:p w14:paraId="3F6B8BF1" w14:textId="77777777" w:rsidR="00EC2023" w:rsidRPr="00160F11" w:rsidRDefault="00EC2023" w:rsidP="00EC2023">
      <w:pPr>
        <w:pStyle w:val="Textonotapie"/>
        <w:ind w:firstLine="708"/>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4F23121"/>
    <w:multiLevelType w:val="hybridMultilevel"/>
    <w:tmpl w:val="ED8EEBE6"/>
    <w:lvl w:ilvl="0" w:tplc="240A000F">
      <w:start w:val="1"/>
      <w:numFmt w:val="decimal"/>
      <w:lvlText w:val="%1."/>
      <w:lvlJc w:val="left"/>
      <w:pPr>
        <w:ind w:left="1429" w:hanging="360"/>
      </w:p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153255849">
    <w:abstractNumId w:val="9"/>
  </w:num>
  <w:num w:numId="17" w16cid:durableId="2028633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B9C"/>
    <w:rsid w:val="00016F78"/>
    <w:rsid w:val="00020F2F"/>
    <w:rsid w:val="00030A14"/>
    <w:rsid w:val="0003230C"/>
    <w:rsid w:val="000447CE"/>
    <w:rsid w:val="00046945"/>
    <w:rsid w:val="0005670E"/>
    <w:rsid w:val="0006006A"/>
    <w:rsid w:val="00061B2A"/>
    <w:rsid w:val="00065180"/>
    <w:rsid w:val="00082362"/>
    <w:rsid w:val="000877FD"/>
    <w:rsid w:val="0009617C"/>
    <w:rsid w:val="000A5B23"/>
    <w:rsid w:val="000A683E"/>
    <w:rsid w:val="000B19B9"/>
    <w:rsid w:val="000B5C2F"/>
    <w:rsid w:val="000C2E61"/>
    <w:rsid w:val="000D0334"/>
    <w:rsid w:val="000D5DA7"/>
    <w:rsid w:val="000E6350"/>
    <w:rsid w:val="000F3FA9"/>
    <w:rsid w:val="000F6486"/>
    <w:rsid w:val="001020CB"/>
    <w:rsid w:val="00105509"/>
    <w:rsid w:val="00105EA6"/>
    <w:rsid w:val="00116940"/>
    <w:rsid w:val="00125105"/>
    <w:rsid w:val="001271B3"/>
    <w:rsid w:val="00127233"/>
    <w:rsid w:val="001338C3"/>
    <w:rsid w:val="00137FD2"/>
    <w:rsid w:val="00143E00"/>
    <w:rsid w:val="00155E35"/>
    <w:rsid w:val="0015699B"/>
    <w:rsid w:val="00175FDD"/>
    <w:rsid w:val="001A33BF"/>
    <w:rsid w:val="001B3DD1"/>
    <w:rsid w:val="001C1152"/>
    <w:rsid w:val="001C235F"/>
    <w:rsid w:val="001D5174"/>
    <w:rsid w:val="001E4177"/>
    <w:rsid w:val="001F0B24"/>
    <w:rsid w:val="001F3A18"/>
    <w:rsid w:val="001F7DC6"/>
    <w:rsid w:val="00202BD6"/>
    <w:rsid w:val="00203151"/>
    <w:rsid w:val="0022400B"/>
    <w:rsid w:val="00234923"/>
    <w:rsid w:val="002365C7"/>
    <w:rsid w:val="00240E69"/>
    <w:rsid w:val="00241272"/>
    <w:rsid w:val="002421BB"/>
    <w:rsid w:val="00243021"/>
    <w:rsid w:val="002471DC"/>
    <w:rsid w:val="002557B2"/>
    <w:rsid w:val="00256D02"/>
    <w:rsid w:val="0025796E"/>
    <w:rsid w:val="002707A2"/>
    <w:rsid w:val="00272FF5"/>
    <w:rsid w:val="0027549B"/>
    <w:rsid w:val="00280702"/>
    <w:rsid w:val="00282D0E"/>
    <w:rsid w:val="00283BA9"/>
    <w:rsid w:val="00283DE4"/>
    <w:rsid w:val="00287074"/>
    <w:rsid w:val="00294A36"/>
    <w:rsid w:val="002950E8"/>
    <w:rsid w:val="002951A0"/>
    <w:rsid w:val="002962BC"/>
    <w:rsid w:val="002A093D"/>
    <w:rsid w:val="002A0DD0"/>
    <w:rsid w:val="002A49AC"/>
    <w:rsid w:val="002A64FD"/>
    <w:rsid w:val="002B2EF8"/>
    <w:rsid w:val="002C0E06"/>
    <w:rsid w:val="002C1DA2"/>
    <w:rsid w:val="002C5A9D"/>
    <w:rsid w:val="002C7A84"/>
    <w:rsid w:val="002D25CF"/>
    <w:rsid w:val="002D4EC3"/>
    <w:rsid w:val="002E2BF8"/>
    <w:rsid w:val="002E3212"/>
    <w:rsid w:val="002E4FD9"/>
    <w:rsid w:val="002F4775"/>
    <w:rsid w:val="002F5B2F"/>
    <w:rsid w:val="003017EE"/>
    <w:rsid w:val="0030657A"/>
    <w:rsid w:val="00322A85"/>
    <w:rsid w:val="00324168"/>
    <w:rsid w:val="003253E5"/>
    <w:rsid w:val="00330834"/>
    <w:rsid w:val="003448F4"/>
    <w:rsid w:val="00352889"/>
    <w:rsid w:val="00353FAE"/>
    <w:rsid w:val="00356922"/>
    <w:rsid w:val="0035708F"/>
    <w:rsid w:val="0036548C"/>
    <w:rsid w:val="003719B9"/>
    <w:rsid w:val="00373324"/>
    <w:rsid w:val="00373450"/>
    <w:rsid w:val="00374F5E"/>
    <w:rsid w:val="00377E3E"/>
    <w:rsid w:val="00380BBC"/>
    <w:rsid w:val="00383412"/>
    <w:rsid w:val="00391D4E"/>
    <w:rsid w:val="00392A51"/>
    <w:rsid w:val="003A45EC"/>
    <w:rsid w:val="003A6421"/>
    <w:rsid w:val="003A6FF4"/>
    <w:rsid w:val="003A779E"/>
    <w:rsid w:val="003B3412"/>
    <w:rsid w:val="003B77F2"/>
    <w:rsid w:val="003C0FDC"/>
    <w:rsid w:val="003C329A"/>
    <w:rsid w:val="003D0F4D"/>
    <w:rsid w:val="003D1E47"/>
    <w:rsid w:val="003D5B0D"/>
    <w:rsid w:val="003E0499"/>
    <w:rsid w:val="003E0A6C"/>
    <w:rsid w:val="003E271A"/>
    <w:rsid w:val="003E4F80"/>
    <w:rsid w:val="003E6439"/>
    <w:rsid w:val="003E739F"/>
    <w:rsid w:val="003F3941"/>
    <w:rsid w:val="004008E5"/>
    <w:rsid w:val="004014D4"/>
    <w:rsid w:val="00402700"/>
    <w:rsid w:val="00406575"/>
    <w:rsid w:val="00407830"/>
    <w:rsid w:val="00414C74"/>
    <w:rsid w:val="00421CE9"/>
    <w:rsid w:val="0042722E"/>
    <w:rsid w:val="004320AA"/>
    <w:rsid w:val="004417A8"/>
    <w:rsid w:val="0044528D"/>
    <w:rsid w:val="00466E39"/>
    <w:rsid w:val="0046704F"/>
    <w:rsid w:val="004721CD"/>
    <w:rsid w:val="00494C00"/>
    <w:rsid w:val="00495BB0"/>
    <w:rsid w:val="0049749E"/>
    <w:rsid w:val="004A1847"/>
    <w:rsid w:val="004A305D"/>
    <w:rsid w:val="004B65B2"/>
    <w:rsid w:val="004F21C4"/>
    <w:rsid w:val="004F2D5D"/>
    <w:rsid w:val="004F685F"/>
    <w:rsid w:val="004F6BBC"/>
    <w:rsid w:val="00507FE6"/>
    <w:rsid w:val="00514B78"/>
    <w:rsid w:val="00522CAA"/>
    <w:rsid w:val="005365E1"/>
    <w:rsid w:val="005566E8"/>
    <w:rsid w:val="00574867"/>
    <w:rsid w:val="00577162"/>
    <w:rsid w:val="0058513D"/>
    <w:rsid w:val="00591460"/>
    <w:rsid w:val="00591B3D"/>
    <w:rsid w:val="005A65E0"/>
    <w:rsid w:val="005B4D41"/>
    <w:rsid w:val="005C3777"/>
    <w:rsid w:val="005C5CDC"/>
    <w:rsid w:val="005D0735"/>
    <w:rsid w:val="005D476C"/>
    <w:rsid w:val="005E0366"/>
    <w:rsid w:val="005E7A86"/>
    <w:rsid w:val="005F1BC9"/>
    <w:rsid w:val="00603C5A"/>
    <w:rsid w:val="006158A1"/>
    <w:rsid w:val="006200BF"/>
    <w:rsid w:val="0062095D"/>
    <w:rsid w:val="006219F8"/>
    <w:rsid w:val="006302F7"/>
    <w:rsid w:val="006362DC"/>
    <w:rsid w:val="006378B7"/>
    <w:rsid w:val="00641762"/>
    <w:rsid w:val="00646B9F"/>
    <w:rsid w:val="00655D2B"/>
    <w:rsid w:val="0065709B"/>
    <w:rsid w:val="00660564"/>
    <w:rsid w:val="00661F75"/>
    <w:rsid w:val="00665D70"/>
    <w:rsid w:val="00671FFE"/>
    <w:rsid w:val="00673957"/>
    <w:rsid w:val="00674AA9"/>
    <w:rsid w:val="0067669F"/>
    <w:rsid w:val="006900D9"/>
    <w:rsid w:val="006A19B7"/>
    <w:rsid w:val="006A30FB"/>
    <w:rsid w:val="006A69AF"/>
    <w:rsid w:val="006C44DF"/>
    <w:rsid w:val="006E6BFC"/>
    <w:rsid w:val="006F1897"/>
    <w:rsid w:val="00706C16"/>
    <w:rsid w:val="00721680"/>
    <w:rsid w:val="0072234D"/>
    <w:rsid w:val="00731FBF"/>
    <w:rsid w:val="007340C3"/>
    <w:rsid w:val="0073426A"/>
    <w:rsid w:val="0075235A"/>
    <w:rsid w:val="00756841"/>
    <w:rsid w:val="00760FE8"/>
    <w:rsid w:val="007649AB"/>
    <w:rsid w:val="00771D0C"/>
    <w:rsid w:val="00772F0C"/>
    <w:rsid w:val="007766DA"/>
    <w:rsid w:val="00776C9B"/>
    <w:rsid w:val="007833AC"/>
    <w:rsid w:val="007912BD"/>
    <w:rsid w:val="00795FA8"/>
    <w:rsid w:val="007A18B3"/>
    <w:rsid w:val="007A1CB9"/>
    <w:rsid w:val="007A68F1"/>
    <w:rsid w:val="007B268C"/>
    <w:rsid w:val="007B7171"/>
    <w:rsid w:val="007C0A0A"/>
    <w:rsid w:val="007C0C0F"/>
    <w:rsid w:val="007C3DC2"/>
    <w:rsid w:val="007C74DF"/>
    <w:rsid w:val="007E5497"/>
    <w:rsid w:val="007E62C5"/>
    <w:rsid w:val="00806F5F"/>
    <w:rsid w:val="00820278"/>
    <w:rsid w:val="008258C9"/>
    <w:rsid w:val="0083119F"/>
    <w:rsid w:val="0083230D"/>
    <w:rsid w:val="00832EBB"/>
    <w:rsid w:val="00833B4F"/>
    <w:rsid w:val="00844AE9"/>
    <w:rsid w:val="00852994"/>
    <w:rsid w:val="008540D9"/>
    <w:rsid w:val="00862752"/>
    <w:rsid w:val="008627C0"/>
    <w:rsid w:val="00867F95"/>
    <w:rsid w:val="00876CE4"/>
    <w:rsid w:val="008779CB"/>
    <w:rsid w:val="008843B6"/>
    <w:rsid w:val="0088453A"/>
    <w:rsid w:val="00891928"/>
    <w:rsid w:val="00893DB4"/>
    <w:rsid w:val="00894E3F"/>
    <w:rsid w:val="008A446D"/>
    <w:rsid w:val="008A58BB"/>
    <w:rsid w:val="008A67FF"/>
    <w:rsid w:val="008B25F1"/>
    <w:rsid w:val="008B485F"/>
    <w:rsid w:val="008C6EC9"/>
    <w:rsid w:val="008D180B"/>
    <w:rsid w:val="008D7A03"/>
    <w:rsid w:val="008F0EA7"/>
    <w:rsid w:val="008F4C29"/>
    <w:rsid w:val="008F4F27"/>
    <w:rsid w:val="00923EEF"/>
    <w:rsid w:val="00937049"/>
    <w:rsid w:val="009419F9"/>
    <w:rsid w:val="00943CC5"/>
    <w:rsid w:val="0095685E"/>
    <w:rsid w:val="00961020"/>
    <w:rsid w:val="00961B09"/>
    <w:rsid w:val="00962C32"/>
    <w:rsid w:val="00965334"/>
    <w:rsid w:val="0097093E"/>
    <w:rsid w:val="00994A22"/>
    <w:rsid w:val="0099567D"/>
    <w:rsid w:val="009A007E"/>
    <w:rsid w:val="009A0DFA"/>
    <w:rsid w:val="009A1C6F"/>
    <w:rsid w:val="009B2D26"/>
    <w:rsid w:val="009C6363"/>
    <w:rsid w:val="009C71A3"/>
    <w:rsid w:val="009C71BC"/>
    <w:rsid w:val="009C71FA"/>
    <w:rsid w:val="009C72E7"/>
    <w:rsid w:val="009C7F7E"/>
    <w:rsid w:val="009D3058"/>
    <w:rsid w:val="009D5994"/>
    <w:rsid w:val="009F1F29"/>
    <w:rsid w:val="009F3A13"/>
    <w:rsid w:val="00A114A3"/>
    <w:rsid w:val="00A11C5C"/>
    <w:rsid w:val="00A122D3"/>
    <w:rsid w:val="00A14468"/>
    <w:rsid w:val="00A17F13"/>
    <w:rsid w:val="00A20739"/>
    <w:rsid w:val="00A23AF9"/>
    <w:rsid w:val="00A23D28"/>
    <w:rsid w:val="00A27A8F"/>
    <w:rsid w:val="00A33C78"/>
    <w:rsid w:val="00A53E71"/>
    <w:rsid w:val="00A57044"/>
    <w:rsid w:val="00A72E19"/>
    <w:rsid w:val="00A77B97"/>
    <w:rsid w:val="00A80CA6"/>
    <w:rsid w:val="00A8612B"/>
    <w:rsid w:val="00A94B28"/>
    <w:rsid w:val="00AA27BE"/>
    <w:rsid w:val="00AB0ADB"/>
    <w:rsid w:val="00AB20B8"/>
    <w:rsid w:val="00AE25F8"/>
    <w:rsid w:val="00AE38B4"/>
    <w:rsid w:val="00AE7F78"/>
    <w:rsid w:val="00B0022A"/>
    <w:rsid w:val="00B00C0E"/>
    <w:rsid w:val="00B01B1A"/>
    <w:rsid w:val="00B0381D"/>
    <w:rsid w:val="00B04C70"/>
    <w:rsid w:val="00B20059"/>
    <w:rsid w:val="00B21FF6"/>
    <w:rsid w:val="00B27C48"/>
    <w:rsid w:val="00B353D9"/>
    <w:rsid w:val="00B44A47"/>
    <w:rsid w:val="00B47D85"/>
    <w:rsid w:val="00B61A7C"/>
    <w:rsid w:val="00B72CD3"/>
    <w:rsid w:val="00B72FFF"/>
    <w:rsid w:val="00B8577C"/>
    <w:rsid w:val="00BA0125"/>
    <w:rsid w:val="00BA3230"/>
    <w:rsid w:val="00BA4F33"/>
    <w:rsid w:val="00BB28A1"/>
    <w:rsid w:val="00BC3D36"/>
    <w:rsid w:val="00BD238A"/>
    <w:rsid w:val="00BD54A6"/>
    <w:rsid w:val="00BD7F72"/>
    <w:rsid w:val="00BF1272"/>
    <w:rsid w:val="00BF2455"/>
    <w:rsid w:val="00BF7425"/>
    <w:rsid w:val="00C04FB3"/>
    <w:rsid w:val="00C11D8B"/>
    <w:rsid w:val="00C15139"/>
    <w:rsid w:val="00C314B5"/>
    <w:rsid w:val="00C329DA"/>
    <w:rsid w:val="00C32A88"/>
    <w:rsid w:val="00C330EB"/>
    <w:rsid w:val="00C3388A"/>
    <w:rsid w:val="00C50D69"/>
    <w:rsid w:val="00C5365C"/>
    <w:rsid w:val="00C57C80"/>
    <w:rsid w:val="00C7285F"/>
    <w:rsid w:val="00C754BE"/>
    <w:rsid w:val="00C76B1C"/>
    <w:rsid w:val="00C81F8E"/>
    <w:rsid w:val="00C84BFD"/>
    <w:rsid w:val="00C925AC"/>
    <w:rsid w:val="00C9753E"/>
    <w:rsid w:val="00CB1FF1"/>
    <w:rsid w:val="00CB6357"/>
    <w:rsid w:val="00CC1B26"/>
    <w:rsid w:val="00CD43A1"/>
    <w:rsid w:val="00CE595E"/>
    <w:rsid w:val="00CF24C1"/>
    <w:rsid w:val="00D018A1"/>
    <w:rsid w:val="00D0745D"/>
    <w:rsid w:val="00D12610"/>
    <w:rsid w:val="00D361FD"/>
    <w:rsid w:val="00D423A2"/>
    <w:rsid w:val="00D44E26"/>
    <w:rsid w:val="00D456A6"/>
    <w:rsid w:val="00D50F33"/>
    <w:rsid w:val="00D5137B"/>
    <w:rsid w:val="00D520D8"/>
    <w:rsid w:val="00D613CD"/>
    <w:rsid w:val="00D63AC2"/>
    <w:rsid w:val="00D72768"/>
    <w:rsid w:val="00D7383B"/>
    <w:rsid w:val="00D7788A"/>
    <w:rsid w:val="00D82A86"/>
    <w:rsid w:val="00D96D9E"/>
    <w:rsid w:val="00D97D2E"/>
    <w:rsid w:val="00DA231B"/>
    <w:rsid w:val="00DB442A"/>
    <w:rsid w:val="00DC13D8"/>
    <w:rsid w:val="00DC1D93"/>
    <w:rsid w:val="00DC39FC"/>
    <w:rsid w:val="00DC57E0"/>
    <w:rsid w:val="00DE06A1"/>
    <w:rsid w:val="00DE4464"/>
    <w:rsid w:val="00DE532F"/>
    <w:rsid w:val="00DE5BF4"/>
    <w:rsid w:val="00DF319B"/>
    <w:rsid w:val="00DF5254"/>
    <w:rsid w:val="00E0208C"/>
    <w:rsid w:val="00E02187"/>
    <w:rsid w:val="00E02524"/>
    <w:rsid w:val="00E15AF3"/>
    <w:rsid w:val="00E16408"/>
    <w:rsid w:val="00E17BB8"/>
    <w:rsid w:val="00E20894"/>
    <w:rsid w:val="00E245AB"/>
    <w:rsid w:val="00E2764C"/>
    <w:rsid w:val="00E27BC5"/>
    <w:rsid w:val="00E27F2E"/>
    <w:rsid w:val="00E32DA2"/>
    <w:rsid w:val="00E46409"/>
    <w:rsid w:val="00E50AFE"/>
    <w:rsid w:val="00E61FD7"/>
    <w:rsid w:val="00E75C92"/>
    <w:rsid w:val="00E771DC"/>
    <w:rsid w:val="00E81542"/>
    <w:rsid w:val="00E8334E"/>
    <w:rsid w:val="00E83BC1"/>
    <w:rsid w:val="00E8690A"/>
    <w:rsid w:val="00E8772A"/>
    <w:rsid w:val="00E90F6B"/>
    <w:rsid w:val="00E92C27"/>
    <w:rsid w:val="00EA0E3D"/>
    <w:rsid w:val="00EC2023"/>
    <w:rsid w:val="00EC38A7"/>
    <w:rsid w:val="00EC77A5"/>
    <w:rsid w:val="00ED0591"/>
    <w:rsid w:val="00ED1FCE"/>
    <w:rsid w:val="00EE1AA8"/>
    <w:rsid w:val="00EF0E1A"/>
    <w:rsid w:val="00F044FE"/>
    <w:rsid w:val="00F058E8"/>
    <w:rsid w:val="00F06F68"/>
    <w:rsid w:val="00F1401E"/>
    <w:rsid w:val="00F23FEA"/>
    <w:rsid w:val="00F24DE7"/>
    <w:rsid w:val="00F31EDC"/>
    <w:rsid w:val="00F462B3"/>
    <w:rsid w:val="00F5664F"/>
    <w:rsid w:val="00F65FCE"/>
    <w:rsid w:val="00F666C4"/>
    <w:rsid w:val="00F7221F"/>
    <w:rsid w:val="00F76AFC"/>
    <w:rsid w:val="00F908D5"/>
    <w:rsid w:val="00F93941"/>
    <w:rsid w:val="00FA47C0"/>
    <w:rsid w:val="00FB1006"/>
    <w:rsid w:val="00FB1B13"/>
    <w:rsid w:val="00FB3D2C"/>
    <w:rsid w:val="00FB5DD1"/>
    <w:rsid w:val="00FC2B5D"/>
    <w:rsid w:val="00FC598E"/>
    <w:rsid w:val="00FC7C09"/>
    <w:rsid w:val="00FC7CE4"/>
    <w:rsid w:val="00FE4B01"/>
    <w:rsid w:val="00FF08D0"/>
    <w:rsid w:val="00FF1449"/>
    <w:rsid w:val="00FF4F3A"/>
    <w:rsid w:val="00FF5C8C"/>
    <w:rsid w:val="00FF7963"/>
    <w:rsid w:val="071B8F93"/>
    <w:rsid w:val="09908A09"/>
    <w:rsid w:val="0FF4CCA8"/>
    <w:rsid w:val="13CFC91B"/>
    <w:rsid w:val="19A2EC2C"/>
    <w:rsid w:val="2859CA1B"/>
    <w:rsid w:val="32A4F9CF"/>
    <w:rsid w:val="356CEDFD"/>
    <w:rsid w:val="4CFD7942"/>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B2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E0A6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E0A6C"/>
    <w:rPr>
      <w:rFonts w:ascii="Geomanist Light" w:hAnsi="Geomanist Light"/>
      <w:lang w:val="es-ES"/>
    </w:rPr>
  </w:style>
  <w:style w:type="paragraph" w:styleId="Textoindependiente">
    <w:name w:val="Body Text"/>
    <w:basedOn w:val="Normal"/>
    <w:link w:val="TextoindependienteCar"/>
    <w:uiPriority w:val="1"/>
    <w:unhideWhenUsed/>
    <w:qFormat/>
    <w:rsid w:val="003E0A6C"/>
    <w:pPr>
      <w:spacing w:after="120"/>
    </w:pPr>
  </w:style>
  <w:style w:type="character" w:customStyle="1" w:styleId="TextoindependienteCar">
    <w:name w:val="Texto independiente Car"/>
    <w:basedOn w:val="Fuentedeprrafopredeter"/>
    <w:link w:val="Textoindependiente"/>
    <w:uiPriority w:val="1"/>
    <w:rsid w:val="003E0A6C"/>
  </w:style>
  <w:style w:type="character" w:styleId="Refdecomentario">
    <w:name w:val="annotation reference"/>
    <w:basedOn w:val="Fuentedeprrafopredeter"/>
    <w:uiPriority w:val="99"/>
    <w:semiHidden/>
    <w:unhideWhenUsed/>
    <w:rsid w:val="003B3412"/>
    <w:rPr>
      <w:sz w:val="16"/>
      <w:szCs w:val="16"/>
    </w:rPr>
  </w:style>
  <w:style w:type="paragraph" w:styleId="Textocomentario">
    <w:name w:val="annotation text"/>
    <w:basedOn w:val="Normal"/>
    <w:link w:val="TextocomentarioCar"/>
    <w:uiPriority w:val="99"/>
    <w:unhideWhenUsed/>
    <w:rsid w:val="003B3412"/>
    <w:pPr>
      <w:spacing w:line="240" w:lineRule="auto"/>
    </w:pPr>
    <w:rPr>
      <w:sz w:val="20"/>
      <w:szCs w:val="20"/>
    </w:rPr>
  </w:style>
  <w:style w:type="character" w:customStyle="1" w:styleId="TextocomentarioCar">
    <w:name w:val="Texto comentario Car"/>
    <w:basedOn w:val="Fuentedeprrafopredeter"/>
    <w:link w:val="Textocomentario"/>
    <w:uiPriority w:val="99"/>
    <w:rsid w:val="003B3412"/>
    <w:rPr>
      <w:sz w:val="20"/>
      <w:szCs w:val="20"/>
    </w:rPr>
  </w:style>
  <w:style w:type="paragraph" w:styleId="Asuntodelcomentario">
    <w:name w:val="annotation subject"/>
    <w:basedOn w:val="Textocomentario"/>
    <w:next w:val="Textocomentario"/>
    <w:link w:val="AsuntodelcomentarioCar"/>
    <w:uiPriority w:val="99"/>
    <w:semiHidden/>
    <w:unhideWhenUsed/>
    <w:rsid w:val="003B3412"/>
    <w:rPr>
      <w:b/>
      <w:bCs/>
    </w:rPr>
  </w:style>
  <w:style w:type="character" w:customStyle="1" w:styleId="AsuntodelcomentarioCar">
    <w:name w:val="Asunto del comentario Car"/>
    <w:basedOn w:val="TextocomentarioCar"/>
    <w:link w:val="Asuntodelcomentario"/>
    <w:uiPriority w:val="99"/>
    <w:semiHidden/>
    <w:rsid w:val="003B3412"/>
    <w:rPr>
      <w:b/>
      <w:bCs/>
      <w:sz w:val="20"/>
      <w:szCs w:val="20"/>
    </w:rPr>
  </w:style>
  <w:style w:type="paragraph" w:styleId="Sinespaciado">
    <w:name w:val="No Spacing"/>
    <w:aliases w:val="No Indent"/>
    <w:uiPriority w:val="3"/>
    <w:qFormat/>
    <w:rsid w:val="003B77F2"/>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cbf.gov.co/system/files/guia_operativa_hogar_de_paso_revisado_0.pdf" TargetMode="External"/><Relationship Id="rId18"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webSettings" Target="webSettings.xml"/><Relationship Id="rId12" Type="http://schemas.openxmlformats.org/officeDocument/2006/relationships/hyperlink" Target="http://www.secretariasenado.gov.co/senado/basedoc/ley_0080_1993.html" TargetMode="External"/><Relationship Id="rId17"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marianoleal@g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3"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yperlink" Target="mailto:ventanilladeradicacion@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icbf.gov.co/system/files/guia_operativa_hogar_de_paso_revisado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E5737C1-8D19-4CB0-ACF4-7263F5875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28</Pages>
  <Words>10010</Words>
  <Characters>55061</Characters>
  <Application>Microsoft Office Word</Application>
  <DocSecurity>0</DocSecurity>
  <Lines>458</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2026-10-20T16:09:00Z</dcterms:created>
  <dcterms:modified xsi:type="dcterms:W3CDTF">2026-10-20T19:19:00Z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