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0C1995" w14:textId="70848C26" w:rsidR="000F6CA2" w:rsidRPr="000F6CA2" w:rsidRDefault="000F6CA2" w:rsidP="00B60949">
      <w:pPr>
        <w:spacing w:after="0"/>
        <w:jc w:val="both"/>
        <w:rPr>
          <w:rFonts w:ascii="Verdana" w:eastAsia="Verdana" w:hAnsi="Verdana" w:cs="Verdana"/>
        </w:rPr>
      </w:pPr>
      <w:bookmarkStart w:id="0" w:name="_Hlk143780582"/>
      <w:r w:rsidRPr="000F6CA2">
        <w:rPr>
          <w:rFonts w:ascii="Verdana" w:eastAsia="Calibri" w:hAnsi="Verdana" w:cs="Times New Roman"/>
          <w:b/>
          <w:bCs/>
          <w:lang w:val="es-ES"/>
        </w:rPr>
        <w:t>DOCUMENTOS TIPO – Inalterabilidad – Alcance</w:t>
      </w:r>
    </w:p>
    <w:p w14:paraId="713E44D7" w14:textId="77777777" w:rsidR="000F6CA2" w:rsidRPr="000F6CA2" w:rsidRDefault="000F6CA2" w:rsidP="000F6CA2">
      <w:pPr>
        <w:spacing w:after="0" w:line="240" w:lineRule="auto"/>
        <w:jc w:val="both"/>
        <w:rPr>
          <w:rFonts w:ascii="Verdana" w:eastAsia="Calibri" w:hAnsi="Verdana" w:cs="Times New Roman"/>
          <w:b/>
          <w:bCs/>
          <w:lang w:val="es-ES"/>
        </w:rPr>
      </w:pPr>
    </w:p>
    <w:p w14:paraId="7CE3D287" w14:textId="77777777" w:rsidR="000F6CA2" w:rsidRPr="000F6CA2" w:rsidRDefault="000F6CA2" w:rsidP="000F6CA2">
      <w:pPr>
        <w:tabs>
          <w:tab w:val="center" w:pos="4419"/>
          <w:tab w:val="right" w:pos="8838"/>
        </w:tabs>
        <w:spacing w:after="0" w:line="240" w:lineRule="auto"/>
        <w:jc w:val="both"/>
        <w:rPr>
          <w:rFonts w:ascii="Verdana" w:eastAsia="Calibri" w:hAnsi="Verdana" w:cs="Arial"/>
          <w:color w:val="000000"/>
          <w:sz w:val="20"/>
          <w:szCs w:val="20"/>
          <w:lang w:val="es-ES"/>
        </w:rPr>
      </w:pPr>
      <w:r w:rsidRPr="000F6CA2">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0F6CA2">
        <w:rPr>
          <w:rFonts w:ascii="Verdana" w:eastAsia="Calibri" w:hAnsi="Verdana" w:cs="Arial"/>
          <w:i/>
          <w:iCs/>
          <w:color w:val="000000"/>
          <w:sz w:val="20"/>
          <w:szCs w:val="20"/>
          <w:lang w:val="es-ES"/>
        </w:rPr>
        <w:t>Documentos del Proceso</w:t>
      </w:r>
      <w:r w:rsidRPr="000F6CA2">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B1090EF" w14:textId="77777777" w:rsidR="000F6CA2" w:rsidRPr="000F6CA2" w:rsidRDefault="000F6CA2" w:rsidP="000F6CA2">
      <w:pPr>
        <w:spacing w:after="0" w:line="240" w:lineRule="auto"/>
        <w:jc w:val="both"/>
        <w:rPr>
          <w:rFonts w:ascii="Verdana" w:eastAsia="Calibri" w:hAnsi="Verdana" w:cs="Arial"/>
          <w:sz w:val="20"/>
          <w:szCs w:val="20"/>
          <w:lang w:val="es-ES_tradnl"/>
        </w:rPr>
      </w:pPr>
      <w:r w:rsidRPr="000F6CA2">
        <w:rPr>
          <w:rFonts w:ascii="Verdana" w:eastAsia="Calibri" w:hAnsi="Verdana" w:cs="Arial"/>
          <w:sz w:val="20"/>
          <w:szCs w:val="20"/>
          <w:lang w:val="es-ES_tradnl"/>
        </w:rPr>
        <w:t>(…)</w:t>
      </w:r>
    </w:p>
    <w:p w14:paraId="5594FF75" w14:textId="77777777" w:rsidR="000F6CA2" w:rsidRPr="000F6CA2" w:rsidRDefault="000F6CA2" w:rsidP="000F6CA2">
      <w:pPr>
        <w:spacing w:after="0" w:line="240" w:lineRule="auto"/>
        <w:jc w:val="both"/>
        <w:rPr>
          <w:rFonts w:ascii="Verdana" w:eastAsia="Calibri" w:hAnsi="Verdana" w:cs="Arial"/>
          <w:color w:val="000000"/>
          <w:sz w:val="20"/>
          <w:szCs w:val="20"/>
          <w:lang w:val="es-ES"/>
        </w:rPr>
      </w:pPr>
      <w:r w:rsidRPr="000F6CA2">
        <w:rPr>
          <w:rFonts w:ascii="Verdana" w:eastAsia="Calibri" w:hAnsi="Verdana" w:cs="Arial"/>
          <w:color w:val="000000"/>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50191527" w14:textId="77777777" w:rsidR="000F6CA2" w:rsidRPr="000F6CA2" w:rsidRDefault="000F6CA2" w:rsidP="000F6CA2">
      <w:pPr>
        <w:spacing w:after="0" w:line="240" w:lineRule="auto"/>
        <w:jc w:val="both"/>
        <w:rPr>
          <w:rFonts w:ascii="Verdana" w:eastAsia="Calibri" w:hAnsi="Verdana" w:cs="Arial"/>
          <w:color w:val="000000"/>
          <w:sz w:val="20"/>
          <w:szCs w:val="20"/>
          <w:lang w:val="es-ES"/>
        </w:rPr>
      </w:pPr>
    </w:p>
    <w:p w14:paraId="6D4D575A" w14:textId="77777777" w:rsidR="000F6CA2" w:rsidRPr="000F6CA2" w:rsidRDefault="000F6CA2" w:rsidP="000F6CA2">
      <w:pPr>
        <w:spacing w:after="0" w:line="240" w:lineRule="auto"/>
        <w:jc w:val="both"/>
        <w:rPr>
          <w:rFonts w:ascii="Verdana" w:eastAsia="Calibri" w:hAnsi="Verdana" w:cs="Arial"/>
          <w:color w:val="000000"/>
          <w:sz w:val="20"/>
          <w:szCs w:val="20"/>
          <w:lang w:val="es-ES"/>
        </w:rPr>
      </w:pPr>
      <w:r w:rsidRPr="000F6CA2">
        <w:rPr>
          <w:rFonts w:ascii="Verdana" w:eastAsia="Calibri" w:hAnsi="Verdana" w:cs="Arial"/>
          <w:color w:val="000000"/>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4B1CFDE6" w14:textId="77777777" w:rsidR="000F6CA2" w:rsidRPr="000F6CA2" w:rsidRDefault="000F6CA2" w:rsidP="000F6CA2">
      <w:pPr>
        <w:spacing w:after="0" w:line="240" w:lineRule="auto"/>
        <w:jc w:val="both"/>
        <w:rPr>
          <w:rFonts w:ascii="Verdana" w:eastAsia="Calibri" w:hAnsi="Verdana" w:cs="Arial"/>
          <w:color w:val="000000"/>
          <w:sz w:val="20"/>
          <w:szCs w:val="20"/>
          <w:lang w:val="es-ES"/>
        </w:rPr>
      </w:pPr>
      <w:r w:rsidRPr="000F6CA2">
        <w:rPr>
          <w:rFonts w:ascii="Verdana" w:eastAsia="Calibri" w:hAnsi="Verdana" w:cs="Arial"/>
          <w:color w:val="000000"/>
          <w:sz w:val="20"/>
          <w:szCs w:val="20"/>
          <w:lang w:val="es-ES"/>
        </w:rPr>
        <w:t>(…)</w:t>
      </w:r>
    </w:p>
    <w:p w14:paraId="3245311B" w14:textId="77777777" w:rsidR="000F6CA2" w:rsidRPr="000F6CA2" w:rsidRDefault="000F6CA2" w:rsidP="000F6CA2">
      <w:pPr>
        <w:spacing w:after="0" w:line="240" w:lineRule="auto"/>
        <w:jc w:val="both"/>
        <w:rPr>
          <w:rFonts w:ascii="Verdana" w:eastAsia="Calibri" w:hAnsi="Verdana" w:cs="Arial"/>
          <w:color w:val="000000"/>
          <w:sz w:val="20"/>
          <w:szCs w:val="20"/>
          <w:lang w:val="es-ES"/>
        </w:rPr>
      </w:pPr>
      <w:r w:rsidRPr="000F6CA2">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0F6CA2">
        <w:rPr>
          <w:rFonts w:ascii="Verdana" w:eastAsia="Aptos" w:hAnsi="Verdana" w:cs="Arial"/>
          <w:sz w:val="20"/>
          <w:szCs w:val="20"/>
        </w:rPr>
        <w:t>–[</w:t>
      </w:r>
      <w:r w:rsidRPr="000F6CA2">
        <w:rPr>
          <w:rFonts w:ascii="Verdana" w:eastAsia="Aptos" w:hAnsi="Verdana" w:cs="Arial"/>
          <w:sz w:val="20"/>
          <w:szCs w:val="20"/>
          <w:highlight w:val="lightGray"/>
        </w:rPr>
        <w:t>texto de ejemplo</w:t>
      </w:r>
      <w:r w:rsidRPr="000F6CA2">
        <w:rPr>
          <w:rFonts w:ascii="Verdana" w:eastAsia="Aptos" w:hAnsi="Verdana" w:cs="Arial"/>
          <w:sz w:val="20"/>
          <w:szCs w:val="20"/>
        </w:rPr>
        <w:t xml:space="preserve">]– </w:t>
      </w:r>
      <w:r w:rsidRPr="000F6CA2">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23799667" w14:textId="77777777" w:rsidR="000F6CA2" w:rsidRPr="000F6CA2" w:rsidRDefault="000F6CA2" w:rsidP="000F6CA2">
      <w:pPr>
        <w:spacing w:after="0" w:line="240" w:lineRule="auto"/>
        <w:jc w:val="both"/>
        <w:rPr>
          <w:rFonts w:ascii="Verdana" w:eastAsia="Calibri" w:hAnsi="Verdana" w:cs="Times New Roman"/>
          <w:b/>
          <w:bCs/>
          <w:lang w:val="es-ES"/>
        </w:rPr>
      </w:pPr>
    </w:p>
    <w:p w14:paraId="0A8BACBC" w14:textId="77777777" w:rsidR="000F6CA2" w:rsidRPr="000F6CA2" w:rsidRDefault="000F6CA2" w:rsidP="000F6CA2">
      <w:pPr>
        <w:spacing w:after="0" w:line="240" w:lineRule="auto"/>
        <w:jc w:val="both"/>
        <w:rPr>
          <w:rFonts w:ascii="Verdana" w:eastAsia="Calibri" w:hAnsi="Verdana" w:cs="Times New Roman"/>
          <w:b/>
          <w:bCs/>
          <w:lang w:val="es-ES"/>
        </w:rPr>
      </w:pPr>
    </w:p>
    <w:p w14:paraId="2B6E6E6E" w14:textId="77777777" w:rsidR="000F6CA2" w:rsidRPr="000F6CA2" w:rsidRDefault="000F6CA2" w:rsidP="000F6CA2">
      <w:pPr>
        <w:spacing w:after="0" w:line="240" w:lineRule="auto"/>
        <w:jc w:val="both"/>
        <w:rPr>
          <w:rFonts w:ascii="Verdana" w:eastAsia="Calibri" w:hAnsi="Verdana" w:cs="Times New Roman"/>
          <w:b/>
          <w:bCs/>
          <w:lang w:val="es-ES"/>
        </w:rPr>
      </w:pPr>
      <w:r w:rsidRPr="000F6CA2">
        <w:rPr>
          <w:rFonts w:ascii="Verdana" w:eastAsia="Calibri" w:hAnsi="Verdana" w:cs="Times New Roman"/>
          <w:b/>
          <w:bCs/>
          <w:lang w:val="es-ES"/>
        </w:rPr>
        <w:lastRenderedPageBreak/>
        <w:t>INALTERABILIDAD – Documentos Tipo – Prevalencia del derecho sustancial – Aspectos meramente formales</w:t>
      </w:r>
    </w:p>
    <w:p w14:paraId="468F4C66" w14:textId="77777777" w:rsidR="000F6CA2" w:rsidRPr="000F6CA2" w:rsidRDefault="000F6CA2" w:rsidP="000F6CA2">
      <w:pPr>
        <w:spacing w:after="0" w:line="240" w:lineRule="auto"/>
        <w:jc w:val="both"/>
        <w:rPr>
          <w:rFonts w:ascii="Verdana" w:eastAsia="Calibri" w:hAnsi="Verdana" w:cs="Times New Roman"/>
          <w:b/>
          <w:bCs/>
          <w:lang w:val="es-ES"/>
        </w:rPr>
      </w:pPr>
    </w:p>
    <w:p w14:paraId="2A785F17" w14:textId="77777777" w:rsidR="0028761F" w:rsidRDefault="0028761F" w:rsidP="00EA6904">
      <w:pPr>
        <w:spacing w:after="0" w:line="240" w:lineRule="auto"/>
        <w:jc w:val="both"/>
        <w:rPr>
          <w:rFonts w:ascii="Verdana" w:eastAsia="Calibri" w:hAnsi="Verdana" w:cs="Arial"/>
          <w:sz w:val="20"/>
          <w:szCs w:val="20"/>
          <w:lang w:val="es-MX"/>
        </w:rPr>
      </w:pPr>
      <w:r w:rsidRPr="00EA6904">
        <w:rPr>
          <w:rFonts w:ascii="Verdana" w:eastAsia="Calibri" w:hAnsi="Verdana" w:cs="Arial"/>
          <w:sz w:val="20"/>
          <w:szCs w:val="20"/>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541BE4C0" w14:textId="77777777" w:rsidR="00EA6904" w:rsidRPr="00EA6904" w:rsidRDefault="00EA6904" w:rsidP="00EA6904">
      <w:pPr>
        <w:spacing w:after="0" w:line="240" w:lineRule="auto"/>
        <w:jc w:val="both"/>
        <w:rPr>
          <w:rFonts w:ascii="Verdana" w:eastAsia="Calibri" w:hAnsi="Verdana" w:cs="Arial"/>
          <w:sz w:val="20"/>
          <w:szCs w:val="20"/>
          <w:lang w:val="es-MX"/>
        </w:rPr>
      </w:pPr>
    </w:p>
    <w:p w14:paraId="66E4C933" w14:textId="7A9B7FF8" w:rsidR="0028761F" w:rsidRDefault="0028761F" w:rsidP="00EA6904">
      <w:pPr>
        <w:spacing w:after="0" w:line="240" w:lineRule="auto"/>
        <w:jc w:val="both"/>
        <w:rPr>
          <w:rFonts w:ascii="Verdana" w:eastAsia="Aptos" w:hAnsi="Verdana" w:cs="Arial"/>
          <w:sz w:val="20"/>
          <w:szCs w:val="20"/>
        </w:rPr>
      </w:pPr>
      <w:r w:rsidRPr="00EA6904">
        <w:rPr>
          <w:rFonts w:ascii="Verdana" w:eastAsia="Calibri" w:hAnsi="Verdana" w:cs="Arial"/>
          <w:sz w:val="20"/>
          <w:szCs w:val="20"/>
          <w:lang w:val="es-MX"/>
        </w:rPr>
        <w:t xml:space="preserve">Deberá establecerse si, pese a la inconsistencia, el ofrecimiento puede identificarse objetivamente con la información aportada al cierre, sin necesidad de completarlo, adicionarlo o modificarlo. Si ello es posible, la inconsistencia podrá valorarse como un error formal de la oferta; si para determinar el ofrecimiento es necesario incorporar o modificar posteriormente información que incide en la asignación de puntaje, resultará aplicable la prohibición de subsanación prevista en el parágrafo 1 del artículo 5 de la Ley 1150 de 2007. </w:t>
      </w:r>
      <w:r w:rsidRPr="00EA6904">
        <w:rPr>
          <w:rFonts w:ascii="Verdana" w:eastAsia="Aptos" w:hAnsi="Verdana" w:cs="Arial"/>
          <w:sz w:val="20"/>
          <w:szCs w:val="20"/>
        </w:rPr>
        <w:t xml:space="preserve">En relación con el principio constitucional </w:t>
      </w:r>
      <w:r w:rsidRPr="00EA6904">
        <w:rPr>
          <w:rFonts w:ascii="Verdana" w:eastAsia="Aptos" w:hAnsi="Verdana" w:cs="Arial"/>
          <w:i/>
          <w:iCs/>
          <w:sz w:val="20"/>
          <w:szCs w:val="20"/>
        </w:rPr>
        <w:t>sub examine</w:t>
      </w:r>
      <w:r w:rsidRPr="00EA6904">
        <w:rPr>
          <w:rFonts w:ascii="Verdana" w:eastAsia="Aptos" w:hAnsi="Verdana" w:cs="Arial"/>
          <w:sz w:val="20"/>
          <w:szCs w:val="20"/>
        </w:rPr>
        <w:t xml:space="preserve">,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 </w:t>
      </w:r>
    </w:p>
    <w:p w14:paraId="36C6B4F9" w14:textId="77777777" w:rsidR="00EA6904" w:rsidRPr="00EA6904" w:rsidRDefault="00EA6904" w:rsidP="00EA6904">
      <w:pPr>
        <w:spacing w:after="0" w:line="240" w:lineRule="auto"/>
        <w:jc w:val="both"/>
        <w:rPr>
          <w:rFonts w:ascii="Verdana" w:eastAsia="Aptos" w:hAnsi="Verdana" w:cs="Arial"/>
          <w:sz w:val="20"/>
          <w:szCs w:val="20"/>
        </w:rPr>
      </w:pPr>
    </w:p>
    <w:p w14:paraId="72078D2E" w14:textId="77777777" w:rsidR="0028761F" w:rsidRPr="00EA6904" w:rsidRDefault="0028761F" w:rsidP="00EA6904">
      <w:pPr>
        <w:snapToGrid w:val="0"/>
        <w:spacing w:after="0" w:line="240" w:lineRule="auto"/>
        <w:jc w:val="both"/>
        <w:rPr>
          <w:rFonts w:ascii="Verdana" w:eastAsia="Calibri" w:hAnsi="Verdana" w:cs="Arial"/>
          <w:sz w:val="20"/>
          <w:szCs w:val="20"/>
          <w:lang w:val="es-MX"/>
        </w:rPr>
      </w:pPr>
      <w:r w:rsidRPr="00EA6904">
        <w:rPr>
          <w:rFonts w:ascii="Verdana" w:eastAsia="Calibri" w:hAnsi="Verdana" w:cs="Arial"/>
          <w:sz w:val="20"/>
          <w:szCs w:val="20"/>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44A9E154" w14:textId="6CEF1152" w:rsidR="000F6CA2" w:rsidRPr="00EA6904" w:rsidRDefault="000F6CA2" w:rsidP="00EA6904">
      <w:pPr>
        <w:spacing w:after="0" w:line="240" w:lineRule="auto"/>
        <w:jc w:val="both"/>
        <w:rPr>
          <w:rFonts w:ascii="Verdana" w:eastAsia="Calibri" w:hAnsi="Verdana" w:cs="Arial"/>
          <w:sz w:val="20"/>
          <w:szCs w:val="20"/>
          <w:lang w:val="es-MX"/>
        </w:rPr>
      </w:pPr>
    </w:p>
    <w:p w14:paraId="44361BBF" w14:textId="77777777" w:rsidR="000F6CA2" w:rsidRPr="000F6CA2" w:rsidRDefault="000F6CA2" w:rsidP="000F6CA2">
      <w:pPr>
        <w:spacing w:after="0" w:line="240" w:lineRule="auto"/>
        <w:jc w:val="both"/>
        <w:rPr>
          <w:rFonts w:ascii="Verdana" w:eastAsia="Calibri" w:hAnsi="Verdana" w:cs="Times New Roman"/>
          <w:b/>
          <w:bCs/>
          <w:lang w:val="es-ES"/>
        </w:rPr>
      </w:pPr>
    </w:p>
    <w:p w14:paraId="6AD34C1F" w14:textId="77777777" w:rsidR="000F6CA2" w:rsidRPr="000F6CA2" w:rsidRDefault="000F6CA2" w:rsidP="000F6CA2">
      <w:pPr>
        <w:spacing w:after="0" w:line="240" w:lineRule="auto"/>
        <w:rPr>
          <w:rFonts w:ascii="Verdana" w:eastAsia="Calibri" w:hAnsi="Verdana" w:cs="Times New Roman"/>
          <w:b/>
          <w:bCs/>
          <w:lang w:val="es-ES"/>
        </w:rPr>
      </w:pPr>
    </w:p>
    <w:p w14:paraId="471C2404" w14:textId="77777777" w:rsidR="000F6CA2" w:rsidRPr="000F6CA2" w:rsidRDefault="000F6CA2" w:rsidP="000F6CA2">
      <w:pPr>
        <w:spacing w:after="0" w:line="240" w:lineRule="auto"/>
        <w:rPr>
          <w:rFonts w:ascii="Verdana" w:eastAsia="Calibri" w:hAnsi="Verdana" w:cs="Times New Roman"/>
          <w:b/>
          <w:bCs/>
          <w:lang w:val="es-ES"/>
        </w:rPr>
      </w:pPr>
    </w:p>
    <w:p w14:paraId="1D9E96E1" w14:textId="77777777" w:rsidR="000F6CA2" w:rsidRPr="000F6CA2" w:rsidRDefault="000F6CA2" w:rsidP="000F6CA2">
      <w:pPr>
        <w:spacing w:after="0" w:line="240" w:lineRule="auto"/>
        <w:rPr>
          <w:rFonts w:ascii="Verdana" w:eastAsia="Calibri" w:hAnsi="Verdana" w:cs="Times New Roman"/>
          <w:b/>
          <w:bCs/>
          <w:lang w:val="es-ES"/>
        </w:rPr>
      </w:pPr>
    </w:p>
    <w:p w14:paraId="680EFF04" w14:textId="77777777" w:rsidR="000F6CA2" w:rsidRPr="000F6CA2" w:rsidRDefault="000F6CA2" w:rsidP="000F6CA2">
      <w:pPr>
        <w:spacing w:after="0" w:line="240" w:lineRule="auto"/>
        <w:rPr>
          <w:rFonts w:ascii="Verdana" w:eastAsia="Calibri" w:hAnsi="Verdana" w:cs="Times New Roman"/>
          <w:b/>
          <w:bCs/>
          <w:lang w:val="es-ES"/>
        </w:rPr>
      </w:pPr>
    </w:p>
    <w:p w14:paraId="225A2F05" w14:textId="77777777" w:rsidR="000F6CA2" w:rsidRPr="000F6CA2" w:rsidRDefault="000F6CA2" w:rsidP="000F6CA2">
      <w:pPr>
        <w:spacing w:after="0" w:line="240" w:lineRule="auto"/>
        <w:rPr>
          <w:rFonts w:ascii="Verdana" w:eastAsia="Calibri" w:hAnsi="Verdana" w:cs="Times New Roman"/>
          <w:b/>
          <w:bCs/>
          <w:lang w:val="es-ES"/>
        </w:rPr>
      </w:pPr>
    </w:p>
    <w:p w14:paraId="78CAA23D" w14:textId="77777777" w:rsidR="000F6CA2" w:rsidRPr="000F6CA2" w:rsidRDefault="000F6CA2" w:rsidP="000F6CA2">
      <w:pPr>
        <w:spacing w:after="0" w:line="240" w:lineRule="auto"/>
        <w:rPr>
          <w:rFonts w:ascii="Verdana" w:eastAsia="Calibri" w:hAnsi="Verdana" w:cs="Times New Roman"/>
          <w:b/>
          <w:bCs/>
          <w:lang w:val="es-ES"/>
        </w:rPr>
      </w:pPr>
    </w:p>
    <w:p w14:paraId="10BEECAF" w14:textId="77777777" w:rsidR="000F6CA2" w:rsidRPr="000F6CA2" w:rsidRDefault="000F6CA2" w:rsidP="000F6CA2">
      <w:pPr>
        <w:spacing w:after="0" w:line="240" w:lineRule="auto"/>
        <w:rPr>
          <w:rFonts w:ascii="Verdana" w:eastAsia="Calibri" w:hAnsi="Verdana" w:cs="Times New Roman"/>
          <w:b/>
          <w:bCs/>
          <w:lang w:val="es-ES"/>
        </w:rPr>
      </w:pPr>
    </w:p>
    <w:p w14:paraId="078AA60E" w14:textId="77777777" w:rsidR="000F6CA2" w:rsidRPr="000F6CA2" w:rsidRDefault="000F6CA2" w:rsidP="000F6CA2">
      <w:pPr>
        <w:spacing w:after="0" w:line="240" w:lineRule="auto"/>
        <w:rPr>
          <w:rFonts w:ascii="Verdana" w:eastAsia="Calibri" w:hAnsi="Verdana" w:cs="Times New Roman"/>
          <w:b/>
          <w:bCs/>
          <w:lang w:val="es-ES"/>
        </w:rPr>
      </w:pPr>
    </w:p>
    <w:p w14:paraId="6D112E91" w14:textId="77777777" w:rsidR="000F6CA2" w:rsidRPr="000F6CA2" w:rsidRDefault="000F6CA2" w:rsidP="000F6CA2">
      <w:pPr>
        <w:rPr>
          <w:rFonts w:ascii="Verdana" w:eastAsia="Calibri" w:hAnsi="Verdana" w:cs="Times New Roman"/>
          <w:b/>
          <w:bCs/>
          <w:lang w:val="es-ES"/>
        </w:rPr>
      </w:pPr>
      <w:r w:rsidRPr="000F6CA2">
        <w:rPr>
          <w:rFonts w:ascii="Verdana" w:eastAsia="Calibri" w:hAnsi="Verdana" w:cs="Times New Roman"/>
          <w:b/>
          <w:bCs/>
          <w:lang w:val="es-ES"/>
        </w:rPr>
        <w:br w:type="page"/>
      </w:r>
    </w:p>
    <w:p w14:paraId="3DBF28D2" w14:textId="68FC8EBB" w:rsidR="000F6CA2" w:rsidRDefault="00B60949" w:rsidP="000F6CA2">
      <w:pPr>
        <w:spacing w:after="0" w:line="278" w:lineRule="auto"/>
        <w:rPr>
          <w:rFonts w:ascii="Verdana" w:eastAsia="Verdana" w:hAnsi="Verdana" w:cs="Verdana"/>
        </w:rPr>
      </w:pPr>
      <w:r w:rsidRPr="30821638">
        <w:rPr>
          <w:rFonts w:ascii="Verdana" w:eastAsia="Verdana" w:hAnsi="Verdana" w:cs="Verdana"/>
        </w:rPr>
        <w:lastRenderedPageBreak/>
        <w:t>Bogotá D.C.,</w:t>
      </w:r>
      <w:r w:rsidR="00683A92">
        <w:rPr>
          <w:rFonts w:ascii="Verdana" w:eastAsia="Verdana" w:hAnsi="Verdana" w:cs="Verdana"/>
        </w:rPr>
        <w:t xml:space="preserve"> 27 Octubre 2026</w:t>
      </w:r>
    </w:p>
    <w:p w14:paraId="698DC66B" w14:textId="5A4783CA" w:rsidR="000F6CA2" w:rsidRPr="000F6CA2" w:rsidRDefault="00683A92" w:rsidP="00683A92">
      <w:pPr>
        <w:spacing w:after="0" w:line="278" w:lineRule="auto"/>
        <w:jc w:val="right"/>
        <w:rPr>
          <w:rFonts w:ascii="Verdana" w:eastAsia="Aptos" w:hAnsi="Verdana" w:cs="Times New Roman"/>
          <w:kern w:val="2"/>
          <w:sz w:val="24"/>
          <w:szCs w:val="24"/>
          <w14:ligatures w14:val="standardContextual"/>
        </w:rPr>
      </w:pPr>
      <w:r>
        <w:rPr>
          <w:rFonts w:ascii="Verdana" w:eastAsia="Aptos" w:hAnsi="Verdana" w:cs="Times New Roman"/>
          <w:noProof/>
          <w:kern w:val="2"/>
          <w:sz w:val="24"/>
          <w:szCs w:val="24"/>
        </w:rPr>
        <w:drawing>
          <wp:inline distT="0" distB="0" distL="0" distR="0" wp14:anchorId="0497BD32" wp14:editId="01BCD1BA">
            <wp:extent cx="2806218" cy="866626"/>
            <wp:effectExtent l="0" t="0" r="635" b="0"/>
            <wp:docPr id="1737692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692628" name="Imagen 1737692628"/>
                    <pic:cNvPicPr/>
                  </pic:nvPicPr>
                  <pic:blipFill>
                    <a:blip r:embed="rId10">
                      <a:extLst>
                        <a:ext uri="{28A0092B-C50C-407E-A947-70E740481C1C}">
                          <a14:useLocalDpi xmlns:a14="http://schemas.microsoft.com/office/drawing/2010/main" val="0"/>
                        </a:ext>
                      </a:extLst>
                    </a:blip>
                    <a:stretch>
                      <a:fillRect/>
                    </a:stretch>
                  </pic:blipFill>
                  <pic:spPr>
                    <a:xfrm>
                      <a:off x="0" y="0"/>
                      <a:ext cx="2821420" cy="871321"/>
                    </a:xfrm>
                    <a:prstGeom prst="rect">
                      <a:avLst/>
                    </a:prstGeom>
                  </pic:spPr>
                </pic:pic>
              </a:graphicData>
            </a:graphic>
          </wp:inline>
        </w:drawing>
      </w:r>
    </w:p>
    <w:p w14:paraId="7F01F7AB" w14:textId="77777777" w:rsidR="000F6CA2" w:rsidRPr="000F6CA2" w:rsidRDefault="000F6CA2" w:rsidP="000F6CA2">
      <w:pPr>
        <w:spacing w:after="0" w:line="240" w:lineRule="auto"/>
        <w:rPr>
          <w:rFonts w:ascii="Verdana" w:eastAsia="Calibri" w:hAnsi="Verdana" w:cs="Arial"/>
          <w:kern w:val="2"/>
          <w:lang w:val="es-ES" w:eastAsia="es-ES"/>
          <w14:ligatures w14:val="standardContextual"/>
        </w:rPr>
      </w:pPr>
      <w:r w:rsidRPr="000F6CA2">
        <w:rPr>
          <w:rFonts w:ascii="Verdana" w:eastAsia="Calibri" w:hAnsi="Verdana" w:cs="Arial"/>
          <w:kern w:val="2"/>
          <w:lang w:val="es-ES" w:eastAsia="es-ES"/>
          <w14:ligatures w14:val="standardContextual"/>
        </w:rPr>
        <w:t>Señor</w:t>
      </w:r>
    </w:p>
    <w:p w14:paraId="0987648B" w14:textId="77777777" w:rsidR="000F6CA2" w:rsidRPr="000F6CA2" w:rsidRDefault="000F6CA2" w:rsidP="000F6CA2">
      <w:pPr>
        <w:spacing w:after="0" w:line="240" w:lineRule="auto"/>
        <w:rPr>
          <w:rFonts w:ascii="Verdana" w:eastAsia="Calibri" w:hAnsi="Verdana" w:cs="Arial"/>
          <w:b/>
          <w:bCs/>
          <w:kern w:val="2"/>
          <w:lang w:val="es-ES" w:eastAsia="es-ES"/>
          <w14:ligatures w14:val="standardContextual"/>
        </w:rPr>
      </w:pPr>
      <w:r w:rsidRPr="000F6CA2">
        <w:rPr>
          <w:rFonts w:ascii="Verdana" w:eastAsia="Calibri" w:hAnsi="Verdana" w:cs="Arial"/>
          <w:b/>
          <w:bCs/>
          <w:kern w:val="2"/>
          <w:lang w:val="es-ES" w:eastAsia="es-ES"/>
          <w14:ligatures w14:val="standardContextual"/>
        </w:rPr>
        <w:t>José Hernán Ortiz Carreño</w:t>
      </w:r>
    </w:p>
    <w:p w14:paraId="2A28E112" w14:textId="77777777" w:rsidR="000F6CA2" w:rsidRPr="000F6CA2" w:rsidRDefault="000F6CA2" w:rsidP="000F6CA2">
      <w:pPr>
        <w:spacing w:after="0" w:line="240" w:lineRule="auto"/>
        <w:rPr>
          <w:rFonts w:ascii="Verdana" w:eastAsia="Calibri" w:hAnsi="Verdana" w:cs="Arial"/>
          <w:lang w:val="es-ES_tradnl" w:eastAsia="es-ES_tradnl"/>
        </w:rPr>
      </w:pPr>
      <w:r w:rsidRPr="000F6CA2">
        <w:rPr>
          <w:rFonts w:ascii="Verdana" w:eastAsia="Calibri" w:hAnsi="Verdana" w:cs="Arial"/>
          <w:kern w:val="2"/>
          <w:lang w:val="es-ES" w:eastAsia="es-ES"/>
          <w14:ligatures w14:val="standardContextual"/>
        </w:rPr>
        <w:t>Ciudad</w:t>
      </w:r>
    </w:p>
    <w:p w14:paraId="7D4F2855" w14:textId="77777777" w:rsidR="000F6CA2" w:rsidRPr="000F6CA2" w:rsidRDefault="000F6CA2" w:rsidP="000F6CA2">
      <w:pPr>
        <w:spacing w:after="0" w:line="240" w:lineRule="auto"/>
        <w:rPr>
          <w:rFonts w:ascii="Verdana" w:eastAsia="Calibri" w:hAnsi="Verdana" w:cs="Arial"/>
          <w:b/>
          <w:bCs/>
          <w:lang w:val="es-ES_tradnl" w:eastAsia="es-ES_tradnl"/>
        </w:rPr>
      </w:pPr>
    </w:p>
    <w:p w14:paraId="60CB38F1" w14:textId="77777777" w:rsidR="000F6CA2" w:rsidRPr="000F6CA2" w:rsidRDefault="000F6CA2" w:rsidP="000F6CA2">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0F6CA2" w:rsidRPr="000F6CA2" w14:paraId="3F76D5F9" w14:textId="77777777" w:rsidTr="002D3DDD">
        <w:trPr>
          <w:trHeight w:val="229"/>
        </w:trPr>
        <w:tc>
          <w:tcPr>
            <w:tcW w:w="1985" w:type="dxa"/>
          </w:tcPr>
          <w:p w14:paraId="6F545D53" w14:textId="77777777" w:rsidR="000F6CA2" w:rsidRPr="000F6CA2" w:rsidRDefault="000F6CA2" w:rsidP="000F6CA2">
            <w:pPr>
              <w:jc w:val="both"/>
              <w:rPr>
                <w:rFonts w:ascii="Verdana" w:eastAsia="Calibri" w:hAnsi="Verdana" w:cs="Arial"/>
                <w:b/>
                <w:bCs/>
                <w:lang w:val="es-ES_tradnl" w:eastAsia="es-ES_tradnl"/>
              </w:rPr>
            </w:pPr>
          </w:p>
        </w:tc>
        <w:tc>
          <w:tcPr>
            <w:tcW w:w="6383" w:type="dxa"/>
          </w:tcPr>
          <w:p w14:paraId="128D28F3" w14:textId="77777777" w:rsidR="000F6CA2" w:rsidRPr="000F6CA2" w:rsidRDefault="000F6CA2" w:rsidP="000F6CA2">
            <w:pPr>
              <w:jc w:val="both"/>
              <w:rPr>
                <w:rFonts w:ascii="Verdana" w:eastAsia="Calibri" w:hAnsi="Verdana" w:cs="Arial"/>
                <w:b/>
                <w:bCs/>
                <w:lang w:val="es-ES" w:eastAsia="es-ES"/>
              </w:rPr>
            </w:pPr>
            <w:r w:rsidRPr="000F6CA2">
              <w:rPr>
                <w:rFonts w:ascii="Verdana" w:eastAsia="Calibri" w:hAnsi="Verdana" w:cs="Arial"/>
                <w:b/>
                <w:bCs/>
                <w:lang w:val="es-ES" w:eastAsia="es-ES"/>
              </w:rPr>
              <w:t>Concepto C – 1487 de 2026</w:t>
            </w:r>
          </w:p>
          <w:p w14:paraId="4C68A60D" w14:textId="77777777" w:rsidR="000F6CA2" w:rsidRPr="000F6CA2" w:rsidRDefault="000F6CA2" w:rsidP="000F6CA2">
            <w:pPr>
              <w:jc w:val="both"/>
              <w:rPr>
                <w:rFonts w:ascii="Verdana" w:eastAsia="Calibri" w:hAnsi="Verdana" w:cs="Arial"/>
                <w:b/>
                <w:bCs/>
                <w:lang w:val="es-ES" w:eastAsia="es-ES"/>
              </w:rPr>
            </w:pPr>
          </w:p>
          <w:p w14:paraId="65B72E44" w14:textId="77777777" w:rsidR="000F6CA2" w:rsidRPr="000F6CA2" w:rsidRDefault="000F6CA2" w:rsidP="000F6CA2">
            <w:pPr>
              <w:jc w:val="both"/>
              <w:rPr>
                <w:rFonts w:ascii="Verdana" w:eastAsia="Calibri" w:hAnsi="Verdana" w:cs="Arial"/>
                <w:b/>
                <w:bCs/>
                <w:lang w:val="es-ES" w:eastAsia="es-ES"/>
              </w:rPr>
            </w:pPr>
          </w:p>
        </w:tc>
      </w:tr>
      <w:tr w:rsidR="000F6CA2" w:rsidRPr="000F6CA2" w14:paraId="7E5008B5" w14:textId="77777777" w:rsidTr="002D3DDD">
        <w:trPr>
          <w:trHeight w:val="884"/>
        </w:trPr>
        <w:tc>
          <w:tcPr>
            <w:tcW w:w="1985" w:type="dxa"/>
          </w:tcPr>
          <w:p w14:paraId="4CFB812E" w14:textId="77777777" w:rsidR="000F6CA2" w:rsidRPr="000F6CA2" w:rsidRDefault="000F6CA2" w:rsidP="000F6CA2">
            <w:pPr>
              <w:jc w:val="both"/>
              <w:rPr>
                <w:rFonts w:ascii="Verdana" w:eastAsia="Calibri" w:hAnsi="Verdana" w:cs="Arial"/>
                <w:lang w:val="es-ES_tradnl" w:eastAsia="es-ES_tradnl"/>
              </w:rPr>
            </w:pPr>
            <w:r w:rsidRPr="000F6CA2">
              <w:rPr>
                <w:rFonts w:ascii="Verdana" w:eastAsia="Calibri" w:hAnsi="Verdana" w:cs="Arial"/>
                <w:b/>
                <w:lang w:val="es-ES_tradnl" w:eastAsia="es-ES_tradnl"/>
              </w:rPr>
              <w:t>Temas:</w:t>
            </w:r>
            <w:r w:rsidRPr="000F6CA2">
              <w:rPr>
                <w:rFonts w:ascii="Verdana" w:eastAsia="Calibri" w:hAnsi="Verdana" w:cs="Arial"/>
                <w:lang w:val="es-ES_tradnl" w:eastAsia="es-ES_tradnl"/>
              </w:rPr>
              <w:t xml:space="preserve">                   </w:t>
            </w:r>
          </w:p>
        </w:tc>
        <w:tc>
          <w:tcPr>
            <w:tcW w:w="6383" w:type="dxa"/>
          </w:tcPr>
          <w:p w14:paraId="6797A5BD" w14:textId="77777777" w:rsidR="000F6CA2" w:rsidRPr="000F6CA2" w:rsidRDefault="000F6CA2" w:rsidP="000F6CA2">
            <w:pPr>
              <w:spacing w:line="276" w:lineRule="auto"/>
              <w:jc w:val="both"/>
              <w:rPr>
                <w:rFonts w:ascii="Verdana" w:eastAsia="Calibri" w:hAnsi="Verdana" w:cs="Times New Roman"/>
                <w:lang w:val="es-ES"/>
              </w:rPr>
            </w:pPr>
            <w:r w:rsidRPr="000F6CA2">
              <w:rPr>
                <w:rFonts w:ascii="Verdana" w:eastAsia="Calibri" w:hAnsi="Verdana" w:cs="Times New Roman"/>
                <w:lang w:val="es-ES"/>
              </w:rPr>
              <w:t>DOCUMENTOS TIPO – Inalterabilidad – Alcance / INALTERABILIDAD – Documentos Tipo – Prevalencia del derecho sustancial – Aspectos meramente formales</w:t>
            </w:r>
          </w:p>
          <w:p w14:paraId="3FBE304E" w14:textId="77777777" w:rsidR="000F6CA2" w:rsidRPr="000F6CA2" w:rsidRDefault="000F6CA2" w:rsidP="000F6CA2">
            <w:pPr>
              <w:widowControl w:val="0"/>
              <w:autoSpaceDE w:val="0"/>
              <w:autoSpaceDN w:val="0"/>
              <w:spacing w:line="276" w:lineRule="auto"/>
              <w:jc w:val="both"/>
              <w:rPr>
                <w:rFonts w:ascii="Verdana" w:eastAsia="Calibri" w:hAnsi="Verdana" w:cs="Times New Roman"/>
                <w:lang w:val="es-ES"/>
              </w:rPr>
            </w:pPr>
          </w:p>
        </w:tc>
      </w:tr>
      <w:tr w:rsidR="000F6CA2" w:rsidRPr="000F6CA2" w14:paraId="181C0DD2" w14:textId="77777777" w:rsidTr="002D3DDD">
        <w:tc>
          <w:tcPr>
            <w:tcW w:w="1985" w:type="dxa"/>
          </w:tcPr>
          <w:p w14:paraId="5F6B08EE" w14:textId="77777777" w:rsidR="000F6CA2" w:rsidRPr="000F6CA2" w:rsidRDefault="000F6CA2" w:rsidP="000F6CA2">
            <w:pPr>
              <w:jc w:val="both"/>
              <w:rPr>
                <w:rFonts w:ascii="Verdana" w:eastAsia="Calibri" w:hAnsi="Verdana" w:cs="Arial"/>
                <w:b/>
                <w:lang w:val="es-ES_tradnl" w:eastAsia="es-ES_tradnl"/>
              </w:rPr>
            </w:pPr>
            <w:r w:rsidRPr="000F6CA2">
              <w:rPr>
                <w:rFonts w:ascii="Verdana" w:eastAsia="Calibri" w:hAnsi="Verdana" w:cs="Arial"/>
                <w:b/>
                <w:lang w:val="es-ES_tradnl" w:eastAsia="es-ES_tradnl"/>
              </w:rPr>
              <w:t>Radicación:</w:t>
            </w:r>
            <w:r w:rsidRPr="000F6CA2">
              <w:rPr>
                <w:rFonts w:ascii="Verdana" w:eastAsia="Calibri" w:hAnsi="Verdana" w:cs="Arial"/>
                <w:lang w:val="es-ES_tradnl" w:eastAsia="es-ES_tradnl"/>
              </w:rPr>
              <w:t xml:space="preserve">               </w:t>
            </w:r>
          </w:p>
        </w:tc>
        <w:tc>
          <w:tcPr>
            <w:tcW w:w="6383" w:type="dxa"/>
          </w:tcPr>
          <w:p w14:paraId="284271FF" w14:textId="77777777" w:rsidR="000F6CA2" w:rsidRPr="000F6CA2" w:rsidRDefault="000F6CA2" w:rsidP="000F6CA2">
            <w:pPr>
              <w:spacing w:line="276" w:lineRule="auto"/>
              <w:ind w:left="3" w:hanging="3"/>
              <w:jc w:val="both"/>
              <w:rPr>
                <w:rFonts w:ascii="Verdana" w:eastAsia="Calibri" w:hAnsi="Verdana" w:cs="Arial"/>
                <w:lang w:val="es-ES_tradnl" w:eastAsia="es-ES_tradnl"/>
              </w:rPr>
            </w:pPr>
            <w:r w:rsidRPr="000F6CA2">
              <w:rPr>
                <w:rFonts w:ascii="Verdana" w:eastAsia="Calibri" w:hAnsi="Verdana" w:cs="Arial"/>
                <w:lang w:val="es-ES_tradnl" w:eastAsia="es-ES_tradnl"/>
              </w:rPr>
              <w:t>Respuesta a consulta con radicado No. 1_2026_09_21_012622</w:t>
            </w:r>
          </w:p>
        </w:tc>
      </w:tr>
    </w:tbl>
    <w:p w14:paraId="074ADE06" w14:textId="77777777" w:rsidR="000F6CA2" w:rsidRPr="000F6CA2" w:rsidRDefault="000F6CA2" w:rsidP="000F6CA2">
      <w:pPr>
        <w:spacing w:after="0" w:line="240" w:lineRule="auto"/>
        <w:jc w:val="both"/>
        <w:rPr>
          <w:rFonts w:ascii="Verdana" w:eastAsia="Calibri" w:hAnsi="Verdana" w:cs="Arial"/>
          <w:lang w:val="es-ES_tradnl" w:eastAsia="es-ES_tradnl"/>
        </w:rPr>
      </w:pPr>
    </w:p>
    <w:p w14:paraId="5E345083" w14:textId="77777777" w:rsidR="000F6CA2" w:rsidRPr="000F6CA2" w:rsidRDefault="000F6CA2" w:rsidP="000F6CA2">
      <w:pPr>
        <w:spacing w:after="0" w:line="240" w:lineRule="auto"/>
        <w:jc w:val="both"/>
        <w:rPr>
          <w:rFonts w:ascii="Verdana" w:eastAsia="Calibri" w:hAnsi="Verdana" w:cs="Arial"/>
          <w:lang w:val="es-ES_tradnl" w:eastAsia="es-ES_tradnl"/>
        </w:rPr>
      </w:pPr>
    </w:p>
    <w:p w14:paraId="1801A49C" w14:textId="77777777" w:rsidR="000F6CA2" w:rsidRPr="000F6CA2" w:rsidRDefault="000F6CA2" w:rsidP="000F6CA2">
      <w:pPr>
        <w:spacing w:after="0" w:line="276" w:lineRule="auto"/>
        <w:jc w:val="both"/>
        <w:rPr>
          <w:rFonts w:ascii="Verdana" w:eastAsia="Calibri" w:hAnsi="Verdana" w:cs="Arial"/>
          <w:lang w:val="es-ES" w:eastAsia="es-ES"/>
        </w:rPr>
      </w:pPr>
      <w:r w:rsidRPr="000F6CA2">
        <w:rPr>
          <w:rFonts w:ascii="Verdana" w:eastAsia="Calibri" w:hAnsi="Verdana" w:cs="Arial"/>
          <w:lang w:val="es-ES" w:eastAsia="es-ES"/>
        </w:rPr>
        <w:t>Estimado señor Ortiz Carreño</w:t>
      </w:r>
      <w:r w:rsidRPr="000F6CA2">
        <w:rPr>
          <w:rFonts w:ascii="Verdana" w:eastAsia="Calibri" w:hAnsi="Verdana" w:cs="Arial"/>
          <w:kern w:val="2"/>
          <w:lang w:eastAsia="es-ES_tradnl"/>
          <w14:ligatures w14:val="standardContextual"/>
        </w:rPr>
        <w:t>:</w:t>
      </w:r>
      <w:r w:rsidRPr="000F6CA2">
        <w:rPr>
          <w:rFonts w:ascii="Verdana" w:eastAsia="Calibri" w:hAnsi="Verdana" w:cs="Arial"/>
          <w:lang w:val="es-ES" w:eastAsia="es-ES"/>
        </w:rPr>
        <w:t xml:space="preserve"> </w:t>
      </w:r>
    </w:p>
    <w:p w14:paraId="1214A12F" w14:textId="77777777" w:rsidR="000F6CA2" w:rsidRPr="000F6CA2" w:rsidRDefault="000F6CA2" w:rsidP="000F6CA2">
      <w:pPr>
        <w:tabs>
          <w:tab w:val="left" w:pos="3768"/>
        </w:tabs>
        <w:spacing w:after="0" w:line="276" w:lineRule="auto"/>
        <w:jc w:val="both"/>
        <w:rPr>
          <w:rFonts w:ascii="Verdana" w:eastAsia="Calibri" w:hAnsi="Verdana" w:cs="Arial"/>
          <w:lang w:val="es-ES" w:eastAsia="es-ES"/>
        </w:rPr>
      </w:pPr>
      <w:r w:rsidRPr="000F6CA2">
        <w:rPr>
          <w:rFonts w:ascii="Verdana" w:eastAsia="Calibri" w:hAnsi="Verdana" w:cs="Arial"/>
          <w:lang w:val="es-ES" w:eastAsia="es-ES"/>
        </w:rPr>
        <w:t xml:space="preserve"> </w:t>
      </w:r>
    </w:p>
    <w:p w14:paraId="3C783781" w14:textId="77777777" w:rsidR="000F6CA2" w:rsidRPr="000F6CA2" w:rsidRDefault="000F6CA2" w:rsidP="000F6CA2">
      <w:pPr>
        <w:spacing w:after="0" w:line="276" w:lineRule="auto"/>
        <w:jc w:val="both"/>
        <w:rPr>
          <w:rFonts w:ascii="Verdana" w:eastAsia="Calibri" w:hAnsi="Verdana" w:cs="Arial"/>
          <w:lang w:val="es-ES" w:eastAsia="es-ES"/>
        </w:rPr>
      </w:pPr>
      <w:r w:rsidRPr="000F6CA2">
        <w:rPr>
          <w:rFonts w:ascii="Verdana" w:eastAsia="Calibri" w:hAnsi="Verdana" w:cs="Arial"/>
          <w:lang w:val="es-ES" w:eastAsia="es-ES"/>
        </w:rPr>
        <w:t>En ejercicio de la competencia otorgada por los artículos 3, numeral 5º, y 11, numeral 8º, del Decreto Ley 4170 de 2011,</w:t>
      </w:r>
      <w:r w:rsidRPr="000F6CA2">
        <w:rPr>
          <w:rFonts w:ascii="Verdana" w:eastAsia="Arial MT" w:hAnsi="Verdana" w:cs="Arial MT"/>
          <w:lang w:val="es-ES" w:eastAsia="es-ES"/>
        </w:rPr>
        <w:t xml:space="preserve"> </w:t>
      </w:r>
      <w:r w:rsidRPr="000F6CA2">
        <w:rPr>
          <w:rFonts w:ascii="Verdana" w:eastAsia="Calibri" w:hAnsi="Verdana" w:cs="Arial"/>
        </w:rPr>
        <w:t xml:space="preserve">así como lo establecido en la Resolución No. 469 del 2025 expedida por esta Entidad, </w:t>
      </w:r>
      <w:r w:rsidRPr="000F6CA2">
        <w:rPr>
          <w:rFonts w:ascii="Verdana" w:eastAsia="Calibri" w:hAnsi="Verdana" w:cs="Arial"/>
          <w:lang w:val="es-ES" w:eastAsia="es-ES"/>
        </w:rPr>
        <w:t>la Agencia Nacional de Contratación Pública –Colombia Compra Eficiente– responde su solicitud de consulta del 20 de septiembre de 2026, en la cual manifiesta lo siguiente:</w:t>
      </w:r>
    </w:p>
    <w:p w14:paraId="6AF628E0" w14:textId="77777777" w:rsidR="000F6CA2" w:rsidRPr="000F6CA2" w:rsidRDefault="000F6CA2" w:rsidP="000F6CA2">
      <w:pPr>
        <w:spacing w:after="0" w:line="276" w:lineRule="auto"/>
        <w:jc w:val="both"/>
        <w:rPr>
          <w:rFonts w:ascii="Verdana" w:eastAsia="Calibri" w:hAnsi="Verdana" w:cs="Arial"/>
          <w:lang w:val="es-ES" w:eastAsia="es-ES"/>
        </w:rPr>
      </w:pPr>
    </w:p>
    <w:p w14:paraId="008B117D" w14:textId="77777777" w:rsidR="000F6CA2" w:rsidRPr="000F6CA2" w:rsidRDefault="000F6CA2" w:rsidP="000F6CA2">
      <w:pPr>
        <w:spacing w:after="0" w:line="240" w:lineRule="auto"/>
        <w:ind w:left="709" w:right="709"/>
        <w:jc w:val="both"/>
        <w:rPr>
          <w:rFonts w:ascii="Verdana" w:eastAsia="Aptos" w:hAnsi="Verdana" w:cs="Helvetica"/>
          <w:color w:val="000000"/>
          <w:sz w:val="21"/>
          <w:szCs w:val="21"/>
          <w14:ligatures w14:val="standardContextual"/>
        </w:rPr>
      </w:pPr>
      <w:r w:rsidRPr="000F6CA2">
        <w:rPr>
          <w:rFonts w:ascii="Verdana" w:eastAsia="Aptos" w:hAnsi="Verdana" w:cs="Helvetica"/>
          <w:color w:val="000000"/>
          <w:sz w:val="21"/>
          <w:szCs w:val="21"/>
          <w14:ligatures w14:val="standardContextual"/>
        </w:rPr>
        <w:t>“1. ¿Constituye una falla meramente formal o un defecto de indeterminación sustancial el que un proponente presente un formato de ponderación (p. ej., Formato 14) citando un numeral del pliego que no existe dentro de las reglas del proceso?</w:t>
      </w:r>
    </w:p>
    <w:p w14:paraId="722AA27A" w14:textId="77777777" w:rsidR="000F6CA2" w:rsidRPr="000F6CA2" w:rsidRDefault="000F6CA2" w:rsidP="000F6CA2">
      <w:pPr>
        <w:spacing w:after="0" w:line="240" w:lineRule="auto"/>
        <w:ind w:left="709" w:right="709"/>
        <w:jc w:val="both"/>
        <w:rPr>
          <w:rFonts w:ascii="Verdana" w:eastAsia="Aptos" w:hAnsi="Verdana" w:cs="Helvetica"/>
          <w:color w:val="000000"/>
          <w:sz w:val="21"/>
          <w:szCs w:val="21"/>
          <w14:ligatures w14:val="standardContextual"/>
        </w:rPr>
      </w:pPr>
    </w:p>
    <w:p w14:paraId="68A819C1" w14:textId="77777777" w:rsidR="000F6CA2" w:rsidRPr="000F6CA2" w:rsidRDefault="000F6CA2" w:rsidP="000F6CA2">
      <w:pPr>
        <w:spacing w:after="0" w:line="240" w:lineRule="auto"/>
        <w:ind w:left="709" w:right="709"/>
        <w:jc w:val="both"/>
        <w:rPr>
          <w:rFonts w:ascii="Verdana" w:eastAsia="Aptos" w:hAnsi="Verdana" w:cs="Helvetica"/>
          <w:color w:val="000000"/>
          <w:sz w:val="21"/>
          <w:szCs w:val="21"/>
          <w14:ligatures w14:val="standardContextual"/>
        </w:rPr>
      </w:pPr>
      <w:r w:rsidRPr="000F6CA2">
        <w:rPr>
          <w:rFonts w:ascii="Verdana" w:eastAsia="Aptos" w:hAnsi="Verdana" w:cs="Helvetica"/>
          <w:color w:val="000000"/>
          <w:sz w:val="21"/>
          <w:szCs w:val="21"/>
          <w14:ligatures w14:val="standardContextual"/>
        </w:rPr>
        <w:t>2. ¿Es procedente aplicar las consideraciones del Concepto C-158 de 2024 de CCE sobre "prevalencia del derecho sustancial" para permitir que una Entidad Estatal interprete, reemplace o adecúe de oficio la cita de un numeral inexistente por el numeral correcto dentro de un formato que otorga puntaje?</w:t>
      </w:r>
    </w:p>
    <w:p w14:paraId="13F0FB06" w14:textId="77777777" w:rsidR="000F6CA2" w:rsidRPr="000F6CA2" w:rsidRDefault="000F6CA2" w:rsidP="000F6CA2">
      <w:pPr>
        <w:spacing w:after="0" w:line="240" w:lineRule="auto"/>
        <w:ind w:left="709" w:right="709"/>
        <w:jc w:val="both"/>
        <w:rPr>
          <w:rFonts w:ascii="Verdana" w:eastAsia="Aptos" w:hAnsi="Verdana" w:cs="Helvetica"/>
          <w:color w:val="000000"/>
          <w:sz w:val="21"/>
          <w:szCs w:val="21"/>
          <w14:ligatures w14:val="standardContextual"/>
        </w:rPr>
      </w:pPr>
    </w:p>
    <w:p w14:paraId="1EDADCF7" w14:textId="77777777" w:rsidR="000F6CA2" w:rsidRPr="000F6CA2" w:rsidRDefault="000F6CA2" w:rsidP="000F6CA2">
      <w:pPr>
        <w:spacing w:after="0" w:line="240" w:lineRule="auto"/>
        <w:ind w:left="709" w:right="709"/>
        <w:jc w:val="both"/>
        <w:rPr>
          <w:rFonts w:ascii="Verdana" w:eastAsia="Aptos" w:hAnsi="Verdana" w:cs="Helvetica"/>
          <w:color w:val="000000"/>
          <w:sz w:val="21"/>
          <w:szCs w:val="21"/>
          <w14:ligatures w14:val="standardContextual"/>
        </w:rPr>
      </w:pPr>
      <w:r w:rsidRPr="000F6CA2">
        <w:rPr>
          <w:rFonts w:ascii="Verdana" w:eastAsia="Aptos" w:hAnsi="Verdana" w:cs="Helvetica"/>
          <w:color w:val="000000"/>
          <w:sz w:val="21"/>
          <w:szCs w:val="21"/>
          <w14:ligatures w14:val="standardContextual"/>
        </w:rPr>
        <w:t>3. ¿Afecta la prohibición taxativa del Parágrafo 1° del Artículo 5 de la Ley 1150 de 2007 (modificado por la Ley 1882 de 2018) la posibilidad de que la Entidad Estatal tenga por ofrecido un factor de puntuación cuando la declaración jurada del oferente recae sobre una cláusula o numeral inexistente?</w:t>
      </w:r>
    </w:p>
    <w:p w14:paraId="4D5BA3A8" w14:textId="77777777" w:rsidR="000F6CA2" w:rsidRPr="000F6CA2" w:rsidRDefault="000F6CA2" w:rsidP="000F6CA2">
      <w:pPr>
        <w:spacing w:after="0" w:line="240" w:lineRule="auto"/>
        <w:ind w:left="709" w:right="709"/>
        <w:jc w:val="both"/>
        <w:rPr>
          <w:rFonts w:ascii="Verdana" w:eastAsia="Aptos" w:hAnsi="Verdana" w:cs="Helvetica"/>
          <w:color w:val="000000"/>
          <w:sz w:val="21"/>
          <w:szCs w:val="21"/>
          <w14:ligatures w14:val="standardContextual"/>
        </w:rPr>
      </w:pPr>
    </w:p>
    <w:p w14:paraId="4FA23926" w14:textId="77777777" w:rsidR="000F6CA2" w:rsidRPr="000F6CA2" w:rsidRDefault="000F6CA2" w:rsidP="000F6CA2">
      <w:pPr>
        <w:spacing w:after="0" w:line="240" w:lineRule="auto"/>
        <w:ind w:left="709" w:right="709"/>
        <w:jc w:val="both"/>
        <w:rPr>
          <w:rFonts w:ascii="Verdana" w:eastAsia="Aptos" w:hAnsi="Verdana" w:cs="Helvetica"/>
          <w:color w:val="000000"/>
          <w:sz w:val="21"/>
          <w:szCs w:val="21"/>
          <w14:ligatures w14:val="standardContextual"/>
        </w:rPr>
      </w:pPr>
      <w:r w:rsidRPr="000F6CA2">
        <w:rPr>
          <w:rFonts w:ascii="Verdana" w:eastAsia="Aptos" w:hAnsi="Verdana" w:cs="Helvetica"/>
          <w:color w:val="000000"/>
          <w:sz w:val="21"/>
          <w:szCs w:val="21"/>
          <w14:ligatures w14:val="standardContextual"/>
        </w:rPr>
        <w:t>4. ¿Se vulnera el principio de selección objetiva e igualdad de condiciones (Art. 24 y 29 Ley 80 de 1993) al asignar el máximo puntaje a una propuesta que citó un numeral inexistente, frente a los demás proponentes que ejercieron el deber de diligencia y adecuaron la referencia normativa al numeral correcto del pliego?”</w:t>
      </w:r>
    </w:p>
    <w:p w14:paraId="1D774DD5" w14:textId="77777777" w:rsidR="000F6CA2" w:rsidRPr="000F6CA2" w:rsidRDefault="000F6CA2" w:rsidP="000F6CA2">
      <w:pPr>
        <w:spacing w:after="0" w:line="276" w:lineRule="auto"/>
        <w:jc w:val="both"/>
        <w:rPr>
          <w:rFonts w:ascii="Verdana" w:eastAsia="Calibri" w:hAnsi="Verdana" w:cs="Arial"/>
          <w:lang w:val="es-ES" w:eastAsia="es-ES"/>
        </w:rPr>
      </w:pPr>
    </w:p>
    <w:p w14:paraId="04F1B4DB" w14:textId="77777777" w:rsidR="000F6CA2" w:rsidRPr="000F6CA2" w:rsidRDefault="000F6CA2" w:rsidP="000F6CA2">
      <w:pPr>
        <w:spacing w:after="120" w:line="276" w:lineRule="auto"/>
        <w:ind w:firstLine="709"/>
        <w:jc w:val="both"/>
        <w:rPr>
          <w:rFonts w:ascii="Verdana" w:eastAsia="Calibri" w:hAnsi="Verdana" w:cs="Arial"/>
          <w:color w:val="000000"/>
          <w:lang w:val="es-ES" w:eastAsia="es-ES"/>
        </w:rPr>
      </w:pPr>
      <w:r w:rsidRPr="000F6CA2">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47B3EC2E" w14:textId="77777777" w:rsidR="000F6CA2" w:rsidRPr="000F6CA2" w:rsidRDefault="000F6CA2" w:rsidP="000F6CA2">
      <w:pPr>
        <w:spacing w:after="0" w:line="276" w:lineRule="auto"/>
        <w:ind w:firstLine="709"/>
        <w:jc w:val="both"/>
        <w:rPr>
          <w:rFonts w:ascii="Verdana" w:eastAsia="Calibri" w:hAnsi="Verdana" w:cs="Arial"/>
          <w:color w:val="000000"/>
          <w:lang w:val="es-ES" w:eastAsia="es-ES"/>
        </w:rPr>
      </w:pPr>
      <w:r w:rsidRPr="000F6CA2">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0F6CA2">
        <w:rPr>
          <w:rFonts w:ascii="Verdana" w:eastAsia="Calibri" w:hAnsi="Verdana" w:cs="Arial"/>
          <w:color w:val="7030A0"/>
          <w:lang w:val="es-ES" w:eastAsia="es-ES"/>
        </w:rPr>
        <w:t xml:space="preserve"> </w:t>
      </w:r>
      <w:r w:rsidRPr="000F6CA2">
        <w:rPr>
          <w:rFonts w:ascii="Verdana" w:eastAsia="Calibri" w:hAnsi="Verdana" w:cs="Arial"/>
          <w:color w:val="000000"/>
          <w:lang w:val="es-ES" w:eastAsia="es-ES"/>
        </w:rPr>
        <w:t>problema</w:t>
      </w:r>
      <w:r w:rsidRPr="000F6CA2">
        <w:rPr>
          <w:rFonts w:ascii="Verdana" w:eastAsia="Calibri" w:hAnsi="Verdana" w:cs="Arial"/>
          <w:color w:val="7030A0"/>
          <w:lang w:val="es-ES" w:eastAsia="es-ES"/>
        </w:rPr>
        <w:t xml:space="preserve"> </w:t>
      </w:r>
      <w:r w:rsidRPr="000F6CA2">
        <w:rPr>
          <w:rFonts w:ascii="Verdana" w:eastAsia="Calibri" w:hAnsi="Verdana" w:cs="Arial"/>
          <w:color w:val="000000"/>
          <w:lang w:val="es-ES" w:eastAsia="es-ES"/>
        </w:rPr>
        <w:t>jurídico</w:t>
      </w:r>
      <w:r w:rsidRPr="000F6CA2">
        <w:rPr>
          <w:rFonts w:ascii="Verdana" w:eastAsia="Calibri" w:hAnsi="Verdana" w:cs="Arial"/>
          <w:color w:val="7030A0"/>
          <w:lang w:val="es-ES" w:eastAsia="es-ES"/>
        </w:rPr>
        <w:t xml:space="preserve"> </w:t>
      </w:r>
      <w:r w:rsidRPr="000F6CA2">
        <w:rPr>
          <w:rFonts w:ascii="Verdana" w:eastAsia="Calibri" w:hAnsi="Verdana" w:cs="Arial"/>
          <w:color w:val="000000"/>
          <w:lang w:val="es-ES" w:eastAsia="es-ES"/>
        </w:rPr>
        <w:t xml:space="preserve">de su consulta. </w:t>
      </w:r>
    </w:p>
    <w:p w14:paraId="5C788A82" w14:textId="77777777" w:rsidR="000F6CA2" w:rsidRPr="000F6CA2" w:rsidRDefault="000F6CA2" w:rsidP="000F6CA2">
      <w:pPr>
        <w:tabs>
          <w:tab w:val="left" w:pos="142"/>
          <w:tab w:val="left" w:pos="284"/>
        </w:tabs>
        <w:spacing w:after="0" w:line="276" w:lineRule="auto"/>
        <w:contextualSpacing/>
        <w:jc w:val="both"/>
        <w:rPr>
          <w:rFonts w:ascii="Verdana" w:eastAsia="Century Gothic" w:hAnsi="Verdana" w:cs="Century Gothic"/>
          <w:b/>
          <w:bCs/>
          <w:lang w:val="es-ES"/>
        </w:rPr>
      </w:pPr>
    </w:p>
    <w:p w14:paraId="1766895A" w14:textId="77777777" w:rsidR="000F6CA2" w:rsidRPr="000F6CA2" w:rsidRDefault="000F6CA2" w:rsidP="000F6CA2">
      <w:pPr>
        <w:tabs>
          <w:tab w:val="left" w:pos="142"/>
          <w:tab w:val="left" w:pos="284"/>
        </w:tabs>
        <w:spacing w:after="0" w:line="276" w:lineRule="auto"/>
        <w:contextualSpacing/>
        <w:jc w:val="both"/>
        <w:rPr>
          <w:rFonts w:ascii="Verdana" w:eastAsia="Century Gothic" w:hAnsi="Verdana" w:cs="Century Gothic"/>
          <w:b/>
          <w:bCs/>
          <w:lang w:val="es-ES"/>
        </w:rPr>
      </w:pPr>
      <w:r w:rsidRPr="000F6CA2">
        <w:rPr>
          <w:rFonts w:ascii="Verdana" w:eastAsia="Century Gothic" w:hAnsi="Verdana" w:cs="Century Gothic"/>
          <w:b/>
          <w:bCs/>
          <w:lang w:val="es-ES"/>
        </w:rPr>
        <w:t>1. Problema planteado:</w:t>
      </w:r>
    </w:p>
    <w:p w14:paraId="53AFF94B" w14:textId="77777777" w:rsidR="000F6CA2" w:rsidRPr="000F6CA2" w:rsidRDefault="000F6CA2" w:rsidP="000F6CA2">
      <w:pPr>
        <w:tabs>
          <w:tab w:val="left" w:pos="426"/>
        </w:tabs>
        <w:spacing w:after="0" w:line="276" w:lineRule="auto"/>
        <w:jc w:val="both"/>
        <w:rPr>
          <w:rFonts w:ascii="Verdana" w:eastAsia="Century Gothic" w:hAnsi="Verdana" w:cs="Century Gothic"/>
          <w:lang w:val="es-ES"/>
        </w:rPr>
      </w:pPr>
    </w:p>
    <w:p w14:paraId="20FB838C" w14:textId="77777777" w:rsidR="000F6CA2" w:rsidRPr="000F6CA2" w:rsidRDefault="000F6CA2" w:rsidP="000F6CA2">
      <w:pPr>
        <w:spacing w:after="0" w:line="276" w:lineRule="auto"/>
        <w:jc w:val="both"/>
        <w:rPr>
          <w:rFonts w:ascii="Verdana" w:eastAsia="Calibri" w:hAnsi="Verdana" w:cs="Arial"/>
          <w:bCs/>
          <w:lang w:val="es-ES_tradnl" w:eastAsia="es-ES_tradnl"/>
        </w:rPr>
      </w:pPr>
      <w:r w:rsidRPr="000F6CA2">
        <w:rPr>
          <w:rFonts w:ascii="Verdana" w:eastAsia="Century Gothic" w:hAnsi="Verdana" w:cs="Century Gothic"/>
        </w:rPr>
        <w:t>De acuerdo con el contenido de su solicitud, esta Agencia resolverá el siguiente problema jurídico: ¿cuál es el alcance de la regla de inalterabilidad de los documentos tipo en relación con los aspectos meramente formales de estos?</w:t>
      </w:r>
      <w:r w:rsidRPr="000F6CA2">
        <w:rPr>
          <w:rFonts w:ascii="Verdana" w:eastAsia="Calibri" w:hAnsi="Verdana" w:cs="Arial"/>
          <w:bCs/>
          <w:lang w:val="es-ES_tradnl" w:eastAsia="es-ES_tradnl"/>
        </w:rPr>
        <w:t xml:space="preserve"> </w:t>
      </w:r>
    </w:p>
    <w:p w14:paraId="6BF24868" w14:textId="77777777" w:rsidR="000F6CA2" w:rsidRPr="000F6CA2" w:rsidRDefault="000F6CA2" w:rsidP="000F6CA2">
      <w:pPr>
        <w:spacing w:after="0" w:line="276" w:lineRule="auto"/>
        <w:jc w:val="both"/>
        <w:rPr>
          <w:rFonts w:ascii="Verdana" w:eastAsia="Century Gothic" w:hAnsi="Verdana" w:cs="Century Gothic"/>
          <w:lang w:val="es-ES_tradnl"/>
        </w:rPr>
      </w:pPr>
    </w:p>
    <w:p w14:paraId="48D0A09D" w14:textId="77777777" w:rsidR="000F6CA2" w:rsidRPr="000F6CA2" w:rsidRDefault="000F6CA2" w:rsidP="000F6CA2">
      <w:pPr>
        <w:tabs>
          <w:tab w:val="left" w:pos="142"/>
          <w:tab w:val="left" w:pos="284"/>
        </w:tabs>
        <w:spacing w:after="0" w:line="276" w:lineRule="auto"/>
        <w:contextualSpacing/>
        <w:jc w:val="both"/>
        <w:rPr>
          <w:rFonts w:ascii="Verdana" w:eastAsia="Century Gothic" w:hAnsi="Verdana" w:cs="Century Gothic"/>
          <w:b/>
          <w:bCs/>
          <w:lang w:val="es-ES"/>
        </w:rPr>
      </w:pPr>
      <w:r w:rsidRPr="000F6CA2">
        <w:rPr>
          <w:rFonts w:ascii="Verdana" w:eastAsia="Century Gothic" w:hAnsi="Verdana" w:cs="Century Gothic"/>
          <w:b/>
          <w:bCs/>
          <w:lang w:val="es-ES"/>
        </w:rPr>
        <w:lastRenderedPageBreak/>
        <w:t>2. Respuesta:</w:t>
      </w:r>
    </w:p>
    <w:p w14:paraId="06AE70FE" w14:textId="77777777" w:rsidR="000F6CA2" w:rsidRPr="000F6CA2" w:rsidRDefault="000F6CA2" w:rsidP="000F6CA2">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F6CA2" w:rsidRPr="000F6CA2" w14:paraId="3814BE55" w14:textId="77777777" w:rsidTr="002D3DDD">
        <w:trPr>
          <w:trHeight w:val="40"/>
        </w:trPr>
        <w:tc>
          <w:tcPr>
            <w:tcW w:w="8828" w:type="dxa"/>
            <w:tcBorders>
              <w:top w:val="dotted" w:sz="4" w:space="0" w:color="auto"/>
              <w:left w:val="dotted" w:sz="4" w:space="0" w:color="auto"/>
              <w:bottom w:val="dotted" w:sz="4" w:space="0" w:color="auto"/>
              <w:right w:val="dotted" w:sz="4" w:space="0" w:color="auto"/>
            </w:tcBorders>
          </w:tcPr>
          <w:p w14:paraId="6D317E76" w14:textId="77777777" w:rsidR="000F6CA2" w:rsidRPr="000F6CA2" w:rsidRDefault="000F6CA2" w:rsidP="000F6CA2">
            <w:pPr>
              <w:tabs>
                <w:tab w:val="center" w:pos="4419"/>
                <w:tab w:val="right" w:pos="8838"/>
              </w:tabs>
              <w:snapToGrid w:val="0"/>
              <w:spacing w:after="120" w:line="276" w:lineRule="auto"/>
              <w:jc w:val="both"/>
              <w:rPr>
                <w:rFonts w:ascii="Verdana" w:eastAsia="Calibri" w:hAnsi="Verdana" w:cs="Arial"/>
                <w:color w:val="000000"/>
                <w:lang w:val="es-ES"/>
              </w:rPr>
            </w:pPr>
            <w:r w:rsidRPr="000F6CA2">
              <w:rPr>
                <w:rFonts w:ascii="Verdana" w:eastAsia="Calibri" w:hAnsi="Verdana" w:cs="Arial"/>
                <w:color w:val="00000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0F6CA2">
              <w:rPr>
                <w:rFonts w:ascii="Verdana" w:eastAsia="Calibri" w:hAnsi="Verdana" w:cs="Arial"/>
                <w:i/>
                <w:iCs/>
                <w:color w:val="000000"/>
                <w:lang w:val="es-ES"/>
              </w:rPr>
              <w:t>Documentos del Proceso</w:t>
            </w:r>
            <w:r w:rsidRPr="000F6CA2">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ECD6BEE" w14:textId="77777777" w:rsidR="000F6CA2" w:rsidRPr="000F6CA2" w:rsidRDefault="000F6CA2" w:rsidP="000F6CA2">
            <w:pPr>
              <w:snapToGrid w:val="0"/>
              <w:spacing w:after="120" w:line="276" w:lineRule="auto"/>
              <w:ind w:firstLine="709"/>
              <w:jc w:val="both"/>
              <w:rPr>
                <w:rFonts w:ascii="Verdana" w:eastAsia="Calibri" w:hAnsi="Verdana" w:cs="Arial"/>
                <w:lang w:val="es-ES_tradnl"/>
              </w:rPr>
            </w:pPr>
            <w:r w:rsidRPr="000F6CA2">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49B25510" w14:textId="77777777" w:rsidR="000F6CA2" w:rsidRPr="000F6CA2" w:rsidRDefault="000F6CA2" w:rsidP="000F6CA2">
            <w:pPr>
              <w:snapToGrid w:val="0"/>
              <w:spacing w:after="120" w:line="276" w:lineRule="auto"/>
              <w:ind w:firstLine="708"/>
              <w:jc w:val="both"/>
              <w:rPr>
                <w:rFonts w:ascii="Verdana" w:eastAsia="Calibri" w:hAnsi="Verdana" w:cs="Arial"/>
                <w:color w:val="000000"/>
                <w:lang w:val="es-ES"/>
              </w:rPr>
            </w:pPr>
            <w:r w:rsidRPr="000F6CA2">
              <w:rPr>
                <w:rFonts w:ascii="Verdana" w:eastAsia="Calibri" w:hAnsi="Verdana" w:cs="Arial"/>
                <w:lang w:val="es-MX"/>
              </w:rPr>
              <w:t xml:space="preserve">La parte introductoria de los documentos base de los documentos tipo disponen que los aspectos incluidos en corchetes y resaltados en gris </w:t>
            </w:r>
            <w:r w:rsidRPr="000F6CA2">
              <w:rPr>
                <w:rFonts w:ascii="Verdana" w:eastAsia="Aptos" w:hAnsi="Verdana" w:cs="Arial"/>
              </w:rPr>
              <w:t>–[</w:t>
            </w:r>
            <w:r w:rsidRPr="000F6CA2">
              <w:rPr>
                <w:rFonts w:ascii="Verdana" w:eastAsia="Aptos" w:hAnsi="Verdana" w:cs="Arial"/>
                <w:highlight w:val="lightGray"/>
              </w:rPr>
              <w:t>texto de ejemplo</w:t>
            </w:r>
            <w:r w:rsidRPr="000F6CA2">
              <w:rPr>
                <w:rFonts w:ascii="Verdana" w:eastAsia="Aptos" w:hAnsi="Verdana" w:cs="Arial"/>
              </w:rPr>
              <w:t xml:space="preserve">]– </w:t>
            </w:r>
            <w:r w:rsidRPr="000F6CA2">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59762B37" w14:textId="77777777" w:rsidR="000F6CA2" w:rsidRPr="000F6CA2" w:rsidRDefault="000F6CA2" w:rsidP="000F6CA2">
            <w:pPr>
              <w:spacing w:line="276" w:lineRule="auto"/>
              <w:ind w:firstLine="709"/>
              <w:jc w:val="both"/>
              <w:rPr>
                <w:rFonts w:ascii="Verdana" w:eastAsia="Calibri" w:hAnsi="Verdana" w:cs="Arial"/>
                <w:bCs/>
                <w:lang w:val="es-MX"/>
              </w:rPr>
            </w:pPr>
            <w:r w:rsidRPr="000F6CA2">
              <w:rPr>
                <w:rFonts w:ascii="Verdana" w:eastAsia="Calibri" w:hAnsi="Verdana" w:cs="Arial"/>
                <w:bCs/>
                <w:lang w:val="es-MX"/>
              </w:rPr>
              <w:t xml:space="preserve">En suma, la regla general frente la aplicación de los documentos tipo es su inalterabilidad, y no podrán incluirse o modificarse en los documentos del proceso las condiciones habilitantes, los factores técnicos y económicos de </w:t>
            </w:r>
            <w:r w:rsidRPr="000F6CA2">
              <w:rPr>
                <w:rFonts w:ascii="Verdana" w:eastAsia="Calibri" w:hAnsi="Verdana" w:cs="Arial"/>
                <w:bCs/>
                <w:lang w:val="es-MX"/>
              </w:rPr>
              <w:lastRenderedPageBreak/>
              <w:t>escogencia y los sistemas de ponderación distintos a los señalados en los documentos tipo. En tal sentido, estos solo se podrán modificar respecto a aquellos contenidos que el mismo documento tipo lo permita.</w:t>
            </w:r>
          </w:p>
          <w:p w14:paraId="1741FF25" w14:textId="77777777" w:rsidR="0042257C" w:rsidRDefault="000F6CA2" w:rsidP="000F6CA2">
            <w:pPr>
              <w:spacing w:before="120" w:after="120" w:line="276" w:lineRule="auto"/>
              <w:ind w:firstLine="709"/>
              <w:jc w:val="both"/>
              <w:rPr>
                <w:rFonts w:ascii="Verdana" w:eastAsia="Calibri" w:hAnsi="Verdana" w:cs="Arial"/>
                <w:lang w:val="es-MX"/>
              </w:rPr>
            </w:pPr>
            <w:r w:rsidRPr="000F6CA2">
              <w:rPr>
                <w:rFonts w:ascii="Verdana" w:eastAsia="Calibri" w:hAnsi="Verdana" w:cs="Arial"/>
                <w:lang w:val="es-MX"/>
              </w:rPr>
              <w:t>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w:t>
            </w:r>
          </w:p>
          <w:p w14:paraId="2610CD95" w14:textId="651D03E8" w:rsidR="000F6CA2" w:rsidRPr="000F6CA2" w:rsidRDefault="00C756C7" w:rsidP="000F6CA2">
            <w:pPr>
              <w:spacing w:before="120" w:after="120" w:line="276" w:lineRule="auto"/>
              <w:ind w:firstLine="709"/>
              <w:jc w:val="both"/>
              <w:rPr>
                <w:rFonts w:ascii="Verdana" w:eastAsia="Aptos" w:hAnsi="Verdana" w:cs="Arial"/>
              </w:rPr>
            </w:pPr>
            <w:r>
              <w:rPr>
                <w:rFonts w:ascii="Verdana" w:eastAsia="Calibri" w:hAnsi="Verdana" w:cs="Arial"/>
                <w:lang w:val="es-MX"/>
              </w:rPr>
              <w:t>D</w:t>
            </w:r>
            <w:r w:rsidR="00A96552" w:rsidRPr="00A96552">
              <w:rPr>
                <w:rFonts w:ascii="Verdana" w:eastAsia="Calibri" w:hAnsi="Verdana" w:cs="Arial"/>
                <w:lang w:val="es-MX"/>
              </w:rPr>
              <w:t>eberá establecerse si, pese a la inconsistencia, el ofrecimiento puede identificarse objetivamente con la información aportada al cierre, sin necesidad de completarlo, adicionarlo o modificarlo. Si ello es posible, la inconsistencia podrá valorarse como un error formal de la oferta; si para determinar el ofrecimiento es necesario incorporar o modificar posteriormente información que incide en la asignación de puntaje, resultará aplicable la prohibición de subsanación prevista en el parágrafo 1 del artículo 5 de la Ley 1150 de 2007.</w:t>
            </w:r>
            <w:r w:rsidR="00284FE6">
              <w:rPr>
                <w:rFonts w:ascii="Verdana" w:eastAsia="Calibri" w:hAnsi="Verdana" w:cs="Arial"/>
                <w:lang w:val="es-MX"/>
              </w:rPr>
              <w:t xml:space="preserve"> </w:t>
            </w:r>
            <w:r w:rsidR="000F6CA2" w:rsidRPr="000F6CA2">
              <w:rPr>
                <w:rFonts w:ascii="Verdana" w:eastAsia="Aptos" w:hAnsi="Verdana" w:cs="Arial"/>
              </w:rPr>
              <w:t xml:space="preserve">En relación con el principio constitucional </w:t>
            </w:r>
            <w:r w:rsidR="000F6CA2" w:rsidRPr="000F6CA2">
              <w:rPr>
                <w:rFonts w:ascii="Verdana" w:eastAsia="Aptos" w:hAnsi="Verdana" w:cs="Arial"/>
                <w:i/>
                <w:iCs/>
              </w:rPr>
              <w:t>sub examine</w:t>
            </w:r>
            <w:r w:rsidR="000F6CA2" w:rsidRPr="000F6CA2">
              <w:rPr>
                <w:rFonts w:ascii="Verdana" w:eastAsia="Aptos" w:hAnsi="Verdana"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000F6CA2" w:rsidRPr="000F6CA2">
              <w:rPr>
                <w:rFonts w:ascii="Verdana" w:eastAsia="Aptos" w:hAnsi="Verdana" w:cs="Arial"/>
                <w:vertAlign w:val="superscript"/>
              </w:rPr>
              <w:footnoteReference w:id="2"/>
            </w:r>
            <w:r w:rsidR="000F6CA2" w:rsidRPr="000F6CA2">
              <w:rPr>
                <w:rFonts w:ascii="Verdana" w:eastAsia="Aptos" w:hAnsi="Verdana" w:cs="Arial"/>
              </w:rPr>
              <w:t xml:space="preserve">. </w:t>
            </w:r>
          </w:p>
          <w:p w14:paraId="6DAB8373" w14:textId="77777777" w:rsidR="000F6CA2" w:rsidRPr="000F6CA2" w:rsidRDefault="000F6CA2" w:rsidP="000F6CA2">
            <w:pPr>
              <w:snapToGrid w:val="0"/>
              <w:spacing w:after="120" w:line="276" w:lineRule="auto"/>
              <w:ind w:firstLine="709"/>
              <w:jc w:val="both"/>
              <w:rPr>
                <w:rFonts w:ascii="Verdana" w:eastAsia="Calibri" w:hAnsi="Verdana" w:cs="Arial"/>
                <w:lang w:val="es-MX"/>
              </w:rPr>
            </w:pPr>
            <w:r w:rsidRPr="000F6CA2">
              <w:rPr>
                <w:rFonts w:ascii="Verdana" w:eastAsia="Calibri" w:hAnsi="Verdana" w:cs="Arial"/>
                <w:lang w:val="es-MX"/>
              </w:rPr>
              <w:t xml:space="preserve">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w:t>
            </w:r>
            <w:r w:rsidRPr="000F6CA2">
              <w:rPr>
                <w:rFonts w:ascii="Verdana" w:eastAsia="Calibri" w:hAnsi="Verdana" w:cs="Arial"/>
                <w:lang w:val="es-MX"/>
              </w:rPr>
              <w:lastRenderedPageBreak/>
              <w:t>aplicación y alcance de los documentos tipos, es decir, no afectan su contenido esencial y, mucho menos, las obligaciones, deberes y derechos que se derivan para las partes contratantes.</w:t>
            </w:r>
          </w:p>
          <w:p w14:paraId="67DEC710" w14:textId="77777777" w:rsidR="000F6CA2" w:rsidRPr="000F6CA2" w:rsidRDefault="000F6CA2" w:rsidP="000F6CA2">
            <w:pPr>
              <w:snapToGrid w:val="0"/>
              <w:spacing w:after="120" w:line="276" w:lineRule="auto"/>
              <w:ind w:firstLine="709"/>
              <w:jc w:val="both"/>
              <w:rPr>
                <w:rFonts w:ascii="Verdana" w:eastAsia="Aptos" w:hAnsi="Verdana" w:cs="Aptos"/>
                <w:lang w:val="es-ES_tradnl"/>
              </w:rPr>
            </w:pPr>
            <w:r w:rsidRPr="000F6CA2">
              <w:rPr>
                <w:rFonts w:ascii="Verdana" w:eastAsia="Calibri" w:hAnsi="Verdana" w:cs="Arial"/>
                <w:bCs/>
                <w:color w:val="000000"/>
                <w:lang w:val="es-ES_tradnl" w:eastAsia="es-MX"/>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6887AD6B" w14:textId="77777777" w:rsidR="000F6CA2" w:rsidRPr="000F6CA2" w:rsidRDefault="000F6CA2" w:rsidP="000F6CA2">
            <w:pPr>
              <w:spacing w:line="276" w:lineRule="auto"/>
              <w:ind w:firstLine="709"/>
              <w:jc w:val="both"/>
              <w:rPr>
                <w:rFonts w:ascii="Verdana" w:eastAsia="Calibri" w:hAnsi="Verdana" w:cs="Arial"/>
                <w:bCs/>
                <w:color w:val="000000"/>
                <w:lang w:val="es-ES_tradnl" w:eastAsia="es-MX"/>
              </w:rPr>
            </w:pPr>
            <w:r w:rsidRPr="000F6CA2">
              <w:rPr>
                <w:rFonts w:ascii="Verdana" w:eastAsia="Calibri" w:hAnsi="Verdana" w:cs="Arial"/>
                <w:bCs/>
                <w:color w:val="000000"/>
                <w:lang w:val="es-ES_tradnl" w:eastAsia="es-MX"/>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tc>
      </w:tr>
    </w:tbl>
    <w:p w14:paraId="0ED6A244" w14:textId="77777777" w:rsidR="000F6CA2" w:rsidRPr="000F6CA2" w:rsidRDefault="000F6CA2" w:rsidP="000F6CA2">
      <w:pPr>
        <w:tabs>
          <w:tab w:val="left" w:pos="142"/>
          <w:tab w:val="left" w:pos="284"/>
        </w:tabs>
        <w:spacing w:after="0" w:line="276" w:lineRule="auto"/>
        <w:jc w:val="both"/>
        <w:rPr>
          <w:rFonts w:ascii="Verdana" w:eastAsia="Century Gothic" w:hAnsi="Verdana" w:cs="Century Gothic"/>
          <w:b/>
          <w:bCs/>
          <w:lang w:val="es-ES"/>
        </w:rPr>
      </w:pPr>
    </w:p>
    <w:p w14:paraId="5B1BC6F2" w14:textId="77777777" w:rsidR="000F6CA2" w:rsidRPr="000F6CA2" w:rsidRDefault="000F6CA2" w:rsidP="000F6CA2">
      <w:pPr>
        <w:tabs>
          <w:tab w:val="left" w:pos="142"/>
          <w:tab w:val="left" w:pos="284"/>
        </w:tabs>
        <w:spacing w:after="0" w:line="276" w:lineRule="auto"/>
        <w:jc w:val="both"/>
        <w:rPr>
          <w:rFonts w:ascii="Verdana" w:eastAsia="Century Gothic" w:hAnsi="Verdana" w:cs="Century Gothic"/>
          <w:b/>
          <w:bCs/>
          <w:lang w:val="es-ES"/>
        </w:rPr>
      </w:pPr>
      <w:r w:rsidRPr="000F6CA2">
        <w:rPr>
          <w:rFonts w:ascii="Verdana" w:eastAsia="Century Gothic" w:hAnsi="Verdana" w:cs="Century Gothic"/>
          <w:b/>
          <w:bCs/>
          <w:lang w:val="es-ES"/>
        </w:rPr>
        <w:t>3. Razones de la respuesta:</w:t>
      </w:r>
    </w:p>
    <w:p w14:paraId="53AC0D40" w14:textId="77777777" w:rsidR="000F6CA2" w:rsidRPr="000F6CA2" w:rsidRDefault="000F6CA2" w:rsidP="000F6CA2">
      <w:pPr>
        <w:spacing w:after="0" w:line="276" w:lineRule="auto"/>
        <w:jc w:val="both"/>
        <w:rPr>
          <w:rFonts w:ascii="Verdana" w:eastAsia="Calibri" w:hAnsi="Verdana" w:cs="Arial"/>
          <w:lang w:val="es-ES"/>
        </w:rPr>
      </w:pPr>
    </w:p>
    <w:p w14:paraId="0A853A34" w14:textId="77777777" w:rsidR="000F6CA2" w:rsidRPr="000F6CA2" w:rsidRDefault="000F6CA2" w:rsidP="000F6CA2">
      <w:pPr>
        <w:spacing w:after="0" w:line="276" w:lineRule="auto"/>
        <w:jc w:val="both"/>
        <w:rPr>
          <w:rFonts w:ascii="Verdana" w:eastAsia="Calibri" w:hAnsi="Verdana" w:cs="Arial"/>
          <w:lang w:val="es-ES"/>
        </w:rPr>
      </w:pPr>
      <w:r w:rsidRPr="000F6CA2">
        <w:rPr>
          <w:rFonts w:ascii="Verdana" w:eastAsia="Calibri" w:hAnsi="Verdana" w:cs="Arial"/>
          <w:lang w:val="es-ES"/>
        </w:rPr>
        <w:t xml:space="preserve">Lo anterior se sustenta en las siguientes consideraciones: </w:t>
      </w:r>
      <w:bookmarkStart w:id="1" w:name="_Hlk113022941"/>
    </w:p>
    <w:p w14:paraId="34168A39" w14:textId="77777777" w:rsidR="000F6CA2" w:rsidRPr="000F6CA2" w:rsidRDefault="000F6CA2" w:rsidP="000F6CA2">
      <w:pPr>
        <w:spacing w:after="0" w:line="276" w:lineRule="auto"/>
        <w:jc w:val="both"/>
        <w:rPr>
          <w:rFonts w:ascii="Verdana" w:eastAsia="Calibri" w:hAnsi="Verdana" w:cs="Arial"/>
          <w:lang w:val="es-ES"/>
        </w:rPr>
      </w:pPr>
    </w:p>
    <w:p w14:paraId="5FC1826C" w14:textId="77777777" w:rsidR="000F6CA2" w:rsidRPr="000F6CA2" w:rsidRDefault="000F6CA2" w:rsidP="000F6CA2">
      <w:pPr>
        <w:tabs>
          <w:tab w:val="center" w:pos="4419"/>
          <w:tab w:val="right" w:pos="8838"/>
        </w:tabs>
        <w:spacing w:after="120" w:line="276" w:lineRule="auto"/>
        <w:jc w:val="both"/>
        <w:rPr>
          <w:rFonts w:ascii="Verdana" w:eastAsia="Calibri" w:hAnsi="Verdana" w:cs="Arial"/>
          <w:color w:val="000000"/>
          <w:lang w:val="es-ES"/>
        </w:rPr>
      </w:pPr>
      <w:r w:rsidRPr="000F6CA2">
        <w:rPr>
          <w:rFonts w:ascii="Verdana" w:eastAsia="Calibri" w:hAnsi="Verdana" w:cs="Arial"/>
          <w:color w:val="000000"/>
          <w:lang w:val="es-ES"/>
        </w:rPr>
        <w:t>Todas las resoluciones</w:t>
      </w:r>
      <w:r w:rsidRPr="000F6CA2">
        <w:rPr>
          <w:rFonts w:ascii="Verdana" w:eastAsia="Calibri" w:hAnsi="Verdana" w:cs="Arial"/>
          <w:color w:val="000000"/>
          <w:vertAlign w:val="superscript"/>
          <w:lang w:val="es-ES"/>
        </w:rPr>
        <w:footnoteReference w:id="3"/>
      </w:r>
      <w:r w:rsidRPr="000F6CA2">
        <w:rPr>
          <w:rFonts w:ascii="Verdana" w:eastAsia="Calibri" w:hAnsi="Verdana" w:cs="Arial"/>
          <w:color w:val="000000"/>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0F6CA2">
        <w:rPr>
          <w:rFonts w:ascii="Verdana" w:eastAsia="Calibri" w:hAnsi="Verdana" w:cs="Arial"/>
          <w:i/>
          <w:iCs/>
          <w:color w:val="000000"/>
          <w:lang w:val="es-ES"/>
        </w:rPr>
        <w:lastRenderedPageBreak/>
        <w:t>Documentos del Proceso</w:t>
      </w:r>
      <w:r w:rsidRPr="000F6CA2">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DB561A6" w14:textId="77777777" w:rsidR="000F6CA2" w:rsidRPr="000F6CA2" w:rsidRDefault="000F6CA2" w:rsidP="000F6CA2">
      <w:pPr>
        <w:spacing w:before="120" w:after="120" w:line="276" w:lineRule="auto"/>
        <w:ind w:firstLine="709"/>
        <w:jc w:val="both"/>
        <w:rPr>
          <w:rFonts w:ascii="Verdana" w:eastAsia="Calibri" w:hAnsi="Verdana" w:cs="Arial"/>
          <w:lang w:val="es-ES_tradnl"/>
        </w:rPr>
      </w:pPr>
      <w:r w:rsidRPr="000F6CA2">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526FCCCF" w14:textId="77777777" w:rsidR="000F6CA2" w:rsidRPr="000F6CA2" w:rsidRDefault="000F6CA2" w:rsidP="000F6CA2">
      <w:pPr>
        <w:spacing w:before="120" w:after="120" w:line="276" w:lineRule="auto"/>
        <w:ind w:firstLine="709"/>
        <w:jc w:val="both"/>
        <w:rPr>
          <w:rFonts w:ascii="Verdana" w:eastAsia="Calibri" w:hAnsi="Verdana" w:cs="Arial"/>
          <w:lang w:val="es-ES_tradnl"/>
        </w:rPr>
      </w:pPr>
      <w:r w:rsidRPr="000F6CA2">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0F6CA2">
        <w:rPr>
          <w:rFonts w:ascii="Verdana" w:eastAsia="Calibri" w:hAnsi="Verdana" w:cs="Arial"/>
          <w:vertAlign w:val="superscript"/>
          <w:lang w:val="es-ES_tradnl"/>
        </w:rPr>
        <w:footnoteReference w:id="4"/>
      </w:r>
      <w:r w:rsidRPr="000F6CA2">
        <w:rPr>
          <w:rFonts w:ascii="Verdana" w:eastAsia="Calibri" w:hAnsi="Verdana" w:cs="Arial"/>
          <w:lang w:val="es-ES_tradnl"/>
        </w:rPr>
        <w:t xml:space="preserve">. Cada entidad pública sujeta a los documentos tipo </w:t>
      </w:r>
      <w:r w:rsidRPr="000F6CA2">
        <w:rPr>
          <w:rFonts w:ascii="Verdana" w:eastAsia="Calibri" w:hAnsi="Verdana" w:cs="Arial"/>
          <w:lang w:val="es-ES_tradnl"/>
        </w:rPr>
        <w:lastRenderedPageBreak/>
        <w:t xml:space="preserve">deberá hacer una aplicación o constatación irrestricta de las reglas y condiciones dispuestas en estos, salvo que las mismas posibilitan la discrecionalidad en determinados aspectos. </w:t>
      </w:r>
    </w:p>
    <w:p w14:paraId="2611012F" w14:textId="77777777" w:rsidR="000F6CA2" w:rsidRPr="000F6CA2" w:rsidRDefault="000F6CA2" w:rsidP="000F6CA2">
      <w:pPr>
        <w:spacing w:before="120" w:after="120" w:line="276" w:lineRule="auto"/>
        <w:ind w:firstLine="709"/>
        <w:jc w:val="both"/>
        <w:rPr>
          <w:rFonts w:ascii="Verdana" w:eastAsia="Calibri" w:hAnsi="Verdana" w:cs="Arial"/>
          <w:lang w:val="es-ES"/>
        </w:rPr>
      </w:pPr>
      <w:r w:rsidRPr="000F6CA2">
        <w:rPr>
          <w:rFonts w:ascii="Verdana" w:eastAsia="Calibri" w:hAnsi="Verdana" w:cs="Arial"/>
          <w:lang w:val="es-ES"/>
        </w:rPr>
        <w:t xml:space="preserve">Además, las entidades estatales deben garantizar el </w:t>
      </w:r>
      <w:r w:rsidRPr="000F6CA2">
        <w:rPr>
          <w:rFonts w:ascii="Verdana" w:eastAsia="Calibri" w:hAnsi="Verdana" w:cs="Arial"/>
          <w:i/>
          <w:iCs/>
          <w:lang w:val="es-ES"/>
        </w:rPr>
        <w:t>principio de economía</w:t>
      </w:r>
      <w:r w:rsidRPr="000F6CA2">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0F6CA2">
        <w:rPr>
          <w:rFonts w:ascii="Verdana" w:eastAsia="Calibri" w:hAnsi="Verdana" w:cs="Arial"/>
          <w:vertAlign w:val="superscript"/>
          <w:lang w:val="es-ES"/>
        </w:rPr>
        <w:footnoteReference w:id="5"/>
      </w:r>
      <w:r w:rsidRPr="000F6CA2">
        <w:rPr>
          <w:rFonts w:ascii="Verdana" w:eastAsia="Calibri" w:hAnsi="Verdana" w:cs="Arial"/>
          <w:lang w:val="es-ES"/>
        </w:rPr>
        <w:t xml:space="preserve"> sino además en la normativa </w:t>
      </w:r>
      <w:proofErr w:type="spellStart"/>
      <w:r w:rsidRPr="000F6CA2">
        <w:rPr>
          <w:rFonts w:ascii="Verdana" w:eastAsia="Calibri" w:hAnsi="Verdana" w:cs="Arial"/>
          <w:lang w:val="es-ES"/>
        </w:rPr>
        <w:t>antitrámites</w:t>
      </w:r>
      <w:proofErr w:type="spellEnd"/>
      <w:r w:rsidRPr="000F6CA2">
        <w:rPr>
          <w:rFonts w:ascii="Verdana" w:eastAsia="Calibri" w:hAnsi="Verdana" w:cs="Arial"/>
          <w:vertAlign w:val="superscript"/>
          <w:lang w:val="es-ES"/>
        </w:rPr>
        <w:footnoteReference w:id="6"/>
      </w:r>
      <w:r w:rsidRPr="000F6CA2">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756735B2" w14:textId="77777777" w:rsidR="000F6CA2" w:rsidRPr="000F6CA2" w:rsidRDefault="000F6CA2" w:rsidP="000F6CA2">
      <w:pPr>
        <w:spacing w:after="120" w:line="276" w:lineRule="auto"/>
        <w:ind w:firstLine="708"/>
        <w:jc w:val="both"/>
        <w:rPr>
          <w:rFonts w:ascii="Verdana" w:eastAsia="Calibri" w:hAnsi="Verdana" w:cs="Arial"/>
          <w:color w:val="000000"/>
          <w:lang w:val="es-ES"/>
        </w:rPr>
      </w:pPr>
      <w:r w:rsidRPr="000F6CA2">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0F6CA2">
        <w:rPr>
          <w:rFonts w:ascii="Verdana" w:eastAsia="Calibri" w:hAnsi="Verdana" w:cs="Arial"/>
          <w:color w:val="000000"/>
          <w:vertAlign w:val="superscript"/>
          <w:lang w:val="es-ES"/>
        </w:rPr>
        <w:footnoteReference w:id="7"/>
      </w:r>
      <w:r w:rsidRPr="000F6CA2">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1383F4C3" w14:textId="77777777" w:rsidR="000F6CA2" w:rsidRPr="000F6CA2" w:rsidRDefault="000F6CA2" w:rsidP="000F6CA2">
      <w:pPr>
        <w:spacing w:after="120" w:line="276" w:lineRule="auto"/>
        <w:ind w:firstLine="708"/>
        <w:jc w:val="both"/>
        <w:rPr>
          <w:rFonts w:ascii="Verdana" w:eastAsia="Calibri" w:hAnsi="Verdana" w:cs="Arial"/>
          <w:color w:val="000000"/>
          <w:lang w:val="es-ES"/>
        </w:rPr>
      </w:pPr>
      <w:r w:rsidRPr="000F6CA2">
        <w:rPr>
          <w:rFonts w:ascii="Verdana" w:eastAsia="Calibri" w:hAnsi="Verdana" w:cs="Arial"/>
          <w:color w:val="000000"/>
          <w:lang w:val="es-ES"/>
        </w:rPr>
        <w:t xml:space="preserve">De otra parte, a la luz de los objetivos perseguidos, si la normativa permitiera la alteración de todo el documento tipo, sería imposible verificar en </w:t>
      </w:r>
      <w:r w:rsidRPr="000F6CA2">
        <w:rPr>
          <w:rFonts w:ascii="Verdana" w:eastAsia="Calibri" w:hAnsi="Verdana" w:cs="Arial"/>
          <w:color w:val="000000"/>
          <w:lang w:val="es-ES"/>
        </w:rPr>
        <w:lastRenderedPageBreak/>
        <w:t xml:space="preserve">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4851A37F" w14:textId="77777777" w:rsidR="000F6CA2" w:rsidRPr="000F6CA2" w:rsidRDefault="000F6CA2" w:rsidP="000F6CA2">
      <w:pPr>
        <w:spacing w:after="120" w:line="276" w:lineRule="auto"/>
        <w:ind w:firstLine="708"/>
        <w:jc w:val="both"/>
        <w:rPr>
          <w:rFonts w:ascii="Verdana" w:eastAsia="Calibri" w:hAnsi="Verdana" w:cs="Arial"/>
          <w:color w:val="000000"/>
          <w:lang w:val="es-ES"/>
        </w:rPr>
      </w:pPr>
      <w:r w:rsidRPr="000F6CA2">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7EFA23FD" w14:textId="77777777" w:rsidR="000F6CA2" w:rsidRPr="000F6CA2" w:rsidRDefault="000F6CA2" w:rsidP="000F6CA2">
      <w:pPr>
        <w:spacing w:after="120" w:line="276" w:lineRule="auto"/>
        <w:ind w:firstLine="708"/>
        <w:jc w:val="both"/>
        <w:rPr>
          <w:rFonts w:ascii="Verdana" w:eastAsia="Calibri" w:hAnsi="Verdana" w:cs="Arial"/>
          <w:color w:val="000000"/>
          <w:lang w:val="es-ES"/>
        </w:rPr>
      </w:pPr>
      <w:r w:rsidRPr="000F6CA2">
        <w:rPr>
          <w:rFonts w:ascii="Verdana" w:eastAsia="Calibri" w:hAnsi="Verdana" w:cs="Arial"/>
          <w:lang w:val="es-MX"/>
        </w:rPr>
        <w:t xml:space="preserve">No obstante, la parte introductoria de los documentos base de los documentos tipo disponen que los aspectos incluidos en corchetes y resaltados en gris </w:t>
      </w:r>
      <w:r w:rsidRPr="000F6CA2">
        <w:rPr>
          <w:rFonts w:ascii="Verdana" w:eastAsia="Aptos" w:hAnsi="Verdana" w:cs="Arial"/>
        </w:rPr>
        <w:t>–[</w:t>
      </w:r>
      <w:r w:rsidRPr="000F6CA2">
        <w:rPr>
          <w:rFonts w:ascii="Verdana" w:eastAsia="Aptos" w:hAnsi="Verdana" w:cs="Arial"/>
          <w:highlight w:val="lightGray"/>
        </w:rPr>
        <w:t>texto de ejemplo</w:t>
      </w:r>
      <w:r w:rsidRPr="000F6CA2">
        <w:rPr>
          <w:rFonts w:ascii="Verdana" w:eastAsia="Aptos" w:hAnsi="Verdana" w:cs="Arial"/>
        </w:rPr>
        <w:t xml:space="preserve">]– </w:t>
      </w:r>
      <w:r w:rsidRPr="000F6CA2">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5D438D7B" w14:textId="77777777" w:rsidR="000F6CA2" w:rsidRPr="000F6CA2" w:rsidRDefault="000F6CA2" w:rsidP="000F6CA2">
      <w:pPr>
        <w:spacing w:after="120" w:line="276" w:lineRule="auto"/>
        <w:ind w:firstLine="708"/>
        <w:jc w:val="both"/>
        <w:rPr>
          <w:rFonts w:ascii="Aptos" w:eastAsia="Aptos" w:hAnsi="Aptos" w:cs="Times New Roman"/>
          <w:kern w:val="2"/>
          <w:sz w:val="24"/>
          <w:szCs w:val="24"/>
          <w:lang w:val="es-MX"/>
          <w14:ligatures w14:val="standardContextual"/>
        </w:rPr>
      </w:pPr>
      <w:r w:rsidRPr="000F6CA2">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0F6CA2">
        <w:rPr>
          <w:rFonts w:ascii="Verdana" w:eastAsia="Calibri" w:hAnsi="Verdana" w:cs="Arial"/>
          <w:i/>
          <w:iCs/>
          <w:lang w:val="es-MX"/>
        </w:rPr>
        <w:t>“</w:t>
      </w:r>
      <w:r w:rsidRPr="000F6CA2">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0F6CA2">
        <w:rPr>
          <w:rFonts w:ascii="Verdana" w:eastAsia="Aptos" w:hAnsi="Verdana" w:cs="Times New Roman"/>
          <w:i/>
          <w:iCs/>
          <w:kern w:val="2"/>
          <w:vertAlign w:val="superscript"/>
          <w:lang w:val="es-MX"/>
          <w14:ligatures w14:val="standardContextual"/>
        </w:rPr>
        <w:footnoteReference w:id="8"/>
      </w:r>
      <w:r w:rsidRPr="000F6CA2">
        <w:rPr>
          <w:rFonts w:ascii="Verdana" w:eastAsia="Aptos" w:hAnsi="Verdana" w:cs="Times New Roman"/>
          <w:i/>
          <w:iCs/>
          <w:kern w:val="2"/>
          <w:lang w:val="es-MX"/>
          <w14:ligatures w14:val="standardContextual"/>
        </w:rPr>
        <w:t>.</w:t>
      </w:r>
      <w:r w:rsidRPr="000F6CA2">
        <w:rPr>
          <w:rFonts w:ascii="Aptos" w:eastAsia="Aptos" w:hAnsi="Aptos" w:cs="Times New Roman"/>
          <w:kern w:val="2"/>
          <w:sz w:val="24"/>
          <w:szCs w:val="24"/>
          <w:lang w:val="es-MX"/>
          <w14:ligatures w14:val="standardContextual"/>
        </w:rPr>
        <w:t xml:space="preserve"> </w:t>
      </w:r>
    </w:p>
    <w:p w14:paraId="0397892B" w14:textId="77777777" w:rsidR="000F6CA2" w:rsidRPr="000F6CA2" w:rsidRDefault="000F6CA2" w:rsidP="000F6CA2">
      <w:pPr>
        <w:spacing w:before="120" w:after="120" w:line="276" w:lineRule="auto"/>
        <w:ind w:firstLine="709"/>
        <w:jc w:val="both"/>
        <w:rPr>
          <w:rFonts w:ascii="Verdana" w:eastAsia="Calibri" w:hAnsi="Verdana" w:cs="Arial"/>
          <w:bCs/>
          <w:lang w:val="es-MX"/>
        </w:rPr>
      </w:pPr>
      <w:r w:rsidRPr="000F6CA2">
        <w:rPr>
          <w:rFonts w:ascii="Verdana" w:eastAsia="Calibri" w:hAnsi="Verdana" w:cs="Arial"/>
          <w:bCs/>
          <w:lang w:val="es-MX"/>
        </w:rPr>
        <w:lastRenderedPageBreak/>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6775F629" w14:textId="77777777" w:rsidR="000F6CA2" w:rsidRPr="000F6CA2" w:rsidRDefault="000F6CA2" w:rsidP="000F6CA2">
      <w:pPr>
        <w:spacing w:before="120" w:after="120" w:line="276" w:lineRule="auto"/>
        <w:ind w:firstLine="709"/>
        <w:jc w:val="both"/>
        <w:rPr>
          <w:rFonts w:ascii="Verdana" w:eastAsia="Calibri" w:hAnsi="Verdana" w:cs="Arial"/>
          <w:bCs/>
          <w:lang w:val="es-MX"/>
        </w:rPr>
      </w:pPr>
      <w:r w:rsidRPr="000F6CA2">
        <w:rPr>
          <w:rFonts w:ascii="Verdana" w:eastAsia="Calibri" w:hAnsi="Verdana" w:cs="Arial"/>
          <w:bCs/>
          <w:lang w:val="es-MX"/>
        </w:rPr>
        <w:t xml:space="preserve">Esta regla de inalterabilidad </w:t>
      </w:r>
      <w:r w:rsidRPr="000F6CA2">
        <w:rPr>
          <w:rFonts w:ascii="Verdana" w:eastAsia="Calibri" w:hAnsi="Verdana" w:cs="Arial"/>
          <w:bCs/>
          <w:i/>
          <w:iCs/>
          <w:lang w:val="es-MX"/>
        </w:rPr>
        <w:t>también aplica a los formatos, formularios, anexos y matrices</w:t>
      </w:r>
      <w:r w:rsidRPr="000F6CA2">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33715DEF" w14:textId="77777777" w:rsidR="000F6CA2" w:rsidRPr="000F6CA2" w:rsidRDefault="000F6CA2" w:rsidP="000F6CA2">
      <w:pPr>
        <w:spacing w:before="120" w:after="120" w:line="276" w:lineRule="auto"/>
        <w:ind w:firstLine="709"/>
        <w:jc w:val="both"/>
        <w:rPr>
          <w:rFonts w:ascii="Verdana" w:eastAsia="Calibri" w:hAnsi="Verdana" w:cs="Arial"/>
          <w:lang w:val="es-MX"/>
        </w:rPr>
      </w:pPr>
      <w:r w:rsidRPr="000F6CA2">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1F2D67E7" w14:textId="5FE03E41" w:rsidR="000F6CA2" w:rsidRPr="000F6CA2" w:rsidRDefault="00284FE6" w:rsidP="000F6CA2">
      <w:pPr>
        <w:spacing w:before="120" w:after="120" w:line="276" w:lineRule="auto"/>
        <w:ind w:firstLine="709"/>
        <w:jc w:val="both"/>
        <w:rPr>
          <w:rFonts w:ascii="Verdana" w:eastAsia="Aptos" w:hAnsi="Verdana" w:cs="Arial"/>
        </w:rPr>
      </w:pPr>
      <w:r>
        <w:rPr>
          <w:rFonts w:ascii="Verdana" w:eastAsia="Calibri" w:hAnsi="Verdana" w:cs="Arial"/>
          <w:lang w:val="es-MX"/>
        </w:rPr>
        <w:t>D</w:t>
      </w:r>
      <w:r w:rsidRPr="00A96552">
        <w:rPr>
          <w:rFonts w:ascii="Verdana" w:eastAsia="Calibri" w:hAnsi="Verdana" w:cs="Arial"/>
          <w:lang w:val="es-MX"/>
        </w:rPr>
        <w:t>eberá establecerse si, pese a la inconsistencia, el ofrecimiento puede identificarse objetivamente con la información aportada al cierre, sin necesidad de completarlo, adicionarlo o modificarlo. Si ello es posible, la inconsistencia podrá valorarse como un error formal de la oferta; si para determinar el ofrecimiento es necesario incorporar o modificar posteriormente información que incide en la asignación de puntaje, resultará aplicable la prohibición de subsanación prevista en el parágrafo 1 del artículo 5 de la Ley 1150 de 2007.</w:t>
      </w:r>
      <w:r>
        <w:rPr>
          <w:rFonts w:ascii="Verdana" w:eastAsia="Calibri" w:hAnsi="Verdana" w:cs="Arial"/>
          <w:lang w:val="es-MX"/>
        </w:rPr>
        <w:t xml:space="preserve"> </w:t>
      </w:r>
      <w:r w:rsidR="000F6CA2" w:rsidRPr="000F6CA2">
        <w:rPr>
          <w:rFonts w:ascii="Verdana" w:eastAsia="Aptos" w:hAnsi="Verdana" w:cs="Arial"/>
        </w:rPr>
        <w:t xml:space="preserve">En relación con el principio constitucional </w:t>
      </w:r>
      <w:r w:rsidR="000F6CA2" w:rsidRPr="000F6CA2">
        <w:rPr>
          <w:rFonts w:ascii="Verdana" w:eastAsia="Aptos" w:hAnsi="Verdana" w:cs="Arial"/>
          <w:i/>
          <w:iCs/>
        </w:rPr>
        <w:t>sub examine</w:t>
      </w:r>
      <w:r w:rsidR="000F6CA2" w:rsidRPr="000F6CA2">
        <w:rPr>
          <w:rFonts w:ascii="Verdana" w:eastAsia="Aptos" w:hAnsi="Verdana" w:cs="Arial"/>
        </w:rPr>
        <w:t xml:space="preserve">, la Corte Constitucional explica que “(…) por disposición del artículo 228 Superior, las formas no deben convertirse en un obstáculo para la efectividad del derecho sustancial, sino que deben propender por su realización. Es decir, que las normas procesales son un </w:t>
      </w:r>
      <w:r w:rsidR="000F6CA2" w:rsidRPr="000F6CA2">
        <w:rPr>
          <w:rFonts w:ascii="Verdana" w:eastAsia="Aptos" w:hAnsi="Verdana" w:cs="Arial"/>
        </w:rPr>
        <w:lastRenderedPageBreak/>
        <w:t>medio para lograr la efectividad de los derechos subjetivos y no fines en sí mismas”</w:t>
      </w:r>
      <w:r w:rsidR="000F6CA2" w:rsidRPr="000F6CA2">
        <w:rPr>
          <w:rFonts w:ascii="Verdana" w:eastAsia="Aptos" w:hAnsi="Verdana" w:cs="Arial"/>
          <w:vertAlign w:val="superscript"/>
        </w:rPr>
        <w:footnoteReference w:id="9"/>
      </w:r>
      <w:r w:rsidR="000F6CA2" w:rsidRPr="000F6CA2">
        <w:rPr>
          <w:rFonts w:ascii="Verdana" w:eastAsia="Aptos" w:hAnsi="Verdana" w:cs="Arial"/>
        </w:rPr>
        <w:t xml:space="preserve">. </w:t>
      </w:r>
    </w:p>
    <w:p w14:paraId="2BF7C6BC" w14:textId="77777777" w:rsidR="000F6CA2" w:rsidRPr="000F6CA2" w:rsidRDefault="000F6CA2" w:rsidP="000F6CA2">
      <w:pPr>
        <w:snapToGrid w:val="0"/>
        <w:spacing w:after="120" w:line="276" w:lineRule="auto"/>
        <w:ind w:firstLine="709"/>
        <w:jc w:val="both"/>
        <w:rPr>
          <w:rFonts w:ascii="Verdana" w:eastAsia="Calibri" w:hAnsi="Verdana" w:cs="Arial"/>
          <w:lang w:val="es-MX"/>
        </w:rPr>
      </w:pPr>
      <w:r w:rsidRPr="000F6CA2">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5B8FEE84" w14:textId="77777777" w:rsidR="000F6CA2" w:rsidRPr="000F6CA2" w:rsidRDefault="000F6CA2" w:rsidP="000F6CA2">
      <w:pPr>
        <w:snapToGrid w:val="0"/>
        <w:spacing w:after="120" w:line="276" w:lineRule="auto"/>
        <w:ind w:firstLine="709"/>
        <w:jc w:val="both"/>
        <w:rPr>
          <w:rFonts w:ascii="Verdana" w:eastAsia="Aptos" w:hAnsi="Verdana" w:cs="Aptos"/>
          <w:kern w:val="2"/>
          <w:lang w:val="es-ES_tradnl"/>
          <w14:ligatures w14:val="standardContextual"/>
        </w:rPr>
      </w:pPr>
      <w:r w:rsidRPr="000F6CA2">
        <w:rPr>
          <w:rFonts w:ascii="Verdana" w:eastAsia="Calibri" w:hAnsi="Verdana" w:cs="Arial"/>
          <w:bCs/>
          <w:color w:val="000000"/>
          <w:kern w:val="2"/>
          <w:lang w:val="es-ES_tradnl" w:eastAsia="es-MX"/>
          <w14:ligatures w14:val="standardContextual"/>
        </w:rPr>
        <w:t>Al margen de la explicación precedente, debe advertirse que el análisis requerido para resolver problemas específicos en torno a la gestión contractual de las entidades públicas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en adoptar la decisión correspondiente y, en caso de conflicto, a las autoridades judiciales, fiscales y disciplinarias.</w:t>
      </w:r>
    </w:p>
    <w:p w14:paraId="3BBE1E16" w14:textId="77777777" w:rsidR="000F6CA2" w:rsidRPr="000F6CA2" w:rsidRDefault="000F6CA2" w:rsidP="000F6CA2">
      <w:pPr>
        <w:spacing w:after="0" w:line="276" w:lineRule="auto"/>
        <w:ind w:firstLine="709"/>
        <w:jc w:val="both"/>
        <w:rPr>
          <w:rFonts w:ascii="Verdana" w:eastAsia="Calibri" w:hAnsi="Verdana" w:cs="Arial"/>
          <w:bCs/>
          <w:color w:val="000000"/>
          <w:kern w:val="2"/>
          <w:lang w:val="es-ES_tradnl" w:eastAsia="es-MX"/>
          <w14:ligatures w14:val="standardContextual"/>
        </w:rPr>
      </w:pPr>
      <w:r w:rsidRPr="000F6CA2">
        <w:rPr>
          <w:rFonts w:ascii="Verdana" w:eastAsia="Calibri" w:hAnsi="Verdana" w:cs="Arial"/>
          <w:bCs/>
          <w:color w:val="000000"/>
          <w:kern w:val="2"/>
          <w:lang w:val="es-ES_tradnl" w:eastAsia="es-MX"/>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bookmarkEnd w:id="1"/>
    <w:p w14:paraId="07950D8F" w14:textId="77777777" w:rsidR="000F6CA2" w:rsidRPr="000F6CA2" w:rsidRDefault="000F6CA2" w:rsidP="000F6CA2">
      <w:pPr>
        <w:tabs>
          <w:tab w:val="left" w:pos="142"/>
          <w:tab w:val="left" w:pos="284"/>
        </w:tabs>
        <w:spacing w:after="0" w:line="276" w:lineRule="auto"/>
        <w:jc w:val="both"/>
        <w:rPr>
          <w:rFonts w:ascii="Verdana" w:eastAsia="Century Gothic" w:hAnsi="Verdana" w:cs="Century Gothic"/>
          <w:lang w:val="es-ES_tradnl"/>
        </w:rPr>
      </w:pPr>
    </w:p>
    <w:p w14:paraId="7C35D913" w14:textId="77777777" w:rsidR="000F6CA2" w:rsidRPr="000F6CA2" w:rsidRDefault="000F6CA2" w:rsidP="000F6CA2">
      <w:pPr>
        <w:tabs>
          <w:tab w:val="left" w:pos="142"/>
          <w:tab w:val="left" w:pos="284"/>
        </w:tabs>
        <w:spacing w:after="0" w:line="276" w:lineRule="auto"/>
        <w:jc w:val="both"/>
        <w:rPr>
          <w:rFonts w:ascii="Verdana" w:eastAsia="Century Gothic" w:hAnsi="Verdana" w:cs="Century Gothic"/>
          <w:b/>
          <w:bCs/>
          <w:lang w:val="es-ES_tradnl"/>
        </w:rPr>
      </w:pPr>
      <w:r w:rsidRPr="000F6CA2">
        <w:rPr>
          <w:rFonts w:ascii="Verdana" w:eastAsia="Century Gothic" w:hAnsi="Verdana" w:cs="Century Gothic"/>
          <w:b/>
          <w:bCs/>
          <w:lang w:val="es-ES_tradnl"/>
        </w:rPr>
        <w:t>4. Referencias normativas, jurisprudenciales y otras fuentes:</w:t>
      </w:r>
    </w:p>
    <w:p w14:paraId="38D59B99" w14:textId="77777777" w:rsidR="000F6CA2" w:rsidRPr="000F6CA2" w:rsidRDefault="000F6CA2" w:rsidP="000F6CA2">
      <w:pPr>
        <w:spacing w:after="0"/>
        <w:ind w:left="-15840"/>
        <w:jc w:val="both"/>
        <w:rPr>
          <w:rFonts w:ascii="Verdana" w:eastAsia="Calibri" w:hAnsi="Verdana" w:cs="Arial"/>
          <w:b/>
          <w:bCs/>
        </w:rPr>
      </w:pPr>
      <w:r w:rsidRPr="000F6CA2">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0F6CA2" w:rsidRPr="000F6CA2" w14:paraId="52635501" w14:textId="77777777" w:rsidTr="002D3DDD">
        <w:trPr>
          <w:trHeight w:val="870"/>
        </w:trPr>
        <w:tc>
          <w:tcPr>
            <w:tcW w:w="8647" w:type="dxa"/>
            <w:tcBorders>
              <w:top w:val="dotted" w:sz="4" w:space="0" w:color="auto"/>
              <w:left w:val="dotted" w:sz="4" w:space="0" w:color="auto"/>
              <w:bottom w:val="dotted" w:sz="4" w:space="0" w:color="auto"/>
              <w:right w:val="dotted" w:sz="4" w:space="0" w:color="auto"/>
            </w:tcBorders>
          </w:tcPr>
          <w:p w14:paraId="75BF136C" w14:textId="77777777" w:rsidR="000F6CA2" w:rsidRPr="000F6CA2" w:rsidRDefault="000F6CA2" w:rsidP="000F6CA2">
            <w:pPr>
              <w:widowControl w:val="0"/>
              <w:numPr>
                <w:ilvl w:val="0"/>
                <w:numId w:val="16"/>
              </w:numPr>
              <w:autoSpaceDE w:val="0"/>
              <w:autoSpaceDN w:val="0"/>
              <w:snapToGrid w:val="0"/>
              <w:spacing w:after="120" w:line="276" w:lineRule="auto"/>
              <w:ind w:left="714" w:hanging="357"/>
              <w:jc w:val="both"/>
              <w:rPr>
                <w:rFonts w:ascii="Verdana" w:eastAsia="Aptos" w:hAnsi="Verdana" w:cs="Arial"/>
              </w:rPr>
            </w:pPr>
            <w:r w:rsidRPr="000F6CA2">
              <w:rPr>
                <w:rFonts w:ascii="Verdana" w:eastAsia="Aptos" w:hAnsi="Verdana" w:cs="Arial"/>
              </w:rPr>
              <w:lastRenderedPageBreak/>
              <w:t>Ley 80 de 1993, artículo 25.</w:t>
            </w:r>
          </w:p>
          <w:p w14:paraId="3E590414" w14:textId="77777777" w:rsidR="000F6CA2" w:rsidRPr="000F6CA2" w:rsidRDefault="000F6CA2" w:rsidP="000F6CA2">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0F6CA2">
              <w:rPr>
                <w:rFonts w:ascii="Verdana" w:eastAsia="Calibri" w:hAnsi="Verdana" w:cs="Arial"/>
                <w:lang w:val="es-ES_tradnl"/>
              </w:rPr>
              <w:t xml:space="preserve">Ley 2022 de 2020, artículo 1. </w:t>
            </w:r>
          </w:p>
          <w:p w14:paraId="77FE5831" w14:textId="77777777" w:rsidR="000F6CA2" w:rsidRPr="000F6CA2" w:rsidRDefault="000F6CA2" w:rsidP="000F6CA2">
            <w:pPr>
              <w:widowControl w:val="0"/>
              <w:numPr>
                <w:ilvl w:val="0"/>
                <w:numId w:val="16"/>
              </w:numPr>
              <w:autoSpaceDE w:val="0"/>
              <w:autoSpaceDN w:val="0"/>
              <w:snapToGrid w:val="0"/>
              <w:spacing w:after="120" w:line="276" w:lineRule="auto"/>
              <w:ind w:left="714" w:hanging="357"/>
              <w:jc w:val="both"/>
              <w:rPr>
                <w:rFonts w:ascii="Verdana" w:eastAsia="Calibri" w:hAnsi="Verdana" w:cs="Arial"/>
              </w:rPr>
            </w:pPr>
            <w:r w:rsidRPr="000F6CA2">
              <w:rPr>
                <w:rFonts w:ascii="Verdana" w:eastAsia="Aptos" w:hAnsi="Verdana" w:cs="Arial"/>
              </w:rPr>
              <w:t>Decreto Ley 4170 de 2011, artículos 1 y 11.</w:t>
            </w:r>
          </w:p>
          <w:p w14:paraId="738A4356" w14:textId="77777777" w:rsidR="000F6CA2" w:rsidRPr="000F6CA2" w:rsidRDefault="000F6CA2" w:rsidP="000F6CA2">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0F6CA2">
              <w:rPr>
                <w:rFonts w:ascii="Verdana" w:eastAsia="Calibri" w:hAnsi="Verdana" w:cs="Arial"/>
                <w:lang w:val="es-ES_tradnl"/>
              </w:rPr>
              <w:t>Decreto 1082 de 2015, artículos 2.2.1.2.6.1.4, 2.2.1.2.6.2.3 y 2.2.1.2.6.3.4.</w:t>
            </w:r>
          </w:p>
          <w:p w14:paraId="1A463E0B" w14:textId="77777777" w:rsidR="000F6CA2" w:rsidRPr="000F6CA2" w:rsidRDefault="000F6CA2" w:rsidP="000F6CA2">
            <w:pPr>
              <w:widowControl w:val="0"/>
              <w:numPr>
                <w:ilvl w:val="0"/>
                <w:numId w:val="16"/>
              </w:numPr>
              <w:autoSpaceDE w:val="0"/>
              <w:autoSpaceDN w:val="0"/>
              <w:snapToGrid w:val="0"/>
              <w:spacing w:after="120" w:line="276" w:lineRule="auto"/>
              <w:ind w:left="714" w:hanging="357"/>
              <w:jc w:val="both"/>
              <w:rPr>
                <w:rFonts w:ascii="Verdana" w:eastAsia="Calibri" w:hAnsi="Verdana" w:cs="Arial"/>
                <w:lang w:val="es-ES_tradnl"/>
              </w:rPr>
            </w:pPr>
            <w:r w:rsidRPr="000F6CA2">
              <w:rPr>
                <w:rFonts w:ascii="Verdana" w:eastAsia="Aptos" w:hAnsi="Verdana" w:cs="Arial"/>
                <w:lang w:val="es-ES_tradnl"/>
              </w:rPr>
              <w:t>Consejo de Estado. Sección Tercera. Subsección A. Providencia del 20 de febrero de 2020, dentro del expediente 47001-23-33-000-2018-00035-01 (63.854). C.P. Marta Nubia Velásquez Rico.</w:t>
            </w:r>
          </w:p>
          <w:p w14:paraId="13C6F2F5" w14:textId="77777777" w:rsidR="000F6CA2" w:rsidRPr="000F6CA2" w:rsidRDefault="000F6CA2" w:rsidP="000F6CA2">
            <w:pPr>
              <w:widowControl w:val="0"/>
              <w:numPr>
                <w:ilvl w:val="0"/>
                <w:numId w:val="16"/>
              </w:numPr>
              <w:autoSpaceDE w:val="0"/>
              <w:autoSpaceDN w:val="0"/>
              <w:spacing w:after="120" w:line="276" w:lineRule="auto"/>
              <w:jc w:val="both"/>
              <w:rPr>
                <w:rFonts w:ascii="Verdana" w:eastAsia="Calibri" w:hAnsi="Verdana" w:cs="Arial"/>
              </w:rPr>
            </w:pPr>
            <w:r w:rsidRPr="000F6CA2">
              <w:rPr>
                <w:rFonts w:ascii="Verdana" w:eastAsia="Calibri" w:hAnsi="Verdana" w:cs="Arial"/>
                <w:lang w:val="es-ES_tradnl"/>
              </w:rPr>
              <w:t xml:space="preserve">Documentos Tipo. Disponibles en: </w:t>
            </w:r>
            <w:hyperlink r:id="rId11" w:history="1">
              <w:r w:rsidRPr="000F6CA2">
                <w:rPr>
                  <w:rFonts w:ascii="Verdana" w:eastAsia="Calibri" w:hAnsi="Verdana" w:cs="Arial"/>
                  <w:color w:val="0000FF"/>
                  <w:u w:val="single"/>
                  <w:lang w:val="es-ES_tradnl"/>
                </w:rPr>
                <w:t>https://www.colombiacompra.gov.co/documentos-tipo/documentos-tipo</w:t>
              </w:r>
            </w:hyperlink>
            <w:r w:rsidRPr="000F6CA2">
              <w:rPr>
                <w:rFonts w:ascii="Verdana" w:eastAsia="Calibri" w:hAnsi="Verdana" w:cs="Arial"/>
                <w:lang w:val="es-ES_tradnl"/>
              </w:rPr>
              <w:t>.</w:t>
            </w:r>
          </w:p>
        </w:tc>
      </w:tr>
    </w:tbl>
    <w:p w14:paraId="47C0E373" w14:textId="77777777" w:rsidR="000F6CA2" w:rsidRPr="000F6CA2" w:rsidRDefault="000F6CA2" w:rsidP="000F6CA2">
      <w:pPr>
        <w:tabs>
          <w:tab w:val="left" w:pos="142"/>
          <w:tab w:val="left" w:pos="284"/>
        </w:tabs>
        <w:spacing w:after="0" w:line="276" w:lineRule="auto"/>
        <w:jc w:val="both"/>
        <w:rPr>
          <w:rFonts w:ascii="Verdana" w:eastAsia="Calibri" w:hAnsi="Verdana" w:cs="Arial"/>
        </w:rPr>
      </w:pPr>
    </w:p>
    <w:p w14:paraId="4DE295AF" w14:textId="77777777" w:rsidR="000F6CA2" w:rsidRPr="000F6CA2" w:rsidRDefault="000F6CA2" w:rsidP="000F6CA2">
      <w:pPr>
        <w:tabs>
          <w:tab w:val="left" w:pos="142"/>
          <w:tab w:val="left" w:pos="284"/>
        </w:tabs>
        <w:spacing w:after="0" w:line="276" w:lineRule="auto"/>
        <w:jc w:val="both"/>
        <w:rPr>
          <w:rFonts w:ascii="Verdana" w:eastAsia="Century Gothic" w:hAnsi="Verdana" w:cs="Century Gothic"/>
          <w:b/>
          <w:bCs/>
          <w:lang w:val="es-ES"/>
        </w:rPr>
      </w:pPr>
      <w:r w:rsidRPr="000F6CA2">
        <w:rPr>
          <w:rFonts w:ascii="Verdana" w:eastAsia="Calibri" w:hAnsi="Verdana" w:cs="Arial"/>
          <w:b/>
          <w:bCs/>
        </w:rPr>
        <w:t xml:space="preserve">5. </w:t>
      </w:r>
      <w:r w:rsidRPr="000F6CA2">
        <w:rPr>
          <w:rFonts w:ascii="Verdana" w:eastAsia="Century Gothic" w:hAnsi="Verdana" w:cs="Century Gothic"/>
          <w:b/>
          <w:bCs/>
          <w:lang w:val="es-ES"/>
        </w:rPr>
        <w:t>Doctrina de la Agencia Nacional de Contratación Pública:</w:t>
      </w:r>
    </w:p>
    <w:p w14:paraId="08952B6D" w14:textId="77777777" w:rsidR="000F6CA2" w:rsidRPr="000F6CA2" w:rsidRDefault="000F6CA2" w:rsidP="000F6CA2">
      <w:pPr>
        <w:widowControl w:val="0"/>
        <w:autoSpaceDE w:val="0"/>
        <w:autoSpaceDN w:val="0"/>
        <w:spacing w:after="0" w:line="276" w:lineRule="auto"/>
        <w:jc w:val="both"/>
        <w:rPr>
          <w:rFonts w:ascii="Verdana" w:eastAsia="Calibri" w:hAnsi="Verdana" w:cs="Arial"/>
        </w:rPr>
      </w:pPr>
    </w:p>
    <w:p w14:paraId="5DAFA7B3" w14:textId="77777777" w:rsidR="000F6CA2" w:rsidRPr="000F6CA2" w:rsidRDefault="000F6CA2" w:rsidP="000F6CA2">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0F6CA2">
        <w:rPr>
          <w:rFonts w:ascii="Verdana" w:eastAsia="Calibri" w:hAnsi="Verdana" w:cs="Arial"/>
          <w:kern w:val="2"/>
          <w:shd w:val="clear" w:color="auto" w:fill="FFFFFF"/>
          <w14:ligatures w14:val="standardContextual"/>
        </w:rPr>
        <w:t>L</w:t>
      </w:r>
      <w:r w:rsidRPr="000F6CA2">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 C-058 del 8 de marzo de 2022, C-657 del 11 de octubre de 2022, C-051 del 28 de abril de 2023</w:t>
      </w:r>
      <w:r w:rsidRPr="000F6CA2">
        <w:rPr>
          <w:rFonts w:ascii="Verdana" w:eastAsia="Times New Roman" w:hAnsi="Verdana" w:cs="Arial"/>
          <w:kern w:val="2"/>
          <w:shd w:val="clear" w:color="auto" w:fill="FFFFFF"/>
          <w:lang w:val="es-ES"/>
          <w14:ligatures w14:val="standardContextual"/>
        </w:rPr>
        <w:t xml:space="preserve">, </w:t>
      </w:r>
      <w:r w:rsidRPr="000F6CA2">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0F6CA2">
        <w:rPr>
          <w:rFonts w:ascii="Verdana" w:eastAsia="Calibri" w:hAnsi="Verdana" w:cs="Arial"/>
          <w:shd w:val="clear" w:color="auto" w:fill="FFFFFF"/>
          <w:lang w:val="es-ES"/>
        </w:rPr>
        <w:t xml:space="preserve">, C-043 del 13 de febrero de 2026, C-246 del 12 de marzo de 2026, C-467 del 21 de abril de 2026, C-483 del 7 de mayo de 2026, entre otros. </w:t>
      </w:r>
      <w:r w:rsidRPr="000F6CA2">
        <w:rPr>
          <w:rFonts w:ascii="Verdana" w:eastAsia="Calibri" w:hAnsi="Verdana" w:cs="Arial"/>
          <w:color w:val="000000"/>
          <w:shd w:val="clear" w:color="auto" w:fill="FFFFFF"/>
          <w:lang w:eastAsia="es-MX"/>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0F6CA2">
          <w:rPr>
            <w:rFonts w:ascii="Verdana" w:eastAsia="Aptos" w:hAnsi="Verdana" w:cs="Arial"/>
            <w:color w:val="0000FF"/>
            <w:u w:val="single"/>
            <w:shd w:val="clear" w:color="auto" w:fill="FFFFFF"/>
            <w:lang w:eastAsia="es-MX"/>
          </w:rPr>
          <w:t>https://relatoria.colombiacompra.gov.co/busqueda/conceptos</w:t>
        </w:r>
      </w:hyperlink>
      <w:r w:rsidRPr="000F6CA2">
        <w:rPr>
          <w:rFonts w:ascii="Verdana" w:eastAsia="Aptos" w:hAnsi="Verdana" w:cs="Arial"/>
          <w:shd w:val="clear" w:color="auto" w:fill="FFFFFF"/>
          <w:lang w:eastAsia="es-MX"/>
        </w:rPr>
        <w:t xml:space="preserve">. </w:t>
      </w:r>
      <w:r w:rsidRPr="000F6CA2">
        <w:rPr>
          <w:rFonts w:ascii="Verdana" w:eastAsia="Aptos" w:hAnsi="Verdana" w:cs="Arial"/>
          <w:color w:val="FF0000"/>
          <w:shd w:val="clear" w:color="auto" w:fill="FFFFFF"/>
          <w:lang w:val="es-ES" w:eastAsia="es-MX"/>
        </w:rPr>
        <w:t xml:space="preserve">  </w:t>
      </w:r>
    </w:p>
    <w:p w14:paraId="36C15339" w14:textId="77777777" w:rsidR="000F6CA2" w:rsidRPr="000F6CA2" w:rsidRDefault="000F6CA2" w:rsidP="000F6CA2">
      <w:pPr>
        <w:spacing w:after="0" w:line="240" w:lineRule="auto"/>
        <w:jc w:val="both"/>
        <w:rPr>
          <w:rFonts w:ascii="Verdana" w:eastAsia="Calibri" w:hAnsi="Verdana" w:cs="Arial"/>
          <w:color w:val="000000"/>
          <w:shd w:val="clear" w:color="auto" w:fill="FFFFFF"/>
          <w:lang w:eastAsia="es-MX"/>
        </w:rPr>
      </w:pPr>
    </w:p>
    <w:p w14:paraId="31A27957" w14:textId="77777777" w:rsidR="000F6CA2" w:rsidRPr="000F6CA2" w:rsidRDefault="000F6CA2" w:rsidP="000F6CA2">
      <w:pPr>
        <w:widowControl w:val="0"/>
        <w:autoSpaceDE w:val="0"/>
        <w:autoSpaceDN w:val="0"/>
        <w:spacing w:after="0" w:line="276" w:lineRule="auto"/>
        <w:jc w:val="both"/>
        <w:rPr>
          <w:rFonts w:ascii="Verdana" w:eastAsia="Calibri" w:hAnsi="Verdana" w:cs="Arial"/>
          <w:shd w:val="clear" w:color="auto" w:fill="FFFFFF"/>
          <w:lang w:eastAsia="es-MX"/>
        </w:rPr>
      </w:pPr>
      <w:r w:rsidRPr="000F6CA2">
        <w:rPr>
          <w:rFonts w:ascii="Verdana" w:eastAsia="Calibri" w:hAnsi="Verdana" w:cs="Arial"/>
          <w:shd w:val="clear" w:color="auto" w:fill="FFFFFF"/>
          <w:lang w:eastAsia="es-MX"/>
        </w:rPr>
        <w:t>La</w:t>
      </w:r>
      <w:r w:rsidRPr="000F6CA2">
        <w:rPr>
          <w:rFonts w:ascii="Verdana" w:eastAsia="Calibri" w:hAnsi="Verdana" w:cs="Arial"/>
          <w:b/>
          <w:bCs/>
          <w:shd w:val="clear" w:color="auto" w:fill="FFFFFF"/>
          <w:lang w:eastAsia="es-MX"/>
        </w:rPr>
        <w:t xml:space="preserve"> Agencia Nacional de Contratación Pública - Colombia Compra </w:t>
      </w:r>
      <w:r w:rsidRPr="000F6CA2">
        <w:rPr>
          <w:rFonts w:ascii="Verdana" w:eastAsia="Calibri" w:hAnsi="Verdana" w:cs="Arial"/>
          <w:b/>
          <w:bCs/>
          <w:shd w:val="clear" w:color="auto" w:fill="FFFFFF"/>
          <w:lang w:eastAsia="es-MX"/>
        </w:rPr>
        <w:lastRenderedPageBreak/>
        <w:t>Eficiente</w:t>
      </w:r>
      <w:r w:rsidRPr="000F6CA2">
        <w:rPr>
          <w:rFonts w:ascii="Verdana" w:eastAsia="Calibri" w:hAnsi="Verdana" w:cs="Arial"/>
          <w:shd w:val="clear" w:color="auto" w:fill="FFFFFF"/>
          <w:lang w:eastAsia="es-MX"/>
        </w:rPr>
        <w:t> recomienda a todas las entidades públicas, independientemente de su naturaleza, que gestionan recursos públicos, la aplicación de los </w:t>
      </w:r>
      <w:r w:rsidRPr="000F6CA2">
        <w:rPr>
          <w:rFonts w:ascii="Verdana" w:eastAsia="Calibri" w:hAnsi="Verdana" w:cs="Arial"/>
          <w:b/>
          <w:bCs/>
          <w:shd w:val="clear" w:color="auto" w:fill="FFFFFF"/>
          <w:lang w:eastAsia="es-MX"/>
        </w:rPr>
        <w:t>Documentos Tipo</w:t>
      </w:r>
      <w:r w:rsidRPr="000F6CA2">
        <w:rPr>
          <w:rFonts w:ascii="Verdana" w:eastAsia="Calibri" w:hAnsi="Verdana" w:cs="Arial"/>
          <w:shd w:val="clear" w:color="auto" w:fill="FFFFFF"/>
          <w:lang w:eastAsia="es-MX"/>
        </w:rPr>
        <w:t>. Esta recomendación es válida tanto para su uso obligatorio, cuando así lo establezca la normatividad vigente, como para su implementación como una buena práctica. El objetivo es garantizar la </w:t>
      </w:r>
      <w:r w:rsidRPr="000F6CA2">
        <w:rPr>
          <w:rFonts w:ascii="Verdana" w:eastAsia="Calibri" w:hAnsi="Verdana" w:cs="Arial"/>
          <w:b/>
          <w:bCs/>
          <w:shd w:val="clear" w:color="auto" w:fill="FFFFFF"/>
          <w:lang w:eastAsia="es-MX"/>
        </w:rPr>
        <w:t>transparencia</w:t>
      </w:r>
      <w:r w:rsidRPr="000F6CA2">
        <w:rPr>
          <w:rFonts w:ascii="Verdana" w:eastAsia="Calibri" w:hAnsi="Verdana" w:cs="Arial"/>
          <w:shd w:val="clear" w:color="auto" w:fill="FFFFFF"/>
          <w:lang w:eastAsia="es-MX"/>
        </w:rPr>
        <w:t> y promover un proceso de </w:t>
      </w:r>
      <w:r w:rsidRPr="000F6CA2">
        <w:rPr>
          <w:rFonts w:ascii="Verdana" w:eastAsia="Calibri" w:hAnsi="Verdana" w:cs="Arial"/>
          <w:b/>
          <w:bCs/>
          <w:shd w:val="clear" w:color="auto" w:fill="FFFFFF"/>
          <w:lang w:eastAsia="es-MX"/>
        </w:rPr>
        <w:t>selección objetiva</w:t>
      </w:r>
      <w:r w:rsidRPr="000F6CA2">
        <w:rPr>
          <w:rFonts w:ascii="Verdana" w:eastAsia="Calibri" w:hAnsi="Verdana" w:cs="Arial"/>
          <w:shd w:val="clear" w:color="auto" w:fill="FFFFFF"/>
          <w:lang w:eastAsia="es-MX"/>
        </w:rPr>
        <w:t> en la contratación pública, contribuyendo así a mejorar la eficiencia, la competencia y la confianza en el manejo de los recursos del Estado.</w:t>
      </w:r>
    </w:p>
    <w:p w14:paraId="4115CAF5" w14:textId="77777777" w:rsidR="000F6CA2" w:rsidRPr="000F6CA2" w:rsidRDefault="000F6CA2" w:rsidP="000F6CA2">
      <w:pPr>
        <w:widowControl w:val="0"/>
        <w:autoSpaceDE w:val="0"/>
        <w:autoSpaceDN w:val="0"/>
        <w:spacing w:after="0" w:line="276" w:lineRule="auto"/>
        <w:jc w:val="both"/>
        <w:rPr>
          <w:rFonts w:ascii="Verdana" w:eastAsia="Calibri" w:hAnsi="Verdana" w:cs="Arial"/>
          <w:shd w:val="clear" w:color="auto" w:fill="FFFFFF"/>
          <w:lang w:eastAsia="es-MX"/>
        </w:rPr>
      </w:pPr>
    </w:p>
    <w:p w14:paraId="7C17F65C" w14:textId="77777777" w:rsidR="000F6CA2" w:rsidRPr="000F6CA2" w:rsidRDefault="000F6CA2" w:rsidP="000F6CA2">
      <w:pPr>
        <w:spacing w:after="0" w:line="276" w:lineRule="auto"/>
        <w:jc w:val="both"/>
        <w:rPr>
          <w:rFonts w:ascii="Verdana" w:eastAsia="Aptos" w:hAnsi="Verdana" w:cs="Times New Roman"/>
          <w:lang w:eastAsia="es-MX"/>
        </w:rPr>
      </w:pPr>
      <w:r w:rsidRPr="000F6CA2">
        <w:rPr>
          <w:rFonts w:ascii="Verdana" w:eastAsia="Aptos" w:hAnsi="Verdana" w:cs="Times New Roman"/>
          <w:lang w:eastAsia="es-MX"/>
        </w:rPr>
        <w:t>Las garantías no son un requisito formal: son el instrumento con el que se protege el patrimonio público frente a los riesgos del contrato. Por ello, la Agencia Nacional de Contratación Pública –Colombia Compra Eficiente– le invita a consultar la nueva versión de la </w:t>
      </w:r>
      <w:r w:rsidRPr="000F6CA2">
        <w:rPr>
          <w:rFonts w:ascii="Verdana" w:eastAsia="Aptos" w:hAnsi="Verdana" w:cs="Times New Roman"/>
          <w:b/>
          <w:bCs/>
          <w:lang w:eastAsia="es-MX"/>
        </w:rPr>
        <w:t>Guía para la Exigencia y Constitución de Garantías en los Procesos de Contratación</w:t>
      </w:r>
      <w:r w:rsidRPr="000F6CA2">
        <w:rPr>
          <w:rFonts w:ascii="Verdana" w:eastAsia="Aptos" w:hAnsi="Verdana" w:cs="Times New Roman"/>
          <w:lang w:eastAsia="es-MX"/>
        </w:rPr>
        <w:t>,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Consúltela aquí: </w:t>
      </w:r>
      <w:hyperlink r:id="rId13" w:tgtFrame="_blank" w:tooltip="Original URL: https://www.colombiacompra.gov.co/archivos/manual/guia-de-garantias-en-procesos-de-contratacion. Click or tap if you trust this link." w:history="1">
        <w:r w:rsidRPr="000F6CA2">
          <w:rPr>
            <w:rFonts w:ascii="Verdana" w:eastAsia="Aptos" w:hAnsi="Verdana" w:cs="Times New Roman"/>
            <w:color w:val="0000FF"/>
            <w:u w:val="single"/>
            <w:lang w:eastAsia="es-MX"/>
          </w:rPr>
          <w:t>https://www.colombiacompra.gov.co/archivos/manual/guia-de-garantias-en-procesos-de-contratacion</w:t>
        </w:r>
      </w:hyperlink>
    </w:p>
    <w:p w14:paraId="3E533410" w14:textId="77777777" w:rsidR="000F6CA2" w:rsidRPr="000F6CA2" w:rsidRDefault="000F6CA2" w:rsidP="000F6CA2">
      <w:pPr>
        <w:spacing w:after="0" w:line="276" w:lineRule="auto"/>
        <w:jc w:val="both"/>
        <w:rPr>
          <w:rFonts w:ascii="Verdana" w:eastAsia="Aptos" w:hAnsi="Verdana" w:cs="Times New Roman"/>
          <w:lang w:eastAsia="es-MX"/>
        </w:rPr>
      </w:pPr>
    </w:p>
    <w:p w14:paraId="19012168" w14:textId="77777777" w:rsidR="000F6CA2" w:rsidRPr="000F6CA2" w:rsidRDefault="000F6CA2" w:rsidP="000F6CA2">
      <w:pPr>
        <w:spacing w:after="0" w:line="276" w:lineRule="auto"/>
        <w:jc w:val="both"/>
        <w:rPr>
          <w:rFonts w:ascii="Verdana" w:eastAsia="Aptos" w:hAnsi="Verdana" w:cs="Times New Roman"/>
          <w:lang w:eastAsia="es-MX"/>
        </w:rPr>
      </w:pPr>
      <w:r w:rsidRPr="000F6CA2">
        <w:rPr>
          <w:rFonts w:ascii="Verdana" w:eastAsia="Aptos" w:hAnsi="Verdana" w:cs="Times New Roman"/>
          <w:lang w:eastAsia="es-MX"/>
        </w:rPr>
        <w:t>De otro lado, le contamos que el Decreto 287 del 19 de marzo de 2026 sustituyó los artículos 2.2.1.2.4.2.6., 2.2.1.2.4.2.7. y 2.2.1.2.4.2.8. del Decreto 1082 de 2015 y estructuró el </w:t>
      </w:r>
      <w:r w:rsidRPr="000F6CA2">
        <w:rPr>
          <w:rFonts w:ascii="Verdana" w:eastAsia="Aptos" w:hAnsi="Verdana" w:cs="Times New Roman"/>
          <w:b/>
          <w:bCs/>
          <w:lang w:eastAsia="es-MX"/>
        </w:rPr>
        <w:t>Sistema Integral de Preferencias en favor de las personas con discapacidad</w:t>
      </w:r>
      <w:r w:rsidRPr="000F6CA2">
        <w:rPr>
          <w:rFonts w:ascii="Verdana" w:eastAsia="Aptos" w:hAnsi="Verdana" w:cs="Times New Roman"/>
          <w:lang w:eastAsia="es-MX"/>
        </w:rPr>
        <w:t>, en cumplimiento del artículo 13 de la Ley Estatutaria 1618 de 2013. Para orientar su aplicación, esta Agencia expidió la </w:t>
      </w:r>
      <w:r w:rsidRPr="000F6CA2">
        <w:rPr>
          <w:rFonts w:ascii="Verdana" w:eastAsia="Aptos" w:hAnsi="Verdana" w:cs="Times New Roman"/>
          <w:b/>
          <w:bCs/>
          <w:lang w:eastAsia="es-MX"/>
        </w:rPr>
        <w:t>Circular Externa 003 del 12 de mayo de 2026, </w:t>
      </w:r>
      <w:r w:rsidRPr="000F6CA2">
        <w:rPr>
          <w:rFonts w:ascii="Verdana" w:eastAsia="Aptos" w:hAnsi="Verdana" w:cs="Times New Roman"/>
          <w:lang w:eastAsia="es-MX"/>
        </w:rPr>
        <w:t>en la que precisa quiénes son los beneficiarios, las cinco medidas que integran el sistema y su obligatoriedad según la modalidad de selección, y el régimen de transición aplicable a los procesos en curso. Consúltela aquí: </w:t>
      </w:r>
      <w:hyperlink r:id="rId14" w:tgtFrame="_blank" w:tooltip="Original URL: https://www.colombiacompra.gov.co/archivos/circular/circular-externa-003-de-2026. Click or tap if you trust this link." w:history="1">
        <w:r w:rsidRPr="000F6CA2">
          <w:rPr>
            <w:rFonts w:ascii="Verdana" w:eastAsia="Aptos" w:hAnsi="Verdana" w:cs="Times New Roman"/>
            <w:color w:val="0000FF"/>
            <w:u w:val="single"/>
            <w:lang w:eastAsia="es-MX"/>
          </w:rPr>
          <w:t>https://www.colombiacompra.gov.co/archivos/circular/circular-externa-003-de-2026</w:t>
        </w:r>
      </w:hyperlink>
    </w:p>
    <w:p w14:paraId="5B6B5338" w14:textId="77777777" w:rsidR="000F6CA2" w:rsidRPr="000F6CA2" w:rsidRDefault="000F6CA2" w:rsidP="000F6CA2">
      <w:pPr>
        <w:spacing w:after="0" w:line="276" w:lineRule="auto"/>
        <w:jc w:val="both"/>
        <w:rPr>
          <w:rFonts w:ascii="Verdana" w:eastAsia="Aptos" w:hAnsi="Verdana" w:cs="Times New Roman"/>
          <w:lang w:eastAsia="es-MX"/>
        </w:rPr>
      </w:pPr>
    </w:p>
    <w:p w14:paraId="3F646D46" w14:textId="77777777" w:rsidR="000F6CA2" w:rsidRPr="000F6CA2" w:rsidRDefault="000F6CA2" w:rsidP="000F6CA2">
      <w:pPr>
        <w:spacing w:after="0" w:line="276" w:lineRule="auto"/>
        <w:jc w:val="both"/>
        <w:rPr>
          <w:rFonts w:ascii="Verdana" w:eastAsia="Aptos" w:hAnsi="Verdana" w:cs="Times New Roman"/>
          <w:lang w:eastAsia="es-MX"/>
        </w:rPr>
      </w:pPr>
      <w:r w:rsidRPr="000F6CA2">
        <w:rPr>
          <w:rFonts w:ascii="Verdana" w:eastAsia="Aptos" w:hAnsi="Verdana" w:cs="Times New Roman"/>
          <w:lang w:eastAsia="es-MX"/>
        </w:rPr>
        <w:t>Recuerde también que la</w:t>
      </w:r>
      <w:r w:rsidRPr="000F6CA2">
        <w:rPr>
          <w:rFonts w:ascii="Verdana" w:eastAsia="Aptos" w:hAnsi="Verdana" w:cs="Times New Roman"/>
          <w:b/>
          <w:bCs/>
          <w:lang w:eastAsia="es-MX"/>
        </w:rPr>
        <w:t> información sobre sanciones e inhabilidades </w:t>
      </w:r>
      <w:r w:rsidRPr="000F6CA2">
        <w:rPr>
          <w:rFonts w:ascii="Verdana" w:eastAsia="Aptos" w:hAnsi="Verdana" w:cs="Times New Roman"/>
          <w:lang w:eastAsia="es-MX"/>
        </w:rPr>
        <w:t>solo cumple su función preventiva si llega oportunamente a los registros públicos. Sobre este deber, esta Agencia expidió la </w:t>
      </w:r>
      <w:r w:rsidRPr="000F6CA2">
        <w:rPr>
          <w:rFonts w:ascii="Verdana" w:eastAsia="Aptos" w:hAnsi="Verdana" w:cs="Times New Roman"/>
          <w:b/>
          <w:bCs/>
          <w:lang w:eastAsia="es-MX"/>
        </w:rPr>
        <w:t xml:space="preserve">Circular Externa 002 del 5 de mayo </w:t>
      </w:r>
      <w:r w:rsidRPr="000F6CA2">
        <w:rPr>
          <w:rFonts w:ascii="Verdana" w:eastAsia="Aptos" w:hAnsi="Verdana" w:cs="Times New Roman"/>
          <w:b/>
          <w:bCs/>
          <w:lang w:eastAsia="es-MX"/>
        </w:rPr>
        <w:lastRenderedPageBreak/>
        <w:t>de 2026,</w:t>
      </w:r>
      <w:r w:rsidRPr="000F6CA2">
        <w:rPr>
          <w:rFonts w:ascii="Verdana" w:eastAsia="Aptos" w:hAnsi="Verdana" w:cs="Times New Roman"/>
          <w:lang w:eastAsia="es-MX"/>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gtFrame="_blank" w:tooltip="Original URL: https://www.colombiacompra.gov.co/archivos/circular/circular-externa-002-de-2026. Click or tap if you trust this link." w:history="1">
        <w:r w:rsidRPr="000F6CA2">
          <w:rPr>
            <w:rFonts w:ascii="Verdana" w:eastAsia="Aptos" w:hAnsi="Verdana" w:cs="Times New Roman"/>
            <w:color w:val="0000FF"/>
            <w:u w:val="single"/>
            <w:lang w:eastAsia="es-MX"/>
          </w:rPr>
          <w:t>https://www.colombiacompra.gov.co/archivos/circular/circular-externa-002-de-2026</w:t>
        </w:r>
      </w:hyperlink>
    </w:p>
    <w:p w14:paraId="0AC0FFC8" w14:textId="77777777" w:rsidR="000F6CA2" w:rsidRPr="000F6CA2" w:rsidRDefault="000F6CA2" w:rsidP="000F6CA2">
      <w:pPr>
        <w:spacing w:after="0" w:line="276" w:lineRule="auto"/>
        <w:jc w:val="both"/>
        <w:rPr>
          <w:rFonts w:ascii="Verdana" w:eastAsia="Aptos" w:hAnsi="Verdana" w:cs="Times New Roman"/>
          <w:lang w:eastAsia="es-MX"/>
        </w:rPr>
      </w:pPr>
    </w:p>
    <w:p w14:paraId="29215DF8" w14:textId="77777777" w:rsidR="000F6CA2" w:rsidRPr="000F6CA2" w:rsidRDefault="000F6CA2" w:rsidP="000F6CA2">
      <w:pPr>
        <w:spacing w:after="0" w:line="276" w:lineRule="auto"/>
        <w:jc w:val="both"/>
        <w:rPr>
          <w:rFonts w:ascii="Verdana" w:eastAsia="Aptos" w:hAnsi="Verdana" w:cs="Times New Roman"/>
          <w:lang w:eastAsia="es-MX"/>
        </w:rPr>
      </w:pPr>
      <w:r w:rsidRPr="000F6CA2">
        <w:rPr>
          <w:rFonts w:ascii="Verdana" w:eastAsia="Aptos" w:hAnsi="Verdana" w:cs="Times New Roman"/>
          <w:lang w:eastAsia="es-MX"/>
        </w:rPr>
        <w:t>Si quiere seguir de cerca la actividad de la Agencia, la tercera edición de 2026 del</w:t>
      </w:r>
      <w:r w:rsidRPr="000F6CA2">
        <w:rPr>
          <w:rFonts w:ascii="Verdana" w:eastAsia="Aptos" w:hAnsi="Verdana" w:cs="Times New Roman"/>
          <w:b/>
          <w:bCs/>
          <w:lang w:eastAsia="es-MX"/>
        </w:rPr>
        <w:t> Radar de la Compra Pública</w:t>
      </w:r>
      <w:r w:rsidRPr="000F6CA2">
        <w:rPr>
          <w:rFonts w:ascii="Verdana" w:eastAsia="Aptos" w:hAnsi="Verdana" w:cs="Times New Roman"/>
          <w:lang w:eastAsia="es-MX"/>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 </w:t>
      </w:r>
      <w:hyperlink r:id="rId16" w:tgtFrame="_blank" w:tooltip="Original URL: https://www.colombiacompra.gov.co/archivos/boletin/boletin-edicion-n-3-de-2026-radar-de-la-compra-publica. Click or tap if you trust this link." w:history="1">
        <w:r w:rsidRPr="000F6CA2">
          <w:rPr>
            <w:rFonts w:ascii="Verdana" w:eastAsia="Aptos" w:hAnsi="Verdana" w:cs="Times New Roman"/>
            <w:color w:val="0000FF"/>
            <w:u w:val="single"/>
            <w:lang w:eastAsia="es-MX"/>
          </w:rPr>
          <w:t>https://www.colombiacompra.gov.co/archivos/boletin/boletin-edicion-n-3-de-2026-radar-de-la-compra-publica</w:t>
        </w:r>
      </w:hyperlink>
    </w:p>
    <w:p w14:paraId="001EC36C" w14:textId="77777777" w:rsidR="000F6CA2" w:rsidRPr="000F6CA2" w:rsidRDefault="000F6CA2" w:rsidP="000F6CA2">
      <w:pPr>
        <w:widowControl w:val="0"/>
        <w:autoSpaceDE w:val="0"/>
        <w:autoSpaceDN w:val="0"/>
        <w:spacing w:after="0" w:line="276" w:lineRule="auto"/>
        <w:jc w:val="both"/>
        <w:rPr>
          <w:rFonts w:ascii="Verdana" w:eastAsia="Calibri" w:hAnsi="Verdana" w:cs="Arial"/>
          <w:shd w:val="clear" w:color="auto" w:fill="FFFFFF"/>
          <w:lang w:eastAsia="es-MX"/>
        </w:rPr>
      </w:pPr>
    </w:p>
    <w:p w14:paraId="373BAEEC" w14:textId="77777777" w:rsidR="000F6CA2" w:rsidRPr="000F6CA2" w:rsidRDefault="000F6CA2" w:rsidP="000F6CA2">
      <w:pPr>
        <w:spacing w:after="0" w:line="276" w:lineRule="auto"/>
        <w:jc w:val="both"/>
        <w:rPr>
          <w:rFonts w:ascii="Verdana" w:eastAsia="Calibri" w:hAnsi="Verdana" w:cs="Times New Roman"/>
          <w:lang w:eastAsia="es-MX"/>
        </w:rPr>
      </w:pPr>
      <w:r w:rsidRPr="000F6CA2">
        <w:rPr>
          <w:rFonts w:ascii="Verdana" w:eastAsia="Calibri" w:hAnsi="Verdana" w:cs="Times New Roman"/>
          <w:lang w:eastAsia="es-MX"/>
        </w:rPr>
        <w:t xml:space="preserve">Por último, los invitamos a seguirnos en las redes sociales, en las cuales se difunde información institucional: </w:t>
      </w:r>
    </w:p>
    <w:p w14:paraId="610338E7" w14:textId="77777777" w:rsidR="000F6CA2" w:rsidRPr="000F6CA2" w:rsidRDefault="000F6CA2" w:rsidP="000F6CA2">
      <w:pPr>
        <w:spacing w:after="0" w:line="240" w:lineRule="auto"/>
        <w:jc w:val="both"/>
        <w:rPr>
          <w:rFonts w:ascii="Verdana" w:eastAsia="Aptos" w:hAnsi="Verdana" w:cs="Times New Roman"/>
          <w:lang w:eastAsia="es-MX"/>
        </w:rPr>
      </w:pPr>
    </w:p>
    <w:p w14:paraId="53AAD620" w14:textId="77777777" w:rsidR="000F6CA2" w:rsidRPr="000F6CA2" w:rsidRDefault="000F6CA2" w:rsidP="000F6CA2">
      <w:pPr>
        <w:spacing w:after="0" w:line="240" w:lineRule="auto"/>
        <w:jc w:val="both"/>
        <w:rPr>
          <w:rFonts w:ascii="Verdana" w:eastAsia="Calibri" w:hAnsi="Verdana" w:cs="Times New Roman"/>
          <w:lang w:val="es-ES_tradnl"/>
        </w:rPr>
      </w:pPr>
      <w:r w:rsidRPr="000F6CA2">
        <w:rPr>
          <w:rFonts w:ascii="Verdana" w:eastAsia="Calibri" w:hAnsi="Verdana" w:cs="Times New Roman"/>
          <w:lang w:val="es-ES_tradnl"/>
        </w:rPr>
        <w:t xml:space="preserve">X: </w:t>
      </w:r>
      <w:r w:rsidRPr="000F6CA2">
        <w:rPr>
          <w:rFonts w:ascii="Verdana" w:eastAsia="Calibri" w:hAnsi="Verdana" w:cs="Times New Roman"/>
          <w:u w:val="single"/>
          <w:lang w:val="es-ES_tradnl"/>
        </w:rPr>
        <w:t>@colombiacompra</w:t>
      </w:r>
      <w:r w:rsidRPr="000F6CA2">
        <w:rPr>
          <w:rFonts w:ascii="Verdana" w:eastAsia="Calibri" w:hAnsi="Verdana" w:cs="Times New Roman"/>
          <w:lang w:val="es-ES_tradnl"/>
        </w:rPr>
        <w:t xml:space="preserve"> </w:t>
      </w:r>
    </w:p>
    <w:p w14:paraId="5BE56C28" w14:textId="77777777" w:rsidR="000F6CA2" w:rsidRPr="000F6CA2" w:rsidRDefault="000F6CA2" w:rsidP="000F6CA2">
      <w:pPr>
        <w:spacing w:after="0" w:line="240" w:lineRule="auto"/>
        <w:jc w:val="both"/>
        <w:rPr>
          <w:rFonts w:ascii="Verdana" w:eastAsia="Calibri" w:hAnsi="Verdana" w:cs="Times New Roman"/>
          <w:lang w:val="es-ES"/>
        </w:rPr>
      </w:pPr>
      <w:r w:rsidRPr="000F6CA2">
        <w:rPr>
          <w:rFonts w:ascii="Verdana" w:eastAsia="Calibri" w:hAnsi="Verdana" w:cs="Times New Roman"/>
          <w:lang w:val="es-ES"/>
        </w:rPr>
        <w:t xml:space="preserve">Facebook: </w:t>
      </w:r>
      <w:proofErr w:type="spellStart"/>
      <w:r w:rsidRPr="000F6CA2">
        <w:rPr>
          <w:rFonts w:ascii="Verdana" w:eastAsia="Calibri" w:hAnsi="Verdana" w:cs="Times New Roman"/>
          <w:u w:val="single"/>
          <w:lang w:val="es-ES"/>
        </w:rPr>
        <w:t>ColombiaCompraEficiente</w:t>
      </w:r>
      <w:proofErr w:type="spellEnd"/>
    </w:p>
    <w:p w14:paraId="0B730EE7" w14:textId="77777777" w:rsidR="000F6CA2" w:rsidRPr="000F6CA2" w:rsidRDefault="000F6CA2" w:rsidP="000F6CA2">
      <w:pPr>
        <w:spacing w:after="0" w:line="240" w:lineRule="auto"/>
        <w:jc w:val="both"/>
        <w:rPr>
          <w:rFonts w:ascii="Verdana" w:eastAsia="Calibri" w:hAnsi="Verdana" w:cs="Times New Roman"/>
          <w:lang w:val="es-ES_tradnl"/>
        </w:rPr>
      </w:pPr>
      <w:r w:rsidRPr="000F6CA2">
        <w:rPr>
          <w:rFonts w:ascii="Verdana" w:eastAsia="Calibri" w:hAnsi="Verdana" w:cs="Times New Roman"/>
          <w:lang w:val="es-ES_tradnl"/>
        </w:rPr>
        <w:t xml:space="preserve">LinkedIn: </w:t>
      </w:r>
      <w:r w:rsidRPr="000F6CA2">
        <w:rPr>
          <w:rFonts w:ascii="Verdana" w:eastAsia="Calibri" w:hAnsi="Verdana" w:cs="Times New Roman"/>
          <w:u w:val="single"/>
          <w:lang w:val="es-ES_tradnl"/>
        </w:rPr>
        <w:t>Agencia Nacional de Contratación Pública - Colombia Compra Eficiente</w:t>
      </w:r>
      <w:r w:rsidRPr="000F6CA2">
        <w:rPr>
          <w:rFonts w:ascii="Verdana" w:eastAsia="Calibri" w:hAnsi="Verdana" w:cs="Times New Roman"/>
          <w:lang w:val="es-ES_tradnl"/>
        </w:rPr>
        <w:t xml:space="preserve"> Instagram: </w:t>
      </w:r>
      <w:r w:rsidRPr="000F6CA2">
        <w:rPr>
          <w:rFonts w:ascii="Verdana" w:eastAsia="Calibri" w:hAnsi="Verdana" w:cs="Times New Roman"/>
          <w:u w:val="single"/>
          <w:lang w:val="es-ES_tradnl"/>
        </w:rPr>
        <w:t>@colombiacompraeficiente_cce</w:t>
      </w:r>
    </w:p>
    <w:p w14:paraId="580F7BA0" w14:textId="77777777" w:rsidR="000F6CA2" w:rsidRPr="000F6CA2" w:rsidRDefault="000F6CA2" w:rsidP="000F6CA2">
      <w:pPr>
        <w:spacing w:after="0" w:line="276" w:lineRule="auto"/>
        <w:jc w:val="both"/>
        <w:rPr>
          <w:rFonts w:ascii="Verdana" w:eastAsia="Aptos" w:hAnsi="Verdana" w:cs="Times New Roman"/>
          <w:lang w:eastAsia="es-MX"/>
        </w:rPr>
      </w:pPr>
    </w:p>
    <w:p w14:paraId="65067C71" w14:textId="77777777" w:rsidR="000F6CA2" w:rsidRPr="000F6CA2" w:rsidRDefault="000F6CA2" w:rsidP="000F6CA2">
      <w:pPr>
        <w:spacing w:after="0" w:line="276" w:lineRule="auto"/>
        <w:jc w:val="both"/>
        <w:rPr>
          <w:rFonts w:ascii="Verdana" w:eastAsia="Calibri" w:hAnsi="Verdana" w:cs="Times New Roman"/>
          <w:bCs/>
          <w:lang w:val="es-ES_tradnl" w:eastAsia="es-MX"/>
        </w:rPr>
      </w:pPr>
      <w:r w:rsidRPr="000F6CA2">
        <w:rPr>
          <w:rFonts w:ascii="Verdana" w:eastAsia="Calibri" w:hAnsi="Verdana" w:cs="Times New Roman"/>
          <w:lang w:val="es-ES_tradnl" w:eastAsia="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4E0FAA7" w14:textId="77777777" w:rsidR="000F6CA2" w:rsidRPr="000F6CA2" w:rsidRDefault="000F6CA2" w:rsidP="000F6CA2">
      <w:pPr>
        <w:spacing w:after="0" w:line="276" w:lineRule="auto"/>
        <w:jc w:val="both"/>
        <w:rPr>
          <w:rFonts w:ascii="Verdana" w:eastAsia="Calibri" w:hAnsi="Verdana" w:cs="Times New Roman"/>
          <w:lang w:eastAsia="es-MX"/>
        </w:rPr>
      </w:pPr>
    </w:p>
    <w:p w14:paraId="05FCBF53" w14:textId="77777777" w:rsidR="000F6CA2" w:rsidRDefault="000F6CA2" w:rsidP="000F6CA2">
      <w:pPr>
        <w:spacing w:after="0" w:line="276" w:lineRule="auto"/>
        <w:jc w:val="both"/>
        <w:rPr>
          <w:rFonts w:ascii="Verdana" w:eastAsia="Calibri" w:hAnsi="Verdana" w:cs="Times New Roman"/>
          <w:lang w:eastAsia="es-MX"/>
        </w:rPr>
      </w:pPr>
      <w:r w:rsidRPr="000F6CA2">
        <w:rPr>
          <w:rFonts w:ascii="Verdana" w:eastAsia="Calibri" w:hAnsi="Verdana" w:cs="Times New Roman"/>
          <w:lang w:eastAsia="es-MX"/>
        </w:rPr>
        <w:t>Atentamente,</w:t>
      </w:r>
    </w:p>
    <w:p w14:paraId="4C4480C9" w14:textId="77777777" w:rsidR="000F6CA2" w:rsidRPr="000F6CA2" w:rsidRDefault="000F6CA2" w:rsidP="000F6CA2">
      <w:pPr>
        <w:tabs>
          <w:tab w:val="left" w:pos="1320"/>
        </w:tabs>
        <w:spacing w:after="0"/>
        <w:jc w:val="center"/>
        <w:rPr>
          <w:rFonts w:ascii="Verdana" w:eastAsia="Calibri" w:hAnsi="Verdana" w:cs="Times New Roman"/>
          <w:lang w:eastAsia="es-MX"/>
        </w:rPr>
      </w:pPr>
    </w:p>
    <w:p w14:paraId="7B0D6A3F" w14:textId="38068AAC" w:rsidR="000F6CA2" w:rsidRDefault="000F6CA2" w:rsidP="000F6CA2">
      <w:pPr>
        <w:tabs>
          <w:tab w:val="left" w:pos="1320"/>
        </w:tabs>
        <w:spacing w:after="0"/>
        <w:jc w:val="center"/>
        <w:rPr>
          <w:rFonts w:ascii="Verdana" w:eastAsia="Calibri" w:hAnsi="Verdana" w:cs="Times New Roman"/>
          <w:lang w:eastAsia="es-MX"/>
        </w:rPr>
      </w:pPr>
    </w:p>
    <w:p w14:paraId="03AB02C1" w14:textId="2E3F8AC7" w:rsidR="005F5FDD" w:rsidRPr="000F6CA2" w:rsidRDefault="008C7BE4" w:rsidP="000F6CA2">
      <w:pPr>
        <w:tabs>
          <w:tab w:val="left" w:pos="1320"/>
        </w:tabs>
        <w:spacing w:after="0"/>
        <w:jc w:val="center"/>
        <w:rPr>
          <w:rFonts w:ascii="Verdana" w:eastAsia="Calibri" w:hAnsi="Verdana" w:cs="Times New Roman"/>
          <w:lang w:eastAsia="es-MX"/>
        </w:rPr>
      </w:pPr>
      <w:r w:rsidRPr="00816A1E">
        <w:rPr>
          <w:rFonts w:ascii="Verdana" w:eastAsia="Calibri" w:hAnsi="Verdana" w:cs="Arial"/>
          <w:noProof/>
          <w:lang w:val="es-ES_tradnl" w:eastAsia="es-CO"/>
        </w:rPr>
        <w:lastRenderedPageBreak/>
        <w:drawing>
          <wp:inline distT="0" distB="0" distL="0" distR="0" wp14:anchorId="56BBC98F" wp14:editId="7D3067E9">
            <wp:extent cx="3352800" cy="1244600"/>
            <wp:effectExtent l="0" t="0" r="0" b="0"/>
            <wp:docPr id="7472616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261639" name=""/>
                    <pic:cNvPicPr/>
                  </pic:nvPicPr>
                  <pic:blipFill>
                    <a:blip r:embed="rId17"/>
                    <a:stretch>
                      <a:fillRect/>
                    </a:stretch>
                  </pic:blipFill>
                  <pic:spPr>
                    <a:xfrm>
                      <a:off x="0" y="0"/>
                      <a:ext cx="3352800" cy="1244600"/>
                    </a:xfrm>
                    <a:prstGeom prst="rect">
                      <a:avLst/>
                    </a:prstGeom>
                  </pic:spPr>
                </pic:pic>
              </a:graphicData>
            </a:graphic>
          </wp:inline>
        </w:drawing>
      </w: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0F6CA2" w:rsidRPr="000F6CA2" w14:paraId="0C85C220" w14:textId="77777777" w:rsidTr="002D3DDD">
        <w:trPr>
          <w:trHeight w:val="323"/>
        </w:trPr>
        <w:tc>
          <w:tcPr>
            <w:tcW w:w="1041" w:type="dxa"/>
            <w:vAlign w:val="center"/>
            <w:hideMark/>
          </w:tcPr>
          <w:p w14:paraId="4CB1DAD0" w14:textId="77777777" w:rsidR="000F6CA2" w:rsidRPr="000F6CA2" w:rsidRDefault="000F6CA2" w:rsidP="000F6CA2">
            <w:pPr>
              <w:rPr>
                <w:rFonts w:ascii="Verdana" w:eastAsia="Calibri" w:hAnsi="Verdana" w:cs="Arial"/>
                <w:sz w:val="16"/>
                <w:szCs w:val="16"/>
                <w:lang w:val="es-ES_tradnl" w:eastAsia="es-ES"/>
              </w:rPr>
            </w:pPr>
            <w:r w:rsidRPr="000F6CA2">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5E243501" w14:textId="77777777" w:rsidR="000F6CA2" w:rsidRPr="000F6CA2" w:rsidRDefault="000F6CA2" w:rsidP="000F6CA2">
            <w:pPr>
              <w:rPr>
                <w:rFonts w:ascii="Verdana" w:eastAsia="Arial" w:hAnsi="Verdana" w:cs="Arial"/>
                <w:sz w:val="16"/>
                <w:szCs w:val="16"/>
                <w:lang w:val="es-ES" w:eastAsia="es-MX"/>
              </w:rPr>
            </w:pPr>
            <w:r w:rsidRPr="000F6CA2">
              <w:rPr>
                <w:rFonts w:ascii="Verdana" w:eastAsia="Arial" w:hAnsi="Verdana" w:cs="Arial"/>
                <w:sz w:val="16"/>
                <w:szCs w:val="16"/>
                <w:lang w:val="es-ES" w:eastAsia="es-MX"/>
              </w:rPr>
              <w:t xml:space="preserve">Kevin Arlid Herrera Santa </w:t>
            </w:r>
          </w:p>
          <w:p w14:paraId="2E12403B" w14:textId="77777777" w:rsidR="000F6CA2" w:rsidRPr="000F6CA2" w:rsidRDefault="000F6CA2" w:rsidP="000F6CA2">
            <w:pPr>
              <w:rPr>
                <w:rFonts w:ascii="Verdana" w:eastAsia="Arial" w:hAnsi="Verdana" w:cs="Arial"/>
                <w:sz w:val="16"/>
                <w:szCs w:val="16"/>
                <w:lang w:val="es-ES_tradnl" w:eastAsia="es-MX"/>
              </w:rPr>
            </w:pPr>
            <w:r w:rsidRPr="000F6CA2">
              <w:rPr>
                <w:rFonts w:ascii="Verdana" w:eastAsia="Arial" w:hAnsi="Verdana" w:cs="Arial"/>
                <w:sz w:val="16"/>
                <w:szCs w:val="16"/>
                <w:lang w:val="es-ES_tradnl" w:eastAsia="es-MX"/>
              </w:rPr>
              <w:t>Contratista de la Subdirección de Gestión Contractual</w:t>
            </w:r>
          </w:p>
          <w:p w14:paraId="0D36DB3F" w14:textId="77777777" w:rsidR="000F6CA2" w:rsidRPr="000F6CA2" w:rsidRDefault="000F6CA2" w:rsidP="000F6CA2">
            <w:pPr>
              <w:rPr>
                <w:rFonts w:ascii="Verdana" w:eastAsia="Arial" w:hAnsi="Verdana" w:cs="Arial"/>
                <w:sz w:val="16"/>
                <w:szCs w:val="16"/>
                <w:lang w:val="es-ES_tradnl" w:eastAsia="es-MX"/>
              </w:rPr>
            </w:pPr>
          </w:p>
        </w:tc>
      </w:tr>
      <w:tr w:rsidR="000F6CA2" w:rsidRPr="000F6CA2" w14:paraId="108BFB52" w14:textId="77777777" w:rsidTr="002D3DDD">
        <w:trPr>
          <w:trHeight w:val="338"/>
        </w:trPr>
        <w:tc>
          <w:tcPr>
            <w:tcW w:w="1041" w:type="dxa"/>
            <w:vAlign w:val="center"/>
            <w:hideMark/>
          </w:tcPr>
          <w:p w14:paraId="02750EFC" w14:textId="77777777" w:rsidR="000F6CA2" w:rsidRPr="000F6CA2" w:rsidRDefault="000F6CA2" w:rsidP="000F6CA2">
            <w:pPr>
              <w:rPr>
                <w:rFonts w:ascii="Verdana" w:eastAsia="Calibri" w:hAnsi="Verdana" w:cs="Arial"/>
                <w:sz w:val="16"/>
                <w:szCs w:val="16"/>
                <w:lang w:val="es-ES_tradnl" w:eastAsia="es-ES"/>
              </w:rPr>
            </w:pPr>
            <w:r w:rsidRPr="000F6CA2">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5FCC865A" w14:textId="77777777" w:rsidR="000F6CA2" w:rsidRPr="000F6CA2" w:rsidRDefault="000F6CA2" w:rsidP="000F6CA2">
            <w:pPr>
              <w:rPr>
                <w:rFonts w:ascii="Verdana" w:eastAsia="Arial" w:hAnsi="Verdana" w:cs="Arial"/>
                <w:sz w:val="16"/>
                <w:szCs w:val="16"/>
                <w:lang w:val="es-ES" w:eastAsia="es-MX"/>
              </w:rPr>
            </w:pPr>
            <w:r w:rsidRPr="000F6CA2">
              <w:rPr>
                <w:rFonts w:ascii="Verdana" w:eastAsia="Arial" w:hAnsi="Verdana" w:cs="Arial"/>
                <w:sz w:val="16"/>
                <w:szCs w:val="16"/>
                <w:lang w:val="es-ES" w:eastAsia="es-MX"/>
              </w:rPr>
              <w:t xml:space="preserve">Adriana </w:t>
            </w:r>
            <w:proofErr w:type="spellStart"/>
            <w:r w:rsidRPr="000F6CA2">
              <w:rPr>
                <w:rFonts w:ascii="Verdana" w:eastAsia="Arial" w:hAnsi="Verdana" w:cs="Arial"/>
                <w:sz w:val="16"/>
                <w:szCs w:val="16"/>
                <w:lang w:val="es-ES" w:eastAsia="es-MX"/>
              </w:rPr>
              <w:t>Katerine</w:t>
            </w:r>
            <w:proofErr w:type="spellEnd"/>
            <w:r w:rsidRPr="000F6CA2">
              <w:rPr>
                <w:rFonts w:ascii="Verdana" w:eastAsia="Arial" w:hAnsi="Verdana" w:cs="Arial"/>
                <w:sz w:val="16"/>
                <w:szCs w:val="16"/>
                <w:lang w:val="es-ES" w:eastAsia="es-MX"/>
              </w:rPr>
              <w:t xml:space="preserve"> López Rodríguez</w:t>
            </w:r>
          </w:p>
          <w:p w14:paraId="444B1C5D" w14:textId="77777777" w:rsidR="000F6CA2" w:rsidRPr="000F6CA2" w:rsidRDefault="000F6CA2" w:rsidP="000F6CA2">
            <w:pPr>
              <w:rPr>
                <w:rFonts w:ascii="Verdana" w:eastAsia="Arial" w:hAnsi="Verdana" w:cs="Arial"/>
                <w:sz w:val="16"/>
                <w:szCs w:val="16"/>
                <w:lang w:val="es-ES_tradnl" w:eastAsia="es-MX"/>
              </w:rPr>
            </w:pPr>
            <w:r w:rsidRPr="000F6CA2">
              <w:rPr>
                <w:rFonts w:ascii="Verdana" w:eastAsia="Arial" w:hAnsi="Verdana" w:cs="Arial"/>
                <w:sz w:val="16"/>
                <w:szCs w:val="16"/>
                <w:lang w:val="es-ES_tradnl" w:eastAsia="es-MX"/>
              </w:rPr>
              <w:t>Contratista de la Subdirección de Gestión Contractual</w:t>
            </w:r>
          </w:p>
        </w:tc>
      </w:tr>
      <w:tr w:rsidR="000F6CA2" w:rsidRPr="000F6CA2" w14:paraId="6E2B265D" w14:textId="77777777" w:rsidTr="002D3DDD">
        <w:trPr>
          <w:trHeight w:val="308"/>
        </w:trPr>
        <w:tc>
          <w:tcPr>
            <w:tcW w:w="1041" w:type="dxa"/>
            <w:vAlign w:val="center"/>
          </w:tcPr>
          <w:p w14:paraId="653542F7" w14:textId="77777777" w:rsidR="000F6CA2" w:rsidRPr="000F6CA2" w:rsidRDefault="000F6CA2" w:rsidP="000F6CA2">
            <w:pPr>
              <w:rPr>
                <w:rFonts w:ascii="Verdana" w:eastAsia="Calibri" w:hAnsi="Verdana" w:cs="Arial"/>
                <w:sz w:val="16"/>
                <w:szCs w:val="16"/>
                <w:lang w:val="es-ES_tradnl" w:eastAsia="es-ES"/>
              </w:rPr>
            </w:pPr>
            <w:r w:rsidRPr="000F6CA2">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4756F730" w14:textId="77777777" w:rsidR="000F6CA2" w:rsidRPr="000F6CA2" w:rsidRDefault="000F6CA2" w:rsidP="000F6CA2">
            <w:pPr>
              <w:rPr>
                <w:rFonts w:ascii="Verdana" w:eastAsia="Calibri" w:hAnsi="Verdana" w:cs="Arial"/>
                <w:sz w:val="16"/>
                <w:szCs w:val="16"/>
                <w:lang w:val="es-ES" w:eastAsia="es-ES"/>
              </w:rPr>
            </w:pPr>
            <w:r w:rsidRPr="000F6CA2">
              <w:rPr>
                <w:rFonts w:ascii="Verdana" w:eastAsia="Calibri" w:hAnsi="Verdana" w:cs="Arial"/>
                <w:sz w:val="16"/>
                <w:szCs w:val="16"/>
                <w:lang w:val="es-ES" w:eastAsia="es-ES"/>
              </w:rPr>
              <w:t>William Javier Murcia Acevedo</w:t>
            </w:r>
          </w:p>
          <w:p w14:paraId="6E55D722" w14:textId="77777777" w:rsidR="000F6CA2" w:rsidRPr="000F6CA2" w:rsidRDefault="000F6CA2" w:rsidP="000F6CA2">
            <w:pPr>
              <w:rPr>
                <w:rFonts w:ascii="Verdana" w:eastAsia="Calibri" w:hAnsi="Verdana" w:cs="Arial"/>
                <w:sz w:val="16"/>
                <w:szCs w:val="16"/>
                <w:lang w:val="es-ES_tradnl" w:eastAsia="es-ES"/>
              </w:rPr>
            </w:pPr>
            <w:r w:rsidRPr="000F6CA2">
              <w:rPr>
                <w:rFonts w:ascii="Verdana" w:eastAsia="Calibri" w:hAnsi="Verdana" w:cs="Arial"/>
                <w:sz w:val="16"/>
                <w:szCs w:val="16"/>
                <w:lang w:val="es-ES_tradnl" w:eastAsia="es-ES"/>
              </w:rPr>
              <w:t>Subdirector de Gestión Contractual (E) ANCP – CCE</w:t>
            </w:r>
          </w:p>
        </w:tc>
      </w:tr>
    </w:tbl>
    <w:p w14:paraId="086BB719" w14:textId="77777777" w:rsidR="000F6CA2" w:rsidRPr="000F6CA2" w:rsidRDefault="000F6CA2" w:rsidP="000F6CA2">
      <w:pPr>
        <w:spacing w:after="0" w:line="240" w:lineRule="auto"/>
        <w:textAlignment w:val="baseline"/>
        <w:rPr>
          <w:rFonts w:ascii="Verdana" w:eastAsia="Verdana" w:hAnsi="Verdana" w:cs="Verdana"/>
          <w:lang w:eastAsia="es-CO"/>
        </w:rPr>
      </w:pPr>
      <w:r w:rsidRPr="000F6CA2">
        <w:rPr>
          <w:rFonts w:ascii="Verdana" w:eastAsia="Verdana" w:hAnsi="Verdana" w:cs="Verdana"/>
          <w:lang w:eastAsia="es-CO"/>
        </w:rPr>
        <w:t> </w:t>
      </w:r>
    </w:p>
    <w:bookmarkEnd w:id="0"/>
    <w:p w14:paraId="0D285374" w14:textId="5748F066" w:rsidR="000F6CA2" w:rsidRPr="00B60949" w:rsidRDefault="000F6CA2" w:rsidP="00B60949">
      <w:pPr>
        <w:spacing w:after="0" w:line="240" w:lineRule="auto"/>
        <w:textAlignment w:val="baseline"/>
        <w:rPr>
          <w:rFonts w:ascii="Verdana" w:eastAsia="Verdana" w:hAnsi="Verdana" w:cs="Verdana"/>
          <w:lang w:eastAsia="es-CO"/>
        </w:rPr>
      </w:pPr>
    </w:p>
    <w:sectPr w:rsidR="000F6CA2" w:rsidRPr="00B60949"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2A79F3" w14:textId="77777777" w:rsidR="007B0AB1" w:rsidRDefault="007B0AB1" w:rsidP="004A1847">
      <w:pPr>
        <w:spacing w:after="0" w:line="240" w:lineRule="auto"/>
      </w:pPr>
      <w:r>
        <w:separator/>
      </w:r>
    </w:p>
  </w:endnote>
  <w:endnote w:type="continuationSeparator" w:id="0">
    <w:p w14:paraId="50330BC7" w14:textId="77777777" w:rsidR="007B0AB1" w:rsidRDefault="007B0AB1" w:rsidP="004A1847">
      <w:pPr>
        <w:spacing w:after="0" w:line="240" w:lineRule="auto"/>
      </w:pPr>
      <w:r>
        <w:continuationSeparator/>
      </w:r>
    </w:p>
  </w:endnote>
  <w:endnote w:type="continuationNotice" w:id="1">
    <w:p w14:paraId="2C21BF74" w14:textId="77777777" w:rsidR="007B0AB1" w:rsidRDefault="007B0A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08AA20" w14:textId="77777777" w:rsidR="007B0AB1" w:rsidRDefault="007B0AB1" w:rsidP="004A1847">
      <w:pPr>
        <w:spacing w:after="0" w:line="240" w:lineRule="auto"/>
      </w:pPr>
      <w:r>
        <w:separator/>
      </w:r>
    </w:p>
  </w:footnote>
  <w:footnote w:type="continuationSeparator" w:id="0">
    <w:p w14:paraId="5732EA79" w14:textId="77777777" w:rsidR="007B0AB1" w:rsidRDefault="007B0AB1" w:rsidP="004A1847">
      <w:pPr>
        <w:spacing w:after="0" w:line="240" w:lineRule="auto"/>
      </w:pPr>
      <w:r>
        <w:continuationSeparator/>
      </w:r>
    </w:p>
  </w:footnote>
  <w:footnote w:type="continuationNotice" w:id="1">
    <w:p w14:paraId="34B4B266" w14:textId="77777777" w:rsidR="007B0AB1" w:rsidRDefault="007B0AB1">
      <w:pPr>
        <w:spacing w:after="0" w:line="240" w:lineRule="auto"/>
      </w:pPr>
    </w:p>
  </w:footnote>
  <w:footnote w:id="2">
    <w:p w14:paraId="5F1630C7" w14:textId="77777777" w:rsidR="000F6CA2" w:rsidRPr="002206B9" w:rsidRDefault="000F6CA2" w:rsidP="000F6CA2">
      <w:pPr>
        <w:spacing w:after="0" w:line="240" w:lineRule="auto"/>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715A1F80" w14:textId="77777777" w:rsidR="000F6CA2" w:rsidRPr="002206B9" w:rsidRDefault="000F6CA2" w:rsidP="000F6CA2">
      <w:pPr>
        <w:spacing w:after="0" w:line="240" w:lineRule="auto"/>
        <w:ind w:firstLine="708"/>
        <w:jc w:val="both"/>
        <w:rPr>
          <w:rFonts w:ascii="Verdana" w:hAnsi="Verdana" w:cs="Arial"/>
          <w:sz w:val="18"/>
          <w:szCs w:val="18"/>
        </w:rPr>
      </w:pPr>
    </w:p>
  </w:footnote>
  <w:footnote w:id="3">
    <w:p w14:paraId="66185AB9" w14:textId="77777777" w:rsidR="000F6CA2" w:rsidRPr="002206B9" w:rsidRDefault="000F6CA2" w:rsidP="000F6CA2">
      <w:pPr>
        <w:pStyle w:val="Textonotapie"/>
        <w:jc w:val="both"/>
        <w:rPr>
          <w:rFonts w:ascii="Verdana" w:hAnsi="Verdana" w:cs="Arial"/>
          <w:sz w:val="18"/>
          <w:szCs w:val="18"/>
        </w:rPr>
      </w:pPr>
    </w:p>
    <w:p w14:paraId="4F5D5142" w14:textId="77777777" w:rsidR="000F6CA2" w:rsidRPr="002206B9" w:rsidRDefault="000F6CA2" w:rsidP="000F6CA2">
      <w:pPr>
        <w:pStyle w:val="Textonotapie"/>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cuanto a las resoluciones vigentes, dicha regla se observa en el artículo 3 de las Resoluciones</w:t>
      </w:r>
      <w:bookmarkStart w:id="2" w:name="_Hlk82363077"/>
      <w:r w:rsidRPr="002206B9">
        <w:rPr>
          <w:rFonts w:ascii="Verdana" w:hAnsi="Verdana" w:cs="Arial"/>
          <w:sz w:val="18"/>
          <w:szCs w:val="18"/>
          <w:lang w:val="es-ES"/>
        </w:rPr>
        <w:t xml:space="preserve"> 248 de 2020, 249 de 2020, 269 de 2020, 219 de 2021, 220 de 2021, 392 de 2021, 454 de 2021, 333 de 2022, 358 de 2023, 798 de 2023, 456 de 2024, 463 de 2024, 464 de 2024, 725 de 2024, 726 de 2024, entre otras</w:t>
      </w:r>
      <w:bookmarkEnd w:id="2"/>
      <w:r w:rsidRPr="002206B9">
        <w:rPr>
          <w:rFonts w:ascii="Verdana" w:hAnsi="Verdana" w:cs="Arial"/>
          <w:sz w:val="18"/>
          <w:szCs w:val="18"/>
          <w:lang w:val="es-ES"/>
        </w:rPr>
        <w:t xml:space="preserve">. </w:t>
      </w:r>
    </w:p>
    <w:p w14:paraId="4A0339F3" w14:textId="77777777" w:rsidR="000F6CA2" w:rsidRPr="002206B9" w:rsidRDefault="000F6CA2" w:rsidP="000F6CA2">
      <w:pPr>
        <w:pStyle w:val="Textonotapie"/>
        <w:ind w:firstLine="709"/>
        <w:jc w:val="both"/>
        <w:rPr>
          <w:rFonts w:ascii="Verdana" w:hAnsi="Verdana" w:cs="Arial"/>
          <w:sz w:val="18"/>
          <w:szCs w:val="18"/>
          <w:lang w:val="es-ES"/>
        </w:rPr>
      </w:pPr>
    </w:p>
  </w:footnote>
  <w:footnote w:id="4">
    <w:p w14:paraId="78D30B78" w14:textId="77777777" w:rsidR="000F6CA2" w:rsidRPr="002206B9" w:rsidRDefault="000F6CA2" w:rsidP="000F6CA2">
      <w:pPr>
        <w:pStyle w:val="Textonotapie"/>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536C05E2" w14:textId="77777777" w:rsidR="000F6CA2" w:rsidRPr="002206B9" w:rsidRDefault="000F6CA2" w:rsidP="000F6CA2">
      <w:pPr>
        <w:pStyle w:val="Textonotapie"/>
        <w:ind w:firstLine="708"/>
        <w:jc w:val="both"/>
        <w:rPr>
          <w:rFonts w:ascii="Verdana" w:hAnsi="Verdana" w:cs="Arial"/>
          <w:sz w:val="18"/>
          <w:szCs w:val="18"/>
        </w:rPr>
      </w:pPr>
    </w:p>
  </w:footnote>
  <w:footnote w:id="5">
    <w:p w14:paraId="722AA2B7" w14:textId="77777777" w:rsidR="000F6CA2" w:rsidRPr="002206B9" w:rsidRDefault="000F6CA2" w:rsidP="000F6CA2">
      <w:pPr>
        <w:pStyle w:val="Textonotapie"/>
        <w:ind w:firstLine="709"/>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68B12ABB" w14:textId="77777777" w:rsidR="000F6CA2" w:rsidRPr="002206B9" w:rsidRDefault="000F6CA2" w:rsidP="000F6CA2">
      <w:pPr>
        <w:pStyle w:val="Textonotapie"/>
        <w:ind w:firstLine="709"/>
        <w:jc w:val="both"/>
        <w:rPr>
          <w:rFonts w:ascii="Verdana" w:hAnsi="Verdana" w:cs="Arial"/>
          <w:sz w:val="18"/>
          <w:szCs w:val="18"/>
        </w:rPr>
      </w:pPr>
    </w:p>
  </w:footnote>
  <w:footnote w:id="6">
    <w:p w14:paraId="6FC149A2" w14:textId="77777777" w:rsidR="000F6CA2" w:rsidRPr="002206B9" w:rsidRDefault="000F6CA2" w:rsidP="000F6CA2">
      <w:pPr>
        <w:spacing w:after="0" w:line="240" w:lineRule="auto"/>
        <w:ind w:firstLine="709"/>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w:t>
      </w:r>
      <w:r w:rsidRPr="002206B9">
        <w:rPr>
          <w:rFonts w:ascii="Verdana" w:hAnsi="Verdana" w:cs="Arial"/>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6532B5CC" w14:textId="77777777" w:rsidR="000F6CA2" w:rsidRPr="002206B9" w:rsidRDefault="000F6CA2" w:rsidP="000F6CA2">
      <w:pPr>
        <w:spacing w:after="0" w:line="240" w:lineRule="auto"/>
        <w:ind w:firstLine="709"/>
        <w:jc w:val="both"/>
        <w:rPr>
          <w:rFonts w:ascii="Verdana" w:hAnsi="Verdana" w:cs="Arial"/>
          <w:sz w:val="18"/>
          <w:szCs w:val="18"/>
          <w:lang w:val="es-ES"/>
        </w:rPr>
      </w:pPr>
    </w:p>
  </w:footnote>
  <w:footnote w:id="7">
    <w:p w14:paraId="65754D51" w14:textId="77777777" w:rsidR="000F6CA2" w:rsidRPr="002206B9" w:rsidRDefault="000F6CA2" w:rsidP="000F6CA2">
      <w:pPr>
        <w:pStyle w:val="Textonotapie"/>
        <w:ind w:firstLine="708"/>
        <w:jc w:val="both"/>
        <w:rPr>
          <w:rFonts w:ascii="Verdana" w:hAnsi="Verdana" w:cs="Arial"/>
          <w:sz w:val="18"/>
          <w:szCs w:val="18"/>
          <w:lang w:val="es-ES"/>
        </w:rPr>
      </w:pPr>
      <w:r w:rsidRPr="002206B9">
        <w:rPr>
          <w:rStyle w:val="Refdenotaalpie"/>
          <w:rFonts w:ascii="Verdana" w:hAnsi="Verdana" w:cs="Arial"/>
          <w:sz w:val="18"/>
          <w:szCs w:val="18"/>
        </w:rPr>
        <w:footnoteRef/>
      </w:r>
      <w:r w:rsidRPr="002206B9">
        <w:rPr>
          <w:rFonts w:ascii="Verdana" w:hAnsi="Verdana" w:cs="Arial"/>
          <w:sz w:val="18"/>
          <w:szCs w:val="18"/>
        </w:rPr>
        <w:t xml:space="preserve"> Diccionario de la Real Academia Española, versión online disponible en: </w:t>
      </w:r>
      <w:hyperlink r:id="rId1" w:history="1">
        <w:r w:rsidRPr="002206B9">
          <w:rPr>
            <w:rStyle w:val="Hipervnculo"/>
            <w:rFonts w:ascii="Verdana" w:hAnsi="Verdana" w:cs="Arial"/>
            <w:color w:val="auto"/>
            <w:sz w:val="18"/>
            <w:szCs w:val="18"/>
          </w:rPr>
          <w:t>https://dle.rae.es/est%C3%A1ndar</w:t>
        </w:r>
      </w:hyperlink>
      <w:r w:rsidRPr="002206B9">
        <w:rPr>
          <w:rFonts w:ascii="Verdana" w:hAnsi="Verdana" w:cs="Arial"/>
          <w:sz w:val="18"/>
          <w:szCs w:val="18"/>
        </w:rPr>
        <w:t xml:space="preserve">, consultado el 23 de abril de 2026. </w:t>
      </w:r>
    </w:p>
  </w:footnote>
  <w:footnote w:id="8">
    <w:p w14:paraId="60240014" w14:textId="77777777" w:rsidR="000F6CA2" w:rsidRPr="00A0159C" w:rsidRDefault="000F6CA2" w:rsidP="000F6CA2">
      <w:pPr>
        <w:pStyle w:val="Textonotapie"/>
        <w:ind w:firstLine="709"/>
        <w:jc w:val="both"/>
        <w:rPr>
          <w:rFonts w:ascii="Verdana" w:hAnsi="Verdana"/>
          <w:sz w:val="18"/>
          <w:szCs w:val="18"/>
          <w:lang w:val="es-ES_tradnl"/>
        </w:rPr>
      </w:pPr>
      <w:r w:rsidRPr="00A0159C">
        <w:rPr>
          <w:rStyle w:val="Refdenotaalpie"/>
          <w:rFonts w:ascii="Verdana" w:hAnsi="Verdana"/>
          <w:sz w:val="18"/>
          <w:szCs w:val="18"/>
        </w:rPr>
        <w:footnoteRef/>
      </w:r>
      <w:r w:rsidRPr="00A0159C">
        <w:rPr>
          <w:rFonts w:ascii="Verdana" w:hAnsi="Verdana"/>
          <w:sz w:val="18"/>
          <w:szCs w:val="18"/>
        </w:rPr>
        <w:t xml:space="preserve"> </w:t>
      </w:r>
      <w:r w:rsidRPr="00A0159C">
        <w:rPr>
          <w:rFonts w:ascii="Verdana" w:hAnsi="Verdana"/>
          <w:sz w:val="18"/>
          <w:szCs w:val="18"/>
          <w:lang w:val="es-ES_tradnl"/>
        </w:rPr>
        <w:t xml:space="preserve">Esto también puede observarse en los demás documentos tipo adoptados por la Agencia Nacional de Contratación Pública. </w:t>
      </w:r>
    </w:p>
    <w:p w14:paraId="6023EF6E" w14:textId="77777777" w:rsidR="000F6CA2" w:rsidRPr="00423C1B" w:rsidRDefault="000F6CA2" w:rsidP="000F6CA2">
      <w:pPr>
        <w:pStyle w:val="Textonotapie"/>
        <w:ind w:firstLine="709"/>
        <w:rPr>
          <w:lang w:val="es-ES_tradnl"/>
        </w:rPr>
      </w:pPr>
    </w:p>
  </w:footnote>
  <w:footnote w:id="9">
    <w:p w14:paraId="5DA54BF1" w14:textId="77777777" w:rsidR="000F6CA2" w:rsidRPr="002206B9" w:rsidRDefault="000F6CA2" w:rsidP="000F6CA2">
      <w:pPr>
        <w:spacing w:after="0" w:line="240" w:lineRule="auto"/>
        <w:ind w:firstLine="708"/>
        <w:jc w:val="both"/>
        <w:rPr>
          <w:rFonts w:ascii="Verdana" w:hAnsi="Verdana" w:cs="Arial"/>
          <w:sz w:val="18"/>
          <w:szCs w:val="18"/>
        </w:rPr>
      </w:pPr>
      <w:r w:rsidRPr="002206B9">
        <w:rPr>
          <w:rStyle w:val="Refdenotaalpie"/>
          <w:rFonts w:ascii="Verdana" w:hAnsi="Verdana" w:cs="Arial"/>
          <w:sz w:val="18"/>
          <w:szCs w:val="18"/>
        </w:rPr>
        <w:footnoteRef/>
      </w:r>
      <w:r w:rsidRPr="002206B9">
        <w:rPr>
          <w:rFonts w:ascii="Verdana" w:hAnsi="Verdana" w:cs="Arial"/>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295F357E" w14:textId="77777777" w:rsidR="000F6CA2" w:rsidRPr="002206B9" w:rsidRDefault="000F6CA2" w:rsidP="000F6CA2">
      <w:pPr>
        <w:spacing w:after="0" w:line="240" w:lineRule="auto"/>
        <w:ind w:firstLine="708"/>
        <w:jc w:val="both"/>
        <w:rPr>
          <w:rFonts w:ascii="Verdana" w:hAnsi="Verdana"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11.8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2F3AAE"/>
    <w:multiLevelType w:val="hybridMultilevel"/>
    <w:tmpl w:val="5C0A57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0488472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191A"/>
    <w:rsid w:val="00046945"/>
    <w:rsid w:val="00061B2A"/>
    <w:rsid w:val="00067670"/>
    <w:rsid w:val="00082362"/>
    <w:rsid w:val="000A683E"/>
    <w:rsid w:val="000B19B9"/>
    <w:rsid w:val="000D0334"/>
    <w:rsid w:val="000D5DA7"/>
    <w:rsid w:val="000F6486"/>
    <w:rsid w:val="000F6CA2"/>
    <w:rsid w:val="00116940"/>
    <w:rsid w:val="00125105"/>
    <w:rsid w:val="00126834"/>
    <w:rsid w:val="00127233"/>
    <w:rsid w:val="0015699B"/>
    <w:rsid w:val="001A33BF"/>
    <w:rsid w:val="001E4177"/>
    <w:rsid w:val="001F0B24"/>
    <w:rsid w:val="001F5407"/>
    <w:rsid w:val="001F7DC6"/>
    <w:rsid w:val="0022400B"/>
    <w:rsid w:val="002421BB"/>
    <w:rsid w:val="0025796E"/>
    <w:rsid w:val="002707A2"/>
    <w:rsid w:val="00284FE6"/>
    <w:rsid w:val="0028761F"/>
    <w:rsid w:val="002951A0"/>
    <w:rsid w:val="002962BC"/>
    <w:rsid w:val="002A093D"/>
    <w:rsid w:val="002A0DD0"/>
    <w:rsid w:val="002A49AC"/>
    <w:rsid w:val="002A64FD"/>
    <w:rsid w:val="002B42D9"/>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257C"/>
    <w:rsid w:val="0042722E"/>
    <w:rsid w:val="0044528D"/>
    <w:rsid w:val="00466E39"/>
    <w:rsid w:val="004A1847"/>
    <w:rsid w:val="004A305D"/>
    <w:rsid w:val="004F21C4"/>
    <w:rsid w:val="004F685F"/>
    <w:rsid w:val="005566E8"/>
    <w:rsid w:val="00574867"/>
    <w:rsid w:val="00591460"/>
    <w:rsid w:val="005A65E0"/>
    <w:rsid w:val="005C3777"/>
    <w:rsid w:val="005C5CDC"/>
    <w:rsid w:val="005D476C"/>
    <w:rsid w:val="005F5FDD"/>
    <w:rsid w:val="006200BF"/>
    <w:rsid w:val="006219F8"/>
    <w:rsid w:val="00621E72"/>
    <w:rsid w:val="0062585A"/>
    <w:rsid w:val="006302F7"/>
    <w:rsid w:val="00646B9F"/>
    <w:rsid w:val="00665D70"/>
    <w:rsid w:val="00683A92"/>
    <w:rsid w:val="006900D9"/>
    <w:rsid w:val="006E7064"/>
    <w:rsid w:val="00706C16"/>
    <w:rsid w:val="00713874"/>
    <w:rsid w:val="007340C3"/>
    <w:rsid w:val="0075235A"/>
    <w:rsid w:val="00756841"/>
    <w:rsid w:val="007649AB"/>
    <w:rsid w:val="00771D0C"/>
    <w:rsid w:val="007833AC"/>
    <w:rsid w:val="007B0AB1"/>
    <w:rsid w:val="007B268C"/>
    <w:rsid w:val="007B7171"/>
    <w:rsid w:val="007C0C0F"/>
    <w:rsid w:val="007C3DC2"/>
    <w:rsid w:val="007E5497"/>
    <w:rsid w:val="007F6B2B"/>
    <w:rsid w:val="00806F5F"/>
    <w:rsid w:val="00820278"/>
    <w:rsid w:val="008258C9"/>
    <w:rsid w:val="00844AE9"/>
    <w:rsid w:val="00867F95"/>
    <w:rsid w:val="008843B6"/>
    <w:rsid w:val="00891928"/>
    <w:rsid w:val="008A446D"/>
    <w:rsid w:val="008B25F1"/>
    <w:rsid w:val="008C7BE4"/>
    <w:rsid w:val="008D180B"/>
    <w:rsid w:val="008E191A"/>
    <w:rsid w:val="008F0EA7"/>
    <w:rsid w:val="009169E3"/>
    <w:rsid w:val="00923EEF"/>
    <w:rsid w:val="009419F9"/>
    <w:rsid w:val="0095685E"/>
    <w:rsid w:val="00961B09"/>
    <w:rsid w:val="00965334"/>
    <w:rsid w:val="0097093E"/>
    <w:rsid w:val="009808A6"/>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96552"/>
    <w:rsid w:val="00AB0ADB"/>
    <w:rsid w:val="00AD1ACB"/>
    <w:rsid w:val="00B00C0E"/>
    <w:rsid w:val="00B01A7F"/>
    <w:rsid w:val="00B01B1A"/>
    <w:rsid w:val="00B0381D"/>
    <w:rsid w:val="00B44A47"/>
    <w:rsid w:val="00B60949"/>
    <w:rsid w:val="00B72CD3"/>
    <w:rsid w:val="00B72FFF"/>
    <w:rsid w:val="00BC3D36"/>
    <w:rsid w:val="00BD54A6"/>
    <w:rsid w:val="00BD7F72"/>
    <w:rsid w:val="00BE335C"/>
    <w:rsid w:val="00BF7425"/>
    <w:rsid w:val="00C04FB3"/>
    <w:rsid w:val="00C11D8B"/>
    <w:rsid w:val="00C15139"/>
    <w:rsid w:val="00C330EB"/>
    <w:rsid w:val="00C45B8B"/>
    <w:rsid w:val="00C50D69"/>
    <w:rsid w:val="00C5365C"/>
    <w:rsid w:val="00C754BE"/>
    <w:rsid w:val="00C756C7"/>
    <w:rsid w:val="00C76B1C"/>
    <w:rsid w:val="00C925AC"/>
    <w:rsid w:val="00CB6357"/>
    <w:rsid w:val="00CC1B26"/>
    <w:rsid w:val="00D361FD"/>
    <w:rsid w:val="00D423A2"/>
    <w:rsid w:val="00D44E26"/>
    <w:rsid w:val="00D520D8"/>
    <w:rsid w:val="00D566F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A6904"/>
    <w:rsid w:val="00EC38A7"/>
    <w:rsid w:val="00EE1AA8"/>
    <w:rsid w:val="00F23FEA"/>
    <w:rsid w:val="00F31EDC"/>
    <w:rsid w:val="00F462B3"/>
    <w:rsid w:val="00F5664F"/>
    <w:rsid w:val="00F666C4"/>
    <w:rsid w:val="00F76AFC"/>
    <w:rsid w:val="00FA28E3"/>
    <w:rsid w:val="00FA47C0"/>
    <w:rsid w:val="00FB5DD1"/>
    <w:rsid w:val="00FC2B5D"/>
    <w:rsid w:val="00FE2BC2"/>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0F6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0F6CA2"/>
    <w:pPr>
      <w:spacing w:line="240" w:lineRule="exact"/>
    </w:pPr>
    <w:rPr>
      <w:vertAlign w:val="superscript"/>
    </w:rPr>
  </w:style>
  <w:style w:type="table" w:customStyle="1" w:styleId="Tablaconcuadrcula2">
    <w:name w:val="Tabla con cuadrícula2"/>
    <w:basedOn w:val="Tablanormal"/>
    <w:next w:val="Tablaconcuadrcula"/>
    <w:uiPriority w:val="39"/>
    <w:qFormat/>
    <w:rsid w:val="000F6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kevin.herrera%40colombiacompra.gov.co%7C7128555136e04fa6887d08dee99e1b50%7C7b09041e245149d08cb179d5e3d8c1be%7C0%7C0%7C639205062456125663%7CUnknown%7CTWFpbGZsb3d8eyJFbXB0eU1hcGkiOnRydWUsIlYiOiIwLjAuMDAwMCIsIlAiOiJXaW4zMiIsIkFOIjoiTWFpbCIsIldUIjoyfQ%3D%3D%7C0%7C%7C%7C&amp;sdata=Ldbf5hiM2miaBuoT6GaOxk01ChsdPNYZcsyx%2BC3HcKE%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kevin.herrera%40colombiacompra.gov.co%7C7128555136e04fa6887d08dee99e1b50%7C7b09041e245149d08cb179d5e3d8c1be%7C0%7C0%7C639205062456193009%7CUnknown%7CTWFpbGZsb3d8eyJFbXB0eU1hcGkiOnRydWUsIlYiOiIwLjAuMDAwMCIsIlAiOiJXaW4zMiIsIkFOIjoiTWFpbCIsIldUIjoyfQ%3D%3D%7C0%7C%7C%7C&amp;sdata=UzfkgEtiaYEyHEetqxt855f8AuP5LYxtk7vvEUZbYA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kevin.herrera%40colombiacompra.gov.co%7C7128555136e04fa6887d08dee99e1b50%7C7b09041e245149d08cb179d5e3d8c1be%7C0%7C0%7C639205062456173273%7CUnknown%7CTWFpbGZsb3d8eyJFbXB0eU1hcGkiOnRydWUsIlYiOiIwLjAuMDAwMCIsIlAiOiJXaW4zMiIsIkFOIjoiTWFpbCIsIldUIjoyfQ%3D%3D%7C0%7C%7C%7C&amp;sdata=pFF2weTDwTja7q6Ap9s%2BCx5YiMno7NDP4mFhEzjkVKM%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kevin.herrera%40colombiacompra.gov.co%7C7128555136e04fa6887d08dee99e1b50%7C7b09041e245149d08cb179d5e3d8c1be%7C0%7C0%7C639205062456152838%7CUnknown%7CTWFpbGZsb3d8eyJFbXB0eU1hcGkiOnRydWUsIlYiOiIwLjAuMDAwMCIsIlAiOiJXaW4zMiIsIkFOIjoiTWFpbCIsIldUIjoyfQ%3D%3D%7C0%7C%7C%7C&amp;sdata=bgDPR1P0CVRLi6mk9%2BWdCPNYTnkaFQJscHNWdb%2FEGkw%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dle.rae.es/est%C3%A1nda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EFA73C5-5796-467E-B647-F6782BA05E8C}"/>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16</Pages>
  <Words>5376</Words>
  <Characters>29572</Characters>
  <Application>Microsoft Office Word</Application>
  <DocSecurity>0</DocSecurity>
  <Lines>246</Lines>
  <Paragraphs>69</Paragraphs>
  <ScaleCrop>false</ScaleCrop>
  <Company/>
  <LinksUpToDate>false</LinksUpToDate>
  <CharactersWithSpaces>34879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2026-10-27T16:16:00Z</dcterms:created>
  <dcterms:modified xsi:type="dcterms:W3CDTF">2026-10-29T01:27:00Z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