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CEFC9" w14:textId="77777777" w:rsidR="00B834C0" w:rsidRPr="00062BA7" w:rsidRDefault="00B834C0" w:rsidP="00B834C0">
      <w:pPr>
        <w:snapToGrid w:val="0"/>
        <w:spacing w:after="0" w:line="240" w:lineRule="auto"/>
        <w:contextualSpacing/>
        <w:jc w:val="both"/>
        <w:rPr>
          <w:rFonts w:ascii="Verdana" w:eastAsia="Calibri" w:hAnsi="Verdana" w:cs="Arial"/>
          <w:b/>
          <w:bCs/>
          <w:lang w:val="es-ES" w:eastAsia="es-ES"/>
        </w:rPr>
      </w:pPr>
      <w:bookmarkStart w:id="0" w:name="_Hlk143780582"/>
      <w:r w:rsidRPr="00062BA7">
        <w:rPr>
          <w:rFonts w:ascii="Verdana" w:eastAsia="Calibri" w:hAnsi="Verdana" w:cs="Arial"/>
          <w:b/>
          <w:bCs/>
          <w:lang w:val="es-ES" w:eastAsia="es-ES"/>
        </w:rPr>
        <w:t>CONTRATO ESTATAL – Régimen jurídico</w:t>
      </w:r>
    </w:p>
    <w:p w14:paraId="0C27CDA9" w14:textId="77777777" w:rsidR="00B834C0" w:rsidRDefault="00B834C0" w:rsidP="00B834C0">
      <w:pPr>
        <w:snapToGrid w:val="0"/>
        <w:contextualSpacing/>
        <w:jc w:val="both"/>
        <w:rPr>
          <w:rFonts w:ascii="Verdana" w:eastAsia="Calibri" w:hAnsi="Verdana" w:cs="Arial"/>
          <w:sz w:val="20"/>
          <w:szCs w:val="20"/>
          <w:lang w:val="es-ES"/>
        </w:rPr>
      </w:pPr>
    </w:p>
    <w:p w14:paraId="6E09857D" w14:textId="77777777" w:rsidR="00B834C0" w:rsidRPr="00062BA7" w:rsidRDefault="00B834C0" w:rsidP="00B834C0">
      <w:pPr>
        <w:snapToGrid w:val="0"/>
        <w:spacing w:after="0" w:line="240" w:lineRule="auto"/>
        <w:contextualSpacing/>
        <w:jc w:val="both"/>
        <w:rPr>
          <w:rFonts w:ascii="Verdana" w:eastAsia="Calibri" w:hAnsi="Verdana" w:cs="Arial"/>
          <w:sz w:val="20"/>
          <w:szCs w:val="20"/>
          <w:lang w:val="es-ES" w:eastAsia="es-ES"/>
        </w:rPr>
      </w:pPr>
      <w:r w:rsidRPr="00062BA7">
        <w:rPr>
          <w:rFonts w:ascii="Verdana" w:eastAsia="Calibri" w:hAnsi="Verdana" w:cs="Arial"/>
          <w:sz w:val="20"/>
          <w:szCs w:val="20"/>
          <w:lang w:val="es-ES"/>
        </w:rPr>
        <w:t xml:space="preserve">Respecto al régimen jurídico de las Entidades Estatales,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062BA7">
        <w:rPr>
          <w:rFonts w:ascii="Verdana" w:hAnsi="Verdana" w:cs="Arial"/>
          <w:sz w:val="20"/>
          <w:szCs w:val="20"/>
        </w:rPr>
        <w:t>el inciso primero del artículo 13 dispone que “Los contratos que celebren las entidades a que se refiere el artículo 2o. del presente estatuto se regirán por las disposiciones comerciales y civiles pertinentes, salvo en las materias particularmente reguladas en esta ley”.</w:t>
      </w:r>
    </w:p>
    <w:p w14:paraId="7E52F5FB" w14:textId="77777777" w:rsidR="00B834C0" w:rsidRDefault="00B834C0" w:rsidP="00B834C0">
      <w:pPr>
        <w:snapToGrid w:val="0"/>
        <w:contextualSpacing/>
        <w:jc w:val="both"/>
        <w:rPr>
          <w:rFonts w:ascii="Verdana" w:hAnsi="Verdana" w:cs="Arial"/>
          <w:sz w:val="20"/>
          <w:szCs w:val="20"/>
        </w:rPr>
      </w:pPr>
      <w:r w:rsidRPr="00062BA7">
        <w:rPr>
          <w:rFonts w:ascii="Verdana" w:hAnsi="Verdana" w:cs="Arial"/>
          <w:sz w:val="20"/>
          <w:szCs w:val="20"/>
        </w:rPr>
        <w:t>[…] De esta manera, los contratos de las entidades sujetas al Estatuto General de Contratación se rigen generalmente por el derecho privado y excepcionalmente por el derecho público, pues las normas civiles y comerciales son el derecho común de los contratos estatales</w:t>
      </w:r>
      <w:r>
        <w:rPr>
          <w:rFonts w:ascii="Verdana" w:hAnsi="Verdana" w:cs="Arial"/>
          <w:sz w:val="20"/>
          <w:szCs w:val="20"/>
        </w:rPr>
        <w:t>.</w:t>
      </w:r>
    </w:p>
    <w:p w14:paraId="4FB39BD6" w14:textId="77777777" w:rsidR="00B834C0" w:rsidRDefault="00B834C0" w:rsidP="00B834C0">
      <w:pPr>
        <w:snapToGrid w:val="0"/>
        <w:contextualSpacing/>
        <w:jc w:val="both"/>
        <w:rPr>
          <w:rFonts w:ascii="Verdana" w:hAnsi="Verdana" w:cs="Arial"/>
          <w:sz w:val="20"/>
          <w:szCs w:val="20"/>
        </w:rPr>
      </w:pPr>
    </w:p>
    <w:p w14:paraId="386E521C" w14:textId="77777777" w:rsidR="00B834C0" w:rsidRPr="00062BA7" w:rsidRDefault="00B834C0" w:rsidP="00B834C0">
      <w:pPr>
        <w:snapToGrid w:val="0"/>
        <w:contextualSpacing/>
        <w:jc w:val="both"/>
        <w:rPr>
          <w:rFonts w:ascii="Verdana" w:eastAsia="Geomanist Light" w:hAnsi="Verdana" w:cs="Arial"/>
          <w:b/>
          <w:bCs/>
          <w:lang w:val="es-MX"/>
        </w:rPr>
      </w:pPr>
      <w:r w:rsidRPr="00062BA7">
        <w:rPr>
          <w:rFonts w:ascii="Verdana" w:eastAsia="Aptos" w:hAnsi="Verdana" w:cs="Arial"/>
          <w:b/>
          <w:bCs/>
          <w:kern w:val="2"/>
          <w:lang w:val="es-MX"/>
          <w14:ligatures w14:val="standardContextual"/>
        </w:rPr>
        <w:t xml:space="preserve">CONTRATO DE INTERVENTORÍA – Características </w:t>
      </w:r>
    </w:p>
    <w:p w14:paraId="7B50CF30" w14:textId="77777777" w:rsidR="00B834C0" w:rsidRPr="00062BA7" w:rsidRDefault="00B834C0" w:rsidP="00B834C0">
      <w:pPr>
        <w:snapToGrid w:val="0"/>
        <w:spacing w:after="0" w:line="240" w:lineRule="auto"/>
        <w:contextualSpacing/>
        <w:jc w:val="both"/>
        <w:rPr>
          <w:rFonts w:ascii="Verdana" w:eastAsia="Geomanist Light" w:hAnsi="Verdana" w:cs="Arial"/>
          <w:sz w:val="20"/>
          <w:szCs w:val="20"/>
          <w:lang w:val="es-MX"/>
        </w:rPr>
      </w:pPr>
    </w:p>
    <w:p w14:paraId="66296E87" w14:textId="77777777" w:rsidR="00B834C0" w:rsidRPr="00A66D20" w:rsidRDefault="00B834C0" w:rsidP="00B834C0">
      <w:pPr>
        <w:tabs>
          <w:tab w:val="left" w:pos="709"/>
        </w:tabs>
        <w:snapToGrid w:val="0"/>
        <w:spacing w:after="120" w:line="240" w:lineRule="auto"/>
        <w:jc w:val="both"/>
        <w:rPr>
          <w:rFonts w:ascii="Verdana" w:eastAsia="Aptos" w:hAnsi="Verdana" w:cs="Arial"/>
          <w:bCs/>
          <w:sz w:val="20"/>
          <w:szCs w:val="20"/>
        </w:rPr>
      </w:pPr>
      <w:r w:rsidRPr="00A66D20">
        <w:rPr>
          <w:rFonts w:ascii="Verdana" w:eastAsia="Aptos" w:hAnsi="Verdana" w:cs="Arial"/>
          <w:bCs/>
          <w:sz w:val="20"/>
          <w:szCs w:val="20"/>
        </w:rPr>
        <w:t>De este modo, 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A66D20">
        <w:rPr>
          <w:rFonts w:ascii="Verdana" w:eastAsia="Aptos" w:hAnsi="Verdana" w:cs="Arial"/>
          <w:bCs/>
          <w:sz w:val="20"/>
          <w:szCs w:val="20"/>
        </w:rPr>
        <w:t>ii</w:t>
      </w:r>
      <w:proofErr w:type="spellEnd"/>
      <w:r w:rsidRPr="00A66D20">
        <w:rPr>
          <w:rFonts w:ascii="Verdana" w:eastAsia="Aptos" w:hAnsi="Verdana" w:cs="Arial"/>
          <w:bCs/>
          <w:sz w:val="20"/>
          <w:szCs w:val="20"/>
        </w:rPr>
        <w:t>) También es un mecanismo de vigilancia que exige, en su ejecución, la utilización de conocimientos especializados. (</w:t>
      </w:r>
      <w:proofErr w:type="spellStart"/>
      <w:r w:rsidRPr="00A66D20">
        <w:rPr>
          <w:rFonts w:ascii="Verdana" w:eastAsia="Aptos" w:hAnsi="Verdana" w:cs="Arial"/>
          <w:bCs/>
          <w:sz w:val="20"/>
          <w:szCs w:val="20"/>
        </w:rPr>
        <w:t>iii</w:t>
      </w:r>
      <w:proofErr w:type="spellEnd"/>
      <w:r w:rsidRPr="00A66D20">
        <w:rPr>
          <w:rFonts w:ascii="Verdana" w:eastAsia="Aptos" w:hAnsi="Verdana" w:cs="Arial"/>
          <w:bCs/>
          <w:sz w:val="20"/>
          <w:szCs w:val="20"/>
        </w:rPr>
        <w:t>) Por lo anterior, la entidad contrata un experto, por regla general, mediante la modalidad de selección de concurso de méritos, al tratarse de una especie del contrato de consultoría –art. 32, numeral 2, inciso 2, Ley 80 de 1993</w:t>
      </w:r>
      <w:r w:rsidRPr="00A66D20">
        <w:rPr>
          <w:rFonts w:ascii="Aptos" w:eastAsia="Aptos" w:hAnsi="Aptos" w:cs="Times New Roman"/>
          <w:kern w:val="2"/>
          <w:sz w:val="20"/>
          <w:szCs w:val="20"/>
          <w:vertAlign w:val="superscript"/>
          <w14:ligatures w14:val="standardContextual"/>
        </w:rPr>
        <w:footnoteReference w:id="1"/>
      </w:r>
      <w:r w:rsidRPr="00A66D20">
        <w:rPr>
          <w:rFonts w:ascii="Verdana" w:eastAsia="Aptos" w:hAnsi="Verdana" w:cs="Arial"/>
          <w:bCs/>
          <w:sz w:val="20"/>
          <w:szCs w:val="20"/>
        </w:rPr>
        <w:t>‒, de manera que la interventoría es realizada por “una persona natural o jurídica contratada para tal fin por la Entidad Estatal” –art. 83, Ley 1474–. Adicionalmente, (</w:t>
      </w:r>
      <w:proofErr w:type="spellStart"/>
      <w:r w:rsidRPr="00A66D20">
        <w:rPr>
          <w:rFonts w:ascii="Verdana" w:eastAsia="Aptos" w:hAnsi="Verdana" w:cs="Arial"/>
          <w:bCs/>
          <w:sz w:val="20"/>
          <w:szCs w:val="20"/>
        </w:rPr>
        <w:t>iv</w:t>
      </w:r>
      <w:proofErr w:type="spellEnd"/>
      <w:r w:rsidRPr="00A66D20">
        <w:rPr>
          <w:rFonts w:ascii="Verdana" w:eastAsia="Aptos" w:hAnsi="Verdana" w:cs="Arial"/>
          <w:bCs/>
          <w:sz w:val="20"/>
          <w:szCs w:val="20"/>
        </w:rPr>
        <w:t>) el seguimiento técnico es inherente a la interventoría para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Finalmente, (v) en caso de que no se encomiende al interventor el seguimiento total del contrato, en el contrato de interventoría “se deberán indicar las actividades técnicas a cargo del interventor y las demás quedarán a cargo de la Entidad a través del supervisor” –art. 83, inciso 3–. En cualquier caso (vi) el contrato de interventoría será supervisado directamente por la entidad –art. 23, inciso 4–.</w:t>
      </w:r>
    </w:p>
    <w:p w14:paraId="5E822841" w14:textId="77777777" w:rsidR="00B834C0" w:rsidRPr="00A66D20" w:rsidRDefault="00B834C0" w:rsidP="00B834C0">
      <w:pPr>
        <w:spacing w:after="0"/>
        <w:rPr>
          <w:rFonts w:ascii="Verdana" w:hAnsi="Verdana"/>
        </w:rPr>
      </w:pPr>
    </w:p>
    <w:p w14:paraId="424F1F14" w14:textId="77777777" w:rsidR="00B834C0" w:rsidRDefault="00B834C0" w:rsidP="00B834C0">
      <w:pPr>
        <w:spacing w:after="0"/>
        <w:rPr>
          <w:rFonts w:ascii="Verdana" w:hAnsi="Verdana"/>
          <w:lang w:val="es-ES"/>
        </w:rPr>
      </w:pPr>
    </w:p>
    <w:p w14:paraId="70681775" w14:textId="77777777" w:rsidR="00B834C0" w:rsidRPr="00A66D20" w:rsidRDefault="00B834C0" w:rsidP="00B834C0">
      <w:pPr>
        <w:spacing w:after="0"/>
        <w:rPr>
          <w:rFonts w:ascii="Verdana" w:hAnsi="Verdana"/>
          <w:color w:val="000000" w:themeColor="text1"/>
          <w:lang w:val="es-ES"/>
        </w:rPr>
      </w:pPr>
    </w:p>
    <w:p w14:paraId="6458D17F" w14:textId="77777777" w:rsidR="00B834C0" w:rsidRDefault="00B834C0" w:rsidP="00B834C0">
      <w:pPr>
        <w:spacing w:after="0"/>
        <w:rPr>
          <w:rFonts w:ascii="Verdana" w:hAnsi="Verdana"/>
          <w:color w:val="000000" w:themeColor="text1"/>
        </w:rPr>
      </w:pPr>
    </w:p>
    <w:p w14:paraId="3E69E7DA" w14:textId="77777777" w:rsidR="00B834C0" w:rsidRPr="00A4370A" w:rsidRDefault="00B834C0" w:rsidP="00B834C0">
      <w:pPr>
        <w:spacing w:after="0"/>
        <w:jc w:val="both"/>
        <w:rPr>
          <w:rFonts w:ascii="Verdana" w:hAnsi="Verdana"/>
          <w:b/>
          <w:bCs/>
          <w:color w:val="000000" w:themeColor="text1"/>
          <w:lang w:val="es-ES"/>
        </w:rPr>
      </w:pPr>
      <w:r w:rsidRPr="00A4370A">
        <w:rPr>
          <w:rFonts w:ascii="Verdana" w:hAnsi="Verdana"/>
          <w:b/>
          <w:bCs/>
          <w:color w:val="000000" w:themeColor="text1"/>
          <w:lang w:val="es-ES"/>
        </w:rPr>
        <w:lastRenderedPageBreak/>
        <w:t>PLANEACIÓN CONTRACTUAL - Análisis del sector - Necesidades recurrentes de interventoría - Agrupación de necesidades contractuales -Concurso de méritos - Estudios previos.</w:t>
      </w:r>
    </w:p>
    <w:p w14:paraId="7FF0738D" w14:textId="77777777" w:rsidR="00B834C0" w:rsidRDefault="00B834C0" w:rsidP="00B834C0">
      <w:pPr>
        <w:spacing w:after="0"/>
        <w:rPr>
          <w:rFonts w:ascii="Verdana" w:hAnsi="Verdana"/>
          <w:color w:val="000000" w:themeColor="text1"/>
        </w:rPr>
      </w:pPr>
    </w:p>
    <w:p w14:paraId="468DF4DD" w14:textId="77777777" w:rsidR="00B834C0" w:rsidRDefault="00B834C0" w:rsidP="00B834C0">
      <w:pPr>
        <w:spacing w:after="0"/>
        <w:rPr>
          <w:rFonts w:ascii="Verdana" w:hAnsi="Verdana"/>
          <w:color w:val="000000" w:themeColor="text1"/>
        </w:rPr>
      </w:pPr>
    </w:p>
    <w:p w14:paraId="4EF799E0" w14:textId="77777777" w:rsidR="00B834C0" w:rsidRPr="00A4370A" w:rsidRDefault="00B834C0" w:rsidP="00B834C0">
      <w:pPr>
        <w:spacing w:after="120" w:line="276" w:lineRule="auto"/>
        <w:jc w:val="both"/>
        <w:rPr>
          <w:rFonts w:ascii="Verdana" w:eastAsia="Calibri" w:hAnsi="Verdana" w:cs="Arial"/>
          <w:sz w:val="21"/>
          <w:szCs w:val="21"/>
          <w:lang w:val="es-ES" w:eastAsia="es-MX"/>
        </w:rPr>
      </w:pPr>
      <w:r w:rsidRPr="00A4370A">
        <w:rPr>
          <w:rFonts w:ascii="Verdana" w:eastAsia="Calibri" w:hAnsi="Verdana" w:cs="Arial"/>
          <w:sz w:val="21"/>
          <w:szCs w:val="21"/>
          <w:lang w:val="es-ES"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A4370A">
        <w:rPr>
          <w:rFonts w:ascii="Verdana" w:eastAsia="Times New Roman" w:hAnsi="Verdana" w:cs="Arial"/>
          <w:sz w:val="21"/>
          <w:szCs w:val="21"/>
          <w:lang w:val="es-ES" w:eastAsia="es-CO"/>
        </w:rPr>
        <w:t xml:space="preserve">son autónomas para estructurarlo, para lo cual deberán cumplir lo dispuesto en el artículo </w:t>
      </w:r>
      <w:r w:rsidRPr="00A4370A">
        <w:rPr>
          <w:rFonts w:ascii="Verdana" w:eastAsia="Calibri" w:hAnsi="Verdana" w:cs="Arial"/>
          <w:sz w:val="21"/>
          <w:szCs w:val="21"/>
          <w:lang w:val="es-ES" w:eastAsia="es-MX"/>
        </w:rPr>
        <w:t xml:space="preserve">2.2.1.1.1.6.1 del Decreto 1082 de 2015 y realizar un análisis integral de planeación que </w:t>
      </w:r>
      <w:r w:rsidRPr="00A4370A">
        <w:rPr>
          <w:rFonts w:ascii="Verdana" w:eastAsia="Times New Roman" w:hAnsi="Verdana" w:cs="Arial"/>
          <w:sz w:val="21"/>
          <w:szCs w:val="21"/>
          <w:lang w:val="es-ES" w:eastAsia="es-MX"/>
        </w:rPr>
        <w:t>sirva de sustento a la decisión de realizar un Proceso de Contratación.</w:t>
      </w:r>
    </w:p>
    <w:p w14:paraId="0BD70D2E" w14:textId="77777777" w:rsidR="00B834C0" w:rsidRPr="00A4370A" w:rsidRDefault="00B834C0" w:rsidP="00B834C0">
      <w:pPr>
        <w:spacing w:after="120" w:line="276" w:lineRule="auto"/>
        <w:jc w:val="both"/>
        <w:rPr>
          <w:rFonts w:ascii="Verdana" w:eastAsia="Calibri" w:hAnsi="Verdana"/>
          <w:sz w:val="21"/>
          <w:szCs w:val="21"/>
          <w:lang w:val="es-ES" w:eastAsia="es-MX"/>
        </w:rPr>
      </w:pPr>
      <w:r w:rsidRPr="00A4370A">
        <w:rPr>
          <w:rFonts w:ascii="Verdana" w:eastAsia="Calibri" w:hAnsi="Verdana"/>
          <w:sz w:val="21"/>
          <w:szCs w:val="21"/>
          <w:lang w:val="es-ES" w:eastAsia="es-MX"/>
        </w:rPr>
        <w:t>En ese sentido, cuando una Entidad Estatal identifica necesidades recurrentes de contratación de servicios de interventoría, debe analizar, en ejercicio del principio de planeación, las alternativas que le permitan atenderlas de manera eficiente, oportuna y acorde con los fines de la contratación estatal. Para ello, podrá evaluar la posibilidad de agrupar las necesidades de interventoría asociadas a los proyectos que prevé ejecutar durante una vigencia, considerando las características técnicas de las obras, su objeto y alcance, los perfiles profesionales requeridos, la estimación de los costos, la disponibilidad presupuestal, los riesgos previsibles y las condiciones del mercado. Este análisis permitirá determinar si resulta viable estructurar un proceso de selección que responda a necesidades previamente identificadas y debidamente justificadas, sin que ello implique desconocer la obligación de definir las condiciones de ejecución contractual ni las reglas propias de la modalidad de selección aplicable</w:t>
      </w:r>
    </w:p>
    <w:p w14:paraId="54215947" w14:textId="77777777" w:rsidR="00B834C0" w:rsidRPr="00A4370A" w:rsidRDefault="00B834C0" w:rsidP="00B834C0">
      <w:pPr>
        <w:spacing w:after="0"/>
        <w:rPr>
          <w:rFonts w:ascii="Verdana" w:hAnsi="Verdana"/>
          <w:color w:val="000000" w:themeColor="text1"/>
          <w:sz w:val="21"/>
          <w:szCs w:val="21"/>
          <w:lang w:val="es-ES"/>
        </w:rPr>
      </w:pPr>
    </w:p>
    <w:p w14:paraId="1E6AE225" w14:textId="77777777" w:rsidR="00B834C0" w:rsidRPr="00A4370A" w:rsidRDefault="00B834C0" w:rsidP="00B834C0">
      <w:pPr>
        <w:spacing w:after="0"/>
        <w:rPr>
          <w:rFonts w:ascii="Verdana" w:hAnsi="Verdana"/>
          <w:color w:val="000000" w:themeColor="text1"/>
          <w:sz w:val="21"/>
          <w:szCs w:val="21"/>
        </w:rPr>
      </w:pPr>
    </w:p>
    <w:p w14:paraId="057267C2" w14:textId="77777777" w:rsidR="00B834C0" w:rsidRDefault="00B834C0" w:rsidP="00B834C0">
      <w:pPr>
        <w:spacing w:after="0"/>
        <w:rPr>
          <w:rFonts w:ascii="Verdana" w:hAnsi="Verdana"/>
          <w:color w:val="000000" w:themeColor="text1"/>
        </w:rPr>
      </w:pPr>
    </w:p>
    <w:p w14:paraId="11032771" w14:textId="77777777" w:rsidR="00B834C0" w:rsidRDefault="00B834C0" w:rsidP="00B834C0">
      <w:pPr>
        <w:spacing w:after="0"/>
        <w:rPr>
          <w:rFonts w:ascii="Verdana" w:hAnsi="Verdana"/>
          <w:color w:val="000000" w:themeColor="text1"/>
        </w:rPr>
      </w:pPr>
    </w:p>
    <w:p w14:paraId="410CC2BD" w14:textId="77777777" w:rsidR="00B834C0" w:rsidRDefault="00B834C0" w:rsidP="00B834C0">
      <w:pPr>
        <w:spacing w:after="0"/>
        <w:rPr>
          <w:rFonts w:ascii="Verdana" w:hAnsi="Verdana"/>
          <w:color w:val="000000" w:themeColor="text1"/>
        </w:rPr>
      </w:pPr>
    </w:p>
    <w:p w14:paraId="21979857" w14:textId="77777777" w:rsidR="00B834C0" w:rsidRDefault="00B834C0" w:rsidP="00B834C0">
      <w:pPr>
        <w:spacing w:after="0"/>
        <w:rPr>
          <w:rFonts w:ascii="Verdana" w:hAnsi="Verdana"/>
          <w:color w:val="000000" w:themeColor="text1"/>
        </w:rPr>
      </w:pPr>
    </w:p>
    <w:p w14:paraId="4FBC069D" w14:textId="77777777" w:rsidR="00B834C0" w:rsidRDefault="00B834C0" w:rsidP="00B834C0">
      <w:pPr>
        <w:spacing w:after="0"/>
        <w:rPr>
          <w:rFonts w:ascii="Verdana" w:hAnsi="Verdana"/>
          <w:color w:val="000000" w:themeColor="text1"/>
        </w:rPr>
      </w:pPr>
    </w:p>
    <w:p w14:paraId="7B569A09" w14:textId="77777777" w:rsidR="00B834C0" w:rsidRDefault="00B834C0" w:rsidP="00B834C0">
      <w:pPr>
        <w:spacing w:after="0"/>
        <w:rPr>
          <w:rFonts w:ascii="Verdana" w:hAnsi="Verdana"/>
          <w:color w:val="000000" w:themeColor="text1"/>
        </w:rPr>
      </w:pPr>
    </w:p>
    <w:p w14:paraId="446045C7" w14:textId="77777777" w:rsidR="00B834C0" w:rsidRDefault="00B834C0" w:rsidP="00B834C0">
      <w:pPr>
        <w:spacing w:after="0"/>
        <w:rPr>
          <w:rFonts w:ascii="Verdana" w:hAnsi="Verdana"/>
          <w:color w:val="000000" w:themeColor="text1"/>
        </w:rPr>
      </w:pPr>
    </w:p>
    <w:p w14:paraId="3C61BC88" w14:textId="77777777" w:rsidR="00B834C0" w:rsidRDefault="00B834C0" w:rsidP="00B834C0">
      <w:pPr>
        <w:spacing w:after="0"/>
        <w:rPr>
          <w:rFonts w:ascii="Verdana" w:hAnsi="Verdana"/>
          <w:color w:val="000000" w:themeColor="text1"/>
        </w:rPr>
      </w:pPr>
    </w:p>
    <w:p w14:paraId="0C8A9410" w14:textId="77777777" w:rsidR="00B834C0" w:rsidRDefault="00B834C0" w:rsidP="00B834C0">
      <w:pPr>
        <w:spacing w:after="0"/>
        <w:rPr>
          <w:rFonts w:ascii="Verdana" w:hAnsi="Verdana"/>
          <w:color w:val="000000" w:themeColor="text1"/>
        </w:rPr>
      </w:pPr>
    </w:p>
    <w:p w14:paraId="3B5ED772" w14:textId="77777777" w:rsidR="00B834C0" w:rsidRDefault="00B834C0" w:rsidP="00B834C0">
      <w:pPr>
        <w:spacing w:after="0"/>
        <w:rPr>
          <w:rFonts w:ascii="Verdana" w:hAnsi="Verdana"/>
          <w:color w:val="000000" w:themeColor="text1"/>
        </w:rPr>
      </w:pPr>
    </w:p>
    <w:p w14:paraId="407BFBA4" w14:textId="77777777" w:rsidR="00B834C0" w:rsidRDefault="00B834C0" w:rsidP="00B834C0">
      <w:pPr>
        <w:spacing w:after="0"/>
        <w:rPr>
          <w:rFonts w:ascii="Verdana" w:hAnsi="Verdana"/>
          <w:color w:val="000000" w:themeColor="text1"/>
        </w:rPr>
      </w:pPr>
    </w:p>
    <w:p w14:paraId="6F71AA80" w14:textId="18567C5F" w:rsidR="00B834C0" w:rsidRPr="000D64E4" w:rsidRDefault="00B834C0" w:rsidP="00B834C0">
      <w:pPr>
        <w:spacing w:after="0"/>
        <w:rPr>
          <w:rFonts w:ascii="Verdana" w:hAnsi="Verdana"/>
          <w:color w:val="000000" w:themeColor="text1"/>
        </w:rPr>
      </w:pPr>
      <w:r w:rsidRPr="000D64E4">
        <w:rPr>
          <w:rFonts w:ascii="Verdana" w:hAnsi="Verdana"/>
          <w:color w:val="000000" w:themeColor="text1"/>
        </w:rPr>
        <w:lastRenderedPageBreak/>
        <w:t xml:space="preserve">Bogotá D.C, </w:t>
      </w:r>
      <w:r w:rsidR="002E7AA3">
        <w:rPr>
          <w:rFonts w:ascii="Verdana" w:hAnsi="Verdana"/>
          <w:color w:val="000000" w:themeColor="text1"/>
        </w:rPr>
        <w:t>29 octubre 2026</w:t>
      </w:r>
    </w:p>
    <w:p w14:paraId="76A6EE3A" w14:textId="2E0E7046" w:rsidR="00B834C0" w:rsidRPr="000D64E4" w:rsidRDefault="002E7AA3" w:rsidP="00B834C0">
      <w:pPr>
        <w:spacing w:after="0"/>
        <w:rPr>
          <w:rFonts w:ascii="Verdana" w:hAnsi="Verdana"/>
        </w:rPr>
      </w:pPr>
      <w:r w:rsidRPr="00810F06">
        <w:rPr>
          <w:rFonts w:ascii="Verdana" w:eastAsia="Calibri" w:hAnsi="Verdana" w:cs="Arial"/>
          <w:b/>
          <w:bCs/>
          <w:lang w:val="es-ES" w:eastAsia="es-ES"/>
        </w:rPr>
        <w:drawing>
          <wp:anchor distT="0" distB="0" distL="114300" distR="114300" simplePos="0" relativeHeight="251659264" behindDoc="0" locked="0" layoutInCell="1" allowOverlap="1" wp14:anchorId="0EEBDB22" wp14:editId="6E6525D4">
            <wp:simplePos x="0" y="0"/>
            <wp:positionH relativeFrom="margin">
              <wp:posOffset>3215005</wp:posOffset>
            </wp:positionH>
            <wp:positionV relativeFrom="margin">
              <wp:posOffset>365125</wp:posOffset>
            </wp:positionV>
            <wp:extent cx="2795270" cy="803910"/>
            <wp:effectExtent l="0" t="0" r="0" b="0"/>
            <wp:wrapSquare wrapText="bothSides"/>
            <wp:docPr id="14026981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9818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5270" cy="803910"/>
                    </a:xfrm>
                    <a:prstGeom prst="rect">
                      <a:avLst/>
                    </a:prstGeom>
                  </pic:spPr>
                </pic:pic>
              </a:graphicData>
            </a:graphic>
          </wp:anchor>
        </w:drawing>
      </w:r>
    </w:p>
    <w:p w14:paraId="7D0E1F54" w14:textId="756490A8" w:rsidR="00B834C0" w:rsidRDefault="00B834C0" w:rsidP="00B834C0">
      <w:pPr>
        <w:spacing w:after="0" w:line="276" w:lineRule="auto"/>
        <w:rPr>
          <w:rFonts w:ascii="Verdana" w:eastAsia="Calibri" w:hAnsi="Verdana" w:cs="Arial"/>
          <w:lang w:val="es-ES" w:eastAsia="es-ES"/>
        </w:rPr>
      </w:pPr>
      <w:r w:rsidRPr="000D64E4">
        <w:rPr>
          <w:rFonts w:ascii="Verdana" w:eastAsia="Calibri" w:hAnsi="Verdana" w:cs="Arial"/>
          <w:lang w:val="es-ES" w:eastAsia="es-ES"/>
        </w:rPr>
        <w:t>Señor</w:t>
      </w:r>
      <w:r>
        <w:rPr>
          <w:rFonts w:ascii="Verdana" w:eastAsia="Calibri" w:hAnsi="Verdana" w:cs="Arial"/>
          <w:lang w:val="es-ES" w:eastAsia="es-ES"/>
        </w:rPr>
        <w:t>a</w:t>
      </w:r>
    </w:p>
    <w:p w14:paraId="21D4C7E3" w14:textId="325EDB58" w:rsidR="00B834C0" w:rsidRPr="006029D0" w:rsidRDefault="00B834C0" w:rsidP="00B834C0">
      <w:pPr>
        <w:spacing w:after="0" w:line="276" w:lineRule="auto"/>
        <w:rPr>
          <w:rFonts w:ascii="Verdana" w:eastAsia="Calibri" w:hAnsi="Verdana" w:cs="Arial"/>
          <w:b/>
          <w:bCs/>
          <w:lang w:val="es-ES" w:eastAsia="es-ES"/>
        </w:rPr>
      </w:pPr>
      <w:r w:rsidRPr="006029D0">
        <w:rPr>
          <w:rFonts w:ascii="Verdana" w:eastAsia="Calibri" w:hAnsi="Verdana" w:cs="Arial"/>
          <w:b/>
          <w:bCs/>
          <w:lang w:val="es-ES" w:eastAsia="es-ES"/>
        </w:rPr>
        <w:t xml:space="preserve">Yina </w:t>
      </w:r>
      <w:proofErr w:type="spellStart"/>
      <w:r w:rsidRPr="006029D0">
        <w:rPr>
          <w:rFonts w:ascii="Verdana" w:eastAsia="Calibri" w:hAnsi="Verdana" w:cs="Arial"/>
          <w:b/>
          <w:bCs/>
          <w:lang w:val="es-ES" w:eastAsia="es-ES"/>
        </w:rPr>
        <w:t>Sua</w:t>
      </w:r>
      <w:proofErr w:type="spellEnd"/>
    </w:p>
    <w:p w14:paraId="7B05185E" w14:textId="77777777" w:rsidR="00B834C0" w:rsidRPr="006029D0" w:rsidRDefault="00B834C0" w:rsidP="00B834C0">
      <w:pPr>
        <w:spacing w:after="0" w:line="276" w:lineRule="auto"/>
        <w:rPr>
          <w:rFonts w:ascii="Verdana" w:hAnsi="Verdana"/>
          <w:lang w:val="es-ES"/>
        </w:rPr>
      </w:pPr>
      <w:hyperlink r:id="rId11" w:history="1">
        <w:r w:rsidRPr="006029D0">
          <w:rPr>
            <w:rStyle w:val="Hipervnculo"/>
            <w:rFonts w:ascii="Verdana" w:hAnsi="Verdana"/>
            <w:lang w:val="es-ES"/>
          </w:rPr>
          <w:t>peticion.bloating944@passinbox.com</w:t>
        </w:r>
      </w:hyperlink>
    </w:p>
    <w:p w14:paraId="0D84C43D" w14:textId="77777777" w:rsidR="00B834C0" w:rsidRPr="006029D0" w:rsidRDefault="00B834C0" w:rsidP="00B834C0">
      <w:pPr>
        <w:spacing w:after="0" w:line="276" w:lineRule="auto"/>
        <w:rPr>
          <w:rFonts w:ascii="Verdana" w:eastAsia="Calibri" w:hAnsi="Verdana" w:cs="Arial"/>
          <w:color w:val="66CCFF"/>
          <w:lang w:val="es-ES" w:eastAsia="es-ES_tradnl"/>
        </w:rPr>
      </w:pPr>
      <w:r w:rsidRPr="006029D0">
        <w:rPr>
          <w:rFonts w:ascii="Verdana" w:hAnsi="Verdana"/>
          <w:lang w:val="es-ES"/>
        </w:rPr>
        <w:t xml:space="preserve">Puerto </w:t>
      </w:r>
      <w:r>
        <w:rPr>
          <w:rFonts w:ascii="Verdana" w:hAnsi="Verdana"/>
          <w:lang w:val="es-ES"/>
        </w:rPr>
        <w:t>López, Meta.</w:t>
      </w: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B834C0" w:rsidRPr="00C96899" w14:paraId="69EB47FB" w14:textId="77777777" w:rsidTr="00970515">
        <w:trPr>
          <w:trHeight w:val="463"/>
        </w:trPr>
        <w:tc>
          <w:tcPr>
            <w:tcW w:w="3261" w:type="dxa"/>
          </w:tcPr>
          <w:p w14:paraId="396915D4" w14:textId="77777777" w:rsidR="00B834C0" w:rsidRPr="006029D0" w:rsidRDefault="00B834C0" w:rsidP="00970515">
            <w:pPr>
              <w:spacing w:line="276" w:lineRule="auto"/>
              <w:jc w:val="both"/>
              <w:rPr>
                <w:rFonts w:ascii="Verdana" w:eastAsia="Calibri" w:hAnsi="Verdana" w:cs="Arial"/>
                <w:b/>
                <w:bCs/>
                <w:color w:val="66CCFF"/>
                <w:lang w:val="es-ES" w:eastAsia="es-ES_tradnl"/>
              </w:rPr>
            </w:pPr>
          </w:p>
        </w:tc>
        <w:tc>
          <w:tcPr>
            <w:tcW w:w="5972" w:type="dxa"/>
            <w:hideMark/>
          </w:tcPr>
          <w:p w14:paraId="0F772C4D" w14:textId="77777777" w:rsidR="00B834C0" w:rsidRPr="00C96899" w:rsidRDefault="00B834C0" w:rsidP="00970515">
            <w:pPr>
              <w:spacing w:line="276" w:lineRule="auto"/>
              <w:jc w:val="both"/>
              <w:rPr>
                <w:rFonts w:ascii="Verdana" w:eastAsia="Calibri" w:hAnsi="Verdana" w:cs="Arial"/>
                <w:b/>
                <w:bCs/>
                <w:lang w:val="es-ES" w:eastAsia="es-ES"/>
              </w:rPr>
            </w:pPr>
            <w:r w:rsidRPr="00C96899">
              <w:rPr>
                <w:rFonts w:ascii="Verdana" w:eastAsia="Calibri" w:hAnsi="Verdana" w:cs="Arial"/>
                <w:b/>
                <w:bCs/>
                <w:lang w:val="es-ES" w:eastAsia="es-ES"/>
              </w:rPr>
              <w:t>Concepto C – 1</w:t>
            </w:r>
            <w:r>
              <w:rPr>
                <w:rFonts w:ascii="Verdana" w:eastAsia="Calibri" w:hAnsi="Verdana" w:cs="Arial"/>
                <w:b/>
                <w:bCs/>
                <w:lang w:val="es-ES" w:eastAsia="es-ES"/>
              </w:rPr>
              <w:t>488</w:t>
            </w:r>
            <w:r w:rsidRPr="00C96899">
              <w:rPr>
                <w:rFonts w:ascii="Verdana" w:eastAsia="Calibri" w:hAnsi="Verdana" w:cs="Arial"/>
                <w:b/>
                <w:bCs/>
                <w:lang w:val="es-ES" w:eastAsia="es-ES"/>
              </w:rPr>
              <w:t xml:space="preserve"> de 2026</w:t>
            </w:r>
          </w:p>
        </w:tc>
      </w:tr>
      <w:tr w:rsidR="00B834C0" w:rsidRPr="00CF5CA3" w14:paraId="733EC72B" w14:textId="77777777" w:rsidTr="00970515">
        <w:trPr>
          <w:trHeight w:val="861"/>
        </w:trPr>
        <w:tc>
          <w:tcPr>
            <w:tcW w:w="3261" w:type="dxa"/>
            <w:hideMark/>
          </w:tcPr>
          <w:p w14:paraId="0235695D" w14:textId="77777777" w:rsidR="00B834C0" w:rsidRPr="00C96899" w:rsidRDefault="00B834C0" w:rsidP="00970515">
            <w:pPr>
              <w:spacing w:line="276" w:lineRule="auto"/>
              <w:jc w:val="both"/>
              <w:rPr>
                <w:rFonts w:ascii="Verdana" w:eastAsia="Calibri" w:hAnsi="Verdana" w:cs="Arial"/>
                <w:lang w:val="es-ES_tradnl" w:eastAsia="es-ES_tradnl"/>
              </w:rPr>
            </w:pPr>
            <w:r w:rsidRPr="00C96899">
              <w:rPr>
                <w:rFonts w:ascii="Verdana" w:eastAsia="Calibri" w:hAnsi="Verdana" w:cs="Arial"/>
                <w:b/>
                <w:lang w:val="es-ES_tradnl" w:eastAsia="es-ES_tradnl"/>
              </w:rPr>
              <w:t>Temas:</w:t>
            </w:r>
            <w:r w:rsidRPr="00C96899">
              <w:rPr>
                <w:rFonts w:ascii="Verdana" w:eastAsia="Calibri" w:hAnsi="Verdana" w:cs="Arial"/>
                <w:lang w:val="es-ES_tradnl" w:eastAsia="es-ES_tradnl"/>
              </w:rPr>
              <w:t xml:space="preserve">                  </w:t>
            </w:r>
          </w:p>
        </w:tc>
        <w:tc>
          <w:tcPr>
            <w:tcW w:w="5972" w:type="dxa"/>
          </w:tcPr>
          <w:p w14:paraId="5617CDF4" w14:textId="27ED480C" w:rsidR="00B834C0" w:rsidRPr="00B834C0" w:rsidRDefault="00B834C0" w:rsidP="00B834C0">
            <w:pPr>
              <w:spacing w:line="259" w:lineRule="auto"/>
              <w:jc w:val="both"/>
              <w:rPr>
                <w:rFonts w:ascii="Verdana" w:hAnsi="Verdana"/>
                <w:color w:val="000000" w:themeColor="text1"/>
                <w:lang w:val="es-ES"/>
              </w:rPr>
            </w:pPr>
            <w:r w:rsidRPr="00B834C0">
              <w:rPr>
                <w:rFonts w:ascii="Verdana" w:eastAsia="Calibri" w:hAnsi="Verdana" w:cs="Arial"/>
                <w:lang w:val="es-ES" w:eastAsia="es-ES"/>
              </w:rPr>
              <w:t xml:space="preserve">CONTRATO ESTATAL – Régimen jurídico/ </w:t>
            </w:r>
            <w:r w:rsidRPr="00B834C0">
              <w:rPr>
                <w:rFonts w:ascii="Verdana" w:eastAsia="Aptos" w:hAnsi="Verdana" w:cs="Arial"/>
                <w:kern w:val="2"/>
                <w:lang w:val="es-MX"/>
                <w14:ligatures w14:val="standardContextual"/>
              </w:rPr>
              <w:t xml:space="preserve">CONTRATO DE INTERVENTORÍA – Características / </w:t>
            </w:r>
            <w:r w:rsidRPr="00B834C0">
              <w:rPr>
                <w:rFonts w:ascii="Verdana" w:hAnsi="Verdana"/>
                <w:color w:val="000000" w:themeColor="text1"/>
                <w:lang w:val="es-ES"/>
              </w:rPr>
              <w:t xml:space="preserve">PLANEACIÓN CONTRACTUAL - </w:t>
            </w:r>
            <w:r w:rsidRPr="00A4370A">
              <w:rPr>
                <w:rFonts w:ascii="Verdana" w:hAnsi="Verdana"/>
                <w:color w:val="000000" w:themeColor="text1"/>
                <w:lang w:val="es-ES"/>
              </w:rPr>
              <w:t>Análisis del sector</w:t>
            </w:r>
            <w:r w:rsidRPr="00B834C0">
              <w:rPr>
                <w:rFonts w:ascii="Verdana" w:hAnsi="Verdana"/>
                <w:color w:val="000000" w:themeColor="text1"/>
                <w:lang w:val="es-ES"/>
              </w:rPr>
              <w:t xml:space="preserve"> -</w:t>
            </w:r>
            <w:r w:rsidRPr="00A4370A">
              <w:rPr>
                <w:rFonts w:ascii="Verdana" w:hAnsi="Verdana"/>
                <w:color w:val="000000" w:themeColor="text1"/>
                <w:lang w:val="es-ES"/>
              </w:rPr>
              <w:t xml:space="preserve"> </w:t>
            </w:r>
            <w:r w:rsidRPr="00B834C0">
              <w:rPr>
                <w:rFonts w:ascii="Verdana" w:hAnsi="Verdana"/>
                <w:color w:val="000000" w:themeColor="text1"/>
                <w:lang w:val="es-ES"/>
              </w:rPr>
              <w:t>Ne</w:t>
            </w:r>
            <w:r w:rsidRPr="00A4370A">
              <w:rPr>
                <w:rFonts w:ascii="Verdana" w:hAnsi="Verdana"/>
                <w:color w:val="000000" w:themeColor="text1"/>
                <w:lang w:val="es-ES"/>
              </w:rPr>
              <w:t>cesidades recurrentes de interventoría</w:t>
            </w:r>
            <w:r w:rsidRPr="00B834C0">
              <w:rPr>
                <w:rFonts w:ascii="Verdana" w:hAnsi="Verdana"/>
                <w:color w:val="000000" w:themeColor="text1"/>
                <w:lang w:val="es-ES"/>
              </w:rPr>
              <w:t xml:space="preserve"> - A</w:t>
            </w:r>
            <w:r w:rsidRPr="00A4370A">
              <w:rPr>
                <w:rFonts w:ascii="Verdana" w:hAnsi="Verdana"/>
                <w:color w:val="000000" w:themeColor="text1"/>
                <w:lang w:val="es-ES"/>
              </w:rPr>
              <w:t>grupación de necesidades contractuale</w:t>
            </w:r>
            <w:r w:rsidRPr="00B834C0">
              <w:rPr>
                <w:rFonts w:ascii="Verdana" w:hAnsi="Verdana"/>
                <w:color w:val="000000" w:themeColor="text1"/>
                <w:lang w:val="es-ES"/>
              </w:rPr>
              <w:t>s -C</w:t>
            </w:r>
            <w:r w:rsidRPr="00A4370A">
              <w:rPr>
                <w:rFonts w:ascii="Verdana" w:hAnsi="Verdana"/>
                <w:color w:val="000000" w:themeColor="text1"/>
                <w:lang w:val="es-ES"/>
              </w:rPr>
              <w:t>oncurso de méritos</w:t>
            </w:r>
            <w:r w:rsidRPr="00B834C0">
              <w:rPr>
                <w:rFonts w:ascii="Verdana" w:hAnsi="Verdana"/>
                <w:color w:val="000000" w:themeColor="text1"/>
                <w:lang w:val="es-ES"/>
              </w:rPr>
              <w:t xml:space="preserve"> - E</w:t>
            </w:r>
            <w:r w:rsidRPr="00A4370A">
              <w:rPr>
                <w:rFonts w:ascii="Verdana" w:hAnsi="Verdana"/>
                <w:color w:val="000000" w:themeColor="text1"/>
                <w:lang w:val="es-ES"/>
              </w:rPr>
              <w:t>studios previos</w:t>
            </w:r>
            <w:r>
              <w:rPr>
                <w:rFonts w:ascii="Verdana" w:hAnsi="Verdana"/>
                <w:color w:val="000000" w:themeColor="text1"/>
                <w:lang w:val="es-ES"/>
              </w:rPr>
              <w:t>.</w:t>
            </w:r>
          </w:p>
          <w:p w14:paraId="6A44FA2F" w14:textId="77777777" w:rsidR="00B834C0" w:rsidRPr="00B834C0" w:rsidRDefault="00B834C0" w:rsidP="00970515">
            <w:pPr>
              <w:jc w:val="both"/>
              <w:rPr>
                <w:rFonts w:ascii="Verdana" w:eastAsia="Calibri" w:hAnsi="Verdana" w:cs="Times New Roman"/>
                <w:sz w:val="20"/>
                <w:szCs w:val="20"/>
                <w:lang w:val="es-ES"/>
              </w:rPr>
            </w:pPr>
          </w:p>
        </w:tc>
      </w:tr>
      <w:tr w:rsidR="00B834C0" w:rsidRPr="00C96899" w14:paraId="40FCC2B3" w14:textId="77777777" w:rsidTr="00970515">
        <w:trPr>
          <w:trHeight w:val="597"/>
        </w:trPr>
        <w:tc>
          <w:tcPr>
            <w:tcW w:w="3261" w:type="dxa"/>
            <w:hideMark/>
          </w:tcPr>
          <w:p w14:paraId="4A6BC49E" w14:textId="77777777" w:rsidR="00B834C0" w:rsidRPr="00C96899" w:rsidRDefault="00B834C0" w:rsidP="00970515">
            <w:pPr>
              <w:spacing w:line="276" w:lineRule="auto"/>
              <w:jc w:val="both"/>
              <w:rPr>
                <w:rFonts w:ascii="Verdana" w:eastAsia="Calibri" w:hAnsi="Verdana" w:cs="Arial"/>
                <w:b/>
                <w:lang w:val="es-ES_tradnl" w:eastAsia="es-ES_tradnl"/>
              </w:rPr>
            </w:pPr>
            <w:r w:rsidRPr="00C96899">
              <w:rPr>
                <w:rFonts w:ascii="Verdana" w:eastAsia="Calibri" w:hAnsi="Verdana" w:cs="Arial"/>
                <w:b/>
                <w:lang w:val="es-ES_tradnl" w:eastAsia="es-ES_tradnl"/>
              </w:rPr>
              <w:t xml:space="preserve">Radicación:               </w:t>
            </w:r>
          </w:p>
        </w:tc>
        <w:tc>
          <w:tcPr>
            <w:tcW w:w="5972" w:type="dxa"/>
          </w:tcPr>
          <w:p w14:paraId="2362AEF4" w14:textId="77777777" w:rsidR="00B834C0" w:rsidRPr="00FF356F" w:rsidRDefault="00B834C0" w:rsidP="00970515">
            <w:pPr>
              <w:spacing w:line="276" w:lineRule="auto"/>
              <w:jc w:val="both"/>
              <w:rPr>
                <w:rFonts w:ascii="Verdana" w:eastAsia="Calibri" w:hAnsi="Verdana" w:cs="Arial"/>
                <w:bCs/>
                <w:lang w:val="es-ES" w:eastAsia="es-ES_tradnl"/>
              </w:rPr>
            </w:pPr>
            <w:r w:rsidRPr="00FF356F">
              <w:rPr>
                <w:rFonts w:ascii="Verdana" w:eastAsia="Calibri" w:hAnsi="Verdana" w:cs="Arial"/>
                <w:bCs/>
                <w:lang w:val="es-ES_tradnl" w:eastAsia="es-ES_tradnl"/>
              </w:rPr>
              <w:t xml:space="preserve">Respuesta a las consultas con radicado </w:t>
            </w:r>
            <w:r w:rsidRPr="00FF356F">
              <w:rPr>
                <w:rFonts w:ascii="Verdana" w:eastAsia="Calibri" w:hAnsi="Verdana" w:cs="Arial"/>
                <w:bCs/>
                <w:lang w:eastAsia="es-ES_tradnl"/>
              </w:rPr>
              <w:t xml:space="preserve">No. </w:t>
            </w:r>
            <w:r w:rsidRPr="003C6A44">
              <w:rPr>
                <w:rFonts w:ascii="Verdana" w:eastAsia="Calibri" w:hAnsi="Verdana" w:cs="Arial"/>
                <w:bCs/>
                <w:lang w:eastAsia="es-ES_tradnl"/>
              </w:rPr>
              <w:t>1_2026_09_21_012653</w:t>
            </w:r>
          </w:p>
          <w:p w14:paraId="1BDE7A0B" w14:textId="77777777" w:rsidR="00B834C0" w:rsidRPr="00AB27E6" w:rsidRDefault="00B834C0" w:rsidP="00970515">
            <w:pPr>
              <w:spacing w:line="276" w:lineRule="auto"/>
              <w:jc w:val="both"/>
              <w:rPr>
                <w:rFonts w:ascii="Verdana" w:eastAsia="Calibri" w:hAnsi="Verdana" w:cs="Arial"/>
                <w:bCs/>
                <w:lang w:val="es-ES" w:eastAsia="es-ES_tradnl"/>
              </w:rPr>
            </w:pPr>
          </w:p>
        </w:tc>
      </w:tr>
    </w:tbl>
    <w:p w14:paraId="3BC62A8A" w14:textId="77777777" w:rsidR="00B834C0" w:rsidRPr="00C96899" w:rsidRDefault="00B834C0" w:rsidP="00B834C0">
      <w:pPr>
        <w:spacing w:after="0" w:line="276" w:lineRule="auto"/>
        <w:jc w:val="both"/>
        <w:rPr>
          <w:rFonts w:ascii="Verdana" w:eastAsia="Calibri" w:hAnsi="Verdana" w:cs="Arial"/>
          <w:bCs/>
          <w:lang w:val="es-ES_tradnl" w:eastAsia="es-ES_tradnl"/>
        </w:rPr>
      </w:pPr>
    </w:p>
    <w:p w14:paraId="3C5ABDFC" w14:textId="77777777" w:rsidR="00B834C0" w:rsidRPr="00673F5A" w:rsidRDefault="00B834C0" w:rsidP="00B834C0">
      <w:pPr>
        <w:spacing w:after="0" w:line="276" w:lineRule="auto"/>
        <w:jc w:val="both"/>
        <w:rPr>
          <w:rFonts w:ascii="Verdana" w:eastAsia="Calibri" w:hAnsi="Verdana" w:cs="Arial"/>
          <w:bCs/>
          <w:lang w:val="es-ES" w:eastAsia="es-ES"/>
        </w:rPr>
      </w:pPr>
      <w:r w:rsidRPr="00673F5A">
        <w:rPr>
          <w:rFonts w:ascii="Verdana" w:eastAsia="Calibri" w:hAnsi="Verdana" w:cs="Arial"/>
          <w:bCs/>
          <w:lang w:val="es-ES" w:eastAsia="es-ES"/>
        </w:rPr>
        <w:t>Estimad</w:t>
      </w:r>
      <w:r>
        <w:rPr>
          <w:rFonts w:ascii="Verdana" w:eastAsia="Calibri" w:hAnsi="Verdana" w:cs="Arial"/>
          <w:bCs/>
          <w:lang w:val="es-ES" w:eastAsia="es-ES"/>
        </w:rPr>
        <w:t>a</w:t>
      </w:r>
      <w:r w:rsidRPr="00673F5A">
        <w:rPr>
          <w:rFonts w:ascii="Verdana" w:eastAsia="Calibri" w:hAnsi="Verdana" w:cs="Arial"/>
          <w:bCs/>
          <w:lang w:val="es-ES" w:eastAsia="es-ES"/>
        </w:rPr>
        <w:t xml:space="preserve"> señor</w:t>
      </w:r>
      <w:r>
        <w:rPr>
          <w:rFonts w:ascii="Verdana" w:eastAsia="Calibri" w:hAnsi="Verdana" w:cs="Arial"/>
          <w:bCs/>
          <w:lang w:val="es-ES" w:eastAsia="es-ES"/>
        </w:rPr>
        <w:t>a</w:t>
      </w:r>
      <w:r w:rsidRPr="00673F5A">
        <w:rPr>
          <w:rFonts w:ascii="Verdana" w:eastAsia="Calibri" w:hAnsi="Verdana" w:cs="Arial"/>
          <w:bCs/>
          <w:lang w:val="es-ES" w:eastAsia="es-ES"/>
        </w:rPr>
        <w:t xml:space="preserve"> </w:t>
      </w:r>
      <w:r>
        <w:rPr>
          <w:rFonts w:ascii="Verdana" w:eastAsia="Calibri" w:hAnsi="Verdana" w:cs="Arial"/>
          <w:bCs/>
          <w:lang w:eastAsia="es-ES"/>
        </w:rPr>
        <w:t>Yina</w:t>
      </w:r>
      <w:r w:rsidRPr="00673F5A">
        <w:rPr>
          <w:rFonts w:ascii="Verdana" w:eastAsia="Calibri" w:hAnsi="Verdana" w:cs="Arial"/>
          <w:bCs/>
          <w:lang w:val="es-ES" w:eastAsia="es-ES"/>
        </w:rPr>
        <w:t xml:space="preserve">, cordial saludo:  </w:t>
      </w:r>
    </w:p>
    <w:p w14:paraId="00373BD3" w14:textId="77777777" w:rsidR="00B834C0" w:rsidRPr="00673F5A" w:rsidRDefault="00B834C0" w:rsidP="00B834C0">
      <w:pPr>
        <w:tabs>
          <w:tab w:val="left" w:pos="3768"/>
        </w:tabs>
        <w:spacing w:after="0" w:line="276" w:lineRule="auto"/>
        <w:jc w:val="both"/>
        <w:rPr>
          <w:rFonts w:ascii="Verdana" w:eastAsia="Calibri" w:hAnsi="Verdana" w:cs="Arial"/>
          <w:bCs/>
          <w:lang w:val="es-ES" w:eastAsia="es-ES"/>
        </w:rPr>
      </w:pPr>
      <w:r w:rsidRPr="00673F5A">
        <w:rPr>
          <w:rFonts w:ascii="Verdana" w:eastAsia="Calibri" w:hAnsi="Verdana" w:cs="Arial"/>
          <w:bCs/>
          <w:lang w:val="es-ES" w:eastAsia="es-ES"/>
        </w:rPr>
        <w:tab/>
      </w:r>
    </w:p>
    <w:p w14:paraId="61FEC7DF" w14:textId="77777777" w:rsidR="00B834C0" w:rsidRPr="00C96899" w:rsidRDefault="00B834C0" w:rsidP="00B834C0">
      <w:pPr>
        <w:spacing w:after="0" w:line="276" w:lineRule="auto"/>
        <w:jc w:val="both"/>
        <w:rPr>
          <w:rFonts w:ascii="Verdana" w:eastAsia="Calibri" w:hAnsi="Verdana" w:cs="Arial"/>
          <w:lang w:val="es-ES" w:eastAsia="es-ES"/>
        </w:rPr>
      </w:pPr>
      <w:r w:rsidRPr="00C96899">
        <w:rPr>
          <w:rFonts w:ascii="Verdana" w:eastAsia="Calibri" w:hAnsi="Verdana" w:cs="Arial"/>
          <w:lang w:val="es-ES" w:eastAsia="es-ES"/>
        </w:rPr>
        <w:t>En ejercicio de la competencia otorgada por los artículos 3, numeral 5º, y 11, numeral 8º, del Decreto Ley 4170 de 2011,</w:t>
      </w:r>
      <w:r w:rsidRPr="00C96899">
        <w:rPr>
          <w:rFonts w:ascii="Verdana" w:eastAsia="Arial MT" w:hAnsi="Verdana" w:cs="Arial MT"/>
          <w:lang w:val="es-ES" w:eastAsia="es-ES"/>
        </w:rPr>
        <w:t xml:space="preserve"> </w:t>
      </w:r>
      <w:r w:rsidRPr="00C96899">
        <w:rPr>
          <w:rFonts w:ascii="Verdana" w:eastAsia="Calibri" w:hAnsi="Verdana" w:cs="Arial"/>
        </w:rPr>
        <w:t xml:space="preserve">así como lo establecido en el artículo 4 de la Resolución 1707 de 2018 expedida por esta Entidad, </w:t>
      </w:r>
      <w:r w:rsidRPr="00C96899">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21</w:t>
      </w:r>
      <w:r w:rsidRPr="00C96899">
        <w:rPr>
          <w:rFonts w:ascii="Verdana" w:eastAsia="Calibri" w:hAnsi="Verdana" w:cs="Arial"/>
          <w:lang w:val="es-ES" w:eastAsia="es-ES"/>
        </w:rPr>
        <w:t xml:space="preserve"> de septiembre de 2026, en la cual manifiesta lo siguiente: </w:t>
      </w:r>
      <w:bookmarkStart w:id="1" w:name="_Hlk95313578"/>
    </w:p>
    <w:p w14:paraId="06469507" w14:textId="77777777" w:rsidR="00B834C0" w:rsidRPr="00C96899" w:rsidRDefault="00B834C0" w:rsidP="00B834C0">
      <w:pPr>
        <w:spacing w:after="0" w:line="276" w:lineRule="auto"/>
        <w:jc w:val="both"/>
        <w:rPr>
          <w:rFonts w:ascii="Verdana" w:eastAsia="Calibri" w:hAnsi="Verdana" w:cs="Arial"/>
          <w:bCs/>
          <w:lang w:val="es-ES" w:eastAsia="es-ES"/>
        </w:rPr>
      </w:pPr>
    </w:p>
    <w:bookmarkEnd w:id="1"/>
    <w:p w14:paraId="5CCFD554" w14:textId="77777777" w:rsidR="00B834C0" w:rsidRPr="00C96899" w:rsidRDefault="00B834C0" w:rsidP="00B834C0">
      <w:pPr>
        <w:spacing w:after="0" w:line="240" w:lineRule="auto"/>
        <w:ind w:left="709" w:right="709"/>
        <w:jc w:val="both"/>
        <w:rPr>
          <w:rFonts w:ascii="Verdana" w:eastAsia="Calibri" w:hAnsi="Verdana" w:cs="Arial"/>
          <w:i/>
          <w:iCs/>
          <w:sz w:val="20"/>
          <w:szCs w:val="20"/>
          <w:lang w:val="es-ES" w:eastAsia="es-ES"/>
        </w:rPr>
      </w:pPr>
      <w:r w:rsidRPr="00C96899">
        <w:rPr>
          <w:rFonts w:ascii="Verdana" w:eastAsia="Calibri" w:hAnsi="Verdana" w:cs="Arial"/>
          <w:i/>
          <w:iCs/>
          <w:sz w:val="20"/>
          <w:szCs w:val="20"/>
          <w:lang w:val="es-ES" w:eastAsia="es-ES"/>
        </w:rPr>
        <w:t>“(…)</w:t>
      </w:r>
    </w:p>
    <w:p w14:paraId="2C37E2AA" w14:textId="77777777" w:rsidR="00B834C0" w:rsidRDefault="00B834C0" w:rsidP="00B834C0">
      <w:pPr>
        <w:spacing w:after="0" w:line="240" w:lineRule="auto"/>
        <w:ind w:left="709" w:right="709"/>
        <w:jc w:val="both"/>
        <w:rPr>
          <w:rFonts w:ascii="Verdana" w:eastAsia="Calibri" w:hAnsi="Verdana" w:cs="Arial"/>
          <w:i/>
          <w:iCs/>
          <w:sz w:val="20"/>
          <w:szCs w:val="20"/>
          <w:lang w:val="es-ES" w:eastAsia="es-ES"/>
        </w:rPr>
      </w:pPr>
      <w:bookmarkStart w:id="2" w:name="OLE_LINK1"/>
    </w:p>
    <w:p w14:paraId="76FF63DA" w14:textId="77777777" w:rsidR="00B834C0" w:rsidRPr="00C96899" w:rsidRDefault="00B834C0" w:rsidP="00B834C0">
      <w:pPr>
        <w:spacing w:after="0" w:line="240" w:lineRule="auto"/>
        <w:ind w:left="709" w:right="709"/>
        <w:jc w:val="both"/>
        <w:rPr>
          <w:rFonts w:ascii="Verdana" w:eastAsia="Calibri" w:hAnsi="Verdana" w:cs="Arial"/>
          <w:i/>
          <w:iCs/>
          <w:sz w:val="20"/>
          <w:szCs w:val="20"/>
          <w:lang w:val="es-ES" w:eastAsia="es-ES"/>
        </w:rPr>
      </w:pPr>
      <w:r w:rsidRPr="000C445A">
        <w:rPr>
          <w:rFonts w:ascii="Verdana" w:eastAsia="Calibri" w:hAnsi="Verdana" w:cs="Arial"/>
          <w:i/>
          <w:iCs/>
          <w:sz w:val="20"/>
          <w:szCs w:val="20"/>
          <w:lang w:eastAsia="es-ES"/>
        </w:rPr>
        <w:t xml:space="preserve">Existen entidades, siendo el mayor ejemplo INVIAS, que desarrollan Bancos de consultores. Ellos crean un proceso </w:t>
      </w:r>
      <w:proofErr w:type="spellStart"/>
      <w:r w:rsidRPr="000C445A">
        <w:rPr>
          <w:rFonts w:ascii="Verdana" w:eastAsia="Calibri" w:hAnsi="Verdana" w:cs="Arial"/>
          <w:i/>
          <w:iCs/>
          <w:sz w:val="20"/>
          <w:szCs w:val="20"/>
          <w:lang w:eastAsia="es-ES"/>
        </w:rPr>
        <w:t>atraves</w:t>
      </w:r>
      <w:proofErr w:type="spellEnd"/>
      <w:r w:rsidRPr="000C445A">
        <w:rPr>
          <w:rFonts w:ascii="Verdana" w:eastAsia="Calibri" w:hAnsi="Verdana" w:cs="Arial"/>
          <w:i/>
          <w:iCs/>
          <w:sz w:val="20"/>
          <w:szCs w:val="20"/>
          <w:lang w:eastAsia="es-ES"/>
        </w:rPr>
        <w:t xml:space="preserve"> del cual y según la necesidad, envían profesionales para hacer consultorías según sus necesidades. Bajo ese mismo esquema: </w:t>
      </w:r>
      <w:proofErr w:type="spellStart"/>
      <w:r w:rsidRPr="000C445A">
        <w:rPr>
          <w:rFonts w:ascii="Verdana" w:eastAsia="Calibri" w:hAnsi="Verdana" w:cs="Arial"/>
          <w:i/>
          <w:iCs/>
          <w:sz w:val="20"/>
          <w:szCs w:val="20"/>
          <w:lang w:eastAsia="es-ES"/>
        </w:rPr>
        <w:t>seria</w:t>
      </w:r>
      <w:proofErr w:type="spellEnd"/>
      <w:r w:rsidRPr="000C445A">
        <w:rPr>
          <w:rFonts w:ascii="Verdana" w:eastAsia="Calibri" w:hAnsi="Verdana" w:cs="Arial"/>
          <w:i/>
          <w:iCs/>
          <w:sz w:val="20"/>
          <w:szCs w:val="20"/>
          <w:lang w:eastAsia="es-ES"/>
        </w:rPr>
        <w:t xml:space="preserve"> posible un banco de interventores? La entidad mediante pliego tipo contrata a un interventor que asuma las interventorías en un sector especifico de la entidad durante la anualidad. Como un banco de interventoría exclusivo en vías, un banco de interventorías aparte exclusivo en infraestructura social. De esta manera, en el momento en que sea adjudicada una obra, la entidad acude al banco de interventores. Por mi parte no le veo inconveniente, ya que </w:t>
      </w:r>
      <w:r w:rsidRPr="000C445A">
        <w:rPr>
          <w:rFonts w:ascii="Verdana" w:eastAsia="Calibri" w:hAnsi="Verdana" w:cs="Arial"/>
          <w:i/>
          <w:iCs/>
          <w:sz w:val="20"/>
          <w:szCs w:val="20"/>
          <w:lang w:eastAsia="es-ES"/>
        </w:rPr>
        <w:lastRenderedPageBreak/>
        <w:t>se puede planificar bien cada uno de los perfiles según las necesidades, tipos de interventorías, tipos de actividades según cada interventoría.</w:t>
      </w:r>
      <w:r w:rsidRPr="000C445A">
        <w:rPr>
          <w:rFonts w:ascii="Verdana" w:eastAsia="Calibri" w:hAnsi="Verdana" w:cs="Arial"/>
          <w:i/>
          <w:iCs/>
          <w:sz w:val="20"/>
          <w:szCs w:val="20"/>
          <w:lang w:val="es-ES" w:eastAsia="es-ES"/>
        </w:rPr>
        <w:t xml:space="preserve"> </w:t>
      </w:r>
      <w:r w:rsidRPr="00C96899">
        <w:rPr>
          <w:rFonts w:ascii="Verdana" w:eastAsia="Calibri" w:hAnsi="Verdana" w:cs="Arial"/>
          <w:i/>
          <w:iCs/>
          <w:sz w:val="20"/>
          <w:szCs w:val="20"/>
          <w:lang w:val="es-ES" w:eastAsia="es-ES"/>
        </w:rPr>
        <w:t>(…)</w:t>
      </w:r>
      <w:r w:rsidRPr="00C96899">
        <w:rPr>
          <w:rFonts w:ascii="Verdana" w:eastAsia="Calibri" w:hAnsi="Verdana" w:cs="Arial"/>
          <w:i/>
          <w:iCs/>
          <w:sz w:val="20"/>
          <w:szCs w:val="20"/>
          <w:lang w:eastAsia="es-ES"/>
        </w:rPr>
        <w:t>”</w:t>
      </w:r>
    </w:p>
    <w:bookmarkEnd w:id="2"/>
    <w:p w14:paraId="3EA6A911" w14:textId="77777777" w:rsidR="00B834C0" w:rsidRPr="00C96899" w:rsidRDefault="00B834C0" w:rsidP="00B834C0">
      <w:pPr>
        <w:spacing w:after="0" w:line="276" w:lineRule="auto"/>
        <w:ind w:left="709" w:right="709"/>
        <w:jc w:val="both"/>
        <w:rPr>
          <w:rFonts w:ascii="Verdana" w:eastAsia="Times New Roman" w:hAnsi="Verdana" w:cs="Times New Roman"/>
          <w:sz w:val="20"/>
          <w:szCs w:val="20"/>
          <w:lang w:eastAsia="es-CO"/>
        </w:rPr>
      </w:pPr>
    </w:p>
    <w:p w14:paraId="1AB0C938" w14:textId="77777777" w:rsidR="00B834C0" w:rsidRPr="00C96899" w:rsidRDefault="00B834C0" w:rsidP="00B834C0">
      <w:pPr>
        <w:spacing w:after="120" w:line="276" w:lineRule="auto"/>
        <w:ind w:firstLine="709"/>
        <w:jc w:val="both"/>
        <w:rPr>
          <w:rFonts w:ascii="Verdana" w:eastAsia="Calibri" w:hAnsi="Verdana" w:cs="Arial"/>
          <w:lang w:val="es-ES_tradnl" w:eastAsia="es-ES_tradnl"/>
        </w:rPr>
      </w:pPr>
      <w:r w:rsidRPr="00C96899">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6899">
        <w:rPr>
          <w:rFonts w:ascii="Verdana" w:eastAsia="Calibri" w:hAnsi="Verdana" w:cs="Arial"/>
          <w:lang w:val="es-ES_tradnl" w:eastAsia="es-ES_tradnl"/>
        </w:rPr>
        <w:tab/>
      </w:r>
    </w:p>
    <w:p w14:paraId="0B242D3B" w14:textId="77777777" w:rsidR="00B834C0" w:rsidRPr="00C96899" w:rsidRDefault="00B834C0" w:rsidP="00B834C0">
      <w:pPr>
        <w:spacing w:after="0" w:line="276" w:lineRule="auto"/>
        <w:ind w:firstLine="708"/>
        <w:jc w:val="both"/>
        <w:rPr>
          <w:rFonts w:ascii="Verdana" w:eastAsia="Calibri" w:hAnsi="Verdana" w:cs="Arial"/>
          <w:lang w:val="es-ES" w:eastAsia="es-ES"/>
        </w:rPr>
      </w:pPr>
      <w:r w:rsidRPr="00C96899">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5E7F9A4" w14:textId="77777777" w:rsidR="00B834C0" w:rsidRPr="00C96899" w:rsidRDefault="00B834C0" w:rsidP="00B834C0">
      <w:pPr>
        <w:spacing w:after="0" w:line="276" w:lineRule="auto"/>
        <w:ind w:firstLine="709"/>
        <w:jc w:val="both"/>
        <w:rPr>
          <w:rFonts w:ascii="Verdana" w:eastAsia="Calibri" w:hAnsi="Verdana" w:cs="Arial"/>
          <w:lang w:val="es-ES" w:eastAsia="es-ES"/>
        </w:rPr>
      </w:pPr>
    </w:p>
    <w:p w14:paraId="2F60CDD0" w14:textId="77777777" w:rsidR="00B834C0" w:rsidRPr="00C96899" w:rsidRDefault="00B834C0" w:rsidP="00B834C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96899">
        <w:rPr>
          <w:rFonts w:ascii="Verdana" w:eastAsia="Century Gothic" w:hAnsi="Verdana" w:cs="Century Gothic"/>
          <w:b/>
          <w:bCs/>
          <w:lang w:val="es-ES"/>
        </w:rPr>
        <w:t>Problema planteado:</w:t>
      </w:r>
    </w:p>
    <w:p w14:paraId="2FC4781C" w14:textId="77777777" w:rsidR="00B834C0" w:rsidRPr="0092095D" w:rsidRDefault="00B834C0" w:rsidP="00B834C0">
      <w:pPr>
        <w:tabs>
          <w:tab w:val="left" w:pos="426"/>
        </w:tabs>
        <w:spacing w:after="0" w:line="276" w:lineRule="auto"/>
        <w:jc w:val="both"/>
        <w:rPr>
          <w:rFonts w:ascii="Verdana" w:eastAsia="Century Gothic" w:hAnsi="Verdana" w:cs="Century Gothic"/>
          <w:lang w:val="es-ES"/>
        </w:rPr>
      </w:pPr>
    </w:p>
    <w:p w14:paraId="1F4091F5" w14:textId="77777777" w:rsidR="00B834C0" w:rsidRPr="006B5015" w:rsidRDefault="00B834C0" w:rsidP="00B834C0">
      <w:pPr>
        <w:spacing w:line="276" w:lineRule="auto"/>
        <w:jc w:val="both"/>
        <w:rPr>
          <w:rFonts w:ascii="Verdana" w:eastAsia="Century Gothic" w:hAnsi="Verdana" w:cs="Century Gothic"/>
        </w:rPr>
      </w:pPr>
      <w:r w:rsidRPr="00B3257B">
        <w:rPr>
          <w:rFonts w:ascii="Verdana" w:eastAsia="Century Gothic" w:hAnsi="Verdana" w:cs="Century Gothic"/>
        </w:rPr>
        <w:t>De acuerdo con el contenido de su solicitud, esta Agencia resolverá el siguiente problema jurídico:</w:t>
      </w:r>
    </w:p>
    <w:p w14:paraId="0B2C17EF" w14:textId="77777777" w:rsidR="00B834C0" w:rsidRPr="006B5015" w:rsidRDefault="00B834C0" w:rsidP="00B834C0">
      <w:pPr>
        <w:pStyle w:val="Prrafodelista"/>
        <w:numPr>
          <w:ilvl w:val="0"/>
          <w:numId w:val="19"/>
        </w:numPr>
        <w:spacing w:line="276" w:lineRule="auto"/>
        <w:jc w:val="both"/>
        <w:rPr>
          <w:rFonts w:ascii="Verdana" w:eastAsia="Century Gothic" w:hAnsi="Verdana" w:cs="Century Gothic"/>
        </w:rPr>
      </w:pPr>
      <w:r w:rsidRPr="006B5015">
        <w:rPr>
          <w:rFonts w:ascii="Verdana" w:eastAsia="Century Gothic" w:hAnsi="Verdana" w:cs="Century Gothic"/>
        </w:rPr>
        <w:t>¿Es jurídicamente viable que una entidad estatal, en virtud del principio de planeación, contrate mediante concurso de méritos un banco de interventores para atender las necesidades que surjan durante una vigencia?</w:t>
      </w:r>
    </w:p>
    <w:p w14:paraId="359EDA95" w14:textId="77777777" w:rsidR="00B834C0" w:rsidRPr="00B3257B" w:rsidRDefault="00B834C0" w:rsidP="00B834C0">
      <w:pPr>
        <w:pStyle w:val="Prrafodelista"/>
        <w:spacing w:line="276" w:lineRule="auto"/>
        <w:ind w:left="567"/>
        <w:jc w:val="both"/>
        <w:rPr>
          <w:rFonts w:ascii="Verdana" w:eastAsia="Century Gothic" w:hAnsi="Verdana" w:cs="Century Gothic"/>
        </w:rPr>
      </w:pPr>
    </w:p>
    <w:p w14:paraId="2A3446CB" w14:textId="77777777" w:rsidR="00B834C0" w:rsidRPr="002F0DEA" w:rsidRDefault="00B834C0" w:rsidP="00B834C0">
      <w:pPr>
        <w:pStyle w:val="Prrafodelista"/>
        <w:numPr>
          <w:ilvl w:val="0"/>
          <w:numId w:val="16"/>
        </w:numPr>
        <w:spacing w:line="276" w:lineRule="auto"/>
        <w:jc w:val="both"/>
        <w:rPr>
          <w:rFonts w:ascii="Verdana" w:eastAsia="Century Gothic" w:hAnsi="Verdana" w:cs="Century Gothic"/>
          <w:b/>
          <w:bCs/>
        </w:rPr>
      </w:pPr>
      <w:r w:rsidRPr="00C96899">
        <w:rPr>
          <w:rFonts w:ascii="Verdana" w:eastAsia="Century Gothic" w:hAnsi="Verdana" w:cs="Century Gothic"/>
          <w:b/>
          <w:bC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834C0" w:rsidRPr="00C96899" w14:paraId="5ECE9693" w14:textId="77777777" w:rsidTr="00970515">
        <w:trPr>
          <w:trHeight w:val="169"/>
        </w:trPr>
        <w:tc>
          <w:tcPr>
            <w:tcW w:w="8828" w:type="dxa"/>
            <w:tcBorders>
              <w:top w:val="dotted" w:sz="4" w:space="0" w:color="auto"/>
              <w:left w:val="dotted" w:sz="4" w:space="0" w:color="auto"/>
              <w:bottom w:val="dotted" w:sz="4" w:space="0" w:color="auto"/>
              <w:right w:val="dotted" w:sz="4" w:space="0" w:color="auto"/>
            </w:tcBorders>
          </w:tcPr>
          <w:p w14:paraId="328CAA38" w14:textId="77777777" w:rsidR="00B834C0" w:rsidRDefault="00B834C0" w:rsidP="00970515">
            <w:pPr>
              <w:widowControl w:val="0"/>
              <w:autoSpaceDE w:val="0"/>
              <w:autoSpaceDN w:val="0"/>
              <w:spacing w:line="276" w:lineRule="auto"/>
              <w:jc w:val="both"/>
              <w:rPr>
                <w:rFonts w:ascii="Verdana" w:eastAsia="Calibri" w:hAnsi="Verdana" w:cs="Arial"/>
                <w:shd w:val="clear" w:color="auto" w:fill="FFFFFF"/>
                <w:lang w:val="es-ES"/>
              </w:rPr>
            </w:pPr>
            <w:r>
              <w:rPr>
                <w:rFonts w:ascii="Verdana" w:eastAsia="Calibri" w:hAnsi="Verdana" w:cs="Arial"/>
                <w:shd w:val="clear" w:color="auto" w:fill="FFFFFF"/>
              </w:rPr>
              <w:t xml:space="preserve">I). </w:t>
            </w:r>
            <w:r w:rsidRPr="00A4370A">
              <w:rPr>
                <w:rFonts w:ascii="Verdana" w:eastAsia="Calibri" w:hAnsi="Verdana" w:cs="Arial"/>
                <w:shd w:val="clear" w:color="auto" w:fill="FFFFFF"/>
                <w:lang w:val="es-ES"/>
              </w:rPr>
              <w:t>La contratación de un banco de interventores debe analizarse a partir de los principios de planeación, economía y responsabilidad que rigen la contratación estatal, así como de las disposiciones que regulan la vigilancia y el control de la ejecución contractual.</w:t>
            </w:r>
          </w:p>
          <w:p w14:paraId="596B0354" w14:textId="77777777" w:rsidR="00B834C0" w:rsidRPr="00A4370A"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p>
          <w:p w14:paraId="796B9750" w14:textId="77777777" w:rsidR="00B834C0"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r w:rsidRPr="00A4370A">
              <w:rPr>
                <w:rFonts w:ascii="Verdana" w:eastAsia="Calibri" w:hAnsi="Verdana" w:cs="Arial"/>
                <w:shd w:val="clear" w:color="auto" w:fill="FFFFFF"/>
                <w:lang w:val="es-ES"/>
              </w:rPr>
              <w:t>Al respecto, el artículo 209 de la Constitución Política establece que la función administrativa debe desarrollarse con fundamento, entre otros, en los principios de eficacia y economía. En concordancia, los artículos 25 y 26 de la Ley 80 de 1993 exigen que la actividad contractual se estructure de manera eficiente y que los servidores públicos orienten sus actuaciones al cumplimiento de los fines de la contratación, la adecuada ejecución de los contratos y la protección de los intereses de la entidad.</w:t>
            </w:r>
          </w:p>
          <w:p w14:paraId="2F98C42F" w14:textId="77777777" w:rsidR="00B834C0" w:rsidRPr="00A4370A"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p>
          <w:p w14:paraId="12AB1D1D" w14:textId="77777777" w:rsidR="00B834C0"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r w:rsidRPr="00A4370A">
              <w:rPr>
                <w:rFonts w:ascii="Verdana" w:eastAsia="Calibri" w:hAnsi="Verdana" w:cs="Arial"/>
                <w:shd w:val="clear" w:color="auto" w:fill="FFFFFF"/>
                <w:lang w:val="es-ES"/>
              </w:rPr>
              <w:t>En particular, el artículo 32, numeral 2, de la Ley 80 de 1993 contempla el contrato de consultoría y comprende dentro de esta categoría la interventoría, mientras que el artículo 83 de la Ley 1474 de 2011 establece el deber de las entidades estatales de vigilar permanentemente la correcta ejecución del objeto contratado, mediante supervisión o interventoría, según corresponda. Estas disposiciones permiten señalar que las entidades deben identificar y atender oportunamente las necesidades de vigilancia y seguimiento de las obras públicas que contraten.</w:t>
            </w:r>
          </w:p>
          <w:p w14:paraId="49889370" w14:textId="77777777" w:rsidR="00B834C0" w:rsidRPr="00A4370A"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p>
          <w:p w14:paraId="178D087B" w14:textId="77777777" w:rsidR="00B834C0"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r w:rsidRPr="00A4370A">
              <w:rPr>
                <w:rFonts w:ascii="Verdana" w:eastAsia="Calibri" w:hAnsi="Verdana" w:cs="Arial"/>
                <w:shd w:val="clear" w:color="auto" w:fill="FFFFFF"/>
                <w:lang w:val="es-ES"/>
              </w:rPr>
              <w:t>En ese contexto, cuando una entidad estatal identifica necesidades recurrentes de interventoría, puede evaluar, en ejercicio del principio de planeación, las alternativas contractuales que le permitan atenderlas de manera eficiente y oportuna. Para ello, deberá analizar las obras que proyecta ejecutar, sus características técnicas, la similitud de los proyectos, los perfiles profesionales requeridos, los costos estimados, la disponibilidad presupuestal y las condiciones del mercado, entre otros aspectos relevantes. Este análisis deberá quedar debidamente sustentado en los estudios y documentos previos, de manera que permita justificar la alternativa contractual seleccionada.</w:t>
            </w:r>
          </w:p>
          <w:p w14:paraId="188B1387" w14:textId="77777777" w:rsidR="00B834C0" w:rsidRPr="00A4370A"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p>
          <w:p w14:paraId="2A78E867" w14:textId="77777777" w:rsidR="00B834C0"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r w:rsidRPr="00A4370A">
              <w:rPr>
                <w:rFonts w:ascii="Verdana" w:eastAsia="Calibri" w:hAnsi="Verdana" w:cs="Arial"/>
                <w:shd w:val="clear" w:color="auto" w:fill="FFFFFF"/>
                <w:lang w:val="es-ES"/>
              </w:rPr>
              <w:t>En consecuencia, la entidad podría estudiar la viabilidad de agrupar las necesidades de interventoría de varios proyectos en un proceso de selección, siempre que estas se encuentren debidamente identificadas o que su alcance pueda determinarse conforme a las reglas aplicables, y que la estructuración contractual permita establecer con claridad el objeto, las obligaciones, el valor, el plazo y las condiciones de ejecución. La agrupación deberá responder a razones técnicas, económicas y administrativas justificadas, y no podrá utilizarse para eludir los procedimientos de selección legalmente establecidos.</w:t>
            </w:r>
          </w:p>
          <w:p w14:paraId="7B788065" w14:textId="77777777" w:rsidR="00B834C0" w:rsidRPr="00A4370A"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p>
          <w:p w14:paraId="58E29FBF" w14:textId="77777777" w:rsidR="00B834C0"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r w:rsidRPr="00A4370A">
              <w:rPr>
                <w:rFonts w:ascii="Verdana" w:eastAsia="Calibri" w:hAnsi="Verdana" w:cs="Arial"/>
                <w:shd w:val="clear" w:color="auto" w:fill="FFFFFF"/>
                <w:lang w:val="es-ES"/>
              </w:rPr>
              <w:t>Ahora bien, debe distinguirse la contratación integral de varias interventorías de la conformación de un banco de interventores para atender necesidades futuras. En el primer supuesto, la entidad buscaría contratar un servicio cuyo alcance comprende varios proyectos previamente identificados y justificados. En el segundo, se pretende seleccionar anticipadamente a uno o varios posibles interventores para asignarles posteriormente las obras que requieran vigilancia. Esta última alternativa exige un análisis jurídico adicional, pues la conformación de una lista de posibles contratistas no implica, por sí misma, la celebración de contratos ni habilita a la entidad para asignar discrecionalmente futuras interventorías.</w:t>
            </w:r>
          </w:p>
          <w:p w14:paraId="09174260" w14:textId="77777777" w:rsidR="00B834C0" w:rsidRPr="00A4370A"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p>
          <w:p w14:paraId="5C5A0423" w14:textId="77777777" w:rsidR="00B834C0"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r w:rsidRPr="00A4370A">
              <w:rPr>
                <w:rFonts w:ascii="Verdana" w:eastAsia="Calibri" w:hAnsi="Verdana" w:cs="Arial"/>
                <w:shd w:val="clear" w:color="auto" w:fill="FFFFFF"/>
                <w:lang w:val="es-ES"/>
              </w:rPr>
              <w:t>Por lo tanto, la posibilidad de establecer un banco de interventores no puede derivarse exclusivamente del principio de planeación. Su viabilidad dependerá de que el mecanismo propuesto tenga fundamento en las modalidades y procedimientos de selección previstos en el ordenamiento jurídico, garantice la selección objetiva y respete las disposiciones aplicables a los Documentos Tipo adoptados por la Agencia Nacional de Contratación Pública – Colombia Compra Eficiente, cuando estos resulten obligatorios.</w:t>
            </w:r>
          </w:p>
          <w:p w14:paraId="045D9374" w14:textId="77777777" w:rsidR="00B834C0" w:rsidRPr="00A4370A"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p>
          <w:p w14:paraId="14EE695D" w14:textId="77777777" w:rsidR="00B834C0" w:rsidRPr="00A4370A" w:rsidRDefault="00B834C0" w:rsidP="00970515">
            <w:pPr>
              <w:widowControl w:val="0"/>
              <w:autoSpaceDE w:val="0"/>
              <w:autoSpaceDN w:val="0"/>
              <w:spacing w:line="276" w:lineRule="auto"/>
              <w:ind w:firstLine="709"/>
              <w:jc w:val="both"/>
              <w:rPr>
                <w:rFonts w:ascii="Verdana" w:eastAsia="Calibri" w:hAnsi="Verdana" w:cs="Arial"/>
                <w:shd w:val="clear" w:color="auto" w:fill="FFFFFF"/>
                <w:lang w:val="es-ES"/>
              </w:rPr>
            </w:pPr>
            <w:r w:rsidRPr="00A4370A">
              <w:rPr>
                <w:rFonts w:ascii="Verdana" w:eastAsia="Calibri" w:hAnsi="Verdana" w:cs="Arial"/>
                <w:shd w:val="clear" w:color="auto" w:fill="FFFFFF"/>
                <w:lang w:val="es-ES"/>
              </w:rPr>
              <w:t>En conclusión, las entidades estatales pueden planificar y evaluar alternativas para atender sus necesidades recurrentes de interventoría, incluida la posibilidad de agrupar proyectos cuando exista justificación suficiente. Sin embargo, determinar si pueden conformar un banco de interventores para asignarles las interventorías de las obras que se adjudiquen durante una vigencia requiere verificar la viabilidad jurídica del mecanismo concreto, las condiciones de determinación del objeto contractual, el respaldo presupuestal y las reglas aplicables al concurso de méritos y a los Documentos Tipo.</w:t>
            </w:r>
          </w:p>
          <w:p w14:paraId="194CCC4F" w14:textId="77777777" w:rsidR="00B834C0" w:rsidRPr="00B33022" w:rsidRDefault="00B834C0" w:rsidP="00970515">
            <w:pPr>
              <w:widowControl w:val="0"/>
              <w:autoSpaceDE w:val="0"/>
              <w:autoSpaceDN w:val="0"/>
              <w:spacing w:line="276" w:lineRule="auto"/>
              <w:jc w:val="both"/>
              <w:rPr>
                <w:rFonts w:ascii="Verdana" w:eastAsia="Aptos" w:hAnsi="Verdana" w:cs="Arial"/>
              </w:rPr>
            </w:pPr>
          </w:p>
          <w:p w14:paraId="3246BD07" w14:textId="77777777" w:rsidR="00B834C0" w:rsidRPr="009D29EF" w:rsidRDefault="00B834C0" w:rsidP="00970515">
            <w:pPr>
              <w:spacing w:line="276" w:lineRule="auto"/>
              <w:ind w:firstLine="708"/>
              <w:jc w:val="both"/>
              <w:rPr>
                <w:rFonts w:ascii="Verdana" w:eastAsia="Calibri" w:hAnsi="Verdana" w:cs="Arial"/>
              </w:rPr>
            </w:pPr>
          </w:p>
        </w:tc>
      </w:tr>
    </w:tbl>
    <w:p w14:paraId="367367DC" w14:textId="77777777" w:rsidR="00B834C0" w:rsidRPr="00C96899" w:rsidRDefault="00B834C0" w:rsidP="00B834C0">
      <w:pPr>
        <w:tabs>
          <w:tab w:val="left" w:pos="142"/>
          <w:tab w:val="left" w:pos="284"/>
        </w:tabs>
        <w:spacing w:after="0" w:line="276" w:lineRule="auto"/>
        <w:ind w:left="142" w:hanging="142"/>
        <w:jc w:val="both"/>
        <w:rPr>
          <w:rFonts w:ascii="Verdana" w:eastAsia="Century Gothic" w:hAnsi="Verdana" w:cs="Century Gothic"/>
          <w:b/>
          <w:bCs/>
          <w:lang w:val="es-ES"/>
        </w:rPr>
      </w:pPr>
    </w:p>
    <w:p w14:paraId="04643054" w14:textId="77777777" w:rsidR="00B834C0" w:rsidRPr="00C96899" w:rsidRDefault="00B834C0" w:rsidP="00B834C0">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C96899">
        <w:rPr>
          <w:rFonts w:ascii="Verdana" w:eastAsia="Century Gothic" w:hAnsi="Verdana" w:cs="Century Gothic"/>
          <w:b/>
          <w:bCs/>
          <w:lang w:val="es-ES"/>
        </w:rPr>
        <w:t>Razones de la respuesta:</w:t>
      </w:r>
    </w:p>
    <w:p w14:paraId="129EABFC" w14:textId="77777777" w:rsidR="00B834C0" w:rsidRPr="00C96899" w:rsidRDefault="00B834C0" w:rsidP="00B834C0">
      <w:pPr>
        <w:tabs>
          <w:tab w:val="left" w:pos="142"/>
          <w:tab w:val="left" w:pos="284"/>
        </w:tabs>
        <w:spacing w:after="0" w:line="276" w:lineRule="auto"/>
        <w:contextualSpacing/>
        <w:jc w:val="both"/>
        <w:rPr>
          <w:rFonts w:ascii="Verdana" w:eastAsia="Century Gothic" w:hAnsi="Verdana" w:cs="Century Gothic"/>
          <w:b/>
          <w:bCs/>
          <w:lang w:val="es-ES"/>
        </w:rPr>
      </w:pPr>
    </w:p>
    <w:p w14:paraId="6C388F20" w14:textId="77777777" w:rsidR="00B834C0" w:rsidRPr="00C96899" w:rsidRDefault="00B834C0" w:rsidP="00B834C0">
      <w:pPr>
        <w:tabs>
          <w:tab w:val="left" w:pos="142"/>
          <w:tab w:val="left" w:pos="284"/>
        </w:tabs>
        <w:spacing w:after="0" w:line="276" w:lineRule="auto"/>
        <w:contextualSpacing/>
        <w:jc w:val="both"/>
        <w:rPr>
          <w:rFonts w:ascii="Verdana" w:eastAsia="Calibri" w:hAnsi="Verdana" w:cs="Arial"/>
          <w:lang w:val="es-ES" w:eastAsia="es-MX"/>
        </w:rPr>
      </w:pPr>
      <w:r w:rsidRPr="00C96899">
        <w:rPr>
          <w:rFonts w:ascii="Verdana" w:eastAsia="Calibri" w:hAnsi="Verdana" w:cs="Arial"/>
          <w:lang w:val="es-ES" w:eastAsia="es-MX"/>
        </w:rPr>
        <w:t xml:space="preserve">Lo anterior se sustenta en las siguientes consideraciones: </w:t>
      </w:r>
    </w:p>
    <w:p w14:paraId="50D7C1C0" w14:textId="77777777" w:rsidR="00B834C0" w:rsidRPr="00C96899" w:rsidRDefault="00B834C0" w:rsidP="00B834C0">
      <w:pPr>
        <w:tabs>
          <w:tab w:val="left" w:pos="142"/>
          <w:tab w:val="left" w:pos="284"/>
        </w:tabs>
        <w:spacing w:after="0" w:line="276" w:lineRule="auto"/>
        <w:contextualSpacing/>
        <w:jc w:val="both"/>
        <w:rPr>
          <w:rFonts w:ascii="Verdana" w:eastAsia="Calibri" w:hAnsi="Verdana" w:cs="Arial"/>
          <w:lang w:val="es-ES" w:eastAsia="es-MX"/>
        </w:rPr>
      </w:pPr>
    </w:p>
    <w:p w14:paraId="0030B7A6" w14:textId="77777777" w:rsidR="00B834C0" w:rsidRPr="00B33022" w:rsidRDefault="00B834C0" w:rsidP="00B834C0">
      <w:pPr>
        <w:snapToGrid w:val="0"/>
        <w:spacing w:after="120" w:line="276" w:lineRule="auto"/>
        <w:jc w:val="both"/>
        <w:rPr>
          <w:rFonts w:ascii="Verdana" w:eastAsia="Calibri" w:hAnsi="Verdana" w:cs="Arial"/>
        </w:rPr>
      </w:pPr>
      <w:r w:rsidRPr="0066719F">
        <w:rPr>
          <w:rFonts w:ascii="Verdana" w:eastAsia="Aptos" w:hAnsi="Verdana" w:cs="Arial"/>
          <w:lang w:eastAsia="es-MX"/>
        </w:rPr>
        <w:lastRenderedPageBreak/>
        <w:t xml:space="preserve">I). </w:t>
      </w:r>
      <w:r w:rsidRPr="00B33022">
        <w:rPr>
          <w:rFonts w:ascii="Verdana" w:eastAsia="Calibri" w:hAnsi="Verdana" w:cs="Arial"/>
        </w:rPr>
        <w:t xml:space="preserve">Los documentos tipo expedidos por la Agencia Nacional de Contratación Pública </w:t>
      </w:r>
      <w:r w:rsidRPr="00B33022">
        <w:rPr>
          <w:rFonts w:ascii="Verdana" w:eastAsia="Symbol" w:hAnsi="Verdana" w:cs="Symbol"/>
        </w:rPr>
        <w:t>-</w:t>
      </w:r>
      <w:r w:rsidRPr="00B33022">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8020710" w14:textId="77777777" w:rsidR="00B834C0" w:rsidRDefault="00B834C0" w:rsidP="00B834C0">
      <w:pPr>
        <w:snapToGrid w:val="0"/>
        <w:spacing w:after="120" w:line="276" w:lineRule="auto"/>
        <w:ind w:firstLine="644"/>
        <w:jc w:val="both"/>
        <w:rPr>
          <w:rFonts w:ascii="Verdana" w:eastAsia="Calibri" w:hAnsi="Verdana" w:cs="Times New Roman"/>
        </w:rPr>
      </w:pPr>
      <w:r w:rsidRPr="00B33022">
        <w:rPr>
          <w:rFonts w:ascii="Verdana" w:eastAsia="Calibri" w:hAnsi="Verdana" w:cs="Times New Roman"/>
        </w:rPr>
        <w:t>La Agencia Nacional de Contratación Pública – Colombia Compra Eficiente expidió documentos tipo para los sectores de infraestructura de transporte, agua potable y saneamiento básico y social. Asimismo, esta Agencia adoptó los documentos tipo de gestión catastral con enfoque multipropósito y para la contratación directa de convenios solidarios para la ejecución de obras hasta la menor cuantía con organismos de acción comunal</w:t>
      </w:r>
      <w:r w:rsidRPr="00B33022">
        <w:rPr>
          <w:rFonts w:ascii="Verdana" w:eastAsia="Calibri" w:hAnsi="Verdana" w:cs="Times New Roman"/>
          <w:vertAlign w:val="superscript"/>
        </w:rPr>
        <w:footnoteReference w:id="2"/>
      </w:r>
      <w:r w:rsidRPr="00B33022">
        <w:rPr>
          <w:rFonts w:ascii="Verdana" w:eastAsia="Calibri" w:hAnsi="Verdana" w:cs="Times New Roman"/>
        </w:rPr>
        <w:t>.</w:t>
      </w:r>
    </w:p>
    <w:p w14:paraId="30D5CDA7" w14:textId="77777777" w:rsidR="00B834C0" w:rsidRPr="006422B4" w:rsidRDefault="00B834C0" w:rsidP="00B834C0">
      <w:pPr>
        <w:spacing w:line="276" w:lineRule="auto"/>
        <w:ind w:firstLine="708"/>
        <w:jc w:val="both"/>
        <w:rPr>
          <w:rFonts w:ascii="Verdana" w:eastAsia="Calibri" w:hAnsi="Verdana" w:cs="Arial"/>
          <w:shd w:val="clear" w:color="auto" w:fill="FFFFFF"/>
        </w:rPr>
      </w:pPr>
      <w:r w:rsidRPr="006422B4">
        <w:rPr>
          <w:rFonts w:ascii="Verdana" w:eastAsia="Calibri" w:hAnsi="Verdana" w:cs="Arial"/>
          <w:shd w:val="clear" w:color="auto" w:fill="FFFFFF"/>
        </w:rPr>
        <w:t>En este contexto, la aplicación de los Documentos Tipo debe armonizarse con el deber de las Entidades Estatales de garantizar el adecuado seguimiento y control de la ejecución contractual. Al respecto, los artículos 4, 5, 12, 14 y 26 de la Ley 80 de 1993 establecen, entre otros aspectos, la obligación de velar por el correcto y oportuno cumplimiento de las prestaciones contractuales, las especificaciones de los bienes, obras y servicios, y las condiciones de calidad ofrecidas. Esta responsabilidad recae, en principio, en el jefe o representante legal de la entidad, como responsable de la dirección y el manejo de la actividad contractual, sin perjuicio de las funciones asignadas a los servidores públicos que intervienen en ella. En consecuencia, las Entidades Estatales deben adoptar las medidas necesarias para ejercer el control de la ejecución de los contratos y exigir su adecuado cumplimiento, lo que comprende la planeación de los mecanismos de vigilancia y seguimiento que resulten necesarios, incluida, cuando corresponda, la contratación de servicios de interventoría.</w:t>
      </w:r>
    </w:p>
    <w:p w14:paraId="153F438E" w14:textId="77777777" w:rsidR="00B834C0" w:rsidRPr="006422B4" w:rsidRDefault="00B834C0" w:rsidP="00B834C0">
      <w:pPr>
        <w:snapToGrid w:val="0"/>
        <w:spacing w:before="120" w:after="120" w:line="276" w:lineRule="auto"/>
        <w:ind w:firstLine="708"/>
        <w:jc w:val="both"/>
        <w:textAlignment w:val="baseline"/>
        <w:rPr>
          <w:rFonts w:ascii="Verdana" w:eastAsia="Aptos" w:hAnsi="Verdana" w:cs="Arial"/>
          <w:lang w:val="es-ES_tradnl" w:eastAsia="es-MX"/>
        </w:rPr>
      </w:pPr>
      <w:r w:rsidRPr="006422B4">
        <w:rPr>
          <w:rFonts w:ascii="Verdana" w:eastAsia="Aptos" w:hAnsi="Verdana" w:cs="Arial"/>
          <w:lang w:val="es-ES_tradnl" w:eastAsia="es-MX"/>
        </w:rPr>
        <w:t xml:space="preserve">Por su parte, las Leyes 1150 de 2007 y 1474 de 2011, complementan el régimen jurídico de la obligación de vigilar la correcta ejecución de los contratos estatales. En dichas normas se establecen los límites de la responsabilidad del </w:t>
      </w:r>
      <w:r w:rsidRPr="006422B4">
        <w:rPr>
          <w:rFonts w:ascii="Verdana" w:eastAsia="Aptos" w:hAnsi="Verdana" w:cs="Arial"/>
          <w:lang w:val="es-ES_tradnl" w:eastAsia="es-MX"/>
        </w:rPr>
        <w:lastRenderedPageBreak/>
        <w:t>representante legal ante la delegación de sus funciones en materia contractual</w:t>
      </w:r>
      <w:r w:rsidRPr="006422B4">
        <w:rPr>
          <w:rFonts w:ascii="Aptos" w:eastAsia="Aptos" w:hAnsi="Aptos" w:cs="Times New Roman"/>
          <w:kern w:val="2"/>
          <w:sz w:val="24"/>
          <w:szCs w:val="24"/>
          <w:vertAlign w:val="superscript"/>
          <w:lang w:val="es-ES_tradnl" w:eastAsia="es-MX"/>
          <w14:ligatures w14:val="standardContextual"/>
        </w:rPr>
        <w:footnoteReference w:id="3"/>
      </w:r>
      <w:r w:rsidRPr="006422B4">
        <w:rPr>
          <w:rFonts w:ascii="Verdana" w:eastAsia="Aptos" w:hAnsi="Verdana" w:cs="Arial"/>
          <w:lang w:val="es-ES_tradnl" w:eastAsia="es-MX"/>
        </w:rPr>
        <w:t xml:space="preserve"> y se regula la supervisión y la interventoría de los contratos estatales</w:t>
      </w:r>
      <w:r w:rsidRPr="006422B4">
        <w:rPr>
          <w:rFonts w:ascii="Aptos" w:eastAsia="Aptos" w:hAnsi="Aptos" w:cs="Times New Roman"/>
          <w:kern w:val="2"/>
          <w:sz w:val="24"/>
          <w:szCs w:val="24"/>
          <w:vertAlign w:val="superscript"/>
          <w:lang w:val="es-ES_tradnl" w:eastAsia="es-MX"/>
          <w14:ligatures w14:val="standardContextual"/>
        </w:rPr>
        <w:footnoteReference w:id="4"/>
      </w:r>
      <w:r w:rsidRPr="006422B4">
        <w:rPr>
          <w:rFonts w:ascii="Verdana" w:eastAsia="Aptos" w:hAnsi="Verdana" w:cs="Arial"/>
          <w:lang w:val="es-ES_tradnl" w:eastAsia="es-MX"/>
        </w:rPr>
        <w:t>.</w:t>
      </w:r>
    </w:p>
    <w:p w14:paraId="370F67CB" w14:textId="77777777" w:rsidR="00B834C0" w:rsidRPr="006422B4" w:rsidRDefault="00B834C0" w:rsidP="00B834C0">
      <w:pPr>
        <w:snapToGrid w:val="0"/>
        <w:spacing w:before="120" w:after="0" w:line="276" w:lineRule="auto"/>
        <w:ind w:firstLine="708"/>
        <w:jc w:val="both"/>
        <w:textAlignment w:val="baseline"/>
        <w:rPr>
          <w:rFonts w:ascii="Verdana" w:eastAsia="Aptos" w:hAnsi="Verdana" w:cs="Arial"/>
          <w:lang w:eastAsia="es-MX"/>
        </w:rPr>
      </w:pPr>
      <w:r w:rsidRPr="006422B4">
        <w:rPr>
          <w:rFonts w:ascii="Verdana" w:eastAsia="Aptos" w:hAnsi="Verdana" w:cs="Arial"/>
          <w:lang w:eastAsia="es-MX"/>
        </w:rPr>
        <w:t xml:space="preserve">En particular,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650D9BFA" w14:textId="77777777" w:rsidR="00B834C0" w:rsidRPr="006422B4" w:rsidRDefault="00B834C0" w:rsidP="00B834C0">
      <w:pPr>
        <w:snapToGrid w:val="0"/>
        <w:spacing w:after="0" w:line="276" w:lineRule="auto"/>
        <w:ind w:firstLine="708"/>
        <w:jc w:val="both"/>
        <w:textAlignment w:val="baseline"/>
        <w:rPr>
          <w:rFonts w:ascii="Verdana" w:eastAsia="Aptos" w:hAnsi="Verdana" w:cs="Arial"/>
          <w:lang w:eastAsia="es-MX"/>
        </w:rPr>
      </w:pPr>
    </w:p>
    <w:p w14:paraId="5625BFBA" w14:textId="77777777" w:rsidR="00B834C0" w:rsidRPr="006422B4" w:rsidRDefault="00B834C0" w:rsidP="00B834C0">
      <w:pPr>
        <w:snapToGrid w:val="0"/>
        <w:spacing w:after="0" w:line="240" w:lineRule="auto"/>
        <w:ind w:left="709" w:right="709"/>
        <w:jc w:val="both"/>
        <w:textAlignment w:val="baseline"/>
        <w:rPr>
          <w:rFonts w:ascii="Verdana" w:eastAsia="Aptos" w:hAnsi="Verdana" w:cs="Arial"/>
          <w:sz w:val="20"/>
          <w:szCs w:val="20"/>
          <w:lang w:val="es-ES_tradnl" w:eastAsia="es-MX"/>
        </w:rPr>
      </w:pPr>
      <w:r w:rsidRPr="006422B4">
        <w:rPr>
          <w:rFonts w:ascii="Verdana" w:eastAsia="Aptos" w:hAnsi="Verdana" w:cs="Arial"/>
          <w:sz w:val="20"/>
          <w:szCs w:val="20"/>
          <w:lang w:val="es-ES_tradnl" w:eastAsia="es-MX"/>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013930B8" w14:textId="77777777" w:rsidR="00B834C0" w:rsidRPr="006422B4" w:rsidRDefault="00B834C0" w:rsidP="00B834C0">
      <w:pPr>
        <w:snapToGrid w:val="0"/>
        <w:spacing w:after="0" w:line="240" w:lineRule="auto"/>
        <w:ind w:left="709" w:right="709"/>
        <w:jc w:val="both"/>
        <w:textAlignment w:val="baseline"/>
        <w:rPr>
          <w:rFonts w:ascii="Verdana" w:eastAsia="Aptos" w:hAnsi="Verdana" w:cs="Arial"/>
          <w:sz w:val="20"/>
          <w:szCs w:val="20"/>
          <w:lang w:val="es-ES" w:eastAsia="es-MX"/>
        </w:rPr>
      </w:pPr>
      <w:r w:rsidRPr="006422B4">
        <w:rPr>
          <w:rFonts w:ascii="Verdana" w:eastAsia="Aptos" w:hAnsi="Verdana" w:cs="Arial"/>
          <w:sz w:val="20"/>
          <w:szCs w:val="20"/>
          <w:lang w:val="es-ES" w:eastAsia="es-MX"/>
        </w:rPr>
        <w:t xml:space="preserve">La supervisión consistirá en el seguimiento técnico, administrativo, financiero, contable, y jurídico </w:t>
      </w:r>
      <w:proofErr w:type="gramStart"/>
      <w:r w:rsidRPr="006422B4">
        <w:rPr>
          <w:rFonts w:ascii="Verdana" w:eastAsia="Aptos" w:hAnsi="Verdana" w:cs="Arial"/>
          <w:sz w:val="20"/>
          <w:szCs w:val="20"/>
          <w:lang w:val="es-ES" w:eastAsia="es-MX"/>
        </w:rPr>
        <w:t>que</w:t>
      </w:r>
      <w:proofErr w:type="gramEnd"/>
      <w:r w:rsidRPr="006422B4">
        <w:rPr>
          <w:rFonts w:ascii="Verdana" w:eastAsia="Aptos" w:hAnsi="Verdana" w:cs="Arial"/>
          <w:sz w:val="20"/>
          <w:szCs w:val="20"/>
          <w:lang w:val="es-ES" w:eastAsia="es-MX"/>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0A0EB6C6" w14:textId="77777777" w:rsidR="00B834C0" w:rsidRPr="006422B4" w:rsidRDefault="00B834C0" w:rsidP="00B834C0">
      <w:pPr>
        <w:snapToGrid w:val="0"/>
        <w:spacing w:after="0" w:line="240" w:lineRule="auto"/>
        <w:ind w:left="709" w:right="709"/>
        <w:jc w:val="both"/>
        <w:textAlignment w:val="baseline"/>
        <w:rPr>
          <w:rFonts w:ascii="Verdana" w:eastAsia="Aptos" w:hAnsi="Verdana" w:cs="Arial"/>
          <w:sz w:val="20"/>
          <w:szCs w:val="20"/>
          <w:lang w:val="es-ES_tradnl" w:eastAsia="es-MX"/>
        </w:rPr>
      </w:pPr>
      <w:r w:rsidRPr="006422B4">
        <w:rPr>
          <w:rFonts w:ascii="Verdana" w:eastAsia="Aptos"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6422B4">
        <w:rPr>
          <w:rFonts w:ascii="Verdana" w:eastAsia="Aptos" w:hAnsi="Verdana" w:cs="Arial"/>
          <w:sz w:val="20"/>
          <w:szCs w:val="20"/>
          <w:lang w:val="es-ES" w:eastAsia="es-MX"/>
        </w:rPr>
        <w:t>del mismo</w:t>
      </w:r>
      <w:proofErr w:type="gramEnd"/>
      <w:r w:rsidRPr="006422B4">
        <w:rPr>
          <w:rFonts w:ascii="Verdana" w:eastAsia="Aptos"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w:t>
      </w:r>
      <w:r w:rsidRPr="006422B4">
        <w:rPr>
          <w:rFonts w:ascii="Verdana" w:eastAsia="Aptos" w:hAnsi="Verdana" w:cs="Arial"/>
          <w:sz w:val="20"/>
          <w:szCs w:val="20"/>
          <w:lang w:val="es-ES_tradnl" w:eastAsia="es-MX"/>
        </w:rPr>
        <w:t>[…]”.</w:t>
      </w:r>
      <w:r w:rsidRPr="006422B4">
        <w:rPr>
          <w:rFonts w:ascii="Verdana" w:eastAsia="Aptos" w:hAnsi="Verdana" w:cs="Arial"/>
          <w:sz w:val="20"/>
          <w:szCs w:val="20"/>
          <w:vertAlign w:val="superscript"/>
          <w:lang w:val="es-ES" w:eastAsia="es-MX"/>
        </w:rPr>
        <w:footnoteReference w:id="5"/>
      </w:r>
    </w:p>
    <w:p w14:paraId="718678AF" w14:textId="77777777" w:rsidR="00B834C0" w:rsidRPr="006422B4" w:rsidRDefault="00B834C0" w:rsidP="00B834C0">
      <w:pPr>
        <w:snapToGrid w:val="0"/>
        <w:spacing w:after="0" w:line="240" w:lineRule="auto"/>
        <w:ind w:left="709" w:right="709"/>
        <w:jc w:val="both"/>
        <w:textAlignment w:val="baseline"/>
        <w:rPr>
          <w:rFonts w:ascii="Verdana" w:eastAsia="Aptos" w:hAnsi="Verdana" w:cs="Arial"/>
          <w:sz w:val="20"/>
          <w:szCs w:val="20"/>
          <w:lang w:val="es-ES" w:eastAsia="es-MX"/>
        </w:rPr>
      </w:pPr>
    </w:p>
    <w:p w14:paraId="4ED0C41A" w14:textId="77777777" w:rsidR="00B834C0" w:rsidRPr="006422B4" w:rsidRDefault="00B834C0" w:rsidP="00B834C0">
      <w:pPr>
        <w:tabs>
          <w:tab w:val="left" w:pos="709"/>
        </w:tabs>
        <w:snapToGrid w:val="0"/>
        <w:spacing w:after="120" w:line="276" w:lineRule="auto"/>
        <w:jc w:val="both"/>
        <w:rPr>
          <w:rFonts w:ascii="Verdana" w:eastAsia="Aptos" w:hAnsi="Verdana" w:cs="Arial"/>
          <w:bCs/>
        </w:rPr>
      </w:pPr>
      <w:r w:rsidRPr="006422B4">
        <w:rPr>
          <w:rFonts w:ascii="Verdana" w:eastAsia="Aptos" w:hAnsi="Verdana" w:cs="Arial"/>
          <w:bCs/>
        </w:rPr>
        <w:tab/>
        <w:t xml:space="preserve">De este modo, la interventoría puede caracterizarse de la siguiente manera: (i) es un mecanismo de vigilancia contingente en la medida que solo es obligatorio para el seguimiento de los contratos de obra adjudicados por </w:t>
      </w:r>
      <w:r w:rsidRPr="006422B4">
        <w:rPr>
          <w:rFonts w:ascii="Verdana" w:eastAsia="Aptos" w:hAnsi="Verdana" w:cs="Arial"/>
          <w:bCs/>
        </w:rPr>
        <w:lastRenderedPageBreak/>
        <w:t>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6422B4">
        <w:rPr>
          <w:rFonts w:ascii="Verdana" w:eastAsia="Aptos" w:hAnsi="Verdana" w:cs="Arial"/>
          <w:bCs/>
        </w:rPr>
        <w:t>ii</w:t>
      </w:r>
      <w:proofErr w:type="spellEnd"/>
      <w:r w:rsidRPr="006422B4">
        <w:rPr>
          <w:rFonts w:ascii="Verdana" w:eastAsia="Aptos" w:hAnsi="Verdana" w:cs="Arial"/>
          <w:bCs/>
        </w:rPr>
        <w:t>) También es un mecanismo de vigilancia que exige, en su ejecución, la utilización de conocimientos especializados. (</w:t>
      </w:r>
      <w:proofErr w:type="spellStart"/>
      <w:r w:rsidRPr="006422B4">
        <w:rPr>
          <w:rFonts w:ascii="Verdana" w:eastAsia="Aptos" w:hAnsi="Verdana" w:cs="Arial"/>
          <w:bCs/>
        </w:rPr>
        <w:t>iii</w:t>
      </w:r>
      <w:proofErr w:type="spellEnd"/>
      <w:r w:rsidRPr="006422B4">
        <w:rPr>
          <w:rFonts w:ascii="Verdana" w:eastAsia="Aptos" w:hAnsi="Verdana" w:cs="Arial"/>
          <w:bCs/>
        </w:rPr>
        <w:t>) Por lo anterior, la entidad contrata un experto, por regla general, mediante la modalidad de selección de concurso de méritos, al tratarse de una especie del contrato de consultoría –art. 32, numeral 2, inciso 2, Ley 80 de 1993</w:t>
      </w:r>
      <w:r w:rsidRPr="006422B4">
        <w:rPr>
          <w:rFonts w:ascii="Aptos" w:eastAsia="Aptos" w:hAnsi="Aptos" w:cs="Times New Roman"/>
          <w:kern w:val="2"/>
          <w:sz w:val="24"/>
          <w:szCs w:val="24"/>
          <w:vertAlign w:val="superscript"/>
          <w14:ligatures w14:val="standardContextual"/>
        </w:rPr>
        <w:footnoteReference w:id="6"/>
      </w:r>
      <w:r w:rsidRPr="006422B4">
        <w:rPr>
          <w:rFonts w:ascii="Verdana" w:eastAsia="Aptos" w:hAnsi="Verdana" w:cs="Arial"/>
          <w:bCs/>
        </w:rPr>
        <w:t>‒, de manera que la interventoría es realizada por “una persona natural o jurídica contratada para tal fin por la Entidad Estatal” –art. 83, Ley 1474–. Adicionalmente, (</w:t>
      </w:r>
      <w:proofErr w:type="spellStart"/>
      <w:r w:rsidRPr="006422B4">
        <w:rPr>
          <w:rFonts w:ascii="Verdana" w:eastAsia="Aptos" w:hAnsi="Verdana" w:cs="Arial"/>
          <w:bCs/>
        </w:rPr>
        <w:t>iv</w:t>
      </w:r>
      <w:proofErr w:type="spellEnd"/>
      <w:r w:rsidRPr="006422B4">
        <w:rPr>
          <w:rFonts w:ascii="Verdana" w:eastAsia="Aptos" w:hAnsi="Verdana" w:cs="Arial"/>
          <w:bCs/>
        </w:rPr>
        <w:t>) el seguimiento técnico es inherente a la interventoría para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Finalmente, (v) en caso de que no se encomiende al interventor el seguimiento total del contrato, en el contrato de interventoría “se deberán indicar las actividades técnicas a cargo del interventor y las demás quedarán a cargo de la Entidad a través del supervisor” –art. 83, inciso 3–. En cualquier caso (vi) el contrato de interventoría será supervisado directamente por la entidad –art. 23, inciso 4–.</w:t>
      </w:r>
    </w:p>
    <w:p w14:paraId="39FFF888" w14:textId="77777777" w:rsidR="00B834C0" w:rsidRPr="006422B4" w:rsidRDefault="00B834C0" w:rsidP="00B834C0">
      <w:pPr>
        <w:tabs>
          <w:tab w:val="left" w:pos="709"/>
        </w:tabs>
        <w:snapToGrid w:val="0"/>
        <w:spacing w:before="120" w:after="0" w:line="276" w:lineRule="auto"/>
        <w:jc w:val="both"/>
        <w:rPr>
          <w:rFonts w:ascii="Verdana" w:eastAsia="Aptos" w:hAnsi="Verdana" w:cs="Arial"/>
          <w:bCs/>
        </w:rPr>
      </w:pPr>
      <w:r w:rsidRPr="006422B4">
        <w:rPr>
          <w:rFonts w:ascii="Verdana" w:eastAsia="Aptos" w:hAnsi="Verdana" w:cs="Arial"/>
          <w:bCs/>
        </w:rPr>
        <w:tab/>
        <w:t xml:space="preserve">De lo anterior, se concluye que el interventor es un contratista externo a la Entidad Estatal y al contratista vigilado, de manera que es seleccionado por la entidad mediante los procedimientos del artículo 2 de la Ley 1150 de 2007, en principio, a través de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14:paraId="2BEE4024" w14:textId="77777777" w:rsidR="00B834C0" w:rsidRPr="006422B4" w:rsidRDefault="00B834C0" w:rsidP="00B834C0">
      <w:pPr>
        <w:tabs>
          <w:tab w:val="left" w:pos="709"/>
        </w:tabs>
        <w:snapToGrid w:val="0"/>
        <w:spacing w:before="120" w:after="0" w:line="276" w:lineRule="auto"/>
        <w:jc w:val="both"/>
        <w:rPr>
          <w:rFonts w:ascii="Verdana" w:eastAsia="Aptos" w:hAnsi="Verdana" w:cs="Arial"/>
          <w:bCs/>
        </w:rPr>
      </w:pPr>
      <w:r w:rsidRPr="006422B4">
        <w:rPr>
          <w:rFonts w:ascii="Verdana" w:eastAsia="Aptos" w:hAnsi="Verdana" w:cs="Arial"/>
          <w:bCs/>
        </w:rPr>
        <w:tab/>
      </w:r>
      <w:r w:rsidRPr="006422B4">
        <w:rPr>
          <w:rFonts w:ascii="Verdana" w:eastAsia="Calibri" w:hAnsi="Verdana" w:cs="Arial"/>
          <w:color w:val="000000"/>
          <w:kern w:val="2"/>
          <w14:ligatures w14:val="standardContextual"/>
        </w:rPr>
        <w:t xml:space="preserve">Ahora bien, 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w:t>
      </w:r>
      <w:r w:rsidRPr="006422B4">
        <w:rPr>
          <w:rFonts w:ascii="Verdana" w:eastAsia="Calibri" w:hAnsi="Verdana" w:cs="Arial"/>
          <w:color w:val="000000"/>
          <w:kern w:val="2"/>
          <w14:ligatures w14:val="standardContextual"/>
        </w:rPr>
        <w:lastRenderedPageBreak/>
        <w:t>interventor</w:t>
      </w:r>
      <w:r w:rsidRPr="006422B4">
        <w:rPr>
          <w:rFonts w:ascii="Verdana" w:eastAsia="Aptos" w:hAnsi="Verdana" w:cs="Times New Roman"/>
          <w:kern w:val="2"/>
          <w:vertAlign w:val="superscript"/>
          <w14:ligatures w14:val="standardContextual"/>
        </w:rPr>
        <w:footnoteReference w:id="7"/>
      </w:r>
      <w:r w:rsidRPr="006422B4">
        <w:rPr>
          <w:rFonts w:ascii="Verdana" w:eastAsia="Calibri" w:hAnsi="Verdana" w:cs="Arial"/>
          <w:color w:val="000000"/>
          <w:kern w:val="2"/>
          <w14:ligatures w14:val="standardContextual"/>
        </w:rPr>
        <w:t xml:space="preserve">. No obstante, a pesar de lo anterior, el contrato de interventoría es </w:t>
      </w:r>
      <w:r w:rsidRPr="006422B4">
        <w:rPr>
          <w:rFonts w:ascii="Verdana" w:eastAsia="Calibri" w:hAnsi="Verdana" w:cs="Arial"/>
          <w:i/>
          <w:iCs/>
          <w:color w:val="000000"/>
          <w:kern w:val="2"/>
          <w14:ligatures w14:val="standardContextual"/>
        </w:rPr>
        <w:t xml:space="preserve">independiente del otro contrato </w:t>
      </w:r>
      <w:r w:rsidRPr="006422B4">
        <w:rPr>
          <w:rFonts w:ascii="Verdana" w:eastAsia="Calibri" w:hAnsi="Verdana" w:cs="Arial"/>
          <w:color w:val="000000"/>
          <w:kern w:val="2"/>
          <w14:ligatures w14:val="standardContextual"/>
        </w:rPr>
        <w:t>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w:t>
      </w:r>
      <w:r w:rsidRPr="006422B4">
        <w:rPr>
          <w:rFonts w:ascii="Verdana" w:eastAsia="Aptos" w:hAnsi="Verdana" w:cs="Times New Roman"/>
          <w:kern w:val="2"/>
          <w:vertAlign w:val="superscript"/>
          <w14:ligatures w14:val="standardContextual"/>
        </w:rPr>
        <w:footnoteReference w:id="8"/>
      </w:r>
      <w:r w:rsidRPr="006422B4">
        <w:rPr>
          <w:rFonts w:ascii="Verdana" w:eastAsia="Calibri" w:hAnsi="Verdana" w:cs="Arial"/>
          <w:color w:val="000000"/>
          <w:kern w:val="2"/>
          <w14:ligatures w14:val="standardContextual"/>
        </w:rPr>
        <w:t xml:space="preserve">.  </w:t>
      </w:r>
    </w:p>
    <w:p w14:paraId="6E1F6A89" w14:textId="77777777" w:rsidR="00B834C0" w:rsidRPr="006422B4" w:rsidRDefault="00B834C0" w:rsidP="00B834C0">
      <w:pPr>
        <w:pStyle w:val="Sinespaciado"/>
        <w:spacing w:before="120" w:line="276" w:lineRule="auto"/>
        <w:ind w:firstLine="708"/>
        <w:jc w:val="both"/>
        <w:rPr>
          <w:rFonts w:ascii="Verdana" w:hAnsi="Verdana" w:cs="Arial"/>
          <w:sz w:val="22"/>
        </w:rPr>
      </w:pPr>
      <w:r w:rsidRPr="006422B4">
        <w:rPr>
          <w:rFonts w:ascii="Verdana" w:hAnsi="Verdana" w:cs="Arial"/>
          <w:sz w:val="22"/>
        </w:rPr>
        <w:t>Es así como el contrato de interventoría es un contrato bilateral, conmutativo y oneroso, por lo que crea obligaciones tanto para la entidad contratante como para el contratista interventor. Estas obligaciones deben guardar una correlativa equivalencia entre las prestaciones y derechos de ambas partes, por las que a su vez cada una de ellas recibe un beneficio. Por lo tanto, el interventor tiene derecho a recibir el pago de una contraprestación, remuneración o precio</w:t>
      </w:r>
      <w:r w:rsidRPr="006422B4">
        <w:rPr>
          <w:rFonts w:ascii="Verdana" w:hAnsi="Verdana"/>
          <w:sz w:val="22"/>
          <w:vertAlign w:val="superscript"/>
        </w:rPr>
        <w:footnoteReference w:id="9"/>
      </w:r>
      <w:r w:rsidRPr="006422B4">
        <w:rPr>
          <w:rFonts w:ascii="Verdana" w:hAnsi="Verdana" w:cs="Arial"/>
          <w:sz w:val="22"/>
        </w:rPr>
        <w:t>, en los términos pactados en el contrato, por la adecuada y oportuna ejecución del objeto contractual, derecho que se encuentra reconocido en el numeral 1 del artículo 5 de la Ley 80 de 1993</w:t>
      </w:r>
      <w:r w:rsidRPr="006422B4">
        <w:rPr>
          <w:rFonts w:ascii="Verdana" w:hAnsi="Verdana"/>
          <w:sz w:val="22"/>
          <w:vertAlign w:val="superscript"/>
        </w:rPr>
        <w:footnoteReference w:id="10"/>
      </w:r>
      <w:r w:rsidRPr="006422B4">
        <w:rPr>
          <w:rFonts w:ascii="Verdana" w:hAnsi="Verdana" w:cs="Arial"/>
          <w:sz w:val="22"/>
        </w:rPr>
        <w:t xml:space="preserve">. </w:t>
      </w:r>
    </w:p>
    <w:p w14:paraId="4646F238" w14:textId="77777777" w:rsidR="00B834C0" w:rsidRPr="006422B4" w:rsidRDefault="00B834C0" w:rsidP="00B834C0">
      <w:pPr>
        <w:spacing w:before="120" w:after="120" w:line="276" w:lineRule="auto"/>
        <w:ind w:firstLine="708"/>
        <w:jc w:val="both"/>
        <w:rPr>
          <w:rFonts w:ascii="Verdana" w:eastAsia="Arial" w:hAnsi="Verdana" w:cstheme="majorHAnsi"/>
          <w:lang w:val="es-ES"/>
        </w:rPr>
      </w:pPr>
      <w:r w:rsidRPr="006422B4">
        <w:rPr>
          <w:rFonts w:ascii="Verdana" w:eastAsia="Arial" w:hAnsi="Verdana" w:cstheme="majorHAnsi"/>
          <w:lang w:val="es-ES"/>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contrato. De esta manera, tanto la definición del esquema para estipular el precio como la forma de pago hacen parte de los </w:t>
      </w:r>
      <w:r w:rsidRPr="006422B4">
        <w:rPr>
          <w:rFonts w:ascii="Verdana" w:eastAsia="Arial" w:hAnsi="Verdana" w:cstheme="majorHAnsi"/>
          <w:lang w:val="es-ES"/>
        </w:rPr>
        <w:lastRenderedPageBreak/>
        <w:t>estudios previos. Estas disposiciones generalmente dependen del tipo de contrato, pues existen algunas modalidades más comunes en los de obra pública, otras más utilizadas en los de prestación de servicios y otras más indicadas para los de concesión, por mencionar algunos ejemplos</w:t>
      </w:r>
      <w:r w:rsidRPr="006422B4">
        <w:rPr>
          <w:rFonts w:ascii="Verdana" w:eastAsia="Arial" w:hAnsi="Verdana" w:cstheme="majorHAnsi"/>
          <w:vertAlign w:val="superscript"/>
          <w:lang w:val="es-ES"/>
        </w:rPr>
        <w:footnoteReference w:id="11"/>
      </w:r>
      <w:r w:rsidRPr="006422B4">
        <w:rPr>
          <w:rFonts w:ascii="Verdana" w:eastAsia="Arial" w:hAnsi="Verdana" w:cstheme="majorHAnsi"/>
          <w:lang w:val="es-ES"/>
        </w:rPr>
        <w:t>.</w:t>
      </w:r>
    </w:p>
    <w:p w14:paraId="2AC73020" w14:textId="77777777" w:rsidR="00B834C0" w:rsidRPr="006422B4" w:rsidRDefault="00B834C0" w:rsidP="00B834C0">
      <w:pPr>
        <w:spacing w:before="120" w:after="120" w:line="276" w:lineRule="auto"/>
        <w:ind w:firstLine="708"/>
        <w:jc w:val="both"/>
        <w:rPr>
          <w:rFonts w:ascii="Verdana" w:eastAsia="Arial" w:hAnsi="Verdana" w:cstheme="majorHAnsi"/>
          <w:lang w:val="es-ES"/>
        </w:rPr>
      </w:pPr>
      <w:r w:rsidRPr="006422B4">
        <w:rPr>
          <w:rFonts w:ascii="Verdana" w:eastAsia="Arial" w:hAnsi="Verdana" w:cstheme="majorHAnsi"/>
          <w:lang w:val="es-ES"/>
        </w:rPr>
        <w:t xml:space="preserve">En todo caso, </w:t>
      </w:r>
      <w:r w:rsidRPr="006422B4">
        <w:rPr>
          <w:rFonts w:ascii="Verdana" w:hAnsi="Verdana" w:cs="Arial"/>
        </w:rPr>
        <w:t xml:space="preserve">el interventor y la entidad cuentan con la </w:t>
      </w:r>
      <w:r w:rsidRPr="006422B4">
        <w:rPr>
          <w:rFonts w:ascii="Verdana" w:hAnsi="Verdana" w:cs="Arial"/>
          <w:i/>
          <w:iCs/>
        </w:rPr>
        <w:t>libertad negocial</w:t>
      </w:r>
      <w:r w:rsidRPr="006422B4">
        <w:rPr>
          <w:rFonts w:ascii="Verdana" w:hAnsi="Verdana" w:cs="Arial"/>
        </w:rPr>
        <w:t xml:space="preserve"> para determinar los aspectos del contrato, entendiéndose incluida en esta libertad la capacidad de definir la forma de pago, pues </w:t>
      </w:r>
      <w:r w:rsidRPr="006422B4">
        <w:rPr>
          <w:rFonts w:ascii="Verdana" w:eastAsia="Arial" w:hAnsi="Verdana" w:cstheme="majorHAnsi"/>
          <w:lang w:val="es-ES"/>
        </w:rPr>
        <w:t>no existe una sola metodología para pactar el precio y la forma de pago y, en gran medida, la manera de hacerlo obedece a la costumbre mercantil y a la influencia de disciplinas técnicas, como la ingeniería o la administración de empresas, en la contratación estatal. Por ejemplo, dentro de los esquemas para fijar el precio se encuentran: (i) los precios unitarios –calculados de acuerdo con las unidades que componen el objeto del contrato–, (</w:t>
      </w:r>
      <w:proofErr w:type="spellStart"/>
      <w:r w:rsidRPr="006422B4">
        <w:rPr>
          <w:rFonts w:ascii="Verdana" w:eastAsia="Arial" w:hAnsi="Verdana" w:cstheme="majorHAnsi"/>
          <w:lang w:val="es-ES"/>
        </w:rPr>
        <w:t>ii</w:t>
      </w:r>
      <w:proofErr w:type="spellEnd"/>
      <w:r w:rsidRPr="006422B4">
        <w:rPr>
          <w:rFonts w:ascii="Verdana" w:eastAsia="Arial" w:hAnsi="Verdana" w:cstheme="majorHAnsi"/>
          <w:lang w:val="es-ES"/>
        </w:rPr>
        <w:t>) el precio global –que equivale al monto total, sin discriminar unidades–, y (</w:t>
      </w:r>
      <w:proofErr w:type="spellStart"/>
      <w:r w:rsidRPr="006422B4">
        <w:rPr>
          <w:rFonts w:ascii="Verdana" w:eastAsia="Arial" w:hAnsi="Verdana" w:cstheme="majorHAnsi"/>
          <w:lang w:val="es-ES"/>
        </w:rPr>
        <w:t>iii</w:t>
      </w:r>
      <w:proofErr w:type="spellEnd"/>
      <w:r w:rsidRPr="006422B4">
        <w:rPr>
          <w:rFonts w:ascii="Verdana" w:eastAsia="Arial" w:hAnsi="Verdana" w:cstheme="majorHAnsi"/>
          <w:lang w:val="es-ES"/>
        </w:rPr>
        <w:t>) la administración delegada de recursos –en la que se distinguen los costos de inversión de los honorarios del administrador–.</w:t>
      </w:r>
    </w:p>
    <w:p w14:paraId="368E170A" w14:textId="77777777" w:rsidR="00B834C0" w:rsidRPr="006422B4" w:rsidRDefault="00B834C0" w:rsidP="00B834C0">
      <w:pPr>
        <w:spacing w:before="120" w:after="0" w:line="276" w:lineRule="auto"/>
        <w:ind w:firstLine="708"/>
        <w:jc w:val="both"/>
        <w:rPr>
          <w:rFonts w:ascii="Verdana" w:eastAsia="Arial" w:hAnsi="Verdana" w:cstheme="majorHAnsi"/>
          <w:lang w:val="es-ES"/>
        </w:rPr>
      </w:pPr>
      <w:r w:rsidRPr="006422B4">
        <w:rPr>
          <w:rFonts w:ascii="Verdana" w:eastAsia="Arial" w:hAnsi="Verdana" w:cstheme="majorHAnsi"/>
          <w:lang w:val="es-ES"/>
        </w:rPr>
        <w:t xml:space="preserve">Así las cosas, las entidades gozan de autonomía para configurar el precio y para establecer el sistema de pago más apropiado para satisfacer los fines de la contratación y cumplir con los objetivos de vigilancia del contrato de interventoría, respetando los límites previstos en el ordenamiento. Para las entidades que se rigen por el Estatuto General de Contratación de la </w:t>
      </w:r>
      <w:r w:rsidRPr="006422B4">
        <w:rPr>
          <w:rFonts w:ascii="Verdana" w:eastAsia="Arial" w:hAnsi="Verdana" w:cstheme="majorHAnsi"/>
          <w:lang w:val="es-ES"/>
        </w:rPr>
        <w:lastRenderedPageBreak/>
        <w:t>Administración Pública, esta autonomía está reconocida en los artículos 13</w:t>
      </w:r>
      <w:r w:rsidRPr="006422B4">
        <w:rPr>
          <w:rStyle w:val="Refdenotaalpie"/>
          <w:rFonts w:ascii="Verdana" w:eastAsia="Arial" w:hAnsi="Verdana" w:cstheme="majorHAnsi"/>
          <w:lang w:val="es-ES"/>
        </w:rPr>
        <w:footnoteReference w:id="12"/>
      </w:r>
      <w:r w:rsidRPr="006422B4">
        <w:rPr>
          <w:rFonts w:ascii="Verdana" w:eastAsia="Arial" w:hAnsi="Verdana" w:cstheme="majorHAnsi"/>
          <w:lang w:val="es-ES"/>
        </w:rPr>
        <w:t>, 32</w:t>
      </w:r>
      <w:r w:rsidRPr="006422B4">
        <w:rPr>
          <w:rStyle w:val="Refdenotaalpie"/>
          <w:rFonts w:ascii="Verdana" w:eastAsia="Arial" w:hAnsi="Verdana" w:cstheme="majorHAnsi"/>
          <w:lang w:val="es-ES"/>
        </w:rPr>
        <w:footnoteReference w:id="13"/>
      </w:r>
      <w:r w:rsidRPr="006422B4">
        <w:rPr>
          <w:rFonts w:ascii="Verdana" w:eastAsia="Arial" w:hAnsi="Verdana" w:cstheme="majorHAnsi"/>
          <w:lang w:val="es-ES"/>
        </w:rPr>
        <w:t xml:space="preserve"> y 40 de la Ley 80 de 1993. En particular, éste último señala que:</w:t>
      </w:r>
    </w:p>
    <w:p w14:paraId="0416A531" w14:textId="77777777" w:rsidR="00B834C0" w:rsidRPr="006422B4" w:rsidRDefault="00B834C0" w:rsidP="00B834C0">
      <w:pPr>
        <w:spacing w:after="0" w:line="276" w:lineRule="auto"/>
        <w:ind w:firstLine="708"/>
        <w:jc w:val="both"/>
        <w:rPr>
          <w:rFonts w:ascii="Verdana" w:eastAsia="Arial" w:hAnsi="Verdana" w:cstheme="majorHAnsi"/>
          <w:lang w:val="es-ES"/>
        </w:rPr>
      </w:pPr>
    </w:p>
    <w:p w14:paraId="73CBF202" w14:textId="77777777" w:rsidR="00B834C0" w:rsidRPr="006422B4" w:rsidRDefault="00B834C0" w:rsidP="00B834C0">
      <w:pPr>
        <w:snapToGrid w:val="0"/>
        <w:spacing w:after="120" w:line="240" w:lineRule="auto"/>
        <w:ind w:left="709" w:right="709"/>
        <w:jc w:val="both"/>
        <w:textAlignment w:val="baseline"/>
        <w:rPr>
          <w:rFonts w:ascii="Verdana" w:eastAsia="Aptos" w:hAnsi="Verdana" w:cs="Arial"/>
          <w:sz w:val="20"/>
          <w:szCs w:val="20"/>
          <w:lang w:val="es-ES" w:eastAsia="es-MX"/>
        </w:rPr>
      </w:pPr>
      <w:r w:rsidRPr="006422B4">
        <w:rPr>
          <w:rFonts w:ascii="Verdana" w:eastAsia="Aptos" w:hAnsi="Verdana" w:cs="Arial"/>
          <w:sz w:val="20"/>
          <w:szCs w:val="20"/>
          <w:lang w:val="es-ES" w:eastAsia="es-MX"/>
        </w:rPr>
        <w:t xml:space="preserve">“Las estipulaciones de los contratos serán las </w:t>
      </w:r>
      <w:proofErr w:type="gramStart"/>
      <w:r w:rsidRPr="006422B4">
        <w:rPr>
          <w:rFonts w:ascii="Verdana" w:eastAsia="Aptos" w:hAnsi="Verdana" w:cs="Arial"/>
          <w:sz w:val="20"/>
          <w:szCs w:val="20"/>
          <w:lang w:val="es-ES" w:eastAsia="es-MX"/>
        </w:rPr>
        <w:t>que</w:t>
      </w:r>
      <w:proofErr w:type="gramEnd"/>
      <w:r w:rsidRPr="006422B4">
        <w:rPr>
          <w:rFonts w:ascii="Verdana" w:eastAsia="Aptos" w:hAnsi="Verdana" w:cs="Arial"/>
          <w:sz w:val="20"/>
          <w:szCs w:val="20"/>
          <w:lang w:val="es-ES" w:eastAsia="es-MX"/>
        </w:rPr>
        <w:t xml:space="preserve"> de acuerdo con las normas civiles, comerciales y las previstas en esta Ley, correspondan a su esencia y naturaleza.</w:t>
      </w:r>
    </w:p>
    <w:p w14:paraId="7210332E" w14:textId="77777777" w:rsidR="00B834C0" w:rsidRPr="006422B4" w:rsidRDefault="00B834C0" w:rsidP="00B834C0">
      <w:pPr>
        <w:snapToGrid w:val="0"/>
        <w:spacing w:before="120" w:after="120" w:line="240" w:lineRule="auto"/>
        <w:ind w:left="709" w:right="709"/>
        <w:jc w:val="both"/>
        <w:textAlignment w:val="baseline"/>
        <w:rPr>
          <w:rFonts w:ascii="Verdana" w:eastAsia="Aptos" w:hAnsi="Verdana" w:cs="Arial"/>
          <w:sz w:val="20"/>
          <w:szCs w:val="20"/>
          <w:lang w:val="es-ES_tradnl" w:eastAsia="es-MX"/>
        </w:rPr>
      </w:pPr>
      <w:r w:rsidRPr="006422B4">
        <w:rPr>
          <w:rFonts w:ascii="Verdana" w:eastAsia="Aptos" w:hAnsi="Verdana" w:cs="Arial"/>
          <w:sz w:val="20"/>
          <w:szCs w:val="20"/>
          <w:lang w:val="es-ES_tradnl" w:eastAsia="es-MX"/>
        </w:rPr>
        <w:t>Las entidades podrán celebrar los contratos y acuerdos que permitan la autonomía de la voluntad y requieran el cumplimiento de los fines estatales.</w:t>
      </w:r>
    </w:p>
    <w:p w14:paraId="728860AC" w14:textId="77777777" w:rsidR="00B834C0" w:rsidRPr="006422B4" w:rsidRDefault="00B834C0" w:rsidP="00B834C0">
      <w:pPr>
        <w:snapToGrid w:val="0"/>
        <w:spacing w:before="120" w:after="120" w:line="240" w:lineRule="auto"/>
        <w:ind w:left="709" w:right="709"/>
        <w:jc w:val="both"/>
        <w:textAlignment w:val="baseline"/>
        <w:rPr>
          <w:rFonts w:ascii="Verdana" w:eastAsia="Aptos" w:hAnsi="Verdana" w:cs="Arial"/>
          <w:sz w:val="20"/>
          <w:szCs w:val="20"/>
          <w:lang w:val="es-ES" w:eastAsia="es-MX"/>
        </w:rPr>
      </w:pPr>
      <w:r w:rsidRPr="006422B4">
        <w:rPr>
          <w:rFonts w:ascii="Verdana" w:eastAsia="Aptos" w:hAnsi="Verdana" w:cs="Arial"/>
          <w:sz w:val="20"/>
          <w:szCs w:val="20"/>
          <w:lang w:val="es-ES" w:eastAsia="es-MX"/>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74F19527" w14:textId="77777777" w:rsidR="00B834C0" w:rsidRPr="006422B4" w:rsidRDefault="00B834C0" w:rsidP="00B834C0">
      <w:pPr>
        <w:snapToGrid w:val="0"/>
        <w:spacing w:before="120" w:after="0" w:line="240" w:lineRule="auto"/>
        <w:ind w:left="709" w:right="709"/>
        <w:jc w:val="both"/>
        <w:textAlignment w:val="baseline"/>
        <w:rPr>
          <w:rFonts w:ascii="Verdana" w:eastAsia="Aptos" w:hAnsi="Verdana" w:cs="Arial"/>
          <w:sz w:val="20"/>
          <w:szCs w:val="20"/>
          <w:lang w:val="es-ES_tradnl" w:eastAsia="es-MX"/>
        </w:rPr>
      </w:pPr>
      <w:r w:rsidRPr="006422B4">
        <w:rPr>
          <w:rFonts w:ascii="Verdana" w:eastAsia="Aptos" w:hAnsi="Verdana" w:cs="Arial"/>
          <w:sz w:val="20"/>
          <w:szCs w:val="20"/>
          <w:lang w:val="es-ES_tradnl" w:eastAsia="es-MX"/>
        </w:rPr>
        <w:t>En los contratos de empréstito o cualquier otra forma de financiación de organismos multilaterales, podrán incluirse las previsiones y particularidades contempladas en los reglamentos de tales entidades, que no sean contrarias a la Constitución o a la ley […]”</w:t>
      </w:r>
    </w:p>
    <w:p w14:paraId="72F3DDF2" w14:textId="77777777" w:rsidR="00B834C0" w:rsidRPr="003874D5" w:rsidRDefault="00B834C0" w:rsidP="00B834C0">
      <w:pPr>
        <w:snapToGrid w:val="0"/>
        <w:spacing w:after="120" w:line="276" w:lineRule="auto"/>
        <w:ind w:firstLine="644"/>
        <w:jc w:val="both"/>
        <w:rPr>
          <w:rFonts w:ascii="Verdana" w:eastAsia="Calibri" w:hAnsi="Verdana" w:cs="Arial"/>
          <w:lang w:val="es-ES_tradnl"/>
        </w:rPr>
      </w:pPr>
    </w:p>
    <w:p w14:paraId="10967298" w14:textId="77777777" w:rsidR="00B834C0" w:rsidRPr="00745C0D" w:rsidRDefault="00B834C0" w:rsidP="00B834C0">
      <w:pPr>
        <w:widowControl w:val="0"/>
        <w:autoSpaceDE w:val="0"/>
        <w:autoSpaceDN w:val="0"/>
        <w:snapToGrid w:val="0"/>
        <w:spacing w:after="120" w:line="276" w:lineRule="auto"/>
        <w:ind w:left="709" w:right="709" w:firstLine="707"/>
        <w:jc w:val="both"/>
        <w:rPr>
          <w:rFonts w:ascii="Verdana" w:eastAsia="Times New Roman" w:hAnsi="Verdana" w:cs="Arial"/>
          <w:color w:val="000000" w:themeColor="text1"/>
          <w:sz w:val="16"/>
          <w:szCs w:val="16"/>
          <w:lang w:val="es-ES" w:eastAsia="es-CO"/>
        </w:rPr>
      </w:pPr>
      <w:r w:rsidRPr="00377B34">
        <w:rPr>
          <w:rFonts w:ascii="Verdana" w:eastAsia="Times New Roman" w:hAnsi="Verdana" w:cs="Arial"/>
          <w:color w:val="000000" w:themeColor="text1"/>
          <w:sz w:val="16"/>
          <w:szCs w:val="16"/>
          <w:lang w:val="es-ES" w:eastAsia="es-CO"/>
        </w:rPr>
        <w:tab/>
      </w:r>
      <w:r w:rsidRPr="00377B34">
        <w:rPr>
          <w:rFonts w:ascii="Verdana" w:eastAsia="Times New Roman" w:hAnsi="Verdana" w:cs="Arial"/>
          <w:color w:val="000000" w:themeColor="text1"/>
          <w:sz w:val="16"/>
          <w:szCs w:val="16"/>
          <w:lang w:val="es-ES" w:eastAsia="es-CO"/>
        </w:rPr>
        <w:tab/>
      </w:r>
      <w:r w:rsidRPr="00377B34">
        <w:rPr>
          <w:rFonts w:ascii="Verdana" w:eastAsia="Times New Roman" w:hAnsi="Verdana" w:cs="Arial"/>
          <w:color w:val="000000" w:themeColor="text1"/>
          <w:sz w:val="16"/>
          <w:szCs w:val="16"/>
          <w:lang w:val="es-ES" w:eastAsia="es-CO"/>
        </w:rPr>
        <w:tab/>
      </w:r>
      <w:r w:rsidRPr="00377B34">
        <w:rPr>
          <w:rFonts w:ascii="Verdana" w:eastAsia="Times New Roman" w:hAnsi="Verdana" w:cs="Arial"/>
          <w:color w:val="000000" w:themeColor="text1"/>
          <w:sz w:val="16"/>
          <w:szCs w:val="16"/>
          <w:lang w:val="es-ES" w:eastAsia="es-CO"/>
        </w:rPr>
        <w:tab/>
      </w:r>
    </w:p>
    <w:p w14:paraId="76B6F76C" w14:textId="77777777" w:rsidR="00B834C0" w:rsidRPr="00A74B14" w:rsidRDefault="00B834C0" w:rsidP="00B834C0">
      <w:pPr>
        <w:spacing w:after="120" w:line="276" w:lineRule="auto"/>
        <w:jc w:val="both"/>
        <w:rPr>
          <w:rFonts w:ascii="Verdana" w:eastAsia="Calibri" w:hAnsi="Verdana"/>
          <w:lang w:val="es-ES" w:eastAsia="es-MX"/>
        </w:rPr>
      </w:pPr>
      <w:r w:rsidRPr="00C13BAC">
        <w:rPr>
          <w:rFonts w:ascii="Verdana" w:eastAsia="Calibri" w:hAnsi="Verdana" w:cs="Times New Roman"/>
          <w:lang w:eastAsia="es-MX"/>
        </w:rPr>
        <w:t>II).</w:t>
      </w:r>
      <w:r>
        <w:rPr>
          <w:rFonts w:ascii="Verdana" w:eastAsia="Calibri" w:hAnsi="Verdana" w:cs="Times New Roman"/>
          <w:lang w:eastAsia="es-MX"/>
        </w:rPr>
        <w:t xml:space="preserve"> </w:t>
      </w:r>
      <w:r w:rsidRPr="00A74B14">
        <w:rPr>
          <w:rFonts w:ascii="Verdana" w:eastAsia="Calibri" w:hAnsi="Verdana"/>
          <w:lang w:val="es-ES" w:eastAsia="es-MX"/>
        </w:rPr>
        <w:t>A efectos de dar respuesta al interrogante planteado, conviene señalar que el principio de planeación contractual constituye una herramienta de gerencia pública que exige a las Entidades Estatales estructurar sus procesos de contratación a partir de la identificación de las necesidades que pretenden satisfacer y del análisis de las alternativas disponibles para atenderlas de manera eficiente, considerando las condiciones del mercado, los costos, los riesgos y las demás circunstancias relevantes para la contratación.</w:t>
      </w:r>
    </w:p>
    <w:p w14:paraId="643EF201" w14:textId="77777777" w:rsidR="00B834C0" w:rsidRPr="00F252D7" w:rsidRDefault="00B834C0" w:rsidP="00B834C0">
      <w:pPr>
        <w:spacing w:after="120" w:line="276" w:lineRule="auto"/>
        <w:contextualSpacing/>
        <w:jc w:val="both"/>
        <w:rPr>
          <w:rFonts w:ascii="Verdana" w:eastAsia="Calibri" w:hAnsi="Verdana" w:cs="Arial"/>
          <w:bCs/>
          <w:lang w:val="es-ES" w:eastAsia="es-ES_tradnl"/>
        </w:rPr>
      </w:pPr>
      <w:r>
        <w:rPr>
          <w:rFonts w:ascii="Verdana" w:eastAsia="Times New Roman" w:hAnsi="Verdana" w:cs="Arial"/>
          <w:lang w:val="es-ES_tradnl" w:eastAsia="es-MX"/>
        </w:rPr>
        <w:tab/>
      </w:r>
      <w:r w:rsidRPr="00F252D7">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w:t>
      </w:r>
      <w:r w:rsidRPr="00F252D7">
        <w:rPr>
          <w:rFonts w:ascii="Verdana" w:eastAsia="Calibri" w:hAnsi="Verdana" w:cs="Arial"/>
          <w:bCs/>
          <w:lang w:val="es-MX" w:eastAsia="es-ES_tradnl"/>
        </w:rPr>
        <w:lastRenderedPageBreak/>
        <w:t xml:space="preserve">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5DD6EF4C" w14:textId="77777777" w:rsidR="00B834C0" w:rsidRPr="00F252D7" w:rsidRDefault="00B834C0" w:rsidP="00B834C0">
      <w:pPr>
        <w:spacing w:after="0" w:line="276" w:lineRule="auto"/>
        <w:ind w:firstLine="709"/>
        <w:jc w:val="both"/>
        <w:rPr>
          <w:rFonts w:ascii="Verdana" w:eastAsia="Calibri" w:hAnsi="Verdana" w:cs="Arial"/>
          <w:bCs/>
          <w:lang w:val="es-ES" w:eastAsia="es-ES_tradnl"/>
        </w:rPr>
      </w:pPr>
    </w:p>
    <w:p w14:paraId="19A715C5" w14:textId="77777777" w:rsidR="00B834C0" w:rsidRPr="00BB0DA7" w:rsidRDefault="00B834C0" w:rsidP="00B834C0">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39FAF445" w14:textId="77777777" w:rsidR="00B834C0" w:rsidRPr="00BB0DA7" w:rsidRDefault="00B834C0" w:rsidP="00B834C0">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w:t>
      </w:r>
    </w:p>
    <w:p w14:paraId="6B79BC67" w14:textId="77777777" w:rsidR="00B834C0" w:rsidRPr="00BB0DA7" w:rsidRDefault="00B834C0" w:rsidP="00B834C0">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83DA43E" w14:textId="77777777" w:rsidR="00B834C0" w:rsidRPr="00BB0DA7" w:rsidRDefault="00B834C0" w:rsidP="00B834C0">
      <w:pPr>
        <w:spacing w:after="0" w:line="240" w:lineRule="auto"/>
        <w:ind w:left="709" w:right="709"/>
        <w:contextualSpacing/>
        <w:jc w:val="both"/>
        <w:rPr>
          <w:rFonts w:ascii="Verdana" w:eastAsia="Calibri" w:hAnsi="Verdana" w:cs="Arial"/>
          <w:sz w:val="20"/>
          <w:szCs w:val="20"/>
          <w:lang w:val="es-MX" w:eastAsia="es-ES_tradnl"/>
        </w:rPr>
      </w:pPr>
    </w:p>
    <w:p w14:paraId="2FD2BCDC" w14:textId="77777777" w:rsidR="00B834C0" w:rsidRPr="00BB0DA7" w:rsidRDefault="00B834C0" w:rsidP="00B834C0">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42A411B3" w14:textId="77777777" w:rsidR="00B834C0" w:rsidRPr="00BB0DA7" w:rsidRDefault="00B834C0" w:rsidP="00B834C0">
      <w:pPr>
        <w:spacing w:after="0" w:line="240" w:lineRule="auto"/>
        <w:ind w:left="709" w:right="709"/>
        <w:contextualSpacing/>
        <w:jc w:val="both"/>
        <w:rPr>
          <w:rFonts w:ascii="Verdana" w:eastAsia="Calibri" w:hAnsi="Verdana" w:cs="Arial"/>
          <w:sz w:val="20"/>
          <w:szCs w:val="20"/>
          <w:lang w:val="es-MX" w:eastAsia="es-ES_tradnl"/>
        </w:rPr>
      </w:pPr>
    </w:p>
    <w:p w14:paraId="2B47C856"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7BDD4994"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p>
    <w:p w14:paraId="735CB7C3"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47029D90" w14:textId="77777777" w:rsidR="00B834C0" w:rsidRPr="00F252D7" w:rsidRDefault="00B834C0" w:rsidP="00B834C0">
      <w:pPr>
        <w:spacing w:after="0" w:line="276" w:lineRule="auto"/>
        <w:jc w:val="both"/>
        <w:rPr>
          <w:rFonts w:ascii="Verdana" w:eastAsia="Times New Roman" w:hAnsi="Verdana" w:cs="Arial"/>
          <w:lang w:val="es-ES_tradnl" w:eastAsia="es-MX"/>
        </w:rPr>
      </w:pPr>
    </w:p>
    <w:p w14:paraId="4A63828A" w14:textId="77777777" w:rsidR="00B834C0" w:rsidRPr="00F252D7" w:rsidRDefault="00B834C0" w:rsidP="00B834C0">
      <w:pPr>
        <w:spacing w:after="0" w:line="276" w:lineRule="auto"/>
        <w:ind w:firstLine="708"/>
        <w:contextualSpacing/>
        <w:jc w:val="both"/>
        <w:rPr>
          <w:rFonts w:ascii="Verdana" w:eastAsia="Times New Roman" w:hAnsi="Verdana" w:cs="Arial"/>
          <w:lang w:val="es-ES_tradnl" w:eastAsia="es-MX"/>
        </w:rPr>
      </w:pPr>
      <w:r w:rsidRPr="00F252D7">
        <w:rPr>
          <w:rFonts w:ascii="Verdana" w:eastAsia="Times New Roman" w:hAnsi="Verdana" w:cs="Arial"/>
          <w:lang w:val="es-ES_tradnl" w:eastAsia="es-MX"/>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w:t>
      </w:r>
      <w:r w:rsidRPr="00F252D7">
        <w:rPr>
          <w:rFonts w:ascii="Verdana" w:eastAsia="Times New Roman" w:hAnsi="Verdana" w:cs="Arial"/>
          <w:lang w:val="es-ES_tradnl" w:eastAsia="es-MX"/>
        </w:rPr>
        <w:lastRenderedPageBreak/>
        <w:t>apertura, declaratorias de desierta de procesos de selección, comisión de faltas disciplinarias, mayores costos o mayor permanencia de la obra y, en general, el fracaso en la ejecución de contratos estatales”</w:t>
      </w:r>
      <w:r w:rsidRPr="00F252D7">
        <w:rPr>
          <w:rFonts w:ascii="Geomanist Light" w:hAnsi="Geomanist Light"/>
          <w:vertAlign w:val="superscript"/>
          <w:lang w:val="es-ES" w:eastAsia="es-MX"/>
        </w:rPr>
        <w:footnoteReference w:id="14"/>
      </w:r>
      <w:r w:rsidRPr="00F252D7">
        <w:rPr>
          <w:rFonts w:ascii="Verdana" w:eastAsia="Times New Roman" w:hAnsi="Verdana" w:cs="Arial"/>
          <w:lang w:val="es-ES_tradnl" w:eastAsia="es-MX"/>
        </w:rPr>
        <w:t>. En congruencia con el artículo 25 de la Ley 80 de 1993, el Decreto Único Reglamentario del Sector Administrativo de Planeación Nacional –Decreto 1082 de 2015–, dispone en el artículo 2.2.1.1.2.1.1 el contenido mínimo de los estudios y documentos previos:</w:t>
      </w:r>
    </w:p>
    <w:p w14:paraId="6693D12E" w14:textId="77777777" w:rsidR="00B834C0" w:rsidRPr="00F252D7" w:rsidRDefault="00B834C0" w:rsidP="00B834C0">
      <w:pPr>
        <w:spacing w:after="0" w:line="276" w:lineRule="auto"/>
        <w:rPr>
          <w:rFonts w:ascii="Verdana" w:eastAsia="Times New Roman" w:hAnsi="Verdana" w:cs="Arial"/>
          <w:lang w:val="es-ES_tradnl" w:eastAsia="es-CO"/>
        </w:rPr>
      </w:pPr>
    </w:p>
    <w:p w14:paraId="4FCCC4E0"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7DA9A62E"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p>
    <w:p w14:paraId="7059269F"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1. La descripción de la necesidad que la Entidad Estatal pretende satisfacer con el Proceso de Contratación. </w:t>
      </w:r>
      <w:r w:rsidRPr="00BB0DA7">
        <w:rPr>
          <w:rFonts w:ascii="Arial" w:eastAsia="Times New Roman" w:hAnsi="Arial" w:cs="Arial"/>
          <w:sz w:val="20"/>
          <w:szCs w:val="20"/>
          <w:lang w:val="es-ES_tradnl" w:eastAsia="es-MX"/>
        </w:rPr>
        <w:t>​</w:t>
      </w:r>
    </w:p>
    <w:p w14:paraId="272BA1F7"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p>
    <w:p w14:paraId="4FF1527A"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77F5F2AD"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p>
    <w:p w14:paraId="316BC751"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3. La modalidad de selección del contratista y su justificación, incluyendo los fundamentos jurídicos. </w:t>
      </w:r>
    </w:p>
    <w:p w14:paraId="0ECA3AA2"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p>
    <w:p w14:paraId="7F3801E9"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 w:eastAsia="es-MX"/>
        </w:rPr>
      </w:pPr>
      <w:r w:rsidRPr="00BB0DA7">
        <w:rPr>
          <w:rFonts w:ascii="Verdana" w:eastAsia="Times New Roman" w:hAnsi="Verdana" w:cs="Arial"/>
          <w:sz w:val="20"/>
          <w:szCs w:val="20"/>
          <w:lang w:val="es-ES" w:eastAsia="es-MX"/>
        </w:rPr>
        <w:t xml:space="preserve">4. El valor estimado del contrato y la justificación </w:t>
      </w:r>
      <w:proofErr w:type="gramStart"/>
      <w:r w:rsidRPr="00BB0DA7">
        <w:rPr>
          <w:rFonts w:ascii="Verdana" w:eastAsia="Times New Roman" w:hAnsi="Verdana" w:cs="Arial"/>
          <w:sz w:val="20"/>
          <w:szCs w:val="20"/>
          <w:lang w:val="es-ES" w:eastAsia="es-MX"/>
        </w:rPr>
        <w:t>del mismo</w:t>
      </w:r>
      <w:proofErr w:type="gramEnd"/>
      <w:r w:rsidRPr="00BB0DA7">
        <w:rPr>
          <w:rFonts w:ascii="Verdana" w:eastAsia="Times New Roman" w:hAnsi="Verdana" w:cs="Arial"/>
          <w:sz w:val="20"/>
          <w:szCs w:val="20"/>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22AE362A"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p>
    <w:p w14:paraId="1060C01A"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5. Los criterios para seleccionar la oferta más favorable. </w:t>
      </w:r>
    </w:p>
    <w:p w14:paraId="6AB66CED"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p>
    <w:p w14:paraId="737DA4E0"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6. El análisis de Riesgo y la forma de mitigarlo. </w:t>
      </w:r>
    </w:p>
    <w:p w14:paraId="362B0AFB"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p>
    <w:p w14:paraId="2C50FE5A"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7. Las garantías que la Entidad Estatal contempla exigir en el proceso de contratación. </w:t>
      </w:r>
    </w:p>
    <w:p w14:paraId="3A3A7AE4"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p>
    <w:p w14:paraId="70895F82"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8. La indicación de si el proceso de contratación está cobijado por un acuerdo comercial. </w:t>
      </w:r>
    </w:p>
    <w:p w14:paraId="6121E088"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p>
    <w:p w14:paraId="6BAFA73B" w14:textId="77777777" w:rsidR="00B834C0" w:rsidRPr="00BB0DA7" w:rsidRDefault="00B834C0" w:rsidP="00B834C0">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El presente artículo no es aplicable a la contratación por mínima cuantía”.</w:t>
      </w:r>
    </w:p>
    <w:p w14:paraId="4CAF7CDE" w14:textId="77777777" w:rsidR="00B834C0" w:rsidRPr="00F252D7" w:rsidRDefault="00B834C0" w:rsidP="00B834C0">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035622D9" w14:textId="77777777" w:rsidR="00B834C0" w:rsidRPr="00F252D7" w:rsidRDefault="00B834C0" w:rsidP="00B834C0">
      <w:pPr>
        <w:spacing w:after="120" w:line="276" w:lineRule="auto"/>
        <w:ind w:firstLine="708"/>
        <w:jc w:val="both"/>
        <w:rPr>
          <w:rFonts w:ascii="Verdana" w:eastAsia="Times New Roman" w:hAnsi="Verdana" w:cs="Arial"/>
          <w:lang w:val="es-ES" w:eastAsia="es-MX"/>
        </w:rPr>
      </w:pPr>
      <w:bookmarkStart w:id="5" w:name="_Hlk54011351"/>
      <w:r w:rsidRPr="67DE658D">
        <w:rPr>
          <w:rFonts w:ascii="Verdana" w:eastAsia="Times New Roman" w:hAnsi="Verdana" w:cs="Arial"/>
          <w:lang w:val="es-ES" w:eastAsia="es-MX"/>
        </w:rPr>
        <w:t xml:space="preserve">De esta manera, antes de iniciar un procedimiento de selección, la Entidad Estatal podrá determinar con los estudios previos: i) la verdadera necesidad de la celebración del contrato; </w:t>
      </w:r>
      <w:proofErr w:type="spellStart"/>
      <w:r w:rsidRPr="67DE658D">
        <w:rPr>
          <w:rFonts w:ascii="Verdana" w:eastAsia="Times New Roman" w:hAnsi="Verdana" w:cs="Arial"/>
          <w:lang w:val="es-ES" w:eastAsia="es-MX"/>
        </w:rPr>
        <w:t>ii</w:t>
      </w:r>
      <w:proofErr w:type="spellEnd"/>
      <w:r w:rsidRPr="67DE658D">
        <w:rPr>
          <w:rFonts w:ascii="Verdana" w:eastAsia="Times New Roman" w:hAnsi="Verdana" w:cs="Arial"/>
          <w:lang w:val="es-ES" w:eastAsia="es-MX"/>
        </w:rPr>
        <w:t xml:space="preserve">) las modalidades existentes para satisfacer esa necesidad y las razones que justifiquen la modalidad o tipo contractual que se escoja; </w:t>
      </w:r>
      <w:proofErr w:type="spellStart"/>
      <w:r w:rsidRPr="67DE658D">
        <w:rPr>
          <w:rFonts w:ascii="Verdana" w:eastAsia="Times New Roman" w:hAnsi="Verdana" w:cs="Arial"/>
          <w:lang w:val="es-ES" w:eastAsia="es-MX"/>
        </w:rPr>
        <w:t>iii</w:t>
      </w:r>
      <w:proofErr w:type="spellEnd"/>
      <w:r w:rsidRPr="67DE658D">
        <w:rPr>
          <w:rFonts w:ascii="Verdana" w:eastAsia="Times New Roman" w:hAnsi="Verdana" w:cs="Arial"/>
          <w:lang w:val="es-ES" w:eastAsia="es-MX"/>
        </w:rPr>
        <w:t xml:space="preserve">) las calidades, especificaciones, cantidades y demás características que puedan o deban reunir los bienes, las obras o los servicios cuya contratación se haya determinado necesaria, </w:t>
      </w:r>
      <w:proofErr w:type="spellStart"/>
      <w:r w:rsidRPr="67DE658D">
        <w:rPr>
          <w:rFonts w:ascii="Verdana" w:eastAsia="Times New Roman" w:hAnsi="Verdana" w:cs="Arial"/>
          <w:lang w:val="es-ES" w:eastAsia="es-MX"/>
        </w:rPr>
        <w:t>iv</w:t>
      </w:r>
      <w:proofErr w:type="spellEnd"/>
      <w:r w:rsidRPr="67DE658D">
        <w:rPr>
          <w:rFonts w:ascii="Verdana" w:eastAsia="Times New Roman" w:hAnsi="Verdana" w:cs="Arial"/>
          <w:lang w:val="es-ES" w:eastAsia="es-MX"/>
        </w:rPr>
        <w:t>)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w:t>
      </w:r>
      <w:r>
        <w:rPr>
          <w:rFonts w:ascii="Verdana" w:eastAsia="Times New Roman" w:hAnsi="Verdana" w:cs="Arial"/>
          <w:lang w:val="es-ES" w:eastAsia="es-MX"/>
        </w:rPr>
        <w:t>ntre otros</w:t>
      </w:r>
      <w:r w:rsidRPr="67DE658D">
        <w:rPr>
          <w:rFonts w:ascii="Verdana" w:eastAsia="Times New Roman" w:hAnsi="Verdana" w:cs="Arial"/>
          <w:lang w:val="es-ES" w:eastAsia="es-MX"/>
        </w:rPr>
        <w:t xml:space="preserve">, en condiciones de atender los requerimientos y satisfacer las necesidades; y </w:t>
      </w:r>
      <w:proofErr w:type="spellStart"/>
      <w:r w:rsidRPr="67DE658D">
        <w:rPr>
          <w:rFonts w:ascii="Verdana" w:eastAsia="Times New Roman" w:hAnsi="Verdana" w:cs="Arial"/>
          <w:lang w:val="es-ES" w:eastAsia="es-MX"/>
        </w:rPr>
        <w:t>vii</w:t>
      </w:r>
      <w:proofErr w:type="spellEnd"/>
      <w:r w:rsidRPr="67DE658D">
        <w:rPr>
          <w:rFonts w:ascii="Verdana" w:eastAsia="Times New Roman" w:hAnsi="Verdana" w:cs="Arial"/>
          <w:lang w:val="es-ES"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bookmarkEnd w:id="5"/>
      <w:r w:rsidRPr="67DE658D">
        <w:rPr>
          <w:rFonts w:ascii="Verdana" w:eastAsia="Calibri" w:hAnsi="Verdana" w:cs="Arial"/>
          <w:lang w:val="es-ES" w:eastAsia="es-MX"/>
        </w:rPr>
        <w:t xml:space="preserve">permite que los contratos resultantes de la planeación cuenten con el sustento técnico, económico y jurídico que incidirá </w:t>
      </w:r>
      <w:r w:rsidRPr="67DE658D">
        <w:rPr>
          <w:rFonts w:ascii="Verdana" w:eastAsia="Times New Roman" w:hAnsi="Verdana" w:cs="Arial"/>
          <w:lang w:val="es-ES" w:eastAsia="es-MX"/>
        </w:rPr>
        <w:t>en una adecuada ejecución.</w:t>
      </w:r>
    </w:p>
    <w:p w14:paraId="1A839C47" w14:textId="77777777" w:rsidR="00B834C0" w:rsidRPr="00F252D7" w:rsidRDefault="00B834C0" w:rsidP="00B834C0">
      <w:pPr>
        <w:spacing w:after="120" w:line="276" w:lineRule="auto"/>
        <w:ind w:firstLine="708"/>
        <w:jc w:val="both"/>
        <w:rPr>
          <w:rFonts w:ascii="Verdana" w:eastAsia="Times New Roman" w:hAnsi="Verdana" w:cs="Arial"/>
          <w:lang w:val="es-ES_tradnl" w:eastAsia="es-MX"/>
        </w:rPr>
      </w:pPr>
      <w:r w:rsidRPr="00F252D7">
        <w:rPr>
          <w:rFonts w:ascii="Verdana" w:eastAsia="Times New Roman" w:hAnsi="Verdana" w:cs="Arial"/>
          <w:lang w:val="es-ES_tradnl" w:eastAsia="es-MX"/>
        </w:rPr>
        <w:t>Más allá del cumplimiento de la normativa, “los estudios y documentos previos son el soporte para elaborar el proyecto de pliegos, los pliegos de condiciones, y el contrato”</w:t>
      </w:r>
      <w:r w:rsidRPr="00F252D7">
        <w:rPr>
          <w:rFonts w:ascii="Geomanist Light" w:hAnsi="Geomanist Light"/>
          <w:vertAlign w:val="superscript"/>
          <w:lang w:val="es-ES" w:eastAsia="es-MX"/>
        </w:rPr>
        <w:footnoteReference w:id="15"/>
      </w:r>
      <w:r w:rsidRPr="00F252D7">
        <w:rPr>
          <w:rFonts w:ascii="Verdana" w:eastAsia="Times New Roman" w:hAnsi="Verdana" w:cs="Arial"/>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id="7" w:name="_Hlk54011438"/>
      <w:r w:rsidRPr="00F252D7">
        <w:rPr>
          <w:rFonts w:ascii="Verdana" w:eastAsia="Times New Roman" w:hAnsi="Verdana" w:cs="Arial"/>
          <w:lang w:val="es-ES_tradnl" w:eastAsia="es-MX"/>
        </w:rPr>
        <w:t xml:space="preserve">los estudios y documentos previos son necesarios antes de la celebración del contrato, pues fundamentan las condiciones que la Entidad Estatal exige en su Proceso de Contratación. Sin embargo, luego de la </w:t>
      </w:r>
      <w:r w:rsidRPr="00F252D7">
        <w:rPr>
          <w:rFonts w:ascii="Verdana" w:eastAsia="Times New Roman" w:hAnsi="Verdana" w:cs="Arial"/>
          <w:lang w:val="es-ES_tradnl" w:eastAsia="es-MX"/>
        </w:rPr>
        <w:lastRenderedPageBreak/>
        <w:t>suscripción del contrato la entidad no debe actuar unilateralmente, sino que debe respetar la buena fe contractual y proceder de acuerdo con lo pactado</w:t>
      </w:r>
      <w:bookmarkEnd w:id="7"/>
      <w:r w:rsidRPr="00F252D7">
        <w:rPr>
          <w:rFonts w:ascii="Geomanist Light" w:hAnsi="Geomanist Light"/>
          <w:vertAlign w:val="superscript"/>
          <w:lang w:val="es-ES" w:eastAsia="es-MX"/>
        </w:rPr>
        <w:footnoteReference w:id="16"/>
      </w:r>
      <w:r w:rsidRPr="00F252D7">
        <w:rPr>
          <w:rFonts w:ascii="Verdana" w:eastAsia="Times New Roman" w:hAnsi="Verdana" w:cs="Arial"/>
          <w:lang w:val="es-ES_tradnl" w:eastAsia="es-MX"/>
        </w:rPr>
        <w:t>.</w:t>
      </w:r>
    </w:p>
    <w:p w14:paraId="460F012C" w14:textId="77777777" w:rsidR="00B834C0" w:rsidRPr="00F252D7" w:rsidRDefault="00B834C0" w:rsidP="00B834C0">
      <w:pPr>
        <w:spacing w:after="120" w:line="276" w:lineRule="auto"/>
        <w:ind w:firstLine="708"/>
        <w:jc w:val="both"/>
        <w:rPr>
          <w:rFonts w:ascii="Verdana" w:eastAsia="Times New Roman" w:hAnsi="Verdana" w:cs="Arial"/>
          <w:szCs w:val="24"/>
          <w:lang w:val="es-ES" w:eastAsia="es-ES_tradnl"/>
        </w:rPr>
      </w:pPr>
      <w:r w:rsidRPr="00F252D7">
        <w:rPr>
          <w:rFonts w:ascii="Verdana" w:eastAsia="Times New Roman" w:hAnsi="Verdana" w:cs="Arial"/>
          <w:szCs w:val="24"/>
          <w:lang w:val="es-ES" w:eastAsia="es-ES_tradnl"/>
        </w:rPr>
        <w:t xml:space="preserve">Ahora bien, el numeral 12 del artículo 25 de la Ley 80 de 1993, antes citado, establece el deber de las entidades de realizar estudios previos en dos (2) momentos específicos: i) previo a la apertura de un proceso de selección y </w:t>
      </w:r>
      <w:proofErr w:type="spellStart"/>
      <w:r w:rsidRPr="00F252D7">
        <w:rPr>
          <w:rFonts w:ascii="Verdana" w:eastAsia="Times New Roman" w:hAnsi="Verdana" w:cs="Arial"/>
          <w:szCs w:val="24"/>
          <w:lang w:val="es-ES" w:eastAsia="es-ES_tradnl"/>
        </w:rPr>
        <w:t>ii</w:t>
      </w:r>
      <w:proofErr w:type="spellEnd"/>
      <w:r w:rsidRPr="00F252D7">
        <w:rPr>
          <w:rFonts w:ascii="Verdana" w:eastAsia="Times New Roman" w:hAnsi="Verdana" w:cs="Arial"/>
          <w:szCs w:val="24"/>
          <w:lang w:val="es-ES" w:eastAsia="es-ES_tradnl"/>
        </w:rPr>
        <w:t xml:space="preserve">) previo a la firma del contrato en el caso en que la modalidad de selección sea contratación directa. </w:t>
      </w:r>
    </w:p>
    <w:p w14:paraId="48ACC35C" w14:textId="77777777" w:rsidR="00B834C0" w:rsidRDefault="00B834C0" w:rsidP="00B834C0">
      <w:pPr>
        <w:widowControl w:val="0"/>
        <w:autoSpaceDE w:val="0"/>
        <w:autoSpaceDN w:val="0"/>
        <w:snapToGrid w:val="0"/>
        <w:spacing w:after="120" w:line="276" w:lineRule="auto"/>
        <w:ind w:firstLine="709"/>
        <w:jc w:val="both"/>
        <w:rPr>
          <w:rFonts w:ascii="Verdana" w:eastAsia="Arial" w:hAnsi="Verdana" w:cs="Arial"/>
          <w:lang w:val="es-ES" w:eastAsia="es-ES" w:bidi="es-ES"/>
        </w:rPr>
      </w:pPr>
      <w:r w:rsidRPr="008A26F7">
        <w:rPr>
          <w:rFonts w:ascii="Verdana" w:eastAsia="Arial" w:hAnsi="Verdana" w:cs="Arial"/>
          <w:lang w:val="es-ES" w:eastAsia="es-ES" w:bidi="es-ES"/>
        </w:rPr>
        <w:t>Debe advertirse que el artículo 2.2.1.1.2.1.1 del Decreto 1082 de 2015, que fija el contenido general de los estudios previos, dispone en su inciso final que no es aplicable a la contratación de mínima cuantía. Esta modalidad cuenta con un régimen propio: el artículo 2 numeral 5 de la Ley 1150 de 2007, adicionado por el artículo 94 de la Ley 1474 de 2011, y los artículos 2.2.1.2.1.5.1 a 2.2.1.2.1.5.4 del Decreto 1082 de 2015. En particular, el artículo 2.2.1.2.1.5.1 exige que los estudios previos de mínima cuantía contengan la sucinta descripción de la necesidad, el objeto a contratar con sus condiciones técnicas exigidas, el valor estimado del contrato y su justificación, el plazo de ejecución y el certificado de disponibilidad presupuestal. De este modo, la exigencia del valor estimado justificado y de su respaldo presupuestal se mantiene en la mínima cuantía por mandato de su propia norma especial, aun cuando no le resulte aplicable el artículo 2.2.1.1.2.1.1. A su vez, el deber de análisis del sector del artículo 2.2.1.1.1.6.1 opera con independencia de la modalidad de selección, de suerte que el referente de mercado y su reflejo en el presupuesto oficial son igualmente exigibles en este procedimiento.</w:t>
      </w:r>
    </w:p>
    <w:p w14:paraId="26CF7A1D" w14:textId="77777777" w:rsidR="00B834C0" w:rsidRDefault="00B834C0" w:rsidP="00B834C0">
      <w:pPr>
        <w:spacing w:after="120" w:line="276" w:lineRule="auto"/>
        <w:ind w:firstLine="708"/>
        <w:jc w:val="both"/>
        <w:rPr>
          <w:rFonts w:ascii="Verdana" w:eastAsia="Times New Roman" w:hAnsi="Verdana" w:cs="Arial"/>
          <w:lang w:val="es-ES_tradnl" w:eastAsia="es-MX"/>
        </w:rPr>
      </w:pPr>
      <w:r w:rsidRPr="00F252D7">
        <w:rPr>
          <w:rFonts w:ascii="Verdana" w:eastAsia="Times New Roman" w:hAnsi="Verdana" w:cs="Arial"/>
          <w:lang w:val="es-ES_tradnl" w:eastAsia="es-MX"/>
        </w:rPr>
        <w:t xml:space="preserve">Por otra parte, conforme se </w:t>
      </w:r>
      <w:r>
        <w:rPr>
          <w:rFonts w:ascii="Verdana" w:eastAsia="Times New Roman" w:hAnsi="Verdana" w:cs="Arial"/>
          <w:lang w:val="es-ES_tradnl" w:eastAsia="es-MX"/>
        </w:rPr>
        <w:t>infier</w:t>
      </w:r>
      <w:r w:rsidRPr="00F252D7">
        <w:rPr>
          <w:rFonts w:ascii="Verdana" w:eastAsia="Times New Roman" w:hAnsi="Verdana" w:cs="Arial"/>
          <w:lang w:val="es-ES_tradnl" w:eastAsia="es-MX"/>
        </w:rPr>
        <w:t xml:space="preserve">e </w:t>
      </w:r>
      <w:r>
        <w:rPr>
          <w:rFonts w:ascii="Verdana" w:eastAsia="Times New Roman" w:hAnsi="Verdana" w:cs="Arial"/>
          <w:lang w:val="es-ES_tradnl" w:eastAsia="es-MX"/>
        </w:rPr>
        <w:t>en el</w:t>
      </w:r>
      <w:r w:rsidRPr="00F252D7">
        <w:rPr>
          <w:rFonts w:ascii="Verdana" w:eastAsia="Times New Roman" w:hAnsi="Verdana" w:cs="Arial"/>
          <w:lang w:val="es-ES_tradnl" w:eastAsia="es-MX"/>
        </w:rPr>
        <w:t xml:space="preserve"> artículo 2.2.1.1.2.1.1 del Decreto 1082 de 2015,</w:t>
      </w:r>
      <w:r>
        <w:rPr>
          <w:rFonts w:ascii="Verdana" w:eastAsia="Times New Roman" w:hAnsi="Verdana" w:cs="Arial"/>
          <w:lang w:val="es-ES_tradnl" w:eastAsia="es-MX"/>
        </w:rPr>
        <w:t xml:space="preserve"> que dentro de los aspectos </w:t>
      </w:r>
      <w:r w:rsidRPr="00F252D7">
        <w:rPr>
          <w:rFonts w:ascii="Verdana" w:eastAsia="Times New Roman" w:hAnsi="Verdana" w:cs="Arial"/>
          <w:lang w:val="es-ES_tradnl" w:eastAsia="es-MX"/>
        </w:rPr>
        <w:t>principales que deben abarcar los estudios previos es la determinación del objeto a contratar con sus especificaciones</w:t>
      </w:r>
      <w:r>
        <w:rPr>
          <w:rFonts w:ascii="Verdana" w:eastAsia="Times New Roman" w:hAnsi="Verdana" w:cs="Arial"/>
          <w:lang w:val="es-ES_tradnl" w:eastAsia="es-MX"/>
        </w:rPr>
        <w:t xml:space="preserve">, </w:t>
      </w:r>
      <w:r w:rsidRPr="00F252D7">
        <w:rPr>
          <w:rFonts w:ascii="Verdana" w:eastAsia="Times New Roman" w:hAnsi="Verdana" w:cs="Arial"/>
          <w:lang w:val="es-ES_tradnl" w:eastAsia="es-MX"/>
        </w:rPr>
        <w:t>el valor estimado del contrato aparejado de su respectiva justificación</w:t>
      </w:r>
      <w:r>
        <w:rPr>
          <w:rFonts w:ascii="Verdana" w:eastAsia="Times New Roman" w:hAnsi="Verdana" w:cs="Arial"/>
          <w:lang w:val="es-ES_tradnl" w:eastAsia="es-MX"/>
        </w:rPr>
        <w:t xml:space="preserve">, el análisis del riesgo y la forma de mitigarlo, las garantías que contempla exigir, entre otros. </w:t>
      </w:r>
    </w:p>
    <w:p w14:paraId="008C6E46" w14:textId="77777777" w:rsidR="00B834C0" w:rsidRPr="00F252D7" w:rsidRDefault="00B834C0" w:rsidP="00B834C0">
      <w:pPr>
        <w:spacing w:after="120" w:line="276" w:lineRule="auto"/>
        <w:ind w:firstLine="708"/>
        <w:jc w:val="both"/>
        <w:rPr>
          <w:rFonts w:ascii="Verdana" w:eastAsia="Calibri" w:hAnsi="Verdana" w:cs="Arial"/>
          <w:bCs/>
          <w:lang w:val="es-ES_tradnl" w:eastAsia="es-MX"/>
        </w:rPr>
      </w:pPr>
      <w:r w:rsidRPr="00F252D7">
        <w:rPr>
          <w:rFonts w:ascii="Verdana" w:eastAsia="Calibri" w:hAnsi="Verdana" w:cs="Arial"/>
          <w:bCs/>
          <w:lang w:val="es-ES_tradnl" w:eastAsia="es-MX"/>
        </w:rPr>
        <w:lastRenderedPageBreak/>
        <w:t xml:space="preserve">Para estos efectos resulta relevante </w:t>
      </w:r>
      <w:bookmarkStart w:id="8" w:name="_Hlk139465916"/>
      <w:r w:rsidRPr="00F252D7">
        <w:rPr>
          <w:rFonts w:ascii="Verdana" w:eastAsia="Calibri" w:hAnsi="Verdana" w:cs="Arial"/>
          <w:bCs/>
          <w:lang w:val="es-ES_tradnl" w:eastAsia="es-MX"/>
        </w:rPr>
        <w:t xml:space="preserve">la información recolectada en el marco del </w:t>
      </w:r>
      <w:r w:rsidRPr="00F252D7">
        <w:rPr>
          <w:rFonts w:ascii="Verdana" w:eastAsia="Calibri" w:hAnsi="Verdana" w:cs="Arial"/>
          <w:bCs/>
          <w:i/>
          <w:iCs/>
          <w:lang w:val="es-ES_tradnl" w:eastAsia="es-MX"/>
        </w:rPr>
        <w:t>estudio del mercado</w:t>
      </w:r>
      <w:r w:rsidRPr="00F252D7">
        <w:rPr>
          <w:rFonts w:ascii="Verdana" w:eastAsia="Calibri" w:hAnsi="Verdana" w:cs="Arial"/>
          <w:bCs/>
          <w:lang w:val="es-ES_tradnl"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w:t>
      </w:r>
      <w:bookmarkStart w:id="9" w:name="_Hlk36117416"/>
      <w:r w:rsidRPr="00F252D7">
        <w:rPr>
          <w:rFonts w:ascii="Verdana" w:eastAsia="Calibri" w:hAnsi="Verdana" w:cs="Arial"/>
          <w:bCs/>
          <w:lang w:val="es-ES_tradnl" w:eastAsia="es-MX"/>
        </w:rPr>
        <w:t>2.2.1.1.1.6.1 del Decreto 1082 de 2015</w:t>
      </w:r>
      <w:bookmarkEnd w:id="9"/>
      <w:r w:rsidRPr="00F252D7">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8"/>
      <w:r w:rsidRPr="00F252D7">
        <w:rPr>
          <w:rFonts w:ascii="Geomanist Light" w:eastAsia="Calibri" w:hAnsi="Geomanist Light"/>
          <w:bCs/>
          <w:vertAlign w:val="superscript"/>
          <w:lang w:val="es-ES" w:eastAsia="es-MX"/>
        </w:rPr>
        <w:footnoteReference w:id="17"/>
      </w:r>
      <w:r w:rsidRPr="00F252D7">
        <w:rPr>
          <w:rFonts w:ascii="Verdana" w:eastAsia="Calibri" w:hAnsi="Verdana" w:cs="Arial"/>
          <w:bCs/>
          <w:lang w:val="es-ES_tradnl" w:eastAsia="es-MX"/>
        </w:rPr>
        <w:t xml:space="preserve">. </w:t>
      </w:r>
    </w:p>
    <w:p w14:paraId="266F2EB3" w14:textId="77777777" w:rsidR="00B834C0" w:rsidRPr="00F252D7" w:rsidRDefault="00B834C0" w:rsidP="00B834C0">
      <w:pPr>
        <w:spacing w:after="120" w:line="276" w:lineRule="auto"/>
        <w:ind w:firstLine="708"/>
        <w:jc w:val="both"/>
        <w:rPr>
          <w:rFonts w:ascii="Verdana" w:eastAsia="Calibri" w:hAnsi="Verdana" w:cs="Arial"/>
          <w:lang w:val="es-ES" w:eastAsia="es-MX"/>
        </w:rPr>
      </w:pPr>
      <w:r w:rsidRPr="41260AC2">
        <w:rPr>
          <w:rFonts w:ascii="Verdana" w:eastAsia="Calibri" w:hAnsi="Verdana" w:cs="Arial"/>
          <w:lang w:val="es-ES" w:eastAsia="es-MX"/>
        </w:rPr>
        <w:t xml:space="preserve">De acuerdo con la norma citada, </w:t>
      </w:r>
      <w:bookmarkStart w:id="10" w:name="_Hlk36140682"/>
      <w:r w:rsidRPr="41260AC2">
        <w:rPr>
          <w:rFonts w:ascii="Verdana" w:eastAsia="Calibri" w:hAnsi="Verdana" w:cs="Arial"/>
          <w:lang w:val="es-ES" w:eastAsia="es-MX"/>
        </w:rPr>
        <w:t xml:space="preserve">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w:t>
      </w:r>
      <w:r>
        <w:rPr>
          <w:rFonts w:ascii="Verdana" w:eastAsia="Calibri" w:hAnsi="Verdana" w:cs="Arial"/>
          <w:lang w:val="es-ES" w:eastAsia="es-MX"/>
        </w:rPr>
        <w:t xml:space="preserve">se refiere </w:t>
      </w:r>
      <w:r w:rsidRPr="41260AC2">
        <w:rPr>
          <w:rFonts w:ascii="Verdana" w:eastAsia="Calibri" w:hAnsi="Verdana" w:cs="Arial"/>
          <w:lang w:val="es-ES" w:eastAsia="es-MX"/>
        </w:rPr>
        <w:t>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125F5682" w14:textId="77777777" w:rsidR="00B834C0" w:rsidRPr="00F252D7" w:rsidRDefault="00B834C0" w:rsidP="00B834C0">
      <w:pPr>
        <w:spacing w:after="120" w:line="276" w:lineRule="auto"/>
        <w:ind w:firstLine="708"/>
        <w:jc w:val="both"/>
        <w:rPr>
          <w:rFonts w:ascii="Verdana" w:eastAsia="Calibri" w:hAnsi="Verdana" w:cs="Arial"/>
          <w:bCs/>
          <w:lang w:val="es-ES_tradnl" w:eastAsia="es-MX"/>
        </w:rPr>
      </w:pPr>
      <w:r w:rsidRPr="00F252D7">
        <w:rPr>
          <w:rFonts w:ascii="Verdana" w:eastAsia="Calibri" w:hAnsi="Verdana" w:cs="Arial"/>
          <w:bCs/>
          <w:lang w:val="es-ES_tradnl" w:eastAsia="es-MX"/>
        </w:rPr>
        <w:t xml:space="preserve">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w:t>
      </w:r>
      <w:r w:rsidRPr="00F252D7">
        <w:rPr>
          <w:rFonts w:ascii="Verdana" w:eastAsia="Calibri" w:hAnsi="Verdana" w:cs="Arial"/>
          <w:bCs/>
          <w:lang w:val="es-ES_tradnl" w:eastAsia="es-MX"/>
        </w:rPr>
        <w:lastRenderedPageBreak/>
        <w:t>decisión de realizar un Proceso de Contratación desde el punto de vista de la eficiencia, eficacia y economía.</w:t>
      </w:r>
    </w:p>
    <w:p w14:paraId="6E867128" w14:textId="77777777" w:rsidR="00B834C0" w:rsidRPr="00F252D7" w:rsidRDefault="00B834C0" w:rsidP="00B834C0">
      <w:pPr>
        <w:spacing w:after="120" w:line="276" w:lineRule="auto"/>
        <w:ind w:firstLine="708"/>
        <w:jc w:val="both"/>
        <w:rPr>
          <w:rFonts w:ascii="Verdana" w:eastAsia="Calibri" w:hAnsi="Verdana" w:cs="Arial"/>
          <w:lang w:val="es-ES" w:eastAsia="es-MX"/>
        </w:rPr>
      </w:pPr>
      <w:r w:rsidRPr="58B0B659">
        <w:rPr>
          <w:rFonts w:ascii="Verdana" w:eastAsia="Calibri" w:hAnsi="Verdana" w:cs="Arial"/>
          <w:lang w:val="es-ES" w:eastAsia="es-MX"/>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36B00F5E" w14:textId="77777777" w:rsidR="00B834C0" w:rsidRDefault="00B834C0" w:rsidP="00B834C0">
      <w:pPr>
        <w:spacing w:after="120" w:line="276" w:lineRule="auto"/>
        <w:ind w:firstLine="708"/>
        <w:jc w:val="both"/>
        <w:rPr>
          <w:rFonts w:ascii="Verdana" w:eastAsia="Calibri" w:hAnsi="Verdana" w:cs="Arial"/>
          <w:lang w:val="es-ES" w:eastAsia="es-MX"/>
        </w:rPr>
      </w:pPr>
      <w:r w:rsidRPr="7FE612EC">
        <w:rPr>
          <w:rFonts w:ascii="Verdana" w:eastAsia="Calibri" w:hAnsi="Verdana" w:cs="Arial"/>
          <w:lang w:val="es-ES"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7FE612EC">
        <w:rPr>
          <w:rFonts w:ascii="Verdana" w:eastAsia="Times New Roman" w:hAnsi="Verdana" w:cs="Arial"/>
          <w:lang w:val="es-ES" w:eastAsia="es-CO"/>
        </w:rPr>
        <w:t xml:space="preserve">son autónomas para estructurarlo, para lo cual deberán cumplir lo dispuesto en el artículo </w:t>
      </w:r>
      <w:r w:rsidRPr="7FE612EC">
        <w:rPr>
          <w:rFonts w:ascii="Verdana" w:eastAsia="Calibri" w:hAnsi="Verdana" w:cs="Arial"/>
          <w:lang w:val="es-ES" w:eastAsia="es-MX"/>
        </w:rPr>
        <w:t xml:space="preserve">2.2.1.1.1.6.1 del Decreto 1082 de 2015 y realizar un análisis integral de planeación que </w:t>
      </w:r>
      <w:r w:rsidRPr="7FE612EC">
        <w:rPr>
          <w:rFonts w:ascii="Verdana" w:eastAsia="Times New Roman" w:hAnsi="Verdana" w:cs="Arial"/>
          <w:lang w:val="es-ES" w:eastAsia="es-MX"/>
        </w:rPr>
        <w:t>sirva de sustento a la decisión de realizar un Proceso de Contratación.</w:t>
      </w:r>
      <w:bookmarkEnd w:id="10"/>
    </w:p>
    <w:p w14:paraId="1B4A66BD" w14:textId="77777777" w:rsidR="00B834C0" w:rsidRDefault="00B834C0" w:rsidP="00B834C0">
      <w:pPr>
        <w:spacing w:after="120" w:line="276" w:lineRule="auto"/>
        <w:ind w:firstLine="708"/>
        <w:jc w:val="both"/>
        <w:rPr>
          <w:rFonts w:ascii="Verdana" w:eastAsia="Calibri" w:hAnsi="Verdana"/>
          <w:lang w:val="es-ES" w:eastAsia="es-MX"/>
        </w:rPr>
      </w:pPr>
      <w:r w:rsidRPr="00A74B14">
        <w:rPr>
          <w:rFonts w:ascii="Verdana" w:eastAsia="Calibri" w:hAnsi="Verdana"/>
          <w:lang w:val="es-ES" w:eastAsia="es-MX"/>
        </w:rPr>
        <w:t xml:space="preserve">En ese sentido, cuando una Entidad Estatal identifica necesidades recurrentes de contratación de servicios de interventoría, debe analizar, en ejercicio del principio de planeación, las alternativas que le permitan atenderlas de manera eficiente, oportuna y acorde con los fines de la contratación estatal. Para ello, podrá evaluar la posibilidad de agrupar las necesidades de interventoría asociadas a los proyectos que prevé ejecutar durante una vigencia, considerando las características técnicas de las obras, su objeto y alcance, los perfiles profesionales requeridos, la estimación de los costos, la disponibilidad presupuestal, los riesgos previsibles y las condiciones del mercado. Este análisis permitirá determinar si resulta viable estructurar un proceso de selección que responda a necesidades previamente identificadas y debidamente justificadas, </w:t>
      </w:r>
      <w:r w:rsidRPr="00A74B14">
        <w:rPr>
          <w:rFonts w:ascii="Verdana" w:eastAsia="Calibri" w:hAnsi="Verdana"/>
          <w:lang w:val="es-ES" w:eastAsia="es-MX"/>
        </w:rPr>
        <w:lastRenderedPageBreak/>
        <w:t>sin que ello implique desconocer la obligación de definir las condiciones de ejecución contractual ni las reglas propias de la modalidad de selección aplicable</w:t>
      </w:r>
    </w:p>
    <w:p w14:paraId="10540F1E" w14:textId="77777777" w:rsidR="00B834C0" w:rsidRPr="00A74B14" w:rsidRDefault="00B834C0" w:rsidP="00B834C0">
      <w:pPr>
        <w:spacing w:after="120" w:line="276" w:lineRule="auto"/>
        <w:ind w:firstLine="708"/>
        <w:jc w:val="both"/>
        <w:rPr>
          <w:rFonts w:ascii="Verdana" w:eastAsia="Calibri" w:hAnsi="Verdana" w:cs="Arial"/>
          <w:lang w:val="es-ES" w:eastAsia="es-MX"/>
        </w:rPr>
      </w:pPr>
      <w:r w:rsidRPr="00A74B14">
        <w:rPr>
          <w:rFonts w:ascii="Verdana" w:eastAsia="Calibri" w:hAnsi="Verdana" w:cs="Times New Roman"/>
          <w:lang w:val="es-ES" w:eastAsia="es-MX"/>
        </w:rPr>
        <w:t>Así, la posibilidad de establecer un esquema que permita atender distintas necesidades de interventoría debe estar precedida de una adecuada estructuración de los estudios previos, en los que la entidad justifique la necesidad de la contratación, determine el alcance de los servicios requeridos y evalúe la conveniencia de la alternativa propuesta frente a la contratación individual de cada interventoría. En todo caso, la planeación contractual no habilita por sí sola la creación de un banco de interventores ni permite asignar discrecionalmente contratos futuros a quienes lo integren, pues el mecanismo deberá ajustarse a las disposiciones legales que regulan el concurso de méritos, la selección objetiva y, cuando corresponda, la aplicación obligatoria de los Documentos Tipo.</w:t>
      </w:r>
    </w:p>
    <w:p w14:paraId="03D4BD0E" w14:textId="77777777" w:rsidR="00B834C0" w:rsidRPr="00FE66BB" w:rsidRDefault="00B834C0" w:rsidP="00B834C0">
      <w:pPr>
        <w:spacing w:after="120" w:line="276" w:lineRule="auto"/>
        <w:jc w:val="both"/>
        <w:rPr>
          <w:rFonts w:ascii="Verdana" w:eastAsia="Times New Roman" w:hAnsi="Verdana" w:cs="Times New Roman"/>
          <w:lang w:eastAsia="es-MX"/>
        </w:rPr>
      </w:pPr>
      <w:r>
        <w:rPr>
          <w:rFonts w:ascii="Verdana" w:eastAsia="Calibri" w:hAnsi="Verdana" w:cs="Times New Roman"/>
          <w:lang w:eastAsia="es-MX"/>
        </w:rPr>
        <w:t xml:space="preserve">III). </w:t>
      </w:r>
      <w:r w:rsidRPr="00FE66BB">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3657CAF" w14:textId="77777777" w:rsidR="00B834C0" w:rsidRPr="002C01B4" w:rsidRDefault="00B834C0" w:rsidP="00B834C0">
      <w:pPr>
        <w:spacing w:after="120" w:line="276" w:lineRule="auto"/>
        <w:ind w:firstLine="708"/>
        <w:jc w:val="both"/>
        <w:rPr>
          <w:rFonts w:ascii="Verdana" w:eastAsia="Calibri" w:hAnsi="Verdana" w:cs="Arial"/>
          <w:bCs/>
          <w:color w:val="000000"/>
          <w:lang w:eastAsia="es-MX"/>
        </w:rPr>
      </w:pPr>
      <w:r w:rsidRPr="00FE66BB">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76CFAB3" w14:textId="77777777" w:rsidR="00B834C0" w:rsidRPr="004D7523" w:rsidRDefault="00B834C0" w:rsidP="00B834C0">
      <w:pPr>
        <w:numPr>
          <w:ilvl w:val="0"/>
          <w:numId w:val="17"/>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6ADA768C" w14:textId="77777777" w:rsidR="00B834C0" w:rsidRPr="004D7523" w:rsidRDefault="00B834C0" w:rsidP="00B834C0">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834C0" w:rsidRPr="00D56B2A" w14:paraId="20FC01AA" w14:textId="77777777" w:rsidTr="00970515">
        <w:trPr>
          <w:trHeight w:val="2707"/>
        </w:trPr>
        <w:tc>
          <w:tcPr>
            <w:tcW w:w="8647" w:type="dxa"/>
            <w:tcBorders>
              <w:top w:val="dotted" w:sz="4" w:space="0" w:color="auto"/>
              <w:left w:val="dotted" w:sz="4" w:space="0" w:color="auto"/>
              <w:bottom w:val="dotted" w:sz="4" w:space="0" w:color="auto"/>
              <w:right w:val="dotted" w:sz="4" w:space="0" w:color="auto"/>
            </w:tcBorders>
          </w:tcPr>
          <w:p w14:paraId="5A02CAAD" w14:textId="77777777" w:rsidR="00B834C0" w:rsidRPr="00B33022" w:rsidRDefault="00B834C0" w:rsidP="00970515">
            <w:pPr>
              <w:ind w:left="720"/>
              <w:contextualSpacing/>
              <w:jc w:val="both"/>
              <w:rPr>
                <w:rFonts w:ascii="Verdana" w:eastAsia="Calibri" w:hAnsi="Verdana" w:cs="Arial"/>
                <w:bCs/>
              </w:rPr>
            </w:pPr>
          </w:p>
          <w:p w14:paraId="38262564" w14:textId="77777777" w:rsidR="00B834C0" w:rsidRPr="00A66D20" w:rsidRDefault="00B834C0" w:rsidP="00970515">
            <w:pPr>
              <w:widowControl w:val="0"/>
              <w:numPr>
                <w:ilvl w:val="0"/>
                <w:numId w:val="18"/>
              </w:numPr>
              <w:autoSpaceDE w:val="0"/>
              <w:autoSpaceDN w:val="0"/>
              <w:spacing w:after="120"/>
              <w:jc w:val="both"/>
              <w:rPr>
                <w:rFonts w:ascii="Verdana" w:hAnsi="Verdana" w:cs="Arial"/>
                <w:lang w:val="es-ES"/>
              </w:rPr>
            </w:pPr>
            <w:r w:rsidRPr="00A66D20">
              <w:rPr>
                <w:rFonts w:ascii="Verdana" w:hAnsi="Verdana" w:cs="Arial"/>
                <w:lang w:val="es-ES"/>
              </w:rPr>
              <w:t>Constitución Política, artículos 209 y 267.</w:t>
            </w:r>
          </w:p>
          <w:p w14:paraId="2A753F4D" w14:textId="77777777" w:rsidR="00B834C0" w:rsidRDefault="00B834C0" w:rsidP="00970515">
            <w:pPr>
              <w:widowControl w:val="0"/>
              <w:numPr>
                <w:ilvl w:val="0"/>
                <w:numId w:val="18"/>
              </w:numPr>
              <w:autoSpaceDE w:val="0"/>
              <w:autoSpaceDN w:val="0"/>
              <w:spacing w:after="120"/>
              <w:jc w:val="both"/>
              <w:rPr>
                <w:rFonts w:ascii="Verdana" w:hAnsi="Verdana" w:cs="Arial"/>
                <w:lang w:val="es-ES"/>
              </w:rPr>
            </w:pPr>
            <w:r w:rsidRPr="00A66D20">
              <w:rPr>
                <w:rFonts w:ascii="Verdana" w:hAnsi="Verdana" w:cs="Arial"/>
                <w:lang w:val="es-ES"/>
              </w:rPr>
              <w:t>Ley 80 de 1993, artículos 4, 5, 12, 13, 14, 26, 32 y 40.</w:t>
            </w:r>
          </w:p>
          <w:p w14:paraId="6F0A3BDF" w14:textId="77777777" w:rsidR="00B834C0" w:rsidRPr="00A66D20" w:rsidRDefault="00B834C0" w:rsidP="00970515">
            <w:pPr>
              <w:widowControl w:val="0"/>
              <w:numPr>
                <w:ilvl w:val="0"/>
                <w:numId w:val="18"/>
              </w:numPr>
              <w:autoSpaceDE w:val="0"/>
              <w:autoSpaceDN w:val="0"/>
              <w:spacing w:after="120"/>
              <w:jc w:val="both"/>
              <w:rPr>
                <w:rFonts w:ascii="Verdana" w:hAnsi="Verdana" w:cs="Arial"/>
                <w:lang w:val="es-ES"/>
              </w:rPr>
            </w:pPr>
            <w:r>
              <w:rPr>
                <w:rFonts w:ascii="Verdana" w:hAnsi="Verdana" w:cs="Arial"/>
                <w:lang w:val="es-ES"/>
              </w:rPr>
              <w:t xml:space="preserve">Ley </w:t>
            </w:r>
            <w:r w:rsidRPr="00A66D20">
              <w:rPr>
                <w:rFonts w:ascii="Verdana" w:hAnsi="Verdana" w:cs="Arial"/>
                <w:lang w:val="es-ES"/>
              </w:rPr>
              <w:t>1474 de 2011 artículos 83 y 85.</w:t>
            </w:r>
          </w:p>
          <w:p w14:paraId="76A7BE1D" w14:textId="77777777" w:rsidR="00B834C0" w:rsidRDefault="00B834C0" w:rsidP="00970515">
            <w:pPr>
              <w:widowControl w:val="0"/>
              <w:numPr>
                <w:ilvl w:val="0"/>
                <w:numId w:val="18"/>
              </w:numPr>
              <w:autoSpaceDE w:val="0"/>
              <w:autoSpaceDN w:val="0"/>
              <w:spacing w:after="120"/>
              <w:jc w:val="both"/>
              <w:rPr>
                <w:rFonts w:ascii="Verdana" w:hAnsi="Verdana" w:cs="Arial"/>
                <w:lang w:val="es-ES"/>
              </w:rPr>
            </w:pPr>
            <w:r>
              <w:rPr>
                <w:rFonts w:ascii="Verdana" w:hAnsi="Verdana" w:cs="Arial"/>
                <w:lang w:val="es-ES"/>
              </w:rPr>
              <w:t xml:space="preserve">Ley 80 de 1993, artículos 25 y 26. </w:t>
            </w:r>
          </w:p>
          <w:p w14:paraId="1C355227" w14:textId="77777777" w:rsidR="00B834C0" w:rsidRPr="00E05127" w:rsidRDefault="00B834C0" w:rsidP="00970515">
            <w:pPr>
              <w:widowControl w:val="0"/>
              <w:numPr>
                <w:ilvl w:val="0"/>
                <w:numId w:val="18"/>
              </w:numPr>
              <w:autoSpaceDE w:val="0"/>
              <w:autoSpaceDN w:val="0"/>
              <w:spacing w:after="120"/>
              <w:jc w:val="both"/>
              <w:rPr>
                <w:rFonts w:ascii="Verdana" w:hAnsi="Verdana" w:cs="Arial"/>
                <w:lang w:val="es-ES"/>
              </w:rPr>
            </w:pPr>
            <w:r w:rsidRPr="00E05127">
              <w:rPr>
                <w:rFonts w:ascii="Verdana" w:eastAsia="Arial" w:hAnsi="Verdana" w:cs="Arial"/>
                <w:lang w:val="es-ES" w:eastAsia="es-ES" w:bidi="es-ES"/>
              </w:rPr>
              <w:t xml:space="preserve">Ley 1150 de 2007, artículos 2, numeral </w:t>
            </w:r>
            <w:r>
              <w:rPr>
                <w:rFonts w:ascii="Verdana" w:eastAsia="Arial" w:hAnsi="Verdana" w:cs="Arial"/>
                <w:lang w:val="es-ES" w:eastAsia="es-ES" w:bidi="es-ES"/>
              </w:rPr>
              <w:t>3.</w:t>
            </w:r>
          </w:p>
          <w:p w14:paraId="449D6022" w14:textId="77777777" w:rsidR="00B834C0" w:rsidRDefault="00B834C0" w:rsidP="00970515">
            <w:pPr>
              <w:widowControl w:val="0"/>
              <w:numPr>
                <w:ilvl w:val="0"/>
                <w:numId w:val="18"/>
              </w:numPr>
              <w:autoSpaceDE w:val="0"/>
              <w:autoSpaceDN w:val="0"/>
              <w:spacing w:after="120"/>
              <w:jc w:val="both"/>
              <w:rPr>
                <w:rFonts w:ascii="Verdana" w:hAnsi="Verdana" w:cs="Arial"/>
                <w:lang w:val="es-ES"/>
              </w:rPr>
            </w:pPr>
            <w:r>
              <w:rPr>
                <w:rFonts w:ascii="Verdana" w:hAnsi="Verdana" w:cs="Arial"/>
                <w:lang w:val="es-ES"/>
              </w:rPr>
              <w:t>Decreto 111 de 1996, artículo 71.</w:t>
            </w:r>
          </w:p>
          <w:p w14:paraId="647DDA81" w14:textId="77777777" w:rsidR="00B834C0" w:rsidRPr="000B5E67" w:rsidRDefault="00B834C0" w:rsidP="00970515">
            <w:pPr>
              <w:widowControl w:val="0"/>
              <w:numPr>
                <w:ilvl w:val="0"/>
                <w:numId w:val="18"/>
              </w:numPr>
              <w:autoSpaceDE w:val="0"/>
              <w:autoSpaceDN w:val="0"/>
              <w:spacing w:after="120"/>
              <w:jc w:val="both"/>
              <w:rPr>
                <w:rFonts w:ascii="Verdana" w:hAnsi="Verdana" w:cs="Arial"/>
                <w:lang w:val="es-ES"/>
              </w:rPr>
            </w:pPr>
            <w:r>
              <w:rPr>
                <w:rFonts w:ascii="Verdana" w:hAnsi="Verdana" w:cs="Arial"/>
                <w:lang w:val="es-ES"/>
              </w:rPr>
              <w:t xml:space="preserve">Decreto 1068 de 2015, </w:t>
            </w:r>
            <w:r>
              <w:rPr>
                <w:rFonts w:ascii="Verdana" w:hAnsi="Verdana" w:cs="Arial"/>
              </w:rPr>
              <w:t>artículo 2.8.1.7.2.</w:t>
            </w:r>
          </w:p>
          <w:p w14:paraId="4B34851E" w14:textId="77777777" w:rsidR="00B834C0" w:rsidRPr="00E05127" w:rsidRDefault="00B834C0" w:rsidP="00970515">
            <w:pPr>
              <w:widowControl w:val="0"/>
              <w:numPr>
                <w:ilvl w:val="0"/>
                <w:numId w:val="18"/>
              </w:numPr>
              <w:autoSpaceDE w:val="0"/>
              <w:autoSpaceDN w:val="0"/>
              <w:spacing w:after="120"/>
              <w:jc w:val="both"/>
              <w:rPr>
                <w:rFonts w:ascii="Verdana" w:hAnsi="Verdana" w:cs="Arial"/>
                <w:lang w:val="es-ES"/>
              </w:rPr>
            </w:pPr>
            <w:r>
              <w:rPr>
                <w:rFonts w:ascii="Verdana" w:hAnsi="Verdana" w:cs="Arial"/>
                <w:lang w:val="es-ES"/>
              </w:rPr>
              <w:t>Decreto 1082 de 2015, artículos</w:t>
            </w:r>
            <w:r>
              <w:rPr>
                <w:rFonts w:ascii="Verdana" w:hAnsi="Verdana" w:cs="Arial"/>
                <w:b/>
                <w:bCs/>
              </w:rPr>
              <w:t xml:space="preserve"> </w:t>
            </w:r>
            <w:r>
              <w:rPr>
                <w:rFonts w:ascii="Verdana" w:hAnsi="Verdana" w:cs="Arial"/>
              </w:rPr>
              <w:t>2.2.1.1.2.1.1 y 2.2.1.1.1.6.1</w:t>
            </w:r>
          </w:p>
          <w:p w14:paraId="38E3AC36" w14:textId="77777777" w:rsidR="00B834C0" w:rsidRDefault="00B834C0" w:rsidP="00970515">
            <w:pPr>
              <w:widowControl w:val="0"/>
              <w:numPr>
                <w:ilvl w:val="0"/>
                <w:numId w:val="18"/>
              </w:numPr>
              <w:autoSpaceDE w:val="0"/>
              <w:autoSpaceDN w:val="0"/>
              <w:jc w:val="both"/>
              <w:rPr>
                <w:rFonts w:ascii="Verdana" w:eastAsia="Calibri" w:hAnsi="Verdana" w:cs="Arial"/>
              </w:rPr>
            </w:pPr>
            <w:r w:rsidRPr="00B33022">
              <w:rPr>
                <w:rFonts w:ascii="Verdana" w:eastAsia="Calibri" w:hAnsi="Verdana" w:cs="Arial"/>
              </w:rPr>
              <w:t xml:space="preserve">Ley 2022 de 2020, artículo 1. </w:t>
            </w:r>
          </w:p>
          <w:p w14:paraId="11526511" w14:textId="77777777" w:rsidR="00B834C0" w:rsidRPr="00A66D20" w:rsidRDefault="00B834C0" w:rsidP="00970515">
            <w:pPr>
              <w:widowControl w:val="0"/>
              <w:numPr>
                <w:ilvl w:val="0"/>
                <w:numId w:val="18"/>
              </w:numPr>
              <w:autoSpaceDE w:val="0"/>
              <w:autoSpaceDN w:val="0"/>
              <w:jc w:val="both"/>
              <w:rPr>
                <w:rFonts w:ascii="Verdana" w:eastAsia="Calibri" w:hAnsi="Verdana" w:cs="Arial"/>
              </w:rPr>
            </w:pPr>
            <w:r w:rsidRPr="00A66D20">
              <w:rPr>
                <w:rFonts w:ascii="Verdana" w:eastAsia="Calibri" w:hAnsi="Verdana" w:cs="Arial"/>
              </w:rPr>
              <w:t xml:space="preserve">Documentos Tipo. Disponibles en: </w:t>
            </w:r>
            <w:hyperlink r:id="rId12" w:history="1">
              <w:r w:rsidRPr="00A66D20">
                <w:rPr>
                  <w:rFonts w:ascii="Verdana" w:eastAsia="Calibri" w:hAnsi="Verdana" w:cs="Arial"/>
                  <w:color w:val="0000FF"/>
                  <w:u w:val="single"/>
                </w:rPr>
                <w:t>https://www.colombiacompra.gov.co/documentos-tipo/documentos-tipo</w:t>
              </w:r>
            </w:hyperlink>
            <w:r w:rsidRPr="00A66D20">
              <w:rPr>
                <w:rFonts w:ascii="Verdana" w:eastAsia="Calibri" w:hAnsi="Verdana" w:cs="Arial"/>
              </w:rPr>
              <w:t xml:space="preserve">. </w:t>
            </w:r>
          </w:p>
        </w:tc>
      </w:tr>
    </w:tbl>
    <w:p w14:paraId="7ED88AFB" w14:textId="77777777" w:rsidR="00B834C0" w:rsidRPr="00155CC1" w:rsidRDefault="00B834C0" w:rsidP="00B834C0">
      <w:pPr>
        <w:tabs>
          <w:tab w:val="left" w:pos="142"/>
          <w:tab w:val="left" w:pos="284"/>
        </w:tabs>
        <w:spacing w:after="0" w:line="276" w:lineRule="auto"/>
        <w:jc w:val="both"/>
        <w:rPr>
          <w:rFonts w:ascii="Verdana" w:eastAsia="Calibri" w:hAnsi="Verdana" w:cs="Arial"/>
          <w:color w:val="6699FF"/>
        </w:rPr>
      </w:pPr>
    </w:p>
    <w:p w14:paraId="5458B02D" w14:textId="77777777" w:rsidR="00B834C0" w:rsidRDefault="00B834C0" w:rsidP="00B834C0">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696B84E3" w14:textId="77777777" w:rsidR="00B834C0" w:rsidRPr="00573E35" w:rsidRDefault="00B834C0" w:rsidP="00B834C0">
      <w:pPr>
        <w:tabs>
          <w:tab w:val="left" w:pos="142"/>
          <w:tab w:val="left" w:pos="284"/>
        </w:tabs>
        <w:spacing w:after="0" w:line="276" w:lineRule="auto"/>
        <w:jc w:val="both"/>
        <w:rPr>
          <w:rFonts w:ascii="Verdana" w:eastAsia="Century Gothic" w:hAnsi="Verdana" w:cs="Century Gothic"/>
          <w:b/>
          <w:bCs/>
          <w:lang w:val="es-ES"/>
        </w:rPr>
      </w:pPr>
    </w:p>
    <w:p w14:paraId="5CD5F0CC" w14:textId="77777777" w:rsidR="00B834C0" w:rsidRPr="00FF20CB" w:rsidRDefault="00B834C0" w:rsidP="00B834C0">
      <w:pPr>
        <w:widowControl w:val="0"/>
        <w:autoSpaceDE w:val="0"/>
        <w:autoSpaceDN w:val="0"/>
        <w:spacing w:after="0" w:line="276" w:lineRule="auto"/>
        <w:jc w:val="both"/>
        <w:rPr>
          <w:rStyle w:val="normaltextrun"/>
          <w:rFonts w:ascii="Verdana" w:hAnsi="Verdana" w:cs="Arial"/>
          <w:shd w:val="clear" w:color="auto" w:fill="FFFFFF"/>
          <w:lang w:val="es-ES"/>
        </w:rPr>
      </w:pPr>
      <w:r w:rsidRPr="0017378C">
        <w:rPr>
          <w:rStyle w:val="normaltextrun"/>
          <w:rFonts w:ascii="Verdana" w:hAnsi="Verdana" w:cs="Arial"/>
          <w:color w:val="000000" w:themeColor="text1"/>
          <w:shd w:val="clear" w:color="auto" w:fill="FFFFFF"/>
          <w:lang w:val="es-ES"/>
        </w:rPr>
        <w:t>La Agencia Nacional de Contratación Pública – Colombia Compra Eficiente se ha referido</w:t>
      </w:r>
      <w:r>
        <w:rPr>
          <w:rStyle w:val="normaltextrun"/>
          <w:rFonts w:ascii="Verdana" w:hAnsi="Verdana" w:cs="Arial"/>
          <w:color w:val="000000" w:themeColor="text1"/>
          <w:shd w:val="clear" w:color="auto" w:fill="FFFFFF"/>
          <w:lang w:val="es-ES"/>
        </w:rPr>
        <w:t xml:space="preserve"> </w:t>
      </w:r>
      <w:r w:rsidRPr="00DD781E">
        <w:rPr>
          <w:rStyle w:val="normaltextrun"/>
          <w:rFonts w:ascii="Verdana" w:hAnsi="Verdana" w:cs="Arial"/>
          <w:shd w:val="clear" w:color="auto" w:fill="FFFFFF"/>
          <w:lang w:val="es-ES"/>
        </w:rPr>
        <w:t>se ha pronunciado sobre</w:t>
      </w:r>
      <w:r>
        <w:rPr>
          <w:rStyle w:val="normaltextrun"/>
          <w:rFonts w:ascii="Verdana" w:hAnsi="Verdana" w:cs="Arial"/>
          <w:shd w:val="clear" w:color="auto" w:fill="FFFFFF"/>
          <w:lang w:val="es-ES"/>
        </w:rPr>
        <w:t xml:space="preserve"> </w:t>
      </w:r>
      <w:r w:rsidRPr="00AA40D8">
        <w:rPr>
          <w:rFonts w:ascii="Verdana" w:eastAsia="Arial" w:hAnsi="Verdana" w:cs="Arial"/>
          <w:lang w:val="es-ES" w:eastAsia="es-ES_tradnl"/>
        </w:rPr>
        <w:t>se ha referido</w:t>
      </w:r>
      <w:r w:rsidRPr="00AA40D8">
        <w:rPr>
          <w:rFonts w:ascii="Verdana" w:eastAsia="Calibri" w:hAnsi="Verdana" w:cs="Arial"/>
          <w:lang w:val="es-ES"/>
        </w:rPr>
        <w:t xml:space="preserve"> </w:t>
      </w:r>
      <w:r w:rsidRPr="00AA40D8">
        <w:rPr>
          <w:rFonts w:ascii="Verdana" w:eastAsia="Calibri" w:hAnsi="Verdana" w:cs="Arial"/>
          <w:lang w:val="es-ES" w:eastAsia="es-ES"/>
        </w:rPr>
        <w:t xml:space="preserve">a </w:t>
      </w:r>
      <w:r>
        <w:rPr>
          <w:rFonts w:ascii="Verdana" w:eastAsia="Calibri" w:hAnsi="Verdana" w:cs="Arial"/>
          <w:shd w:val="clear" w:color="auto" w:fill="FFFFFF"/>
          <w:lang w:val="es-ES"/>
        </w:rPr>
        <w:t xml:space="preserve">la interventoría en los contratos estatales en los conceptos: </w:t>
      </w:r>
      <w:r w:rsidRPr="000A15AB">
        <w:rPr>
          <w:rFonts w:ascii="Verdana" w:eastAsia="Calibri" w:hAnsi="Verdana" w:cs="Arial"/>
          <w:kern w:val="2"/>
          <w:lang w:val="es-ES_tradnl" w:eastAsia="es-ES_tradnl"/>
          <w14:ligatures w14:val="standardContextual"/>
        </w:rPr>
        <w:t>C‒064 del 28 de febrero de 2020, C‒150 del 18 de marzo de 2020, C‒075 del 26 de marzo de 2020, C‒180 del 13 de abril de 2020, C‒344 del 26 de mayo de 2020 y en el C‒765 del 7 de enero de 2021, C-411 del 17 de agosto de 2021, C-650 del 22 de diciembre de 2021, C-238 del 27 de abril de 2022, C-432 del 13 de julio de 2022, C- 590 del 20 de septiembre de 2022,</w:t>
      </w:r>
      <w:r>
        <w:rPr>
          <w:rFonts w:ascii="Verdana" w:eastAsia="Calibri" w:hAnsi="Verdana" w:cs="Arial"/>
          <w:kern w:val="2"/>
          <w:lang w:val="es-ES_tradnl" w:eastAsia="es-ES_tradnl"/>
          <w14:ligatures w14:val="standardContextual"/>
        </w:rPr>
        <w:t xml:space="preserve"> </w:t>
      </w:r>
      <w:r w:rsidRPr="00654E3E">
        <w:rPr>
          <w:rFonts w:ascii="Verdana" w:eastAsia="Calibri" w:hAnsi="Verdana" w:cs="Arial"/>
          <w:kern w:val="2"/>
          <w:lang w:val="es-ES_tradnl" w:eastAsia="es-ES_tradnl"/>
          <w14:ligatures w14:val="standardContextual"/>
        </w:rPr>
        <w:t>Concepto C – 690 de</w:t>
      </w:r>
      <w:r>
        <w:rPr>
          <w:rFonts w:ascii="Verdana" w:eastAsia="Calibri" w:hAnsi="Verdana" w:cs="Arial"/>
          <w:kern w:val="2"/>
          <w:lang w:val="es-ES_tradnl" w:eastAsia="es-ES_tradnl"/>
          <w14:ligatures w14:val="standardContextual"/>
        </w:rPr>
        <w:t>l 19 de octubre de</w:t>
      </w:r>
      <w:r w:rsidRPr="00654E3E">
        <w:rPr>
          <w:rFonts w:ascii="Verdana" w:eastAsia="Calibri" w:hAnsi="Verdana" w:cs="Arial"/>
          <w:kern w:val="2"/>
          <w:lang w:val="es-ES_tradnl" w:eastAsia="es-ES_tradnl"/>
          <w14:ligatures w14:val="standardContextual"/>
        </w:rPr>
        <w:t xml:space="preserve"> 2022</w:t>
      </w:r>
      <w:r>
        <w:rPr>
          <w:rFonts w:ascii="Verdana" w:eastAsia="Calibri" w:hAnsi="Verdana" w:cs="Arial"/>
          <w:kern w:val="2"/>
          <w:lang w:val="es-ES_tradnl" w:eastAsia="es-ES_tradnl"/>
          <w14:ligatures w14:val="standardContextual"/>
        </w:rPr>
        <w:t>,</w:t>
      </w:r>
      <w:r w:rsidRPr="000A15AB">
        <w:rPr>
          <w:rFonts w:ascii="Verdana" w:eastAsia="Calibri" w:hAnsi="Verdana" w:cs="Arial"/>
          <w:kern w:val="2"/>
          <w:lang w:val="es-ES_tradnl" w:eastAsia="es-ES_tradnl"/>
          <w14:ligatures w14:val="standardContextual"/>
        </w:rPr>
        <w:t xml:space="preserve"> C-713 del 7 de noviembre de 2024, C-711 del 21 de noviembre de 2024</w:t>
      </w:r>
      <w:r>
        <w:rPr>
          <w:rFonts w:ascii="Verdana" w:eastAsia="Calibri" w:hAnsi="Verdana" w:cs="Arial"/>
          <w:kern w:val="2"/>
          <w:lang w:val="es-ES_tradnl" w:eastAsia="es-ES_tradnl"/>
          <w14:ligatures w14:val="standardContextual"/>
        </w:rPr>
        <w:t xml:space="preserve">, </w:t>
      </w:r>
      <w:r w:rsidRPr="009D1512">
        <w:rPr>
          <w:rFonts w:ascii="Verdana" w:eastAsia="Calibri" w:hAnsi="Verdana" w:cs="Arial"/>
          <w:lang w:val="es-ES" w:eastAsia="es-ES"/>
        </w:rPr>
        <w:t>C–800 del 13 de diciembre de 2024</w:t>
      </w:r>
      <w:r>
        <w:rPr>
          <w:rFonts w:ascii="Verdana" w:eastAsia="Calibri" w:hAnsi="Verdana" w:cs="Arial"/>
          <w:kern w:val="2"/>
          <w:lang w:val="es-ES_tradnl" w:eastAsia="es-ES_tradnl"/>
          <w14:ligatures w14:val="standardContextual"/>
        </w:rPr>
        <w:t xml:space="preserve"> y</w:t>
      </w:r>
      <w:r w:rsidRPr="00332D76">
        <w:rPr>
          <w:rFonts w:ascii="Verdana" w:eastAsia="Calibri" w:hAnsi="Verdana" w:cs="Arial"/>
          <w:kern w:val="2"/>
          <w:lang w:val="es-ES_tradnl" w:eastAsia="es-ES_tradnl"/>
          <w14:ligatures w14:val="standardContextual"/>
        </w:rPr>
        <w:t xml:space="preserve"> C-1006 del 28 de agosto de 2025</w:t>
      </w:r>
      <w:r>
        <w:rPr>
          <w:rFonts w:ascii="Verdana" w:eastAsia="Calibri" w:hAnsi="Verdana" w:cs="Arial"/>
          <w:kern w:val="2"/>
          <w:lang w:val="es-ES_tradnl" w:eastAsia="es-ES_tradnl"/>
          <w14:ligatures w14:val="standardContextual"/>
        </w:rPr>
        <w:t>,</w:t>
      </w:r>
      <w:r w:rsidRPr="00332D76">
        <w:rPr>
          <w:rFonts w:ascii="Verdana" w:eastAsia="Calibri" w:hAnsi="Verdana" w:cs="Arial"/>
          <w:kern w:val="2"/>
          <w:lang w:val="es-ES_tradnl" w:eastAsia="es-ES_tradnl"/>
          <w14:ligatures w14:val="standardContextual"/>
        </w:rPr>
        <w:t xml:space="preserve"> </w:t>
      </w:r>
      <w:r>
        <w:rPr>
          <w:rFonts w:ascii="Verdana" w:eastAsia="Calibri" w:hAnsi="Verdana" w:cs="Arial"/>
          <w:kern w:val="2"/>
          <w:lang w:val="es-ES_tradnl" w:eastAsia="es-ES_tradnl"/>
          <w14:ligatures w14:val="standardContextual"/>
        </w:rPr>
        <w:t xml:space="preserve">C-1605 del 15 de diciembre de 2025, </w:t>
      </w:r>
      <w:r w:rsidRPr="00332D76">
        <w:rPr>
          <w:rFonts w:ascii="Verdana" w:eastAsia="Calibri" w:hAnsi="Verdana" w:cs="Arial"/>
          <w:kern w:val="2"/>
          <w:lang w:val="es-ES_tradnl" w:eastAsia="es-ES_tradnl"/>
          <w14:ligatures w14:val="standardContextual"/>
        </w:rPr>
        <w:t>entre otros</w:t>
      </w:r>
      <w:r>
        <w:rPr>
          <w:rStyle w:val="normaltextrun"/>
          <w:rFonts w:ascii="Verdana" w:hAnsi="Verdana" w:cs="Arial"/>
          <w:color w:val="000000" w:themeColor="text1"/>
          <w:shd w:val="clear" w:color="auto" w:fill="FFFFFF"/>
          <w:lang w:val="es-ES"/>
        </w:rPr>
        <w:t xml:space="preserve">. </w:t>
      </w:r>
      <w:r w:rsidRPr="0017378C">
        <w:rPr>
          <w:rStyle w:val="normaltextrun"/>
          <w:rFonts w:ascii="Verdana" w:hAnsi="Verdana" w:cs="Arial"/>
          <w:shd w:val="clear" w:color="auto" w:fill="FFFFFF"/>
          <w:lang w:val="es-ES"/>
        </w:rPr>
        <w:t>Estos y otros conceptos se encuentran disponibles para consulta en el Sistema de relatoría de la Agencia</w:t>
      </w:r>
      <w:r w:rsidRPr="0017378C">
        <w:rPr>
          <w:rFonts w:ascii="Verdana" w:hAnsi="Verdana"/>
          <w:lang w:val="es-ES"/>
        </w:rPr>
        <w:t>, al cual puede accederse a través del siguiente enlace:</w:t>
      </w:r>
      <w:r w:rsidRPr="0017378C">
        <w:rPr>
          <w:rStyle w:val="normaltextrun"/>
          <w:rFonts w:ascii="Verdana" w:hAnsi="Verdana" w:cs="Arial"/>
          <w:shd w:val="clear" w:color="auto" w:fill="FFFFFF"/>
          <w:lang w:val="es-ES"/>
        </w:rPr>
        <w:t xml:space="preserve"> </w:t>
      </w:r>
      <w:hyperlink r:id="rId13" w:history="1">
        <w:r w:rsidRPr="0017378C">
          <w:rPr>
            <w:rStyle w:val="Hipervnculo"/>
            <w:rFonts w:ascii="Verdana" w:hAnsi="Verdana" w:cs="Arial"/>
            <w:shd w:val="clear" w:color="auto" w:fill="FFFFFF"/>
            <w:lang w:val="es-ES"/>
          </w:rPr>
          <w:t>https://relatoria.colombiacompra.gov.co/busqueda/conceptos</w:t>
        </w:r>
      </w:hyperlink>
      <w:r w:rsidRPr="0017378C">
        <w:rPr>
          <w:rStyle w:val="normaltextrun"/>
          <w:rFonts w:ascii="Verdana" w:hAnsi="Verdana" w:cs="Arial"/>
          <w:shd w:val="clear" w:color="auto" w:fill="FFFFFF"/>
          <w:lang w:val="es-ES"/>
        </w:rPr>
        <w:t>.</w:t>
      </w:r>
      <w:r w:rsidRPr="0017378C">
        <w:rPr>
          <w:rStyle w:val="normaltextrun"/>
          <w:rFonts w:ascii="Verdana" w:hAnsi="Verdana" w:cs="Arial"/>
          <w:color w:val="FF0000"/>
          <w:shd w:val="clear" w:color="auto" w:fill="FFFFFF"/>
          <w:lang w:val="es-ES"/>
        </w:rPr>
        <w:t xml:space="preserve"> </w:t>
      </w:r>
    </w:p>
    <w:p w14:paraId="1683B760" w14:textId="77777777" w:rsidR="00B834C0" w:rsidRPr="00A66D20" w:rsidRDefault="00B834C0" w:rsidP="00B834C0">
      <w:pPr>
        <w:spacing w:after="0" w:line="240" w:lineRule="auto"/>
        <w:jc w:val="both"/>
        <w:rPr>
          <w:rFonts w:ascii="Verdana" w:eastAsia="Calibri" w:hAnsi="Verdana" w:cs="Arial"/>
          <w:color w:val="000000" w:themeColor="text1"/>
          <w:shd w:val="clear" w:color="auto" w:fill="FFFFFF"/>
          <w:lang w:val="es-ES"/>
        </w:rPr>
      </w:pPr>
    </w:p>
    <w:p w14:paraId="561E9B9D" w14:textId="77777777" w:rsidR="00B834C0" w:rsidRPr="00E15FD8" w:rsidRDefault="00B834C0" w:rsidP="00B834C0">
      <w:pPr>
        <w:spacing w:after="120" w:line="276" w:lineRule="auto"/>
        <w:jc w:val="both"/>
        <w:rPr>
          <w:rFonts w:ascii="Aptos" w:eastAsia="Aptos" w:hAnsi="Aptos" w:cs="Times New Roman"/>
          <w:kern w:val="2"/>
          <w:sz w:val="24"/>
          <w:szCs w:val="24"/>
          <w14:ligatures w14:val="standardContextual"/>
        </w:rPr>
      </w:pPr>
      <w:r w:rsidRPr="00E15FD8">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15FD8">
        <w:rPr>
          <w:rFonts w:ascii="Verdana" w:eastAsia="Aptos" w:hAnsi="Verdana" w:cs="Times New Roman"/>
          <w:b/>
          <w:bCs/>
          <w:color w:val="000000"/>
          <w:kern w:val="2"/>
          <w14:ligatures w14:val="standardContextual"/>
        </w:rPr>
        <w:t xml:space="preserve">Guía para la Exigencia y Constitución de </w:t>
      </w:r>
      <w:r w:rsidRPr="00E15FD8">
        <w:rPr>
          <w:rFonts w:ascii="Verdana" w:eastAsia="Aptos" w:hAnsi="Verdana" w:cs="Times New Roman"/>
          <w:b/>
          <w:bCs/>
          <w:color w:val="000000"/>
          <w:kern w:val="2"/>
          <w14:ligatures w14:val="standardContextual"/>
        </w:rPr>
        <w:lastRenderedPageBreak/>
        <w:t>Garantías en los Procesos de Contratación</w:t>
      </w:r>
      <w:r w:rsidRPr="00E15FD8">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https://nam02.safelinks.protection.outlook.com/?url=https%3A%2F%2Fwww.colombiacompra.gov.co%2Farchivos%2Fmanual%2Fguia-de-garantias-en-procesos-de-contratacion&amp;data=05%7C02%7Ccarlos.castrillon%40colombiacompra.gov.co%7C7128555136e04fa6887d08dee99e1b50%7C7b0904" w:history="1">
        <w:r w:rsidRPr="00B91265">
          <w:rPr>
            <w:rFonts w:ascii="Verdana" w:eastAsia="Aptos" w:hAnsi="Verdana" w:cs="Times New Roman"/>
            <w:color w:val="0000FF"/>
            <w:kern w:val="2"/>
            <w:u w:val="single"/>
            <w14:ligatures w14:val="standardContextual"/>
          </w:rPr>
          <w:t>https://www.colombiacompra.gov.co/archivos/manual/guia-de-garantias-en-procesos-de-contratacion</w:t>
        </w:r>
      </w:hyperlink>
    </w:p>
    <w:p w14:paraId="6F44C9A6" w14:textId="77777777" w:rsidR="00B834C0" w:rsidRPr="00E15FD8" w:rsidRDefault="00B834C0" w:rsidP="00B834C0">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E15FD8">
        <w:rPr>
          <w:rFonts w:ascii="Verdana" w:eastAsia="Aptos" w:hAnsi="Verdana" w:cs="Times New Roman"/>
          <w:b/>
          <w:bCs/>
          <w:color w:val="000000"/>
          <w:kern w:val="2"/>
          <w14:ligatures w14:val="standardContextual"/>
        </w:rPr>
        <w:t>Sistema Integral de Preferencias en favor de las personas con discapacidad</w:t>
      </w:r>
      <w:r w:rsidRPr="00E15FD8">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E15FD8">
        <w:rPr>
          <w:rFonts w:ascii="Verdana" w:eastAsia="Aptos" w:hAnsi="Verdana" w:cs="Times New Roman"/>
          <w:b/>
          <w:bCs/>
          <w:color w:val="000000"/>
          <w:kern w:val="2"/>
          <w14:ligatures w14:val="standardContextual"/>
        </w:rPr>
        <w:t>Circular Externa 003 del 12 de mayo de 2026, </w:t>
      </w:r>
      <w:r w:rsidRPr="00E15FD8">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5" w:tooltip="https://nam02.safelinks.protection.outlook.com/?url=https%3A%2F%2Fwww.colombiacompra.gov.co%2Farchivos%2Fcircular%2Fcircular-externa-003-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https://www.colombiacompra.gov.co/archivos/circular/circular-externa-003-de-2026</w:t>
        </w:r>
      </w:hyperlink>
    </w:p>
    <w:p w14:paraId="3CF8C98F" w14:textId="77777777" w:rsidR="00B834C0" w:rsidRPr="00E15FD8" w:rsidRDefault="00B834C0" w:rsidP="00B834C0">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Recuerda también que la</w:t>
      </w:r>
      <w:r w:rsidRPr="00E15FD8">
        <w:rPr>
          <w:rFonts w:ascii="Verdana" w:eastAsia="Aptos" w:hAnsi="Verdana" w:cs="Times New Roman"/>
          <w:b/>
          <w:bCs/>
          <w:color w:val="000000"/>
          <w:kern w:val="2"/>
          <w14:ligatures w14:val="standardContextual"/>
        </w:rPr>
        <w:t> información sobre sanciones e inhabilidades </w:t>
      </w:r>
      <w:r w:rsidRPr="00E15FD8">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E15FD8">
        <w:rPr>
          <w:rFonts w:ascii="Verdana" w:eastAsia="Aptos" w:hAnsi="Verdana" w:cs="Times New Roman"/>
          <w:b/>
          <w:bCs/>
          <w:color w:val="000000"/>
          <w:kern w:val="2"/>
          <w14:ligatures w14:val="standardContextual"/>
        </w:rPr>
        <w:t>Circular Externa 002 del 5 de mayo de 2026,</w:t>
      </w:r>
      <w:r w:rsidRPr="00E15FD8">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https://nam02.safelinks.protection.outlook.com/?url=https%3A%2F%2Fwww.colombiacompra.gov.co%2Farchivos%2Fcircular%2Fcircular-externa-002-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https://www.colombiacompra.gov.co/archivos/circular/circular-externa-002-de-2026</w:t>
        </w:r>
      </w:hyperlink>
    </w:p>
    <w:p w14:paraId="2F594E23" w14:textId="77777777" w:rsidR="00B834C0" w:rsidRPr="00B91265" w:rsidRDefault="00B834C0" w:rsidP="00B834C0">
      <w:pPr>
        <w:spacing w:after="120" w:line="276" w:lineRule="auto"/>
        <w:jc w:val="both"/>
        <w:rPr>
          <w:rFonts w:ascii="Verdana" w:eastAsia="Aptos" w:hAnsi="Verdana" w:cs="Times New Roman"/>
          <w:color w:val="0000FF"/>
          <w:kern w:val="2"/>
          <w14:ligatures w14:val="standardContextual"/>
        </w:rPr>
      </w:pPr>
      <w:r w:rsidRPr="00E15FD8">
        <w:rPr>
          <w:rFonts w:ascii="Verdana" w:eastAsia="Aptos" w:hAnsi="Verdana" w:cs="Times New Roman"/>
          <w:color w:val="000000"/>
          <w:kern w:val="2"/>
          <w14:ligatures w14:val="standardContextual"/>
        </w:rPr>
        <w:t>Finalmente, si quieres seguir de cerca la actividad de la Agencia, la tercera edición de 2026 del</w:t>
      </w:r>
      <w:r w:rsidRPr="00E15FD8">
        <w:rPr>
          <w:rFonts w:ascii="Verdana" w:eastAsia="Aptos" w:hAnsi="Verdana" w:cs="Times New Roman"/>
          <w:b/>
          <w:bCs/>
          <w:color w:val="000000"/>
          <w:kern w:val="2"/>
          <w14:ligatures w14:val="standardContextual"/>
        </w:rPr>
        <w:t> Radar de la Compra Pública</w:t>
      </w:r>
      <w:r w:rsidRPr="00E15FD8">
        <w:rPr>
          <w:rFonts w:ascii="Verdana" w:eastAsia="Aptos" w:hAnsi="Verdana" w:cs="Times New Roman"/>
          <w:color w:val="000000"/>
          <w:kern w:val="2"/>
          <w14:ligatures w14:val="standardContextual"/>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w:t>
      </w:r>
      <w:r w:rsidRPr="00E15FD8">
        <w:rPr>
          <w:rFonts w:ascii="Verdana" w:eastAsia="Aptos" w:hAnsi="Verdana" w:cs="Times New Roman"/>
          <w:color w:val="000000"/>
          <w:kern w:val="2"/>
          <w14:ligatures w14:val="standardContextual"/>
        </w:rPr>
        <w:lastRenderedPageBreak/>
        <w:t>aquí: </w:t>
      </w:r>
      <w:hyperlink r:id="rId17" w:tooltip="https://nam02.safelinks.protection.outlook.com/?url=https%3A%2F%2Fwww.colombiacompra.gov.co%2Farchivos%2Fboletin%2Fboletin-edicion-n-3-de-2026-radar-de-la-compra-publica&amp;data=05%7C02%7Ccarlos.castrillon%40colombiacompra.gov.co%7C7128555136e04fa6887d08dee99e1b5" w:history="1">
        <w:r w:rsidRPr="00B91265">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101770BB" w14:textId="77777777" w:rsidR="00B834C0" w:rsidRPr="009552C8" w:rsidRDefault="00B834C0" w:rsidP="00B834C0">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6E4C6B81" w14:textId="77777777" w:rsidR="00B834C0" w:rsidRPr="009552C8" w:rsidRDefault="00B834C0" w:rsidP="00B834C0">
      <w:pPr>
        <w:spacing w:after="0" w:line="240" w:lineRule="auto"/>
        <w:jc w:val="both"/>
        <w:rPr>
          <w:rFonts w:ascii="Verdana" w:eastAsia="Aptos" w:hAnsi="Verdana" w:cs="Times New Roman"/>
          <w:kern w:val="2"/>
          <w14:ligatures w14:val="standardContextual"/>
        </w:rPr>
      </w:pPr>
    </w:p>
    <w:p w14:paraId="04C52F33" w14:textId="77777777" w:rsidR="00B834C0" w:rsidRPr="009552C8" w:rsidRDefault="00B834C0" w:rsidP="00B834C0">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1BB06A42" w14:textId="77777777" w:rsidR="00B834C0" w:rsidRPr="009552C8" w:rsidRDefault="00B834C0" w:rsidP="00B834C0">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59E91854" w14:textId="77777777" w:rsidR="00B834C0" w:rsidRPr="009552C8" w:rsidRDefault="00B834C0" w:rsidP="00B834C0">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5E572AC0" w14:textId="77777777" w:rsidR="00B834C0" w:rsidRPr="005D21BF" w:rsidRDefault="00B834C0" w:rsidP="00B834C0">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510FF897" w14:textId="77777777" w:rsidR="00B834C0" w:rsidRDefault="00B834C0" w:rsidP="00B834C0">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CC0A7D2" w14:textId="77777777" w:rsidR="00B834C0" w:rsidRPr="00EF54B1" w:rsidRDefault="00B834C0" w:rsidP="00B834C0">
      <w:pPr>
        <w:widowControl w:val="0"/>
        <w:autoSpaceDE w:val="0"/>
        <w:autoSpaceDN w:val="0"/>
        <w:spacing w:after="0" w:line="276" w:lineRule="auto"/>
        <w:jc w:val="both"/>
        <w:rPr>
          <w:rFonts w:ascii="Verdana" w:eastAsia="Calibri" w:hAnsi="Verdana" w:cs="Arial"/>
          <w:color w:val="000000" w:themeColor="text1"/>
        </w:rPr>
      </w:pPr>
    </w:p>
    <w:p w14:paraId="4B518242" w14:textId="40255B67" w:rsidR="00B834C0" w:rsidRPr="002E7AA3" w:rsidRDefault="00B834C0" w:rsidP="002E7AA3">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3D45A053" w14:textId="77777777" w:rsidR="00B834C0" w:rsidRDefault="00B834C0" w:rsidP="00B834C0">
      <w:pPr>
        <w:tabs>
          <w:tab w:val="left" w:pos="1320"/>
        </w:tabs>
        <w:spacing w:after="0"/>
        <w:jc w:val="center"/>
        <w:rPr>
          <w:rFonts w:ascii="Verdana" w:eastAsia="Verdana" w:hAnsi="Verdana" w:cs="Verdana"/>
          <w:b/>
          <w:bCs/>
        </w:rPr>
      </w:pPr>
    </w:p>
    <w:p w14:paraId="799DF246" w14:textId="12760B3B" w:rsidR="002E7AA3" w:rsidRDefault="002E7AA3" w:rsidP="00B834C0">
      <w:pPr>
        <w:tabs>
          <w:tab w:val="left" w:pos="1320"/>
        </w:tabs>
        <w:spacing w:after="0"/>
        <w:jc w:val="center"/>
        <w:rPr>
          <w:rFonts w:ascii="Verdana" w:eastAsia="Verdana" w:hAnsi="Verdana" w:cs="Verdana"/>
          <w:b/>
          <w:bCs/>
        </w:rPr>
      </w:pPr>
      <w:r>
        <w:rPr>
          <w:rFonts w:ascii="Verdana" w:eastAsia="Verdana" w:hAnsi="Verdana" w:cs="Verdana"/>
          <w:b/>
          <w:bCs/>
          <w:noProof/>
        </w:rPr>
        <w:drawing>
          <wp:inline distT="0" distB="0" distL="0" distR="0" wp14:anchorId="559988A2" wp14:editId="1AE48C5C">
            <wp:extent cx="3317517" cy="1177158"/>
            <wp:effectExtent l="0" t="0" r="0" b="4445"/>
            <wp:docPr id="18630089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008978" name="Imagen 186300897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25144" cy="1215347"/>
                    </a:xfrm>
                    <a:prstGeom prst="rect">
                      <a:avLst/>
                    </a:prstGeom>
                  </pic:spPr>
                </pic:pic>
              </a:graphicData>
            </a:graphic>
          </wp:inline>
        </w:drawing>
      </w:r>
    </w:p>
    <w:p w14:paraId="7D1D764E" w14:textId="77777777" w:rsidR="002E7AA3" w:rsidRPr="00B022AE" w:rsidRDefault="002E7AA3" w:rsidP="00B834C0">
      <w:pPr>
        <w:tabs>
          <w:tab w:val="left" w:pos="1320"/>
        </w:tabs>
        <w:spacing w:after="0"/>
        <w:jc w:val="center"/>
        <w:rPr>
          <w:rFonts w:ascii="Verdana" w:eastAsia="Verdana" w:hAnsi="Verdana" w:cs="Verdana"/>
          <w:b/>
          <w:bCs/>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B834C0" w14:paraId="30DE308C" w14:textId="77777777" w:rsidTr="00970515">
        <w:trPr>
          <w:trHeight w:val="315"/>
        </w:trPr>
        <w:tc>
          <w:tcPr>
            <w:tcW w:w="1185" w:type="dxa"/>
            <w:tcBorders>
              <w:top w:val="nil"/>
              <w:left w:val="nil"/>
              <w:bottom w:val="nil"/>
              <w:right w:val="nil"/>
            </w:tcBorders>
            <w:tcMar>
              <w:left w:w="105" w:type="dxa"/>
              <w:right w:w="105" w:type="dxa"/>
            </w:tcMar>
            <w:vAlign w:val="center"/>
          </w:tcPr>
          <w:p w14:paraId="3324595C" w14:textId="77777777" w:rsidR="00B834C0" w:rsidRDefault="00B834C0" w:rsidP="00970515">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1484E3A9" w14:textId="77777777" w:rsidR="00B834C0" w:rsidRDefault="00B834C0" w:rsidP="00970515">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491E7793" w14:textId="77777777" w:rsidR="00B834C0" w:rsidRDefault="00B834C0" w:rsidP="00970515">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B834C0" w14:paraId="5E0A4C50" w14:textId="77777777" w:rsidTr="00970515">
        <w:trPr>
          <w:trHeight w:val="315"/>
        </w:trPr>
        <w:tc>
          <w:tcPr>
            <w:tcW w:w="1185" w:type="dxa"/>
            <w:tcBorders>
              <w:top w:val="nil"/>
              <w:left w:val="nil"/>
              <w:bottom w:val="nil"/>
              <w:right w:val="nil"/>
            </w:tcBorders>
            <w:tcMar>
              <w:left w:w="105" w:type="dxa"/>
              <w:right w:w="105" w:type="dxa"/>
            </w:tcMar>
            <w:vAlign w:val="center"/>
          </w:tcPr>
          <w:p w14:paraId="56F94526" w14:textId="77777777" w:rsidR="00B834C0" w:rsidRDefault="00B834C0" w:rsidP="00970515">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33DE97ED" w14:textId="77777777" w:rsidR="00B834C0" w:rsidRDefault="00B834C0" w:rsidP="00970515">
            <w:pPr>
              <w:rPr>
                <w:rFonts w:ascii="Verdana" w:eastAsia="Verdana" w:hAnsi="Verdana" w:cs="Verdana"/>
                <w:sz w:val="16"/>
                <w:szCs w:val="16"/>
              </w:rPr>
            </w:pPr>
            <w:r>
              <w:rPr>
                <w:rFonts w:ascii="Verdana" w:eastAsia="Verdana" w:hAnsi="Verdana" w:cs="Verdana"/>
                <w:sz w:val="16"/>
                <w:szCs w:val="16"/>
              </w:rPr>
              <w:t>Juan David Cárdenas Cabezas</w:t>
            </w:r>
          </w:p>
          <w:p w14:paraId="7D771FC2" w14:textId="77777777" w:rsidR="00B834C0" w:rsidRDefault="00B834C0" w:rsidP="00970515">
            <w:pPr>
              <w:rPr>
                <w:rFonts w:ascii="Verdana" w:eastAsia="Verdana" w:hAnsi="Verdana" w:cs="Verdana"/>
                <w:sz w:val="16"/>
                <w:szCs w:val="16"/>
              </w:rPr>
            </w:pPr>
            <w:r>
              <w:rPr>
                <w:rFonts w:ascii="Verdana" w:eastAsia="Verdana" w:hAnsi="Verdana" w:cs="Verdana"/>
                <w:sz w:val="16"/>
                <w:szCs w:val="16"/>
              </w:rPr>
              <w:t xml:space="preserve">Contratista </w:t>
            </w:r>
            <w:r w:rsidRPr="3F869DD7">
              <w:rPr>
                <w:rFonts w:ascii="Verdana" w:eastAsia="Verdana" w:hAnsi="Verdana" w:cs="Verdana"/>
                <w:sz w:val="16"/>
                <w:szCs w:val="16"/>
              </w:rPr>
              <w:t>de la Subdirección de Gestión Contractual</w:t>
            </w:r>
          </w:p>
        </w:tc>
      </w:tr>
      <w:tr w:rsidR="00B834C0" w14:paraId="2F741AA1" w14:textId="77777777" w:rsidTr="00970515">
        <w:trPr>
          <w:trHeight w:val="300"/>
        </w:trPr>
        <w:tc>
          <w:tcPr>
            <w:tcW w:w="1185" w:type="dxa"/>
            <w:tcBorders>
              <w:top w:val="nil"/>
              <w:left w:val="nil"/>
              <w:bottom w:val="nil"/>
              <w:right w:val="nil"/>
            </w:tcBorders>
            <w:tcMar>
              <w:left w:w="105" w:type="dxa"/>
              <w:right w:w="105" w:type="dxa"/>
            </w:tcMar>
            <w:vAlign w:val="center"/>
          </w:tcPr>
          <w:p w14:paraId="4C1E760C" w14:textId="77777777" w:rsidR="00B834C0" w:rsidRDefault="00B834C0" w:rsidP="00970515">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47A39428" w14:textId="77777777" w:rsidR="00B834C0" w:rsidRDefault="00B834C0" w:rsidP="00970515">
            <w:pPr>
              <w:rPr>
                <w:rFonts w:ascii="Verdana" w:eastAsia="Verdana" w:hAnsi="Verdana" w:cs="Verdana"/>
                <w:sz w:val="16"/>
                <w:szCs w:val="16"/>
              </w:rPr>
            </w:pPr>
            <w:r>
              <w:rPr>
                <w:rFonts w:ascii="Verdana" w:eastAsia="Verdana" w:hAnsi="Verdana" w:cs="Verdana"/>
                <w:sz w:val="16"/>
                <w:szCs w:val="16"/>
              </w:rPr>
              <w:t>William Javier Murcia Acevedo</w:t>
            </w:r>
          </w:p>
          <w:p w14:paraId="6977AEA7" w14:textId="77777777" w:rsidR="00B834C0" w:rsidRDefault="00B834C0" w:rsidP="00970515">
            <w:pPr>
              <w:rPr>
                <w:rFonts w:ascii="Verdana" w:eastAsia="Verdana" w:hAnsi="Verdana" w:cs="Verdana"/>
                <w:sz w:val="16"/>
                <w:szCs w:val="16"/>
              </w:rPr>
            </w:pPr>
            <w:r w:rsidRPr="3F869DD7">
              <w:rPr>
                <w:rFonts w:ascii="Verdana" w:eastAsia="Verdana" w:hAnsi="Verdana" w:cs="Verdana"/>
                <w:sz w:val="16"/>
                <w:szCs w:val="16"/>
              </w:rPr>
              <w:t>Subdirector de Gestión Contractual ANCP – CCE</w:t>
            </w:r>
            <w:r>
              <w:rPr>
                <w:rFonts w:ascii="Verdana" w:eastAsia="Verdana" w:hAnsi="Verdana" w:cs="Verdana"/>
                <w:sz w:val="16"/>
                <w:szCs w:val="16"/>
              </w:rPr>
              <w:t xml:space="preserve"> (E)</w:t>
            </w:r>
          </w:p>
        </w:tc>
      </w:tr>
      <w:bookmarkEnd w:id="0"/>
    </w:tbl>
    <w:p w14:paraId="67A44998" w14:textId="77777777" w:rsidR="001A33BF" w:rsidRDefault="001A33BF" w:rsidP="30821638">
      <w:pPr>
        <w:spacing w:after="0" w:line="240" w:lineRule="auto"/>
        <w:jc w:val="both"/>
        <w:rPr>
          <w:rFonts w:ascii="Verdana" w:eastAsia="Verdana" w:hAnsi="Verdana" w:cs="Verdana"/>
          <w:lang w:val="es-MX"/>
        </w:rPr>
      </w:pPr>
    </w:p>
    <w:sectPr w:rsidR="001A33BF"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41DA9" w14:textId="77777777" w:rsidR="009D0860" w:rsidRDefault="009D0860" w:rsidP="004A1847">
      <w:pPr>
        <w:spacing w:after="0" w:line="240" w:lineRule="auto"/>
      </w:pPr>
      <w:r>
        <w:separator/>
      </w:r>
    </w:p>
  </w:endnote>
  <w:endnote w:type="continuationSeparator" w:id="0">
    <w:p w14:paraId="211B9E8F" w14:textId="77777777" w:rsidR="009D0860" w:rsidRDefault="009D086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3D053" w14:textId="77777777" w:rsidR="009D0860" w:rsidRDefault="009D0860" w:rsidP="004A1847">
      <w:pPr>
        <w:spacing w:after="0" w:line="240" w:lineRule="auto"/>
      </w:pPr>
      <w:r>
        <w:separator/>
      </w:r>
    </w:p>
  </w:footnote>
  <w:footnote w:type="continuationSeparator" w:id="0">
    <w:p w14:paraId="7287F812" w14:textId="77777777" w:rsidR="009D0860" w:rsidRDefault="009D0860" w:rsidP="004A1847">
      <w:pPr>
        <w:spacing w:after="0" w:line="240" w:lineRule="auto"/>
      </w:pPr>
      <w:r>
        <w:continuationSeparator/>
      </w:r>
    </w:p>
  </w:footnote>
  <w:footnote w:id="1">
    <w:p w14:paraId="4F92774A" w14:textId="77777777" w:rsidR="00B834C0" w:rsidRPr="00964EA8" w:rsidRDefault="00B834C0" w:rsidP="00B834C0">
      <w:pPr>
        <w:pStyle w:val="Textonotapie"/>
        <w:adjustRightInd w:val="0"/>
        <w:snapToGrid w:val="0"/>
        <w:ind w:firstLine="709"/>
        <w:jc w:val="both"/>
        <w:rPr>
          <w:rFonts w:ascii="Verdana" w:hAnsi="Verdana" w:cs="Arial"/>
          <w:color w:val="161616"/>
          <w:sz w:val="16"/>
          <w:szCs w:val="16"/>
        </w:rPr>
      </w:pPr>
      <w:r w:rsidRPr="00964EA8">
        <w:rPr>
          <w:rStyle w:val="Refdenotaalpie"/>
          <w:rFonts w:ascii="Verdana" w:hAnsi="Verdana"/>
          <w:sz w:val="16"/>
          <w:szCs w:val="16"/>
        </w:rPr>
        <w:footnoteRef/>
      </w:r>
      <w:r w:rsidRPr="00964EA8">
        <w:rPr>
          <w:rFonts w:ascii="Verdana" w:hAnsi="Verdana"/>
          <w:sz w:val="16"/>
          <w:szCs w:val="16"/>
        </w:rPr>
        <w:t xml:space="preserve"> </w:t>
      </w:r>
      <w:r w:rsidRPr="00964EA8">
        <w:rPr>
          <w:rFonts w:ascii="Verdana" w:hAnsi="Verdana" w:cs="Arial"/>
          <w:color w:val="161616"/>
          <w:sz w:val="16"/>
          <w:szCs w:val="16"/>
        </w:rPr>
        <w:t>“Son también contratos de consultoría los que tienen por objeto la interventoría […]”</w:t>
      </w:r>
    </w:p>
  </w:footnote>
  <w:footnote w:id="2">
    <w:p w14:paraId="40F74220" w14:textId="77777777" w:rsidR="00B834C0" w:rsidRPr="00804E01" w:rsidRDefault="00B834C0" w:rsidP="00B834C0">
      <w:pPr>
        <w:pStyle w:val="Textonotapie"/>
        <w:ind w:firstLine="708"/>
        <w:jc w:val="both"/>
        <w:rPr>
          <w:rFonts w:ascii="Verdana" w:hAnsi="Verdana"/>
          <w:sz w:val="18"/>
          <w:szCs w:val="18"/>
          <w:lang w:val="es-CO"/>
        </w:rPr>
      </w:pPr>
      <w:r w:rsidRPr="00804E01">
        <w:rPr>
          <w:rStyle w:val="Refdenotaalpie"/>
          <w:rFonts w:ascii="Verdana" w:hAnsi="Verdana"/>
          <w:sz w:val="18"/>
          <w:szCs w:val="18"/>
          <w:lang w:val="es-CO"/>
        </w:rPr>
        <w:footnoteRef/>
      </w:r>
      <w:r w:rsidRPr="00804E01">
        <w:rPr>
          <w:rFonts w:ascii="Verdana" w:hAnsi="Verdana"/>
          <w:sz w:val="18"/>
          <w:szCs w:val="18"/>
          <w:lang w:val="es-CO"/>
        </w:rPr>
        <w:t xml:space="preserve"> Estos Documentos Tipo pueden ser consultados en la página web de Colombia Compra Eficiente, a través del siguiente enlace: </w:t>
      </w:r>
      <w:hyperlink r:id="rId1" w:history="1">
        <w:r w:rsidRPr="00804E01">
          <w:rPr>
            <w:rStyle w:val="Hipervnculo"/>
            <w:rFonts w:ascii="Verdana" w:hAnsi="Verdana"/>
            <w:sz w:val="18"/>
            <w:szCs w:val="18"/>
            <w:lang w:val="es-CO"/>
          </w:rPr>
          <w:t>https://www.colombiacompra.gov.co/documentos-tipo/documentos-tipo</w:t>
        </w:r>
      </w:hyperlink>
      <w:r w:rsidRPr="00804E01">
        <w:rPr>
          <w:rFonts w:ascii="Verdana" w:hAnsi="Verdana"/>
          <w:sz w:val="18"/>
          <w:szCs w:val="18"/>
          <w:lang w:val="es-CO"/>
        </w:rPr>
        <w:t xml:space="preserve"> </w:t>
      </w:r>
    </w:p>
  </w:footnote>
  <w:footnote w:id="3">
    <w:p w14:paraId="68B0A335" w14:textId="77777777" w:rsidR="00B834C0" w:rsidRPr="00964EA8" w:rsidRDefault="00B834C0" w:rsidP="00B834C0">
      <w:pPr>
        <w:pStyle w:val="Textonotapie"/>
        <w:adjustRightInd w:val="0"/>
        <w:snapToGrid w:val="0"/>
        <w:ind w:firstLine="709"/>
        <w:jc w:val="both"/>
        <w:rPr>
          <w:rFonts w:ascii="Verdana" w:hAnsi="Verdana"/>
          <w:sz w:val="16"/>
          <w:szCs w:val="16"/>
        </w:rPr>
      </w:pPr>
      <w:r w:rsidRPr="00964EA8">
        <w:rPr>
          <w:rStyle w:val="Refdenotaalpie"/>
          <w:rFonts w:ascii="Verdana" w:hAnsi="Verdana"/>
          <w:sz w:val="16"/>
          <w:szCs w:val="16"/>
        </w:rPr>
        <w:footnoteRef/>
      </w:r>
      <w:r w:rsidRPr="00964EA8">
        <w:rPr>
          <w:rFonts w:ascii="Verdana" w:hAnsi="Verdana"/>
          <w:sz w:val="16"/>
          <w:szCs w:val="16"/>
        </w:rPr>
        <w:t xml:space="preserve"> Artículo 21 de la Ley 1150 de 2007</w:t>
      </w:r>
    </w:p>
  </w:footnote>
  <w:footnote w:id="4">
    <w:p w14:paraId="5B72236F" w14:textId="77777777" w:rsidR="00B834C0" w:rsidRPr="00964EA8" w:rsidRDefault="00B834C0" w:rsidP="00B834C0">
      <w:pPr>
        <w:pStyle w:val="Textonotapie"/>
        <w:adjustRightInd w:val="0"/>
        <w:snapToGrid w:val="0"/>
        <w:ind w:firstLine="709"/>
        <w:jc w:val="both"/>
        <w:rPr>
          <w:rFonts w:ascii="Verdana" w:hAnsi="Verdana"/>
          <w:sz w:val="16"/>
          <w:szCs w:val="16"/>
        </w:rPr>
      </w:pPr>
      <w:r w:rsidRPr="00964EA8">
        <w:rPr>
          <w:rStyle w:val="Refdenotaalpie"/>
          <w:rFonts w:ascii="Verdana" w:hAnsi="Verdana"/>
          <w:sz w:val="16"/>
          <w:szCs w:val="16"/>
        </w:rPr>
        <w:footnoteRef/>
      </w:r>
      <w:r w:rsidRPr="00964EA8">
        <w:rPr>
          <w:rFonts w:ascii="Verdana" w:hAnsi="Verdana"/>
          <w:sz w:val="16"/>
          <w:szCs w:val="16"/>
        </w:rPr>
        <w:t xml:space="preserve"> Artículos 83 a 86 de la Ley 1474 de 2011</w:t>
      </w:r>
    </w:p>
  </w:footnote>
  <w:footnote w:id="5">
    <w:p w14:paraId="44C64AD7" w14:textId="77777777" w:rsidR="00B834C0" w:rsidRPr="00964EA8" w:rsidRDefault="00B834C0" w:rsidP="00B834C0">
      <w:pPr>
        <w:pStyle w:val="Textonotapie"/>
        <w:adjustRightInd w:val="0"/>
        <w:snapToGrid w:val="0"/>
        <w:ind w:firstLine="709"/>
        <w:jc w:val="both"/>
        <w:rPr>
          <w:rFonts w:ascii="Verdana" w:hAnsi="Verdana"/>
          <w:sz w:val="16"/>
          <w:szCs w:val="16"/>
        </w:rPr>
      </w:pPr>
      <w:r w:rsidRPr="00964EA8">
        <w:rPr>
          <w:rStyle w:val="Refdenotaalpie"/>
          <w:rFonts w:ascii="Verdana" w:hAnsi="Verdana"/>
          <w:sz w:val="16"/>
          <w:szCs w:val="16"/>
        </w:rPr>
        <w:footnoteRef/>
      </w:r>
      <w:r w:rsidRPr="00964EA8">
        <w:rPr>
          <w:rFonts w:ascii="Verdana" w:hAnsi="Verdana"/>
          <w:sz w:val="16"/>
          <w:szCs w:val="16"/>
        </w:rPr>
        <w:t xml:space="preserve"> Artículo 83 de la Ley 1474 de 2011</w:t>
      </w:r>
    </w:p>
  </w:footnote>
  <w:footnote w:id="6">
    <w:p w14:paraId="0631FB11" w14:textId="77777777" w:rsidR="00B834C0" w:rsidRPr="00964EA8" w:rsidRDefault="00B834C0" w:rsidP="00B834C0">
      <w:pPr>
        <w:pStyle w:val="Textonotapie"/>
        <w:adjustRightInd w:val="0"/>
        <w:snapToGrid w:val="0"/>
        <w:ind w:firstLine="709"/>
        <w:jc w:val="both"/>
        <w:rPr>
          <w:rFonts w:ascii="Verdana" w:hAnsi="Verdana" w:cs="Arial"/>
          <w:color w:val="161616"/>
          <w:sz w:val="16"/>
          <w:szCs w:val="16"/>
        </w:rPr>
      </w:pPr>
      <w:r w:rsidRPr="00964EA8">
        <w:rPr>
          <w:rStyle w:val="Refdenotaalpie"/>
          <w:rFonts w:ascii="Verdana" w:hAnsi="Verdana"/>
          <w:sz w:val="16"/>
          <w:szCs w:val="16"/>
        </w:rPr>
        <w:footnoteRef/>
      </w:r>
      <w:r w:rsidRPr="00964EA8">
        <w:rPr>
          <w:rFonts w:ascii="Verdana" w:hAnsi="Verdana"/>
          <w:sz w:val="16"/>
          <w:szCs w:val="16"/>
        </w:rPr>
        <w:t xml:space="preserve"> </w:t>
      </w:r>
      <w:r w:rsidRPr="00964EA8">
        <w:rPr>
          <w:rFonts w:ascii="Verdana" w:hAnsi="Verdana" w:cs="Arial"/>
          <w:color w:val="161616"/>
          <w:sz w:val="16"/>
          <w:szCs w:val="16"/>
        </w:rPr>
        <w:t>“Son también contratos de consultoría los que tienen por objeto la interventoría […]”</w:t>
      </w:r>
    </w:p>
  </w:footnote>
  <w:footnote w:id="7">
    <w:p w14:paraId="4679704D" w14:textId="77777777" w:rsidR="00B834C0" w:rsidRPr="00964EA8" w:rsidRDefault="00B834C0" w:rsidP="00B834C0">
      <w:pPr>
        <w:pStyle w:val="Textonotapie"/>
        <w:adjustRightInd w:val="0"/>
        <w:snapToGrid w:val="0"/>
        <w:ind w:firstLine="709"/>
        <w:jc w:val="both"/>
        <w:rPr>
          <w:rFonts w:ascii="Verdana" w:hAnsi="Verdana" w:cs="Arial"/>
          <w:color w:val="161616"/>
          <w:sz w:val="16"/>
          <w:szCs w:val="16"/>
        </w:rPr>
      </w:pPr>
      <w:r w:rsidRPr="00964EA8">
        <w:rPr>
          <w:rStyle w:val="Refdenotaalpie"/>
          <w:rFonts w:ascii="Verdana" w:hAnsi="Verdana" w:cs="Arial"/>
          <w:sz w:val="16"/>
          <w:szCs w:val="16"/>
        </w:rPr>
        <w:footnoteRef/>
      </w:r>
      <w:r w:rsidRPr="00964EA8">
        <w:rPr>
          <w:rFonts w:ascii="Verdana" w:hAnsi="Verdana" w:cs="Arial"/>
          <w:sz w:val="16"/>
          <w:szCs w:val="16"/>
        </w:rPr>
        <w:t xml:space="preserve"> </w:t>
      </w:r>
      <w:r w:rsidRPr="00964EA8">
        <w:rPr>
          <w:rFonts w:ascii="Verdana" w:hAnsi="Verdana" w:cs="Arial"/>
          <w:color w:val="161616"/>
          <w:sz w:val="16"/>
          <w:szCs w:val="16"/>
        </w:rPr>
        <w:t>Consejo de Estado. Sección Tercera. Sentencia del 28 de febrero de 2013. Exp. 24.266 C.P. Danilo Rojas Betancourth.</w:t>
      </w:r>
    </w:p>
  </w:footnote>
  <w:footnote w:id="8">
    <w:p w14:paraId="3BD60B7F" w14:textId="77777777" w:rsidR="00B834C0" w:rsidRPr="00964EA8" w:rsidRDefault="00B834C0" w:rsidP="00B834C0">
      <w:pPr>
        <w:pStyle w:val="Textonotapie"/>
        <w:adjustRightInd w:val="0"/>
        <w:snapToGrid w:val="0"/>
        <w:ind w:firstLine="709"/>
        <w:jc w:val="both"/>
        <w:rPr>
          <w:rFonts w:ascii="Verdana" w:hAnsi="Verdana" w:cs="Arial"/>
          <w:color w:val="161616"/>
          <w:sz w:val="16"/>
          <w:szCs w:val="16"/>
        </w:rPr>
      </w:pPr>
      <w:r w:rsidRPr="00964EA8">
        <w:rPr>
          <w:rStyle w:val="Refdenotaalpie"/>
          <w:rFonts w:ascii="Verdana" w:hAnsi="Verdana" w:cs="Arial"/>
          <w:sz w:val="16"/>
          <w:szCs w:val="16"/>
        </w:rPr>
        <w:footnoteRef/>
      </w:r>
      <w:r w:rsidRPr="00964EA8">
        <w:rPr>
          <w:rFonts w:ascii="Verdana" w:hAnsi="Verdana" w:cs="Arial"/>
          <w:sz w:val="16"/>
          <w:szCs w:val="16"/>
        </w:rPr>
        <w:t xml:space="preserve"> </w:t>
      </w:r>
      <w:r w:rsidRPr="00964EA8">
        <w:rPr>
          <w:rFonts w:ascii="Verdana" w:hAnsi="Verdana" w:cs="Arial"/>
          <w:color w:val="161616"/>
          <w:sz w:val="16"/>
          <w:szCs w:val="16"/>
        </w:rPr>
        <w:t>Consejo de Estado, Sección Tercera. Sentencia del 8 de marzo de 1996, expediente n.° 8070, C.P. Jesús María Carrillo: “el interventor carece de facultades para exigir del contratante un supuesto derecho a prórrogas, como queriendo hacer valer el contrato de interventoria como un contrato accesorio del contrato de obra, y con esa perspectiva alegar que por la sola naturaleza accesoria "debe" obtener la misma suerte que la del contrato principal”. Consejo de Estado, Sala de lo Contencioso Administrativo, Sección Tercera, sentencia del 13 de septiembre de 1991, expediente n.° 5127, C.P. Carlos Betancur: “Debe distinguirse entre el contrato de obra pública y el de interventoría, pues el incumplimiento del contratista de obra no puede imputarse al del interventor como si éste fuera obligado a la ejecución de la obra”.</w:t>
      </w:r>
      <w:r w:rsidRPr="00964EA8">
        <w:rPr>
          <w:rFonts w:ascii="Verdana" w:hAnsi="Verdana" w:cs="Arial"/>
          <w:sz w:val="16"/>
          <w:szCs w:val="16"/>
        </w:rPr>
        <w:t xml:space="preserve">  </w:t>
      </w:r>
    </w:p>
  </w:footnote>
  <w:footnote w:id="9">
    <w:p w14:paraId="1D83D298" w14:textId="77777777" w:rsidR="00B834C0" w:rsidRPr="00964EA8" w:rsidRDefault="00B834C0" w:rsidP="00B834C0">
      <w:pPr>
        <w:pStyle w:val="Textonotapie"/>
        <w:ind w:firstLine="708"/>
        <w:jc w:val="both"/>
        <w:rPr>
          <w:rFonts w:ascii="Verdana" w:hAnsi="Verdana" w:cs="Arial"/>
          <w:iCs/>
          <w:color w:val="1A1A1A" w:themeColor="background1" w:themeShade="1A"/>
          <w:sz w:val="16"/>
          <w:szCs w:val="16"/>
        </w:rPr>
      </w:pPr>
      <w:r w:rsidRPr="00964EA8">
        <w:rPr>
          <w:rStyle w:val="Refdenotaalpie"/>
          <w:rFonts w:ascii="Verdana" w:hAnsi="Verdana"/>
          <w:sz w:val="16"/>
          <w:szCs w:val="16"/>
        </w:rPr>
        <w:footnoteRef/>
      </w:r>
      <w:r w:rsidRPr="00964EA8">
        <w:rPr>
          <w:rFonts w:ascii="Verdana" w:hAnsi="Verdana"/>
          <w:sz w:val="16"/>
          <w:szCs w:val="16"/>
        </w:rPr>
        <w:t xml:space="preserve"> </w:t>
      </w:r>
      <w:r w:rsidRPr="00964EA8">
        <w:rPr>
          <w:rFonts w:ascii="Verdana" w:hAnsi="Verdana" w:cs="Arial"/>
          <w:iCs/>
          <w:color w:val="1A1A1A" w:themeColor="background1" w:themeShade="1A"/>
          <w:sz w:val="16"/>
          <w:szCs w:val="16"/>
        </w:rPr>
        <w:t xml:space="preserve">Consejo de Estado, Sección Tercera. Sentencia del 20 de noviembre de 2019, expediente n.° 25000-23-36-000-2016-00955-01(62369), M.P. Marta Nubia Velazquez Rico: </w:t>
      </w:r>
      <w:r w:rsidRPr="00964EA8">
        <w:rPr>
          <w:rFonts w:ascii="Verdana" w:hAnsi="Verdana" w:cs="Arial"/>
          <w:color w:val="1A1A1A" w:themeColor="background1" w:themeShade="1A"/>
          <w:sz w:val="16"/>
          <w:szCs w:val="16"/>
        </w:rPr>
        <w:t>“</w:t>
      </w:r>
      <w:r w:rsidRPr="00964EA8">
        <w:rPr>
          <w:rFonts w:ascii="Verdana" w:hAnsi="Verdana" w:cs="Arial"/>
          <w:iCs/>
          <w:color w:val="1A1A1A" w:themeColor="background1" w:themeShade="1A"/>
          <w:sz w:val="16"/>
          <w:szCs w:val="16"/>
        </w:rPr>
        <w:t xml:space="preserve">el </w:t>
      </w:r>
      <w:r w:rsidRPr="00964EA8">
        <w:rPr>
          <w:rFonts w:ascii="Verdana" w:hAnsi="Verdana" w:cs="Arial"/>
          <w:i/>
          <w:color w:val="1A1A1A" w:themeColor="background1" w:themeShade="1A"/>
          <w:sz w:val="16"/>
          <w:szCs w:val="16"/>
        </w:rPr>
        <w:t>precio del contrato de interventoría</w:t>
      </w:r>
      <w:r w:rsidRPr="00964EA8">
        <w:rPr>
          <w:rFonts w:ascii="Verdana" w:hAnsi="Verdana" w:cs="Arial"/>
          <w:iCs/>
          <w:color w:val="1A1A1A" w:themeColor="background1" w:themeShade="1A"/>
          <w:sz w:val="16"/>
          <w:szCs w:val="16"/>
        </w:rPr>
        <w:t xml:space="preserve"> se estructura básicamente con base en los costos de los recursos humanos y técnicos altamente especializados que se requieren para adelantar la interventoría y elaborar los entregables o productos requeridos. No obstante, a su vez, se precisa que la remuneración o precio del contrato de interventoría no necesariamente corresponde a un sistema de simple reembolso de costos y gastos, dado que el contratista interventor otorga su experiencia como organización y se compromete con un sistema de control y vigilancia que colabora y protege los intereses de la entidad pública contratante, al punto de que su labor se ha calificado como una función pública, en la cual el contratista asume un riesgo profesional y patrimonial de importancia”</w:t>
      </w:r>
    </w:p>
  </w:footnote>
  <w:footnote w:id="10">
    <w:p w14:paraId="6532C152" w14:textId="77777777" w:rsidR="00B834C0" w:rsidRPr="00964EA8" w:rsidRDefault="00B834C0" w:rsidP="00B834C0">
      <w:pPr>
        <w:pStyle w:val="Textonotapie"/>
        <w:ind w:firstLine="708"/>
        <w:jc w:val="both"/>
        <w:rPr>
          <w:rFonts w:ascii="Verdana" w:hAnsi="Verdana" w:cs="Arial"/>
          <w:iCs/>
          <w:color w:val="1A1A1A" w:themeColor="background1" w:themeShade="1A"/>
          <w:sz w:val="16"/>
          <w:szCs w:val="16"/>
        </w:rPr>
      </w:pPr>
      <w:r w:rsidRPr="00964EA8">
        <w:rPr>
          <w:rStyle w:val="Refdenotaalpie"/>
          <w:rFonts w:ascii="Verdana" w:hAnsi="Verdana"/>
          <w:sz w:val="16"/>
          <w:szCs w:val="16"/>
        </w:rPr>
        <w:footnoteRef/>
      </w:r>
      <w:r w:rsidRPr="00964EA8">
        <w:rPr>
          <w:rFonts w:ascii="Verdana" w:hAnsi="Verdana"/>
          <w:sz w:val="16"/>
          <w:szCs w:val="16"/>
        </w:rPr>
        <w:t xml:space="preserve"> </w:t>
      </w:r>
      <w:r w:rsidRPr="00964EA8">
        <w:rPr>
          <w:rFonts w:ascii="Verdana" w:hAnsi="Verdana" w:cs="Arial"/>
          <w:color w:val="1A1A1A" w:themeColor="background1" w:themeShade="1A"/>
          <w:sz w:val="16"/>
          <w:szCs w:val="16"/>
        </w:rPr>
        <w:t>“</w:t>
      </w:r>
      <w:r w:rsidRPr="00964EA8">
        <w:rPr>
          <w:rFonts w:ascii="Verdana" w:hAnsi="Verdana" w:cs="Arial"/>
          <w:iCs/>
          <w:color w:val="1A1A1A" w:themeColor="background1" w:themeShade="1A"/>
          <w:sz w:val="16"/>
          <w:szCs w:val="16"/>
        </w:rPr>
        <w:t>Artículo   5º.- De los Derechos y Deberes de los Contratistas. Para la realización de los fines de que trata el artículo 3o. de esta Ley, los contratistas:</w:t>
      </w:r>
    </w:p>
    <w:p w14:paraId="672F5827" w14:textId="77777777" w:rsidR="00B834C0" w:rsidRPr="00964EA8" w:rsidRDefault="00B834C0" w:rsidP="00B834C0">
      <w:pPr>
        <w:pStyle w:val="Textonotapie"/>
        <w:ind w:firstLine="708"/>
        <w:jc w:val="both"/>
        <w:rPr>
          <w:rFonts w:ascii="Verdana" w:hAnsi="Verdana" w:cs="Arial"/>
          <w:color w:val="1A1A1A" w:themeColor="background1" w:themeShade="1A"/>
          <w:sz w:val="16"/>
          <w:szCs w:val="16"/>
        </w:rPr>
      </w:pPr>
      <w:r w:rsidRPr="00964EA8">
        <w:rPr>
          <w:rFonts w:ascii="Verdana" w:hAnsi="Verdana" w:cs="Arial"/>
          <w:iCs/>
          <w:color w:val="1A1A1A" w:themeColor="background1" w:themeShade="1A"/>
          <w:sz w:val="16"/>
          <w:szCs w:val="16"/>
        </w:rPr>
        <w:t>1o. Tendrán derecho a recibir oportunamente la remuneración pactada y a que el valor intrínseco de la misma no se altere o modifique durante la vigencia del contrato</w:t>
      </w:r>
      <w:r w:rsidRPr="00964EA8">
        <w:rPr>
          <w:rFonts w:ascii="Verdana" w:hAnsi="Verdana" w:cs="Arial"/>
          <w:color w:val="1A1A1A" w:themeColor="background1" w:themeShade="1A"/>
          <w:sz w:val="16"/>
          <w:szCs w:val="16"/>
        </w:rPr>
        <w:t>”.</w:t>
      </w:r>
    </w:p>
  </w:footnote>
  <w:footnote w:id="11">
    <w:p w14:paraId="1E55C98E" w14:textId="77777777" w:rsidR="00B834C0" w:rsidRPr="00964EA8" w:rsidRDefault="00B834C0" w:rsidP="00B834C0">
      <w:pPr>
        <w:pStyle w:val="Textonotapie"/>
        <w:ind w:firstLine="709"/>
        <w:jc w:val="both"/>
        <w:rPr>
          <w:rFonts w:ascii="Verdana" w:hAnsi="Verdana" w:cs="Arial"/>
          <w:sz w:val="16"/>
          <w:szCs w:val="16"/>
          <w:lang w:val="es-ES"/>
        </w:rPr>
      </w:pPr>
      <w:r w:rsidRPr="00964EA8">
        <w:rPr>
          <w:rStyle w:val="Refdenotaalpie"/>
          <w:rFonts w:ascii="Verdana" w:hAnsi="Verdana" w:cs="Arial"/>
          <w:sz w:val="16"/>
          <w:szCs w:val="16"/>
        </w:rPr>
        <w:footnoteRef/>
      </w:r>
      <w:r w:rsidRPr="00964EA8">
        <w:rPr>
          <w:rFonts w:ascii="Verdana" w:hAnsi="Verdana" w:cs="Arial"/>
          <w:sz w:val="16"/>
          <w:szCs w:val="16"/>
        </w:rPr>
        <w:t xml:space="preserve"> “</w:t>
      </w:r>
      <w:r w:rsidRPr="00964EA8">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5C2209F3" w14:textId="77777777" w:rsidR="00B834C0" w:rsidRPr="00964EA8" w:rsidRDefault="00B834C0" w:rsidP="00B834C0">
      <w:pPr>
        <w:pStyle w:val="Textonotapie"/>
        <w:ind w:firstLine="709"/>
        <w:jc w:val="both"/>
        <w:rPr>
          <w:rFonts w:ascii="Verdana" w:hAnsi="Verdana" w:cs="Arial"/>
          <w:sz w:val="16"/>
          <w:szCs w:val="16"/>
          <w:lang w:val="es-ES"/>
        </w:rPr>
      </w:pPr>
      <w:r w:rsidRPr="00964EA8">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964EA8">
        <w:rPr>
          <w:rFonts w:ascii="Verdana" w:hAnsi="Verdana" w:cs="Arial"/>
          <w:i/>
          <w:iCs/>
          <w:sz w:val="16"/>
          <w:szCs w:val="16"/>
          <w:lang w:val="es-ES"/>
        </w:rPr>
        <w:t>costos directos</w:t>
      </w:r>
      <w:r w:rsidRPr="00964EA8">
        <w:rPr>
          <w:rFonts w:ascii="Verdana" w:hAnsi="Verdana" w:cs="Arial"/>
          <w:sz w:val="16"/>
          <w:szCs w:val="16"/>
          <w:lang w:val="es-ES"/>
        </w:rPr>
        <w:t xml:space="preserve"> y los</w:t>
      </w:r>
      <w:r w:rsidRPr="00964EA8">
        <w:rPr>
          <w:rFonts w:ascii="Verdana" w:hAnsi="Verdana" w:cs="Arial"/>
          <w:i/>
          <w:iCs/>
          <w:sz w:val="16"/>
          <w:szCs w:val="16"/>
          <w:lang w:val="es-ES"/>
        </w:rPr>
        <w:t xml:space="preserve"> costos indirectos</w:t>
      </w:r>
      <w:r w:rsidRPr="00964EA8">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964EA8">
        <w:rPr>
          <w:rFonts w:ascii="Verdana" w:hAnsi="Verdana" w:cs="Arial"/>
          <w:i/>
          <w:iCs/>
          <w:sz w:val="16"/>
          <w:szCs w:val="16"/>
          <w:lang w:val="es-ES"/>
        </w:rPr>
        <w:t>ítems</w:t>
      </w:r>
      <w:r w:rsidRPr="00964EA8">
        <w:rPr>
          <w:rFonts w:ascii="Verdana" w:hAnsi="Verdana" w:cs="Arial"/>
          <w:sz w:val="16"/>
          <w:szCs w:val="16"/>
          <w:lang w:val="es-ES"/>
        </w:rPr>
        <w:t xml:space="preserve"> que componen el contrato–. Los costos </w:t>
      </w:r>
      <w:r w:rsidRPr="00964EA8">
        <w:rPr>
          <w:rFonts w:ascii="Verdana" w:hAnsi="Verdana" w:cs="Arial"/>
          <w:i/>
          <w:iCs/>
          <w:sz w:val="16"/>
          <w:szCs w:val="16"/>
          <w:lang w:val="es-ES"/>
        </w:rPr>
        <w:t>indirectos</w:t>
      </w:r>
      <w:r w:rsidRPr="00964EA8">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12">
    <w:p w14:paraId="20E4A66A" w14:textId="77777777" w:rsidR="00B834C0" w:rsidRPr="00964EA8" w:rsidRDefault="00B834C0" w:rsidP="00B834C0">
      <w:pPr>
        <w:pStyle w:val="Textonotapie"/>
        <w:ind w:firstLine="708"/>
        <w:jc w:val="both"/>
        <w:rPr>
          <w:rFonts w:ascii="Verdana" w:hAnsi="Verdana"/>
          <w:sz w:val="16"/>
          <w:szCs w:val="16"/>
          <w:lang w:val="es-ES"/>
        </w:rPr>
      </w:pPr>
      <w:r w:rsidRPr="00964EA8">
        <w:rPr>
          <w:rStyle w:val="Refdenotaalpie"/>
          <w:rFonts w:ascii="Verdana" w:hAnsi="Verdana"/>
          <w:sz w:val="16"/>
          <w:szCs w:val="16"/>
        </w:rPr>
        <w:footnoteRef/>
      </w:r>
      <w:r w:rsidRPr="00964EA8">
        <w:rPr>
          <w:rFonts w:ascii="Verdana" w:hAnsi="Verdana"/>
          <w:sz w:val="16"/>
          <w:szCs w:val="16"/>
        </w:rPr>
        <w:t xml:space="preserve"> Ley 80 de 1993, Artículo 13: “L</w:t>
      </w:r>
      <w:r w:rsidRPr="00964EA8">
        <w:rPr>
          <w:rFonts w:ascii="Verdana" w:hAnsi="Verdana"/>
          <w:sz w:val="16"/>
          <w:szCs w:val="16"/>
          <w:lang w:val="es-CO"/>
        </w:rPr>
        <w:t>os contratos que celebren las entidades a que se refiere el artículo 2 del presente estatuto se regirán por las disposiciones comerciales y civiles pertinentes, salvo en las materias particularmente reguladas en esta Ley […]”.</w:t>
      </w:r>
    </w:p>
  </w:footnote>
  <w:footnote w:id="13">
    <w:p w14:paraId="7ED10300" w14:textId="77777777" w:rsidR="00B834C0" w:rsidRPr="00964EA8" w:rsidRDefault="00B834C0" w:rsidP="00B834C0">
      <w:pPr>
        <w:pStyle w:val="Textonotapie"/>
        <w:ind w:firstLine="708"/>
        <w:jc w:val="both"/>
        <w:rPr>
          <w:rFonts w:ascii="Verdana" w:hAnsi="Verdana"/>
          <w:sz w:val="16"/>
          <w:szCs w:val="16"/>
          <w:lang w:val="es-ES"/>
        </w:rPr>
      </w:pPr>
      <w:r w:rsidRPr="00964EA8">
        <w:rPr>
          <w:rStyle w:val="Refdenotaalpie"/>
          <w:rFonts w:ascii="Verdana" w:hAnsi="Verdana"/>
          <w:sz w:val="16"/>
          <w:szCs w:val="16"/>
        </w:rPr>
        <w:footnoteRef/>
      </w:r>
      <w:r w:rsidRPr="00964EA8">
        <w:rPr>
          <w:rFonts w:ascii="Verdana" w:hAnsi="Verdana"/>
          <w:sz w:val="16"/>
          <w:szCs w:val="16"/>
        </w:rPr>
        <w:t xml:space="preserve"> Ley 80 de 1993. ARTÍCULO </w:t>
      </w:r>
      <w:bookmarkStart w:id="3" w:name="BM32"/>
      <w:bookmarkStart w:id="4" w:name="32"/>
      <w:bookmarkEnd w:id="3"/>
      <w:bookmarkEnd w:id="4"/>
      <w:r w:rsidRPr="00964EA8">
        <w:rPr>
          <w:rFonts w:ascii="Verdana" w:hAnsi="Verdana"/>
          <w:sz w:val="16"/>
          <w:szCs w:val="16"/>
        </w:rPr>
        <w:t>32: “</w:t>
      </w:r>
      <w:r w:rsidRPr="00964EA8">
        <w:rPr>
          <w:rFonts w:ascii="Verdana" w:hAnsi="Verdana"/>
          <w:sz w:val="16"/>
          <w:szCs w:val="16"/>
          <w:lang w:val="es-CO"/>
        </w:rPr>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14">
    <w:p w14:paraId="336D16AE" w14:textId="77777777" w:rsidR="00B834C0" w:rsidRPr="00DF18E5" w:rsidRDefault="00B834C0" w:rsidP="00B834C0">
      <w:pPr>
        <w:spacing w:after="0" w:line="240" w:lineRule="auto"/>
        <w:ind w:firstLine="707"/>
        <w:jc w:val="both"/>
        <w:rPr>
          <w:rFonts w:ascii="Verdana" w:hAnsi="Verdana" w:cs="Arial"/>
          <w:sz w:val="16"/>
          <w:szCs w:val="16"/>
        </w:rPr>
      </w:pPr>
      <w:r w:rsidRPr="00DF18E5">
        <w:rPr>
          <w:rStyle w:val="Refdenotaalpie"/>
          <w:rFonts w:ascii="Verdana" w:hAnsi="Verdana" w:cs="Arial"/>
          <w:sz w:val="16"/>
          <w:szCs w:val="16"/>
        </w:rPr>
        <w:footnoteRef/>
      </w:r>
      <w:r w:rsidRPr="00DF18E5">
        <w:rPr>
          <w:rFonts w:ascii="Verdana" w:hAnsi="Verdana" w:cs="Arial"/>
          <w:position w:val="6"/>
          <w:sz w:val="16"/>
          <w:szCs w:val="16"/>
        </w:rPr>
        <w:t xml:space="preserve"> </w:t>
      </w:r>
      <w:r w:rsidRPr="00DF18E5">
        <w:rPr>
          <w:rFonts w:ascii="Verdana" w:hAnsi="Verdana" w:cs="Arial"/>
          <w:sz w:val="16"/>
          <w:szCs w:val="16"/>
        </w:rPr>
        <w:t>DEIK ACOSTAMADIEDO, Carolina, Guía de Contratación Estatal: Deber de planeación y modalidades de selección, Buenos Aires, 2015, p. 59.</w:t>
      </w:r>
    </w:p>
    <w:p w14:paraId="7B0BD877" w14:textId="77777777" w:rsidR="00B834C0" w:rsidRPr="00DF18E5" w:rsidRDefault="00B834C0" w:rsidP="00B834C0">
      <w:pPr>
        <w:pStyle w:val="Textonotapie"/>
        <w:jc w:val="both"/>
        <w:rPr>
          <w:rFonts w:ascii="Verdana" w:hAnsi="Verdana" w:cs="Arial"/>
          <w:sz w:val="16"/>
          <w:szCs w:val="16"/>
        </w:rPr>
      </w:pPr>
    </w:p>
  </w:footnote>
  <w:footnote w:id="15">
    <w:p w14:paraId="107C4378" w14:textId="77777777" w:rsidR="00B834C0" w:rsidRPr="00DF18E5" w:rsidRDefault="00B834C0" w:rsidP="00B834C0">
      <w:pPr>
        <w:pStyle w:val="Textoindependiente"/>
        <w:spacing w:after="0" w:line="240" w:lineRule="auto"/>
        <w:ind w:firstLine="709"/>
        <w:jc w:val="both"/>
        <w:rPr>
          <w:rFonts w:ascii="Verdana" w:hAnsi="Verdana" w:cs="Arial"/>
          <w:sz w:val="16"/>
          <w:szCs w:val="16"/>
        </w:rPr>
      </w:pPr>
      <w:r w:rsidRPr="00DF18E5">
        <w:rPr>
          <w:rStyle w:val="Refdenotaalpie"/>
          <w:rFonts w:ascii="Verdana" w:hAnsi="Verdana" w:cs="Arial"/>
          <w:sz w:val="16"/>
          <w:szCs w:val="16"/>
        </w:rPr>
        <w:footnoteRef/>
      </w:r>
      <w:r w:rsidRPr="00DF18E5">
        <w:rPr>
          <w:rFonts w:ascii="Verdana" w:hAnsi="Verdana" w:cs="Arial"/>
          <w:sz w:val="16"/>
          <w:szCs w:val="16"/>
        </w:rPr>
        <w:t xml:space="preserve"> “Artículo </w:t>
      </w:r>
      <w:bookmarkStart w:id="6" w:name="_Hlk54173885"/>
      <w:r w:rsidRPr="00DF18E5">
        <w:rPr>
          <w:rFonts w:ascii="Verdana" w:hAnsi="Verdana" w:cs="Arial"/>
          <w:sz w:val="16"/>
          <w:szCs w:val="16"/>
        </w:rPr>
        <w:t>2.2.1.1.2.1.1</w:t>
      </w:r>
      <w:bookmarkEnd w:id="6"/>
      <w:r w:rsidRPr="00DF18E5">
        <w:rPr>
          <w:rFonts w:ascii="Verdana" w:hAnsi="Verdana"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0A351E33" w14:textId="77777777" w:rsidR="00B834C0" w:rsidRPr="00DF18E5" w:rsidRDefault="00B834C0" w:rsidP="00B834C0">
      <w:pPr>
        <w:pStyle w:val="Textonotapie"/>
        <w:ind w:firstLine="709"/>
        <w:jc w:val="both"/>
        <w:rPr>
          <w:rFonts w:ascii="Verdana" w:hAnsi="Verdana" w:cs="Arial"/>
          <w:sz w:val="16"/>
          <w:szCs w:val="16"/>
        </w:rPr>
      </w:pPr>
    </w:p>
  </w:footnote>
  <w:footnote w:id="16">
    <w:p w14:paraId="32D44892" w14:textId="77777777" w:rsidR="00B834C0" w:rsidRPr="00DF18E5" w:rsidRDefault="00B834C0" w:rsidP="00B834C0">
      <w:pPr>
        <w:pStyle w:val="Textoindependiente"/>
        <w:spacing w:after="0" w:line="240" w:lineRule="auto"/>
        <w:ind w:firstLine="709"/>
        <w:jc w:val="both"/>
        <w:rPr>
          <w:rFonts w:ascii="Verdana" w:hAnsi="Verdana" w:cs="Arial"/>
          <w:sz w:val="16"/>
          <w:szCs w:val="16"/>
        </w:rPr>
      </w:pPr>
      <w:r w:rsidRPr="00DF18E5">
        <w:rPr>
          <w:rStyle w:val="Refdenotaalpie"/>
          <w:rFonts w:ascii="Verdana" w:hAnsi="Verdana" w:cs="Arial"/>
          <w:sz w:val="16"/>
          <w:szCs w:val="16"/>
        </w:rPr>
        <w:footnoteRef/>
      </w:r>
      <w:r w:rsidRPr="00DF18E5">
        <w:rPr>
          <w:rFonts w:ascii="Verdana" w:hAnsi="Verdana" w:cs="Arial"/>
          <w:sz w:val="16"/>
          <w:szCs w:val="16"/>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14F0CBCE" w14:textId="77777777" w:rsidR="00B834C0" w:rsidRPr="00DF18E5" w:rsidRDefault="00B834C0" w:rsidP="00B834C0">
      <w:pPr>
        <w:pStyle w:val="Textonotapie"/>
        <w:jc w:val="both"/>
        <w:rPr>
          <w:rFonts w:ascii="Verdana" w:hAnsi="Verdana" w:cs="Arial"/>
          <w:sz w:val="16"/>
          <w:szCs w:val="16"/>
        </w:rPr>
      </w:pPr>
    </w:p>
  </w:footnote>
  <w:footnote w:id="17">
    <w:p w14:paraId="74C74B3D" w14:textId="77777777" w:rsidR="00B834C0" w:rsidRPr="00DF18E5" w:rsidRDefault="00B834C0" w:rsidP="00B834C0">
      <w:pPr>
        <w:pStyle w:val="Textonotapie"/>
        <w:ind w:firstLine="708"/>
        <w:jc w:val="both"/>
        <w:rPr>
          <w:rFonts w:ascii="Verdana" w:hAnsi="Verdana" w:cs="Arial"/>
          <w:sz w:val="16"/>
          <w:szCs w:val="16"/>
        </w:rPr>
      </w:pPr>
      <w:r w:rsidRPr="00DF18E5">
        <w:rPr>
          <w:rStyle w:val="Refdenotaalpie"/>
          <w:rFonts w:ascii="Verdana" w:hAnsi="Verdana" w:cs="Arial"/>
          <w:sz w:val="16"/>
          <w:szCs w:val="16"/>
        </w:rPr>
        <w:footnoteRef/>
      </w:r>
      <w:r w:rsidRPr="00DF18E5">
        <w:rPr>
          <w:rFonts w:ascii="Verdana" w:hAnsi="Verdana" w:cs="Arial"/>
          <w:sz w:val="16"/>
          <w:szCs w:val="16"/>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04" type="#_x0000_t75" style="width:12.4pt;height:12.4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B0B1F2C"/>
    <w:multiLevelType w:val="hybridMultilevel"/>
    <w:tmpl w:val="2196BF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1274352">
    <w:abstractNumId w:val="0"/>
  </w:num>
  <w:num w:numId="18" w16cid:durableId="634795336">
    <w:abstractNumId w:val="15"/>
  </w:num>
  <w:num w:numId="19" w16cid:durableId="1654065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044F3"/>
    <w:rsid w:val="00116940"/>
    <w:rsid w:val="00125105"/>
    <w:rsid w:val="00127233"/>
    <w:rsid w:val="0015699B"/>
    <w:rsid w:val="001A33BF"/>
    <w:rsid w:val="001E4177"/>
    <w:rsid w:val="001F0B24"/>
    <w:rsid w:val="001F7DC6"/>
    <w:rsid w:val="0022400B"/>
    <w:rsid w:val="002421BB"/>
    <w:rsid w:val="0025796E"/>
    <w:rsid w:val="002707A2"/>
    <w:rsid w:val="00275820"/>
    <w:rsid w:val="002951A0"/>
    <w:rsid w:val="002962BC"/>
    <w:rsid w:val="002A093D"/>
    <w:rsid w:val="002A0DD0"/>
    <w:rsid w:val="002A49AC"/>
    <w:rsid w:val="002A64FD"/>
    <w:rsid w:val="002B7672"/>
    <w:rsid w:val="002C7A84"/>
    <w:rsid w:val="002E2BF8"/>
    <w:rsid w:val="002E4FD9"/>
    <w:rsid w:val="002E7AA3"/>
    <w:rsid w:val="0030657A"/>
    <w:rsid w:val="00314834"/>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10F06"/>
    <w:rsid w:val="00820278"/>
    <w:rsid w:val="008258C9"/>
    <w:rsid w:val="00844AE9"/>
    <w:rsid w:val="00867F95"/>
    <w:rsid w:val="008843B6"/>
    <w:rsid w:val="00891928"/>
    <w:rsid w:val="008A446D"/>
    <w:rsid w:val="008B25F1"/>
    <w:rsid w:val="008D180B"/>
    <w:rsid w:val="008E46DA"/>
    <w:rsid w:val="008F0EA7"/>
    <w:rsid w:val="00923EEF"/>
    <w:rsid w:val="009419F9"/>
    <w:rsid w:val="0095685E"/>
    <w:rsid w:val="00961B09"/>
    <w:rsid w:val="00965334"/>
    <w:rsid w:val="0097093E"/>
    <w:rsid w:val="009A0DFA"/>
    <w:rsid w:val="009A1C6F"/>
    <w:rsid w:val="009B2D26"/>
    <w:rsid w:val="009C71FA"/>
    <w:rsid w:val="009C72E7"/>
    <w:rsid w:val="009C7F7E"/>
    <w:rsid w:val="009D0860"/>
    <w:rsid w:val="009D3058"/>
    <w:rsid w:val="009F3A13"/>
    <w:rsid w:val="00A0566C"/>
    <w:rsid w:val="00A122D3"/>
    <w:rsid w:val="00A14468"/>
    <w:rsid w:val="00A17F13"/>
    <w:rsid w:val="00A20739"/>
    <w:rsid w:val="00A23AF9"/>
    <w:rsid w:val="00A33C78"/>
    <w:rsid w:val="00AB0ADB"/>
    <w:rsid w:val="00B00C0E"/>
    <w:rsid w:val="00B01B1A"/>
    <w:rsid w:val="00B0381D"/>
    <w:rsid w:val="00B44A47"/>
    <w:rsid w:val="00B72CD3"/>
    <w:rsid w:val="00B72FFF"/>
    <w:rsid w:val="00B834C0"/>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197B"/>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B83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qFormat/>
    <w:rsid w:val="00B834C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834C0"/>
    <w:rPr>
      <w:rFonts w:ascii="Geomanist Light" w:hAnsi="Geomanist Light"/>
      <w:lang w:val="es-ES"/>
    </w:rPr>
  </w:style>
  <w:style w:type="paragraph" w:styleId="Sinespaciado">
    <w:name w:val="No Spacing"/>
    <w:aliases w:val="No Indent"/>
    <w:link w:val="SinespaciadoCar"/>
    <w:uiPriority w:val="3"/>
    <w:qFormat/>
    <w:rsid w:val="00B834C0"/>
    <w:pPr>
      <w:spacing w:after="0" w:line="240" w:lineRule="auto"/>
    </w:pPr>
    <w:rPr>
      <w:sz w:val="24"/>
      <w:lang w:val="es-MX"/>
    </w:rPr>
  </w:style>
  <w:style w:type="character" w:customStyle="1" w:styleId="SinespaciadoCar">
    <w:name w:val="Sin espaciado Car"/>
    <w:aliases w:val="No Indent Car"/>
    <w:link w:val="Sinespaciado"/>
    <w:uiPriority w:val="3"/>
    <w:rsid w:val="00B834C0"/>
    <w:rPr>
      <w:sz w:val="24"/>
      <w:lang w:val="es-MX"/>
    </w:rPr>
  </w:style>
  <w:style w:type="paragraph" w:styleId="Textoindependiente">
    <w:name w:val="Body Text"/>
    <w:basedOn w:val="Normal"/>
    <w:link w:val="TextoindependienteCar"/>
    <w:uiPriority w:val="99"/>
    <w:semiHidden/>
    <w:unhideWhenUsed/>
    <w:rsid w:val="00B834C0"/>
    <w:pPr>
      <w:spacing w:after="120"/>
    </w:pPr>
  </w:style>
  <w:style w:type="character" w:customStyle="1" w:styleId="TextoindependienteCar">
    <w:name w:val="Texto independiente Car"/>
    <w:basedOn w:val="Fuentedeprrafopredeter"/>
    <w:link w:val="Textoindependiente"/>
    <w:uiPriority w:val="99"/>
    <w:semiHidden/>
    <w:rsid w:val="00B83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ticion.bloating944@passinbox.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ACA1AA-8C1E-46A2-8FF1-B0FB1D11E8E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22</Pages>
  <Words>7608</Words>
  <Characters>41846</Characters>
  <Application>Microsoft Office Word</Application>
  <DocSecurity>0</DocSecurity>
  <Lines>348</Lines>
  <Paragraphs>98</Paragraphs>
  <ScaleCrop>false</ScaleCrop>
  <Company/>
  <LinksUpToDate>false</LinksUpToDate>
  <CharactersWithSpaces>49356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3</cp:revision>
  <cp:lastPrinted>2023-01-10T21:18:00Z</cp:lastPrinted>
  <dcterms:created xsi:type="dcterms:W3CDTF">2026-10-29T22:40:00Z</dcterms:created>
  <dcterms:modified xsi:type="dcterms:W3CDTF">2026-10-29T22:41:00Z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