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C17E8" w14:textId="77777777" w:rsidR="00B3414C" w:rsidRPr="00B60BC4" w:rsidRDefault="00B3414C" w:rsidP="00B3414C">
      <w:pPr>
        <w:spacing w:line="276" w:lineRule="auto"/>
        <w:jc w:val="both"/>
        <w:rPr>
          <w:rFonts w:ascii="Verdana" w:eastAsia="Calibri" w:hAnsi="Verdana" w:cs="Arial"/>
          <w:b/>
          <w:bCs/>
          <w:color w:val="000000" w:themeColor="text1"/>
          <w:lang w:eastAsia="es-ES"/>
        </w:rPr>
      </w:pPr>
      <w:r w:rsidRPr="00B60BC4">
        <w:rPr>
          <w:rFonts w:ascii="Verdana" w:eastAsia="Calibri" w:hAnsi="Verdana" w:cs="Arial"/>
          <w:b/>
          <w:bCs/>
          <w:color w:val="000000" w:themeColor="text1"/>
          <w:lang w:eastAsia="es-ES"/>
        </w:rPr>
        <w:t xml:space="preserve">LEY 1474 DE 2011 – </w:t>
      </w:r>
      <w:r w:rsidRPr="00B60BC4">
        <w:rPr>
          <w:rFonts w:ascii="Verdana" w:eastAsia="Calibri" w:hAnsi="Verdana" w:cs="Arial"/>
          <w:b/>
          <w:bCs/>
          <w:color w:val="000000" w:themeColor="text1"/>
          <w:lang w:val="es-ES" w:eastAsia="es-ES"/>
        </w:rPr>
        <w:t>Supervisión</w:t>
      </w:r>
      <w:r w:rsidRPr="00B60BC4">
        <w:rPr>
          <w:rFonts w:ascii="Verdana" w:eastAsia="Calibri" w:hAnsi="Verdana" w:cs="Arial"/>
          <w:b/>
          <w:bCs/>
          <w:color w:val="000000" w:themeColor="text1"/>
          <w:lang w:eastAsia="es-ES"/>
        </w:rPr>
        <w:t xml:space="preserve"> e interventoría contractual</w:t>
      </w:r>
    </w:p>
    <w:p w14:paraId="768E0807" w14:textId="77777777" w:rsidR="00B3414C" w:rsidRPr="00B60BC4" w:rsidRDefault="00B3414C" w:rsidP="00B3414C">
      <w:pPr>
        <w:spacing w:after="0" w:line="240" w:lineRule="auto"/>
        <w:jc w:val="both"/>
      </w:pPr>
      <w:r w:rsidRPr="00B60BC4">
        <w:rPr>
          <w:rFonts w:ascii="Verdana" w:eastAsia="Geomanist Light" w:hAnsi="Verdana" w:cs="Arial"/>
          <w:color w:val="000000" w:themeColor="text1"/>
          <w:sz w:val="20"/>
          <w:szCs w:val="20"/>
        </w:rPr>
        <w:t>[…]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r w:rsidRPr="00B60BC4">
        <w:t xml:space="preserve"> </w:t>
      </w:r>
    </w:p>
    <w:p w14:paraId="41D6F233" w14:textId="77777777" w:rsidR="00B3414C" w:rsidRPr="00B60BC4" w:rsidRDefault="00B3414C" w:rsidP="00B3414C">
      <w:pPr>
        <w:spacing w:after="0" w:line="240" w:lineRule="auto"/>
        <w:jc w:val="both"/>
      </w:pPr>
    </w:p>
    <w:p w14:paraId="6E165987" w14:textId="77777777" w:rsidR="00B3414C" w:rsidRPr="00B60BC4" w:rsidRDefault="00B3414C" w:rsidP="00B3414C">
      <w:pPr>
        <w:spacing w:after="0" w:line="240" w:lineRule="auto"/>
        <w:jc w:val="both"/>
        <w:rPr>
          <w:rFonts w:ascii="Verdana" w:eastAsia="Geomanist Light" w:hAnsi="Verdana" w:cs="Arial"/>
          <w:b/>
          <w:bCs/>
          <w:color w:val="000000" w:themeColor="text1"/>
        </w:rPr>
      </w:pPr>
      <w:r w:rsidRPr="00B60BC4">
        <w:rPr>
          <w:rFonts w:ascii="Verdana" w:eastAsia="Geomanist Light" w:hAnsi="Verdana" w:cs="Arial"/>
          <w:b/>
          <w:bCs/>
          <w:color w:val="000000" w:themeColor="text1"/>
        </w:rPr>
        <w:t xml:space="preserve">SUPERVISIÓN DEL CONTRATO </w:t>
      </w:r>
      <w:r w:rsidRPr="00B60BC4">
        <w:rPr>
          <w:rFonts w:ascii="Verdana" w:eastAsia="Calibri" w:hAnsi="Verdana" w:cs="Arial"/>
          <w:b/>
          <w:bCs/>
          <w:color w:val="000000" w:themeColor="text1"/>
          <w:lang w:val="es-ES" w:eastAsia="es-ES"/>
        </w:rPr>
        <w:t xml:space="preserve">– Características – Apoyo a la supervisión </w:t>
      </w:r>
    </w:p>
    <w:p w14:paraId="6A75896D" w14:textId="77777777" w:rsidR="00B3414C" w:rsidRPr="00B60BC4" w:rsidRDefault="00B3414C" w:rsidP="00B3414C">
      <w:pPr>
        <w:spacing w:after="0" w:line="240" w:lineRule="auto"/>
        <w:jc w:val="both"/>
        <w:rPr>
          <w:rFonts w:ascii="Verdana" w:eastAsia="Geomanist Light" w:hAnsi="Verdana" w:cs="Arial"/>
          <w:color w:val="000000" w:themeColor="text1"/>
        </w:rPr>
      </w:pPr>
      <w:r w:rsidRPr="00B60BC4">
        <w:rPr>
          <w:rFonts w:ascii="Verdana" w:eastAsia="Geomanist Light" w:hAnsi="Verdana" w:cs="Arial"/>
          <w:b/>
          <w:bCs/>
          <w:color w:val="000000" w:themeColor="text1"/>
        </w:rPr>
        <w:t> </w:t>
      </w:r>
    </w:p>
    <w:p w14:paraId="3A25FE54" w14:textId="77777777" w:rsidR="00B3414C" w:rsidRPr="00B60BC4" w:rsidRDefault="00B3414C" w:rsidP="00B3414C">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5E9AAD49" w14:textId="77777777" w:rsidR="00B3414C" w:rsidRPr="00B60BC4" w:rsidRDefault="00B3414C" w:rsidP="00B3414C">
      <w:pPr>
        <w:spacing w:after="0" w:line="240" w:lineRule="auto"/>
        <w:jc w:val="both"/>
      </w:pPr>
    </w:p>
    <w:p w14:paraId="6EF6C260" w14:textId="77777777" w:rsidR="00B3414C" w:rsidRPr="00B60BC4" w:rsidRDefault="00B3414C" w:rsidP="00B3414C">
      <w:pPr>
        <w:spacing w:after="0" w:line="240" w:lineRule="auto"/>
        <w:jc w:val="both"/>
      </w:pPr>
      <w:r w:rsidRPr="00B60BC4">
        <w:rPr>
          <w:rFonts w:ascii="Verdana" w:eastAsia="Geomanist Light" w:hAnsi="Verdana" w:cs="Arial"/>
          <w:b/>
          <w:bCs/>
          <w:color w:val="000000" w:themeColor="text1"/>
        </w:rPr>
        <w:t>SUPERVISIÓN DEL CONTRATO – Definición</w:t>
      </w:r>
      <w:r w:rsidRPr="00B60BC4">
        <w:rPr>
          <w:rFonts w:ascii="Verdana" w:eastAsia="Calibri" w:hAnsi="Verdana" w:cs="Arial"/>
          <w:b/>
          <w:bCs/>
          <w:color w:val="000000" w:themeColor="text1"/>
          <w:lang w:val="es-ES" w:eastAsia="es-ES"/>
        </w:rPr>
        <w:t xml:space="preserve"> – Límites</w:t>
      </w:r>
    </w:p>
    <w:p w14:paraId="0B8BDC8E" w14:textId="77777777" w:rsidR="00B3414C" w:rsidRPr="00B60BC4" w:rsidRDefault="00B3414C" w:rsidP="00B3414C">
      <w:pPr>
        <w:spacing w:after="0" w:line="240" w:lineRule="auto"/>
        <w:jc w:val="both"/>
      </w:pPr>
    </w:p>
    <w:p w14:paraId="0F98FAD9" w14:textId="77777777" w:rsidR="00B3414C" w:rsidRPr="00B60BC4" w:rsidRDefault="00B3414C" w:rsidP="00B3414C">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De acuerdo con el artículo 83 de la Ley 1474 de 2011, la supervisión es una actividad que debe realizar la entidad estatal contratante con sus servidores públicos, sin perjuicio de que pueda contratar el apoyo a esta labor mediante la celebración de contratos de prestación de servicios. En efecto, el segundo inciso de dicha norma establece:</w:t>
      </w:r>
    </w:p>
    <w:p w14:paraId="7ADC0057" w14:textId="77777777" w:rsidR="00B3414C" w:rsidRPr="00B60BC4" w:rsidRDefault="00B3414C" w:rsidP="00B3414C">
      <w:pPr>
        <w:spacing w:after="0" w:line="240" w:lineRule="auto"/>
        <w:jc w:val="both"/>
        <w:rPr>
          <w:rFonts w:ascii="Verdana" w:eastAsia="Geomanist Light" w:hAnsi="Verdana" w:cs="Arial"/>
          <w:color w:val="000000" w:themeColor="text1"/>
          <w:sz w:val="20"/>
          <w:szCs w:val="20"/>
        </w:rPr>
      </w:pPr>
    </w:p>
    <w:p w14:paraId="6505FB92" w14:textId="77777777" w:rsidR="00B3414C" w:rsidRPr="00B60BC4" w:rsidRDefault="00B3414C" w:rsidP="00B3414C">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3190F485" w14:textId="77777777" w:rsidR="00B3414C" w:rsidRPr="00B60BC4" w:rsidRDefault="00B3414C" w:rsidP="00B3414C">
      <w:pPr>
        <w:spacing w:after="0" w:line="240" w:lineRule="auto"/>
        <w:jc w:val="both"/>
        <w:rPr>
          <w:rFonts w:ascii="Verdana" w:eastAsia="Geomanist Light" w:hAnsi="Verdana" w:cs="Arial"/>
          <w:color w:val="000000" w:themeColor="text1"/>
          <w:sz w:val="20"/>
          <w:szCs w:val="20"/>
        </w:rPr>
      </w:pPr>
    </w:p>
    <w:p w14:paraId="21015C0C" w14:textId="77777777" w:rsidR="00B3414C" w:rsidRPr="00B60BC4" w:rsidRDefault="00B3414C" w:rsidP="00B3414C">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 xml:space="preserve">En ese sentido, la entidad contratante a través del ordenador del gasto es quien designa la supervisión, y puede designarla a cualquier servidor público ya que esa función es inherente a esta calidad, sin que exista límite a la designación siempre que la persona designada sea la adecuada para hacer el correcto seguimiento técnico, administrativo, financiero, contable, y jurídico del contrato, pudiendo tener personal de apoyo como lo indica la norma, en temas que no sean de su experticia; o cuando se requieran conocimientos especializados se puede recurrir a la figura de la interventoría. Además la Guía para el ejercicio de las funciones de Supervisión e Interventoría de los contratos del Estado de Colombia Compra Eficiente dispone un deber de la entidad contratante y es “realizar un análisis de la carga operativa de quien va a ser designado supervisor, </w:t>
      </w:r>
      <w:r w:rsidRPr="00B60BC4">
        <w:rPr>
          <w:rFonts w:ascii="Verdana" w:eastAsia="Geomanist Light" w:hAnsi="Verdana" w:cs="Arial"/>
          <w:color w:val="000000" w:themeColor="text1"/>
          <w:sz w:val="20"/>
          <w:szCs w:val="20"/>
        </w:rPr>
        <w:lastRenderedPageBreak/>
        <w:t>para no incurrir en los riesgos derivados de una supervisión inadecuada por falta de tiempo”.</w:t>
      </w:r>
    </w:p>
    <w:p w14:paraId="4C350802" w14:textId="77777777" w:rsidR="00B3414C" w:rsidRPr="00B60BC4" w:rsidRDefault="00B3414C" w:rsidP="00B3414C">
      <w:pPr>
        <w:spacing w:after="0" w:line="240" w:lineRule="auto"/>
        <w:jc w:val="both"/>
        <w:rPr>
          <w:rFonts w:ascii="Verdana" w:eastAsia="Geomanist Light" w:hAnsi="Verdana" w:cs="Arial"/>
          <w:color w:val="000000" w:themeColor="text1"/>
          <w:sz w:val="20"/>
          <w:szCs w:val="20"/>
        </w:rPr>
      </w:pPr>
    </w:p>
    <w:p w14:paraId="298111CA" w14:textId="77777777" w:rsidR="00B3414C" w:rsidRPr="00B60BC4" w:rsidRDefault="00B3414C" w:rsidP="00B3414C">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b/>
          <w:bCs/>
          <w:color w:val="000000" w:themeColor="text1"/>
        </w:rPr>
        <w:t xml:space="preserve">SUPERVISIÓN DEL CONTRATO – </w:t>
      </w:r>
      <w:r>
        <w:rPr>
          <w:rFonts w:ascii="Verdana" w:eastAsia="Geomanist Light" w:hAnsi="Verdana" w:cs="Arial"/>
          <w:b/>
          <w:bCs/>
          <w:color w:val="000000" w:themeColor="text1"/>
        </w:rPr>
        <w:t>Inicio</w:t>
      </w:r>
    </w:p>
    <w:p w14:paraId="57943CC9"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rPr>
      </w:pPr>
    </w:p>
    <w:p w14:paraId="6CECD305" w14:textId="77777777" w:rsidR="00B3414C" w:rsidRPr="00524F69" w:rsidRDefault="00B3414C" w:rsidP="00B3414C">
      <w:pPr>
        <w:spacing w:after="0" w:line="240" w:lineRule="auto"/>
        <w:jc w:val="both"/>
        <w:rPr>
          <w:rFonts w:ascii="Verdana" w:eastAsia="Geomanist Light" w:hAnsi="Verdana" w:cs="Arial"/>
          <w:color w:val="000000" w:themeColor="text1"/>
          <w:sz w:val="20"/>
          <w:szCs w:val="20"/>
        </w:rPr>
      </w:pPr>
      <w:r w:rsidRPr="00524F69">
        <w:rPr>
          <w:rFonts w:ascii="Verdana" w:eastAsia="Geomanist Light" w:hAnsi="Verdana" w:cs="Arial"/>
          <w:color w:val="000000" w:themeColor="text1"/>
          <w:sz w:val="20"/>
          <w:szCs w:val="20"/>
        </w:rPr>
        <w:t>Finalmente, como se verá en el desarrollo del presente concepto, aunque la Entidad Estatal pueda designar al supervisor desde la etapa precontractual como parte de las actividades de planeación del Proceso de Contratación, dicha designación no implica el inicio material de la supervisión, toda vez que la función de supervisión solo se despliega a partir del perfeccionamiento del contrato y durante la etapa de ejecución y postcontractual, pues su naturaleza jurídica está asociada al seguimiento, verificación y control del cumplimiento de las obligaciones contractuales. En consecuencia, antes de la existencia del contrato no es posible ejercer supervisión en sentido estricto, dado que no hay obligaciones contractuales exigibles que sean susceptibles de seguimiento técnico, administrativo, financiero, contable y jurídico. Por ello, la designación durante la etapa precontractual hace parte de la planeación, mientras que el ejercicio efectivo de la supervisión es propio y exclusivo de la etapa contractual y postcontractual.</w:t>
      </w:r>
    </w:p>
    <w:p w14:paraId="54684526"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lang w:val="es-ES"/>
        </w:rPr>
      </w:pPr>
    </w:p>
    <w:p w14:paraId="3F31B705"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lang w:val="es-ES"/>
        </w:rPr>
      </w:pPr>
    </w:p>
    <w:p w14:paraId="71470A16"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lang w:val="es-ES"/>
        </w:rPr>
      </w:pPr>
    </w:p>
    <w:p w14:paraId="4D5AF4F0"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lang w:val="es-ES"/>
        </w:rPr>
      </w:pPr>
    </w:p>
    <w:p w14:paraId="35737A46"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lang w:val="es-ES"/>
        </w:rPr>
      </w:pPr>
    </w:p>
    <w:p w14:paraId="2A26962A"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lang w:val="es-ES"/>
        </w:rPr>
      </w:pPr>
    </w:p>
    <w:p w14:paraId="255B8EB8"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lang w:val="es-ES"/>
        </w:rPr>
      </w:pPr>
    </w:p>
    <w:p w14:paraId="447EEAEE"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lang w:val="es-ES"/>
        </w:rPr>
      </w:pPr>
    </w:p>
    <w:p w14:paraId="54078E3E"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lang w:val="es-ES"/>
        </w:rPr>
      </w:pPr>
    </w:p>
    <w:p w14:paraId="40E8BBF0"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lang w:val="es-ES"/>
        </w:rPr>
      </w:pPr>
    </w:p>
    <w:p w14:paraId="3B7EB0BE"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lang w:val="es-ES"/>
        </w:rPr>
      </w:pPr>
    </w:p>
    <w:p w14:paraId="064F389A"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lang w:val="es-ES"/>
        </w:rPr>
      </w:pPr>
    </w:p>
    <w:p w14:paraId="283B1BAD"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lang w:val="es-ES"/>
        </w:rPr>
      </w:pPr>
    </w:p>
    <w:p w14:paraId="7EA18A5E"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lang w:val="es-ES"/>
        </w:rPr>
      </w:pPr>
    </w:p>
    <w:p w14:paraId="16464624"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lang w:val="es-ES"/>
        </w:rPr>
      </w:pPr>
    </w:p>
    <w:p w14:paraId="20FD8EA6"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lang w:val="es-ES"/>
        </w:rPr>
      </w:pPr>
    </w:p>
    <w:p w14:paraId="3A56394B"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lang w:val="es-ES"/>
        </w:rPr>
      </w:pPr>
    </w:p>
    <w:p w14:paraId="18E0B48F" w14:textId="77777777" w:rsidR="00B3414C" w:rsidRDefault="00B3414C" w:rsidP="00B3414C">
      <w:pPr>
        <w:spacing w:after="0" w:line="240" w:lineRule="auto"/>
        <w:jc w:val="both"/>
        <w:rPr>
          <w:rFonts w:ascii="Verdana" w:eastAsia="Aptos" w:hAnsi="Verdana" w:cs="Times New Roman"/>
          <w:sz w:val="20"/>
          <w:szCs w:val="20"/>
          <w:shd w:val="clear" w:color="auto" w:fill="FFFFFF"/>
          <w:lang w:val="es-ES"/>
        </w:rPr>
      </w:pPr>
    </w:p>
    <w:p w14:paraId="7F7BA245" w14:textId="77777777" w:rsidR="00B3414C" w:rsidRDefault="00B3414C" w:rsidP="00B3414C">
      <w:pPr>
        <w:spacing w:after="0" w:line="240" w:lineRule="auto"/>
        <w:jc w:val="both"/>
        <w:rPr>
          <w:rFonts w:ascii="Verdana" w:eastAsia="Aptos" w:hAnsi="Verdana" w:cs="Times New Roman"/>
          <w:sz w:val="20"/>
          <w:szCs w:val="20"/>
          <w:shd w:val="clear" w:color="auto" w:fill="FFFFFF"/>
          <w:lang w:val="es-ES"/>
        </w:rPr>
      </w:pPr>
    </w:p>
    <w:p w14:paraId="450D267B" w14:textId="77777777" w:rsidR="00B3414C" w:rsidRDefault="00B3414C" w:rsidP="00B3414C">
      <w:pPr>
        <w:spacing w:after="0" w:line="240" w:lineRule="auto"/>
        <w:jc w:val="both"/>
        <w:rPr>
          <w:rFonts w:ascii="Verdana" w:eastAsia="Aptos" w:hAnsi="Verdana" w:cs="Times New Roman"/>
          <w:sz w:val="20"/>
          <w:szCs w:val="20"/>
          <w:shd w:val="clear" w:color="auto" w:fill="FFFFFF"/>
          <w:lang w:val="es-ES"/>
        </w:rPr>
      </w:pPr>
    </w:p>
    <w:p w14:paraId="248A0870" w14:textId="77777777" w:rsidR="00B3414C" w:rsidRDefault="00B3414C" w:rsidP="00B3414C">
      <w:pPr>
        <w:spacing w:after="0" w:line="240" w:lineRule="auto"/>
        <w:jc w:val="both"/>
        <w:rPr>
          <w:rFonts w:ascii="Verdana" w:eastAsia="Aptos" w:hAnsi="Verdana" w:cs="Times New Roman"/>
          <w:sz w:val="20"/>
          <w:szCs w:val="20"/>
          <w:shd w:val="clear" w:color="auto" w:fill="FFFFFF"/>
          <w:lang w:val="es-ES"/>
        </w:rPr>
      </w:pPr>
    </w:p>
    <w:p w14:paraId="5E727CAA" w14:textId="77777777" w:rsidR="00B3414C" w:rsidRDefault="00B3414C" w:rsidP="00B3414C">
      <w:pPr>
        <w:spacing w:after="0" w:line="240" w:lineRule="auto"/>
        <w:jc w:val="both"/>
        <w:rPr>
          <w:rFonts w:ascii="Verdana" w:eastAsia="Aptos" w:hAnsi="Verdana" w:cs="Times New Roman"/>
          <w:sz w:val="20"/>
          <w:szCs w:val="20"/>
          <w:shd w:val="clear" w:color="auto" w:fill="FFFFFF"/>
          <w:lang w:val="es-ES"/>
        </w:rPr>
      </w:pPr>
    </w:p>
    <w:p w14:paraId="692566A3" w14:textId="77777777" w:rsidR="00B3414C" w:rsidRDefault="00B3414C" w:rsidP="00B3414C">
      <w:pPr>
        <w:spacing w:after="0" w:line="240" w:lineRule="auto"/>
        <w:jc w:val="both"/>
        <w:rPr>
          <w:rFonts w:ascii="Verdana" w:eastAsia="Aptos" w:hAnsi="Verdana" w:cs="Times New Roman"/>
          <w:sz w:val="20"/>
          <w:szCs w:val="20"/>
          <w:shd w:val="clear" w:color="auto" w:fill="FFFFFF"/>
          <w:lang w:val="es-ES"/>
        </w:rPr>
      </w:pPr>
    </w:p>
    <w:p w14:paraId="5ADF7619" w14:textId="77777777" w:rsidR="00B3414C" w:rsidRDefault="00B3414C" w:rsidP="00B3414C">
      <w:pPr>
        <w:spacing w:after="0" w:line="240" w:lineRule="auto"/>
        <w:jc w:val="both"/>
        <w:rPr>
          <w:rFonts w:ascii="Verdana" w:eastAsia="Aptos" w:hAnsi="Verdana" w:cs="Times New Roman"/>
          <w:sz w:val="20"/>
          <w:szCs w:val="20"/>
          <w:shd w:val="clear" w:color="auto" w:fill="FFFFFF"/>
          <w:lang w:val="es-ES"/>
        </w:rPr>
      </w:pPr>
    </w:p>
    <w:p w14:paraId="49C272BA" w14:textId="77777777" w:rsidR="00B3414C" w:rsidRDefault="00B3414C" w:rsidP="00B3414C">
      <w:pPr>
        <w:spacing w:after="0" w:line="240" w:lineRule="auto"/>
        <w:jc w:val="both"/>
        <w:rPr>
          <w:rFonts w:ascii="Verdana" w:eastAsia="Aptos" w:hAnsi="Verdana" w:cs="Times New Roman"/>
          <w:sz w:val="20"/>
          <w:szCs w:val="20"/>
          <w:shd w:val="clear" w:color="auto" w:fill="FFFFFF"/>
          <w:lang w:val="es-ES"/>
        </w:rPr>
      </w:pPr>
    </w:p>
    <w:p w14:paraId="43B814A6" w14:textId="77777777" w:rsidR="00B3414C" w:rsidRDefault="00B3414C" w:rsidP="00B3414C">
      <w:pPr>
        <w:spacing w:after="0" w:line="240" w:lineRule="auto"/>
        <w:jc w:val="both"/>
        <w:rPr>
          <w:rFonts w:ascii="Verdana" w:eastAsia="Aptos" w:hAnsi="Verdana" w:cs="Times New Roman"/>
          <w:sz w:val="20"/>
          <w:szCs w:val="20"/>
          <w:shd w:val="clear" w:color="auto" w:fill="FFFFFF"/>
          <w:lang w:val="es-ES"/>
        </w:rPr>
      </w:pPr>
    </w:p>
    <w:p w14:paraId="07FCFE4C" w14:textId="77777777" w:rsidR="00B3414C" w:rsidRDefault="00B3414C" w:rsidP="00B3414C">
      <w:pPr>
        <w:spacing w:after="0" w:line="240" w:lineRule="auto"/>
        <w:jc w:val="both"/>
        <w:rPr>
          <w:rFonts w:ascii="Verdana" w:eastAsia="Aptos" w:hAnsi="Verdana" w:cs="Times New Roman"/>
          <w:sz w:val="20"/>
          <w:szCs w:val="20"/>
          <w:shd w:val="clear" w:color="auto" w:fill="FFFFFF"/>
          <w:lang w:val="es-ES"/>
        </w:rPr>
      </w:pPr>
    </w:p>
    <w:p w14:paraId="0FB462DC" w14:textId="77777777" w:rsidR="00B3414C" w:rsidRDefault="00B3414C" w:rsidP="00B3414C">
      <w:pPr>
        <w:spacing w:after="0" w:line="240" w:lineRule="auto"/>
        <w:jc w:val="both"/>
        <w:rPr>
          <w:rFonts w:ascii="Verdana" w:eastAsia="Aptos" w:hAnsi="Verdana" w:cs="Times New Roman"/>
          <w:sz w:val="20"/>
          <w:szCs w:val="20"/>
          <w:shd w:val="clear" w:color="auto" w:fill="FFFFFF"/>
          <w:lang w:val="es-ES"/>
        </w:rPr>
      </w:pPr>
    </w:p>
    <w:p w14:paraId="16413CB5"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lang w:val="es-ES"/>
        </w:rPr>
      </w:pPr>
    </w:p>
    <w:p w14:paraId="5FC2BABA" w14:textId="77777777" w:rsidR="00B3414C" w:rsidRPr="00B60BC4" w:rsidRDefault="00B3414C" w:rsidP="00B3414C">
      <w:pPr>
        <w:spacing w:after="0" w:line="240" w:lineRule="auto"/>
        <w:jc w:val="both"/>
        <w:rPr>
          <w:rFonts w:ascii="Verdana" w:eastAsia="Aptos" w:hAnsi="Verdana" w:cs="Times New Roman"/>
          <w:sz w:val="20"/>
          <w:szCs w:val="20"/>
          <w:shd w:val="clear" w:color="auto" w:fill="FFFFFF"/>
          <w:lang w:val="es-ES"/>
        </w:rPr>
      </w:pPr>
    </w:p>
    <w:p w14:paraId="506E385D" w14:textId="77777777" w:rsidR="002612B8" w:rsidRDefault="00B3414C" w:rsidP="00B3414C">
      <w:pPr>
        <w:spacing w:after="0" w:line="240" w:lineRule="auto"/>
        <w:rPr>
          <w:rFonts w:ascii="Verdana" w:eastAsia="Geomanist Light" w:hAnsi="Verdana" w:cs="Arial"/>
          <w:lang w:val="es-MX"/>
        </w:rPr>
      </w:pPr>
      <w:r w:rsidRPr="00CF1DAF">
        <w:rPr>
          <w:rFonts w:ascii="Verdana" w:eastAsia="Geomanist Light" w:hAnsi="Verdana" w:cs="Arial"/>
          <w:lang w:val="es-MX"/>
        </w:rPr>
        <w:t xml:space="preserve">Bogotá D.C., </w:t>
      </w:r>
      <w:r w:rsidR="002612B8">
        <w:rPr>
          <w:rFonts w:ascii="Verdana" w:eastAsia="Geomanist Light" w:hAnsi="Verdana" w:cs="Arial"/>
          <w:lang w:val="es-MX"/>
        </w:rPr>
        <w:t>20 de octubre de 2026</w:t>
      </w:r>
    </w:p>
    <w:p w14:paraId="3B515C01" w14:textId="77777777" w:rsidR="002612B8" w:rsidRDefault="002612B8" w:rsidP="00B3414C">
      <w:pPr>
        <w:spacing w:after="0" w:line="240" w:lineRule="auto"/>
        <w:rPr>
          <w:rFonts w:ascii="Verdana" w:eastAsia="Geomanist Light" w:hAnsi="Verdana" w:cs="Arial"/>
          <w:lang w:val="es-MX"/>
        </w:rPr>
      </w:pPr>
    </w:p>
    <w:p w14:paraId="4C825CA4" w14:textId="0DCC210E" w:rsidR="00B3414C" w:rsidRPr="00D22F27" w:rsidRDefault="002612B8" w:rsidP="002612B8">
      <w:pPr>
        <w:spacing w:after="0" w:line="240" w:lineRule="auto"/>
        <w:jc w:val="right"/>
        <w:rPr>
          <w:rFonts w:ascii="Verdana" w:eastAsia="Aptos" w:hAnsi="Verdana" w:cs="Times New Roman"/>
          <w:sz w:val="20"/>
          <w:szCs w:val="20"/>
          <w:shd w:val="clear" w:color="auto" w:fill="FFFFFF"/>
          <w:lang w:val="es-MX"/>
        </w:rPr>
      </w:pPr>
      <w:r w:rsidRPr="002612B8">
        <w:rPr>
          <w:rFonts w:ascii="Verdana" w:eastAsia="Geomanist Light" w:hAnsi="Verdana" w:cs="Arial"/>
          <w:lang w:val="es-MX"/>
        </w:rPr>
        <w:drawing>
          <wp:inline distT="0" distB="0" distL="0" distR="0" wp14:anchorId="6B1CD70C" wp14:editId="4C72D3B5">
            <wp:extent cx="3677163" cy="924054"/>
            <wp:effectExtent l="0" t="0" r="0" b="9525"/>
            <wp:docPr id="17197823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782394" name=""/>
                    <pic:cNvPicPr/>
                  </pic:nvPicPr>
                  <pic:blipFill>
                    <a:blip r:embed="rId10"/>
                    <a:stretch>
                      <a:fillRect/>
                    </a:stretch>
                  </pic:blipFill>
                  <pic:spPr>
                    <a:xfrm>
                      <a:off x="0" y="0"/>
                      <a:ext cx="3677163" cy="924054"/>
                    </a:xfrm>
                    <a:prstGeom prst="rect">
                      <a:avLst/>
                    </a:prstGeom>
                  </pic:spPr>
                </pic:pic>
              </a:graphicData>
            </a:graphic>
          </wp:inline>
        </w:drawing>
      </w:r>
      <w:r w:rsidR="00B3414C" w:rsidRPr="00CF1DAF">
        <w:rPr>
          <w:rFonts w:ascii="Verdana" w:eastAsia="Geomanist Light" w:hAnsi="Verdana" w:cs="Arial"/>
          <w:lang w:val="es-MX"/>
        </w:rPr>
        <w:tab/>
      </w:r>
    </w:p>
    <w:p w14:paraId="4028EF12" w14:textId="77777777" w:rsidR="00B3414C" w:rsidRPr="00B60BC4" w:rsidRDefault="00B3414C" w:rsidP="00B3414C">
      <w:pPr>
        <w:spacing w:after="0" w:line="240" w:lineRule="auto"/>
        <w:jc w:val="both"/>
        <w:rPr>
          <w:rFonts w:ascii="Verdana" w:eastAsia="Calibri" w:hAnsi="Verdana" w:cs="Arial"/>
          <w:lang w:val="es-ES"/>
        </w:rPr>
      </w:pPr>
    </w:p>
    <w:p w14:paraId="7D686A2A" w14:textId="77777777" w:rsidR="00B3414C" w:rsidRPr="00B60BC4" w:rsidRDefault="00B3414C" w:rsidP="00B3414C">
      <w:pPr>
        <w:spacing w:after="0" w:line="240" w:lineRule="auto"/>
        <w:jc w:val="both"/>
        <w:rPr>
          <w:rFonts w:ascii="Verdana" w:eastAsia="Calibri" w:hAnsi="Verdana" w:cs="Arial"/>
          <w:lang w:val="es-ES"/>
        </w:rPr>
      </w:pPr>
    </w:p>
    <w:p w14:paraId="29BDCB4A" w14:textId="77777777" w:rsidR="00B3414C" w:rsidRPr="00B60BC4" w:rsidRDefault="00B3414C" w:rsidP="00B3414C">
      <w:pPr>
        <w:spacing w:after="0" w:line="240" w:lineRule="auto"/>
        <w:jc w:val="both"/>
        <w:rPr>
          <w:rFonts w:ascii="Verdana" w:eastAsia="Calibri" w:hAnsi="Verdana" w:cs="Arial"/>
          <w:lang w:val="es-ES" w:eastAsia="es-ES"/>
        </w:rPr>
      </w:pPr>
      <w:r w:rsidRPr="00B60BC4">
        <w:rPr>
          <w:rFonts w:ascii="Verdana" w:eastAsia="Calibri" w:hAnsi="Verdana" w:cs="Arial"/>
          <w:lang w:val="es-ES" w:eastAsia="es-ES"/>
        </w:rPr>
        <w:t>Señor</w:t>
      </w:r>
      <w:r>
        <w:rPr>
          <w:rFonts w:ascii="Verdana" w:eastAsia="Calibri" w:hAnsi="Verdana" w:cs="Arial"/>
          <w:lang w:val="es-ES" w:eastAsia="es-ES"/>
        </w:rPr>
        <w:t>(a)</w:t>
      </w:r>
    </w:p>
    <w:p w14:paraId="712C9D70" w14:textId="77777777" w:rsidR="00B3414C" w:rsidRPr="00B60BC4" w:rsidRDefault="00B3414C" w:rsidP="00B3414C">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Anónimo</w:t>
      </w:r>
    </w:p>
    <w:p w14:paraId="57A0BD6F" w14:textId="77777777" w:rsidR="00B3414C" w:rsidRPr="00B60BC4" w:rsidRDefault="00B3414C" w:rsidP="00B3414C">
      <w:pPr>
        <w:spacing w:after="0" w:line="240" w:lineRule="auto"/>
        <w:rPr>
          <w:rFonts w:ascii="Verdana" w:hAnsi="Verdana"/>
        </w:rPr>
      </w:pPr>
      <w:r>
        <w:rPr>
          <w:rFonts w:ascii="Verdana" w:hAnsi="Verdana"/>
          <w:color w:val="0563C1" w:themeColor="hyperlink"/>
          <w:u w:val="single"/>
        </w:rPr>
        <w:t>alobernalr@gmail.com</w:t>
      </w:r>
    </w:p>
    <w:p w14:paraId="4C902CF5" w14:textId="77777777" w:rsidR="00B3414C" w:rsidRPr="00B60BC4" w:rsidRDefault="00B3414C" w:rsidP="00B3414C">
      <w:pPr>
        <w:spacing w:after="0" w:line="240" w:lineRule="auto"/>
        <w:rPr>
          <w:rFonts w:ascii="Verdana" w:eastAsia="Calibri" w:hAnsi="Verdana" w:cs="Arial"/>
          <w:b/>
          <w:bCs/>
          <w:lang w:val="es-ES" w:eastAsia="es-ES"/>
        </w:rPr>
      </w:pPr>
      <w:r w:rsidRPr="00B60BC4">
        <w:rPr>
          <w:rFonts w:ascii="Verdana" w:eastAsia="Calibri" w:hAnsi="Verdana" w:cs="Arial"/>
          <w:lang w:val="es-ES" w:eastAsia="es-ES"/>
        </w:rPr>
        <w:t>Ciudad</w:t>
      </w:r>
    </w:p>
    <w:p w14:paraId="5219807B" w14:textId="77777777" w:rsidR="00B3414C" w:rsidRPr="00B60BC4" w:rsidRDefault="00B3414C" w:rsidP="00B3414C">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3414C" w:rsidRPr="00B60BC4" w14:paraId="7C8E0A5C" w14:textId="77777777" w:rsidTr="00AB57FF">
        <w:trPr>
          <w:trHeight w:val="884"/>
        </w:trPr>
        <w:tc>
          <w:tcPr>
            <w:tcW w:w="2689" w:type="dxa"/>
          </w:tcPr>
          <w:p w14:paraId="3762C17B" w14:textId="77777777" w:rsidR="00B3414C" w:rsidRPr="00B60BC4" w:rsidRDefault="00B3414C" w:rsidP="00AB57FF">
            <w:pPr>
              <w:jc w:val="both"/>
              <w:rPr>
                <w:rFonts w:ascii="Verdana" w:eastAsia="Calibri" w:hAnsi="Verdana" w:cs="Arial"/>
                <w:b/>
                <w:bCs/>
                <w:lang w:val="es-ES_tradnl" w:eastAsia="es-ES_tradnl"/>
              </w:rPr>
            </w:pPr>
          </w:p>
        </w:tc>
        <w:tc>
          <w:tcPr>
            <w:tcW w:w="6100" w:type="dxa"/>
          </w:tcPr>
          <w:p w14:paraId="62A55A82" w14:textId="77777777" w:rsidR="00B3414C" w:rsidRPr="00B60BC4" w:rsidRDefault="00B3414C" w:rsidP="00AB57FF">
            <w:pPr>
              <w:jc w:val="both"/>
              <w:rPr>
                <w:rFonts w:ascii="Verdana" w:eastAsia="Calibri" w:hAnsi="Verdana" w:cs="Arial"/>
                <w:b/>
                <w:bCs/>
                <w:lang w:val="es-ES" w:eastAsia="es-ES"/>
              </w:rPr>
            </w:pPr>
            <w:r w:rsidRPr="00B60BC4">
              <w:rPr>
                <w:rFonts w:ascii="Verdana" w:eastAsia="Calibri" w:hAnsi="Verdana" w:cs="Arial"/>
                <w:b/>
                <w:bCs/>
                <w:lang w:val="es-ES" w:eastAsia="es-ES"/>
              </w:rPr>
              <w:t xml:space="preserve">Concepto C- </w:t>
            </w:r>
            <w:r>
              <w:rPr>
                <w:rFonts w:ascii="Verdana" w:eastAsia="Calibri" w:hAnsi="Verdana" w:cs="Arial"/>
                <w:b/>
                <w:bCs/>
                <w:lang w:val="es-ES" w:eastAsia="es-ES"/>
              </w:rPr>
              <w:t>1493</w:t>
            </w:r>
            <w:r w:rsidRPr="00B60BC4">
              <w:rPr>
                <w:rFonts w:ascii="Verdana" w:eastAsia="Calibri" w:hAnsi="Verdana" w:cs="Arial"/>
                <w:b/>
                <w:bCs/>
                <w:lang w:val="es-ES" w:eastAsia="es-ES"/>
              </w:rPr>
              <w:t xml:space="preserve"> de 202</w:t>
            </w:r>
            <w:r>
              <w:rPr>
                <w:rFonts w:ascii="Verdana" w:eastAsia="Calibri" w:hAnsi="Verdana" w:cs="Arial"/>
                <w:b/>
                <w:bCs/>
                <w:lang w:val="es-ES" w:eastAsia="es-ES"/>
              </w:rPr>
              <w:t>6</w:t>
            </w:r>
          </w:p>
        </w:tc>
      </w:tr>
      <w:tr w:rsidR="00B3414C" w:rsidRPr="00B60BC4" w14:paraId="77F4A276" w14:textId="77777777" w:rsidTr="00AB57FF">
        <w:trPr>
          <w:trHeight w:val="884"/>
        </w:trPr>
        <w:tc>
          <w:tcPr>
            <w:tcW w:w="2689" w:type="dxa"/>
          </w:tcPr>
          <w:p w14:paraId="70306328" w14:textId="77777777" w:rsidR="00B3414C" w:rsidRPr="00B60BC4" w:rsidRDefault="00B3414C" w:rsidP="00AB57FF">
            <w:pPr>
              <w:jc w:val="both"/>
              <w:rPr>
                <w:rFonts w:ascii="Verdana" w:eastAsia="Calibri" w:hAnsi="Verdana" w:cs="Arial"/>
                <w:lang w:val="es-ES_tradnl" w:eastAsia="es-ES_tradnl"/>
              </w:rPr>
            </w:pPr>
            <w:r w:rsidRPr="00B60BC4">
              <w:rPr>
                <w:rFonts w:ascii="Verdana" w:eastAsia="Calibri" w:hAnsi="Verdana" w:cs="Arial"/>
                <w:b/>
                <w:lang w:val="es-ES_tradnl" w:eastAsia="es-ES_tradnl"/>
              </w:rPr>
              <w:t>Temas:</w:t>
            </w:r>
            <w:r w:rsidRPr="00B60BC4">
              <w:rPr>
                <w:rFonts w:ascii="Verdana" w:eastAsia="Calibri" w:hAnsi="Verdana" w:cs="Arial"/>
                <w:lang w:val="es-ES_tradnl" w:eastAsia="es-ES_tradnl"/>
              </w:rPr>
              <w:t xml:space="preserve">                   </w:t>
            </w:r>
          </w:p>
        </w:tc>
        <w:tc>
          <w:tcPr>
            <w:tcW w:w="6100" w:type="dxa"/>
          </w:tcPr>
          <w:p w14:paraId="0B58D990" w14:textId="77777777" w:rsidR="00B3414C" w:rsidRDefault="00B3414C" w:rsidP="00AB57FF">
            <w:pPr>
              <w:jc w:val="both"/>
              <w:rPr>
                <w:rFonts w:ascii="Verdana" w:eastAsia="Calibri" w:hAnsi="Verdana" w:cs="Arial"/>
                <w:lang w:val="es-ES" w:eastAsia="es-ES"/>
              </w:rPr>
            </w:pPr>
            <w:r w:rsidRPr="00B60BC4">
              <w:rPr>
                <w:rFonts w:ascii="Verdana" w:eastAsia="Calibri" w:hAnsi="Verdana" w:cs="Arial"/>
                <w:lang w:val="es-ES" w:eastAsia="es-ES"/>
              </w:rPr>
              <w:t xml:space="preserve">LEY 1474 DE 2011 – Supervisión e interventoría contractual / SUPERVISIÓN DEL CONTRATO – Características – Apoyo a la supervisión / SUPERVISIÓN DEL CONTRATO – Definición – Límites / </w:t>
            </w:r>
            <w:r w:rsidRPr="00524F69">
              <w:rPr>
                <w:rFonts w:ascii="Verdana" w:eastAsia="Calibri" w:hAnsi="Verdana" w:cs="Arial"/>
                <w:lang w:val="es-ES" w:eastAsia="es-ES"/>
              </w:rPr>
              <w:t>SUPERVISIÓN DEL CONTRATO – Inicio</w:t>
            </w:r>
          </w:p>
          <w:p w14:paraId="6A9F2FAB" w14:textId="77777777" w:rsidR="00B3414C" w:rsidRPr="00B60BC4" w:rsidRDefault="00B3414C" w:rsidP="00AB57FF">
            <w:pPr>
              <w:jc w:val="both"/>
              <w:rPr>
                <w:rFonts w:ascii="Verdana" w:eastAsia="Calibri" w:hAnsi="Verdana" w:cs="Arial"/>
                <w:lang w:val="es-ES" w:eastAsia="es-ES"/>
              </w:rPr>
            </w:pPr>
          </w:p>
        </w:tc>
      </w:tr>
      <w:tr w:rsidR="00B3414C" w:rsidRPr="00B60BC4" w14:paraId="2566F68C" w14:textId="77777777" w:rsidTr="00AB57FF">
        <w:tc>
          <w:tcPr>
            <w:tcW w:w="2689" w:type="dxa"/>
          </w:tcPr>
          <w:p w14:paraId="7F0985EB" w14:textId="77777777" w:rsidR="00B3414C" w:rsidRPr="00B60BC4" w:rsidRDefault="00B3414C" w:rsidP="00AB57FF">
            <w:pPr>
              <w:jc w:val="both"/>
              <w:rPr>
                <w:rFonts w:ascii="Verdana" w:eastAsia="Calibri" w:hAnsi="Verdana" w:cs="Arial"/>
                <w:b/>
                <w:lang w:val="es-ES_tradnl" w:eastAsia="es-ES_tradnl"/>
              </w:rPr>
            </w:pPr>
            <w:r w:rsidRPr="00B60BC4">
              <w:rPr>
                <w:rFonts w:ascii="Verdana" w:eastAsia="Calibri" w:hAnsi="Verdana" w:cs="Arial"/>
                <w:b/>
                <w:lang w:val="es-ES_tradnl" w:eastAsia="es-ES_tradnl"/>
              </w:rPr>
              <w:t>Radicación:</w:t>
            </w:r>
            <w:r w:rsidRPr="00B60BC4">
              <w:rPr>
                <w:rFonts w:ascii="Verdana" w:eastAsia="Calibri" w:hAnsi="Verdana" w:cs="Arial"/>
                <w:lang w:val="es-ES_tradnl" w:eastAsia="es-ES_tradnl"/>
              </w:rPr>
              <w:t xml:space="preserve">               </w:t>
            </w:r>
          </w:p>
        </w:tc>
        <w:tc>
          <w:tcPr>
            <w:tcW w:w="6100" w:type="dxa"/>
          </w:tcPr>
          <w:p w14:paraId="2B638EB8" w14:textId="77777777" w:rsidR="00B3414C" w:rsidRPr="00B60BC4" w:rsidRDefault="00B3414C" w:rsidP="00AB57FF">
            <w:pPr>
              <w:jc w:val="both"/>
              <w:rPr>
                <w:rFonts w:ascii="Verdana" w:eastAsia="Calibri" w:hAnsi="Verdana" w:cs="Arial"/>
                <w:lang w:val="es-ES_tradnl" w:eastAsia="es-ES_tradnl"/>
              </w:rPr>
            </w:pPr>
            <w:r w:rsidRPr="00B60BC4">
              <w:rPr>
                <w:rFonts w:ascii="Verdana" w:eastAsia="Calibri" w:hAnsi="Verdana" w:cs="Arial"/>
                <w:lang w:val="es-ES_tradnl" w:eastAsia="es-ES_tradnl"/>
              </w:rPr>
              <w:t xml:space="preserve">Respuesta a consulta con radicado No. </w:t>
            </w:r>
            <w:r w:rsidRPr="00CF1DAF">
              <w:rPr>
                <w:rFonts w:ascii="Verdana" w:eastAsia="Calibri" w:hAnsi="Verdana" w:cs="Arial"/>
                <w:lang w:val="es-ES_tradnl" w:eastAsia="es-ES_tradnl"/>
              </w:rPr>
              <w:t>1_2026_09_22_012703</w:t>
            </w:r>
          </w:p>
        </w:tc>
      </w:tr>
    </w:tbl>
    <w:p w14:paraId="7A0D1A32" w14:textId="77777777" w:rsidR="00B3414C" w:rsidRPr="00B60BC4" w:rsidRDefault="00B3414C" w:rsidP="00B3414C">
      <w:pPr>
        <w:spacing w:after="0" w:line="240" w:lineRule="auto"/>
        <w:jc w:val="both"/>
        <w:rPr>
          <w:rFonts w:ascii="Verdana" w:eastAsia="Calibri" w:hAnsi="Verdana" w:cs="Arial"/>
          <w:lang w:val="es-ES_tradnl" w:eastAsia="es-ES_tradnl"/>
        </w:rPr>
      </w:pPr>
    </w:p>
    <w:p w14:paraId="63B2D8FD" w14:textId="77777777" w:rsidR="00B3414C" w:rsidRPr="00B60BC4" w:rsidRDefault="00B3414C" w:rsidP="00B3414C">
      <w:pPr>
        <w:spacing w:after="0" w:line="240" w:lineRule="auto"/>
        <w:jc w:val="both"/>
        <w:rPr>
          <w:rFonts w:ascii="Verdana" w:eastAsia="Calibri" w:hAnsi="Verdana" w:cs="Arial"/>
          <w:lang w:val="es-ES_tradnl" w:eastAsia="es-ES_tradnl"/>
        </w:rPr>
      </w:pPr>
    </w:p>
    <w:p w14:paraId="5F3B403E" w14:textId="77777777" w:rsidR="00B3414C" w:rsidRPr="00B60BC4" w:rsidRDefault="00B3414C" w:rsidP="00B3414C">
      <w:pPr>
        <w:spacing w:after="0" w:line="276" w:lineRule="auto"/>
        <w:jc w:val="both"/>
        <w:rPr>
          <w:rFonts w:ascii="Verdana" w:eastAsia="Calibri" w:hAnsi="Verdana" w:cs="Arial"/>
          <w:lang w:val="es-ES" w:eastAsia="es-ES"/>
        </w:rPr>
      </w:pPr>
      <w:r w:rsidRPr="00B60BC4">
        <w:rPr>
          <w:rFonts w:ascii="Verdana" w:eastAsia="Calibri" w:hAnsi="Verdana" w:cs="Arial"/>
          <w:lang w:val="es-ES" w:eastAsia="es-ES"/>
        </w:rPr>
        <w:t>Estimado</w:t>
      </w:r>
      <w:r>
        <w:rPr>
          <w:rFonts w:ascii="Verdana" w:eastAsia="Calibri" w:hAnsi="Verdana" w:cs="Arial"/>
          <w:lang w:val="es-ES" w:eastAsia="es-ES"/>
        </w:rPr>
        <w:t>(a)</w:t>
      </w:r>
      <w:r w:rsidRPr="00B60BC4">
        <w:rPr>
          <w:rFonts w:ascii="Verdana" w:eastAsia="Calibri" w:hAnsi="Verdana" w:cs="Arial"/>
          <w:lang w:val="es-ES" w:eastAsia="es-ES"/>
        </w:rPr>
        <w:t xml:space="preserve"> señor</w:t>
      </w:r>
      <w:r>
        <w:rPr>
          <w:rFonts w:ascii="Verdana" w:eastAsia="Calibri" w:hAnsi="Verdana" w:cs="Arial"/>
          <w:lang w:val="es-ES" w:eastAsia="es-ES"/>
        </w:rPr>
        <w:t>(a)</w:t>
      </w:r>
      <w:r w:rsidRPr="00B60BC4">
        <w:rPr>
          <w:rFonts w:ascii="Verdana" w:eastAsia="Calibri" w:hAnsi="Verdana" w:cs="Arial"/>
          <w:lang w:val="es-ES" w:eastAsia="es-ES"/>
        </w:rPr>
        <w:t xml:space="preserve">: </w:t>
      </w:r>
    </w:p>
    <w:p w14:paraId="7F1C7EA9" w14:textId="77777777" w:rsidR="00B3414C" w:rsidRPr="00B60BC4" w:rsidRDefault="00B3414C" w:rsidP="00B3414C">
      <w:pPr>
        <w:tabs>
          <w:tab w:val="left" w:pos="3768"/>
        </w:tabs>
        <w:spacing w:after="0" w:line="276" w:lineRule="auto"/>
        <w:jc w:val="both"/>
        <w:rPr>
          <w:rFonts w:ascii="Verdana" w:eastAsia="Calibri" w:hAnsi="Verdana" w:cs="Arial"/>
          <w:lang w:val="es-ES" w:eastAsia="es-ES"/>
        </w:rPr>
      </w:pPr>
      <w:r w:rsidRPr="00B60BC4">
        <w:rPr>
          <w:rFonts w:ascii="Verdana" w:eastAsia="Calibri" w:hAnsi="Verdana" w:cs="Arial"/>
          <w:lang w:val="es-ES" w:eastAsia="es-ES"/>
        </w:rPr>
        <w:tab/>
      </w:r>
    </w:p>
    <w:p w14:paraId="03340811" w14:textId="77777777" w:rsidR="00B3414C" w:rsidRPr="00B60BC4" w:rsidRDefault="00B3414C" w:rsidP="00B3414C">
      <w:pPr>
        <w:spacing w:after="0" w:line="276" w:lineRule="auto"/>
        <w:jc w:val="both"/>
        <w:rPr>
          <w:rFonts w:ascii="Verdana" w:eastAsia="Calibri" w:hAnsi="Verdana" w:cs="Arial"/>
          <w:lang w:val="es-ES" w:eastAsia="es-ES"/>
        </w:rPr>
      </w:pPr>
      <w:r w:rsidRPr="00717E7C">
        <w:rPr>
          <w:rFonts w:ascii="Verdana" w:eastAsia="Calibri" w:hAnsi="Verdana" w:cs="Arial"/>
          <w:lang w:val="es-ES" w:eastAsia="es-ES"/>
        </w:rPr>
        <w:t xml:space="preserve">La Agencia Nacional de Contratación Pública – Colombia Compra Eficiente –, en ejercicio de las competencias otorgadas por los artículos 3, numeral 5º, y 11, numeral 8º, del Decreto Ley 4170 de 2011 y de conformidad con las modalidades del derecho de petición contempladas en la Ley 1755 de 2015 y en la Resolución N° 469 del 2025 expedida por esta Agencia, responde su solicitud de consulta del </w:t>
      </w:r>
      <w:r>
        <w:rPr>
          <w:rFonts w:ascii="Verdana" w:eastAsia="Calibri" w:hAnsi="Verdana" w:cs="Arial"/>
          <w:lang w:val="es-ES" w:eastAsia="es-ES"/>
        </w:rPr>
        <w:t>22</w:t>
      </w:r>
      <w:r w:rsidRPr="00717E7C">
        <w:rPr>
          <w:rFonts w:ascii="Verdana" w:eastAsia="Calibri" w:hAnsi="Verdana" w:cs="Arial"/>
          <w:lang w:val="es-ES" w:eastAsia="es-ES"/>
        </w:rPr>
        <w:t xml:space="preserve"> de septiembre de 2026, en la cual manifiesta lo siguiente:</w:t>
      </w:r>
      <w:r w:rsidRPr="00B60BC4">
        <w:rPr>
          <w:rFonts w:ascii="Verdana" w:eastAsia="Calibri" w:hAnsi="Verdana" w:cs="Arial"/>
          <w:lang w:val="es-ES" w:eastAsia="es-ES"/>
        </w:rPr>
        <w:t xml:space="preserve"> </w:t>
      </w:r>
    </w:p>
    <w:p w14:paraId="7E263296" w14:textId="77777777" w:rsidR="00B3414C" w:rsidRPr="00B60BC4" w:rsidRDefault="00B3414C" w:rsidP="00B3414C">
      <w:pPr>
        <w:tabs>
          <w:tab w:val="left" w:pos="142"/>
          <w:tab w:val="left" w:pos="284"/>
        </w:tabs>
        <w:spacing w:line="276" w:lineRule="auto"/>
        <w:contextualSpacing/>
        <w:jc w:val="both"/>
        <w:rPr>
          <w:rFonts w:ascii="Verdana" w:eastAsia="Century Gothic" w:hAnsi="Verdana" w:cs="Century Gothic"/>
          <w:b/>
          <w:bCs/>
          <w:lang w:val="es-ES"/>
        </w:rPr>
      </w:pPr>
    </w:p>
    <w:p w14:paraId="1A6FB077" w14:textId="77777777" w:rsidR="00B3414C" w:rsidRPr="00B60BC4" w:rsidRDefault="00B3414C" w:rsidP="00B3414C">
      <w:pPr>
        <w:spacing w:after="0" w:line="240" w:lineRule="auto"/>
        <w:ind w:left="709" w:right="709"/>
        <w:jc w:val="both"/>
        <w:rPr>
          <w:rFonts w:ascii="Verdana" w:hAnsi="Verdana" w:cs="Arial"/>
          <w:sz w:val="20"/>
          <w:szCs w:val="20"/>
          <w:shd w:val="clear" w:color="auto" w:fill="FFFFFF"/>
          <w:lang w:val="es-MX"/>
        </w:rPr>
      </w:pPr>
      <w:bookmarkStart w:id="0" w:name="_Hlk95313578"/>
      <w:r w:rsidRPr="00B60BC4">
        <w:rPr>
          <w:rFonts w:ascii="Verdana" w:eastAsia="Century Gothic" w:hAnsi="Verdana" w:cs="Century Gothic"/>
          <w:sz w:val="20"/>
          <w:szCs w:val="20"/>
          <w:lang w:val="es-ES"/>
        </w:rPr>
        <w:t>“</w:t>
      </w:r>
      <w:r w:rsidRPr="00DA00EB">
        <w:rPr>
          <w:rFonts w:ascii="Verdana" w:hAnsi="Verdana" w:cs="Arial"/>
          <w:sz w:val="20"/>
          <w:szCs w:val="20"/>
          <w:shd w:val="clear" w:color="auto" w:fill="FFFFFF"/>
          <w:lang w:val="es-MX"/>
        </w:rPr>
        <w:t>Frente a la figura y rol del supervisor, a partir de cuando inicia su</w:t>
      </w:r>
      <w:r>
        <w:rPr>
          <w:rFonts w:ascii="Verdana" w:hAnsi="Verdana" w:cs="Arial"/>
          <w:sz w:val="20"/>
          <w:szCs w:val="20"/>
          <w:shd w:val="clear" w:color="auto" w:fill="FFFFFF"/>
          <w:lang w:val="es-MX"/>
        </w:rPr>
        <w:t xml:space="preserve"> </w:t>
      </w:r>
      <w:r w:rsidRPr="00DA00EB">
        <w:rPr>
          <w:rFonts w:ascii="Verdana" w:hAnsi="Verdana" w:cs="Arial"/>
          <w:sz w:val="20"/>
          <w:szCs w:val="20"/>
          <w:shd w:val="clear" w:color="auto" w:fill="FFFFFF"/>
          <w:lang w:val="es-MX"/>
        </w:rPr>
        <w:t>responsabilidad y vigilancia del contrato estatal, a partir del</w:t>
      </w:r>
      <w:r>
        <w:rPr>
          <w:rFonts w:ascii="Verdana" w:hAnsi="Verdana" w:cs="Arial"/>
          <w:sz w:val="20"/>
          <w:szCs w:val="20"/>
          <w:shd w:val="clear" w:color="auto" w:fill="FFFFFF"/>
          <w:lang w:val="es-MX"/>
        </w:rPr>
        <w:t xml:space="preserve"> </w:t>
      </w:r>
      <w:r w:rsidRPr="00DA00EB">
        <w:rPr>
          <w:rFonts w:ascii="Verdana" w:hAnsi="Verdana" w:cs="Arial"/>
          <w:sz w:val="20"/>
          <w:szCs w:val="20"/>
          <w:shd w:val="clear" w:color="auto" w:fill="FFFFFF"/>
          <w:lang w:val="es-MX"/>
        </w:rPr>
        <w:t xml:space="preserve">cumplimiento </w:t>
      </w:r>
      <w:r w:rsidRPr="00DA00EB">
        <w:rPr>
          <w:rFonts w:ascii="Verdana" w:hAnsi="Verdana" w:cs="Arial"/>
          <w:sz w:val="20"/>
          <w:szCs w:val="20"/>
          <w:shd w:val="clear" w:color="auto" w:fill="FFFFFF"/>
          <w:lang w:val="es-MX"/>
        </w:rPr>
        <w:lastRenderedPageBreak/>
        <w:t>de los requisitos de perfeccionamiento o a partir del</w:t>
      </w:r>
      <w:r>
        <w:rPr>
          <w:rFonts w:ascii="Verdana" w:hAnsi="Verdana" w:cs="Arial"/>
          <w:sz w:val="20"/>
          <w:szCs w:val="20"/>
          <w:shd w:val="clear" w:color="auto" w:fill="FFFFFF"/>
          <w:lang w:val="es-MX"/>
        </w:rPr>
        <w:t xml:space="preserve"> </w:t>
      </w:r>
      <w:r w:rsidRPr="00DA00EB">
        <w:rPr>
          <w:rFonts w:ascii="Verdana" w:hAnsi="Verdana" w:cs="Arial"/>
          <w:sz w:val="20"/>
          <w:szCs w:val="20"/>
          <w:shd w:val="clear" w:color="auto" w:fill="FFFFFF"/>
          <w:lang w:val="es-MX"/>
        </w:rPr>
        <w:t>cumplimiento de los requisitos de ejecución</w:t>
      </w:r>
      <w:r w:rsidRPr="00B60BC4">
        <w:rPr>
          <w:rFonts w:ascii="Verdana" w:hAnsi="Verdana" w:cs="Arial"/>
          <w:sz w:val="20"/>
          <w:szCs w:val="20"/>
          <w:shd w:val="clear" w:color="auto" w:fill="FFFFFF"/>
          <w:lang w:val="es-MX"/>
        </w:rPr>
        <w:t>?</w:t>
      </w:r>
      <w:r w:rsidRPr="00B60BC4">
        <w:rPr>
          <w:rFonts w:ascii="Verdana" w:eastAsia="Century Gothic" w:hAnsi="Verdana" w:cs="Century Gothic"/>
          <w:sz w:val="20"/>
          <w:szCs w:val="20"/>
          <w:lang w:val="es-ES"/>
        </w:rPr>
        <w:t>”</w:t>
      </w:r>
      <w:bookmarkEnd w:id="0"/>
    </w:p>
    <w:p w14:paraId="49D1751C" w14:textId="77777777" w:rsidR="00B3414C" w:rsidRPr="00B60BC4" w:rsidRDefault="00B3414C" w:rsidP="00B3414C">
      <w:pPr>
        <w:tabs>
          <w:tab w:val="left" w:pos="142"/>
          <w:tab w:val="left" w:pos="284"/>
        </w:tabs>
        <w:spacing w:line="276" w:lineRule="auto"/>
        <w:contextualSpacing/>
        <w:jc w:val="both"/>
        <w:rPr>
          <w:rFonts w:ascii="Verdana" w:eastAsia="Century Gothic" w:hAnsi="Verdana" w:cs="Century Gothic"/>
          <w:b/>
          <w:bCs/>
          <w:lang w:val="es-MX"/>
        </w:rPr>
      </w:pPr>
    </w:p>
    <w:p w14:paraId="03868FA3" w14:textId="77777777" w:rsidR="00B3414C" w:rsidRPr="00B60BC4" w:rsidRDefault="00B3414C" w:rsidP="00B3414C">
      <w:pPr>
        <w:spacing w:after="120" w:line="276" w:lineRule="auto"/>
        <w:ind w:firstLine="709"/>
        <w:jc w:val="both"/>
        <w:rPr>
          <w:rFonts w:ascii="Verdana" w:eastAsia="Calibri" w:hAnsi="Verdana" w:cs="Arial"/>
          <w:szCs w:val="24"/>
          <w:lang w:val="es-ES_tradnl" w:eastAsia="es-ES_tradnl"/>
        </w:rPr>
      </w:pPr>
      <w:r w:rsidRPr="00B60BC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60BC4">
        <w:rPr>
          <w:rFonts w:ascii="Verdana" w:eastAsia="Calibri" w:hAnsi="Verdana" w:cs="Arial"/>
          <w:szCs w:val="24"/>
          <w:lang w:val="es-ES_tradnl" w:eastAsia="es-ES_tradnl"/>
        </w:rPr>
        <w:tab/>
      </w:r>
    </w:p>
    <w:p w14:paraId="5C41193C" w14:textId="77777777" w:rsidR="00B3414C" w:rsidRPr="00B60BC4" w:rsidRDefault="00B3414C" w:rsidP="00B3414C">
      <w:pPr>
        <w:spacing w:after="0" w:line="276" w:lineRule="auto"/>
        <w:ind w:firstLine="709"/>
        <w:jc w:val="both"/>
        <w:rPr>
          <w:rFonts w:ascii="Verdana" w:eastAsia="Calibri" w:hAnsi="Verdana" w:cs="Arial"/>
          <w:lang w:val="es-ES" w:eastAsia="es-ES"/>
        </w:rPr>
      </w:pPr>
      <w:r w:rsidRPr="00B60BC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4871F567" w14:textId="77777777" w:rsidR="00B3414C" w:rsidRPr="00B60BC4" w:rsidRDefault="00B3414C" w:rsidP="00B3414C">
      <w:pPr>
        <w:spacing w:after="0" w:line="276" w:lineRule="auto"/>
        <w:ind w:firstLine="709"/>
        <w:jc w:val="both"/>
        <w:rPr>
          <w:rFonts w:ascii="Verdana" w:eastAsia="Calibri" w:hAnsi="Verdana" w:cs="Arial"/>
          <w:lang w:val="es-ES" w:eastAsia="es-ES"/>
        </w:rPr>
      </w:pPr>
    </w:p>
    <w:p w14:paraId="56E04BC1" w14:textId="77777777" w:rsidR="00B3414C" w:rsidRPr="00B60BC4" w:rsidRDefault="00B3414C" w:rsidP="00B3414C">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B60BC4">
        <w:rPr>
          <w:rFonts w:ascii="Verdana" w:eastAsia="Century Gothic" w:hAnsi="Verdana" w:cs="Century Gothic"/>
          <w:b/>
          <w:bCs/>
          <w:lang w:val="es-ES"/>
        </w:rPr>
        <w:t>Problema planteado:</w:t>
      </w:r>
    </w:p>
    <w:p w14:paraId="75C7150F" w14:textId="77777777" w:rsidR="00B3414C" w:rsidRPr="00B60BC4" w:rsidRDefault="00B3414C" w:rsidP="00B3414C">
      <w:pPr>
        <w:tabs>
          <w:tab w:val="left" w:pos="426"/>
        </w:tabs>
        <w:spacing w:after="0" w:line="276" w:lineRule="auto"/>
        <w:jc w:val="both"/>
        <w:rPr>
          <w:rFonts w:ascii="Verdana" w:eastAsia="Century Gothic" w:hAnsi="Verdana" w:cs="Century Gothic"/>
          <w:lang w:val="es-ES"/>
        </w:rPr>
      </w:pPr>
    </w:p>
    <w:p w14:paraId="50EE8305" w14:textId="719DD938" w:rsidR="00B3414C" w:rsidRPr="006E478E" w:rsidRDefault="00B3414C" w:rsidP="00B3414C">
      <w:pPr>
        <w:spacing w:after="0" w:line="276" w:lineRule="auto"/>
        <w:jc w:val="both"/>
        <w:rPr>
          <w:rFonts w:ascii="Verdana" w:eastAsia="Century Gothic" w:hAnsi="Verdana" w:cs="Century Gothic"/>
        </w:rPr>
      </w:pPr>
      <w:r w:rsidRPr="00B60BC4">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B60BC4">
        <w:rPr>
          <w:rFonts w:ascii="Verdana" w:eastAsia="Century Gothic" w:hAnsi="Verdana" w:cs="Century Gothic"/>
        </w:rPr>
        <w:t xml:space="preserve"> siguiente problema jurídico:</w:t>
      </w:r>
      <w:r>
        <w:rPr>
          <w:rFonts w:ascii="Verdana" w:eastAsia="Century Gothic" w:hAnsi="Verdana" w:cs="Century Gothic"/>
        </w:rPr>
        <w:t xml:space="preserve"> </w:t>
      </w:r>
      <w:r>
        <w:t>¿</w:t>
      </w:r>
      <w:r w:rsidRPr="0043507E">
        <w:rPr>
          <w:rFonts w:ascii="Verdana" w:eastAsia="Century Gothic" w:hAnsi="Verdana" w:cs="Century Gothic"/>
        </w:rPr>
        <w:t xml:space="preserve">A partir de </w:t>
      </w:r>
      <w:r w:rsidR="00DE0BC1" w:rsidRPr="006E478E">
        <w:rPr>
          <w:rFonts w:ascii="Verdana" w:eastAsia="Century Gothic" w:hAnsi="Verdana" w:cs="Century Gothic"/>
        </w:rPr>
        <w:t>qué momento se ejerce materialmente la supervisión de un contrato estatal y cómo se diferencia dicho momento de la designación del supervisor, del perfeccionamiento del contrato y del cumplimiento de los requisitos de ejecución?</w:t>
      </w:r>
    </w:p>
    <w:p w14:paraId="69252FE7" w14:textId="77777777" w:rsidR="00B3414C" w:rsidRPr="00B60BC4" w:rsidRDefault="00B3414C" w:rsidP="00B3414C">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B60BC4">
        <w:rPr>
          <w:rFonts w:ascii="Verdana" w:eastAsia="Century Gothic" w:hAnsi="Verdana" w:cs="Century Gothic"/>
          <w:b/>
          <w:bCs/>
          <w:lang w:val="es-ES"/>
        </w:rPr>
        <w:t>Respuesta:</w:t>
      </w:r>
    </w:p>
    <w:p w14:paraId="52ABAFFF" w14:textId="77777777" w:rsidR="00B3414C" w:rsidRPr="00B60BC4" w:rsidRDefault="00B3414C" w:rsidP="00B3414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3414C" w:rsidRPr="00B60BC4" w14:paraId="3E43241B" w14:textId="77777777" w:rsidTr="00AB57FF">
        <w:tc>
          <w:tcPr>
            <w:tcW w:w="8828" w:type="dxa"/>
          </w:tcPr>
          <w:p w14:paraId="1F8BA5E0" w14:textId="77777777" w:rsidR="00B3414C" w:rsidRPr="00B60BC4" w:rsidRDefault="00B3414C" w:rsidP="00AB57FF">
            <w:pPr>
              <w:spacing w:before="120" w:line="276" w:lineRule="auto"/>
              <w:jc w:val="both"/>
              <w:rPr>
                <w:rFonts w:ascii="Verdana" w:eastAsia="Calibri" w:hAnsi="Verdana" w:cs="Arial"/>
                <w:lang w:val="es-ES_tradnl" w:eastAsia="es-ES"/>
              </w:rPr>
            </w:pPr>
            <w:r w:rsidRPr="00B60BC4">
              <w:rPr>
                <w:rFonts w:ascii="Verdana" w:eastAsia="Calibri" w:hAnsi="Verdana" w:cs="Arial"/>
                <w:lang w:val="es-ES_tradnl" w:eastAsia="es-ES"/>
              </w:rPr>
              <w:t>De acuerdo con el artículo 83 de la Ley 1474 de 2011, la supervisión es una actividad que debe realizar la entidad estatal contratante con sus servidores públicos, sin perjuicio de que pueda contratar el apoyo a esta labor mediante la celebración de contratos de prestación de servicios. En efecto, el segundo inciso de dicha norma establece:</w:t>
            </w:r>
          </w:p>
          <w:p w14:paraId="4B674CDA" w14:textId="77777777" w:rsidR="00B3414C" w:rsidRPr="00B60BC4" w:rsidRDefault="00B3414C" w:rsidP="00AB57FF">
            <w:pPr>
              <w:ind w:left="709" w:right="709"/>
              <w:jc w:val="both"/>
              <w:rPr>
                <w:rFonts w:ascii="Verdana" w:eastAsia="Times New Roman" w:hAnsi="Verdana" w:cs="Arial"/>
                <w:i/>
                <w:lang w:val="es-ES_tradnl" w:eastAsia="es-ES_tradnl"/>
              </w:rPr>
            </w:pPr>
          </w:p>
          <w:p w14:paraId="54FC362A" w14:textId="77777777" w:rsidR="00B3414C" w:rsidRPr="006D0235" w:rsidRDefault="00B3414C" w:rsidP="00AB57FF">
            <w:pPr>
              <w:ind w:left="709" w:right="709"/>
              <w:jc w:val="both"/>
              <w:rPr>
                <w:rFonts w:ascii="Verdana" w:eastAsia="Times New Roman" w:hAnsi="Verdana" w:cs="Arial"/>
                <w:i/>
                <w:sz w:val="20"/>
                <w:szCs w:val="20"/>
                <w:lang w:val="es-ES" w:eastAsia="es-ES"/>
              </w:rPr>
            </w:pPr>
            <w:r w:rsidRPr="006D0235">
              <w:rPr>
                <w:rFonts w:ascii="Verdana" w:eastAsia="Times New Roman" w:hAnsi="Verdana" w:cs="Arial"/>
                <w:i/>
                <w:sz w:val="20"/>
                <w:szCs w:val="20"/>
                <w:lang w:val="es-ES" w:eastAsia="es-ES"/>
              </w:rPr>
              <w:t>“La supervisión consistirá en el seguimiento técnico, administrativo, financiero, contable, y jurídico que sobre el cumplimiento del objeto del contrato, es ejercida por la misma entidad estatal cuando no requieren conocimientos</w:t>
            </w:r>
            <w:r w:rsidRPr="006D0235">
              <w:rPr>
                <w:rFonts w:ascii="Verdana" w:eastAsia="Calibri" w:hAnsi="Verdana" w:cs="Arial"/>
                <w:sz w:val="20"/>
                <w:szCs w:val="20"/>
                <w:lang w:val="es-ES" w:eastAsia="es-ES"/>
              </w:rPr>
              <w:t xml:space="preserve"> </w:t>
            </w:r>
            <w:r w:rsidRPr="006D0235">
              <w:rPr>
                <w:rFonts w:ascii="Verdana" w:eastAsia="Times New Roman" w:hAnsi="Verdana" w:cs="Arial"/>
                <w:i/>
                <w:sz w:val="20"/>
                <w:szCs w:val="20"/>
                <w:lang w:val="es-ES" w:eastAsia="es-ES"/>
              </w:rPr>
              <w:t>especializados. Para la supervisión, la Entidad estatal podrá contratar personal de apoyo, a través de los contratos de prestación de servicios que sean requeridos</w:t>
            </w:r>
            <w:r w:rsidRPr="006D0235">
              <w:rPr>
                <w:rFonts w:ascii="Verdana" w:eastAsia="Times New Roman" w:hAnsi="Verdana" w:cs="Arial"/>
                <w:sz w:val="20"/>
                <w:szCs w:val="20"/>
                <w:lang w:val="es-ES" w:eastAsia="es-ES"/>
              </w:rPr>
              <w:t>”</w:t>
            </w:r>
            <w:r w:rsidRPr="006D0235">
              <w:rPr>
                <w:rFonts w:ascii="Verdana" w:eastAsia="Times New Roman" w:hAnsi="Verdana" w:cs="Arial"/>
                <w:i/>
                <w:sz w:val="20"/>
                <w:szCs w:val="20"/>
                <w:lang w:val="es-ES" w:eastAsia="es-ES"/>
              </w:rPr>
              <w:t>.</w:t>
            </w:r>
          </w:p>
          <w:p w14:paraId="6AB6C378" w14:textId="77777777" w:rsidR="00B3414C" w:rsidRPr="00B60BC4" w:rsidRDefault="00B3414C" w:rsidP="00AB57FF">
            <w:pPr>
              <w:spacing w:line="276" w:lineRule="auto"/>
              <w:ind w:firstLine="709"/>
              <w:jc w:val="both"/>
              <w:rPr>
                <w:rFonts w:ascii="Verdana" w:eastAsia="Calibri" w:hAnsi="Verdana" w:cs="Arial"/>
                <w:lang w:val="es-ES_tradnl" w:eastAsia="es-ES"/>
              </w:rPr>
            </w:pPr>
          </w:p>
          <w:p w14:paraId="0075C71D" w14:textId="00C7FACD" w:rsidR="00B3414C" w:rsidRDefault="005E3B4E" w:rsidP="00AB57FF">
            <w:pPr>
              <w:spacing w:after="120" w:line="276" w:lineRule="auto"/>
              <w:ind w:firstLine="709"/>
              <w:jc w:val="both"/>
              <w:rPr>
                <w:rFonts w:ascii="Verdana" w:eastAsia="Calibri" w:hAnsi="Verdana" w:cs="Arial"/>
                <w:lang w:val="es-ES_tradnl" w:eastAsia="es-ES"/>
              </w:rPr>
            </w:pPr>
            <w:r w:rsidRPr="006E478E">
              <w:rPr>
                <w:rFonts w:ascii="Verdana" w:eastAsia="Calibri" w:hAnsi="Verdana" w:cs="Arial"/>
                <w:lang w:val="es-ES_tradnl" w:eastAsia="es-ES"/>
              </w:rPr>
              <w:t>En ese sentido, corresponde a la entidad contratante designar al supervisor del contrato. Para ello deberá seleccionar a un servidor público que resulte adecuado para realizar el seguimiento técnico, administrativo, financiero, contable y jurídico del contrato, de acuerdo con su naturaleza y complejidad. Cuando se requiera apoyo para el ejercicio de esta labor, la entidad podrá contratar personal mediante contratos de prestación de servicios; y cuando el seguimiento exija conocimientos especializados o la complejidad del contrato lo justifique, podrá acudirse a la interventoría en los términos previstos por la ley</w:t>
            </w:r>
            <w:r w:rsidR="000F5CFB">
              <w:rPr>
                <w:rFonts w:ascii="Verdana" w:eastAsia="Calibri" w:hAnsi="Verdana" w:cs="Arial"/>
                <w:lang w:val="es-ES_tradnl" w:eastAsia="es-ES"/>
              </w:rPr>
              <w:t>,</w:t>
            </w:r>
            <w:r w:rsidR="00B3414C" w:rsidRPr="00B60BC4">
              <w:rPr>
                <w:rFonts w:ascii="Verdana" w:eastAsia="Calibri" w:hAnsi="Verdana" w:cs="Arial"/>
                <w:lang w:val="es-ES_tradnl" w:eastAsia="es-ES"/>
              </w:rPr>
              <w:t xml:space="preserve">siempre que la persona designada sea la adecuada para hacer el correcto seguimiento técnico, administrativo, financiero, contable, y jurídico del contrato, pudiendo tener personal de apoyo como lo indica la norma, en temas que no sean de su experticia; o cuando se requieran conocimientos especializados se puede recurrir a la figura de la interventoría. </w:t>
            </w:r>
          </w:p>
          <w:p w14:paraId="166EFCDB" w14:textId="77777777" w:rsidR="00A95332" w:rsidRPr="00A95332" w:rsidRDefault="00A95332" w:rsidP="00A95332">
            <w:pPr>
              <w:spacing w:after="120" w:line="276" w:lineRule="auto"/>
              <w:ind w:firstLine="709"/>
              <w:jc w:val="both"/>
              <w:rPr>
                <w:rFonts w:ascii="Verdana" w:hAnsi="Verdana" w:cs="Arial"/>
              </w:rPr>
            </w:pPr>
            <w:r w:rsidRPr="00A95332">
              <w:rPr>
                <w:rFonts w:ascii="Verdana" w:hAnsi="Verdana" w:cs="Arial"/>
              </w:rPr>
              <w:t>Finalmente, debe distinguirse entre el momento de designación del supervisor y el ejercicio material de la supervisión. La entidad puede efectuar la designación con anterioridad al inicio de la ejecución del contrato como parte de las actividades necesarias para asegurar su adecuado seguimiento. Sin embargo, dicha designación no implica, por sí sola, que haya comenzado el ejercicio material de la supervisión.</w:t>
            </w:r>
          </w:p>
          <w:p w14:paraId="3AE7262A" w14:textId="77777777" w:rsidR="00A95332" w:rsidRPr="00A95332" w:rsidRDefault="00A95332" w:rsidP="00A95332">
            <w:pPr>
              <w:spacing w:after="120" w:line="276" w:lineRule="auto"/>
              <w:ind w:firstLine="709"/>
              <w:jc w:val="both"/>
              <w:rPr>
                <w:rFonts w:ascii="Verdana" w:hAnsi="Verdana" w:cs="Arial"/>
              </w:rPr>
            </w:pPr>
            <w:r w:rsidRPr="00A95332">
              <w:rPr>
                <w:rFonts w:ascii="Verdana" w:hAnsi="Verdana" w:cs="Arial"/>
              </w:rPr>
              <w:t>El perfeccionamiento determina la existencia jurídica del contrato, mientras que el cumplimiento de los requisitos de ejecución permite dar inicio a su ejecución en los términos legal y contractualmente establecidos. En este contexto, la supervisión, entendida conforme al artículo 83 de la Ley 1474 de 2011 como el seguimiento técnico, administrativo, financiero, contable y jurídico sobre el cumplimiento del objeto contractual, despliega materialmente sus funciones a partir del momento en que comienza la ejecución del contrato.</w:t>
            </w:r>
          </w:p>
          <w:p w14:paraId="416441F5" w14:textId="052C0815" w:rsidR="00B3414C" w:rsidRPr="00B60BC4" w:rsidRDefault="00A95332" w:rsidP="00AB57FF">
            <w:pPr>
              <w:spacing w:after="120" w:line="276" w:lineRule="auto"/>
              <w:ind w:firstLine="709"/>
              <w:jc w:val="both"/>
              <w:rPr>
                <w:rFonts w:ascii="Verdana" w:eastAsia="Calibri" w:hAnsi="Verdana" w:cs="Arial"/>
                <w:lang w:val="es-ES"/>
              </w:rPr>
            </w:pPr>
            <w:r w:rsidRPr="00A95332">
              <w:rPr>
                <w:rFonts w:ascii="Verdana" w:hAnsi="Verdana" w:cs="Arial"/>
              </w:rPr>
              <w:lastRenderedPageBreak/>
              <w:t>Lo anterior no impide que el supervisor previamente designado adelante las actuaciones necesarias para verificar que se encuentren satisfechas las condiciones requeridas para iniciar la ejecución, cuando ello corresponda a sus funciones. Asimismo, una vez terminada la ejecución, podrán subsistir actuaciones de seguimiento respecto de obligaciones pendientes, liquidación o cierre contractual, según la naturaleza del contrato y las obligaciones que continúen vigentes.</w:t>
            </w:r>
          </w:p>
        </w:tc>
      </w:tr>
    </w:tbl>
    <w:p w14:paraId="30CCE56B" w14:textId="77777777" w:rsidR="00B3414C" w:rsidRPr="00B60BC4" w:rsidRDefault="00B3414C" w:rsidP="00B3414C">
      <w:pPr>
        <w:tabs>
          <w:tab w:val="left" w:pos="142"/>
          <w:tab w:val="left" w:pos="284"/>
        </w:tabs>
        <w:spacing w:after="0" w:line="276" w:lineRule="auto"/>
        <w:jc w:val="both"/>
        <w:rPr>
          <w:rFonts w:ascii="Verdana" w:eastAsia="Century Gothic" w:hAnsi="Verdana" w:cs="Century Gothic"/>
          <w:b/>
          <w:bCs/>
        </w:rPr>
      </w:pPr>
    </w:p>
    <w:p w14:paraId="3F8A09E5" w14:textId="77777777" w:rsidR="00B3414C" w:rsidRPr="00B60BC4" w:rsidRDefault="00B3414C" w:rsidP="00B3414C">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B60BC4">
        <w:rPr>
          <w:rFonts w:ascii="Verdana" w:eastAsia="Century Gothic" w:hAnsi="Verdana" w:cs="Century Gothic"/>
          <w:b/>
          <w:bCs/>
          <w:lang w:val="es-ES"/>
        </w:rPr>
        <w:t>Razones de la respuesta:</w:t>
      </w:r>
    </w:p>
    <w:p w14:paraId="2DAA6FBB" w14:textId="77777777" w:rsidR="00B3414C" w:rsidRPr="00B60BC4" w:rsidRDefault="00B3414C" w:rsidP="00B3414C">
      <w:pPr>
        <w:spacing w:after="0" w:line="276" w:lineRule="auto"/>
        <w:jc w:val="both"/>
        <w:rPr>
          <w:rFonts w:ascii="Verdana" w:eastAsia="Calibri" w:hAnsi="Verdana" w:cs="Arial"/>
          <w:lang w:val="es-ES"/>
        </w:rPr>
      </w:pPr>
    </w:p>
    <w:p w14:paraId="7E8D3518" w14:textId="77777777" w:rsidR="00B3414C" w:rsidRPr="00B60BC4" w:rsidRDefault="00B3414C" w:rsidP="00B3414C">
      <w:pPr>
        <w:spacing w:after="0" w:line="276" w:lineRule="auto"/>
        <w:jc w:val="both"/>
        <w:rPr>
          <w:rFonts w:ascii="Verdana" w:eastAsia="Calibri" w:hAnsi="Verdana" w:cs="Arial"/>
          <w:lang w:val="es-ES"/>
        </w:rPr>
      </w:pPr>
      <w:r w:rsidRPr="00B60BC4">
        <w:rPr>
          <w:rFonts w:ascii="Verdana" w:eastAsia="Calibri" w:hAnsi="Verdana" w:cs="Arial"/>
          <w:lang w:val="es-ES"/>
        </w:rPr>
        <w:t xml:space="preserve">Lo anterior se sustenta en las siguientes consideraciones: </w:t>
      </w:r>
    </w:p>
    <w:p w14:paraId="0A3AC399" w14:textId="77777777" w:rsidR="00B3414C" w:rsidRPr="00B60BC4" w:rsidRDefault="00B3414C" w:rsidP="00B3414C">
      <w:pPr>
        <w:widowControl w:val="0"/>
        <w:autoSpaceDE w:val="0"/>
        <w:autoSpaceDN w:val="0"/>
        <w:spacing w:after="0" w:line="276" w:lineRule="auto"/>
        <w:jc w:val="both"/>
        <w:rPr>
          <w:rFonts w:ascii="Verdana" w:eastAsia="Calibri" w:hAnsi="Verdana" w:cs="Arial"/>
          <w:lang w:val="es-ES"/>
        </w:rPr>
      </w:pPr>
    </w:p>
    <w:p w14:paraId="0B6E6B06" w14:textId="77777777" w:rsidR="00B3414C" w:rsidRPr="00B60BC4" w:rsidRDefault="00B3414C" w:rsidP="00B3414C">
      <w:pPr>
        <w:spacing w:after="120" w:line="276" w:lineRule="auto"/>
        <w:jc w:val="both"/>
        <w:rPr>
          <w:rFonts w:ascii="Verdana" w:eastAsia="Times New Roman" w:hAnsi="Verdana" w:cs="Arial"/>
          <w:lang w:val="es-ES_tradnl" w:eastAsia="es-MX"/>
        </w:rPr>
      </w:pPr>
      <w:r w:rsidRPr="00B60BC4">
        <w:rPr>
          <w:rFonts w:ascii="Verdana" w:eastAsia="Times New Roman" w:hAnsi="Verdana" w:cs="Arial"/>
          <w:shd w:val="clear" w:color="auto" w:fill="FFFFFF"/>
          <w:lang w:val="es-ES"/>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260C7FA0" w14:textId="77777777" w:rsidR="00B3414C" w:rsidRPr="00B60BC4" w:rsidRDefault="00B3414C" w:rsidP="00B3414C">
      <w:pPr>
        <w:spacing w:after="120" w:line="276" w:lineRule="auto"/>
        <w:ind w:firstLine="709"/>
        <w:jc w:val="both"/>
        <w:rPr>
          <w:rFonts w:ascii="Verdana" w:eastAsia="Times New Roman" w:hAnsi="Verdana" w:cs="Arial"/>
          <w:lang w:val="es-ES" w:eastAsia="es-MX"/>
        </w:rPr>
      </w:pPr>
      <w:r w:rsidRPr="00B60BC4">
        <w:rPr>
          <w:rFonts w:ascii="Verdana" w:eastAsia="Times New Roman" w:hAnsi="Verdana" w:cs="Arial"/>
          <w:lang w:val="es-ES"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B60BC4">
        <w:rPr>
          <w:rFonts w:ascii="Verdana" w:eastAsia="Times New Roman" w:hAnsi="Verdana" w:cs="Arial"/>
          <w:vertAlign w:val="superscript"/>
          <w:lang w:val="es-ES" w:eastAsia="es-MX"/>
        </w:rPr>
        <w:footnoteReference w:id="2"/>
      </w:r>
      <w:r w:rsidRPr="00B60BC4">
        <w:rPr>
          <w:rFonts w:ascii="Verdana" w:eastAsia="Times New Roman" w:hAnsi="Verdana" w:cs="Arial"/>
          <w:lang w:val="es-ES" w:eastAsia="es-MX"/>
        </w:rPr>
        <w:t>. También se establecen los límites de la responsabilidad del representante legal ante la delegación de sus funciones en materia contractual</w:t>
      </w:r>
      <w:r w:rsidRPr="00B60BC4">
        <w:rPr>
          <w:rFonts w:ascii="Verdana" w:eastAsia="Times New Roman" w:hAnsi="Verdana" w:cs="Arial"/>
          <w:vertAlign w:val="superscript"/>
          <w:lang w:val="es-ES" w:eastAsia="es-MX"/>
        </w:rPr>
        <w:footnoteReference w:id="3"/>
      </w:r>
      <w:r w:rsidRPr="00B60BC4">
        <w:rPr>
          <w:rFonts w:ascii="Verdana" w:eastAsia="Times New Roman" w:hAnsi="Verdana" w:cs="Arial"/>
          <w:lang w:val="es-ES" w:eastAsia="es-MX"/>
        </w:rPr>
        <w:t xml:space="preserve"> y se regula la supervisión y la interventoría de los contratos estatales</w:t>
      </w:r>
      <w:r w:rsidRPr="00B60BC4">
        <w:rPr>
          <w:rFonts w:ascii="Verdana" w:eastAsia="Times New Roman" w:hAnsi="Verdana" w:cs="Arial"/>
          <w:vertAlign w:val="superscript"/>
          <w:lang w:val="es-ES" w:eastAsia="es-MX"/>
        </w:rPr>
        <w:footnoteReference w:id="4"/>
      </w:r>
      <w:r w:rsidRPr="00B60BC4">
        <w:rPr>
          <w:rFonts w:ascii="Verdana" w:eastAsia="Times New Roman" w:hAnsi="Verdana" w:cs="Arial"/>
          <w:lang w:val="es-ES" w:eastAsia="es-MX"/>
        </w:rPr>
        <w:t>.</w:t>
      </w:r>
    </w:p>
    <w:p w14:paraId="4888EAAD" w14:textId="77777777" w:rsidR="00B3414C" w:rsidRPr="00B60BC4" w:rsidRDefault="00B3414C" w:rsidP="00B3414C">
      <w:pPr>
        <w:spacing w:after="0" w:line="276" w:lineRule="auto"/>
        <w:ind w:firstLine="709"/>
        <w:jc w:val="both"/>
        <w:rPr>
          <w:rFonts w:ascii="Verdana" w:eastAsia="Times New Roman" w:hAnsi="Verdana" w:cs="Arial"/>
          <w:lang w:val="es-ES" w:eastAsia="es-MX"/>
        </w:rPr>
      </w:pPr>
      <w:r w:rsidRPr="00B60BC4">
        <w:rPr>
          <w:rFonts w:ascii="Verdana" w:eastAsia="Times New Roman" w:hAnsi="Verdana" w:cs="Arial"/>
          <w:lang w:val="es-ES" w:eastAsia="es-MX"/>
        </w:rPr>
        <w:lastRenderedPageBreak/>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14:paraId="479FC89D" w14:textId="77777777" w:rsidR="00B3414C" w:rsidRPr="00B60BC4" w:rsidRDefault="00B3414C" w:rsidP="00B3414C">
      <w:pPr>
        <w:spacing w:after="0"/>
        <w:ind w:left="709"/>
        <w:contextualSpacing/>
        <w:jc w:val="both"/>
        <w:rPr>
          <w:rFonts w:ascii="Verdana" w:eastAsia="Times New Roman" w:hAnsi="Verdana" w:cs="Arial"/>
          <w:lang w:val="es-ES_tradnl" w:eastAsia="es-MX"/>
        </w:rPr>
      </w:pPr>
    </w:p>
    <w:p w14:paraId="57DFF9BD" w14:textId="77777777" w:rsidR="00B3414C" w:rsidRPr="00B60BC4" w:rsidRDefault="00B3414C" w:rsidP="00B3414C">
      <w:pPr>
        <w:spacing w:after="0" w:line="240" w:lineRule="auto"/>
        <w:ind w:left="709" w:right="709"/>
        <w:contextualSpacing/>
        <w:jc w:val="both"/>
        <w:rPr>
          <w:rFonts w:ascii="Verdana" w:eastAsia="Times New Roman" w:hAnsi="Verdana" w:cs="Arial"/>
          <w:sz w:val="21"/>
          <w:szCs w:val="21"/>
          <w:lang w:val="es-ES_tradnl" w:eastAsia="es-MX"/>
        </w:rPr>
      </w:pPr>
      <w:bookmarkStart w:id="1" w:name="_Hlk178671999"/>
      <w:r w:rsidRPr="00B60BC4">
        <w:rPr>
          <w:rFonts w:ascii="Verdana" w:eastAsia="Times New Roman" w:hAnsi="Verdana" w:cs="Arial"/>
          <w:sz w:val="21"/>
          <w:szCs w:val="21"/>
          <w:lang w:val="es-ES_tradnl" w:eastAsia="es-MX"/>
        </w:rPr>
        <w:t>“La función de vigilancia y control del contrato estatal supone el cuidado y la supervisión, de forma tal que en ejercicio de esa función</w:t>
      </w:r>
      <w:bookmarkEnd w:id="1"/>
      <w:r w:rsidRPr="00B60BC4">
        <w:rPr>
          <w:rFonts w:ascii="Verdana" w:eastAsia="Times New Roman" w:hAnsi="Verdana" w:cs="Arial"/>
          <w:sz w:val="21"/>
          <w:szCs w:val="21"/>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B60BC4">
        <w:rPr>
          <w:rFonts w:ascii="Verdana" w:eastAsia="Times New Roman" w:hAnsi="Verdana" w:cs="Arial"/>
          <w:sz w:val="21"/>
          <w:szCs w:val="21"/>
          <w:vertAlign w:val="superscript"/>
          <w:lang w:val="es-ES_tradnl" w:eastAsia="es-MX"/>
        </w:rPr>
        <w:footnoteReference w:id="5"/>
      </w:r>
      <w:r w:rsidRPr="00B60BC4">
        <w:rPr>
          <w:rFonts w:ascii="Verdana" w:eastAsia="Times New Roman" w:hAnsi="Verdana" w:cs="Arial"/>
          <w:sz w:val="21"/>
          <w:szCs w:val="21"/>
          <w:lang w:val="es-ES_tradnl" w:eastAsia="es-MX"/>
        </w:rPr>
        <w:t>.</w:t>
      </w:r>
    </w:p>
    <w:p w14:paraId="467CA52C" w14:textId="77777777" w:rsidR="00B3414C" w:rsidRPr="00B60BC4" w:rsidRDefault="00B3414C" w:rsidP="00B3414C">
      <w:pPr>
        <w:snapToGrid w:val="0"/>
        <w:spacing w:after="0"/>
        <w:ind w:left="720"/>
        <w:rPr>
          <w:rFonts w:ascii="Verdana" w:eastAsia="Times New Roman" w:hAnsi="Verdana" w:cs="Arial"/>
          <w:lang w:val="es-ES_tradnl" w:eastAsia="es-MX"/>
        </w:rPr>
      </w:pPr>
    </w:p>
    <w:p w14:paraId="36D956D6" w14:textId="77777777" w:rsidR="00B3414C" w:rsidRPr="00B60BC4" w:rsidRDefault="00B3414C" w:rsidP="00B3414C">
      <w:pPr>
        <w:spacing w:after="0" w:line="276" w:lineRule="auto"/>
        <w:ind w:firstLine="709"/>
        <w:jc w:val="both"/>
        <w:rPr>
          <w:rFonts w:ascii="Verdana" w:eastAsia="Times New Roman" w:hAnsi="Verdana" w:cs="Arial"/>
          <w:lang w:val="es-ES" w:eastAsia="es-MX"/>
        </w:rPr>
      </w:pPr>
      <w:r w:rsidRPr="00B60BC4">
        <w:rPr>
          <w:rFonts w:ascii="Verdana" w:eastAsia="Times New Roman" w:hAnsi="Verdana" w:cs="Arial"/>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4AE51F04" w14:textId="77777777" w:rsidR="00B3414C" w:rsidRPr="00B60BC4" w:rsidRDefault="00B3414C" w:rsidP="00B3414C">
      <w:pPr>
        <w:spacing w:after="0" w:line="276" w:lineRule="auto"/>
        <w:ind w:left="720"/>
        <w:contextualSpacing/>
        <w:jc w:val="both"/>
        <w:textAlignment w:val="baseline"/>
        <w:rPr>
          <w:rFonts w:ascii="Verdana" w:eastAsia="Times New Roman" w:hAnsi="Verdana" w:cs="Arial"/>
          <w:lang w:val="es-ES_tradnl" w:eastAsia="es-MX"/>
        </w:rPr>
      </w:pPr>
    </w:p>
    <w:p w14:paraId="52E3BD09" w14:textId="77777777" w:rsidR="00B3414C" w:rsidRPr="00B60BC4" w:rsidRDefault="00B3414C" w:rsidP="00B3414C">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05D7E148" w14:textId="77777777" w:rsidR="00B3414C" w:rsidRPr="00B60BC4" w:rsidRDefault="00B3414C" w:rsidP="00B3414C">
      <w:pPr>
        <w:spacing w:before="120"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w:t>
      </w:r>
      <w:r w:rsidRPr="00B60BC4">
        <w:rPr>
          <w:rFonts w:ascii="Verdana" w:eastAsia="Times New Roman" w:hAnsi="Verdana" w:cs="Arial"/>
          <w:sz w:val="21"/>
          <w:szCs w:val="21"/>
          <w:lang w:val="es-ES" w:eastAsia="es-MX"/>
        </w:rPr>
        <w:lastRenderedPageBreak/>
        <w:t>acorde a la naturaleza del contrato principal, podrá contratar el seguimiento administrativo, técnico, financiero, contable, jurídico del objeto o contrato dentro de la interventoría”</w:t>
      </w:r>
      <w:r w:rsidRPr="00B60BC4">
        <w:rPr>
          <w:rFonts w:ascii="Verdana" w:eastAsia="Times New Roman" w:hAnsi="Verdana" w:cs="Arial"/>
          <w:sz w:val="21"/>
          <w:szCs w:val="21"/>
          <w:vertAlign w:val="superscript"/>
          <w:lang w:val="es-ES" w:eastAsia="es-MX"/>
        </w:rPr>
        <w:footnoteReference w:id="6"/>
      </w:r>
      <w:r w:rsidRPr="00B60BC4">
        <w:rPr>
          <w:rFonts w:ascii="Verdana" w:eastAsia="Times New Roman" w:hAnsi="Verdana" w:cs="Arial"/>
          <w:sz w:val="21"/>
          <w:szCs w:val="21"/>
          <w:lang w:val="es-ES" w:eastAsia="es-MX"/>
        </w:rPr>
        <w:t>.</w:t>
      </w:r>
    </w:p>
    <w:p w14:paraId="45EA46EC" w14:textId="77777777" w:rsidR="00B3414C" w:rsidRPr="00B60BC4" w:rsidRDefault="00B3414C" w:rsidP="00B3414C">
      <w:pPr>
        <w:spacing w:after="0" w:line="276" w:lineRule="auto"/>
        <w:ind w:left="720"/>
        <w:contextualSpacing/>
        <w:jc w:val="both"/>
        <w:textAlignment w:val="baseline"/>
        <w:rPr>
          <w:rFonts w:ascii="Verdana" w:eastAsia="Times New Roman" w:hAnsi="Verdana" w:cs="Arial"/>
          <w:lang w:val="es-ES" w:eastAsia="es-MX"/>
        </w:rPr>
      </w:pPr>
    </w:p>
    <w:p w14:paraId="47AF9550" w14:textId="77777777" w:rsidR="00B3414C" w:rsidRPr="00B60BC4" w:rsidRDefault="00B3414C" w:rsidP="00B3414C">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B60BC4">
        <w:rPr>
          <w:rFonts w:ascii="Verdana" w:eastAsia="Times New Roman" w:hAnsi="Verdana" w:cs="Arial"/>
          <w:bCs/>
          <w:vertAlign w:val="superscript"/>
          <w:lang w:val="es-ES"/>
        </w:rPr>
        <w:footnoteReference w:id="7"/>
      </w:r>
      <w:r w:rsidRPr="00B60BC4">
        <w:rPr>
          <w:rFonts w:ascii="Verdana" w:eastAsia="Times New Roman" w:hAnsi="Verdana" w:cs="Arial"/>
          <w:bCs/>
          <w:lang w:val="es-ES"/>
        </w:rPr>
        <w:t>–;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36000624" w14:textId="77777777" w:rsidR="00B3414C" w:rsidRPr="00B60BC4" w:rsidRDefault="00B3414C" w:rsidP="00B3414C">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t xml:space="preserve">Por otro lado, es pertinente señalar que esta Agencia ha considerado que del texto del artículo 83 de la Ley 1474 es posible inferir que la ley dispuso que la supervisión debe ser ejercida por la misma Entidad Estatal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 </w:t>
      </w:r>
    </w:p>
    <w:p w14:paraId="39F85205" w14:textId="77777777" w:rsidR="00B3414C" w:rsidRPr="00B60BC4" w:rsidRDefault="00B3414C" w:rsidP="00B3414C">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t>Lo anterior postura se soporta en el trámite del proyecto de ley que se convirtió en la Ley 1474 de 2011, que inicialmente establecía que “la supervisión de los contratos sería ejercida por un funcionario de la misma entidad estatal, o por un contratista de prestación de servicios profesionales […]”</w:t>
      </w:r>
      <w:r w:rsidRPr="00B60BC4">
        <w:rPr>
          <w:rFonts w:ascii="Verdana" w:eastAsia="Times New Roman" w:hAnsi="Verdana" w:cs="Arial"/>
          <w:vertAlign w:val="superscript"/>
          <w:lang w:val="es-ES"/>
        </w:rPr>
        <w:footnoteReference w:id="8"/>
      </w:r>
      <w:r w:rsidRPr="00B60BC4">
        <w:rPr>
          <w:rFonts w:ascii="Verdana" w:eastAsia="Times New Roman" w:hAnsi="Verdana" w:cs="Arial"/>
          <w:bCs/>
          <w:lang w:val="es-ES"/>
        </w:rPr>
        <w:t>. Sin embargo, también lo es que esa postura fue modificada para el segundo debate legislativo</w:t>
      </w:r>
      <w:r w:rsidRPr="00B60BC4">
        <w:rPr>
          <w:rFonts w:ascii="Verdana" w:eastAsia="Times New Roman" w:hAnsi="Verdana" w:cs="Arial"/>
          <w:vertAlign w:val="superscript"/>
          <w:lang w:val="es-ES"/>
        </w:rPr>
        <w:footnoteReference w:id="9"/>
      </w:r>
      <w:r w:rsidRPr="00B60BC4">
        <w:rPr>
          <w:rFonts w:ascii="Verdana" w:eastAsia="Times New Roman" w:hAnsi="Verdana" w:cs="Arial"/>
          <w:bCs/>
          <w:lang w:val="es-ES"/>
        </w:rPr>
        <w:t xml:space="preserve"> </w:t>
      </w:r>
      <w:r w:rsidRPr="00B60BC4">
        <w:rPr>
          <w:rFonts w:ascii="Verdana" w:eastAsia="Times New Roman" w:hAnsi="Verdana" w:cs="Arial"/>
          <w:bCs/>
          <w:lang w:val="es-ES"/>
        </w:rPr>
        <w:lastRenderedPageBreak/>
        <w:t>y en la ponencia registrada para tercer debate</w:t>
      </w:r>
      <w:r w:rsidRPr="00B60BC4">
        <w:rPr>
          <w:rFonts w:ascii="Verdana" w:eastAsia="Times New Roman" w:hAnsi="Verdana" w:cs="Arial"/>
          <w:vertAlign w:val="superscript"/>
          <w:lang w:val="es-ES"/>
        </w:rPr>
        <w:footnoteReference w:id="10"/>
      </w:r>
      <w:r w:rsidRPr="00B60BC4">
        <w:rPr>
          <w:rFonts w:ascii="Verdana" w:eastAsia="Times New Roman" w:hAnsi="Verdana" w:cs="Arial"/>
          <w:bCs/>
          <w:lang w:val="es-ES"/>
        </w:rPr>
        <w:t>, en donde se estableció que “la supervisión de los contratos ser[ía] ejercida por un funcionario de la misma entidad estatal”. Incluso, la versión que finalmente se aprobó en cuarto debate</w:t>
      </w:r>
      <w:r w:rsidRPr="00B60BC4">
        <w:rPr>
          <w:rFonts w:ascii="Verdana" w:eastAsia="Times New Roman" w:hAnsi="Verdana" w:cs="Arial"/>
          <w:vertAlign w:val="superscript"/>
          <w:lang w:val="es-ES"/>
        </w:rPr>
        <w:footnoteReference w:id="11"/>
      </w:r>
      <w:r w:rsidRPr="00B60BC4">
        <w:rPr>
          <w:rFonts w:ascii="Verdana" w:eastAsia="Times New Roman" w:hAnsi="Verdana" w:cs="Arial"/>
          <w:bCs/>
          <w:lang w:val="es-ES"/>
        </w:rPr>
        <w:t>, que fue acogida por ambas cámaras legislativas</w:t>
      </w:r>
      <w:r w:rsidRPr="00B60BC4">
        <w:rPr>
          <w:rFonts w:ascii="Verdana" w:eastAsia="Times New Roman" w:hAnsi="Verdana" w:cs="Arial"/>
          <w:vertAlign w:val="superscript"/>
          <w:lang w:val="es-ES"/>
        </w:rPr>
        <w:footnoteReference w:id="12"/>
      </w:r>
      <w:r w:rsidRPr="00B60BC4">
        <w:rPr>
          <w:rFonts w:ascii="Verdana" w:eastAsia="Times New Roman" w:hAnsi="Verdana" w:cs="Arial"/>
          <w:bCs/>
          <w:lang w:val="es-ES"/>
        </w:rPr>
        <w:t xml:space="preserve"> luego del correspondiente trámite de conciliación</w:t>
      </w:r>
      <w:r w:rsidRPr="00B60BC4">
        <w:rPr>
          <w:rFonts w:ascii="Verdana" w:eastAsia="Times New Roman" w:hAnsi="Verdana" w:cs="Arial"/>
          <w:vertAlign w:val="superscript"/>
          <w:lang w:val="es-ES"/>
        </w:rPr>
        <w:footnoteReference w:id="13"/>
      </w:r>
      <w:r w:rsidRPr="00B60BC4">
        <w:rPr>
          <w:rFonts w:ascii="Verdana" w:eastAsia="Times New Roman" w:hAnsi="Verdana" w:cs="Arial"/>
          <w:bCs/>
          <w:lang w:val="es-ES"/>
        </w:rPr>
        <w:t>, era del siguiente tenor: “la supervisión consistirá en el seguimiento administrativo, técnico, financiero, contable, y jurídico que sobre el cumplimiento del objeto del contrato es ejercida por la misma entidad estatal […]”. Nótese que el legislador acogió, finalmente, la noción “entidad estatal”, sin hacer referencia a los funcionarios de la entidad o a los contratistas.</w:t>
      </w:r>
    </w:p>
    <w:p w14:paraId="066F537A" w14:textId="77777777" w:rsidR="00B3414C" w:rsidRPr="00B60BC4" w:rsidRDefault="00B3414C" w:rsidP="00B3414C">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t>La expresión “entidad estatal” podría dar a entender que la supervisión puede ser ejercida por funcionarios y contratistas, como inicialmente se presentó en la iniciativa legislativa, en el entendido de que las entidades, por regla general, se apoyan en los unos y los otros para el cumplimiento de sus funciones. Sin embargo, la Sección Tercera del Consejo de Estado</w:t>
      </w:r>
      <w:r w:rsidRPr="00B60BC4">
        <w:rPr>
          <w:rFonts w:ascii="Verdana" w:eastAsia="Times New Roman" w:hAnsi="Verdana" w:cs="Arial"/>
          <w:bCs/>
          <w:vertAlign w:val="superscript"/>
          <w:lang w:val="es-ES"/>
        </w:rPr>
        <w:footnoteReference w:id="14"/>
      </w:r>
      <w:r w:rsidRPr="00B60BC4">
        <w:rPr>
          <w:rFonts w:ascii="Verdana" w:eastAsia="Times New Roman" w:hAnsi="Verdana" w:cs="Arial"/>
          <w:bCs/>
          <w:lang w:val="es-ES"/>
        </w:rPr>
        <w:t>, en providencia del 12 de diciembre de 2014, consideró que la calidad de supervisor la tienen los funcionarios de la entidad estatal y no los contratistas. Esto, en los siguientes términos:</w:t>
      </w:r>
    </w:p>
    <w:p w14:paraId="77E211A2" w14:textId="77777777" w:rsidR="00B3414C" w:rsidRPr="00B60BC4" w:rsidRDefault="00B3414C" w:rsidP="00B3414C">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color w:val="000000"/>
          <w:sz w:val="21"/>
          <w:szCs w:val="21"/>
          <w:lang w:val="es-MX"/>
        </w:rPr>
        <w:t>“</w:t>
      </w:r>
      <w:r w:rsidRPr="00B60BC4">
        <w:rPr>
          <w:rFonts w:ascii="Verdana" w:eastAsia="Times New Roman" w:hAnsi="Verdana" w:cs="Arial"/>
          <w:sz w:val="21"/>
          <w:szCs w:val="21"/>
          <w:lang w:val="es-ES" w:eastAsia="es-MX"/>
        </w:rPr>
        <w:t xml:space="preserve">De entrada,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 </w:t>
      </w:r>
    </w:p>
    <w:p w14:paraId="36CB7B66" w14:textId="77777777" w:rsidR="00B3414C" w:rsidRPr="00B60BC4" w:rsidRDefault="00B3414C" w:rsidP="00B3414C">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w:t>
      </w:r>
    </w:p>
    <w:p w14:paraId="3749C229" w14:textId="77777777" w:rsidR="00B3414C" w:rsidRPr="00B60BC4" w:rsidRDefault="00B3414C" w:rsidP="00B3414C">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lastRenderedPageBreak/>
        <w:t>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198312, al definir las 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interventor se utilizaba indistintamente de la vinculación que este tuviera con la entidad pública. Actualmente, la cuestión se mantiene en similares condiciones, sólo que se considera supervisor al funcionario de la entidad pública que desarrolle la vigilancia de los contratos de esta última, sin perjuicio de que esa labor se pueda apoyar a través de contratos de prestación de servicios, pero no para asumir la supervisión, so pena de variar de una consultoría a otra tipología diferente y, por consiguiente, de eludir procesos de selección. Por su parte, se hablará de interventor cuando se trate de una vigilancia externa o contratada</w:t>
      </w:r>
      <w:r w:rsidRPr="00B60BC4">
        <w:rPr>
          <w:rFonts w:ascii="Verdana" w:eastAsia="Times New Roman" w:hAnsi="Verdana" w:cs="Arial"/>
          <w:sz w:val="21"/>
          <w:szCs w:val="21"/>
          <w:vertAlign w:val="superscript"/>
          <w:lang w:val="es-ES" w:eastAsia="es-MX"/>
        </w:rPr>
        <w:footnoteReference w:id="15"/>
      </w:r>
      <w:r w:rsidRPr="00B60BC4">
        <w:rPr>
          <w:rFonts w:ascii="Verdana" w:eastAsia="Times New Roman" w:hAnsi="Verdana" w:cs="Arial"/>
          <w:sz w:val="21"/>
          <w:szCs w:val="21"/>
          <w:lang w:val="es-ES" w:eastAsia="es-MX"/>
        </w:rPr>
        <w:t>.”</w:t>
      </w:r>
    </w:p>
    <w:p w14:paraId="23AA6B06" w14:textId="77777777" w:rsidR="00B3414C" w:rsidRPr="00B60BC4" w:rsidRDefault="00B3414C" w:rsidP="00B3414C">
      <w:pPr>
        <w:spacing w:after="0" w:line="240" w:lineRule="auto"/>
        <w:ind w:left="1417" w:right="709"/>
        <w:jc w:val="both"/>
        <w:textAlignment w:val="baseline"/>
        <w:rPr>
          <w:rFonts w:ascii="Verdana" w:eastAsia="Times New Roman" w:hAnsi="Verdana" w:cs="Arial"/>
          <w:sz w:val="20"/>
          <w:szCs w:val="20"/>
          <w:lang w:val="es-ES" w:eastAsia="es-MX"/>
        </w:rPr>
      </w:pPr>
    </w:p>
    <w:p w14:paraId="5BD88DA2" w14:textId="77777777" w:rsidR="00B3414C" w:rsidRPr="00B60BC4" w:rsidRDefault="00B3414C" w:rsidP="00B3414C">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shd w:val="clear" w:color="auto" w:fill="FFFFFF"/>
          <w:lang w:val="es-ES"/>
        </w:rPr>
        <w:t xml:space="preserve">En ese mismo sentido, como se expuso previamente, la “Guía para el ejercicio de las funciones de supervisión e interventoría de los contratos suscritos por las Entidades Estatales” de Colombia Compra Eficiente consagró que la supervisión del contrato estatal corresponde al funcionario público de la entidad. Sin embargo, dicha guía reiteró que las Entidades Estatales puedan celebrar contratos de prestación de servicios para apoyar las actividades de supervisión, consignando en ellos las actividades propias del apoyo a la supervisión. Con </w:t>
      </w:r>
      <w:r w:rsidRPr="00B60BC4">
        <w:rPr>
          <w:rFonts w:ascii="Verdana" w:eastAsia="Times New Roman" w:hAnsi="Verdana" w:cs="Arial"/>
          <w:shd w:val="clear" w:color="auto" w:fill="FFFFFF"/>
          <w:lang w:val="es-ES"/>
        </w:rPr>
        <w:lastRenderedPageBreak/>
        <w:t>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 y el respectivo ordenador del gasto de la entidad. Además, la mencionada guía señala que tanto supervisores e interventores tienen la función general de ejercer el control y vigilancia sobre la ejecución contractual de los contratos respecto de los cuales ejercen sus correspondientes obligaciones. Dicha labor debe ir dirigida a verificar el cumplimiento de las condiciones pactadas, por lo que están facultados para solicitar informes, aclaraciones y explicaciones sobre el desarrollo de la ejecución contractual, impartir instrucciones al contratista y hacer recomendaciones encaminadas a lograr la correcta ejecución del objeto contratado.</w:t>
      </w:r>
    </w:p>
    <w:p w14:paraId="1DBE727F" w14:textId="77777777" w:rsidR="00B3414C" w:rsidRPr="00B60BC4" w:rsidRDefault="00B3414C" w:rsidP="00B3414C">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shd w:val="clear" w:color="auto" w:fill="FFFFFF"/>
          <w:lang w:val="es-ES"/>
        </w:rPr>
        <w:t>Por tanto, el ejercicio de la vigilancia de la ejecución del contrato estatal conlleva la tarea de velar por el cumplimiento de los plazos, calidades, cantidades y adecuada ejecución de los recursos del contrato. Debido a esto, es a los supervisores y/o interventores a quienes corresponde, en primera medida, verificar las entregas de bienes, obras o servicios realizadas por el contratista, determinando si las mismas se ajustan a las condiciones pactadas. Tales actividades propias de la custodia a la debida ejecución de los contratos estatales también implican el deber de supervisores e interventores de concurrir a la suscripción de documentos como actas parciales de avance, actas parciales de recibo y actas de recibo final.</w:t>
      </w:r>
    </w:p>
    <w:p w14:paraId="2E3B222B" w14:textId="77777777" w:rsidR="00B3414C" w:rsidRPr="00B60BC4" w:rsidRDefault="00B3414C" w:rsidP="00B3414C">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shd w:val="clear" w:color="auto" w:fill="FFFFFF"/>
          <w:lang w:val="es-ES"/>
        </w:rPr>
        <w:t>En ese sentido, puede colegirse que la supervisión es uno de los medios para que las entidades ejerzan la dirección, control y vigilancia de sus contratos, con el fin de lograr el objeto contractual. Por consiguiente, el supervisor, de acuerdo con lo señalado en la Ley 80 de 1993, tiene la obligación de desarrollar las actividades que impliquen la vigilancia y seguimiento del cumplimiento de los contratos, función que puede ser asignada a un empleado público siempre que se ajusten a las fijadas para el cargo.</w:t>
      </w:r>
    </w:p>
    <w:p w14:paraId="2D9A8FA8" w14:textId="77777777" w:rsidR="00B3414C" w:rsidRPr="00B60BC4" w:rsidRDefault="00B3414C" w:rsidP="00B3414C">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color w:val="000000"/>
          <w:lang w:val="es-ES_tradnl" w:eastAsia="es-ES_tradnl"/>
        </w:rPr>
        <w:lastRenderedPageBreak/>
        <w:t>Adicionalmente, debe precisarse que esta Agencia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 que se encuentra disponible para su consulta en el siguiente enlace:</w:t>
      </w:r>
      <w:r w:rsidRPr="00B60BC4">
        <w:rPr>
          <w:rFonts w:ascii="Verdana" w:eastAsia="Times New Roman" w:hAnsi="Verdana" w:cs="Arial"/>
          <w:shd w:val="clear" w:color="auto" w:fill="FFFFFF"/>
          <w:lang w:val="es-ES"/>
        </w:rPr>
        <w:t xml:space="preserve"> </w:t>
      </w:r>
      <w:hyperlink r:id="rId11" w:history="1">
        <w:r w:rsidRPr="00B60BC4">
          <w:rPr>
            <w:rFonts w:ascii="Verdana" w:eastAsia="Times New Roman" w:hAnsi="Verdana" w:cs="Arial"/>
            <w:color w:val="0563C1" w:themeColor="hyperlink"/>
            <w:u w:val="single"/>
            <w:lang w:val="es-ES_tradnl" w:eastAsia="es-ES_tradnl"/>
          </w:rPr>
          <w:t>https://www.colombiacompra.gov.co/sites/cce_public/files/cce_documents/cce_guia_para_el_ejercicio_de_las_funciones_de_supervision_e_interventoria_de_los_contratos_del_estado.pdf</w:t>
        </w:r>
      </w:hyperlink>
      <w:r w:rsidRPr="00B60BC4">
        <w:rPr>
          <w:rFonts w:ascii="Verdana" w:eastAsia="Times New Roman" w:hAnsi="Verdana" w:cs="Arial"/>
          <w:color w:val="000000"/>
          <w:lang w:val="es-ES_tradnl" w:eastAsia="es-ES_tradnl"/>
        </w:rPr>
        <w:t xml:space="preserve"> </w:t>
      </w:r>
    </w:p>
    <w:p w14:paraId="1D85F72D" w14:textId="77777777" w:rsidR="00B3414C" w:rsidRPr="00B60BC4" w:rsidRDefault="00B3414C" w:rsidP="00B3414C">
      <w:pPr>
        <w:spacing w:after="120" w:line="276" w:lineRule="auto"/>
        <w:ind w:firstLine="709"/>
        <w:jc w:val="both"/>
        <w:rPr>
          <w:rFonts w:ascii="Verdana" w:hAnsi="Verdana" w:cs="Arial"/>
          <w:color w:val="000000"/>
        </w:rPr>
      </w:pPr>
      <w:r w:rsidRPr="00B60BC4">
        <w:rPr>
          <w:rFonts w:ascii="Verdana" w:hAnsi="Verdana" w:cs="Arial"/>
          <w:color w:val="000000"/>
        </w:rPr>
        <w:t>Con sustento en lo anterior, es importante precisar que, la normativa colombiana, particularmente la Ley 80 de 1993, las Leyes 1150 de 2007 y 1474 de 2011, establece que las entidades estatales son responsables de garantizar 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w:t>
      </w:r>
    </w:p>
    <w:p w14:paraId="37683657" w14:textId="77777777" w:rsidR="00B3414C" w:rsidRPr="00B60BC4" w:rsidRDefault="00B3414C" w:rsidP="00B3414C">
      <w:pPr>
        <w:widowControl w:val="0"/>
        <w:autoSpaceDE w:val="0"/>
        <w:autoSpaceDN w:val="0"/>
        <w:spacing w:after="0" w:line="276" w:lineRule="auto"/>
        <w:jc w:val="both"/>
        <w:rPr>
          <w:rFonts w:ascii="Verdana" w:hAnsi="Verdana" w:cs="Arial"/>
        </w:rPr>
      </w:pPr>
    </w:p>
    <w:p w14:paraId="33F97BE7" w14:textId="77777777" w:rsidR="00B3414C" w:rsidRPr="00B60BC4" w:rsidRDefault="00B3414C" w:rsidP="00B3414C">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B60BC4">
        <w:rPr>
          <w:rFonts w:ascii="Verdana" w:eastAsia="Century Gothic" w:hAnsi="Verdana" w:cs="Century Gothic"/>
          <w:b/>
          <w:bCs/>
          <w:lang w:val="es-ES"/>
        </w:rPr>
        <w:t>Referencias normativas, jurisprudenciales y otras fuentes:</w:t>
      </w:r>
    </w:p>
    <w:p w14:paraId="05130DA9" w14:textId="77777777" w:rsidR="00B3414C" w:rsidRPr="00B60BC4" w:rsidRDefault="00B3414C" w:rsidP="00B3414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3414C" w:rsidRPr="00B60BC4" w14:paraId="5DB0DDE6" w14:textId="77777777" w:rsidTr="00AB57FF">
        <w:trPr>
          <w:trHeight w:val="650"/>
        </w:trPr>
        <w:tc>
          <w:tcPr>
            <w:tcW w:w="8647" w:type="dxa"/>
          </w:tcPr>
          <w:p w14:paraId="46FFBD79" w14:textId="77777777" w:rsidR="00B3414C" w:rsidRPr="00B60BC4" w:rsidRDefault="00B3414C" w:rsidP="00AB57FF">
            <w:pPr>
              <w:widowControl w:val="0"/>
              <w:numPr>
                <w:ilvl w:val="0"/>
                <w:numId w:val="17"/>
              </w:numPr>
              <w:autoSpaceDE w:val="0"/>
              <w:autoSpaceDN w:val="0"/>
              <w:spacing w:after="120" w:line="276" w:lineRule="auto"/>
              <w:contextualSpacing/>
              <w:jc w:val="both"/>
              <w:rPr>
                <w:rFonts w:ascii="Verdana" w:hAnsi="Verdana" w:cs="Arial"/>
                <w:color w:val="000000" w:themeColor="text1"/>
              </w:rPr>
            </w:pPr>
            <w:r w:rsidRPr="00B60BC4">
              <w:rPr>
                <w:rFonts w:ascii="Verdana" w:hAnsi="Verdana" w:cs="Arial"/>
                <w:color w:val="000000" w:themeColor="text1"/>
              </w:rPr>
              <w:t>Ley 80 de 1993. Artículos 4, 5, 12, 14 y 26</w:t>
            </w:r>
          </w:p>
          <w:p w14:paraId="5C14A3D2" w14:textId="77777777" w:rsidR="00B3414C" w:rsidRPr="00B60BC4" w:rsidRDefault="00B3414C" w:rsidP="00AB57FF">
            <w:pPr>
              <w:widowControl w:val="0"/>
              <w:numPr>
                <w:ilvl w:val="0"/>
                <w:numId w:val="17"/>
              </w:numPr>
              <w:autoSpaceDE w:val="0"/>
              <w:autoSpaceDN w:val="0"/>
              <w:spacing w:after="120" w:line="276" w:lineRule="auto"/>
              <w:contextualSpacing/>
              <w:jc w:val="both"/>
              <w:rPr>
                <w:rFonts w:ascii="Verdana" w:hAnsi="Verdana" w:cs="Arial"/>
                <w:color w:val="000000" w:themeColor="text1"/>
              </w:rPr>
            </w:pPr>
            <w:r w:rsidRPr="00B60BC4">
              <w:rPr>
                <w:rFonts w:ascii="Verdana" w:hAnsi="Verdana" w:cs="Arial"/>
                <w:color w:val="000000" w:themeColor="text1"/>
              </w:rPr>
              <w:t>Ley 1150 de 2007. Artículos 17 y 21</w:t>
            </w:r>
          </w:p>
          <w:p w14:paraId="1EDD9977" w14:textId="77777777" w:rsidR="00B3414C" w:rsidRPr="00B60BC4" w:rsidRDefault="00B3414C" w:rsidP="00AB57FF">
            <w:pPr>
              <w:widowControl w:val="0"/>
              <w:numPr>
                <w:ilvl w:val="0"/>
                <w:numId w:val="17"/>
              </w:numPr>
              <w:autoSpaceDE w:val="0"/>
              <w:autoSpaceDN w:val="0"/>
              <w:spacing w:after="120" w:line="276" w:lineRule="auto"/>
              <w:contextualSpacing/>
              <w:jc w:val="both"/>
              <w:rPr>
                <w:rFonts w:ascii="Verdana" w:hAnsi="Verdana" w:cs="Arial"/>
                <w:color w:val="000000" w:themeColor="text1"/>
              </w:rPr>
            </w:pPr>
            <w:r w:rsidRPr="00B60BC4">
              <w:rPr>
                <w:rFonts w:ascii="Verdana" w:hAnsi="Verdana" w:cs="Arial"/>
                <w:color w:val="000000" w:themeColor="text1"/>
              </w:rPr>
              <w:t>Ley 1474 de 2011. Artículos 83</w:t>
            </w:r>
          </w:p>
          <w:p w14:paraId="36552C78" w14:textId="77777777" w:rsidR="00B3414C" w:rsidRPr="00B60BC4" w:rsidRDefault="00B3414C" w:rsidP="00AB57FF">
            <w:pPr>
              <w:widowControl w:val="0"/>
              <w:numPr>
                <w:ilvl w:val="0"/>
                <w:numId w:val="17"/>
              </w:numPr>
              <w:autoSpaceDE w:val="0"/>
              <w:autoSpaceDN w:val="0"/>
              <w:spacing w:line="276" w:lineRule="auto"/>
              <w:contextualSpacing/>
              <w:jc w:val="both"/>
              <w:rPr>
                <w:rFonts w:ascii="Verdana" w:hAnsi="Verdana" w:cs="Arial"/>
                <w:color w:val="000000" w:themeColor="text1"/>
              </w:rPr>
            </w:pPr>
            <w:r w:rsidRPr="00B60BC4">
              <w:rPr>
                <w:rFonts w:ascii="Verdana" w:hAnsi="Verdana" w:cs="Arial"/>
                <w:color w:val="000000" w:themeColor="text1"/>
              </w:rPr>
              <w:t xml:space="preserve">Colombia Compra Eficiente, Guía para el ejercicio de las funciones de Supervisión e Interventoría de los contratos del Estado, disponible </w:t>
            </w:r>
            <w:hyperlink r:id="rId12" w:history="1">
              <w:r w:rsidRPr="00B60BC4">
                <w:rPr>
                  <w:rFonts w:ascii="Verdana" w:hAnsi="Verdana" w:cs="Arial"/>
                  <w:color w:val="0563C1" w:themeColor="hyperlink"/>
                  <w:u w:val="single"/>
                </w:rPr>
                <w:t>aquí</w:t>
              </w:r>
            </w:hyperlink>
          </w:p>
          <w:p w14:paraId="7C97C0F2" w14:textId="77777777" w:rsidR="00B3414C" w:rsidRPr="00B60BC4" w:rsidRDefault="00B3414C" w:rsidP="00AB57FF">
            <w:pPr>
              <w:widowControl w:val="0"/>
              <w:numPr>
                <w:ilvl w:val="0"/>
                <w:numId w:val="17"/>
              </w:numPr>
              <w:autoSpaceDE w:val="0"/>
              <w:autoSpaceDN w:val="0"/>
              <w:spacing w:after="120" w:line="276" w:lineRule="auto"/>
              <w:jc w:val="both"/>
              <w:rPr>
                <w:rFonts w:ascii="Verdana" w:hAnsi="Verdana" w:cs="Arial"/>
                <w:color w:val="000000" w:themeColor="text1"/>
              </w:rPr>
            </w:pPr>
            <w:r w:rsidRPr="00B60BC4">
              <w:rPr>
                <w:rFonts w:ascii="Verdana" w:hAnsi="Verdana" w:cs="Arial"/>
                <w:color w:val="000000" w:themeColor="text1"/>
              </w:rPr>
              <w:t>Consejo de Estado, Sección Tercera, Subsección C. Sentencia de unificación jurisprudencial de 2 de diciembre de 2013. Radicado No. 41719. C.P. Jaime Orlando Santofimio Gamboa.</w:t>
            </w:r>
          </w:p>
          <w:p w14:paraId="64D1FD72" w14:textId="77777777" w:rsidR="00B3414C" w:rsidRPr="00B60BC4" w:rsidRDefault="00B3414C" w:rsidP="00AB57FF">
            <w:pPr>
              <w:widowControl w:val="0"/>
              <w:numPr>
                <w:ilvl w:val="0"/>
                <w:numId w:val="17"/>
              </w:numPr>
              <w:autoSpaceDE w:val="0"/>
              <w:autoSpaceDN w:val="0"/>
              <w:spacing w:after="120" w:line="276" w:lineRule="auto"/>
              <w:jc w:val="both"/>
              <w:rPr>
                <w:rFonts w:ascii="Verdana" w:hAnsi="Verdana" w:cs="Arial"/>
                <w:color w:val="000000" w:themeColor="text1"/>
              </w:rPr>
            </w:pPr>
            <w:r w:rsidRPr="00B60BC4">
              <w:rPr>
                <w:rFonts w:ascii="Verdana" w:hAnsi="Verdana" w:cs="Arial"/>
                <w:color w:val="000000" w:themeColor="text1"/>
              </w:rPr>
              <w:t>Consejo de Estado. Sección 3ª. Sentencia del 27 de noviembre de 2017. M.P. Jaime Orlando Santofimio. Exp. 51.802.</w:t>
            </w:r>
          </w:p>
          <w:p w14:paraId="66F4F03A" w14:textId="77777777" w:rsidR="00B3414C" w:rsidRPr="00B60BC4" w:rsidRDefault="00B3414C" w:rsidP="00AB57FF">
            <w:pPr>
              <w:widowControl w:val="0"/>
              <w:numPr>
                <w:ilvl w:val="0"/>
                <w:numId w:val="17"/>
              </w:numPr>
              <w:autoSpaceDE w:val="0"/>
              <w:autoSpaceDN w:val="0"/>
              <w:spacing w:after="120" w:line="276" w:lineRule="auto"/>
              <w:jc w:val="both"/>
              <w:rPr>
                <w:rFonts w:ascii="Verdana" w:hAnsi="Verdana" w:cs="Arial"/>
                <w:color w:val="000000" w:themeColor="text1"/>
              </w:rPr>
            </w:pPr>
            <w:r w:rsidRPr="00B60BC4">
              <w:rPr>
                <w:rFonts w:ascii="Verdana" w:hAnsi="Verdana" w:cs="Arial"/>
                <w:color w:val="000000" w:themeColor="text1"/>
              </w:rPr>
              <w:t>Consejo de Estado. Sección 1ª. Sentencia del 31 de julio de 2014. M.P. Guillermo Vargas Ayala. Radicación número: 25000-23-41-000-2012-00338-01.</w:t>
            </w:r>
          </w:p>
        </w:tc>
      </w:tr>
    </w:tbl>
    <w:p w14:paraId="653DB1EB" w14:textId="77777777" w:rsidR="00B3414C" w:rsidRPr="00B60BC4" w:rsidRDefault="00B3414C" w:rsidP="00B3414C">
      <w:pPr>
        <w:widowControl w:val="0"/>
        <w:autoSpaceDE w:val="0"/>
        <w:autoSpaceDN w:val="0"/>
        <w:spacing w:after="0" w:line="276" w:lineRule="auto"/>
        <w:jc w:val="both"/>
        <w:rPr>
          <w:rFonts w:ascii="Verdana" w:hAnsi="Verdana" w:cs="Arial"/>
        </w:rPr>
      </w:pPr>
    </w:p>
    <w:p w14:paraId="0ADF7DC2" w14:textId="77777777" w:rsidR="00B3414C" w:rsidRPr="00B60BC4" w:rsidRDefault="00B3414C" w:rsidP="00B3414C">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B60BC4">
        <w:rPr>
          <w:rFonts w:ascii="Verdana" w:eastAsia="Century Gothic" w:hAnsi="Verdana" w:cs="Century Gothic"/>
          <w:b/>
          <w:bCs/>
          <w:lang w:val="es-ES"/>
        </w:rPr>
        <w:lastRenderedPageBreak/>
        <w:t>Doctrina de la Agencia Nacional de Contratación Pública:</w:t>
      </w:r>
    </w:p>
    <w:p w14:paraId="3AE838D8" w14:textId="77777777" w:rsidR="00B3414C" w:rsidRPr="00B60BC4" w:rsidRDefault="00B3414C" w:rsidP="00B3414C">
      <w:pPr>
        <w:widowControl w:val="0"/>
        <w:autoSpaceDE w:val="0"/>
        <w:autoSpaceDN w:val="0"/>
        <w:spacing w:after="0" w:line="276" w:lineRule="auto"/>
        <w:jc w:val="both"/>
        <w:rPr>
          <w:rFonts w:ascii="Verdana" w:hAnsi="Verdana" w:cs="Arial"/>
        </w:rPr>
      </w:pPr>
    </w:p>
    <w:p w14:paraId="79D9873D" w14:textId="77777777" w:rsidR="00B3414C" w:rsidRPr="00B60BC4" w:rsidRDefault="00B3414C" w:rsidP="00B3414C">
      <w:pPr>
        <w:widowControl w:val="0"/>
        <w:autoSpaceDE w:val="0"/>
        <w:autoSpaceDN w:val="0"/>
        <w:spacing w:after="0" w:line="276" w:lineRule="auto"/>
        <w:jc w:val="both"/>
        <w:rPr>
          <w:rFonts w:ascii="Verdana" w:hAnsi="Verdana" w:cs="Arial"/>
          <w:shd w:val="clear" w:color="auto" w:fill="FFFFFF"/>
          <w:lang w:val="es-ES"/>
        </w:rPr>
      </w:pPr>
      <w:r w:rsidRPr="00B60BC4">
        <w:rPr>
          <w:rFonts w:ascii="Verdana" w:eastAsia="Calibri" w:hAnsi="Verdana" w:cs="Arial"/>
          <w:lang w:val="es-ES_tradnl" w:eastAsia="es-ES_tradnl"/>
        </w:rPr>
        <w:t>Sobre la obligación de controlar y vigilar la ejecución de los contratos estatales, esta Subdirección se ha referido en los Conceptos 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2024,C-600 del 7 de octubre de 2024, C-972 de 22 de enero de 2025</w:t>
      </w:r>
      <w:r>
        <w:rPr>
          <w:rFonts w:ascii="Verdana" w:eastAsia="Calibri" w:hAnsi="Verdana" w:cs="Arial"/>
          <w:lang w:val="es-ES_tradnl" w:eastAsia="es-ES_tradnl"/>
        </w:rPr>
        <w:t xml:space="preserve">, </w:t>
      </w:r>
      <w:r w:rsidRPr="00B60BC4">
        <w:rPr>
          <w:rFonts w:ascii="Verdana" w:eastAsia="Calibri" w:hAnsi="Verdana" w:cs="Arial"/>
          <w:lang w:val="es-ES_tradnl" w:eastAsia="es-ES_tradnl"/>
        </w:rPr>
        <w:t xml:space="preserve">C-091 del 13 de febrero de 2025, </w:t>
      </w:r>
      <w:r w:rsidRPr="00047917">
        <w:rPr>
          <w:rFonts w:ascii="Verdana" w:eastAsia="Calibri" w:hAnsi="Verdana" w:cs="Arial"/>
          <w:lang w:val="es-ES_tradnl" w:eastAsia="es-ES_tradnl"/>
        </w:rPr>
        <w:t>C-1791 de</w:t>
      </w:r>
      <w:r>
        <w:rPr>
          <w:rFonts w:ascii="Verdana" w:eastAsia="Calibri" w:hAnsi="Verdana" w:cs="Arial"/>
          <w:lang w:val="es-ES_tradnl" w:eastAsia="es-ES_tradnl"/>
        </w:rPr>
        <w:t xml:space="preserve">l 29 de diciembre de </w:t>
      </w:r>
      <w:r w:rsidRPr="00047917">
        <w:rPr>
          <w:rFonts w:ascii="Verdana" w:eastAsia="Calibri" w:hAnsi="Verdana" w:cs="Arial"/>
          <w:lang w:val="es-ES_tradnl" w:eastAsia="es-ES_tradnl"/>
        </w:rPr>
        <w:t>2025</w:t>
      </w:r>
      <w:r>
        <w:rPr>
          <w:rFonts w:ascii="Verdana" w:eastAsia="Calibri" w:hAnsi="Verdana" w:cs="Arial"/>
          <w:lang w:val="es-ES_tradnl" w:eastAsia="es-ES_tradnl"/>
        </w:rPr>
        <w:t xml:space="preserve">, </w:t>
      </w:r>
      <w:r w:rsidRPr="00C333C8">
        <w:rPr>
          <w:rFonts w:ascii="Verdana" w:eastAsia="Calibri" w:hAnsi="Verdana" w:cs="Arial"/>
          <w:lang w:val="es-ES_tradnl" w:eastAsia="es-ES_tradnl"/>
        </w:rPr>
        <w:t>C-1341 de</w:t>
      </w:r>
      <w:r>
        <w:rPr>
          <w:rFonts w:ascii="Verdana" w:eastAsia="Calibri" w:hAnsi="Verdana" w:cs="Arial"/>
          <w:lang w:val="es-ES_tradnl" w:eastAsia="es-ES_tradnl"/>
        </w:rPr>
        <w:t>l 2 de octubre de</w:t>
      </w:r>
      <w:r w:rsidRPr="00C333C8">
        <w:rPr>
          <w:rFonts w:ascii="Verdana" w:eastAsia="Calibri" w:hAnsi="Verdana" w:cs="Arial"/>
          <w:lang w:val="es-ES_tradnl" w:eastAsia="es-ES_tradnl"/>
        </w:rPr>
        <w:t xml:space="preserve"> 2026</w:t>
      </w:r>
      <w:r>
        <w:rPr>
          <w:rFonts w:ascii="Verdana" w:eastAsia="Calibri" w:hAnsi="Verdana" w:cs="Arial"/>
          <w:lang w:val="es-ES_tradnl" w:eastAsia="es-ES_tradnl"/>
        </w:rPr>
        <w:t xml:space="preserve">, </w:t>
      </w:r>
      <w:r w:rsidRPr="00B60BC4">
        <w:rPr>
          <w:rFonts w:ascii="Verdana" w:eastAsia="Calibri" w:hAnsi="Verdana" w:cs="Arial"/>
          <w:lang w:val="es-ES_tradnl" w:eastAsia="es-ES_tradnl"/>
        </w:rPr>
        <w:t>entre otros</w:t>
      </w:r>
      <w:r w:rsidRPr="00B60BC4">
        <w:rPr>
          <w:rFonts w:ascii="Verdana" w:hAnsi="Verdana" w:cs="Arial"/>
          <w:shd w:val="clear" w:color="auto" w:fill="FFFFFF"/>
          <w:lang w:val="es-ES"/>
        </w:rPr>
        <w:t>. Es</w:t>
      </w:r>
      <w:r w:rsidRPr="00B60BC4">
        <w:rPr>
          <w:rFonts w:ascii="Verdana" w:hAnsi="Verdana"/>
        </w:rPr>
        <w:t>tos y otros conceptos se encuentran disponibles para consulta en el Sistema de relatoría de la Agencia, al cual se puede acceder a través del siguiente enlace:</w:t>
      </w:r>
      <w:r w:rsidRPr="00B60BC4">
        <w:rPr>
          <w:rFonts w:ascii="Verdana" w:hAnsi="Verdana" w:cs="Arial"/>
          <w:shd w:val="clear" w:color="auto" w:fill="FFFFFF"/>
          <w:lang w:val="es-ES"/>
        </w:rPr>
        <w:t xml:space="preserve"> </w:t>
      </w:r>
      <w:hyperlink r:id="rId13" w:history="1">
        <w:r w:rsidRPr="00B60BC4">
          <w:rPr>
            <w:rFonts w:ascii="Verdana" w:hAnsi="Verdana" w:cs="Arial"/>
            <w:u w:val="single"/>
            <w:shd w:val="clear" w:color="auto" w:fill="FFFFFF"/>
            <w:lang w:val="es-ES"/>
          </w:rPr>
          <w:t>https://relatoria.colombiacompra.gov.co/busqueda/conceptos</w:t>
        </w:r>
      </w:hyperlink>
    </w:p>
    <w:p w14:paraId="29262805" w14:textId="77777777" w:rsidR="00B3414C" w:rsidRDefault="00B3414C" w:rsidP="00B3414C">
      <w:pPr>
        <w:widowControl w:val="0"/>
        <w:autoSpaceDE w:val="0"/>
        <w:autoSpaceDN w:val="0"/>
        <w:spacing w:after="0" w:line="276" w:lineRule="auto"/>
        <w:jc w:val="both"/>
        <w:rPr>
          <w:rFonts w:ascii="Verdana" w:hAnsi="Verdana" w:cs="Arial"/>
          <w:shd w:val="clear" w:color="auto" w:fill="FFFFFF"/>
          <w:lang w:val="es-ES"/>
        </w:rPr>
      </w:pPr>
    </w:p>
    <w:p w14:paraId="37DA2135" w14:textId="77777777" w:rsidR="00B3414C" w:rsidRPr="004C3DAC" w:rsidRDefault="00B3414C" w:rsidP="00B3414C">
      <w:pPr>
        <w:spacing w:line="254" w:lineRule="auto"/>
        <w:jc w:val="both"/>
        <w:rPr>
          <w:rFonts w:ascii="Verdana" w:eastAsia="Calibri" w:hAnsi="Verdana" w:cs="Times New Roman"/>
        </w:rPr>
      </w:pPr>
      <w:r w:rsidRPr="004C3DAC">
        <w:rPr>
          <w:rFonts w:ascii="Verdana" w:eastAsia="Calibri" w:hAnsi="Verdana" w:cs="Times New Roman"/>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4C3DAC">
        <w:rPr>
          <w:rFonts w:ascii="Verdana" w:eastAsia="Calibri" w:hAnsi="Verdana" w:cs="Times New Roman"/>
          <w:b/>
          <w:bCs/>
        </w:rPr>
        <w:t>Guía para la Exigencia y Constitución de Garantías en los Procesos de Contratación</w:t>
      </w:r>
      <w:r w:rsidRPr="004C3DAC">
        <w:rPr>
          <w:rFonts w:ascii="Verdana" w:eastAsia="Calibri" w:hAnsi="Verdana" w:cs="Times New Roman"/>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Dirección URL original: https://www.colombiacompra.gov.co/archivos/manual/guia-de-garantias-en-procesos-de-contratacion. Haga clic o pulse si confía en este vínculo." w:history="1">
        <w:r w:rsidRPr="004C3DAC">
          <w:rPr>
            <w:rFonts w:ascii="Verdana" w:eastAsia="Calibri" w:hAnsi="Verdana" w:cs="Times New Roman"/>
            <w:color w:val="0000FF"/>
            <w:u w:val="single"/>
          </w:rPr>
          <w:t>https://www.colombiacompra.gov.co/archivos/manual/guia-de-garantias-en-procesos-de-contratacion</w:t>
        </w:r>
      </w:hyperlink>
    </w:p>
    <w:p w14:paraId="4638BC7B" w14:textId="77777777" w:rsidR="00B3414C" w:rsidRPr="004C3DAC" w:rsidRDefault="00B3414C" w:rsidP="00B3414C">
      <w:pPr>
        <w:spacing w:line="254" w:lineRule="auto"/>
        <w:jc w:val="both"/>
        <w:rPr>
          <w:rFonts w:ascii="Verdana" w:eastAsia="Calibri" w:hAnsi="Verdana" w:cs="Times New Roman"/>
        </w:rPr>
      </w:pPr>
      <w:r w:rsidRPr="004C3DAC">
        <w:rPr>
          <w:rFonts w:ascii="Verdana" w:eastAsia="Calibri" w:hAnsi="Verdana" w:cs="Times New Roman"/>
        </w:rPr>
        <w:t>De otro lado, te contamos que el Decreto 287 del 19 de marzo de 2026 sustituyó los artículos 2.2.1.2.4.2.6., 2.2.1.2.4.2.7. y 2.2.1.2.4.2.8. del Decreto 1082 de 2015 y estructuró el </w:t>
      </w:r>
      <w:r w:rsidRPr="004C3DAC">
        <w:rPr>
          <w:rFonts w:ascii="Verdana" w:eastAsia="Calibri" w:hAnsi="Verdana" w:cs="Times New Roman"/>
          <w:b/>
          <w:bCs/>
        </w:rPr>
        <w:t>Sistema Integral de Preferencias en favor de las personas con discapacidad</w:t>
      </w:r>
      <w:r w:rsidRPr="004C3DAC">
        <w:rPr>
          <w:rFonts w:ascii="Verdana" w:eastAsia="Calibri" w:hAnsi="Verdana" w:cs="Times New Roman"/>
        </w:rPr>
        <w:t xml:space="preserve">, en cumplimiento del artículo 13 de la Ley </w:t>
      </w:r>
      <w:r w:rsidRPr="004C3DAC">
        <w:rPr>
          <w:rFonts w:ascii="Verdana" w:eastAsia="Calibri" w:hAnsi="Verdana" w:cs="Times New Roman"/>
        </w:rPr>
        <w:lastRenderedPageBreak/>
        <w:t>Estatutaria 1618 de 2013. Para orientar su aplicación, esta Agencia expidió la </w:t>
      </w:r>
      <w:r w:rsidRPr="004C3DAC">
        <w:rPr>
          <w:rFonts w:ascii="Verdana" w:eastAsia="Calibri" w:hAnsi="Verdana" w:cs="Times New Roman"/>
          <w:b/>
          <w:bCs/>
        </w:rPr>
        <w:t>Circular Externa 003 del 12 de mayo de 2026, </w:t>
      </w:r>
      <w:r w:rsidRPr="004C3DAC">
        <w:rPr>
          <w:rFonts w:ascii="Verdana" w:eastAsia="Calibri" w:hAnsi="Verdana" w:cs="Times New Roman"/>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Dirección URL original: https://www.colombiacompra.gov.co/archivos/circular/circular-externa-003-de-2026. Haga clic o pulse si confía en este vínculo." w:history="1">
        <w:r w:rsidRPr="004C3DAC">
          <w:rPr>
            <w:rFonts w:ascii="Verdana" w:eastAsia="Calibri" w:hAnsi="Verdana" w:cs="Times New Roman"/>
            <w:color w:val="0000FF"/>
            <w:u w:val="single"/>
          </w:rPr>
          <w:t>https://www.colombiacompra.gov.co/archivos/circular/circular-externa-003-de-2026</w:t>
        </w:r>
      </w:hyperlink>
    </w:p>
    <w:p w14:paraId="09A38671" w14:textId="77777777" w:rsidR="00B3414C" w:rsidRPr="004C3DAC" w:rsidRDefault="00B3414C" w:rsidP="00B3414C">
      <w:pPr>
        <w:spacing w:line="254" w:lineRule="auto"/>
        <w:jc w:val="both"/>
        <w:rPr>
          <w:rFonts w:ascii="Verdana" w:eastAsia="Calibri" w:hAnsi="Verdana" w:cs="Times New Roman"/>
        </w:rPr>
      </w:pPr>
      <w:r w:rsidRPr="004C3DAC">
        <w:rPr>
          <w:rFonts w:ascii="Verdana" w:eastAsia="Calibri" w:hAnsi="Verdana" w:cs="Times New Roman"/>
        </w:rPr>
        <w:t>Recuerda también que la</w:t>
      </w:r>
      <w:r w:rsidRPr="004C3DAC">
        <w:rPr>
          <w:rFonts w:ascii="Verdana" w:eastAsia="Calibri" w:hAnsi="Verdana" w:cs="Times New Roman"/>
          <w:b/>
          <w:bCs/>
        </w:rPr>
        <w:t> información sobre sanciones e inhabilidades </w:t>
      </w:r>
      <w:r w:rsidRPr="004C3DAC">
        <w:rPr>
          <w:rFonts w:ascii="Verdana" w:eastAsia="Calibri" w:hAnsi="Verdana" w:cs="Times New Roman"/>
        </w:rPr>
        <w:t>solo cumple su función preventiva si llega oportunamente a los registros públicos. Sobre este deber, esta Agencia expidió la </w:t>
      </w:r>
      <w:r w:rsidRPr="004C3DAC">
        <w:rPr>
          <w:rFonts w:ascii="Verdana" w:eastAsia="Calibri" w:hAnsi="Verdana" w:cs="Times New Roman"/>
          <w:b/>
          <w:bCs/>
        </w:rPr>
        <w:t>Circular Externa 002 del 5 de mayo de 2026,</w:t>
      </w:r>
      <w:r w:rsidRPr="004C3DAC">
        <w:rPr>
          <w:rFonts w:ascii="Verdana" w:eastAsia="Calibri" w:hAnsi="Verdana" w:cs="Times New Roman"/>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4C3DAC">
          <w:rPr>
            <w:rFonts w:ascii="Verdana" w:eastAsia="Calibri" w:hAnsi="Verdana" w:cs="Times New Roman"/>
            <w:color w:val="0000FF"/>
            <w:u w:val="single"/>
          </w:rPr>
          <w:t>https://www.colombiacompra.gov.co/archivos/circular/circular-externa-002-de-2026</w:t>
        </w:r>
      </w:hyperlink>
    </w:p>
    <w:p w14:paraId="616942AA" w14:textId="77777777" w:rsidR="00B3414C" w:rsidRPr="004C3DAC" w:rsidRDefault="00B3414C" w:rsidP="00B3414C">
      <w:pPr>
        <w:spacing w:line="254" w:lineRule="auto"/>
        <w:jc w:val="both"/>
        <w:rPr>
          <w:rFonts w:ascii="Verdana" w:eastAsia="Calibri" w:hAnsi="Verdana" w:cs="Times New Roman"/>
        </w:rPr>
      </w:pPr>
      <w:r w:rsidRPr="004C3DAC">
        <w:rPr>
          <w:rFonts w:ascii="Verdana" w:eastAsia="Calibri" w:hAnsi="Verdana" w:cs="Times New Roman"/>
        </w:rPr>
        <w:t>Finalmente, si quieres seguir de cerca la actividad de la Agencia, la tercera edición de 2026 del</w:t>
      </w:r>
      <w:r w:rsidRPr="004C3DAC">
        <w:rPr>
          <w:rFonts w:ascii="Verdana" w:eastAsia="Calibri" w:hAnsi="Verdana" w:cs="Times New Roman"/>
          <w:b/>
          <w:bCs/>
        </w:rPr>
        <w:t> Radar de la Compra Pública</w:t>
      </w:r>
      <w:r w:rsidRPr="004C3DAC">
        <w:rPr>
          <w:rFonts w:ascii="Verdana" w:eastAsia="Calibri" w:hAnsi="Verdana" w:cs="Times New Roman"/>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Dirección URL original: https://www.colombiacompra.gov.co/archivos/boletin/boletin-edicion-n-3-de-2026-radar-de-la-compra-publica. Haga clic o pulse si confía en este vínculo." w:history="1">
        <w:r w:rsidRPr="004C3DAC">
          <w:rPr>
            <w:rFonts w:ascii="Verdana" w:eastAsia="Calibri" w:hAnsi="Verdana" w:cs="Times New Roman"/>
            <w:color w:val="0000FF"/>
            <w:u w:val="single"/>
          </w:rPr>
          <w:t>https://www.colombiacompra.gov.co/archivos/boletin/boletin-edicion-n-3-de-2026-radar-de-la-compra-publica</w:t>
        </w:r>
      </w:hyperlink>
    </w:p>
    <w:p w14:paraId="1E2F54A4" w14:textId="77777777" w:rsidR="00B3414C" w:rsidRPr="004C3DAC" w:rsidRDefault="00B3414C" w:rsidP="00B3414C">
      <w:pPr>
        <w:spacing w:after="0" w:line="240" w:lineRule="auto"/>
        <w:jc w:val="both"/>
        <w:rPr>
          <w:rFonts w:ascii="Verdana" w:eastAsia="Calibri" w:hAnsi="Verdana" w:cs="Times New Roman"/>
          <w:color w:val="000000" w:themeColor="text1"/>
        </w:rPr>
      </w:pPr>
      <w:r w:rsidRPr="004C3DAC">
        <w:rPr>
          <w:rFonts w:ascii="Verdana" w:eastAsia="Calibri" w:hAnsi="Verdana" w:cs="Times New Roman"/>
          <w:color w:val="000000" w:themeColor="text1"/>
        </w:rPr>
        <w:t xml:space="preserve">Lo invitamos a seguirnos en las redes sociales en las cuales se difunde información institucional: </w:t>
      </w:r>
    </w:p>
    <w:p w14:paraId="18CEEC1A" w14:textId="77777777" w:rsidR="00B3414C" w:rsidRPr="004C3DAC" w:rsidRDefault="00B3414C" w:rsidP="00B3414C">
      <w:pPr>
        <w:spacing w:after="0" w:line="240" w:lineRule="auto"/>
        <w:jc w:val="both"/>
        <w:rPr>
          <w:rFonts w:ascii="Verdana" w:eastAsia="Calibri" w:hAnsi="Verdana" w:cs="Times New Roman"/>
          <w:color w:val="000000" w:themeColor="text1"/>
        </w:rPr>
      </w:pPr>
    </w:p>
    <w:p w14:paraId="554450B9" w14:textId="77777777" w:rsidR="00B3414C" w:rsidRPr="004C3DAC" w:rsidRDefault="00B3414C" w:rsidP="00B3414C">
      <w:pPr>
        <w:spacing w:after="0" w:line="240" w:lineRule="auto"/>
        <w:jc w:val="both"/>
        <w:rPr>
          <w:rFonts w:ascii="Verdana" w:eastAsia="Calibri" w:hAnsi="Verdana" w:cs="Times New Roman"/>
          <w:color w:val="000000" w:themeColor="text1"/>
        </w:rPr>
      </w:pPr>
      <w:r w:rsidRPr="004C3DAC">
        <w:rPr>
          <w:rFonts w:ascii="Verdana" w:eastAsia="Calibri" w:hAnsi="Verdana" w:cs="Times New Roman"/>
          <w:color w:val="000000" w:themeColor="text1"/>
        </w:rPr>
        <w:t xml:space="preserve">Twitter: </w:t>
      </w:r>
      <w:r w:rsidRPr="004C3DAC">
        <w:rPr>
          <w:rFonts w:ascii="Verdana" w:eastAsia="Calibri" w:hAnsi="Verdana" w:cs="Times New Roman"/>
          <w:color w:val="000000" w:themeColor="text1"/>
          <w:u w:val="single"/>
        </w:rPr>
        <w:t>@colombiacompra</w:t>
      </w:r>
      <w:r w:rsidRPr="004C3DAC">
        <w:rPr>
          <w:rFonts w:ascii="Verdana" w:eastAsia="Calibri" w:hAnsi="Verdana" w:cs="Times New Roman"/>
          <w:color w:val="000000" w:themeColor="text1"/>
        </w:rPr>
        <w:t xml:space="preserve"> </w:t>
      </w:r>
    </w:p>
    <w:p w14:paraId="38D9BAA6" w14:textId="77777777" w:rsidR="00B3414C" w:rsidRPr="004C3DAC" w:rsidRDefault="00B3414C" w:rsidP="00B3414C">
      <w:pPr>
        <w:spacing w:after="0" w:line="240" w:lineRule="auto"/>
        <w:jc w:val="both"/>
        <w:rPr>
          <w:rFonts w:ascii="Verdana" w:eastAsia="Calibri" w:hAnsi="Verdana" w:cs="Times New Roman"/>
          <w:color w:val="000000" w:themeColor="text1"/>
        </w:rPr>
      </w:pPr>
      <w:r w:rsidRPr="004C3DAC">
        <w:rPr>
          <w:rFonts w:ascii="Verdana" w:eastAsia="Calibri" w:hAnsi="Verdana" w:cs="Times New Roman"/>
          <w:color w:val="000000" w:themeColor="text1"/>
        </w:rPr>
        <w:t xml:space="preserve">Facebook: </w:t>
      </w:r>
      <w:r w:rsidRPr="004C3DAC">
        <w:rPr>
          <w:rFonts w:ascii="Verdana" w:eastAsia="Calibri" w:hAnsi="Verdana" w:cs="Times New Roman"/>
          <w:color w:val="000000" w:themeColor="text1"/>
          <w:u w:val="single"/>
        </w:rPr>
        <w:t>ColombiaCompraEficiente</w:t>
      </w:r>
    </w:p>
    <w:p w14:paraId="13DA4C4C" w14:textId="77777777" w:rsidR="00B3414C" w:rsidRPr="004C3DAC" w:rsidRDefault="00B3414C" w:rsidP="00B3414C">
      <w:pPr>
        <w:spacing w:after="0" w:line="240" w:lineRule="auto"/>
        <w:jc w:val="both"/>
        <w:rPr>
          <w:rFonts w:ascii="Verdana" w:eastAsia="Calibri" w:hAnsi="Verdana" w:cs="Times New Roman"/>
          <w:color w:val="000000" w:themeColor="text1"/>
        </w:rPr>
      </w:pPr>
      <w:r w:rsidRPr="004C3DAC">
        <w:rPr>
          <w:rFonts w:ascii="Verdana" w:eastAsia="Calibri" w:hAnsi="Verdana" w:cs="Times New Roman"/>
          <w:color w:val="000000" w:themeColor="text1"/>
        </w:rPr>
        <w:t xml:space="preserve">LinkedIn: </w:t>
      </w:r>
      <w:r w:rsidRPr="004C3DAC">
        <w:rPr>
          <w:rFonts w:ascii="Verdana" w:eastAsia="Calibri" w:hAnsi="Verdana" w:cs="Times New Roman"/>
          <w:color w:val="000000" w:themeColor="text1"/>
          <w:u w:val="single"/>
        </w:rPr>
        <w:t>Agencia Nacional de Contratación Pública - Colombia Compra Eficiente</w:t>
      </w:r>
      <w:r w:rsidRPr="004C3DAC">
        <w:rPr>
          <w:rFonts w:ascii="Verdana" w:eastAsia="Calibri" w:hAnsi="Verdana" w:cs="Times New Roman"/>
          <w:color w:val="000000" w:themeColor="text1"/>
        </w:rPr>
        <w:t xml:space="preserve"> Instagram: </w:t>
      </w:r>
      <w:r w:rsidRPr="004C3DAC">
        <w:rPr>
          <w:rFonts w:ascii="Verdana" w:eastAsia="Calibri" w:hAnsi="Verdana" w:cs="Times New Roman"/>
          <w:color w:val="000000" w:themeColor="text1"/>
          <w:u w:val="single"/>
        </w:rPr>
        <w:t>@colombiacompraeficiente_cce</w:t>
      </w:r>
    </w:p>
    <w:p w14:paraId="38ADB8DB" w14:textId="77777777" w:rsidR="00B3414C" w:rsidRPr="004C3DAC" w:rsidRDefault="00B3414C" w:rsidP="00B3414C">
      <w:pPr>
        <w:widowControl w:val="0"/>
        <w:autoSpaceDE w:val="0"/>
        <w:autoSpaceDN w:val="0"/>
        <w:spacing w:after="0" w:line="276" w:lineRule="auto"/>
        <w:jc w:val="both"/>
        <w:rPr>
          <w:rFonts w:ascii="Verdana" w:eastAsia="Calibri" w:hAnsi="Verdana" w:cs="Arial"/>
          <w:color w:val="000000" w:themeColor="text1"/>
        </w:rPr>
      </w:pPr>
    </w:p>
    <w:p w14:paraId="7B997AB4" w14:textId="77777777" w:rsidR="00B3414C" w:rsidRPr="004C3DAC" w:rsidRDefault="00B3414C" w:rsidP="00B3414C">
      <w:pPr>
        <w:widowControl w:val="0"/>
        <w:autoSpaceDE w:val="0"/>
        <w:autoSpaceDN w:val="0"/>
        <w:spacing w:after="0" w:line="276" w:lineRule="auto"/>
        <w:jc w:val="both"/>
        <w:rPr>
          <w:rFonts w:ascii="Verdana" w:eastAsia="Calibri" w:hAnsi="Verdana" w:cs="Arial"/>
          <w:color w:val="000000" w:themeColor="text1"/>
          <w:lang w:val="es-ES_tradnl"/>
        </w:rPr>
      </w:pPr>
      <w:r w:rsidRPr="004C3DAC">
        <w:rPr>
          <w:rFonts w:ascii="Verdana" w:eastAsia="Calibri" w:hAnsi="Verdana" w:cs="Arial"/>
          <w:color w:val="000000" w:themeColor="text1"/>
        </w:rPr>
        <w:t xml:space="preserve">Este concepto tiene el alcance previsto en el artículo 28 del Código de Procedimiento Administrativo y de lo Contencioso Administrativo </w:t>
      </w:r>
      <w:r w:rsidRPr="004C3DAC">
        <w:rPr>
          <w:rFonts w:ascii="Verdana" w:eastAsia="Calibri" w:hAnsi="Verdana" w:cs="Arial"/>
          <w:color w:val="000000" w:themeColor="text1"/>
          <w:lang w:val="es-ES_tradnl"/>
        </w:rPr>
        <w:t>y las expresiones aquí utilizadas con mayúscula inicial deben ser entendidas con el significado que les otorga el artículo 2.2.1.1.1.3.1. del Decreto 1082 de 2015.</w:t>
      </w:r>
    </w:p>
    <w:p w14:paraId="4A0540BA" w14:textId="77777777" w:rsidR="00B3414C" w:rsidRPr="004C3DAC" w:rsidRDefault="00B3414C" w:rsidP="00B3414C">
      <w:pPr>
        <w:spacing w:after="0" w:line="240" w:lineRule="auto"/>
        <w:rPr>
          <w:rFonts w:ascii="Verdana" w:eastAsia="Times New Roman" w:hAnsi="Verdana" w:cs="Arial"/>
          <w:color w:val="000000" w:themeColor="text1"/>
          <w:lang w:eastAsia="es-CO"/>
        </w:rPr>
      </w:pPr>
    </w:p>
    <w:p w14:paraId="46910ACB" w14:textId="77777777" w:rsidR="00B3414C" w:rsidRPr="004C3DAC" w:rsidRDefault="00B3414C" w:rsidP="00B3414C">
      <w:pPr>
        <w:spacing w:after="0" w:line="240" w:lineRule="auto"/>
        <w:rPr>
          <w:rFonts w:ascii="Verdana" w:eastAsia="Times New Roman" w:hAnsi="Verdana" w:cs="Arial"/>
          <w:color w:val="000000" w:themeColor="text1"/>
          <w:lang w:eastAsia="es-CO"/>
        </w:rPr>
      </w:pPr>
    </w:p>
    <w:p w14:paraId="4557E4D0" w14:textId="77777777" w:rsidR="00B3414C" w:rsidRPr="004C3DAC" w:rsidRDefault="00B3414C" w:rsidP="00B3414C">
      <w:pPr>
        <w:spacing w:after="0" w:line="276" w:lineRule="auto"/>
        <w:rPr>
          <w:rFonts w:ascii="Verdana" w:eastAsia="Calibri" w:hAnsi="Verdana" w:cs="Arial"/>
          <w:lang w:val="es-ES" w:eastAsia="es-CO"/>
        </w:rPr>
      </w:pPr>
      <w:r w:rsidRPr="004C3DAC">
        <w:rPr>
          <w:rFonts w:ascii="Verdana" w:eastAsia="Times New Roman" w:hAnsi="Verdana" w:cs="Arial"/>
          <w:lang w:val="es-ES" w:eastAsia="es-CO"/>
        </w:rPr>
        <w:t>Atentamente,</w:t>
      </w:r>
      <w:r w:rsidRPr="004C3DAC">
        <w:rPr>
          <w:rFonts w:ascii="Verdana" w:eastAsia="Calibri" w:hAnsi="Verdana" w:cs="Arial"/>
          <w:lang w:val="es-ES" w:eastAsia="es-CO"/>
        </w:rPr>
        <w:t xml:space="preserve"> </w:t>
      </w:r>
    </w:p>
    <w:p w14:paraId="57F1DBF3" w14:textId="77777777" w:rsidR="00B3414C" w:rsidRPr="004C3DAC" w:rsidRDefault="00B3414C" w:rsidP="00B3414C">
      <w:pPr>
        <w:autoSpaceDE w:val="0"/>
        <w:autoSpaceDN w:val="0"/>
        <w:adjustRightInd w:val="0"/>
        <w:spacing w:after="0" w:line="276" w:lineRule="auto"/>
        <w:rPr>
          <w:rFonts w:ascii="Verdana" w:eastAsia="Calibri" w:hAnsi="Verdana" w:cs="Arial"/>
          <w:noProof/>
          <w:sz w:val="20"/>
          <w:szCs w:val="20"/>
        </w:rPr>
      </w:pPr>
    </w:p>
    <w:p w14:paraId="748FD1B1" w14:textId="4B8F4149" w:rsidR="00B3414C" w:rsidRPr="004C3DAC" w:rsidRDefault="00464BDE" w:rsidP="00B3414C">
      <w:pPr>
        <w:spacing w:after="0" w:line="252" w:lineRule="auto"/>
        <w:jc w:val="center"/>
        <w:rPr>
          <w:rFonts w:ascii="Verdana" w:eastAsia="Times New Roman" w:hAnsi="Verdana" w:cs="Arial"/>
          <w:lang w:eastAsia="es-ES"/>
        </w:rPr>
      </w:pPr>
      <w:r>
        <w:rPr>
          <w:noProof/>
        </w:rPr>
        <w:drawing>
          <wp:inline distT="0" distB="0" distL="0" distR="0" wp14:anchorId="51C877B1" wp14:editId="12A4A9E7">
            <wp:extent cx="2847975" cy="1072515"/>
            <wp:effectExtent l="0" t="0" r="9525" b="0"/>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11737" name="Imagen 2"/>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47975" cy="1072515"/>
                    </a:xfrm>
                    <a:prstGeom prst="rect">
                      <a:avLst/>
                    </a:prstGeom>
                    <a:noFill/>
                    <a:ln>
                      <a:noFill/>
                    </a:ln>
                  </pic:spPr>
                </pic:pic>
              </a:graphicData>
            </a:graphic>
          </wp:inline>
        </w:drawing>
      </w:r>
    </w:p>
    <w:p w14:paraId="4C6C5A07" w14:textId="77777777" w:rsidR="00B3414C" w:rsidRPr="004C3DAC" w:rsidRDefault="00B3414C" w:rsidP="00B3414C">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B3414C" w:rsidRPr="004C3DAC" w14:paraId="25AB8880" w14:textId="77777777" w:rsidTr="00AB57FF">
        <w:trPr>
          <w:trHeight w:val="322"/>
        </w:trPr>
        <w:tc>
          <w:tcPr>
            <w:tcW w:w="733" w:type="dxa"/>
            <w:tcBorders>
              <w:top w:val="nil"/>
              <w:left w:val="nil"/>
              <w:bottom w:val="nil"/>
              <w:right w:val="nil"/>
            </w:tcBorders>
            <w:vAlign w:val="center"/>
            <w:hideMark/>
          </w:tcPr>
          <w:p w14:paraId="73C69994" w14:textId="77777777" w:rsidR="00B3414C" w:rsidRPr="004C3DAC" w:rsidRDefault="00B3414C" w:rsidP="00AB57FF">
            <w:pPr>
              <w:spacing w:after="0" w:line="240" w:lineRule="auto"/>
              <w:textAlignment w:val="baseline"/>
              <w:rPr>
                <w:rFonts w:ascii="Verdana" w:eastAsia="Times New Roman" w:hAnsi="Verdana" w:cs="Times New Roman"/>
                <w:sz w:val="16"/>
                <w:szCs w:val="16"/>
                <w:lang w:eastAsia="es-CO"/>
              </w:rPr>
            </w:pPr>
            <w:r w:rsidRPr="004C3DAC">
              <w:rPr>
                <w:rFonts w:ascii="Verdana" w:eastAsia="Times New Roman" w:hAnsi="Verdana" w:cs="Times New Roman"/>
                <w:sz w:val="16"/>
                <w:szCs w:val="16"/>
                <w:lang w:val="es-MX" w:eastAsia="es-CO"/>
              </w:rPr>
              <w:t>Elaboró:         </w:t>
            </w:r>
            <w:r w:rsidRPr="004C3DAC">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4FEB735" w14:textId="77777777" w:rsidR="00B3414C" w:rsidRPr="004C3DAC" w:rsidRDefault="00B3414C" w:rsidP="00AB57FF">
            <w:pPr>
              <w:spacing w:after="0" w:line="252" w:lineRule="auto"/>
              <w:rPr>
                <w:rFonts w:ascii="Verdana" w:eastAsia="Times New Roman" w:hAnsi="Verdana" w:cs="Arial"/>
                <w:sz w:val="16"/>
                <w:szCs w:val="16"/>
                <w:lang w:val="es-ES_tradnl" w:eastAsia="es-ES"/>
              </w:rPr>
            </w:pPr>
            <w:r w:rsidRPr="004C3DAC">
              <w:rPr>
                <w:rFonts w:ascii="Verdana" w:eastAsia="Times New Roman" w:hAnsi="Verdana" w:cs="Arial"/>
                <w:sz w:val="16"/>
                <w:szCs w:val="16"/>
                <w:lang w:val="es-ES_tradnl" w:eastAsia="es-ES"/>
              </w:rPr>
              <w:t>Ximena Ríos López</w:t>
            </w:r>
          </w:p>
          <w:p w14:paraId="5AC72A38" w14:textId="77777777" w:rsidR="00B3414C" w:rsidRPr="004C3DAC" w:rsidRDefault="00B3414C" w:rsidP="00AB57FF">
            <w:pPr>
              <w:autoSpaceDE w:val="0"/>
              <w:autoSpaceDN w:val="0"/>
              <w:adjustRightInd w:val="0"/>
              <w:spacing w:after="0" w:line="276" w:lineRule="auto"/>
              <w:rPr>
                <w:rFonts w:ascii="Verdana" w:eastAsia="Calibri" w:hAnsi="Verdana" w:cs="Arial"/>
              </w:rPr>
            </w:pPr>
            <w:r w:rsidRPr="004C3DAC">
              <w:rPr>
                <w:rFonts w:ascii="Verdana" w:eastAsia="Times New Roman" w:hAnsi="Verdana" w:cs="Arial"/>
                <w:sz w:val="16"/>
                <w:szCs w:val="16"/>
                <w:lang w:eastAsia="es-ES"/>
              </w:rPr>
              <w:t>Gestor T1-11 de la Subdirección de Gestión Contractual</w:t>
            </w:r>
          </w:p>
        </w:tc>
      </w:tr>
      <w:tr w:rsidR="00B3414C" w:rsidRPr="004C3DAC" w14:paraId="47084007" w14:textId="77777777" w:rsidTr="00AB57FF">
        <w:trPr>
          <w:trHeight w:val="322"/>
        </w:trPr>
        <w:tc>
          <w:tcPr>
            <w:tcW w:w="733" w:type="dxa"/>
            <w:tcBorders>
              <w:top w:val="nil"/>
              <w:left w:val="nil"/>
              <w:bottom w:val="nil"/>
              <w:right w:val="nil"/>
            </w:tcBorders>
            <w:vAlign w:val="center"/>
            <w:hideMark/>
          </w:tcPr>
          <w:p w14:paraId="40A06E64" w14:textId="77777777" w:rsidR="00B3414C" w:rsidRPr="004C3DAC" w:rsidRDefault="00B3414C" w:rsidP="00AB57FF">
            <w:pPr>
              <w:spacing w:after="0" w:line="240" w:lineRule="auto"/>
              <w:textAlignment w:val="baseline"/>
              <w:rPr>
                <w:rFonts w:ascii="Verdana" w:eastAsia="Times New Roman" w:hAnsi="Verdana" w:cs="Times New Roman"/>
                <w:sz w:val="16"/>
                <w:szCs w:val="16"/>
                <w:lang w:eastAsia="es-CO"/>
              </w:rPr>
            </w:pPr>
            <w:r w:rsidRPr="004C3DAC">
              <w:rPr>
                <w:rFonts w:ascii="Verdana" w:eastAsia="Times New Roman" w:hAnsi="Verdana" w:cs="Times New Roman"/>
                <w:sz w:val="16"/>
                <w:szCs w:val="16"/>
                <w:lang w:val="es-MX" w:eastAsia="es-CO"/>
              </w:rPr>
              <w:t>Revisó:</w:t>
            </w:r>
            <w:r w:rsidRPr="004C3DAC">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5B7CEA3" w14:textId="77777777" w:rsidR="00B3414C" w:rsidRPr="004C3DAC" w:rsidRDefault="00B3414C" w:rsidP="00AB57FF">
            <w:pPr>
              <w:spacing w:after="0" w:line="252" w:lineRule="auto"/>
              <w:rPr>
                <w:rFonts w:ascii="Verdana" w:eastAsia="Times New Roman" w:hAnsi="Verdana" w:cs="Arial"/>
                <w:sz w:val="16"/>
                <w:szCs w:val="16"/>
                <w:lang w:val="es-ES_tradnl" w:eastAsia="es-ES"/>
              </w:rPr>
            </w:pPr>
            <w:r w:rsidRPr="004C3DAC">
              <w:rPr>
                <w:rFonts w:ascii="Verdana" w:eastAsia="Times New Roman" w:hAnsi="Verdana" w:cs="Arial"/>
                <w:sz w:val="16"/>
                <w:szCs w:val="16"/>
                <w:lang w:val="es-ES_tradnl" w:eastAsia="es-ES"/>
              </w:rPr>
              <w:t>Adriana López</w:t>
            </w:r>
          </w:p>
          <w:p w14:paraId="577F3B06" w14:textId="77777777" w:rsidR="00B3414C" w:rsidRPr="004C3DAC" w:rsidRDefault="00B3414C" w:rsidP="00AB57FF">
            <w:pPr>
              <w:autoSpaceDE w:val="0"/>
              <w:autoSpaceDN w:val="0"/>
              <w:adjustRightInd w:val="0"/>
              <w:spacing w:after="0" w:line="276" w:lineRule="auto"/>
              <w:rPr>
                <w:rFonts w:ascii="Verdana" w:eastAsia="Calibri" w:hAnsi="Verdana" w:cs="Arial"/>
              </w:rPr>
            </w:pPr>
            <w:r w:rsidRPr="004C3DAC">
              <w:rPr>
                <w:rFonts w:ascii="Verdana" w:eastAsia="Times New Roman" w:hAnsi="Verdana" w:cs="Arial"/>
                <w:sz w:val="16"/>
                <w:szCs w:val="16"/>
                <w:lang w:eastAsia="es-ES"/>
              </w:rPr>
              <w:t>Contratista de la Subdirección de Gestión Contractual</w:t>
            </w:r>
          </w:p>
        </w:tc>
      </w:tr>
      <w:tr w:rsidR="00B3414C" w:rsidRPr="004C3DAC" w14:paraId="24ACAD8B" w14:textId="77777777" w:rsidTr="00AB57FF">
        <w:trPr>
          <w:trHeight w:val="307"/>
        </w:trPr>
        <w:tc>
          <w:tcPr>
            <w:tcW w:w="733" w:type="dxa"/>
            <w:tcBorders>
              <w:top w:val="nil"/>
              <w:left w:val="nil"/>
              <w:bottom w:val="nil"/>
              <w:right w:val="nil"/>
            </w:tcBorders>
            <w:vAlign w:val="center"/>
            <w:hideMark/>
          </w:tcPr>
          <w:p w14:paraId="228D2722" w14:textId="77777777" w:rsidR="00B3414C" w:rsidRPr="004C3DAC" w:rsidRDefault="00B3414C" w:rsidP="00AB57FF">
            <w:pPr>
              <w:spacing w:after="0" w:line="240" w:lineRule="auto"/>
              <w:textAlignment w:val="baseline"/>
              <w:rPr>
                <w:rFonts w:ascii="Verdana" w:eastAsia="Times New Roman" w:hAnsi="Verdana" w:cs="Times New Roman"/>
                <w:sz w:val="16"/>
                <w:szCs w:val="16"/>
                <w:lang w:eastAsia="es-CO"/>
              </w:rPr>
            </w:pPr>
            <w:r w:rsidRPr="004C3DAC">
              <w:rPr>
                <w:rFonts w:ascii="Verdana" w:eastAsia="Times New Roman" w:hAnsi="Verdana" w:cs="Times New Roman"/>
                <w:sz w:val="16"/>
                <w:szCs w:val="16"/>
                <w:lang w:val="es-MX" w:eastAsia="es-CO"/>
              </w:rPr>
              <w:t>Aprobó:</w:t>
            </w:r>
            <w:r w:rsidRPr="004C3DAC">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C230DFC" w14:textId="2C98D96E" w:rsidR="00B3414C" w:rsidRPr="004C3DAC" w:rsidRDefault="00464BDE" w:rsidP="00AB57FF">
            <w:pPr>
              <w:spacing w:after="0" w:line="252" w:lineRule="auto"/>
              <w:rPr>
                <w:rFonts w:ascii="Verdana" w:eastAsia="Times New Roman" w:hAnsi="Verdana" w:cs="Arial"/>
                <w:sz w:val="16"/>
                <w:szCs w:val="16"/>
                <w:lang w:eastAsia="es-ES"/>
              </w:rPr>
            </w:pPr>
            <w:r>
              <w:rPr>
                <w:rFonts w:ascii="Verdana" w:eastAsia="Times New Roman" w:hAnsi="Verdana" w:cs="Arial"/>
                <w:sz w:val="16"/>
                <w:szCs w:val="16"/>
                <w:lang w:eastAsia="es-ES"/>
              </w:rPr>
              <w:t>William Javier Murcia Acevedo</w:t>
            </w:r>
          </w:p>
          <w:p w14:paraId="07DC2CBB" w14:textId="429244AA" w:rsidR="00B3414C" w:rsidRPr="004C3DAC" w:rsidRDefault="00B3414C" w:rsidP="00AB57FF">
            <w:pPr>
              <w:spacing w:after="0" w:line="252" w:lineRule="auto"/>
              <w:rPr>
                <w:rFonts w:ascii="Verdana" w:eastAsia="Times New Roman" w:hAnsi="Verdana" w:cs="Arial"/>
                <w:sz w:val="16"/>
                <w:szCs w:val="16"/>
                <w:lang w:eastAsia="es-ES"/>
              </w:rPr>
            </w:pPr>
            <w:r w:rsidRPr="004C3DAC">
              <w:rPr>
                <w:rFonts w:ascii="Verdana" w:eastAsia="Times New Roman" w:hAnsi="Verdana" w:cs="Arial"/>
                <w:sz w:val="16"/>
                <w:szCs w:val="16"/>
                <w:lang w:eastAsia="es-ES"/>
              </w:rPr>
              <w:t>Subdirector de Gestión Contractual ANCP – CCE</w:t>
            </w:r>
            <w:r w:rsidR="00464BDE">
              <w:rPr>
                <w:rFonts w:ascii="Verdana" w:eastAsia="Times New Roman" w:hAnsi="Verdana" w:cs="Arial"/>
                <w:sz w:val="16"/>
                <w:szCs w:val="16"/>
                <w:lang w:eastAsia="es-ES"/>
              </w:rPr>
              <w:t xml:space="preserve"> (E)</w:t>
            </w:r>
          </w:p>
        </w:tc>
      </w:tr>
    </w:tbl>
    <w:p w14:paraId="0F8A7C66" w14:textId="2C68012D" w:rsidR="00B3414C" w:rsidRPr="004C3DAC" w:rsidRDefault="00B3414C" w:rsidP="00B3414C">
      <w:pPr>
        <w:widowControl w:val="0"/>
        <w:autoSpaceDE w:val="0"/>
        <w:autoSpaceDN w:val="0"/>
        <w:spacing w:after="120" w:line="276" w:lineRule="auto"/>
        <w:jc w:val="both"/>
        <w:rPr>
          <w:rFonts w:ascii="Verdana" w:eastAsia="Calibri" w:hAnsi="Verdana" w:cs="Arial"/>
          <w:color w:val="000000" w:themeColor="text1"/>
          <w:shd w:val="clear" w:color="auto" w:fill="FFFFFF"/>
        </w:rPr>
      </w:pPr>
    </w:p>
    <w:p w14:paraId="4ED312CC" w14:textId="77777777" w:rsidR="00B3414C" w:rsidRPr="004C3DAC" w:rsidRDefault="00B3414C" w:rsidP="00B3414C">
      <w:pPr>
        <w:widowControl w:val="0"/>
        <w:autoSpaceDE w:val="0"/>
        <w:autoSpaceDN w:val="0"/>
        <w:spacing w:after="0" w:line="276" w:lineRule="auto"/>
        <w:jc w:val="both"/>
        <w:rPr>
          <w:rFonts w:ascii="Verdana" w:eastAsia="Calibri" w:hAnsi="Verdana" w:cs="Arial"/>
        </w:rPr>
      </w:pPr>
    </w:p>
    <w:p w14:paraId="1284E95D" w14:textId="77777777" w:rsidR="00B3414C" w:rsidRPr="004C3DAC" w:rsidRDefault="00B3414C" w:rsidP="00B3414C">
      <w:pPr>
        <w:shd w:val="clear" w:color="auto" w:fill="FFFFFF" w:themeFill="background1"/>
        <w:spacing w:after="0" w:line="276" w:lineRule="auto"/>
        <w:jc w:val="both"/>
        <w:rPr>
          <w:rFonts w:ascii="Verdana" w:eastAsia="Calibri" w:hAnsi="Verdana" w:cs="Times New Roman"/>
          <w:color w:val="000000" w:themeColor="text1"/>
        </w:rPr>
      </w:pPr>
    </w:p>
    <w:p w14:paraId="0FF952AE" w14:textId="77777777" w:rsidR="00B3414C" w:rsidRPr="004C3DAC" w:rsidRDefault="00B3414C" w:rsidP="00B3414C">
      <w:pPr>
        <w:spacing w:line="256" w:lineRule="auto"/>
        <w:rPr>
          <w:rFonts w:ascii="Calibri" w:eastAsia="Calibri" w:hAnsi="Calibri" w:cs="Times New Roman"/>
        </w:rPr>
      </w:pPr>
    </w:p>
    <w:p w14:paraId="6AE59208" w14:textId="77777777" w:rsidR="00B3414C" w:rsidRPr="004C3DAC" w:rsidRDefault="00B3414C" w:rsidP="00B3414C">
      <w:pPr>
        <w:spacing w:line="256" w:lineRule="auto"/>
        <w:rPr>
          <w:rFonts w:ascii="Calibri" w:eastAsia="Calibri" w:hAnsi="Calibri" w:cs="Times New Roman"/>
        </w:rPr>
      </w:pPr>
    </w:p>
    <w:p w14:paraId="04203F49" w14:textId="77777777" w:rsidR="00B3414C" w:rsidRPr="00B60BC4" w:rsidRDefault="00B3414C" w:rsidP="00B3414C">
      <w:pPr>
        <w:widowControl w:val="0"/>
        <w:autoSpaceDE w:val="0"/>
        <w:autoSpaceDN w:val="0"/>
        <w:spacing w:after="0" w:line="276" w:lineRule="auto"/>
        <w:jc w:val="both"/>
        <w:rPr>
          <w:rFonts w:ascii="Verdana" w:hAnsi="Verdana" w:cs="Arial"/>
          <w:shd w:val="clear" w:color="auto" w:fill="FFFFFF"/>
          <w:lang w:val="es-ES"/>
        </w:rPr>
      </w:pPr>
    </w:p>
    <w:p w14:paraId="0F293BF4" w14:textId="1651F2CB" w:rsidR="00127233" w:rsidRPr="00B3414C" w:rsidRDefault="00127233" w:rsidP="00B3414C"/>
    <w:sectPr w:rsidR="00127233" w:rsidRPr="00B3414C"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0E3BF" w14:textId="77777777" w:rsidR="00481885" w:rsidRDefault="00481885" w:rsidP="004A1847">
      <w:pPr>
        <w:spacing w:after="0" w:line="240" w:lineRule="auto"/>
      </w:pPr>
      <w:r>
        <w:separator/>
      </w:r>
    </w:p>
  </w:endnote>
  <w:endnote w:type="continuationSeparator" w:id="0">
    <w:p w14:paraId="7FD6B1A6" w14:textId="77777777" w:rsidR="00481885" w:rsidRDefault="00481885" w:rsidP="004A1847">
      <w:pPr>
        <w:spacing w:after="0" w:line="240" w:lineRule="auto"/>
      </w:pPr>
      <w:r>
        <w:continuationSeparator/>
      </w:r>
    </w:p>
  </w:endnote>
  <w:endnote w:type="continuationNotice" w:id="1">
    <w:p w14:paraId="046F5C6D" w14:textId="77777777" w:rsidR="00481885" w:rsidRDefault="004818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52982" w14:textId="77777777" w:rsidR="00481885" w:rsidRDefault="00481885" w:rsidP="004A1847">
      <w:pPr>
        <w:spacing w:after="0" w:line="240" w:lineRule="auto"/>
      </w:pPr>
      <w:r>
        <w:separator/>
      </w:r>
    </w:p>
  </w:footnote>
  <w:footnote w:type="continuationSeparator" w:id="0">
    <w:p w14:paraId="1459F9BC" w14:textId="77777777" w:rsidR="00481885" w:rsidRDefault="00481885" w:rsidP="004A1847">
      <w:pPr>
        <w:spacing w:after="0" w:line="240" w:lineRule="auto"/>
      </w:pPr>
      <w:r>
        <w:continuationSeparator/>
      </w:r>
    </w:p>
  </w:footnote>
  <w:footnote w:type="continuationNotice" w:id="1">
    <w:p w14:paraId="3C26389B" w14:textId="77777777" w:rsidR="00481885" w:rsidRDefault="00481885">
      <w:pPr>
        <w:spacing w:after="0" w:line="240" w:lineRule="auto"/>
      </w:pPr>
    </w:p>
  </w:footnote>
  <w:footnote w:id="2">
    <w:p w14:paraId="34B2C338" w14:textId="77777777" w:rsidR="00B3414C" w:rsidRPr="00A42A2D" w:rsidRDefault="00B3414C" w:rsidP="00B3414C">
      <w:pPr>
        <w:pStyle w:val="Textonotapie"/>
        <w:ind w:firstLine="709"/>
        <w:jc w:val="both"/>
        <w:rPr>
          <w:rFonts w:ascii="Verdana" w:hAnsi="Verdana"/>
          <w:sz w:val="16"/>
          <w:szCs w:val="16"/>
        </w:rPr>
      </w:pPr>
      <w:r w:rsidRPr="00A42A2D">
        <w:rPr>
          <w:rFonts w:ascii="Verdana" w:hAnsi="Verdana"/>
          <w:sz w:val="16"/>
          <w:szCs w:val="16"/>
          <w:vertAlign w:val="superscript"/>
        </w:rPr>
        <w:footnoteRef/>
      </w:r>
      <w:r w:rsidRPr="00A42A2D">
        <w:rPr>
          <w:rFonts w:ascii="Verdana" w:hAnsi="Verdana"/>
          <w:sz w:val="16"/>
          <w:szCs w:val="16"/>
        </w:rPr>
        <w:t xml:space="preserve"> Artículo 17 de la Ley 1150 de 2007.</w:t>
      </w:r>
    </w:p>
    <w:p w14:paraId="48F7FCC2" w14:textId="77777777" w:rsidR="00B3414C" w:rsidRPr="00A42A2D" w:rsidRDefault="00B3414C" w:rsidP="00B3414C">
      <w:pPr>
        <w:pStyle w:val="Textonotapie"/>
        <w:ind w:firstLine="709"/>
        <w:jc w:val="both"/>
        <w:rPr>
          <w:rFonts w:ascii="Verdana" w:hAnsi="Verdana"/>
          <w:sz w:val="16"/>
          <w:szCs w:val="16"/>
        </w:rPr>
      </w:pPr>
    </w:p>
  </w:footnote>
  <w:footnote w:id="3">
    <w:p w14:paraId="13A7096C" w14:textId="77777777" w:rsidR="00B3414C" w:rsidRPr="00A42A2D" w:rsidRDefault="00B3414C" w:rsidP="00B3414C">
      <w:pPr>
        <w:pStyle w:val="Textonotapie"/>
        <w:ind w:firstLine="709"/>
        <w:jc w:val="both"/>
        <w:rPr>
          <w:rFonts w:ascii="Verdana" w:hAnsi="Verdana"/>
          <w:sz w:val="16"/>
          <w:szCs w:val="16"/>
        </w:rPr>
      </w:pPr>
      <w:r w:rsidRPr="00A42A2D">
        <w:rPr>
          <w:rFonts w:ascii="Verdana" w:hAnsi="Verdana"/>
          <w:sz w:val="16"/>
          <w:szCs w:val="16"/>
          <w:vertAlign w:val="superscript"/>
        </w:rPr>
        <w:footnoteRef/>
      </w:r>
      <w:r w:rsidRPr="00A42A2D">
        <w:rPr>
          <w:rFonts w:ascii="Verdana" w:hAnsi="Verdana"/>
          <w:sz w:val="16"/>
          <w:szCs w:val="16"/>
        </w:rPr>
        <w:t xml:space="preserve"> Artículo 21 de la Ley 1150 de 2007.</w:t>
      </w:r>
    </w:p>
    <w:p w14:paraId="0A213B7F" w14:textId="77777777" w:rsidR="00B3414C" w:rsidRPr="00A42A2D" w:rsidRDefault="00B3414C" w:rsidP="00B3414C">
      <w:pPr>
        <w:pStyle w:val="Textonotapie"/>
        <w:ind w:firstLine="709"/>
        <w:jc w:val="both"/>
        <w:rPr>
          <w:rFonts w:ascii="Verdana" w:hAnsi="Verdana"/>
          <w:sz w:val="16"/>
          <w:szCs w:val="16"/>
        </w:rPr>
      </w:pPr>
    </w:p>
  </w:footnote>
  <w:footnote w:id="4">
    <w:p w14:paraId="37F420A6" w14:textId="77777777" w:rsidR="00B3414C" w:rsidRPr="00A42A2D" w:rsidRDefault="00B3414C" w:rsidP="00B3414C">
      <w:pPr>
        <w:pStyle w:val="Textonotapie"/>
        <w:ind w:firstLine="709"/>
        <w:jc w:val="both"/>
        <w:rPr>
          <w:rFonts w:ascii="Verdana" w:hAnsi="Verdana"/>
          <w:sz w:val="16"/>
          <w:szCs w:val="16"/>
        </w:rPr>
      </w:pPr>
      <w:r w:rsidRPr="00A42A2D">
        <w:rPr>
          <w:rFonts w:ascii="Verdana" w:hAnsi="Verdana"/>
          <w:sz w:val="16"/>
          <w:szCs w:val="16"/>
          <w:vertAlign w:val="superscript"/>
        </w:rPr>
        <w:footnoteRef/>
      </w:r>
      <w:r w:rsidRPr="00A42A2D">
        <w:rPr>
          <w:rFonts w:ascii="Verdana" w:hAnsi="Verdana"/>
          <w:sz w:val="16"/>
          <w:szCs w:val="16"/>
        </w:rPr>
        <w:t xml:space="preserve"> Artículos 83 a 86 de la Ley 1474 de 2011.</w:t>
      </w:r>
    </w:p>
    <w:p w14:paraId="2B954BE9" w14:textId="77777777" w:rsidR="00B3414C" w:rsidRPr="00A42A2D" w:rsidRDefault="00B3414C" w:rsidP="00B3414C">
      <w:pPr>
        <w:pStyle w:val="Textonotapie"/>
        <w:ind w:firstLine="709"/>
        <w:jc w:val="both"/>
        <w:rPr>
          <w:rFonts w:ascii="Verdana" w:hAnsi="Verdana"/>
          <w:sz w:val="16"/>
          <w:szCs w:val="16"/>
        </w:rPr>
      </w:pPr>
    </w:p>
  </w:footnote>
  <w:footnote w:id="5">
    <w:p w14:paraId="198DE7B0" w14:textId="77777777" w:rsidR="00B3414C" w:rsidRDefault="00B3414C" w:rsidP="00B3414C">
      <w:pPr>
        <w:pStyle w:val="Textonotapie"/>
        <w:ind w:firstLine="709"/>
        <w:jc w:val="both"/>
        <w:rPr>
          <w:rFonts w:ascii="Verdana" w:hAnsi="Verdana"/>
          <w:sz w:val="16"/>
          <w:szCs w:val="16"/>
        </w:rPr>
      </w:pPr>
      <w:r w:rsidRPr="00A42A2D">
        <w:rPr>
          <w:rFonts w:ascii="Verdana" w:hAnsi="Verdana"/>
          <w:sz w:val="16"/>
          <w:szCs w:val="16"/>
          <w:vertAlign w:val="superscript"/>
        </w:rPr>
        <w:footnoteRef/>
      </w:r>
      <w:r w:rsidRPr="00A42A2D">
        <w:rPr>
          <w:rFonts w:ascii="Verdana" w:hAnsi="Verdana"/>
          <w:sz w:val="16"/>
          <w:szCs w:val="16"/>
        </w:rPr>
        <w:t xml:space="preserve"> Consejo de Estado. Sección 3ª. Sentencia del 27 de noviembre de 2017. M.P. Jaime Orlando Santofimio. Exp. 51.802</w:t>
      </w:r>
      <w:r>
        <w:rPr>
          <w:rFonts w:ascii="Verdana" w:hAnsi="Verdana"/>
          <w:sz w:val="16"/>
          <w:szCs w:val="16"/>
        </w:rPr>
        <w:t>.</w:t>
      </w:r>
    </w:p>
    <w:p w14:paraId="73FE0DB2" w14:textId="77777777" w:rsidR="00B3414C" w:rsidRPr="00A42A2D" w:rsidRDefault="00B3414C" w:rsidP="00B3414C">
      <w:pPr>
        <w:pStyle w:val="Textonotapie"/>
        <w:ind w:firstLine="709"/>
        <w:jc w:val="both"/>
        <w:rPr>
          <w:rFonts w:ascii="Verdana" w:hAnsi="Verdana"/>
          <w:sz w:val="16"/>
          <w:szCs w:val="16"/>
        </w:rPr>
      </w:pPr>
    </w:p>
  </w:footnote>
  <w:footnote w:id="6">
    <w:p w14:paraId="74605FCB" w14:textId="77777777" w:rsidR="00B3414C" w:rsidRDefault="00B3414C" w:rsidP="00B3414C">
      <w:pPr>
        <w:pStyle w:val="Textonotapie"/>
        <w:ind w:firstLine="709"/>
        <w:jc w:val="both"/>
        <w:rPr>
          <w:rFonts w:ascii="Verdana" w:hAnsi="Verdana"/>
          <w:sz w:val="16"/>
          <w:szCs w:val="16"/>
        </w:rPr>
      </w:pPr>
      <w:r w:rsidRPr="00A42A2D">
        <w:rPr>
          <w:rFonts w:ascii="Verdana" w:hAnsi="Verdana"/>
          <w:sz w:val="16"/>
          <w:szCs w:val="16"/>
          <w:vertAlign w:val="superscript"/>
        </w:rPr>
        <w:footnoteRef/>
      </w:r>
      <w:r w:rsidRPr="00A42A2D">
        <w:rPr>
          <w:rFonts w:ascii="Verdana" w:hAnsi="Verdana"/>
          <w:sz w:val="16"/>
          <w:szCs w:val="16"/>
        </w:rPr>
        <w:t xml:space="preserve"> Artículo 83 de la Ley 1474 de 2011</w:t>
      </w:r>
      <w:r>
        <w:rPr>
          <w:rFonts w:ascii="Verdana" w:hAnsi="Verdana"/>
          <w:sz w:val="16"/>
          <w:szCs w:val="16"/>
        </w:rPr>
        <w:t>.</w:t>
      </w:r>
    </w:p>
    <w:p w14:paraId="3047F1F2" w14:textId="77777777" w:rsidR="00B3414C" w:rsidRPr="00A42A2D" w:rsidRDefault="00B3414C" w:rsidP="00B3414C">
      <w:pPr>
        <w:pStyle w:val="Textonotapie"/>
        <w:ind w:firstLine="709"/>
        <w:jc w:val="both"/>
        <w:rPr>
          <w:rFonts w:ascii="Verdana" w:hAnsi="Verdana"/>
          <w:sz w:val="16"/>
          <w:szCs w:val="16"/>
        </w:rPr>
      </w:pPr>
    </w:p>
  </w:footnote>
  <w:footnote w:id="7">
    <w:p w14:paraId="5319ACDA" w14:textId="77777777" w:rsidR="00B3414C" w:rsidRDefault="00B3414C" w:rsidP="00B3414C">
      <w:pPr>
        <w:pStyle w:val="Textonotapie"/>
        <w:ind w:firstLine="709"/>
        <w:jc w:val="both"/>
        <w:rPr>
          <w:rFonts w:ascii="Verdana" w:hAnsi="Verdana"/>
          <w:sz w:val="16"/>
          <w:szCs w:val="16"/>
        </w:rPr>
      </w:pPr>
      <w:r w:rsidRPr="00A42A2D">
        <w:rPr>
          <w:rFonts w:ascii="Verdana" w:hAnsi="Verdana"/>
          <w:sz w:val="16"/>
          <w:szCs w:val="16"/>
          <w:vertAlign w:val="superscript"/>
        </w:rPr>
        <w:footnoteRef/>
      </w:r>
      <w:r w:rsidRPr="00A42A2D">
        <w:rPr>
          <w:rFonts w:ascii="Verdana" w:hAnsi="Verdana"/>
          <w:sz w:val="16"/>
          <w:szCs w:val="16"/>
        </w:rPr>
        <w:t xml:space="preserve"> A excepción de la interventoría del contrato de obra adjudicado por licitación pública que es obligatoria según el numeral 1° del artículo 32 de la Ley 80 de 1993.</w:t>
      </w:r>
    </w:p>
    <w:p w14:paraId="1B08FC2B" w14:textId="77777777" w:rsidR="00B3414C" w:rsidRPr="00A42A2D" w:rsidRDefault="00B3414C" w:rsidP="00B3414C">
      <w:pPr>
        <w:pStyle w:val="Textonotapie"/>
        <w:ind w:firstLine="709"/>
        <w:jc w:val="both"/>
        <w:rPr>
          <w:rFonts w:ascii="Verdana" w:hAnsi="Verdana"/>
          <w:sz w:val="16"/>
          <w:szCs w:val="16"/>
        </w:rPr>
      </w:pPr>
    </w:p>
  </w:footnote>
  <w:footnote w:id="8">
    <w:p w14:paraId="42BEB059" w14:textId="77777777" w:rsidR="00B3414C" w:rsidRDefault="00B3414C" w:rsidP="00B3414C">
      <w:pPr>
        <w:pStyle w:val="Textonotapie"/>
        <w:ind w:firstLine="709"/>
        <w:jc w:val="both"/>
        <w:rPr>
          <w:rFonts w:ascii="Verdana" w:hAnsi="Verdana" w:cs="Arial"/>
          <w:color w:val="000000"/>
          <w:sz w:val="16"/>
          <w:szCs w:val="16"/>
        </w:rPr>
      </w:pPr>
      <w:r w:rsidRPr="00A42A2D">
        <w:rPr>
          <w:rFonts w:ascii="Verdana" w:hAnsi="Verdana" w:cs="Arial"/>
          <w:color w:val="000000"/>
          <w:sz w:val="16"/>
          <w:szCs w:val="16"/>
          <w:vertAlign w:val="superscript"/>
        </w:rPr>
        <w:footnoteRef/>
      </w:r>
      <w:r w:rsidRPr="00A42A2D">
        <w:rPr>
          <w:rFonts w:ascii="Verdana" w:hAnsi="Verdana" w:cs="Arial"/>
          <w:color w:val="000000"/>
          <w:sz w:val="16"/>
          <w:szCs w:val="16"/>
        </w:rPr>
        <w:t xml:space="preserve"> En las Gacetas Nos. 607 y 784 de 2010, en las páginas 12 y 24, respectivamente, se da cuenta de esto.</w:t>
      </w:r>
    </w:p>
    <w:p w14:paraId="28801F0D" w14:textId="77777777" w:rsidR="00B3414C" w:rsidRPr="00A42A2D" w:rsidRDefault="00B3414C" w:rsidP="00B3414C">
      <w:pPr>
        <w:pStyle w:val="Textonotapie"/>
        <w:ind w:firstLine="709"/>
        <w:jc w:val="both"/>
        <w:rPr>
          <w:rFonts w:ascii="Verdana" w:hAnsi="Verdana" w:cs="Arial"/>
          <w:color w:val="000000"/>
          <w:sz w:val="16"/>
          <w:szCs w:val="16"/>
        </w:rPr>
      </w:pPr>
    </w:p>
  </w:footnote>
  <w:footnote w:id="9">
    <w:p w14:paraId="5633EB98" w14:textId="77777777" w:rsidR="00B3414C" w:rsidRPr="00A42A2D" w:rsidRDefault="00B3414C" w:rsidP="00B3414C">
      <w:pPr>
        <w:pStyle w:val="Textonotapie"/>
        <w:ind w:firstLine="709"/>
        <w:jc w:val="both"/>
        <w:rPr>
          <w:rFonts w:ascii="Verdana" w:hAnsi="Verdana" w:cs="Arial"/>
          <w:color w:val="000000"/>
          <w:sz w:val="16"/>
          <w:szCs w:val="16"/>
        </w:rPr>
      </w:pPr>
      <w:r w:rsidRPr="00A42A2D">
        <w:rPr>
          <w:rFonts w:ascii="Verdana" w:hAnsi="Verdana" w:cs="Arial"/>
          <w:color w:val="000000"/>
          <w:sz w:val="16"/>
          <w:szCs w:val="16"/>
          <w:vertAlign w:val="superscript"/>
        </w:rPr>
        <w:footnoteRef/>
      </w:r>
      <w:r w:rsidRPr="00A42A2D">
        <w:rPr>
          <w:rFonts w:ascii="Verdana" w:hAnsi="Verdana" w:cs="Arial"/>
          <w:color w:val="000000"/>
          <w:sz w:val="16"/>
          <w:szCs w:val="16"/>
        </w:rPr>
        <w:t xml:space="preserve"> Ver las Gacetas Nos. 1002 y 1117 de 2010, en las páginas 44 y 13, respectivamente.</w:t>
      </w:r>
    </w:p>
  </w:footnote>
  <w:footnote w:id="10">
    <w:p w14:paraId="20E21710" w14:textId="77777777" w:rsidR="00B3414C" w:rsidRDefault="00B3414C" w:rsidP="00B3414C">
      <w:pPr>
        <w:pStyle w:val="Textonotapie"/>
        <w:ind w:firstLine="709"/>
        <w:jc w:val="both"/>
        <w:rPr>
          <w:rFonts w:ascii="Verdana" w:hAnsi="Verdana" w:cs="Arial"/>
          <w:color w:val="000000"/>
          <w:sz w:val="16"/>
          <w:szCs w:val="16"/>
        </w:rPr>
      </w:pPr>
    </w:p>
    <w:p w14:paraId="1C9B896C" w14:textId="77777777" w:rsidR="00B3414C" w:rsidRPr="00A42A2D" w:rsidRDefault="00B3414C" w:rsidP="00B3414C">
      <w:pPr>
        <w:pStyle w:val="Textonotapie"/>
        <w:ind w:firstLine="709"/>
        <w:jc w:val="both"/>
        <w:rPr>
          <w:rFonts w:ascii="Verdana" w:hAnsi="Verdana" w:cs="Arial"/>
          <w:color w:val="000000"/>
          <w:sz w:val="16"/>
          <w:szCs w:val="16"/>
        </w:rPr>
      </w:pPr>
      <w:r w:rsidRPr="00A42A2D">
        <w:rPr>
          <w:rFonts w:ascii="Verdana" w:hAnsi="Verdana" w:cs="Arial"/>
          <w:color w:val="000000"/>
          <w:sz w:val="16"/>
          <w:szCs w:val="16"/>
          <w:vertAlign w:val="superscript"/>
        </w:rPr>
        <w:footnoteRef/>
      </w:r>
      <w:r w:rsidRPr="00A42A2D">
        <w:rPr>
          <w:rFonts w:ascii="Verdana" w:hAnsi="Verdana" w:cs="Arial"/>
          <w:color w:val="000000"/>
          <w:sz w:val="16"/>
          <w:szCs w:val="16"/>
        </w:rPr>
        <w:t xml:space="preserve"> Ver la Gaceta No. 019 de 2011, en la página 17.</w:t>
      </w:r>
    </w:p>
  </w:footnote>
  <w:footnote w:id="11">
    <w:p w14:paraId="15F3A816" w14:textId="77777777" w:rsidR="00B3414C" w:rsidRDefault="00B3414C" w:rsidP="00B3414C">
      <w:pPr>
        <w:pStyle w:val="Textonotapie"/>
        <w:ind w:firstLine="709"/>
        <w:jc w:val="both"/>
        <w:rPr>
          <w:rFonts w:ascii="Verdana" w:hAnsi="Verdana" w:cs="Arial"/>
          <w:color w:val="000000"/>
          <w:sz w:val="16"/>
          <w:szCs w:val="16"/>
        </w:rPr>
      </w:pPr>
    </w:p>
    <w:p w14:paraId="3F842225" w14:textId="77777777" w:rsidR="00B3414C" w:rsidRPr="00A42A2D" w:rsidRDefault="00B3414C" w:rsidP="00B3414C">
      <w:pPr>
        <w:pStyle w:val="Textonotapie"/>
        <w:ind w:firstLine="709"/>
        <w:jc w:val="both"/>
        <w:rPr>
          <w:rFonts w:ascii="Verdana" w:hAnsi="Verdana" w:cs="Arial"/>
          <w:color w:val="000000"/>
          <w:sz w:val="16"/>
          <w:szCs w:val="16"/>
        </w:rPr>
      </w:pPr>
      <w:r w:rsidRPr="00A42A2D">
        <w:rPr>
          <w:rFonts w:ascii="Verdana" w:hAnsi="Verdana" w:cs="Arial"/>
          <w:color w:val="000000"/>
          <w:sz w:val="16"/>
          <w:szCs w:val="16"/>
          <w:vertAlign w:val="superscript"/>
        </w:rPr>
        <w:footnoteRef/>
      </w:r>
      <w:r w:rsidRPr="00A42A2D">
        <w:rPr>
          <w:rFonts w:ascii="Verdana" w:hAnsi="Verdana" w:cs="Arial"/>
          <w:color w:val="000000"/>
          <w:sz w:val="16"/>
          <w:szCs w:val="16"/>
        </w:rPr>
        <w:t xml:space="preserve"> Ver la Gaceta No. 128 de 2011, en la página 20.</w:t>
      </w:r>
    </w:p>
  </w:footnote>
  <w:footnote w:id="12">
    <w:p w14:paraId="4B1EAA3A" w14:textId="77777777" w:rsidR="00B3414C" w:rsidRDefault="00B3414C" w:rsidP="00B3414C">
      <w:pPr>
        <w:pStyle w:val="Textonotapie"/>
        <w:ind w:firstLine="709"/>
        <w:jc w:val="both"/>
        <w:rPr>
          <w:rFonts w:ascii="Verdana" w:hAnsi="Verdana" w:cs="Arial"/>
          <w:color w:val="000000"/>
          <w:sz w:val="16"/>
          <w:szCs w:val="16"/>
        </w:rPr>
      </w:pPr>
    </w:p>
    <w:p w14:paraId="7275432A" w14:textId="77777777" w:rsidR="00B3414C" w:rsidRPr="00A42A2D" w:rsidRDefault="00B3414C" w:rsidP="00B3414C">
      <w:pPr>
        <w:pStyle w:val="Textonotapie"/>
        <w:ind w:firstLine="709"/>
        <w:jc w:val="both"/>
        <w:rPr>
          <w:rFonts w:ascii="Verdana" w:hAnsi="Verdana" w:cs="Arial"/>
          <w:color w:val="000000"/>
          <w:sz w:val="16"/>
          <w:szCs w:val="16"/>
        </w:rPr>
      </w:pPr>
      <w:r w:rsidRPr="00A42A2D">
        <w:rPr>
          <w:rFonts w:ascii="Verdana" w:hAnsi="Verdana" w:cs="Arial"/>
          <w:color w:val="000000"/>
          <w:sz w:val="16"/>
          <w:szCs w:val="16"/>
          <w:vertAlign w:val="superscript"/>
        </w:rPr>
        <w:footnoteRef/>
      </w:r>
      <w:r w:rsidRPr="00A42A2D">
        <w:rPr>
          <w:rFonts w:ascii="Verdana" w:hAnsi="Verdana" w:cs="Arial"/>
          <w:color w:val="000000"/>
          <w:sz w:val="16"/>
          <w:szCs w:val="16"/>
        </w:rPr>
        <w:t xml:space="preserve"> Ver la Gaceta No. 258 de 2011, en la página 16.</w:t>
      </w:r>
    </w:p>
  </w:footnote>
  <w:footnote w:id="13">
    <w:p w14:paraId="179EA922" w14:textId="77777777" w:rsidR="00B3414C" w:rsidRDefault="00B3414C" w:rsidP="00B3414C">
      <w:pPr>
        <w:pStyle w:val="Textonotapie"/>
        <w:ind w:firstLine="709"/>
        <w:jc w:val="both"/>
        <w:rPr>
          <w:rFonts w:ascii="Verdana" w:hAnsi="Verdana" w:cs="Arial"/>
          <w:color w:val="000000"/>
          <w:sz w:val="16"/>
          <w:szCs w:val="16"/>
        </w:rPr>
      </w:pPr>
    </w:p>
    <w:p w14:paraId="3CCB2F08" w14:textId="77777777" w:rsidR="00B3414C" w:rsidRDefault="00B3414C" w:rsidP="00B3414C">
      <w:pPr>
        <w:pStyle w:val="Textonotapie"/>
        <w:ind w:firstLine="709"/>
        <w:jc w:val="both"/>
        <w:rPr>
          <w:rFonts w:ascii="Verdana" w:hAnsi="Verdana" w:cs="Arial"/>
          <w:color w:val="000000"/>
          <w:sz w:val="16"/>
          <w:szCs w:val="16"/>
        </w:rPr>
      </w:pPr>
      <w:r w:rsidRPr="00A42A2D">
        <w:rPr>
          <w:rFonts w:ascii="Verdana" w:hAnsi="Verdana" w:cs="Arial"/>
          <w:color w:val="000000"/>
          <w:sz w:val="16"/>
          <w:szCs w:val="16"/>
          <w:vertAlign w:val="superscript"/>
        </w:rPr>
        <w:footnoteRef/>
      </w:r>
      <w:r w:rsidRPr="00A42A2D">
        <w:rPr>
          <w:rFonts w:ascii="Verdana" w:hAnsi="Verdana" w:cs="Arial"/>
          <w:color w:val="000000"/>
          <w:sz w:val="16"/>
          <w:szCs w:val="16"/>
        </w:rPr>
        <w:t xml:space="preserve"> Ver las Gacetas Nos. 1002 y 1117 de 2010.</w:t>
      </w:r>
    </w:p>
    <w:p w14:paraId="59D809CA" w14:textId="77777777" w:rsidR="00B3414C" w:rsidRPr="00A42A2D" w:rsidRDefault="00B3414C" w:rsidP="00B3414C">
      <w:pPr>
        <w:pStyle w:val="Textonotapie"/>
        <w:ind w:firstLine="709"/>
        <w:jc w:val="both"/>
        <w:rPr>
          <w:rFonts w:ascii="Verdana" w:hAnsi="Verdana" w:cs="Arial"/>
          <w:color w:val="000000"/>
          <w:sz w:val="16"/>
          <w:szCs w:val="16"/>
        </w:rPr>
      </w:pPr>
    </w:p>
  </w:footnote>
  <w:footnote w:id="14">
    <w:p w14:paraId="4FFC79F3" w14:textId="77777777" w:rsidR="00B3414C" w:rsidRPr="00A42A2D" w:rsidRDefault="00B3414C" w:rsidP="00B3414C">
      <w:pPr>
        <w:pStyle w:val="Textonotapie"/>
        <w:ind w:firstLine="709"/>
        <w:jc w:val="both"/>
        <w:rPr>
          <w:rFonts w:ascii="Verdana" w:hAnsi="Verdana" w:cs="Arial"/>
          <w:color w:val="000000"/>
          <w:sz w:val="16"/>
          <w:szCs w:val="16"/>
        </w:rPr>
      </w:pPr>
      <w:r w:rsidRPr="00A42A2D">
        <w:rPr>
          <w:rFonts w:ascii="Verdana" w:hAnsi="Verdana" w:cs="Arial"/>
          <w:color w:val="000000"/>
          <w:sz w:val="16"/>
          <w:szCs w:val="16"/>
          <w:vertAlign w:val="superscript"/>
        </w:rPr>
        <w:footnoteRef/>
      </w:r>
      <w:r w:rsidRPr="00A42A2D">
        <w:rPr>
          <w:rFonts w:ascii="Verdana" w:hAnsi="Verdana" w:cs="Arial"/>
          <w:color w:val="000000"/>
          <w:sz w:val="16"/>
          <w:szCs w:val="16"/>
        </w:rPr>
        <w:t xml:space="preserve"> Consejo de Estado, Sección Tercera, Subsección A. Radicado No. 27426. C.P. Ramiro Pazos Guerrero.</w:t>
      </w:r>
    </w:p>
  </w:footnote>
  <w:footnote w:id="15">
    <w:p w14:paraId="23DF4AE0" w14:textId="77777777" w:rsidR="00B3414C" w:rsidRPr="00A42A2D" w:rsidRDefault="00B3414C" w:rsidP="00B3414C">
      <w:pPr>
        <w:pStyle w:val="Textonotapie"/>
        <w:ind w:firstLine="709"/>
        <w:jc w:val="both"/>
        <w:rPr>
          <w:rFonts w:ascii="Verdana" w:hAnsi="Verdana" w:cs="Arial"/>
          <w:color w:val="000000"/>
          <w:sz w:val="16"/>
          <w:szCs w:val="16"/>
        </w:rPr>
      </w:pPr>
      <w:r w:rsidRPr="00A42A2D">
        <w:rPr>
          <w:rFonts w:ascii="Verdana" w:hAnsi="Verdana" w:cs="Arial"/>
          <w:color w:val="000000"/>
          <w:sz w:val="16"/>
          <w:szCs w:val="16"/>
          <w:vertAlign w:val="superscript"/>
        </w:rPr>
        <w:footnoteRef/>
      </w:r>
      <w:r w:rsidRPr="00A42A2D">
        <w:rPr>
          <w:rFonts w:ascii="Verdana" w:hAnsi="Verdana" w:cs="Arial"/>
          <w:color w:val="000000"/>
          <w:sz w:val="16"/>
          <w:szCs w:val="16"/>
        </w:rPr>
        <w:t xml:space="preserve"> Cita tomada del texto original: “Efectivamente, el artículo 83 de la Ley 1474 de 2011 prescribió: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 // Por regla general, no serán concurrentes en relación con un mismo contrato, las funciones de supervisión e interventoría. Sin embargo, la entidad puede dividir la vigilancia del contrato principal, caso en el cual en el contrato respectivo de interventoría, se deberán indicar las actividades técnicas a cargo del interventor y las demás quedarán a cargo de la Entidad a través del supervisor. // El contrato de Interventoría será supervisado directamente por la entidad estatal”.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5pt;height:11.6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5CFB"/>
    <w:rsid w:val="000F6486"/>
    <w:rsid w:val="00116940"/>
    <w:rsid w:val="00125105"/>
    <w:rsid w:val="00127233"/>
    <w:rsid w:val="0015699B"/>
    <w:rsid w:val="001A33BF"/>
    <w:rsid w:val="001E4177"/>
    <w:rsid w:val="001F0B24"/>
    <w:rsid w:val="001F7DC6"/>
    <w:rsid w:val="00206C6C"/>
    <w:rsid w:val="0022400B"/>
    <w:rsid w:val="00226464"/>
    <w:rsid w:val="00240226"/>
    <w:rsid w:val="002421BB"/>
    <w:rsid w:val="0025796E"/>
    <w:rsid w:val="002612B8"/>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3507E"/>
    <w:rsid w:val="0044528D"/>
    <w:rsid w:val="00464BDE"/>
    <w:rsid w:val="00466E39"/>
    <w:rsid w:val="00481885"/>
    <w:rsid w:val="004A1847"/>
    <w:rsid w:val="004A305D"/>
    <w:rsid w:val="004F21C4"/>
    <w:rsid w:val="004F685F"/>
    <w:rsid w:val="005566E8"/>
    <w:rsid w:val="00574867"/>
    <w:rsid w:val="00591460"/>
    <w:rsid w:val="005A65E0"/>
    <w:rsid w:val="005C3777"/>
    <w:rsid w:val="005C5CDC"/>
    <w:rsid w:val="005D476C"/>
    <w:rsid w:val="005E3B4E"/>
    <w:rsid w:val="006104E8"/>
    <w:rsid w:val="006200BF"/>
    <w:rsid w:val="006219F8"/>
    <w:rsid w:val="006302F7"/>
    <w:rsid w:val="00646B9F"/>
    <w:rsid w:val="00665D70"/>
    <w:rsid w:val="006900D9"/>
    <w:rsid w:val="006D2667"/>
    <w:rsid w:val="006E478E"/>
    <w:rsid w:val="00706C16"/>
    <w:rsid w:val="007340C3"/>
    <w:rsid w:val="0075235A"/>
    <w:rsid w:val="00756841"/>
    <w:rsid w:val="007649AB"/>
    <w:rsid w:val="00771D0C"/>
    <w:rsid w:val="007833AC"/>
    <w:rsid w:val="007B2182"/>
    <w:rsid w:val="007B268C"/>
    <w:rsid w:val="007B7171"/>
    <w:rsid w:val="007C0C0F"/>
    <w:rsid w:val="007C3DC2"/>
    <w:rsid w:val="007E5497"/>
    <w:rsid w:val="00806F5F"/>
    <w:rsid w:val="00820278"/>
    <w:rsid w:val="008258C9"/>
    <w:rsid w:val="00844AE9"/>
    <w:rsid w:val="00867F95"/>
    <w:rsid w:val="008843B6"/>
    <w:rsid w:val="00891928"/>
    <w:rsid w:val="008A19C2"/>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1770"/>
    <w:rsid w:val="009D3058"/>
    <w:rsid w:val="009F3A13"/>
    <w:rsid w:val="00A122D3"/>
    <w:rsid w:val="00A14468"/>
    <w:rsid w:val="00A17F13"/>
    <w:rsid w:val="00A20739"/>
    <w:rsid w:val="00A23AF9"/>
    <w:rsid w:val="00A33C78"/>
    <w:rsid w:val="00A95332"/>
    <w:rsid w:val="00AB0ADB"/>
    <w:rsid w:val="00B00C0E"/>
    <w:rsid w:val="00B01B1A"/>
    <w:rsid w:val="00B0381D"/>
    <w:rsid w:val="00B3414C"/>
    <w:rsid w:val="00B44A47"/>
    <w:rsid w:val="00B72CD3"/>
    <w:rsid w:val="00B72FFF"/>
    <w:rsid w:val="00B87B8A"/>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E0BC1"/>
    <w:rsid w:val="00DF5254"/>
    <w:rsid w:val="00E02524"/>
    <w:rsid w:val="00E16408"/>
    <w:rsid w:val="00E20894"/>
    <w:rsid w:val="00E245AB"/>
    <w:rsid w:val="00E2764C"/>
    <w:rsid w:val="00E27F2E"/>
    <w:rsid w:val="00E50AFE"/>
    <w:rsid w:val="00E75C92"/>
    <w:rsid w:val="00E771DC"/>
    <w:rsid w:val="00E8473B"/>
    <w:rsid w:val="00E8772A"/>
    <w:rsid w:val="00E90F6B"/>
    <w:rsid w:val="00E92C27"/>
    <w:rsid w:val="00EA0E3D"/>
    <w:rsid w:val="00EC38A7"/>
    <w:rsid w:val="00EE1AA8"/>
    <w:rsid w:val="00EE5DE3"/>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1285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7" Type="http://schemas.openxmlformats.org/officeDocument/2006/relationships/hyperlink" Target="https://nam02.safelinks.protection.outlook.com/?url=https%3A%2F%2Fwww.colombiacompra.gov.co%2Farchivos%2Fboletin%2Fboletin-edicion-n-3-de-2026-radar-de-la-compra-publica&amp;data=05%7C02%7Cximena.rios%40colombiacompra.gov.co%7C7128555136e04fa6887d08dee99e1b50%7C7b09041e245149d08cb179d5e3d8c1be%7C0%7C0%7C639205062450600483%7CUnknown%7CTWFpbGZsb3d8eyJFbXB0eU1hcGkiOnRydWUsIlYiOiIwLjAuMDAwMCIsIlAiOiJXaW4zMiIsIkFOIjoiTWFpbCIsIldUIjoyfQ%3D%3D%7C0%7C%7C%7C&amp;sdata=uYs%2B3QwtSZHgVJvlXP%2BmhySC1Jrm7vHXFmaHOtfNQ14%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ximena.rios%40colombiacompra.gov.co%7C7128555136e04fa6887d08dee99e1b50%7C7b09041e245149d08cb179d5e3d8c1be%7C0%7C0%7C639205062450582020%7CUnknown%7CTWFpbGZsb3d8eyJFbXB0eU1hcGkiOnRydWUsIlYiOiIwLjAuMDAwMCIsIlAiOiJXaW4zMiIsIkFOIjoiTWFpbCIsIldUIjoyfQ%3D%3D%7C0%7C%7C%7C&amp;sdata=rcNHkjlfUnBT10qBN9hOC13nRPZK9MU4FLtUNXV3C%2F0%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ximena.rios%40colombiacompra.gov.co%7C7128555136e04fa6887d08dee99e1b50%7C7b09041e245149d08cb179d5e3d8c1be%7C0%7C0%7C639205062450563347%7CUnknown%7CTWFpbGZsb3d8eyJFbXB0eU1hcGkiOnRydWUsIlYiOiIwLjAuMDAwMCIsIlAiOiJXaW4zMiIsIkFOIjoiTWFpbCIsIldUIjoyfQ%3D%3D%7C0%7C%7C%7C&amp;sdata=tosoK34OMgJQcSayY6AWxgpMG1zlr0nJO8iR5nyvlYo%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ximena.rios%40colombiacompra.gov.co%7C7128555136e04fa6887d08dee99e1b50%7C7b09041e245149d08cb179d5e3d8c1be%7C0%7C0%7C639205062450539116%7CUnknown%7CTWFpbGZsb3d8eyJFbXB0eU1hcGkiOnRydWUsIlYiOiIwLjAuMDAwMCIsIlAiOiJXaW4zMiIsIkFOIjoiTWFpbCIsIldUIjoyfQ%3D%3D%7C0%7C%7C%7C&amp;sdata=CfPCOpuJcdBVx4A4Es00qhtHeb0EXqpLtjJ3sidG7qc%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5FCCB4-6AF3-4FC4-83F7-E85EC613F886}"/>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15</Pages>
  <Words>5057</Words>
  <Characters>27816</Characters>
  <Application>Microsoft Office Word</Application>
  <DocSecurity>0</DocSecurity>
  <Lines>231</Lines>
  <Paragraphs>65</Paragraphs>
  <ScaleCrop>false</ScaleCrop>
  <Company/>
  <LinksUpToDate>false</LinksUpToDate>
  <CharactersWithSpaces>32808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4</cp:revision>
  <cp:lastPrinted>2023-01-10T21:18:00Z</cp:lastPrinted>
  <dcterms:created xsi:type="dcterms:W3CDTF">2026-10-19T15:24:00Z</dcterms:created>
  <dcterms:modified xsi:type="dcterms:W3CDTF">2026-10-21T13:56:00Z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