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DB2D4" w14:textId="77777777" w:rsidR="00A06931" w:rsidRPr="00893400" w:rsidRDefault="00A06931" w:rsidP="00A06931">
      <w:pPr>
        <w:spacing w:after="0" w:line="240" w:lineRule="auto"/>
        <w:rPr>
          <w:rFonts w:ascii="Verdana" w:eastAsia="Calibri" w:hAnsi="Verdana" w:cs="Arial"/>
          <w:b/>
          <w:bCs/>
          <w:lang w:val="es-ES" w:eastAsia="es-ES"/>
        </w:rPr>
      </w:pPr>
      <w:bookmarkStart w:id="0" w:name="_Hlk186494164"/>
      <w:bookmarkStart w:id="1" w:name="_Hlk143780582"/>
      <w:r w:rsidRPr="00893400">
        <w:rPr>
          <w:rFonts w:ascii="Verdana" w:eastAsia="Calibri" w:hAnsi="Verdana" w:cs="Arial"/>
          <w:b/>
          <w:bCs/>
          <w:lang w:val="es-ES" w:eastAsia="es-ES"/>
        </w:rPr>
        <w:t xml:space="preserve">SISTEMA GENERAL DE REGALÍAS – Ley 2056 de 2020 – artículo 37 </w:t>
      </w:r>
    </w:p>
    <w:p w14:paraId="13021B9A" w14:textId="77777777" w:rsidR="00A06931" w:rsidRPr="00A06931" w:rsidRDefault="00A06931" w:rsidP="00A06931">
      <w:pPr>
        <w:spacing w:after="0" w:line="240" w:lineRule="auto"/>
        <w:jc w:val="both"/>
        <w:rPr>
          <w:rFonts w:ascii="Verdana" w:hAnsi="Verdana" w:cs="Arial"/>
          <w:noProof/>
          <w:sz w:val="20"/>
          <w:szCs w:val="20"/>
          <w:lang w:val="es-ES_tradnl"/>
        </w:rPr>
      </w:pPr>
    </w:p>
    <w:p w14:paraId="52E99958" w14:textId="77777777" w:rsidR="00A06931" w:rsidRPr="00A06931" w:rsidRDefault="00A06931" w:rsidP="00A06931">
      <w:pPr>
        <w:spacing w:after="0" w:line="240" w:lineRule="auto"/>
        <w:jc w:val="both"/>
        <w:rPr>
          <w:rFonts w:ascii="Verdana" w:hAnsi="Verdana" w:cs="Arial"/>
          <w:noProof/>
          <w:sz w:val="20"/>
          <w:szCs w:val="20"/>
          <w:lang w:val="es-ES_tradnl"/>
        </w:rPr>
      </w:pPr>
      <w:r w:rsidRPr="00A06931">
        <w:rPr>
          <w:rFonts w:ascii="Verdana" w:hAnsi="Verdana" w:cs="Arial"/>
          <w:noProof/>
          <w:sz w:val="20"/>
          <w:szCs w:val="20"/>
          <w:lang w:val="es-ES_tradnl"/>
        </w:rPr>
        <w:t xml:space="preserve">En </w:t>
      </w:r>
      <w:r w:rsidRPr="00A06931">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66AC99DC" w14:textId="77777777" w:rsidR="00A06931" w:rsidRPr="00A06931" w:rsidRDefault="00A06931" w:rsidP="00A06931">
      <w:pPr>
        <w:spacing w:after="0" w:line="240" w:lineRule="auto"/>
        <w:jc w:val="both"/>
        <w:rPr>
          <w:rFonts w:ascii="Verdana" w:hAnsi="Verdana" w:cs="Arial"/>
          <w:noProof/>
          <w:sz w:val="20"/>
          <w:szCs w:val="20"/>
        </w:rPr>
      </w:pPr>
    </w:p>
    <w:p w14:paraId="06978569" w14:textId="77777777" w:rsidR="00A06931" w:rsidRPr="00A06931" w:rsidRDefault="00A06931" w:rsidP="00A06931">
      <w:pPr>
        <w:spacing w:after="0" w:line="240" w:lineRule="auto"/>
        <w:jc w:val="both"/>
        <w:rPr>
          <w:rFonts w:ascii="Verdana" w:hAnsi="Verdana" w:cs="Arial"/>
          <w:noProof/>
          <w:sz w:val="20"/>
          <w:szCs w:val="20"/>
        </w:rPr>
      </w:pPr>
      <w:r w:rsidRPr="00A06931">
        <w:rPr>
          <w:rFonts w:ascii="Verdana" w:hAnsi="Verdana" w:cs="Arial"/>
          <w:noProof/>
          <w:sz w:val="20"/>
          <w:szCs w:val="20"/>
        </w:rPr>
        <w:t xml:space="preserve">Los parágrafos del señalado artículo 37 disponen reglas importantes frente a la designación de los ejecutores de los proyectos y el régimen de contratación que deberá regir su actuación. El parágrafo primero del artículo 37 ibidem dispone que “La ejecución de proyectos de que trata este artículo, se adelantará, con estricta sujeción al régimen presupuestal definido en esta ley, al de contratación pública y las demás normas legales vigentes” .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Sistema General de Regalías. </w:t>
      </w:r>
    </w:p>
    <w:p w14:paraId="7DE5C39D" w14:textId="77777777" w:rsidR="00A06931" w:rsidRPr="00A06931" w:rsidRDefault="00A06931" w:rsidP="00A06931">
      <w:pPr>
        <w:spacing w:after="0" w:line="240" w:lineRule="auto"/>
        <w:jc w:val="both"/>
        <w:rPr>
          <w:rFonts w:ascii="Verdana" w:hAnsi="Verdana" w:cs="Arial"/>
          <w:noProof/>
          <w:sz w:val="20"/>
          <w:szCs w:val="20"/>
        </w:rPr>
      </w:pPr>
    </w:p>
    <w:p w14:paraId="728E6042" w14:textId="77777777" w:rsidR="00A06931" w:rsidRPr="00A06931" w:rsidRDefault="00A06931" w:rsidP="00A06931">
      <w:pPr>
        <w:spacing w:after="0" w:line="240" w:lineRule="auto"/>
        <w:jc w:val="both"/>
        <w:rPr>
          <w:rFonts w:ascii="Verdana" w:hAnsi="Verdana" w:cs="Arial"/>
          <w:noProof/>
          <w:sz w:val="20"/>
          <w:szCs w:val="20"/>
        </w:rPr>
      </w:pPr>
      <w:r w:rsidRPr="00A06931">
        <w:rPr>
          <w:rFonts w:ascii="Verdana" w:hAnsi="Verdana" w:cs="Arial"/>
          <w:noProof/>
          <w:sz w:val="20"/>
          <w:szCs w:val="20"/>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w:t>
      </w:r>
    </w:p>
    <w:p w14:paraId="5B0FB87D" w14:textId="77777777" w:rsidR="00A06931" w:rsidRPr="00A06931" w:rsidRDefault="00A06931" w:rsidP="00A06931">
      <w:pPr>
        <w:spacing w:after="0" w:line="240" w:lineRule="auto"/>
        <w:jc w:val="both"/>
        <w:rPr>
          <w:rFonts w:ascii="Verdana" w:hAnsi="Verdana" w:cs="Arial"/>
          <w:noProof/>
          <w:sz w:val="20"/>
          <w:szCs w:val="20"/>
        </w:rPr>
      </w:pPr>
    </w:p>
    <w:p w14:paraId="05257EA3" w14:textId="77777777" w:rsidR="00A06931" w:rsidRPr="00A06931" w:rsidRDefault="00A06931" w:rsidP="00A06931">
      <w:pPr>
        <w:jc w:val="both"/>
        <w:rPr>
          <w:rFonts w:ascii="Verdana" w:eastAsia="Calibri" w:hAnsi="Verdana" w:cs="Arial"/>
          <w:b/>
          <w:bCs/>
          <w:lang w:val="es-ES" w:eastAsia="es-ES"/>
        </w:rPr>
      </w:pPr>
      <w:r w:rsidRPr="00A06931">
        <w:rPr>
          <w:rFonts w:ascii="Verdana" w:eastAsia="Calibri" w:hAnsi="Verdana" w:cs="Arial"/>
          <w:b/>
          <w:bCs/>
          <w:lang w:val="es-ES" w:eastAsia="es-ES"/>
        </w:rPr>
        <w:t xml:space="preserve">RÉGIMEN CONTRACTUAL – Entidades ejecutoras – Régimen especial – Aplicación del Estatuto General de Contratación de la Administración Pública         </w:t>
      </w:r>
    </w:p>
    <w:p w14:paraId="0A77E3EC" w14:textId="77777777" w:rsidR="00A06931" w:rsidRPr="00A06931" w:rsidRDefault="00A06931" w:rsidP="00A06931">
      <w:pPr>
        <w:spacing w:after="0" w:line="240" w:lineRule="auto"/>
        <w:jc w:val="both"/>
        <w:rPr>
          <w:rFonts w:ascii="Verdana" w:eastAsia="Calibri" w:hAnsi="Verdana" w:cs="Arial"/>
          <w:color w:val="000000"/>
          <w:sz w:val="20"/>
          <w:szCs w:val="20"/>
          <w:lang w:val="es-ES" w:eastAsia="es-ES"/>
        </w:rPr>
      </w:pPr>
    </w:p>
    <w:p w14:paraId="346F8AC2" w14:textId="77777777" w:rsidR="00A06931" w:rsidRPr="00A06931" w:rsidRDefault="00A06931" w:rsidP="00A06931">
      <w:pPr>
        <w:spacing w:after="0" w:line="240" w:lineRule="auto"/>
        <w:jc w:val="both"/>
        <w:rPr>
          <w:rFonts w:ascii="Verdana" w:eastAsia="Calibri" w:hAnsi="Verdana" w:cs="Arial"/>
          <w:color w:val="000000"/>
          <w:sz w:val="20"/>
          <w:szCs w:val="20"/>
          <w:lang w:val="es-ES" w:eastAsia="es-ES"/>
        </w:rPr>
      </w:pPr>
      <w:r w:rsidRPr="00A06931">
        <w:rPr>
          <w:rFonts w:ascii="Verdana" w:eastAsia="Calibri" w:hAnsi="Verdana" w:cs="Arial"/>
          <w:color w:val="000000"/>
          <w:sz w:val="20"/>
          <w:szCs w:val="20"/>
          <w:lang w:val="es-ES" w:eastAsia="es-ES"/>
        </w:rPr>
        <w:t xml:space="preserve">Así las cosas, se ha sostenido </w:t>
      </w:r>
      <w:proofErr w:type="gramStart"/>
      <w:r w:rsidRPr="00A06931">
        <w:rPr>
          <w:rFonts w:ascii="Verdana" w:eastAsia="Calibri" w:hAnsi="Verdana" w:cs="Arial"/>
          <w:color w:val="000000"/>
          <w:sz w:val="20"/>
          <w:szCs w:val="20"/>
          <w:lang w:val="es-ES" w:eastAsia="es-ES"/>
        </w:rPr>
        <w:t>que</w:t>
      </w:r>
      <w:proofErr w:type="gramEnd"/>
      <w:r w:rsidRPr="00A06931">
        <w:rPr>
          <w:rFonts w:ascii="Verdana" w:eastAsia="Calibri" w:hAnsi="Verdana" w:cs="Arial"/>
          <w:color w:val="000000"/>
          <w:sz w:val="20"/>
          <w:szCs w:val="2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362B0CE5" w14:textId="77777777" w:rsidR="00A06931" w:rsidRPr="00A06931" w:rsidRDefault="00A06931" w:rsidP="00A06931">
      <w:pPr>
        <w:spacing w:after="0" w:line="240" w:lineRule="auto"/>
        <w:jc w:val="both"/>
        <w:rPr>
          <w:rFonts w:ascii="Verdana" w:eastAsia="Calibri" w:hAnsi="Verdana" w:cs="Arial"/>
          <w:color w:val="000000"/>
          <w:sz w:val="20"/>
          <w:szCs w:val="20"/>
          <w:lang w:val="es-ES" w:eastAsia="es-ES"/>
        </w:rPr>
      </w:pPr>
    </w:p>
    <w:p w14:paraId="2C9A6D8E" w14:textId="77777777" w:rsidR="00A06931" w:rsidRPr="00A06931" w:rsidRDefault="00A06931" w:rsidP="00A06931">
      <w:pPr>
        <w:spacing w:after="0" w:line="240" w:lineRule="auto"/>
        <w:jc w:val="both"/>
        <w:rPr>
          <w:rFonts w:ascii="Verdana" w:eastAsia="Calibri" w:hAnsi="Verdana" w:cs="Arial"/>
          <w:color w:val="000000"/>
          <w:sz w:val="20"/>
          <w:szCs w:val="20"/>
          <w:lang w:val="es-ES" w:eastAsia="es-ES"/>
        </w:rPr>
      </w:pPr>
      <w:r w:rsidRPr="00A06931">
        <w:rPr>
          <w:rFonts w:ascii="Verdana" w:eastAsia="Calibri" w:hAnsi="Verdana" w:cs="Arial"/>
          <w:color w:val="000000"/>
          <w:sz w:val="20"/>
          <w:szCs w:val="20"/>
          <w:lang w:val="es-ES" w:eastAsia="es-ES"/>
        </w:rPr>
        <w:t>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los Fondos Mixtos, cuando estas sean designadas ejecutoras de proyectos financiados con recursos del SGR.</w:t>
      </w:r>
    </w:p>
    <w:p w14:paraId="3B69BB8D" w14:textId="77777777" w:rsidR="00A06931" w:rsidRPr="00A06931" w:rsidRDefault="00A06931" w:rsidP="00A06931">
      <w:pPr>
        <w:spacing w:after="0" w:line="240" w:lineRule="auto"/>
        <w:jc w:val="both"/>
        <w:rPr>
          <w:rFonts w:ascii="Verdana" w:eastAsia="Calibri" w:hAnsi="Verdana" w:cs="Arial"/>
          <w:color w:val="000000"/>
          <w:sz w:val="20"/>
          <w:szCs w:val="20"/>
          <w:lang w:val="es-ES" w:eastAsia="es-ES"/>
        </w:rPr>
      </w:pPr>
    </w:p>
    <w:p w14:paraId="624CD754" w14:textId="77777777" w:rsidR="00A06931" w:rsidRPr="00A06931" w:rsidRDefault="00A06931" w:rsidP="00A06931">
      <w:pPr>
        <w:spacing w:after="0" w:line="240" w:lineRule="auto"/>
        <w:jc w:val="both"/>
        <w:rPr>
          <w:rFonts w:ascii="Verdana" w:eastAsia="Calibri" w:hAnsi="Verdana" w:cs="Arial"/>
          <w:b/>
          <w:bCs/>
          <w:lang w:val="es-ES" w:eastAsia="es-ES"/>
        </w:rPr>
      </w:pPr>
      <w:r w:rsidRPr="00A06931">
        <w:rPr>
          <w:rFonts w:ascii="Verdana" w:eastAsia="Calibri" w:hAnsi="Verdana" w:cs="Arial"/>
          <w:b/>
          <w:bCs/>
          <w:lang w:val="es-ES" w:eastAsia="es-ES"/>
        </w:rPr>
        <w:t xml:space="preserve">SGR – Ciencia, tecnología e innovación </w:t>
      </w:r>
    </w:p>
    <w:p w14:paraId="38ED99D1" w14:textId="77777777" w:rsidR="00A06931" w:rsidRPr="00A06931" w:rsidRDefault="00A06931" w:rsidP="00A06931">
      <w:pPr>
        <w:spacing w:after="0" w:line="240" w:lineRule="auto"/>
        <w:jc w:val="both"/>
        <w:rPr>
          <w:rFonts w:ascii="Verdana" w:eastAsia="Calibri" w:hAnsi="Verdana" w:cs="Arial"/>
          <w:color w:val="000000"/>
          <w:sz w:val="20"/>
          <w:szCs w:val="20"/>
          <w:lang w:val="es-ES" w:eastAsia="es-ES"/>
        </w:rPr>
      </w:pPr>
    </w:p>
    <w:p w14:paraId="0E32BAC6" w14:textId="77777777" w:rsidR="00A06931" w:rsidRPr="00A06931" w:rsidRDefault="00A06931" w:rsidP="00A06931">
      <w:pPr>
        <w:spacing w:after="0" w:line="240" w:lineRule="auto"/>
        <w:jc w:val="both"/>
        <w:rPr>
          <w:rFonts w:ascii="Verdana" w:hAnsi="Verdana" w:cs="Arial"/>
          <w:noProof/>
          <w:sz w:val="20"/>
          <w:szCs w:val="20"/>
        </w:rPr>
      </w:pPr>
      <w:r w:rsidRPr="00A06931">
        <w:rPr>
          <w:rFonts w:ascii="Verdana" w:hAnsi="Verdana" w:cs="Arial"/>
          <w:noProof/>
          <w:sz w:val="20"/>
          <w:szCs w:val="20"/>
        </w:rPr>
        <w:t xml:space="preserve">En lo que respecta a la ejecución de los proyectos de inversión que se financien con cargo a los recursos de la Asignación para la Ciencia, Tecnología e Innovación, el artículo 54 de la Ley 2056 de 2020 prevé que deberán ser ejecutados por la entidad que lo haya presentado en calidad de proponente en la respectiva convocatoria, quien deberá ejecutarlo con estricta sujeción al régimen presupuestal definido en dicha ley y a las normas contractuales previstas en la Ley 1286 de 2009 o las disposiciones que hagan sus veces. </w:t>
      </w:r>
    </w:p>
    <w:p w14:paraId="4B33FB38" w14:textId="77777777" w:rsidR="00A06931" w:rsidRPr="00A06931" w:rsidRDefault="00A06931" w:rsidP="00A06931">
      <w:pPr>
        <w:spacing w:after="0" w:line="240" w:lineRule="auto"/>
        <w:jc w:val="both"/>
        <w:rPr>
          <w:rFonts w:ascii="Verdana" w:hAnsi="Verdana" w:cs="Arial"/>
          <w:noProof/>
          <w:sz w:val="20"/>
          <w:szCs w:val="20"/>
        </w:rPr>
      </w:pPr>
    </w:p>
    <w:p w14:paraId="24398383" w14:textId="77777777" w:rsidR="00A06931" w:rsidRPr="00A06931" w:rsidRDefault="00A06931" w:rsidP="00A06931">
      <w:pPr>
        <w:spacing w:after="0" w:line="240" w:lineRule="auto"/>
        <w:jc w:val="both"/>
        <w:rPr>
          <w:rFonts w:ascii="Verdana" w:hAnsi="Verdana" w:cs="Arial"/>
          <w:noProof/>
          <w:sz w:val="20"/>
          <w:szCs w:val="20"/>
        </w:rPr>
      </w:pPr>
      <w:r w:rsidRPr="00A06931">
        <w:rPr>
          <w:rFonts w:ascii="Verdana" w:hAnsi="Verdana" w:cs="Arial"/>
          <w:noProof/>
          <w:sz w:val="20"/>
          <w:szCs w:val="20"/>
        </w:rPr>
        <w:t xml:space="preserve">Conforme a lo anterior, para efectos de la ejecución de estos proyectos de inversión la entidad ejecutora deberá someterse a lo dispuesto en la Ley 1286 de 2009, la cual establece disposiciones especiales en la materia. Al respecto, el artículo 33 de la Ley 1286 de 2009 señala que “las actividades, contratos y convenios que tengan por objeto la realización de actividades definidas como de ciencia, tecnología e innovación que celebren las entidades estatales, continuarán rigiéndose por las normas especiales que les sean aplicables. En consecuencia, tales contratos se celebrarán directamente”. </w:t>
      </w:r>
    </w:p>
    <w:p w14:paraId="4D770F35" w14:textId="77777777" w:rsidR="00A06931" w:rsidRPr="00A06931" w:rsidRDefault="00A06931" w:rsidP="00A06931">
      <w:pPr>
        <w:spacing w:after="0" w:line="240" w:lineRule="auto"/>
        <w:jc w:val="both"/>
        <w:rPr>
          <w:rFonts w:ascii="Verdana" w:eastAsia="Calibri" w:hAnsi="Verdana" w:cs="Arial"/>
          <w:color w:val="000000"/>
          <w:sz w:val="20"/>
          <w:szCs w:val="20"/>
          <w:lang w:val="es-ES" w:eastAsia="es-ES"/>
        </w:rPr>
      </w:pPr>
    </w:p>
    <w:p w14:paraId="6B8F3D31" w14:textId="77777777" w:rsidR="00A06931" w:rsidRPr="00A06931" w:rsidRDefault="00A06931" w:rsidP="00A06931">
      <w:pPr>
        <w:spacing w:after="0" w:line="240" w:lineRule="auto"/>
        <w:jc w:val="both"/>
        <w:rPr>
          <w:rFonts w:ascii="Verdana" w:eastAsia="Calibri" w:hAnsi="Verdana" w:cs="Arial"/>
          <w:b/>
          <w:bCs/>
          <w:color w:val="000000"/>
          <w:sz w:val="20"/>
          <w:szCs w:val="20"/>
          <w:lang w:val="es-ES" w:eastAsia="es-ES"/>
        </w:rPr>
      </w:pPr>
      <w:r w:rsidRPr="00A06931">
        <w:rPr>
          <w:rFonts w:ascii="Verdana" w:eastAsia="Calibri" w:hAnsi="Verdana" w:cs="Arial"/>
          <w:b/>
          <w:bCs/>
          <w:lang w:val="es-ES" w:eastAsia="es-ES"/>
        </w:rPr>
        <w:t xml:space="preserve">INHABILIDADES E INCOMPATIBILIDADES </w:t>
      </w:r>
      <w:r w:rsidRPr="00A06931">
        <w:rPr>
          <w:rFonts w:ascii="Verdana" w:eastAsia="Calibri" w:hAnsi="Verdana" w:cs="Arial"/>
          <w:b/>
          <w:bCs/>
          <w:lang w:eastAsia="es-ES"/>
        </w:rPr>
        <w:t>– Régimen – Interpretación restrictiva</w:t>
      </w:r>
      <w:r w:rsidRPr="00A06931">
        <w:rPr>
          <w:rFonts w:ascii="Verdana" w:eastAsia="Calibri" w:hAnsi="Verdana" w:cs="Arial"/>
          <w:b/>
          <w:bCs/>
          <w:lang w:val="es-ES" w:eastAsia="es-ES"/>
        </w:rPr>
        <w:t xml:space="preserve"> </w:t>
      </w:r>
    </w:p>
    <w:p w14:paraId="712B71F1" w14:textId="77777777" w:rsidR="00A06931" w:rsidRPr="00A06931" w:rsidRDefault="00A06931" w:rsidP="00A06931">
      <w:pPr>
        <w:spacing w:after="0" w:line="240" w:lineRule="auto"/>
        <w:rPr>
          <w:rFonts w:ascii="Verdana" w:eastAsia="Geomanist Light" w:hAnsi="Verdana" w:cs="Arial"/>
          <w:color w:val="000000" w:themeColor="text1"/>
        </w:rPr>
      </w:pPr>
    </w:p>
    <w:p w14:paraId="2ABF0F2E" w14:textId="77777777" w:rsidR="00A06931" w:rsidRPr="00A06931" w:rsidRDefault="00A06931" w:rsidP="00A06931">
      <w:pPr>
        <w:spacing w:after="0" w:line="240" w:lineRule="auto"/>
        <w:jc w:val="both"/>
        <w:rPr>
          <w:rFonts w:ascii="Verdana" w:hAnsi="Verdana" w:cs="Arial"/>
          <w:noProof/>
          <w:sz w:val="20"/>
          <w:szCs w:val="20"/>
          <w:lang w:val="es-ES"/>
        </w:rPr>
      </w:pPr>
      <w:r w:rsidRPr="00A06931">
        <w:rPr>
          <w:rFonts w:ascii="Verdana" w:hAnsi="Verdana" w:cs="Arial"/>
          <w:noProof/>
          <w:sz w:val="20"/>
          <w:szCs w:val="20"/>
          <w:lang w:val="es-ES"/>
        </w:rPr>
        <w:t>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e incompatibilidades son herramientas en la lucha contra la corrupción, adoptando paulatinamente un carácter sancionatorio o “neopunitivo”.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7EB62F73" w14:textId="77777777" w:rsidR="00A06931" w:rsidRPr="00A06931" w:rsidRDefault="00A06931" w:rsidP="00A06931">
      <w:pPr>
        <w:spacing w:after="0" w:line="240" w:lineRule="auto"/>
        <w:jc w:val="both"/>
        <w:rPr>
          <w:rFonts w:ascii="Verdana" w:hAnsi="Verdana" w:cs="Arial"/>
          <w:noProof/>
          <w:sz w:val="20"/>
          <w:szCs w:val="20"/>
          <w:lang w:val="es-ES"/>
        </w:rPr>
      </w:pPr>
    </w:p>
    <w:p w14:paraId="2E474384" w14:textId="77777777" w:rsidR="00A06931" w:rsidRPr="00A06931" w:rsidRDefault="00A06931" w:rsidP="00A06931">
      <w:pPr>
        <w:spacing w:after="0" w:line="240" w:lineRule="auto"/>
        <w:jc w:val="both"/>
        <w:rPr>
          <w:rFonts w:ascii="Verdana" w:hAnsi="Verdana" w:cs="Arial"/>
          <w:noProof/>
          <w:sz w:val="20"/>
          <w:szCs w:val="20"/>
          <w:lang w:val="es-ES_tradnl"/>
        </w:rPr>
      </w:pPr>
      <w:r w:rsidRPr="00A06931">
        <w:rPr>
          <w:rFonts w:ascii="Verdana" w:hAnsi="Verdana" w:cs="Arial"/>
          <w:noProof/>
          <w:sz w:val="20"/>
          <w:szCs w:val="20"/>
          <w:lang w:val="es-ES_tradnl"/>
        </w:rPr>
        <w:t xml:space="preserve">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A06931">
        <w:rPr>
          <w:rFonts w:ascii="Verdana" w:hAnsi="Verdana" w:cs="Arial"/>
          <w:i/>
          <w:iCs/>
          <w:noProof/>
          <w:sz w:val="20"/>
          <w:szCs w:val="20"/>
          <w:lang w:val="es-ES_tradnl"/>
        </w:rPr>
        <w:t>restrictiva</w:t>
      </w:r>
      <w:r w:rsidRPr="00A06931">
        <w:rPr>
          <w:rFonts w:ascii="Verdana" w:hAnsi="Verdana" w:cs="Arial"/>
          <w:noProof/>
          <w:sz w:val="20"/>
          <w:szCs w:val="20"/>
          <w:lang w:val="es-ES_tradnl"/>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EF5F8CA" w14:textId="77777777" w:rsidR="00A06931" w:rsidRPr="00A06931" w:rsidRDefault="00A06931" w:rsidP="00A06931">
      <w:pPr>
        <w:spacing w:after="0" w:line="240" w:lineRule="auto"/>
        <w:jc w:val="both"/>
        <w:rPr>
          <w:rFonts w:ascii="Verdana" w:hAnsi="Verdana" w:cs="Arial"/>
          <w:noProof/>
          <w:sz w:val="20"/>
          <w:szCs w:val="20"/>
          <w:lang w:val="es-ES"/>
        </w:rPr>
      </w:pPr>
    </w:p>
    <w:p w14:paraId="3D56556B" w14:textId="77777777" w:rsidR="00A06931" w:rsidRPr="00A06931" w:rsidRDefault="00A06931" w:rsidP="00A06931">
      <w:pPr>
        <w:spacing w:after="0" w:line="240" w:lineRule="auto"/>
        <w:jc w:val="both"/>
        <w:rPr>
          <w:rFonts w:ascii="Verdana" w:hAnsi="Verdana" w:cs="Arial"/>
          <w:noProof/>
          <w:sz w:val="20"/>
          <w:szCs w:val="20"/>
          <w:lang w:val="es-ES"/>
        </w:rPr>
      </w:pPr>
      <w:r w:rsidRPr="00A06931">
        <w:rPr>
          <w:rFonts w:ascii="Verdana" w:hAnsi="Verdana" w:cs="Arial"/>
          <w:noProof/>
          <w:sz w:val="20"/>
          <w:szCs w:val="20"/>
          <w:lang w:val="es-ES"/>
        </w:rPr>
        <w:t>Asi las cosas, las entidades designadas como ejecutoras de proyectos de inversión financiados con recursos del Sistema General de Regalías que deban aplicar el régimen especial de Ciencia, Tecnología e Innovación  para su ejecución están sujetas al régimen de inhabilidades e incompatibilidades que resulte aplicable, por lo que, al adelantar sus procesos de contratación, deberán verificar la existencia de circunstancias que puedan impedir la participación de los interesados o la celebración del respectivo contrato. Para ello, es necesario atender a las causales expresamente establecidas en la ley, sin que resulte procedente crear restricciones o inhabilidades al margen de las previsiones normativas.</w:t>
      </w:r>
    </w:p>
    <w:p w14:paraId="3417C369" w14:textId="77777777" w:rsidR="00A06931" w:rsidRPr="00A06931" w:rsidRDefault="00A06931" w:rsidP="00A06931">
      <w:pPr>
        <w:spacing w:after="0" w:line="240" w:lineRule="auto"/>
        <w:jc w:val="both"/>
        <w:rPr>
          <w:rFonts w:ascii="Verdana" w:hAnsi="Verdana" w:cs="Arial"/>
          <w:noProof/>
          <w:sz w:val="20"/>
          <w:szCs w:val="20"/>
        </w:rPr>
      </w:pPr>
    </w:p>
    <w:p w14:paraId="0EB06F4F" w14:textId="77777777" w:rsidR="00A06931" w:rsidRPr="00A06931" w:rsidRDefault="00A06931" w:rsidP="00A06931">
      <w:pPr>
        <w:spacing w:after="0" w:line="240" w:lineRule="auto"/>
        <w:rPr>
          <w:rFonts w:ascii="Verdana" w:eastAsia="Geomanist Light" w:hAnsi="Verdana" w:cs="Arial"/>
          <w:color w:val="000000" w:themeColor="text1"/>
        </w:rPr>
      </w:pPr>
    </w:p>
    <w:p w14:paraId="21AAED36" w14:textId="77777777" w:rsidR="00A06931" w:rsidRPr="00A06931" w:rsidRDefault="00A06931" w:rsidP="00A06931">
      <w:pPr>
        <w:spacing w:after="0" w:line="240" w:lineRule="auto"/>
        <w:rPr>
          <w:rFonts w:ascii="Verdana" w:eastAsia="Geomanist Light" w:hAnsi="Verdana" w:cs="Arial"/>
          <w:color w:val="000000" w:themeColor="text1"/>
        </w:rPr>
      </w:pPr>
    </w:p>
    <w:p w14:paraId="355AFD58" w14:textId="77777777" w:rsidR="00A06931" w:rsidRPr="00A06931" w:rsidRDefault="00A06931" w:rsidP="00A06931">
      <w:pPr>
        <w:spacing w:after="0" w:line="240" w:lineRule="auto"/>
        <w:rPr>
          <w:rFonts w:ascii="Verdana" w:eastAsia="Geomanist Light" w:hAnsi="Verdana" w:cs="Arial"/>
          <w:color w:val="000000" w:themeColor="text1"/>
        </w:rPr>
      </w:pPr>
    </w:p>
    <w:p w14:paraId="7EB5F2CE" w14:textId="77777777" w:rsidR="00A06931" w:rsidRPr="00A06931" w:rsidRDefault="00A06931" w:rsidP="00A06931">
      <w:pPr>
        <w:spacing w:after="0" w:line="240" w:lineRule="auto"/>
        <w:rPr>
          <w:rFonts w:ascii="Verdana" w:eastAsia="Geomanist Light" w:hAnsi="Verdana" w:cs="Arial"/>
          <w:color w:val="000000" w:themeColor="text1"/>
        </w:rPr>
      </w:pPr>
    </w:p>
    <w:p w14:paraId="2530C0DF" w14:textId="77777777" w:rsidR="00A06931" w:rsidRPr="00A06931" w:rsidRDefault="00A06931" w:rsidP="00A06931">
      <w:pPr>
        <w:spacing w:after="0" w:line="240" w:lineRule="auto"/>
        <w:rPr>
          <w:rFonts w:ascii="Verdana" w:eastAsia="Geomanist Light" w:hAnsi="Verdana" w:cs="Arial"/>
          <w:color w:val="000000" w:themeColor="text1"/>
        </w:rPr>
      </w:pPr>
    </w:p>
    <w:p w14:paraId="5A64048D" w14:textId="77777777" w:rsidR="00A06931" w:rsidRPr="00A06931" w:rsidRDefault="00A06931" w:rsidP="00A06931">
      <w:pPr>
        <w:spacing w:after="0" w:line="240" w:lineRule="auto"/>
        <w:rPr>
          <w:rFonts w:ascii="Verdana" w:eastAsia="Geomanist Light" w:hAnsi="Verdana" w:cs="Arial"/>
          <w:color w:val="000000" w:themeColor="text1"/>
        </w:rPr>
      </w:pPr>
    </w:p>
    <w:p w14:paraId="4A0F7162" w14:textId="77777777" w:rsidR="00A06931" w:rsidRPr="00A06931" w:rsidRDefault="00A06931" w:rsidP="00A06931">
      <w:pPr>
        <w:spacing w:after="0" w:line="240" w:lineRule="auto"/>
        <w:rPr>
          <w:rFonts w:ascii="Verdana" w:eastAsia="Geomanist Light" w:hAnsi="Verdana" w:cs="Arial"/>
          <w:color w:val="000000" w:themeColor="text1"/>
        </w:rPr>
      </w:pPr>
    </w:p>
    <w:p w14:paraId="4D7DA67A" w14:textId="77777777" w:rsidR="00A06931" w:rsidRPr="00A06931" w:rsidRDefault="00A06931" w:rsidP="00A06931">
      <w:pPr>
        <w:spacing w:after="0" w:line="240" w:lineRule="auto"/>
        <w:rPr>
          <w:rFonts w:ascii="Verdana" w:eastAsia="Geomanist Light" w:hAnsi="Verdana" w:cs="Arial"/>
          <w:color w:val="000000" w:themeColor="text1"/>
        </w:rPr>
      </w:pPr>
    </w:p>
    <w:p w14:paraId="6868630B" w14:textId="77777777" w:rsidR="00A06931" w:rsidRPr="00A06931" w:rsidRDefault="00A06931" w:rsidP="00A06931">
      <w:pPr>
        <w:spacing w:after="0" w:line="240" w:lineRule="auto"/>
        <w:rPr>
          <w:rFonts w:ascii="Verdana" w:eastAsia="Geomanist Light" w:hAnsi="Verdana" w:cs="Arial"/>
          <w:color w:val="000000" w:themeColor="text1"/>
        </w:rPr>
      </w:pPr>
    </w:p>
    <w:p w14:paraId="07AC9D34" w14:textId="77777777" w:rsidR="00A06931" w:rsidRPr="00A06931" w:rsidRDefault="00A06931" w:rsidP="00A06931">
      <w:pPr>
        <w:spacing w:after="0" w:line="240" w:lineRule="auto"/>
        <w:rPr>
          <w:rFonts w:ascii="Verdana" w:eastAsia="Geomanist Light" w:hAnsi="Verdana" w:cs="Arial"/>
          <w:color w:val="000000" w:themeColor="text1"/>
        </w:rPr>
      </w:pPr>
    </w:p>
    <w:p w14:paraId="04177F34" w14:textId="77777777" w:rsidR="00A06931" w:rsidRPr="00A06931" w:rsidRDefault="00A06931" w:rsidP="00A06931">
      <w:pPr>
        <w:spacing w:after="0" w:line="240" w:lineRule="auto"/>
        <w:rPr>
          <w:rFonts w:ascii="Verdana" w:eastAsia="Geomanist Light" w:hAnsi="Verdana" w:cs="Arial"/>
          <w:color w:val="000000" w:themeColor="text1"/>
        </w:rPr>
      </w:pPr>
    </w:p>
    <w:p w14:paraId="1477A0EB" w14:textId="77777777" w:rsidR="00A06931" w:rsidRPr="00A06931" w:rsidRDefault="00A06931" w:rsidP="00A06931">
      <w:pPr>
        <w:spacing w:after="0" w:line="240" w:lineRule="auto"/>
        <w:rPr>
          <w:rFonts w:ascii="Verdana" w:eastAsia="Geomanist Light" w:hAnsi="Verdana" w:cs="Arial"/>
          <w:color w:val="000000" w:themeColor="text1"/>
        </w:rPr>
      </w:pPr>
    </w:p>
    <w:p w14:paraId="4C652599" w14:textId="77777777" w:rsidR="00A06931" w:rsidRPr="00A06931" w:rsidRDefault="00A06931" w:rsidP="00A06931">
      <w:pPr>
        <w:spacing w:after="0" w:line="240" w:lineRule="auto"/>
        <w:rPr>
          <w:rFonts w:ascii="Verdana" w:eastAsia="Geomanist Light" w:hAnsi="Verdana" w:cs="Arial"/>
          <w:color w:val="000000" w:themeColor="text1"/>
        </w:rPr>
      </w:pPr>
    </w:p>
    <w:p w14:paraId="5F602A55" w14:textId="77777777" w:rsidR="00A06931" w:rsidRPr="00A06931" w:rsidRDefault="00A06931" w:rsidP="00A06931">
      <w:pPr>
        <w:spacing w:after="0" w:line="240" w:lineRule="auto"/>
        <w:rPr>
          <w:rFonts w:ascii="Verdana" w:eastAsia="Geomanist Light" w:hAnsi="Verdana" w:cs="Arial"/>
          <w:color w:val="000000" w:themeColor="text1"/>
        </w:rPr>
      </w:pPr>
    </w:p>
    <w:p w14:paraId="0744F139" w14:textId="77777777" w:rsidR="00A06931" w:rsidRPr="00A06931" w:rsidRDefault="00A06931" w:rsidP="00A06931">
      <w:pPr>
        <w:spacing w:after="0" w:line="240" w:lineRule="auto"/>
        <w:rPr>
          <w:rFonts w:ascii="Verdana" w:eastAsia="Geomanist Light" w:hAnsi="Verdana" w:cs="Arial"/>
          <w:color w:val="000000" w:themeColor="text1"/>
        </w:rPr>
      </w:pPr>
    </w:p>
    <w:p w14:paraId="7AE6D239" w14:textId="77777777" w:rsidR="00A06931" w:rsidRPr="00A06931" w:rsidRDefault="00A06931" w:rsidP="00A06931">
      <w:pPr>
        <w:spacing w:after="0" w:line="240" w:lineRule="auto"/>
        <w:rPr>
          <w:rFonts w:ascii="Verdana" w:eastAsia="Geomanist Light" w:hAnsi="Verdana" w:cs="Arial"/>
          <w:color w:val="000000" w:themeColor="text1"/>
        </w:rPr>
      </w:pPr>
    </w:p>
    <w:p w14:paraId="041BCF98" w14:textId="77777777" w:rsidR="00A06931" w:rsidRPr="00A06931" w:rsidRDefault="00A06931" w:rsidP="00A06931">
      <w:pPr>
        <w:spacing w:after="0" w:line="240" w:lineRule="auto"/>
        <w:rPr>
          <w:rFonts w:ascii="Verdana" w:eastAsia="Geomanist Light" w:hAnsi="Verdana" w:cs="Arial"/>
          <w:color w:val="000000" w:themeColor="text1"/>
        </w:rPr>
      </w:pPr>
    </w:p>
    <w:p w14:paraId="39F7A980" w14:textId="77777777" w:rsidR="00A06931" w:rsidRPr="00A06931" w:rsidRDefault="00A06931" w:rsidP="00A06931">
      <w:pPr>
        <w:spacing w:after="0" w:line="240" w:lineRule="auto"/>
        <w:rPr>
          <w:rFonts w:ascii="Verdana" w:eastAsia="Geomanist Light" w:hAnsi="Verdana" w:cs="Arial"/>
          <w:color w:val="000000" w:themeColor="text1"/>
        </w:rPr>
      </w:pPr>
    </w:p>
    <w:p w14:paraId="6D2E5E93" w14:textId="77777777" w:rsidR="00A06931" w:rsidRPr="00A06931" w:rsidRDefault="00A06931" w:rsidP="00A06931">
      <w:pPr>
        <w:spacing w:after="0" w:line="240" w:lineRule="auto"/>
        <w:rPr>
          <w:rFonts w:ascii="Verdana" w:eastAsia="Geomanist Light" w:hAnsi="Verdana" w:cs="Arial"/>
          <w:color w:val="000000" w:themeColor="text1"/>
        </w:rPr>
      </w:pPr>
    </w:p>
    <w:p w14:paraId="26EF2DC2" w14:textId="77777777" w:rsidR="00A06931" w:rsidRPr="00A06931" w:rsidRDefault="00A06931" w:rsidP="00A06931">
      <w:pPr>
        <w:spacing w:after="0" w:line="240" w:lineRule="auto"/>
        <w:rPr>
          <w:rFonts w:ascii="Verdana" w:eastAsia="Geomanist Light" w:hAnsi="Verdana" w:cs="Arial"/>
          <w:color w:val="000000" w:themeColor="text1"/>
        </w:rPr>
      </w:pPr>
    </w:p>
    <w:p w14:paraId="40BB24CC" w14:textId="77777777" w:rsidR="00A06931" w:rsidRPr="00A06931" w:rsidRDefault="00A06931" w:rsidP="00A06931">
      <w:pPr>
        <w:spacing w:after="0" w:line="240" w:lineRule="auto"/>
        <w:rPr>
          <w:rFonts w:ascii="Verdana" w:eastAsia="Geomanist Light" w:hAnsi="Verdana" w:cs="Arial"/>
          <w:color w:val="000000" w:themeColor="text1"/>
        </w:rPr>
      </w:pPr>
    </w:p>
    <w:p w14:paraId="41B0669C" w14:textId="77777777" w:rsidR="00D26C1F" w:rsidRDefault="00D26C1F" w:rsidP="00A06931">
      <w:pPr>
        <w:spacing w:after="0" w:line="240" w:lineRule="auto"/>
        <w:rPr>
          <w:rFonts w:ascii="Verdana" w:eastAsia="Geomanist Light" w:hAnsi="Verdana" w:cs="Arial"/>
          <w:color w:val="000000" w:themeColor="text1"/>
        </w:rPr>
      </w:pPr>
    </w:p>
    <w:p w14:paraId="3E5FE62F" w14:textId="2417D76E" w:rsidR="00A06931" w:rsidRPr="00A06931" w:rsidRDefault="00A06931" w:rsidP="00A06931">
      <w:pPr>
        <w:spacing w:after="0" w:line="240" w:lineRule="auto"/>
        <w:rPr>
          <w:rFonts w:ascii="Verdana" w:eastAsia="Geomanist Light" w:hAnsi="Verdana" w:cs="Arial"/>
          <w:color w:val="201F1E"/>
        </w:rPr>
      </w:pPr>
      <w:r w:rsidRPr="00A06931">
        <w:rPr>
          <w:rFonts w:ascii="Verdana" w:eastAsia="Geomanist Light" w:hAnsi="Verdana" w:cs="Arial"/>
          <w:color w:val="000000" w:themeColor="text1"/>
        </w:rPr>
        <w:lastRenderedPageBreak/>
        <w:t>Bogotá D.C., </w:t>
      </w:r>
      <w:r w:rsidR="00CA479B">
        <w:rPr>
          <w:rFonts w:ascii="Verdana" w:eastAsia="Geomanist Light" w:hAnsi="Verdana" w:cs="Arial"/>
          <w:color w:val="000000" w:themeColor="text1"/>
        </w:rPr>
        <w:t>19 de octubre de 2026</w:t>
      </w:r>
    </w:p>
    <w:p w14:paraId="000E5EB0" w14:textId="0C2E226A" w:rsidR="00A06931" w:rsidRPr="00A06931" w:rsidRDefault="000C71F5" w:rsidP="00A06931">
      <w:pPr>
        <w:spacing w:after="0" w:line="240" w:lineRule="auto"/>
        <w:jc w:val="both"/>
        <w:rPr>
          <w:rFonts w:ascii="Verdana" w:eastAsia="Calibri" w:hAnsi="Verdana" w:cs="Arial"/>
          <w:color w:val="000000"/>
        </w:rPr>
      </w:pPr>
      <w:r w:rsidRPr="00CA479B">
        <w:rPr>
          <w:rFonts w:ascii="Verdana" w:eastAsia="Calibri" w:hAnsi="Verdana" w:cs="Arial"/>
          <w:noProof/>
          <w:color w:val="000000"/>
        </w:rPr>
        <w:drawing>
          <wp:anchor distT="0" distB="0" distL="114300" distR="114300" simplePos="0" relativeHeight="251658240" behindDoc="0" locked="0" layoutInCell="1" allowOverlap="1" wp14:anchorId="708CC19E" wp14:editId="143F050D">
            <wp:simplePos x="0" y="0"/>
            <wp:positionH relativeFrom="margin">
              <wp:posOffset>3065145</wp:posOffset>
            </wp:positionH>
            <wp:positionV relativeFrom="paragraph">
              <wp:posOffset>170180</wp:posOffset>
            </wp:positionV>
            <wp:extent cx="2537460" cy="876300"/>
            <wp:effectExtent l="0" t="0" r="0" b="0"/>
            <wp:wrapSquare wrapText="bothSides"/>
            <wp:docPr id="332117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746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532F99" w14:textId="3AD8046A" w:rsidR="00A06931" w:rsidRPr="00A06931" w:rsidRDefault="00A06931" w:rsidP="00CA479B">
      <w:pPr>
        <w:spacing w:after="0" w:line="240" w:lineRule="auto"/>
        <w:jc w:val="right"/>
        <w:rPr>
          <w:rFonts w:ascii="Verdana" w:eastAsia="Calibri" w:hAnsi="Verdana" w:cs="Arial"/>
          <w:color w:val="000000"/>
        </w:rPr>
      </w:pPr>
    </w:p>
    <w:p w14:paraId="0C55DA20" w14:textId="77777777" w:rsidR="00A06931" w:rsidRPr="00A06931" w:rsidRDefault="00A06931" w:rsidP="00A06931">
      <w:pPr>
        <w:spacing w:after="0" w:line="240" w:lineRule="auto"/>
        <w:contextualSpacing/>
        <w:rPr>
          <w:rFonts w:ascii="Verdana" w:eastAsia="Calibri" w:hAnsi="Verdana" w:cs="Arial"/>
          <w:lang w:eastAsia="es-ES_tradnl"/>
        </w:rPr>
      </w:pPr>
      <w:r w:rsidRPr="00A06931">
        <w:rPr>
          <w:rFonts w:ascii="Verdana" w:eastAsia="Calibri" w:hAnsi="Verdana" w:cs="Arial"/>
          <w:lang w:eastAsia="es-ES_tradnl"/>
        </w:rPr>
        <w:t>Señor</w:t>
      </w:r>
    </w:p>
    <w:p w14:paraId="549DC10F" w14:textId="77777777" w:rsidR="00A06931" w:rsidRPr="00A06931" w:rsidRDefault="00A06931" w:rsidP="00A06931">
      <w:pPr>
        <w:spacing w:after="0" w:line="240" w:lineRule="auto"/>
        <w:contextualSpacing/>
        <w:rPr>
          <w:rFonts w:ascii="Verdana" w:eastAsia="Calibri" w:hAnsi="Verdana" w:cs="Arial"/>
          <w:b/>
          <w:bCs/>
          <w:lang w:eastAsia="es-ES_tradnl"/>
        </w:rPr>
      </w:pPr>
      <w:r w:rsidRPr="00A06931">
        <w:rPr>
          <w:rFonts w:ascii="Verdana" w:eastAsia="Calibri" w:hAnsi="Verdana" w:cs="Arial"/>
          <w:b/>
          <w:bCs/>
          <w:lang w:eastAsia="es-ES_tradnl"/>
        </w:rPr>
        <w:t>Manuel Romero Sáez</w:t>
      </w:r>
    </w:p>
    <w:p w14:paraId="43044892" w14:textId="77777777" w:rsidR="00A06931" w:rsidRPr="00A06931" w:rsidRDefault="00A06931" w:rsidP="00A06931">
      <w:pPr>
        <w:spacing w:after="0" w:line="240" w:lineRule="auto"/>
        <w:contextualSpacing/>
        <w:rPr>
          <w:rFonts w:ascii="Verdana" w:eastAsia="Calibri" w:hAnsi="Verdana" w:cs="Arial"/>
          <w:lang w:eastAsia="es-ES_tradnl"/>
        </w:rPr>
      </w:pPr>
      <w:r w:rsidRPr="00A06931">
        <w:rPr>
          <w:rFonts w:ascii="Verdana" w:eastAsia="Calibri" w:hAnsi="Verdana" w:cs="Arial"/>
          <w:lang w:eastAsia="es-ES_tradnl"/>
        </w:rPr>
        <w:t xml:space="preserve">Investigador principal </w:t>
      </w:r>
    </w:p>
    <w:p w14:paraId="1660E701" w14:textId="77777777" w:rsidR="00A06931" w:rsidRPr="00A06931" w:rsidRDefault="00A06931" w:rsidP="00A06931">
      <w:pPr>
        <w:spacing w:after="0" w:line="240" w:lineRule="auto"/>
        <w:contextualSpacing/>
        <w:rPr>
          <w:rFonts w:ascii="Verdana" w:eastAsia="Calibri" w:hAnsi="Verdana" w:cs="Arial"/>
          <w:lang w:eastAsia="es-ES_tradnl"/>
        </w:rPr>
      </w:pPr>
      <w:r w:rsidRPr="00A06931">
        <w:rPr>
          <w:rFonts w:ascii="Verdana" w:eastAsia="Calibri" w:hAnsi="Verdana" w:cs="Arial"/>
          <w:lang w:eastAsia="es-ES_tradnl"/>
        </w:rPr>
        <w:t>Institución Universitaria ITM</w:t>
      </w:r>
    </w:p>
    <w:p w14:paraId="1E8ABC4D" w14:textId="77777777" w:rsidR="00A06931" w:rsidRPr="00A06931" w:rsidRDefault="00A06931" w:rsidP="00A06931">
      <w:pPr>
        <w:spacing w:after="0" w:line="240" w:lineRule="auto"/>
        <w:contextualSpacing/>
        <w:rPr>
          <w:rFonts w:ascii="Verdana" w:hAnsi="Verdana"/>
        </w:rPr>
      </w:pPr>
      <w:hyperlink r:id="rId12" w:history="1">
        <w:r w:rsidRPr="00A06931">
          <w:rPr>
            <w:rFonts w:ascii="Verdana" w:hAnsi="Verdana"/>
            <w:color w:val="0563C1" w:themeColor="hyperlink"/>
            <w:u w:val="single"/>
          </w:rPr>
          <w:t>wiltonhurtado@itm.edu.co</w:t>
        </w:r>
      </w:hyperlink>
      <w:r w:rsidRPr="00A06931">
        <w:rPr>
          <w:rFonts w:ascii="Verdana" w:hAnsi="Verdana"/>
        </w:rPr>
        <w:t xml:space="preserve"> </w:t>
      </w:r>
    </w:p>
    <w:p w14:paraId="4B668C85" w14:textId="77777777" w:rsidR="00A06931" w:rsidRPr="00A06931" w:rsidRDefault="00A06931" w:rsidP="00A06931">
      <w:pPr>
        <w:spacing w:after="0" w:line="240" w:lineRule="auto"/>
        <w:contextualSpacing/>
        <w:rPr>
          <w:rFonts w:ascii="Verdana" w:eastAsia="Calibri" w:hAnsi="Verdana" w:cs="Arial"/>
          <w:lang w:eastAsia="es-ES_tradnl"/>
        </w:rPr>
      </w:pPr>
      <w:r w:rsidRPr="00A06931">
        <w:rPr>
          <w:rFonts w:ascii="Verdana" w:eastAsia="Calibri" w:hAnsi="Verdana" w:cs="Arial"/>
          <w:lang w:eastAsia="es-ES_tradnl"/>
        </w:rPr>
        <w:t>Medellín, Antioquia</w:t>
      </w:r>
    </w:p>
    <w:p w14:paraId="3829AD26" w14:textId="77777777" w:rsidR="00A06931" w:rsidRPr="00A06931" w:rsidRDefault="00A06931" w:rsidP="00A06931">
      <w:pPr>
        <w:spacing w:after="0" w:line="240" w:lineRule="auto"/>
        <w:rPr>
          <w:rFonts w:ascii="Verdana" w:eastAsia="Calibri" w:hAnsi="Verdana" w:cs="Arial"/>
          <w:b/>
          <w:color w:val="000000"/>
          <w:lang w:val="pt-BR" w:eastAsia="es-ES_tradnl"/>
        </w:rPr>
      </w:pPr>
    </w:p>
    <w:p w14:paraId="31E454AF" w14:textId="77777777" w:rsidR="00A06931" w:rsidRPr="00A06931" w:rsidRDefault="00A06931" w:rsidP="00A06931">
      <w:pPr>
        <w:spacing w:after="0" w:line="240" w:lineRule="auto"/>
        <w:rPr>
          <w:rFonts w:ascii="Verdana" w:eastAsia="Calibri" w:hAnsi="Verdana" w:cs="Arial"/>
          <w:b/>
          <w:color w:val="000000"/>
          <w:lang w:val="pt-BR" w:eastAsia="es-ES_tradnl"/>
        </w:rPr>
      </w:pPr>
    </w:p>
    <w:p w14:paraId="1F919B29" w14:textId="77777777" w:rsidR="00A06931" w:rsidRPr="00A06931" w:rsidRDefault="00A06931" w:rsidP="00A06931">
      <w:pPr>
        <w:spacing w:after="0" w:line="240" w:lineRule="auto"/>
        <w:jc w:val="center"/>
        <w:rPr>
          <w:rFonts w:ascii="Verdana" w:eastAsia="Calibri" w:hAnsi="Verdana" w:cs="Arial"/>
          <w:b/>
          <w:lang w:val="pt-BR" w:eastAsia="es-ES"/>
        </w:rPr>
      </w:pPr>
      <w:r w:rsidRPr="00A06931">
        <w:rPr>
          <w:rFonts w:ascii="Verdana" w:eastAsia="Calibri" w:hAnsi="Verdana" w:cs="Arial"/>
          <w:b/>
          <w:lang w:val="pt-BR" w:eastAsia="es-ES"/>
        </w:rPr>
        <w:t>Concepto C – 1501 de 2026</w:t>
      </w:r>
    </w:p>
    <w:p w14:paraId="2FFA48B7" w14:textId="77777777" w:rsidR="00A06931" w:rsidRPr="00A06931" w:rsidRDefault="00A06931" w:rsidP="00A06931">
      <w:pPr>
        <w:spacing w:after="0" w:line="240" w:lineRule="auto"/>
        <w:rPr>
          <w:rFonts w:ascii="Verdana" w:eastAsia="Calibri" w:hAnsi="Verdana" w:cs="Arial"/>
          <w:b/>
          <w:color w:val="000000"/>
          <w:lang w:val="pt-BR" w:eastAsia="es-ES_tradnl"/>
        </w:rPr>
      </w:pPr>
    </w:p>
    <w:p w14:paraId="2FC45FA3" w14:textId="77777777" w:rsidR="00A06931" w:rsidRPr="00A06931" w:rsidRDefault="00A06931" w:rsidP="00A06931">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06931" w:rsidRPr="00A06931" w14:paraId="38307952" w14:textId="77777777" w:rsidTr="00F33424">
        <w:trPr>
          <w:trHeight w:val="884"/>
        </w:trPr>
        <w:tc>
          <w:tcPr>
            <w:tcW w:w="2689" w:type="dxa"/>
          </w:tcPr>
          <w:p w14:paraId="1B95AAD0" w14:textId="77777777" w:rsidR="00A06931" w:rsidRPr="00A06931" w:rsidRDefault="00A06931" w:rsidP="00A06931">
            <w:pPr>
              <w:jc w:val="both"/>
              <w:rPr>
                <w:rFonts w:ascii="Verdana" w:eastAsia="Calibri" w:hAnsi="Verdana" w:cs="Arial"/>
                <w:color w:val="000000"/>
                <w:lang w:eastAsia="es-ES_tradnl"/>
              </w:rPr>
            </w:pPr>
            <w:r w:rsidRPr="00A06931">
              <w:rPr>
                <w:rFonts w:ascii="Verdana" w:eastAsia="Calibri" w:hAnsi="Verdana" w:cs="Arial"/>
                <w:b/>
                <w:color w:val="000000"/>
                <w:lang w:eastAsia="es-ES_tradnl"/>
              </w:rPr>
              <w:t>Temas:</w:t>
            </w:r>
            <w:r w:rsidRPr="00A06931">
              <w:rPr>
                <w:rFonts w:ascii="Verdana" w:eastAsia="Calibri" w:hAnsi="Verdana" w:cs="Arial"/>
                <w:color w:val="000000"/>
                <w:lang w:eastAsia="es-ES_tradnl"/>
              </w:rPr>
              <w:t xml:space="preserve">                   </w:t>
            </w:r>
          </w:p>
        </w:tc>
        <w:tc>
          <w:tcPr>
            <w:tcW w:w="6100" w:type="dxa"/>
          </w:tcPr>
          <w:p w14:paraId="57C6A2AF" w14:textId="77777777" w:rsidR="00A06931" w:rsidRPr="00A06931" w:rsidRDefault="00A06931" w:rsidP="00A06931">
            <w:pPr>
              <w:spacing w:line="276" w:lineRule="auto"/>
              <w:jc w:val="both"/>
              <w:rPr>
                <w:rFonts w:ascii="Verdana" w:eastAsia="Calibri" w:hAnsi="Verdana" w:cs="Arial"/>
                <w:lang w:val="es-ES" w:eastAsia="es-ES"/>
              </w:rPr>
            </w:pPr>
            <w:r w:rsidRPr="00A06931">
              <w:rPr>
                <w:rFonts w:ascii="Verdana" w:eastAsia="Calibri" w:hAnsi="Verdana" w:cs="Arial"/>
                <w:lang w:val="es-ES" w:eastAsia="es-ES"/>
              </w:rPr>
              <w:t xml:space="preserve">SISTEMA GENERAL DE REGALÍAS – Ley 2056 de 2020 – artículo 37 / RÉGIMEN CONTRACTUAL – Entidades ejecutoras – Régimen especial – Aplicación del Estatuto General de Contratación de la Administración Pública / SGR – / SGR – Ciencia, tecnología e innovación / INHABILIDADES E INCOMPATIBILIDADES </w:t>
            </w:r>
            <w:r w:rsidRPr="00A06931">
              <w:rPr>
                <w:rFonts w:ascii="Verdana" w:eastAsia="Calibri" w:hAnsi="Verdana" w:cs="Arial"/>
                <w:color w:val="000000"/>
                <w:kern w:val="2"/>
                <w14:ligatures w14:val="standardContextual"/>
              </w:rPr>
              <w:t>– Régimen – Interpretación restrictiva</w:t>
            </w:r>
          </w:p>
          <w:p w14:paraId="7A5C0B75" w14:textId="77777777" w:rsidR="00A06931" w:rsidRPr="00A06931" w:rsidRDefault="00A06931" w:rsidP="00A06931">
            <w:pPr>
              <w:jc w:val="both"/>
              <w:rPr>
                <w:rFonts w:ascii="Verdana" w:eastAsia="Calibri" w:hAnsi="Verdana" w:cs="Arial"/>
                <w:lang w:eastAsia="es-ES"/>
              </w:rPr>
            </w:pPr>
          </w:p>
        </w:tc>
      </w:tr>
      <w:tr w:rsidR="00A06931" w:rsidRPr="00A06931" w14:paraId="245E8D19" w14:textId="77777777" w:rsidTr="00F33424">
        <w:tc>
          <w:tcPr>
            <w:tcW w:w="2689" w:type="dxa"/>
          </w:tcPr>
          <w:p w14:paraId="36AB1555" w14:textId="77777777" w:rsidR="00A06931" w:rsidRPr="00A06931" w:rsidRDefault="00A06931" w:rsidP="00A06931">
            <w:pPr>
              <w:jc w:val="both"/>
              <w:rPr>
                <w:rFonts w:ascii="Verdana" w:eastAsia="Calibri" w:hAnsi="Verdana" w:cs="Arial"/>
                <w:b/>
                <w:lang w:eastAsia="es-ES_tradnl"/>
              </w:rPr>
            </w:pPr>
            <w:r w:rsidRPr="00A06931">
              <w:rPr>
                <w:rFonts w:ascii="Verdana" w:eastAsia="Calibri" w:hAnsi="Verdana" w:cs="Arial"/>
                <w:b/>
                <w:lang w:eastAsia="es-ES_tradnl"/>
              </w:rPr>
              <w:t>Radicación:</w:t>
            </w:r>
            <w:r w:rsidRPr="00A06931">
              <w:rPr>
                <w:rFonts w:ascii="Verdana" w:eastAsia="Calibri" w:hAnsi="Verdana" w:cs="Arial"/>
                <w:lang w:eastAsia="es-ES_tradnl"/>
              </w:rPr>
              <w:t xml:space="preserve">               </w:t>
            </w:r>
          </w:p>
        </w:tc>
        <w:tc>
          <w:tcPr>
            <w:tcW w:w="6100" w:type="dxa"/>
          </w:tcPr>
          <w:p w14:paraId="5C5E2FD9" w14:textId="77777777" w:rsidR="00A06931" w:rsidRPr="00A06931" w:rsidRDefault="00A06931" w:rsidP="00A06931">
            <w:pPr>
              <w:spacing w:line="276" w:lineRule="auto"/>
              <w:jc w:val="both"/>
              <w:rPr>
                <w:rFonts w:ascii="Verdana" w:eastAsia="Calibri" w:hAnsi="Verdana" w:cs="Arial"/>
                <w:lang w:eastAsia="es-ES_tradnl"/>
              </w:rPr>
            </w:pPr>
            <w:r w:rsidRPr="00A06931">
              <w:rPr>
                <w:rFonts w:ascii="Verdana" w:eastAsia="Calibri" w:hAnsi="Verdana" w:cs="Arial"/>
                <w:lang w:eastAsia="es-ES_tradnl"/>
              </w:rPr>
              <w:t>Respuesta a la consulta con radicado No.</w:t>
            </w:r>
            <w:r w:rsidRPr="00A06931">
              <w:rPr>
                <w:rFonts w:ascii="Verdana" w:hAnsi="Verdana"/>
              </w:rPr>
              <w:t xml:space="preserve"> 1_2026_09_23_012796</w:t>
            </w:r>
          </w:p>
        </w:tc>
      </w:tr>
    </w:tbl>
    <w:p w14:paraId="5A57B5D2" w14:textId="77777777" w:rsidR="00A06931" w:rsidRPr="00A06931" w:rsidRDefault="00A06931" w:rsidP="00A06931">
      <w:pPr>
        <w:spacing w:after="0" w:line="240" w:lineRule="auto"/>
        <w:jc w:val="both"/>
        <w:rPr>
          <w:rFonts w:ascii="Verdana" w:eastAsia="Calibri" w:hAnsi="Verdana" w:cs="Arial"/>
          <w:color w:val="000000"/>
          <w:lang w:eastAsia="es-ES_tradnl"/>
        </w:rPr>
      </w:pPr>
    </w:p>
    <w:p w14:paraId="71E72CE7" w14:textId="77777777" w:rsidR="00A06931" w:rsidRPr="00A06931" w:rsidRDefault="00A06931" w:rsidP="00A06931">
      <w:pPr>
        <w:spacing w:after="0" w:line="240" w:lineRule="auto"/>
        <w:jc w:val="both"/>
        <w:rPr>
          <w:rFonts w:ascii="Verdana" w:eastAsia="Calibri" w:hAnsi="Verdana" w:cs="Arial"/>
          <w:color w:val="000000"/>
          <w:lang w:eastAsia="es-ES_tradnl"/>
        </w:rPr>
      </w:pPr>
    </w:p>
    <w:p w14:paraId="4CB27E2C" w14:textId="77777777" w:rsidR="00A06931" w:rsidRPr="00A06931" w:rsidRDefault="00A06931" w:rsidP="00A06931">
      <w:pPr>
        <w:spacing w:after="0" w:line="276" w:lineRule="auto"/>
        <w:jc w:val="both"/>
        <w:rPr>
          <w:rFonts w:ascii="Verdana" w:eastAsia="Calibri" w:hAnsi="Verdana" w:cs="Arial"/>
          <w:lang w:eastAsia="es-ES"/>
        </w:rPr>
      </w:pPr>
      <w:r w:rsidRPr="00A06931">
        <w:rPr>
          <w:rFonts w:ascii="Verdana" w:eastAsia="Calibri" w:hAnsi="Verdana" w:cs="Arial"/>
          <w:lang w:eastAsia="es-ES"/>
        </w:rPr>
        <w:t xml:space="preserve">Estimado señor Romero: </w:t>
      </w:r>
    </w:p>
    <w:p w14:paraId="769F3952" w14:textId="77777777" w:rsidR="00A06931" w:rsidRPr="00A06931" w:rsidRDefault="00A06931" w:rsidP="00A06931">
      <w:pPr>
        <w:tabs>
          <w:tab w:val="left" w:pos="3768"/>
        </w:tabs>
        <w:spacing w:after="0" w:line="276" w:lineRule="auto"/>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ab/>
      </w:r>
    </w:p>
    <w:p w14:paraId="5566E8BD" w14:textId="77777777" w:rsidR="00A06931" w:rsidRPr="00A06931" w:rsidRDefault="00A06931" w:rsidP="00A06931">
      <w:pPr>
        <w:spacing w:after="0" w:line="276" w:lineRule="auto"/>
        <w:jc w:val="both"/>
        <w:rPr>
          <w:rFonts w:ascii="Verdana" w:eastAsia="Calibri" w:hAnsi="Verdana" w:cs="Arial"/>
          <w:i/>
          <w:iCs/>
          <w:lang w:eastAsia="es-ES"/>
        </w:rPr>
      </w:pPr>
      <w:r w:rsidRPr="00A06931">
        <w:rPr>
          <w:rFonts w:ascii="Verdana" w:eastAsia="Calibri" w:hAnsi="Verdana" w:cs="Arial"/>
          <w:color w:val="000000" w:themeColor="text1"/>
          <w:lang w:eastAsia="es-ES"/>
        </w:rPr>
        <w:t>En ejercicio de la competencia otorgada por los artículos 3, numeral 5º, y 11, numeral 8º, del Decreto Ley 4170 de 2011,</w:t>
      </w:r>
      <w:r w:rsidRPr="00A06931">
        <w:rPr>
          <w:rFonts w:ascii="Verdana" w:eastAsia="Arial MT" w:hAnsi="Verdana" w:cs="Arial MT"/>
          <w:lang w:eastAsia="es-ES"/>
        </w:rPr>
        <w:t xml:space="preserve"> </w:t>
      </w:r>
      <w:r w:rsidRPr="00A06931">
        <w:rPr>
          <w:rFonts w:ascii="Verdana" w:hAnsi="Verdana" w:cs="Arial"/>
        </w:rPr>
        <w:t xml:space="preserve">así como lo establecido en la Resolución 469 de 2025 expedida por esta Entidad, </w:t>
      </w:r>
      <w:r w:rsidRPr="00A06931">
        <w:rPr>
          <w:rFonts w:ascii="Verdana" w:eastAsia="Calibri" w:hAnsi="Verdana" w:cs="Arial"/>
          <w:color w:val="000000" w:themeColor="text1"/>
          <w:lang w:eastAsia="es-ES"/>
        </w:rPr>
        <w:t>la Agencia Nacional de Contratación Pública – Colombia Compra Eficiente responde su solicitud remitida por competencia por el Departamento Nacional de Planeación el 23 de septiembre de 2026,</w:t>
      </w:r>
      <w:r w:rsidRPr="00A06931">
        <w:rPr>
          <w:rFonts w:ascii="Verdana" w:eastAsia="Calibri" w:hAnsi="Verdana" w:cs="Arial"/>
          <w:lang w:eastAsia="es-ES"/>
        </w:rPr>
        <w:t xml:space="preserve"> en la cual consulta sobre lo siguiente:</w:t>
      </w:r>
      <w:r w:rsidRPr="00A06931">
        <w:rPr>
          <w:rFonts w:ascii="Verdana" w:eastAsia="Calibri" w:hAnsi="Verdana" w:cs="Arial"/>
          <w:i/>
          <w:iCs/>
          <w:lang w:eastAsia="es-ES"/>
        </w:rPr>
        <w:t xml:space="preserve"> </w:t>
      </w:r>
      <w:bookmarkStart w:id="2" w:name="_Hlk95313578"/>
    </w:p>
    <w:p w14:paraId="67FB6E81" w14:textId="77777777" w:rsidR="00A06931" w:rsidRPr="00A06931" w:rsidRDefault="00A06931" w:rsidP="00A06931">
      <w:pPr>
        <w:spacing w:after="0" w:line="276" w:lineRule="auto"/>
        <w:jc w:val="both"/>
        <w:rPr>
          <w:rFonts w:ascii="Verdana" w:eastAsia="Calibri" w:hAnsi="Verdana" w:cs="Arial"/>
          <w:i/>
          <w:iCs/>
          <w:lang w:eastAsia="es-ES"/>
        </w:rPr>
      </w:pPr>
    </w:p>
    <w:p w14:paraId="33CB2E85" w14:textId="77777777" w:rsidR="00A06931" w:rsidRPr="00A06931" w:rsidRDefault="00A06931" w:rsidP="00A06931">
      <w:pPr>
        <w:spacing w:after="0" w:line="240" w:lineRule="auto"/>
        <w:ind w:left="709" w:right="709"/>
        <w:jc w:val="both"/>
        <w:rPr>
          <w:rFonts w:ascii="Verdana" w:hAnsi="Verdana"/>
          <w:sz w:val="20"/>
          <w:szCs w:val="20"/>
        </w:rPr>
      </w:pPr>
      <w:r w:rsidRPr="00A06931">
        <w:rPr>
          <w:rFonts w:ascii="Verdana" w:eastAsia="Arial" w:hAnsi="Verdana" w:cs="Arial"/>
          <w:iCs/>
          <w:color w:val="000000"/>
          <w:sz w:val="20"/>
          <w:szCs w:val="20"/>
        </w:rPr>
        <w:t>“</w:t>
      </w:r>
      <w:bookmarkEnd w:id="2"/>
      <w:r w:rsidRPr="00A06931">
        <w:rPr>
          <w:rFonts w:ascii="Verdana" w:hAnsi="Verdana"/>
          <w:sz w:val="20"/>
          <w:szCs w:val="20"/>
        </w:rPr>
        <w:t>(…)</w:t>
      </w:r>
    </w:p>
    <w:p w14:paraId="14C46E20" w14:textId="77777777" w:rsidR="00A06931" w:rsidRPr="00A06931" w:rsidRDefault="00A06931" w:rsidP="00A06931">
      <w:pPr>
        <w:spacing w:after="0" w:line="240" w:lineRule="auto"/>
        <w:ind w:left="709" w:right="709"/>
        <w:jc w:val="both"/>
        <w:rPr>
          <w:rFonts w:ascii="Verdana" w:hAnsi="Verdana"/>
          <w:sz w:val="20"/>
          <w:szCs w:val="20"/>
        </w:rPr>
      </w:pPr>
      <w:r w:rsidRPr="00A06931">
        <w:rPr>
          <w:rFonts w:ascii="Verdana" w:hAnsi="Verdana"/>
          <w:sz w:val="20"/>
          <w:szCs w:val="20"/>
        </w:rPr>
        <w:t xml:space="preserve">1. ¿Una empresa privada que tiene la calidad de aliado de un proyecto de inversión financiado con recursos del Sistema General de Regalías puede participar como proponente en un proceso de selección adelantado por la </w:t>
      </w:r>
      <w:r w:rsidRPr="00A06931">
        <w:rPr>
          <w:rFonts w:ascii="Verdana" w:hAnsi="Verdana"/>
          <w:sz w:val="20"/>
          <w:szCs w:val="20"/>
        </w:rPr>
        <w:lastRenderedPageBreak/>
        <w:t xml:space="preserve">entidad designada como ejecutora del mismo proyecto, cuando el objeto de la contratación corresponde a un bien o servicio requerido para la ejecución del proyecto? </w:t>
      </w:r>
    </w:p>
    <w:p w14:paraId="4EC171E1" w14:textId="77777777" w:rsidR="00A06931" w:rsidRPr="00A06931" w:rsidRDefault="00A06931" w:rsidP="00A06931">
      <w:pPr>
        <w:spacing w:after="0" w:line="240" w:lineRule="auto"/>
        <w:ind w:left="709" w:right="709"/>
        <w:jc w:val="both"/>
        <w:rPr>
          <w:rFonts w:ascii="Verdana" w:hAnsi="Verdana"/>
          <w:sz w:val="20"/>
          <w:szCs w:val="20"/>
        </w:rPr>
      </w:pPr>
    </w:p>
    <w:p w14:paraId="6E3A9DAD" w14:textId="77777777" w:rsidR="00A06931" w:rsidRPr="00A06931" w:rsidRDefault="00A06931" w:rsidP="00A06931">
      <w:pPr>
        <w:spacing w:after="0" w:line="240" w:lineRule="auto"/>
        <w:ind w:left="709" w:right="709"/>
        <w:jc w:val="both"/>
        <w:rPr>
          <w:rFonts w:ascii="Verdana" w:hAnsi="Verdana"/>
          <w:sz w:val="20"/>
          <w:szCs w:val="20"/>
        </w:rPr>
      </w:pPr>
      <w:r w:rsidRPr="00A06931">
        <w:rPr>
          <w:rFonts w:ascii="Verdana" w:hAnsi="Verdana"/>
          <w:sz w:val="20"/>
          <w:szCs w:val="20"/>
        </w:rPr>
        <w:t>2. En caso de ser jurídicamente posible dicha participación, ¿la sola condición de aliado del proyecto constituye una inhabilidad, incompatibilidad, conflicto de interés o alguna otra circunstancia jurídica que impida su participación en el proceso de selección o la eventual celebración del contrato?</w:t>
      </w:r>
    </w:p>
    <w:p w14:paraId="59BFE6FD" w14:textId="77777777" w:rsidR="00A06931" w:rsidRPr="00A06931" w:rsidRDefault="00A06931" w:rsidP="00A06931">
      <w:pPr>
        <w:spacing w:after="0" w:line="240" w:lineRule="auto"/>
        <w:ind w:left="709" w:right="709"/>
        <w:jc w:val="both"/>
        <w:rPr>
          <w:rFonts w:ascii="Verdana" w:hAnsi="Verdana"/>
          <w:sz w:val="20"/>
          <w:szCs w:val="20"/>
        </w:rPr>
      </w:pPr>
    </w:p>
    <w:p w14:paraId="320D5C8A" w14:textId="77777777" w:rsidR="00A06931" w:rsidRPr="00A06931" w:rsidRDefault="00A06931" w:rsidP="00A06931">
      <w:pPr>
        <w:spacing w:after="0" w:line="240" w:lineRule="auto"/>
        <w:ind w:left="709" w:right="709"/>
        <w:jc w:val="both"/>
        <w:rPr>
          <w:rFonts w:ascii="Verdana" w:hAnsi="Verdana"/>
          <w:sz w:val="20"/>
          <w:szCs w:val="20"/>
        </w:rPr>
      </w:pPr>
      <w:r w:rsidRPr="00A06931">
        <w:rPr>
          <w:rFonts w:ascii="Verdana" w:hAnsi="Verdana"/>
          <w:sz w:val="20"/>
          <w:szCs w:val="20"/>
        </w:rPr>
        <w:t xml:space="preserve">3. ¿Existen restricciones particulares derivadas de la Ley 2056 de 2020, sus normas reglamentarias o del régimen de contratación aplicable a los proyectos financiados con recursos del Sistema General de Regalías que deban ser observadas en este tipo de situaciones? </w:t>
      </w:r>
    </w:p>
    <w:p w14:paraId="45A3F1CD" w14:textId="77777777" w:rsidR="00A06931" w:rsidRPr="00A06931" w:rsidRDefault="00A06931" w:rsidP="00A06931">
      <w:pPr>
        <w:spacing w:after="0" w:line="240" w:lineRule="auto"/>
        <w:ind w:left="709" w:right="709"/>
        <w:jc w:val="both"/>
        <w:rPr>
          <w:rFonts w:ascii="Verdana" w:hAnsi="Verdana"/>
          <w:sz w:val="20"/>
          <w:szCs w:val="20"/>
        </w:rPr>
      </w:pPr>
    </w:p>
    <w:p w14:paraId="3D800CE1" w14:textId="77777777" w:rsidR="00A06931" w:rsidRPr="00A06931" w:rsidRDefault="00A06931" w:rsidP="00A06931">
      <w:pPr>
        <w:spacing w:after="0" w:line="240" w:lineRule="auto"/>
        <w:ind w:left="709" w:right="709"/>
        <w:jc w:val="both"/>
        <w:rPr>
          <w:rFonts w:ascii="Verdana" w:hAnsi="Verdana"/>
          <w:sz w:val="20"/>
          <w:szCs w:val="20"/>
        </w:rPr>
      </w:pPr>
      <w:r w:rsidRPr="00A06931">
        <w:rPr>
          <w:rFonts w:ascii="Verdana" w:hAnsi="Verdana"/>
          <w:sz w:val="20"/>
          <w:szCs w:val="20"/>
        </w:rPr>
        <w:t xml:space="preserve">4. En caso de que la empresa privada, en su calidad de aliado, no haya intervenido en la elaboración de los estudios previos, estudio del sector, análisis de mercado, definición de requisitos habilitantes, especificaciones técnicas, presupuesto oficial o evaluación de las ofertas, ¿puede participar en el proceso de selección en igualdad de condiciones con los demás potenciales oferentes? </w:t>
      </w:r>
    </w:p>
    <w:p w14:paraId="747AF18C" w14:textId="77777777" w:rsidR="00A06931" w:rsidRPr="00A06931" w:rsidRDefault="00A06931" w:rsidP="00A06931">
      <w:pPr>
        <w:spacing w:after="0" w:line="240" w:lineRule="auto"/>
        <w:ind w:left="709" w:right="709"/>
        <w:jc w:val="both"/>
        <w:rPr>
          <w:rFonts w:ascii="Verdana" w:hAnsi="Verdana"/>
          <w:sz w:val="20"/>
          <w:szCs w:val="20"/>
        </w:rPr>
      </w:pPr>
    </w:p>
    <w:p w14:paraId="2B917196" w14:textId="77777777" w:rsidR="00A06931" w:rsidRPr="00A06931" w:rsidRDefault="00A06931" w:rsidP="00A06931">
      <w:pPr>
        <w:spacing w:after="0" w:line="240" w:lineRule="auto"/>
        <w:ind w:left="709" w:right="709"/>
        <w:jc w:val="both"/>
        <w:rPr>
          <w:rFonts w:ascii="Verdana" w:hAnsi="Verdana"/>
          <w:sz w:val="20"/>
          <w:szCs w:val="20"/>
        </w:rPr>
      </w:pPr>
      <w:r w:rsidRPr="00A06931">
        <w:rPr>
          <w:rFonts w:ascii="Verdana" w:hAnsi="Verdana"/>
          <w:sz w:val="20"/>
          <w:szCs w:val="20"/>
        </w:rPr>
        <w:t>5. ¿La condición de aliado del proyecto genera alguna restricción particular cuando la empresa privada pretende participar como oferente para suministrar un bien o prestar un servicio que se encuentra contemplado dentro de las necesidades y actividades aprobadas del proyecto?</w:t>
      </w:r>
    </w:p>
    <w:p w14:paraId="05BF465C" w14:textId="77777777" w:rsidR="00A06931" w:rsidRPr="00A06931" w:rsidRDefault="00A06931" w:rsidP="00A06931">
      <w:pPr>
        <w:spacing w:after="0" w:line="240" w:lineRule="auto"/>
        <w:ind w:left="709" w:right="709"/>
        <w:jc w:val="both"/>
        <w:rPr>
          <w:rFonts w:ascii="Verdana" w:hAnsi="Verdana"/>
          <w:sz w:val="20"/>
          <w:szCs w:val="20"/>
        </w:rPr>
      </w:pPr>
    </w:p>
    <w:p w14:paraId="15FAFA1C" w14:textId="77777777" w:rsidR="00A06931" w:rsidRPr="00A06931" w:rsidRDefault="00A06931" w:rsidP="00A06931">
      <w:pPr>
        <w:spacing w:after="0" w:line="240" w:lineRule="auto"/>
        <w:ind w:left="709" w:right="709"/>
        <w:jc w:val="both"/>
        <w:rPr>
          <w:rFonts w:ascii="Verdana" w:hAnsi="Verdana"/>
          <w:sz w:val="20"/>
          <w:szCs w:val="20"/>
        </w:rPr>
      </w:pPr>
      <w:r w:rsidRPr="00A06931">
        <w:rPr>
          <w:rFonts w:ascii="Verdana" w:hAnsi="Verdana"/>
          <w:sz w:val="20"/>
          <w:szCs w:val="20"/>
        </w:rPr>
        <w:t xml:space="preserve">6. ¿La eventual participación de un aliado como proponente exige la adopción de medidas adicionales por parte de la entidad ejecutora para garantizar los principios de transparencia, selección objetiva, libre concurrencia e igualdad entre los participantes? </w:t>
      </w:r>
    </w:p>
    <w:p w14:paraId="5859D0F9" w14:textId="77777777" w:rsidR="00A06931" w:rsidRPr="00A06931" w:rsidRDefault="00A06931" w:rsidP="00A06931">
      <w:pPr>
        <w:spacing w:after="0" w:line="240" w:lineRule="auto"/>
        <w:ind w:left="709" w:right="709"/>
        <w:jc w:val="both"/>
        <w:rPr>
          <w:rFonts w:ascii="Verdana" w:hAnsi="Verdana"/>
          <w:sz w:val="20"/>
          <w:szCs w:val="20"/>
        </w:rPr>
      </w:pPr>
    </w:p>
    <w:p w14:paraId="08B2C145" w14:textId="77777777" w:rsidR="00A06931" w:rsidRPr="00A06931" w:rsidRDefault="00A06931" w:rsidP="00A06931">
      <w:pPr>
        <w:spacing w:after="0" w:line="240" w:lineRule="auto"/>
        <w:ind w:left="709" w:right="709"/>
        <w:jc w:val="both"/>
        <w:rPr>
          <w:rFonts w:ascii="Verdana" w:hAnsi="Verdana"/>
          <w:sz w:val="20"/>
          <w:szCs w:val="20"/>
        </w:rPr>
      </w:pPr>
      <w:r w:rsidRPr="00A06931">
        <w:rPr>
          <w:rFonts w:ascii="Verdana" w:hAnsi="Verdana"/>
          <w:sz w:val="20"/>
          <w:szCs w:val="20"/>
        </w:rPr>
        <w:t>7. En caso de que la participación del aliado sea jurídicamente viable, ¿existe alguna recomendación o condición particular que deba observar la entidad ejecutora en la estructuración y desarrollo del proceso de selección para prevenir la existencia de ventajas indebidas o situaciones que puedan afectar la transparencia del proceso?”</w:t>
      </w:r>
    </w:p>
    <w:p w14:paraId="4CAD1B41" w14:textId="77777777" w:rsidR="00A06931" w:rsidRPr="00A06931" w:rsidRDefault="00A06931" w:rsidP="00A06931">
      <w:pPr>
        <w:spacing w:after="0" w:line="240" w:lineRule="auto"/>
        <w:ind w:right="709"/>
        <w:jc w:val="both"/>
      </w:pPr>
    </w:p>
    <w:p w14:paraId="27FB6661" w14:textId="77777777" w:rsidR="00A06931" w:rsidRPr="00A06931" w:rsidRDefault="00A06931" w:rsidP="00A06931">
      <w:pPr>
        <w:spacing w:after="120" w:line="276" w:lineRule="auto"/>
        <w:ind w:firstLine="709"/>
        <w:jc w:val="both"/>
        <w:rPr>
          <w:rFonts w:ascii="Verdana" w:eastAsia="Calibri" w:hAnsi="Verdana" w:cs="Arial"/>
          <w:color w:val="000000"/>
          <w:lang w:eastAsia="es-ES"/>
        </w:rPr>
      </w:pPr>
      <w:r w:rsidRPr="00A0693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A06931">
        <w:rPr>
          <w:rFonts w:ascii="Verdana" w:eastAsia="Calibri" w:hAnsi="Verdana" w:cs="Arial"/>
          <w:color w:val="000000"/>
          <w:lang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06931">
        <w:rPr>
          <w:rFonts w:ascii="Verdana" w:eastAsia="Calibri" w:hAnsi="Verdana" w:cs="Arial"/>
          <w:color w:val="000000"/>
          <w:szCs w:val="24"/>
          <w:lang w:eastAsia="es-ES_tradnl"/>
        </w:rPr>
        <w:tab/>
      </w:r>
    </w:p>
    <w:p w14:paraId="729361F0" w14:textId="77777777" w:rsidR="00A06931" w:rsidRPr="00A06931" w:rsidRDefault="00A06931" w:rsidP="00A06931">
      <w:pPr>
        <w:spacing w:after="0" w:line="276" w:lineRule="auto"/>
        <w:ind w:firstLine="709"/>
        <w:jc w:val="both"/>
        <w:rPr>
          <w:rFonts w:ascii="Verdana" w:eastAsia="Calibri" w:hAnsi="Verdana" w:cs="Arial"/>
          <w:color w:val="000000"/>
          <w:lang w:eastAsia="es-ES"/>
        </w:rPr>
      </w:pPr>
      <w:r w:rsidRPr="00A0693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06931">
        <w:rPr>
          <w:rFonts w:ascii="Verdana" w:eastAsia="Calibri" w:hAnsi="Verdana" w:cs="Arial"/>
          <w:color w:val="7030A0"/>
          <w:lang w:eastAsia="es-ES"/>
        </w:rPr>
        <w:t xml:space="preserve"> </w:t>
      </w:r>
      <w:r w:rsidRPr="00A06931">
        <w:rPr>
          <w:rFonts w:ascii="Verdana" w:eastAsia="Calibri" w:hAnsi="Verdana" w:cs="Arial"/>
          <w:color w:val="000000"/>
          <w:lang w:eastAsia="es-ES"/>
        </w:rPr>
        <w:t>problemas</w:t>
      </w:r>
      <w:r w:rsidRPr="00A06931">
        <w:rPr>
          <w:rFonts w:ascii="Verdana" w:eastAsia="Calibri" w:hAnsi="Verdana" w:cs="Arial"/>
          <w:color w:val="7030A0"/>
          <w:lang w:eastAsia="es-ES"/>
        </w:rPr>
        <w:t xml:space="preserve"> </w:t>
      </w:r>
      <w:r w:rsidRPr="00A06931">
        <w:rPr>
          <w:rFonts w:ascii="Verdana" w:eastAsia="Calibri" w:hAnsi="Verdana" w:cs="Arial"/>
          <w:color w:val="000000"/>
          <w:lang w:eastAsia="es-ES"/>
        </w:rPr>
        <w:t>jurídicos</w:t>
      </w:r>
      <w:r w:rsidRPr="00A06931">
        <w:rPr>
          <w:rFonts w:ascii="Verdana" w:eastAsia="Calibri" w:hAnsi="Verdana" w:cs="Arial"/>
          <w:color w:val="7030A0"/>
          <w:lang w:eastAsia="es-ES"/>
        </w:rPr>
        <w:t xml:space="preserve"> </w:t>
      </w:r>
      <w:r w:rsidRPr="00A06931">
        <w:rPr>
          <w:rFonts w:ascii="Verdana" w:eastAsia="Calibri" w:hAnsi="Verdana" w:cs="Arial"/>
          <w:color w:val="000000"/>
          <w:lang w:eastAsia="es-ES"/>
        </w:rPr>
        <w:t xml:space="preserve">de su consulta. </w:t>
      </w:r>
    </w:p>
    <w:p w14:paraId="1B213810" w14:textId="77777777" w:rsidR="00A06931" w:rsidRPr="00A06931" w:rsidRDefault="00A06931" w:rsidP="00A06931">
      <w:pPr>
        <w:spacing w:after="0" w:line="276" w:lineRule="auto"/>
        <w:ind w:firstLine="709"/>
        <w:jc w:val="both"/>
        <w:rPr>
          <w:rFonts w:ascii="Verdana" w:eastAsia="Calibri" w:hAnsi="Verdana" w:cs="Arial"/>
          <w:color w:val="000000"/>
          <w:lang w:eastAsia="es-ES"/>
        </w:rPr>
      </w:pPr>
    </w:p>
    <w:p w14:paraId="64708BA9" w14:textId="77777777" w:rsidR="00A06931" w:rsidRPr="00A06931" w:rsidRDefault="00A06931" w:rsidP="00A06931">
      <w:pPr>
        <w:numPr>
          <w:ilvl w:val="0"/>
          <w:numId w:val="1"/>
        </w:numPr>
        <w:tabs>
          <w:tab w:val="left" w:pos="142"/>
          <w:tab w:val="left" w:pos="284"/>
        </w:tabs>
        <w:spacing w:after="0" w:line="276" w:lineRule="auto"/>
        <w:jc w:val="both"/>
        <w:rPr>
          <w:rFonts w:ascii="Verdana" w:eastAsia="Century Gothic" w:hAnsi="Verdana" w:cs="Century Gothic"/>
          <w:b/>
          <w:bCs/>
        </w:rPr>
      </w:pPr>
      <w:r w:rsidRPr="00A06931">
        <w:rPr>
          <w:rFonts w:ascii="Verdana" w:eastAsia="Century Gothic" w:hAnsi="Verdana" w:cs="Century Gothic"/>
          <w:b/>
          <w:bCs/>
        </w:rPr>
        <w:t>Problemas planteados:</w:t>
      </w:r>
    </w:p>
    <w:p w14:paraId="4CAAC808" w14:textId="77777777" w:rsidR="00A06931" w:rsidRPr="00A06931" w:rsidRDefault="00A06931" w:rsidP="00A06931">
      <w:pPr>
        <w:tabs>
          <w:tab w:val="left" w:pos="426"/>
        </w:tabs>
        <w:spacing w:after="0" w:line="276" w:lineRule="auto"/>
        <w:jc w:val="both"/>
        <w:rPr>
          <w:rFonts w:ascii="Verdana" w:eastAsia="Century Gothic" w:hAnsi="Verdana" w:cs="Century Gothic"/>
        </w:rPr>
      </w:pPr>
    </w:p>
    <w:p w14:paraId="4EC8BB7D" w14:textId="77777777" w:rsidR="00A06931" w:rsidRPr="00A06931" w:rsidRDefault="00A06931" w:rsidP="00A06931">
      <w:pPr>
        <w:spacing w:after="0" w:line="276" w:lineRule="auto"/>
        <w:jc w:val="both"/>
        <w:rPr>
          <w:rFonts w:ascii="Verdana" w:eastAsia="Century Gothic" w:hAnsi="Verdana" w:cs="Century Gothic"/>
        </w:rPr>
      </w:pPr>
      <w:r w:rsidRPr="00A06931">
        <w:rPr>
          <w:rFonts w:ascii="Verdana" w:eastAsia="Century Gothic" w:hAnsi="Verdana" w:cs="Century Gothic"/>
        </w:rPr>
        <w:t>De acuerdo con el contenido de su solicitud, esta Agencia resolverá los siguientes problemas jurídicos: i) ¿</w:t>
      </w:r>
      <w:r w:rsidRPr="00A06931">
        <w:rPr>
          <w:rFonts w:ascii="Verdana" w:eastAsia="Calibri" w:hAnsi="Verdana" w:cs="Times New Roman"/>
        </w:rPr>
        <w:t>Cuál es el régimen contractual aplicable en la ejecución de proyectos cuya fuente de financiación es el Sistema General de Regalías – SGR – por concepto de asignación para la Ciencia, Tecnología e Innovación</w:t>
      </w:r>
      <w:r w:rsidRPr="00A06931">
        <w:rPr>
          <w:rFonts w:ascii="Verdana" w:eastAsia="Century Gothic" w:hAnsi="Verdana" w:cs="Century Gothic"/>
        </w:rPr>
        <w:t xml:space="preserve">? y </w:t>
      </w:r>
      <w:proofErr w:type="spellStart"/>
      <w:r w:rsidRPr="00A06931">
        <w:rPr>
          <w:rFonts w:ascii="Verdana" w:eastAsia="Century Gothic" w:hAnsi="Verdana" w:cs="Century Gothic"/>
        </w:rPr>
        <w:t>ii</w:t>
      </w:r>
      <w:proofErr w:type="spellEnd"/>
      <w:r w:rsidRPr="00A06931">
        <w:rPr>
          <w:rFonts w:ascii="Verdana" w:eastAsia="Century Gothic" w:hAnsi="Verdana" w:cs="Century Gothic"/>
        </w:rPr>
        <w:t xml:space="preserve">) ¿Aplica régimen de inhabilidades e incompatibilidades del EGCAP a estos proyectos? </w:t>
      </w:r>
    </w:p>
    <w:p w14:paraId="05CD896C" w14:textId="77777777" w:rsidR="00A06931" w:rsidRPr="00A06931" w:rsidRDefault="00A06931" w:rsidP="00A06931">
      <w:pPr>
        <w:spacing w:after="0" w:line="276" w:lineRule="auto"/>
        <w:jc w:val="both"/>
        <w:rPr>
          <w:rFonts w:ascii="Verdana" w:eastAsia="Century Gothic" w:hAnsi="Verdana" w:cs="Century Gothic"/>
        </w:rPr>
      </w:pPr>
    </w:p>
    <w:p w14:paraId="391DB400" w14:textId="77777777" w:rsidR="00A06931" w:rsidRPr="00A06931" w:rsidRDefault="00A06931" w:rsidP="00A06931">
      <w:pPr>
        <w:numPr>
          <w:ilvl w:val="0"/>
          <w:numId w:val="1"/>
        </w:numPr>
        <w:tabs>
          <w:tab w:val="left" w:pos="142"/>
          <w:tab w:val="left" w:pos="284"/>
        </w:tabs>
        <w:spacing w:after="0" w:line="276" w:lineRule="auto"/>
        <w:jc w:val="both"/>
        <w:rPr>
          <w:rFonts w:ascii="Verdana" w:eastAsia="Century Gothic" w:hAnsi="Verdana" w:cs="Century Gothic"/>
          <w:b/>
          <w:bCs/>
        </w:rPr>
      </w:pPr>
      <w:r w:rsidRPr="00A06931">
        <w:rPr>
          <w:rFonts w:ascii="Verdana" w:eastAsia="Century Gothic" w:hAnsi="Verdana" w:cs="Century Gothic"/>
          <w:b/>
          <w:bCs/>
        </w:rPr>
        <w:t>Respuestas:</w:t>
      </w:r>
    </w:p>
    <w:p w14:paraId="438F2D94" w14:textId="77777777" w:rsidR="00A06931" w:rsidRPr="00A06931" w:rsidRDefault="00A06931" w:rsidP="00A0693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06931" w:rsidRPr="00A06931" w14:paraId="34429440" w14:textId="77777777" w:rsidTr="00F33424">
        <w:trPr>
          <w:trHeight w:val="58"/>
          <w:jc w:val="center"/>
        </w:trPr>
        <w:tc>
          <w:tcPr>
            <w:tcW w:w="8828" w:type="dxa"/>
          </w:tcPr>
          <w:p w14:paraId="66D46ED7" w14:textId="77777777" w:rsidR="00A06931" w:rsidRPr="00A06931" w:rsidRDefault="00A06931" w:rsidP="00A06931">
            <w:pPr>
              <w:spacing w:after="120" w:line="276" w:lineRule="auto"/>
              <w:jc w:val="both"/>
              <w:rPr>
                <w:rFonts w:ascii="Verdana" w:hAnsi="Verdana" w:cs="Arial"/>
              </w:rPr>
            </w:pPr>
            <w:bookmarkStart w:id="3" w:name="_Hlk171694685"/>
            <w:r w:rsidRPr="00A06931">
              <w:rPr>
                <w:rFonts w:ascii="Verdana" w:eastAsia="Calibri" w:hAnsi="Verdana" w:cs="Arial"/>
                <w:color w:val="000000"/>
                <w:lang w:val="es-ES" w:eastAsia="es-ES"/>
              </w:rPr>
              <w:t>i. E</w:t>
            </w:r>
            <w:r w:rsidRPr="00A06931">
              <w:rPr>
                <w:rFonts w:ascii="Verdana" w:hAnsi="Verdana" w:cs="Arial"/>
                <w:lang w:val="es-MX"/>
              </w:rPr>
              <w:t>n</w:t>
            </w:r>
            <w:r w:rsidRPr="00A06931">
              <w:rPr>
                <w:rFonts w:ascii="Verdana" w:hAnsi="Verdana" w:cs="Arial"/>
                <w:lang w:val="es-ES"/>
              </w:rPr>
              <w:t xml:space="preserve"> el Capítulo V del Título IV de la Ley 2056 de 2020 se establecen disposiciones específicas </w:t>
            </w:r>
            <w:r w:rsidRPr="00A06931">
              <w:rPr>
                <w:rFonts w:ascii="Verdana" w:hAnsi="Verdana" w:cs="Arial"/>
                <w:noProof/>
              </w:rPr>
              <w:t xml:space="preserve">frente a la Asignación </w:t>
            </w:r>
            <w:r w:rsidRPr="00A06931">
              <w:rPr>
                <w:rFonts w:ascii="Verdana" w:hAnsi="Verdana" w:cs="Arial"/>
                <w:lang w:val="es-MX"/>
              </w:rPr>
              <w:t xml:space="preserve">para la inversión en Ciencia, Tecnología e Innovación. </w:t>
            </w:r>
            <w:r w:rsidRPr="00A06931">
              <w:rPr>
                <w:rFonts w:ascii="Verdana" w:hAnsi="Verdana" w:cs="Arial"/>
              </w:rPr>
              <w:t xml:space="preserve">En lo que respecta a la ejecución de los proyectos de inversión que se financien con cargo a los recursos de la Asignación para la Ciencia, Tecnología e Innovación, el artículo 54 prevé que deberán ser ejecutados por la entidad que lo haya presentado en calidad de proponente en la respectiva convocatoria, quien deberá ejecutarlo con estricta sujeción al régimen presupuestal definido en dicha ley y </w:t>
            </w:r>
            <w:r w:rsidRPr="00A06931">
              <w:rPr>
                <w:rFonts w:ascii="Verdana" w:hAnsi="Verdana" w:cs="Arial"/>
                <w:i/>
                <w:iCs/>
              </w:rPr>
              <w:t>a las normas contractuales previstas en la Ley 1286 de 2009</w:t>
            </w:r>
            <w:r w:rsidRPr="00A06931">
              <w:rPr>
                <w:rFonts w:ascii="Verdana" w:hAnsi="Verdana" w:cs="Arial"/>
              </w:rPr>
              <w:t xml:space="preserve"> o las disposiciones que hagan sus veces. </w:t>
            </w:r>
          </w:p>
          <w:p w14:paraId="7EAD1368" w14:textId="77777777" w:rsidR="00A06931" w:rsidRPr="00A06931" w:rsidRDefault="00A06931" w:rsidP="00A06931">
            <w:pPr>
              <w:shd w:val="clear" w:color="auto" w:fill="FFFFFF"/>
              <w:spacing w:before="120" w:after="120" w:line="276" w:lineRule="auto"/>
              <w:ind w:firstLine="709"/>
              <w:jc w:val="both"/>
              <w:rPr>
                <w:rFonts w:ascii="Verdana" w:hAnsi="Verdana" w:cs="Arial"/>
                <w:lang w:eastAsia="es-ES_tradnl"/>
              </w:rPr>
            </w:pPr>
            <w:r w:rsidRPr="00A06931">
              <w:rPr>
                <w:rFonts w:ascii="Verdana" w:hAnsi="Verdana" w:cs="Arial"/>
              </w:rPr>
              <w:t xml:space="preserve">Conforme a lo anterior, para efectos de la ejecución de estos proyectos de inversión la entidad ejecutora deberá someterse a lo dispuesto en la Ley </w:t>
            </w:r>
            <w:r w:rsidRPr="00A06931">
              <w:rPr>
                <w:rFonts w:ascii="Verdana" w:hAnsi="Verdana" w:cs="Arial"/>
              </w:rPr>
              <w:lastRenderedPageBreak/>
              <w:t xml:space="preserve">1286 de 2009, la cual establece disposiciones especiales en la materia. Al respecto, </w:t>
            </w:r>
            <w:r w:rsidRPr="00A06931">
              <w:rPr>
                <w:rFonts w:ascii="Verdana" w:hAnsi="Verdana" w:cs="Arial"/>
                <w:lang w:eastAsia="es-ES_tradnl"/>
              </w:rPr>
              <w:t xml:space="preserve">el artículo 33 de la Ley 1286 de 2009 señala que “las actividades, contratos y convenios que tengan por objeto la realización de actividades definidas como de ciencia, tecnología e innovación que celebren las entidades estatales, </w:t>
            </w:r>
            <w:r w:rsidRPr="00A06931">
              <w:rPr>
                <w:rFonts w:ascii="Verdana" w:hAnsi="Verdana" w:cs="Arial"/>
                <w:i/>
                <w:iCs/>
                <w:lang w:eastAsia="es-ES_tradnl"/>
              </w:rPr>
              <w:t>continuarán rigiéndose por las normas especiales que les sean aplicables</w:t>
            </w:r>
            <w:r w:rsidRPr="00A06931">
              <w:rPr>
                <w:rFonts w:ascii="Verdana" w:hAnsi="Verdana" w:cs="Arial"/>
                <w:lang w:eastAsia="es-ES_tradnl"/>
              </w:rPr>
              <w:t>. En consecuencia, tales contratos se celebrarán directamente”.</w:t>
            </w:r>
          </w:p>
          <w:p w14:paraId="50CE6CCC" w14:textId="77777777" w:rsidR="00A06931" w:rsidRPr="00A06931" w:rsidRDefault="00A06931" w:rsidP="00A06931">
            <w:pPr>
              <w:spacing w:after="120" w:line="276" w:lineRule="auto"/>
              <w:ind w:firstLine="708"/>
              <w:jc w:val="both"/>
              <w:rPr>
                <w:rFonts w:ascii="Verdana" w:hAnsi="Verdana" w:cs="Arial"/>
                <w:lang w:eastAsia="es-ES_tradnl"/>
              </w:rPr>
            </w:pPr>
            <w:r w:rsidRPr="00A06931">
              <w:rPr>
                <w:rFonts w:ascii="Verdana" w:hAnsi="Verdana" w:cs="Arial"/>
                <w:lang w:eastAsia="es-ES_tradnl"/>
              </w:rPr>
              <w:t xml:space="preserve">Para entender las normas de contratación aplicables en este caso, es preciso tener en cuenta que las actividades de ciencia, tecnología e innovación están previstas en cuatro (4) cuerpos normativos: </w:t>
            </w:r>
          </w:p>
          <w:p w14:paraId="1A30BD3B" w14:textId="77777777" w:rsidR="00A06931" w:rsidRPr="00A06931" w:rsidRDefault="00A06931" w:rsidP="00A06931">
            <w:pPr>
              <w:numPr>
                <w:ilvl w:val="0"/>
                <w:numId w:val="40"/>
              </w:numPr>
              <w:spacing w:after="120" w:line="276" w:lineRule="auto"/>
              <w:contextualSpacing/>
              <w:jc w:val="both"/>
              <w:rPr>
                <w:rFonts w:ascii="Verdana" w:eastAsia="Times New Roman" w:hAnsi="Verdana" w:cs="Arial"/>
                <w:lang w:val="es-ES" w:eastAsia="es-ES_tradnl"/>
              </w:rPr>
            </w:pPr>
            <w:r w:rsidRPr="00A06931">
              <w:rPr>
                <w:rFonts w:ascii="Verdana" w:eastAsia="Times New Roman" w:hAnsi="Verdana" w:cs="Arial"/>
                <w:lang w:val="es-ES" w:eastAsia="es-ES_tradnl"/>
              </w:rPr>
              <w:t xml:space="preserve">El </w:t>
            </w:r>
            <w:r w:rsidRPr="00A06931">
              <w:rPr>
                <w:rFonts w:ascii="Verdana" w:eastAsia="Times New Roman" w:hAnsi="Verdana" w:cs="Arial"/>
                <w:i/>
                <w:iCs/>
                <w:lang w:val="es-ES" w:eastAsia="es-ES_tradnl"/>
              </w:rPr>
              <w:t>Decreto Ley 393 de 1991</w:t>
            </w:r>
            <w:r w:rsidRPr="00A06931">
              <w:rPr>
                <w:rFonts w:ascii="Verdana" w:eastAsia="Times New Roman" w:hAnsi="Verdana" w:cs="Arial"/>
                <w:lang w:val="es-ES" w:eastAsia="es-ES_tradnl"/>
              </w:rPr>
              <w:t xml:space="preserve">, que se refiere a dos (2) formas de asociación para que las entidades ejecuten actividades científicas y tecnológicas, proyectos de investigación y creación de tecnologías: 1) la creación de personas jurídicas civiles, comerciales y sin ánimo de lucro y 2) la celebración de convenios especiales de cooperación; </w:t>
            </w:r>
          </w:p>
          <w:p w14:paraId="5AD84238" w14:textId="77777777" w:rsidR="00A06931" w:rsidRPr="00A06931" w:rsidRDefault="00A06931" w:rsidP="00A06931">
            <w:pPr>
              <w:numPr>
                <w:ilvl w:val="0"/>
                <w:numId w:val="40"/>
              </w:numPr>
              <w:spacing w:after="120" w:line="276" w:lineRule="auto"/>
              <w:contextualSpacing/>
              <w:jc w:val="both"/>
              <w:rPr>
                <w:rFonts w:ascii="Verdana" w:eastAsia="Times New Roman" w:hAnsi="Verdana" w:cs="Arial"/>
                <w:lang w:val="es-ES" w:eastAsia="es-ES_tradnl"/>
              </w:rPr>
            </w:pPr>
            <w:r w:rsidRPr="00A06931">
              <w:rPr>
                <w:rFonts w:ascii="Verdana" w:eastAsia="Times New Roman" w:hAnsi="Verdana" w:cs="Arial"/>
                <w:lang w:val="es-ES" w:eastAsia="es-ES_tradnl"/>
              </w:rPr>
              <w:t xml:space="preserve">El </w:t>
            </w:r>
            <w:r w:rsidRPr="00A06931">
              <w:rPr>
                <w:rFonts w:ascii="Verdana" w:eastAsia="Times New Roman" w:hAnsi="Verdana" w:cs="Arial"/>
                <w:i/>
                <w:iCs/>
                <w:lang w:val="es-ES" w:eastAsia="es-ES_tradnl"/>
              </w:rPr>
              <w:t>Decreto Ley 591 de 1991</w:t>
            </w:r>
            <w:r w:rsidRPr="00A06931">
              <w:rPr>
                <w:rFonts w:ascii="Verdana" w:eastAsia="Times New Roman" w:hAnsi="Verdana" w:cs="Arial"/>
                <w:lang w:val="es-ES"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1) contratos de financiamiento, 2) contratos de administración de proyectos y 3) convenios especiales de cooperación; </w:t>
            </w:r>
          </w:p>
          <w:p w14:paraId="35714A9E" w14:textId="77777777" w:rsidR="00A06931" w:rsidRPr="00A06931" w:rsidRDefault="00A06931" w:rsidP="00A06931">
            <w:pPr>
              <w:numPr>
                <w:ilvl w:val="0"/>
                <w:numId w:val="40"/>
              </w:numPr>
              <w:spacing w:after="120" w:line="276" w:lineRule="auto"/>
              <w:contextualSpacing/>
              <w:jc w:val="both"/>
              <w:rPr>
                <w:rFonts w:ascii="Verdana" w:eastAsia="Times New Roman" w:hAnsi="Verdana" w:cs="Arial"/>
                <w:lang w:val="es-ES" w:eastAsia="es-ES_tradnl"/>
              </w:rPr>
            </w:pPr>
            <w:r w:rsidRPr="00A06931">
              <w:rPr>
                <w:rFonts w:ascii="Verdana" w:eastAsia="Times New Roman" w:hAnsi="Verdana" w:cs="Arial"/>
                <w:lang w:val="es-ES" w:eastAsia="es-ES_tradnl"/>
              </w:rPr>
              <w:t xml:space="preserve">La </w:t>
            </w:r>
            <w:r w:rsidRPr="00A06931">
              <w:rPr>
                <w:rFonts w:ascii="Verdana" w:eastAsia="Times New Roman" w:hAnsi="Verdana" w:cs="Arial"/>
                <w:i/>
                <w:iCs/>
                <w:lang w:val="es-ES" w:eastAsia="es-ES_tradnl"/>
              </w:rPr>
              <w:t>Ley 1286 de 2009</w:t>
            </w:r>
          </w:p>
          <w:p w14:paraId="564854EE" w14:textId="77777777" w:rsidR="00A06931" w:rsidRPr="00A06931" w:rsidRDefault="00A06931" w:rsidP="00A06931">
            <w:pPr>
              <w:numPr>
                <w:ilvl w:val="0"/>
                <w:numId w:val="40"/>
              </w:numPr>
              <w:spacing w:after="120" w:line="276" w:lineRule="auto"/>
              <w:contextualSpacing/>
              <w:jc w:val="both"/>
              <w:rPr>
                <w:rFonts w:ascii="Verdana" w:eastAsia="Times New Roman" w:hAnsi="Verdana" w:cs="Arial"/>
                <w:lang w:val="es-ES" w:eastAsia="es-ES_tradnl"/>
              </w:rPr>
            </w:pPr>
            <w:r w:rsidRPr="00A06931">
              <w:rPr>
                <w:rFonts w:ascii="Verdana" w:eastAsia="Times New Roman" w:hAnsi="Verdana" w:cs="Arial"/>
                <w:lang w:val="es-ES" w:eastAsia="es-ES_tradnl"/>
              </w:rPr>
              <w:t xml:space="preserve">El </w:t>
            </w:r>
            <w:r w:rsidRPr="00A06931">
              <w:rPr>
                <w:rFonts w:ascii="Verdana" w:eastAsia="Times New Roman" w:hAnsi="Verdana" w:cs="Arial"/>
                <w:i/>
                <w:iCs/>
                <w:lang w:val="es-ES" w:eastAsia="es-ES_tradnl"/>
              </w:rPr>
              <w:t>Documento CONPES 3582 de 2009</w:t>
            </w:r>
            <w:r w:rsidRPr="00A06931">
              <w:rPr>
                <w:rFonts w:ascii="Verdana" w:eastAsia="Times New Roman" w:hAnsi="Verdana" w:cs="Arial"/>
                <w:lang w:val="es-ES" w:eastAsia="es-ES_tradnl"/>
              </w:rPr>
              <w:t xml:space="preserve"> que identifica cuáles son estas actividades con respecto a los actores del Sistema Nacional de Ciencia, Tecnología e Innovación.</w:t>
            </w:r>
          </w:p>
          <w:p w14:paraId="2FEF1DE1" w14:textId="77777777" w:rsidR="00A06931" w:rsidRPr="00A06931" w:rsidRDefault="00A06931" w:rsidP="00A06931">
            <w:pPr>
              <w:shd w:val="clear" w:color="auto" w:fill="FFFFFF"/>
              <w:spacing w:line="276" w:lineRule="auto"/>
              <w:ind w:firstLine="709"/>
              <w:jc w:val="both"/>
              <w:rPr>
                <w:rFonts w:ascii="Verdana" w:hAnsi="Verdana" w:cs="Arial"/>
                <w:lang w:eastAsia="es-ES_tradnl"/>
              </w:rPr>
            </w:pPr>
          </w:p>
          <w:p w14:paraId="035A1E67" w14:textId="77777777" w:rsidR="00A06931" w:rsidRPr="00A06931" w:rsidRDefault="00A06931" w:rsidP="00A06931">
            <w:pPr>
              <w:spacing w:after="120" w:line="276" w:lineRule="auto"/>
              <w:ind w:firstLine="708"/>
              <w:jc w:val="both"/>
              <w:rPr>
                <w:rFonts w:ascii="Verdana" w:hAnsi="Verdana" w:cs="Arial"/>
                <w:lang w:eastAsia="es-ES_tradnl"/>
              </w:rPr>
            </w:pPr>
            <w:r w:rsidRPr="00A06931">
              <w:rPr>
                <w:rFonts w:ascii="Verdana" w:hAnsi="Verdana" w:cs="Arial"/>
                <w:lang w:eastAsia="es-ES_tradnl"/>
              </w:rPr>
              <w:t xml:space="preserve">Así las cosas, las normas referidas establecen tipologías contractuales por las que pueden optar las entidades allí señaladas para contratar directamente el desarrollo de actividades de ciencia y tecnología. </w:t>
            </w:r>
          </w:p>
          <w:p w14:paraId="334D0AD8" w14:textId="77777777" w:rsidR="00A06931" w:rsidRPr="00A06931" w:rsidRDefault="00A06931" w:rsidP="00A06931">
            <w:pPr>
              <w:spacing w:after="120" w:line="276" w:lineRule="auto"/>
              <w:ind w:firstLine="708"/>
              <w:jc w:val="both"/>
              <w:rPr>
                <w:rFonts w:ascii="Verdana" w:hAnsi="Verdana" w:cs="Arial"/>
                <w:lang w:eastAsia="es-ES_tradnl"/>
              </w:rPr>
            </w:pPr>
            <w:r w:rsidRPr="00A06931">
              <w:rPr>
                <w:rFonts w:ascii="Verdana" w:eastAsia="Calibri" w:hAnsi="Verdana" w:cs="Times New Roman"/>
                <w:lang w:val="es-ES_tradnl"/>
              </w:rPr>
              <w:t xml:space="preserve">En consecuencia, para la ejecución de los proyectos de inversión financiados con recursos de la Asignación para la Ciencia, Tecnología e Innovación del SGR, el artículo 54 de la Ley 2056 de 2020 expresamente dispone que la entidad deberá ejecutarlo </w:t>
            </w:r>
            <w:r w:rsidRPr="00A06931">
              <w:rPr>
                <w:rFonts w:ascii="Verdana" w:eastAsia="Calibri" w:hAnsi="Verdana" w:cs="Times New Roman"/>
              </w:rPr>
              <w:t xml:space="preserve">con estricta sujeción al régimen presupuestal definido en dicha ley y a las normas contractuales previstas en la Ley 1286 de 2009, </w:t>
            </w:r>
            <w:r w:rsidRPr="00A06931">
              <w:rPr>
                <w:rFonts w:ascii="Verdana" w:eastAsia="Calibri" w:hAnsi="Verdana" w:cs="Times New Roman"/>
                <w:lang w:val="es-ES_tradnl"/>
              </w:rPr>
              <w:t xml:space="preserve">es decir, que para la celebración de contratos y convenios </w:t>
            </w:r>
            <w:r w:rsidRPr="00A06931">
              <w:rPr>
                <w:rFonts w:ascii="Verdana" w:eastAsia="Calibri" w:hAnsi="Verdana" w:cs="Times New Roman"/>
                <w:lang w:val="es-ES_tradnl"/>
              </w:rPr>
              <w:lastRenderedPageBreak/>
              <w:t>podrán acogerse a las disposiciones especiales que regulan las actividades de ciencia, tecnología e innovación.</w:t>
            </w:r>
          </w:p>
          <w:p w14:paraId="2DA5C781" w14:textId="77777777" w:rsidR="00A06931" w:rsidRPr="00A06931" w:rsidRDefault="00A06931" w:rsidP="00A06931">
            <w:pPr>
              <w:spacing w:after="120" w:line="276" w:lineRule="auto"/>
              <w:jc w:val="both"/>
              <w:rPr>
                <w:rFonts w:ascii="Verdana" w:eastAsia="Calibri" w:hAnsi="Verdana"/>
                <w:color w:val="000000"/>
                <w:lang w:val="es-ES"/>
              </w:rPr>
            </w:pPr>
            <w:proofErr w:type="spellStart"/>
            <w:r w:rsidRPr="00A06931">
              <w:rPr>
                <w:rFonts w:ascii="Verdana" w:eastAsia="Calibri" w:hAnsi="Verdana"/>
                <w:color w:val="000000"/>
                <w:lang w:val="es-ES"/>
              </w:rPr>
              <w:t>ii</w:t>
            </w:r>
            <w:proofErr w:type="spellEnd"/>
            <w:r w:rsidRPr="00A06931">
              <w:rPr>
                <w:rFonts w:ascii="Verdana" w:eastAsia="Calibri" w:hAnsi="Verdana"/>
                <w:color w:val="000000"/>
                <w:lang w:val="es-ES"/>
              </w:rPr>
              <w:t xml:space="preserve">. Aunque los proyectos de inversión financiados con recursos del Sistema General de Regalías que se ejecuten bajo el régimen especial de Ciencia, Tecnología e Innovación – </w:t>
            </w:r>
            <w:proofErr w:type="spellStart"/>
            <w:r w:rsidRPr="00A06931">
              <w:rPr>
                <w:rFonts w:ascii="Verdana" w:eastAsia="Calibri" w:hAnsi="Verdana"/>
                <w:color w:val="000000"/>
                <w:lang w:val="es-ES"/>
              </w:rPr>
              <w:t>CTeI</w:t>
            </w:r>
            <w:proofErr w:type="spellEnd"/>
            <w:r w:rsidRPr="00A06931">
              <w:rPr>
                <w:rFonts w:ascii="Verdana" w:eastAsia="Calibri" w:hAnsi="Verdana"/>
                <w:color w:val="000000"/>
                <w:lang w:val="es-ES"/>
              </w:rPr>
              <w:t xml:space="preserve"> - se sometan a dicho régimen, las entidades ejecutoras deben observar las disposiciones generales del Sistema de Compra y Contratación Pública que les resulten aplicables, entre ellas, el régimen de inhabilidades e incompatibilidades.</w:t>
            </w:r>
          </w:p>
          <w:p w14:paraId="4BE35AD5"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olor w:val="000000"/>
                <w:lang w:val="es-ES"/>
              </w:rPr>
              <w:t xml:space="preserve">En consecuencia, las entidades deberán verificar si las circunstancias particulares de los interesados se enmarcan en alguna de las causales expresamente previstas en la ley, cuya interpretación es restrictiva, sin que resulte procedente crear prohibiciones adicionales. Por tanto, </w:t>
            </w:r>
            <w:r w:rsidRPr="00A06931">
              <w:rPr>
                <w:rFonts w:ascii="Verdana" w:eastAsia="Calibri" w:hAnsi="Verdana" w:cs="Arial"/>
                <w:color w:val="000000" w:themeColor="text1"/>
                <w:lang w:val="es-ES"/>
              </w:rPr>
              <w:t xml:space="preserve">la sola condición de “aliado” de un proyecto de inversión no permite concluir, de manera general, que una empresa privada se encuentre incursa en una causal de inhabilidad o incompatibilidad que le impida participar en un proceso de selección adelantado por la entidad ejecutora del mismo proyecto. Para determinar la viabilidad jurídica de su participación, la entidad deberá establecer el alcance y la naturaleza de la relación que existe entre la empresa privada y la entidad ejecutora, así como las circunstancias particulares en las que se desarrolla dicha relación, con el fin de verificar si estas se subsumen en alguna de las causales previstas en el ordenamiento jurídico. </w:t>
            </w:r>
          </w:p>
          <w:p w14:paraId="6C207558" w14:textId="77777777" w:rsidR="00A06931" w:rsidRPr="00A06931" w:rsidRDefault="00A06931" w:rsidP="00A06931">
            <w:pPr>
              <w:spacing w:after="120" w:line="276" w:lineRule="auto"/>
              <w:ind w:firstLine="743"/>
              <w:jc w:val="both"/>
              <w:rPr>
                <w:rFonts w:ascii="Verdana" w:hAnsi="Verdana"/>
              </w:rPr>
            </w:pPr>
            <w:r w:rsidRPr="00A06931">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w:t>
            </w:r>
          </w:p>
        </w:tc>
      </w:tr>
    </w:tbl>
    <w:p w14:paraId="793E28A6" w14:textId="77777777" w:rsidR="00A06931" w:rsidRPr="00A06931" w:rsidRDefault="00A06931" w:rsidP="00A06931">
      <w:pPr>
        <w:tabs>
          <w:tab w:val="left" w:pos="142"/>
          <w:tab w:val="left" w:pos="284"/>
        </w:tabs>
        <w:spacing w:after="0" w:line="276" w:lineRule="auto"/>
        <w:jc w:val="both"/>
        <w:rPr>
          <w:rFonts w:ascii="Verdana" w:eastAsia="Century Gothic" w:hAnsi="Verdana" w:cs="Century Gothic"/>
          <w:b/>
          <w:bCs/>
        </w:rPr>
      </w:pPr>
    </w:p>
    <w:bookmarkEnd w:id="3"/>
    <w:p w14:paraId="60AA5A7E" w14:textId="77777777" w:rsidR="00A06931" w:rsidRPr="00A06931" w:rsidRDefault="00A06931" w:rsidP="00A06931">
      <w:pPr>
        <w:numPr>
          <w:ilvl w:val="0"/>
          <w:numId w:val="1"/>
        </w:numPr>
        <w:tabs>
          <w:tab w:val="left" w:pos="142"/>
          <w:tab w:val="left" w:pos="284"/>
        </w:tabs>
        <w:spacing w:after="0" w:line="276" w:lineRule="auto"/>
        <w:jc w:val="both"/>
        <w:rPr>
          <w:rFonts w:ascii="Verdana" w:eastAsia="Century Gothic" w:hAnsi="Verdana" w:cs="Century Gothic"/>
          <w:b/>
          <w:bCs/>
        </w:rPr>
      </w:pPr>
      <w:r w:rsidRPr="00A06931">
        <w:rPr>
          <w:rFonts w:ascii="Verdana" w:eastAsia="Century Gothic" w:hAnsi="Verdana" w:cs="Century Gothic"/>
          <w:b/>
          <w:bCs/>
        </w:rPr>
        <w:t>Razones de las respuestas:</w:t>
      </w:r>
    </w:p>
    <w:p w14:paraId="025E8D16" w14:textId="77777777" w:rsidR="00A06931" w:rsidRPr="00A06931" w:rsidRDefault="00A06931" w:rsidP="00A06931">
      <w:pPr>
        <w:spacing w:after="0" w:line="276" w:lineRule="auto"/>
        <w:jc w:val="both"/>
        <w:rPr>
          <w:rFonts w:ascii="Verdana" w:eastAsia="Calibri" w:hAnsi="Verdana" w:cs="Arial"/>
          <w:color w:val="7030A0"/>
        </w:rPr>
      </w:pPr>
    </w:p>
    <w:p w14:paraId="00573B65" w14:textId="77777777" w:rsidR="00A06931" w:rsidRPr="00A06931" w:rsidRDefault="00A06931" w:rsidP="00A06931">
      <w:pPr>
        <w:spacing w:after="0" w:line="276" w:lineRule="auto"/>
        <w:jc w:val="both"/>
        <w:rPr>
          <w:rFonts w:ascii="Verdana" w:eastAsia="Calibri" w:hAnsi="Verdana" w:cs="Arial"/>
        </w:rPr>
      </w:pPr>
      <w:r w:rsidRPr="00A06931">
        <w:rPr>
          <w:rFonts w:ascii="Verdana" w:eastAsia="Calibri" w:hAnsi="Verdana" w:cs="Arial"/>
        </w:rPr>
        <w:t>Lo anterior se sustenta en las siguientes consideraciones:</w:t>
      </w:r>
    </w:p>
    <w:p w14:paraId="2D8E403A" w14:textId="77777777" w:rsidR="00A06931" w:rsidRPr="00A06931" w:rsidRDefault="00A06931" w:rsidP="00A06931">
      <w:pPr>
        <w:spacing w:after="0" w:line="276" w:lineRule="auto"/>
        <w:jc w:val="both"/>
        <w:rPr>
          <w:rFonts w:ascii="Verdana" w:eastAsia="Calibri" w:hAnsi="Verdana" w:cs="Arial"/>
        </w:rPr>
      </w:pPr>
    </w:p>
    <w:p w14:paraId="4542B3D3" w14:textId="77777777" w:rsidR="00A06931" w:rsidRPr="00A06931" w:rsidRDefault="00A06931" w:rsidP="00A06931">
      <w:pPr>
        <w:spacing w:after="120" w:line="276" w:lineRule="auto"/>
        <w:jc w:val="both"/>
        <w:rPr>
          <w:rFonts w:ascii="Verdana" w:eastAsia="Calibri" w:hAnsi="Verdana" w:cs="Arial"/>
          <w:color w:val="000000" w:themeColor="text1"/>
          <w:lang w:val="es-ES_tradnl"/>
        </w:rPr>
      </w:pPr>
      <w:r w:rsidRPr="00A06931">
        <w:rPr>
          <w:rFonts w:ascii="Verdana" w:eastAsia="Calibri" w:hAnsi="Verdana" w:cs="Arial"/>
          <w:color w:val="000000" w:themeColor="text1"/>
          <w:lang w:val="es-ES_tradnl"/>
        </w:rPr>
        <w:t xml:space="preserve">i. Como punto de partida, es pertinente hacer algunas precisiones sobre la posición que ha sostenido la </w:t>
      </w:r>
      <w:r w:rsidRPr="00A06931">
        <w:rPr>
          <w:rFonts w:ascii="Verdana" w:eastAsia="Calibri" w:hAnsi="Verdana" w:cs="Arial"/>
          <w:color w:val="000000"/>
          <w:lang w:val="es-ES" w:eastAsia="es-ES"/>
        </w:rPr>
        <w:t xml:space="preserve">Subdirección de Gestión Contractual de la ANCP – CCE en ejercicio de su función consultiva, </w:t>
      </w:r>
      <w:r w:rsidRPr="00A06931">
        <w:rPr>
          <w:rFonts w:ascii="Verdana" w:eastAsia="Calibri" w:hAnsi="Verdana" w:cs="Arial"/>
          <w:color w:val="000000" w:themeColor="text1"/>
          <w:lang w:val="es-ES_tradnl"/>
        </w:rPr>
        <w:t>en relación con</w:t>
      </w:r>
      <w:r w:rsidRPr="00A06931">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2AF98F87" w14:textId="77777777" w:rsidR="00A06931" w:rsidRPr="00A06931" w:rsidRDefault="00A06931" w:rsidP="00A06931">
      <w:pPr>
        <w:spacing w:after="120" w:line="276" w:lineRule="auto"/>
        <w:ind w:firstLine="709"/>
        <w:jc w:val="both"/>
        <w:rPr>
          <w:rFonts w:ascii="Verdana" w:hAnsi="Verdana"/>
          <w:shd w:val="clear" w:color="auto" w:fill="FFFFFF"/>
        </w:rPr>
      </w:pPr>
      <w:r w:rsidRPr="00A06931">
        <w:rPr>
          <w:rFonts w:ascii="Verdana" w:hAnsi="Verdana"/>
          <w:lang w:val="es-ES" w:eastAsia="es-ES"/>
        </w:rPr>
        <w:t xml:space="preserve">conforme a la interpretación general de las normas del sistema de compras públicas, esta Subdirección en </w:t>
      </w:r>
      <w:r w:rsidRPr="00A06931">
        <w:rPr>
          <w:rFonts w:ascii="Verdana" w:hAnsi="Verdana"/>
        </w:rPr>
        <w:t>los conceptos C-370 del 2021,</w:t>
      </w:r>
      <w:r w:rsidRPr="00A06931">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A06931">
        <w:rPr>
          <w:rFonts w:ascii="Verdana" w:hAnsi="Verdana" w:cs="Arial"/>
        </w:rPr>
        <w:t xml:space="preserve"> C-764 del 29 de mayo de 2026</w:t>
      </w:r>
      <w:r w:rsidRPr="00A06931">
        <w:rPr>
          <w:rFonts w:ascii="Verdana" w:hAnsi="Verdana"/>
          <w:shd w:val="clear" w:color="auto" w:fill="FFFFFF"/>
        </w:rPr>
        <w:t>, C-1050 del 21 de julio de 2026, C-1151, C-1152 del 12 de agosto y C-1249 del 27 de agosto de 2026</w:t>
      </w:r>
      <w:r w:rsidRPr="00A06931">
        <w:rPr>
          <w:rFonts w:ascii="Verdana" w:hAnsi="Verdana"/>
          <w:shd w:val="clear" w:color="auto" w:fill="FFFFFF"/>
          <w:vertAlign w:val="superscript"/>
        </w:rPr>
        <w:footnoteReference w:id="2"/>
      </w:r>
      <w:r w:rsidRPr="00A06931">
        <w:rPr>
          <w:rFonts w:ascii="Verdana" w:hAnsi="Verdana"/>
          <w:shd w:val="clear" w:color="auto" w:fill="FFFFFF"/>
        </w:rPr>
        <w:t xml:space="preserve">, ha mantenido la postura en virtud de la cual </w:t>
      </w:r>
      <w:r w:rsidRPr="00A06931">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4303FAC5" w14:textId="77777777" w:rsidR="00A06931" w:rsidRPr="00A06931" w:rsidRDefault="00A06931" w:rsidP="00A06931">
      <w:pPr>
        <w:spacing w:after="120" w:line="276" w:lineRule="auto"/>
        <w:ind w:firstLine="709"/>
        <w:jc w:val="both"/>
        <w:rPr>
          <w:rFonts w:ascii="Verdana" w:hAnsi="Verdana" w:cs="Arial"/>
          <w:noProof/>
        </w:rPr>
      </w:pPr>
      <w:r w:rsidRPr="00A06931">
        <w:rPr>
          <w:rFonts w:ascii="Verdana" w:eastAsia="Calibri" w:hAnsi="Verdana" w:cs="Arial"/>
          <w:color w:val="000000"/>
          <w:lang w:val="es-ES" w:eastAsia="es-ES"/>
        </w:rPr>
        <w:t xml:space="preserve">En efecto, conforme se ha explicado en estos conceptos, </w:t>
      </w:r>
      <w:r w:rsidRPr="00A06931">
        <w:rPr>
          <w:rFonts w:ascii="Verdana" w:hAnsi="Verdana" w:cs="Arial"/>
          <w:noProof/>
          <w:lang w:val="es-ES_tradnl"/>
        </w:rPr>
        <w:t xml:space="preserve">en </w:t>
      </w:r>
      <w:r w:rsidRPr="00A06931">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w:t>
      </w:r>
      <w:r w:rsidRPr="00A06931">
        <w:rPr>
          <w:rFonts w:ascii="Verdana" w:hAnsi="Verdana" w:cs="Arial"/>
          <w:noProof/>
        </w:rPr>
        <w:lastRenderedPageBreak/>
        <w:t>inversión para las asignaciones directas y asignación para la inversión local –artículo 36–, así como la ejecución de proyectos de inversión –artículo 37–.</w:t>
      </w:r>
    </w:p>
    <w:p w14:paraId="0AB83169" w14:textId="77777777" w:rsidR="00A06931" w:rsidRPr="00A06931" w:rsidRDefault="00A06931" w:rsidP="00A06931">
      <w:pPr>
        <w:spacing w:after="120" w:line="276" w:lineRule="auto"/>
        <w:ind w:firstLine="709"/>
        <w:jc w:val="both"/>
        <w:rPr>
          <w:rFonts w:ascii="Verdana" w:hAnsi="Verdana" w:cs="Arial"/>
        </w:rPr>
      </w:pPr>
      <w:r w:rsidRPr="00A06931">
        <w:rPr>
          <w:rFonts w:ascii="Verdana" w:hAnsi="Verdana" w:cs="Arial"/>
          <w:noProof/>
        </w:rPr>
        <w:t xml:space="preserve">Particularmente, el artículo 37 </w:t>
      </w:r>
      <w:r w:rsidRPr="00A06931">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A06931">
        <w:rPr>
          <w:rFonts w:ascii="Verdana" w:hAnsi="Verdana" w:cs="Arial"/>
          <w:i/>
          <w:iCs/>
        </w:rPr>
        <w:t>ibidem</w:t>
      </w:r>
      <w:r w:rsidRPr="00A06931">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A06931">
        <w:rPr>
          <w:rFonts w:ascii="Verdana" w:hAnsi="Verdana" w:cs="Arial"/>
        </w:rPr>
        <w:t>los mismos</w:t>
      </w:r>
      <w:proofErr w:type="gramEnd"/>
      <w:r w:rsidRPr="00A06931">
        <w:rPr>
          <w:rFonts w:ascii="Verdana" w:hAnsi="Verdana" w:cs="Arial"/>
        </w:rPr>
        <w:t xml:space="preserve">, sin perjuicio de las acciones de control a las que haya lugar. </w:t>
      </w:r>
    </w:p>
    <w:p w14:paraId="574C3474" w14:textId="77777777" w:rsidR="00A06931" w:rsidRPr="00A06931" w:rsidRDefault="00A06931" w:rsidP="00A06931">
      <w:pPr>
        <w:spacing w:after="120" w:line="276" w:lineRule="auto"/>
        <w:ind w:firstLine="709"/>
        <w:jc w:val="both"/>
        <w:rPr>
          <w:rFonts w:ascii="Verdana" w:hAnsi="Verdana" w:cs="Arial"/>
        </w:rPr>
      </w:pPr>
      <w:r w:rsidRPr="00A06931">
        <w:rPr>
          <w:rFonts w:ascii="Verdana" w:hAnsi="Verdana" w:cs="Arial"/>
        </w:rPr>
        <w:t xml:space="preserve">El parágrafo primero del artículo 37 </w:t>
      </w:r>
      <w:r w:rsidRPr="00A06931">
        <w:rPr>
          <w:rFonts w:ascii="Verdana" w:hAnsi="Verdana" w:cs="Arial"/>
          <w:i/>
          <w:iCs/>
        </w:rPr>
        <w:t>ibidem</w:t>
      </w:r>
      <w:r w:rsidRPr="00A06931">
        <w:rPr>
          <w:rFonts w:ascii="Verdana" w:hAnsi="Verdana" w:cs="Arial"/>
        </w:rPr>
        <w:t xml:space="preserve"> dispone lo siguiente: “La ejecución de proyectos de que trata este artículo, se adelantará, con estricta sujeción al régimen presupuestal definido en esta ley, </w:t>
      </w:r>
      <w:r w:rsidRPr="00A06931">
        <w:rPr>
          <w:rFonts w:ascii="Verdana" w:hAnsi="Verdana" w:cs="Arial"/>
          <w:i/>
          <w:iCs/>
          <w:u w:val="single"/>
        </w:rPr>
        <w:t>al de contratación pública</w:t>
      </w:r>
      <w:r w:rsidRPr="00A06931">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A06931">
        <w:rPr>
          <w:rFonts w:ascii="Verdana" w:hAnsi="Verdana" w:cs="Arial"/>
          <w:vertAlign w:val="superscript"/>
        </w:rPr>
        <w:footnoteReference w:id="3"/>
      </w:r>
      <w:r w:rsidRPr="00A06931">
        <w:rPr>
          <w:rFonts w:ascii="Verdana" w:hAnsi="Verdana" w:cs="Arial"/>
        </w:rPr>
        <w:t>.</w:t>
      </w:r>
      <w:r w:rsidRPr="00A06931">
        <w:rPr>
          <w:rFonts w:ascii="Verdana" w:hAnsi="Verdana" w:cs="Arial"/>
          <w:noProof/>
        </w:rPr>
        <w:t xml:space="preserve"> A partir de esta norma, el ejercutor de los proyectos de </w:t>
      </w:r>
      <w:r w:rsidRPr="00A06931">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21851F88" w14:textId="77777777" w:rsidR="00A06931" w:rsidRPr="00A06931" w:rsidRDefault="00A06931" w:rsidP="00A06931">
      <w:pPr>
        <w:spacing w:after="120" w:line="276" w:lineRule="auto"/>
        <w:ind w:firstLine="709"/>
        <w:jc w:val="both"/>
        <w:rPr>
          <w:rFonts w:ascii="Verdana" w:hAnsi="Verdana" w:cs="Arial"/>
          <w:bdr w:val="none" w:sz="0" w:space="0" w:color="auto" w:frame="1"/>
        </w:rPr>
      </w:pPr>
      <w:r w:rsidRPr="00A06931">
        <w:rPr>
          <w:rFonts w:ascii="Verdana" w:hAnsi="Verdana" w:cs="Arial"/>
        </w:rPr>
        <w:t xml:space="preserve">Por tanto, en caso de que se realicen proyectos de inversión en el marco del Sistema General de Regalías, como también aquellos proyectos especiales referenciados </w:t>
      </w:r>
      <w:r w:rsidRPr="00A06931">
        <w:rPr>
          <w:rFonts w:ascii="Verdana" w:hAnsi="Verdana" w:cs="Arial"/>
          <w:i/>
          <w:iCs/>
        </w:rPr>
        <w:t>ut supra</w:t>
      </w:r>
      <w:r w:rsidRPr="00A06931">
        <w:rPr>
          <w:rFonts w:ascii="Verdana" w:hAnsi="Verdana" w:cs="Arial"/>
        </w:rPr>
        <w:t>, los ejecutores designados para desarrollarlos deben sujetarse al Estatuto General de Contratación de la Administración Pública</w:t>
      </w:r>
      <w:r w:rsidRPr="00A06931">
        <w:rPr>
          <w:rFonts w:ascii="Verdana" w:eastAsia="Calibri" w:hAnsi="Verdana" w:cs="Arial"/>
        </w:rPr>
        <w:t>.</w:t>
      </w:r>
      <w:r w:rsidRPr="00A06931">
        <w:rPr>
          <w:rFonts w:ascii="Verdana" w:hAnsi="Verdana" w:cs="Arial"/>
        </w:rPr>
        <w:t xml:space="preserve"> </w:t>
      </w:r>
      <w:r w:rsidRPr="00A06931">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0B1772A3" w14:textId="77777777" w:rsidR="00A06931" w:rsidRPr="00A06931" w:rsidRDefault="00A06931" w:rsidP="00A06931">
      <w:pPr>
        <w:spacing w:after="120" w:line="276" w:lineRule="auto"/>
        <w:ind w:firstLine="709"/>
        <w:jc w:val="both"/>
        <w:rPr>
          <w:rFonts w:ascii="Verdana" w:eastAsia="Calibri" w:hAnsi="Verdana" w:cs="Arial"/>
          <w:color w:val="000000"/>
          <w:lang w:val="es-ES" w:eastAsia="es-ES"/>
        </w:rPr>
      </w:pPr>
      <w:r w:rsidRPr="00A06931">
        <w:rPr>
          <w:rFonts w:ascii="Verdana" w:eastAsia="Calibri" w:hAnsi="Verdana" w:cs="Arial"/>
          <w:color w:val="000000"/>
          <w:lang w:val="es-ES" w:eastAsia="es-ES"/>
        </w:rPr>
        <w:t xml:space="preserve">Así las cosas, se ha sostenido </w:t>
      </w:r>
      <w:proofErr w:type="gramStart"/>
      <w:r w:rsidRPr="00A06931">
        <w:rPr>
          <w:rFonts w:ascii="Verdana" w:eastAsia="Calibri" w:hAnsi="Verdana" w:cs="Arial"/>
          <w:color w:val="000000"/>
          <w:lang w:val="es-ES" w:eastAsia="es-ES"/>
        </w:rPr>
        <w:t>que</w:t>
      </w:r>
      <w:proofErr w:type="gramEnd"/>
      <w:r w:rsidRPr="00A06931">
        <w:rPr>
          <w:rFonts w:ascii="Verdana" w:eastAsia="Calibri" w:hAnsi="Verdana" w:cs="Arial"/>
          <w:color w:val="00000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1D957C9B" w14:textId="77777777" w:rsidR="00A06931" w:rsidRPr="00A06931" w:rsidRDefault="00A06931" w:rsidP="00A06931">
      <w:pPr>
        <w:spacing w:after="120" w:line="276" w:lineRule="auto"/>
        <w:ind w:firstLine="709"/>
        <w:jc w:val="both"/>
        <w:rPr>
          <w:rFonts w:ascii="Verdana" w:eastAsia="Calibri" w:hAnsi="Verdana" w:cs="Arial"/>
          <w:color w:val="000000"/>
          <w:szCs w:val="24"/>
          <w:lang w:val="es-ES" w:eastAsia="es-ES_tradnl"/>
        </w:rPr>
      </w:pPr>
      <w:r w:rsidRPr="00A06931">
        <w:rPr>
          <w:rFonts w:ascii="Verdana" w:eastAsia="Calibri" w:hAnsi="Verdana" w:cs="Arial"/>
        </w:rPr>
        <w:t xml:space="preserve">En este contexto, la ANCP – CCE si bien reconoce el régimen de contratación especial de entidades tales como universidades públicas, Fondos Mixtos, EICE, ESP, entre otras, cuando actúan como entidades ejecutoras de proyectos financiados con recursos del SGR, deben sujetarse a la norma especial prevista para dichos recursos, la cual impone la aplicación obligatoria del </w:t>
      </w:r>
      <w:r w:rsidRPr="00A06931">
        <w:rPr>
          <w:rFonts w:ascii="Verdana" w:eastAsia="Calibri" w:hAnsi="Verdana" w:cs="Arial"/>
        </w:rPr>
        <w:lastRenderedPageBreak/>
        <w:t xml:space="preserve">Estatuto General de Contratación de la Administración Pública, tal como lo establece de forma expresa el artículo 37 de la Ley 2056 de 2020. </w:t>
      </w:r>
    </w:p>
    <w:p w14:paraId="0ADA124A"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rPr>
        <w:t xml:space="preserve">De acuerdo con esta interpretación, esta Subdirección considera que el </w:t>
      </w:r>
      <w:r w:rsidRPr="00A06931">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6AFC5B66"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6E4B52EF"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w:t>
      </w:r>
      <w:r w:rsidRPr="00A06931">
        <w:rPr>
          <w:rFonts w:ascii="Verdana" w:eastAsia="Calibri" w:hAnsi="Verdana" w:cs="Arial"/>
          <w:color w:val="000000" w:themeColor="text1"/>
          <w:lang w:eastAsia="es-ES"/>
        </w:rPr>
        <w:lastRenderedPageBreak/>
        <w:t>como son los artículos 84</w:t>
      </w:r>
      <w:r w:rsidRPr="00A06931">
        <w:rPr>
          <w:rFonts w:ascii="Verdana" w:eastAsia="Calibri" w:hAnsi="Verdana" w:cs="Arial"/>
          <w:color w:val="000000" w:themeColor="text1"/>
          <w:vertAlign w:val="superscript"/>
          <w:lang w:eastAsia="es-ES"/>
        </w:rPr>
        <w:footnoteReference w:id="4"/>
      </w:r>
      <w:r w:rsidRPr="00A06931">
        <w:rPr>
          <w:rFonts w:ascii="Verdana" w:eastAsia="Calibri" w:hAnsi="Verdana" w:cs="Arial"/>
          <w:color w:val="000000" w:themeColor="text1"/>
          <w:lang w:eastAsia="es-ES"/>
        </w:rPr>
        <w:t>, 98</w:t>
      </w:r>
      <w:r w:rsidRPr="00A06931">
        <w:rPr>
          <w:rFonts w:ascii="Verdana" w:eastAsia="Calibri" w:hAnsi="Verdana" w:cs="Arial"/>
          <w:color w:val="000000" w:themeColor="text1"/>
          <w:vertAlign w:val="superscript"/>
          <w:lang w:eastAsia="es-ES"/>
        </w:rPr>
        <w:footnoteReference w:id="5"/>
      </w:r>
      <w:r w:rsidRPr="00A06931">
        <w:rPr>
          <w:rFonts w:ascii="Verdana" w:eastAsia="Calibri" w:hAnsi="Verdana" w:cs="Arial"/>
          <w:color w:val="000000" w:themeColor="text1"/>
          <w:lang w:eastAsia="es-ES"/>
        </w:rPr>
        <w:t>, 99</w:t>
      </w:r>
      <w:r w:rsidRPr="00A06931">
        <w:rPr>
          <w:rFonts w:ascii="Verdana" w:eastAsia="Calibri" w:hAnsi="Verdana" w:cs="Arial"/>
          <w:color w:val="000000" w:themeColor="text1"/>
          <w:vertAlign w:val="superscript"/>
          <w:lang w:eastAsia="es-ES"/>
        </w:rPr>
        <w:footnoteReference w:id="6"/>
      </w:r>
      <w:r w:rsidRPr="00A06931">
        <w:rPr>
          <w:rFonts w:ascii="Verdana" w:eastAsia="Calibri" w:hAnsi="Verdana" w:cs="Arial"/>
          <w:color w:val="000000" w:themeColor="text1"/>
          <w:lang w:eastAsia="es-ES"/>
        </w:rPr>
        <w:t>, 108</w:t>
      </w:r>
      <w:r w:rsidRPr="00A06931">
        <w:rPr>
          <w:rFonts w:ascii="Verdana" w:eastAsia="Calibri" w:hAnsi="Verdana" w:cs="Arial"/>
          <w:color w:val="000000" w:themeColor="text1"/>
          <w:vertAlign w:val="superscript"/>
          <w:lang w:eastAsia="es-ES"/>
        </w:rPr>
        <w:footnoteReference w:id="7"/>
      </w:r>
      <w:r w:rsidRPr="00A06931">
        <w:rPr>
          <w:rFonts w:ascii="Verdana" w:eastAsia="Calibri" w:hAnsi="Verdana" w:cs="Arial"/>
          <w:color w:val="000000" w:themeColor="text1"/>
          <w:lang w:eastAsia="es-ES"/>
        </w:rPr>
        <w:t xml:space="preserve"> y 109</w:t>
      </w:r>
      <w:r w:rsidRPr="00A06931">
        <w:rPr>
          <w:rFonts w:ascii="Verdana" w:eastAsia="Calibri" w:hAnsi="Verdana" w:cs="Arial"/>
          <w:color w:val="000000" w:themeColor="text1"/>
          <w:vertAlign w:val="superscript"/>
          <w:lang w:eastAsia="es-ES"/>
        </w:rPr>
        <w:footnoteReference w:id="8"/>
      </w:r>
      <w:r w:rsidRPr="00A06931">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5AB996D4"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1CDC3489"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A06931">
        <w:rPr>
          <w:rFonts w:ascii="Verdana" w:eastAsia="Calibri" w:hAnsi="Verdana" w:cs="Arial"/>
          <w:i/>
          <w:iCs/>
          <w:color w:val="000000" w:themeColor="text1"/>
          <w:lang w:eastAsia="es-ES"/>
        </w:rPr>
        <w:t>donde la norma no distingue, no le corresponde distinguir al intérprete,</w:t>
      </w:r>
      <w:r w:rsidRPr="00A06931">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w:t>
      </w:r>
      <w:r w:rsidRPr="00A06931">
        <w:rPr>
          <w:rFonts w:ascii="Verdana" w:eastAsia="Calibri" w:hAnsi="Verdana" w:cs="Arial"/>
          <w:color w:val="000000" w:themeColor="text1"/>
          <w:lang w:eastAsia="es-ES"/>
        </w:rPr>
        <w:lastRenderedPageBreak/>
        <w:t>garantizar</w:t>
      </w:r>
      <w:r w:rsidRPr="00A06931">
        <w:t xml:space="preserve"> </w:t>
      </w:r>
      <w:r w:rsidRPr="00A06931">
        <w:rPr>
          <w:rFonts w:ascii="Verdana" w:eastAsia="Calibri" w:hAnsi="Verdana" w:cs="Arial"/>
          <w:color w:val="000000" w:themeColor="text1"/>
          <w:lang w:eastAsia="es-ES"/>
        </w:rPr>
        <w:t xml:space="preserve">la eficiencia, transparencia y responsabilidad en la gestión del gasto público.  </w:t>
      </w:r>
    </w:p>
    <w:p w14:paraId="46D8265D"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6D449945"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Adicionalmente, resulta pertinente indicar que la referencia que estas normas hacen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 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7BB8E3F3"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A06931">
        <w:rPr>
          <w:rFonts w:ascii="Verdana" w:eastAsia="Calibri" w:hAnsi="Verdana" w:cs="Arial"/>
          <w:color w:val="000000" w:themeColor="text1"/>
          <w:vertAlign w:val="superscript"/>
          <w:lang w:eastAsia="es-ES"/>
        </w:rPr>
        <w:footnoteReference w:id="9"/>
      </w:r>
      <w:r w:rsidRPr="00A06931">
        <w:rPr>
          <w:rFonts w:ascii="Verdana" w:eastAsia="Calibri" w:hAnsi="Verdana" w:cs="Arial"/>
          <w:color w:val="000000" w:themeColor="text1"/>
          <w:lang w:eastAsia="es-ES"/>
        </w:rPr>
        <w:t xml:space="preserve">,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w:t>
      </w:r>
      <w:r w:rsidRPr="00A06931">
        <w:rPr>
          <w:rFonts w:ascii="Verdana" w:eastAsia="Calibri" w:hAnsi="Verdana" w:cs="Arial"/>
          <w:color w:val="000000" w:themeColor="text1"/>
          <w:lang w:eastAsia="es-ES"/>
        </w:rPr>
        <w:lastRenderedPageBreak/>
        <w:t>la ejecución de los recursos del SGR mediante la aplicación del EGCAP, lo cual se refleja no solo en la redacción del articulado, sino también en los antecedentes legislativos que dieron lugar a su expedición</w:t>
      </w:r>
      <w:r w:rsidRPr="00A06931">
        <w:rPr>
          <w:rFonts w:ascii="Verdana" w:eastAsia="Calibri" w:hAnsi="Verdana" w:cs="Arial"/>
          <w:color w:val="000000" w:themeColor="text1"/>
          <w:vertAlign w:val="superscript"/>
          <w:lang w:eastAsia="es-ES"/>
        </w:rPr>
        <w:footnoteReference w:id="10"/>
      </w:r>
      <w:r w:rsidRPr="00A06931">
        <w:rPr>
          <w:rFonts w:ascii="Verdana" w:eastAsia="Calibri" w:hAnsi="Verdana" w:cs="Arial"/>
          <w:color w:val="000000" w:themeColor="text1"/>
          <w:lang w:eastAsia="es-ES"/>
        </w:rPr>
        <w:t>.</w:t>
      </w:r>
    </w:p>
    <w:p w14:paraId="7F0DD317"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50681643"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Dicha posición es asumida por la Sala de Consulta y Servicio Civil del Consejo de Estado, pues en Concepto 2563 del 25 de junio de 2026 –con ponencia de la </w:t>
      </w:r>
      <w:proofErr w:type="gramStart"/>
      <w:r w:rsidRPr="00A06931">
        <w:rPr>
          <w:rFonts w:ascii="Verdana" w:eastAsia="Calibri" w:hAnsi="Verdana" w:cs="Arial"/>
          <w:color w:val="000000" w:themeColor="text1"/>
          <w:lang w:eastAsia="es-ES"/>
        </w:rPr>
        <w:t>Consejera</w:t>
      </w:r>
      <w:proofErr w:type="gramEnd"/>
      <w:r w:rsidRPr="00A06931">
        <w:rPr>
          <w:rFonts w:ascii="Verdana" w:eastAsia="Calibri" w:hAnsi="Verdana" w:cs="Arial"/>
          <w:color w:val="000000" w:themeColor="text1"/>
          <w:lang w:eastAsia="es-ES"/>
        </w:rPr>
        <w:t xml:space="preserve"> María del Pilar Bahamón Falla– estima que:</w:t>
      </w:r>
    </w:p>
    <w:p w14:paraId="442ADA63" w14:textId="77777777" w:rsidR="00A06931" w:rsidRPr="00A06931" w:rsidRDefault="00A06931" w:rsidP="00A06931">
      <w:pPr>
        <w:spacing w:after="0" w:line="276" w:lineRule="auto"/>
        <w:jc w:val="both"/>
        <w:rPr>
          <w:rFonts w:ascii="Verdana" w:eastAsia="Calibri" w:hAnsi="Verdana" w:cs="Arial"/>
          <w:color w:val="000000" w:themeColor="text1"/>
          <w:lang w:eastAsia="es-ES"/>
        </w:rPr>
      </w:pPr>
    </w:p>
    <w:p w14:paraId="3B08DDD5"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5E33145C"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68A10169"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w:t>
      </w:r>
      <w:r w:rsidRPr="00A06931">
        <w:rPr>
          <w:rFonts w:ascii="Verdana" w:eastAsia="Calibri" w:hAnsi="Verdana" w:cs="Arial"/>
          <w:color w:val="000000" w:themeColor="text1"/>
          <w:sz w:val="20"/>
          <w:szCs w:val="20"/>
          <w:lang w:eastAsia="es-ES"/>
        </w:rPr>
        <w:lastRenderedPageBreak/>
        <w:t xml:space="preserve">o servicio, sino por la fuente de financiación y por la regla especial que gobierna la ejecución de esos recursos, esto es el régimen de contratación pública. </w:t>
      </w:r>
    </w:p>
    <w:p w14:paraId="03BFF9E2"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76E1F351"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55406EAC" w14:textId="77777777" w:rsidR="00A06931" w:rsidRPr="00A06931" w:rsidRDefault="00A06931" w:rsidP="00A06931">
      <w:pPr>
        <w:spacing w:after="0" w:line="240" w:lineRule="auto"/>
        <w:ind w:left="709" w:right="709"/>
        <w:jc w:val="both"/>
        <w:rPr>
          <w:rFonts w:ascii="Verdana" w:eastAsia="Calibri" w:hAnsi="Verdana" w:cs="Arial"/>
          <w:color w:val="000000" w:themeColor="text1"/>
          <w:lang w:eastAsia="es-ES"/>
        </w:rPr>
      </w:pPr>
      <w:r w:rsidRPr="00A06931">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23E2AD41" w14:textId="77777777" w:rsidR="00A06931" w:rsidRPr="00A06931" w:rsidRDefault="00A06931" w:rsidP="00A06931">
      <w:pPr>
        <w:spacing w:after="120" w:line="276" w:lineRule="auto"/>
        <w:jc w:val="both"/>
        <w:rPr>
          <w:rFonts w:ascii="Verdana" w:eastAsia="Calibri" w:hAnsi="Verdana" w:cs="Arial"/>
          <w:color w:val="000000" w:themeColor="text1"/>
          <w:lang w:eastAsia="es-ES"/>
        </w:rPr>
      </w:pPr>
    </w:p>
    <w:p w14:paraId="4A1D5840"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w:t>
      </w:r>
    </w:p>
    <w:p w14:paraId="62CF6D95"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Asimismo, resulta indispensable precisar que la remisión al EGCAP de la ejecución de los proyectos financiados con recursos de regalías no implica una alteración estructural del régimen especial de las entidades ejecutoras ni </w:t>
      </w:r>
      <w:r w:rsidRPr="00A06931">
        <w:rPr>
          <w:rFonts w:ascii="Verdana" w:eastAsia="Calibri" w:hAnsi="Verdana" w:cs="Arial"/>
          <w:color w:val="000000" w:themeColor="text1"/>
          <w:lang w:eastAsia="es-ES"/>
        </w:rPr>
        <w:lastRenderedPageBreak/>
        <w:t xml:space="preserve">desconoce las normas que lo regulan. Tal y como se ha señalado, la interpretación literal, sistemática y teleológica de la norma, armonizada con el principio general del </w:t>
      </w:r>
      <w:r w:rsidRPr="00A06931">
        <w:rPr>
          <w:rFonts w:ascii="Verdana" w:eastAsia="Calibri" w:hAnsi="Verdana" w:cs="Arial"/>
          <w:i/>
          <w:iCs/>
          <w:color w:val="000000" w:themeColor="text1"/>
          <w:lang w:eastAsia="es-ES"/>
        </w:rPr>
        <w:t>efecto útil</w:t>
      </w:r>
      <w:r w:rsidRPr="00A06931">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A06931">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4AABE144"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3EEDDC5F"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Sobre el particular, resulta importante destacar lo señalado por la Sala de Consulta y Servicio Civil del Consejo de Estado en el concepto referido: </w:t>
      </w:r>
    </w:p>
    <w:p w14:paraId="462C0D37" w14:textId="77777777" w:rsidR="00A06931" w:rsidRPr="00A06931" w:rsidRDefault="00A06931" w:rsidP="00A06931">
      <w:pPr>
        <w:spacing w:after="0" w:line="240" w:lineRule="auto"/>
        <w:ind w:firstLine="709"/>
        <w:jc w:val="both"/>
        <w:rPr>
          <w:rFonts w:ascii="Verdana" w:eastAsia="Calibri" w:hAnsi="Verdana" w:cs="Arial"/>
          <w:color w:val="000000" w:themeColor="text1"/>
          <w:lang w:eastAsia="es-ES"/>
        </w:rPr>
      </w:pPr>
    </w:p>
    <w:p w14:paraId="2303D59E" w14:textId="77777777" w:rsidR="00A06931" w:rsidRPr="00A06931" w:rsidRDefault="00A06931" w:rsidP="00A06931">
      <w:pPr>
        <w:spacing w:after="120" w:line="240" w:lineRule="auto"/>
        <w:ind w:left="709" w:right="709"/>
        <w:jc w:val="both"/>
        <w:rPr>
          <w:rFonts w:ascii="Verdana" w:eastAsia="Calibri" w:hAnsi="Verdana" w:cs="Arial"/>
          <w:i/>
          <w:iCs/>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“El Estatuto General de Contratación de la Administración Pública rige los contratos de las entidades estatales, sin perjuicio de la existencia de regímenes especiales autorizados por la Constitución o por la ley. La jurisprudencia constitucional y administrativa citada </w:t>
      </w:r>
      <w:proofErr w:type="gramStart"/>
      <w:r w:rsidRPr="00A06931">
        <w:rPr>
          <w:rFonts w:ascii="Verdana" w:eastAsia="Calibri" w:hAnsi="Verdana" w:cs="Arial"/>
          <w:i/>
          <w:iCs/>
          <w:color w:val="000000" w:themeColor="text1"/>
          <w:sz w:val="20"/>
          <w:szCs w:val="20"/>
          <w:lang w:eastAsia="es-ES"/>
        </w:rPr>
        <w:t>in extenso</w:t>
      </w:r>
      <w:proofErr w:type="gramEnd"/>
      <w:r w:rsidRPr="00A06931">
        <w:rPr>
          <w:rFonts w:ascii="Verdana" w:eastAsia="Calibri" w:hAnsi="Verdana" w:cs="Arial"/>
          <w:color w:val="000000" w:themeColor="text1"/>
          <w:sz w:val="20"/>
          <w:szCs w:val="20"/>
          <w:lang w:eastAsia="es-ES"/>
        </w:rPr>
        <w:t xml:space="preserve"> en este concepto, ha reconocido que ciertos sectores cuentan con un régimen especial, entre ellos las universidades estatales u oficiales, </w:t>
      </w:r>
      <w:r w:rsidRPr="00A06931">
        <w:rPr>
          <w:rFonts w:ascii="Verdana" w:eastAsia="Calibri" w:hAnsi="Verdana" w:cs="Arial"/>
          <w:i/>
          <w:iCs/>
          <w:color w:val="000000" w:themeColor="text1"/>
          <w:sz w:val="20"/>
          <w:szCs w:val="20"/>
          <w:lang w:eastAsia="es-ES"/>
        </w:rPr>
        <w:t>lo cual no implica que la entidad quede blindada frente a cualquier norma especial o posterior que, para una actividad concreta, imponga reglas diferentes.</w:t>
      </w:r>
    </w:p>
    <w:p w14:paraId="6526D1AF"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En ese sentido, una entidad puede tener, en su actividad ordinaria, un régimen especial de contratación, y sin embargo quedar sometida al </w:t>
      </w:r>
      <w:r w:rsidRPr="00A06931">
        <w:rPr>
          <w:rFonts w:ascii="Verdana" w:eastAsia="Calibri" w:hAnsi="Verdana" w:cs="Arial"/>
          <w:color w:val="000000" w:themeColor="text1"/>
          <w:sz w:val="20"/>
          <w:szCs w:val="20"/>
          <w:lang w:eastAsia="es-ES"/>
        </w:rPr>
        <w:lastRenderedPageBreak/>
        <w:t>Estatuto General para una materia específica en la que una ley posterior y especial así lo disponga”. (Énfasis pro fuera de texto)</w:t>
      </w:r>
    </w:p>
    <w:p w14:paraId="1D4704C3" w14:textId="77777777" w:rsidR="00A06931" w:rsidRPr="00A06931" w:rsidRDefault="00A06931" w:rsidP="00A06931">
      <w:pPr>
        <w:spacing w:after="0" w:line="276" w:lineRule="auto"/>
        <w:ind w:firstLine="709"/>
        <w:jc w:val="both"/>
        <w:rPr>
          <w:rFonts w:ascii="Verdana" w:eastAsia="Calibri" w:hAnsi="Verdana" w:cs="Arial"/>
          <w:color w:val="000000" w:themeColor="text1"/>
          <w:lang w:eastAsia="es-ES"/>
        </w:rPr>
      </w:pPr>
    </w:p>
    <w:p w14:paraId="488E6CAE"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color w:val="000000" w:themeColor="text1"/>
          <w:lang w:eastAsia="es-ES"/>
        </w:rPr>
        <w:t xml:space="preserve">Así las cosas, debido a que la remisión normativa del artículo 37 de la Ley 2056 de 2020 no es una mera referencia </w:t>
      </w:r>
      <w:proofErr w:type="gramStart"/>
      <w:r w:rsidRPr="00A06931">
        <w:rPr>
          <w:rFonts w:ascii="Verdana" w:eastAsia="Calibri" w:hAnsi="Verdana" w:cs="Arial"/>
          <w:color w:val="000000" w:themeColor="text1"/>
          <w:lang w:eastAsia="es-ES"/>
        </w:rPr>
        <w:t>indicativa</w:t>
      </w:r>
      <w:proofErr w:type="gramEnd"/>
      <w:r w:rsidRPr="00A06931">
        <w:rPr>
          <w:rFonts w:ascii="Verdana" w:eastAsia="Calibri" w:hAnsi="Verdana" w:cs="Arial"/>
          <w:color w:val="000000" w:themeColor="text1"/>
          <w:lang w:eastAsia="es-ES"/>
        </w:rPr>
        <w:t xml:space="preserve">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A06931">
        <w:rPr>
          <w:rFonts w:ascii="Verdana" w:eastAsia="Calibri" w:hAnsi="Verdana" w:cs="Arial"/>
          <w:i/>
          <w:iCs/>
          <w:color w:val="000000" w:themeColor="text1"/>
          <w:lang w:eastAsia="es-ES"/>
        </w:rPr>
        <w:t>con independencia de su régimen ordinario de contratación</w:t>
      </w:r>
      <w:r w:rsidRPr="00A06931">
        <w:rPr>
          <w:rFonts w:ascii="Verdana" w:eastAsia="Calibri" w:hAnsi="Verdana" w:cs="Arial"/>
          <w:color w:val="000000" w:themeColor="text1"/>
          <w:lang w:eastAsia="es-ES"/>
        </w:rPr>
        <w:t xml:space="preserve"> – debe aplica el EGCAG para los contratos que celebre en desarrollo del respectivo proyecto de inversión</w:t>
      </w:r>
      <w:r w:rsidRPr="00A06931">
        <w:rPr>
          <w:rFonts w:ascii="Verdana" w:eastAsia="Calibri" w:hAnsi="Verdana" w:cs="Arial"/>
          <w:color w:val="000000" w:themeColor="text1"/>
          <w:vertAlign w:val="superscript"/>
          <w:lang w:eastAsia="es-ES"/>
        </w:rPr>
        <w:footnoteReference w:id="11"/>
      </w:r>
      <w:r w:rsidRPr="00A06931">
        <w:rPr>
          <w:rFonts w:ascii="Verdana" w:eastAsia="Calibri" w:hAnsi="Verdana" w:cs="Arial"/>
          <w:color w:val="000000" w:themeColor="text1"/>
          <w:lang w:eastAsia="es-ES"/>
        </w:rPr>
        <w:t xml:space="preserve">” (Énfasis por fuera de texto). </w:t>
      </w:r>
    </w:p>
    <w:p w14:paraId="1AEC1FC3" w14:textId="77777777" w:rsidR="00A06931" w:rsidRPr="00A06931" w:rsidRDefault="00A06931" w:rsidP="00A06931">
      <w:pPr>
        <w:spacing w:after="120" w:line="276" w:lineRule="auto"/>
        <w:ind w:firstLine="743"/>
        <w:jc w:val="both"/>
        <w:rPr>
          <w:rFonts w:ascii="Verdana" w:hAnsi="Verdana" w:cs="Arial"/>
        </w:rPr>
      </w:pPr>
      <w:r w:rsidRPr="00A06931">
        <w:rPr>
          <w:rFonts w:ascii="Verdana" w:eastAsia="Calibri" w:hAnsi="Verdana" w:cs="Arial"/>
        </w:rPr>
        <w:t>Ahora bien, la conclusión anterior es distinta tratándose de los proyectos de Ciencia, Tecnología e Innovación financiados con recursos del SGR. En efecto, como se explicó en el Concepto C-482 del 27 de abril de 2026, e</w:t>
      </w:r>
      <w:r w:rsidRPr="00A06931">
        <w:rPr>
          <w:rFonts w:ascii="Verdana" w:hAnsi="Verdana" w:cs="Arial"/>
        </w:rPr>
        <w:t xml:space="preserve">n lo que respecta a la ejecución de los proyectos de inversión que se financien con cargo a los recursos de la Asignación para la Ciencia, Tecnología e Innovación, el artículo 54 de la Ley 2056 de 2020 prevé que deberán ser ejecutados por la entidad que lo haya presentado en calidad de proponente en la respectiva convocatoria, quien deberá ejecutarlo con estricta sujeción al régimen presupuestal definido en dicha ley y </w:t>
      </w:r>
      <w:r w:rsidRPr="00A06931">
        <w:rPr>
          <w:rFonts w:ascii="Verdana" w:hAnsi="Verdana" w:cs="Arial"/>
          <w:i/>
          <w:iCs/>
        </w:rPr>
        <w:t>a las normas contractuales previstas en la Ley 1286 de 2009</w:t>
      </w:r>
      <w:r w:rsidRPr="00A06931">
        <w:rPr>
          <w:rFonts w:ascii="Verdana" w:hAnsi="Verdana" w:cs="Arial"/>
        </w:rPr>
        <w:t xml:space="preserve"> o las disposiciones que hagan sus veces. </w:t>
      </w:r>
    </w:p>
    <w:p w14:paraId="6F8B396E" w14:textId="77777777" w:rsidR="00A06931" w:rsidRPr="00A06931" w:rsidRDefault="00A06931" w:rsidP="00A06931">
      <w:pPr>
        <w:shd w:val="clear" w:color="auto" w:fill="FFFFFF"/>
        <w:spacing w:before="120" w:after="120" w:line="276" w:lineRule="auto"/>
        <w:ind w:firstLine="709"/>
        <w:jc w:val="both"/>
        <w:rPr>
          <w:rFonts w:ascii="Verdana" w:hAnsi="Verdana" w:cs="Arial"/>
          <w:lang w:eastAsia="es-ES_tradnl"/>
        </w:rPr>
      </w:pPr>
      <w:r w:rsidRPr="00A06931">
        <w:rPr>
          <w:rFonts w:ascii="Verdana" w:hAnsi="Verdana" w:cs="Arial"/>
        </w:rPr>
        <w:t xml:space="preserve">Conforme a lo anterior, para efectos de la ejecución de estos proyectos de inversión la entidad ejecutora deberá someterse a lo dispuesto en la Ley 1286 de 2009, la cual establece disposiciones especiales en la materia. Al respecto, </w:t>
      </w:r>
      <w:r w:rsidRPr="00A06931">
        <w:rPr>
          <w:rFonts w:ascii="Verdana" w:hAnsi="Verdana" w:cs="Arial"/>
          <w:lang w:eastAsia="es-ES_tradnl"/>
        </w:rPr>
        <w:t xml:space="preserve">el artículo 33 de la Ley 1286 de 2009 señala que “las actividades, contratos y convenios que tengan por objeto la realización de actividades definidas como de ciencia, tecnología e innovación que celebren las entidades estatales, </w:t>
      </w:r>
      <w:r w:rsidRPr="00A06931">
        <w:rPr>
          <w:rFonts w:ascii="Verdana" w:hAnsi="Verdana" w:cs="Arial"/>
          <w:i/>
          <w:iCs/>
          <w:lang w:eastAsia="es-ES_tradnl"/>
        </w:rPr>
        <w:t>continuarán rigiéndose por las normas especiales que les sean aplicables</w:t>
      </w:r>
      <w:r w:rsidRPr="00A06931">
        <w:rPr>
          <w:rFonts w:ascii="Verdana" w:hAnsi="Verdana" w:cs="Arial"/>
          <w:lang w:eastAsia="es-ES_tradnl"/>
        </w:rPr>
        <w:t xml:space="preserve">. En consecuencia, tales contratos se celebrarán directamente”. </w:t>
      </w:r>
    </w:p>
    <w:p w14:paraId="4B2716A3" w14:textId="77777777" w:rsidR="00A06931" w:rsidRPr="00A06931" w:rsidRDefault="00A06931" w:rsidP="00A06931">
      <w:pPr>
        <w:spacing w:after="120" w:line="276" w:lineRule="auto"/>
        <w:ind w:firstLine="708"/>
        <w:jc w:val="both"/>
        <w:rPr>
          <w:rFonts w:ascii="Verdana" w:hAnsi="Verdana" w:cs="Arial"/>
          <w:lang w:eastAsia="es-ES_tradnl"/>
        </w:rPr>
      </w:pPr>
      <w:r w:rsidRPr="00A06931">
        <w:rPr>
          <w:rFonts w:ascii="Verdana" w:hAnsi="Verdana" w:cs="Arial"/>
          <w:lang w:eastAsia="es-ES_tradnl"/>
        </w:rPr>
        <w:lastRenderedPageBreak/>
        <w:t xml:space="preserve">Para entender las normas de contratación aplicables en este caso, es preciso tener en cuenta que las actividades de ciencia, tecnología e innovación están previstas en cuatro (4) cuerpos normativos: </w:t>
      </w:r>
    </w:p>
    <w:p w14:paraId="359C57C9" w14:textId="77777777" w:rsidR="00A06931" w:rsidRPr="00A06931" w:rsidRDefault="00A06931" w:rsidP="00A06931">
      <w:pPr>
        <w:numPr>
          <w:ilvl w:val="0"/>
          <w:numId w:val="40"/>
        </w:numPr>
        <w:spacing w:after="120" w:line="276" w:lineRule="auto"/>
        <w:contextualSpacing/>
        <w:jc w:val="both"/>
        <w:rPr>
          <w:rFonts w:ascii="Verdana" w:eastAsia="Times New Roman" w:hAnsi="Verdana" w:cs="Arial"/>
          <w:lang w:val="es-ES" w:eastAsia="es-ES_tradnl"/>
        </w:rPr>
      </w:pPr>
      <w:r w:rsidRPr="00A06931">
        <w:rPr>
          <w:rFonts w:ascii="Verdana" w:eastAsia="Times New Roman" w:hAnsi="Verdana" w:cs="Arial"/>
          <w:lang w:val="es-ES" w:eastAsia="es-ES_tradnl"/>
        </w:rPr>
        <w:t xml:space="preserve">El </w:t>
      </w:r>
      <w:r w:rsidRPr="00A06931">
        <w:rPr>
          <w:rFonts w:ascii="Verdana" w:eastAsia="Times New Roman" w:hAnsi="Verdana" w:cs="Arial"/>
          <w:i/>
          <w:iCs/>
          <w:lang w:val="es-ES" w:eastAsia="es-ES_tradnl"/>
        </w:rPr>
        <w:t>Decreto Ley 393 de 1991</w:t>
      </w:r>
      <w:r w:rsidRPr="00A06931">
        <w:rPr>
          <w:rFonts w:ascii="Verdana" w:eastAsia="Times New Roman" w:hAnsi="Verdana" w:cs="Arial"/>
          <w:lang w:val="es-ES" w:eastAsia="es-ES_tradnl"/>
        </w:rPr>
        <w:t xml:space="preserve">, que se refiere a dos (2) formas de asociación para que las entidades ejecuten actividades científicas y tecnológicas, proyectos de investigación y creación de tecnologías: 1) la creación de personas jurídicas civiles, comerciales y sin ánimo de lucro y 2) la celebración de convenios especiales de cooperación; </w:t>
      </w:r>
    </w:p>
    <w:p w14:paraId="49E09B6D" w14:textId="77777777" w:rsidR="00A06931" w:rsidRPr="00A06931" w:rsidRDefault="00A06931" w:rsidP="00A06931">
      <w:pPr>
        <w:numPr>
          <w:ilvl w:val="0"/>
          <w:numId w:val="40"/>
        </w:numPr>
        <w:spacing w:after="120" w:line="276" w:lineRule="auto"/>
        <w:contextualSpacing/>
        <w:jc w:val="both"/>
        <w:rPr>
          <w:rFonts w:ascii="Verdana" w:eastAsia="Times New Roman" w:hAnsi="Verdana" w:cs="Arial"/>
          <w:lang w:val="es-ES" w:eastAsia="es-ES_tradnl"/>
        </w:rPr>
      </w:pPr>
      <w:r w:rsidRPr="00A06931">
        <w:rPr>
          <w:rFonts w:ascii="Verdana" w:eastAsia="Times New Roman" w:hAnsi="Verdana" w:cs="Arial"/>
          <w:lang w:val="es-ES" w:eastAsia="es-ES_tradnl"/>
        </w:rPr>
        <w:t xml:space="preserve">El </w:t>
      </w:r>
      <w:r w:rsidRPr="00A06931">
        <w:rPr>
          <w:rFonts w:ascii="Verdana" w:eastAsia="Times New Roman" w:hAnsi="Verdana" w:cs="Arial"/>
          <w:i/>
          <w:iCs/>
          <w:lang w:val="es-ES" w:eastAsia="es-ES_tradnl"/>
        </w:rPr>
        <w:t>Decreto Ley 591 de 1991</w:t>
      </w:r>
      <w:r w:rsidRPr="00A06931">
        <w:rPr>
          <w:rFonts w:ascii="Verdana" w:eastAsia="Times New Roman" w:hAnsi="Verdana" w:cs="Arial"/>
          <w:lang w:val="es-ES"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1) contratos de financiamiento, 2) contratos de administración de proyectos y 3) convenios especiales de cooperación; </w:t>
      </w:r>
    </w:p>
    <w:p w14:paraId="48B78388" w14:textId="77777777" w:rsidR="00A06931" w:rsidRPr="00A06931" w:rsidRDefault="00A06931" w:rsidP="00A06931">
      <w:pPr>
        <w:numPr>
          <w:ilvl w:val="0"/>
          <w:numId w:val="40"/>
        </w:numPr>
        <w:spacing w:after="120" w:line="276" w:lineRule="auto"/>
        <w:contextualSpacing/>
        <w:jc w:val="both"/>
        <w:rPr>
          <w:rFonts w:ascii="Verdana" w:eastAsia="Times New Roman" w:hAnsi="Verdana" w:cs="Arial"/>
          <w:lang w:val="es-ES" w:eastAsia="es-ES_tradnl"/>
        </w:rPr>
      </w:pPr>
      <w:r w:rsidRPr="00A06931">
        <w:rPr>
          <w:rFonts w:ascii="Verdana" w:eastAsia="Times New Roman" w:hAnsi="Verdana" w:cs="Arial"/>
          <w:lang w:val="es-ES" w:eastAsia="es-ES_tradnl"/>
        </w:rPr>
        <w:t xml:space="preserve">La </w:t>
      </w:r>
      <w:r w:rsidRPr="00A06931">
        <w:rPr>
          <w:rFonts w:ascii="Verdana" w:eastAsia="Times New Roman" w:hAnsi="Verdana" w:cs="Arial"/>
          <w:i/>
          <w:iCs/>
          <w:lang w:val="es-ES" w:eastAsia="es-ES_tradnl"/>
        </w:rPr>
        <w:t>Ley 1286 de 2009</w:t>
      </w:r>
      <w:r w:rsidRPr="00A06931">
        <w:rPr>
          <w:rFonts w:ascii="Verdana" w:hAnsi="Verdana"/>
          <w:vertAlign w:val="superscript"/>
          <w:lang w:val="es-ES" w:eastAsia="es-ES_tradnl"/>
        </w:rPr>
        <w:footnoteReference w:id="12"/>
      </w:r>
    </w:p>
    <w:p w14:paraId="433DD791" w14:textId="77777777" w:rsidR="00A06931" w:rsidRPr="00A06931" w:rsidRDefault="00A06931" w:rsidP="00A06931">
      <w:pPr>
        <w:numPr>
          <w:ilvl w:val="0"/>
          <w:numId w:val="40"/>
        </w:numPr>
        <w:spacing w:after="120" w:line="276" w:lineRule="auto"/>
        <w:contextualSpacing/>
        <w:jc w:val="both"/>
        <w:rPr>
          <w:rFonts w:ascii="Verdana" w:eastAsia="Times New Roman" w:hAnsi="Verdana" w:cs="Arial"/>
          <w:lang w:val="es-ES" w:eastAsia="es-ES_tradnl"/>
        </w:rPr>
      </w:pPr>
      <w:r w:rsidRPr="00A06931">
        <w:rPr>
          <w:rFonts w:ascii="Verdana" w:eastAsia="Times New Roman" w:hAnsi="Verdana" w:cs="Arial"/>
          <w:lang w:val="es-ES" w:eastAsia="es-ES_tradnl"/>
        </w:rPr>
        <w:t xml:space="preserve">El </w:t>
      </w:r>
      <w:r w:rsidRPr="00A06931">
        <w:rPr>
          <w:rFonts w:ascii="Verdana" w:eastAsia="Times New Roman" w:hAnsi="Verdana" w:cs="Arial"/>
          <w:i/>
          <w:iCs/>
          <w:lang w:val="es-ES" w:eastAsia="es-ES_tradnl"/>
        </w:rPr>
        <w:t>Documento CONPES 3582 de 2009</w:t>
      </w:r>
      <w:r w:rsidRPr="00A06931">
        <w:rPr>
          <w:rFonts w:ascii="Verdana" w:eastAsia="Times New Roman" w:hAnsi="Verdana" w:cs="Arial"/>
          <w:lang w:val="es-ES" w:eastAsia="es-ES_tradnl"/>
        </w:rPr>
        <w:t xml:space="preserve"> que identifica cuáles son estas actividades con respecto a los actores del Sistema Nacional de Ciencia, Tecnología e Innovación.</w:t>
      </w:r>
    </w:p>
    <w:p w14:paraId="3683A361" w14:textId="77777777" w:rsidR="00A06931" w:rsidRPr="00A06931" w:rsidRDefault="00A06931" w:rsidP="00A06931">
      <w:pPr>
        <w:shd w:val="clear" w:color="auto" w:fill="FFFFFF"/>
        <w:spacing w:after="0" w:line="276" w:lineRule="auto"/>
        <w:ind w:firstLine="709"/>
        <w:jc w:val="both"/>
        <w:rPr>
          <w:rFonts w:ascii="Verdana" w:hAnsi="Verdana" w:cs="Arial"/>
          <w:lang w:eastAsia="es-ES_tradnl"/>
        </w:rPr>
      </w:pPr>
    </w:p>
    <w:p w14:paraId="731F8193" w14:textId="77777777" w:rsidR="00A06931" w:rsidRPr="00A06931" w:rsidRDefault="00A06931" w:rsidP="00A06931">
      <w:pPr>
        <w:shd w:val="clear" w:color="auto" w:fill="FFFFFF"/>
        <w:spacing w:line="276" w:lineRule="auto"/>
        <w:ind w:firstLine="709"/>
        <w:jc w:val="both"/>
        <w:rPr>
          <w:rFonts w:ascii="Verdana" w:hAnsi="Verdana" w:cs="Arial"/>
          <w:lang w:eastAsia="es-ES_tradnl"/>
        </w:rPr>
      </w:pPr>
      <w:r w:rsidRPr="00A06931">
        <w:rPr>
          <w:rFonts w:ascii="Verdana" w:hAnsi="Verdana" w:cs="Arial"/>
          <w:lang w:eastAsia="es-ES_tradnl"/>
        </w:rPr>
        <w:t xml:space="preserve">Así las cosas, las normas referidas establecen tipologías contractuales por las que pueden optar las entidades allí señaladas para contratar directamente el desarrollo de actividades de ciencia y tecnología. De cualquier modo, su aplicación se encuentra limitada a los sujetos y materias allí reguladas. </w:t>
      </w:r>
    </w:p>
    <w:p w14:paraId="1ABACD3B" w14:textId="77777777" w:rsidR="00A06931" w:rsidRPr="00A06931" w:rsidRDefault="00A06931" w:rsidP="00A06931">
      <w:pPr>
        <w:spacing w:after="120" w:line="276" w:lineRule="auto"/>
        <w:ind w:firstLine="709"/>
        <w:jc w:val="both"/>
        <w:rPr>
          <w:rFonts w:ascii="Verdana" w:eastAsia="Calibri" w:hAnsi="Verdana" w:cs="Times New Roman"/>
          <w:lang w:val="es-ES_tradnl"/>
        </w:rPr>
      </w:pPr>
      <w:r w:rsidRPr="00A06931">
        <w:rPr>
          <w:rFonts w:ascii="Verdana" w:eastAsia="Calibri" w:hAnsi="Verdana" w:cs="Times New Roman"/>
          <w:lang w:val="es-ES_tradnl"/>
        </w:rPr>
        <w:t xml:space="preserve">En consecuencia, para la ejecución de los proyectos de inversión financiados con recursos de la Asignación para la Ciencia, Tecnología e Innovación del SGR, el artículo 54 de la Ley 2056 de 2020 expresamente dispone que la entidad deberá ejecutarlo </w:t>
      </w:r>
      <w:r w:rsidRPr="00A06931">
        <w:rPr>
          <w:rFonts w:ascii="Verdana" w:eastAsia="Calibri" w:hAnsi="Verdana" w:cs="Times New Roman"/>
        </w:rPr>
        <w:t xml:space="preserve">con estricta sujeción al régimen presupuestal definido en dicha ley y a las normas contractuales previstas en la Ley 1286 de 2009, </w:t>
      </w:r>
      <w:r w:rsidRPr="00A06931">
        <w:rPr>
          <w:rFonts w:ascii="Verdana" w:eastAsia="Calibri" w:hAnsi="Verdana" w:cs="Times New Roman"/>
          <w:lang w:val="es-ES_tradnl"/>
        </w:rPr>
        <w:t>es decir, que para la celebración de contratos y convenios podrán acogerse a las disposiciones especiales que regulan las actividades de ciencia, tecnología e innovación.</w:t>
      </w:r>
    </w:p>
    <w:p w14:paraId="0B600869" w14:textId="77777777" w:rsidR="00A06931" w:rsidRPr="00A06931" w:rsidRDefault="00A06931" w:rsidP="00A06931">
      <w:pPr>
        <w:spacing w:after="120" w:line="276" w:lineRule="auto"/>
        <w:ind w:firstLine="709"/>
        <w:jc w:val="both"/>
        <w:rPr>
          <w:rFonts w:ascii="Verdana" w:eastAsia="Calibri" w:hAnsi="Verdana" w:cs="Arial"/>
          <w:color w:val="000000" w:themeColor="text1"/>
          <w:lang w:eastAsia="es-ES"/>
        </w:rPr>
      </w:pPr>
      <w:r w:rsidRPr="00A06931">
        <w:rPr>
          <w:rFonts w:ascii="Verdana" w:eastAsia="Calibri" w:hAnsi="Verdana" w:cs="Arial"/>
        </w:rPr>
        <w:lastRenderedPageBreak/>
        <w:t xml:space="preserve">De la misma manera, la Sala de Consulta y Servicio Civil en el concepto citado señaló lo siguiente: </w:t>
      </w:r>
    </w:p>
    <w:p w14:paraId="7E2F4B8E" w14:textId="77777777" w:rsidR="00A06931" w:rsidRPr="00A06931" w:rsidRDefault="00A06931" w:rsidP="00A06931">
      <w:pPr>
        <w:spacing w:after="0" w:line="240" w:lineRule="auto"/>
        <w:ind w:firstLine="709"/>
        <w:jc w:val="both"/>
        <w:rPr>
          <w:rFonts w:ascii="Verdana" w:eastAsia="Calibri" w:hAnsi="Verdana" w:cs="Arial"/>
          <w:color w:val="000000" w:themeColor="text1"/>
          <w:lang w:eastAsia="es-ES"/>
        </w:rPr>
      </w:pPr>
    </w:p>
    <w:p w14:paraId="77727541"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“Por último, se destaca que el Título V de la Ley 2056 de 2020, reitera la responsabilidad del ejecutor y la sujeción al régimen presupuestal y de contratación estatal, en los artículos 84 y 85 para los pueblos y comunidades indígenas, en los artículos 99 y 101 para las comunidades Negras, Afrocolombianas Raizales y Palenqueras y en los artículos 108 y 109 para el pueblo </w:t>
      </w:r>
      <w:proofErr w:type="spellStart"/>
      <w:r w:rsidRPr="00A06931">
        <w:rPr>
          <w:rFonts w:ascii="Verdana" w:eastAsia="Calibri" w:hAnsi="Verdana" w:cs="Arial"/>
          <w:color w:val="000000" w:themeColor="text1"/>
          <w:sz w:val="20"/>
          <w:szCs w:val="20"/>
          <w:lang w:eastAsia="es-ES"/>
        </w:rPr>
        <w:t>Rrom</w:t>
      </w:r>
      <w:proofErr w:type="spellEnd"/>
      <w:r w:rsidRPr="00A06931">
        <w:rPr>
          <w:rFonts w:ascii="Verdana" w:eastAsia="Calibri" w:hAnsi="Verdana" w:cs="Arial"/>
          <w:color w:val="000000" w:themeColor="text1"/>
          <w:sz w:val="20"/>
          <w:szCs w:val="20"/>
          <w:lang w:eastAsia="es-ES"/>
        </w:rPr>
        <w:t xml:space="preserve"> o Gitano.</w:t>
      </w:r>
    </w:p>
    <w:p w14:paraId="7D092363"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 xml:space="preserve">La Ley 2056 de 2020 </w:t>
      </w:r>
      <w:r w:rsidRPr="00A06931">
        <w:rPr>
          <w:rFonts w:ascii="Verdana" w:eastAsia="Calibri" w:hAnsi="Verdana" w:cs="Arial"/>
          <w:i/>
          <w:iCs/>
          <w:color w:val="000000" w:themeColor="text1"/>
          <w:sz w:val="20"/>
          <w:szCs w:val="20"/>
          <w:lang w:eastAsia="es-ES"/>
        </w:rPr>
        <w:t>sólo introdujo una regla contractual especial y distinta al régimen de contratación pública,</w:t>
      </w:r>
      <w:r w:rsidRPr="00A06931">
        <w:rPr>
          <w:rFonts w:ascii="Verdana" w:eastAsia="Calibri" w:hAnsi="Verdana" w:cs="Arial"/>
          <w:color w:val="000000" w:themeColor="text1"/>
          <w:sz w:val="20"/>
          <w:szCs w:val="20"/>
          <w:lang w:eastAsia="es-ES"/>
        </w:rPr>
        <w:t xml:space="preserve"> </w:t>
      </w:r>
      <w:r w:rsidRPr="00A06931">
        <w:rPr>
          <w:rFonts w:ascii="Verdana" w:eastAsia="Calibri" w:hAnsi="Verdana" w:cs="Arial"/>
          <w:i/>
          <w:iCs/>
          <w:color w:val="000000" w:themeColor="text1"/>
          <w:sz w:val="20"/>
          <w:szCs w:val="20"/>
          <w:lang w:eastAsia="es-ES"/>
        </w:rPr>
        <w:t xml:space="preserve">cuando en el inciso cuarto de su artículo 54, dispone que los proyectos financiados con recursos de la Asignación para la Ciencia, Tecnología e Innovación </w:t>
      </w:r>
      <w:r w:rsidRPr="00A06931">
        <w:rPr>
          <w:rFonts w:ascii="Verdana" w:eastAsia="Calibri" w:hAnsi="Verdana" w:cs="Arial"/>
          <w:color w:val="000000" w:themeColor="text1"/>
          <w:sz w:val="20"/>
          <w:szCs w:val="20"/>
          <w:lang w:eastAsia="es-ES"/>
        </w:rPr>
        <w:t>deberán ejecutarse con estricta sujeción no solo al régimen presupuestal definido en dicha ley, sino también a las normas contractuales previstas en la Ley de Ciencia y Tecnología correspondiente a la Ley 1286 de 2009 o en las disposiciones que la modifiquen o sustituyan.</w:t>
      </w:r>
    </w:p>
    <w:p w14:paraId="629F9901" w14:textId="77777777" w:rsidR="00A06931" w:rsidRPr="00A06931" w:rsidRDefault="00A06931" w:rsidP="00A06931">
      <w:pPr>
        <w:spacing w:after="120" w:line="240" w:lineRule="auto"/>
        <w:ind w:left="709" w:right="709"/>
        <w:jc w:val="both"/>
        <w:rPr>
          <w:rFonts w:ascii="Verdana" w:eastAsia="Calibri" w:hAnsi="Verdana" w:cs="Arial"/>
          <w:color w:val="000000" w:themeColor="text1"/>
          <w:sz w:val="20"/>
          <w:szCs w:val="20"/>
          <w:lang w:eastAsia="es-ES"/>
        </w:rPr>
      </w:pPr>
      <w:r w:rsidRPr="00A06931">
        <w:rPr>
          <w:rFonts w:ascii="Verdana" w:eastAsia="Calibri" w:hAnsi="Verdana" w:cs="Arial"/>
          <w:color w:val="000000" w:themeColor="text1"/>
          <w:sz w:val="20"/>
          <w:szCs w:val="20"/>
          <w:lang w:eastAsia="es-ES"/>
        </w:rPr>
        <w:t>En este sentido, a diferencia de la regla general de sujeción al Estatuto General de Contratación, el legislador consagró un régimen contractual especial y expreso para este tipo de proyectos, atendiendo a la naturaleza particular de las actividades de ciencia, tecnología e innovación”. (Énfasis por fuera de texto).</w:t>
      </w:r>
    </w:p>
    <w:p w14:paraId="1FBDA7F0" w14:textId="77777777" w:rsidR="00A06931" w:rsidRPr="00A06931" w:rsidRDefault="00A06931" w:rsidP="00A06931">
      <w:pPr>
        <w:spacing w:after="0" w:line="240" w:lineRule="auto"/>
        <w:jc w:val="both"/>
        <w:rPr>
          <w:rFonts w:ascii="Verdana" w:eastAsia="Calibri" w:hAnsi="Verdana" w:cs="Arial"/>
          <w:color w:val="000000" w:themeColor="text1"/>
          <w:lang w:eastAsia="es-ES"/>
        </w:rPr>
      </w:pPr>
    </w:p>
    <w:p w14:paraId="49E05D3B" w14:textId="77777777" w:rsidR="00A06931" w:rsidRPr="00A06931" w:rsidRDefault="00A06931" w:rsidP="00A06931">
      <w:pPr>
        <w:spacing w:after="120" w:line="276" w:lineRule="auto"/>
        <w:ind w:firstLine="709"/>
        <w:jc w:val="both"/>
        <w:rPr>
          <w:rFonts w:ascii="Verdana" w:eastAsia="Calibri" w:hAnsi="Verdana" w:cs="Arial"/>
        </w:rPr>
      </w:pPr>
      <w:r w:rsidRPr="00A06931">
        <w:rPr>
          <w:rFonts w:ascii="Verdana" w:eastAsia="Calibri" w:hAnsi="Verdana" w:cs="Arial"/>
        </w:rPr>
        <w:t xml:space="preserve">Bajo estas consideraciones, los proyectos financiados con recursos de la Asignación para la Ciencia, Tecnología e Innovación no se ejecutan conforme al régimen del EGCAP, sino de conformidad con las normas especiales que lo rigen atendiendo a la naturaleza particular de dichas actividades. </w:t>
      </w:r>
    </w:p>
    <w:p w14:paraId="3F657F5E" w14:textId="77777777" w:rsidR="00A06931" w:rsidRPr="00A06931" w:rsidRDefault="00A06931" w:rsidP="00A06931">
      <w:pPr>
        <w:spacing w:after="120" w:line="276" w:lineRule="auto"/>
        <w:ind w:firstLine="709"/>
        <w:jc w:val="both"/>
        <w:rPr>
          <w:rFonts w:ascii="Verdana" w:eastAsia="Calibri" w:hAnsi="Verdana" w:cs="Arial"/>
        </w:rPr>
      </w:pPr>
      <w:r w:rsidRPr="00A06931">
        <w:rPr>
          <w:rFonts w:ascii="Verdana" w:eastAsia="Calibri" w:hAnsi="Verdana" w:cs="Arial"/>
        </w:rPr>
        <w:t xml:space="preserve">No </w:t>
      </w:r>
      <w:proofErr w:type="gramStart"/>
      <w:r w:rsidRPr="00A06931">
        <w:rPr>
          <w:rFonts w:ascii="Verdana" w:eastAsia="Calibri" w:hAnsi="Verdana" w:cs="Arial"/>
        </w:rPr>
        <w:t>obstante</w:t>
      </w:r>
      <w:proofErr w:type="gramEnd"/>
      <w:r w:rsidRPr="00A06931">
        <w:rPr>
          <w:rFonts w:ascii="Verdana" w:eastAsia="Calibri" w:hAnsi="Verdana" w:cs="Arial"/>
        </w:rPr>
        <w:t xml:space="preserve"> lo anterior, aunque estos proyectos deban ejecutarse con en el régimen especial señalado, las entidades tienen la obligación de observar las disposiciones generales del Sistema de Compra y Contratación Pública que de manera transversal les resulten aplicables, como los principios de la función administrativa, el régimen de inhabilidades e incompatibilidades y el uso del SECOP II o la plataforma que haga sus veces. </w:t>
      </w:r>
    </w:p>
    <w:p w14:paraId="33D4184F"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s="Arial"/>
        </w:rPr>
        <w:t xml:space="preserve">Sobre el particular,  es pertinente indicar que </w:t>
      </w:r>
      <w:r w:rsidRPr="00A06931">
        <w:rPr>
          <w:rFonts w:ascii="Verdana" w:eastAsia="Calibri" w:hAnsi="Verdana" w:cs="Arial"/>
          <w:color w:val="000000" w:themeColor="text1"/>
          <w:lang w:val="es-ES"/>
        </w:rPr>
        <w:t xml:space="preserve">el régimen de inhabilidades para contratar con el Estado es un conjunto de restricciones establecidas por el constituyente o el legislador </w:t>
      </w:r>
      <w:r w:rsidRPr="00A06931">
        <w:rPr>
          <w:rFonts w:ascii="Verdana" w:eastAsia="Calibri" w:hAnsi="Verdana" w:cs="Arial"/>
          <w:lang w:val="es-MX"/>
        </w:rPr>
        <w:t xml:space="preserve">que afectan directamente la capacidad de las personas para </w:t>
      </w:r>
      <w:r w:rsidRPr="00A06931">
        <w:rPr>
          <w:rFonts w:ascii="Verdana" w:eastAsia="Calibri" w:hAnsi="Verdana" w:cs="Arial"/>
          <w:color w:val="000000" w:themeColor="text1"/>
          <w:lang w:val="es-ES"/>
        </w:rPr>
        <w:t xml:space="preserve">concurrir a los procedimientos de selección y para contratar con el Estado, que se derivan i) de la existencia de comportamientos reprochables o </w:t>
      </w:r>
      <w:r w:rsidRPr="00A06931">
        <w:rPr>
          <w:rFonts w:ascii="Verdana" w:eastAsia="Calibri" w:hAnsi="Verdana" w:cs="Arial"/>
          <w:color w:val="000000" w:themeColor="text1"/>
          <w:lang w:val="es-ES"/>
        </w:rPr>
        <w:lastRenderedPageBreak/>
        <w:t>de sanciones anteriormente impuestas</w:t>
      </w:r>
      <w:r w:rsidRPr="00A06931">
        <w:rPr>
          <w:rFonts w:ascii="Verdana" w:eastAsia="Calibri" w:hAnsi="Verdana" w:cs="Arial"/>
          <w:color w:val="000000" w:themeColor="text1"/>
          <w:vertAlign w:val="superscript"/>
          <w:lang w:val="es-ES"/>
        </w:rPr>
        <w:footnoteReference w:id="13"/>
      </w:r>
      <w:r w:rsidRPr="00A06931">
        <w:rPr>
          <w:rFonts w:ascii="Verdana" w:eastAsia="Calibri" w:hAnsi="Verdana" w:cs="Arial"/>
          <w:color w:val="000000" w:themeColor="text1"/>
          <w:lang w:val="es-ES"/>
        </w:rPr>
        <w:t xml:space="preserve">, </w:t>
      </w:r>
      <w:proofErr w:type="spellStart"/>
      <w:r w:rsidRPr="00A06931">
        <w:rPr>
          <w:rFonts w:ascii="Verdana" w:eastAsia="Calibri" w:hAnsi="Verdana" w:cs="Arial"/>
          <w:color w:val="000000" w:themeColor="text1"/>
          <w:lang w:val="es-ES"/>
        </w:rPr>
        <w:t>ii</w:t>
      </w:r>
      <w:proofErr w:type="spellEnd"/>
      <w:r w:rsidRPr="00A06931">
        <w:rPr>
          <w:rFonts w:ascii="Verdana" w:eastAsia="Calibri" w:hAnsi="Verdana" w:cs="Arial"/>
          <w:color w:val="000000" w:themeColor="text1"/>
          <w:lang w:val="es-ES"/>
        </w:rPr>
        <w:t>) de vínculos personales relativos al parentesco o al estado civil</w:t>
      </w:r>
      <w:r w:rsidRPr="00A06931">
        <w:rPr>
          <w:rFonts w:ascii="Verdana" w:eastAsia="Calibri" w:hAnsi="Verdana" w:cs="Arial"/>
          <w:color w:val="000000" w:themeColor="text1"/>
          <w:vertAlign w:val="superscript"/>
          <w:lang w:val="es-ES"/>
        </w:rPr>
        <w:footnoteReference w:id="14"/>
      </w:r>
      <w:r w:rsidRPr="00A06931">
        <w:rPr>
          <w:rFonts w:ascii="Verdana" w:eastAsia="Calibri" w:hAnsi="Verdana" w:cs="Arial"/>
          <w:color w:val="000000" w:themeColor="text1"/>
          <w:lang w:val="es-ES"/>
        </w:rPr>
        <w:t xml:space="preserve"> o </w:t>
      </w:r>
      <w:proofErr w:type="spellStart"/>
      <w:r w:rsidRPr="00A06931">
        <w:rPr>
          <w:rFonts w:ascii="Verdana" w:eastAsia="Calibri" w:hAnsi="Verdana" w:cs="Arial"/>
          <w:color w:val="000000" w:themeColor="text1"/>
          <w:lang w:val="es-ES"/>
        </w:rPr>
        <w:t>iii</w:t>
      </w:r>
      <w:proofErr w:type="spellEnd"/>
      <w:r w:rsidRPr="00A06931">
        <w:rPr>
          <w:rFonts w:ascii="Verdana" w:eastAsia="Calibri" w:hAnsi="Verdana" w:cs="Arial"/>
          <w:color w:val="000000" w:themeColor="text1"/>
          <w:lang w:val="es-ES"/>
        </w:rPr>
        <w:t>) de una actividad u oficio que se desempeñó en el pasado</w:t>
      </w:r>
      <w:r w:rsidRPr="00A06931">
        <w:rPr>
          <w:rFonts w:ascii="Verdana" w:eastAsia="Calibri" w:hAnsi="Verdana" w:cs="Arial"/>
          <w:color w:val="000000" w:themeColor="text1"/>
          <w:vertAlign w:val="superscript"/>
          <w:lang w:val="es-ES"/>
        </w:rPr>
        <w:footnoteReference w:id="15"/>
      </w:r>
      <w:r w:rsidRPr="00A06931">
        <w:rPr>
          <w:rFonts w:ascii="Verdana" w:eastAsia="Calibri" w:hAnsi="Verdana" w:cs="Arial"/>
          <w:color w:val="000000" w:themeColor="text1"/>
          <w:lang w:val="es-ES"/>
        </w:rPr>
        <w:t xml:space="preserve">. De otro lado, las incompatibilidades son prohibiciones para </w:t>
      </w:r>
      <w:r w:rsidRPr="00A06931">
        <w:rPr>
          <w:rFonts w:ascii="Verdana" w:eastAsia="Calibri" w:hAnsi="Verdana" w:cs="Arial"/>
          <w:color w:val="000000" w:themeColor="text1"/>
          <w:lang w:val="es-ES"/>
        </w:rPr>
        <w:lastRenderedPageBreak/>
        <w:t>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A06931">
        <w:rPr>
          <w:rFonts w:ascii="Verdana" w:eastAsia="Calibri" w:hAnsi="Verdana" w:cs="Arial"/>
          <w:color w:val="000000" w:themeColor="text1"/>
          <w:vertAlign w:val="superscript"/>
          <w:lang w:val="es-ES"/>
        </w:rPr>
        <w:footnoteReference w:id="16"/>
      </w:r>
      <w:r w:rsidRPr="00A06931">
        <w:rPr>
          <w:rFonts w:ascii="Verdana" w:eastAsia="Calibri" w:hAnsi="Verdana" w:cs="Arial"/>
          <w:color w:val="000000" w:themeColor="text1"/>
          <w:lang w:val="es-ES"/>
        </w:rPr>
        <w:t xml:space="preserve">. </w:t>
      </w:r>
    </w:p>
    <w:p w14:paraId="6AB55C66"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s="Arial"/>
          <w:color w:val="000000" w:themeColor="text1"/>
          <w:lang w:val="es-ES"/>
        </w:rPr>
        <w:t xml:space="preserve">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A06931">
        <w:rPr>
          <w:rFonts w:ascii="Verdana" w:eastAsia="Calibri" w:hAnsi="Verdana" w:cs="Arial"/>
          <w:color w:val="000000" w:themeColor="text1"/>
          <w:lang w:val="es-ES"/>
        </w:rPr>
        <w:t>que</w:t>
      </w:r>
      <w:proofErr w:type="gramEnd"/>
      <w:r w:rsidRPr="00A06931">
        <w:rPr>
          <w:rFonts w:ascii="Verdana" w:eastAsia="Calibri" w:hAnsi="Verdana" w:cs="Arial"/>
          <w:color w:val="000000" w:themeColor="text1"/>
          <w:lang w:val="es-ES"/>
        </w:rPr>
        <w:t>, como lo ha destacado la doctrina, las inhabilidades e incompatibilidades son herramientas en la lucha contra la corrupción, adoptando paulatinamente un carácter sancionatorio o “</w:t>
      </w:r>
      <w:proofErr w:type="spellStart"/>
      <w:r w:rsidRPr="00A06931">
        <w:rPr>
          <w:rFonts w:ascii="Verdana" w:eastAsia="Calibri" w:hAnsi="Verdana" w:cs="Arial"/>
          <w:color w:val="000000" w:themeColor="text1"/>
          <w:lang w:val="es-ES"/>
        </w:rPr>
        <w:t>neopunitivo</w:t>
      </w:r>
      <w:proofErr w:type="spellEnd"/>
      <w:r w:rsidRPr="00A06931">
        <w:rPr>
          <w:rFonts w:ascii="Verdana" w:eastAsia="Calibri" w:hAnsi="Verdana" w:cs="Arial"/>
          <w:color w:val="000000" w:themeColor="text1"/>
          <w:lang w:val="es-ES"/>
        </w:rPr>
        <w:t>”</w:t>
      </w:r>
      <w:r w:rsidRPr="00A06931">
        <w:rPr>
          <w:rFonts w:ascii="Verdana" w:eastAsia="Calibri" w:hAnsi="Verdana" w:cs="Arial"/>
          <w:color w:val="000000" w:themeColor="text1"/>
          <w:vertAlign w:val="superscript"/>
          <w:lang w:val="es-ES"/>
        </w:rPr>
        <w:footnoteReference w:id="17"/>
      </w:r>
      <w:r w:rsidRPr="00A06931">
        <w:rPr>
          <w:rFonts w:ascii="Verdana" w:eastAsia="Calibri" w:hAnsi="Verdana" w:cs="Arial"/>
          <w:color w:val="000000" w:themeColor="text1"/>
          <w:lang w:val="es-ES"/>
        </w:rPr>
        <w:t>.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AA69CC1"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s="Arial"/>
          <w:color w:val="000000" w:themeColor="text1"/>
          <w:lang w:val="es-ES_tradnl"/>
        </w:rPr>
        <w:lastRenderedPageBreak/>
        <w:t xml:space="preserve">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A06931">
        <w:rPr>
          <w:rFonts w:ascii="Verdana" w:eastAsia="Calibri" w:hAnsi="Verdana" w:cs="Arial"/>
          <w:i/>
          <w:iCs/>
          <w:color w:val="000000" w:themeColor="text1"/>
          <w:lang w:val="es-ES_tradnl"/>
        </w:rPr>
        <w:t>restrictiva</w:t>
      </w:r>
      <w:r w:rsidRPr="00A06931">
        <w:rPr>
          <w:rFonts w:ascii="Verdana" w:eastAsia="Calibri" w:hAnsi="Verdana" w:cs="Arial"/>
          <w:color w:val="000000" w:themeColor="text1"/>
          <w:vertAlign w:val="superscript"/>
          <w:lang w:val="es-ES_tradnl"/>
        </w:rPr>
        <w:footnoteReference w:id="18"/>
      </w:r>
      <w:r w:rsidRPr="00A06931">
        <w:rPr>
          <w:rFonts w:ascii="Verdana" w:eastAsia="Calibri" w:hAnsi="Verdana" w:cs="Arial"/>
          <w:color w:val="000000" w:themeColor="text1"/>
          <w:lang w:val="es-ES_tradnl"/>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4D880EF"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proofErr w:type="spellStart"/>
      <w:r w:rsidRPr="00A06931">
        <w:rPr>
          <w:rFonts w:ascii="Verdana" w:eastAsia="Calibri" w:hAnsi="Verdana" w:cs="Arial"/>
          <w:color w:val="000000" w:themeColor="text1"/>
          <w:lang w:val="es-ES"/>
        </w:rPr>
        <w:t>Asi</w:t>
      </w:r>
      <w:proofErr w:type="spellEnd"/>
      <w:r w:rsidRPr="00A06931">
        <w:rPr>
          <w:rFonts w:ascii="Verdana" w:eastAsia="Calibri" w:hAnsi="Verdana" w:cs="Arial"/>
          <w:color w:val="000000" w:themeColor="text1"/>
          <w:lang w:val="es-ES"/>
        </w:rPr>
        <w:t xml:space="preserve"> las cosas, las entidades designadas como ejecutoras de proyectos de inversión financiados con recursos del Sistema General de Regalías que deban aplicar el régimen especial de Ciencia, Tecnología e Innovación  para su ejecución están sujetas al régimen de inhabilidades e incompatibilidades que resulte aplicable, por lo que, al adelantar sus procesos de contratación, deberán verificar la existencia de circunstancias que puedan impedir la participación de los interesados o la celebración del respectivo contrato. Para ello, es necesario atender a las causales expresamente establecidas en la ley, sin que resulte procedente crear restricciones o inhabilidades al margen de las previsiones normativas.</w:t>
      </w:r>
    </w:p>
    <w:p w14:paraId="30D75573"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s="Arial"/>
          <w:color w:val="000000" w:themeColor="text1"/>
          <w:lang w:val="es-ES"/>
        </w:rPr>
        <w:t>En este sentido, conforme lo planteado en su consulta, la sola condición de “aliado” de un proyecto de inversión no permite concluir, de manera general, que una empresa privada se encuentre incursa en una causal de inhabilidad o incompatibilidad que le impida participar en un proceso de selección adelantado por la entidad ejecutora del mismo proyecto. Para determinar la viabilidad jurídica de su participación, la entidad deberá establecer el alcance y la naturaleza de la relación que existe entre la empresa privada y la entidad ejecutora, así como las circunstancias particulares en las que se desarrolla dicha relación, con el fin de verificar si estas se subsumen en alguna de las causales previstas en el ordenamiento jurídico</w:t>
      </w:r>
    </w:p>
    <w:p w14:paraId="4FF5E3BC"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s="Arial"/>
          <w:color w:val="000000" w:themeColor="text1"/>
          <w:lang w:val="es-ES"/>
        </w:rPr>
        <w:t xml:space="preserve">A manera de ejemplo, deberá revisarse si se configura la causal prevista en el literal d) del numeral 2 del artículo 8 de la Ley 80 de 1993, si el servidor </w:t>
      </w:r>
      <w:r w:rsidRPr="00A06931">
        <w:rPr>
          <w:rFonts w:ascii="Verdana" w:eastAsia="Calibri" w:hAnsi="Verdana" w:cs="Arial"/>
          <w:color w:val="000000" w:themeColor="text1"/>
          <w:lang w:val="es-ES"/>
        </w:rPr>
        <w:lastRenderedPageBreak/>
        <w:t xml:space="preserve">público de la entidad estatal contratante, perteneciente al nivel directivo, asesor o ejecutivo, o el miembro de su junta o consejo directivo, tiene participación en la corporación, asociación o función o sociedad anónima que no tenga el carácter de abierta —en cualquier calidad— o desempeña en ella cargos de dirección o manejo. Para estos efectos, resulta necesario identificar la naturaleza jurídica de la entidad ejecutora, las personas que intervienen en sus decisiones y las relaciones que estas mantienen con la empresa privada. </w:t>
      </w:r>
    </w:p>
    <w:p w14:paraId="272E7DAA"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s="Arial"/>
          <w:color w:val="000000" w:themeColor="text1"/>
          <w:lang w:val="es-ES"/>
        </w:rPr>
        <w:t>Sin perjuicio de lo expuesto, la entidad ejecutora deberá analizar si las circunstancias de su participación pueden dar lugar a un conflicto de interés o comprometer los principios que orientan la contratación pública. En particular, la entidad contratante tiene el deber de identificar cualquier conducta que pueda llegar a tener esta connotación, producto de la concurrencia de intereses antagónicos en el contratista que lo lleven a adoptar determinaciones de aprovechamiento personal, familiar o particular, en detrimento del interés público. En este contexto, es indispensable que se analice la ocurrencia de potenciales conflictos de interés de cara a una posible vulneración de la transparencia, imparcialidad y moralidad administrativa y de acuerdo con lo establecido en sus manuales de contratación</w:t>
      </w:r>
    </w:p>
    <w:p w14:paraId="3D97987B"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s="Arial"/>
          <w:color w:val="000000" w:themeColor="text1"/>
          <w:lang w:val="es-ES"/>
        </w:rPr>
        <w:t>En consecuencia, la eventual participación de la empresa “aliada” deberá evaluarse atendiendo a las condiciones particulares del caso, las disposiciones legales aplicables y los instrumentos internos de contratación de la entidad ejecutora. Si, luego de efectuar esta verificación, no se identifica una causal legal que impida su participación, la entidad deberá garantizar que el proceso se adelante en condiciones de igualdad, transparencia, libre concurrencia y selección objetiva. Para ello, deberá adoptar, dentro del marco de sus competencias, las medidas que resulten necesarias para prevenir ventajas indebidas, gestionar los potenciales conflictos de interés y asegurar que la estructuración del proceso, la definición de sus condiciones, la evaluación de las ofertas y la decisión de selección se desarrollen con sujeción a las reglas aplicables.</w:t>
      </w:r>
    </w:p>
    <w:p w14:paraId="7BC18996" w14:textId="77777777" w:rsidR="00A06931" w:rsidRPr="00A06931" w:rsidRDefault="00A06931" w:rsidP="00A06931">
      <w:pPr>
        <w:spacing w:after="120" w:line="276" w:lineRule="auto"/>
        <w:ind w:firstLine="709"/>
        <w:jc w:val="both"/>
        <w:rPr>
          <w:rFonts w:ascii="Verdana" w:eastAsia="Calibri" w:hAnsi="Verdana" w:cs="Arial"/>
          <w:color w:val="000000" w:themeColor="text1"/>
          <w:lang w:val="es-ES"/>
        </w:rPr>
      </w:pPr>
      <w:r w:rsidRPr="00A06931">
        <w:rPr>
          <w:rFonts w:ascii="Verdana" w:eastAsia="Calibri" w:hAnsi="Verdana" w:cs="Arial"/>
          <w:color w:val="000000" w:themeColor="text1"/>
          <w:lang w:val="es-ES"/>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w:t>
      </w:r>
      <w:r w:rsidRPr="00A06931">
        <w:rPr>
          <w:rFonts w:ascii="Verdana" w:eastAsia="Calibri" w:hAnsi="Verdana" w:cs="Arial"/>
          <w:color w:val="000000" w:themeColor="text1"/>
          <w:lang w:val="es-ES"/>
        </w:rPr>
        <w:lastRenderedPageBreak/>
        <w:t xml:space="preserve">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 </w:t>
      </w:r>
    </w:p>
    <w:p w14:paraId="4AC836B4" w14:textId="77777777" w:rsidR="00A06931" w:rsidRPr="00A06931" w:rsidRDefault="00A06931" w:rsidP="00A06931">
      <w:pPr>
        <w:widowControl w:val="0"/>
        <w:autoSpaceDE w:val="0"/>
        <w:autoSpaceDN w:val="0"/>
        <w:spacing w:after="0" w:line="276" w:lineRule="auto"/>
        <w:jc w:val="both"/>
        <w:rPr>
          <w:rFonts w:ascii="Verdana" w:eastAsia="Arial" w:hAnsi="Verdana" w:cs="Arial"/>
          <w:lang w:val="es-ES"/>
        </w:rPr>
      </w:pPr>
    </w:p>
    <w:p w14:paraId="7DE770ED" w14:textId="77777777" w:rsidR="00A06931" w:rsidRPr="00A06931" w:rsidRDefault="00A06931" w:rsidP="00A06931">
      <w:pPr>
        <w:numPr>
          <w:ilvl w:val="0"/>
          <w:numId w:val="1"/>
        </w:numPr>
        <w:tabs>
          <w:tab w:val="left" w:pos="142"/>
          <w:tab w:val="left" w:pos="284"/>
        </w:tabs>
        <w:spacing w:after="0" w:line="276" w:lineRule="auto"/>
        <w:jc w:val="both"/>
        <w:rPr>
          <w:rFonts w:ascii="Verdana" w:eastAsia="Century Gothic" w:hAnsi="Verdana" w:cs="Century Gothic"/>
          <w:b/>
          <w:bCs/>
        </w:rPr>
      </w:pPr>
      <w:r w:rsidRPr="00A06931">
        <w:rPr>
          <w:rFonts w:ascii="Verdana" w:eastAsia="Century Gothic" w:hAnsi="Verdana" w:cs="Century Gothic"/>
          <w:b/>
          <w:bCs/>
        </w:rPr>
        <w:t>Referencias normativas y jurisprudenciales:</w:t>
      </w:r>
    </w:p>
    <w:p w14:paraId="32E436A0" w14:textId="77777777" w:rsidR="00A06931" w:rsidRPr="00A06931" w:rsidRDefault="00A06931" w:rsidP="00A0693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06931" w:rsidRPr="00A06931" w14:paraId="089D5A64" w14:textId="77777777" w:rsidTr="00F33424">
        <w:trPr>
          <w:trHeight w:val="410"/>
          <w:jc w:val="center"/>
        </w:trPr>
        <w:tc>
          <w:tcPr>
            <w:tcW w:w="8647" w:type="dxa"/>
          </w:tcPr>
          <w:p w14:paraId="78105BC8" w14:textId="77777777" w:rsidR="00A06931" w:rsidRPr="00A06931" w:rsidRDefault="00A06931" w:rsidP="00A06931">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A06931">
              <w:rPr>
                <w:rFonts w:ascii="Verdana" w:hAnsi="Verdana" w:cs="Arial"/>
                <w:lang w:val="es-ES"/>
              </w:rPr>
              <w:t xml:space="preserve">Constitución Política de 1991, artículos 360 y 361. </w:t>
            </w:r>
          </w:p>
          <w:p w14:paraId="269E08AF" w14:textId="77777777" w:rsidR="00A06931" w:rsidRPr="00A06931" w:rsidRDefault="00A06931" w:rsidP="00A06931">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A06931">
              <w:rPr>
                <w:rFonts w:ascii="Verdana" w:hAnsi="Verdana" w:cs="Arial"/>
                <w:lang w:val="es-ES"/>
              </w:rPr>
              <w:t>Ley 80 de 1993, artículos 40 y 41</w:t>
            </w:r>
          </w:p>
          <w:p w14:paraId="17BFF353" w14:textId="77777777" w:rsidR="00A06931" w:rsidRPr="00A06931" w:rsidRDefault="00A06931" w:rsidP="00A06931">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A06931">
              <w:rPr>
                <w:rFonts w:ascii="Verdana" w:hAnsi="Verdana" w:cs="Arial"/>
                <w:lang w:val="es-ES"/>
              </w:rPr>
              <w:t>Ley 1474 de 2011, artículo 93</w:t>
            </w:r>
          </w:p>
          <w:p w14:paraId="39E67126" w14:textId="77777777" w:rsidR="00A06931" w:rsidRPr="00A06931" w:rsidRDefault="00A06931" w:rsidP="00A06931">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A06931">
              <w:rPr>
                <w:rFonts w:ascii="Verdana" w:hAnsi="Verdana" w:cs="Arial"/>
              </w:rPr>
              <w:t>Ley 2056 de 2020, artículos 28 a 37, 83, 87, 98, 99, 101, 108 y 109</w:t>
            </w:r>
          </w:p>
          <w:p w14:paraId="588F88E8" w14:textId="77777777" w:rsidR="00A06931" w:rsidRPr="00A06931" w:rsidRDefault="00A06931" w:rsidP="00A06931">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A06931">
              <w:rPr>
                <w:rFonts w:ascii="Verdana" w:eastAsia="Aptos" w:hAnsi="Verdana" w:cs="Arial"/>
              </w:rPr>
              <w:t>Consejo De Estado. Sección tercera. Sentencia del 7 de marzo de 2025. Radicación No.69.941. C.P: José Roberto Sáchica.</w:t>
            </w:r>
          </w:p>
          <w:p w14:paraId="15841EC6" w14:textId="77777777" w:rsidR="00A06931" w:rsidRPr="00A06931" w:rsidRDefault="00A06931" w:rsidP="00A06931">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A06931">
              <w:rPr>
                <w:rFonts w:ascii="Verdana" w:eastAsia="Calibri" w:hAnsi="Verdana" w:cs="Arial"/>
                <w:color w:val="000000" w:themeColor="text1"/>
                <w:lang w:eastAsia="es-ES"/>
              </w:rPr>
              <w:t>Consejo de Estado. Sala de Consulta y Servicio Civil. Concepto 2563 del 25 de junio de 2026. C.P: María del Pilar Bahamón Falla</w:t>
            </w:r>
          </w:p>
        </w:tc>
      </w:tr>
    </w:tbl>
    <w:p w14:paraId="17A1543F" w14:textId="77777777" w:rsidR="00A06931" w:rsidRPr="00A06931" w:rsidRDefault="00A06931" w:rsidP="00A06931">
      <w:pPr>
        <w:widowControl w:val="0"/>
        <w:autoSpaceDE w:val="0"/>
        <w:autoSpaceDN w:val="0"/>
        <w:spacing w:after="0" w:line="276" w:lineRule="auto"/>
        <w:jc w:val="both"/>
        <w:rPr>
          <w:rFonts w:ascii="Verdana" w:hAnsi="Verdana" w:cs="Arial"/>
        </w:rPr>
      </w:pPr>
    </w:p>
    <w:p w14:paraId="2329A4EB" w14:textId="77777777" w:rsidR="00A06931" w:rsidRPr="00A06931" w:rsidRDefault="00A06931" w:rsidP="00A06931">
      <w:pPr>
        <w:numPr>
          <w:ilvl w:val="0"/>
          <w:numId w:val="1"/>
        </w:numPr>
        <w:tabs>
          <w:tab w:val="left" w:pos="142"/>
          <w:tab w:val="left" w:pos="284"/>
        </w:tabs>
        <w:spacing w:after="0" w:line="276" w:lineRule="auto"/>
        <w:jc w:val="both"/>
        <w:rPr>
          <w:rFonts w:ascii="Verdana" w:eastAsia="Century Gothic" w:hAnsi="Verdana" w:cs="Century Gothic"/>
          <w:b/>
          <w:bCs/>
        </w:rPr>
      </w:pPr>
      <w:r w:rsidRPr="00A06931">
        <w:rPr>
          <w:rFonts w:ascii="Verdana" w:eastAsia="Century Gothic" w:hAnsi="Verdana" w:cs="Century Gothic"/>
          <w:b/>
          <w:bCs/>
        </w:rPr>
        <w:t>Doctrina de la Agencia Nacional de Contratación Pública:</w:t>
      </w:r>
    </w:p>
    <w:p w14:paraId="0FA88F69" w14:textId="77777777" w:rsidR="00A06931" w:rsidRPr="00A06931" w:rsidRDefault="00A06931" w:rsidP="00A06931">
      <w:pPr>
        <w:widowControl w:val="0"/>
        <w:autoSpaceDE w:val="0"/>
        <w:autoSpaceDN w:val="0"/>
        <w:spacing w:after="0" w:line="276" w:lineRule="auto"/>
        <w:jc w:val="both"/>
        <w:rPr>
          <w:rFonts w:ascii="Verdana" w:hAnsi="Verdana" w:cs="Arial"/>
        </w:rPr>
      </w:pPr>
    </w:p>
    <w:p w14:paraId="50925FEC" w14:textId="77777777" w:rsidR="00A06931" w:rsidRPr="00A06931" w:rsidRDefault="00A06931" w:rsidP="00A06931">
      <w:pPr>
        <w:widowControl w:val="0"/>
        <w:autoSpaceDE w:val="0"/>
        <w:autoSpaceDN w:val="0"/>
        <w:spacing w:after="120" w:line="276" w:lineRule="auto"/>
        <w:jc w:val="both"/>
        <w:rPr>
          <w:rFonts w:ascii="Verdana" w:hAnsi="Verdana"/>
          <w:shd w:val="clear" w:color="auto" w:fill="FFFFFF"/>
        </w:rPr>
      </w:pPr>
      <w:r w:rsidRPr="00A06931">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A06931">
        <w:rPr>
          <w:rFonts w:ascii="Verdana" w:hAnsi="Verdana"/>
        </w:rPr>
        <w:t>C-370 del 2021,</w:t>
      </w:r>
      <w:r w:rsidRPr="00A06931">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 C-482 del 27 de abril de 2026,</w:t>
      </w:r>
      <w:r w:rsidRPr="00A06931">
        <w:rPr>
          <w:rFonts w:ascii="Verdana" w:hAnsi="Verdana" w:cs="Arial"/>
        </w:rPr>
        <w:t xml:space="preserve"> C-764 del 29 de mayo de 2026</w:t>
      </w:r>
      <w:r w:rsidRPr="00A06931">
        <w:rPr>
          <w:rFonts w:ascii="Verdana" w:hAnsi="Verdana"/>
          <w:shd w:val="clear" w:color="auto" w:fill="FFFFFF"/>
        </w:rPr>
        <w:t>, C-1050 del 21 de julio de 2026, C-1151, C-1152 del 12 de agosto, C-1249 del 27 de agosto de 2026</w:t>
      </w:r>
      <w:r w:rsidRPr="00A06931">
        <w:rPr>
          <w:rFonts w:ascii="Verdana" w:hAnsi="Verdana"/>
        </w:rPr>
        <w:t>, entre otros</w:t>
      </w:r>
      <w:r w:rsidRPr="00A06931">
        <w:rPr>
          <w:rFonts w:ascii="Verdana" w:hAnsi="Verdana" w:cs="Arial"/>
        </w:rPr>
        <w:t>.</w:t>
      </w:r>
      <w:r w:rsidRPr="00A06931">
        <w:rPr>
          <w:rFonts w:ascii="Verdana" w:hAnsi="Verdana"/>
          <w:shd w:val="clear" w:color="auto" w:fill="FFFFFF"/>
        </w:rPr>
        <w:t xml:space="preserve"> </w:t>
      </w:r>
      <w:r w:rsidRPr="00A06931">
        <w:rPr>
          <w:rFonts w:ascii="Verdana" w:hAnsi="Verdana" w:cs="Arial"/>
          <w:shd w:val="clear" w:color="auto" w:fill="FFFFFF"/>
        </w:rPr>
        <w:t>Es</w:t>
      </w:r>
      <w:r w:rsidRPr="00A06931">
        <w:rPr>
          <w:rFonts w:ascii="Verdana" w:hAnsi="Verdana"/>
        </w:rPr>
        <w:t>tos conceptos se encuentran disponibles para consulta en el Sistema de relatoría de la Agencia, al cual se puede acceder a través del siguiente enlace:</w:t>
      </w:r>
      <w:r w:rsidRPr="00A06931">
        <w:rPr>
          <w:rFonts w:ascii="Verdana" w:hAnsi="Verdana" w:cs="Arial"/>
          <w:shd w:val="clear" w:color="auto" w:fill="FFFFFF"/>
        </w:rPr>
        <w:t xml:space="preserve"> </w:t>
      </w:r>
      <w:hyperlink r:id="rId13" w:history="1">
        <w:r w:rsidRPr="00A06931">
          <w:rPr>
            <w:rFonts w:ascii="Verdana" w:hAnsi="Verdana" w:cs="Arial"/>
            <w:color w:val="0563C1" w:themeColor="hyperlink"/>
            <w:u w:val="single"/>
            <w:shd w:val="clear" w:color="auto" w:fill="FFFFFF"/>
          </w:rPr>
          <w:t>https://relatoria.colombiacompra.gov.co/busqueda/conceptos</w:t>
        </w:r>
      </w:hyperlink>
      <w:r w:rsidRPr="00A06931">
        <w:rPr>
          <w:rFonts w:ascii="Verdana" w:hAnsi="Verdana" w:cs="Arial"/>
          <w:shd w:val="clear" w:color="auto" w:fill="FFFFFF"/>
        </w:rPr>
        <w:t>.</w:t>
      </w:r>
      <w:r w:rsidRPr="00A06931">
        <w:rPr>
          <w:rFonts w:ascii="Verdana" w:hAnsi="Verdana" w:cs="Arial"/>
          <w:color w:val="FF0000"/>
          <w:shd w:val="clear" w:color="auto" w:fill="FFFFFF"/>
        </w:rPr>
        <w:t xml:space="preserve"> </w:t>
      </w:r>
      <w:r w:rsidRPr="00A06931">
        <w:rPr>
          <w:rFonts w:ascii="Verdana" w:hAnsi="Verdana" w:cs="Arial"/>
          <w:color w:val="000000" w:themeColor="text1"/>
          <w:shd w:val="clear" w:color="auto" w:fill="FFFFFF"/>
        </w:rPr>
        <w:t> </w:t>
      </w:r>
    </w:p>
    <w:p w14:paraId="1A76C418" w14:textId="77777777" w:rsidR="00A06931" w:rsidRPr="00A06931" w:rsidRDefault="00A06931" w:rsidP="00A06931">
      <w:pPr>
        <w:widowControl w:val="0"/>
        <w:autoSpaceDE w:val="0"/>
        <w:autoSpaceDN w:val="0"/>
        <w:spacing w:after="120" w:line="276" w:lineRule="auto"/>
        <w:jc w:val="both"/>
        <w:rPr>
          <w:rFonts w:ascii="Verdana" w:hAnsi="Verdana" w:cs="Arial"/>
          <w:color w:val="000000" w:themeColor="text1"/>
          <w:shd w:val="clear" w:color="auto" w:fill="FFFFFF"/>
        </w:rPr>
      </w:pPr>
      <w:r w:rsidRPr="00A06931">
        <w:rPr>
          <w:rFonts w:ascii="Verdana" w:eastAsia="Times New Roman" w:hAnsi="Verdana" w:cs="Times New Roman"/>
          <w:color w:val="000000"/>
          <w:lang w:eastAsia="es-CO"/>
        </w:rPr>
        <w:t xml:space="preserve">Las garantías no son un requisito formal: son el instrumento con el que se protege el patrimonio público frente a los riesgos del contrato. Por ello, la </w:t>
      </w:r>
      <w:r w:rsidRPr="00A06931">
        <w:rPr>
          <w:rFonts w:ascii="Verdana" w:eastAsia="Times New Roman" w:hAnsi="Verdana" w:cs="Times New Roman"/>
          <w:color w:val="000000"/>
          <w:lang w:eastAsia="es-CO"/>
        </w:rPr>
        <w:lastRenderedPageBreak/>
        <w:t>Agencia Nacional de Contratación Pública –Colombia Compra Eficiente– te invita a consultar la nueva versión de la </w:t>
      </w:r>
      <w:r w:rsidRPr="00A06931">
        <w:rPr>
          <w:rFonts w:ascii="Verdana" w:eastAsia="Times New Roman" w:hAnsi="Verdana" w:cs="Times New Roman"/>
          <w:b/>
          <w:bCs/>
          <w:color w:val="000000"/>
          <w:lang w:eastAsia="es-CO"/>
        </w:rPr>
        <w:t>Guía para la Exigencia y Constitución de Garantías en los Procesos de Contratación</w:t>
      </w:r>
      <w:r w:rsidRPr="00A06931">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594D7AA6" w14:textId="77777777" w:rsidR="00A06931" w:rsidRPr="00A06931" w:rsidRDefault="00A06931" w:rsidP="00A06931">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A06931">
        <w:rPr>
          <w:rFonts w:ascii="Verdana" w:eastAsia="Times New Roman" w:hAnsi="Verdana" w:cs="Times New Roman"/>
          <w:b/>
          <w:bCs/>
          <w:color w:val="000000"/>
          <w:lang w:eastAsia="es-CO"/>
        </w:rPr>
        <w:t>Sistema Integral de Preferencias en favor de las personas con discapacidad</w:t>
      </w:r>
      <w:r w:rsidRPr="00A06931">
        <w:rPr>
          <w:rFonts w:ascii="Verdana" w:eastAsia="Times New Roman" w:hAnsi="Verdana" w:cs="Times New Roman"/>
          <w:color w:val="000000"/>
          <w:lang w:eastAsia="es-CO"/>
        </w:rPr>
        <w:t>, en cumplimiento del artículo 13 de la Ley Estatutaria 1618 de 2013. Para orientar su aplicación, esta Agencia expidió la </w:t>
      </w:r>
      <w:r w:rsidRPr="00A06931">
        <w:rPr>
          <w:rFonts w:ascii="Verdana" w:eastAsia="Times New Roman" w:hAnsi="Verdana" w:cs="Times New Roman"/>
          <w:b/>
          <w:bCs/>
          <w:color w:val="000000"/>
          <w:lang w:eastAsia="es-CO"/>
        </w:rPr>
        <w:t>Circular Externa 003 del 12 de mayo de 2026, </w:t>
      </w:r>
      <w:r w:rsidRPr="00A06931">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0C671969" w14:textId="77777777" w:rsidR="00A06931" w:rsidRPr="00A06931" w:rsidRDefault="00A06931" w:rsidP="00A06931">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t>Recuerda también que la</w:t>
      </w:r>
      <w:r w:rsidRPr="00A06931">
        <w:rPr>
          <w:rFonts w:ascii="Verdana" w:eastAsia="Times New Roman" w:hAnsi="Verdana" w:cs="Times New Roman"/>
          <w:b/>
          <w:bCs/>
          <w:color w:val="000000"/>
          <w:lang w:eastAsia="es-CO"/>
        </w:rPr>
        <w:t> información sobre sanciones e inhabilidades </w:t>
      </w:r>
      <w:r w:rsidRPr="00A06931">
        <w:rPr>
          <w:rFonts w:ascii="Verdana" w:eastAsia="Times New Roman" w:hAnsi="Verdana" w:cs="Times New Roman"/>
          <w:color w:val="000000"/>
          <w:lang w:eastAsia="es-CO"/>
        </w:rPr>
        <w:t>solo cumple su función preventiva si llega oportunamente a los registros públicos. Sobre este deber, esta Agencia expidió la </w:t>
      </w:r>
      <w:r w:rsidRPr="00A06931">
        <w:rPr>
          <w:rFonts w:ascii="Verdana" w:eastAsia="Times New Roman" w:hAnsi="Verdana" w:cs="Times New Roman"/>
          <w:b/>
          <w:bCs/>
          <w:color w:val="000000"/>
          <w:lang w:eastAsia="es-CO"/>
        </w:rPr>
        <w:t>Circular Externa 002 del 5 de mayo de 2026,</w:t>
      </w:r>
      <w:r w:rsidRPr="00A06931">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6A468238" w14:textId="77777777" w:rsidR="00A06931" w:rsidRPr="00A06931" w:rsidRDefault="00A06931" w:rsidP="00A06931">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t>Finalmente, si quieres seguir de cerca la actividad de la Agencia, la tercera edición de 2026 del</w:t>
      </w:r>
      <w:r w:rsidRPr="00A06931">
        <w:rPr>
          <w:rFonts w:ascii="Verdana" w:eastAsia="Times New Roman" w:hAnsi="Verdana" w:cs="Times New Roman"/>
          <w:b/>
          <w:bCs/>
          <w:color w:val="000000"/>
          <w:lang w:eastAsia="es-CO"/>
        </w:rPr>
        <w:t> Radar de la Compra Pública</w:t>
      </w:r>
      <w:r w:rsidRPr="00A06931">
        <w:rPr>
          <w:rFonts w:ascii="Verdana" w:eastAsia="Times New Roman" w:hAnsi="Verdana" w:cs="Times New Roman"/>
          <w:color w:val="000000"/>
          <w:lang w:eastAsia="es-CO"/>
        </w:rPr>
        <w:t xml:space="preserve"> reúne, entre otros contenidos, la Circular Externa 003 de 2026, el Decreto 552 de 2026, un estudio sobre inteligencia artificial en la compra pública, los avances de la Relatoría, </w:t>
      </w:r>
      <w:r w:rsidRPr="00A06931">
        <w:rPr>
          <w:rFonts w:ascii="Verdana" w:eastAsia="Times New Roman" w:hAnsi="Verdana" w:cs="Times New Roman"/>
          <w:color w:val="000000"/>
          <w:lang w:eastAsia="es-CO"/>
        </w:rPr>
        <w:lastRenderedPageBreak/>
        <w:t>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A06931">
        <w:rPr>
          <w:rFonts w:ascii="Verdana" w:eastAsia="Times New Roman" w:hAnsi="Verdana" w:cs="Times New Roman"/>
          <w:color w:val="000000"/>
          <w:lang w:eastAsia="es-CO"/>
        </w:rPr>
        <w:t>"</w:t>
      </w:r>
    </w:p>
    <w:p w14:paraId="2DFE9D93" w14:textId="77777777" w:rsidR="00A06931" w:rsidRPr="00A06931" w:rsidRDefault="00A06931" w:rsidP="00A06931">
      <w:pPr>
        <w:spacing w:after="0" w:line="276" w:lineRule="auto"/>
        <w:jc w:val="both"/>
        <w:rPr>
          <w:rFonts w:ascii="Verdana" w:hAnsi="Verdana"/>
          <w:lang w:val="es-ES"/>
        </w:rPr>
      </w:pPr>
      <w:r w:rsidRPr="00A06931">
        <w:rPr>
          <w:rFonts w:ascii="Verdana" w:hAnsi="Verdana"/>
          <w:lang w:val="es-ES"/>
        </w:rPr>
        <w:t xml:space="preserve">Por último, lo invitamos a seguirnos en las redes sociales en las cuales se difunde información institucional: </w:t>
      </w:r>
    </w:p>
    <w:p w14:paraId="1BEFD437" w14:textId="77777777" w:rsidR="00A06931" w:rsidRPr="00A06931" w:rsidRDefault="00A06931" w:rsidP="00A06931">
      <w:pPr>
        <w:spacing w:after="0" w:line="276" w:lineRule="auto"/>
        <w:jc w:val="both"/>
        <w:rPr>
          <w:rFonts w:ascii="Verdana" w:hAnsi="Verdana"/>
          <w:lang w:val="es-ES"/>
        </w:rPr>
      </w:pPr>
    </w:p>
    <w:p w14:paraId="5AAD0437" w14:textId="77777777" w:rsidR="00A06931" w:rsidRPr="00A06931" w:rsidRDefault="00A06931" w:rsidP="00A06931">
      <w:pPr>
        <w:spacing w:after="0" w:line="276" w:lineRule="auto"/>
        <w:jc w:val="both"/>
        <w:rPr>
          <w:rFonts w:ascii="Verdana" w:hAnsi="Verdana"/>
          <w:lang w:val="es-ES"/>
        </w:rPr>
      </w:pPr>
      <w:r w:rsidRPr="00A06931">
        <w:rPr>
          <w:rFonts w:ascii="Verdana" w:hAnsi="Verdana"/>
          <w:lang w:val="es-ES"/>
        </w:rPr>
        <w:t xml:space="preserve">Twitter: </w:t>
      </w:r>
      <w:r w:rsidRPr="00A06931">
        <w:rPr>
          <w:rFonts w:ascii="Verdana" w:hAnsi="Verdana" w:cs="Arial"/>
          <w:color w:val="0000FF"/>
          <w:u w:val="single"/>
          <w:shd w:val="clear" w:color="auto" w:fill="FFFFFF"/>
          <w:lang w:val="es-ES"/>
        </w:rPr>
        <w:t>@colombiacompra</w:t>
      </w:r>
      <w:r w:rsidRPr="00A06931">
        <w:rPr>
          <w:rFonts w:ascii="Verdana" w:hAnsi="Verdana"/>
          <w:color w:val="4472C4" w:themeColor="accent1"/>
          <w:lang w:val="es-ES"/>
        </w:rPr>
        <w:t xml:space="preserve"> </w:t>
      </w:r>
    </w:p>
    <w:p w14:paraId="3A87A1B3" w14:textId="77777777" w:rsidR="00A06931" w:rsidRPr="00A06931" w:rsidRDefault="00A06931" w:rsidP="00A06931">
      <w:pPr>
        <w:spacing w:after="0" w:line="276" w:lineRule="auto"/>
        <w:jc w:val="both"/>
        <w:rPr>
          <w:rFonts w:ascii="Verdana" w:hAnsi="Verdana"/>
          <w:lang w:val="es-ES"/>
        </w:rPr>
      </w:pPr>
      <w:r w:rsidRPr="00A06931">
        <w:rPr>
          <w:rFonts w:ascii="Verdana" w:hAnsi="Verdana"/>
          <w:lang w:val="es-ES"/>
        </w:rPr>
        <w:t xml:space="preserve">Facebook: </w:t>
      </w:r>
      <w:proofErr w:type="spellStart"/>
      <w:r w:rsidRPr="00A06931">
        <w:rPr>
          <w:rFonts w:ascii="Verdana" w:hAnsi="Verdana" w:cs="Arial"/>
          <w:color w:val="0000FF"/>
          <w:u w:val="single"/>
          <w:shd w:val="clear" w:color="auto" w:fill="FFFFFF"/>
          <w:lang w:val="es-ES"/>
        </w:rPr>
        <w:t>ColombiaCompraEficiente</w:t>
      </w:r>
      <w:proofErr w:type="spellEnd"/>
    </w:p>
    <w:p w14:paraId="00532334" w14:textId="77777777" w:rsidR="00A06931" w:rsidRPr="00A06931" w:rsidRDefault="00A06931" w:rsidP="00A06931">
      <w:pPr>
        <w:spacing w:after="0" w:line="276" w:lineRule="auto"/>
        <w:jc w:val="both"/>
        <w:rPr>
          <w:rFonts w:ascii="Verdana" w:hAnsi="Verdana"/>
          <w:lang w:val="es-ES"/>
        </w:rPr>
      </w:pPr>
      <w:r w:rsidRPr="00A06931">
        <w:rPr>
          <w:rFonts w:ascii="Verdana" w:hAnsi="Verdana"/>
          <w:lang w:val="es-ES"/>
        </w:rPr>
        <w:t xml:space="preserve">LinkedIn: </w:t>
      </w:r>
      <w:r w:rsidRPr="00A06931">
        <w:rPr>
          <w:rFonts w:ascii="Verdana" w:hAnsi="Verdana" w:cs="Arial"/>
          <w:color w:val="0000FF"/>
          <w:u w:val="single"/>
          <w:shd w:val="clear" w:color="auto" w:fill="FFFFFF"/>
          <w:lang w:val="es-ES"/>
        </w:rPr>
        <w:t xml:space="preserve">Agencia Nacional de Contratación Pública - Colombia Compra Eficiente </w:t>
      </w:r>
      <w:r w:rsidRPr="00A06931">
        <w:rPr>
          <w:rFonts w:ascii="Verdana" w:hAnsi="Verdana"/>
          <w:lang w:val="es-ES"/>
        </w:rPr>
        <w:t xml:space="preserve">Instagram: </w:t>
      </w:r>
      <w:r w:rsidRPr="00A06931">
        <w:rPr>
          <w:rFonts w:ascii="Verdana" w:hAnsi="Verdana" w:cs="Arial"/>
          <w:color w:val="0000FF"/>
          <w:u w:val="single"/>
          <w:shd w:val="clear" w:color="auto" w:fill="FFFFFF"/>
          <w:lang w:val="es-ES"/>
        </w:rPr>
        <w:t>@colombiacompraeficiente_cce</w:t>
      </w:r>
    </w:p>
    <w:p w14:paraId="107A26D5" w14:textId="77777777" w:rsidR="00A06931" w:rsidRPr="00A06931" w:rsidRDefault="00A06931" w:rsidP="00A06931">
      <w:pPr>
        <w:spacing w:after="0" w:line="276" w:lineRule="auto"/>
        <w:jc w:val="both"/>
        <w:rPr>
          <w:rFonts w:ascii="Verdana" w:hAnsi="Verdana"/>
          <w:lang w:val="es-ES"/>
        </w:rPr>
      </w:pPr>
    </w:p>
    <w:p w14:paraId="393081E9" w14:textId="77777777" w:rsidR="00A06931" w:rsidRPr="00A06931" w:rsidRDefault="00A06931" w:rsidP="00A06931">
      <w:pPr>
        <w:spacing w:before="120" w:after="0" w:line="276" w:lineRule="auto"/>
        <w:jc w:val="both"/>
        <w:rPr>
          <w:rFonts w:ascii="Verdana" w:hAnsi="Verdana"/>
        </w:rPr>
      </w:pPr>
      <w:r w:rsidRPr="00A06931">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4F4A943" w14:textId="77777777" w:rsidR="00A06931" w:rsidRPr="00A06931" w:rsidRDefault="00A06931" w:rsidP="00A06931">
      <w:pPr>
        <w:widowControl w:val="0"/>
        <w:autoSpaceDE w:val="0"/>
        <w:autoSpaceDN w:val="0"/>
        <w:spacing w:after="0" w:line="276" w:lineRule="auto"/>
        <w:jc w:val="both"/>
        <w:rPr>
          <w:rFonts w:ascii="Verdana" w:hAnsi="Verdana" w:cs="Arial"/>
        </w:rPr>
      </w:pPr>
    </w:p>
    <w:p w14:paraId="090E1E53" w14:textId="77777777" w:rsidR="00A06931" w:rsidRPr="00A06931" w:rsidRDefault="00A06931" w:rsidP="00A06931">
      <w:pPr>
        <w:spacing w:after="0" w:line="276" w:lineRule="auto"/>
        <w:rPr>
          <w:rFonts w:ascii="Verdana" w:hAnsi="Verdana" w:cs="Arial"/>
          <w:lang w:eastAsia="es-CO"/>
        </w:rPr>
      </w:pPr>
      <w:r w:rsidRPr="00A06931">
        <w:rPr>
          <w:rFonts w:ascii="Verdana" w:eastAsia="Times New Roman" w:hAnsi="Verdana" w:cs="Arial"/>
          <w:lang w:eastAsia="es-CO"/>
        </w:rPr>
        <w:t>Atentamente,</w:t>
      </w:r>
      <w:r w:rsidRPr="00A06931">
        <w:rPr>
          <w:rFonts w:ascii="Verdana" w:hAnsi="Verdana" w:cs="Arial"/>
          <w:lang w:eastAsia="es-CO"/>
        </w:rPr>
        <w:t xml:space="preserve"> </w:t>
      </w:r>
    </w:p>
    <w:p w14:paraId="47076597" w14:textId="77777777" w:rsidR="00A06931" w:rsidRPr="00A06931" w:rsidRDefault="00A06931" w:rsidP="00A06931">
      <w:pPr>
        <w:spacing w:after="0" w:line="276" w:lineRule="auto"/>
        <w:rPr>
          <w:rFonts w:ascii="Verdana" w:hAnsi="Verdana" w:cs="Arial"/>
          <w:lang w:eastAsia="es-CO"/>
        </w:rPr>
      </w:pPr>
    </w:p>
    <w:p w14:paraId="01D13810" w14:textId="77777777" w:rsidR="00A06931" w:rsidRPr="00A06931" w:rsidRDefault="00A06931" w:rsidP="00A06931">
      <w:pPr>
        <w:spacing w:after="0" w:line="276" w:lineRule="auto"/>
        <w:rPr>
          <w:rFonts w:ascii="Verdana" w:hAnsi="Verdana" w:cs="Arial"/>
          <w:lang w:eastAsia="es-CO"/>
        </w:rPr>
      </w:pPr>
    </w:p>
    <w:p w14:paraId="211EF45E" w14:textId="5E0180A1" w:rsidR="00A06931" w:rsidRPr="00A06931" w:rsidRDefault="0082677D" w:rsidP="00A06931">
      <w:pPr>
        <w:spacing w:line="276" w:lineRule="auto"/>
        <w:jc w:val="center"/>
        <w:rPr>
          <w:rFonts w:ascii="Verdana" w:hAnsi="Verdana" w:cs="Arial"/>
          <w:color w:val="000000"/>
          <w:lang w:eastAsia="es-CO"/>
        </w:rPr>
      </w:pPr>
      <w:r w:rsidRPr="00603C5A">
        <w:rPr>
          <w:rFonts w:ascii="Verdana" w:eastAsia="Calibri" w:hAnsi="Verdana" w:cs="Arial"/>
          <w:b/>
          <w:bCs/>
          <w:noProof/>
          <w:lang w:val="pt-BR" w:eastAsia="es-ES"/>
        </w:rPr>
        <w:drawing>
          <wp:inline distT="0" distB="0" distL="0" distR="0" wp14:anchorId="7AB08FC1" wp14:editId="6287D533">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18"/>
                    <a:stretch>
                      <a:fillRect/>
                    </a:stretch>
                  </pic:blipFill>
                  <pic:spPr>
                    <a:xfrm>
                      <a:off x="0" y="0"/>
                      <a:ext cx="3322613" cy="134885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06931" w:rsidRPr="00A06931" w14:paraId="22C93A75" w14:textId="77777777" w:rsidTr="00F33424">
        <w:trPr>
          <w:trHeight w:val="315"/>
        </w:trPr>
        <w:tc>
          <w:tcPr>
            <w:tcW w:w="893" w:type="dxa"/>
            <w:vAlign w:val="center"/>
            <w:hideMark/>
          </w:tcPr>
          <w:p w14:paraId="3B916BAD" w14:textId="77777777" w:rsidR="00A06931" w:rsidRPr="00A06931" w:rsidRDefault="00A06931" w:rsidP="00A06931">
            <w:pPr>
              <w:contextualSpacing/>
              <w:rPr>
                <w:rFonts w:ascii="Verdana" w:hAnsi="Verdana" w:cs="Arial"/>
                <w:sz w:val="16"/>
                <w:szCs w:val="16"/>
                <w:lang w:val="es-ES" w:eastAsia="es-ES"/>
              </w:rPr>
            </w:pPr>
            <w:r w:rsidRPr="00A0693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4DCA829" w14:textId="77777777" w:rsidR="00A06931" w:rsidRPr="00A06931" w:rsidRDefault="00A06931" w:rsidP="00A06931">
            <w:pPr>
              <w:contextualSpacing/>
              <w:rPr>
                <w:rFonts w:ascii="Verdana" w:hAnsi="Verdana"/>
                <w:sz w:val="16"/>
                <w:szCs w:val="16"/>
              </w:rPr>
            </w:pPr>
            <w:r w:rsidRPr="00A06931">
              <w:rPr>
                <w:rFonts w:ascii="Verdana" w:hAnsi="Verdana"/>
                <w:sz w:val="16"/>
                <w:szCs w:val="16"/>
              </w:rPr>
              <w:t>Tatiana Baquero Iguarán</w:t>
            </w:r>
          </w:p>
          <w:p w14:paraId="302BFE58" w14:textId="77777777" w:rsidR="00A06931" w:rsidRPr="00A06931" w:rsidRDefault="00A06931" w:rsidP="00A06931">
            <w:pPr>
              <w:contextualSpacing/>
              <w:rPr>
                <w:rFonts w:ascii="Verdana" w:eastAsia="Arial" w:hAnsi="Verdana" w:cs="Arial"/>
                <w:sz w:val="16"/>
                <w:szCs w:val="16"/>
              </w:rPr>
            </w:pPr>
            <w:r w:rsidRPr="00A06931">
              <w:rPr>
                <w:rFonts w:ascii="Verdana" w:hAnsi="Verdana"/>
                <w:sz w:val="16"/>
                <w:szCs w:val="16"/>
              </w:rPr>
              <w:t>Contratista de la Subdirección de Gestión Contractual</w:t>
            </w:r>
          </w:p>
        </w:tc>
      </w:tr>
      <w:tr w:rsidR="00A06931" w:rsidRPr="00A06931" w14:paraId="6E1AFB87" w14:textId="77777777" w:rsidTr="00F33424">
        <w:trPr>
          <w:trHeight w:val="330"/>
        </w:trPr>
        <w:tc>
          <w:tcPr>
            <w:tcW w:w="893" w:type="dxa"/>
            <w:vAlign w:val="center"/>
            <w:hideMark/>
          </w:tcPr>
          <w:p w14:paraId="1CD44EBB" w14:textId="77777777" w:rsidR="00A06931" w:rsidRPr="00A06931" w:rsidRDefault="00A06931" w:rsidP="00A06931">
            <w:pPr>
              <w:contextualSpacing/>
              <w:rPr>
                <w:rFonts w:ascii="Verdana" w:hAnsi="Verdana" w:cs="Arial"/>
                <w:sz w:val="16"/>
                <w:szCs w:val="16"/>
                <w:lang w:val="es-ES" w:eastAsia="es-ES"/>
              </w:rPr>
            </w:pPr>
            <w:r w:rsidRPr="00A0693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7DD2691" w14:textId="77777777" w:rsidR="00A06931" w:rsidRPr="00A06931" w:rsidRDefault="00A06931" w:rsidP="00A06931">
            <w:pPr>
              <w:spacing w:before="100" w:beforeAutospacing="1" w:afterAutospacing="1"/>
              <w:contextualSpacing/>
              <w:textAlignment w:val="baseline"/>
              <w:rPr>
                <w:rFonts w:ascii="Verdana" w:eastAsia="Times New Roman" w:hAnsi="Verdana" w:cs="Arial"/>
                <w:sz w:val="16"/>
                <w:szCs w:val="16"/>
                <w:lang w:val="es-ES" w:eastAsia="es-ES_tradnl"/>
              </w:rPr>
            </w:pPr>
            <w:r w:rsidRPr="00A06931">
              <w:rPr>
                <w:rFonts w:ascii="Verdana" w:eastAsia="Times New Roman" w:hAnsi="Verdana" w:cs="Arial"/>
                <w:sz w:val="16"/>
                <w:szCs w:val="16"/>
                <w:lang w:val="es-ES" w:eastAsia="es-ES_tradnl"/>
              </w:rPr>
              <w:t>Alejandro Sarmiento Cantillo</w:t>
            </w:r>
          </w:p>
          <w:p w14:paraId="1A1D38DB" w14:textId="77777777" w:rsidR="00A06931" w:rsidRPr="00A06931" w:rsidRDefault="00A06931" w:rsidP="00A06931">
            <w:pPr>
              <w:contextualSpacing/>
              <w:textAlignment w:val="baseline"/>
              <w:rPr>
                <w:rFonts w:ascii="Verdana" w:eastAsia="Times New Roman" w:hAnsi="Verdana" w:cs="Segoe UI"/>
                <w:sz w:val="16"/>
                <w:szCs w:val="16"/>
                <w:lang w:eastAsia="es-ES_tradnl"/>
              </w:rPr>
            </w:pPr>
            <w:r w:rsidRPr="00A06931">
              <w:rPr>
                <w:rFonts w:ascii="Verdana" w:eastAsia="Times New Roman" w:hAnsi="Verdana" w:cs="Arial"/>
                <w:sz w:val="16"/>
                <w:szCs w:val="16"/>
                <w:lang w:val="es-ES" w:eastAsia="es-ES_tradnl"/>
              </w:rPr>
              <w:t>Gestor T1 ‒ 15 de la Subdirección de Gestión Contractual</w:t>
            </w:r>
            <w:r w:rsidRPr="00A06931">
              <w:rPr>
                <w:rFonts w:ascii="Verdana" w:eastAsia="Times New Roman" w:hAnsi="Verdana" w:cs="Arial"/>
                <w:sz w:val="16"/>
                <w:szCs w:val="16"/>
                <w:lang w:eastAsia="es-ES_tradnl"/>
              </w:rPr>
              <w:t> </w:t>
            </w:r>
          </w:p>
        </w:tc>
      </w:tr>
      <w:tr w:rsidR="00A06931" w:rsidRPr="00A06931" w14:paraId="48CE331E" w14:textId="77777777" w:rsidTr="00F33424">
        <w:trPr>
          <w:trHeight w:val="300"/>
        </w:trPr>
        <w:tc>
          <w:tcPr>
            <w:tcW w:w="893" w:type="dxa"/>
            <w:vAlign w:val="center"/>
          </w:tcPr>
          <w:p w14:paraId="1C305F4F" w14:textId="77777777" w:rsidR="00A06931" w:rsidRPr="00A06931" w:rsidRDefault="00A06931" w:rsidP="00A06931">
            <w:pPr>
              <w:contextualSpacing/>
              <w:rPr>
                <w:rFonts w:ascii="Verdana" w:hAnsi="Verdana" w:cs="Arial"/>
                <w:sz w:val="16"/>
                <w:szCs w:val="16"/>
                <w:lang w:val="es-ES" w:eastAsia="es-ES"/>
              </w:rPr>
            </w:pPr>
            <w:r w:rsidRPr="00A0693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6C51785" w14:textId="77777777" w:rsidR="00A06931" w:rsidRPr="00A06931" w:rsidRDefault="00A06931" w:rsidP="00A06931">
            <w:pPr>
              <w:contextualSpacing/>
              <w:rPr>
                <w:rFonts w:ascii="Verdana" w:eastAsia="Calibri" w:hAnsi="Verdana" w:cs="Arial"/>
                <w:sz w:val="16"/>
                <w:szCs w:val="16"/>
                <w:lang w:val="pt-BR" w:eastAsia="es-ES"/>
              </w:rPr>
            </w:pPr>
            <w:r w:rsidRPr="00A06931">
              <w:rPr>
                <w:rFonts w:ascii="Verdana" w:eastAsia="Calibri" w:hAnsi="Verdana" w:cs="Arial"/>
                <w:sz w:val="16"/>
                <w:szCs w:val="16"/>
                <w:lang w:val="pt-BR" w:eastAsia="es-ES"/>
              </w:rPr>
              <w:t xml:space="preserve">William Javier Murcia </w:t>
            </w:r>
            <w:proofErr w:type="spellStart"/>
            <w:r w:rsidRPr="00A06931">
              <w:rPr>
                <w:rFonts w:ascii="Verdana" w:eastAsia="Calibri" w:hAnsi="Verdana" w:cs="Arial"/>
                <w:sz w:val="16"/>
                <w:szCs w:val="16"/>
                <w:lang w:val="pt-BR" w:eastAsia="es-ES"/>
              </w:rPr>
              <w:t>Acevedo</w:t>
            </w:r>
            <w:proofErr w:type="spellEnd"/>
            <w:r w:rsidRPr="00A06931">
              <w:rPr>
                <w:rFonts w:ascii="Verdana" w:eastAsia="Calibri" w:hAnsi="Verdana" w:cs="Arial"/>
                <w:sz w:val="16"/>
                <w:szCs w:val="16"/>
                <w:lang w:val="pt-BR" w:eastAsia="es-ES"/>
              </w:rPr>
              <w:t xml:space="preserve"> </w:t>
            </w:r>
          </w:p>
          <w:p w14:paraId="5223F72C" w14:textId="7D01AC3F" w:rsidR="00A06931" w:rsidRPr="00A06931" w:rsidRDefault="00A06931" w:rsidP="00A06931">
            <w:pPr>
              <w:contextualSpacing/>
              <w:rPr>
                <w:rFonts w:ascii="Verdana" w:eastAsia="Calibri" w:hAnsi="Verdana" w:cs="Arial"/>
                <w:sz w:val="16"/>
                <w:szCs w:val="16"/>
                <w:lang w:val="pt-BR" w:eastAsia="es-ES"/>
              </w:rPr>
            </w:pPr>
            <w:r w:rsidRPr="00A06931">
              <w:rPr>
                <w:rFonts w:ascii="Verdana" w:eastAsia="Calibri" w:hAnsi="Verdana" w:cs="Arial"/>
                <w:sz w:val="16"/>
                <w:szCs w:val="16"/>
                <w:lang w:eastAsia="es-ES"/>
              </w:rPr>
              <w:t>Subdirector</w:t>
            </w:r>
            <w:r w:rsidRPr="00A06931">
              <w:rPr>
                <w:rFonts w:ascii="Verdana" w:eastAsia="Calibri" w:hAnsi="Verdana" w:cs="Arial"/>
                <w:sz w:val="16"/>
                <w:szCs w:val="16"/>
                <w:lang w:val="pt-BR" w:eastAsia="es-ES"/>
              </w:rPr>
              <w:t xml:space="preserve"> de Gestión </w:t>
            </w:r>
            <w:proofErr w:type="spellStart"/>
            <w:r w:rsidR="005C35DB" w:rsidRPr="00A06931">
              <w:rPr>
                <w:rFonts w:ascii="Verdana" w:eastAsia="Calibri" w:hAnsi="Verdana" w:cs="Arial"/>
                <w:sz w:val="16"/>
                <w:szCs w:val="16"/>
                <w:lang w:val="pt-BR" w:eastAsia="es-ES"/>
              </w:rPr>
              <w:t>Contractual</w:t>
            </w:r>
            <w:proofErr w:type="spellEnd"/>
            <w:r w:rsidR="005C35DB" w:rsidRPr="00A06931">
              <w:rPr>
                <w:rFonts w:ascii="Verdana" w:eastAsia="Calibri" w:hAnsi="Verdana" w:cs="Arial"/>
                <w:sz w:val="16"/>
                <w:szCs w:val="16"/>
                <w:lang w:val="pt-BR" w:eastAsia="es-ES"/>
              </w:rPr>
              <w:t xml:space="preserve"> (</w:t>
            </w:r>
            <w:r w:rsidRPr="00A06931">
              <w:rPr>
                <w:rFonts w:ascii="Verdana" w:eastAsia="Calibri" w:hAnsi="Verdana" w:cs="Arial"/>
                <w:sz w:val="16"/>
                <w:szCs w:val="16"/>
                <w:lang w:val="pt-BR" w:eastAsia="es-ES"/>
              </w:rPr>
              <w:t xml:space="preserve">E) ANCP </w:t>
            </w:r>
            <w:r w:rsidR="005C35DB">
              <w:rPr>
                <w:rFonts w:ascii="Verdana" w:eastAsia="Calibri" w:hAnsi="Verdana" w:cs="Arial"/>
                <w:sz w:val="16"/>
                <w:szCs w:val="16"/>
                <w:lang w:val="pt-BR" w:eastAsia="es-ES"/>
              </w:rPr>
              <w:t>-</w:t>
            </w:r>
            <w:r w:rsidRPr="00A06931">
              <w:rPr>
                <w:rFonts w:ascii="Verdana" w:eastAsia="Calibri" w:hAnsi="Verdana" w:cs="Arial"/>
                <w:sz w:val="16"/>
                <w:szCs w:val="16"/>
                <w:lang w:val="pt-BR" w:eastAsia="es-ES"/>
              </w:rPr>
              <w:t xml:space="preserve"> CCE</w:t>
            </w:r>
          </w:p>
        </w:tc>
      </w:tr>
    </w:tbl>
    <w:p w14:paraId="298BE176" w14:textId="77777777" w:rsidR="00A06931" w:rsidRPr="00A06931" w:rsidRDefault="00A06931" w:rsidP="00A06931">
      <w:pPr>
        <w:spacing w:after="0" w:line="240" w:lineRule="auto"/>
        <w:jc w:val="both"/>
        <w:textAlignment w:val="baseline"/>
        <w:rPr>
          <w:rFonts w:ascii="Verdana" w:eastAsia="Verdana" w:hAnsi="Verdana" w:cs="Verdana"/>
          <w:lang w:eastAsia="es-CO"/>
        </w:rPr>
      </w:pPr>
    </w:p>
    <w:p w14:paraId="7655445B" w14:textId="77777777" w:rsidR="00A06931" w:rsidRPr="00A06931" w:rsidRDefault="00A06931" w:rsidP="00A06931">
      <w:pPr>
        <w:spacing w:after="0" w:line="240" w:lineRule="auto"/>
        <w:jc w:val="both"/>
        <w:textAlignment w:val="baseline"/>
        <w:rPr>
          <w:rFonts w:ascii="Verdana" w:eastAsia="Verdana" w:hAnsi="Verdana" w:cs="Verdana"/>
          <w:lang w:eastAsia="es-CO"/>
        </w:rPr>
      </w:pPr>
    </w:p>
    <w:p w14:paraId="402C44C1" w14:textId="77777777" w:rsidR="00A06931" w:rsidRPr="00A06931" w:rsidRDefault="00A06931" w:rsidP="00A06931">
      <w:pPr>
        <w:spacing w:after="0" w:line="240" w:lineRule="auto"/>
        <w:textAlignment w:val="baseline"/>
      </w:pPr>
      <w:r w:rsidRPr="00A06931">
        <w:rPr>
          <w:rFonts w:ascii="Verdana" w:eastAsia="Verdana" w:hAnsi="Verdana" w:cs="Verdana"/>
          <w:lang w:eastAsia="es-CO"/>
        </w:rPr>
        <w:t> </w:t>
      </w:r>
      <w:bookmarkEnd w:id="0"/>
      <w:bookmarkEnd w:id="1"/>
    </w:p>
    <w:p w14:paraId="47160507" w14:textId="3321A43C" w:rsidR="00EF1A4D" w:rsidRPr="00A06931" w:rsidRDefault="00EF1A4D" w:rsidP="00A06931"/>
    <w:sectPr w:rsidR="00EF1A4D" w:rsidRPr="00A06931"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07213" w14:textId="77777777" w:rsidR="00682E0E" w:rsidRPr="009B7987" w:rsidRDefault="00682E0E" w:rsidP="00B30448">
      <w:pPr>
        <w:spacing w:after="0" w:line="240" w:lineRule="auto"/>
      </w:pPr>
      <w:r w:rsidRPr="009B7987">
        <w:separator/>
      </w:r>
    </w:p>
  </w:endnote>
  <w:endnote w:type="continuationSeparator" w:id="0">
    <w:p w14:paraId="2F09AD88" w14:textId="77777777" w:rsidR="00682E0E" w:rsidRPr="009B7987" w:rsidRDefault="00682E0E" w:rsidP="00B30448">
      <w:pPr>
        <w:spacing w:after="0" w:line="240" w:lineRule="auto"/>
      </w:pPr>
      <w:r w:rsidRPr="009B7987">
        <w:continuationSeparator/>
      </w:r>
    </w:p>
  </w:endnote>
  <w:endnote w:type="continuationNotice" w:id="1">
    <w:p w14:paraId="08906558" w14:textId="77777777" w:rsidR="00682E0E" w:rsidRPr="009B7987" w:rsidRDefault="00682E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09C5" w14:textId="77777777" w:rsidR="00D36A10" w:rsidRPr="00174B77" w:rsidRDefault="00D36A10" w:rsidP="00D36A10">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Pr>
        <w:rFonts w:ascii="Verdana" w:eastAsiaTheme="minorEastAsia" w:hAnsi="Verdana"/>
        <w:b/>
        <w:bCs/>
        <w:sz w:val="16"/>
        <w:szCs w:val="16"/>
      </w:rPr>
      <w:t>31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F639D6F" w14:textId="77777777" w:rsidR="00D36A10"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B9BA77B" w14:textId="77777777" w:rsidR="00D36A10" w:rsidRPr="00E41027"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D74F2C5" w14:textId="77777777" w:rsidR="00D36A10" w:rsidRDefault="00D36A10" w:rsidP="00D36A10">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p w14:paraId="2B8DBB2A" w14:textId="35CA63B6"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08EAA" w14:textId="77777777" w:rsidR="00682E0E" w:rsidRPr="009B7987" w:rsidRDefault="00682E0E" w:rsidP="00B30448">
      <w:pPr>
        <w:spacing w:after="0" w:line="240" w:lineRule="auto"/>
      </w:pPr>
      <w:r w:rsidRPr="009B7987">
        <w:separator/>
      </w:r>
    </w:p>
  </w:footnote>
  <w:footnote w:type="continuationSeparator" w:id="0">
    <w:p w14:paraId="41E78B83" w14:textId="77777777" w:rsidR="00682E0E" w:rsidRPr="009B7987" w:rsidRDefault="00682E0E" w:rsidP="00B30448">
      <w:pPr>
        <w:spacing w:after="0" w:line="240" w:lineRule="auto"/>
      </w:pPr>
      <w:r w:rsidRPr="009B7987">
        <w:continuationSeparator/>
      </w:r>
    </w:p>
  </w:footnote>
  <w:footnote w:type="continuationNotice" w:id="1">
    <w:p w14:paraId="2E9CB3DE" w14:textId="77777777" w:rsidR="00682E0E" w:rsidRPr="009B7987" w:rsidRDefault="00682E0E">
      <w:pPr>
        <w:spacing w:after="0" w:line="240" w:lineRule="auto"/>
      </w:pPr>
    </w:p>
  </w:footnote>
  <w:footnote w:id="2">
    <w:p w14:paraId="1CCEE5FA" w14:textId="77777777" w:rsidR="00A06931" w:rsidRPr="00E6567C" w:rsidRDefault="00A06931" w:rsidP="00A06931">
      <w:pPr>
        <w:pStyle w:val="Textonotapie"/>
        <w:ind w:firstLine="709"/>
        <w:jc w:val="both"/>
        <w:rPr>
          <w:lang w:val="es-CO"/>
        </w:rPr>
      </w:pPr>
      <w:r>
        <w:rPr>
          <w:rStyle w:val="Refdenotaalpie"/>
        </w:rPr>
        <w:footnoteRef/>
      </w:r>
      <w:r>
        <w:t xml:space="preserve"> </w:t>
      </w:r>
      <w:r w:rsidRPr="00251EDC">
        <w:rPr>
          <w:rFonts w:ascii="Verdana" w:hAnsi="Verdana"/>
          <w:sz w:val="16"/>
          <w:szCs w:val="16"/>
          <w:lang w:val="es-CO"/>
        </w:rPr>
        <w:t>Pu</w:t>
      </w:r>
      <w:r>
        <w:rPr>
          <w:rFonts w:ascii="Verdana" w:hAnsi="Verdana"/>
          <w:sz w:val="16"/>
          <w:szCs w:val="16"/>
          <w:lang w:val="es-CO"/>
        </w:rPr>
        <w:t>e</w:t>
      </w:r>
      <w:r w:rsidRPr="00251EDC">
        <w:rPr>
          <w:rFonts w:ascii="Verdana" w:hAnsi="Verdana"/>
          <w:sz w:val="16"/>
          <w:szCs w:val="16"/>
          <w:lang w:val="es-CO"/>
        </w:rPr>
        <w:t xml:space="preserve">den ser consultados en el </w:t>
      </w:r>
      <w:proofErr w:type="gramStart"/>
      <w:r w:rsidRPr="00251EDC">
        <w:rPr>
          <w:rFonts w:ascii="Verdana" w:hAnsi="Verdana"/>
          <w:sz w:val="16"/>
          <w:szCs w:val="16"/>
          <w:lang w:val="es-CO"/>
        </w:rPr>
        <w:t>link</w:t>
      </w:r>
      <w:proofErr w:type="gramEnd"/>
      <w:r w:rsidRPr="00251EDC">
        <w:rPr>
          <w:rFonts w:ascii="Verdana" w:hAnsi="Verdana"/>
          <w:sz w:val="16"/>
          <w:szCs w:val="16"/>
          <w:lang w:val="es-CO"/>
        </w:rPr>
        <w:t xml:space="preserve">: </w:t>
      </w:r>
      <w:hyperlink r:id="rId1" w:history="1">
        <w:r w:rsidRPr="00251EDC">
          <w:rPr>
            <w:rFonts w:ascii="Verdana" w:hAnsi="Verdana" w:cs="Arial"/>
            <w:color w:val="0563C1" w:themeColor="hyperlink"/>
            <w:sz w:val="16"/>
            <w:szCs w:val="16"/>
            <w:u w:val="single"/>
            <w:shd w:val="clear" w:color="auto" w:fill="FFFFFF"/>
          </w:rPr>
          <w:t>https://relatoria.colombiacompra.gov.co/busqueda/conceptos</w:t>
        </w:r>
      </w:hyperlink>
      <w:r w:rsidRPr="00251EDC">
        <w:rPr>
          <w:rFonts w:ascii="Verdana" w:hAnsi="Verdana" w:cs="Arial"/>
          <w:sz w:val="16"/>
          <w:szCs w:val="16"/>
          <w:shd w:val="clear" w:color="auto" w:fill="FFFFFF"/>
        </w:rPr>
        <w:t>.</w:t>
      </w:r>
      <w:r w:rsidRPr="003E3009">
        <w:rPr>
          <w:rFonts w:ascii="Verdana" w:hAnsi="Verdana" w:cs="Arial"/>
          <w:color w:val="FF0000"/>
          <w:shd w:val="clear" w:color="auto" w:fill="FFFFFF"/>
        </w:rPr>
        <w:t xml:space="preserve"> </w:t>
      </w:r>
      <w:r w:rsidRPr="003E3009">
        <w:rPr>
          <w:rFonts w:ascii="Verdana" w:hAnsi="Verdana" w:cs="Arial"/>
          <w:color w:val="000000" w:themeColor="text1"/>
          <w:shd w:val="clear" w:color="auto" w:fill="FFFFFF"/>
        </w:rPr>
        <w:t> </w:t>
      </w:r>
      <w:r>
        <w:rPr>
          <w:rFonts w:ascii="Verdana" w:hAnsi="Verdana" w:cs="Arial"/>
          <w:color w:val="000000" w:themeColor="text1"/>
          <w:shd w:val="clear" w:color="auto" w:fill="FFFFFF"/>
        </w:rPr>
        <w:t xml:space="preserve"> </w:t>
      </w:r>
    </w:p>
  </w:footnote>
  <w:footnote w:id="3">
    <w:p w14:paraId="2AED17CB" w14:textId="77777777" w:rsidR="00A06931" w:rsidRPr="00591347" w:rsidRDefault="00A06931" w:rsidP="00A06931">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2" w:anchor="35" w:history="1">
        <w:r w:rsidRPr="00591347">
          <w:rPr>
            <w:rFonts w:ascii="Verdana" w:hAnsi="Verdana" w:cs="Arial"/>
            <w:sz w:val="16"/>
            <w:szCs w:val="16"/>
          </w:rPr>
          <w:t>35</w:t>
        </w:r>
      </w:hyperlink>
      <w:r w:rsidRPr="00591347">
        <w:rPr>
          <w:rFonts w:ascii="Verdana" w:hAnsi="Verdana" w:cs="Arial"/>
          <w:sz w:val="16"/>
          <w:szCs w:val="16"/>
        </w:rPr>
        <w:t> y </w:t>
      </w:r>
      <w:hyperlink r:id="rId3"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64B6A1EF" w14:textId="77777777" w:rsidR="00A06931" w:rsidRPr="00591347" w:rsidRDefault="00A06931" w:rsidP="00A06931">
      <w:pPr>
        <w:spacing w:after="0"/>
        <w:ind w:firstLine="708"/>
        <w:jc w:val="both"/>
        <w:rPr>
          <w:rFonts w:ascii="Verdana" w:hAnsi="Verdana" w:cs="Arial"/>
          <w:sz w:val="16"/>
          <w:szCs w:val="16"/>
        </w:rPr>
      </w:pPr>
      <w:r w:rsidRPr="00591347">
        <w:rPr>
          <w:rFonts w:ascii="Verdana" w:hAnsi="Verdana" w:cs="Arial"/>
          <w:sz w:val="16"/>
          <w:szCs w:val="16"/>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Pr="00591347">
        <w:rPr>
          <w:rFonts w:ascii="Verdana" w:hAnsi="Verdana" w:cs="Arial"/>
          <w:sz w:val="16"/>
          <w:szCs w:val="16"/>
        </w:rPr>
        <w:t>los mismos</w:t>
      </w:r>
      <w:proofErr w:type="gramEnd"/>
      <w:r w:rsidRPr="00591347">
        <w:rPr>
          <w:rFonts w:ascii="Verdana" w:hAnsi="Verdana" w:cs="Arial"/>
          <w:sz w:val="16"/>
          <w:szCs w:val="16"/>
        </w:rPr>
        <w:t>, sin perjuicio de las acciones de control a las que haya lugar.</w:t>
      </w:r>
    </w:p>
    <w:p w14:paraId="4D6F29D6" w14:textId="77777777" w:rsidR="00A06931" w:rsidRPr="00591347" w:rsidRDefault="00A06931" w:rsidP="00A06931">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w:t>
      </w:r>
      <w:proofErr w:type="gramStart"/>
      <w:r w:rsidRPr="00591347">
        <w:rPr>
          <w:rFonts w:ascii="Verdana" w:hAnsi="Verdana" w:cs="Arial"/>
          <w:sz w:val="16"/>
          <w:szCs w:val="16"/>
        </w:rPr>
        <w:t>artículo,</w:t>
      </w:r>
      <w:proofErr w:type="gramEnd"/>
      <w:r w:rsidRPr="00591347">
        <w:rPr>
          <w:rFonts w:ascii="Verdana" w:hAnsi="Verdana" w:cs="Arial"/>
          <w:sz w:val="16"/>
          <w:szCs w:val="16"/>
        </w:rPr>
        <w:t xml:space="preserve">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3CA4D2AE" w14:textId="77777777" w:rsidR="00A06931" w:rsidRPr="00591347" w:rsidRDefault="00A06931" w:rsidP="00A06931">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1A33322F" w14:textId="77777777" w:rsidR="00A06931" w:rsidRPr="00591347" w:rsidRDefault="00A06931" w:rsidP="00A06931">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4"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5"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3918E7CD" w14:textId="77777777" w:rsidR="00A06931" w:rsidRPr="00591347" w:rsidRDefault="00A06931" w:rsidP="00A06931">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0B817C31" w14:textId="77777777" w:rsidR="00A06931" w:rsidRPr="00591347" w:rsidRDefault="00A06931" w:rsidP="00A06931">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4">
    <w:p w14:paraId="018619AE" w14:textId="77777777" w:rsidR="00A06931" w:rsidRPr="00591347" w:rsidRDefault="00A06931" w:rsidP="00A0693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5">
    <w:p w14:paraId="1093CC54" w14:textId="77777777" w:rsidR="00A06931" w:rsidRPr="00591347" w:rsidRDefault="00A06931" w:rsidP="00A0693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11127B20" w14:textId="77777777" w:rsidR="00A06931" w:rsidRPr="00591347" w:rsidRDefault="00A06931" w:rsidP="00A0693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Ejecución De Recursos.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7">
    <w:p w14:paraId="0D0A39FB" w14:textId="77777777" w:rsidR="00A06931" w:rsidRPr="00591347" w:rsidRDefault="00A06931" w:rsidP="00A06931">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8">
    <w:p w14:paraId="5C5F089E" w14:textId="77777777" w:rsidR="00A06931" w:rsidRPr="00591347" w:rsidRDefault="00A06931" w:rsidP="00A0693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 xml:space="preserve">Ejecución De Recursos.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9">
    <w:p w14:paraId="44DA80F5" w14:textId="77777777" w:rsidR="00A06931" w:rsidRPr="00591347" w:rsidRDefault="00A06931" w:rsidP="00A0693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10">
    <w:p w14:paraId="0D921A36" w14:textId="77777777" w:rsidR="00A06931" w:rsidRPr="00591347" w:rsidRDefault="00A06931" w:rsidP="00A0693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6"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11">
    <w:p w14:paraId="39044FFA" w14:textId="77777777" w:rsidR="00A06931" w:rsidRPr="00945863" w:rsidRDefault="00A06931" w:rsidP="00A06931">
      <w:pPr>
        <w:pStyle w:val="Textonotapie"/>
        <w:ind w:firstLine="709"/>
        <w:rPr>
          <w:lang w:val="es-CO"/>
        </w:rPr>
      </w:pPr>
      <w:r>
        <w:rPr>
          <w:rStyle w:val="Refdenotaalpie"/>
        </w:rPr>
        <w:footnoteRef/>
      </w:r>
      <w:r>
        <w:t xml:space="preserve"> </w:t>
      </w:r>
      <w:r w:rsidRPr="00945863">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2">
    <w:p w14:paraId="757CF2CC" w14:textId="77777777" w:rsidR="00A06931" w:rsidRPr="00685C9B" w:rsidRDefault="00A06931" w:rsidP="00A06931">
      <w:pPr>
        <w:pStyle w:val="Textonotapie"/>
        <w:ind w:firstLine="708"/>
        <w:contextualSpacing/>
        <w:jc w:val="both"/>
        <w:rPr>
          <w:rFonts w:ascii="Verdana" w:hAnsi="Verdana"/>
          <w:sz w:val="16"/>
          <w:szCs w:val="16"/>
        </w:rPr>
      </w:pPr>
      <w:r w:rsidRPr="00685C9B">
        <w:rPr>
          <w:rStyle w:val="Refdenotaalpie"/>
          <w:rFonts w:ascii="Verdana" w:hAnsi="Verdana" w:cs="Arial"/>
          <w:sz w:val="16"/>
          <w:szCs w:val="16"/>
        </w:rPr>
        <w:footnoteRef/>
      </w:r>
      <w:r w:rsidRPr="00685C9B">
        <w:rPr>
          <w:rFonts w:ascii="Verdana" w:hAnsi="Verdana" w:cs="Arial"/>
          <w:sz w:val="16"/>
          <w:szCs w:val="16"/>
        </w:rPr>
        <w:t xml:space="preserve"> </w:t>
      </w:r>
      <w:r w:rsidRPr="00685C9B">
        <w:rPr>
          <w:rFonts w:ascii="Verdana" w:hAnsi="Verdana"/>
          <w:sz w:val="16"/>
          <w:szCs w:val="16"/>
        </w:rPr>
        <w:t>Por la cual se modifica la Ley 29 de 1990, se transforma a Colciencias en Departamento Administrativo, se fortalece el Sistema Nacional de Ciencia, Tecnología e Innovación&lt;</w:t>
      </w:r>
      <w:hyperlink r:id="rId7" w:anchor="1" w:history="1">
        <w:r w:rsidRPr="00685C9B">
          <w:rPr>
            <w:rFonts w:ascii="Verdana" w:hAnsi="Verdana"/>
            <w:sz w:val="16"/>
            <w:szCs w:val="16"/>
          </w:rPr>
          <w:t>1</w:t>
        </w:r>
      </w:hyperlink>
      <w:r w:rsidRPr="00685C9B">
        <w:rPr>
          <w:rFonts w:ascii="Verdana" w:hAnsi="Verdana"/>
          <w:sz w:val="16"/>
          <w:szCs w:val="16"/>
        </w:rPr>
        <w:t>&gt; en Colombia y se dictan otras disposiciones.</w:t>
      </w:r>
    </w:p>
  </w:footnote>
  <w:footnote w:id="13">
    <w:p w14:paraId="557B792A" w14:textId="77777777" w:rsidR="00A06931" w:rsidRDefault="00A06931" w:rsidP="00A06931">
      <w:pPr>
        <w:spacing w:after="0" w:line="240" w:lineRule="auto"/>
        <w:ind w:firstLine="709"/>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hAnsi="Verdana" w:cs="Arial"/>
          <w:color w:val="000000" w:themeColor="text1"/>
          <w:sz w:val="16"/>
          <w:szCs w:val="16"/>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b, Ley 80/93); “Quienes dieron lugar a la declaratoria de caducidad”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d), Ley 80/93); “Quienes sin justa causa se abstengan de suscribir el contrato estatal adjudicado”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a), b) y c), Ley 1474/11, modificado por el art. 43, Ley 1955/19).</w:t>
      </w:r>
    </w:p>
    <w:p w14:paraId="7CE4203D" w14:textId="77777777" w:rsidR="00A06931" w:rsidRDefault="00A06931" w:rsidP="00A06931">
      <w:pPr>
        <w:spacing w:after="0" w:line="240" w:lineRule="auto"/>
        <w:ind w:firstLine="709"/>
        <w:jc w:val="both"/>
        <w:rPr>
          <w:rFonts w:ascii="Verdana" w:hAnsi="Verdana" w:cs="Arial"/>
          <w:color w:val="000000" w:themeColor="text1"/>
          <w:sz w:val="16"/>
          <w:szCs w:val="16"/>
          <w:lang w:val="es-ES"/>
        </w:rPr>
      </w:pPr>
    </w:p>
  </w:footnote>
  <w:footnote w:id="14">
    <w:p w14:paraId="56B5B826" w14:textId="77777777" w:rsidR="00A06931" w:rsidRDefault="00A06931" w:rsidP="00A06931">
      <w:pPr>
        <w:pStyle w:val="Textonotapie"/>
        <w:ind w:firstLine="709"/>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hAnsi="Verdana" w:cs="Arial"/>
          <w:color w:val="000000" w:themeColor="text1"/>
          <w:sz w:val="16"/>
          <w:szCs w:val="16"/>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2º,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2º,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2º,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d), Ley 80/93).</w:t>
      </w:r>
    </w:p>
    <w:p w14:paraId="14666A8A" w14:textId="77777777" w:rsidR="00A06931" w:rsidRDefault="00A06931" w:rsidP="00A06931">
      <w:pPr>
        <w:pStyle w:val="Textonotapie"/>
        <w:ind w:firstLine="709"/>
        <w:jc w:val="both"/>
        <w:rPr>
          <w:rFonts w:ascii="Verdana" w:hAnsi="Verdana" w:cs="Arial"/>
          <w:color w:val="000000" w:themeColor="text1"/>
          <w:sz w:val="16"/>
          <w:szCs w:val="16"/>
          <w:lang w:val="es-CO"/>
        </w:rPr>
      </w:pPr>
    </w:p>
  </w:footnote>
  <w:footnote w:id="15">
    <w:p w14:paraId="3811F6B7" w14:textId="77777777" w:rsidR="00A06931" w:rsidRDefault="00A06931" w:rsidP="00A06931">
      <w:pPr>
        <w:pStyle w:val="Textonotapie"/>
        <w:ind w:firstLine="709"/>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hAnsi="Verdana" w:cs="Arial"/>
          <w:color w:val="000000" w:themeColor="text1"/>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k), Ley 80/93, modificado por el art. 33, Ley 1778/16); “Quienes fueron miembros de la junta o consejo directivo o servidores públicos de la entidad contratante”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2º,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2º,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f), Ley 80/93, adicionado por el art. 4º, Ley 1474/2011) [a pesar de que la norma la califica como una incompatibilidad, en realidad se trata de una inhabilidad, ya que en dicha causal no existe concurrencia de calidades en un sujeto]. </w:t>
      </w:r>
    </w:p>
    <w:p w14:paraId="2432A85E" w14:textId="77777777" w:rsidR="00A06931" w:rsidRDefault="00A06931" w:rsidP="00A06931">
      <w:pPr>
        <w:pStyle w:val="Textonotapie"/>
        <w:ind w:firstLine="709"/>
        <w:jc w:val="both"/>
        <w:rPr>
          <w:rFonts w:ascii="Verdana" w:hAnsi="Verdana" w:cs="Arial"/>
          <w:color w:val="000000" w:themeColor="text1"/>
          <w:sz w:val="16"/>
          <w:szCs w:val="16"/>
          <w:lang w:val="es-CO"/>
        </w:rPr>
      </w:pPr>
      <w:r>
        <w:rPr>
          <w:rFonts w:ascii="Verdana" w:hAnsi="Verdana" w:cs="Arial"/>
          <w:color w:val="000000" w:themeColor="text1"/>
          <w:sz w:val="16"/>
          <w:szCs w:val="16"/>
          <w:lang w:val="es-ES"/>
        </w:rPr>
        <w:t xml:space="preserve">  </w:t>
      </w:r>
    </w:p>
  </w:footnote>
  <w:footnote w:id="16">
    <w:p w14:paraId="4671E87A" w14:textId="77777777" w:rsidR="00A06931" w:rsidRDefault="00A06931" w:rsidP="00A06931">
      <w:pPr>
        <w:spacing w:after="0" w:line="240" w:lineRule="auto"/>
        <w:ind w:firstLine="709"/>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hAnsi="Verdana" w:cs="Arial"/>
          <w:color w:val="000000" w:themeColor="text1"/>
          <w:sz w:val="16"/>
          <w:szCs w:val="16"/>
          <w:lang w:val="es-ES"/>
        </w:rPr>
        <w:t xml:space="preserve">Como las señaladas a continuación: “Los servidores públicos”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1º,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2º,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Pr>
          <w:rFonts w:ascii="Verdana" w:hAnsi="Verdana" w:cs="Arial"/>
          <w:color w:val="000000" w:themeColor="text1"/>
          <w:sz w:val="16"/>
          <w:szCs w:val="16"/>
          <w:lang w:val="es-ES"/>
        </w:rPr>
        <w:t>num</w:t>
      </w:r>
      <w:proofErr w:type="spellEnd"/>
      <w:r>
        <w:rPr>
          <w:rFonts w:ascii="Verdana" w:hAnsi="Verdana" w:cs="Arial"/>
          <w:color w:val="000000" w:themeColor="text1"/>
          <w:sz w:val="16"/>
          <w:szCs w:val="16"/>
          <w:lang w:val="es-ES"/>
        </w:rPr>
        <w:t xml:space="preserve">. 2º, </w:t>
      </w:r>
      <w:proofErr w:type="spellStart"/>
      <w:r>
        <w:rPr>
          <w:rFonts w:ascii="Verdana" w:hAnsi="Verdana" w:cs="Arial"/>
          <w:color w:val="000000" w:themeColor="text1"/>
          <w:sz w:val="16"/>
          <w:szCs w:val="16"/>
          <w:lang w:val="es-ES"/>
        </w:rPr>
        <w:t>lit.</w:t>
      </w:r>
      <w:proofErr w:type="spellEnd"/>
      <w:r>
        <w:rPr>
          <w:rFonts w:ascii="Verdana" w:hAnsi="Verdana" w:cs="Arial"/>
          <w:color w:val="000000" w:themeColor="text1"/>
          <w:sz w:val="16"/>
          <w:szCs w:val="16"/>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Pr>
          <w:rFonts w:ascii="Verdana" w:hAnsi="Verdana" w:cs="Arial"/>
          <w:color w:val="000000" w:themeColor="text1"/>
          <w:sz w:val="16"/>
          <w:szCs w:val="16"/>
          <w:lang w:val="es-ES"/>
        </w:rPr>
        <w:t>consaguinidad</w:t>
      </w:r>
      <w:proofErr w:type="spellEnd"/>
      <w:r>
        <w:rPr>
          <w:rFonts w:ascii="Verdana" w:hAnsi="Verdana" w:cs="Arial"/>
          <w:color w:val="000000" w:themeColor="text1"/>
          <w:sz w:val="16"/>
          <w:szCs w:val="16"/>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1AF0715B" w14:textId="77777777" w:rsidR="00A06931" w:rsidRDefault="00A06931" w:rsidP="00A06931">
      <w:pPr>
        <w:spacing w:after="0" w:line="240" w:lineRule="auto"/>
        <w:ind w:firstLine="709"/>
        <w:jc w:val="both"/>
        <w:rPr>
          <w:rFonts w:ascii="Verdana" w:hAnsi="Verdana" w:cs="Arial"/>
          <w:color w:val="000000" w:themeColor="text1"/>
          <w:sz w:val="16"/>
          <w:szCs w:val="16"/>
          <w:lang w:val="es-ES"/>
        </w:rPr>
      </w:pPr>
    </w:p>
  </w:footnote>
  <w:footnote w:id="17">
    <w:p w14:paraId="15396C27" w14:textId="77777777" w:rsidR="00A06931" w:rsidRDefault="00A06931" w:rsidP="00A06931">
      <w:pPr>
        <w:pStyle w:val="Textonotapie"/>
        <w:ind w:firstLine="709"/>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hAnsi="Verdana" w:cs="Arial"/>
          <w:color w:val="000000" w:themeColor="text1"/>
          <w:sz w:val="16"/>
          <w:szCs w:val="16"/>
          <w:lang w:val="es-ES"/>
        </w:rPr>
        <w:t xml:space="preserve">BARRETO ROZO, Antonio Alejandro. Inhabilidades de la contratación estatal, efectos y </w:t>
      </w:r>
      <w:proofErr w:type="spellStart"/>
      <w:r>
        <w:rPr>
          <w:rFonts w:ascii="Verdana" w:hAnsi="Verdana" w:cs="Arial"/>
          <w:color w:val="000000" w:themeColor="text1"/>
          <w:sz w:val="16"/>
          <w:szCs w:val="16"/>
          <w:lang w:val="es-ES"/>
        </w:rPr>
        <w:t>neopunitivismo</w:t>
      </w:r>
      <w:proofErr w:type="spellEnd"/>
      <w:r>
        <w:rPr>
          <w:rFonts w:ascii="Verdana" w:hAnsi="Verdana" w:cs="Arial"/>
          <w:color w:val="000000" w:themeColor="text1"/>
          <w:sz w:val="16"/>
          <w:szCs w:val="16"/>
          <w:lang w:val="es-ES"/>
        </w:rPr>
        <w:t xml:space="preserve"> en el Estatuto Anticorrupción. En: ALVIAR GARCÍA, Helena (Coordinadora). Nuevas tendencias del Derecho administrativo. Bogotá: Universidad de los Andes; Temis, 2016. pp. 63-99.</w:t>
      </w:r>
    </w:p>
  </w:footnote>
  <w:footnote w:id="18">
    <w:p w14:paraId="56F6E191" w14:textId="77777777" w:rsidR="00A06931" w:rsidRDefault="00A06931" w:rsidP="00A06931">
      <w:pPr>
        <w:pStyle w:val="Textonotapie"/>
        <w:ind w:firstLine="709"/>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proofErr w:type="spellStart"/>
      <w:r>
        <w:rPr>
          <w:rFonts w:ascii="Verdana" w:hAnsi="Verdana" w:cs="Arial"/>
          <w:color w:val="000000" w:themeColor="text1"/>
          <w:sz w:val="16"/>
          <w:szCs w:val="16"/>
          <w:lang w:val="es-ES"/>
        </w:rPr>
        <w:t>Ibíd</w:t>
      </w:r>
      <w:proofErr w:type="spellEnd"/>
      <w:r>
        <w:rPr>
          <w:rFonts w:ascii="Verdana" w:hAnsi="Verdana" w:cs="Arial"/>
          <w:color w:val="000000" w:themeColor="text1"/>
          <w:sz w:val="16"/>
          <w:szCs w:val="16"/>
          <w:lang w:val="es-ES"/>
        </w:rPr>
        <w:t>., p. 69.</w:t>
      </w:r>
    </w:p>
    <w:p w14:paraId="583869DE" w14:textId="77777777" w:rsidR="00A06931" w:rsidRDefault="00A06931" w:rsidP="00A06931">
      <w:pPr>
        <w:pStyle w:val="Textonotapie"/>
        <w:ind w:firstLine="709"/>
        <w:jc w:val="both"/>
        <w:rPr>
          <w:rFonts w:ascii="Verdana" w:hAnsi="Verdana" w:cs="Arial"/>
          <w:color w:val="000000" w:themeColor="text1"/>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32E6FBF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546F3E"/>
    <w:multiLevelType w:val="hybridMultilevel"/>
    <w:tmpl w:val="249CDDD8"/>
    <w:lvl w:ilvl="0" w:tplc="23FE460A">
      <w:start w:val="1"/>
      <w:numFmt w:val="lowerRoman"/>
      <w:lvlText w:val="(%1)"/>
      <w:lvlJc w:val="left"/>
      <w:pPr>
        <w:ind w:left="1070" w:hanging="360"/>
      </w:pPr>
      <w:rPr>
        <w:rFonts w:ascii="Verdana" w:eastAsia="Times New Roman" w:hAnsi="Verdana" w:cs="Arial"/>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5"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8"/>
  </w:num>
  <w:num w:numId="6" w16cid:durableId="130758360">
    <w:abstractNumId w:val="22"/>
  </w:num>
  <w:num w:numId="7" w16cid:durableId="262541512">
    <w:abstractNumId w:val="34"/>
  </w:num>
  <w:num w:numId="8" w16cid:durableId="1947226218">
    <w:abstractNumId w:val="17"/>
  </w:num>
  <w:num w:numId="9" w16cid:durableId="1180706126">
    <w:abstractNumId w:val="21"/>
  </w:num>
  <w:num w:numId="10" w16cid:durableId="2097506960">
    <w:abstractNumId w:val="27"/>
  </w:num>
  <w:num w:numId="11" w16cid:durableId="1977490869">
    <w:abstractNumId w:val="25"/>
  </w:num>
  <w:num w:numId="12" w16cid:durableId="158663248">
    <w:abstractNumId w:val="24"/>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8"/>
  </w:num>
  <w:num w:numId="19" w16cid:durableId="1910656144">
    <w:abstractNumId w:val="4"/>
  </w:num>
  <w:num w:numId="20" w16cid:durableId="947545103">
    <w:abstractNumId w:val="15"/>
  </w:num>
  <w:num w:numId="21" w16cid:durableId="1851335222">
    <w:abstractNumId w:val="37"/>
  </w:num>
  <w:num w:numId="22" w16cid:durableId="578707994">
    <w:abstractNumId w:val="6"/>
  </w:num>
  <w:num w:numId="23" w16cid:durableId="876742304">
    <w:abstractNumId w:val="13"/>
  </w:num>
  <w:num w:numId="24" w16cid:durableId="1994095851">
    <w:abstractNumId w:val="7"/>
  </w:num>
  <w:num w:numId="25" w16cid:durableId="1567109325">
    <w:abstractNumId w:val="29"/>
  </w:num>
  <w:num w:numId="26" w16cid:durableId="1116487847">
    <w:abstractNumId w:val="23"/>
  </w:num>
  <w:num w:numId="27" w16cid:durableId="611326471">
    <w:abstractNumId w:val="32"/>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6"/>
  </w:num>
  <w:num w:numId="30" w16cid:durableId="363991975">
    <w:abstractNumId w:val="33"/>
  </w:num>
  <w:num w:numId="31" w16cid:durableId="1509440290">
    <w:abstractNumId w:val="26"/>
  </w:num>
  <w:num w:numId="32" w16cid:durableId="1601723362">
    <w:abstractNumId w:val="8"/>
  </w:num>
  <w:num w:numId="33" w16cid:durableId="1484539021">
    <w:abstractNumId w:val="5"/>
  </w:num>
  <w:num w:numId="34" w16cid:durableId="1387339555">
    <w:abstractNumId w:val="3"/>
  </w:num>
  <w:num w:numId="35" w16cid:durableId="591087840">
    <w:abstractNumId w:val="30"/>
  </w:num>
  <w:num w:numId="36" w16cid:durableId="1632059173">
    <w:abstractNumId w:val="35"/>
  </w:num>
  <w:num w:numId="37" w16cid:durableId="742992957">
    <w:abstractNumId w:val="18"/>
  </w:num>
  <w:num w:numId="38" w16cid:durableId="1317681908">
    <w:abstractNumId w:val="10"/>
  </w:num>
  <w:num w:numId="39" w16cid:durableId="720791760">
    <w:abstractNumId w:val="31"/>
  </w:num>
  <w:num w:numId="40" w16cid:durableId="13239695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201"/>
    <w:rsid w:val="00001B12"/>
    <w:rsid w:val="00001B99"/>
    <w:rsid w:val="00001E08"/>
    <w:rsid w:val="00001E39"/>
    <w:rsid w:val="000024D6"/>
    <w:rsid w:val="00002767"/>
    <w:rsid w:val="00002917"/>
    <w:rsid w:val="00002920"/>
    <w:rsid w:val="00002D55"/>
    <w:rsid w:val="00003467"/>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1EC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688A"/>
    <w:rsid w:val="000273EA"/>
    <w:rsid w:val="00027B63"/>
    <w:rsid w:val="00027CA9"/>
    <w:rsid w:val="00030B3D"/>
    <w:rsid w:val="00030BC5"/>
    <w:rsid w:val="00030BFB"/>
    <w:rsid w:val="00031DA1"/>
    <w:rsid w:val="00031EAF"/>
    <w:rsid w:val="0003287A"/>
    <w:rsid w:val="000332D5"/>
    <w:rsid w:val="00033390"/>
    <w:rsid w:val="000361EA"/>
    <w:rsid w:val="0003699E"/>
    <w:rsid w:val="000369C0"/>
    <w:rsid w:val="0003731A"/>
    <w:rsid w:val="00037A8B"/>
    <w:rsid w:val="00040372"/>
    <w:rsid w:val="000408AD"/>
    <w:rsid w:val="00041469"/>
    <w:rsid w:val="0004180C"/>
    <w:rsid w:val="000419D7"/>
    <w:rsid w:val="00042DD7"/>
    <w:rsid w:val="000438BA"/>
    <w:rsid w:val="00043EE5"/>
    <w:rsid w:val="000442CC"/>
    <w:rsid w:val="000442DE"/>
    <w:rsid w:val="0004491F"/>
    <w:rsid w:val="00044B24"/>
    <w:rsid w:val="0004508D"/>
    <w:rsid w:val="0004526E"/>
    <w:rsid w:val="00045695"/>
    <w:rsid w:val="00045B37"/>
    <w:rsid w:val="0004709D"/>
    <w:rsid w:val="000504AA"/>
    <w:rsid w:val="0005086B"/>
    <w:rsid w:val="0005098A"/>
    <w:rsid w:val="00050C95"/>
    <w:rsid w:val="00050CAD"/>
    <w:rsid w:val="0005142D"/>
    <w:rsid w:val="00051A3C"/>
    <w:rsid w:val="00051BE4"/>
    <w:rsid w:val="00051E96"/>
    <w:rsid w:val="000526A8"/>
    <w:rsid w:val="00052EF1"/>
    <w:rsid w:val="00053B08"/>
    <w:rsid w:val="0005420B"/>
    <w:rsid w:val="00054DFE"/>
    <w:rsid w:val="000551CB"/>
    <w:rsid w:val="00055ED8"/>
    <w:rsid w:val="0005620B"/>
    <w:rsid w:val="00057392"/>
    <w:rsid w:val="00057740"/>
    <w:rsid w:val="000577A2"/>
    <w:rsid w:val="000577D3"/>
    <w:rsid w:val="00057963"/>
    <w:rsid w:val="000579AB"/>
    <w:rsid w:val="00060AE4"/>
    <w:rsid w:val="00061295"/>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9EF"/>
    <w:rsid w:val="00070D9B"/>
    <w:rsid w:val="0007144A"/>
    <w:rsid w:val="000716AB"/>
    <w:rsid w:val="00071AB8"/>
    <w:rsid w:val="0007243A"/>
    <w:rsid w:val="00072AF5"/>
    <w:rsid w:val="000734CB"/>
    <w:rsid w:val="00074660"/>
    <w:rsid w:val="000752FA"/>
    <w:rsid w:val="00075BDC"/>
    <w:rsid w:val="00075DF4"/>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4C96"/>
    <w:rsid w:val="00085BD2"/>
    <w:rsid w:val="0008651B"/>
    <w:rsid w:val="00087073"/>
    <w:rsid w:val="0008734C"/>
    <w:rsid w:val="0008739A"/>
    <w:rsid w:val="000875BD"/>
    <w:rsid w:val="000878E7"/>
    <w:rsid w:val="00087A3B"/>
    <w:rsid w:val="00087C01"/>
    <w:rsid w:val="000903E4"/>
    <w:rsid w:val="000906E3"/>
    <w:rsid w:val="000913D9"/>
    <w:rsid w:val="0009160A"/>
    <w:rsid w:val="00091D73"/>
    <w:rsid w:val="0009252F"/>
    <w:rsid w:val="000933B5"/>
    <w:rsid w:val="000933BC"/>
    <w:rsid w:val="00093544"/>
    <w:rsid w:val="00093D95"/>
    <w:rsid w:val="00093F87"/>
    <w:rsid w:val="000944B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58F"/>
    <w:rsid w:val="000A37F5"/>
    <w:rsid w:val="000A3A03"/>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258"/>
    <w:rsid w:val="000B5311"/>
    <w:rsid w:val="000B5313"/>
    <w:rsid w:val="000B5C05"/>
    <w:rsid w:val="000B5C65"/>
    <w:rsid w:val="000B5DF3"/>
    <w:rsid w:val="000B5F1D"/>
    <w:rsid w:val="000B5FB9"/>
    <w:rsid w:val="000B69C5"/>
    <w:rsid w:val="000B6BE9"/>
    <w:rsid w:val="000C02AD"/>
    <w:rsid w:val="000C060A"/>
    <w:rsid w:val="000C07B0"/>
    <w:rsid w:val="000C09DF"/>
    <w:rsid w:val="000C0AA8"/>
    <w:rsid w:val="000C18BD"/>
    <w:rsid w:val="000C1CE6"/>
    <w:rsid w:val="000C1FC8"/>
    <w:rsid w:val="000C36E1"/>
    <w:rsid w:val="000C42A9"/>
    <w:rsid w:val="000C42C6"/>
    <w:rsid w:val="000C50D6"/>
    <w:rsid w:val="000C51E1"/>
    <w:rsid w:val="000C557B"/>
    <w:rsid w:val="000C5A85"/>
    <w:rsid w:val="000C5F29"/>
    <w:rsid w:val="000C5F48"/>
    <w:rsid w:val="000C66BF"/>
    <w:rsid w:val="000C6FC1"/>
    <w:rsid w:val="000C71F5"/>
    <w:rsid w:val="000C7FF8"/>
    <w:rsid w:val="000D0372"/>
    <w:rsid w:val="000D0ADE"/>
    <w:rsid w:val="000D1A8F"/>
    <w:rsid w:val="000D1B18"/>
    <w:rsid w:val="000D2914"/>
    <w:rsid w:val="000D2E60"/>
    <w:rsid w:val="000D2F50"/>
    <w:rsid w:val="000D3275"/>
    <w:rsid w:val="000D3A1B"/>
    <w:rsid w:val="000D3B86"/>
    <w:rsid w:val="000D4595"/>
    <w:rsid w:val="000D4E64"/>
    <w:rsid w:val="000D5008"/>
    <w:rsid w:val="000D570C"/>
    <w:rsid w:val="000D5A0F"/>
    <w:rsid w:val="000D5B1E"/>
    <w:rsid w:val="000D5D9B"/>
    <w:rsid w:val="000D5E3F"/>
    <w:rsid w:val="000D6532"/>
    <w:rsid w:val="000D6CCC"/>
    <w:rsid w:val="000D6E33"/>
    <w:rsid w:val="000D6EEE"/>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E79A4"/>
    <w:rsid w:val="000F0144"/>
    <w:rsid w:val="000F0783"/>
    <w:rsid w:val="000F0807"/>
    <w:rsid w:val="000F080D"/>
    <w:rsid w:val="000F0B3C"/>
    <w:rsid w:val="000F13D5"/>
    <w:rsid w:val="000F175F"/>
    <w:rsid w:val="000F1AD8"/>
    <w:rsid w:val="000F2F4C"/>
    <w:rsid w:val="000F306E"/>
    <w:rsid w:val="000F38D9"/>
    <w:rsid w:val="000F3CED"/>
    <w:rsid w:val="000F414C"/>
    <w:rsid w:val="000F4A14"/>
    <w:rsid w:val="000F4EDD"/>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5FF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1A6F"/>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ABF"/>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23AA"/>
    <w:rsid w:val="00152F77"/>
    <w:rsid w:val="00153287"/>
    <w:rsid w:val="001533E6"/>
    <w:rsid w:val="001538BE"/>
    <w:rsid w:val="00153BA7"/>
    <w:rsid w:val="00153C33"/>
    <w:rsid w:val="00154CEB"/>
    <w:rsid w:val="00155198"/>
    <w:rsid w:val="00155A26"/>
    <w:rsid w:val="00155EF1"/>
    <w:rsid w:val="00156192"/>
    <w:rsid w:val="00156E57"/>
    <w:rsid w:val="0015710D"/>
    <w:rsid w:val="00157338"/>
    <w:rsid w:val="001573AA"/>
    <w:rsid w:val="00157CE5"/>
    <w:rsid w:val="00157DEB"/>
    <w:rsid w:val="001610BC"/>
    <w:rsid w:val="00161847"/>
    <w:rsid w:val="00161E13"/>
    <w:rsid w:val="001629D8"/>
    <w:rsid w:val="00162B2A"/>
    <w:rsid w:val="00162B8D"/>
    <w:rsid w:val="00162F9F"/>
    <w:rsid w:val="00163EB1"/>
    <w:rsid w:val="001646C7"/>
    <w:rsid w:val="00164803"/>
    <w:rsid w:val="00164AE0"/>
    <w:rsid w:val="001656F6"/>
    <w:rsid w:val="00165BF5"/>
    <w:rsid w:val="00165F2E"/>
    <w:rsid w:val="0016646A"/>
    <w:rsid w:val="00167340"/>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8FF"/>
    <w:rsid w:val="00184BB2"/>
    <w:rsid w:val="00184BD9"/>
    <w:rsid w:val="00184ED6"/>
    <w:rsid w:val="00184F13"/>
    <w:rsid w:val="00184FD9"/>
    <w:rsid w:val="00185361"/>
    <w:rsid w:val="00185405"/>
    <w:rsid w:val="00186037"/>
    <w:rsid w:val="00186AE4"/>
    <w:rsid w:val="00186D14"/>
    <w:rsid w:val="001876D8"/>
    <w:rsid w:val="00187734"/>
    <w:rsid w:val="00187F6A"/>
    <w:rsid w:val="00190325"/>
    <w:rsid w:val="00190391"/>
    <w:rsid w:val="00190982"/>
    <w:rsid w:val="0019151E"/>
    <w:rsid w:val="00191593"/>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C1B"/>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C0125"/>
    <w:rsid w:val="001C0BF4"/>
    <w:rsid w:val="001C1074"/>
    <w:rsid w:val="001C21C8"/>
    <w:rsid w:val="001C25F5"/>
    <w:rsid w:val="001C265A"/>
    <w:rsid w:val="001C2DFD"/>
    <w:rsid w:val="001C34D0"/>
    <w:rsid w:val="001C4249"/>
    <w:rsid w:val="001C46E3"/>
    <w:rsid w:val="001C496A"/>
    <w:rsid w:val="001C4980"/>
    <w:rsid w:val="001C4AC1"/>
    <w:rsid w:val="001C4F27"/>
    <w:rsid w:val="001C51FE"/>
    <w:rsid w:val="001C582B"/>
    <w:rsid w:val="001C6573"/>
    <w:rsid w:val="001C7B08"/>
    <w:rsid w:val="001C7D03"/>
    <w:rsid w:val="001D00BE"/>
    <w:rsid w:val="001D079B"/>
    <w:rsid w:val="001D0806"/>
    <w:rsid w:val="001D0D32"/>
    <w:rsid w:val="001D1363"/>
    <w:rsid w:val="001D17C9"/>
    <w:rsid w:val="001D1AB9"/>
    <w:rsid w:val="001D1EEB"/>
    <w:rsid w:val="001D1F20"/>
    <w:rsid w:val="001D22D5"/>
    <w:rsid w:val="001D2A41"/>
    <w:rsid w:val="001D3795"/>
    <w:rsid w:val="001D3E0F"/>
    <w:rsid w:val="001D4006"/>
    <w:rsid w:val="001D54BD"/>
    <w:rsid w:val="001D5C72"/>
    <w:rsid w:val="001D616F"/>
    <w:rsid w:val="001D626E"/>
    <w:rsid w:val="001D733B"/>
    <w:rsid w:val="001D73CF"/>
    <w:rsid w:val="001D7536"/>
    <w:rsid w:val="001D7E8C"/>
    <w:rsid w:val="001E04CD"/>
    <w:rsid w:val="001E0902"/>
    <w:rsid w:val="001E1801"/>
    <w:rsid w:val="001E1C73"/>
    <w:rsid w:val="001E1E05"/>
    <w:rsid w:val="001E20B7"/>
    <w:rsid w:val="001E2254"/>
    <w:rsid w:val="001E22D2"/>
    <w:rsid w:val="001E22DE"/>
    <w:rsid w:val="001E2343"/>
    <w:rsid w:val="001E3A17"/>
    <w:rsid w:val="001E3FCB"/>
    <w:rsid w:val="001E52DF"/>
    <w:rsid w:val="001E5500"/>
    <w:rsid w:val="001E65BD"/>
    <w:rsid w:val="001E6930"/>
    <w:rsid w:val="001E6BCB"/>
    <w:rsid w:val="001E706C"/>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B58"/>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649"/>
    <w:rsid w:val="00210B9B"/>
    <w:rsid w:val="0021102F"/>
    <w:rsid w:val="002118D1"/>
    <w:rsid w:val="00211DCE"/>
    <w:rsid w:val="0021229D"/>
    <w:rsid w:val="00212390"/>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79D"/>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ADB"/>
    <w:rsid w:val="00232178"/>
    <w:rsid w:val="00232248"/>
    <w:rsid w:val="00232D12"/>
    <w:rsid w:val="0023353F"/>
    <w:rsid w:val="00233616"/>
    <w:rsid w:val="00233975"/>
    <w:rsid w:val="00233B8C"/>
    <w:rsid w:val="00235044"/>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3BEA"/>
    <w:rsid w:val="002549E7"/>
    <w:rsid w:val="00254A7A"/>
    <w:rsid w:val="00254EA4"/>
    <w:rsid w:val="0025509C"/>
    <w:rsid w:val="002552F8"/>
    <w:rsid w:val="0025575F"/>
    <w:rsid w:val="002560FB"/>
    <w:rsid w:val="002565BF"/>
    <w:rsid w:val="002571E3"/>
    <w:rsid w:val="002573DA"/>
    <w:rsid w:val="00260496"/>
    <w:rsid w:val="00260542"/>
    <w:rsid w:val="00260BAD"/>
    <w:rsid w:val="002612EA"/>
    <w:rsid w:val="00261EB4"/>
    <w:rsid w:val="0026224C"/>
    <w:rsid w:val="00263258"/>
    <w:rsid w:val="00264022"/>
    <w:rsid w:val="00264C7C"/>
    <w:rsid w:val="0026650F"/>
    <w:rsid w:val="00266DC3"/>
    <w:rsid w:val="0027029D"/>
    <w:rsid w:val="00270443"/>
    <w:rsid w:val="00270EE2"/>
    <w:rsid w:val="0027138C"/>
    <w:rsid w:val="002714F9"/>
    <w:rsid w:val="0027165A"/>
    <w:rsid w:val="002725D1"/>
    <w:rsid w:val="00272787"/>
    <w:rsid w:val="00272826"/>
    <w:rsid w:val="00272A7B"/>
    <w:rsid w:val="00272C44"/>
    <w:rsid w:val="00272E8C"/>
    <w:rsid w:val="00272F05"/>
    <w:rsid w:val="00273527"/>
    <w:rsid w:val="00273F6B"/>
    <w:rsid w:val="002747EF"/>
    <w:rsid w:val="002749BB"/>
    <w:rsid w:val="00274B06"/>
    <w:rsid w:val="002751D6"/>
    <w:rsid w:val="002754D3"/>
    <w:rsid w:val="00275B97"/>
    <w:rsid w:val="00276261"/>
    <w:rsid w:val="00276944"/>
    <w:rsid w:val="00276964"/>
    <w:rsid w:val="002769AE"/>
    <w:rsid w:val="00276CA7"/>
    <w:rsid w:val="0027737B"/>
    <w:rsid w:val="00277D7C"/>
    <w:rsid w:val="002816DD"/>
    <w:rsid w:val="002817A6"/>
    <w:rsid w:val="002821E8"/>
    <w:rsid w:val="00282B86"/>
    <w:rsid w:val="00282F1D"/>
    <w:rsid w:val="0028307F"/>
    <w:rsid w:val="00283215"/>
    <w:rsid w:val="00283294"/>
    <w:rsid w:val="00283369"/>
    <w:rsid w:val="002833F3"/>
    <w:rsid w:val="00284203"/>
    <w:rsid w:val="0028512A"/>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516"/>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9C6"/>
    <w:rsid w:val="002C1E93"/>
    <w:rsid w:val="002C29EB"/>
    <w:rsid w:val="002C30F0"/>
    <w:rsid w:val="002C3799"/>
    <w:rsid w:val="002C401A"/>
    <w:rsid w:val="002C479B"/>
    <w:rsid w:val="002C4EC8"/>
    <w:rsid w:val="002C532B"/>
    <w:rsid w:val="002C586F"/>
    <w:rsid w:val="002C6AF5"/>
    <w:rsid w:val="002C6D15"/>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C7"/>
    <w:rsid w:val="002D5FD5"/>
    <w:rsid w:val="002D68F4"/>
    <w:rsid w:val="002D7125"/>
    <w:rsid w:val="002D7395"/>
    <w:rsid w:val="002D7417"/>
    <w:rsid w:val="002D782B"/>
    <w:rsid w:val="002E0D9C"/>
    <w:rsid w:val="002E1247"/>
    <w:rsid w:val="002E26E8"/>
    <w:rsid w:val="002E3211"/>
    <w:rsid w:val="002E33A6"/>
    <w:rsid w:val="002E3DD8"/>
    <w:rsid w:val="002E3ED8"/>
    <w:rsid w:val="002E40CD"/>
    <w:rsid w:val="002E556D"/>
    <w:rsid w:val="002E5A01"/>
    <w:rsid w:val="002E5AF4"/>
    <w:rsid w:val="002E5EA3"/>
    <w:rsid w:val="002E682D"/>
    <w:rsid w:val="002E717C"/>
    <w:rsid w:val="002E7533"/>
    <w:rsid w:val="002E7A61"/>
    <w:rsid w:val="002F00B8"/>
    <w:rsid w:val="002F0106"/>
    <w:rsid w:val="002F02C2"/>
    <w:rsid w:val="002F03C8"/>
    <w:rsid w:val="002F188D"/>
    <w:rsid w:val="002F18A5"/>
    <w:rsid w:val="002F26F3"/>
    <w:rsid w:val="002F317F"/>
    <w:rsid w:val="002F3FE7"/>
    <w:rsid w:val="002F51A2"/>
    <w:rsid w:val="002F5BA8"/>
    <w:rsid w:val="002F5E95"/>
    <w:rsid w:val="002F5F68"/>
    <w:rsid w:val="002F6367"/>
    <w:rsid w:val="002F63CA"/>
    <w:rsid w:val="002F67B4"/>
    <w:rsid w:val="002F6F73"/>
    <w:rsid w:val="002F7AA9"/>
    <w:rsid w:val="002F7DE0"/>
    <w:rsid w:val="00300414"/>
    <w:rsid w:val="003004E3"/>
    <w:rsid w:val="00300FF1"/>
    <w:rsid w:val="003010FF"/>
    <w:rsid w:val="00301C0D"/>
    <w:rsid w:val="00301D7B"/>
    <w:rsid w:val="00301E19"/>
    <w:rsid w:val="003023DE"/>
    <w:rsid w:val="00302668"/>
    <w:rsid w:val="00302998"/>
    <w:rsid w:val="00303DC4"/>
    <w:rsid w:val="00304676"/>
    <w:rsid w:val="00306BE7"/>
    <w:rsid w:val="00306D4A"/>
    <w:rsid w:val="00307010"/>
    <w:rsid w:val="00307E3E"/>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5D4F"/>
    <w:rsid w:val="00326011"/>
    <w:rsid w:val="0032643D"/>
    <w:rsid w:val="0032674C"/>
    <w:rsid w:val="00326D02"/>
    <w:rsid w:val="00327069"/>
    <w:rsid w:val="00327812"/>
    <w:rsid w:val="00327AFB"/>
    <w:rsid w:val="00327BAF"/>
    <w:rsid w:val="00327D10"/>
    <w:rsid w:val="00327D20"/>
    <w:rsid w:val="00327ED6"/>
    <w:rsid w:val="00331894"/>
    <w:rsid w:val="00331AC2"/>
    <w:rsid w:val="00331FA5"/>
    <w:rsid w:val="003320F2"/>
    <w:rsid w:val="00332CB8"/>
    <w:rsid w:val="0033323C"/>
    <w:rsid w:val="00333428"/>
    <w:rsid w:val="003336D4"/>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0CA2"/>
    <w:rsid w:val="003515FD"/>
    <w:rsid w:val="003518A4"/>
    <w:rsid w:val="00351E21"/>
    <w:rsid w:val="00352327"/>
    <w:rsid w:val="003526A9"/>
    <w:rsid w:val="00354062"/>
    <w:rsid w:val="00354405"/>
    <w:rsid w:val="00354752"/>
    <w:rsid w:val="0035505D"/>
    <w:rsid w:val="003553C3"/>
    <w:rsid w:val="00355779"/>
    <w:rsid w:val="00355A76"/>
    <w:rsid w:val="00355DEC"/>
    <w:rsid w:val="0035635F"/>
    <w:rsid w:val="003564B1"/>
    <w:rsid w:val="00356E0F"/>
    <w:rsid w:val="0035700C"/>
    <w:rsid w:val="003607C1"/>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900"/>
    <w:rsid w:val="00366A0C"/>
    <w:rsid w:val="00367238"/>
    <w:rsid w:val="00367462"/>
    <w:rsid w:val="003677D5"/>
    <w:rsid w:val="00367B6C"/>
    <w:rsid w:val="0037034B"/>
    <w:rsid w:val="00370507"/>
    <w:rsid w:val="00370682"/>
    <w:rsid w:val="00370F0B"/>
    <w:rsid w:val="0037104E"/>
    <w:rsid w:val="003714BF"/>
    <w:rsid w:val="003718D8"/>
    <w:rsid w:val="00372A01"/>
    <w:rsid w:val="00372ADC"/>
    <w:rsid w:val="00372B87"/>
    <w:rsid w:val="00372C82"/>
    <w:rsid w:val="00372CFC"/>
    <w:rsid w:val="003733DF"/>
    <w:rsid w:val="00373865"/>
    <w:rsid w:val="003739DA"/>
    <w:rsid w:val="00373CE8"/>
    <w:rsid w:val="00374DB0"/>
    <w:rsid w:val="003751C7"/>
    <w:rsid w:val="00375C84"/>
    <w:rsid w:val="00376524"/>
    <w:rsid w:val="003769DE"/>
    <w:rsid w:val="00376E3B"/>
    <w:rsid w:val="003770C7"/>
    <w:rsid w:val="003776FE"/>
    <w:rsid w:val="00377AF2"/>
    <w:rsid w:val="00380424"/>
    <w:rsid w:val="00380868"/>
    <w:rsid w:val="00380B9B"/>
    <w:rsid w:val="003818B3"/>
    <w:rsid w:val="003819F5"/>
    <w:rsid w:val="00381A52"/>
    <w:rsid w:val="00381B57"/>
    <w:rsid w:val="00381D47"/>
    <w:rsid w:val="003821CC"/>
    <w:rsid w:val="003835F0"/>
    <w:rsid w:val="00384296"/>
    <w:rsid w:val="003853B1"/>
    <w:rsid w:val="003853ED"/>
    <w:rsid w:val="00386164"/>
    <w:rsid w:val="0038628F"/>
    <w:rsid w:val="00386421"/>
    <w:rsid w:val="0038704C"/>
    <w:rsid w:val="00387AA1"/>
    <w:rsid w:val="0039082A"/>
    <w:rsid w:val="0039101F"/>
    <w:rsid w:val="00392EDB"/>
    <w:rsid w:val="00392FAE"/>
    <w:rsid w:val="003931AA"/>
    <w:rsid w:val="00393943"/>
    <w:rsid w:val="00393EEE"/>
    <w:rsid w:val="003941C0"/>
    <w:rsid w:val="00394D45"/>
    <w:rsid w:val="00395132"/>
    <w:rsid w:val="00395402"/>
    <w:rsid w:val="00395D99"/>
    <w:rsid w:val="00396682"/>
    <w:rsid w:val="003968DF"/>
    <w:rsid w:val="003976C3"/>
    <w:rsid w:val="00397A03"/>
    <w:rsid w:val="00397A64"/>
    <w:rsid w:val="003A010B"/>
    <w:rsid w:val="003A0457"/>
    <w:rsid w:val="003A099A"/>
    <w:rsid w:val="003A1372"/>
    <w:rsid w:val="003A15DE"/>
    <w:rsid w:val="003A1D46"/>
    <w:rsid w:val="003A2447"/>
    <w:rsid w:val="003A2B82"/>
    <w:rsid w:val="003A36D3"/>
    <w:rsid w:val="003A3927"/>
    <w:rsid w:val="003A3D2E"/>
    <w:rsid w:val="003A3F75"/>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D0079"/>
    <w:rsid w:val="003D017D"/>
    <w:rsid w:val="003D04D6"/>
    <w:rsid w:val="003D10EC"/>
    <w:rsid w:val="003D1901"/>
    <w:rsid w:val="003D272E"/>
    <w:rsid w:val="003D28DE"/>
    <w:rsid w:val="003D29B9"/>
    <w:rsid w:val="003D3500"/>
    <w:rsid w:val="003D37B6"/>
    <w:rsid w:val="003D3C68"/>
    <w:rsid w:val="003D450D"/>
    <w:rsid w:val="003D4BA9"/>
    <w:rsid w:val="003D4D49"/>
    <w:rsid w:val="003D4F8F"/>
    <w:rsid w:val="003D503A"/>
    <w:rsid w:val="003D5175"/>
    <w:rsid w:val="003D6505"/>
    <w:rsid w:val="003D71A6"/>
    <w:rsid w:val="003D7709"/>
    <w:rsid w:val="003E004C"/>
    <w:rsid w:val="003E0BAF"/>
    <w:rsid w:val="003E0E25"/>
    <w:rsid w:val="003E1409"/>
    <w:rsid w:val="003E14AC"/>
    <w:rsid w:val="003E16F2"/>
    <w:rsid w:val="003E2195"/>
    <w:rsid w:val="003E241A"/>
    <w:rsid w:val="003E27B2"/>
    <w:rsid w:val="003E36A5"/>
    <w:rsid w:val="003E42BC"/>
    <w:rsid w:val="003E4A52"/>
    <w:rsid w:val="003E5CBA"/>
    <w:rsid w:val="003E782F"/>
    <w:rsid w:val="003E78A9"/>
    <w:rsid w:val="003E7912"/>
    <w:rsid w:val="003E7DB5"/>
    <w:rsid w:val="003F04A3"/>
    <w:rsid w:val="003F04E6"/>
    <w:rsid w:val="003F097C"/>
    <w:rsid w:val="003F0F23"/>
    <w:rsid w:val="003F163F"/>
    <w:rsid w:val="003F2164"/>
    <w:rsid w:val="003F229A"/>
    <w:rsid w:val="003F2CDD"/>
    <w:rsid w:val="003F3FB3"/>
    <w:rsid w:val="003F45D7"/>
    <w:rsid w:val="003F4C1B"/>
    <w:rsid w:val="003F5660"/>
    <w:rsid w:val="003F5717"/>
    <w:rsid w:val="003F5A39"/>
    <w:rsid w:val="003F5B56"/>
    <w:rsid w:val="003F5B9F"/>
    <w:rsid w:val="003F5C1A"/>
    <w:rsid w:val="003F6A6A"/>
    <w:rsid w:val="003F738D"/>
    <w:rsid w:val="003F7554"/>
    <w:rsid w:val="003F773C"/>
    <w:rsid w:val="003F7845"/>
    <w:rsid w:val="003F7FA1"/>
    <w:rsid w:val="003F7FA4"/>
    <w:rsid w:val="004006EA"/>
    <w:rsid w:val="004008DE"/>
    <w:rsid w:val="00400B4E"/>
    <w:rsid w:val="0040130D"/>
    <w:rsid w:val="00402E56"/>
    <w:rsid w:val="00403634"/>
    <w:rsid w:val="00403A99"/>
    <w:rsid w:val="00403F02"/>
    <w:rsid w:val="004041BA"/>
    <w:rsid w:val="00404592"/>
    <w:rsid w:val="0040496E"/>
    <w:rsid w:val="00404B58"/>
    <w:rsid w:val="00404BD2"/>
    <w:rsid w:val="0040544F"/>
    <w:rsid w:val="00405537"/>
    <w:rsid w:val="0040591F"/>
    <w:rsid w:val="0040597C"/>
    <w:rsid w:val="0040625C"/>
    <w:rsid w:val="004069D2"/>
    <w:rsid w:val="004076FF"/>
    <w:rsid w:val="00410AD2"/>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16C"/>
    <w:rsid w:val="0042057C"/>
    <w:rsid w:val="00420BDF"/>
    <w:rsid w:val="00421608"/>
    <w:rsid w:val="00421849"/>
    <w:rsid w:val="00421C23"/>
    <w:rsid w:val="00422593"/>
    <w:rsid w:val="0042261E"/>
    <w:rsid w:val="00422749"/>
    <w:rsid w:val="004228F2"/>
    <w:rsid w:val="004233DC"/>
    <w:rsid w:val="00423B4B"/>
    <w:rsid w:val="00424420"/>
    <w:rsid w:val="00424888"/>
    <w:rsid w:val="004255D9"/>
    <w:rsid w:val="00425763"/>
    <w:rsid w:val="00425C3C"/>
    <w:rsid w:val="00425F29"/>
    <w:rsid w:val="0042605B"/>
    <w:rsid w:val="004260B9"/>
    <w:rsid w:val="004261FD"/>
    <w:rsid w:val="00426B69"/>
    <w:rsid w:val="00426F8D"/>
    <w:rsid w:val="00427D1B"/>
    <w:rsid w:val="00427E40"/>
    <w:rsid w:val="004306AB"/>
    <w:rsid w:val="0043159D"/>
    <w:rsid w:val="0043171D"/>
    <w:rsid w:val="00431DF9"/>
    <w:rsid w:val="0043263C"/>
    <w:rsid w:val="00432AC3"/>
    <w:rsid w:val="00432F78"/>
    <w:rsid w:val="004331AE"/>
    <w:rsid w:val="004334A2"/>
    <w:rsid w:val="004335BC"/>
    <w:rsid w:val="00433972"/>
    <w:rsid w:val="004339E6"/>
    <w:rsid w:val="00433DA5"/>
    <w:rsid w:val="00434723"/>
    <w:rsid w:val="00434729"/>
    <w:rsid w:val="0043499E"/>
    <w:rsid w:val="00434FEA"/>
    <w:rsid w:val="0043617B"/>
    <w:rsid w:val="004362D9"/>
    <w:rsid w:val="00437D17"/>
    <w:rsid w:val="00437D2F"/>
    <w:rsid w:val="0044046D"/>
    <w:rsid w:val="00440DEC"/>
    <w:rsid w:val="004410D3"/>
    <w:rsid w:val="00441A5B"/>
    <w:rsid w:val="00441DAF"/>
    <w:rsid w:val="00442297"/>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1DC1"/>
    <w:rsid w:val="0045213A"/>
    <w:rsid w:val="0045227C"/>
    <w:rsid w:val="0045230E"/>
    <w:rsid w:val="00452553"/>
    <w:rsid w:val="004528FA"/>
    <w:rsid w:val="00452D67"/>
    <w:rsid w:val="00452E53"/>
    <w:rsid w:val="0045418C"/>
    <w:rsid w:val="004542C6"/>
    <w:rsid w:val="0045435F"/>
    <w:rsid w:val="00454E09"/>
    <w:rsid w:val="00454EDC"/>
    <w:rsid w:val="00455B00"/>
    <w:rsid w:val="00455B97"/>
    <w:rsid w:val="00456635"/>
    <w:rsid w:val="00456BFD"/>
    <w:rsid w:val="004575D5"/>
    <w:rsid w:val="00457657"/>
    <w:rsid w:val="004600BF"/>
    <w:rsid w:val="00460346"/>
    <w:rsid w:val="004607D0"/>
    <w:rsid w:val="00460CE3"/>
    <w:rsid w:val="00460F25"/>
    <w:rsid w:val="0046116D"/>
    <w:rsid w:val="004612A4"/>
    <w:rsid w:val="0046153C"/>
    <w:rsid w:val="00461E88"/>
    <w:rsid w:val="004624D2"/>
    <w:rsid w:val="004625C8"/>
    <w:rsid w:val="00462DCE"/>
    <w:rsid w:val="00464194"/>
    <w:rsid w:val="0046442A"/>
    <w:rsid w:val="00464BF1"/>
    <w:rsid w:val="00464CAF"/>
    <w:rsid w:val="00465D73"/>
    <w:rsid w:val="00466078"/>
    <w:rsid w:val="0046626B"/>
    <w:rsid w:val="00466967"/>
    <w:rsid w:val="004676E4"/>
    <w:rsid w:val="00467AFF"/>
    <w:rsid w:val="00470183"/>
    <w:rsid w:val="004708C9"/>
    <w:rsid w:val="00470C48"/>
    <w:rsid w:val="00470F4B"/>
    <w:rsid w:val="0047139F"/>
    <w:rsid w:val="00471429"/>
    <w:rsid w:val="0047153B"/>
    <w:rsid w:val="004722B1"/>
    <w:rsid w:val="00472312"/>
    <w:rsid w:val="00472883"/>
    <w:rsid w:val="00473A2B"/>
    <w:rsid w:val="00473A47"/>
    <w:rsid w:val="00473A4F"/>
    <w:rsid w:val="00473C0A"/>
    <w:rsid w:val="00473EEF"/>
    <w:rsid w:val="00474415"/>
    <w:rsid w:val="00474BC1"/>
    <w:rsid w:val="00475A46"/>
    <w:rsid w:val="004763EC"/>
    <w:rsid w:val="0047679B"/>
    <w:rsid w:val="0047722F"/>
    <w:rsid w:val="00477459"/>
    <w:rsid w:val="00477CC9"/>
    <w:rsid w:val="0048026E"/>
    <w:rsid w:val="00480303"/>
    <w:rsid w:val="004804C3"/>
    <w:rsid w:val="004807A9"/>
    <w:rsid w:val="0048084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6DA6"/>
    <w:rsid w:val="00487662"/>
    <w:rsid w:val="004876C6"/>
    <w:rsid w:val="00487D7B"/>
    <w:rsid w:val="00487D99"/>
    <w:rsid w:val="0049044F"/>
    <w:rsid w:val="00490F7A"/>
    <w:rsid w:val="00490FD5"/>
    <w:rsid w:val="00491241"/>
    <w:rsid w:val="00491813"/>
    <w:rsid w:val="00492B82"/>
    <w:rsid w:val="00493278"/>
    <w:rsid w:val="00493855"/>
    <w:rsid w:val="00494511"/>
    <w:rsid w:val="004951D8"/>
    <w:rsid w:val="004952C1"/>
    <w:rsid w:val="00497575"/>
    <w:rsid w:val="004A078B"/>
    <w:rsid w:val="004A12C0"/>
    <w:rsid w:val="004A169A"/>
    <w:rsid w:val="004A18C9"/>
    <w:rsid w:val="004A191A"/>
    <w:rsid w:val="004A1A70"/>
    <w:rsid w:val="004A2D5A"/>
    <w:rsid w:val="004A2E84"/>
    <w:rsid w:val="004A3988"/>
    <w:rsid w:val="004A4027"/>
    <w:rsid w:val="004A419E"/>
    <w:rsid w:val="004A43F0"/>
    <w:rsid w:val="004A4688"/>
    <w:rsid w:val="004A4776"/>
    <w:rsid w:val="004A4B10"/>
    <w:rsid w:val="004A4F72"/>
    <w:rsid w:val="004A5741"/>
    <w:rsid w:val="004A6463"/>
    <w:rsid w:val="004A6B58"/>
    <w:rsid w:val="004A6BA2"/>
    <w:rsid w:val="004A7D74"/>
    <w:rsid w:val="004B0364"/>
    <w:rsid w:val="004B06C3"/>
    <w:rsid w:val="004B0917"/>
    <w:rsid w:val="004B0B09"/>
    <w:rsid w:val="004B140F"/>
    <w:rsid w:val="004B14EB"/>
    <w:rsid w:val="004B21CF"/>
    <w:rsid w:val="004B2DE3"/>
    <w:rsid w:val="004B34DF"/>
    <w:rsid w:val="004B3FEA"/>
    <w:rsid w:val="004B44A9"/>
    <w:rsid w:val="004B4E68"/>
    <w:rsid w:val="004B50AC"/>
    <w:rsid w:val="004B53F1"/>
    <w:rsid w:val="004B5D6E"/>
    <w:rsid w:val="004B60BA"/>
    <w:rsid w:val="004B61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55C"/>
    <w:rsid w:val="004C596B"/>
    <w:rsid w:val="004C5E41"/>
    <w:rsid w:val="004C60E7"/>
    <w:rsid w:val="004C664D"/>
    <w:rsid w:val="004C7BDE"/>
    <w:rsid w:val="004D0090"/>
    <w:rsid w:val="004D020F"/>
    <w:rsid w:val="004D03D1"/>
    <w:rsid w:val="004D0F91"/>
    <w:rsid w:val="004D10B0"/>
    <w:rsid w:val="004D11AF"/>
    <w:rsid w:val="004D1BC4"/>
    <w:rsid w:val="004D2E58"/>
    <w:rsid w:val="004D37D9"/>
    <w:rsid w:val="004D41A2"/>
    <w:rsid w:val="004D47F2"/>
    <w:rsid w:val="004D502C"/>
    <w:rsid w:val="004D5CEE"/>
    <w:rsid w:val="004D5FB2"/>
    <w:rsid w:val="004D60A3"/>
    <w:rsid w:val="004D6DC3"/>
    <w:rsid w:val="004D71CA"/>
    <w:rsid w:val="004D78B9"/>
    <w:rsid w:val="004D7CF5"/>
    <w:rsid w:val="004E016A"/>
    <w:rsid w:val="004E0461"/>
    <w:rsid w:val="004E12E8"/>
    <w:rsid w:val="004E1CC8"/>
    <w:rsid w:val="004E2052"/>
    <w:rsid w:val="004E29B1"/>
    <w:rsid w:val="004E3F87"/>
    <w:rsid w:val="004E461B"/>
    <w:rsid w:val="004E477D"/>
    <w:rsid w:val="004E534B"/>
    <w:rsid w:val="004E5890"/>
    <w:rsid w:val="004E6708"/>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AF"/>
    <w:rsid w:val="004F60F4"/>
    <w:rsid w:val="004F62E8"/>
    <w:rsid w:val="004F67C3"/>
    <w:rsid w:val="004F6C17"/>
    <w:rsid w:val="004F7390"/>
    <w:rsid w:val="004F78F8"/>
    <w:rsid w:val="005001A5"/>
    <w:rsid w:val="00500201"/>
    <w:rsid w:val="005006E8"/>
    <w:rsid w:val="00500CCD"/>
    <w:rsid w:val="005019AA"/>
    <w:rsid w:val="00502008"/>
    <w:rsid w:val="00502075"/>
    <w:rsid w:val="005026B8"/>
    <w:rsid w:val="005028AF"/>
    <w:rsid w:val="005032E9"/>
    <w:rsid w:val="00503BB1"/>
    <w:rsid w:val="00503C3B"/>
    <w:rsid w:val="00503CE7"/>
    <w:rsid w:val="005040C9"/>
    <w:rsid w:val="005042DB"/>
    <w:rsid w:val="0050458E"/>
    <w:rsid w:val="00505928"/>
    <w:rsid w:val="00505CD6"/>
    <w:rsid w:val="005069B2"/>
    <w:rsid w:val="0050741A"/>
    <w:rsid w:val="00510452"/>
    <w:rsid w:val="005104CD"/>
    <w:rsid w:val="005107BD"/>
    <w:rsid w:val="005108EC"/>
    <w:rsid w:val="00511F8F"/>
    <w:rsid w:val="005120E4"/>
    <w:rsid w:val="00512A7E"/>
    <w:rsid w:val="00513291"/>
    <w:rsid w:val="00513EA4"/>
    <w:rsid w:val="005147DA"/>
    <w:rsid w:val="00514FBF"/>
    <w:rsid w:val="00514FCB"/>
    <w:rsid w:val="005153AC"/>
    <w:rsid w:val="005153C3"/>
    <w:rsid w:val="00515745"/>
    <w:rsid w:val="00515862"/>
    <w:rsid w:val="00515C5A"/>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6735"/>
    <w:rsid w:val="005374FE"/>
    <w:rsid w:val="005375F7"/>
    <w:rsid w:val="0054053D"/>
    <w:rsid w:val="0054083A"/>
    <w:rsid w:val="0054126C"/>
    <w:rsid w:val="00541368"/>
    <w:rsid w:val="005415DD"/>
    <w:rsid w:val="00541D12"/>
    <w:rsid w:val="005423F3"/>
    <w:rsid w:val="005426DB"/>
    <w:rsid w:val="00542B9F"/>
    <w:rsid w:val="00543C9C"/>
    <w:rsid w:val="00543DBA"/>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03F"/>
    <w:rsid w:val="005547B7"/>
    <w:rsid w:val="005548F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E52"/>
    <w:rsid w:val="00567227"/>
    <w:rsid w:val="00567CD0"/>
    <w:rsid w:val="00570543"/>
    <w:rsid w:val="00570C7B"/>
    <w:rsid w:val="00571C77"/>
    <w:rsid w:val="00572BCD"/>
    <w:rsid w:val="00572D5B"/>
    <w:rsid w:val="00574614"/>
    <w:rsid w:val="00574A70"/>
    <w:rsid w:val="00574D35"/>
    <w:rsid w:val="00574EFB"/>
    <w:rsid w:val="00575449"/>
    <w:rsid w:val="00575C75"/>
    <w:rsid w:val="00575CEA"/>
    <w:rsid w:val="005762CA"/>
    <w:rsid w:val="00576D5B"/>
    <w:rsid w:val="005770CF"/>
    <w:rsid w:val="00577904"/>
    <w:rsid w:val="00577922"/>
    <w:rsid w:val="00577AC3"/>
    <w:rsid w:val="00580577"/>
    <w:rsid w:val="00580E97"/>
    <w:rsid w:val="005815A8"/>
    <w:rsid w:val="00581915"/>
    <w:rsid w:val="0058284A"/>
    <w:rsid w:val="00583431"/>
    <w:rsid w:val="005835B0"/>
    <w:rsid w:val="005846C0"/>
    <w:rsid w:val="00584972"/>
    <w:rsid w:val="00584D04"/>
    <w:rsid w:val="005850F8"/>
    <w:rsid w:val="005853F5"/>
    <w:rsid w:val="0058567E"/>
    <w:rsid w:val="00585DE1"/>
    <w:rsid w:val="0058659E"/>
    <w:rsid w:val="005869EE"/>
    <w:rsid w:val="005872DD"/>
    <w:rsid w:val="00587CF2"/>
    <w:rsid w:val="00587D3A"/>
    <w:rsid w:val="00590197"/>
    <w:rsid w:val="00590346"/>
    <w:rsid w:val="00590353"/>
    <w:rsid w:val="0059093F"/>
    <w:rsid w:val="00590BA2"/>
    <w:rsid w:val="00590CA7"/>
    <w:rsid w:val="00590E93"/>
    <w:rsid w:val="005915E1"/>
    <w:rsid w:val="0059177A"/>
    <w:rsid w:val="00591C75"/>
    <w:rsid w:val="00592858"/>
    <w:rsid w:val="00592D10"/>
    <w:rsid w:val="0059388B"/>
    <w:rsid w:val="00593A5F"/>
    <w:rsid w:val="0059404E"/>
    <w:rsid w:val="00594269"/>
    <w:rsid w:val="005950C2"/>
    <w:rsid w:val="00595539"/>
    <w:rsid w:val="00597108"/>
    <w:rsid w:val="005976DB"/>
    <w:rsid w:val="005A06DA"/>
    <w:rsid w:val="005A1A84"/>
    <w:rsid w:val="005A21AC"/>
    <w:rsid w:val="005A3242"/>
    <w:rsid w:val="005A3282"/>
    <w:rsid w:val="005A3E82"/>
    <w:rsid w:val="005A4287"/>
    <w:rsid w:val="005A482E"/>
    <w:rsid w:val="005A4DB0"/>
    <w:rsid w:val="005A5095"/>
    <w:rsid w:val="005A5597"/>
    <w:rsid w:val="005A57BF"/>
    <w:rsid w:val="005A6375"/>
    <w:rsid w:val="005A6AC2"/>
    <w:rsid w:val="005A7A65"/>
    <w:rsid w:val="005A7B26"/>
    <w:rsid w:val="005A7B80"/>
    <w:rsid w:val="005A7B8E"/>
    <w:rsid w:val="005A7C10"/>
    <w:rsid w:val="005B012B"/>
    <w:rsid w:val="005B03E2"/>
    <w:rsid w:val="005B0C87"/>
    <w:rsid w:val="005B0FE9"/>
    <w:rsid w:val="005B2195"/>
    <w:rsid w:val="005B26C7"/>
    <w:rsid w:val="005B27AA"/>
    <w:rsid w:val="005B2D1F"/>
    <w:rsid w:val="005B2D65"/>
    <w:rsid w:val="005B3877"/>
    <w:rsid w:val="005B3AC8"/>
    <w:rsid w:val="005B3CC1"/>
    <w:rsid w:val="005B4002"/>
    <w:rsid w:val="005B45AB"/>
    <w:rsid w:val="005B46DF"/>
    <w:rsid w:val="005B4D8F"/>
    <w:rsid w:val="005B526C"/>
    <w:rsid w:val="005B541E"/>
    <w:rsid w:val="005B6551"/>
    <w:rsid w:val="005B6930"/>
    <w:rsid w:val="005B6B1C"/>
    <w:rsid w:val="005B71A8"/>
    <w:rsid w:val="005B744B"/>
    <w:rsid w:val="005C0A6F"/>
    <w:rsid w:val="005C0FA7"/>
    <w:rsid w:val="005C155F"/>
    <w:rsid w:val="005C1C0E"/>
    <w:rsid w:val="005C1C42"/>
    <w:rsid w:val="005C1FF5"/>
    <w:rsid w:val="005C259E"/>
    <w:rsid w:val="005C35DB"/>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4DC"/>
    <w:rsid w:val="005C7A07"/>
    <w:rsid w:val="005C7DDC"/>
    <w:rsid w:val="005C7E9D"/>
    <w:rsid w:val="005C7F7C"/>
    <w:rsid w:val="005D0BAD"/>
    <w:rsid w:val="005D0C0A"/>
    <w:rsid w:val="005D107D"/>
    <w:rsid w:val="005D123A"/>
    <w:rsid w:val="005D2506"/>
    <w:rsid w:val="005D2BB5"/>
    <w:rsid w:val="005D3600"/>
    <w:rsid w:val="005D3677"/>
    <w:rsid w:val="005D3A10"/>
    <w:rsid w:val="005D42B7"/>
    <w:rsid w:val="005D4CFB"/>
    <w:rsid w:val="005D4E4C"/>
    <w:rsid w:val="005D57A3"/>
    <w:rsid w:val="005D5B5E"/>
    <w:rsid w:val="005D5C85"/>
    <w:rsid w:val="005D5CA0"/>
    <w:rsid w:val="005D5F27"/>
    <w:rsid w:val="005D69AB"/>
    <w:rsid w:val="005D72FC"/>
    <w:rsid w:val="005D7DFC"/>
    <w:rsid w:val="005E035A"/>
    <w:rsid w:val="005E0464"/>
    <w:rsid w:val="005E0681"/>
    <w:rsid w:val="005E1143"/>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8BC"/>
    <w:rsid w:val="005E692A"/>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CE3"/>
    <w:rsid w:val="005F4F41"/>
    <w:rsid w:val="005F4F70"/>
    <w:rsid w:val="005F566D"/>
    <w:rsid w:val="005F648F"/>
    <w:rsid w:val="005F68C3"/>
    <w:rsid w:val="005F7D83"/>
    <w:rsid w:val="005F7D87"/>
    <w:rsid w:val="00601794"/>
    <w:rsid w:val="00601E94"/>
    <w:rsid w:val="006021B1"/>
    <w:rsid w:val="00602412"/>
    <w:rsid w:val="006029A7"/>
    <w:rsid w:val="00602F40"/>
    <w:rsid w:val="006037C5"/>
    <w:rsid w:val="00603CC8"/>
    <w:rsid w:val="006040CE"/>
    <w:rsid w:val="0060467D"/>
    <w:rsid w:val="00604DF3"/>
    <w:rsid w:val="0060585E"/>
    <w:rsid w:val="00605B4D"/>
    <w:rsid w:val="00605B9D"/>
    <w:rsid w:val="00606213"/>
    <w:rsid w:val="00606830"/>
    <w:rsid w:val="00606B57"/>
    <w:rsid w:val="00606B85"/>
    <w:rsid w:val="00607390"/>
    <w:rsid w:val="006076D8"/>
    <w:rsid w:val="00607C43"/>
    <w:rsid w:val="00607E6D"/>
    <w:rsid w:val="00610490"/>
    <w:rsid w:val="0061061D"/>
    <w:rsid w:val="00610B97"/>
    <w:rsid w:val="00611708"/>
    <w:rsid w:val="00611816"/>
    <w:rsid w:val="00611A3B"/>
    <w:rsid w:val="006120CA"/>
    <w:rsid w:val="00612389"/>
    <w:rsid w:val="00612570"/>
    <w:rsid w:val="006127BD"/>
    <w:rsid w:val="00612871"/>
    <w:rsid w:val="00612929"/>
    <w:rsid w:val="006129DD"/>
    <w:rsid w:val="00612A44"/>
    <w:rsid w:val="00612A8E"/>
    <w:rsid w:val="00612CA8"/>
    <w:rsid w:val="00613098"/>
    <w:rsid w:val="0061348F"/>
    <w:rsid w:val="006134D9"/>
    <w:rsid w:val="006135DA"/>
    <w:rsid w:val="00613BDC"/>
    <w:rsid w:val="00613F64"/>
    <w:rsid w:val="00614921"/>
    <w:rsid w:val="00615564"/>
    <w:rsid w:val="006155E2"/>
    <w:rsid w:val="00615CD9"/>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31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DEA"/>
    <w:rsid w:val="00640E9A"/>
    <w:rsid w:val="006412CD"/>
    <w:rsid w:val="006413D8"/>
    <w:rsid w:val="00641420"/>
    <w:rsid w:val="00641610"/>
    <w:rsid w:val="00641B7B"/>
    <w:rsid w:val="00641C55"/>
    <w:rsid w:val="00642405"/>
    <w:rsid w:val="00642645"/>
    <w:rsid w:val="006437E8"/>
    <w:rsid w:val="006438E0"/>
    <w:rsid w:val="006443D6"/>
    <w:rsid w:val="00644BED"/>
    <w:rsid w:val="00644F27"/>
    <w:rsid w:val="006453C4"/>
    <w:rsid w:val="006455CB"/>
    <w:rsid w:val="00645D0D"/>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19F"/>
    <w:rsid w:val="006544CD"/>
    <w:rsid w:val="006549B4"/>
    <w:rsid w:val="00654D37"/>
    <w:rsid w:val="00654F06"/>
    <w:rsid w:val="00655307"/>
    <w:rsid w:val="00656385"/>
    <w:rsid w:val="00656F19"/>
    <w:rsid w:val="00657274"/>
    <w:rsid w:val="00657BB7"/>
    <w:rsid w:val="00660299"/>
    <w:rsid w:val="00660552"/>
    <w:rsid w:val="0066099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438"/>
    <w:rsid w:val="00666676"/>
    <w:rsid w:val="00666F2F"/>
    <w:rsid w:val="00667421"/>
    <w:rsid w:val="0066780E"/>
    <w:rsid w:val="00667A31"/>
    <w:rsid w:val="00667E6C"/>
    <w:rsid w:val="006705AE"/>
    <w:rsid w:val="00670702"/>
    <w:rsid w:val="006708EB"/>
    <w:rsid w:val="006712D2"/>
    <w:rsid w:val="006713B7"/>
    <w:rsid w:val="0067147C"/>
    <w:rsid w:val="0067225F"/>
    <w:rsid w:val="00672895"/>
    <w:rsid w:val="00672A8A"/>
    <w:rsid w:val="006733B7"/>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B66"/>
    <w:rsid w:val="00682C1D"/>
    <w:rsid w:val="00682E0E"/>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180F"/>
    <w:rsid w:val="00692401"/>
    <w:rsid w:val="00692AD4"/>
    <w:rsid w:val="00693B7A"/>
    <w:rsid w:val="006940BE"/>
    <w:rsid w:val="006941CC"/>
    <w:rsid w:val="006942BA"/>
    <w:rsid w:val="006945D4"/>
    <w:rsid w:val="00694EC0"/>
    <w:rsid w:val="00695852"/>
    <w:rsid w:val="00695F56"/>
    <w:rsid w:val="0069690E"/>
    <w:rsid w:val="00696E17"/>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986"/>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2E26"/>
    <w:rsid w:val="006C31C6"/>
    <w:rsid w:val="006C32BE"/>
    <w:rsid w:val="006C3A2D"/>
    <w:rsid w:val="006C4666"/>
    <w:rsid w:val="006C47FB"/>
    <w:rsid w:val="006C49BF"/>
    <w:rsid w:val="006C4BB3"/>
    <w:rsid w:val="006C63D7"/>
    <w:rsid w:val="006C6894"/>
    <w:rsid w:val="006C69D9"/>
    <w:rsid w:val="006C6C2D"/>
    <w:rsid w:val="006C6DE2"/>
    <w:rsid w:val="006C7535"/>
    <w:rsid w:val="006C76A6"/>
    <w:rsid w:val="006C796D"/>
    <w:rsid w:val="006D0525"/>
    <w:rsid w:val="006D08DC"/>
    <w:rsid w:val="006D09D1"/>
    <w:rsid w:val="006D10C4"/>
    <w:rsid w:val="006D23FF"/>
    <w:rsid w:val="006D2F09"/>
    <w:rsid w:val="006D2FD2"/>
    <w:rsid w:val="006D33E6"/>
    <w:rsid w:val="006D3783"/>
    <w:rsid w:val="006D3793"/>
    <w:rsid w:val="006D3DC0"/>
    <w:rsid w:val="006D40C4"/>
    <w:rsid w:val="006D4162"/>
    <w:rsid w:val="006D447A"/>
    <w:rsid w:val="006D44D2"/>
    <w:rsid w:val="006D453E"/>
    <w:rsid w:val="006D4F80"/>
    <w:rsid w:val="006D5303"/>
    <w:rsid w:val="006D5E84"/>
    <w:rsid w:val="006D7A4C"/>
    <w:rsid w:val="006D7C99"/>
    <w:rsid w:val="006E0369"/>
    <w:rsid w:val="006E0443"/>
    <w:rsid w:val="006E0C50"/>
    <w:rsid w:val="006E0DCF"/>
    <w:rsid w:val="006E0FFF"/>
    <w:rsid w:val="006E1006"/>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080E"/>
    <w:rsid w:val="006F193C"/>
    <w:rsid w:val="006F1B58"/>
    <w:rsid w:val="006F27DC"/>
    <w:rsid w:val="006F2B89"/>
    <w:rsid w:val="006F36F1"/>
    <w:rsid w:val="006F379D"/>
    <w:rsid w:val="006F3B81"/>
    <w:rsid w:val="006F4163"/>
    <w:rsid w:val="006F4860"/>
    <w:rsid w:val="006F4D59"/>
    <w:rsid w:val="006F4F79"/>
    <w:rsid w:val="006F4F80"/>
    <w:rsid w:val="006F5532"/>
    <w:rsid w:val="006F5ADA"/>
    <w:rsid w:val="006F62CC"/>
    <w:rsid w:val="006F644B"/>
    <w:rsid w:val="006F66C1"/>
    <w:rsid w:val="006F681D"/>
    <w:rsid w:val="006F6FA1"/>
    <w:rsid w:val="006F731E"/>
    <w:rsid w:val="006F78E9"/>
    <w:rsid w:val="00700251"/>
    <w:rsid w:val="00700C66"/>
    <w:rsid w:val="0070235F"/>
    <w:rsid w:val="00702BC3"/>
    <w:rsid w:val="00702FF3"/>
    <w:rsid w:val="007032AC"/>
    <w:rsid w:val="00703496"/>
    <w:rsid w:val="007036FE"/>
    <w:rsid w:val="00703AB1"/>
    <w:rsid w:val="00704614"/>
    <w:rsid w:val="00704C5F"/>
    <w:rsid w:val="00704DEB"/>
    <w:rsid w:val="00705623"/>
    <w:rsid w:val="00705B37"/>
    <w:rsid w:val="00706318"/>
    <w:rsid w:val="0070658A"/>
    <w:rsid w:val="00706B65"/>
    <w:rsid w:val="007070DA"/>
    <w:rsid w:val="007071AF"/>
    <w:rsid w:val="00707C1A"/>
    <w:rsid w:val="00710023"/>
    <w:rsid w:val="00710207"/>
    <w:rsid w:val="0071023D"/>
    <w:rsid w:val="007103CD"/>
    <w:rsid w:val="007104C6"/>
    <w:rsid w:val="007104CB"/>
    <w:rsid w:val="00710530"/>
    <w:rsid w:val="0071078C"/>
    <w:rsid w:val="007107BD"/>
    <w:rsid w:val="00710A67"/>
    <w:rsid w:val="00710A79"/>
    <w:rsid w:val="00711E77"/>
    <w:rsid w:val="00712912"/>
    <w:rsid w:val="00712C25"/>
    <w:rsid w:val="00713AAC"/>
    <w:rsid w:val="00713B8D"/>
    <w:rsid w:val="00713C1D"/>
    <w:rsid w:val="00713D18"/>
    <w:rsid w:val="007141DC"/>
    <w:rsid w:val="0071456E"/>
    <w:rsid w:val="00714B04"/>
    <w:rsid w:val="00714F75"/>
    <w:rsid w:val="007155CE"/>
    <w:rsid w:val="0071618C"/>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B68"/>
    <w:rsid w:val="00731D5E"/>
    <w:rsid w:val="00732492"/>
    <w:rsid w:val="00733549"/>
    <w:rsid w:val="00733E5A"/>
    <w:rsid w:val="00733F25"/>
    <w:rsid w:val="0073416D"/>
    <w:rsid w:val="00736395"/>
    <w:rsid w:val="00736459"/>
    <w:rsid w:val="0073685F"/>
    <w:rsid w:val="00737821"/>
    <w:rsid w:val="0074058F"/>
    <w:rsid w:val="00740E86"/>
    <w:rsid w:val="00741175"/>
    <w:rsid w:val="007419FB"/>
    <w:rsid w:val="0074218C"/>
    <w:rsid w:val="00742606"/>
    <w:rsid w:val="007441FF"/>
    <w:rsid w:val="007447EC"/>
    <w:rsid w:val="007448A7"/>
    <w:rsid w:val="00744EE8"/>
    <w:rsid w:val="00744F42"/>
    <w:rsid w:val="0074556D"/>
    <w:rsid w:val="007459F5"/>
    <w:rsid w:val="00745BAB"/>
    <w:rsid w:val="00745D9E"/>
    <w:rsid w:val="007466DC"/>
    <w:rsid w:val="00746713"/>
    <w:rsid w:val="007467E4"/>
    <w:rsid w:val="00746B08"/>
    <w:rsid w:val="00747569"/>
    <w:rsid w:val="00747960"/>
    <w:rsid w:val="00750238"/>
    <w:rsid w:val="0075023C"/>
    <w:rsid w:val="00750F06"/>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2D40"/>
    <w:rsid w:val="0076325B"/>
    <w:rsid w:val="007632C6"/>
    <w:rsid w:val="00763A04"/>
    <w:rsid w:val="00764AF9"/>
    <w:rsid w:val="007650AD"/>
    <w:rsid w:val="00765D18"/>
    <w:rsid w:val="00765E51"/>
    <w:rsid w:val="0076640B"/>
    <w:rsid w:val="00766C54"/>
    <w:rsid w:val="007673DE"/>
    <w:rsid w:val="00770C54"/>
    <w:rsid w:val="00771344"/>
    <w:rsid w:val="0077213A"/>
    <w:rsid w:val="00772613"/>
    <w:rsid w:val="00772B41"/>
    <w:rsid w:val="00772CED"/>
    <w:rsid w:val="0077366F"/>
    <w:rsid w:val="00773EA1"/>
    <w:rsid w:val="00775215"/>
    <w:rsid w:val="00775748"/>
    <w:rsid w:val="007757B1"/>
    <w:rsid w:val="00776ACC"/>
    <w:rsid w:val="00776AD5"/>
    <w:rsid w:val="00777AE2"/>
    <w:rsid w:val="00777C71"/>
    <w:rsid w:val="00777D6B"/>
    <w:rsid w:val="00777F20"/>
    <w:rsid w:val="0078080B"/>
    <w:rsid w:val="00781148"/>
    <w:rsid w:val="0078120F"/>
    <w:rsid w:val="00781F98"/>
    <w:rsid w:val="007820DF"/>
    <w:rsid w:val="0078265B"/>
    <w:rsid w:val="00782AFE"/>
    <w:rsid w:val="00782D1E"/>
    <w:rsid w:val="00782E10"/>
    <w:rsid w:val="0078487B"/>
    <w:rsid w:val="00784926"/>
    <w:rsid w:val="00784DB8"/>
    <w:rsid w:val="00784FDD"/>
    <w:rsid w:val="0078501B"/>
    <w:rsid w:val="0078508F"/>
    <w:rsid w:val="00786448"/>
    <w:rsid w:val="007875D7"/>
    <w:rsid w:val="007906B2"/>
    <w:rsid w:val="0079134E"/>
    <w:rsid w:val="007925F0"/>
    <w:rsid w:val="0079278E"/>
    <w:rsid w:val="00792DCA"/>
    <w:rsid w:val="00792E3C"/>
    <w:rsid w:val="00792FDF"/>
    <w:rsid w:val="00793040"/>
    <w:rsid w:val="007930C1"/>
    <w:rsid w:val="0079315D"/>
    <w:rsid w:val="00793974"/>
    <w:rsid w:val="00793B45"/>
    <w:rsid w:val="007946EE"/>
    <w:rsid w:val="0079477A"/>
    <w:rsid w:val="007956CD"/>
    <w:rsid w:val="00795706"/>
    <w:rsid w:val="007960E3"/>
    <w:rsid w:val="007965BA"/>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4D4E"/>
    <w:rsid w:val="007B51F8"/>
    <w:rsid w:val="007B7462"/>
    <w:rsid w:val="007B7B52"/>
    <w:rsid w:val="007B7EEE"/>
    <w:rsid w:val="007C02A3"/>
    <w:rsid w:val="007C02F3"/>
    <w:rsid w:val="007C0C55"/>
    <w:rsid w:val="007C1507"/>
    <w:rsid w:val="007C1857"/>
    <w:rsid w:val="007C207E"/>
    <w:rsid w:val="007C290B"/>
    <w:rsid w:val="007C2E40"/>
    <w:rsid w:val="007C2F60"/>
    <w:rsid w:val="007C3064"/>
    <w:rsid w:val="007C3639"/>
    <w:rsid w:val="007C3757"/>
    <w:rsid w:val="007C3DF2"/>
    <w:rsid w:val="007C4D8D"/>
    <w:rsid w:val="007C5144"/>
    <w:rsid w:val="007C5613"/>
    <w:rsid w:val="007C6138"/>
    <w:rsid w:val="007C6153"/>
    <w:rsid w:val="007C6849"/>
    <w:rsid w:val="007C6BC6"/>
    <w:rsid w:val="007C6C12"/>
    <w:rsid w:val="007C73B2"/>
    <w:rsid w:val="007C7A4A"/>
    <w:rsid w:val="007D0435"/>
    <w:rsid w:val="007D0D3E"/>
    <w:rsid w:val="007D116E"/>
    <w:rsid w:val="007D1772"/>
    <w:rsid w:val="007D1B24"/>
    <w:rsid w:val="007D267F"/>
    <w:rsid w:val="007D3341"/>
    <w:rsid w:val="007D399C"/>
    <w:rsid w:val="007D3A3E"/>
    <w:rsid w:val="007D400A"/>
    <w:rsid w:val="007D4365"/>
    <w:rsid w:val="007D44C1"/>
    <w:rsid w:val="007D4B0E"/>
    <w:rsid w:val="007D4DD2"/>
    <w:rsid w:val="007D558F"/>
    <w:rsid w:val="007D5D0F"/>
    <w:rsid w:val="007D6EA8"/>
    <w:rsid w:val="007D7B3C"/>
    <w:rsid w:val="007E010B"/>
    <w:rsid w:val="007E042B"/>
    <w:rsid w:val="007E05DB"/>
    <w:rsid w:val="007E1247"/>
    <w:rsid w:val="007E168B"/>
    <w:rsid w:val="007E1A44"/>
    <w:rsid w:val="007E2419"/>
    <w:rsid w:val="007E2E7D"/>
    <w:rsid w:val="007E3FF5"/>
    <w:rsid w:val="007E4219"/>
    <w:rsid w:val="007E577E"/>
    <w:rsid w:val="007E635E"/>
    <w:rsid w:val="007E6A9C"/>
    <w:rsid w:val="007E6C0C"/>
    <w:rsid w:val="007E7300"/>
    <w:rsid w:val="007E75BB"/>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3F96"/>
    <w:rsid w:val="007F45DF"/>
    <w:rsid w:val="007F4A6F"/>
    <w:rsid w:val="007F4FBC"/>
    <w:rsid w:val="007F5975"/>
    <w:rsid w:val="007F5AB9"/>
    <w:rsid w:val="007F6497"/>
    <w:rsid w:val="007F6836"/>
    <w:rsid w:val="007F6F3B"/>
    <w:rsid w:val="007F7DF2"/>
    <w:rsid w:val="008005E6"/>
    <w:rsid w:val="00800A35"/>
    <w:rsid w:val="00800D91"/>
    <w:rsid w:val="008015F2"/>
    <w:rsid w:val="00801A0E"/>
    <w:rsid w:val="00802D1F"/>
    <w:rsid w:val="00803362"/>
    <w:rsid w:val="00803C65"/>
    <w:rsid w:val="00804BC0"/>
    <w:rsid w:val="00804E3C"/>
    <w:rsid w:val="00804E4C"/>
    <w:rsid w:val="008059CD"/>
    <w:rsid w:val="00806272"/>
    <w:rsid w:val="008064DD"/>
    <w:rsid w:val="0080662C"/>
    <w:rsid w:val="008070B2"/>
    <w:rsid w:val="00807D79"/>
    <w:rsid w:val="00810102"/>
    <w:rsid w:val="008102BC"/>
    <w:rsid w:val="0081146C"/>
    <w:rsid w:val="008116F3"/>
    <w:rsid w:val="008117C4"/>
    <w:rsid w:val="008119A7"/>
    <w:rsid w:val="00811EBB"/>
    <w:rsid w:val="0081222E"/>
    <w:rsid w:val="00812461"/>
    <w:rsid w:val="008127E0"/>
    <w:rsid w:val="00812810"/>
    <w:rsid w:val="0081398E"/>
    <w:rsid w:val="00813F02"/>
    <w:rsid w:val="008149D8"/>
    <w:rsid w:val="008153CE"/>
    <w:rsid w:val="00815714"/>
    <w:rsid w:val="00815A2A"/>
    <w:rsid w:val="0081617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43FC"/>
    <w:rsid w:val="00825C68"/>
    <w:rsid w:val="0082677D"/>
    <w:rsid w:val="00826883"/>
    <w:rsid w:val="00826AD5"/>
    <w:rsid w:val="0082757E"/>
    <w:rsid w:val="0082769C"/>
    <w:rsid w:val="008277D4"/>
    <w:rsid w:val="008279D2"/>
    <w:rsid w:val="00827B6C"/>
    <w:rsid w:val="00827D77"/>
    <w:rsid w:val="00830259"/>
    <w:rsid w:val="00830561"/>
    <w:rsid w:val="00830942"/>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3D9D"/>
    <w:rsid w:val="008451F8"/>
    <w:rsid w:val="008456C8"/>
    <w:rsid w:val="008457D2"/>
    <w:rsid w:val="00846212"/>
    <w:rsid w:val="008468E0"/>
    <w:rsid w:val="0084767E"/>
    <w:rsid w:val="0084790F"/>
    <w:rsid w:val="00847BE7"/>
    <w:rsid w:val="00850881"/>
    <w:rsid w:val="00850EAB"/>
    <w:rsid w:val="00851C80"/>
    <w:rsid w:val="00851D70"/>
    <w:rsid w:val="00852760"/>
    <w:rsid w:val="008529B3"/>
    <w:rsid w:val="008529BB"/>
    <w:rsid w:val="00852ADD"/>
    <w:rsid w:val="00853883"/>
    <w:rsid w:val="00853EB9"/>
    <w:rsid w:val="00854CF7"/>
    <w:rsid w:val="00854DA7"/>
    <w:rsid w:val="0085561B"/>
    <w:rsid w:val="008557A0"/>
    <w:rsid w:val="00855FA6"/>
    <w:rsid w:val="00856258"/>
    <w:rsid w:val="0085629D"/>
    <w:rsid w:val="00856607"/>
    <w:rsid w:val="00857AA1"/>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424D"/>
    <w:rsid w:val="00874E4E"/>
    <w:rsid w:val="008755E7"/>
    <w:rsid w:val="00875A46"/>
    <w:rsid w:val="00875DB4"/>
    <w:rsid w:val="00875E16"/>
    <w:rsid w:val="00877D03"/>
    <w:rsid w:val="00877E96"/>
    <w:rsid w:val="0088023D"/>
    <w:rsid w:val="008803CE"/>
    <w:rsid w:val="00880D8F"/>
    <w:rsid w:val="00882077"/>
    <w:rsid w:val="008820D9"/>
    <w:rsid w:val="00882F34"/>
    <w:rsid w:val="00883496"/>
    <w:rsid w:val="00883613"/>
    <w:rsid w:val="0088557F"/>
    <w:rsid w:val="00886393"/>
    <w:rsid w:val="00886579"/>
    <w:rsid w:val="0088689B"/>
    <w:rsid w:val="00886F19"/>
    <w:rsid w:val="00887090"/>
    <w:rsid w:val="00887865"/>
    <w:rsid w:val="00887B37"/>
    <w:rsid w:val="00890598"/>
    <w:rsid w:val="0089065A"/>
    <w:rsid w:val="00890DEB"/>
    <w:rsid w:val="0089177A"/>
    <w:rsid w:val="00891AA9"/>
    <w:rsid w:val="00891D7A"/>
    <w:rsid w:val="00891DFC"/>
    <w:rsid w:val="00892791"/>
    <w:rsid w:val="00892B98"/>
    <w:rsid w:val="00893400"/>
    <w:rsid w:val="00893724"/>
    <w:rsid w:val="008945D2"/>
    <w:rsid w:val="008949A3"/>
    <w:rsid w:val="00894CB5"/>
    <w:rsid w:val="008959FC"/>
    <w:rsid w:val="0089605E"/>
    <w:rsid w:val="00896668"/>
    <w:rsid w:val="00896E9A"/>
    <w:rsid w:val="00897619"/>
    <w:rsid w:val="008978D6"/>
    <w:rsid w:val="008A0533"/>
    <w:rsid w:val="008A097C"/>
    <w:rsid w:val="008A0CCC"/>
    <w:rsid w:val="008A1D0E"/>
    <w:rsid w:val="008A25EA"/>
    <w:rsid w:val="008A276E"/>
    <w:rsid w:val="008A31C7"/>
    <w:rsid w:val="008A3215"/>
    <w:rsid w:val="008A3630"/>
    <w:rsid w:val="008A3E8B"/>
    <w:rsid w:val="008A47BE"/>
    <w:rsid w:val="008A4AEC"/>
    <w:rsid w:val="008A5609"/>
    <w:rsid w:val="008A5697"/>
    <w:rsid w:val="008A5B35"/>
    <w:rsid w:val="008A6DD5"/>
    <w:rsid w:val="008A6DF0"/>
    <w:rsid w:val="008A6FA0"/>
    <w:rsid w:val="008B0385"/>
    <w:rsid w:val="008B05E6"/>
    <w:rsid w:val="008B0E76"/>
    <w:rsid w:val="008B105C"/>
    <w:rsid w:val="008B15CE"/>
    <w:rsid w:val="008B1B05"/>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4F4"/>
    <w:rsid w:val="008C0D0C"/>
    <w:rsid w:val="008C127A"/>
    <w:rsid w:val="008C179E"/>
    <w:rsid w:val="008C18BD"/>
    <w:rsid w:val="008C1932"/>
    <w:rsid w:val="008C1CC8"/>
    <w:rsid w:val="008C1CD3"/>
    <w:rsid w:val="008C1ECC"/>
    <w:rsid w:val="008C2C41"/>
    <w:rsid w:val="008C2C7F"/>
    <w:rsid w:val="008C2F0D"/>
    <w:rsid w:val="008C346A"/>
    <w:rsid w:val="008C364D"/>
    <w:rsid w:val="008C39F9"/>
    <w:rsid w:val="008C500C"/>
    <w:rsid w:val="008C58A2"/>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D6B"/>
    <w:rsid w:val="008D6E81"/>
    <w:rsid w:val="008D7739"/>
    <w:rsid w:val="008D7A64"/>
    <w:rsid w:val="008D7A92"/>
    <w:rsid w:val="008E0302"/>
    <w:rsid w:val="008E03F3"/>
    <w:rsid w:val="008E081C"/>
    <w:rsid w:val="008E1267"/>
    <w:rsid w:val="008E19FD"/>
    <w:rsid w:val="008E1B7B"/>
    <w:rsid w:val="008E22F8"/>
    <w:rsid w:val="008E23EE"/>
    <w:rsid w:val="008E25D0"/>
    <w:rsid w:val="008E25EC"/>
    <w:rsid w:val="008E3672"/>
    <w:rsid w:val="008E39D8"/>
    <w:rsid w:val="008E3E7F"/>
    <w:rsid w:val="008E5313"/>
    <w:rsid w:val="008E5D73"/>
    <w:rsid w:val="008E606F"/>
    <w:rsid w:val="008E6300"/>
    <w:rsid w:val="008E675E"/>
    <w:rsid w:val="008E6AD9"/>
    <w:rsid w:val="008E6E25"/>
    <w:rsid w:val="008E7EA2"/>
    <w:rsid w:val="008F022A"/>
    <w:rsid w:val="008F06FD"/>
    <w:rsid w:val="008F1172"/>
    <w:rsid w:val="008F27E3"/>
    <w:rsid w:val="008F2A7C"/>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EDE"/>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17D73"/>
    <w:rsid w:val="0092002E"/>
    <w:rsid w:val="0092050A"/>
    <w:rsid w:val="009209A1"/>
    <w:rsid w:val="00920EC6"/>
    <w:rsid w:val="0092101E"/>
    <w:rsid w:val="009225D6"/>
    <w:rsid w:val="0092383B"/>
    <w:rsid w:val="00923B92"/>
    <w:rsid w:val="00923DCE"/>
    <w:rsid w:val="00924119"/>
    <w:rsid w:val="0092434F"/>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246"/>
    <w:rsid w:val="00933846"/>
    <w:rsid w:val="00933A80"/>
    <w:rsid w:val="00933C37"/>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5863"/>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4883"/>
    <w:rsid w:val="00955EE9"/>
    <w:rsid w:val="009562AE"/>
    <w:rsid w:val="0095654A"/>
    <w:rsid w:val="00956BF5"/>
    <w:rsid w:val="009570CF"/>
    <w:rsid w:val="009571C2"/>
    <w:rsid w:val="009575C3"/>
    <w:rsid w:val="0095770C"/>
    <w:rsid w:val="009579AF"/>
    <w:rsid w:val="00957CC8"/>
    <w:rsid w:val="00957D6A"/>
    <w:rsid w:val="00957EE7"/>
    <w:rsid w:val="0096086A"/>
    <w:rsid w:val="009612A9"/>
    <w:rsid w:val="00961453"/>
    <w:rsid w:val="009616D4"/>
    <w:rsid w:val="0096182D"/>
    <w:rsid w:val="00962150"/>
    <w:rsid w:val="009621F4"/>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801"/>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109"/>
    <w:rsid w:val="00977542"/>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CD5"/>
    <w:rsid w:val="00991DF8"/>
    <w:rsid w:val="00992499"/>
    <w:rsid w:val="009928A3"/>
    <w:rsid w:val="00992986"/>
    <w:rsid w:val="009936E2"/>
    <w:rsid w:val="00994B55"/>
    <w:rsid w:val="00995D86"/>
    <w:rsid w:val="00995FB2"/>
    <w:rsid w:val="009965EF"/>
    <w:rsid w:val="00996A5A"/>
    <w:rsid w:val="0099781E"/>
    <w:rsid w:val="00997A68"/>
    <w:rsid w:val="009A0071"/>
    <w:rsid w:val="009A00EA"/>
    <w:rsid w:val="009A0403"/>
    <w:rsid w:val="009A0587"/>
    <w:rsid w:val="009A0DA2"/>
    <w:rsid w:val="009A1F6B"/>
    <w:rsid w:val="009A21F0"/>
    <w:rsid w:val="009A2616"/>
    <w:rsid w:val="009A2C4C"/>
    <w:rsid w:val="009A2DD8"/>
    <w:rsid w:val="009A30DE"/>
    <w:rsid w:val="009A39D5"/>
    <w:rsid w:val="009A3D29"/>
    <w:rsid w:val="009A509F"/>
    <w:rsid w:val="009A52AE"/>
    <w:rsid w:val="009A5453"/>
    <w:rsid w:val="009A5635"/>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B0A"/>
    <w:rsid w:val="009C0519"/>
    <w:rsid w:val="009C07C9"/>
    <w:rsid w:val="009C08D7"/>
    <w:rsid w:val="009C0B63"/>
    <w:rsid w:val="009C0DC5"/>
    <w:rsid w:val="009C1866"/>
    <w:rsid w:val="009C1FDE"/>
    <w:rsid w:val="009C23FE"/>
    <w:rsid w:val="009C24C8"/>
    <w:rsid w:val="009C274A"/>
    <w:rsid w:val="009C327D"/>
    <w:rsid w:val="009C375C"/>
    <w:rsid w:val="009C4E0D"/>
    <w:rsid w:val="009C4F09"/>
    <w:rsid w:val="009C4F1B"/>
    <w:rsid w:val="009C503B"/>
    <w:rsid w:val="009C542B"/>
    <w:rsid w:val="009C5793"/>
    <w:rsid w:val="009C5816"/>
    <w:rsid w:val="009C61EA"/>
    <w:rsid w:val="009C63EC"/>
    <w:rsid w:val="009C6DF1"/>
    <w:rsid w:val="009C71A3"/>
    <w:rsid w:val="009C7DAC"/>
    <w:rsid w:val="009C7DBA"/>
    <w:rsid w:val="009C7F93"/>
    <w:rsid w:val="009D077D"/>
    <w:rsid w:val="009D08A6"/>
    <w:rsid w:val="009D0EC0"/>
    <w:rsid w:val="009D134B"/>
    <w:rsid w:val="009D1915"/>
    <w:rsid w:val="009D1B69"/>
    <w:rsid w:val="009D1EB3"/>
    <w:rsid w:val="009D25DE"/>
    <w:rsid w:val="009D2ABF"/>
    <w:rsid w:val="009D3AD2"/>
    <w:rsid w:val="009D3E06"/>
    <w:rsid w:val="009D5843"/>
    <w:rsid w:val="009D638D"/>
    <w:rsid w:val="009D6393"/>
    <w:rsid w:val="009D695C"/>
    <w:rsid w:val="009D6B6C"/>
    <w:rsid w:val="009D766F"/>
    <w:rsid w:val="009E0885"/>
    <w:rsid w:val="009E1CC8"/>
    <w:rsid w:val="009E20F7"/>
    <w:rsid w:val="009E2827"/>
    <w:rsid w:val="009E2863"/>
    <w:rsid w:val="009E30D2"/>
    <w:rsid w:val="009E31B5"/>
    <w:rsid w:val="009E40B4"/>
    <w:rsid w:val="009E4885"/>
    <w:rsid w:val="009E49C6"/>
    <w:rsid w:val="009E4E65"/>
    <w:rsid w:val="009E4F7C"/>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35D"/>
    <w:rsid w:val="009F36D6"/>
    <w:rsid w:val="009F3860"/>
    <w:rsid w:val="009F47DD"/>
    <w:rsid w:val="009F4F7D"/>
    <w:rsid w:val="009F6575"/>
    <w:rsid w:val="009F7ADC"/>
    <w:rsid w:val="00A0002A"/>
    <w:rsid w:val="00A01F3A"/>
    <w:rsid w:val="00A0236D"/>
    <w:rsid w:val="00A026A4"/>
    <w:rsid w:val="00A02985"/>
    <w:rsid w:val="00A02B2B"/>
    <w:rsid w:val="00A02FA8"/>
    <w:rsid w:val="00A03F1A"/>
    <w:rsid w:val="00A03F74"/>
    <w:rsid w:val="00A03F88"/>
    <w:rsid w:val="00A044B9"/>
    <w:rsid w:val="00A046BF"/>
    <w:rsid w:val="00A04709"/>
    <w:rsid w:val="00A04813"/>
    <w:rsid w:val="00A05A37"/>
    <w:rsid w:val="00A05B25"/>
    <w:rsid w:val="00A05C04"/>
    <w:rsid w:val="00A05EC0"/>
    <w:rsid w:val="00A06254"/>
    <w:rsid w:val="00A06842"/>
    <w:rsid w:val="00A06931"/>
    <w:rsid w:val="00A07459"/>
    <w:rsid w:val="00A07D78"/>
    <w:rsid w:val="00A07DB6"/>
    <w:rsid w:val="00A10573"/>
    <w:rsid w:val="00A10972"/>
    <w:rsid w:val="00A11406"/>
    <w:rsid w:val="00A11A0E"/>
    <w:rsid w:val="00A11C82"/>
    <w:rsid w:val="00A12602"/>
    <w:rsid w:val="00A13205"/>
    <w:rsid w:val="00A132A1"/>
    <w:rsid w:val="00A13422"/>
    <w:rsid w:val="00A148F0"/>
    <w:rsid w:val="00A15132"/>
    <w:rsid w:val="00A15331"/>
    <w:rsid w:val="00A1554D"/>
    <w:rsid w:val="00A15792"/>
    <w:rsid w:val="00A158E3"/>
    <w:rsid w:val="00A1591A"/>
    <w:rsid w:val="00A16E4B"/>
    <w:rsid w:val="00A172E0"/>
    <w:rsid w:val="00A17527"/>
    <w:rsid w:val="00A211C5"/>
    <w:rsid w:val="00A221A3"/>
    <w:rsid w:val="00A22337"/>
    <w:rsid w:val="00A223D5"/>
    <w:rsid w:val="00A235E4"/>
    <w:rsid w:val="00A23F41"/>
    <w:rsid w:val="00A23FDF"/>
    <w:rsid w:val="00A254D5"/>
    <w:rsid w:val="00A25547"/>
    <w:rsid w:val="00A2563D"/>
    <w:rsid w:val="00A25A2E"/>
    <w:rsid w:val="00A25F76"/>
    <w:rsid w:val="00A27613"/>
    <w:rsid w:val="00A277C8"/>
    <w:rsid w:val="00A3003E"/>
    <w:rsid w:val="00A31E14"/>
    <w:rsid w:val="00A331DC"/>
    <w:rsid w:val="00A3325E"/>
    <w:rsid w:val="00A34276"/>
    <w:rsid w:val="00A34524"/>
    <w:rsid w:val="00A345B6"/>
    <w:rsid w:val="00A3502D"/>
    <w:rsid w:val="00A354D1"/>
    <w:rsid w:val="00A357A4"/>
    <w:rsid w:val="00A357A9"/>
    <w:rsid w:val="00A35AF5"/>
    <w:rsid w:val="00A35CDF"/>
    <w:rsid w:val="00A36453"/>
    <w:rsid w:val="00A373E1"/>
    <w:rsid w:val="00A378CE"/>
    <w:rsid w:val="00A37970"/>
    <w:rsid w:val="00A37A68"/>
    <w:rsid w:val="00A37B0C"/>
    <w:rsid w:val="00A37CE6"/>
    <w:rsid w:val="00A37D1C"/>
    <w:rsid w:val="00A37FFE"/>
    <w:rsid w:val="00A404BE"/>
    <w:rsid w:val="00A40C08"/>
    <w:rsid w:val="00A40ECF"/>
    <w:rsid w:val="00A411C9"/>
    <w:rsid w:val="00A41B47"/>
    <w:rsid w:val="00A41BB2"/>
    <w:rsid w:val="00A41FEF"/>
    <w:rsid w:val="00A42476"/>
    <w:rsid w:val="00A433CA"/>
    <w:rsid w:val="00A43A1A"/>
    <w:rsid w:val="00A43D48"/>
    <w:rsid w:val="00A43F3C"/>
    <w:rsid w:val="00A447A5"/>
    <w:rsid w:val="00A44D13"/>
    <w:rsid w:val="00A44D18"/>
    <w:rsid w:val="00A45B83"/>
    <w:rsid w:val="00A4646E"/>
    <w:rsid w:val="00A468FD"/>
    <w:rsid w:val="00A46921"/>
    <w:rsid w:val="00A46BC6"/>
    <w:rsid w:val="00A46DEF"/>
    <w:rsid w:val="00A47249"/>
    <w:rsid w:val="00A47723"/>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809"/>
    <w:rsid w:val="00A57B07"/>
    <w:rsid w:val="00A57C88"/>
    <w:rsid w:val="00A6025F"/>
    <w:rsid w:val="00A60E9C"/>
    <w:rsid w:val="00A61196"/>
    <w:rsid w:val="00A6131E"/>
    <w:rsid w:val="00A616AF"/>
    <w:rsid w:val="00A61879"/>
    <w:rsid w:val="00A628B4"/>
    <w:rsid w:val="00A62B65"/>
    <w:rsid w:val="00A62E6A"/>
    <w:rsid w:val="00A63E32"/>
    <w:rsid w:val="00A63E4E"/>
    <w:rsid w:val="00A6444F"/>
    <w:rsid w:val="00A651CB"/>
    <w:rsid w:val="00A652FF"/>
    <w:rsid w:val="00A65567"/>
    <w:rsid w:val="00A6598D"/>
    <w:rsid w:val="00A65A0D"/>
    <w:rsid w:val="00A65C27"/>
    <w:rsid w:val="00A65F3C"/>
    <w:rsid w:val="00A661FD"/>
    <w:rsid w:val="00A66FB3"/>
    <w:rsid w:val="00A67DF5"/>
    <w:rsid w:val="00A709A3"/>
    <w:rsid w:val="00A71216"/>
    <w:rsid w:val="00A714A3"/>
    <w:rsid w:val="00A71B8B"/>
    <w:rsid w:val="00A74456"/>
    <w:rsid w:val="00A7502A"/>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76D"/>
    <w:rsid w:val="00A8392C"/>
    <w:rsid w:val="00A83E49"/>
    <w:rsid w:val="00A8401C"/>
    <w:rsid w:val="00A8415A"/>
    <w:rsid w:val="00A841A6"/>
    <w:rsid w:val="00A84221"/>
    <w:rsid w:val="00A843CA"/>
    <w:rsid w:val="00A84B45"/>
    <w:rsid w:val="00A84B7A"/>
    <w:rsid w:val="00A85063"/>
    <w:rsid w:val="00A85367"/>
    <w:rsid w:val="00A86359"/>
    <w:rsid w:val="00A865DC"/>
    <w:rsid w:val="00A86FBC"/>
    <w:rsid w:val="00A879C5"/>
    <w:rsid w:val="00A87FA2"/>
    <w:rsid w:val="00A902AD"/>
    <w:rsid w:val="00A90302"/>
    <w:rsid w:val="00A9099E"/>
    <w:rsid w:val="00A91B75"/>
    <w:rsid w:val="00A91FB7"/>
    <w:rsid w:val="00A921CE"/>
    <w:rsid w:val="00A92967"/>
    <w:rsid w:val="00A9298F"/>
    <w:rsid w:val="00A929D7"/>
    <w:rsid w:val="00A92FC3"/>
    <w:rsid w:val="00A9301E"/>
    <w:rsid w:val="00A93E3A"/>
    <w:rsid w:val="00A94BFF"/>
    <w:rsid w:val="00A95186"/>
    <w:rsid w:val="00A951AD"/>
    <w:rsid w:val="00A952F8"/>
    <w:rsid w:val="00A9561B"/>
    <w:rsid w:val="00A961BD"/>
    <w:rsid w:val="00A964CB"/>
    <w:rsid w:val="00A9652F"/>
    <w:rsid w:val="00A973B1"/>
    <w:rsid w:val="00A9747D"/>
    <w:rsid w:val="00AA027E"/>
    <w:rsid w:val="00AA1224"/>
    <w:rsid w:val="00AA14F2"/>
    <w:rsid w:val="00AA17D9"/>
    <w:rsid w:val="00AA180B"/>
    <w:rsid w:val="00AA1D43"/>
    <w:rsid w:val="00AA2358"/>
    <w:rsid w:val="00AA2469"/>
    <w:rsid w:val="00AA274C"/>
    <w:rsid w:val="00AA2CD7"/>
    <w:rsid w:val="00AA2FA4"/>
    <w:rsid w:val="00AA2FC4"/>
    <w:rsid w:val="00AA3301"/>
    <w:rsid w:val="00AA3360"/>
    <w:rsid w:val="00AA386B"/>
    <w:rsid w:val="00AA45CC"/>
    <w:rsid w:val="00AA4C2E"/>
    <w:rsid w:val="00AA5B16"/>
    <w:rsid w:val="00AA6384"/>
    <w:rsid w:val="00AA6B93"/>
    <w:rsid w:val="00AA7959"/>
    <w:rsid w:val="00AA7A06"/>
    <w:rsid w:val="00AA7A7F"/>
    <w:rsid w:val="00AA7F56"/>
    <w:rsid w:val="00AB1984"/>
    <w:rsid w:val="00AB1CBB"/>
    <w:rsid w:val="00AB215B"/>
    <w:rsid w:val="00AB266D"/>
    <w:rsid w:val="00AB2E7D"/>
    <w:rsid w:val="00AB3146"/>
    <w:rsid w:val="00AB333E"/>
    <w:rsid w:val="00AB37DB"/>
    <w:rsid w:val="00AB38DF"/>
    <w:rsid w:val="00AB3ECC"/>
    <w:rsid w:val="00AB54B5"/>
    <w:rsid w:val="00AB573A"/>
    <w:rsid w:val="00AB5A73"/>
    <w:rsid w:val="00AB5F48"/>
    <w:rsid w:val="00AB66FC"/>
    <w:rsid w:val="00AB7156"/>
    <w:rsid w:val="00AB716D"/>
    <w:rsid w:val="00AB72BB"/>
    <w:rsid w:val="00AB7472"/>
    <w:rsid w:val="00AB7BF3"/>
    <w:rsid w:val="00AC039D"/>
    <w:rsid w:val="00AC09D5"/>
    <w:rsid w:val="00AC0C1D"/>
    <w:rsid w:val="00AC0D8E"/>
    <w:rsid w:val="00AC1061"/>
    <w:rsid w:val="00AC175B"/>
    <w:rsid w:val="00AC1AA3"/>
    <w:rsid w:val="00AC1F8E"/>
    <w:rsid w:val="00AC22C1"/>
    <w:rsid w:val="00AC2D10"/>
    <w:rsid w:val="00AC3187"/>
    <w:rsid w:val="00AC374B"/>
    <w:rsid w:val="00AC3798"/>
    <w:rsid w:val="00AC3ED5"/>
    <w:rsid w:val="00AC4CB3"/>
    <w:rsid w:val="00AC4D7C"/>
    <w:rsid w:val="00AC53B0"/>
    <w:rsid w:val="00AC6473"/>
    <w:rsid w:val="00AC6644"/>
    <w:rsid w:val="00AC6655"/>
    <w:rsid w:val="00AC6CA2"/>
    <w:rsid w:val="00AC6EF2"/>
    <w:rsid w:val="00AC6FD3"/>
    <w:rsid w:val="00AC71A6"/>
    <w:rsid w:val="00AC742F"/>
    <w:rsid w:val="00AC7664"/>
    <w:rsid w:val="00AC774F"/>
    <w:rsid w:val="00AC780D"/>
    <w:rsid w:val="00AC787B"/>
    <w:rsid w:val="00AC78A0"/>
    <w:rsid w:val="00AC7956"/>
    <w:rsid w:val="00AC7E18"/>
    <w:rsid w:val="00AD1B79"/>
    <w:rsid w:val="00AD3208"/>
    <w:rsid w:val="00AD3496"/>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6931"/>
    <w:rsid w:val="00AE78ED"/>
    <w:rsid w:val="00AE7AC2"/>
    <w:rsid w:val="00AE7EC9"/>
    <w:rsid w:val="00AF0117"/>
    <w:rsid w:val="00AF1117"/>
    <w:rsid w:val="00AF1555"/>
    <w:rsid w:val="00AF174E"/>
    <w:rsid w:val="00AF18BA"/>
    <w:rsid w:val="00AF19AE"/>
    <w:rsid w:val="00AF1CA5"/>
    <w:rsid w:val="00AF228C"/>
    <w:rsid w:val="00AF2C0E"/>
    <w:rsid w:val="00AF2DB9"/>
    <w:rsid w:val="00AF3928"/>
    <w:rsid w:val="00AF3B55"/>
    <w:rsid w:val="00AF3D62"/>
    <w:rsid w:val="00AF4146"/>
    <w:rsid w:val="00AF4B2C"/>
    <w:rsid w:val="00AF56EA"/>
    <w:rsid w:val="00AF56FE"/>
    <w:rsid w:val="00AF5C45"/>
    <w:rsid w:val="00AF62A7"/>
    <w:rsid w:val="00AF6AC5"/>
    <w:rsid w:val="00AF75DC"/>
    <w:rsid w:val="00AF7809"/>
    <w:rsid w:val="00AF7CA7"/>
    <w:rsid w:val="00AF7F7B"/>
    <w:rsid w:val="00B00BDE"/>
    <w:rsid w:val="00B0104B"/>
    <w:rsid w:val="00B01FA1"/>
    <w:rsid w:val="00B021E0"/>
    <w:rsid w:val="00B03A30"/>
    <w:rsid w:val="00B03A35"/>
    <w:rsid w:val="00B03BE2"/>
    <w:rsid w:val="00B0430C"/>
    <w:rsid w:val="00B04C70"/>
    <w:rsid w:val="00B04F99"/>
    <w:rsid w:val="00B057B6"/>
    <w:rsid w:val="00B05A7C"/>
    <w:rsid w:val="00B06361"/>
    <w:rsid w:val="00B0651D"/>
    <w:rsid w:val="00B06955"/>
    <w:rsid w:val="00B0758A"/>
    <w:rsid w:val="00B07BEA"/>
    <w:rsid w:val="00B07F41"/>
    <w:rsid w:val="00B102F9"/>
    <w:rsid w:val="00B1081F"/>
    <w:rsid w:val="00B11C80"/>
    <w:rsid w:val="00B11F33"/>
    <w:rsid w:val="00B12152"/>
    <w:rsid w:val="00B12DCA"/>
    <w:rsid w:val="00B13381"/>
    <w:rsid w:val="00B138BC"/>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23E"/>
    <w:rsid w:val="00B225CB"/>
    <w:rsid w:val="00B22870"/>
    <w:rsid w:val="00B22A22"/>
    <w:rsid w:val="00B22AA6"/>
    <w:rsid w:val="00B23D1A"/>
    <w:rsid w:val="00B23F4C"/>
    <w:rsid w:val="00B24233"/>
    <w:rsid w:val="00B246DD"/>
    <w:rsid w:val="00B248D8"/>
    <w:rsid w:val="00B24BA7"/>
    <w:rsid w:val="00B25494"/>
    <w:rsid w:val="00B25A6F"/>
    <w:rsid w:val="00B25CD9"/>
    <w:rsid w:val="00B268D0"/>
    <w:rsid w:val="00B269D3"/>
    <w:rsid w:val="00B27886"/>
    <w:rsid w:val="00B27F44"/>
    <w:rsid w:val="00B301ED"/>
    <w:rsid w:val="00B30448"/>
    <w:rsid w:val="00B3048B"/>
    <w:rsid w:val="00B30875"/>
    <w:rsid w:val="00B30C49"/>
    <w:rsid w:val="00B30D75"/>
    <w:rsid w:val="00B30DAD"/>
    <w:rsid w:val="00B31315"/>
    <w:rsid w:val="00B3260E"/>
    <w:rsid w:val="00B32C4B"/>
    <w:rsid w:val="00B339D5"/>
    <w:rsid w:val="00B3407E"/>
    <w:rsid w:val="00B34C84"/>
    <w:rsid w:val="00B34D6A"/>
    <w:rsid w:val="00B35021"/>
    <w:rsid w:val="00B35749"/>
    <w:rsid w:val="00B35D00"/>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5AB"/>
    <w:rsid w:val="00B478FA"/>
    <w:rsid w:val="00B50156"/>
    <w:rsid w:val="00B501E8"/>
    <w:rsid w:val="00B502A3"/>
    <w:rsid w:val="00B506D4"/>
    <w:rsid w:val="00B506ED"/>
    <w:rsid w:val="00B507AA"/>
    <w:rsid w:val="00B50953"/>
    <w:rsid w:val="00B509AE"/>
    <w:rsid w:val="00B50E13"/>
    <w:rsid w:val="00B51581"/>
    <w:rsid w:val="00B51650"/>
    <w:rsid w:val="00B516C5"/>
    <w:rsid w:val="00B518AD"/>
    <w:rsid w:val="00B51BB6"/>
    <w:rsid w:val="00B52056"/>
    <w:rsid w:val="00B52B0E"/>
    <w:rsid w:val="00B52D81"/>
    <w:rsid w:val="00B5355B"/>
    <w:rsid w:val="00B536C1"/>
    <w:rsid w:val="00B5402E"/>
    <w:rsid w:val="00B540E8"/>
    <w:rsid w:val="00B54681"/>
    <w:rsid w:val="00B55852"/>
    <w:rsid w:val="00B55E43"/>
    <w:rsid w:val="00B55FEC"/>
    <w:rsid w:val="00B560A9"/>
    <w:rsid w:val="00B56866"/>
    <w:rsid w:val="00B56CC4"/>
    <w:rsid w:val="00B604BB"/>
    <w:rsid w:val="00B6062A"/>
    <w:rsid w:val="00B60A96"/>
    <w:rsid w:val="00B60DD7"/>
    <w:rsid w:val="00B60EB6"/>
    <w:rsid w:val="00B60EE5"/>
    <w:rsid w:val="00B614ED"/>
    <w:rsid w:val="00B616A5"/>
    <w:rsid w:val="00B628BE"/>
    <w:rsid w:val="00B62B67"/>
    <w:rsid w:val="00B637FB"/>
    <w:rsid w:val="00B6386F"/>
    <w:rsid w:val="00B649BD"/>
    <w:rsid w:val="00B65295"/>
    <w:rsid w:val="00B65D9B"/>
    <w:rsid w:val="00B667E1"/>
    <w:rsid w:val="00B66E51"/>
    <w:rsid w:val="00B66E68"/>
    <w:rsid w:val="00B672CB"/>
    <w:rsid w:val="00B67346"/>
    <w:rsid w:val="00B67865"/>
    <w:rsid w:val="00B6793A"/>
    <w:rsid w:val="00B67AC3"/>
    <w:rsid w:val="00B70880"/>
    <w:rsid w:val="00B71422"/>
    <w:rsid w:val="00B71486"/>
    <w:rsid w:val="00B71607"/>
    <w:rsid w:val="00B71EF7"/>
    <w:rsid w:val="00B720BE"/>
    <w:rsid w:val="00B72361"/>
    <w:rsid w:val="00B726E3"/>
    <w:rsid w:val="00B729DF"/>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208"/>
    <w:rsid w:val="00B8256C"/>
    <w:rsid w:val="00B82B2D"/>
    <w:rsid w:val="00B83117"/>
    <w:rsid w:val="00B8319C"/>
    <w:rsid w:val="00B83620"/>
    <w:rsid w:val="00B83B71"/>
    <w:rsid w:val="00B86BD5"/>
    <w:rsid w:val="00B87E20"/>
    <w:rsid w:val="00B90351"/>
    <w:rsid w:val="00B90532"/>
    <w:rsid w:val="00B906F2"/>
    <w:rsid w:val="00B90D9B"/>
    <w:rsid w:val="00B9122D"/>
    <w:rsid w:val="00B91259"/>
    <w:rsid w:val="00B91AD5"/>
    <w:rsid w:val="00B91B81"/>
    <w:rsid w:val="00B91F36"/>
    <w:rsid w:val="00B91FF0"/>
    <w:rsid w:val="00B92164"/>
    <w:rsid w:val="00B926A8"/>
    <w:rsid w:val="00B92B6F"/>
    <w:rsid w:val="00B92FFF"/>
    <w:rsid w:val="00B93538"/>
    <w:rsid w:val="00B936F8"/>
    <w:rsid w:val="00B9492E"/>
    <w:rsid w:val="00B94B06"/>
    <w:rsid w:val="00B94E99"/>
    <w:rsid w:val="00B95701"/>
    <w:rsid w:val="00B960DB"/>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4FE9"/>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04A"/>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2F9F"/>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3FED"/>
    <w:rsid w:val="00BE42FC"/>
    <w:rsid w:val="00BE53CB"/>
    <w:rsid w:val="00BE5888"/>
    <w:rsid w:val="00BE6085"/>
    <w:rsid w:val="00BE63FE"/>
    <w:rsid w:val="00BE6494"/>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149"/>
    <w:rsid w:val="00BF5FB3"/>
    <w:rsid w:val="00BF6F82"/>
    <w:rsid w:val="00BF70E2"/>
    <w:rsid w:val="00BF72AB"/>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6EA8"/>
    <w:rsid w:val="00C072F0"/>
    <w:rsid w:val="00C07344"/>
    <w:rsid w:val="00C079A3"/>
    <w:rsid w:val="00C07C1F"/>
    <w:rsid w:val="00C07C79"/>
    <w:rsid w:val="00C11A79"/>
    <w:rsid w:val="00C1211E"/>
    <w:rsid w:val="00C13607"/>
    <w:rsid w:val="00C137B1"/>
    <w:rsid w:val="00C13811"/>
    <w:rsid w:val="00C13B43"/>
    <w:rsid w:val="00C14152"/>
    <w:rsid w:val="00C147CC"/>
    <w:rsid w:val="00C151A4"/>
    <w:rsid w:val="00C15E81"/>
    <w:rsid w:val="00C16EB4"/>
    <w:rsid w:val="00C174C9"/>
    <w:rsid w:val="00C17A25"/>
    <w:rsid w:val="00C17B6E"/>
    <w:rsid w:val="00C200BA"/>
    <w:rsid w:val="00C20748"/>
    <w:rsid w:val="00C20754"/>
    <w:rsid w:val="00C21378"/>
    <w:rsid w:val="00C21C03"/>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711"/>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316"/>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4BD"/>
    <w:rsid w:val="00C75D3A"/>
    <w:rsid w:val="00C769A9"/>
    <w:rsid w:val="00C76DB9"/>
    <w:rsid w:val="00C772BC"/>
    <w:rsid w:val="00C774C9"/>
    <w:rsid w:val="00C77F1B"/>
    <w:rsid w:val="00C80987"/>
    <w:rsid w:val="00C80A3F"/>
    <w:rsid w:val="00C80EE4"/>
    <w:rsid w:val="00C8180E"/>
    <w:rsid w:val="00C818A9"/>
    <w:rsid w:val="00C81F34"/>
    <w:rsid w:val="00C82436"/>
    <w:rsid w:val="00C82933"/>
    <w:rsid w:val="00C82BE2"/>
    <w:rsid w:val="00C835D3"/>
    <w:rsid w:val="00C84BBF"/>
    <w:rsid w:val="00C84BE9"/>
    <w:rsid w:val="00C854B7"/>
    <w:rsid w:val="00C85D08"/>
    <w:rsid w:val="00C85DEF"/>
    <w:rsid w:val="00C85E1C"/>
    <w:rsid w:val="00C85E40"/>
    <w:rsid w:val="00C86D76"/>
    <w:rsid w:val="00C86DA6"/>
    <w:rsid w:val="00C87A64"/>
    <w:rsid w:val="00C910F8"/>
    <w:rsid w:val="00C91106"/>
    <w:rsid w:val="00C9117B"/>
    <w:rsid w:val="00C91D19"/>
    <w:rsid w:val="00C93286"/>
    <w:rsid w:val="00C93B58"/>
    <w:rsid w:val="00C93C2F"/>
    <w:rsid w:val="00C93E14"/>
    <w:rsid w:val="00C93F13"/>
    <w:rsid w:val="00C9437C"/>
    <w:rsid w:val="00C946E4"/>
    <w:rsid w:val="00C946FF"/>
    <w:rsid w:val="00C94A14"/>
    <w:rsid w:val="00C94CDA"/>
    <w:rsid w:val="00C95BED"/>
    <w:rsid w:val="00C95EB3"/>
    <w:rsid w:val="00C9657E"/>
    <w:rsid w:val="00C96725"/>
    <w:rsid w:val="00C96FD9"/>
    <w:rsid w:val="00C97A66"/>
    <w:rsid w:val="00CA007B"/>
    <w:rsid w:val="00CA01BB"/>
    <w:rsid w:val="00CA0AA4"/>
    <w:rsid w:val="00CA0C1E"/>
    <w:rsid w:val="00CA15B0"/>
    <w:rsid w:val="00CA183B"/>
    <w:rsid w:val="00CA1C71"/>
    <w:rsid w:val="00CA1D4C"/>
    <w:rsid w:val="00CA1D50"/>
    <w:rsid w:val="00CA1DAB"/>
    <w:rsid w:val="00CA20E0"/>
    <w:rsid w:val="00CA2598"/>
    <w:rsid w:val="00CA3347"/>
    <w:rsid w:val="00CA41A6"/>
    <w:rsid w:val="00CA479B"/>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4DBA"/>
    <w:rsid w:val="00CB6413"/>
    <w:rsid w:val="00CB696F"/>
    <w:rsid w:val="00CB6A00"/>
    <w:rsid w:val="00CB6DA1"/>
    <w:rsid w:val="00CB7059"/>
    <w:rsid w:val="00CB7097"/>
    <w:rsid w:val="00CB709D"/>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C7EA8"/>
    <w:rsid w:val="00CD081C"/>
    <w:rsid w:val="00CD14DA"/>
    <w:rsid w:val="00CD1B5A"/>
    <w:rsid w:val="00CD1E9C"/>
    <w:rsid w:val="00CD27DB"/>
    <w:rsid w:val="00CD2E70"/>
    <w:rsid w:val="00CD3382"/>
    <w:rsid w:val="00CD386B"/>
    <w:rsid w:val="00CD3D06"/>
    <w:rsid w:val="00CD4A09"/>
    <w:rsid w:val="00CD4C31"/>
    <w:rsid w:val="00CD4C67"/>
    <w:rsid w:val="00CD4C7B"/>
    <w:rsid w:val="00CD5125"/>
    <w:rsid w:val="00CD5397"/>
    <w:rsid w:val="00CD5E93"/>
    <w:rsid w:val="00CD6D2E"/>
    <w:rsid w:val="00CD7963"/>
    <w:rsid w:val="00CE061C"/>
    <w:rsid w:val="00CE1344"/>
    <w:rsid w:val="00CE15AE"/>
    <w:rsid w:val="00CE1CFC"/>
    <w:rsid w:val="00CE235A"/>
    <w:rsid w:val="00CE37A3"/>
    <w:rsid w:val="00CE3814"/>
    <w:rsid w:val="00CE3FC0"/>
    <w:rsid w:val="00CE49D0"/>
    <w:rsid w:val="00CE4AC7"/>
    <w:rsid w:val="00CE56B7"/>
    <w:rsid w:val="00CE5B2B"/>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682"/>
    <w:rsid w:val="00CF2DC1"/>
    <w:rsid w:val="00CF2EE2"/>
    <w:rsid w:val="00CF37AD"/>
    <w:rsid w:val="00CF3948"/>
    <w:rsid w:val="00CF3ACF"/>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49"/>
    <w:rsid w:val="00D008D8"/>
    <w:rsid w:val="00D009BC"/>
    <w:rsid w:val="00D00DBF"/>
    <w:rsid w:val="00D0149B"/>
    <w:rsid w:val="00D01AAA"/>
    <w:rsid w:val="00D01F5D"/>
    <w:rsid w:val="00D01FA9"/>
    <w:rsid w:val="00D02755"/>
    <w:rsid w:val="00D02D17"/>
    <w:rsid w:val="00D03755"/>
    <w:rsid w:val="00D03DBE"/>
    <w:rsid w:val="00D03EED"/>
    <w:rsid w:val="00D0597D"/>
    <w:rsid w:val="00D06274"/>
    <w:rsid w:val="00D066D8"/>
    <w:rsid w:val="00D07FB9"/>
    <w:rsid w:val="00D10C27"/>
    <w:rsid w:val="00D10E78"/>
    <w:rsid w:val="00D11949"/>
    <w:rsid w:val="00D11A69"/>
    <w:rsid w:val="00D11CB2"/>
    <w:rsid w:val="00D1217C"/>
    <w:rsid w:val="00D12C98"/>
    <w:rsid w:val="00D12FFC"/>
    <w:rsid w:val="00D13CA3"/>
    <w:rsid w:val="00D1484F"/>
    <w:rsid w:val="00D14BA0"/>
    <w:rsid w:val="00D14D7B"/>
    <w:rsid w:val="00D1516D"/>
    <w:rsid w:val="00D158B0"/>
    <w:rsid w:val="00D15B1C"/>
    <w:rsid w:val="00D15BBB"/>
    <w:rsid w:val="00D1707A"/>
    <w:rsid w:val="00D17CC2"/>
    <w:rsid w:val="00D20EED"/>
    <w:rsid w:val="00D21435"/>
    <w:rsid w:val="00D2242C"/>
    <w:rsid w:val="00D224FA"/>
    <w:rsid w:val="00D23033"/>
    <w:rsid w:val="00D23D60"/>
    <w:rsid w:val="00D23DA6"/>
    <w:rsid w:val="00D2402F"/>
    <w:rsid w:val="00D245C2"/>
    <w:rsid w:val="00D255BC"/>
    <w:rsid w:val="00D25660"/>
    <w:rsid w:val="00D2569B"/>
    <w:rsid w:val="00D258EB"/>
    <w:rsid w:val="00D25AEB"/>
    <w:rsid w:val="00D26C14"/>
    <w:rsid w:val="00D26C1F"/>
    <w:rsid w:val="00D271CD"/>
    <w:rsid w:val="00D27BD2"/>
    <w:rsid w:val="00D27C94"/>
    <w:rsid w:val="00D30480"/>
    <w:rsid w:val="00D3064E"/>
    <w:rsid w:val="00D315CC"/>
    <w:rsid w:val="00D316A5"/>
    <w:rsid w:val="00D31DDA"/>
    <w:rsid w:val="00D31F05"/>
    <w:rsid w:val="00D32067"/>
    <w:rsid w:val="00D327A3"/>
    <w:rsid w:val="00D3346D"/>
    <w:rsid w:val="00D33893"/>
    <w:rsid w:val="00D33AE9"/>
    <w:rsid w:val="00D34224"/>
    <w:rsid w:val="00D34927"/>
    <w:rsid w:val="00D34C82"/>
    <w:rsid w:val="00D36550"/>
    <w:rsid w:val="00D36A10"/>
    <w:rsid w:val="00D36C97"/>
    <w:rsid w:val="00D370BF"/>
    <w:rsid w:val="00D379EC"/>
    <w:rsid w:val="00D37C94"/>
    <w:rsid w:val="00D37E9F"/>
    <w:rsid w:val="00D40D88"/>
    <w:rsid w:val="00D41E42"/>
    <w:rsid w:val="00D41F6B"/>
    <w:rsid w:val="00D42380"/>
    <w:rsid w:val="00D42C9B"/>
    <w:rsid w:val="00D4348D"/>
    <w:rsid w:val="00D435CD"/>
    <w:rsid w:val="00D436D7"/>
    <w:rsid w:val="00D43ADD"/>
    <w:rsid w:val="00D44029"/>
    <w:rsid w:val="00D44116"/>
    <w:rsid w:val="00D44E42"/>
    <w:rsid w:val="00D44FC3"/>
    <w:rsid w:val="00D45072"/>
    <w:rsid w:val="00D450E2"/>
    <w:rsid w:val="00D453D7"/>
    <w:rsid w:val="00D4552D"/>
    <w:rsid w:val="00D462D6"/>
    <w:rsid w:val="00D46898"/>
    <w:rsid w:val="00D4714D"/>
    <w:rsid w:val="00D474AB"/>
    <w:rsid w:val="00D4754E"/>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9B5"/>
    <w:rsid w:val="00D55DC2"/>
    <w:rsid w:val="00D56420"/>
    <w:rsid w:val="00D5658A"/>
    <w:rsid w:val="00D56A94"/>
    <w:rsid w:val="00D56C0C"/>
    <w:rsid w:val="00D56F9E"/>
    <w:rsid w:val="00D570B4"/>
    <w:rsid w:val="00D5798B"/>
    <w:rsid w:val="00D602DF"/>
    <w:rsid w:val="00D60736"/>
    <w:rsid w:val="00D60BD8"/>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51"/>
    <w:rsid w:val="00D719A3"/>
    <w:rsid w:val="00D71BAD"/>
    <w:rsid w:val="00D71E7A"/>
    <w:rsid w:val="00D72039"/>
    <w:rsid w:val="00D72655"/>
    <w:rsid w:val="00D72DE7"/>
    <w:rsid w:val="00D7302F"/>
    <w:rsid w:val="00D7329E"/>
    <w:rsid w:val="00D7340B"/>
    <w:rsid w:val="00D73870"/>
    <w:rsid w:val="00D73BB2"/>
    <w:rsid w:val="00D74575"/>
    <w:rsid w:val="00D74C57"/>
    <w:rsid w:val="00D74D14"/>
    <w:rsid w:val="00D74E74"/>
    <w:rsid w:val="00D74F3B"/>
    <w:rsid w:val="00D752E7"/>
    <w:rsid w:val="00D7574B"/>
    <w:rsid w:val="00D75913"/>
    <w:rsid w:val="00D75E82"/>
    <w:rsid w:val="00D76270"/>
    <w:rsid w:val="00D767C6"/>
    <w:rsid w:val="00D769C5"/>
    <w:rsid w:val="00D76E76"/>
    <w:rsid w:val="00D77ED7"/>
    <w:rsid w:val="00D80631"/>
    <w:rsid w:val="00D818EC"/>
    <w:rsid w:val="00D81A20"/>
    <w:rsid w:val="00D81F55"/>
    <w:rsid w:val="00D8292F"/>
    <w:rsid w:val="00D82B42"/>
    <w:rsid w:val="00D8321A"/>
    <w:rsid w:val="00D83F57"/>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2F7F"/>
    <w:rsid w:val="00D9305B"/>
    <w:rsid w:val="00D94085"/>
    <w:rsid w:val="00D9445B"/>
    <w:rsid w:val="00D944D2"/>
    <w:rsid w:val="00D95ECE"/>
    <w:rsid w:val="00D96D4F"/>
    <w:rsid w:val="00DA1806"/>
    <w:rsid w:val="00DA1BD1"/>
    <w:rsid w:val="00DA212B"/>
    <w:rsid w:val="00DA3155"/>
    <w:rsid w:val="00DA3A76"/>
    <w:rsid w:val="00DA4478"/>
    <w:rsid w:val="00DA5713"/>
    <w:rsid w:val="00DA5792"/>
    <w:rsid w:val="00DA5B51"/>
    <w:rsid w:val="00DA5F95"/>
    <w:rsid w:val="00DA6856"/>
    <w:rsid w:val="00DA6D6D"/>
    <w:rsid w:val="00DA73C1"/>
    <w:rsid w:val="00DA7457"/>
    <w:rsid w:val="00DA7478"/>
    <w:rsid w:val="00DA770D"/>
    <w:rsid w:val="00DA77A8"/>
    <w:rsid w:val="00DA7851"/>
    <w:rsid w:val="00DA7DC1"/>
    <w:rsid w:val="00DB00EE"/>
    <w:rsid w:val="00DB0132"/>
    <w:rsid w:val="00DB2754"/>
    <w:rsid w:val="00DB2D88"/>
    <w:rsid w:val="00DB3067"/>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54E"/>
    <w:rsid w:val="00DC2883"/>
    <w:rsid w:val="00DC2B0D"/>
    <w:rsid w:val="00DC2C48"/>
    <w:rsid w:val="00DC46B5"/>
    <w:rsid w:val="00DC4B28"/>
    <w:rsid w:val="00DC4B5D"/>
    <w:rsid w:val="00DC4CD0"/>
    <w:rsid w:val="00DC525E"/>
    <w:rsid w:val="00DC535C"/>
    <w:rsid w:val="00DC5DCB"/>
    <w:rsid w:val="00DC6C0D"/>
    <w:rsid w:val="00DC6CCF"/>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6A5A"/>
    <w:rsid w:val="00DD72F3"/>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AFB"/>
    <w:rsid w:val="00E13E8F"/>
    <w:rsid w:val="00E14818"/>
    <w:rsid w:val="00E148E8"/>
    <w:rsid w:val="00E151ED"/>
    <w:rsid w:val="00E1610C"/>
    <w:rsid w:val="00E162BD"/>
    <w:rsid w:val="00E16660"/>
    <w:rsid w:val="00E16A1D"/>
    <w:rsid w:val="00E16C78"/>
    <w:rsid w:val="00E16D73"/>
    <w:rsid w:val="00E17296"/>
    <w:rsid w:val="00E17833"/>
    <w:rsid w:val="00E17981"/>
    <w:rsid w:val="00E17B9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39AE"/>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2AA5"/>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3A08"/>
    <w:rsid w:val="00E645CC"/>
    <w:rsid w:val="00E659FD"/>
    <w:rsid w:val="00E65B0C"/>
    <w:rsid w:val="00E66783"/>
    <w:rsid w:val="00E66B16"/>
    <w:rsid w:val="00E66BA2"/>
    <w:rsid w:val="00E677DB"/>
    <w:rsid w:val="00E700F8"/>
    <w:rsid w:val="00E71B42"/>
    <w:rsid w:val="00E71C2D"/>
    <w:rsid w:val="00E72187"/>
    <w:rsid w:val="00E725EB"/>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0BD"/>
    <w:rsid w:val="00E815CE"/>
    <w:rsid w:val="00E81611"/>
    <w:rsid w:val="00E81800"/>
    <w:rsid w:val="00E81863"/>
    <w:rsid w:val="00E81C42"/>
    <w:rsid w:val="00E81C5C"/>
    <w:rsid w:val="00E81FDB"/>
    <w:rsid w:val="00E82064"/>
    <w:rsid w:val="00E82912"/>
    <w:rsid w:val="00E82B6E"/>
    <w:rsid w:val="00E82DA0"/>
    <w:rsid w:val="00E82DC6"/>
    <w:rsid w:val="00E8347E"/>
    <w:rsid w:val="00E835C5"/>
    <w:rsid w:val="00E83ACD"/>
    <w:rsid w:val="00E83D4B"/>
    <w:rsid w:val="00E848F0"/>
    <w:rsid w:val="00E84D1C"/>
    <w:rsid w:val="00E84D9C"/>
    <w:rsid w:val="00E85069"/>
    <w:rsid w:val="00E8628F"/>
    <w:rsid w:val="00E86888"/>
    <w:rsid w:val="00E8695C"/>
    <w:rsid w:val="00E86F48"/>
    <w:rsid w:val="00E87D1E"/>
    <w:rsid w:val="00E90A24"/>
    <w:rsid w:val="00E90DE0"/>
    <w:rsid w:val="00E90F2A"/>
    <w:rsid w:val="00E91191"/>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7EC"/>
    <w:rsid w:val="00EA09B6"/>
    <w:rsid w:val="00EA0BB5"/>
    <w:rsid w:val="00EA1A8A"/>
    <w:rsid w:val="00EA21FA"/>
    <w:rsid w:val="00EA25EB"/>
    <w:rsid w:val="00EA26D5"/>
    <w:rsid w:val="00EA2775"/>
    <w:rsid w:val="00EA305D"/>
    <w:rsid w:val="00EA3106"/>
    <w:rsid w:val="00EA3874"/>
    <w:rsid w:val="00EA3B97"/>
    <w:rsid w:val="00EA4300"/>
    <w:rsid w:val="00EA5697"/>
    <w:rsid w:val="00EA5AB6"/>
    <w:rsid w:val="00EA5FB0"/>
    <w:rsid w:val="00EA612E"/>
    <w:rsid w:val="00EA6F91"/>
    <w:rsid w:val="00EA7618"/>
    <w:rsid w:val="00EA761C"/>
    <w:rsid w:val="00EA7D7F"/>
    <w:rsid w:val="00EB0810"/>
    <w:rsid w:val="00EB0AF9"/>
    <w:rsid w:val="00EB0B5F"/>
    <w:rsid w:val="00EB1CF7"/>
    <w:rsid w:val="00EB25C2"/>
    <w:rsid w:val="00EB2B6F"/>
    <w:rsid w:val="00EB2CAD"/>
    <w:rsid w:val="00EB2FA2"/>
    <w:rsid w:val="00EB3272"/>
    <w:rsid w:val="00EB37B2"/>
    <w:rsid w:val="00EB3FF9"/>
    <w:rsid w:val="00EB5047"/>
    <w:rsid w:val="00EB5F0B"/>
    <w:rsid w:val="00EB6EA4"/>
    <w:rsid w:val="00EB7352"/>
    <w:rsid w:val="00EB769A"/>
    <w:rsid w:val="00EC08CF"/>
    <w:rsid w:val="00EC11E4"/>
    <w:rsid w:val="00EC14E1"/>
    <w:rsid w:val="00EC183C"/>
    <w:rsid w:val="00EC1AB4"/>
    <w:rsid w:val="00EC1CDD"/>
    <w:rsid w:val="00EC2A3F"/>
    <w:rsid w:val="00EC2E64"/>
    <w:rsid w:val="00EC2F37"/>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10A"/>
    <w:rsid w:val="00ED17B5"/>
    <w:rsid w:val="00ED1BA0"/>
    <w:rsid w:val="00ED1D2D"/>
    <w:rsid w:val="00ED353D"/>
    <w:rsid w:val="00ED3B56"/>
    <w:rsid w:val="00ED4C59"/>
    <w:rsid w:val="00ED4CCF"/>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6C4A"/>
    <w:rsid w:val="00EE78D6"/>
    <w:rsid w:val="00EF03DC"/>
    <w:rsid w:val="00EF0437"/>
    <w:rsid w:val="00EF0568"/>
    <w:rsid w:val="00EF0A1E"/>
    <w:rsid w:val="00EF0BFE"/>
    <w:rsid w:val="00EF1878"/>
    <w:rsid w:val="00EF1A4D"/>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10E"/>
    <w:rsid w:val="00F008BD"/>
    <w:rsid w:val="00F021A9"/>
    <w:rsid w:val="00F0265B"/>
    <w:rsid w:val="00F02B50"/>
    <w:rsid w:val="00F02C54"/>
    <w:rsid w:val="00F02CD0"/>
    <w:rsid w:val="00F02D03"/>
    <w:rsid w:val="00F035DB"/>
    <w:rsid w:val="00F03B30"/>
    <w:rsid w:val="00F0448C"/>
    <w:rsid w:val="00F04BAF"/>
    <w:rsid w:val="00F0553C"/>
    <w:rsid w:val="00F0571E"/>
    <w:rsid w:val="00F06BA7"/>
    <w:rsid w:val="00F06C50"/>
    <w:rsid w:val="00F071BA"/>
    <w:rsid w:val="00F108BD"/>
    <w:rsid w:val="00F11A39"/>
    <w:rsid w:val="00F11D2E"/>
    <w:rsid w:val="00F1284F"/>
    <w:rsid w:val="00F13228"/>
    <w:rsid w:val="00F136A4"/>
    <w:rsid w:val="00F1377B"/>
    <w:rsid w:val="00F13C5E"/>
    <w:rsid w:val="00F14108"/>
    <w:rsid w:val="00F148D5"/>
    <w:rsid w:val="00F1601A"/>
    <w:rsid w:val="00F160BF"/>
    <w:rsid w:val="00F16173"/>
    <w:rsid w:val="00F1675C"/>
    <w:rsid w:val="00F16768"/>
    <w:rsid w:val="00F16A3C"/>
    <w:rsid w:val="00F16B84"/>
    <w:rsid w:val="00F16CCA"/>
    <w:rsid w:val="00F17428"/>
    <w:rsid w:val="00F17EAC"/>
    <w:rsid w:val="00F20046"/>
    <w:rsid w:val="00F20CC1"/>
    <w:rsid w:val="00F20D22"/>
    <w:rsid w:val="00F21A58"/>
    <w:rsid w:val="00F2302A"/>
    <w:rsid w:val="00F23048"/>
    <w:rsid w:val="00F23538"/>
    <w:rsid w:val="00F239CD"/>
    <w:rsid w:val="00F23DCC"/>
    <w:rsid w:val="00F24158"/>
    <w:rsid w:val="00F24294"/>
    <w:rsid w:val="00F2477C"/>
    <w:rsid w:val="00F24E5D"/>
    <w:rsid w:val="00F24EBB"/>
    <w:rsid w:val="00F27696"/>
    <w:rsid w:val="00F2777F"/>
    <w:rsid w:val="00F27F06"/>
    <w:rsid w:val="00F30C26"/>
    <w:rsid w:val="00F314E8"/>
    <w:rsid w:val="00F31518"/>
    <w:rsid w:val="00F316A2"/>
    <w:rsid w:val="00F323A2"/>
    <w:rsid w:val="00F32850"/>
    <w:rsid w:val="00F332D4"/>
    <w:rsid w:val="00F333DF"/>
    <w:rsid w:val="00F33B57"/>
    <w:rsid w:val="00F33CA8"/>
    <w:rsid w:val="00F33D5C"/>
    <w:rsid w:val="00F34BB2"/>
    <w:rsid w:val="00F356D6"/>
    <w:rsid w:val="00F36284"/>
    <w:rsid w:val="00F372DB"/>
    <w:rsid w:val="00F3785D"/>
    <w:rsid w:val="00F378BE"/>
    <w:rsid w:val="00F37D37"/>
    <w:rsid w:val="00F400E3"/>
    <w:rsid w:val="00F4013E"/>
    <w:rsid w:val="00F4021A"/>
    <w:rsid w:val="00F40855"/>
    <w:rsid w:val="00F40876"/>
    <w:rsid w:val="00F4363B"/>
    <w:rsid w:val="00F44642"/>
    <w:rsid w:val="00F454A2"/>
    <w:rsid w:val="00F45E89"/>
    <w:rsid w:val="00F4665F"/>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CA6"/>
    <w:rsid w:val="00F53F3D"/>
    <w:rsid w:val="00F53F92"/>
    <w:rsid w:val="00F54096"/>
    <w:rsid w:val="00F5480F"/>
    <w:rsid w:val="00F54AA5"/>
    <w:rsid w:val="00F551BF"/>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7BE"/>
    <w:rsid w:val="00F6185D"/>
    <w:rsid w:val="00F61C7A"/>
    <w:rsid w:val="00F62356"/>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0EEC"/>
    <w:rsid w:val="00F816A4"/>
    <w:rsid w:val="00F8194C"/>
    <w:rsid w:val="00F81AE9"/>
    <w:rsid w:val="00F827D0"/>
    <w:rsid w:val="00F82B9D"/>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5FE"/>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A3"/>
    <w:rsid w:val="00FA48C7"/>
    <w:rsid w:val="00FA54FF"/>
    <w:rsid w:val="00FA5570"/>
    <w:rsid w:val="00FA59E0"/>
    <w:rsid w:val="00FA5C0B"/>
    <w:rsid w:val="00FA5F10"/>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E1F"/>
    <w:rsid w:val="00FB6FB1"/>
    <w:rsid w:val="00FB7460"/>
    <w:rsid w:val="00FB7747"/>
    <w:rsid w:val="00FB7A10"/>
    <w:rsid w:val="00FB7D91"/>
    <w:rsid w:val="00FC0F81"/>
    <w:rsid w:val="00FC2C5F"/>
    <w:rsid w:val="00FC3798"/>
    <w:rsid w:val="00FC577C"/>
    <w:rsid w:val="00FC5958"/>
    <w:rsid w:val="00FC59AF"/>
    <w:rsid w:val="00FC5BDD"/>
    <w:rsid w:val="00FC5C43"/>
    <w:rsid w:val="00FC5F72"/>
    <w:rsid w:val="00FC62B5"/>
    <w:rsid w:val="00FC6D4E"/>
    <w:rsid w:val="00FC7073"/>
    <w:rsid w:val="00FC736F"/>
    <w:rsid w:val="00FD0CDB"/>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895"/>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46C"/>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wiltonhurtado@itm.edu.co"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7" Type="http://schemas.openxmlformats.org/officeDocument/2006/relationships/hyperlink" Target="http://www.secretariasenado.gov.co/senado/basedoc/ley_1286_2009.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5"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BBD65E1-9C01-4CE7-AA15-29B3C67D5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9025</Words>
  <Characters>49639</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58547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9</cp:revision>
  <dcterms:created xsi:type="dcterms:W3CDTF">2026-10-20T16:14:00Z</dcterms:created>
  <dcterms:modified xsi:type="dcterms:W3CDTF">2026-10-20T19:33:00Z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