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3DAD" w14:textId="77777777" w:rsidR="00CA1F54" w:rsidRPr="00B60BC4" w:rsidRDefault="00CA1F54" w:rsidP="00CA1F54">
      <w:pPr>
        <w:spacing w:line="276" w:lineRule="auto"/>
        <w:jc w:val="both"/>
        <w:rPr>
          <w:rFonts w:ascii="Verdana" w:eastAsia="Calibri" w:hAnsi="Verdana" w:cs="Arial"/>
          <w:b/>
          <w:bCs/>
          <w:color w:val="000000" w:themeColor="text1"/>
          <w:lang w:eastAsia="es-ES"/>
        </w:rPr>
      </w:pPr>
      <w:r w:rsidRPr="00B60BC4">
        <w:rPr>
          <w:rFonts w:ascii="Verdana" w:eastAsia="Calibri" w:hAnsi="Verdana" w:cs="Arial"/>
          <w:b/>
          <w:bCs/>
          <w:color w:val="000000" w:themeColor="text1"/>
          <w:lang w:eastAsia="es-ES"/>
        </w:rPr>
        <w:t xml:space="preserve">LEY 1474 DE 2011 – </w:t>
      </w:r>
      <w:r w:rsidRPr="00B60BC4">
        <w:rPr>
          <w:rFonts w:ascii="Verdana" w:eastAsia="Calibri" w:hAnsi="Verdana" w:cs="Arial"/>
          <w:b/>
          <w:bCs/>
          <w:color w:val="000000" w:themeColor="text1"/>
          <w:lang w:val="es-ES" w:eastAsia="es-ES"/>
        </w:rPr>
        <w:t>Supervisión</w:t>
      </w:r>
      <w:r w:rsidRPr="00B60BC4">
        <w:rPr>
          <w:rFonts w:ascii="Verdana" w:eastAsia="Calibri" w:hAnsi="Verdana" w:cs="Arial"/>
          <w:b/>
          <w:bCs/>
          <w:color w:val="000000" w:themeColor="text1"/>
          <w:lang w:eastAsia="es-ES"/>
        </w:rPr>
        <w:t xml:space="preserve"> </w:t>
      </w:r>
      <w:proofErr w:type="spellStart"/>
      <w:r w:rsidRPr="00B60BC4">
        <w:rPr>
          <w:rFonts w:ascii="Verdana" w:eastAsia="Calibri" w:hAnsi="Verdana" w:cs="Arial"/>
          <w:b/>
          <w:bCs/>
          <w:color w:val="000000" w:themeColor="text1"/>
          <w:lang w:eastAsia="es-ES"/>
        </w:rPr>
        <w:t>e</w:t>
      </w:r>
      <w:proofErr w:type="spellEnd"/>
      <w:r w:rsidRPr="00B60BC4">
        <w:rPr>
          <w:rFonts w:ascii="Verdana" w:eastAsia="Calibri" w:hAnsi="Verdana" w:cs="Arial"/>
          <w:b/>
          <w:bCs/>
          <w:color w:val="000000" w:themeColor="text1"/>
          <w:lang w:eastAsia="es-ES"/>
        </w:rPr>
        <w:t xml:space="preserve"> interventoría contractual</w:t>
      </w:r>
    </w:p>
    <w:p w14:paraId="6602F9E0" w14:textId="77777777" w:rsidR="00CA1F54" w:rsidRPr="00B60BC4" w:rsidRDefault="00CA1F54" w:rsidP="00CA1F54">
      <w:pPr>
        <w:spacing w:after="0" w:line="240" w:lineRule="auto"/>
        <w:jc w:val="both"/>
      </w:pPr>
      <w:r w:rsidRPr="00B60BC4">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B60BC4">
        <w:t xml:space="preserve"> </w:t>
      </w:r>
    </w:p>
    <w:p w14:paraId="1B38F306" w14:textId="77777777" w:rsidR="00CA1F54" w:rsidRPr="00B60BC4" w:rsidRDefault="00CA1F54" w:rsidP="00CA1F54">
      <w:pPr>
        <w:spacing w:after="0" w:line="240" w:lineRule="auto"/>
        <w:jc w:val="both"/>
      </w:pPr>
    </w:p>
    <w:p w14:paraId="72CFEF30" w14:textId="77777777" w:rsidR="00CA1F54" w:rsidRPr="00B60BC4" w:rsidRDefault="00CA1F54" w:rsidP="00CA1F54">
      <w:pPr>
        <w:spacing w:after="0" w:line="240" w:lineRule="auto"/>
        <w:jc w:val="both"/>
        <w:rPr>
          <w:rFonts w:ascii="Verdana" w:eastAsia="Geomanist Light" w:hAnsi="Verdana" w:cs="Arial"/>
          <w:b/>
          <w:bCs/>
          <w:color w:val="000000" w:themeColor="text1"/>
        </w:rPr>
      </w:pPr>
      <w:r w:rsidRPr="00B60BC4">
        <w:rPr>
          <w:rFonts w:ascii="Verdana" w:eastAsia="Geomanist Light" w:hAnsi="Verdana" w:cs="Arial"/>
          <w:b/>
          <w:bCs/>
          <w:color w:val="000000" w:themeColor="text1"/>
        </w:rPr>
        <w:t xml:space="preserve">SUPERVISIÓN DEL CONTRATO </w:t>
      </w:r>
      <w:r w:rsidRPr="00B60BC4">
        <w:rPr>
          <w:rFonts w:ascii="Verdana" w:eastAsia="Calibri" w:hAnsi="Verdana" w:cs="Arial"/>
          <w:b/>
          <w:bCs/>
          <w:color w:val="000000" w:themeColor="text1"/>
          <w:lang w:val="es-ES" w:eastAsia="es-ES"/>
        </w:rPr>
        <w:t xml:space="preserve">– Características – Apoyo a la supervisión </w:t>
      </w:r>
    </w:p>
    <w:p w14:paraId="2E18059E" w14:textId="77777777" w:rsidR="00CA1F54" w:rsidRPr="00B60BC4" w:rsidRDefault="00CA1F54" w:rsidP="00CA1F54">
      <w:pPr>
        <w:spacing w:after="0" w:line="240" w:lineRule="auto"/>
        <w:jc w:val="both"/>
        <w:rPr>
          <w:rFonts w:ascii="Verdana" w:eastAsia="Geomanist Light" w:hAnsi="Verdana" w:cs="Arial"/>
          <w:color w:val="000000" w:themeColor="text1"/>
        </w:rPr>
      </w:pPr>
      <w:r w:rsidRPr="00B60BC4">
        <w:rPr>
          <w:rFonts w:ascii="Verdana" w:eastAsia="Geomanist Light" w:hAnsi="Verdana" w:cs="Arial"/>
          <w:b/>
          <w:bCs/>
          <w:color w:val="000000" w:themeColor="text1"/>
        </w:rPr>
        <w:t> </w:t>
      </w:r>
    </w:p>
    <w:p w14:paraId="6A9C3791"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B60BC4">
        <w:rPr>
          <w:rFonts w:ascii="Verdana" w:eastAsia="Geomanist Light" w:hAnsi="Verdana" w:cs="Arial"/>
          <w:color w:val="000000" w:themeColor="text1"/>
          <w:sz w:val="20"/>
          <w:szCs w:val="20"/>
        </w:rPr>
        <w:t>ii</w:t>
      </w:r>
      <w:proofErr w:type="spellEnd"/>
      <w:r w:rsidRPr="00B60BC4">
        <w:rPr>
          <w:rFonts w:ascii="Verdana" w:eastAsia="Geomanist Light" w:hAnsi="Verdana" w:cs="Arial"/>
          <w:color w:val="000000" w:themeColor="text1"/>
          <w:sz w:val="20"/>
          <w:szCs w:val="20"/>
        </w:rPr>
        <w:t xml:space="preserve">) no requiere conocimientos tan especializados como la interventoría; </w:t>
      </w:r>
      <w:proofErr w:type="spellStart"/>
      <w:r w:rsidRPr="00B60BC4">
        <w:rPr>
          <w:rFonts w:ascii="Verdana" w:eastAsia="Geomanist Light" w:hAnsi="Verdana" w:cs="Arial"/>
          <w:color w:val="000000" w:themeColor="text1"/>
          <w:sz w:val="20"/>
          <w:szCs w:val="20"/>
        </w:rPr>
        <w:t>iii</w:t>
      </w:r>
      <w:proofErr w:type="spellEnd"/>
      <w:r w:rsidRPr="00B60BC4">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B60BC4">
        <w:rPr>
          <w:rFonts w:ascii="Verdana" w:eastAsia="Geomanist Light" w:hAnsi="Verdana" w:cs="Arial"/>
          <w:color w:val="000000" w:themeColor="text1"/>
          <w:sz w:val="20"/>
          <w:szCs w:val="20"/>
        </w:rPr>
        <w:t>iv</w:t>
      </w:r>
      <w:proofErr w:type="spellEnd"/>
      <w:r w:rsidRPr="00B60BC4">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060CA639" w14:textId="77777777" w:rsidR="00CA1F54" w:rsidRPr="00B60BC4" w:rsidRDefault="00CA1F54" w:rsidP="00CA1F54">
      <w:pPr>
        <w:spacing w:after="0" w:line="240" w:lineRule="auto"/>
        <w:jc w:val="both"/>
      </w:pPr>
    </w:p>
    <w:p w14:paraId="2E518571" w14:textId="77777777" w:rsidR="00CA1F54" w:rsidRPr="00B60BC4" w:rsidRDefault="00CA1F54" w:rsidP="00CA1F54">
      <w:pPr>
        <w:spacing w:after="0" w:line="240" w:lineRule="auto"/>
        <w:jc w:val="both"/>
      </w:pPr>
      <w:r w:rsidRPr="00B60BC4">
        <w:rPr>
          <w:rFonts w:ascii="Verdana" w:eastAsia="Geomanist Light" w:hAnsi="Verdana" w:cs="Arial"/>
          <w:b/>
          <w:bCs/>
          <w:color w:val="000000" w:themeColor="text1"/>
        </w:rPr>
        <w:t>SUPERVISIÓN DEL CONTRATO – Definición</w:t>
      </w:r>
      <w:r w:rsidRPr="00B60BC4">
        <w:rPr>
          <w:rFonts w:ascii="Verdana" w:eastAsia="Calibri" w:hAnsi="Verdana" w:cs="Arial"/>
          <w:b/>
          <w:bCs/>
          <w:color w:val="000000" w:themeColor="text1"/>
          <w:lang w:val="es-ES" w:eastAsia="es-ES"/>
        </w:rPr>
        <w:t xml:space="preserve"> – Límites</w:t>
      </w:r>
    </w:p>
    <w:p w14:paraId="08790464" w14:textId="77777777" w:rsidR="00CA1F54" w:rsidRPr="00B60BC4" w:rsidRDefault="00CA1F54" w:rsidP="00CA1F54">
      <w:pPr>
        <w:spacing w:after="0" w:line="240" w:lineRule="auto"/>
        <w:jc w:val="both"/>
      </w:pPr>
    </w:p>
    <w:p w14:paraId="25AA169E"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09327E46"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p>
    <w:p w14:paraId="7122F2DB"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64CBBAEF"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p>
    <w:p w14:paraId="76CF5AEE" w14:textId="77777777" w:rsidR="00CA1F54" w:rsidRPr="00B60BC4" w:rsidRDefault="00CA1F54" w:rsidP="00CA1F54">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Además la Guía para el ejercicio de las funciones de Supervisión e Interventoría de los contratos del Estado de Colombia Compra Eficiente dispone un deber de la entidad contratante y es “realizar un análisis de la carga operativa de quien va a ser designado supervisor, </w:t>
      </w:r>
      <w:r w:rsidRPr="00B60BC4">
        <w:rPr>
          <w:rFonts w:ascii="Verdana" w:eastAsia="Geomanist Light" w:hAnsi="Verdana" w:cs="Arial"/>
          <w:color w:val="000000" w:themeColor="text1"/>
          <w:sz w:val="20"/>
          <w:szCs w:val="20"/>
        </w:rPr>
        <w:lastRenderedPageBreak/>
        <w:t>para no incurrir en los riesgos derivados de una supervisión inadecuada por falta de tiempo”.</w:t>
      </w:r>
    </w:p>
    <w:p w14:paraId="0BE0632F" w14:textId="77777777" w:rsidR="00CA1F54" w:rsidRDefault="00CA1F54" w:rsidP="00CA1F54">
      <w:pPr>
        <w:spacing w:after="0" w:line="240" w:lineRule="auto"/>
        <w:jc w:val="both"/>
        <w:rPr>
          <w:rFonts w:ascii="Verdana" w:hAnsi="Verdana"/>
        </w:rPr>
      </w:pPr>
    </w:p>
    <w:p w14:paraId="3A49CC54" w14:textId="77777777" w:rsidR="00CA1F54" w:rsidRDefault="00CA1F54" w:rsidP="00CA1F54">
      <w:pPr>
        <w:spacing w:after="0" w:line="240" w:lineRule="auto"/>
        <w:jc w:val="both"/>
        <w:rPr>
          <w:rFonts w:ascii="Verdana" w:hAnsi="Verdana"/>
        </w:rPr>
      </w:pPr>
    </w:p>
    <w:p w14:paraId="3C308C94" w14:textId="77777777" w:rsidR="00CA1F54" w:rsidRDefault="00CA1F54" w:rsidP="00CA1F54">
      <w:pPr>
        <w:spacing w:after="0" w:line="240" w:lineRule="auto"/>
        <w:jc w:val="both"/>
        <w:rPr>
          <w:rFonts w:ascii="Verdana" w:hAnsi="Verdana"/>
        </w:rPr>
      </w:pPr>
    </w:p>
    <w:p w14:paraId="7DAF5120" w14:textId="77777777" w:rsidR="00CA1F54" w:rsidRDefault="00CA1F54" w:rsidP="006D5BFB">
      <w:pPr>
        <w:spacing w:after="0" w:line="240" w:lineRule="auto"/>
        <w:contextualSpacing/>
        <w:rPr>
          <w:rFonts w:ascii="Verdana" w:eastAsia="Calibri" w:hAnsi="Verdana" w:cs="Arial"/>
        </w:rPr>
      </w:pPr>
    </w:p>
    <w:p w14:paraId="5ED68E16" w14:textId="77777777" w:rsidR="00CA1F54" w:rsidRDefault="00CA1F54" w:rsidP="006D5BFB">
      <w:pPr>
        <w:spacing w:after="0" w:line="240" w:lineRule="auto"/>
        <w:contextualSpacing/>
        <w:rPr>
          <w:rFonts w:ascii="Verdana" w:eastAsia="Calibri" w:hAnsi="Verdana" w:cs="Arial"/>
        </w:rPr>
      </w:pPr>
    </w:p>
    <w:p w14:paraId="29151B0A" w14:textId="77777777" w:rsidR="00CA1F54" w:rsidRDefault="00CA1F54" w:rsidP="006D5BFB">
      <w:pPr>
        <w:spacing w:after="0" w:line="240" w:lineRule="auto"/>
        <w:contextualSpacing/>
        <w:rPr>
          <w:rFonts w:ascii="Verdana" w:eastAsia="Calibri" w:hAnsi="Verdana" w:cs="Arial"/>
        </w:rPr>
      </w:pPr>
    </w:p>
    <w:p w14:paraId="07E20B9D" w14:textId="77777777" w:rsidR="00CA1F54" w:rsidRDefault="00CA1F54" w:rsidP="006D5BFB">
      <w:pPr>
        <w:spacing w:after="0" w:line="240" w:lineRule="auto"/>
        <w:contextualSpacing/>
        <w:rPr>
          <w:rFonts w:ascii="Verdana" w:eastAsia="Calibri" w:hAnsi="Verdana" w:cs="Arial"/>
        </w:rPr>
      </w:pPr>
    </w:p>
    <w:p w14:paraId="1E9652BD" w14:textId="77777777" w:rsidR="00CA1F54" w:rsidRDefault="00CA1F54" w:rsidP="006D5BFB">
      <w:pPr>
        <w:spacing w:after="0" w:line="240" w:lineRule="auto"/>
        <w:contextualSpacing/>
        <w:rPr>
          <w:rFonts w:ascii="Verdana" w:eastAsia="Calibri" w:hAnsi="Verdana" w:cs="Arial"/>
        </w:rPr>
      </w:pPr>
    </w:p>
    <w:p w14:paraId="406452BC" w14:textId="77777777" w:rsidR="00CA1F54" w:rsidRDefault="00CA1F54" w:rsidP="006D5BFB">
      <w:pPr>
        <w:spacing w:after="0" w:line="240" w:lineRule="auto"/>
        <w:contextualSpacing/>
        <w:rPr>
          <w:rFonts w:ascii="Verdana" w:eastAsia="Calibri" w:hAnsi="Verdana" w:cs="Arial"/>
        </w:rPr>
      </w:pPr>
    </w:p>
    <w:p w14:paraId="5D903BDC" w14:textId="77777777" w:rsidR="00CA1F54" w:rsidRDefault="00CA1F54" w:rsidP="006D5BFB">
      <w:pPr>
        <w:spacing w:after="0" w:line="240" w:lineRule="auto"/>
        <w:contextualSpacing/>
        <w:rPr>
          <w:rFonts w:ascii="Verdana" w:eastAsia="Calibri" w:hAnsi="Verdana" w:cs="Arial"/>
        </w:rPr>
      </w:pPr>
    </w:p>
    <w:p w14:paraId="3FF29B62" w14:textId="77777777" w:rsidR="00CA1F54" w:rsidRDefault="00CA1F54" w:rsidP="006D5BFB">
      <w:pPr>
        <w:spacing w:after="0" w:line="240" w:lineRule="auto"/>
        <w:contextualSpacing/>
        <w:rPr>
          <w:rFonts w:ascii="Verdana" w:eastAsia="Calibri" w:hAnsi="Verdana" w:cs="Arial"/>
        </w:rPr>
      </w:pPr>
    </w:p>
    <w:p w14:paraId="7E098A98" w14:textId="77777777" w:rsidR="00CA1F54" w:rsidRDefault="00CA1F54" w:rsidP="006D5BFB">
      <w:pPr>
        <w:spacing w:after="0" w:line="240" w:lineRule="auto"/>
        <w:contextualSpacing/>
        <w:rPr>
          <w:rFonts w:ascii="Verdana" w:eastAsia="Calibri" w:hAnsi="Verdana" w:cs="Arial"/>
        </w:rPr>
      </w:pPr>
    </w:p>
    <w:p w14:paraId="3B33FAEF" w14:textId="77777777" w:rsidR="00CA1F54" w:rsidRDefault="00CA1F54" w:rsidP="006D5BFB">
      <w:pPr>
        <w:spacing w:after="0" w:line="240" w:lineRule="auto"/>
        <w:contextualSpacing/>
        <w:rPr>
          <w:rFonts w:ascii="Verdana" w:eastAsia="Calibri" w:hAnsi="Verdana" w:cs="Arial"/>
        </w:rPr>
      </w:pPr>
    </w:p>
    <w:p w14:paraId="13FBD3C1" w14:textId="77777777" w:rsidR="00CA1F54" w:rsidRDefault="00CA1F54" w:rsidP="006D5BFB">
      <w:pPr>
        <w:spacing w:after="0" w:line="240" w:lineRule="auto"/>
        <w:contextualSpacing/>
        <w:rPr>
          <w:rFonts w:ascii="Verdana" w:eastAsia="Calibri" w:hAnsi="Verdana" w:cs="Arial"/>
        </w:rPr>
      </w:pPr>
    </w:p>
    <w:p w14:paraId="324FDE84" w14:textId="77777777" w:rsidR="00CA1F54" w:rsidRDefault="00CA1F54" w:rsidP="006D5BFB">
      <w:pPr>
        <w:spacing w:after="0" w:line="240" w:lineRule="auto"/>
        <w:contextualSpacing/>
        <w:rPr>
          <w:rFonts w:ascii="Verdana" w:eastAsia="Calibri" w:hAnsi="Verdana" w:cs="Arial"/>
        </w:rPr>
      </w:pPr>
    </w:p>
    <w:p w14:paraId="188B381F" w14:textId="77777777" w:rsidR="00CA1F54" w:rsidRDefault="00CA1F54" w:rsidP="006D5BFB">
      <w:pPr>
        <w:spacing w:after="0" w:line="240" w:lineRule="auto"/>
        <w:contextualSpacing/>
        <w:rPr>
          <w:rFonts w:ascii="Verdana" w:eastAsia="Calibri" w:hAnsi="Verdana" w:cs="Arial"/>
        </w:rPr>
      </w:pPr>
    </w:p>
    <w:p w14:paraId="5B54FB80" w14:textId="77777777" w:rsidR="00CA1F54" w:rsidRDefault="00CA1F54" w:rsidP="006D5BFB">
      <w:pPr>
        <w:spacing w:after="0" w:line="240" w:lineRule="auto"/>
        <w:contextualSpacing/>
        <w:rPr>
          <w:rFonts w:ascii="Verdana" w:eastAsia="Calibri" w:hAnsi="Verdana" w:cs="Arial"/>
        </w:rPr>
      </w:pPr>
    </w:p>
    <w:p w14:paraId="710B7E38" w14:textId="77777777" w:rsidR="00CA1F54" w:rsidRDefault="00CA1F54" w:rsidP="006D5BFB">
      <w:pPr>
        <w:spacing w:after="0" w:line="240" w:lineRule="auto"/>
        <w:contextualSpacing/>
        <w:rPr>
          <w:rFonts w:ascii="Verdana" w:eastAsia="Calibri" w:hAnsi="Verdana" w:cs="Arial"/>
        </w:rPr>
      </w:pPr>
    </w:p>
    <w:p w14:paraId="3865B479" w14:textId="77777777" w:rsidR="00CA1F54" w:rsidRDefault="00CA1F54" w:rsidP="006D5BFB">
      <w:pPr>
        <w:spacing w:after="0" w:line="240" w:lineRule="auto"/>
        <w:contextualSpacing/>
        <w:rPr>
          <w:rFonts w:ascii="Verdana" w:eastAsia="Calibri" w:hAnsi="Verdana" w:cs="Arial"/>
        </w:rPr>
      </w:pPr>
    </w:p>
    <w:p w14:paraId="38502813" w14:textId="77777777" w:rsidR="00CA1F54" w:rsidRDefault="00CA1F54" w:rsidP="006D5BFB">
      <w:pPr>
        <w:spacing w:after="0" w:line="240" w:lineRule="auto"/>
        <w:contextualSpacing/>
        <w:rPr>
          <w:rFonts w:ascii="Verdana" w:eastAsia="Calibri" w:hAnsi="Verdana" w:cs="Arial"/>
        </w:rPr>
      </w:pPr>
    </w:p>
    <w:p w14:paraId="011C5890" w14:textId="77777777" w:rsidR="00CA1F54" w:rsidRDefault="00CA1F54" w:rsidP="006D5BFB">
      <w:pPr>
        <w:spacing w:after="0" w:line="240" w:lineRule="auto"/>
        <w:contextualSpacing/>
        <w:rPr>
          <w:rFonts w:ascii="Verdana" w:eastAsia="Calibri" w:hAnsi="Verdana" w:cs="Arial"/>
        </w:rPr>
      </w:pPr>
    </w:p>
    <w:p w14:paraId="7ED2978A" w14:textId="77777777" w:rsidR="00CA1F54" w:rsidRDefault="00CA1F54" w:rsidP="006D5BFB">
      <w:pPr>
        <w:spacing w:after="0" w:line="240" w:lineRule="auto"/>
        <w:contextualSpacing/>
        <w:rPr>
          <w:rFonts w:ascii="Verdana" w:eastAsia="Calibri" w:hAnsi="Verdana" w:cs="Arial"/>
        </w:rPr>
      </w:pPr>
    </w:p>
    <w:p w14:paraId="2AB8A8AE" w14:textId="77777777" w:rsidR="00CA1F54" w:rsidRDefault="00CA1F54" w:rsidP="006D5BFB">
      <w:pPr>
        <w:spacing w:after="0" w:line="240" w:lineRule="auto"/>
        <w:contextualSpacing/>
        <w:rPr>
          <w:rFonts w:ascii="Verdana" w:eastAsia="Calibri" w:hAnsi="Verdana" w:cs="Arial"/>
        </w:rPr>
      </w:pPr>
    </w:p>
    <w:p w14:paraId="73796704" w14:textId="77777777" w:rsidR="00CA1F54" w:rsidRDefault="00CA1F54" w:rsidP="006D5BFB">
      <w:pPr>
        <w:spacing w:after="0" w:line="240" w:lineRule="auto"/>
        <w:contextualSpacing/>
        <w:rPr>
          <w:rFonts w:ascii="Verdana" w:eastAsia="Calibri" w:hAnsi="Verdana" w:cs="Arial"/>
        </w:rPr>
      </w:pPr>
    </w:p>
    <w:p w14:paraId="17B0B836" w14:textId="77777777" w:rsidR="00CA1F54" w:rsidRDefault="00CA1F54" w:rsidP="006D5BFB">
      <w:pPr>
        <w:spacing w:after="0" w:line="240" w:lineRule="auto"/>
        <w:contextualSpacing/>
        <w:rPr>
          <w:rFonts w:ascii="Verdana" w:eastAsia="Calibri" w:hAnsi="Verdana" w:cs="Arial"/>
        </w:rPr>
      </w:pPr>
    </w:p>
    <w:p w14:paraId="6543D441" w14:textId="77777777" w:rsidR="00CA1F54" w:rsidRDefault="00CA1F54" w:rsidP="006D5BFB">
      <w:pPr>
        <w:spacing w:after="0" w:line="240" w:lineRule="auto"/>
        <w:contextualSpacing/>
        <w:rPr>
          <w:rFonts w:ascii="Verdana" w:eastAsia="Calibri" w:hAnsi="Verdana" w:cs="Arial"/>
        </w:rPr>
      </w:pPr>
    </w:p>
    <w:p w14:paraId="116261B5" w14:textId="77777777" w:rsidR="00CA1F54" w:rsidRDefault="00CA1F54" w:rsidP="006D5BFB">
      <w:pPr>
        <w:spacing w:after="0" w:line="240" w:lineRule="auto"/>
        <w:contextualSpacing/>
        <w:rPr>
          <w:rFonts w:ascii="Verdana" w:eastAsia="Calibri" w:hAnsi="Verdana" w:cs="Arial"/>
        </w:rPr>
      </w:pPr>
    </w:p>
    <w:p w14:paraId="0B8ED885" w14:textId="77777777" w:rsidR="00CA1F54" w:rsidRDefault="00CA1F54" w:rsidP="006D5BFB">
      <w:pPr>
        <w:spacing w:after="0" w:line="240" w:lineRule="auto"/>
        <w:contextualSpacing/>
        <w:rPr>
          <w:rFonts w:ascii="Verdana" w:eastAsia="Calibri" w:hAnsi="Verdana" w:cs="Arial"/>
        </w:rPr>
      </w:pPr>
    </w:p>
    <w:p w14:paraId="7E1297D9" w14:textId="77777777" w:rsidR="00CA1F54" w:rsidRDefault="00CA1F54" w:rsidP="006D5BFB">
      <w:pPr>
        <w:spacing w:after="0" w:line="240" w:lineRule="auto"/>
        <w:contextualSpacing/>
        <w:rPr>
          <w:rFonts w:ascii="Verdana" w:eastAsia="Calibri" w:hAnsi="Verdana" w:cs="Arial"/>
        </w:rPr>
      </w:pPr>
    </w:p>
    <w:p w14:paraId="1889430E" w14:textId="77777777" w:rsidR="00CA1F54" w:rsidRDefault="00CA1F54" w:rsidP="006D5BFB">
      <w:pPr>
        <w:spacing w:after="0" w:line="240" w:lineRule="auto"/>
        <w:contextualSpacing/>
        <w:rPr>
          <w:rFonts w:ascii="Verdana" w:eastAsia="Calibri" w:hAnsi="Verdana" w:cs="Arial"/>
        </w:rPr>
      </w:pPr>
    </w:p>
    <w:p w14:paraId="3A79EC4D" w14:textId="77777777" w:rsidR="00CA1F54" w:rsidRDefault="00CA1F54" w:rsidP="006D5BFB">
      <w:pPr>
        <w:spacing w:after="0" w:line="240" w:lineRule="auto"/>
        <w:contextualSpacing/>
        <w:rPr>
          <w:rFonts w:ascii="Verdana" w:eastAsia="Calibri" w:hAnsi="Verdana" w:cs="Arial"/>
        </w:rPr>
      </w:pPr>
    </w:p>
    <w:p w14:paraId="1370D793" w14:textId="77777777" w:rsidR="00CA1F54" w:rsidRDefault="00CA1F54" w:rsidP="006D5BFB">
      <w:pPr>
        <w:spacing w:after="0" w:line="240" w:lineRule="auto"/>
        <w:contextualSpacing/>
        <w:rPr>
          <w:rFonts w:ascii="Verdana" w:eastAsia="Calibri" w:hAnsi="Verdana" w:cs="Arial"/>
        </w:rPr>
      </w:pPr>
    </w:p>
    <w:p w14:paraId="6EC2A9AC" w14:textId="77777777" w:rsidR="00CA1F54" w:rsidRDefault="00CA1F54" w:rsidP="006D5BFB">
      <w:pPr>
        <w:spacing w:after="0" w:line="240" w:lineRule="auto"/>
        <w:contextualSpacing/>
        <w:rPr>
          <w:rFonts w:ascii="Verdana" w:eastAsia="Calibri" w:hAnsi="Verdana" w:cs="Arial"/>
        </w:rPr>
      </w:pPr>
    </w:p>
    <w:p w14:paraId="79C7A419" w14:textId="77777777" w:rsidR="00CA1F54" w:rsidRDefault="00CA1F54" w:rsidP="006D5BFB">
      <w:pPr>
        <w:spacing w:after="0" w:line="240" w:lineRule="auto"/>
        <w:contextualSpacing/>
        <w:rPr>
          <w:rFonts w:ascii="Verdana" w:eastAsia="Calibri" w:hAnsi="Verdana" w:cs="Arial"/>
        </w:rPr>
      </w:pPr>
    </w:p>
    <w:p w14:paraId="4A580978" w14:textId="77777777" w:rsidR="00CA1F54" w:rsidRDefault="00CA1F54" w:rsidP="006D5BFB">
      <w:pPr>
        <w:spacing w:after="0" w:line="240" w:lineRule="auto"/>
        <w:contextualSpacing/>
        <w:rPr>
          <w:rFonts w:ascii="Verdana" w:eastAsia="Calibri" w:hAnsi="Verdana" w:cs="Arial"/>
        </w:rPr>
      </w:pPr>
    </w:p>
    <w:p w14:paraId="2059477A" w14:textId="77777777" w:rsidR="00CA1F54" w:rsidRDefault="00CA1F54" w:rsidP="006D5BFB">
      <w:pPr>
        <w:spacing w:after="0" w:line="240" w:lineRule="auto"/>
        <w:contextualSpacing/>
        <w:rPr>
          <w:rFonts w:ascii="Verdana" w:eastAsia="Calibri" w:hAnsi="Verdana" w:cs="Arial"/>
        </w:rPr>
      </w:pPr>
    </w:p>
    <w:p w14:paraId="5ADB679F" w14:textId="77777777" w:rsidR="00CA1F54" w:rsidRDefault="00CA1F54" w:rsidP="006D5BFB">
      <w:pPr>
        <w:spacing w:after="0" w:line="240" w:lineRule="auto"/>
        <w:contextualSpacing/>
        <w:rPr>
          <w:rFonts w:ascii="Verdana" w:eastAsia="Calibri" w:hAnsi="Verdana" w:cs="Arial"/>
        </w:rPr>
      </w:pPr>
    </w:p>
    <w:p w14:paraId="13459FB0" w14:textId="77777777" w:rsidR="00CA1F54" w:rsidRDefault="00CA1F54" w:rsidP="006D5BFB">
      <w:pPr>
        <w:spacing w:after="0" w:line="240" w:lineRule="auto"/>
        <w:contextualSpacing/>
        <w:rPr>
          <w:rFonts w:ascii="Verdana" w:eastAsia="Calibri" w:hAnsi="Verdana" w:cs="Arial"/>
        </w:rPr>
      </w:pPr>
    </w:p>
    <w:p w14:paraId="723E035C" w14:textId="77777777" w:rsidR="00CA1F54" w:rsidRDefault="00CA1F54" w:rsidP="006D5BFB">
      <w:pPr>
        <w:spacing w:after="0" w:line="240" w:lineRule="auto"/>
        <w:contextualSpacing/>
        <w:rPr>
          <w:rFonts w:ascii="Verdana" w:eastAsia="Calibri" w:hAnsi="Verdana" w:cs="Arial"/>
        </w:rPr>
      </w:pPr>
    </w:p>
    <w:p w14:paraId="3785FC26" w14:textId="77777777" w:rsidR="002E167D" w:rsidRDefault="002E167D" w:rsidP="006D5BFB">
      <w:pPr>
        <w:spacing w:after="0" w:line="240" w:lineRule="auto"/>
        <w:contextualSpacing/>
        <w:rPr>
          <w:rFonts w:ascii="Verdana" w:eastAsia="Calibri" w:hAnsi="Verdana" w:cs="Arial"/>
        </w:rPr>
      </w:pPr>
    </w:p>
    <w:p w14:paraId="7D903479" w14:textId="551591C4" w:rsidR="006D5BFB" w:rsidRPr="002310F7" w:rsidRDefault="005B1DE8" w:rsidP="006D5BFB">
      <w:pPr>
        <w:spacing w:after="0" w:line="240" w:lineRule="auto"/>
        <w:contextualSpacing/>
        <w:rPr>
          <w:rFonts w:ascii="Verdana" w:eastAsia="Calibri" w:hAnsi="Verdana" w:cs="Arial"/>
        </w:rPr>
      </w:pPr>
      <w:r w:rsidRPr="005B1DE8">
        <w:rPr>
          <w:rFonts w:ascii="Verdana" w:eastAsia="Calibri" w:hAnsi="Verdana" w:cs="Arial"/>
        </w:rPr>
        <w:lastRenderedPageBreak/>
        <w:t xml:space="preserve">Bogotá D.C, 26 </w:t>
      </w:r>
      <w:r>
        <w:rPr>
          <w:rFonts w:ascii="Verdana" w:eastAsia="Calibri" w:hAnsi="Verdana" w:cs="Arial"/>
        </w:rPr>
        <w:t>o</w:t>
      </w:r>
      <w:r w:rsidRPr="005B1DE8">
        <w:rPr>
          <w:rFonts w:ascii="Verdana" w:eastAsia="Calibri" w:hAnsi="Verdana" w:cs="Arial"/>
        </w:rPr>
        <w:t>ctubre 2026</w:t>
      </w:r>
      <w:r>
        <w:rPr>
          <w:rFonts w:ascii="Verdana" w:eastAsia="Calibri" w:hAnsi="Verdana" w:cs="Arial"/>
        </w:rPr>
        <w:t xml:space="preserve"> </w:t>
      </w:r>
    </w:p>
    <w:p w14:paraId="203A093C" w14:textId="34BF30BB" w:rsidR="006D5BFB" w:rsidRPr="008E4F36" w:rsidRDefault="006D5BFB" w:rsidP="006D5BFB">
      <w:pPr>
        <w:spacing w:after="0" w:line="240" w:lineRule="auto"/>
        <w:jc w:val="both"/>
        <w:rPr>
          <w:rFonts w:ascii="Verdana" w:eastAsia="Calibri" w:hAnsi="Verdana" w:cs="Arial"/>
          <w:lang w:eastAsia="es-ES"/>
        </w:rPr>
      </w:pPr>
      <w:bookmarkStart w:id="0" w:name="_Hlk197462763"/>
      <w:bookmarkStart w:id="1" w:name="_Hlk197529996"/>
    </w:p>
    <w:p w14:paraId="0A2E6CAA" w14:textId="05E3A8D7" w:rsidR="00130E22" w:rsidRDefault="00130E22" w:rsidP="006D5BFB">
      <w:pPr>
        <w:spacing w:after="0" w:line="240" w:lineRule="auto"/>
        <w:jc w:val="both"/>
        <w:rPr>
          <w:rFonts w:ascii="Verdana" w:eastAsia="Calibri" w:hAnsi="Verdana" w:cs="Arial"/>
          <w:lang w:eastAsia="es-ES"/>
        </w:rPr>
      </w:pPr>
      <w:r w:rsidRPr="00130E22">
        <w:rPr>
          <w:rFonts w:ascii="Verdana" w:eastAsia="Calibri" w:hAnsi="Verdana" w:cs="Arial"/>
          <w:lang w:eastAsia="es-ES"/>
        </w:rPr>
        <w:drawing>
          <wp:anchor distT="0" distB="0" distL="114300" distR="114300" simplePos="0" relativeHeight="251658240" behindDoc="1" locked="0" layoutInCell="1" allowOverlap="1" wp14:anchorId="4374ABD1" wp14:editId="38F1970C">
            <wp:simplePos x="0" y="0"/>
            <wp:positionH relativeFrom="column">
              <wp:posOffset>3034616</wp:posOffset>
            </wp:positionH>
            <wp:positionV relativeFrom="paragraph">
              <wp:posOffset>67798</wp:posOffset>
            </wp:positionV>
            <wp:extent cx="2543175" cy="704850"/>
            <wp:effectExtent l="0" t="0" r="9525" b="0"/>
            <wp:wrapTight wrapText="bothSides">
              <wp:wrapPolygon edited="0">
                <wp:start x="0" y="0"/>
                <wp:lineTo x="0" y="21016"/>
                <wp:lineTo x="21519" y="21016"/>
                <wp:lineTo x="21519" y="0"/>
                <wp:lineTo x="0" y="0"/>
              </wp:wrapPolygon>
            </wp:wrapTight>
            <wp:docPr id="14948366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36677" name=""/>
                    <pic:cNvPicPr/>
                  </pic:nvPicPr>
                  <pic:blipFill>
                    <a:blip r:embed="rId7">
                      <a:extLst>
                        <a:ext uri="{28A0092B-C50C-407E-A947-70E740481C1C}">
                          <a14:useLocalDpi xmlns:a14="http://schemas.microsoft.com/office/drawing/2010/main" val="0"/>
                        </a:ext>
                      </a:extLst>
                    </a:blip>
                    <a:stretch>
                      <a:fillRect/>
                    </a:stretch>
                  </pic:blipFill>
                  <pic:spPr>
                    <a:xfrm>
                      <a:off x="0" y="0"/>
                      <a:ext cx="2543175" cy="704850"/>
                    </a:xfrm>
                    <a:prstGeom prst="rect">
                      <a:avLst/>
                    </a:prstGeom>
                  </pic:spPr>
                </pic:pic>
              </a:graphicData>
            </a:graphic>
          </wp:anchor>
        </w:drawing>
      </w:r>
    </w:p>
    <w:p w14:paraId="7BFBE704" w14:textId="7E43FCC1" w:rsidR="00130E22" w:rsidRDefault="00130E22" w:rsidP="006D5BFB">
      <w:pPr>
        <w:spacing w:after="0" w:line="240" w:lineRule="auto"/>
        <w:jc w:val="both"/>
        <w:rPr>
          <w:rFonts w:ascii="Verdana" w:eastAsia="Calibri" w:hAnsi="Verdana" w:cs="Arial"/>
          <w:lang w:eastAsia="es-ES"/>
        </w:rPr>
      </w:pPr>
    </w:p>
    <w:p w14:paraId="08CD9D96" w14:textId="77777777" w:rsidR="006D5BFB" w:rsidRPr="00FB376B" w:rsidRDefault="006D5BFB" w:rsidP="006D5BFB">
      <w:pPr>
        <w:spacing w:after="0" w:line="240" w:lineRule="auto"/>
        <w:jc w:val="both"/>
        <w:rPr>
          <w:rFonts w:ascii="Verdana" w:eastAsia="Calibri" w:hAnsi="Verdana" w:cs="Arial"/>
          <w:lang w:eastAsia="es-ES"/>
        </w:rPr>
      </w:pPr>
      <w:r w:rsidRPr="00FB376B">
        <w:rPr>
          <w:rFonts w:ascii="Verdana" w:eastAsia="Calibri" w:hAnsi="Verdana" w:cs="Arial"/>
          <w:lang w:eastAsia="es-ES"/>
        </w:rPr>
        <w:t>Señora</w:t>
      </w:r>
    </w:p>
    <w:p w14:paraId="0996130B" w14:textId="7A4009B8" w:rsidR="006D5BFB" w:rsidRPr="00FB376B" w:rsidRDefault="006D5BFB" w:rsidP="006D5BFB">
      <w:pPr>
        <w:spacing w:after="0" w:line="240" w:lineRule="auto"/>
        <w:jc w:val="both"/>
        <w:rPr>
          <w:rFonts w:ascii="Verdana" w:eastAsia="Calibri" w:hAnsi="Verdana" w:cs="Arial"/>
          <w:b/>
          <w:lang w:eastAsia="es-ES_tradnl"/>
        </w:rPr>
      </w:pPr>
      <w:r w:rsidRPr="00FB376B">
        <w:rPr>
          <w:rFonts w:ascii="Verdana" w:eastAsia="Calibri" w:hAnsi="Verdana" w:cs="Arial"/>
          <w:b/>
          <w:lang w:eastAsia="es-ES_tradnl"/>
        </w:rPr>
        <w:t xml:space="preserve">Kelly Natalia Quintero De Los Ríos </w:t>
      </w:r>
    </w:p>
    <w:p w14:paraId="5D654FE8" w14:textId="7239E0D6" w:rsidR="006D5BFB" w:rsidRPr="00FB376B" w:rsidRDefault="006D5BFB" w:rsidP="006D5BFB">
      <w:pPr>
        <w:spacing w:after="0" w:line="240" w:lineRule="auto"/>
        <w:jc w:val="both"/>
        <w:rPr>
          <w:rFonts w:ascii="Verdana" w:eastAsia="Calibri" w:hAnsi="Verdana" w:cs="Arial"/>
          <w:b/>
          <w:highlight w:val="yellow"/>
          <w:lang w:eastAsia="es-ES_tradnl"/>
        </w:rPr>
      </w:pPr>
      <w:hyperlink r:id="rId8" w:history="1">
        <w:r w:rsidRPr="00FB376B">
          <w:rPr>
            <w:rStyle w:val="Hipervnculo"/>
            <w:rFonts w:ascii="Verdana" w:eastAsia="Calibri" w:hAnsi="Verdana" w:cs="Arial"/>
            <w:b/>
            <w:lang w:eastAsia="es-ES_tradnl"/>
          </w:rPr>
          <w:t>knquintero@minenergia.gov.co</w:t>
        </w:r>
      </w:hyperlink>
      <w:r w:rsidRPr="00FB376B">
        <w:rPr>
          <w:rFonts w:ascii="Verdana" w:eastAsia="Calibri" w:hAnsi="Verdana" w:cs="Arial"/>
          <w:b/>
          <w:lang w:eastAsia="es-ES_tradnl"/>
        </w:rPr>
        <w:t xml:space="preserve"> </w:t>
      </w:r>
    </w:p>
    <w:p w14:paraId="1EDDB65B" w14:textId="4464985C" w:rsidR="006D5BFB" w:rsidRPr="00FB376B" w:rsidRDefault="006D5BFB" w:rsidP="006D5BFB">
      <w:pPr>
        <w:spacing w:after="0" w:line="240" w:lineRule="auto"/>
        <w:jc w:val="both"/>
        <w:rPr>
          <w:rFonts w:ascii="Verdana" w:eastAsia="Calibri" w:hAnsi="Verdana" w:cs="Arial"/>
          <w:bCs/>
          <w:lang w:eastAsia="es-ES_tradnl"/>
        </w:rPr>
      </w:pPr>
      <w:r w:rsidRPr="00FB376B">
        <w:rPr>
          <w:rFonts w:ascii="Verdana" w:eastAsia="Calibri" w:hAnsi="Verdana" w:cs="Arial"/>
          <w:bCs/>
          <w:lang w:eastAsia="es-ES_tradnl"/>
        </w:rPr>
        <w:t xml:space="preserve">Ciudad </w:t>
      </w:r>
    </w:p>
    <w:p w14:paraId="3AA98FBC" w14:textId="77777777" w:rsidR="006D5BFB" w:rsidRPr="005B4C57" w:rsidRDefault="006D5BFB" w:rsidP="006D5BFB">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D5BFB" w:rsidRPr="002842E0" w14:paraId="4640F491" w14:textId="77777777" w:rsidTr="008D334B">
        <w:trPr>
          <w:trHeight w:val="162"/>
        </w:trPr>
        <w:tc>
          <w:tcPr>
            <w:tcW w:w="3119" w:type="dxa"/>
          </w:tcPr>
          <w:p w14:paraId="15FBEE80" w14:textId="77777777" w:rsidR="006D5BFB" w:rsidRPr="005B4C57" w:rsidRDefault="006D5BFB" w:rsidP="008D334B">
            <w:pPr>
              <w:jc w:val="both"/>
              <w:rPr>
                <w:rFonts w:ascii="Verdana" w:eastAsia="Calibri" w:hAnsi="Verdana" w:cs="Arial"/>
                <w:b/>
                <w:bCs/>
                <w:color w:val="7030A0"/>
                <w:lang w:val="it-CH" w:eastAsia="es-ES_tradnl"/>
              </w:rPr>
            </w:pPr>
          </w:p>
        </w:tc>
        <w:tc>
          <w:tcPr>
            <w:tcW w:w="5670" w:type="dxa"/>
          </w:tcPr>
          <w:p w14:paraId="7CF957BF" w14:textId="6BEB7E99" w:rsidR="006D5BFB" w:rsidRPr="00801462" w:rsidRDefault="006D5BFB" w:rsidP="008D334B">
            <w:pPr>
              <w:jc w:val="both"/>
              <w:rPr>
                <w:rFonts w:ascii="Verdana" w:eastAsia="Calibri" w:hAnsi="Verdana" w:cs="Arial"/>
                <w:b/>
                <w:bCs/>
                <w:lang w:eastAsia="es-ES"/>
              </w:rPr>
            </w:pPr>
            <w:r w:rsidRPr="00596158">
              <w:rPr>
                <w:rFonts w:ascii="Verdana" w:eastAsia="Calibri" w:hAnsi="Verdana" w:cs="Arial"/>
                <w:b/>
                <w:bCs/>
                <w:lang w:eastAsia="es-ES"/>
              </w:rPr>
              <w:t>Concepto C- 1</w:t>
            </w:r>
            <w:r>
              <w:rPr>
                <w:rFonts w:ascii="Verdana" w:eastAsia="Calibri" w:hAnsi="Verdana" w:cs="Arial"/>
                <w:b/>
                <w:bCs/>
                <w:lang w:eastAsia="es-ES"/>
              </w:rPr>
              <w:t>508</w:t>
            </w:r>
            <w:r w:rsidRPr="00596158">
              <w:rPr>
                <w:rFonts w:ascii="Verdana" w:eastAsia="Calibri" w:hAnsi="Verdana" w:cs="Arial"/>
                <w:b/>
                <w:bCs/>
                <w:lang w:eastAsia="es-ES"/>
              </w:rPr>
              <w:t xml:space="preserve"> de 202</w:t>
            </w:r>
            <w:r>
              <w:rPr>
                <w:rFonts w:ascii="Verdana" w:eastAsia="Calibri" w:hAnsi="Verdana" w:cs="Arial"/>
                <w:b/>
                <w:bCs/>
                <w:lang w:eastAsia="es-ES"/>
              </w:rPr>
              <w:t>6</w:t>
            </w:r>
          </w:p>
          <w:p w14:paraId="04A843E2" w14:textId="77777777" w:rsidR="006D5BFB" w:rsidRPr="00801462" w:rsidRDefault="006D5BFB" w:rsidP="008D334B">
            <w:pPr>
              <w:jc w:val="both"/>
              <w:rPr>
                <w:rFonts w:ascii="Verdana" w:eastAsia="Calibri" w:hAnsi="Verdana" w:cs="Arial"/>
                <w:b/>
                <w:bCs/>
                <w:color w:val="7030A0"/>
                <w:lang w:eastAsia="es-ES"/>
              </w:rPr>
            </w:pPr>
          </w:p>
        </w:tc>
      </w:tr>
      <w:tr w:rsidR="006D5BFB" w:rsidRPr="002842E0" w14:paraId="7AC1C70C" w14:textId="77777777" w:rsidTr="008D334B">
        <w:trPr>
          <w:trHeight w:val="884"/>
        </w:trPr>
        <w:tc>
          <w:tcPr>
            <w:tcW w:w="3119" w:type="dxa"/>
          </w:tcPr>
          <w:p w14:paraId="44F332BF" w14:textId="77777777" w:rsidR="006D5BFB" w:rsidRPr="00D062C0" w:rsidRDefault="006D5BFB" w:rsidP="008D334B">
            <w:pPr>
              <w:jc w:val="both"/>
              <w:rPr>
                <w:rFonts w:ascii="Verdana" w:eastAsia="Calibri" w:hAnsi="Verdana" w:cs="Arial"/>
                <w:color w:val="000000"/>
                <w:lang w:eastAsia="es-ES_tradnl"/>
              </w:rPr>
            </w:pPr>
            <w:r w:rsidRPr="00D062C0">
              <w:rPr>
                <w:rFonts w:ascii="Verdana" w:eastAsia="Calibri" w:hAnsi="Verdana" w:cs="Arial"/>
                <w:b/>
                <w:color w:val="000000"/>
                <w:lang w:eastAsia="es-ES_tradnl"/>
              </w:rPr>
              <w:t>Temas:</w:t>
            </w:r>
            <w:r w:rsidRPr="00D062C0">
              <w:rPr>
                <w:rFonts w:ascii="Verdana" w:eastAsia="Calibri" w:hAnsi="Verdana" w:cs="Arial"/>
                <w:color w:val="000000"/>
                <w:lang w:eastAsia="es-ES_tradnl"/>
              </w:rPr>
              <w:t xml:space="preserve">                   </w:t>
            </w:r>
          </w:p>
        </w:tc>
        <w:tc>
          <w:tcPr>
            <w:tcW w:w="5670" w:type="dxa"/>
          </w:tcPr>
          <w:p w14:paraId="1CD386F0" w14:textId="490C908B" w:rsidR="006D5BFB" w:rsidRPr="00AE787E" w:rsidRDefault="00AE787E" w:rsidP="00AE787E">
            <w:pPr>
              <w:spacing w:line="276" w:lineRule="auto"/>
              <w:jc w:val="both"/>
              <w:rPr>
                <w:rFonts w:ascii="Verdana" w:eastAsia="Calibri" w:hAnsi="Verdana" w:cs="Arial"/>
                <w:lang w:val="es-ES" w:eastAsia="es-ES"/>
              </w:rPr>
            </w:pPr>
            <w:r w:rsidRPr="00B60BC4">
              <w:rPr>
                <w:rFonts w:ascii="Verdana" w:eastAsia="Calibri" w:hAnsi="Verdana" w:cs="Arial"/>
                <w:lang w:val="es-ES" w:eastAsia="es-ES"/>
              </w:rPr>
              <w:t>LEY 1474 DE 2011 – Supervisión e interventoría contractual / SUPERVISIÓN DEL CONTRATO – Características – Apoyo a la supervisión / SUPERVISIÓN DEL CONTRATO – Definición – Límites</w:t>
            </w:r>
            <w:r>
              <w:rPr>
                <w:rFonts w:ascii="Verdana" w:eastAsia="Calibri" w:hAnsi="Verdana" w:cs="Arial"/>
                <w:lang w:val="es-ES" w:eastAsia="es-ES"/>
              </w:rPr>
              <w:t xml:space="preserve"> </w:t>
            </w:r>
          </w:p>
          <w:p w14:paraId="79EC5690" w14:textId="77777777" w:rsidR="006D5BFB" w:rsidRPr="00D062C0" w:rsidRDefault="006D5BFB" w:rsidP="008D334B">
            <w:pPr>
              <w:jc w:val="both"/>
              <w:rPr>
                <w:rFonts w:ascii="Verdana" w:eastAsia="Calibri" w:hAnsi="Verdana" w:cs="Arial"/>
                <w:lang w:val="es-ES_tradnl" w:eastAsia="es-ES"/>
              </w:rPr>
            </w:pPr>
          </w:p>
        </w:tc>
      </w:tr>
      <w:tr w:rsidR="006D5BFB" w:rsidRPr="00596158" w14:paraId="2CD3355B" w14:textId="77777777" w:rsidTr="008D334B">
        <w:tc>
          <w:tcPr>
            <w:tcW w:w="3119" w:type="dxa"/>
          </w:tcPr>
          <w:p w14:paraId="76FE178F" w14:textId="77777777" w:rsidR="006D5BFB" w:rsidRPr="00EB42FF" w:rsidRDefault="006D5BFB" w:rsidP="008D334B">
            <w:pPr>
              <w:jc w:val="both"/>
              <w:rPr>
                <w:rFonts w:ascii="Verdana" w:eastAsia="Calibri" w:hAnsi="Verdana" w:cs="Arial"/>
                <w:b/>
                <w:lang w:eastAsia="es-ES_tradnl"/>
              </w:rPr>
            </w:pPr>
            <w:r w:rsidRPr="00EB42FF">
              <w:rPr>
                <w:rFonts w:ascii="Verdana" w:eastAsia="Calibri" w:hAnsi="Verdana" w:cs="Arial"/>
                <w:b/>
                <w:lang w:eastAsia="es-ES_tradnl"/>
              </w:rPr>
              <w:t>Radicación:</w:t>
            </w:r>
            <w:r w:rsidRPr="00EB42FF">
              <w:rPr>
                <w:rFonts w:ascii="Verdana" w:eastAsia="Calibri" w:hAnsi="Verdana" w:cs="Arial"/>
                <w:lang w:eastAsia="es-ES_tradnl"/>
              </w:rPr>
              <w:t xml:space="preserve">               </w:t>
            </w:r>
          </w:p>
        </w:tc>
        <w:tc>
          <w:tcPr>
            <w:tcW w:w="5670" w:type="dxa"/>
          </w:tcPr>
          <w:p w14:paraId="0CDAC110" w14:textId="15FA7411" w:rsidR="006D5BFB" w:rsidRPr="006D5BFB" w:rsidRDefault="006D5BFB" w:rsidP="008D334B">
            <w:pPr>
              <w:jc w:val="both"/>
              <w:rPr>
                <w:rFonts w:ascii="Verdana" w:eastAsia="Calibri" w:hAnsi="Verdana" w:cs="Arial"/>
                <w:lang w:eastAsia="es-ES_tradnl"/>
              </w:rPr>
            </w:pPr>
            <w:r w:rsidRPr="006D5BFB">
              <w:rPr>
                <w:rFonts w:ascii="Verdana" w:eastAsia="Calibri" w:hAnsi="Verdana" w:cs="Arial"/>
                <w:lang w:eastAsia="es-ES_tradnl"/>
              </w:rPr>
              <w:t>Respuesta a consulta con radicado 1_2026_09_24_012868</w:t>
            </w:r>
          </w:p>
          <w:p w14:paraId="3F2D3CE2" w14:textId="77777777" w:rsidR="006D5BFB" w:rsidRPr="00EB42FF" w:rsidRDefault="006D5BFB" w:rsidP="008D334B">
            <w:pPr>
              <w:jc w:val="both"/>
              <w:rPr>
                <w:rFonts w:ascii="Verdana" w:eastAsia="Calibri" w:hAnsi="Verdana" w:cs="Arial"/>
                <w:lang w:eastAsia="es-ES_tradnl"/>
              </w:rPr>
            </w:pPr>
          </w:p>
          <w:p w14:paraId="45857B2D" w14:textId="77777777" w:rsidR="006D5BFB" w:rsidRPr="00EB42FF" w:rsidRDefault="006D5BFB" w:rsidP="008D334B">
            <w:pPr>
              <w:jc w:val="both"/>
              <w:rPr>
                <w:rFonts w:ascii="Verdana" w:eastAsia="Calibri" w:hAnsi="Verdana" w:cs="Arial"/>
                <w:lang w:eastAsia="es-ES_tradnl"/>
              </w:rPr>
            </w:pPr>
          </w:p>
        </w:tc>
      </w:tr>
    </w:tbl>
    <w:p w14:paraId="3DB2ACE4" w14:textId="0AA395D1" w:rsidR="006D5BFB" w:rsidRPr="008E4F36" w:rsidRDefault="006D5BFB" w:rsidP="006D5BFB">
      <w:pPr>
        <w:spacing w:after="0" w:line="276" w:lineRule="auto"/>
        <w:jc w:val="both"/>
        <w:rPr>
          <w:rFonts w:ascii="Verdana" w:eastAsia="Calibri" w:hAnsi="Verdana" w:cs="Arial"/>
          <w:lang w:eastAsia="es-ES"/>
        </w:rPr>
      </w:pPr>
      <w:r w:rsidRPr="00596158">
        <w:rPr>
          <w:rFonts w:ascii="Verdana" w:eastAsia="Calibri" w:hAnsi="Verdana" w:cs="Arial"/>
          <w:lang w:eastAsia="es-ES"/>
        </w:rPr>
        <w:t>Estimad</w:t>
      </w:r>
      <w:r>
        <w:rPr>
          <w:rFonts w:ascii="Verdana" w:eastAsia="Calibri" w:hAnsi="Verdana" w:cs="Arial"/>
          <w:lang w:eastAsia="es-ES"/>
        </w:rPr>
        <w:t xml:space="preserve">a Señora </w:t>
      </w:r>
      <w:r w:rsidR="00BF412D">
        <w:rPr>
          <w:rFonts w:ascii="Verdana" w:eastAsia="Calibri" w:hAnsi="Verdana" w:cs="Arial"/>
          <w:lang w:eastAsia="es-ES"/>
        </w:rPr>
        <w:t>Natalia</w:t>
      </w:r>
      <w:r w:rsidRPr="00596158">
        <w:rPr>
          <w:rFonts w:ascii="Verdana" w:eastAsia="Calibri" w:hAnsi="Verdana" w:cs="Arial"/>
          <w:lang w:eastAsia="es-ES"/>
        </w:rPr>
        <w:t>:</w:t>
      </w:r>
      <w:r w:rsidRPr="008E4F36">
        <w:rPr>
          <w:rFonts w:ascii="Verdana" w:eastAsia="Calibri" w:hAnsi="Verdana" w:cs="Arial"/>
          <w:lang w:eastAsia="es-ES"/>
        </w:rPr>
        <w:t xml:space="preserve"> </w:t>
      </w:r>
    </w:p>
    <w:p w14:paraId="0A9F6F96" w14:textId="77777777" w:rsidR="006D5BFB" w:rsidRDefault="006D5BFB" w:rsidP="006D5BFB">
      <w:pPr>
        <w:tabs>
          <w:tab w:val="left" w:pos="3768"/>
        </w:tabs>
        <w:spacing w:after="0" w:line="240" w:lineRule="auto"/>
        <w:jc w:val="both"/>
        <w:rPr>
          <w:rFonts w:ascii="Verdana" w:eastAsia="Calibri" w:hAnsi="Verdana" w:cs="Arial"/>
          <w:lang w:eastAsia="es-ES"/>
        </w:rPr>
      </w:pPr>
    </w:p>
    <w:p w14:paraId="21888F48" w14:textId="5747A295" w:rsidR="006D5BFB" w:rsidRPr="008E4F36" w:rsidRDefault="006D5BFB" w:rsidP="006D5BFB">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24</w:t>
      </w:r>
      <w:r w:rsidRPr="00596158">
        <w:rPr>
          <w:rFonts w:ascii="Verdana" w:eastAsia="Calibri" w:hAnsi="Verdana" w:cs="Arial"/>
          <w:lang w:eastAsia="es-ES"/>
        </w:rPr>
        <w:t xml:space="preserve"> de</w:t>
      </w:r>
      <w:r>
        <w:rPr>
          <w:rFonts w:ascii="Verdana" w:eastAsia="Calibri" w:hAnsi="Verdana" w:cs="Arial"/>
          <w:lang w:eastAsia="es-ES"/>
        </w:rPr>
        <w:t xml:space="preserve"> septiembre </w:t>
      </w:r>
      <w:r w:rsidRPr="00596158">
        <w:rPr>
          <w:rFonts w:ascii="Verdana" w:eastAsia="Calibri" w:hAnsi="Verdana" w:cs="Arial"/>
          <w:lang w:eastAsia="es-ES"/>
        </w:rPr>
        <w:t>de 202</w:t>
      </w:r>
      <w:r>
        <w:rPr>
          <w:rFonts w:ascii="Verdana" w:eastAsia="Calibri" w:hAnsi="Verdana" w:cs="Arial"/>
          <w:lang w:eastAsia="es-ES"/>
        </w:rPr>
        <w:t>6</w:t>
      </w:r>
      <w:r w:rsidRPr="005961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EED8311" w14:textId="77777777" w:rsidR="006D5BFB" w:rsidRPr="008E4F36" w:rsidRDefault="006D5BFB" w:rsidP="006D5BFB">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8664243" w14:textId="17652A74" w:rsidR="006D5BFB" w:rsidRDefault="006D5BFB" w:rsidP="006D5BFB">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6D5BFB">
        <w:rPr>
          <w:rFonts w:ascii="Verdana" w:eastAsia="Century Gothic" w:hAnsi="Verdana" w:cs="Century Gothic"/>
          <w:sz w:val="20"/>
          <w:szCs w:val="20"/>
        </w:rPr>
        <w:t>1. ¿Cuál es el alcance de los artículos 11 de la Ley 80 de 1993 y 83 y 84 de la Ley 1474</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de 2011 respecto de la responsabilidad del ordenador del gasto frente a la vigilancia</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de los contratos estatales y frente a la designación y continuidad de la supervisión?</w:t>
      </w:r>
    </w:p>
    <w:p w14:paraId="1995236A" w14:textId="77777777" w:rsidR="006D5BFB" w:rsidRPr="006D5BFB" w:rsidRDefault="006D5BFB" w:rsidP="006D5BFB">
      <w:pPr>
        <w:spacing w:after="0" w:line="240" w:lineRule="auto"/>
        <w:ind w:left="709" w:right="709"/>
        <w:jc w:val="both"/>
        <w:rPr>
          <w:rFonts w:ascii="Verdana" w:eastAsia="Century Gothic" w:hAnsi="Verdana" w:cs="Century Gothic"/>
          <w:sz w:val="20"/>
          <w:szCs w:val="20"/>
        </w:rPr>
      </w:pPr>
    </w:p>
    <w:p w14:paraId="049020E1" w14:textId="2828E7FE" w:rsidR="006D5BFB" w:rsidRDefault="006D5BFB" w:rsidP="006D5BFB">
      <w:pPr>
        <w:spacing w:after="0" w:line="240" w:lineRule="auto"/>
        <w:ind w:left="709" w:right="709"/>
        <w:jc w:val="both"/>
        <w:rPr>
          <w:rFonts w:ascii="Verdana" w:eastAsia="Century Gothic" w:hAnsi="Verdana" w:cs="Century Gothic"/>
          <w:sz w:val="20"/>
          <w:szCs w:val="20"/>
        </w:rPr>
      </w:pPr>
      <w:r w:rsidRPr="006D5BFB">
        <w:rPr>
          <w:rFonts w:ascii="Verdana" w:eastAsia="Century Gothic" w:hAnsi="Verdana" w:cs="Century Gothic"/>
          <w:sz w:val="20"/>
          <w:szCs w:val="20"/>
        </w:rPr>
        <w:t>2. En los eventos en que el servidor público formalmente designado como supervisor</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se encuentre temporalmente ausente por vacaciones, licencia, incapacidad,</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permiso, comisión u otra situación administrativa que le impida ejercer</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temporalmente sus funciones, ¿quién debe asumir jurídicamente la función de</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supervisión durante dicho período?</w:t>
      </w:r>
    </w:p>
    <w:p w14:paraId="0387CFDB" w14:textId="77777777" w:rsidR="006D5BFB" w:rsidRPr="006D5BFB" w:rsidRDefault="006D5BFB" w:rsidP="006D5BFB">
      <w:pPr>
        <w:spacing w:after="0" w:line="240" w:lineRule="auto"/>
        <w:ind w:left="709" w:right="709"/>
        <w:jc w:val="both"/>
        <w:rPr>
          <w:rFonts w:ascii="Verdana" w:eastAsia="Century Gothic" w:hAnsi="Verdana" w:cs="Century Gothic"/>
          <w:sz w:val="20"/>
          <w:szCs w:val="20"/>
        </w:rPr>
      </w:pPr>
    </w:p>
    <w:p w14:paraId="48C9E8B6" w14:textId="175C456F" w:rsidR="006D5BFB" w:rsidRDefault="006D5BFB" w:rsidP="006D5BFB">
      <w:pPr>
        <w:spacing w:after="0" w:line="240" w:lineRule="auto"/>
        <w:ind w:left="709" w:right="709"/>
        <w:jc w:val="both"/>
        <w:rPr>
          <w:rFonts w:ascii="Verdana" w:eastAsia="Century Gothic" w:hAnsi="Verdana" w:cs="Century Gothic"/>
          <w:sz w:val="20"/>
          <w:szCs w:val="20"/>
        </w:rPr>
      </w:pPr>
      <w:r w:rsidRPr="006D5BFB">
        <w:rPr>
          <w:rFonts w:ascii="Verdana" w:eastAsia="Century Gothic" w:hAnsi="Verdana" w:cs="Century Gothic"/>
          <w:sz w:val="20"/>
          <w:szCs w:val="20"/>
        </w:rPr>
        <w:lastRenderedPageBreak/>
        <w:t>3. En estos eventos, ¿es necesario que el ordenador del gasto efectúe, en todos los</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casos, una nueva designación formal de supervisor para garantizar la continuidad de</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la vigilancia contractual, o las entidades estatales pueden establecer previamente</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mecanismos internos de suplencia o continuidad de la supervisión?</w:t>
      </w:r>
    </w:p>
    <w:p w14:paraId="4FAB1FFD" w14:textId="77777777" w:rsidR="006D5BFB" w:rsidRDefault="006D5BFB" w:rsidP="006D5BFB">
      <w:pPr>
        <w:spacing w:after="0" w:line="240" w:lineRule="auto"/>
        <w:ind w:left="709" w:right="709"/>
        <w:jc w:val="both"/>
        <w:rPr>
          <w:rFonts w:ascii="Verdana" w:eastAsia="Century Gothic" w:hAnsi="Verdana" w:cs="Century Gothic"/>
          <w:sz w:val="20"/>
          <w:szCs w:val="20"/>
        </w:rPr>
      </w:pPr>
    </w:p>
    <w:p w14:paraId="50A85CD4" w14:textId="687F9EE4" w:rsidR="006D5BFB" w:rsidRDefault="006D5BFB" w:rsidP="006D5BFB">
      <w:pPr>
        <w:spacing w:after="0" w:line="240" w:lineRule="auto"/>
        <w:ind w:left="709" w:right="709"/>
        <w:jc w:val="both"/>
        <w:rPr>
          <w:rFonts w:ascii="Verdana" w:eastAsia="Century Gothic" w:hAnsi="Verdana" w:cs="Century Gothic"/>
          <w:sz w:val="20"/>
          <w:szCs w:val="20"/>
        </w:rPr>
      </w:pPr>
      <w:r w:rsidRPr="006D5BFB">
        <w:rPr>
          <w:rFonts w:ascii="Verdana" w:eastAsia="Century Gothic" w:hAnsi="Verdana" w:cs="Century Gothic"/>
          <w:sz w:val="20"/>
          <w:szCs w:val="20"/>
        </w:rPr>
        <w:t>4. ¿Resulta jurídicamente viable que una entidad estatal establezca en su Manual de</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Contratación, Manual de Supervisión o procedimiento interno que, ante la ausencia</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temporal del supervisor formalmente designado, las funciones de supervisión sean</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asumidas transitoriamente por el superior jerárquico inmediato del servidor ausente?</w:t>
      </w:r>
    </w:p>
    <w:p w14:paraId="3252AA81" w14:textId="77777777" w:rsidR="006D5BFB" w:rsidRPr="006D5BFB" w:rsidRDefault="006D5BFB" w:rsidP="006D5BFB">
      <w:pPr>
        <w:spacing w:after="0" w:line="240" w:lineRule="auto"/>
        <w:ind w:left="709" w:right="709"/>
        <w:jc w:val="both"/>
        <w:rPr>
          <w:rFonts w:ascii="Verdana" w:eastAsia="Century Gothic" w:hAnsi="Verdana" w:cs="Century Gothic"/>
          <w:sz w:val="20"/>
          <w:szCs w:val="20"/>
        </w:rPr>
      </w:pPr>
    </w:p>
    <w:p w14:paraId="14378F83" w14:textId="77777777" w:rsidR="006D5BFB" w:rsidRDefault="006D5BFB" w:rsidP="006D5BFB">
      <w:pPr>
        <w:spacing w:after="0" w:line="240" w:lineRule="auto"/>
        <w:ind w:left="709" w:right="709"/>
        <w:jc w:val="both"/>
        <w:rPr>
          <w:rFonts w:ascii="Verdana" w:eastAsia="Century Gothic" w:hAnsi="Verdana" w:cs="Century Gothic"/>
          <w:sz w:val="20"/>
          <w:szCs w:val="20"/>
        </w:rPr>
      </w:pPr>
      <w:r w:rsidRPr="006D5BFB">
        <w:rPr>
          <w:rFonts w:ascii="Verdana" w:eastAsia="Century Gothic" w:hAnsi="Verdana" w:cs="Century Gothic"/>
          <w:sz w:val="20"/>
          <w:szCs w:val="20"/>
        </w:rPr>
        <w:t>5. En caso de resultar jurídicamente viable dicha medida, ¿la regla interna podría</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establecer que el superior jerárquico asuma temporalmente las funciones de</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supervisión desde el momento en que se produzca la ausencia y hasta que el</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ordenador del gasto realice una nueva designación, sin que ello implique una</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transferencia o modificación de la competencia que legalmente corresponde al</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ordenador del gasto?</w:t>
      </w:r>
    </w:p>
    <w:p w14:paraId="2F38AB96" w14:textId="77777777" w:rsidR="006D5BFB" w:rsidRDefault="006D5BFB" w:rsidP="006D5BFB">
      <w:pPr>
        <w:spacing w:after="0" w:line="240" w:lineRule="auto"/>
        <w:ind w:left="709" w:right="709"/>
        <w:jc w:val="both"/>
        <w:rPr>
          <w:rFonts w:ascii="Verdana" w:eastAsia="Century Gothic" w:hAnsi="Verdana" w:cs="Century Gothic"/>
          <w:sz w:val="20"/>
          <w:szCs w:val="20"/>
        </w:rPr>
      </w:pPr>
    </w:p>
    <w:p w14:paraId="4572ABBF" w14:textId="77777777" w:rsidR="006D5BFB" w:rsidRDefault="006D5BFB" w:rsidP="006D5BFB">
      <w:pPr>
        <w:spacing w:after="0" w:line="240" w:lineRule="auto"/>
        <w:ind w:left="709" w:right="709"/>
        <w:jc w:val="both"/>
        <w:rPr>
          <w:rFonts w:ascii="Verdana" w:eastAsia="Century Gothic" w:hAnsi="Verdana" w:cs="Century Gothic"/>
          <w:sz w:val="20"/>
          <w:szCs w:val="20"/>
        </w:rPr>
      </w:pPr>
      <w:r w:rsidRPr="006D5BFB">
        <w:rPr>
          <w:rFonts w:ascii="Verdana" w:eastAsia="Century Gothic" w:hAnsi="Verdana" w:cs="Century Gothic"/>
          <w:sz w:val="20"/>
          <w:szCs w:val="20"/>
        </w:rPr>
        <w:t>6. ¿La adopción de una regla interna de esta naturaleza podría entenderse como un</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mecanismo orientado exclusivamente a garantizar la continuidad de la vigilancia</w:t>
      </w:r>
      <w:r>
        <w:rPr>
          <w:rFonts w:ascii="Verdana" w:eastAsia="Century Gothic" w:hAnsi="Verdana" w:cs="Century Gothic"/>
          <w:sz w:val="20"/>
          <w:szCs w:val="20"/>
        </w:rPr>
        <w:t xml:space="preserve"> </w:t>
      </w:r>
      <w:r w:rsidRPr="006D5BFB">
        <w:rPr>
          <w:rFonts w:ascii="Verdana" w:eastAsia="Century Gothic" w:hAnsi="Verdana" w:cs="Century Gothic"/>
          <w:sz w:val="20"/>
          <w:szCs w:val="20"/>
        </w:rPr>
        <w:t>contractual y el cumplimiento del deber establecido en el artículo 83 de la Ley 1474de 2011?</w:t>
      </w:r>
    </w:p>
    <w:p w14:paraId="6201E053" w14:textId="77777777" w:rsidR="006D5BFB" w:rsidRDefault="006D5BFB" w:rsidP="006D5BFB">
      <w:pPr>
        <w:spacing w:after="0" w:line="240" w:lineRule="auto"/>
        <w:ind w:left="709" w:right="709"/>
        <w:jc w:val="both"/>
        <w:rPr>
          <w:rFonts w:ascii="Verdana" w:eastAsia="Century Gothic" w:hAnsi="Verdana" w:cs="Century Gothic"/>
          <w:sz w:val="20"/>
          <w:szCs w:val="20"/>
        </w:rPr>
      </w:pPr>
    </w:p>
    <w:p w14:paraId="5E501974" w14:textId="07FA5BF5" w:rsidR="00C66D75" w:rsidRDefault="00C66D75" w:rsidP="00C66D75">
      <w:pPr>
        <w:spacing w:after="0" w:line="240" w:lineRule="auto"/>
        <w:ind w:left="709" w:right="709"/>
        <w:jc w:val="both"/>
        <w:rPr>
          <w:rFonts w:ascii="Verdana" w:eastAsia="Century Gothic" w:hAnsi="Verdana" w:cs="Century Gothic"/>
          <w:sz w:val="20"/>
          <w:szCs w:val="20"/>
        </w:rPr>
      </w:pPr>
      <w:r w:rsidRPr="00C66D75">
        <w:rPr>
          <w:rFonts w:ascii="Verdana" w:eastAsia="Century Gothic" w:hAnsi="Verdana" w:cs="Century Gothic"/>
          <w:sz w:val="20"/>
          <w:szCs w:val="20"/>
        </w:rPr>
        <w:t>7. En caso afirmativo, ¿qué requisitos, condiciones o límites debería observar la</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entidad para que dicha disposición interna resulte compatible con el régimen de</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supervisión contractual, particularmente en relación con la competencia del</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ordenador del gasto, la idoneidad del servidor que asuma temporalmente la función,</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la responsabilidad derivada del ejercicio de la supervisión y la debida trazabilidad de</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las actuaciones realizadas durante el período de suplencia?</w:t>
      </w:r>
    </w:p>
    <w:p w14:paraId="5D131B12" w14:textId="77777777" w:rsidR="00C66D75" w:rsidRPr="00C66D75" w:rsidRDefault="00C66D75" w:rsidP="00C66D75">
      <w:pPr>
        <w:spacing w:after="0" w:line="240" w:lineRule="auto"/>
        <w:ind w:left="709" w:right="709"/>
        <w:jc w:val="both"/>
        <w:rPr>
          <w:rFonts w:ascii="Verdana" w:eastAsia="Century Gothic" w:hAnsi="Verdana" w:cs="Century Gothic"/>
          <w:sz w:val="20"/>
          <w:szCs w:val="20"/>
        </w:rPr>
      </w:pPr>
    </w:p>
    <w:p w14:paraId="26204AB0" w14:textId="08ABC878" w:rsidR="006D5BFB" w:rsidRPr="009B4725" w:rsidRDefault="00C66D75" w:rsidP="00C66D75">
      <w:pPr>
        <w:spacing w:after="0" w:line="240" w:lineRule="auto"/>
        <w:ind w:left="709" w:right="709"/>
        <w:jc w:val="both"/>
        <w:rPr>
          <w:rFonts w:ascii="Verdana" w:eastAsia="Century Gothic" w:hAnsi="Verdana" w:cs="Century Gothic"/>
          <w:sz w:val="20"/>
          <w:szCs w:val="20"/>
        </w:rPr>
      </w:pPr>
      <w:r w:rsidRPr="00C66D75">
        <w:rPr>
          <w:rFonts w:ascii="Verdana" w:eastAsia="Century Gothic" w:hAnsi="Verdana" w:cs="Century Gothic"/>
          <w:sz w:val="20"/>
          <w:szCs w:val="20"/>
        </w:rPr>
        <w:t>8. Finalmente, ¿considera esa Agencia jurídicamente procedente que las entidades</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estatales regulen en sus instrumentos internos un mecanismo de continuidad de la</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supervisión para aquellos casos en los que se presente una ausencia temporal del</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supervisor, siempre que se garantice la vigilancia permanente del contrato y se</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mantenga la competencia del ordenador del gasto para efectuar las designaciones</w:t>
      </w:r>
      <w:r>
        <w:rPr>
          <w:rFonts w:ascii="Verdana" w:eastAsia="Century Gothic" w:hAnsi="Verdana" w:cs="Century Gothic"/>
          <w:sz w:val="20"/>
          <w:szCs w:val="20"/>
        </w:rPr>
        <w:t xml:space="preserve"> </w:t>
      </w:r>
      <w:r w:rsidRPr="00C66D75">
        <w:rPr>
          <w:rFonts w:ascii="Verdana" w:eastAsia="Century Gothic" w:hAnsi="Verdana" w:cs="Century Gothic"/>
          <w:sz w:val="20"/>
          <w:szCs w:val="20"/>
        </w:rPr>
        <w:t>correspondientes?</w:t>
      </w:r>
      <w:r w:rsidR="006D5BFB" w:rsidRPr="00B3072D">
        <w:rPr>
          <w:rFonts w:ascii="Verdana" w:eastAsia="Century Gothic" w:hAnsi="Verdana" w:cs="Century Gothic"/>
          <w:sz w:val="20"/>
          <w:szCs w:val="20"/>
        </w:rPr>
        <w:t>.</w:t>
      </w:r>
      <w:r w:rsidR="006D5BFB">
        <w:rPr>
          <w:rFonts w:ascii="Verdana" w:eastAsia="Century Gothic" w:hAnsi="Verdana" w:cs="Century Gothic"/>
          <w:sz w:val="20"/>
          <w:szCs w:val="20"/>
        </w:rPr>
        <w:t>”</w:t>
      </w:r>
    </w:p>
    <w:p w14:paraId="3FDE1782" w14:textId="77777777" w:rsidR="006D5BFB" w:rsidRPr="008E4F36" w:rsidRDefault="006D5BFB" w:rsidP="006D5BFB">
      <w:pPr>
        <w:spacing w:after="0" w:line="276" w:lineRule="auto"/>
        <w:ind w:right="709"/>
        <w:jc w:val="both"/>
        <w:rPr>
          <w:rFonts w:ascii="Verdana" w:hAnsi="Verdana"/>
          <w:sz w:val="20"/>
          <w:szCs w:val="20"/>
        </w:rPr>
      </w:pPr>
    </w:p>
    <w:p w14:paraId="46389A56" w14:textId="77777777" w:rsidR="006D5BFB" w:rsidRDefault="006D5BFB" w:rsidP="006D5BFB">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8E4F36">
        <w:rPr>
          <w:rFonts w:ascii="Verdana" w:eastAsia="Calibri" w:hAnsi="Verdana" w:cs="Arial"/>
          <w:color w:val="000000"/>
          <w:lang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485B35B" w14:textId="77777777" w:rsidR="006D5BFB" w:rsidRPr="00054383" w:rsidRDefault="006D5BFB" w:rsidP="006D5BFB">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83E62EF" w14:textId="77777777" w:rsidR="006D5BFB" w:rsidRPr="008E4F36" w:rsidRDefault="006D5BFB" w:rsidP="006D5BFB">
      <w:pPr>
        <w:spacing w:after="0" w:line="276" w:lineRule="auto"/>
        <w:ind w:firstLine="709"/>
        <w:jc w:val="both"/>
        <w:rPr>
          <w:rFonts w:ascii="Verdana" w:eastAsia="Calibri" w:hAnsi="Verdana" w:cs="Arial"/>
          <w:color w:val="000000"/>
          <w:lang w:eastAsia="es-ES"/>
        </w:rPr>
      </w:pPr>
    </w:p>
    <w:p w14:paraId="2C661922" w14:textId="77777777" w:rsidR="006D5BFB" w:rsidRDefault="006D5BFB" w:rsidP="006D5BFB">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3DEEA91" w14:textId="77777777" w:rsidR="006D5BFB" w:rsidRDefault="006D5BFB" w:rsidP="006D5BFB">
      <w:pPr>
        <w:pStyle w:val="NormalWeb"/>
        <w:spacing w:before="0" w:beforeAutospacing="0" w:after="0" w:afterAutospacing="0" w:line="276" w:lineRule="auto"/>
        <w:jc w:val="both"/>
        <w:rPr>
          <w:rFonts w:ascii="Verdana" w:eastAsia="Calibri" w:hAnsi="Verdana" w:cs="Arial"/>
          <w:color w:val="000000"/>
          <w:sz w:val="22"/>
          <w:szCs w:val="22"/>
          <w:lang w:eastAsia="es-ES"/>
        </w:rPr>
      </w:pPr>
    </w:p>
    <w:p w14:paraId="67B8EDFB" w14:textId="2B330672" w:rsidR="0008303B" w:rsidRPr="007F6DE8" w:rsidRDefault="006D5BFB" w:rsidP="0008303B">
      <w:pPr>
        <w:pStyle w:val="NormalWeb"/>
        <w:spacing w:before="0" w:beforeAutospacing="0" w:after="0" w:afterAutospacing="0" w:line="276" w:lineRule="auto"/>
        <w:jc w:val="both"/>
        <w:rPr>
          <w:rFonts w:ascii="Verdana" w:eastAsia="Calibri" w:hAnsi="Verdana" w:cs="Arial"/>
          <w:color w:val="000000"/>
          <w:sz w:val="22"/>
          <w:szCs w:val="22"/>
          <w:lang w:eastAsia="es-ES"/>
        </w:rPr>
      </w:pPr>
      <w:r w:rsidRPr="007E330B">
        <w:rPr>
          <w:rFonts w:ascii="Verdana" w:eastAsia="Calibri" w:hAnsi="Verdana" w:cs="Arial"/>
          <w:color w:val="000000"/>
          <w:sz w:val="22"/>
          <w:szCs w:val="22"/>
          <w:lang w:eastAsia="es-ES"/>
        </w:rPr>
        <w:t>De acuerdo con el contenido de su solicitud, esta Agencia resolverá el siguiente problema jurídico</w:t>
      </w:r>
      <w:r w:rsidRPr="002526D2">
        <w:rPr>
          <w:rFonts w:ascii="Verdana" w:eastAsia="Calibri" w:hAnsi="Verdana" w:cs="Arial"/>
          <w:color w:val="000000"/>
          <w:sz w:val="22"/>
          <w:szCs w:val="22"/>
          <w:lang w:eastAsia="es-ES"/>
        </w:rPr>
        <w:t xml:space="preserve">: </w:t>
      </w:r>
      <w:r w:rsidR="00A40683" w:rsidRPr="002526D2">
        <w:rPr>
          <w:rFonts w:ascii="Verdana" w:eastAsia="Calibri" w:hAnsi="Verdana" w:cs="Arial"/>
          <w:color w:val="000000"/>
          <w:sz w:val="22"/>
          <w:szCs w:val="22"/>
          <w:lang w:eastAsia="es-ES"/>
        </w:rPr>
        <w:t>i)</w:t>
      </w:r>
      <w:r w:rsidR="0008303B" w:rsidRPr="002526D2">
        <w:rPr>
          <w:rFonts w:ascii="Verdana" w:eastAsia="Calibri" w:hAnsi="Verdana" w:cs="Arial"/>
          <w:color w:val="000000"/>
          <w:sz w:val="22"/>
          <w:szCs w:val="22"/>
          <w:lang w:eastAsia="es-ES"/>
        </w:rPr>
        <w:t xml:space="preserve">¿Cuál es el alcance de los artículos 11 de la Ley 80 de 1993 y 83 y 84 de la Ley 1474 de 2011 respecto de la responsabilidad del ordenador del gasto en la vigilancia de los contratos estatales y la designación y continuidad de la supervisión ante la ausencia temporal del supervisor designado? </w:t>
      </w:r>
      <w:proofErr w:type="spellStart"/>
      <w:r w:rsidR="0008303B" w:rsidRPr="002526D2">
        <w:rPr>
          <w:rFonts w:ascii="Verdana" w:eastAsia="Calibri" w:hAnsi="Verdana" w:cs="Arial"/>
          <w:color w:val="000000"/>
          <w:sz w:val="22"/>
          <w:szCs w:val="22"/>
          <w:lang w:eastAsia="es-ES"/>
        </w:rPr>
        <w:t>ii</w:t>
      </w:r>
      <w:proofErr w:type="spellEnd"/>
      <w:r w:rsidR="0008303B" w:rsidRPr="002526D2">
        <w:rPr>
          <w:rFonts w:ascii="Verdana" w:eastAsia="Calibri" w:hAnsi="Verdana" w:cs="Arial"/>
          <w:color w:val="000000"/>
          <w:sz w:val="22"/>
          <w:szCs w:val="22"/>
          <w:lang w:eastAsia="es-ES"/>
        </w:rPr>
        <w:t>)¿Es jurídicamente viable que las entidades estatales establezcan en sus manuales de contratación, supervisión o procedimientos internos mecanismos de suplencia temporal, mediante los cuales el superior jerárquico inmediato asuma las funciones de supervisión ante la ausencia del servidor designado, mientras se efectúa una nueva designación por parte del ordenador del gasto?</w:t>
      </w:r>
      <w:r w:rsidR="00A40683" w:rsidRPr="002526D2">
        <w:rPr>
          <w:rFonts w:ascii="Verdana" w:eastAsia="Calibri" w:hAnsi="Verdana" w:cs="Arial"/>
          <w:color w:val="000000"/>
          <w:sz w:val="22"/>
          <w:szCs w:val="22"/>
          <w:lang w:eastAsia="es-ES"/>
        </w:rPr>
        <w:t xml:space="preserve"> </w:t>
      </w:r>
      <w:proofErr w:type="spellStart"/>
      <w:r w:rsidR="00A40683" w:rsidRPr="002526D2">
        <w:rPr>
          <w:rFonts w:ascii="Verdana" w:eastAsia="Calibri" w:hAnsi="Verdana" w:cs="Arial"/>
          <w:color w:val="000000"/>
          <w:sz w:val="22"/>
          <w:szCs w:val="22"/>
          <w:lang w:eastAsia="es-ES"/>
        </w:rPr>
        <w:t>i</w:t>
      </w:r>
      <w:r w:rsidR="007F6DE8" w:rsidRPr="002526D2">
        <w:rPr>
          <w:rFonts w:ascii="Verdana" w:eastAsia="Calibri" w:hAnsi="Verdana" w:cs="Arial"/>
          <w:color w:val="000000"/>
          <w:sz w:val="22"/>
          <w:szCs w:val="22"/>
          <w:lang w:eastAsia="es-ES"/>
        </w:rPr>
        <w:t>i</w:t>
      </w:r>
      <w:r w:rsidR="00A40683" w:rsidRPr="002526D2">
        <w:rPr>
          <w:rFonts w:ascii="Verdana" w:eastAsia="Calibri" w:hAnsi="Verdana" w:cs="Arial"/>
          <w:color w:val="000000"/>
          <w:sz w:val="22"/>
          <w:szCs w:val="22"/>
          <w:lang w:eastAsia="es-ES"/>
        </w:rPr>
        <w:t>i</w:t>
      </w:r>
      <w:proofErr w:type="spellEnd"/>
      <w:r w:rsidR="00A40683" w:rsidRPr="002526D2">
        <w:rPr>
          <w:rFonts w:ascii="Verdana" w:eastAsia="Calibri" w:hAnsi="Verdana" w:cs="Arial"/>
          <w:color w:val="000000"/>
          <w:sz w:val="22"/>
          <w:szCs w:val="22"/>
          <w:lang w:eastAsia="es-ES"/>
        </w:rPr>
        <w:t>)</w:t>
      </w:r>
      <w:r w:rsidR="0008303B" w:rsidRPr="002526D2">
        <w:rPr>
          <w:rFonts w:ascii="Verdana" w:eastAsia="Calibri" w:hAnsi="Verdana" w:cs="Arial"/>
          <w:color w:val="000000"/>
          <w:sz w:val="22"/>
          <w:szCs w:val="22"/>
          <w:lang w:eastAsia="es-ES"/>
        </w:rPr>
        <w:t>¿Qué requisitos, condiciones y límites deben observar las entidades estatales para implementar mecanismos internos de continuidad de la supervisión contractual, garantizando la competencia del ordenador del gasto, la idoneidad del servidor suplente, la responsabilidad por las actuaciones realizadas y la trazabilidad de la vigilancia contractual?</w:t>
      </w:r>
    </w:p>
    <w:p w14:paraId="2DBD5D1D" w14:textId="439C9F37" w:rsidR="006D5BFB" w:rsidRPr="007F6DE8" w:rsidRDefault="006D5BFB" w:rsidP="006D5BFB">
      <w:pPr>
        <w:pStyle w:val="NormalWeb"/>
        <w:spacing w:before="0" w:beforeAutospacing="0" w:after="0" w:afterAutospacing="0" w:line="276" w:lineRule="auto"/>
        <w:jc w:val="both"/>
        <w:rPr>
          <w:rFonts w:ascii="Verdana" w:eastAsia="Calibri" w:hAnsi="Verdana" w:cs="Arial"/>
          <w:color w:val="000000"/>
          <w:sz w:val="22"/>
          <w:szCs w:val="22"/>
          <w:lang w:eastAsia="es-ES"/>
        </w:rPr>
      </w:pPr>
      <w:r w:rsidRPr="007F6DE8">
        <w:rPr>
          <w:rFonts w:ascii="Verdana" w:eastAsia="Calibri" w:hAnsi="Verdana" w:cs="Arial"/>
          <w:color w:val="000000"/>
          <w:sz w:val="22"/>
          <w:szCs w:val="22"/>
          <w:lang w:eastAsia="es-ES"/>
        </w:rPr>
        <w:t xml:space="preserve"> </w:t>
      </w:r>
    </w:p>
    <w:p w14:paraId="54A9FA2D" w14:textId="77777777" w:rsidR="006D5BFB" w:rsidRPr="008E4F36" w:rsidRDefault="006D5BFB" w:rsidP="006D5BFB">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7EF659E" w14:textId="77777777" w:rsidR="006D5BFB" w:rsidRPr="008E4F36" w:rsidRDefault="006D5BFB" w:rsidP="006D5BF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D5BFB" w:rsidRPr="008E4F36" w14:paraId="1F799D83" w14:textId="77777777" w:rsidTr="008D334B">
        <w:tc>
          <w:tcPr>
            <w:tcW w:w="8828" w:type="dxa"/>
          </w:tcPr>
          <w:p w14:paraId="3D3A9AD3" w14:textId="77777777" w:rsidR="000E7C6E" w:rsidRPr="000E7C6E" w:rsidRDefault="006D5BFB" w:rsidP="00830689">
            <w:pPr>
              <w:spacing w:after="120" w:line="276" w:lineRule="auto"/>
              <w:jc w:val="both"/>
              <w:rPr>
                <w:rFonts w:ascii="Verdana" w:eastAsia="Arial" w:hAnsi="Verdana" w:cs="Arial"/>
              </w:rPr>
            </w:pPr>
            <w:r w:rsidRPr="00AD217C">
              <w:rPr>
                <w:rFonts w:ascii="Verdana" w:eastAsia="Arial" w:hAnsi="Verdana" w:cs="Arial"/>
                <w:b/>
                <w:bCs/>
              </w:rPr>
              <w:t>i.</w:t>
            </w:r>
            <w:r>
              <w:rPr>
                <w:rFonts w:ascii="Verdana" w:eastAsia="Arial" w:hAnsi="Verdana" w:cs="Arial"/>
                <w:b/>
                <w:bCs/>
              </w:rPr>
              <w:t xml:space="preserve"> </w:t>
            </w:r>
            <w:r w:rsidR="000E7C6E" w:rsidRPr="000E7C6E">
              <w:rPr>
                <w:rFonts w:ascii="Verdana" w:eastAsia="Arial" w:hAnsi="Verdana" w:cs="Arial"/>
              </w:rPr>
              <w:t xml:space="preserve">De acuerdo con los artículos 11 y 12 de la Ley 80 de 1993, la dirección y el manejo de la actividad contractual corresponden al jefe o representante legal de la entidad estatal, quien puede delegar total o parcialmente la competencia </w:t>
            </w:r>
            <w:r w:rsidR="000E7C6E" w:rsidRPr="000E7C6E">
              <w:rPr>
                <w:rFonts w:ascii="Verdana" w:eastAsia="Arial" w:hAnsi="Verdana" w:cs="Arial"/>
              </w:rPr>
              <w:lastRenderedPageBreak/>
              <w:t>para celebrar contratos y desconcentrar la realización de procesos de selección, en los términos previstos en la ley. Esta distribución de competencias no elimina el deber de la entidad de garantizar la adecuada ejecución de sus contratos ni las responsabilidades que correspondan a los servidores públicos que intervienen en la actividad contractual, de conformidad con sus funciones y actuaciones.</w:t>
            </w:r>
          </w:p>
          <w:p w14:paraId="0C5276EF" w14:textId="77777777" w:rsidR="000E7C6E" w:rsidRPr="000E7C6E" w:rsidRDefault="000E7C6E" w:rsidP="000E7C6E">
            <w:pPr>
              <w:spacing w:after="120" w:line="276" w:lineRule="auto"/>
              <w:ind w:firstLine="709"/>
              <w:jc w:val="both"/>
              <w:rPr>
                <w:rFonts w:ascii="Verdana" w:eastAsia="Arial" w:hAnsi="Verdana" w:cs="Arial"/>
              </w:rPr>
            </w:pPr>
            <w:r w:rsidRPr="000E7C6E">
              <w:rPr>
                <w:rFonts w:ascii="Verdana" w:eastAsia="Arial" w:hAnsi="Verdana" w:cs="Arial"/>
              </w:rPr>
              <w:t>Por su parte, el artículo 83 de la Ley 1474 de 2011 establece el deber de las entidades estatales de vigilar permanentemente la correcta ejecución del objeto contratado mediante un supervisor o interventor, según corresponda. La supervisión consiste en el seguimiento técnico, administrativo, financiero, contable y jurídico que ejerce la propia entidad estatal cuando no se requieren conocimientos especializados, mientras que la interventoría supone, principalmente, un seguimiento técnico especializado que realiza un tercero independiente. A su vez, el artículo 84 de la misma ley establece facultades y deberes de los supervisores e interventores para verificar el cumplimiento de las obligaciones contractuales, solicitar informes, aclaraciones y explicaciones, e informar a la entidad sobre posibles incumplimientos.</w:t>
            </w:r>
          </w:p>
          <w:p w14:paraId="0C49994D" w14:textId="021EC669" w:rsidR="00C306D2" w:rsidRDefault="000E7C6E" w:rsidP="000E7C6E">
            <w:pPr>
              <w:spacing w:after="120" w:line="276" w:lineRule="auto"/>
              <w:ind w:firstLine="709"/>
              <w:jc w:val="both"/>
              <w:rPr>
                <w:rFonts w:ascii="Verdana" w:eastAsia="Arial" w:hAnsi="Verdana" w:cs="Arial"/>
              </w:rPr>
            </w:pPr>
            <w:r w:rsidRPr="000E7C6E">
              <w:rPr>
                <w:rFonts w:ascii="Verdana" w:eastAsia="Arial" w:hAnsi="Verdana" w:cs="Arial"/>
              </w:rPr>
              <w:t>En consecuencia, corresponde a la entidad estatal adoptar las medidas necesarias para asegurar la continuidad de la vigilancia contractual cuando el servidor designado como supervisor se encuentre temporalmente ausente. Para ello, el ordenador del gasto, en ejercicio de las competencias que le correspondan, debe procurar que exista una designación o mecanismo jurídicamente válido que permita mantener el seguimiento del contrato, sin que la ausencia temporal del supervisor suspenda el deber institucional de vigilancia. No obstante, las disposiciones citadas no establecen expresamente que, ante dicha ausencia, la supervisión se traslade automáticamente al superior jerárquico inmediato; por tanto, la procedencia de esa medida debe analizarse a partir de las competencias aplicables, las reglas internas de la entidad y la necesidad de formalizar la asignación de las funciones correspondientes.</w:t>
            </w:r>
          </w:p>
          <w:p w14:paraId="6150506D" w14:textId="3E153AEC" w:rsidR="00BD7B57" w:rsidRPr="000142EF" w:rsidRDefault="00C306D2" w:rsidP="002D1CB1">
            <w:pPr>
              <w:spacing w:after="160" w:line="259" w:lineRule="auto"/>
              <w:jc w:val="both"/>
              <w:rPr>
                <w:rFonts w:ascii="Verdana" w:eastAsia="Arial" w:hAnsi="Verdana" w:cs="Arial"/>
              </w:rPr>
            </w:pPr>
            <w:proofErr w:type="spellStart"/>
            <w:r w:rsidRPr="00C306D2">
              <w:rPr>
                <w:rFonts w:ascii="Verdana" w:eastAsia="Arial" w:hAnsi="Verdana" w:cs="Arial"/>
                <w:b/>
                <w:bCs/>
              </w:rPr>
              <w:t>ii</w:t>
            </w:r>
            <w:proofErr w:type="spellEnd"/>
            <w:r w:rsidRPr="00C306D2">
              <w:rPr>
                <w:rFonts w:ascii="Verdana" w:eastAsia="Arial" w:hAnsi="Verdana" w:cs="Arial"/>
                <w:b/>
                <w:bCs/>
              </w:rPr>
              <w:t>.</w:t>
            </w:r>
            <w:r w:rsidR="00734815">
              <w:rPr>
                <w:rFonts w:ascii="Verdana" w:eastAsia="Arial" w:hAnsi="Verdana" w:cs="Arial"/>
                <w:b/>
                <w:bCs/>
              </w:rPr>
              <w:t xml:space="preserve"> </w:t>
            </w:r>
            <w:r w:rsidR="00AE6E20" w:rsidRPr="000142EF">
              <w:rPr>
                <w:rFonts w:ascii="Verdana" w:eastAsia="Arial" w:hAnsi="Verdana" w:cs="Arial"/>
              </w:rPr>
              <w:t xml:space="preserve">En términos generales, las entidades estatales pueden establecer en sus manuales de contratación, supervisión o procedimientos internos mecanismos orientados a garantizar la continuidad de la vigilancia contractual ante la ausencia temporal del servidor designado como supervisor, siempre que tales </w:t>
            </w:r>
            <w:r w:rsidR="00AE6E20" w:rsidRPr="000142EF">
              <w:rPr>
                <w:rFonts w:ascii="Verdana" w:eastAsia="Arial" w:hAnsi="Verdana" w:cs="Arial"/>
              </w:rPr>
              <w:lastRenderedPageBreak/>
              <w:t xml:space="preserve">mecanismos respeten las competencias legalmente atribuidas, la estructura administrativa de la entidad y las disposiciones que regulan el ejercicio de la supervisión. Lo anterior se fundamenta en que el artículo 83 de la Ley 1474 de 2011 impone a las entidades estatales el deber de vigilar permanentemente la correcta ejecución del objeto contratado, mientras que la guía de Colombia Compra Eficiente sobre supervisión e interventoría señala que corresponde a la entidad determinar la forma en que realizará dicho seguimiento y que el ordenador del gasto es responsable de designar al supervisor. </w:t>
            </w:r>
          </w:p>
          <w:p w14:paraId="18ABF0A9" w14:textId="6DAD7787" w:rsidR="000142EF" w:rsidRDefault="000142EF" w:rsidP="000142EF">
            <w:pPr>
              <w:spacing w:after="160" w:line="259" w:lineRule="auto"/>
              <w:ind w:firstLine="709"/>
              <w:jc w:val="both"/>
              <w:rPr>
                <w:rFonts w:ascii="Verdana" w:hAnsi="Verdana"/>
              </w:rPr>
            </w:pPr>
            <w:r w:rsidRPr="000142EF">
              <w:rPr>
                <w:rFonts w:ascii="Verdana" w:hAnsi="Verdana"/>
              </w:rPr>
              <w:t>En ese sentido, los procedimientos internos pueden prever que, ante una ausencia temporal del supervisor, un servidor público previamente identificado o que reúna las condiciones establecidas asuma transitoriamente el seguimiento contractual, siempre que la asignación se realice por la autoridad competente o con fundamento en una habilitación válida y suficientemente clara. Sin embargo, la sola condición de superior jerárquico inmediato no implica, por sí misma, que el servidor asuma automáticamente la supervisión contractual, pues dicha función requiere una asignación válida que permita determinar quién la ejerce, desde cuándo y con qué alcance. Por consiguiente, el mecanismo interno no puede sustituir las competencias del ordenador del gasto ni presumir una transferencia automática de la supervisión que carezca de fundamento jurídico.</w:t>
            </w:r>
            <w:r>
              <w:rPr>
                <w:rFonts w:ascii="Verdana" w:hAnsi="Verdana"/>
              </w:rPr>
              <w:t xml:space="preserve"> </w:t>
            </w:r>
          </w:p>
          <w:p w14:paraId="682FC128" w14:textId="5AD20BBB" w:rsidR="005148F8" w:rsidRPr="00F27C9D" w:rsidRDefault="00BD7B57" w:rsidP="005148F8">
            <w:pPr>
              <w:spacing w:after="160" w:line="259" w:lineRule="auto"/>
              <w:jc w:val="both"/>
              <w:rPr>
                <w:rFonts w:ascii="Verdana" w:eastAsia="Times New Roman" w:hAnsi="Verdana" w:cs="Times New Roman"/>
                <w:lang w:eastAsia="es-CO"/>
              </w:rPr>
            </w:pPr>
            <w:proofErr w:type="spellStart"/>
            <w:r w:rsidRPr="00F27C9D">
              <w:rPr>
                <w:rFonts w:ascii="Verdana" w:hAnsi="Verdana"/>
                <w:b/>
                <w:bCs/>
              </w:rPr>
              <w:t>iii</w:t>
            </w:r>
            <w:proofErr w:type="spellEnd"/>
            <w:r w:rsidRPr="00F27C9D">
              <w:rPr>
                <w:rFonts w:ascii="Verdana" w:hAnsi="Verdana"/>
              </w:rPr>
              <w:t>.</w:t>
            </w:r>
            <w:r w:rsidR="00447BFE" w:rsidRPr="00F27C9D">
              <w:rPr>
                <w:rFonts w:ascii="Verdana" w:eastAsia="Times New Roman" w:hAnsi="Verdana" w:cs="Times New Roman"/>
                <w:lang w:eastAsia="es-CO"/>
              </w:rPr>
              <w:t xml:space="preserve"> </w:t>
            </w:r>
            <w:r w:rsidR="005148F8" w:rsidRPr="00F27C9D">
              <w:rPr>
                <w:rFonts w:ascii="Verdana" w:eastAsia="Times New Roman" w:hAnsi="Verdana" w:cs="Times New Roman"/>
                <w:lang w:eastAsia="es-CO"/>
              </w:rPr>
              <w:t xml:space="preserve">En particular, el mecanismo interno debe contemplar: i) la competencia para designar, de modo que la asignación temporal sea realizada por el ordenador del gasto o por la autoridad competente, de acuerdo con las normas de organización, delegación y contratación aplicables; </w:t>
            </w:r>
            <w:proofErr w:type="spellStart"/>
            <w:r w:rsidR="005148F8" w:rsidRPr="00F27C9D">
              <w:rPr>
                <w:rFonts w:ascii="Verdana" w:eastAsia="Times New Roman" w:hAnsi="Verdana" w:cs="Times New Roman"/>
                <w:lang w:eastAsia="es-CO"/>
              </w:rPr>
              <w:t>ii</w:t>
            </w:r>
            <w:proofErr w:type="spellEnd"/>
            <w:r w:rsidR="005148F8" w:rsidRPr="00F27C9D">
              <w:rPr>
                <w:rFonts w:ascii="Verdana" w:eastAsia="Times New Roman" w:hAnsi="Verdana" w:cs="Times New Roman"/>
                <w:lang w:eastAsia="es-CO"/>
              </w:rPr>
              <w:t xml:space="preserve">) la idoneidad del servidor suplente, valorando sus funciones, conocimientos, capacidad para realizar el seguimiento técnico, administrativo, financiero, contable y jurídico, según corresponda, y su carga laboral; </w:t>
            </w:r>
            <w:proofErr w:type="spellStart"/>
            <w:r w:rsidR="005148F8" w:rsidRPr="00F27C9D">
              <w:rPr>
                <w:rFonts w:ascii="Verdana" w:eastAsia="Times New Roman" w:hAnsi="Verdana" w:cs="Times New Roman"/>
                <w:lang w:eastAsia="es-CO"/>
              </w:rPr>
              <w:t>iii</w:t>
            </w:r>
            <w:proofErr w:type="spellEnd"/>
            <w:r w:rsidR="005148F8" w:rsidRPr="00F27C9D">
              <w:rPr>
                <w:rFonts w:ascii="Verdana" w:eastAsia="Times New Roman" w:hAnsi="Verdana" w:cs="Times New Roman"/>
                <w:lang w:eastAsia="es-CO"/>
              </w:rPr>
              <w:t xml:space="preserve">) la formalización y delimitación de la suplencia, mediante una comunicación o acto escrito que identifique al servidor, el contrato, el alcance y el periodo de la asignación; </w:t>
            </w:r>
            <w:proofErr w:type="spellStart"/>
            <w:r w:rsidR="005148F8" w:rsidRPr="00F27C9D">
              <w:rPr>
                <w:rFonts w:ascii="Verdana" w:eastAsia="Times New Roman" w:hAnsi="Verdana" w:cs="Times New Roman"/>
                <w:lang w:eastAsia="es-CO"/>
              </w:rPr>
              <w:t>iv</w:t>
            </w:r>
            <w:proofErr w:type="spellEnd"/>
            <w:r w:rsidR="005148F8" w:rsidRPr="00F27C9D">
              <w:rPr>
                <w:rFonts w:ascii="Verdana" w:eastAsia="Times New Roman" w:hAnsi="Verdana" w:cs="Times New Roman"/>
                <w:lang w:eastAsia="es-CO"/>
              </w:rPr>
              <w:t xml:space="preserve">) la responsabilidad individual, precisando que el servidor que asuma la supervisión debe cumplir los deberes legales inherentes a esta función y responder por las actuaciones u omisiones que le sean atribuibles, conforme al régimen aplicable; y v) la trazabilidad documental, mediante el registro de la designación, la entrega de información, los informes de seguimiento, las alertas comunicadas y las demás actuaciones realizadas durante el periodo de suplencia. Estos criterios son consistentes con la orientación de Colombia </w:t>
            </w:r>
            <w:r w:rsidR="005148F8" w:rsidRPr="00F27C9D">
              <w:rPr>
                <w:rFonts w:ascii="Verdana" w:eastAsia="Times New Roman" w:hAnsi="Verdana" w:cs="Times New Roman"/>
                <w:lang w:eastAsia="es-CO"/>
              </w:rPr>
              <w:lastRenderedPageBreak/>
              <w:t>Compra Eficiente sobre la designación de supervisores y la necesidad de considerar su idoneidad y carga operativa</w:t>
            </w:r>
            <w:r w:rsidR="00F27C9D" w:rsidRPr="00F27C9D">
              <w:rPr>
                <w:rFonts w:ascii="Verdana" w:eastAsia="Times New Roman" w:hAnsi="Verdana" w:cs="Times New Roman"/>
                <w:lang w:eastAsia="es-CO"/>
              </w:rPr>
              <w:t>.</w:t>
            </w:r>
          </w:p>
          <w:p w14:paraId="1F976A12" w14:textId="1BD9EA3B" w:rsidR="00F27C9D" w:rsidRPr="00F27C9D" w:rsidRDefault="00F27C9D" w:rsidP="005148F8">
            <w:pPr>
              <w:spacing w:after="160" w:line="259" w:lineRule="auto"/>
              <w:jc w:val="both"/>
              <w:rPr>
                <w:rFonts w:ascii="Verdana" w:eastAsia="Times New Roman" w:hAnsi="Verdana" w:cs="Times New Roman"/>
                <w:lang w:eastAsia="es-CO"/>
              </w:rPr>
            </w:pPr>
            <w:r w:rsidRPr="00F27C9D">
              <w:rPr>
                <w:rFonts w:ascii="Verdana" w:eastAsia="Times New Roman" w:hAnsi="Verdana" w:cs="Times New Roman"/>
                <w:lang w:eastAsia="es-CO"/>
              </w:rPr>
              <w:t xml:space="preserve">Como límite, debe tenerse en cuenta que los procedimientos internos no pueden modificar las competencias previstas en la ley, permitir que el supervisor titular transfiera informalmente sus funciones ni convertir al personal de apoyo contratado en titular de la supervisión, pues el artículo 83 de la Ley 1474 de 2011 distingue entre la función de seguimiento que ejerce la entidad estatal y la posibilidad de contratar apoyo para desarrollarla. Asimismo, el artículo 84 de la misma ley exige que los supervisores mantengan informada a la entidad sobre hechos que puedan poner en riesgo el cumplimiento del contrato o evidenciar incumplimientos. En consecuencia, aunque la entidad puede establecer reglas internas para evitar interrupciones en la vigilancia contractual, estas deben preservar la competencia para designar, la responsabilidad de quien efectivamente ejerce la función y la documentación verificable de sus actuaciones, teniendo presente que las normas citadas no establecen un procedimiento único ni automático de suplencia temporal. </w:t>
            </w:r>
          </w:p>
          <w:p w14:paraId="743E9225" w14:textId="482C57C3" w:rsidR="00BD7B57" w:rsidRPr="00BD7B57" w:rsidRDefault="00151D5D" w:rsidP="005148F8">
            <w:pPr>
              <w:spacing w:after="160" w:line="259" w:lineRule="auto"/>
              <w:jc w:val="both"/>
              <w:rPr>
                <w:rFonts w:ascii="Verdana" w:hAnsi="Verdana"/>
              </w:rPr>
            </w:pPr>
            <w:r w:rsidRPr="00F27C9D">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 xml:space="preserve"> </w:t>
            </w:r>
          </w:p>
        </w:tc>
      </w:tr>
    </w:tbl>
    <w:p w14:paraId="179C7F09" w14:textId="77777777" w:rsidR="006D5BFB" w:rsidRDefault="006D5BFB" w:rsidP="006D5BFB">
      <w:pPr>
        <w:tabs>
          <w:tab w:val="left" w:pos="142"/>
          <w:tab w:val="left" w:pos="284"/>
        </w:tabs>
        <w:spacing w:after="0" w:line="276" w:lineRule="auto"/>
        <w:jc w:val="both"/>
        <w:rPr>
          <w:rFonts w:ascii="Verdana" w:eastAsia="Century Gothic" w:hAnsi="Verdana" w:cs="Century Gothic"/>
          <w:b/>
          <w:bCs/>
        </w:rPr>
      </w:pPr>
    </w:p>
    <w:p w14:paraId="69C24AF1" w14:textId="77777777" w:rsidR="006D5BFB" w:rsidRPr="008E4F36" w:rsidRDefault="006D5BFB" w:rsidP="006D5BFB">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5DC1F51D" w14:textId="77777777" w:rsidR="006D5BFB" w:rsidRDefault="006D5BFB" w:rsidP="006D5BFB">
      <w:pPr>
        <w:pStyle w:val="Prrafodelista"/>
        <w:tabs>
          <w:tab w:val="left" w:pos="142"/>
          <w:tab w:val="left" w:pos="284"/>
        </w:tabs>
        <w:spacing w:after="0" w:line="276" w:lineRule="auto"/>
        <w:ind w:left="0"/>
        <w:contextualSpacing w:val="0"/>
        <w:jc w:val="both"/>
        <w:rPr>
          <w:rFonts w:ascii="Verdana" w:eastAsia="Calibri" w:hAnsi="Verdana" w:cs="Arial"/>
        </w:rPr>
      </w:pPr>
    </w:p>
    <w:p w14:paraId="74E53326" w14:textId="77777777" w:rsidR="006D5BFB" w:rsidRDefault="006D5BFB" w:rsidP="006D5BFB">
      <w:pPr>
        <w:tabs>
          <w:tab w:val="left" w:pos="142"/>
          <w:tab w:val="left" w:pos="284"/>
        </w:tabs>
        <w:spacing w:after="0" w:line="276" w:lineRule="auto"/>
        <w:jc w:val="both"/>
        <w:rPr>
          <w:rFonts w:ascii="Verdana" w:eastAsia="Calibri" w:hAnsi="Verdana" w:cs="Arial"/>
        </w:rPr>
      </w:pPr>
      <w:r w:rsidRPr="00F54450">
        <w:rPr>
          <w:rFonts w:ascii="Verdana" w:eastAsia="Calibri" w:hAnsi="Verdana" w:cs="Arial"/>
        </w:rPr>
        <w:t xml:space="preserve">Lo anterior se sustenta en las siguientes consideraciones: </w:t>
      </w:r>
    </w:p>
    <w:p w14:paraId="7A960333" w14:textId="77777777" w:rsidR="006D5BFB" w:rsidRDefault="006D5BFB" w:rsidP="006D5BFB">
      <w:pPr>
        <w:tabs>
          <w:tab w:val="left" w:pos="142"/>
          <w:tab w:val="left" w:pos="284"/>
        </w:tabs>
        <w:spacing w:after="0" w:line="276" w:lineRule="auto"/>
        <w:jc w:val="both"/>
        <w:rPr>
          <w:rFonts w:ascii="Verdana" w:eastAsia="Calibri" w:hAnsi="Verdana" w:cs="Arial"/>
        </w:rPr>
      </w:pPr>
    </w:p>
    <w:p w14:paraId="23A78B40" w14:textId="77777777" w:rsidR="0040524F" w:rsidRPr="00B60BC4" w:rsidRDefault="0040524F" w:rsidP="0040524F">
      <w:pPr>
        <w:spacing w:after="120" w:line="276" w:lineRule="auto"/>
        <w:jc w:val="both"/>
        <w:rPr>
          <w:rFonts w:ascii="Verdana" w:eastAsia="Times New Roman" w:hAnsi="Verdana" w:cs="Arial"/>
          <w:lang w:val="es-ES_tradnl" w:eastAsia="es-MX"/>
        </w:rPr>
      </w:pPr>
      <w:r w:rsidRPr="00B60BC4">
        <w:rPr>
          <w:rFonts w:ascii="Verdana" w:eastAsia="Times New Roman" w:hAnsi="Verdana" w:cs="Arial"/>
          <w:shd w:val="clear" w:color="auto" w:fill="FFFFFF"/>
          <w:lang w:val="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w:t>
      </w:r>
      <w:r w:rsidRPr="00B60BC4">
        <w:rPr>
          <w:rFonts w:ascii="Verdana" w:eastAsia="Times New Roman" w:hAnsi="Verdana" w:cs="Arial"/>
          <w:shd w:val="clear" w:color="auto" w:fill="FFFFFF"/>
          <w:lang w:val="es-ES"/>
        </w:rPr>
        <w:lastRenderedPageBreak/>
        <w:t>contractual, pero también de los servidores públicos que intervienen en ella. En ese sentido, las Entidades Estatales deben ejercer el control de la ejecución del contrato y, de ser el caso, tomar medidas para exigir su adecuado cumplimiento.</w:t>
      </w:r>
    </w:p>
    <w:p w14:paraId="6D95CF91" w14:textId="77777777" w:rsidR="0040524F" w:rsidRPr="00B60BC4" w:rsidRDefault="0040524F" w:rsidP="0040524F">
      <w:pPr>
        <w:spacing w:after="12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1"/>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2"/>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3"/>
      </w:r>
      <w:r w:rsidRPr="00B60BC4">
        <w:rPr>
          <w:rFonts w:ascii="Verdana" w:eastAsia="Times New Roman" w:hAnsi="Verdana" w:cs="Arial"/>
          <w:lang w:val="es-ES" w:eastAsia="es-MX"/>
        </w:rPr>
        <w:t>.</w:t>
      </w:r>
    </w:p>
    <w:p w14:paraId="2748EC28" w14:textId="77777777" w:rsidR="0040524F" w:rsidRPr="00B60BC4" w:rsidRDefault="0040524F" w:rsidP="0040524F">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3988563" w14:textId="77777777" w:rsidR="0040524F" w:rsidRPr="00B60BC4" w:rsidRDefault="0040524F" w:rsidP="0040524F">
      <w:pPr>
        <w:spacing w:after="0"/>
        <w:ind w:left="709"/>
        <w:contextualSpacing/>
        <w:jc w:val="both"/>
        <w:rPr>
          <w:rFonts w:ascii="Verdana" w:eastAsia="Times New Roman" w:hAnsi="Verdana" w:cs="Arial"/>
          <w:lang w:val="es-ES_tradnl" w:eastAsia="es-MX"/>
        </w:rPr>
      </w:pPr>
    </w:p>
    <w:p w14:paraId="7D41EC0C" w14:textId="77777777" w:rsidR="0040524F" w:rsidRPr="00B60BC4" w:rsidRDefault="0040524F" w:rsidP="0040524F">
      <w:pPr>
        <w:spacing w:after="0" w:line="240" w:lineRule="auto"/>
        <w:ind w:left="709" w:right="709"/>
        <w:contextualSpacing/>
        <w:jc w:val="both"/>
        <w:rPr>
          <w:rFonts w:ascii="Verdana" w:eastAsia="Times New Roman" w:hAnsi="Verdana" w:cs="Arial"/>
          <w:sz w:val="21"/>
          <w:szCs w:val="21"/>
          <w:lang w:val="es-ES_tradnl" w:eastAsia="es-MX"/>
        </w:rPr>
      </w:pPr>
      <w:bookmarkStart w:id="4"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4"/>
      <w:r w:rsidRPr="00B60BC4">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4"/>
      </w:r>
      <w:r w:rsidRPr="00B60BC4">
        <w:rPr>
          <w:rFonts w:ascii="Verdana" w:eastAsia="Times New Roman" w:hAnsi="Verdana" w:cs="Arial"/>
          <w:sz w:val="21"/>
          <w:szCs w:val="21"/>
          <w:lang w:val="es-ES_tradnl" w:eastAsia="es-MX"/>
        </w:rPr>
        <w:t>.</w:t>
      </w:r>
    </w:p>
    <w:p w14:paraId="65097454" w14:textId="77777777" w:rsidR="0040524F" w:rsidRPr="00B60BC4" w:rsidRDefault="0040524F" w:rsidP="0040524F">
      <w:pPr>
        <w:snapToGrid w:val="0"/>
        <w:spacing w:after="0"/>
        <w:ind w:left="720"/>
        <w:rPr>
          <w:rFonts w:ascii="Verdana" w:eastAsia="Times New Roman" w:hAnsi="Verdana" w:cs="Arial"/>
          <w:lang w:val="es-ES_tradnl" w:eastAsia="es-MX"/>
        </w:rPr>
      </w:pPr>
    </w:p>
    <w:p w14:paraId="36C0B0FA" w14:textId="77777777" w:rsidR="0040524F" w:rsidRPr="00B60BC4" w:rsidRDefault="0040524F" w:rsidP="0040524F">
      <w:pPr>
        <w:spacing w:after="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iv</w:t>
      </w:r>
      <w:proofErr w:type="spellEnd"/>
      <w:r w:rsidRPr="00B60BC4">
        <w:rPr>
          <w:rFonts w:ascii="Verdana" w:eastAsia="Times New Roman" w:hAnsi="Verdana" w:cs="Arial"/>
          <w:lang w:val="es-ES" w:eastAsia="es-MX"/>
        </w:rPr>
        <w:t xml:space="preserve">)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w:t>
      </w:r>
      <w:r w:rsidRPr="00B60BC4">
        <w:rPr>
          <w:rFonts w:ascii="Verdana" w:eastAsia="Times New Roman" w:hAnsi="Verdana" w:cs="Arial"/>
          <w:lang w:val="es-ES" w:eastAsia="es-MX"/>
        </w:rPr>
        <w:lastRenderedPageBreak/>
        <w:t xml:space="preserve">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19524755" w14:textId="77777777" w:rsidR="0040524F" w:rsidRPr="00B60BC4" w:rsidRDefault="0040524F" w:rsidP="0040524F">
      <w:pPr>
        <w:spacing w:after="0" w:line="276" w:lineRule="auto"/>
        <w:ind w:left="720"/>
        <w:contextualSpacing/>
        <w:jc w:val="both"/>
        <w:textAlignment w:val="baseline"/>
        <w:rPr>
          <w:rFonts w:ascii="Verdana" w:eastAsia="Times New Roman" w:hAnsi="Verdana" w:cs="Arial"/>
          <w:lang w:val="es-ES_tradnl" w:eastAsia="es-MX"/>
        </w:rPr>
      </w:pPr>
    </w:p>
    <w:p w14:paraId="0487398F" w14:textId="77777777" w:rsidR="0040524F" w:rsidRPr="00B60BC4" w:rsidRDefault="0040524F" w:rsidP="0040524F">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52B7E6D5" w14:textId="77777777" w:rsidR="0040524F" w:rsidRPr="00B60BC4" w:rsidRDefault="0040524F" w:rsidP="0040524F">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5"/>
      </w:r>
      <w:r w:rsidRPr="00B60BC4">
        <w:rPr>
          <w:rFonts w:ascii="Verdana" w:eastAsia="Times New Roman" w:hAnsi="Verdana" w:cs="Arial"/>
          <w:sz w:val="21"/>
          <w:szCs w:val="21"/>
          <w:lang w:val="es-ES" w:eastAsia="es-MX"/>
        </w:rPr>
        <w:t>.</w:t>
      </w:r>
    </w:p>
    <w:p w14:paraId="741F68F2" w14:textId="77777777" w:rsidR="0040524F" w:rsidRPr="00B60BC4" w:rsidRDefault="0040524F" w:rsidP="0040524F">
      <w:pPr>
        <w:spacing w:after="0" w:line="276" w:lineRule="auto"/>
        <w:ind w:left="720"/>
        <w:contextualSpacing/>
        <w:jc w:val="both"/>
        <w:textAlignment w:val="baseline"/>
        <w:rPr>
          <w:rFonts w:ascii="Verdana" w:eastAsia="Times New Roman" w:hAnsi="Verdana" w:cs="Arial"/>
          <w:lang w:val="es-ES" w:eastAsia="es-MX"/>
        </w:rPr>
      </w:pPr>
    </w:p>
    <w:p w14:paraId="7409F782"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6"/>
      </w:r>
      <w:r w:rsidRPr="00B60BC4">
        <w:rPr>
          <w:rFonts w:ascii="Verdana" w:eastAsia="Times New Roman" w:hAnsi="Verdana" w:cs="Arial"/>
          <w:bCs/>
          <w:lang w:val="es-ES"/>
        </w:rPr>
        <w:t xml:space="preserve">–; </w:t>
      </w:r>
      <w:proofErr w:type="spellStart"/>
      <w:r w:rsidRPr="00B60BC4">
        <w:rPr>
          <w:rFonts w:ascii="Verdana" w:eastAsia="Times New Roman" w:hAnsi="Verdana" w:cs="Arial"/>
          <w:bCs/>
          <w:lang w:val="es-ES"/>
        </w:rPr>
        <w:t>ii</w:t>
      </w:r>
      <w:proofErr w:type="spellEnd"/>
      <w:r w:rsidRPr="00B60BC4">
        <w:rPr>
          <w:rFonts w:ascii="Verdana" w:eastAsia="Times New Roman" w:hAnsi="Verdana" w:cs="Arial"/>
          <w:bCs/>
          <w:lang w:val="es-ES"/>
        </w:rPr>
        <w:t xml:space="preserve">) no requiere conocimientos tan especializados como la interventoría; </w:t>
      </w:r>
      <w:proofErr w:type="spellStart"/>
      <w:r w:rsidRPr="00B60BC4">
        <w:rPr>
          <w:rFonts w:ascii="Verdana" w:eastAsia="Times New Roman" w:hAnsi="Verdana" w:cs="Arial"/>
          <w:bCs/>
          <w:lang w:val="es-ES"/>
        </w:rPr>
        <w:t>iii</w:t>
      </w:r>
      <w:proofErr w:type="spellEnd"/>
      <w:r w:rsidRPr="00B60BC4">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60BC4">
        <w:rPr>
          <w:rFonts w:ascii="Verdana" w:eastAsia="Times New Roman" w:hAnsi="Verdana" w:cs="Arial"/>
          <w:bCs/>
          <w:lang w:val="es-ES"/>
        </w:rPr>
        <w:t>iv</w:t>
      </w:r>
      <w:proofErr w:type="spellEnd"/>
      <w:r w:rsidRPr="00B60BC4">
        <w:rPr>
          <w:rFonts w:ascii="Verdana" w:eastAsia="Times New Roman" w:hAnsi="Verdana" w:cs="Arial"/>
          <w:bCs/>
          <w:lang w:val="es-ES"/>
        </w:rPr>
        <w:t xml:space="preserve">) puede recibir apoyo de personal contratado para tal fin mediante contratos de prestación de servicios; y v) le es inseparable </w:t>
      </w:r>
      <w:r w:rsidRPr="00B60BC4">
        <w:rPr>
          <w:rFonts w:ascii="Verdana" w:eastAsia="Times New Roman" w:hAnsi="Verdana" w:cs="Arial"/>
          <w:bCs/>
          <w:lang w:val="es-ES"/>
        </w:rPr>
        <w:lastRenderedPageBreak/>
        <w:t>el seguimiento técnico, administrativo, financiero, contable y jurídico del contrato vigilado.</w:t>
      </w:r>
    </w:p>
    <w:p w14:paraId="3D693023"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07687693"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B60BC4">
        <w:rPr>
          <w:rFonts w:ascii="Verdana" w:eastAsia="Times New Roman" w:hAnsi="Verdana" w:cs="Arial"/>
          <w:vertAlign w:val="superscript"/>
          <w:lang w:val="es-ES"/>
        </w:rPr>
        <w:footnoteReference w:id="7"/>
      </w:r>
      <w:r w:rsidRPr="00B60BC4">
        <w:rPr>
          <w:rFonts w:ascii="Verdana" w:eastAsia="Times New Roman" w:hAnsi="Verdana" w:cs="Arial"/>
          <w:bCs/>
          <w:lang w:val="es-ES"/>
        </w:rPr>
        <w:t>. Sin embargo, también lo es que esa postura fue modificada para el segundo debate legislativo</w:t>
      </w:r>
      <w:r w:rsidRPr="00B60BC4">
        <w:rPr>
          <w:rFonts w:ascii="Verdana" w:eastAsia="Times New Roman" w:hAnsi="Verdana" w:cs="Arial"/>
          <w:vertAlign w:val="superscript"/>
          <w:lang w:val="es-ES"/>
        </w:rPr>
        <w:footnoteReference w:id="8"/>
      </w:r>
      <w:r w:rsidRPr="00B60BC4">
        <w:rPr>
          <w:rFonts w:ascii="Verdana" w:eastAsia="Times New Roman" w:hAnsi="Verdana" w:cs="Arial"/>
          <w:bCs/>
          <w:lang w:val="es-ES"/>
        </w:rPr>
        <w:t xml:space="preserve"> y en la ponencia registrada para tercer debate</w:t>
      </w:r>
      <w:r w:rsidRPr="00B60BC4">
        <w:rPr>
          <w:rFonts w:ascii="Verdana" w:eastAsia="Times New Roman" w:hAnsi="Verdana" w:cs="Arial"/>
          <w:vertAlign w:val="superscript"/>
          <w:lang w:val="es-ES"/>
        </w:rPr>
        <w:footnoteReference w:id="9"/>
      </w:r>
      <w:r w:rsidRPr="00B60BC4">
        <w:rPr>
          <w:rFonts w:ascii="Verdana" w:eastAsia="Times New Roman" w:hAnsi="Verdana" w:cs="Arial"/>
          <w:bCs/>
          <w:lang w:val="es-ES"/>
        </w:rPr>
        <w:t>, en donde se estableció que “la supervisión de los contratos ser[</w:t>
      </w:r>
      <w:proofErr w:type="spellStart"/>
      <w:r w:rsidRPr="00B60BC4">
        <w:rPr>
          <w:rFonts w:ascii="Verdana" w:eastAsia="Times New Roman" w:hAnsi="Verdana" w:cs="Arial"/>
          <w:bCs/>
          <w:lang w:val="es-ES"/>
        </w:rPr>
        <w:t>ía</w:t>
      </w:r>
      <w:proofErr w:type="spellEnd"/>
      <w:r w:rsidRPr="00B60BC4">
        <w:rPr>
          <w:rFonts w:ascii="Verdana" w:eastAsia="Times New Roman" w:hAnsi="Verdana" w:cs="Arial"/>
          <w:bCs/>
          <w:lang w:val="es-ES"/>
        </w:rPr>
        <w:t>] ejercida por un funcionario de la misma entidad estatal”. Incluso, la versión que finalmente se aprobó en cuarto debate</w:t>
      </w:r>
      <w:r w:rsidRPr="00B60BC4">
        <w:rPr>
          <w:rFonts w:ascii="Verdana" w:eastAsia="Times New Roman" w:hAnsi="Verdana" w:cs="Arial"/>
          <w:vertAlign w:val="superscript"/>
          <w:lang w:val="es-ES"/>
        </w:rPr>
        <w:footnoteReference w:id="10"/>
      </w:r>
      <w:r w:rsidRPr="00B60BC4">
        <w:rPr>
          <w:rFonts w:ascii="Verdana" w:eastAsia="Times New Roman" w:hAnsi="Verdana" w:cs="Arial"/>
          <w:bCs/>
          <w:lang w:val="es-ES"/>
        </w:rPr>
        <w:t>, que fue acogida por ambas cámaras legislativas</w:t>
      </w:r>
      <w:r w:rsidRPr="00B60BC4">
        <w:rPr>
          <w:rFonts w:ascii="Verdana" w:eastAsia="Times New Roman" w:hAnsi="Verdana" w:cs="Arial"/>
          <w:vertAlign w:val="superscript"/>
          <w:lang w:val="es-ES"/>
        </w:rPr>
        <w:footnoteReference w:id="11"/>
      </w:r>
      <w:r w:rsidRPr="00B60BC4">
        <w:rPr>
          <w:rFonts w:ascii="Verdana" w:eastAsia="Times New Roman" w:hAnsi="Verdana" w:cs="Arial"/>
          <w:bCs/>
          <w:lang w:val="es-ES"/>
        </w:rPr>
        <w:t xml:space="preserve"> luego del correspondiente trámite de conciliación</w:t>
      </w:r>
      <w:r w:rsidRPr="00B60BC4">
        <w:rPr>
          <w:rFonts w:ascii="Verdana" w:eastAsia="Times New Roman" w:hAnsi="Verdana" w:cs="Arial"/>
          <w:vertAlign w:val="superscript"/>
          <w:lang w:val="es-ES"/>
        </w:rPr>
        <w:footnoteReference w:id="12"/>
      </w:r>
      <w:r w:rsidRPr="00B60BC4">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4D99A04C"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La expresión “entidad estatal” podría dar a entender que la supervisión puede ser ejercida por funcionarios y contratistas, como inicialmente se presentó en la iniciativa legislativa, en el entendido de que las entidades, por regla </w:t>
      </w:r>
      <w:r w:rsidRPr="00B60BC4">
        <w:rPr>
          <w:rFonts w:ascii="Verdana" w:eastAsia="Times New Roman" w:hAnsi="Verdana" w:cs="Arial"/>
          <w:bCs/>
          <w:lang w:val="es-ES"/>
        </w:rPr>
        <w:lastRenderedPageBreak/>
        <w:t>general, se apoyan en los unos y los otros para el cumplimiento de sus funciones. Sin embargo, la Sección Tercera del Consejo de Estado</w:t>
      </w:r>
      <w:r w:rsidRPr="00B60BC4">
        <w:rPr>
          <w:rFonts w:ascii="Verdana" w:eastAsia="Times New Roman" w:hAnsi="Verdana" w:cs="Arial"/>
          <w:bCs/>
          <w:vertAlign w:val="superscript"/>
          <w:lang w:val="es-ES"/>
        </w:rPr>
        <w:footnoteReference w:id="13"/>
      </w:r>
      <w:r w:rsidRPr="00B60BC4">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19A7549C" w14:textId="77777777" w:rsidR="0040524F" w:rsidRPr="00B60BC4" w:rsidRDefault="0040524F" w:rsidP="0040524F">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color w:val="000000"/>
          <w:sz w:val="21"/>
          <w:szCs w:val="21"/>
          <w:lang w:val="es-MX"/>
        </w:rPr>
        <w:t>“</w:t>
      </w:r>
      <w:r w:rsidRPr="00B60BC4">
        <w:rPr>
          <w:rFonts w:ascii="Verdana" w:eastAsia="Times New Roman" w:hAnsi="Verdana" w:cs="Arial"/>
          <w:sz w:val="21"/>
          <w:szCs w:val="21"/>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4365A5B6" w14:textId="77777777" w:rsidR="0040524F" w:rsidRPr="00B60BC4" w:rsidRDefault="0040524F" w:rsidP="0040524F">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w:t>
      </w:r>
    </w:p>
    <w:p w14:paraId="2D930412" w14:textId="77777777" w:rsidR="0040524F" w:rsidRPr="00B60BC4" w:rsidRDefault="0040524F" w:rsidP="0040524F">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B60BC4">
        <w:rPr>
          <w:rFonts w:ascii="Verdana" w:eastAsia="Times New Roman" w:hAnsi="Verdana" w:cs="Arial"/>
          <w:sz w:val="21"/>
          <w:szCs w:val="21"/>
          <w:vertAlign w:val="superscript"/>
          <w:lang w:val="es-ES" w:eastAsia="es-MX"/>
        </w:rPr>
        <w:footnoteReference w:id="14"/>
      </w:r>
      <w:r w:rsidRPr="00B60BC4">
        <w:rPr>
          <w:rFonts w:ascii="Verdana" w:eastAsia="Times New Roman" w:hAnsi="Verdana" w:cs="Arial"/>
          <w:sz w:val="21"/>
          <w:szCs w:val="21"/>
          <w:lang w:val="es-ES" w:eastAsia="es-MX"/>
        </w:rPr>
        <w:t>.”</w:t>
      </w:r>
    </w:p>
    <w:p w14:paraId="7C0FEEEB" w14:textId="77777777" w:rsidR="0040524F" w:rsidRPr="00B60BC4" w:rsidRDefault="0040524F" w:rsidP="0040524F">
      <w:pPr>
        <w:spacing w:after="0" w:line="240" w:lineRule="auto"/>
        <w:ind w:left="1417" w:right="709"/>
        <w:jc w:val="both"/>
        <w:textAlignment w:val="baseline"/>
        <w:rPr>
          <w:rFonts w:ascii="Verdana" w:eastAsia="Times New Roman" w:hAnsi="Verdana" w:cs="Arial"/>
          <w:sz w:val="20"/>
          <w:szCs w:val="20"/>
          <w:lang w:val="es-ES" w:eastAsia="es-MX"/>
        </w:rPr>
      </w:pPr>
    </w:p>
    <w:p w14:paraId="0A4D990C" w14:textId="77777777" w:rsidR="0040524F"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w:t>
      </w:r>
    </w:p>
    <w:p w14:paraId="5DF51595"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w:t>
      </w:r>
      <w:r w:rsidRPr="00B60BC4">
        <w:rPr>
          <w:rFonts w:ascii="Verdana" w:eastAsia="Times New Roman" w:hAnsi="Verdana" w:cs="Arial"/>
          <w:shd w:val="clear" w:color="auto" w:fill="FFFFFF"/>
          <w:lang w:val="es-ES"/>
        </w:rPr>
        <w:lastRenderedPageBreak/>
        <w:t>contractual, impartir instrucciones al contratista y hacer recomendaciones encaminadas a lograr la correcta ejecución del objeto contratado.</w:t>
      </w:r>
    </w:p>
    <w:p w14:paraId="1E49E620"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140E09CF" w14:textId="77777777" w:rsidR="0040524F"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1061C41D" w14:textId="77777777" w:rsidR="00F357D9" w:rsidRPr="00F357D9" w:rsidRDefault="00F357D9" w:rsidP="00F357D9">
      <w:pPr>
        <w:spacing w:after="120" w:line="276" w:lineRule="auto"/>
        <w:ind w:firstLine="709"/>
        <w:jc w:val="both"/>
        <w:rPr>
          <w:rFonts w:ascii="Verdana" w:hAnsi="Verdana" w:cs="Arial"/>
          <w:shd w:val="clear" w:color="auto" w:fill="FFFFFF"/>
        </w:rPr>
      </w:pPr>
      <w:r>
        <w:rPr>
          <w:rFonts w:ascii="Verdana" w:eastAsia="Times New Roman" w:hAnsi="Verdana" w:cs="Arial"/>
          <w:shd w:val="clear" w:color="auto" w:fill="FFFFFF"/>
          <w:lang w:val="es-ES"/>
        </w:rPr>
        <w:t xml:space="preserve">Ahora bien, </w:t>
      </w:r>
      <w:r w:rsidRPr="00F357D9">
        <w:rPr>
          <w:rFonts w:ascii="Verdana" w:hAnsi="Verdana" w:cs="Arial"/>
          <w:shd w:val="clear" w:color="auto" w:fill="FFFFFF"/>
        </w:rPr>
        <w:t>De acuerdo con los artículos 11 y 12 de la Ley 80 de 1993, la dirección y el manejo de la actividad contractual corresponden al jefe o representante legal de la entidad estatal, quien puede delegar total o parcialmente las competencias para celebrar contratos y desconcentrar la realización de procesos de selección, en los términos previstos en la ley. Esta distribución de competencias debe interpretarse en armonía con el deber de las entidades estatales de garantizar la adecuada ejecución de sus contratos y la responsabilidad que corresponde a los servidores públicos de acuerdo con sus funciones y actuaciones.</w:t>
      </w:r>
    </w:p>
    <w:p w14:paraId="11AD3B25"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 xml:space="preserve">Por su parte, el artículo 83 de la Ley 1474 de 2011 establece que las entidades estatales deben vigilar permanentemente la correcta ejecución del objeto contratado mediante un supervisor o interventor, según corresponda. La supervisión comprende el seguimiento técnico, administrativo, financiero, contable y jurídico que ejerce la propia entidad cuando no se requieren conocimientos especializados, mientras que la interventoría se refiere, principalmente, al seguimiento especializado que realiza un tercero. A su vez, el </w:t>
      </w:r>
      <w:r w:rsidRPr="00F357D9">
        <w:rPr>
          <w:rFonts w:ascii="Verdana" w:eastAsia="Times New Roman" w:hAnsi="Verdana" w:cs="Arial"/>
          <w:shd w:val="clear" w:color="auto" w:fill="FFFFFF"/>
        </w:rPr>
        <w:lastRenderedPageBreak/>
        <w:t>artículo 84 de la misma ley establece facultades y deberes de los supervisores e interventores para verificar el cumplimiento de las obligaciones contractuales, solicitar informes, aclaraciones y explicaciones, e informar a la entidad sobre posibles incumplimientos o circunstancias que puedan afectar la ejecución del contrato.</w:t>
      </w:r>
    </w:p>
    <w:p w14:paraId="3DC2AD2B"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En relación con el primer interrogante, referido a las competencias para garantizar la continuidad de la supervisión ante la ausencia temporal del servidor designado, debe señalarse que la entidad estatal tiene el deber de adoptar las medidas necesarias para evitar interrupciones en la vigilancia contractual. En ese sentido, el ordenador del gasto o la autoridad competente, de acuerdo con las reglas de organización, delegación y contratación aplicables, debe determinar el mecanismo jurídicamente procedente para asegurar el seguimiento del contrato durante el periodo de ausencia. Sin embargo, las normas citadas no disponen que la supervisión se traslade automáticamente al superior jerárquico inmediato del supervisor titular por el solo hecho de producirse su ausencia. Por tanto, la procedencia de esa asignación debe establecerse a partir de las competencias aplicables y de las reglas internas de la entidad, de manera que exista fundamento jurídico suficiente para determinar quién asumirá la función y bajo qué condiciones.</w:t>
      </w:r>
    </w:p>
    <w:p w14:paraId="707A2355"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 xml:space="preserve">En cuanto al segundo interrogante, relacionado con la posibilidad de establecer mecanismos internos para garantizar la continuidad de la supervisión contractual, las entidades estatales pueden prever en sus manuales de contratación, manuales de supervisión o procedimientos internos reglas para atender las ausencias temporales del servidor designado. Esta posibilidad encuentra fundamento en el deber de vigilancia permanente previsto en el artículo 83 de la Ley 1474 de 2011 y en la necesidad de organizar la gestión contractual de manera que se asegure el seguimiento oportuno de las obligaciones pactadas. No obstante, dichos mecanismos deben respetar las competencias legalmente atribuidas y la estructura administrativa de la entidad, y no pueden crear facultades contrarias al ordenamiento jurídico ni presumir que la supervisión corresponde automáticamente a determinado servidor por razón de su cargo o posición jerárquica. En consecuencia, la entidad puede establecer un procedimiento previo que determine las circunstancias en las que procede la suplencia, la autoridad facultada para disponerla y las condiciones para su </w:t>
      </w:r>
      <w:r w:rsidRPr="00F357D9">
        <w:rPr>
          <w:rFonts w:ascii="Verdana" w:eastAsia="Times New Roman" w:hAnsi="Verdana" w:cs="Arial"/>
          <w:shd w:val="clear" w:color="auto" w:fill="FFFFFF"/>
        </w:rPr>
        <w:lastRenderedPageBreak/>
        <w:t>ejercicio, siempre que la asignación tenga un fundamento jurídico válido y sea debidamente formalizada.</w:t>
      </w:r>
    </w:p>
    <w:p w14:paraId="18AA767B"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Respecto del tercer interrogante, relativo a los requisitos, condiciones y límites que deben observar las entidades estatales para implementar mecanismos internos de continuidad de la supervisión, es necesario considerar, en primer lugar, la competencia de la autoridad que efectúa la designación, la cual debe actuar conforme a las atribuciones legales, las delegaciones válidamente conferidas y las reglas de organización de la entidad. En segundo lugar, debe verificarse la idoneidad del servidor que asumirá temporalmente la supervisión, atendiendo a sus funciones, conocimientos, capacidad para realizar el seguimiento correspondiente y carga laboral, de acuerdo con las características y complejidad del contrato. En tercer lugar, la asignación debe formalizarse por escrito, identificando al servidor designado, el contrato objeto de vigilancia, el alcance de sus funciones y el periodo durante el cual ejercerá la supervisión, así como las condiciones para la terminación de la suplencia y la reincorporación del supervisor titular.</w:t>
      </w:r>
    </w:p>
    <w:p w14:paraId="5E90173C"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Asimismo, el mecanismo debe garantizar la identificación de las responsabilidades derivadas de las actuaciones u omisiones del servidor que asuma temporalmente la supervisión, de conformidad con las obligaciones previstas en la ley y el régimen de responsabilidad aplicable. Para ello, resulta pertinente establecer procedimientos de entrega y recepción de la información contractual, registro del estado de ejecución del contrato, identificación de las obligaciones pendientes, seguimiento a los informes y pagos, comunicación de alertas y documentación de las actuaciones realizadas durante el periodo de suplencia. Estas medidas permiten preservar la trazabilidad de la vigilancia contractual, identificar a los responsables de las actuaciones adelantadas y facilitar la continuidad del seguimiento sin generar vacíos en el control de la ejecución.</w:t>
      </w:r>
    </w:p>
    <w:p w14:paraId="58D84EBC"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 xml:space="preserve">Como límite, debe precisarse que la posibilidad de contratar personal de apoyo a la supervisión, contemplada en el artículo 83 de la Ley 1474 de 2011, no supone que dicho personal adquiera automáticamente la calidad de supervisor ni que pueda sustituir al servidor público responsable de esa función. De igual manera, el supervisor titular no puede transferir informalmente sus responsabilidades a otro servidor sin que exista una asignación jurídicamente válida. Por consiguiente, los mecanismos internos deben preservar la distinción </w:t>
      </w:r>
      <w:r w:rsidRPr="00F357D9">
        <w:rPr>
          <w:rFonts w:ascii="Verdana" w:eastAsia="Times New Roman" w:hAnsi="Verdana" w:cs="Arial"/>
          <w:shd w:val="clear" w:color="auto" w:fill="FFFFFF"/>
        </w:rPr>
        <w:lastRenderedPageBreak/>
        <w:t>entre el ejercicio de la supervisión por parte de la entidad estatal y las actividades de apoyo que puedan contratarse para facilitar su desarrollo, así como garantizar que las actuaciones realizadas durante la suplencia sean atribuibles a quien efectivamente las adelantó.</w:t>
      </w:r>
    </w:p>
    <w:p w14:paraId="7D515863" w14:textId="77777777"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En síntesis, las entidades estatales pueden adoptar medidas internas para asegurar la continuidad de la supervisión contractual ante la ausencia temporal del servidor designado, siempre que estas se ajusten al marco normativo aplicable y permitan establecer de manera clara la competencia para efectuar la asignación, la idoneidad del servidor suplente, el alcance temporal y funcional de la designación, las responsabilidades correspondientes y la trazabilidad de las actuaciones. No obstante, dado que los artículos 11 y 12 de la Ley 80 de 1993 y 83 y 84 de la Ley 1474 de 2011 no establecen un procedimiento único ni una regla de traslado automático de la supervisión por ausencia del titular, corresponde a cada entidad determinar el mecanismo procedente según su estructura, sus competencias y sus procedimientos internos.</w:t>
      </w:r>
    </w:p>
    <w:p w14:paraId="0E84B998" w14:textId="0BF0E109" w:rsidR="00F357D9" w:rsidRPr="00F357D9" w:rsidRDefault="00F357D9" w:rsidP="00F357D9">
      <w:pPr>
        <w:spacing w:after="120" w:line="276" w:lineRule="auto"/>
        <w:ind w:firstLine="709"/>
        <w:jc w:val="both"/>
        <w:rPr>
          <w:rFonts w:ascii="Verdana" w:eastAsia="Times New Roman" w:hAnsi="Verdana" w:cs="Arial"/>
          <w:shd w:val="clear" w:color="auto" w:fill="FFFFFF"/>
        </w:rPr>
      </w:pPr>
      <w:r w:rsidRPr="00F357D9">
        <w:rPr>
          <w:rFonts w:ascii="Verdana" w:eastAsia="Times New Roman" w:hAnsi="Verdana" w:cs="Arial"/>
          <w:shd w:val="clear" w:color="auto" w:fill="FFFFFF"/>
        </w:rPr>
        <w:t>Finalmente, debe advertirse que la determinación de la procedencia de un mecanismo específico de suplencia depende de las circunstancias del caso, de las competencias de los servidores involucrados y de las disposiciones internas aplicables. En consecuencia, esta Agencia, en ejercicio de su función consultiva, brinda orientaciones generales sobre la interpretación y aplicación de las normas del Sistema de Compra Pública, sin que le corresponda validar las actuaciones particulares de las entidades estatales, cuya adopción debe atender al principio de juridicidad y al marco de competencias que rige su gestión contractual.</w:t>
      </w:r>
    </w:p>
    <w:p w14:paraId="799AF5CE" w14:textId="77777777" w:rsidR="0040524F" w:rsidRPr="00B60BC4" w:rsidRDefault="0040524F" w:rsidP="0040524F">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9" w:history="1">
        <w:r w:rsidRPr="00B60BC4">
          <w:rPr>
            <w:rFonts w:ascii="Verdana" w:eastAsia="Times New Roman" w:hAnsi="Verdana" w:cs="Arial"/>
            <w:color w:val="467886"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1C9EB760" w14:textId="374BB923" w:rsidR="00866119" w:rsidRPr="0040524F" w:rsidRDefault="0040524F" w:rsidP="0040524F">
      <w:pPr>
        <w:spacing w:after="0" w:line="276" w:lineRule="auto"/>
        <w:ind w:firstLine="709"/>
        <w:jc w:val="both"/>
        <w:rPr>
          <w:rFonts w:ascii="Verdana" w:hAnsi="Verdana" w:cs="Arial"/>
          <w:color w:val="000000"/>
        </w:rPr>
      </w:pPr>
      <w:r w:rsidRPr="00B60BC4">
        <w:rPr>
          <w:rFonts w:ascii="Verdana" w:hAnsi="Verdana" w:cs="Arial"/>
          <w:color w:val="000000"/>
        </w:rPr>
        <w:t xml:space="preserve">Con sustento en lo anterior, es importante precisar que, la normativa colombiana, particularmente la Ley 80 de 1993, las Leyes 1150 de 2007 y 1474 de 2011, establece que las entidades estatales son responsables de garantizar </w:t>
      </w:r>
      <w:r w:rsidRPr="00B60BC4">
        <w:rPr>
          <w:rFonts w:ascii="Verdana" w:hAnsi="Verdana" w:cs="Arial"/>
          <w:color w:val="000000"/>
        </w:rPr>
        <w:lastRenderedPageBreak/>
        <w:t>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17E81BF0" w14:textId="77777777" w:rsidR="006D5BFB" w:rsidRDefault="006D5BFB" w:rsidP="006D5BFB">
      <w:pPr>
        <w:tabs>
          <w:tab w:val="left" w:pos="426"/>
        </w:tabs>
        <w:spacing w:after="0" w:line="276" w:lineRule="auto"/>
        <w:jc w:val="both"/>
        <w:rPr>
          <w:rFonts w:ascii="Verdana" w:eastAsia="Aptos" w:hAnsi="Verdana" w:cs="Arial"/>
          <w:bCs/>
          <w:color w:val="000000"/>
        </w:rPr>
      </w:pPr>
      <w:bookmarkStart w:id="5" w:name="_Hlk204856061"/>
      <w:bookmarkStart w:id="6" w:name="_Hlk78820161"/>
      <w:bookmarkStart w:id="7" w:name="_Hlk204854194"/>
    </w:p>
    <w:bookmarkEnd w:id="5"/>
    <w:bookmarkEnd w:id="6"/>
    <w:p w14:paraId="63F6FCD3" w14:textId="77777777" w:rsidR="006D5BFB" w:rsidRPr="001F283D" w:rsidRDefault="006D5BFB" w:rsidP="006D5BFB">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7"/>
    <w:p w14:paraId="154E20E4" w14:textId="77777777" w:rsidR="006D5BFB" w:rsidRPr="00593A5F" w:rsidRDefault="006D5BFB" w:rsidP="006D5BF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5BFB" w:rsidRPr="002407CE" w14:paraId="19465318" w14:textId="77777777" w:rsidTr="008D334B">
        <w:trPr>
          <w:trHeight w:val="870"/>
          <w:jc w:val="center"/>
        </w:trPr>
        <w:tc>
          <w:tcPr>
            <w:tcW w:w="8647" w:type="dxa"/>
          </w:tcPr>
          <w:p w14:paraId="19AC9F40" w14:textId="77777777" w:rsidR="00C756A9" w:rsidRPr="00A86D07" w:rsidRDefault="00C756A9" w:rsidP="00C756A9">
            <w:pPr>
              <w:pStyle w:val="Prrafodelista"/>
              <w:numPr>
                <w:ilvl w:val="0"/>
                <w:numId w:val="4"/>
              </w:numPr>
              <w:spacing w:line="276" w:lineRule="auto"/>
              <w:rPr>
                <w:rFonts w:ascii="Verdana" w:hAnsi="Verdana" w:cs="Arial"/>
                <w:color w:val="000000" w:themeColor="text1"/>
                <w:lang w:val="es-ES"/>
              </w:rPr>
            </w:pPr>
            <w:r w:rsidRPr="00A86D07">
              <w:rPr>
                <w:rFonts w:ascii="Verdana" w:hAnsi="Verdana" w:cs="Arial"/>
                <w:color w:val="000000" w:themeColor="text1"/>
                <w:lang w:val="es-ES"/>
              </w:rPr>
              <w:t>Ley 80 de 1993. Artículos 4, 5, 12, 14 y 26</w:t>
            </w:r>
          </w:p>
          <w:p w14:paraId="0E661226" w14:textId="77777777" w:rsidR="00C756A9" w:rsidRPr="00272372" w:rsidRDefault="00C756A9" w:rsidP="00C756A9">
            <w:pPr>
              <w:widowControl w:val="0"/>
              <w:numPr>
                <w:ilvl w:val="0"/>
                <w:numId w:val="3"/>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1150 de 2007. Artículos 17 y 21</w:t>
            </w:r>
          </w:p>
          <w:p w14:paraId="7CD3029C" w14:textId="77777777" w:rsidR="00C756A9" w:rsidRPr="00272372" w:rsidRDefault="00C756A9" w:rsidP="00C756A9">
            <w:pPr>
              <w:widowControl w:val="0"/>
              <w:numPr>
                <w:ilvl w:val="0"/>
                <w:numId w:val="3"/>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1474 de 2011. Artículos 83</w:t>
            </w:r>
          </w:p>
          <w:p w14:paraId="46180D76" w14:textId="77777777" w:rsidR="00C756A9" w:rsidRPr="00272372" w:rsidRDefault="00C756A9" w:rsidP="00C756A9">
            <w:pPr>
              <w:widowControl w:val="0"/>
              <w:numPr>
                <w:ilvl w:val="0"/>
                <w:numId w:val="3"/>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23C94C33" w14:textId="77777777" w:rsidR="00C756A9" w:rsidRPr="00272372" w:rsidRDefault="00C756A9" w:rsidP="00C756A9">
            <w:pPr>
              <w:widowControl w:val="0"/>
              <w:numPr>
                <w:ilvl w:val="0"/>
                <w:numId w:val="3"/>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 xml:space="preserve">Consejo de Estado. Sección 3ª. Sentencia del 27 de noviembre de 2017. M.P. Jaime Orlando Santofimio. </w:t>
            </w:r>
            <w:proofErr w:type="spellStart"/>
            <w:r w:rsidRPr="00272372">
              <w:rPr>
                <w:rFonts w:ascii="Verdana" w:hAnsi="Verdana" w:cs="Arial"/>
                <w:color w:val="000000" w:themeColor="text1"/>
              </w:rPr>
              <w:t>Exp</w:t>
            </w:r>
            <w:proofErr w:type="spellEnd"/>
            <w:r w:rsidRPr="00272372">
              <w:rPr>
                <w:rFonts w:ascii="Verdana" w:hAnsi="Verdana" w:cs="Arial"/>
                <w:color w:val="000000" w:themeColor="text1"/>
              </w:rPr>
              <w:t>. 51.802.</w:t>
            </w:r>
          </w:p>
          <w:p w14:paraId="7C7CFC51" w14:textId="77777777" w:rsidR="00C756A9" w:rsidRPr="00A86D07" w:rsidRDefault="00C756A9" w:rsidP="00C756A9">
            <w:pPr>
              <w:widowControl w:val="0"/>
              <w:numPr>
                <w:ilvl w:val="0"/>
                <w:numId w:val="3"/>
              </w:numPr>
              <w:autoSpaceDE w:val="0"/>
              <w:autoSpaceDN w:val="0"/>
              <w:spacing w:line="276" w:lineRule="auto"/>
              <w:contextualSpacing/>
              <w:jc w:val="both"/>
              <w:rPr>
                <w:rFonts w:ascii="Verdana" w:eastAsia="Calibri" w:hAnsi="Verdana" w:cs="Arial"/>
                <w:lang w:val="es-ES"/>
              </w:rPr>
            </w:pPr>
            <w:r w:rsidRPr="00272372">
              <w:rPr>
                <w:rFonts w:ascii="Verdana" w:hAnsi="Verdana" w:cs="Arial"/>
                <w:color w:val="000000" w:themeColor="text1"/>
              </w:rPr>
              <w:t xml:space="preserve">Consejo de Estado. Sección 1ª. Sentencia del 31 de julio de 2014. M.P. Guillermo Vargas Ayala. Radicación número: 25000-23-41-000-2012-00338-01. </w:t>
            </w:r>
          </w:p>
          <w:p w14:paraId="1CEBB332" w14:textId="6FB76CC4" w:rsidR="006D5BFB" w:rsidRPr="003F3FCA" w:rsidRDefault="00C756A9" w:rsidP="00C756A9">
            <w:pPr>
              <w:pStyle w:val="Prrafodelista"/>
              <w:numPr>
                <w:ilvl w:val="0"/>
                <w:numId w:val="3"/>
              </w:numPr>
              <w:spacing w:line="276" w:lineRule="auto"/>
              <w:contextualSpacing w:val="0"/>
              <w:jc w:val="both"/>
              <w:rPr>
                <w:rFonts w:ascii="Verdana" w:hAnsi="Verdana" w:cs="Arial"/>
                <w:bCs/>
                <w:lang w:val="es-ES_tradnl"/>
              </w:rPr>
            </w:pPr>
            <w:r w:rsidRPr="00272372">
              <w:rPr>
                <w:rFonts w:ascii="Verdana" w:hAnsi="Verdana" w:cs="Arial"/>
                <w:color w:val="000000" w:themeColor="text1"/>
              </w:rPr>
              <w:t xml:space="preserve">Colombia Compra Eficiente, Guía para el ejercicio de las funciones de Supervisión e Interventoría de los contratos del Estado, disponible </w:t>
            </w:r>
            <w:hyperlink r:id="rId10" w:history="1">
              <w:r w:rsidRPr="00272372">
                <w:rPr>
                  <w:rFonts w:ascii="Verdana" w:hAnsi="Verdana" w:cs="Arial"/>
                  <w:color w:val="467886" w:themeColor="hyperlink"/>
                  <w:u w:val="single"/>
                </w:rPr>
                <w:t>aquí</w:t>
              </w:r>
            </w:hyperlink>
            <w:r>
              <w:t xml:space="preserve"> </w:t>
            </w:r>
          </w:p>
        </w:tc>
      </w:tr>
    </w:tbl>
    <w:p w14:paraId="39EE6F99" w14:textId="77777777" w:rsidR="006D5BFB" w:rsidRPr="00277E26" w:rsidRDefault="006D5BFB" w:rsidP="006D5BFB">
      <w:pPr>
        <w:widowControl w:val="0"/>
        <w:autoSpaceDE w:val="0"/>
        <w:autoSpaceDN w:val="0"/>
        <w:spacing w:after="0" w:line="276" w:lineRule="auto"/>
        <w:jc w:val="both"/>
        <w:rPr>
          <w:rFonts w:ascii="Verdana" w:hAnsi="Verdana" w:cs="Arial"/>
        </w:rPr>
      </w:pPr>
    </w:p>
    <w:p w14:paraId="0B3C1D0C" w14:textId="77777777" w:rsidR="006D5BFB" w:rsidRPr="001F283D" w:rsidRDefault="006D5BFB" w:rsidP="006D5BFB">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C330E62" w14:textId="77777777" w:rsidR="006D5BFB" w:rsidRDefault="006D5BFB" w:rsidP="006D5BFB">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7C4B4D15" w14:textId="5D69CC51" w:rsidR="00FF0EE4" w:rsidRPr="00F6273C" w:rsidRDefault="00FC5251" w:rsidP="00FF0EE4">
      <w:pPr>
        <w:widowControl w:val="0"/>
        <w:autoSpaceDE w:val="0"/>
        <w:autoSpaceDN w:val="0"/>
        <w:spacing w:after="0" w:line="276" w:lineRule="auto"/>
        <w:jc w:val="both"/>
        <w:rPr>
          <w:rFonts w:ascii="Verdana" w:hAnsi="Verdana" w:cs="Arial"/>
          <w:shd w:val="clear" w:color="auto" w:fill="FFFFFF"/>
          <w:lang w:val="es-ES"/>
        </w:rPr>
      </w:pPr>
      <w:r w:rsidRPr="00272372">
        <w:rPr>
          <w:rFonts w:ascii="Verdana" w:eastAsia="Calibri" w:hAnsi="Verdana" w:cs="Arial"/>
          <w:lang w:val="es-ES_tradnl" w:eastAsia="es-ES_tradnl"/>
        </w:rPr>
        <w:t xml:space="preserve">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w:t>
      </w:r>
      <w:r w:rsidRPr="00272372">
        <w:rPr>
          <w:rFonts w:ascii="Verdana" w:eastAsia="Calibri" w:hAnsi="Verdana" w:cs="Arial"/>
          <w:lang w:val="es-ES_tradnl" w:eastAsia="es-ES_tradnl"/>
        </w:rPr>
        <w:lastRenderedPageBreak/>
        <w:t>2023, C-089 de 2024 de 17 de julio de 2024, C-255 de 14 de agosto de 2024,C-600 del 7 de octubre de 2024, C-972 de 22 de enero de 2025 y C-091 del 13 de febrero de 2025, entre otros</w:t>
      </w:r>
      <w:r w:rsidRPr="00272372">
        <w:rPr>
          <w:rFonts w:ascii="Verdana" w:hAnsi="Verdana" w:cs="Arial"/>
          <w:shd w:val="clear" w:color="auto" w:fill="FFFFFF"/>
          <w:lang w:val="es-ES"/>
        </w:rPr>
        <w:t>. Es</w:t>
      </w:r>
      <w:r w:rsidRPr="00272372">
        <w:rPr>
          <w:rFonts w:ascii="Verdana" w:hAnsi="Verdana"/>
        </w:rPr>
        <w:t>tos y otros conceptos se encuentran disponibles para consulta en el Sistema de relatoría de la Agencia, al cual se puede acceder a través del siguiente enlace:</w:t>
      </w:r>
      <w:r w:rsidRPr="00272372">
        <w:rPr>
          <w:rFonts w:ascii="Verdana" w:hAnsi="Verdana" w:cs="Arial"/>
          <w:shd w:val="clear" w:color="auto" w:fill="FFFFFF"/>
          <w:lang w:val="es-ES"/>
        </w:rPr>
        <w:t xml:space="preserve"> </w:t>
      </w:r>
      <w:hyperlink r:id="rId11" w:history="1">
        <w:r w:rsidRPr="00272372">
          <w:rPr>
            <w:rFonts w:ascii="Verdana" w:hAnsi="Verdana" w:cs="Arial"/>
            <w:u w:val="single"/>
            <w:shd w:val="clear" w:color="auto" w:fill="FFFFFF"/>
            <w:lang w:val="es-ES"/>
          </w:rPr>
          <w:t>https://relatoria.colombiacompra.gov.co/busqueda/conceptos</w:t>
        </w:r>
      </w:hyperlink>
    </w:p>
    <w:p w14:paraId="4D7116CE" w14:textId="77777777" w:rsidR="006D5BFB" w:rsidRPr="00900D7D" w:rsidRDefault="006D5BFB" w:rsidP="006D5BFB">
      <w:pPr>
        <w:widowControl w:val="0"/>
        <w:autoSpaceDE w:val="0"/>
        <w:autoSpaceDN w:val="0"/>
        <w:spacing w:after="0" w:line="276" w:lineRule="auto"/>
        <w:jc w:val="both"/>
        <w:rPr>
          <w:rFonts w:ascii="Verdana" w:eastAsia="Calibri" w:hAnsi="Verdana" w:cs="Arial"/>
          <w:color w:val="000000" w:themeColor="text1"/>
          <w:lang w:eastAsia="es-ES_tradnl"/>
        </w:rPr>
      </w:pPr>
    </w:p>
    <w:p w14:paraId="0684C6DD" w14:textId="77777777" w:rsidR="006D5BFB" w:rsidRPr="00237766" w:rsidRDefault="006D5BFB" w:rsidP="006D5BFB">
      <w:pPr>
        <w:spacing w:after="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ECDC096" w14:textId="77777777" w:rsidR="006D5BFB" w:rsidRPr="008E4F36" w:rsidRDefault="006D5BFB" w:rsidP="006D5BFB">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26620C17" w14:textId="77777777" w:rsidR="006D5BFB" w:rsidRPr="008E4F36" w:rsidRDefault="006D5BFB" w:rsidP="006D5BFB">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1A76A0C7" w14:textId="77777777" w:rsidR="006D5BFB" w:rsidRPr="008E4F36" w:rsidRDefault="006D5BFB" w:rsidP="006D5BFB">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402C4A3" w14:textId="77777777" w:rsidR="006D5BFB" w:rsidRPr="008E4F36" w:rsidRDefault="006D5BFB" w:rsidP="006D5BFB">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2" w:history="1">
        <w:r w:rsidRPr="008E4F36">
          <w:rPr>
            <w:rStyle w:val="Hipervnculo"/>
            <w:rFonts w:ascii="Verdana" w:hAnsi="Verdana"/>
          </w:rPr>
          <w:t>www.colombiacompra.gov.co</w:t>
        </w:r>
      </w:hyperlink>
    </w:p>
    <w:p w14:paraId="093E92F6" w14:textId="77777777" w:rsidR="006D5BFB" w:rsidRPr="008E4F36" w:rsidRDefault="006D5BFB" w:rsidP="006D5BFB">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0989081" w14:textId="77777777" w:rsidR="006D5BFB" w:rsidRPr="008E4F36" w:rsidRDefault="006D5BFB" w:rsidP="006D5BFB">
      <w:pPr>
        <w:spacing w:after="0" w:line="276" w:lineRule="auto"/>
        <w:jc w:val="both"/>
        <w:rPr>
          <w:rFonts w:ascii="Verdana" w:hAnsi="Verdana"/>
        </w:rPr>
      </w:pPr>
    </w:p>
    <w:p w14:paraId="37EC73FD" w14:textId="77777777" w:rsidR="006D5BFB" w:rsidRPr="008E4F36" w:rsidRDefault="006D5BFB" w:rsidP="006D5BFB">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52A838F" w14:textId="77777777" w:rsidR="006D5BFB" w:rsidRPr="008E4F36" w:rsidRDefault="006D5BFB" w:rsidP="006D5BFB">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B05C5D6" w14:textId="77777777" w:rsidR="006D5BFB" w:rsidRPr="008E4F36" w:rsidRDefault="006D5BFB" w:rsidP="006D5BFB">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783881F" w14:textId="77777777" w:rsidR="006D5BFB" w:rsidRDefault="006D5BFB" w:rsidP="006D5BFB">
      <w:pPr>
        <w:spacing w:after="0" w:line="276" w:lineRule="auto"/>
        <w:jc w:val="both"/>
        <w:rPr>
          <w:rFonts w:ascii="Verdana" w:hAnsi="Verdana"/>
        </w:rPr>
      </w:pPr>
    </w:p>
    <w:p w14:paraId="4C09DDE2" w14:textId="77777777" w:rsidR="006D5BFB" w:rsidRPr="00FB6C33" w:rsidRDefault="006D5BFB" w:rsidP="006D5BFB">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1921207" w14:textId="77777777" w:rsidR="006D5BFB" w:rsidRPr="008E4F36" w:rsidRDefault="006D5BFB" w:rsidP="006D5BFB">
      <w:pPr>
        <w:spacing w:after="0" w:line="276" w:lineRule="auto"/>
        <w:jc w:val="both"/>
        <w:rPr>
          <w:rFonts w:ascii="Verdana" w:eastAsia="Calibri" w:hAnsi="Verdana" w:cs="Times New Roman"/>
        </w:rPr>
      </w:pPr>
    </w:p>
    <w:p w14:paraId="4BCA51BC" w14:textId="77777777" w:rsidR="006D5BFB" w:rsidRDefault="006D5BFB" w:rsidP="006D5BFB">
      <w:pPr>
        <w:spacing w:after="0" w:line="276" w:lineRule="auto"/>
        <w:jc w:val="both"/>
        <w:rPr>
          <w:rFonts w:ascii="Verdana" w:eastAsia="Calibri" w:hAnsi="Verdana" w:cs="Times New Roman"/>
        </w:rPr>
      </w:pPr>
      <w:r w:rsidRPr="008E4F36">
        <w:rPr>
          <w:rFonts w:ascii="Verdana" w:eastAsia="Calibri" w:hAnsi="Verdana" w:cs="Times New Roman"/>
        </w:rPr>
        <w:t>Atentamente,</w:t>
      </w:r>
    </w:p>
    <w:bookmarkEnd w:id="0"/>
    <w:bookmarkEnd w:id="1"/>
    <w:p w14:paraId="716D9F26" w14:textId="30E89031" w:rsidR="006D5BFB" w:rsidRDefault="006D5BFB" w:rsidP="006D5BFB">
      <w:pPr>
        <w:spacing w:after="0"/>
        <w:rPr>
          <w:rFonts w:ascii="Verdana" w:hAnsi="Verdana"/>
        </w:rPr>
      </w:pPr>
    </w:p>
    <w:p w14:paraId="157F64D3" w14:textId="05A7E806" w:rsidR="006D5BFB" w:rsidRDefault="001D0362" w:rsidP="006D5BFB">
      <w:pPr>
        <w:spacing w:after="0"/>
        <w:rPr>
          <w:rFonts w:ascii="Verdana" w:hAnsi="Verdana"/>
        </w:rPr>
      </w:pPr>
      <w:r>
        <w:rPr>
          <w:rFonts w:ascii="Verdana" w:hAnsi="Verdana"/>
          <w:noProof/>
          <w14:ligatures w14:val="standardContextual"/>
        </w:rPr>
        <w:drawing>
          <wp:anchor distT="0" distB="0" distL="114300" distR="114300" simplePos="0" relativeHeight="251660288" behindDoc="1" locked="0" layoutInCell="1" allowOverlap="1" wp14:anchorId="416928AC" wp14:editId="59ABD727">
            <wp:simplePos x="0" y="0"/>
            <wp:positionH relativeFrom="column">
              <wp:posOffset>1601470</wp:posOffset>
            </wp:positionH>
            <wp:positionV relativeFrom="paragraph">
              <wp:posOffset>-6594</wp:posOffset>
            </wp:positionV>
            <wp:extent cx="2947670" cy="1097280"/>
            <wp:effectExtent l="0" t="0" r="5080" b="7620"/>
            <wp:wrapTight wrapText="bothSides">
              <wp:wrapPolygon edited="0">
                <wp:start x="0" y="0"/>
                <wp:lineTo x="0" y="21375"/>
                <wp:lineTo x="21498" y="21375"/>
                <wp:lineTo x="21498" y="0"/>
                <wp:lineTo x="0" y="0"/>
              </wp:wrapPolygon>
            </wp:wrapTight>
            <wp:docPr id="1451560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60380" name="Imagen 1451560380"/>
                    <pic:cNvPicPr/>
                  </pic:nvPicPr>
                  <pic:blipFill>
                    <a:blip r:embed="rId13">
                      <a:extLst>
                        <a:ext uri="{28A0092B-C50C-407E-A947-70E740481C1C}">
                          <a14:useLocalDpi xmlns:a14="http://schemas.microsoft.com/office/drawing/2010/main" val="0"/>
                        </a:ext>
                      </a:extLst>
                    </a:blip>
                    <a:stretch>
                      <a:fillRect/>
                    </a:stretch>
                  </pic:blipFill>
                  <pic:spPr>
                    <a:xfrm>
                      <a:off x="0" y="0"/>
                      <a:ext cx="2947670" cy="1097280"/>
                    </a:xfrm>
                    <a:prstGeom prst="rect">
                      <a:avLst/>
                    </a:prstGeom>
                  </pic:spPr>
                </pic:pic>
              </a:graphicData>
            </a:graphic>
            <wp14:sizeRelH relativeFrom="margin">
              <wp14:pctWidth>0</wp14:pctWidth>
            </wp14:sizeRelH>
            <wp14:sizeRelV relativeFrom="margin">
              <wp14:pctHeight>0</wp14:pctHeight>
            </wp14:sizeRelV>
          </wp:anchor>
        </w:drawing>
      </w:r>
    </w:p>
    <w:p w14:paraId="060C8CCB" w14:textId="51856606" w:rsidR="001D0362" w:rsidRDefault="001D0362" w:rsidP="006D5BFB">
      <w:pPr>
        <w:spacing w:after="0"/>
        <w:rPr>
          <w:rFonts w:ascii="Verdana" w:hAnsi="Verdana"/>
        </w:rPr>
      </w:pPr>
    </w:p>
    <w:p w14:paraId="411523B7" w14:textId="77777777" w:rsidR="001D0362" w:rsidRDefault="001D0362" w:rsidP="006D5BFB">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5BFB" w:rsidRPr="002423D6" w14:paraId="324D3BD5" w14:textId="77777777" w:rsidTr="008D334B">
        <w:trPr>
          <w:trHeight w:val="315"/>
        </w:trPr>
        <w:tc>
          <w:tcPr>
            <w:tcW w:w="893" w:type="dxa"/>
            <w:vAlign w:val="center"/>
            <w:hideMark/>
          </w:tcPr>
          <w:p w14:paraId="534BBB68" w14:textId="77777777" w:rsidR="006D5BFB" w:rsidRPr="002423D6" w:rsidRDefault="006D5BFB" w:rsidP="008D334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1B616CEF" w14:textId="77777777" w:rsidR="006D5BFB" w:rsidRPr="002423D6" w:rsidRDefault="006D5BFB" w:rsidP="008D334B">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039CD2BD" w14:textId="77777777" w:rsidR="006D5BFB" w:rsidRPr="002423D6" w:rsidRDefault="006D5BFB" w:rsidP="008D334B">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6D5BFB" w:rsidRPr="002423D6" w14:paraId="264CD347" w14:textId="77777777" w:rsidTr="008D334B">
        <w:trPr>
          <w:trHeight w:val="330"/>
        </w:trPr>
        <w:tc>
          <w:tcPr>
            <w:tcW w:w="893" w:type="dxa"/>
            <w:vAlign w:val="center"/>
            <w:hideMark/>
          </w:tcPr>
          <w:p w14:paraId="57FD236F" w14:textId="77777777" w:rsidR="006D5BFB" w:rsidRPr="002423D6" w:rsidRDefault="006D5BFB" w:rsidP="008D334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54536FD" w14:textId="77777777" w:rsidR="006D5BFB" w:rsidRPr="002423D6" w:rsidRDefault="006D5BFB" w:rsidP="008D334B">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Rodríguez </w:t>
            </w:r>
          </w:p>
          <w:p w14:paraId="6B5B3D55" w14:textId="77777777" w:rsidR="006D5BFB" w:rsidRPr="002423D6" w:rsidRDefault="006D5BFB" w:rsidP="008D334B">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6D5BFB" w:rsidRPr="002423D6" w14:paraId="1B212EF8" w14:textId="77777777" w:rsidTr="008D334B">
        <w:trPr>
          <w:trHeight w:val="300"/>
        </w:trPr>
        <w:tc>
          <w:tcPr>
            <w:tcW w:w="893" w:type="dxa"/>
            <w:vAlign w:val="center"/>
          </w:tcPr>
          <w:p w14:paraId="6C5205C2" w14:textId="77777777" w:rsidR="006D5BFB" w:rsidRPr="002423D6" w:rsidRDefault="006D5BFB" w:rsidP="008D334B">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1B3E1CF" w14:textId="77777777" w:rsidR="006D5BFB" w:rsidRPr="002423D6" w:rsidRDefault="006D5BFB" w:rsidP="008D334B">
            <w:pPr>
              <w:contextualSpacing/>
              <w:rPr>
                <w:rFonts w:ascii="Verdana" w:eastAsia="Calibri" w:hAnsi="Verdana" w:cs="Arial"/>
                <w:color w:val="000000" w:themeColor="text1"/>
                <w:sz w:val="16"/>
                <w:szCs w:val="16"/>
                <w:lang w:val="pt-BR" w:eastAsia="es-ES"/>
              </w:rPr>
            </w:pPr>
            <w:r>
              <w:rPr>
                <w:rFonts w:ascii="Verdana" w:eastAsia="Calibri" w:hAnsi="Verdana" w:cs="Arial"/>
                <w:color w:val="000000" w:themeColor="text1"/>
                <w:sz w:val="16"/>
                <w:szCs w:val="16"/>
                <w:lang w:val="pt-BR" w:eastAsia="es-ES"/>
              </w:rPr>
              <w:t xml:space="preserve">William Javier Murcia </w:t>
            </w:r>
            <w:proofErr w:type="spellStart"/>
            <w:r>
              <w:rPr>
                <w:rFonts w:ascii="Verdana" w:eastAsia="Calibri" w:hAnsi="Verdana" w:cs="Arial"/>
                <w:color w:val="000000" w:themeColor="text1"/>
                <w:sz w:val="16"/>
                <w:szCs w:val="16"/>
                <w:lang w:val="pt-BR" w:eastAsia="es-ES"/>
              </w:rPr>
              <w:t>Acevedo</w:t>
            </w:r>
            <w:proofErr w:type="spellEnd"/>
          </w:p>
          <w:p w14:paraId="0CEA7F45" w14:textId="77777777" w:rsidR="006D5BFB" w:rsidRPr="002423D6" w:rsidRDefault="006D5BFB" w:rsidP="008D334B">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w:t>
            </w:r>
            <w:r>
              <w:rPr>
                <w:rFonts w:ascii="Verdana" w:eastAsia="Calibri" w:hAnsi="Verdana" w:cs="Arial"/>
                <w:color w:val="000000" w:themeColor="text1"/>
                <w:sz w:val="16"/>
                <w:szCs w:val="16"/>
                <w:lang w:val="pt-BR" w:eastAsia="es-ES"/>
              </w:rPr>
              <w:t>(E)</w:t>
            </w:r>
            <w:r w:rsidRPr="002423D6">
              <w:rPr>
                <w:rFonts w:ascii="Verdana" w:eastAsia="Calibri" w:hAnsi="Verdana" w:cs="Arial"/>
                <w:color w:val="000000" w:themeColor="text1"/>
                <w:sz w:val="16"/>
                <w:szCs w:val="16"/>
                <w:lang w:val="pt-BR" w:eastAsia="es-ES"/>
              </w:rPr>
              <w:t>ANCP – CCE</w:t>
            </w:r>
          </w:p>
        </w:tc>
      </w:tr>
    </w:tbl>
    <w:p w14:paraId="63139CB5" w14:textId="77777777" w:rsidR="006D5BFB" w:rsidRPr="0069505A" w:rsidRDefault="006D5BFB" w:rsidP="006D5BFB"/>
    <w:p w14:paraId="026FC9F0" w14:textId="77777777" w:rsidR="006D5BFB" w:rsidRPr="006C6A36" w:rsidRDefault="006D5BFB" w:rsidP="006D5BFB"/>
    <w:p w14:paraId="15A2AB2C" w14:textId="77777777" w:rsidR="006D5BFB" w:rsidRDefault="006D5BFB" w:rsidP="006D5BFB"/>
    <w:p w14:paraId="74D745E1" w14:textId="77777777" w:rsidR="000F5A42" w:rsidRDefault="000F5A42"/>
    <w:sectPr w:rsidR="000F5A42" w:rsidSect="006D5BFB">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370DC" w14:textId="77777777" w:rsidR="000B293D" w:rsidRDefault="000B293D" w:rsidP="006D5BFB">
      <w:pPr>
        <w:spacing w:after="0" w:line="240" w:lineRule="auto"/>
      </w:pPr>
      <w:r>
        <w:separator/>
      </w:r>
    </w:p>
  </w:endnote>
  <w:endnote w:type="continuationSeparator" w:id="0">
    <w:p w14:paraId="3DA98829" w14:textId="77777777" w:rsidR="000B293D" w:rsidRDefault="000B293D" w:rsidP="006D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FC68" w14:textId="77777777" w:rsidR="006D5BFB" w:rsidRDefault="006D5BFB">
    <w:pPr>
      <w:pStyle w:val="Piedepgina"/>
    </w:pPr>
  </w:p>
  <w:p w14:paraId="42B0EB49" w14:textId="77777777" w:rsidR="006D5BFB" w:rsidRPr="00174B77" w:rsidRDefault="006D5BF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83F30A1" w14:textId="77777777" w:rsidR="006D5BFB" w:rsidRDefault="006D5BF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B39538C" w14:textId="77777777" w:rsidR="006D5BFB" w:rsidRPr="00E41027" w:rsidRDefault="006D5BFB" w:rsidP="00D520D8">
    <w:pPr>
      <w:spacing w:after="0"/>
      <w:jc w:val="both"/>
      <w:rPr>
        <w:rFonts w:ascii="Verdana" w:hAnsi="Verdana"/>
        <w:sz w:val="18"/>
        <w:szCs w:val="18"/>
      </w:rPr>
    </w:pPr>
    <w:r w:rsidRPr="00E41027">
      <w:rPr>
        <w:rFonts w:ascii="Verdana" w:hAnsi="Verdana"/>
        <w:sz w:val="18"/>
        <w:szCs w:val="18"/>
      </w:rPr>
      <w:t>Mesa de servicio: (+57) 601 7456788</w:t>
    </w:r>
  </w:p>
  <w:p w14:paraId="71471180" w14:textId="77777777" w:rsidR="006D5BFB" w:rsidRDefault="006D5BFB"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7195" w14:textId="77777777" w:rsidR="000B293D" w:rsidRDefault="000B293D" w:rsidP="006D5BFB">
      <w:pPr>
        <w:spacing w:after="0" w:line="240" w:lineRule="auto"/>
      </w:pPr>
      <w:r>
        <w:separator/>
      </w:r>
    </w:p>
  </w:footnote>
  <w:footnote w:type="continuationSeparator" w:id="0">
    <w:p w14:paraId="7E990473" w14:textId="77777777" w:rsidR="000B293D" w:rsidRDefault="000B293D" w:rsidP="006D5BFB">
      <w:pPr>
        <w:spacing w:after="0" w:line="240" w:lineRule="auto"/>
      </w:pPr>
      <w:r>
        <w:continuationSeparator/>
      </w:r>
    </w:p>
  </w:footnote>
  <w:footnote w:id="1">
    <w:p w14:paraId="28000443"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17 de la Ley 1150 de 2007.</w:t>
      </w:r>
    </w:p>
    <w:p w14:paraId="23B05290" w14:textId="77777777" w:rsidR="0040524F" w:rsidRPr="002010B2" w:rsidRDefault="0040524F" w:rsidP="0040524F">
      <w:pPr>
        <w:pStyle w:val="Textonotapie"/>
        <w:ind w:firstLine="709"/>
        <w:jc w:val="both"/>
        <w:rPr>
          <w:rFonts w:ascii="Verdana" w:hAnsi="Verdana"/>
          <w:sz w:val="16"/>
          <w:szCs w:val="16"/>
        </w:rPr>
      </w:pPr>
    </w:p>
  </w:footnote>
  <w:footnote w:id="2">
    <w:p w14:paraId="6E14B930"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21 de la Ley 1150 de 2007.</w:t>
      </w:r>
    </w:p>
    <w:p w14:paraId="2C11654B" w14:textId="77777777" w:rsidR="0040524F" w:rsidRPr="002010B2" w:rsidRDefault="0040524F" w:rsidP="0040524F">
      <w:pPr>
        <w:pStyle w:val="Textonotapie"/>
        <w:ind w:firstLine="709"/>
        <w:jc w:val="both"/>
        <w:rPr>
          <w:rFonts w:ascii="Verdana" w:hAnsi="Verdana"/>
          <w:sz w:val="16"/>
          <w:szCs w:val="16"/>
        </w:rPr>
      </w:pPr>
    </w:p>
  </w:footnote>
  <w:footnote w:id="3">
    <w:p w14:paraId="3267B5A7"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Artículos 83 a 86 de la Ley 1474 de 2011.</w:t>
      </w:r>
    </w:p>
    <w:p w14:paraId="4FB0A57A" w14:textId="77777777" w:rsidR="0040524F" w:rsidRPr="002010B2" w:rsidRDefault="0040524F" w:rsidP="0040524F">
      <w:pPr>
        <w:pStyle w:val="Textonotapie"/>
        <w:ind w:firstLine="709"/>
        <w:jc w:val="both"/>
        <w:rPr>
          <w:rFonts w:ascii="Verdana" w:hAnsi="Verdana"/>
          <w:sz w:val="16"/>
          <w:szCs w:val="16"/>
        </w:rPr>
      </w:pPr>
    </w:p>
  </w:footnote>
  <w:footnote w:id="4">
    <w:p w14:paraId="46C9230B"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Consejo de Estado. Sección 3ª. Sentencia del 27 de noviembre de 2017. M.P. Jaime Orlando Santofimio. </w:t>
      </w:r>
      <w:proofErr w:type="spellStart"/>
      <w:r w:rsidRPr="002010B2">
        <w:rPr>
          <w:rFonts w:ascii="Verdana" w:hAnsi="Verdana"/>
          <w:sz w:val="16"/>
          <w:szCs w:val="16"/>
        </w:rPr>
        <w:t>Exp</w:t>
      </w:r>
      <w:proofErr w:type="spellEnd"/>
      <w:r w:rsidRPr="002010B2">
        <w:rPr>
          <w:rFonts w:ascii="Verdana" w:hAnsi="Verdana"/>
          <w:sz w:val="16"/>
          <w:szCs w:val="16"/>
        </w:rPr>
        <w:t>. 51.802.</w:t>
      </w:r>
    </w:p>
    <w:p w14:paraId="2D524227" w14:textId="77777777" w:rsidR="0040524F" w:rsidRPr="00A86D07" w:rsidRDefault="0040524F" w:rsidP="0040524F">
      <w:pPr>
        <w:pStyle w:val="Textonotapie"/>
        <w:ind w:firstLine="709"/>
        <w:jc w:val="both"/>
        <w:rPr>
          <w:rFonts w:ascii="Verdana" w:hAnsi="Verdana"/>
          <w:sz w:val="14"/>
          <w:szCs w:val="14"/>
        </w:rPr>
      </w:pPr>
    </w:p>
  </w:footnote>
  <w:footnote w:id="5">
    <w:p w14:paraId="47C08DE3"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83 de la Ley 1474 de 2011.</w:t>
      </w:r>
    </w:p>
    <w:p w14:paraId="41100E63" w14:textId="77777777" w:rsidR="0040524F" w:rsidRPr="002010B2" w:rsidRDefault="0040524F" w:rsidP="0040524F">
      <w:pPr>
        <w:pStyle w:val="Textonotapie"/>
        <w:ind w:firstLine="709"/>
        <w:jc w:val="both"/>
        <w:rPr>
          <w:rFonts w:ascii="Verdana" w:hAnsi="Verdana"/>
          <w:sz w:val="16"/>
          <w:szCs w:val="16"/>
        </w:rPr>
      </w:pPr>
    </w:p>
  </w:footnote>
  <w:footnote w:id="6">
    <w:p w14:paraId="2004CC66" w14:textId="77777777" w:rsidR="0040524F" w:rsidRPr="002010B2" w:rsidRDefault="0040524F" w:rsidP="0040524F">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 excepción de la interventoría del contrato de obra adjudicado por licitación pública que es obligatoria según el numeral 1° del artículo 32 de la Ley 80 de 1993.</w:t>
      </w:r>
    </w:p>
    <w:p w14:paraId="73223620" w14:textId="77777777" w:rsidR="0040524F" w:rsidRPr="00A86D07" w:rsidRDefault="0040524F" w:rsidP="0040524F">
      <w:pPr>
        <w:pStyle w:val="Textonotapie"/>
        <w:ind w:firstLine="709"/>
        <w:jc w:val="both"/>
        <w:rPr>
          <w:rFonts w:ascii="Verdana" w:hAnsi="Verdana"/>
          <w:sz w:val="14"/>
          <w:szCs w:val="14"/>
        </w:rPr>
      </w:pPr>
    </w:p>
  </w:footnote>
  <w:footnote w:id="7">
    <w:p w14:paraId="02835800"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En las Gacetas Nos. 607 y 784 de 2010, en las páginas 12 y 24, respectivamente, se da cuenta de esto.</w:t>
      </w:r>
    </w:p>
    <w:p w14:paraId="03D39A8C" w14:textId="77777777" w:rsidR="0040524F" w:rsidRPr="002010B2" w:rsidRDefault="0040524F" w:rsidP="0040524F">
      <w:pPr>
        <w:pStyle w:val="Textonotapie"/>
        <w:ind w:firstLine="709"/>
        <w:jc w:val="both"/>
        <w:rPr>
          <w:rFonts w:ascii="Verdana" w:hAnsi="Verdana" w:cs="Arial"/>
          <w:color w:val="000000"/>
          <w:sz w:val="16"/>
          <w:szCs w:val="16"/>
        </w:rPr>
      </w:pPr>
    </w:p>
  </w:footnote>
  <w:footnote w:id="8">
    <w:p w14:paraId="67DC9638"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 en las páginas 44 y 13, respectivamente.</w:t>
      </w:r>
    </w:p>
  </w:footnote>
  <w:footnote w:id="9">
    <w:p w14:paraId="147BDD5F" w14:textId="77777777" w:rsidR="0040524F" w:rsidRPr="002010B2" w:rsidRDefault="0040524F" w:rsidP="0040524F">
      <w:pPr>
        <w:pStyle w:val="Textonotapie"/>
        <w:ind w:firstLine="709"/>
        <w:jc w:val="both"/>
        <w:rPr>
          <w:rFonts w:ascii="Verdana" w:hAnsi="Verdana" w:cs="Arial"/>
          <w:color w:val="000000"/>
          <w:sz w:val="16"/>
          <w:szCs w:val="16"/>
        </w:rPr>
      </w:pPr>
    </w:p>
    <w:p w14:paraId="6EE83371"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019 de 2011, en la página 17.</w:t>
      </w:r>
    </w:p>
  </w:footnote>
  <w:footnote w:id="10">
    <w:p w14:paraId="5D0A5D27" w14:textId="77777777" w:rsidR="0040524F" w:rsidRPr="002010B2" w:rsidRDefault="0040524F" w:rsidP="0040524F">
      <w:pPr>
        <w:pStyle w:val="Textonotapie"/>
        <w:ind w:firstLine="709"/>
        <w:jc w:val="both"/>
        <w:rPr>
          <w:rFonts w:ascii="Verdana" w:hAnsi="Verdana" w:cs="Arial"/>
          <w:color w:val="000000"/>
          <w:sz w:val="16"/>
          <w:szCs w:val="16"/>
        </w:rPr>
      </w:pPr>
    </w:p>
    <w:p w14:paraId="71A4789B"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128 de 2011, en la página 20.</w:t>
      </w:r>
    </w:p>
  </w:footnote>
  <w:footnote w:id="11">
    <w:p w14:paraId="4DB3D189" w14:textId="77777777" w:rsidR="0040524F" w:rsidRPr="002010B2" w:rsidRDefault="0040524F" w:rsidP="0040524F">
      <w:pPr>
        <w:pStyle w:val="Textonotapie"/>
        <w:ind w:firstLine="709"/>
        <w:jc w:val="both"/>
        <w:rPr>
          <w:rFonts w:ascii="Verdana" w:hAnsi="Verdana" w:cs="Arial"/>
          <w:color w:val="000000"/>
          <w:sz w:val="16"/>
          <w:szCs w:val="16"/>
        </w:rPr>
      </w:pPr>
    </w:p>
    <w:p w14:paraId="067A5F19"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258 de 2011, en la página 16.</w:t>
      </w:r>
    </w:p>
  </w:footnote>
  <w:footnote w:id="12">
    <w:p w14:paraId="1F9EEBE5" w14:textId="77777777" w:rsidR="0040524F" w:rsidRPr="002010B2" w:rsidRDefault="0040524F" w:rsidP="0040524F">
      <w:pPr>
        <w:pStyle w:val="Textonotapie"/>
        <w:ind w:firstLine="709"/>
        <w:jc w:val="both"/>
        <w:rPr>
          <w:rFonts w:ascii="Verdana" w:hAnsi="Verdana" w:cs="Arial"/>
          <w:color w:val="000000"/>
          <w:sz w:val="16"/>
          <w:szCs w:val="16"/>
        </w:rPr>
      </w:pPr>
    </w:p>
    <w:p w14:paraId="2ECC714E"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w:t>
      </w:r>
    </w:p>
    <w:p w14:paraId="74239141" w14:textId="77777777" w:rsidR="0040524F" w:rsidRPr="00A86D07" w:rsidRDefault="0040524F" w:rsidP="0040524F">
      <w:pPr>
        <w:pStyle w:val="Textonotapie"/>
        <w:ind w:firstLine="709"/>
        <w:jc w:val="both"/>
        <w:rPr>
          <w:rFonts w:ascii="Verdana" w:hAnsi="Verdana" w:cs="Arial"/>
          <w:color w:val="000000"/>
          <w:sz w:val="14"/>
          <w:szCs w:val="14"/>
        </w:rPr>
      </w:pPr>
    </w:p>
  </w:footnote>
  <w:footnote w:id="13">
    <w:p w14:paraId="1388553D"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Consejo de Estado, Sección Tercera, Subsección A. Radicado No. 27426. C.P. Ramiro Pazos Guerrero.</w:t>
      </w:r>
    </w:p>
    <w:p w14:paraId="703ACAEA" w14:textId="77777777" w:rsidR="0040524F" w:rsidRPr="00A86D07" w:rsidRDefault="0040524F" w:rsidP="0040524F">
      <w:pPr>
        <w:pStyle w:val="Textonotapie"/>
        <w:ind w:firstLine="709"/>
        <w:jc w:val="both"/>
        <w:rPr>
          <w:rFonts w:ascii="Verdana" w:hAnsi="Verdana" w:cs="Arial"/>
          <w:color w:val="000000"/>
          <w:sz w:val="14"/>
          <w:szCs w:val="14"/>
        </w:rPr>
      </w:pPr>
    </w:p>
  </w:footnote>
  <w:footnote w:id="14">
    <w:p w14:paraId="1A877755" w14:textId="77777777" w:rsidR="0040524F" w:rsidRPr="002010B2" w:rsidRDefault="0040524F" w:rsidP="0040524F">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w:t>
      </w:r>
      <w:proofErr w:type="spellStart"/>
      <w:r w:rsidRPr="002010B2">
        <w:rPr>
          <w:rFonts w:ascii="Verdana" w:hAnsi="Verdana" w:cs="Arial"/>
          <w:color w:val="000000"/>
          <w:sz w:val="16"/>
          <w:szCs w:val="16"/>
        </w:rPr>
        <w:t>noa</w:t>
      </w:r>
      <w:proofErr w:type="spellEnd"/>
      <w:r w:rsidRPr="002010B2">
        <w:rPr>
          <w:rFonts w:ascii="Verdana" w:hAnsi="Verdana" w:cs="Arial"/>
          <w:color w:val="000000"/>
          <w:sz w:val="16"/>
          <w:szCs w:val="16"/>
        </w:rPr>
        <w:t xml:space="preserve">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p w14:paraId="59F9C953" w14:textId="77777777" w:rsidR="0040524F" w:rsidRPr="00A86D07" w:rsidRDefault="0040524F" w:rsidP="0040524F">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F2DB" w14:textId="77777777" w:rsidR="006D5BFB" w:rsidRDefault="006D5BF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486CDE9" wp14:editId="5296426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97F472E" wp14:editId="52DAAC0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F048955" w14:textId="77777777" w:rsidR="006D5BFB" w:rsidRDefault="006D5BFB">
    <w:pPr>
      <w:pStyle w:val="Encabezado"/>
    </w:pPr>
  </w:p>
  <w:p w14:paraId="6C15708C" w14:textId="77777777" w:rsidR="006D5BFB" w:rsidRPr="004A305D" w:rsidRDefault="006D5BFB" w:rsidP="00B01B1A">
    <w:pPr>
      <w:spacing w:after="0" w:line="120" w:lineRule="auto"/>
      <w:rPr>
        <w:rFonts w:ascii="Century Gothic" w:eastAsia="Geo" w:hAnsi="Century Gothic" w:cs="Geo"/>
        <w:sz w:val="16"/>
        <w:szCs w:val="16"/>
        <w:lang w:eastAsia="es-CO"/>
      </w:rPr>
    </w:pPr>
  </w:p>
  <w:p w14:paraId="0D8B8FA4" w14:textId="77777777" w:rsidR="006D5BFB" w:rsidRDefault="006D5BFB" w:rsidP="00844AE9">
    <w:pPr>
      <w:spacing w:after="0" w:line="240" w:lineRule="auto"/>
      <w:rPr>
        <w:rFonts w:ascii="Verdana" w:hAnsi="Verdana"/>
        <w:sz w:val="24"/>
        <w:szCs w:val="24"/>
      </w:rPr>
    </w:pPr>
  </w:p>
  <w:p w14:paraId="3E1245E5" w14:textId="77777777" w:rsidR="006D5BFB" w:rsidRPr="00C925AC" w:rsidRDefault="006D5BFB" w:rsidP="00844AE9">
    <w:pPr>
      <w:spacing w:after="0" w:line="240" w:lineRule="auto"/>
      <w:rPr>
        <w:rFonts w:ascii="Verdana" w:hAnsi="Verdana"/>
        <w:sz w:val="24"/>
        <w:szCs w:val="24"/>
      </w:rPr>
    </w:pPr>
  </w:p>
  <w:p w14:paraId="5E102853" w14:textId="77777777" w:rsidR="006D5BFB" w:rsidRPr="00C925AC" w:rsidRDefault="006D5BF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021395840">
    <w:abstractNumId w:val="3"/>
  </w:num>
  <w:num w:numId="2" w16cid:durableId="1178156914">
    <w:abstractNumId w:val="0"/>
  </w:num>
  <w:num w:numId="3" w16cid:durableId="679089576">
    <w:abstractNumId w:val="1"/>
  </w:num>
  <w:num w:numId="4" w16cid:durableId="976952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FB"/>
    <w:rsid w:val="000142EF"/>
    <w:rsid w:val="000429E4"/>
    <w:rsid w:val="0008303B"/>
    <w:rsid w:val="000B293D"/>
    <w:rsid w:val="000E7C6E"/>
    <w:rsid w:val="000F5A42"/>
    <w:rsid w:val="00130E22"/>
    <w:rsid w:val="00151D5D"/>
    <w:rsid w:val="00176C51"/>
    <w:rsid w:val="001D0362"/>
    <w:rsid w:val="002116ED"/>
    <w:rsid w:val="00237353"/>
    <w:rsid w:val="002526D2"/>
    <w:rsid w:val="002674AB"/>
    <w:rsid w:val="002D1CB1"/>
    <w:rsid w:val="002E167D"/>
    <w:rsid w:val="00396F43"/>
    <w:rsid w:val="003A00EF"/>
    <w:rsid w:val="003F3FCA"/>
    <w:rsid w:val="0040524F"/>
    <w:rsid w:val="004418C0"/>
    <w:rsid w:val="00447BFE"/>
    <w:rsid w:val="0050060B"/>
    <w:rsid w:val="005148F8"/>
    <w:rsid w:val="005424CA"/>
    <w:rsid w:val="00580731"/>
    <w:rsid w:val="005B1DE8"/>
    <w:rsid w:val="006111A8"/>
    <w:rsid w:val="006C2D45"/>
    <w:rsid w:val="006D5BFB"/>
    <w:rsid w:val="00714A46"/>
    <w:rsid w:val="00734815"/>
    <w:rsid w:val="00793BD4"/>
    <w:rsid w:val="007F6DE8"/>
    <w:rsid w:val="00830689"/>
    <w:rsid w:val="008645C3"/>
    <w:rsid w:val="00866119"/>
    <w:rsid w:val="00945C48"/>
    <w:rsid w:val="00A12218"/>
    <w:rsid w:val="00A40683"/>
    <w:rsid w:val="00A90678"/>
    <w:rsid w:val="00AB6AE0"/>
    <w:rsid w:val="00AE6E20"/>
    <w:rsid w:val="00AE787E"/>
    <w:rsid w:val="00B2556F"/>
    <w:rsid w:val="00B66920"/>
    <w:rsid w:val="00B66ED5"/>
    <w:rsid w:val="00B94DD2"/>
    <w:rsid w:val="00BC15F4"/>
    <w:rsid w:val="00BD7B57"/>
    <w:rsid w:val="00BF412D"/>
    <w:rsid w:val="00C306D2"/>
    <w:rsid w:val="00C66D75"/>
    <w:rsid w:val="00C756A9"/>
    <w:rsid w:val="00CA1F54"/>
    <w:rsid w:val="00E14331"/>
    <w:rsid w:val="00EC464E"/>
    <w:rsid w:val="00F27C9D"/>
    <w:rsid w:val="00F357D9"/>
    <w:rsid w:val="00FB376B"/>
    <w:rsid w:val="00FC5251"/>
    <w:rsid w:val="00FF0E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47F8"/>
  <w15:chartTrackingRefBased/>
  <w15:docId w15:val="{E4064128-9210-46B6-ADB3-533F5335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BFB"/>
    <w:rPr>
      <w:kern w:val="0"/>
      <w14:ligatures w14:val="none"/>
    </w:rPr>
  </w:style>
  <w:style w:type="paragraph" w:styleId="Ttulo1">
    <w:name w:val="heading 1"/>
    <w:basedOn w:val="Normal"/>
    <w:next w:val="Normal"/>
    <w:link w:val="Ttulo1Car"/>
    <w:uiPriority w:val="9"/>
    <w:qFormat/>
    <w:rsid w:val="006D5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5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5B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5B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5B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5B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5B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5B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5BF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5B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5B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5B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5B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5B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5B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5B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5B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5BFB"/>
    <w:rPr>
      <w:rFonts w:eastAsiaTheme="majorEastAsia" w:cstheme="majorBidi"/>
      <w:color w:val="272727" w:themeColor="text1" w:themeTint="D8"/>
    </w:rPr>
  </w:style>
  <w:style w:type="paragraph" w:styleId="Ttulo">
    <w:name w:val="Title"/>
    <w:basedOn w:val="Normal"/>
    <w:next w:val="Normal"/>
    <w:link w:val="TtuloCar"/>
    <w:uiPriority w:val="10"/>
    <w:qFormat/>
    <w:rsid w:val="006D5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5B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5B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5B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5BFB"/>
    <w:pPr>
      <w:spacing w:before="160"/>
      <w:jc w:val="center"/>
    </w:pPr>
    <w:rPr>
      <w:i/>
      <w:iCs/>
      <w:color w:val="404040" w:themeColor="text1" w:themeTint="BF"/>
    </w:rPr>
  </w:style>
  <w:style w:type="character" w:customStyle="1" w:styleId="CitaCar">
    <w:name w:val="Cita Car"/>
    <w:basedOn w:val="Fuentedeprrafopredeter"/>
    <w:link w:val="Cita"/>
    <w:uiPriority w:val="29"/>
    <w:rsid w:val="006D5BF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6D5BFB"/>
    <w:pPr>
      <w:ind w:left="720"/>
      <w:contextualSpacing/>
    </w:pPr>
  </w:style>
  <w:style w:type="character" w:styleId="nfasisintenso">
    <w:name w:val="Intense Emphasis"/>
    <w:basedOn w:val="Fuentedeprrafopredeter"/>
    <w:uiPriority w:val="21"/>
    <w:qFormat/>
    <w:rsid w:val="006D5BFB"/>
    <w:rPr>
      <w:i/>
      <w:iCs/>
      <w:color w:val="0F4761" w:themeColor="accent1" w:themeShade="BF"/>
    </w:rPr>
  </w:style>
  <w:style w:type="paragraph" w:styleId="Citadestacada">
    <w:name w:val="Intense Quote"/>
    <w:basedOn w:val="Normal"/>
    <w:next w:val="Normal"/>
    <w:link w:val="CitadestacadaCar"/>
    <w:uiPriority w:val="30"/>
    <w:qFormat/>
    <w:rsid w:val="006D5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5BFB"/>
    <w:rPr>
      <w:i/>
      <w:iCs/>
      <w:color w:val="0F4761" w:themeColor="accent1" w:themeShade="BF"/>
    </w:rPr>
  </w:style>
  <w:style w:type="character" w:styleId="Referenciaintensa">
    <w:name w:val="Intense Reference"/>
    <w:basedOn w:val="Fuentedeprrafopredeter"/>
    <w:uiPriority w:val="32"/>
    <w:qFormat/>
    <w:rsid w:val="006D5BFB"/>
    <w:rPr>
      <w:b/>
      <w:bCs/>
      <w:smallCaps/>
      <w:color w:val="0F4761" w:themeColor="accent1" w:themeShade="BF"/>
      <w:spacing w:val="5"/>
    </w:rPr>
  </w:style>
  <w:style w:type="paragraph" w:styleId="Encabezado">
    <w:name w:val="header"/>
    <w:basedOn w:val="Normal"/>
    <w:link w:val="EncabezadoCar"/>
    <w:uiPriority w:val="99"/>
    <w:unhideWhenUsed/>
    <w:rsid w:val="006D5B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D5BFB"/>
    <w:rPr>
      <w:kern w:val="0"/>
      <w14:ligatures w14:val="none"/>
    </w:rPr>
  </w:style>
  <w:style w:type="paragraph" w:styleId="Piedepgina">
    <w:name w:val="footer"/>
    <w:basedOn w:val="Normal"/>
    <w:link w:val="PiedepginaCar"/>
    <w:uiPriority w:val="99"/>
    <w:unhideWhenUsed/>
    <w:rsid w:val="006D5B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D5BF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D5BF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D5BF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D5BF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D5BFB"/>
    <w:rPr>
      <w:vertAlign w:val="superscript"/>
    </w:rPr>
  </w:style>
  <w:style w:type="character" w:customStyle="1" w:styleId="normaltextrun">
    <w:name w:val="normaltextrun"/>
    <w:basedOn w:val="Fuentedeprrafopredeter"/>
    <w:rsid w:val="006D5BFB"/>
  </w:style>
  <w:style w:type="table" w:styleId="Tablaconcuadrcula">
    <w:name w:val="Table Grid"/>
    <w:basedOn w:val="Tablanormal"/>
    <w:uiPriority w:val="39"/>
    <w:qFormat/>
    <w:rsid w:val="006D5B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D5BFB"/>
    <w:rPr>
      <w:color w:val="0000FF"/>
      <w:u w:val="single"/>
    </w:rPr>
  </w:style>
  <w:style w:type="paragraph" w:customStyle="1" w:styleId="paragraph">
    <w:name w:val="paragraph"/>
    <w:basedOn w:val="Normal"/>
    <w:rsid w:val="006D5BF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6D5BFB"/>
  </w:style>
  <w:style w:type="paragraph" w:styleId="NormalWeb">
    <w:name w:val="Normal (Web)"/>
    <w:basedOn w:val="Normal"/>
    <w:link w:val="NormalWebCar"/>
    <w:uiPriority w:val="99"/>
    <w:unhideWhenUsed/>
    <w:rsid w:val="006D5BF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D5BF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5BFB"/>
  </w:style>
  <w:style w:type="character" w:customStyle="1" w:styleId="NormalWebCar">
    <w:name w:val="Normal (Web) Car"/>
    <w:link w:val="NormalWeb"/>
    <w:uiPriority w:val="99"/>
    <w:locked/>
    <w:rsid w:val="006D5BFB"/>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6D5BFB"/>
    <w:rPr>
      <w:color w:val="605E5C"/>
      <w:shd w:val="clear" w:color="auto" w:fill="E1DFDD"/>
    </w:rPr>
  </w:style>
  <w:style w:type="character" w:customStyle="1" w:styleId="s15">
    <w:name w:val="s15"/>
    <w:basedOn w:val="Fuentedeprrafopredeter"/>
    <w:rsid w:val="0086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quintero@minenergia.gov.co"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B0C7F9-F87D-4A90-B429-4C8031286B6E}"/>
</file>

<file path=customXml/itemProps2.xml><?xml version="1.0" encoding="utf-8"?>
<ds:datastoreItem xmlns:ds="http://schemas.openxmlformats.org/officeDocument/2006/customXml" ds:itemID="{AB3D5149-1744-431E-828F-3299C4B8FDF7}"/>
</file>

<file path=customXml/itemProps3.xml><?xml version="1.0" encoding="utf-8"?>
<ds:datastoreItem xmlns:ds="http://schemas.openxmlformats.org/officeDocument/2006/customXml" ds:itemID="{DDE3E942-2485-415D-BA36-BCA111C96CFC}"/>
</file>

<file path=docProps/app.xml><?xml version="1.0" encoding="utf-8"?>
<Properties xmlns="http://schemas.openxmlformats.org/officeDocument/2006/extended-properties" xmlns:vt="http://schemas.openxmlformats.org/officeDocument/2006/docPropsVTypes">
  <Template>Normal</Template>
  <TotalTime>399</TotalTime>
  <Pages>20</Pages>
  <Words>6447</Words>
  <Characters>35460</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51</cp:revision>
  <dcterms:created xsi:type="dcterms:W3CDTF">2026-10-22T15:06:00Z</dcterms:created>
  <dcterms:modified xsi:type="dcterms:W3CDTF">2026-10-27T12:50:00Z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