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72E71" w14:textId="77A583B1" w:rsidR="0085000D" w:rsidRPr="0052017B" w:rsidRDefault="0085000D" w:rsidP="0085000D">
      <w:pPr>
        <w:spacing w:after="0" w:line="240" w:lineRule="auto"/>
        <w:jc w:val="both"/>
      </w:pPr>
      <w:r w:rsidRPr="7E065F2B">
        <w:rPr>
          <w:rFonts w:ascii="Verdana" w:eastAsia="Calibri" w:hAnsi="Verdana" w:cs="Arial"/>
          <w:b/>
          <w:bCs/>
          <w:sz w:val="20"/>
          <w:szCs w:val="20"/>
          <w:lang w:val="es-MX"/>
        </w:rPr>
        <w:t xml:space="preserve">                                                                                                                                                                                                 </w:t>
      </w:r>
      <w:r w:rsidRPr="004A13BA">
        <w:rPr>
          <w:rFonts w:ascii="Verdana" w:eastAsia="Calibri" w:hAnsi="Verdana" w:cs="Arial"/>
          <w:b/>
          <w:bCs/>
          <w:lang w:val="es-MX"/>
        </w:rPr>
        <w:t>PRINCIPIO DE SELECCIÓN OBJETIVA – Alcance</w:t>
      </w:r>
    </w:p>
    <w:p w14:paraId="0BAD8018" w14:textId="77777777" w:rsidR="0085000D" w:rsidRPr="004A13BA" w:rsidRDefault="0085000D" w:rsidP="0085000D">
      <w:pPr>
        <w:spacing w:after="0" w:line="240" w:lineRule="auto"/>
        <w:jc w:val="both"/>
        <w:rPr>
          <w:rFonts w:ascii="Verdana" w:eastAsia="Calibri" w:hAnsi="Verdana" w:cs="Arial"/>
          <w:b/>
          <w:sz w:val="20"/>
          <w:szCs w:val="20"/>
          <w:lang w:val="es-MX"/>
        </w:rPr>
      </w:pPr>
    </w:p>
    <w:p w14:paraId="1A17C06F" w14:textId="77777777" w:rsidR="0085000D" w:rsidRPr="004A13BA" w:rsidRDefault="0085000D" w:rsidP="0085000D">
      <w:pPr>
        <w:spacing w:after="0" w:line="240" w:lineRule="auto"/>
        <w:jc w:val="both"/>
        <w:rPr>
          <w:rFonts w:ascii="Verdana" w:eastAsia="Calibri" w:hAnsi="Verdana" w:cs="Arial"/>
          <w:color w:val="000000" w:themeColor="text1"/>
          <w:sz w:val="20"/>
          <w:szCs w:val="20"/>
          <w:lang w:val="es-ES"/>
        </w:rPr>
      </w:pPr>
      <w:r w:rsidRPr="7E065F2B">
        <w:rPr>
          <w:rFonts w:ascii="Verdana" w:eastAsia="Calibri" w:hAnsi="Verdana" w:cs="Arial"/>
          <w:color w:val="000000" w:themeColor="text1"/>
          <w:sz w:val="20"/>
          <w:szCs w:val="20"/>
          <w:lang w:val="es-ES"/>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7E065F2B">
        <w:rPr>
          <w:rFonts w:ascii="Verdana" w:eastAsia="Calibri" w:hAnsi="Verdana" w:cs="Arial"/>
          <w:color w:val="000000" w:themeColor="text1"/>
          <w:sz w:val="20"/>
          <w:szCs w:val="20"/>
          <w:lang w:val="es-ES"/>
        </w:rPr>
        <w:t>equivalentes,</w:t>
      </w:r>
      <w:proofErr w:type="gramEnd"/>
      <w:r w:rsidRPr="7E065F2B">
        <w:rPr>
          <w:rFonts w:ascii="Verdana" w:eastAsia="Calibri" w:hAnsi="Verdana" w:cs="Arial"/>
          <w:color w:val="000000" w:themeColor="text1"/>
          <w:sz w:val="20"/>
          <w:szCs w:val="20"/>
          <w:lang w:val="es-ES"/>
        </w:rPr>
        <w:t xml:space="preserve"> tendrán en cuenta criterios como la experiencia y la capacidad jurídica, financiera y de organización, entre otros elementos que garanticen la escogencia de la mejor opción de negocio para la entidad estatal. En esta perspectiva, los requisitos habilitantes o de participación, así como los criterios de evaluación o de calificación con puntos, son instrumentos por medio de los cuales se pretende la materialización del principio de selección objetiva en la contratación pública. </w:t>
      </w:r>
    </w:p>
    <w:p w14:paraId="1C3E2024" w14:textId="77777777" w:rsidR="0085000D" w:rsidRPr="004A13BA" w:rsidRDefault="0085000D" w:rsidP="0085000D">
      <w:pPr>
        <w:tabs>
          <w:tab w:val="left" w:pos="0"/>
        </w:tabs>
        <w:spacing w:after="0" w:line="240" w:lineRule="auto"/>
        <w:jc w:val="both"/>
        <w:rPr>
          <w:rFonts w:ascii="Verdana" w:eastAsia="Calibri" w:hAnsi="Verdana" w:cs="Arial"/>
          <w:b/>
          <w:sz w:val="20"/>
          <w:szCs w:val="20"/>
        </w:rPr>
      </w:pPr>
    </w:p>
    <w:p w14:paraId="1663D94D" w14:textId="77777777" w:rsidR="0085000D" w:rsidRPr="004A13BA" w:rsidRDefault="0085000D" w:rsidP="0085000D">
      <w:pPr>
        <w:spacing w:after="0" w:line="240" w:lineRule="auto"/>
        <w:contextualSpacing/>
        <w:jc w:val="both"/>
        <w:rPr>
          <w:rFonts w:ascii="Verdana" w:hAnsi="Verdana" w:cs="Arial"/>
          <w:b/>
          <w:bCs/>
          <w:lang w:val="es-ES_tradnl"/>
        </w:rPr>
      </w:pPr>
      <w:r w:rsidRPr="004A13BA">
        <w:rPr>
          <w:rFonts w:ascii="Verdana" w:hAnsi="Verdana" w:cs="Arial"/>
          <w:b/>
          <w:bCs/>
          <w:lang w:val="es-ES_tradnl"/>
        </w:rPr>
        <w:t xml:space="preserve">REQUISITOS HABILITANTES – Concepto </w:t>
      </w:r>
    </w:p>
    <w:p w14:paraId="0F9418BF" w14:textId="77777777" w:rsidR="0085000D" w:rsidRPr="004A13BA" w:rsidRDefault="0085000D" w:rsidP="0085000D">
      <w:pPr>
        <w:spacing w:after="0" w:line="240" w:lineRule="auto"/>
        <w:contextualSpacing/>
        <w:jc w:val="both"/>
        <w:rPr>
          <w:rFonts w:ascii="Verdana" w:hAnsi="Verdana" w:cs="Arial"/>
          <w:b/>
          <w:bCs/>
          <w:sz w:val="20"/>
          <w:szCs w:val="20"/>
          <w:lang w:val="es-ES_tradnl"/>
        </w:rPr>
      </w:pPr>
    </w:p>
    <w:p w14:paraId="3F860C96" w14:textId="77777777" w:rsidR="0085000D" w:rsidRPr="004A13BA" w:rsidRDefault="0085000D" w:rsidP="0085000D">
      <w:pPr>
        <w:spacing w:after="0" w:line="240" w:lineRule="auto"/>
        <w:contextualSpacing/>
        <w:jc w:val="both"/>
        <w:rPr>
          <w:rFonts w:ascii="Verdana" w:hAnsi="Verdana" w:cs="Arial"/>
          <w:sz w:val="20"/>
          <w:szCs w:val="20"/>
        </w:rPr>
      </w:pPr>
      <w:r w:rsidRPr="004A13BA">
        <w:rPr>
          <w:rFonts w:ascii="Verdana" w:hAnsi="Verdana" w:cs="Arial"/>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49DAEFC" w14:textId="77777777" w:rsidR="0085000D" w:rsidRPr="004A13BA" w:rsidRDefault="0085000D" w:rsidP="0085000D">
      <w:pPr>
        <w:spacing w:after="0" w:line="240" w:lineRule="auto"/>
        <w:contextualSpacing/>
        <w:jc w:val="both"/>
        <w:rPr>
          <w:rFonts w:ascii="Verdana" w:hAnsi="Verdana" w:cs="Arial"/>
          <w:sz w:val="20"/>
          <w:szCs w:val="20"/>
        </w:rPr>
      </w:pPr>
    </w:p>
    <w:p w14:paraId="004EC0E2" w14:textId="77777777" w:rsidR="0085000D" w:rsidRPr="004A13BA" w:rsidRDefault="0085000D" w:rsidP="0085000D">
      <w:pPr>
        <w:spacing w:after="0" w:line="240" w:lineRule="auto"/>
        <w:contextualSpacing/>
        <w:jc w:val="both"/>
        <w:rPr>
          <w:rFonts w:ascii="Verdana" w:eastAsia="Calibri" w:hAnsi="Verdana" w:cs="Arial"/>
          <w:sz w:val="20"/>
          <w:szCs w:val="20"/>
          <w:lang w:val="es-ES_tradnl"/>
        </w:rPr>
      </w:pPr>
      <w:r w:rsidRPr="004A13BA">
        <w:rPr>
          <w:rFonts w:ascii="Verdana" w:hAnsi="Verdana" w:cs="Arial"/>
          <w:sz w:val="20"/>
          <w:szCs w:val="20"/>
        </w:rPr>
        <w:t xml:space="preserve">[…] </w:t>
      </w:r>
      <w:r w:rsidRPr="004A13BA">
        <w:rPr>
          <w:rFonts w:ascii="Verdana" w:eastAsia="Calibri" w:hAnsi="Verdana" w:cs="Arial"/>
          <w:sz w:val="20"/>
          <w:szCs w:val="20"/>
          <w:lang w:val="es-ES_tradnl"/>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4A13BA">
        <w:rPr>
          <w:rFonts w:ascii="Verdana" w:eastAsia="Calibri" w:hAnsi="Verdana" w:cs="Arial"/>
          <w:sz w:val="20"/>
          <w:szCs w:val="20"/>
          <w:lang w:val="es-ES_tradnl"/>
        </w:rPr>
        <w:t>ii</w:t>
      </w:r>
      <w:proofErr w:type="spellEnd"/>
      <w:r w:rsidRPr="004A13BA">
        <w:rPr>
          <w:rFonts w:ascii="Verdana" w:eastAsia="Calibri" w:hAnsi="Verdana" w:cs="Arial"/>
          <w:sz w:val="20"/>
          <w:szCs w:val="20"/>
          <w:lang w:val="es-ES_tradnl"/>
        </w:rPr>
        <w:t xml:space="preserve">) la experiencia; </w:t>
      </w:r>
      <w:proofErr w:type="spellStart"/>
      <w:r w:rsidRPr="004A13BA">
        <w:rPr>
          <w:rFonts w:ascii="Verdana" w:eastAsia="Calibri" w:hAnsi="Verdana" w:cs="Arial"/>
          <w:sz w:val="20"/>
          <w:szCs w:val="20"/>
          <w:lang w:val="es-ES_tradnl"/>
        </w:rPr>
        <w:t>iii</w:t>
      </w:r>
      <w:proofErr w:type="spellEnd"/>
      <w:r w:rsidRPr="004A13BA">
        <w:rPr>
          <w:rFonts w:ascii="Verdana" w:eastAsia="Calibri" w:hAnsi="Verdana" w:cs="Arial"/>
          <w:sz w:val="20"/>
          <w:szCs w:val="20"/>
          <w:lang w:val="es-ES_tradnl"/>
        </w:rPr>
        <w:t xml:space="preserve">) la capacidad financiera y </w:t>
      </w:r>
      <w:proofErr w:type="spellStart"/>
      <w:r w:rsidRPr="004A13BA">
        <w:rPr>
          <w:rFonts w:ascii="Verdana" w:eastAsia="Calibri" w:hAnsi="Verdana" w:cs="Arial"/>
          <w:sz w:val="20"/>
          <w:szCs w:val="20"/>
          <w:lang w:val="es-ES_tradnl"/>
        </w:rPr>
        <w:t>iv</w:t>
      </w:r>
      <w:proofErr w:type="spellEnd"/>
      <w:r w:rsidRPr="004A13BA">
        <w:rPr>
          <w:rFonts w:ascii="Verdana" w:eastAsia="Calibri" w:hAnsi="Verdana" w:cs="Arial"/>
          <w:sz w:val="20"/>
          <w:szCs w:val="20"/>
          <w:lang w:val="es-ES_tradnl"/>
        </w:rPr>
        <w:t>) la capacidad de organización.</w:t>
      </w:r>
    </w:p>
    <w:p w14:paraId="684A4E94" w14:textId="77777777" w:rsidR="0085000D" w:rsidRPr="004A13BA" w:rsidRDefault="0085000D" w:rsidP="0085000D">
      <w:pPr>
        <w:tabs>
          <w:tab w:val="left" w:pos="0"/>
        </w:tabs>
        <w:spacing w:after="0" w:line="240" w:lineRule="auto"/>
        <w:jc w:val="both"/>
        <w:rPr>
          <w:rFonts w:ascii="Verdana" w:eastAsia="Calibri" w:hAnsi="Verdana" w:cs="Arial"/>
          <w:b/>
          <w:sz w:val="20"/>
          <w:szCs w:val="20"/>
        </w:rPr>
      </w:pPr>
    </w:p>
    <w:p w14:paraId="05B5719E" w14:textId="77777777" w:rsidR="0085000D" w:rsidRPr="004A13BA" w:rsidRDefault="0085000D" w:rsidP="0085000D">
      <w:pPr>
        <w:spacing w:after="0" w:line="240" w:lineRule="auto"/>
        <w:contextualSpacing/>
        <w:jc w:val="both"/>
        <w:rPr>
          <w:rFonts w:ascii="Verdana" w:hAnsi="Verdana" w:cs="Arial"/>
          <w:b/>
          <w:bCs/>
          <w:lang w:val="es-ES_tradnl"/>
        </w:rPr>
      </w:pPr>
      <w:r w:rsidRPr="004A13BA">
        <w:rPr>
          <w:rFonts w:ascii="Verdana" w:hAnsi="Verdana" w:cs="Arial"/>
          <w:b/>
          <w:bCs/>
        </w:rPr>
        <w:t>EXPERIENCIA</w:t>
      </w:r>
      <w:r w:rsidRPr="004A13BA">
        <w:rPr>
          <w:rFonts w:ascii="Verdana" w:hAnsi="Verdana" w:cs="Arial"/>
        </w:rPr>
        <w:t xml:space="preserve"> </w:t>
      </w:r>
      <w:r w:rsidRPr="004A13BA">
        <w:rPr>
          <w:rFonts w:ascii="Verdana" w:hAnsi="Verdana" w:cs="Arial"/>
          <w:b/>
          <w:bCs/>
          <w:lang w:val="es-ES_tradnl"/>
        </w:rPr>
        <w:t>– Concepto</w:t>
      </w:r>
    </w:p>
    <w:p w14:paraId="1CD460D7" w14:textId="77777777" w:rsidR="0085000D" w:rsidRPr="004A13BA" w:rsidRDefault="0085000D" w:rsidP="0085000D">
      <w:pPr>
        <w:spacing w:after="0" w:line="240" w:lineRule="auto"/>
        <w:contextualSpacing/>
        <w:jc w:val="both"/>
        <w:rPr>
          <w:rFonts w:ascii="Verdana" w:hAnsi="Verdana" w:cs="Arial"/>
          <w:b/>
          <w:bCs/>
          <w:sz w:val="20"/>
          <w:szCs w:val="20"/>
          <w:lang w:val="es-ES_tradnl"/>
        </w:rPr>
      </w:pPr>
    </w:p>
    <w:p w14:paraId="1A93D28D" w14:textId="77777777" w:rsidR="0085000D" w:rsidRPr="004A13BA" w:rsidRDefault="0085000D" w:rsidP="0085000D">
      <w:pPr>
        <w:spacing w:after="0" w:line="240" w:lineRule="auto"/>
        <w:contextualSpacing/>
        <w:jc w:val="both"/>
        <w:rPr>
          <w:rFonts w:ascii="Verdana" w:hAnsi="Verdana" w:cs="Arial"/>
          <w:sz w:val="20"/>
          <w:szCs w:val="20"/>
        </w:rPr>
      </w:pPr>
      <w:r w:rsidRPr="004A13BA">
        <w:rPr>
          <w:rFonts w:ascii="Verdana" w:hAnsi="Verdana" w:cs="Arial"/>
          <w:sz w:val="20"/>
          <w:szCs w:val="20"/>
        </w:rPr>
        <w:t xml:space="preserve">Dentro de los requisitos habilitantes establecidos por el artículo 5 de la Ley 1150 de 2007 se destaca la experiencia. En el </w:t>
      </w:r>
      <w:r>
        <w:rPr>
          <w:rFonts w:ascii="Verdana" w:hAnsi="Verdana" w:cs="Arial"/>
          <w:sz w:val="20"/>
          <w:szCs w:val="20"/>
        </w:rPr>
        <w:t>“</w:t>
      </w:r>
      <w:r w:rsidRPr="004A13BA">
        <w:rPr>
          <w:rFonts w:ascii="Verdana" w:hAnsi="Verdana" w:cs="Arial"/>
          <w:sz w:val="20"/>
          <w:szCs w:val="20"/>
        </w:rPr>
        <w:t>Manual para determinar y verificar requisitos habilitantes en los procesos de contratación</w:t>
      </w:r>
      <w:r>
        <w:rPr>
          <w:rFonts w:ascii="Verdana" w:hAnsi="Verdana" w:cs="Arial"/>
          <w:sz w:val="20"/>
          <w:szCs w:val="20"/>
        </w:rPr>
        <w:t>”</w:t>
      </w:r>
      <w:r w:rsidRPr="004A13BA">
        <w:rPr>
          <w:rFonts w:ascii="Verdana" w:hAnsi="Verdana" w:cs="Arial"/>
          <w:sz w:val="20"/>
          <w:szCs w:val="20"/>
        </w:rPr>
        <w:t xml:space="preserve"> expedido por Colombia Compra Eficiente se define a la experiencia como </w:t>
      </w:r>
      <w:r>
        <w:rPr>
          <w:rFonts w:ascii="Verdana" w:hAnsi="Verdana" w:cs="Arial"/>
          <w:sz w:val="20"/>
          <w:szCs w:val="20"/>
        </w:rPr>
        <w:t>“</w:t>
      </w:r>
      <w:r w:rsidRPr="004A13BA">
        <w:rPr>
          <w:rFonts w:ascii="Verdana" w:hAnsi="Verdana" w:cs="Arial"/>
          <w:sz w:val="20"/>
          <w:szCs w:val="20"/>
        </w:rPr>
        <w:t>[…] el conocimiento del proponente derivado de su participación previa en actividades iguales o similares a las previstas en el objeto del contrato</w:t>
      </w:r>
      <w:r>
        <w:rPr>
          <w:rFonts w:ascii="Verdana" w:hAnsi="Verdana" w:cs="Arial"/>
          <w:sz w:val="20"/>
          <w:szCs w:val="20"/>
        </w:rPr>
        <w:t>”</w:t>
      </w:r>
      <w:r w:rsidRPr="004A13BA">
        <w:rPr>
          <w:rFonts w:ascii="Verdana" w:hAnsi="Verdana" w:cs="Arial"/>
          <w:sz w:val="20"/>
          <w:szCs w:val="20"/>
        </w:rPr>
        <w:t>. 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340138C6" w14:textId="77777777" w:rsidR="0085000D" w:rsidRPr="004A13BA" w:rsidRDefault="0085000D" w:rsidP="0085000D">
      <w:pPr>
        <w:spacing w:after="0" w:line="240" w:lineRule="auto"/>
        <w:contextualSpacing/>
        <w:jc w:val="both"/>
        <w:rPr>
          <w:rFonts w:ascii="Verdana" w:hAnsi="Verdana" w:cs="Arial"/>
          <w:sz w:val="20"/>
          <w:szCs w:val="20"/>
        </w:rPr>
      </w:pPr>
    </w:p>
    <w:p w14:paraId="2DEBDDB2" w14:textId="77777777" w:rsidR="0085000D" w:rsidRPr="00B53D4E" w:rsidRDefault="0085000D" w:rsidP="0085000D">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lastRenderedPageBreak/>
        <w:t>DESGLOSE</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Experiencia general – Experiencia Específica – Pliego de condiciones – Discrecionalidad</w:t>
      </w:r>
      <w:r w:rsidRPr="00F50C94">
        <w:t xml:space="preserve"> </w:t>
      </w:r>
    </w:p>
    <w:p w14:paraId="4CA4C05E" w14:textId="77777777" w:rsidR="0085000D" w:rsidRPr="00B53D4E" w:rsidRDefault="0085000D" w:rsidP="0085000D">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6774B3A8" w14:textId="77777777" w:rsidR="0085000D" w:rsidRDefault="0085000D" w:rsidP="0085000D">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L</w:t>
      </w:r>
      <w:r w:rsidRPr="00F30AE7">
        <w:rPr>
          <w:rFonts w:ascii="Verdana" w:eastAsia="Times New Roman" w:hAnsi="Verdana" w:cs="Arial"/>
          <w:color w:val="000000"/>
          <w:sz w:val="20"/>
          <w:szCs w:val="20"/>
          <w:lang w:eastAsia="es-MX"/>
        </w:rPr>
        <w:t xml:space="preserve">a experiencia general suele tener una exigencia menor en cuanto a su precisión, que permite una mayor posibilidad de acreditación por los proponentes; mientras que la específica suele incluirse para exigir que los oferentes demuestren un alcance más concreto respecto de su experiencia, que suele tener una relación más estrecha con el contrato a ejecutar o debido a la razonabilidad que encuentra la entidad de conocer que el proponente cuenta con la idoneidad para ejecutar algunas actividades concretas, que son especialmente relevantes para el proceso contractual. </w:t>
      </w:r>
    </w:p>
    <w:p w14:paraId="031D2840" w14:textId="77777777" w:rsidR="0085000D" w:rsidRPr="00F30AE7" w:rsidRDefault="0085000D" w:rsidP="0085000D">
      <w:pPr>
        <w:spacing w:after="0" w:line="240" w:lineRule="auto"/>
        <w:jc w:val="both"/>
        <w:rPr>
          <w:rFonts w:ascii="Verdana" w:eastAsia="Times New Roman" w:hAnsi="Verdana" w:cs="Arial"/>
          <w:color w:val="000000"/>
          <w:sz w:val="20"/>
          <w:szCs w:val="20"/>
          <w:lang w:eastAsia="es-MX"/>
        </w:rPr>
      </w:pPr>
    </w:p>
    <w:p w14:paraId="109DC82A" w14:textId="77777777" w:rsidR="0085000D" w:rsidRDefault="0085000D" w:rsidP="0085000D">
      <w:pPr>
        <w:spacing w:after="0" w:line="240" w:lineRule="auto"/>
        <w:jc w:val="both"/>
        <w:rPr>
          <w:rFonts w:ascii="Verdana" w:eastAsia="Times New Roman" w:hAnsi="Verdana" w:cs="Arial"/>
          <w:color w:val="000000"/>
          <w:sz w:val="20"/>
          <w:szCs w:val="20"/>
          <w:lang w:eastAsia="es-MX"/>
        </w:rPr>
      </w:pPr>
      <w:r w:rsidRPr="00F30AE7">
        <w:rPr>
          <w:rFonts w:ascii="Verdana" w:eastAsia="Times New Roman" w:hAnsi="Verdana" w:cs="Arial"/>
          <w:color w:val="000000"/>
          <w:sz w:val="20"/>
          <w:szCs w:val="20"/>
          <w:lang w:eastAsia="es-MX"/>
        </w:rPr>
        <w:t>Sin embargo, también sería admisible que una entidad configure su pliego de condiciones sin acudir a una “experiencia específica”, sino estableciendo, por ejemplo, simplemente un requisito de experiencia que no se divida en general y específica. En tal sentido, son razonamientos de orden eminentemente técnicos los que justifican la inclusión de este requisito en los pliegos de condiciones, pues los mismos delimitan la participación de los interesados en el proceso de selección.</w:t>
      </w:r>
    </w:p>
    <w:p w14:paraId="1014AD7C" w14:textId="77777777" w:rsidR="0085000D" w:rsidRPr="00F30AE7" w:rsidRDefault="0085000D" w:rsidP="0085000D">
      <w:pPr>
        <w:spacing w:after="0" w:line="240" w:lineRule="auto"/>
        <w:jc w:val="both"/>
        <w:rPr>
          <w:rFonts w:ascii="Verdana" w:eastAsia="Times New Roman" w:hAnsi="Verdana" w:cs="Arial"/>
          <w:color w:val="000000"/>
          <w:sz w:val="20"/>
          <w:szCs w:val="20"/>
          <w:lang w:eastAsia="es-MX"/>
        </w:rPr>
      </w:pPr>
    </w:p>
    <w:p w14:paraId="04501756" w14:textId="77777777" w:rsidR="0085000D" w:rsidRPr="00F30AE7" w:rsidRDefault="0085000D" w:rsidP="0085000D">
      <w:pPr>
        <w:spacing w:after="0" w:line="240" w:lineRule="auto"/>
        <w:jc w:val="both"/>
        <w:rPr>
          <w:rFonts w:ascii="Verdana" w:eastAsia="Times New Roman" w:hAnsi="Verdana" w:cs="Arial"/>
          <w:color w:val="000000"/>
          <w:sz w:val="20"/>
          <w:szCs w:val="20"/>
          <w:lang w:val="es-ES_tradnl" w:eastAsia="es-MX"/>
        </w:rPr>
      </w:pPr>
      <w:r w:rsidRPr="00F30AE7">
        <w:rPr>
          <w:rFonts w:ascii="Verdana" w:eastAsia="Times New Roman" w:hAnsi="Verdana" w:cs="Arial"/>
          <w:color w:val="000000"/>
          <w:sz w:val="20"/>
          <w:szCs w:val="20"/>
          <w:lang w:val="es-ES_tradnl" w:eastAsia="es-MX"/>
        </w:rPr>
        <w:t xml:space="preserve">En consecuencia, con excepción de los procedimientos regidos por documentos tipo, las entidades estatales, durante la etapa de planeación del contrato estatal, son responsables de estudiar y </w:t>
      </w:r>
      <w:r w:rsidRPr="00F30AE7">
        <w:rPr>
          <w:rFonts w:ascii="Verdana" w:eastAsia="Times New Roman" w:hAnsi="Verdana" w:cs="Arial"/>
          <w:bCs/>
          <w:iCs/>
          <w:color w:val="000000"/>
          <w:sz w:val="20"/>
          <w:szCs w:val="20"/>
          <w:lang w:val="es-ES_tradnl" w:eastAsia="es-MX"/>
        </w:rPr>
        <w:t>determinar</w:t>
      </w:r>
      <w:r w:rsidRPr="00F30AE7">
        <w:rPr>
          <w:rFonts w:ascii="Verdana" w:eastAsia="Times New Roman" w:hAnsi="Verdana" w:cs="Arial"/>
          <w:color w:val="000000"/>
          <w:sz w:val="20"/>
          <w:szCs w:val="20"/>
          <w:lang w:val="es-ES_tradnl" w:eastAsia="es-MX"/>
        </w:rPr>
        <w:t xml:space="preserve"> los </w:t>
      </w:r>
      <w:r w:rsidRPr="00F30AE7">
        <w:rPr>
          <w:rFonts w:ascii="Verdana" w:eastAsia="Times New Roman" w:hAnsi="Verdana" w:cs="Arial"/>
          <w:i/>
          <w:iCs/>
          <w:color w:val="000000"/>
          <w:sz w:val="20"/>
          <w:szCs w:val="20"/>
          <w:lang w:val="es-ES_tradnl" w:eastAsia="es-MX"/>
        </w:rPr>
        <w:t>requisitos habilitantes</w:t>
      </w:r>
      <w:r w:rsidRPr="00F30AE7">
        <w:rPr>
          <w:rFonts w:ascii="Verdana" w:eastAsia="Times New Roman" w:hAnsi="Verdana" w:cs="Arial"/>
          <w:color w:val="000000"/>
          <w:sz w:val="20"/>
          <w:szCs w:val="20"/>
          <w:lang w:val="es-ES_tradnl" w:eastAsia="es-MX"/>
        </w:rPr>
        <w:t xml:space="preserve"> que establecerán en los pliegos de condiciones, los cuales deben fijarse de forma adecuada y proporcional. Una vez fijados los requisitos habilitantes por la entidad estatal, quienes presenten ofertas deben </w:t>
      </w:r>
      <w:r w:rsidRPr="00F30AE7">
        <w:rPr>
          <w:rFonts w:ascii="Verdana" w:eastAsia="Times New Roman" w:hAnsi="Verdana" w:cs="Arial"/>
          <w:bCs/>
          <w:i/>
          <w:iCs/>
          <w:color w:val="000000"/>
          <w:sz w:val="20"/>
          <w:szCs w:val="20"/>
          <w:lang w:val="es-ES_tradnl" w:eastAsia="es-MX"/>
        </w:rPr>
        <w:t>acreditar</w:t>
      </w:r>
      <w:r w:rsidRPr="00F30AE7">
        <w:rPr>
          <w:rFonts w:ascii="Verdana" w:eastAsia="Times New Roman" w:hAnsi="Verdana" w:cs="Arial"/>
          <w:color w:val="000000"/>
          <w:sz w:val="20"/>
          <w:szCs w:val="20"/>
          <w:lang w:val="es-ES_tradnl" w:eastAsia="es-MX"/>
        </w:rPr>
        <w:t xml:space="preserve"> que cumplen con los mismos, pues, en el evento contrario, las propuestas deberán ser rechazadas</w:t>
      </w:r>
      <w:r>
        <w:rPr>
          <w:rFonts w:ascii="Verdana" w:eastAsia="Times New Roman" w:hAnsi="Verdana" w:cs="Arial"/>
          <w:color w:val="000000"/>
          <w:sz w:val="20"/>
          <w:szCs w:val="20"/>
          <w:lang w:val="es-ES_tradnl" w:eastAsia="es-MX"/>
        </w:rPr>
        <w:t>.</w:t>
      </w:r>
    </w:p>
    <w:p w14:paraId="0F9BF4F1" w14:textId="77777777" w:rsidR="0085000D" w:rsidRPr="00705C5F" w:rsidRDefault="0085000D" w:rsidP="0085000D">
      <w:pPr>
        <w:spacing w:after="0" w:line="240" w:lineRule="auto"/>
        <w:jc w:val="both"/>
        <w:rPr>
          <w:rFonts w:ascii="Verdana" w:eastAsia="Times New Roman" w:hAnsi="Verdana" w:cs="Arial"/>
          <w:color w:val="000000"/>
          <w:sz w:val="20"/>
          <w:szCs w:val="20"/>
          <w:lang w:eastAsia="es-MX"/>
        </w:rPr>
      </w:pPr>
    </w:p>
    <w:p w14:paraId="6D108BF4" w14:textId="77777777" w:rsidR="0085000D" w:rsidRPr="00DE2AC7" w:rsidRDefault="0085000D" w:rsidP="0085000D">
      <w:pPr>
        <w:spacing w:after="0" w:line="240" w:lineRule="auto"/>
        <w:jc w:val="both"/>
        <w:rPr>
          <w:rFonts w:ascii="Verdana" w:eastAsia="Geomanist Light" w:hAnsi="Verdana" w:cs="Arial"/>
          <w:color w:val="000000" w:themeColor="text1"/>
        </w:rPr>
      </w:pPr>
      <w:r w:rsidRPr="00F50C94">
        <w:rPr>
          <w:rStyle w:val="s15"/>
          <w:rFonts w:ascii="Verdana" w:hAnsi="Verdana" w:cs="Arial"/>
          <w:b/>
          <w:bCs/>
          <w:color w:val="000000"/>
        </w:rPr>
        <w:t xml:space="preserve">ACTIVIDAD PRINCIPAL – </w:t>
      </w:r>
      <w:r>
        <w:rPr>
          <w:rStyle w:val="s15"/>
          <w:rFonts w:ascii="Verdana" w:hAnsi="Verdana" w:cs="Arial"/>
          <w:b/>
          <w:bCs/>
          <w:color w:val="000000"/>
        </w:rPr>
        <w:t>M</w:t>
      </w:r>
      <w:r w:rsidRPr="00F50C94">
        <w:rPr>
          <w:rStyle w:val="s15"/>
          <w:rFonts w:ascii="Verdana" w:hAnsi="Verdana" w:cs="Arial"/>
          <w:b/>
          <w:bCs/>
          <w:color w:val="000000"/>
        </w:rPr>
        <w:t xml:space="preserve">ayor relevancia – Autonomía      </w:t>
      </w:r>
    </w:p>
    <w:p w14:paraId="2ED5F7A4" w14:textId="77777777" w:rsidR="0085000D" w:rsidRDefault="0085000D" w:rsidP="0085000D">
      <w:pPr>
        <w:spacing w:after="0" w:line="240" w:lineRule="auto"/>
        <w:rPr>
          <w:rFonts w:ascii="Verdana" w:eastAsia="Geomanist Light" w:hAnsi="Verdana" w:cs="Arial"/>
          <w:color w:val="000000" w:themeColor="text1"/>
          <w:lang w:val="es-MX"/>
        </w:rPr>
      </w:pPr>
    </w:p>
    <w:p w14:paraId="618A2CE9" w14:textId="77777777" w:rsidR="0085000D" w:rsidRDefault="0085000D" w:rsidP="0085000D">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P</w:t>
      </w:r>
      <w:r w:rsidRPr="00F50C94">
        <w:rPr>
          <w:rFonts w:ascii="Verdana" w:eastAsia="Times New Roman" w:hAnsi="Verdana" w:cs="Arial"/>
          <w:color w:val="000000"/>
          <w:sz w:val="20"/>
          <w:szCs w:val="20"/>
          <w:lang w:eastAsia="es-MX"/>
        </w:rPr>
        <w:t>ara efectos de determinar cuáles son las actividades de mayor relevancia o representatividad de un contrato de obra, particularmente para establecer los requisitos de experiencia específica exigibles a los proponentes, se precisa que no existen criterios uniformes de aplicación general que deban observar las entidades estatales para tal propósito, sin perjuicio de las reglas particulares previstas en los documentos tipo, cuando resulten aplicables.</w:t>
      </w:r>
    </w:p>
    <w:p w14:paraId="0CE9DAC9" w14:textId="77777777" w:rsidR="0085000D" w:rsidRPr="00F50C94" w:rsidRDefault="0085000D" w:rsidP="0085000D">
      <w:pPr>
        <w:spacing w:after="0" w:line="240" w:lineRule="auto"/>
        <w:jc w:val="both"/>
        <w:rPr>
          <w:rFonts w:ascii="Verdana" w:eastAsia="Times New Roman" w:hAnsi="Verdana" w:cs="Arial"/>
          <w:color w:val="000000"/>
          <w:sz w:val="20"/>
          <w:szCs w:val="20"/>
          <w:lang w:eastAsia="es-MX"/>
        </w:rPr>
      </w:pPr>
    </w:p>
    <w:p w14:paraId="027B1954" w14:textId="77777777" w:rsidR="0085000D" w:rsidRDefault="0085000D" w:rsidP="0085000D">
      <w:pPr>
        <w:spacing w:after="0" w:line="240" w:lineRule="auto"/>
        <w:jc w:val="both"/>
        <w:rPr>
          <w:rFonts w:ascii="Verdana" w:eastAsia="Times New Roman" w:hAnsi="Verdana" w:cs="Arial"/>
          <w:color w:val="000000"/>
          <w:sz w:val="20"/>
          <w:szCs w:val="20"/>
          <w:lang w:eastAsia="es-MX"/>
        </w:rPr>
      </w:pPr>
      <w:r w:rsidRPr="00F50C94">
        <w:rPr>
          <w:rFonts w:ascii="Verdana" w:eastAsia="Times New Roman" w:hAnsi="Verdana" w:cs="Arial"/>
          <w:color w:val="000000"/>
          <w:sz w:val="20"/>
          <w:szCs w:val="20"/>
          <w:lang w:eastAsia="es-MX"/>
        </w:rPr>
        <w:t>En ese sentido, la entidad estatal podrá determinar las actividades de mayor relevancia atendiendo, entre otros aspectos, a su participación en el valor económico del contrato, su complejidad técnica y constructiva, y su importancia funcional para el cumplimiento de la finalidad perseguida con la obra. Desde la perspectiva económica, podrá examinarse la proporción del presupuesto asignada a cada actividad respecto del valor total del proyecto. Desde el punto de vista técnico, podrá valorarse el grado de especialización requerido, las condiciones particulares de ejecución, los procedimientos constructivos involucrados y los conocimientos o capacidades necesarios para desarrollarla. Por su parte, la relevancia funcional permite establecer si una actividad constituye un componente esencial para la operación, estabilidad o utilidad de la obra, de manera que su ejecución resulte determinante para alcanzar el objeto contratado.</w:t>
      </w:r>
    </w:p>
    <w:p w14:paraId="478769DB" w14:textId="77777777" w:rsidR="0085000D" w:rsidRDefault="0085000D" w:rsidP="0085000D">
      <w:pPr>
        <w:spacing w:after="0" w:line="240" w:lineRule="auto"/>
        <w:jc w:val="both"/>
        <w:rPr>
          <w:rFonts w:ascii="Verdana" w:eastAsia="Times New Roman" w:hAnsi="Verdana" w:cs="Arial"/>
          <w:color w:val="000000"/>
          <w:sz w:val="20"/>
          <w:szCs w:val="20"/>
          <w:lang w:eastAsia="es-MX"/>
        </w:rPr>
      </w:pPr>
    </w:p>
    <w:p w14:paraId="30F4D532" w14:textId="77777777" w:rsidR="0085000D" w:rsidRDefault="0085000D" w:rsidP="0085000D">
      <w:pPr>
        <w:spacing w:after="0" w:line="240" w:lineRule="auto"/>
        <w:jc w:val="both"/>
        <w:rPr>
          <w:rFonts w:ascii="Verdana" w:eastAsia="Times New Roman" w:hAnsi="Verdana" w:cs="Arial"/>
          <w:color w:val="000000"/>
          <w:sz w:val="20"/>
          <w:szCs w:val="20"/>
          <w:lang w:eastAsia="es-MX"/>
        </w:rPr>
      </w:pPr>
    </w:p>
    <w:p w14:paraId="3BA3B974" w14:textId="170BE99B" w:rsidR="0085000D" w:rsidRPr="00CA0F9F" w:rsidRDefault="0085000D" w:rsidP="0085000D">
      <w:pPr>
        <w:spacing w:after="0" w:line="240" w:lineRule="auto"/>
        <w:jc w:val="both"/>
        <w:rPr>
          <w:rFonts w:ascii="Verdana" w:eastAsia="Times New Roman" w:hAnsi="Verdana" w:cs="Arial"/>
          <w:color w:val="000000"/>
          <w:sz w:val="20"/>
          <w:szCs w:val="20"/>
          <w:lang w:eastAsia="es-MX"/>
        </w:rPr>
      </w:pPr>
      <w:r w:rsidRPr="00593A5F">
        <w:rPr>
          <w:rFonts w:ascii="Verdana" w:eastAsia="Geomanist Light" w:hAnsi="Verdana" w:cs="Arial"/>
          <w:color w:val="000000" w:themeColor="text1"/>
          <w:lang w:val="es-MX"/>
        </w:rPr>
        <w:t>Bogotá D.C., </w:t>
      </w:r>
      <w:r w:rsidR="00E453F6">
        <w:rPr>
          <w:rFonts w:ascii="Verdana" w:eastAsia="Geomanist Light" w:hAnsi="Verdana" w:cs="Arial"/>
          <w:color w:val="000000" w:themeColor="text1"/>
          <w:lang w:val="es-MX"/>
        </w:rPr>
        <w:t>20 de octubre de 2026</w:t>
      </w:r>
    </w:p>
    <w:p w14:paraId="130E6C43" w14:textId="77777777" w:rsidR="0085000D" w:rsidRDefault="0085000D" w:rsidP="0085000D">
      <w:pPr>
        <w:spacing w:after="0" w:line="240" w:lineRule="auto"/>
        <w:jc w:val="both"/>
        <w:rPr>
          <w:rFonts w:ascii="Verdana" w:eastAsia="Calibri" w:hAnsi="Verdana" w:cs="Arial"/>
          <w:color w:val="000000"/>
          <w:lang w:val="es-MX"/>
        </w:rPr>
      </w:pPr>
    </w:p>
    <w:p w14:paraId="2B5C0701" w14:textId="55A8DD86" w:rsidR="0085000D" w:rsidRPr="00593A5F" w:rsidRDefault="00E453F6" w:rsidP="00E453F6">
      <w:pPr>
        <w:spacing w:after="0" w:line="240" w:lineRule="auto"/>
        <w:jc w:val="right"/>
        <w:rPr>
          <w:rFonts w:ascii="Verdana" w:eastAsia="Calibri" w:hAnsi="Verdana" w:cs="Arial"/>
          <w:color w:val="000000"/>
          <w:lang w:val="es-ES"/>
        </w:rPr>
      </w:pPr>
      <w:r w:rsidRPr="00E453F6">
        <w:rPr>
          <w:rFonts w:ascii="Verdana" w:eastAsia="Calibri" w:hAnsi="Verdana" w:cs="Arial"/>
          <w:noProof/>
          <w:color w:val="000000"/>
          <w:lang w:val="es-ES"/>
        </w:rPr>
        <w:drawing>
          <wp:anchor distT="0" distB="0" distL="114300" distR="114300" simplePos="0" relativeHeight="251658240" behindDoc="0" locked="0" layoutInCell="1" allowOverlap="1" wp14:anchorId="47BA112E" wp14:editId="3E05E66E">
            <wp:simplePos x="0" y="0"/>
            <wp:positionH relativeFrom="column">
              <wp:posOffset>2867025</wp:posOffset>
            </wp:positionH>
            <wp:positionV relativeFrom="paragraph">
              <wp:posOffset>-635</wp:posOffset>
            </wp:positionV>
            <wp:extent cx="2735580" cy="944880"/>
            <wp:effectExtent l="0" t="0" r="7620" b="7620"/>
            <wp:wrapSquare wrapText="bothSides"/>
            <wp:docPr id="9128601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5580" cy="944880"/>
                    </a:xfrm>
                    <a:prstGeom prst="rect">
                      <a:avLst/>
                    </a:prstGeom>
                    <a:noFill/>
                    <a:ln>
                      <a:noFill/>
                    </a:ln>
                  </pic:spPr>
                </pic:pic>
              </a:graphicData>
            </a:graphic>
          </wp:anchor>
        </w:drawing>
      </w:r>
    </w:p>
    <w:p w14:paraId="048581D7" w14:textId="77777777" w:rsidR="0085000D" w:rsidRDefault="0085000D" w:rsidP="0085000D">
      <w:pPr>
        <w:spacing w:after="0" w:line="240" w:lineRule="auto"/>
        <w:jc w:val="both"/>
        <w:rPr>
          <w:rFonts w:ascii="Verdana" w:eastAsia="Calibri" w:hAnsi="Verdana" w:cs="Arial"/>
          <w:lang w:val="es-ES" w:eastAsia="es-ES"/>
        </w:rPr>
      </w:pPr>
      <w:r>
        <w:rPr>
          <w:rFonts w:ascii="Verdana" w:eastAsia="Calibri" w:hAnsi="Verdana" w:cs="Arial"/>
          <w:lang w:val="es-ES" w:eastAsia="es-ES"/>
        </w:rPr>
        <w:t>Señor (a)</w:t>
      </w:r>
    </w:p>
    <w:p w14:paraId="10D2CBBB" w14:textId="77777777" w:rsidR="0085000D" w:rsidRPr="00BB75D5" w:rsidRDefault="0085000D" w:rsidP="0085000D">
      <w:pPr>
        <w:spacing w:after="0" w:line="240" w:lineRule="auto"/>
        <w:jc w:val="both"/>
        <w:rPr>
          <w:rFonts w:ascii="Verdana" w:eastAsia="Calibri" w:hAnsi="Verdana" w:cs="Arial"/>
          <w:b/>
          <w:bCs/>
          <w:lang w:val="es-ES" w:eastAsia="es-ES"/>
        </w:rPr>
      </w:pPr>
      <w:r w:rsidRPr="00BB75D5">
        <w:rPr>
          <w:rFonts w:ascii="Verdana" w:eastAsia="Calibri" w:hAnsi="Verdana" w:cs="Arial"/>
          <w:b/>
          <w:bCs/>
          <w:lang w:val="es-ES" w:eastAsia="es-ES"/>
        </w:rPr>
        <w:t xml:space="preserve">Anónimo </w:t>
      </w:r>
    </w:p>
    <w:p w14:paraId="01DE8860" w14:textId="2BCE6F64" w:rsidR="0085000D" w:rsidRPr="00507587" w:rsidRDefault="00E453F6" w:rsidP="0085000D">
      <w:pPr>
        <w:spacing w:after="0" w:line="240" w:lineRule="auto"/>
        <w:rPr>
          <w:rFonts w:ascii="Verdana" w:eastAsia="Calibri" w:hAnsi="Verdana" w:cs="Arial"/>
          <w:lang w:val="es-ES" w:eastAsia="es-ES"/>
        </w:rPr>
      </w:pPr>
      <w:hyperlink r:id="rId11" w:history="1">
        <w:r w:rsidRPr="00281FB4">
          <w:rPr>
            <w:rStyle w:val="Hipervnculo"/>
            <w:rFonts w:ascii="Verdana" w:hAnsi="Verdana"/>
          </w:rPr>
          <w:t>licitaciones@manviales.com.co</w:t>
        </w:r>
      </w:hyperlink>
      <w:r w:rsidR="0085000D">
        <w:rPr>
          <w:rFonts w:ascii="Verdana" w:hAnsi="Verdana"/>
        </w:rPr>
        <w:t xml:space="preserve"> </w:t>
      </w:r>
      <w:r w:rsidR="0085000D" w:rsidRPr="00507587">
        <w:rPr>
          <w:rFonts w:ascii="Verdana" w:hAnsi="Verdana"/>
        </w:rPr>
        <w:t xml:space="preserve">           </w:t>
      </w:r>
      <w:r w:rsidR="0085000D" w:rsidRPr="00507587">
        <w:rPr>
          <w:rFonts w:ascii="Verdana" w:eastAsia="Calibri" w:hAnsi="Verdana" w:cs="Arial"/>
          <w:lang w:val="es-ES" w:eastAsia="es-ES"/>
        </w:rPr>
        <w:t xml:space="preserve">    </w:t>
      </w:r>
    </w:p>
    <w:p w14:paraId="51226A45" w14:textId="77777777" w:rsidR="0085000D" w:rsidRDefault="0085000D" w:rsidP="0085000D">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053B708" w14:textId="77777777" w:rsidR="0085000D" w:rsidRPr="00593A5F" w:rsidRDefault="0085000D" w:rsidP="0085000D">
      <w:pPr>
        <w:spacing w:after="0" w:line="240" w:lineRule="auto"/>
        <w:rPr>
          <w:rFonts w:ascii="Verdana" w:eastAsia="Calibri" w:hAnsi="Verdana" w:cs="Arial"/>
          <w:b/>
          <w:bCs/>
          <w:color w:val="000000"/>
          <w:lang w:val="es-ES_tradnl" w:eastAsia="es-ES_tradnl"/>
        </w:rPr>
      </w:pPr>
    </w:p>
    <w:p w14:paraId="16A16FD9" w14:textId="77777777" w:rsidR="0085000D" w:rsidRPr="00593A5F" w:rsidRDefault="0085000D" w:rsidP="0085000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000D" w:rsidRPr="00593A5F" w14:paraId="33B729A6" w14:textId="77777777" w:rsidTr="008A06D4">
        <w:trPr>
          <w:trHeight w:val="884"/>
        </w:trPr>
        <w:tc>
          <w:tcPr>
            <w:tcW w:w="2689" w:type="dxa"/>
          </w:tcPr>
          <w:p w14:paraId="4A4C8550" w14:textId="77777777" w:rsidR="0085000D" w:rsidRPr="00C00976" w:rsidRDefault="0085000D" w:rsidP="008A06D4">
            <w:pPr>
              <w:jc w:val="both"/>
              <w:rPr>
                <w:rFonts w:ascii="Verdana" w:eastAsia="Calibri" w:hAnsi="Verdana" w:cs="Arial"/>
                <w:b/>
                <w:bCs/>
                <w:color w:val="7030A0"/>
                <w:lang w:val="es-ES_tradnl" w:eastAsia="es-ES_tradnl"/>
              </w:rPr>
            </w:pPr>
          </w:p>
        </w:tc>
        <w:tc>
          <w:tcPr>
            <w:tcW w:w="6100" w:type="dxa"/>
          </w:tcPr>
          <w:p w14:paraId="74A331B7" w14:textId="478D9FF3" w:rsidR="0085000D" w:rsidRPr="00C00976" w:rsidRDefault="0085000D" w:rsidP="008A06D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52017B">
              <w:rPr>
                <w:rFonts w:ascii="Verdana" w:eastAsia="Calibri" w:hAnsi="Verdana" w:cs="Arial"/>
                <w:b/>
                <w:bCs/>
                <w:lang w:val="es-ES" w:eastAsia="es-ES"/>
              </w:rPr>
              <w:t>-</w:t>
            </w:r>
            <w:r>
              <w:rPr>
                <w:rFonts w:ascii="Verdana" w:eastAsia="Calibri" w:hAnsi="Verdana" w:cs="Arial"/>
                <w:b/>
                <w:bCs/>
                <w:lang w:val="es-ES" w:eastAsia="es-ES"/>
              </w:rPr>
              <w:t xml:space="preserve">1515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85000D" w:rsidRPr="00593A5F" w14:paraId="7F5816E1" w14:textId="77777777" w:rsidTr="008A06D4">
        <w:trPr>
          <w:trHeight w:val="884"/>
        </w:trPr>
        <w:tc>
          <w:tcPr>
            <w:tcW w:w="2689" w:type="dxa"/>
          </w:tcPr>
          <w:p w14:paraId="14C59C00" w14:textId="77777777" w:rsidR="0085000D" w:rsidRPr="00593A5F" w:rsidRDefault="0085000D" w:rsidP="008A06D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BFE658B" w14:textId="77777777" w:rsidR="0085000D" w:rsidRPr="00A11406" w:rsidRDefault="0085000D" w:rsidP="008A06D4">
            <w:pPr>
              <w:spacing w:line="276" w:lineRule="auto"/>
              <w:jc w:val="both"/>
              <w:rPr>
                <w:rFonts w:ascii="Verdana" w:eastAsia="Calibri" w:hAnsi="Verdana" w:cs="Arial"/>
                <w:lang w:val="es-ES" w:eastAsia="es-ES"/>
              </w:rPr>
            </w:pPr>
            <w:r w:rsidRPr="00F30AE7">
              <w:rPr>
                <w:rFonts w:ascii="Verdana" w:eastAsia="Calibri" w:hAnsi="Verdana" w:cs="Arial"/>
                <w:lang w:val="es-ES" w:eastAsia="es-ES"/>
              </w:rPr>
              <w:t>PRINCIPIO DE SELECCIÓN OBJETIVA – Alcance</w:t>
            </w:r>
            <w:r>
              <w:rPr>
                <w:rFonts w:ascii="Verdana" w:eastAsia="Calibri" w:hAnsi="Verdana" w:cs="Arial"/>
                <w:lang w:val="es-ES" w:eastAsia="es-ES"/>
              </w:rPr>
              <w:t xml:space="preserve"> / </w:t>
            </w:r>
            <w:r w:rsidRPr="00F30AE7">
              <w:rPr>
                <w:rFonts w:ascii="Verdana" w:eastAsia="Calibri" w:hAnsi="Verdana" w:cs="Arial"/>
                <w:lang w:val="es-ES" w:eastAsia="es-ES"/>
              </w:rPr>
              <w:t>REQUISITOS HABILITANTES – Concepto</w:t>
            </w:r>
            <w:r>
              <w:rPr>
                <w:rFonts w:ascii="Verdana" w:eastAsia="Calibri" w:hAnsi="Verdana" w:cs="Arial"/>
                <w:lang w:val="es-ES" w:eastAsia="es-ES"/>
              </w:rPr>
              <w:t xml:space="preserve"> / </w:t>
            </w:r>
            <w:r w:rsidRPr="00F30AE7">
              <w:rPr>
                <w:rFonts w:ascii="Verdana" w:eastAsia="Calibri" w:hAnsi="Verdana" w:cs="Arial"/>
                <w:lang w:val="es-ES" w:eastAsia="es-ES"/>
              </w:rPr>
              <w:t>EXPERIENCIA – Concepto</w:t>
            </w:r>
            <w:r>
              <w:rPr>
                <w:rFonts w:ascii="Verdana" w:eastAsia="Calibri" w:hAnsi="Verdana" w:cs="Arial"/>
                <w:lang w:val="es-ES" w:eastAsia="es-ES"/>
              </w:rPr>
              <w:t xml:space="preserve"> / </w:t>
            </w:r>
            <w:r w:rsidRPr="001206A4">
              <w:rPr>
                <w:rFonts w:ascii="Verdana" w:eastAsia="Calibri" w:hAnsi="Verdana" w:cs="Arial"/>
                <w:lang w:val="es-ES" w:eastAsia="es-ES"/>
              </w:rPr>
              <w:t>DESGLOSE – Experiencia general – Experiencia Específica – Pliego de condiciones – Discrecionalidad</w:t>
            </w:r>
            <w:r w:rsidRPr="006A662D">
              <w:rPr>
                <w:rFonts w:ascii="Verdana" w:eastAsia="Calibri" w:hAnsi="Verdana" w:cs="Arial"/>
                <w:lang w:val="es-ES" w:eastAsia="es-ES"/>
              </w:rPr>
              <w:t xml:space="preserve"> </w:t>
            </w:r>
            <w:r>
              <w:rPr>
                <w:rFonts w:ascii="Verdana" w:eastAsia="Calibri" w:hAnsi="Verdana" w:cs="Arial"/>
                <w:lang w:val="es-ES" w:eastAsia="es-ES"/>
              </w:rPr>
              <w:t xml:space="preserve">/ ACTIVIDAD PRINCIPAL </w:t>
            </w:r>
            <w:r w:rsidRPr="001206A4">
              <w:rPr>
                <w:rFonts w:ascii="Verdana" w:eastAsia="Calibri" w:hAnsi="Verdana" w:cs="Arial"/>
                <w:lang w:val="es-ES" w:eastAsia="es-ES"/>
              </w:rPr>
              <w:t>–</w:t>
            </w:r>
            <w:r w:rsidRPr="00BE364D">
              <w:rPr>
                <w:rFonts w:ascii="Verdana" w:eastAsia="Calibri" w:hAnsi="Verdana" w:cs="Arial"/>
                <w:lang w:val="es-ES" w:eastAsia="es-ES"/>
              </w:rPr>
              <w:t xml:space="preserve"> </w:t>
            </w:r>
            <w:r>
              <w:rPr>
                <w:rFonts w:ascii="Verdana" w:eastAsia="Calibri" w:hAnsi="Verdana" w:cs="Arial"/>
                <w:lang w:val="es-ES" w:eastAsia="es-ES"/>
              </w:rPr>
              <w:t xml:space="preserve">mayor relevancia </w:t>
            </w:r>
            <w:r w:rsidRPr="001206A4">
              <w:rPr>
                <w:rFonts w:ascii="Verdana" w:eastAsia="Calibri" w:hAnsi="Verdana" w:cs="Arial"/>
                <w:lang w:val="es-ES" w:eastAsia="es-ES"/>
              </w:rPr>
              <w:t>–</w:t>
            </w:r>
            <w:r>
              <w:rPr>
                <w:rFonts w:ascii="Verdana" w:eastAsia="Calibri" w:hAnsi="Verdana" w:cs="Arial"/>
                <w:lang w:val="es-ES" w:eastAsia="es-ES"/>
              </w:rPr>
              <w:t xml:space="preserve"> Autonomía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98A7284" w14:textId="77777777" w:rsidR="0085000D" w:rsidRPr="00593A5F" w:rsidRDefault="0085000D" w:rsidP="008A06D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5000D" w:rsidRPr="008E6AD9" w14:paraId="40912C64" w14:textId="77777777" w:rsidTr="008A06D4">
        <w:tc>
          <w:tcPr>
            <w:tcW w:w="2689" w:type="dxa"/>
          </w:tcPr>
          <w:p w14:paraId="7172A946" w14:textId="77777777" w:rsidR="0085000D" w:rsidRPr="008E6AD9" w:rsidRDefault="0085000D" w:rsidP="008A06D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6D4E63A" w14:textId="77777777" w:rsidR="0085000D" w:rsidRPr="00B92340" w:rsidRDefault="0085000D" w:rsidP="008A06D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BB75D5">
              <w:rPr>
                <w:rFonts w:ascii="Verdana" w:eastAsia="Calibri" w:hAnsi="Verdana" w:cs="Arial"/>
                <w:lang w:val="es-ES_tradnl" w:eastAsia="es-ES_tradnl"/>
              </w:rPr>
              <w:t>1_2026_09_25_012938</w:t>
            </w:r>
            <w:r>
              <w:rPr>
                <w:rFonts w:ascii="Verdana" w:eastAsia="Calibri" w:hAnsi="Verdana" w:cs="Arial"/>
                <w:lang w:val="es-ES_tradnl" w:eastAsia="es-ES_tradnl"/>
              </w:rPr>
              <w:t xml:space="preserve">                                   </w:t>
            </w:r>
          </w:p>
        </w:tc>
      </w:tr>
    </w:tbl>
    <w:p w14:paraId="1C60D2B2" w14:textId="77777777" w:rsidR="0085000D" w:rsidRPr="00593A5F" w:rsidRDefault="0085000D" w:rsidP="0085000D">
      <w:pPr>
        <w:spacing w:after="0" w:line="240" w:lineRule="auto"/>
        <w:jc w:val="both"/>
        <w:rPr>
          <w:rFonts w:ascii="Verdana" w:eastAsia="Calibri" w:hAnsi="Verdana" w:cs="Arial"/>
          <w:color w:val="000000"/>
          <w:lang w:val="es-ES_tradnl" w:eastAsia="es-ES_tradnl"/>
        </w:rPr>
      </w:pPr>
    </w:p>
    <w:p w14:paraId="497FAC63" w14:textId="77777777" w:rsidR="0085000D" w:rsidRPr="00593A5F" w:rsidRDefault="0085000D" w:rsidP="0085000D">
      <w:pPr>
        <w:spacing w:after="0" w:line="240" w:lineRule="auto"/>
        <w:jc w:val="both"/>
        <w:rPr>
          <w:rFonts w:ascii="Verdana" w:eastAsia="Calibri" w:hAnsi="Verdana" w:cs="Arial"/>
          <w:color w:val="000000"/>
          <w:lang w:val="es-ES_tradnl" w:eastAsia="es-ES_tradnl"/>
        </w:rPr>
      </w:pPr>
    </w:p>
    <w:p w14:paraId="420534DF" w14:textId="77777777" w:rsidR="0085000D" w:rsidRPr="008E6AD9" w:rsidRDefault="0085000D" w:rsidP="0085000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(a)</w:t>
      </w:r>
      <w:r w:rsidRPr="008E6AD9">
        <w:rPr>
          <w:rFonts w:ascii="Verdana" w:eastAsia="Calibri" w:hAnsi="Verdana" w:cs="Arial"/>
          <w:lang w:val="es-ES" w:eastAsia="es-ES"/>
        </w:rPr>
        <w:t xml:space="preserve"> </w:t>
      </w:r>
      <w:r>
        <w:rPr>
          <w:rFonts w:ascii="Verdana" w:eastAsia="Calibri" w:hAnsi="Verdana" w:cs="Arial"/>
          <w:lang w:val="es-ES" w:eastAsia="es-ES"/>
        </w:rPr>
        <w:t>señor (a)</w:t>
      </w:r>
      <w:r w:rsidRPr="008E6AD9">
        <w:rPr>
          <w:rFonts w:ascii="Verdana" w:eastAsia="Calibri" w:hAnsi="Verdana" w:cs="Arial"/>
          <w:lang w:val="es-ES" w:eastAsia="es-ES"/>
        </w:rPr>
        <w:t xml:space="preserve">: </w:t>
      </w:r>
    </w:p>
    <w:p w14:paraId="5CCA1FDC" w14:textId="77777777" w:rsidR="0085000D" w:rsidRDefault="0085000D" w:rsidP="0085000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1351463" w14:textId="77777777" w:rsidR="0085000D" w:rsidRPr="00593A5F" w:rsidRDefault="0085000D" w:rsidP="0085000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25 de septiembre de 2025, en la que plantea las siguientes inquietudes</w:t>
      </w:r>
      <w:r w:rsidRPr="008E6AD9">
        <w:rPr>
          <w:rFonts w:ascii="Verdana" w:eastAsia="Calibri" w:hAnsi="Verdana" w:cs="Arial"/>
          <w:lang w:val="es-ES" w:eastAsia="es-ES"/>
        </w:rPr>
        <w:t xml:space="preserve">: </w:t>
      </w:r>
    </w:p>
    <w:p w14:paraId="7C5BEF28" w14:textId="77777777" w:rsidR="0085000D" w:rsidRPr="00272A7B" w:rsidRDefault="0085000D" w:rsidP="0085000D">
      <w:pPr>
        <w:pStyle w:val="Prrafodelista"/>
        <w:tabs>
          <w:tab w:val="left" w:pos="142"/>
          <w:tab w:val="left" w:pos="284"/>
        </w:tabs>
        <w:spacing w:after="0" w:line="276" w:lineRule="auto"/>
        <w:ind w:left="0"/>
        <w:jc w:val="both"/>
        <w:rPr>
          <w:rFonts w:ascii="Verdana" w:eastAsia="Century Gothic" w:hAnsi="Verdana" w:cs="Century Gothic"/>
          <w:b/>
          <w:bCs/>
        </w:rPr>
      </w:pPr>
    </w:p>
    <w:p w14:paraId="6DF2BF86" w14:textId="77777777" w:rsidR="0085000D" w:rsidRPr="001206A4" w:rsidRDefault="0085000D" w:rsidP="0085000D">
      <w:pPr>
        <w:spacing w:after="120" w:line="240" w:lineRule="auto"/>
        <w:ind w:left="709" w:right="709"/>
        <w:jc w:val="both"/>
        <w:rPr>
          <w:rFonts w:ascii="Verdana" w:eastAsia="Century Gothic" w:hAnsi="Verdana" w:cs="Century Gothic"/>
          <w:sz w:val="20"/>
          <w:szCs w:val="20"/>
          <w:lang w:val="es-ES"/>
        </w:rPr>
      </w:pPr>
      <w:bookmarkStart w:id="0" w:name="_Hlk95313578"/>
      <w:r w:rsidRPr="001206A4">
        <w:rPr>
          <w:rFonts w:ascii="Verdana" w:eastAsia="Century Gothic" w:hAnsi="Verdana" w:cs="Century Gothic"/>
          <w:sz w:val="20"/>
          <w:szCs w:val="20"/>
          <w:lang w:val="es-ES"/>
        </w:rPr>
        <w:t>“</w:t>
      </w:r>
      <w:bookmarkEnd w:id="0"/>
      <w:r w:rsidRPr="001206A4">
        <w:rPr>
          <w:rFonts w:ascii="Verdana" w:eastAsia="Century Gothic" w:hAnsi="Verdana" w:cs="Century Gothic"/>
          <w:sz w:val="20"/>
          <w:szCs w:val="20"/>
          <w:lang w:val="es-ES"/>
        </w:rPr>
        <w:t>Respetuosamente solicitamos a la Agencia Nacional de Contratación Pública – Colombia Compra Eficiente aclarar cuáles son los criterios técnicos, económicos y jurídicos que deben aplicar las Entidades Estatales al momento de determinar las actividades que deben considerarse “representativas” dentro de un proyecto de obra, particularmente para efectos de establecer los requisitos de experiencia específica exigibles a los proponentes.</w:t>
      </w:r>
    </w:p>
    <w:p w14:paraId="14AA6A66" w14:textId="77777777" w:rsidR="0085000D" w:rsidRPr="001206A4" w:rsidRDefault="0085000D" w:rsidP="0085000D">
      <w:pPr>
        <w:spacing w:after="120" w:line="240" w:lineRule="auto"/>
        <w:ind w:left="709" w:right="709"/>
        <w:jc w:val="both"/>
        <w:rPr>
          <w:rFonts w:ascii="Verdana" w:eastAsia="Century Gothic" w:hAnsi="Verdana" w:cs="Century Gothic"/>
          <w:sz w:val="20"/>
          <w:szCs w:val="20"/>
          <w:lang w:val="es-ES"/>
        </w:rPr>
      </w:pPr>
      <w:r w:rsidRPr="001206A4">
        <w:rPr>
          <w:rFonts w:ascii="Verdana" w:eastAsia="Century Gothic" w:hAnsi="Verdana" w:cs="Century Gothic"/>
          <w:sz w:val="20"/>
          <w:szCs w:val="20"/>
          <w:lang w:val="es-ES"/>
        </w:rPr>
        <w:lastRenderedPageBreak/>
        <w:t>La inquietud surge debido a que, dentro de un mismo presupuesto de obra, puede presentarse que una actividad tenga la mayor participación porcentual en términos económicos, pero que otra actividad represente una mayor magnitud física, volumen de ejecución, incidencia sobre el desarrollo constructivo, complejidad técnica o relevancia dentro del objeto contractual.</w:t>
      </w:r>
    </w:p>
    <w:p w14:paraId="68C08220" w14:textId="77777777" w:rsidR="0085000D" w:rsidRPr="001206A4" w:rsidRDefault="0085000D" w:rsidP="0085000D">
      <w:pPr>
        <w:spacing w:after="120" w:line="240" w:lineRule="auto"/>
        <w:ind w:left="709" w:right="709"/>
        <w:jc w:val="both"/>
        <w:rPr>
          <w:rFonts w:ascii="Verdana" w:eastAsia="Century Gothic" w:hAnsi="Verdana" w:cs="Century Gothic"/>
          <w:sz w:val="20"/>
          <w:szCs w:val="20"/>
          <w:lang w:val="es-ES"/>
        </w:rPr>
      </w:pPr>
      <w:r w:rsidRPr="001206A4">
        <w:rPr>
          <w:rFonts w:ascii="Verdana" w:eastAsia="Century Gothic" w:hAnsi="Verdana" w:cs="Century Gothic"/>
          <w:sz w:val="20"/>
          <w:szCs w:val="20"/>
          <w:lang w:val="es-ES"/>
        </w:rPr>
        <w:t>En ese sentido, solicitamos precisar si, para definir la actividad representativa sobre la cual se estructura una exigencia de experiencia, debe otorgarse prevalencia al mayor valor económico o porcentaje de participación dentro del presupuesto oficial, o si la Entidad Estatal debe considerar de manera integral otros factores como las cantidades de obra, volumen de ejecución, complejidad, especialidad, criticidad técnica, alcance e incidencia de la actividad dentro del objeto contractual y los riesgos asociados a su ejecución.</w:t>
      </w:r>
    </w:p>
    <w:p w14:paraId="3C4CF2DF" w14:textId="77777777" w:rsidR="0085000D" w:rsidRPr="001206A4" w:rsidRDefault="0085000D" w:rsidP="0085000D">
      <w:pPr>
        <w:spacing w:after="120" w:line="240" w:lineRule="auto"/>
        <w:ind w:left="709" w:right="709"/>
        <w:jc w:val="both"/>
        <w:rPr>
          <w:rFonts w:ascii="Verdana" w:eastAsia="Century Gothic" w:hAnsi="Verdana" w:cs="Century Gothic"/>
          <w:sz w:val="20"/>
          <w:szCs w:val="20"/>
        </w:rPr>
      </w:pPr>
      <w:r w:rsidRPr="001206A4">
        <w:rPr>
          <w:rFonts w:ascii="Verdana" w:eastAsia="Century Gothic" w:hAnsi="Verdana" w:cs="Century Gothic"/>
          <w:sz w:val="20"/>
          <w:szCs w:val="20"/>
        </w:rPr>
        <w:t xml:space="preserve">De igual manera, solicitamos aclarar si existe un criterio o metodología definida por Colombia Compra Eficiente para resolver aquellos eventos en los que el mayor peso económico de una actividad no coincide con la actividad que presenta la mayor relevancia técnica o constructiva dentro del proyecto, y si la Entidad Estatal se encuentra facultada para seleccionar como actividad representativa aquella que considere de mayor importancia desde el punto de vista técnico, aun cuando no corresponda a la de mayor participación económica, siempre que dicha determinación se encuentre debidamente sustentada en los estudios y documentos previos, el estudio del sector y las características, complejidad y riesgos del objeto a contratar. </w:t>
      </w:r>
    </w:p>
    <w:p w14:paraId="6F0E2868" w14:textId="77777777" w:rsidR="0085000D" w:rsidRPr="001206A4" w:rsidRDefault="0085000D" w:rsidP="0085000D">
      <w:pPr>
        <w:spacing w:after="120" w:line="240" w:lineRule="auto"/>
        <w:ind w:left="709" w:right="709"/>
        <w:jc w:val="both"/>
        <w:rPr>
          <w:rFonts w:ascii="Verdana" w:eastAsia="Century Gothic" w:hAnsi="Verdana" w:cs="Century Gothic"/>
          <w:sz w:val="20"/>
          <w:szCs w:val="20"/>
        </w:rPr>
      </w:pPr>
      <w:r w:rsidRPr="001206A4">
        <w:rPr>
          <w:rFonts w:ascii="Verdana" w:eastAsia="Century Gothic" w:hAnsi="Verdana" w:cs="Century Gothic"/>
          <w:sz w:val="20"/>
          <w:szCs w:val="20"/>
        </w:rPr>
        <w:t>Finalmente, agradecemos precisar si, en ausencia de una regla expresa que establezca la prevalencia del criterio económico, resultaría jurídicamente procedente que una Entidad Estatal fundamente la definición de las actividades representativas en un análisis integral de los componentes económicos y técnicos del proyecto, garantizando que el requisito de experiencia conserve una relación directa, adecuada, proporcional y razonable con las actividades que efectivamente determinan la capacidad del futuro contratista para ejecutar satisfactoriamente el objeto contractual”.</w:t>
      </w:r>
    </w:p>
    <w:p w14:paraId="0D30FDFE" w14:textId="77777777" w:rsidR="0085000D" w:rsidRPr="008E6AD9" w:rsidRDefault="0085000D" w:rsidP="0085000D">
      <w:pPr>
        <w:pStyle w:val="Prrafodelista"/>
        <w:tabs>
          <w:tab w:val="left" w:pos="142"/>
          <w:tab w:val="left" w:pos="284"/>
        </w:tabs>
        <w:spacing w:after="0" w:line="276" w:lineRule="auto"/>
        <w:ind w:left="0"/>
        <w:jc w:val="both"/>
        <w:rPr>
          <w:rFonts w:ascii="Verdana" w:eastAsia="Century Gothic" w:hAnsi="Verdana" w:cs="Century Gothic"/>
          <w:b/>
          <w:bCs/>
        </w:rPr>
      </w:pPr>
    </w:p>
    <w:p w14:paraId="2B8CB571" w14:textId="77777777" w:rsidR="0085000D" w:rsidRPr="00A652FF" w:rsidRDefault="0085000D" w:rsidP="0085000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w:t>
      </w:r>
      <w:r w:rsidRPr="00593A5F">
        <w:rPr>
          <w:rFonts w:ascii="Verdana" w:eastAsia="Calibri" w:hAnsi="Verdana" w:cs="Arial"/>
          <w:color w:val="000000"/>
          <w:lang w:val="es-ES" w:eastAsia="es-ES"/>
        </w:rPr>
        <w:lastRenderedPageBreak/>
        <w:t xml:space="preserve">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019846B" w14:textId="77777777" w:rsidR="0085000D" w:rsidRDefault="0085000D" w:rsidP="0085000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DF9EAF0" w14:textId="77777777" w:rsidR="0085000D" w:rsidRPr="00593A5F" w:rsidRDefault="0085000D" w:rsidP="0085000D">
      <w:pPr>
        <w:spacing w:after="0" w:line="276" w:lineRule="auto"/>
        <w:ind w:firstLine="709"/>
        <w:jc w:val="both"/>
        <w:rPr>
          <w:rFonts w:ascii="Verdana" w:eastAsia="Calibri" w:hAnsi="Verdana" w:cs="Arial"/>
          <w:color w:val="000000"/>
          <w:lang w:val="es-ES" w:eastAsia="es-ES"/>
        </w:rPr>
      </w:pPr>
    </w:p>
    <w:p w14:paraId="77B6F2DE" w14:textId="77777777" w:rsidR="0085000D" w:rsidRPr="00593A5F" w:rsidRDefault="0085000D" w:rsidP="0085000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0902E40" w14:textId="77777777" w:rsidR="0085000D" w:rsidRPr="00593A5F" w:rsidRDefault="0085000D" w:rsidP="0085000D">
      <w:pPr>
        <w:tabs>
          <w:tab w:val="left" w:pos="426"/>
        </w:tabs>
        <w:spacing w:after="0" w:line="276" w:lineRule="auto"/>
        <w:jc w:val="both"/>
        <w:rPr>
          <w:rFonts w:ascii="Verdana" w:eastAsia="Century Gothic" w:hAnsi="Verdana" w:cs="Century Gothic"/>
          <w:lang w:val="es-ES"/>
        </w:rPr>
      </w:pPr>
    </w:p>
    <w:p w14:paraId="764B33F9" w14:textId="77777777" w:rsidR="0085000D" w:rsidRPr="00593A5F" w:rsidRDefault="0085000D" w:rsidP="0085000D">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4C2D20">
        <w:rPr>
          <w:rFonts w:ascii="Verdana" w:eastAsia="Century Gothic" w:hAnsi="Verdana" w:cs="Century Gothic"/>
        </w:rPr>
        <w:t>¿Cuáles son los criterios que pueden considerar las entidades estatales para determinar las actividades de mayor relevancia con el fin de establecer los requisitos de experiencia específica exigibles a los proponentes?</w:t>
      </w:r>
    </w:p>
    <w:p w14:paraId="3E15D8C9" w14:textId="77777777" w:rsidR="0085000D" w:rsidRPr="004B140F" w:rsidRDefault="0085000D" w:rsidP="0085000D">
      <w:pPr>
        <w:spacing w:after="0" w:line="276" w:lineRule="auto"/>
        <w:jc w:val="both"/>
        <w:rPr>
          <w:rFonts w:ascii="Verdana" w:eastAsia="Calibri" w:hAnsi="Verdana" w:cs="Arial"/>
          <w:color w:val="7030A0"/>
        </w:rPr>
      </w:pPr>
    </w:p>
    <w:p w14:paraId="672A5E46" w14:textId="77777777" w:rsidR="0085000D" w:rsidRPr="00593A5F" w:rsidRDefault="0085000D" w:rsidP="008500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F6F99AA" w14:textId="77777777" w:rsidR="0085000D" w:rsidRPr="00593A5F" w:rsidRDefault="0085000D" w:rsidP="0085000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000D" w:rsidRPr="00593A5F" w14:paraId="6CA943F4" w14:textId="77777777" w:rsidTr="008A06D4">
        <w:trPr>
          <w:jc w:val="center"/>
        </w:trPr>
        <w:tc>
          <w:tcPr>
            <w:tcW w:w="8828" w:type="dxa"/>
          </w:tcPr>
          <w:p w14:paraId="576700B9" w14:textId="77777777" w:rsidR="0085000D" w:rsidRDefault="0085000D" w:rsidP="008A06D4">
            <w:pPr>
              <w:spacing w:after="120" w:line="276" w:lineRule="auto"/>
              <w:jc w:val="both"/>
              <w:rPr>
                <w:rFonts w:ascii="Verdana" w:eastAsia="Calibri" w:hAnsi="Verdana" w:cs="Arial"/>
                <w:bCs/>
                <w:color w:val="000000" w:themeColor="text1"/>
              </w:rPr>
            </w:pPr>
            <w:bookmarkStart w:id="1" w:name="_Hlk171694685"/>
            <w:r w:rsidRPr="00054F06">
              <w:rPr>
                <w:rFonts w:ascii="Verdana" w:eastAsia="Calibri" w:hAnsi="Verdana" w:cs="Arial"/>
                <w:bCs/>
                <w:color w:val="000000" w:themeColor="text1"/>
              </w:rPr>
              <w:t>La noción de experiencia específica corresponde a un concepto de carácter eminentemente técnico que permite a las entidades estatales exigir a los proponentes la acreditación de conocimientos y capacidades derivados de su participación previa en actividades iguales o similares a las que se pretenden contratar, con un mayor grado de concreción respecto de la experiencia requerida. En consecuencia, corresponde a cada entidad determinar la pertinencia de exigirla, atendiendo a las características y necesidades del proceso de contratación.</w:t>
            </w:r>
          </w:p>
          <w:p w14:paraId="25939D9D" w14:textId="77777777" w:rsidR="0085000D" w:rsidRPr="00054F06" w:rsidRDefault="0085000D" w:rsidP="008A06D4">
            <w:pPr>
              <w:spacing w:after="120" w:line="276" w:lineRule="auto"/>
              <w:ind w:firstLine="743"/>
              <w:jc w:val="both"/>
              <w:rPr>
                <w:rFonts w:ascii="Verdana" w:eastAsia="Calibri" w:hAnsi="Verdana" w:cs="Arial"/>
                <w:bCs/>
                <w:color w:val="000000" w:themeColor="text1"/>
              </w:rPr>
            </w:pPr>
            <w:r w:rsidRPr="00054F06">
              <w:rPr>
                <w:rFonts w:ascii="Verdana" w:eastAsia="Calibri" w:hAnsi="Verdana" w:cs="Arial"/>
                <w:bCs/>
                <w:color w:val="000000" w:themeColor="text1"/>
              </w:rPr>
              <w:t>En relación con la determinación de las actividades de mayor relevancia o representatividad en un contrato de obra, no existen criterios uniformes de aplicación general, sin perjuicio de las reglas particulares previstas en los documentos tipo cuando resulten aplicables. Para identificar dichas actividades, la entidad podrá considerar, entre otros factores, su participación en el presupuesto oficial, su complejidad técnica y constructiva, y su importancia para el cumplimiento de la finalidad del contrato.</w:t>
            </w:r>
          </w:p>
          <w:p w14:paraId="2B1252CC" w14:textId="77777777" w:rsidR="0085000D" w:rsidRPr="000C09DF" w:rsidRDefault="0085000D" w:rsidP="008A06D4">
            <w:pPr>
              <w:spacing w:after="120" w:line="276" w:lineRule="auto"/>
              <w:ind w:firstLine="709"/>
              <w:jc w:val="both"/>
              <w:rPr>
                <w:rFonts w:ascii="Verdana" w:eastAsia="Calibri" w:hAnsi="Verdana" w:cs="Arial"/>
              </w:rPr>
            </w:pPr>
            <w:r w:rsidRPr="00461C1F">
              <w:rPr>
                <w:rFonts w:ascii="Verdana" w:eastAsia="Calibri" w:hAnsi="Verdana" w:cs="Arial"/>
              </w:rPr>
              <w:t xml:space="preserve">A modo de ejemplo, en un contrato cuyo objeto la construcción de una edificación, podrían resultar relevantes las actividades estructurales cuando </w:t>
            </w:r>
            <w:r w:rsidRPr="00461C1F">
              <w:rPr>
                <w:rFonts w:ascii="Verdana" w:eastAsia="Calibri" w:hAnsi="Verdana" w:cs="Arial"/>
              </w:rPr>
              <w:lastRenderedPageBreak/>
              <w:t>concentren una proporción significativa del presupuesto o sean determinantes para la ejecución de la obra, mientras que labores accesorias, como la instalación de determinados elementos de señalización interna, podrían no tener esa misma representatividad. Estos ejemplos no constituyen reglas generales, pues la calificación dependerá de las características concretas de cada contrato.</w:t>
            </w:r>
          </w:p>
          <w:p w14:paraId="78FF2FE0" w14:textId="77777777" w:rsidR="0085000D" w:rsidRPr="002A4EF3" w:rsidRDefault="0085000D" w:rsidP="008A06D4">
            <w:pPr>
              <w:spacing w:after="120" w:line="276" w:lineRule="auto"/>
              <w:ind w:firstLine="709"/>
              <w:jc w:val="both"/>
              <w:rPr>
                <w:rFonts w:ascii="Verdana" w:eastAsia="Calibri" w:hAnsi="Verdana" w:cs="Arial"/>
              </w:rPr>
            </w:pPr>
            <w:r w:rsidRPr="00461C1F">
              <w:rPr>
                <w:rFonts w:ascii="Verdana" w:eastAsia="Calibri" w:hAnsi="Verdana" w:cs="Arial"/>
              </w:rPr>
              <w:t>Así, una actividad podría considerarse de mayor relevancia cuando, por ejemplo, represente una proporción significativa del presupuesto total —como podría ocurrir si concentra más del 50 % del valor del contrato—, cuando sea determinante para la finalidad y funcionalidad de la obra, o cuando concurran ambos factores. No obstante, el porcentaje presupuestal no constituye, por sí solo, un criterio concluyente ni un umbral obligatorio de aplicación general. Una actividad de menor participación económica podría ser técnicamente determinante para la obra, mientras que otra de mayor valor podría comprender labores que, por sus características, no representen la experiencia específica que la entidad necesita verificar. Por consiguiente, las actividades secundarias o accesorias no deben descartarse automáticamente, sino evaluarse según su contribución efectiva al objeto contractual y las condiciones de ejecución.</w:t>
            </w:r>
          </w:p>
          <w:p w14:paraId="70DCA76C" w14:textId="77777777" w:rsidR="0085000D" w:rsidRPr="00054F06" w:rsidRDefault="0085000D" w:rsidP="008A06D4">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particular</w:t>
            </w:r>
            <w:r w:rsidRPr="00054F06">
              <w:rPr>
                <w:rFonts w:ascii="Verdana" w:eastAsia="Calibri" w:hAnsi="Verdana" w:cs="Arial"/>
                <w:bCs/>
                <w:color w:val="000000" w:themeColor="text1"/>
              </w:rPr>
              <w:t>, el literal A del numeral 3.5.1 del documento base de los documentos tipo de licitación de obra pública de infraestructura de transporte, versión 4, dispone que, cuando se soliciten combinaciones de diferentes actividades, la entidad deberá identificar y definir la actividad principal y las secundarias o accesorias, de acuerdo con las características del proyecto. Para ello, podrá analizar la relevancia en función del valor de las actividades en el presupuesto oficial o de su complejidad técnica, y deberá establecer los requisitos de experiencia conforme a la matriz aplicable y las reglas previstas en dichos documentos tipo.</w:t>
            </w:r>
          </w:p>
          <w:p w14:paraId="5C0FCE99" w14:textId="77777777" w:rsidR="0085000D" w:rsidRPr="002A4EF3" w:rsidRDefault="0085000D" w:rsidP="008A06D4">
            <w:pPr>
              <w:spacing w:after="120" w:line="276" w:lineRule="auto"/>
              <w:ind w:firstLine="709"/>
              <w:jc w:val="both"/>
              <w:rPr>
                <w:rFonts w:ascii="Verdana" w:eastAsia="Calibri" w:hAnsi="Verdana" w:cs="Arial"/>
              </w:rPr>
            </w:pPr>
            <w:r w:rsidRPr="00461C1F">
              <w:rPr>
                <w:rFonts w:ascii="Verdana" w:eastAsia="Calibri" w:hAnsi="Verdana" w:cs="Arial"/>
              </w:rPr>
              <w:t>En con</w:t>
            </w:r>
            <w:r>
              <w:rPr>
                <w:rFonts w:ascii="Verdana" w:eastAsia="Calibri" w:hAnsi="Verdana" w:cs="Arial"/>
              </w:rPr>
              <w:t>clusión</w:t>
            </w:r>
            <w:r w:rsidRPr="00461C1F">
              <w:rPr>
                <w:rFonts w:ascii="Verdana" w:eastAsia="Calibri" w:hAnsi="Verdana" w:cs="Arial"/>
              </w:rPr>
              <w:t xml:space="preserve">, corresponde a cada entidad estatal efectuar una valoración integral y debidamente justificada de las actividades que conforman el proyecto, considerando su alcance, finalidad, presupuesto, complejidad técnica y relación con las demás obligaciones contractuales. A partir de ese análisis, deberá establecer cuáles actividades resulta pertinente exigir como experiencia específica, procurando que los requisitos definidos guarden relación directa con el objeto por contratar y sean adecuados y proporcionales a su naturaleza, cuantía y complejidad, sin generar restricciones injustificadas </w:t>
            </w:r>
            <w:r w:rsidRPr="00461C1F">
              <w:rPr>
                <w:rFonts w:ascii="Verdana" w:eastAsia="Calibri" w:hAnsi="Verdana" w:cs="Arial"/>
              </w:rPr>
              <w:lastRenderedPageBreak/>
              <w:t>a la pluralidad de oferentes ni desconocer las reglas aplicables de selección objetiva. En todo caso, cuando resulten aplicables los documentos tipo, la entidad deberá sujetarse a las condiciones y parámetros allí previstos, y la identificación de las actividades representativas no podrá utilizarse para eludir las reglas legales que determinan la modalidad de selección correspondiente.</w:t>
            </w:r>
          </w:p>
          <w:p w14:paraId="6575A0DE" w14:textId="77777777" w:rsidR="0085000D" w:rsidRPr="001941FD" w:rsidRDefault="0085000D" w:rsidP="008A06D4">
            <w:pPr>
              <w:spacing w:after="120"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4A0E9A4" w14:textId="77777777" w:rsidR="0085000D" w:rsidRPr="00593A5F" w:rsidRDefault="0085000D" w:rsidP="0085000D">
      <w:pPr>
        <w:tabs>
          <w:tab w:val="left" w:pos="142"/>
          <w:tab w:val="left" w:pos="284"/>
        </w:tabs>
        <w:spacing w:after="0" w:line="276" w:lineRule="auto"/>
        <w:jc w:val="both"/>
        <w:rPr>
          <w:rFonts w:ascii="Verdana" w:eastAsia="Century Gothic" w:hAnsi="Verdana" w:cs="Century Gothic"/>
          <w:b/>
          <w:bCs/>
          <w:lang w:val="es-ES"/>
        </w:rPr>
      </w:pPr>
    </w:p>
    <w:bookmarkEnd w:id="1"/>
    <w:p w14:paraId="1C30181D" w14:textId="77777777" w:rsidR="0085000D" w:rsidRPr="00593A5F" w:rsidRDefault="0085000D" w:rsidP="008500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C19DAB6" w14:textId="77777777" w:rsidR="0085000D" w:rsidRPr="00593A5F" w:rsidRDefault="0085000D" w:rsidP="0085000D">
      <w:pPr>
        <w:spacing w:after="0" w:line="276" w:lineRule="auto"/>
        <w:jc w:val="both"/>
        <w:rPr>
          <w:rFonts w:ascii="Verdana" w:eastAsia="Calibri" w:hAnsi="Verdana" w:cs="Arial"/>
          <w:color w:val="7030A0"/>
          <w:lang w:val="es-ES"/>
        </w:rPr>
      </w:pPr>
    </w:p>
    <w:p w14:paraId="06E87194" w14:textId="77777777" w:rsidR="0085000D" w:rsidRDefault="0085000D" w:rsidP="0085000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E59FF2D" w14:textId="77777777" w:rsidR="0085000D" w:rsidRPr="00415608" w:rsidRDefault="0085000D" w:rsidP="0085000D">
      <w:pPr>
        <w:spacing w:after="0" w:line="276" w:lineRule="auto"/>
        <w:jc w:val="both"/>
        <w:rPr>
          <w:rFonts w:ascii="Verdana" w:eastAsia="Calibri" w:hAnsi="Verdana" w:cs="Arial"/>
          <w:lang w:val="es-ES"/>
        </w:rPr>
      </w:pPr>
    </w:p>
    <w:p w14:paraId="7D9F34F7" w14:textId="77777777" w:rsidR="0085000D" w:rsidRPr="00073791" w:rsidRDefault="0085000D" w:rsidP="0085000D">
      <w:pPr>
        <w:spacing w:after="120" w:line="276" w:lineRule="auto"/>
        <w:jc w:val="both"/>
        <w:rPr>
          <w:rFonts w:ascii="Verdana" w:eastAsia="Calibri" w:hAnsi="Verdana" w:cs="Arial"/>
          <w:color w:val="000000" w:themeColor="text1"/>
          <w:lang w:val="es-ES_tradnl"/>
        </w:rPr>
      </w:pPr>
      <w:r w:rsidRPr="00073791">
        <w:rPr>
          <w:rFonts w:ascii="Verdana" w:eastAsia="Calibri" w:hAnsi="Verdana" w:cs="Arial"/>
        </w:rPr>
        <w:t xml:space="preserve">i. </w:t>
      </w:r>
      <w:r w:rsidRPr="00073791">
        <w:rPr>
          <w:rFonts w:ascii="Verdana" w:eastAsia="Calibri" w:hAnsi="Verdana" w:cs="Arial"/>
          <w:color w:val="000000" w:themeColor="text1"/>
          <w:lang w:val="es-ES_tradnl"/>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5FBFDCD7" w14:textId="77777777" w:rsidR="0085000D" w:rsidRPr="00073791" w:rsidRDefault="0085000D" w:rsidP="0085000D">
      <w:pPr>
        <w:spacing w:after="0" w:line="276" w:lineRule="auto"/>
        <w:ind w:firstLine="709"/>
        <w:jc w:val="both"/>
        <w:rPr>
          <w:rFonts w:ascii="Verdana" w:eastAsia="Calibri" w:hAnsi="Verdana" w:cs="Arial"/>
          <w:color w:val="000000" w:themeColor="text1"/>
          <w:lang w:val="es-ES"/>
        </w:rPr>
      </w:pPr>
      <w:r w:rsidRPr="7071DB28">
        <w:rPr>
          <w:rFonts w:ascii="Verdana" w:eastAsia="Calibri"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7071DB28">
        <w:rPr>
          <w:rFonts w:ascii="Verdana" w:eastAsia="Calibri" w:hAnsi="Verdana" w:cs="Arial"/>
          <w:i/>
          <w:color w:val="000000" w:themeColor="text1"/>
          <w:lang w:val="es-ES"/>
        </w:rPr>
        <w:t>entre otros</w:t>
      </w:r>
      <w:r w:rsidRPr="7071DB28">
        <w:rPr>
          <w:rFonts w:ascii="Verdana" w:eastAsia="Calibri" w:hAnsi="Verdana" w:cs="Arial"/>
          <w:color w:val="000000" w:themeColor="text1"/>
          <w:lang w:val="es-ES"/>
        </w:rPr>
        <w:t xml:space="preserve">, los siguientes: i) la capacidad jurídica; </w:t>
      </w:r>
      <w:proofErr w:type="spellStart"/>
      <w:r w:rsidRPr="7071DB28">
        <w:rPr>
          <w:rFonts w:ascii="Verdana" w:eastAsia="Calibri" w:hAnsi="Verdana" w:cs="Arial"/>
          <w:color w:val="000000" w:themeColor="text1"/>
          <w:lang w:val="es-ES"/>
        </w:rPr>
        <w:t>ii</w:t>
      </w:r>
      <w:proofErr w:type="spellEnd"/>
      <w:r w:rsidRPr="7071DB28">
        <w:rPr>
          <w:rFonts w:ascii="Verdana" w:eastAsia="Calibri" w:hAnsi="Verdana" w:cs="Arial"/>
          <w:color w:val="000000" w:themeColor="text1"/>
          <w:lang w:val="es-ES"/>
        </w:rPr>
        <w:t xml:space="preserve">) la experiencia; </w:t>
      </w:r>
      <w:proofErr w:type="spellStart"/>
      <w:r w:rsidRPr="7071DB28">
        <w:rPr>
          <w:rFonts w:ascii="Verdana" w:eastAsia="Calibri" w:hAnsi="Verdana" w:cs="Arial"/>
          <w:color w:val="000000" w:themeColor="text1"/>
          <w:lang w:val="es-ES"/>
        </w:rPr>
        <w:t>iii</w:t>
      </w:r>
      <w:proofErr w:type="spellEnd"/>
      <w:r w:rsidRPr="7071DB28">
        <w:rPr>
          <w:rFonts w:ascii="Verdana" w:eastAsia="Calibri" w:hAnsi="Verdana" w:cs="Arial"/>
          <w:color w:val="000000" w:themeColor="text1"/>
          <w:lang w:val="es-ES"/>
        </w:rPr>
        <w:t xml:space="preserve">) la capacidad financiera y </w:t>
      </w:r>
      <w:proofErr w:type="spellStart"/>
      <w:r w:rsidRPr="7071DB28">
        <w:rPr>
          <w:rFonts w:ascii="Verdana" w:eastAsia="Calibri" w:hAnsi="Verdana" w:cs="Arial"/>
          <w:color w:val="000000" w:themeColor="text1"/>
          <w:lang w:val="es-ES"/>
        </w:rPr>
        <w:t>iv</w:t>
      </w:r>
      <w:proofErr w:type="spellEnd"/>
      <w:r w:rsidRPr="7071DB28">
        <w:rPr>
          <w:rFonts w:ascii="Verdana" w:eastAsia="Calibri" w:hAnsi="Verdana" w:cs="Arial"/>
          <w:color w:val="000000" w:themeColor="text1"/>
          <w:lang w:val="es-ES"/>
        </w:rPr>
        <w:t xml:space="preserve">) la capacidad de organización. En efecto, la norma citada dispone lo siguiente: </w:t>
      </w:r>
    </w:p>
    <w:p w14:paraId="5E8820B6" w14:textId="77777777" w:rsidR="0085000D" w:rsidRPr="00073791" w:rsidRDefault="0085000D" w:rsidP="0085000D">
      <w:pPr>
        <w:spacing w:after="0"/>
        <w:jc w:val="both"/>
        <w:rPr>
          <w:rFonts w:ascii="Verdana" w:eastAsia="Calibri" w:hAnsi="Verdana" w:cs="Arial"/>
          <w:color w:val="000000" w:themeColor="text1"/>
          <w:lang w:val="es-ES_tradnl"/>
        </w:rPr>
      </w:pPr>
    </w:p>
    <w:p w14:paraId="275BC295" w14:textId="77777777" w:rsidR="0085000D" w:rsidRPr="00073791" w:rsidRDefault="0085000D" w:rsidP="0085000D">
      <w:pPr>
        <w:spacing w:after="0" w:line="240" w:lineRule="auto"/>
        <w:ind w:left="709" w:right="709"/>
        <w:jc w:val="both"/>
        <w:rPr>
          <w:rFonts w:ascii="Verdana" w:eastAsia="Calibri" w:hAnsi="Verdana" w:cs="Arial"/>
          <w:color w:val="000000" w:themeColor="text1"/>
          <w:sz w:val="21"/>
          <w:szCs w:val="21"/>
          <w:lang w:val="es-ES_tradnl"/>
        </w:rPr>
      </w:pPr>
      <w:r w:rsidRPr="00073791">
        <w:rPr>
          <w:rFonts w:ascii="Verdana" w:eastAsia="Calibri" w:hAnsi="Verdana" w:cs="Arial"/>
          <w:color w:val="000000" w:themeColor="text1"/>
          <w:sz w:val="21"/>
          <w:szCs w:val="21"/>
          <w:lang w:val="es-ES_tradnl"/>
        </w:rPr>
        <w:t xml:space="preserve">“Artículo 5. De la Selección Objetiva. </w:t>
      </w:r>
    </w:p>
    <w:p w14:paraId="06448727" w14:textId="77777777" w:rsidR="0085000D" w:rsidRPr="00073791" w:rsidRDefault="0085000D" w:rsidP="0085000D">
      <w:pPr>
        <w:spacing w:after="120" w:line="240" w:lineRule="auto"/>
        <w:ind w:left="709" w:right="709"/>
        <w:jc w:val="both"/>
        <w:rPr>
          <w:rFonts w:ascii="Verdana" w:eastAsia="Calibri" w:hAnsi="Verdana" w:cs="Arial"/>
          <w:color w:val="000000" w:themeColor="text1"/>
          <w:sz w:val="21"/>
          <w:szCs w:val="21"/>
          <w:lang w:val="es-ES_tradnl"/>
        </w:rPr>
      </w:pPr>
      <w:r w:rsidRPr="00073791">
        <w:rPr>
          <w:rFonts w:ascii="Verdana" w:eastAsia="Calibri" w:hAnsi="Verdana" w:cs="Arial"/>
          <w:color w:val="000000" w:themeColor="text1"/>
          <w:sz w:val="21"/>
          <w:szCs w:val="21"/>
          <w:lang w:val="es-ES_tradnl"/>
        </w:rPr>
        <w:t>[…]</w:t>
      </w:r>
    </w:p>
    <w:p w14:paraId="0E019F6A" w14:textId="77777777" w:rsidR="0085000D" w:rsidRPr="00073791" w:rsidRDefault="0085000D" w:rsidP="0085000D">
      <w:pPr>
        <w:spacing w:after="0" w:line="240" w:lineRule="auto"/>
        <w:ind w:left="709" w:right="709"/>
        <w:jc w:val="both"/>
        <w:rPr>
          <w:rFonts w:ascii="Verdana" w:eastAsia="Calibri" w:hAnsi="Verdana" w:cs="Arial"/>
          <w:color w:val="000000" w:themeColor="text1"/>
          <w:sz w:val="21"/>
          <w:szCs w:val="21"/>
          <w:lang w:val="es-ES"/>
        </w:rPr>
      </w:pPr>
      <w:r w:rsidRPr="7071DB28">
        <w:rPr>
          <w:rFonts w:ascii="Verdana" w:eastAsia="Calibri" w:hAnsi="Verdana" w:cs="Arial"/>
          <w:color w:val="000000" w:themeColor="text1"/>
          <w:sz w:val="21"/>
          <w:szCs w:val="21"/>
          <w:lang w:val="es-ES"/>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F4D5A7B" w14:textId="77777777" w:rsidR="0085000D" w:rsidRPr="00073791" w:rsidRDefault="0085000D" w:rsidP="0085000D">
      <w:pPr>
        <w:spacing w:after="0" w:line="276" w:lineRule="auto"/>
        <w:jc w:val="both"/>
        <w:rPr>
          <w:rFonts w:ascii="Verdana" w:eastAsia="Calibri" w:hAnsi="Verdana" w:cs="Arial"/>
          <w:color w:val="000000" w:themeColor="text1"/>
          <w:lang w:val="es-ES_tradnl"/>
        </w:rPr>
      </w:pPr>
      <w:r w:rsidRPr="00073791">
        <w:rPr>
          <w:rFonts w:ascii="Verdana" w:eastAsia="Calibri" w:hAnsi="Verdana" w:cs="Arial"/>
          <w:color w:val="000000" w:themeColor="text1"/>
          <w:lang w:val="es-ES_tradnl"/>
        </w:rPr>
        <w:t xml:space="preserve"> </w:t>
      </w:r>
    </w:p>
    <w:p w14:paraId="05950AA3" w14:textId="77777777" w:rsidR="0085000D" w:rsidRDefault="0085000D" w:rsidP="0085000D">
      <w:pPr>
        <w:spacing w:after="0" w:line="276" w:lineRule="auto"/>
        <w:ind w:firstLine="708"/>
        <w:jc w:val="both"/>
        <w:rPr>
          <w:rFonts w:ascii="Verdana" w:eastAsia="Calibri" w:hAnsi="Verdana" w:cs="Arial"/>
          <w:color w:val="000000" w:themeColor="text1"/>
        </w:rPr>
      </w:pPr>
      <w:r w:rsidRPr="004D5C75">
        <w:rPr>
          <w:rFonts w:ascii="Verdana" w:eastAsia="Calibri" w:hAnsi="Verdana" w:cs="Arial"/>
          <w:color w:val="000000" w:themeColor="text1"/>
        </w:rPr>
        <w:t xml:space="preserve">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w:t>
      </w:r>
      <w:r w:rsidRPr="004D5C75">
        <w:rPr>
          <w:rFonts w:ascii="Verdana" w:eastAsia="Calibri" w:hAnsi="Verdana" w:cs="Arial"/>
          <w:i/>
          <w:iCs/>
          <w:color w:val="000000" w:themeColor="text1"/>
        </w:rPr>
        <w:t>requisitos</w:t>
      </w:r>
      <w:r w:rsidRPr="004D5C75">
        <w:rPr>
          <w:rFonts w:ascii="Verdana" w:eastAsia="Calibri" w:hAnsi="Verdana" w:cs="Arial"/>
          <w:color w:val="000000" w:themeColor="text1"/>
        </w:rPr>
        <w:t xml:space="preserve"> </w:t>
      </w:r>
      <w:r w:rsidRPr="004D5C75">
        <w:rPr>
          <w:rFonts w:ascii="Verdana" w:eastAsia="Calibri" w:hAnsi="Verdana" w:cs="Arial"/>
          <w:i/>
          <w:color w:val="000000" w:themeColor="text1"/>
        </w:rPr>
        <w:t>habilitantes</w:t>
      </w:r>
      <w:r>
        <w:rPr>
          <w:rFonts w:ascii="Verdana" w:eastAsia="Calibri" w:hAnsi="Verdana" w:cs="Arial"/>
          <w:i/>
          <w:color w:val="000000" w:themeColor="text1"/>
        </w:rPr>
        <w:t xml:space="preserve"> </w:t>
      </w:r>
      <w:r>
        <w:rPr>
          <w:rFonts w:ascii="Verdana" w:eastAsia="Calibri" w:hAnsi="Verdana" w:cs="Arial"/>
          <w:iCs/>
          <w:color w:val="000000" w:themeColor="text1"/>
        </w:rPr>
        <w:t xml:space="preserve">–entre éstos, el de experiencia– </w:t>
      </w:r>
      <w:r w:rsidRPr="004D5C75">
        <w:rPr>
          <w:rFonts w:ascii="Verdana" w:eastAsia="Calibri" w:hAnsi="Verdana" w:cs="Arial"/>
          <w:color w:val="000000" w:themeColor="text1"/>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41C5BCB2" w14:textId="77777777" w:rsidR="0085000D" w:rsidRPr="004D5C75" w:rsidRDefault="0085000D" w:rsidP="0085000D">
      <w:pPr>
        <w:spacing w:after="0" w:line="276" w:lineRule="auto"/>
        <w:ind w:firstLine="708"/>
        <w:jc w:val="both"/>
        <w:rPr>
          <w:rFonts w:ascii="Verdana" w:eastAsia="Calibri" w:hAnsi="Verdana" w:cs="Arial"/>
          <w:color w:val="000000" w:themeColor="text1"/>
        </w:rPr>
      </w:pPr>
    </w:p>
    <w:p w14:paraId="59E4DC51" w14:textId="77777777" w:rsidR="0085000D" w:rsidRPr="00DA0E69" w:rsidRDefault="0085000D" w:rsidP="0085000D">
      <w:pPr>
        <w:tabs>
          <w:tab w:val="left" w:pos="0"/>
        </w:tabs>
        <w:spacing w:after="120" w:line="276" w:lineRule="auto"/>
        <w:jc w:val="both"/>
        <w:rPr>
          <w:rFonts w:ascii="Verdana" w:eastAsia="Arial" w:hAnsi="Verdana" w:cs="Arial"/>
          <w:color w:val="000000"/>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DA0E69">
        <w:rPr>
          <w:rFonts w:ascii="Verdana" w:eastAsia="Arial" w:hAnsi="Verdana" w:cs="Arial"/>
          <w:color w:val="000000"/>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3BE4FF98" w14:textId="77777777" w:rsidR="0085000D" w:rsidRPr="00DA0E69" w:rsidRDefault="0085000D" w:rsidP="0085000D">
      <w:pPr>
        <w:tabs>
          <w:tab w:val="left" w:pos="0"/>
        </w:tabs>
        <w:spacing w:after="120" w:line="276" w:lineRule="auto"/>
        <w:jc w:val="both"/>
        <w:rPr>
          <w:rFonts w:ascii="Verdana" w:eastAsia="Arial" w:hAnsi="Verdana" w:cs="Arial"/>
          <w:color w:val="000000"/>
        </w:rPr>
      </w:pPr>
      <w:r w:rsidRPr="00DA0E69">
        <w:rPr>
          <w:rFonts w:ascii="Verdana" w:eastAsia="Arial" w:hAnsi="Verdana" w:cs="Arial"/>
          <w:color w:val="000000"/>
        </w:rPr>
        <w:tab/>
        <w:t xml:space="preserve">Por su parte, el numeral 3 establece que en los procesos de selección de bienes y servicios de características técnicas uniformes y de común utilización el </w:t>
      </w:r>
      <w:r w:rsidRPr="00DA0E69">
        <w:rPr>
          <w:rFonts w:ascii="Verdana" w:eastAsia="Arial" w:hAnsi="Verdana" w:cs="Arial"/>
          <w:color w:val="000000"/>
        </w:rPr>
        <w:lastRenderedPageBreak/>
        <w:t>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5B2E40D6" w14:textId="77777777" w:rsidR="0085000D" w:rsidRDefault="0085000D" w:rsidP="0085000D">
      <w:pPr>
        <w:spacing w:after="0" w:line="276" w:lineRule="auto"/>
        <w:jc w:val="both"/>
        <w:rPr>
          <w:rFonts w:ascii="Verdana" w:eastAsia="Arial" w:hAnsi="Verdana" w:cs="Arial"/>
          <w:color w:val="000000"/>
        </w:rPr>
      </w:pPr>
      <w:r w:rsidRPr="00DA0E69">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w:t>
      </w:r>
      <w:proofErr w:type="gramStart"/>
      <w:r w:rsidRPr="00DA0E69">
        <w:rPr>
          <w:rFonts w:ascii="Verdana" w:eastAsia="Arial" w:hAnsi="Verdana" w:cs="Arial"/>
          <w:color w:val="000000"/>
        </w:rPr>
        <w:t>que</w:t>
      </w:r>
      <w:proofErr w:type="gramEnd"/>
      <w:r w:rsidRPr="00DA0E69">
        <w:rPr>
          <w:rFonts w:ascii="Verdana" w:eastAsia="Arial" w:hAnsi="Verdana" w:cs="Arial"/>
          <w:color w:val="000000"/>
        </w:rPr>
        <w:t xml:space="preserve"> en consecuencia, darán lugar a la escogencia objetiva de la mejor propuesta para la entidad” </w:t>
      </w:r>
      <w:r w:rsidRPr="00DA0E69">
        <w:rPr>
          <w:rFonts w:ascii="Verdana" w:eastAsia="Arial" w:hAnsi="Verdana" w:cs="Arial"/>
          <w:color w:val="000000"/>
          <w:vertAlign w:val="superscript"/>
        </w:rPr>
        <w:footnoteReference w:id="2"/>
      </w:r>
      <w:r w:rsidRPr="00DA0E69">
        <w:rPr>
          <w:rFonts w:ascii="Verdana" w:eastAsia="Arial" w:hAnsi="Verdana" w:cs="Arial"/>
          <w:color w:val="000000"/>
        </w:rPr>
        <w:t xml:space="preserve">. Todas estas categorías designan los “[…] factores a los cuales cabe otorgarles puntajes o que pueden ser ponderados, precisamente, pues estos son los factores que en últimas permiten una comparación de ofertas y una diferenciación entre ellas” </w:t>
      </w:r>
      <w:r w:rsidRPr="00DA0E69">
        <w:rPr>
          <w:rFonts w:ascii="Verdana" w:eastAsia="Arial" w:hAnsi="Verdana" w:cs="Arial"/>
          <w:color w:val="000000"/>
          <w:vertAlign w:val="superscript"/>
        </w:rPr>
        <w:footnoteReference w:id="3"/>
      </w:r>
      <w:r>
        <w:rPr>
          <w:rFonts w:ascii="Verdana" w:eastAsia="Arial" w:hAnsi="Verdana" w:cs="Arial"/>
          <w:color w:val="000000"/>
        </w:rPr>
        <w:t>.</w:t>
      </w:r>
    </w:p>
    <w:p w14:paraId="187A2AAF" w14:textId="77777777" w:rsidR="0085000D" w:rsidRDefault="0085000D" w:rsidP="0085000D">
      <w:pPr>
        <w:spacing w:after="0" w:line="276" w:lineRule="auto"/>
        <w:jc w:val="both"/>
        <w:rPr>
          <w:rFonts w:ascii="Verdana" w:eastAsia="Arial" w:hAnsi="Verdana" w:cs="Arial"/>
          <w:color w:val="000000"/>
        </w:rPr>
      </w:pPr>
    </w:p>
    <w:p w14:paraId="21C4465B" w14:textId="77777777" w:rsidR="0085000D" w:rsidRPr="007136EF" w:rsidRDefault="0085000D" w:rsidP="0085000D">
      <w:pPr>
        <w:spacing w:after="120" w:line="276" w:lineRule="auto"/>
        <w:jc w:val="both"/>
        <w:rPr>
          <w:rFonts w:ascii="Verdana" w:hAnsi="Verdana" w:cs="Arial"/>
          <w:color w:val="000000" w:themeColor="text1"/>
          <w:lang w:val="es-ES_tradnl"/>
        </w:rPr>
      </w:pPr>
      <w:proofErr w:type="spellStart"/>
      <w:r>
        <w:rPr>
          <w:rFonts w:ascii="Verdana" w:eastAsia="Arial" w:hAnsi="Verdana" w:cs="Arial"/>
          <w:color w:val="000000"/>
        </w:rPr>
        <w:t>iii</w:t>
      </w:r>
      <w:proofErr w:type="spellEnd"/>
      <w:r>
        <w:rPr>
          <w:rFonts w:ascii="Verdana" w:eastAsia="Arial" w:hAnsi="Verdana" w:cs="Arial"/>
          <w:color w:val="000000"/>
        </w:rPr>
        <w:t xml:space="preserve">. </w:t>
      </w:r>
      <w:r w:rsidRPr="007136EF">
        <w:rPr>
          <w:rFonts w:ascii="Verdana" w:hAnsi="Verdana" w:cs="Arial"/>
          <w:color w:val="000000" w:themeColor="text1"/>
          <w:lang w:val="es-ES_tradnl"/>
        </w:rPr>
        <w:t xml:space="preserve">A través del “Manual para determinar y verificar los requisitos habilitantes en los Procesos de Contratación”, la Agencia precisó los parámetros para </w:t>
      </w:r>
      <w:r w:rsidRPr="007136EF">
        <w:rPr>
          <w:rFonts w:ascii="Verdana" w:hAnsi="Verdana" w:cs="Arial"/>
          <w:i/>
          <w:iCs/>
          <w:color w:val="000000" w:themeColor="text1"/>
          <w:lang w:val="es-ES_tradnl"/>
        </w:rPr>
        <w:t>establecer</w:t>
      </w:r>
      <w:r w:rsidRPr="007136EF">
        <w:rPr>
          <w:rFonts w:ascii="Verdana" w:hAnsi="Verdana" w:cs="Arial"/>
          <w:color w:val="000000" w:themeColor="text1"/>
          <w:lang w:val="es-ES_tradnl"/>
        </w:rPr>
        <w:t xml:space="preserve">, </w:t>
      </w:r>
      <w:r w:rsidRPr="007136EF">
        <w:rPr>
          <w:rFonts w:ascii="Verdana" w:hAnsi="Verdana" w:cs="Arial"/>
          <w:i/>
          <w:iCs/>
          <w:color w:val="000000" w:themeColor="text1"/>
          <w:lang w:val="es-ES_tradnl"/>
        </w:rPr>
        <w:t>acreditar</w:t>
      </w:r>
      <w:r w:rsidRPr="007136EF">
        <w:rPr>
          <w:rFonts w:ascii="Verdana" w:hAnsi="Verdana" w:cs="Arial"/>
          <w:color w:val="000000" w:themeColor="text1"/>
          <w:lang w:val="es-ES_tradnl"/>
        </w:rPr>
        <w:t xml:space="preserve"> y </w:t>
      </w:r>
      <w:r w:rsidRPr="007136EF">
        <w:rPr>
          <w:rFonts w:ascii="Verdana" w:hAnsi="Verdana" w:cs="Arial"/>
          <w:i/>
          <w:iCs/>
          <w:color w:val="000000" w:themeColor="text1"/>
          <w:lang w:val="es-ES_tradnl"/>
        </w:rPr>
        <w:t>subsanar</w:t>
      </w:r>
      <w:r w:rsidRPr="007136EF">
        <w:rPr>
          <w:rFonts w:ascii="Verdana" w:hAnsi="Verdana" w:cs="Arial"/>
          <w:color w:val="000000" w:themeColor="text1"/>
          <w:lang w:val="es-ES_tradnl"/>
        </w:rPr>
        <w:t xml:space="preserve"> los requisitos habilitantes en los procedimientos de selección. Allí también se precisó que los mismos tienen como fin primordial medir “la aptitud del proponente para participar en un Proceso de Contratación como oferente y están referidos a su capacidad jurídica, financiera, organizacional y su experiencia”. Su propósito es, según el manual, “establecer unas condiciones mínimas para los proponentes de tal manera que la Entidad Estatal sólo evalúe las ofertas de aquellos que están en condiciones de cumplir con el objeto del Proceso de Contratación”. </w:t>
      </w:r>
    </w:p>
    <w:p w14:paraId="01CBCF2E" w14:textId="77777777" w:rsidR="0085000D" w:rsidRPr="007136EF" w:rsidRDefault="0085000D" w:rsidP="0085000D">
      <w:pPr>
        <w:spacing w:after="120" w:line="276" w:lineRule="auto"/>
        <w:ind w:firstLine="709"/>
        <w:jc w:val="both"/>
        <w:rPr>
          <w:rFonts w:ascii="Verdana" w:hAnsi="Verdana" w:cs="Arial"/>
          <w:color w:val="000000" w:themeColor="text1"/>
          <w:lang w:val="es-ES"/>
        </w:rPr>
      </w:pPr>
      <w:bookmarkStart w:id="2" w:name="_Hlk34917473"/>
      <w:r w:rsidRPr="4E46F900">
        <w:rPr>
          <w:rFonts w:ascii="Verdana" w:hAnsi="Verdana" w:cs="Arial"/>
          <w:color w:val="000000" w:themeColor="text1"/>
          <w:lang w:val="es-ES"/>
        </w:rPr>
        <w:t xml:space="preserve">En consecuencia, corresponde a las entidades estatales, durante la etapa de planeación del contrato estatal, estudiar y determinar los </w:t>
      </w:r>
      <w:r w:rsidRPr="4E46F900">
        <w:rPr>
          <w:rFonts w:ascii="Verdana" w:hAnsi="Verdana" w:cs="Arial"/>
          <w:i/>
          <w:color w:val="000000" w:themeColor="text1"/>
          <w:lang w:val="es-ES"/>
        </w:rPr>
        <w:t>requisitos habilitantes</w:t>
      </w:r>
      <w:r w:rsidRPr="4E46F900">
        <w:rPr>
          <w:rFonts w:ascii="Verdana" w:hAnsi="Verdana" w:cs="Arial"/>
          <w:color w:val="000000" w:themeColor="text1"/>
          <w:lang w:val="es-ES"/>
        </w:rPr>
        <w:t xml:space="preserve"> que establecerán en los pliegos de condiciones, los cuales deben fijarse de forma adecuada y proporcional. Esto último, según se deriva de la lectura del artículo 2.2.1.1.1.6.2 del Decreto 1082 de 2015, debe hacerse de </w:t>
      </w:r>
      <w:r w:rsidRPr="4E46F900">
        <w:rPr>
          <w:rFonts w:ascii="Verdana" w:hAnsi="Verdana" w:cs="Arial"/>
          <w:color w:val="000000" w:themeColor="text1"/>
          <w:lang w:val="es-ES"/>
        </w:rPr>
        <w:lastRenderedPageBreak/>
        <w:t xml:space="preserve">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bookmarkEnd w:id="2"/>
    <w:p w14:paraId="02D7BB15" w14:textId="77777777" w:rsidR="0085000D" w:rsidRPr="007136EF" w:rsidRDefault="0085000D" w:rsidP="0085000D">
      <w:pPr>
        <w:spacing w:after="120" w:line="276" w:lineRule="auto"/>
        <w:ind w:firstLine="709"/>
        <w:jc w:val="both"/>
        <w:rPr>
          <w:rFonts w:ascii="Verdana" w:hAnsi="Verdana" w:cs="Arial"/>
          <w:color w:val="000000" w:themeColor="text1"/>
          <w:lang w:val="es-ES_tradnl"/>
        </w:rPr>
      </w:pPr>
      <w:r w:rsidRPr="007136EF">
        <w:rPr>
          <w:rFonts w:ascii="Verdana" w:hAnsi="Verdana" w:cs="Arial"/>
          <w:color w:val="000000" w:themeColor="text1"/>
          <w:lang w:val="es-ES_tradnl"/>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2930BDEB" w14:textId="77777777" w:rsidR="0085000D" w:rsidRPr="007136EF" w:rsidRDefault="0085000D" w:rsidP="0085000D">
      <w:pPr>
        <w:spacing w:after="0" w:line="276" w:lineRule="auto"/>
        <w:ind w:firstLine="709"/>
        <w:jc w:val="both"/>
        <w:rPr>
          <w:rFonts w:ascii="Verdana" w:hAnsi="Verdana" w:cs="Arial"/>
          <w:color w:val="000000" w:themeColor="text1"/>
          <w:lang w:val="es-ES_tradnl"/>
        </w:rPr>
      </w:pPr>
      <w:r w:rsidRPr="007136EF">
        <w:rPr>
          <w:rFonts w:ascii="Verdana" w:hAnsi="Verdana" w:cs="Arial"/>
          <w:color w:val="000000" w:themeColor="text1"/>
          <w:lang w:val="es-ES_tradnl"/>
        </w:rPr>
        <w:t xml:space="preserve">Una vez fijados los requisitos habilitantes por la entidad estatal, quienes presenten ofertas deben </w:t>
      </w:r>
      <w:r w:rsidRPr="007136EF">
        <w:rPr>
          <w:rFonts w:ascii="Verdana" w:hAnsi="Verdana" w:cs="Arial"/>
          <w:bCs/>
          <w:i/>
          <w:iCs/>
          <w:color w:val="000000" w:themeColor="text1"/>
          <w:lang w:val="es-ES_tradnl"/>
        </w:rPr>
        <w:t>acreditar</w:t>
      </w:r>
      <w:r w:rsidRPr="007136EF">
        <w:rPr>
          <w:rFonts w:ascii="Verdana" w:hAnsi="Verdana" w:cs="Arial"/>
          <w:color w:val="000000" w:themeColor="text1"/>
          <w:lang w:val="es-ES_tradnl"/>
        </w:rPr>
        <w:t xml:space="preserve"> que cumplen con los mismos, pues, en el evento contrario, las propuestas deberán ser rechazadas. Lo anterior, sin perjuicio de la posibilidad de </w:t>
      </w:r>
      <w:r w:rsidRPr="007136EF">
        <w:rPr>
          <w:rFonts w:ascii="Verdana" w:hAnsi="Verdana" w:cs="Arial"/>
          <w:bCs/>
          <w:i/>
          <w:iCs/>
          <w:color w:val="000000" w:themeColor="text1"/>
          <w:lang w:val="es-ES_tradnl"/>
        </w:rPr>
        <w:t>subsanar</w:t>
      </w:r>
      <w:r w:rsidRPr="007136EF">
        <w:rPr>
          <w:rFonts w:ascii="Verdana" w:hAnsi="Verdana" w:cs="Arial"/>
          <w:color w:val="000000" w:themeColor="text1"/>
          <w:lang w:val="es-ES_tradnl"/>
        </w:rPr>
        <w:t>, prevista en el artículo 5 de la Ley 1882 de 2018, que modificó el parágrafo 1º del artículo 5 de la Ley 1150 de 2007, en los siguientes términos:</w:t>
      </w:r>
    </w:p>
    <w:p w14:paraId="4DF2AE11" w14:textId="77777777" w:rsidR="0085000D" w:rsidRPr="007136EF" w:rsidRDefault="0085000D" w:rsidP="0085000D">
      <w:pPr>
        <w:spacing w:after="0" w:line="276" w:lineRule="auto"/>
        <w:jc w:val="both"/>
        <w:rPr>
          <w:rFonts w:ascii="Verdana" w:hAnsi="Verdana" w:cs="Arial"/>
          <w:color w:val="000000" w:themeColor="text1"/>
          <w:lang w:val="es-ES_tradnl"/>
        </w:rPr>
      </w:pPr>
    </w:p>
    <w:p w14:paraId="720CA23B" w14:textId="77777777" w:rsidR="0085000D" w:rsidRPr="007136EF" w:rsidRDefault="0085000D" w:rsidP="0085000D">
      <w:pPr>
        <w:spacing w:after="0" w:line="240" w:lineRule="auto"/>
        <w:ind w:left="703" w:right="760"/>
        <w:jc w:val="both"/>
        <w:rPr>
          <w:rFonts w:ascii="Verdana" w:hAnsi="Verdana" w:cs="Arial"/>
          <w:color w:val="000000" w:themeColor="text1"/>
          <w:sz w:val="21"/>
          <w:szCs w:val="21"/>
          <w:lang w:val="es-ES_tradnl"/>
        </w:rPr>
      </w:pPr>
      <w:r w:rsidRPr="007136EF">
        <w:rPr>
          <w:rFonts w:ascii="Verdana" w:hAnsi="Verdana" w:cs="Arial"/>
          <w:color w:val="000000" w:themeColor="text1"/>
          <w:sz w:val="21"/>
          <w:szCs w:val="21"/>
          <w:lang w:val="es-ES_tradnl"/>
        </w:rPr>
        <w:t xml:space="preserve">“Artículo 5°. De la selección objetiva. </w:t>
      </w:r>
    </w:p>
    <w:p w14:paraId="69B8AC64" w14:textId="77777777" w:rsidR="0085000D" w:rsidRPr="007136EF" w:rsidRDefault="0085000D" w:rsidP="0085000D">
      <w:pPr>
        <w:spacing w:after="120" w:line="240" w:lineRule="auto"/>
        <w:ind w:left="703" w:right="760"/>
        <w:jc w:val="both"/>
        <w:rPr>
          <w:rFonts w:ascii="Verdana" w:hAnsi="Verdana" w:cs="Arial"/>
          <w:color w:val="000000" w:themeColor="text1"/>
          <w:sz w:val="21"/>
          <w:szCs w:val="21"/>
          <w:lang w:val="es-ES_tradnl"/>
        </w:rPr>
      </w:pPr>
      <w:r w:rsidRPr="007136EF">
        <w:rPr>
          <w:rFonts w:ascii="Verdana" w:hAnsi="Verdana" w:cs="Arial"/>
          <w:color w:val="000000" w:themeColor="text1"/>
          <w:sz w:val="21"/>
          <w:szCs w:val="21"/>
          <w:lang w:val="es-ES_tradnl"/>
        </w:rPr>
        <w:t xml:space="preserve">[...] </w:t>
      </w:r>
    </w:p>
    <w:p w14:paraId="6CBA5503" w14:textId="77777777" w:rsidR="0085000D" w:rsidRPr="007136EF" w:rsidRDefault="0085000D" w:rsidP="0085000D">
      <w:pPr>
        <w:spacing w:after="0" w:line="240" w:lineRule="auto"/>
        <w:ind w:left="703" w:right="760"/>
        <w:jc w:val="both"/>
        <w:rPr>
          <w:rFonts w:ascii="Verdana" w:hAnsi="Verdana" w:cs="Arial"/>
          <w:color w:val="000000" w:themeColor="text1"/>
          <w:sz w:val="21"/>
          <w:szCs w:val="21"/>
          <w:lang w:val="es-ES"/>
        </w:rPr>
      </w:pPr>
      <w:r w:rsidRPr="4E46F900">
        <w:rPr>
          <w:rFonts w:ascii="Verdana" w:hAnsi="Verdana" w:cs="Arial"/>
          <w:color w:val="000000" w:themeColor="text1"/>
          <w:sz w:val="21"/>
          <w:szCs w:val="21"/>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4E46F900">
        <w:rPr>
          <w:rFonts w:ascii="Verdana" w:hAnsi="Verdana" w:cs="Arial"/>
          <w:color w:val="000000" w:themeColor="text1"/>
          <w:sz w:val="21"/>
          <w:szCs w:val="21"/>
          <w:lang w:val="es-ES"/>
        </w:rPr>
        <w:t>puntaje,</w:t>
      </w:r>
      <w:proofErr w:type="gramEnd"/>
      <w:r w:rsidRPr="4E46F900">
        <w:rPr>
          <w:rFonts w:ascii="Verdana" w:hAnsi="Verdana" w:cs="Arial"/>
          <w:color w:val="000000" w:themeColor="text1"/>
          <w:sz w:val="21"/>
          <w:szCs w:val="21"/>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35C4861" w14:textId="77777777" w:rsidR="0085000D" w:rsidRPr="007136EF" w:rsidRDefault="0085000D" w:rsidP="0085000D">
      <w:pPr>
        <w:spacing w:after="0" w:line="276" w:lineRule="auto"/>
        <w:jc w:val="both"/>
        <w:rPr>
          <w:rFonts w:ascii="Verdana" w:hAnsi="Verdana" w:cs="Arial"/>
          <w:b/>
          <w:color w:val="000000" w:themeColor="text1"/>
          <w:lang w:val="es-ES_tradnl"/>
        </w:rPr>
      </w:pPr>
    </w:p>
    <w:p w14:paraId="4651877B" w14:textId="77777777" w:rsidR="0085000D" w:rsidRDefault="0085000D" w:rsidP="0085000D">
      <w:pPr>
        <w:spacing w:after="120" w:line="276" w:lineRule="auto"/>
        <w:ind w:firstLine="709"/>
        <w:jc w:val="both"/>
        <w:rPr>
          <w:rFonts w:ascii="Verdana" w:eastAsia="Calibri" w:hAnsi="Verdana" w:cs="Arial"/>
          <w:color w:val="000000" w:themeColor="text1"/>
          <w:lang w:val="es-ES"/>
        </w:rPr>
      </w:pPr>
      <w:r w:rsidRPr="7071DB28">
        <w:rPr>
          <w:rFonts w:ascii="Verdana" w:hAnsi="Verdana" w:cs="Arial"/>
          <w:color w:val="000000" w:themeColor="text1"/>
          <w:lang w:val="es-ES"/>
        </w:rPr>
        <w:t xml:space="preserve">Esta norma, como lo indicó esta Subdirección en el Concepto CU-060 de 2020, por un lado, mantiene el criterio de la Ley 80 de 1993, relativo a que todo lo que no sea necesario para la comparación de propuestas no es título suficiente para su rechazo y, por el otro, conserva la idea aclaratoria de la Ley 1150 de 2007, según el cual todo lo que no afecte la asignación de puntaje puede subsanarse. También introduce modificaciones en relación con: i) el ámbito temporal para ejercer la facultad de subsanar la oferta; </w:t>
      </w:r>
      <w:proofErr w:type="spellStart"/>
      <w:r w:rsidRPr="7071DB28">
        <w:rPr>
          <w:rFonts w:ascii="Verdana" w:hAnsi="Verdana" w:cs="Arial"/>
          <w:color w:val="000000" w:themeColor="text1"/>
          <w:lang w:val="es-ES"/>
        </w:rPr>
        <w:t>ii</w:t>
      </w:r>
      <w:proofErr w:type="spellEnd"/>
      <w:r w:rsidRPr="7071DB28">
        <w:rPr>
          <w:rFonts w:ascii="Verdana" w:hAnsi="Verdana" w:cs="Arial"/>
          <w:color w:val="000000" w:themeColor="text1"/>
          <w:lang w:val="es-ES"/>
        </w:rPr>
        <w:t xml:space="preserve">) </w:t>
      </w:r>
      <w:r w:rsidRPr="7071DB28">
        <w:rPr>
          <w:rFonts w:ascii="Verdana" w:eastAsia="Calibri" w:hAnsi="Verdana" w:cs="Arial"/>
          <w:color w:val="000000" w:themeColor="text1"/>
          <w:lang w:val="es-ES"/>
        </w:rPr>
        <w:t>la consagración de un criterio material, directamente relacionado con los aspectos subsanables: “</w:t>
      </w:r>
      <w:r w:rsidRPr="7071DB28">
        <w:rPr>
          <w:rFonts w:ascii="Verdana" w:hAnsi="Verdana" w:cs="Arial"/>
          <w:color w:val="000000" w:themeColor="text1"/>
          <w:lang w:val="es-ES"/>
        </w:rPr>
        <w:t xml:space="preserve">los proponentes no podrán acreditar circunstancias ocurridas con posterioridad al cierre del proceso”; y </w:t>
      </w:r>
      <w:proofErr w:type="spellStart"/>
      <w:r w:rsidRPr="7071DB28">
        <w:rPr>
          <w:rFonts w:ascii="Verdana" w:hAnsi="Verdana" w:cs="Arial"/>
          <w:color w:val="000000" w:themeColor="text1"/>
          <w:lang w:val="es-ES"/>
        </w:rPr>
        <w:t>iii</w:t>
      </w:r>
      <w:proofErr w:type="spellEnd"/>
      <w:r w:rsidRPr="7071DB28">
        <w:rPr>
          <w:rFonts w:ascii="Verdana" w:hAnsi="Verdana" w:cs="Arial"/>
          <w:color w:val="000000" w:themeColor="text1"/>
          <w:lang w:val="es-ES"/>
        </w:rPr>
        <w:t xml:space="preserve">) la determinación </w:t>
      </w:r>
      <w:r w:rsidRPr="7071DB28">
        <w:rPr>
          <w:rFonts w:ascii="Verdana" w:eastAsia="Calibri" w:hAnsi="Verdana" w:cs="Arial"/>
          <w:color w:val="000000" w:themeColor="text1"/>
          <w:lang w:val="es-ES"/>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40C75625" w14:textId="77777777" w:rsidR="0085000D" w:rsidRDefault="0085000D" w:rsidP="0085000D">
      <w:pPr>
        <w:spacing w:after="0" w:line="276" w:lineRule="auto"/>
        <w:ind w:firstLine="709"/>
        <w:jc w:val="both"/>
        <w:rPr>
          <w:rFonts w:ascii="Verdana" w:eastAsia="Calibri" w:hAnsi="Verdana" w:cs="Arial"/>
          <w:color w:val="000000" w:themeColor="text1"/>
          <w:lang w:val="es-ES_tradnl"/>
        </w:rPr>
      </w:pPr>
      <w:r w:rsidRPr="007A7B34">
        <w:rPr>
          <w:rFonts w:ascii="Verdana" w:eastAsia="Calibri" w:hAnsi="Verdana" w:cs="Arial"/>
          <w:color w:val="000000" w:themeColor="text1"/>
          <w:lang w:val="es-ES_tradnl"/>
        </w:rPr>
        <w:t>Por tanto, con excepción de los procedimientos regidos por documentos tipo, es necesario tener en cuenta que existe un margen de discrecionalidad para definir el contenido del pliego de condiciones</w:t>
      </w:r>
      <w:r w:rsidRPr="007A7B34">
        <w:rPr>
          <w:rStyle w:val="Refdenotaalpie"/>
          <w:rFonts w:ascii="Verdana" w:eastAsia="Calibri" w:hAnsi="Verdana" w:cs="Arial"/>
          <w:color w:val="000000" w:themeColor="text1"/>
          <w:lang w:val="es-ES_tradnl"/>
        </w:rPr>
        <w:footnoteReference w:id="4"/>
      </w:r>
      <w:r w:rsidRPr="007A7B34">
        <w:rPr>
          <w:rFonts w:ascii="Verdana" w:eastAsia="Calibri" w:hAnsi="Verdana" w:cs="Arial"/>
          <w:color w:val="000000" w:themeColor="text1"/>
          <w:lang w:val="es-ES_tradnl"/>
        </w:rPr>
        <w:t>. Salvo los aspectos que se encuentren reglados en la actuación administrativa, esto implica libertad de las entidades para determinar los requisitos habilitantes sujetos a verificación en los documentos del proceso. Lo anterior en la medida que no existen potestades completamente discrecionales, por lo que dichos elementos reglados son una limitación efectiva a la libertad de configuración</w:t>
      </w:r>
      <w:r w:rsidRPr="007A7B34">
        <w:rPr>
          <w:rStyle w:val="Refdenotaalpie"/>
          <w:rFonts w:ascii="Verdana" w:eastAsia="Calibri" w:hAnsi="Verdana" w:cs="Arial"/>
          <w:color w:val="000000" w:themeColor="text1"/>
          <w:lang w:val="es-ES_tradnl"/>
        </w:rPr>
        <w:footnoteReference w:id="5"/>
      </w:r>
      <w:r w:rsidRPr="007A7B34">
        <w:rPr>
          <w:rFonts w:ascii="Verdana" w:eastAsia="Calibri" w:hAnsi="Verdana" w:cs="Arial"/>
          <w:color w:val="000000" w:themeColor="text1"/>
          <w:lang w:val="es-ES_tradnl"/>
        </w:rPr>
        <w:t xml:space="preserve">.  </w:t>
      </w:r>
    </w:p>
    <w:p w14:paraId="3A40A8D3" w14:textId="77777777" w:rsidR="0085000D" w:rsidRDefault="0085000D" w:rsidP="0085000D">
      <w:pPr>
        <w:spacing w:after="0" w:line="276" w:lineRule="auto"/>
        <w:ind w:firstLine="709"/>
        <w:jc w:val="both"/>
        <w:rPr>
          <w:rFonts w:ascii="Verdana" w:eastAsia="Calibri" w:hAnsi="Verdana" w:cs="Arial"/>
          <w:color w:val="000000" w:themeColor="text1"/>
          <w:lang w:val="es-ES_tradnl"/>
        </w:rPr>
      </w:pPr>
    </w:p>
    <w:p w14:paraId="5D998942" w14:textId="77777777" w:rsidR="0085000D" w:rsidRPr="00073791" w:rsidRDefault="0085000D" w:rsidP="0085000D">
      <w:pPr>
        <w:spacing w:after="120" w:line="276" w:lineRule="auto"/>
        <w:jc w:val="both"/>
        <w:rPr>
          <w:rFonts w:ascii="Verdana" w:eastAsia="Calibri" w:hAnsi="Verdana" w:cs="Arial"/>
          <w:color w:val="000000" w:themeColor="text1"/>
          <w:lang w:val="es-ES_tradnl"/>
        </w:rPr>
      </w:pPr>
      <w:proofErr w:type="spellStart"/>
      <w:r>
        <w:rPr>
          <w:rFonts w:ascii="Verdana" w:eastAsia="Calibri" w:hAnsi="Verdana" w:cs="Arial"/>
          <w:color w:val="000000" w:themeColor="text1"/>
          <w:lang w:val="es-ES_tradnl"/>
        </w:rPr>
        <w:t>iv</w:t>
      </w:r>
      <w:proofErr w:type="spellEnd"/>
      <w:r>
        <w:rPr>
          <w:rFonts w:ascii="Verdana" w:eastAsia="Calibri" w:hAnsi="Verdana" w:cs="Arial"/>
          <w:color w:val="000000" w:themeColor="text1"/>
          <w:lang w:val="es-ES_tradnl"/>
        </w:rPr>
        <w:t xml:space="preserve">. Conforme al Manual mencionado </w:t>
      </w:r>
      <w:r w:rsidRPr="002D0F95">
        <w:rPr>
          <w:rFonts w:ascii="Verdana" w:eastAsia="Calibri" w:hAnsi="Verdana" w:cs="Arial"/>
          <w:i/>
          <w:iCs/>
          <w:color w:val="000000" w:themeColor="text1"/>
          <w:lang w:val="es-ES_tradnl"/>
        </w:rPr>
        <w:t>ut supra</w:t>
      </w:r>
      <w:r>
        <w:rPr>
          <w:rFonts w:ascii="Verdana" w:eastAsia="Calibri" w:hAnsi="Verdana" w:cs="Arial"/>
          <w:color w:val="000000" w:themeColor="text1"/>
          <w:lang w:val="es-ES_tradnl"/>
        </w:rPr>
        <w:t>, l</w:t>
      </w:r>
      <w:r w:rsidRPr="00073791">
        <w:rPr>
          <w:rFonts w:ascii="Verdana" w:eastAsia="Calibri" w:hAnsi="Verdana" w:cs="Arial"/>
          <w:color w:val="000000" w:themeColor="text1"/>
          <w:lang w:val="es-ES_tradnl"/>
        </w:rPr>
        <w:t xml:space="preserve">a </w:t>
      </w:r>
      <w:r w:rsidRPr="00073791">
        <w:rPr>
          <w:rFonts w:ascii="Verdana" w:eastAsia="Calibri" w:hAnsi="Verdana" w:cs="Arial"/>
          <w:bCs/>
          <w:i/>
          <w:iCs/>
          <w:color w:val="000000" w:themeColor="text1"/>
          <w:lang w:val="es-ES_tradnl"/>
        </w:rPr>
        <w:t>experiencia</w:t>
      </w:r>
      <w:r w:rsidRPr="00073791">
        <w:rPr>
          <w:rFonts w:ascii="Verdana" w:eastAsia="Calibri" w:hAnsi="Verdana" w:cs="Arial"/>
          <w:i/>
          <w:iCs/>
          <w:color w:val="000000" w:themeColor="text1"/>
          <w:lang w:val="es-ES_tradnl"/>
        </w:rPr>
        <w:t xml:space="preserve"> </w:t>
      </w:r>
      <w:r w:rsidRPr="00073791">
        <w:rPr>
          <w:rFonts w:ascii="Verdana" w:eastAsia="Calibri" w:hAnsi="Verdana" w:cs="Arial"/>
          <w:color w:val="000000" w:themeColor="text1"/>
          <w:lang w:val="es-ES_tradnl"/>
        </w:rPr>
        <w:t>como requisito habilitante</w:t>
      </w:r>
      <w:r>
        <w:rPr>
          <w:rFonts w:ascii="Verdana" w:eastAsia="Calibri" w:hAnsi="Verdana" w:cs="Arial"/>
          <w:color w:val="000000" w:themeColor="text1"/>
          <w:lang w:val="es-ES_tradnl"/>
        </w:rPr>
        <w:t xml:space="preserve"> </w:t>
      </w:r>
      <w:r w:rsidRPr="006661CC">
        <w:rPr>
          <w:rFonts w:ascii="Verdana" w:eastAsia="Calibri" w:hAnsi="Verdana" w:cs="Arial"/>
        </w:rPr>
        <w:t xml:space="preserve">es </w:t>
      </w:r>
      <w:r>
        <w:rPr>
          <w:rFonts w:ascii="Verdana" w:eastAsia="Calibri" w:hAnsi="Verdana" w:cs="Arial"/>
        </w:rPr>
        <w:t>“</w:t>
      </w:r>
      <w:r w:rsidRPr="006661CC">
        <w:rPr>
          <w:rFonts w:ascii="Verdana" w:eastAsia="Calibri" w:hAnsi="Verdana" w:cs="Arial"/>
        </w:rPr>
        <w:t xml:space="preserve">el conocimiento del proponente derivado de su participación previa en actividades iguales o similares a las previstas en el objeto del </w:t>
      </w:r>
      <w:r w:rsidRPr="006661CC">
        <w:rPr>
          <w:rFonts w:ascii="Verdana" w:eastAsia="Calibri" w:hAnsi="Verdana" w:cs="Arial"/>
        </w:rPr>
        <w:lastRenderedPageBreak/>
        <w:t>contrato</w:t>
      </w:r>
      <w:r>
        <w:rPr>
          <w:rFonts w:ascii="Verdana" w:eastAsia="Calibri" w:hAnsi="Verdana" w:cs="Arial"/>
        </w:rPr>
        <w:t>”</w:t>
      </w:r>
      <w:r w:rsidRPr="00073791">
        <w:rPr>
          <w:rStyle w:val="normaltextrun"/>
          <w:rFonts w:ascii="Verdana" w:hAnsi="Verdana" w:cs="Arial"/>
          <w:color w:val="000000" w:themeColor="text1"/>
          <w:lang w:val="es-ES_tradnl"/>
        </w:rPr>
        <w:t>. La entidad, como responsable de la estructuración del proceso de contratación, en principio,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073791">
        <w:rPr>
          <w:rStyle w:val="Refdenotaalpie"/>
          <w:rFonts w:ascii="Verdana" w:hAnsi="Verdana" w:cs="Arial"/>
          <w:color w:val="000000" w:themeColor="text1"/>
          <w:lang w:val="es-ES_tradnl"/>
        </w:rPr>
        <w:footnoteReference w:id="6"/>
      </w:r>
      <w:r w:rsidRPr="00073791">
        <w:rPr>
          <w:rStyle w:val="normaltextrun"/>
          <w:rFonts w:ascii="Verdana" w:hAnsi="Verdana" w:cs="Arial"/>
          <w:color w:val="000000" w:themeColor="text1"/>
          <w:lang w:val="es-ES_tradnl"/>
        </w:rPr>
        <w:t>.</w:t>
      </w:r>
    </w:p>
    <w:p w14:paraId="66338450"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_tradnl"/>
        </w:rPr>
      </w:pPr>
      <w:r w:rsidRPr="00073791">
        <w:rPr>
          <w:rStyle w:val="normaltextrun"/>
          <w:rFonts w:ascii="Verdana" w:hAnsi="Verdana" w:cs="Arial"/>
          <w:color w:val="000000" w:themeColor="text1"/>
          <w:sz w:val="22"/>
          <w:szCs w:val="22"/>
          <w:lang w:val="es-ES_tradnl"/>
        </w:rPr>
        <w:t>La experiencia que se deriva de la ejecución de los contratos que el proponente ha celebrado y ejecutado con diferentes contratantes, sin importar la naturaleza de estos últimos, se verifica con el Registro Único de Proponentes (RUP)</w:t>
      </w:r>
      <w:r w:rsidRPr="00073791">
        <w:rPr>
          <w:rStyle w:val="Refdenotaalpie"/>
          <w:rFonts w:ascii="Verdana" w:hAnsi="Verdana" w:cs="Arial"/>
          <w:color w:val="000000" w:themeColor="text1"/>
          <w:sz w:val="22"/>
          <w:szCs w:val="22"/>
          <w:lang w:val="es-ES_tradnl"/>
        </w:rPr>
        <w:footnoteReference w:id="7"/>
      </w:r>
      <w:r w:rsidRPr="00073791">
        <w:rPr>
          <w:rStyle w:val="normaltextrun"/>
          <w:rFonts w:ascii="Verdana" w:hAnsi="Verdana" w:cs="Arial"/>
          <w:color w:val="000000" w:themeColor="text1"/>
          <w:sz w:val="22"/>
          <w:szCs w:val="22"/>
          <w:lang w:val="es-ES_tradnl"/>
        </w:rPr>
        <w:t>, claro está, cuando este certificado sea exigible. Allí constan únicamente los requisitos habilitantes que se evalúan con este documento, de los cuales el mismo es plena prueba, sin que le sea posible a la entidad o al proponente solicitar o aportar documentación distinta</w:t>
      </w:r>
      <w:r w:rsidRPr="00073791">
        <w:rPr>
          <w:rStyle w:val="Refdenotaalpie"/>
          <w:rFonts w:ascii="Verdana" w:hAnsi="Verdana" w:cs="Arial"/>
          <w:color w:val="000000" w:themeColor="text1"/>
          <w:sz w:val="22"/>
          <w:szCs w:val="22"/>
          <w:lang w:val="es-ES_tradnl"/>
        </w:rPr>
        <w:footnoteReference w:id="8"/>
      </w:r>
      <w:r w:rsidRPr="00073791">
        <w:rPr>
          <w:rStyle w:val="normaltextrun"/>
          <w:rFonts w:ascii="Verdana" w:hAnsi="Verdana" w:cs="Arial"/>
          <w:color w:val="000000" w:themeColor="text1"/>
          <w:sz w:val="22"/>
          <w:szCs w:val="22"/>
          <w:lang w:val="es-ES_tradnl"/>
        </w:rPr>
        <w:t>.</w:t>
      </w:r>
    </w:p>
    <w:p w14:paraId="6167DB02"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7E065F2B">
        <w:rPr>
          <w:rStyle w:val="normaltextrun"/>
          <w:rFonts w:ascii="Verdana" w:hAnsi="Verdana" w:cs="Arial"/>
          <w:color w:val="000000" w:themeColor="text1"/>
          <w:sz w:val="22"/>
          <w:szCs w:val="22"/>
          <w:lang w:val="es-ES"/>
        </w:rPr>
        <w:t xml:space="preserve">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w:t>
      </w:r>
      <w:r w:rsidRPr="7E065F2B">
        <w:rPr>
          <w:rStyle w:val="normaltextrun"/>
          <w:rFonts w:ascii="Verdana" w:hAnsi="Verdana" w:cs="Arial"/>
          <w:color w:val="000000" w:themeColor="text1"/>
          <w:sz w:val="22"/>
          <w:szCs w:val="22"/>
          <w:lang w:val="es-ES"/>
        </w:rPr>
        <w:lastRenderedPageBreak/>
        <w:t>de bienes y servicios en el tercer nivel</w:t>
      </w:r>
      <w:r w:rsidRPr="7E065F2B">
        <w:rPr>
          <w:rStyle w:val="Refdenotaalpie"/>
          <w:rFonts w:ascii="Verdana" w:hAnsi="Verdana" w:cs="Arial"/>
          <w:color w:val="000000" w:themeColor="text1"/>
          <w:sz w:val="22"/>
          <w:szCs w:val="22"/>
          <w:lang w:val="es-ES"/>
        </w:rPr>
        <w:footnoteReference w:id="9"/>
      </w:r>
      <w:r w:rsidRPr="7E065F2B">
        <w:rPr>
          <w:rStyle w:val="normaltextrun"/>
          <w:rFonts w:ascii="Verdana" w:hAnsi="Verdana" w:cs="Arial"/>
          <w:color w:val="000000" w:themeColor="text1"/>
          <w:sz w:val="22"/>
          <w:szCs w:val="22"/>
          <w:lang w:val="es-ES"/>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Es pertinente aclarar que los códigos del clasificador de bienes y servicios ayudan a que exista un lenguaje común en la denominación de los bienes, obras o servicios que los proveedores ofrecen y que las entidades solicitan.</w:t>
      </w:r>
      <w:r w:rsidRPr="7E065F2B">
        <w:rPr>
          <w:rStyle w:val="eop"/>
          <w:rFonts w:ascii="Verdana" w:hAnsi="Verdana" w:cs="Arial"/>
          <w:color w:val="000000" w:themeColor="text1"/>
          <w:sz w:val="22"/>
          <w:szCs w:val="22"/>
          <w:lang w:val="es-ES"/>
        </w:rPr>
        <w:t> </w:t>
      </w:r>
    </w:p>
    <w:p w14:paraId="6849D5C8"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7071DB28">
        <w:rPr>
          <w:rStyle w:val="normaltextrun"/>
          <w:rFonts w:ascii="Verdana" w:hAnsi="Verdana" w:cs="Arial"/>
          <w:color w:val="000000" w:themeColor="text1"/>
          <w:sz w:val="22"/>
          <w:szCs w:val="22"/>
          <w:lang w:val="es-ES"/>
        </w:rPr>
        <w:t>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existirán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Igualmente, es importante resaltar que:</w:t>
      </w:r>
    </w:p>
    <w:p w14:paraId="739B55BC"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_tradnl"/>
        </w:rPr>
      </w:pPr>
      <w:r>
        <w:rPr>
          <w:rStyle w:val="normaltextrun"/>
          <w:rFonts w:ascii="Verdana" w:hAnsi="Verdana" w:cs="Arial"/>
          <w:color w:val="000000" w:themeColor="text1"/>
          <w:sz w:val="22"/>
          <w:szCs w:val="22"/>
          <w:lang w:val="es-ES_tradnl"/>
        </w:rPr>
        <w:t>1</w:t>
      </w:r>
      <w:r w:rsidRPr="00073791">
        <w:rPr>
          <w:rStyle w:val="normaltextrun"/>
          <w:rFonts w:ascii="Verdana" w:hAnsi="Verdana" w:cs="Arial"/>
          <w:color w:val="000000" w:themeColor="text1"/>
          <w:sz w:val="22"/>
          <w:szCs w:val="22"/>
          <w:lang w:val="es-ES_tradnl"/>
        </w:rPr>
        <w:t>) La experiencia es personal, esto es, se adquiere participando, directa o indirectamente, sin que sea posible no participar y tener una experiencia que no es propia.</w:t>
      </w:r>
    </w:p>
    <w:p w14:paraId="293505B5"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7071DB28">
        <w:rPr>
          <w:rStyle w:val="spellingerror"/>
          <w:rFonts w:ascii="Verdana" w:hAnsi="Verdana" w:cs="Arial"/>
          <w:color w:val="000000" w:themeColor="text1"/>
          <w:sz w:val="22"/>
          <w:szCs w:val="22"/>
          <w:lang w:val="es-ES"/>
        </w:rPr>
        <w:lastRenderedPageBreak/>
        <w:t>2</w:t>
      </w:r>
      <w:r w:rsidRPr="7071DB28">
        <w:rPr>
          <w:rStyle w:val="normaltextrun"/>
          <w:rFonts w:ascii="Verdana" w:hAnsi="Verdana" w:cs="Arial"/>
          <w:color w:val="000000" w:themeColor="text1"/>
          <w:sz w:val="22"/>
          <w:szCs w:val="22"/>
          <w:lang w:val="es-ES"/>
        </w:rPr>
        <w:t xml:space="preserve">) La experiencia se puede compartir, sin que implique que la que se haya compartido a una persona se entienda suya, ya que dentro del procedimiento contractual se reflejará que esa persona tiene la experiencia de otra, como es el caso de la que </w:t>
      </w:r>
      <w:proofErr w:type="gramStart"/>
      <w:r w:rsidRPr="7071DB28">
        <w:rPr>
          <w:rStyle w:val="normaltextrun"/>
          <w:rFonts w:ascii="Verdana" w:hAnsi="Verdana" w:cs="Arial"/>
          <w:color w:val="000000" w:themeColor="text1"/>
          <w:sz w:val="22"/>
          <w:szCs w:val="22"/>
          <w:lang w:val="es-ES"/>
        </w:rPr>
        <w:t>le</w:t>
      </w:r>
      <w:proofErr w:type="gramEnd"/>
      <w:r w:rsidRPr="7071DB28">
        <w:rPr>
          <w:rStyle w:val="normaltextrun"/>
          <w:rFonts w:ascii="Verdana" w:hAnsi="Verdana" w:cs="Arial"/>
          <w:color w:val="000000" w:themeColor="text1"/>
          <w:sz w:val="22"/>
          <w:szCs w:val="22"/>
          <w:lang w:val="es-ES"/>
        </w:rPr>
        <w:t xml:space="preserve"> aportan los socios a las sociedades con menos de 3 años de constitución, lo cual constará en el RUP; o el de las figuras asociativas –consorcios y uniones temporales–, evento que se verificará en el correspondiente documento privado de constitución.</w:t>
      </w:r>
    </w:p>
    <w:p w14:paraId="7228C6B2" w14:textId="77777777" w:rsidR="0085000D" w:rsidRPr="00073791" w:rsidRDefault="0085000D" w:rsidP="0085000D">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_tradnl"/>
        </w:rPr>
      </w:pPr>
      <w:r>
        <w:rPr>
          <w:rStyle w:val="spellingerror"/>
          <w:rFonts w:ascii="Verdana" w:hAnsi="Verdana" w:cs="Arial"/>
          <w:color w:val="000000" w:themeColor="text1"/>
          <w:sz w:val="22"/>
          <w:szCs w:val="22"/>
          <w:lang w:val="es-ES_tradnl"/>
        </w:rPr>
        <w:t>3</w:t>
      </w:r>
      <w:r w:rsidRPr="00073791">
        <w:rPr>
          <w:rStyle w:val="normaltextrun"/>
          <w:rFonts w:ascii="Verdana" w:hAnsi="Verdana" w:cs="Arial"/>
          <w:color w:val="000000" w:themeColor="text1"/>
          <w:sz w:val="22"/>
          <w:szCs w:val="22"/>
          <w:lang w:val="es-ES_tradnl"/>
        </w:rPr>
        <w:t>) La experiencia se puede transferir y esto es diferente a compartirla, puesto que implica que la experiencia de una persona se traslada a otra, y esta última acredita esa experiencia como propia.</w:t>
      </w:r>
      <w:r w:rsidRPr="00073791">
        <w:rPr>
          <w:rStyle w:val="eop"/>
          <w:rFonts w:ascii="Verdana" w:hAnsi="Verdana" w:cs="Arial"/>
          <w:color w:val="000000" w:themeColor="text1"/>
          <w:sz w:val="22"/>
          <w:szCs w:val="22"/>
          <w:lang w:val="es-ES_tradnl"/>
        </w:rPr>
        <w:t> </w:t>
      </w:r>
    </w:p>
    <w:p w14:paraId="215B819E" w14:textId="77777777" w:rsidR="0085000D" w:rsidRDefault="0085000D" w:rsidP="0085000D">
      <w:pPr>
        <w:pStyle w:val="paragraph"/>
        <w:spacing w:before="0" w:beforeAutospacing="0" w:after="0" w:afterAutospacing="0" w:line="276" w:lineRule="auto"/>
        <w:ind w:firstLine="709"/>
        <w:jc w:val="both"/>
        <w:textAlignment w:val="baseline"/>
        <w:rPr>
          <w:rStyle w:val="normaltextrun"/>
          <w:rFonts w:ascii="Verdana" w:hAnsi="Verdana" w:cs="Arial"/>
          <w:color w:val="000000" w:themeColor="text1"/>
          <w:sz w:val="22"/>
          <w:szCs w:val="22"/>
          <w:lang w:val="es-ES_tradnl"/>
        </w:rPr>
      </w:pPr>
      <w:r>
        <w:rPr>
          <w:rStyle w:val="spellingerror"/>
          <w:rFonts w:ascii="Verdana" w:hAnsi="Verdana" w:cs="Arial"/>
          <w:color w:val="000000" w:themeColor="text1"/>
          <w:sz w:val="22"/>
          <w:szCs w:val="22"/>
          <w:lang w:val="es-ES_tradnl"/>
        </w:rPr>
        <w:t>4</w:t>
      </w:r>
      <w:r w:rsidRPr="00073791">
        <w:rPr>
          <w:rStyle w:val="normaltextrun"/>
          <w:rFonts w:ascii="Verdana" w:hAnsi="Verdana" w:cs="Arial"/>
          <w:color w:val="000000" w:themeColor="text1"/>
          <w:sz w:val="22"/>
          <w:szCs w:val="22"/>
          <w:lang w:val="es-ES_tradnl"/>
        </w:rPr>
        <w:t>) Cuando la persona que adquirió la experiencia desaparece o se liquida, no es posible que comparta o transfiera su experiencia, porque al ser personal sigue la suerte de quien la adquirió.</w:t>
      </w:r>
    </w:p>
    <w:p w14:paraId="4E88540D" w14:textId="77777777" w:rsidR="0085000D" w:rsidRDefault="0085000D" w:rsidP="0085000D">
      <w:pPr>
        <w:pStyle w:val="paragraph"/>
        <w:spacing w:before="0" w:beforeAutospacing="0" w:after="0" w:afterAutospacing="0" w:line="276" w:lineRule="auto"/>
        <w:jc w:val="both"/>
        <w:textAlignment w:val="baseline"/>
        <w:rPr>
          <w:rStyle w:val="normaltextrun"/>
          <w:rFonts w:ascii="Verdana" w:hAnsi="Verdana" w:cs="Arial"/>
          <w:color w:val="000000" w:themeColor="text1"/>
          <w:sz w:val="22"/>
          <w:szCs w:val="22"/>
          <w:lang w:val="es-ES_tradnl"/>
        </w:rPr>
      </w:pPr>
    </w:p>
    <w:p w14:paraId="5F0D65C4" w14:textId="77777777" w:rsidR="0085000D" w:rsidRDefault="0085000D" w:rsidP="0085000D">
      <w:pPr>
        <w:spacing w:after="120" w:line="276" w:lineRule="auto"/>
        <w:jc w:val="both"/>
        <w:rPr>
          <w:rFonts w:ascii="Verdana" w:eastAsia="Calibri" w:hAnsi="Verdana" w:cs="Arial"/>
        </w:rPr>
      </w:pPr>
      <w:r>
        <w:rPr>
          <w:rStyle w:val="normaltextrun"/>
          <w:rFonts w:ascii="Verdana" w:hAnsi="Verdana" w:cs="Arial"/>
          <w:color w:val="000000" w:themeColor="text1"/>
          <w:lang w:val="es-ES_tradnl"/>
        </w:rPr>
        <w:t>v. Así</w:t>
      </w:r>
      <w:r w:rsidRPr="006661CC">
        <w:rPr>
          <w:rStyle w:val="normaltextrun"/>
          <w:rFonts w:ascii="Verdana" w:hAnsi="Verdana" w:cs="Arial"/>
          <w:color w:val="000000" w:themeColor="text1"/>
          <w:lang w:val="es-ES_tradnl"/>
        </w:rPr>
        <w:t xml:space="preserve">, la noción de experiencia atiende a un razonamiento eminentemente técnico, más que a uno jurídico, pese a las referencias realizadas a algunas normas que acuden </w:t>
      </w:r>
      <w:r>
        <w:rPr>
          <w:rStyle w:val="normaltextrun"/>
          <w:rFonts w:ascii="Verdana" w:hAnsi="Verdana" w:cs="Arial"/>
          <w:color w:val="000000" w:themeColor="text1"/>
          <w:lang w:val="es-ES_tradnl"/>
        </w:rPr>
        <w:t>a dicho concepto</w:t>
      </w:r>
      <w:r w:rsidRPr="006661CC">
        <w:rPr>
          <w:rStyle w:val="normaltextrun"/>
          <w:rFonts w:ascii="Verdana" w:hAnsi="Verdana" w:cs="Arial"/>
          <w:color w:val="000000" w:themeColor="text1"/>
          <w:lang w:val="es-ES_tradnl"/>
        </w:rPr>
        <w:t>.</w:t>
      </w:r>
      <w:r>
        <w:rPr>
          <w:rStyle w:val="normaltextrun"/>
          <w:rFonts w:ascii="Verdana" w:hAnsi="Verdana" w:cs="Arial"/>
          <w:color w:val="000000" w:themeColor="text1"/>
          <w:lang w:val="es-ES_tradnl"/>
        </w:rPr>
        <w:t xml:space="preserve"> </w:t>
      </w:r>
      <w:r w:rsidRPr="006661CC">
        <w:rPr>
          <w:rStyle w:val="normaltextrun"/>
          <w:rFonts w:ascii="Verdana" w:hAnsi="Verdana" w:cs="Arial"/>
          <w:color w:val="000000" w:themeColor="text1"/>
          <w:lang w:val="es-ES_tradnl"/>
        </w:rPr>
        <w:t xml:space="preserve">Asimismo, </w:t>
      </w:r>
      <w:r w:rsidRPr="006661CC">
        <w:rPr>
          <w:rFonts w:ascii="Verdana" w:eastAsia="Calibri" w:hAnsi="Verdana" w:cs="Arial"/>
        </w:rPr>
        <w:t xml:space="preserve">cabe señalar que en el ordenamiento no existe una definición concreta de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en materia contractual. Este es un concepto abstracto que atiende, en la práctica</w:t>
      </w:r>
      <w:r>
        <w:rPr>
          <w:rFonts w:ascii="Verdana" w:eastAsia="Calibri" w:hAnsi="Verdana" w:cs="Arial"/>
        </w:rPr>
        <w:t>,</w:t>
      </w:r>
      <w:r w:rsidRPr="006661CC">
        <w:rPr>
          <w:rFonts w:ascii="Verdana" w:eastAsia="Calibri" w:hAnsi="Verdana" w:cs="Arial"/>
        </w:rPr>
        <w:t xml:space="preserve"> a la discrecionalidad de las entidades estatales en la elaboración del pliego de condiciones, ya que la inclusión de una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como requisito habilitante es potestativo de cada entidad estatal. Además, puede obedecer</w:t>
      </w:r>
      <w:r>
        <w:rPr>
          <w:rFonts w:ascii="Verdana" w:eastAsia="Calibri" w:hAnsi="Verdana" w:cs="Arial"/>
        </w:rPr>
        <w:t xml:space="preserve"> también </w:t>
      </w:r>
      <w:r w:rsidRPr="006661CC">
        <w:rPr>
          <w:rFonts w:ascii="Verdana" w:eastAsia="Calibri" w:hAnsi="Verdana" w:cs="Arial"/>
        </w:rPr>
        <w:t xml:space="preserve">a la acreditación de los proponentes como requisito habilitante, y en algunos casos posteriormente como factor de asignación de puntaje, en lo que tiene que ver con la selección de consultores. En síntesis, esta Agencia considera que la experiencia específica también 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6661CC">
        <w:rPr>
          <w:rFonts w:ascii="Verdana" w:eastAsia="Calibri" w:hAnsi="Verdana" w:cs="Arial"/>
        </w:rPr>
        <w:t>, pero cuya exigencia se realiza con un mayor grado de concreción y precisión respecto a un alcance más preciso de la experiencia del proponente.</w:t>
      </w:r>
    </w:p>
    <w:p w14:paraId="2005F163" w14:textId="77777777" w:rsidR="0085000D" w:rsidRDefault="0085000D" w:rsidP="0085000D">
      <w:pPr>
        <w:spacing w:after="120" w:line="276" w:lineRule="auto"/>
        <w:ind w:firstLine="709"/>
        <w:jc w:val="both"/>
        <w:rPr>
          <w:rFonts w:ascii="Verdana" w:eastAsia="Calibri" w:hAnsi="Verdana" w:cs="Arial"/>
        </w:rPr>
      </w:pPr>
      <w:r w:rsidRPr="002D0F95">
        <w:rPr>
          <w:rFonts w:ascii="Verdana" w:eastAsia="Calibri" w:hAnsi="Verdana" w:cs="Arial"/>
        </w:rPr>
        <w:t xml:space="preserve">En este sentido, se considera que la </w:t>
      </w:r>
      <w:r>
        <w:rPr>
          <w:rFonts w:ascii="Verdana" w:eastAsia="Calibri" w:hAnsi="Verdana" w:cs="Arial"/>
          <w:sz w:val="20"/>
          <w:szCs w:val="20"/>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se origina en la práctica contractual, bajo el entendido de que algunas entidades estatales suelen exigir en sus pliegos de condiciones la acreditación de una </w:t>
      </w:r>
      <w:r>
        <w:rPr>
          <w:rFonts w:ascii="Verdana" w:eastAsia="Calibri" w:hAnsi="Verdana" w:cs="Arial"/>
        </w:rPr>
        <w:t>“</w:t>
      </w:r>
      <w:r w:rsidRPr="002D0F95">
        <w:rPr>
          <w:rFonts w:ascii="Verdana" w:eastAsia="Calibri" w:hAnsi="Verdana" w:cs="Arial"/>
        </w:rPr>
        <w:t>experiencia general</w:t>
      </w:r>
      <w:r>
        <w:rPr>
          <w:rFonts w:ascii="Verdana" w:eastAsia="Calibri" w:hAnsi="Verdana" w:cs="Arial"/>
        </w:rPr>
        <w:t>”</w:t>
      </w:r>
      <w:r w:rsidRPr="002D0F95">
        <w:rPr>
          <w:rFonts w:ascii="Verdana" w:eastAsia="Calibri" w:hAnsi="Verdana" w:cs="Arial"/>
        </w:rPr>
        <w:t xml:space="preserve"> y una </w:t>
      </w:r>
      <w:r>
        <w:rPr>
          <w:rFonts w:ascii="Verdana" w:eastAsia="Calibri" w:hAnsi="Verdana" w:cs="Arial"/>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En este sentido, la experiencia general suele tener una exigencia menor en cuanto a su precisión, que permite una mayor posibilidad de acreditación por los proponentes; mientras que la </w:t>
      </w:r>
      <w:r w:rsidRPr="002D0F95">
        <w:rPr>
          <w:rFonts w:ascii="Verdana" w:eastAsia="Calibri" w:hAnsi="Verdana" w:cs="Arial"/>
        </w:rPr>
        <w:lastRenderedPageBreak/>
        <w:t xml:space="preserve">específica suele incluirse para exigir que los oferentes demuestren un alcance más concreto respecto de su experiencia, que suele tener una relación más estrecha con el contrato a ejecutar o debido a la razonabilidad que encuentra la entidad de conocer que el proponente cuenta con la idoneidad para ejecutar algunas actividades concretas, que son especialmente relevantes para el proceso contractual. Sin embargo, también sería admisible que una entidad configure su pliego de condiciones sin acudir a una </w:t>
      </w:r>
      <w:r>
        <w:rPr>
          <w:rFonts w:ascii="Verdana" w:eastAsia="Calibri" w:hAnsi="Verdana" w:cs="Arial"/>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sino estableciendo, por ejemplo, simplemente un requisito de experiencia que no se divida en general y específica. En tal sentido, son razonamientos de orden eminentemente técnicos los que justifican la inclusión de este requisito en los pliegos de condiciones</w:t>
      </w:r>
      <w:r>
        <w:rPr>
          <w:rFonts w:ascii="Verdana" w:eastAsia="Calibri" w:hAnsi="Verdana" w:cs="Arial"/>
        </w:rPr>
        <w:t>.</w:t>
      </w:r>
    </w:p>
    <w:p w14:paraId="1F0A2CFF" w14:textId="77777777" w:rsidR="0085000D" w:rsidRPr="00461C1F" w:rsidRDefault="0085000D" w:rsidP="0085000D">
      <w:pPr>
        <w:spacing w:after="120" w:line="276" w:lineRule="auto"/>
        <w:ind w:firstLine="709"/>
        <w:jc w:val="both"/>
        <w:rPr>
          <w:rFonts w:ascii="Verdana" w:eastAsia="Calibri" w:hAnsi="Verdana" w:cs="Arial"/>
        </w:rPr>
      </w:pPr>
      <w:r w:rsidRPr="00461C1F">
        <w:rPr>
          <w:rFonts w:ascii="Verdana" w:eastAsia="Calibri" w:hAnsi="Verdana" w:cs="Arial"/>
        </w:rPr>
        <w:t>Ahora bien, de acuerdo con lo planteado en su consulta, para efectos de determinar cuáles son las actividades de mayor relevancia o representatividad de un contrato de obra, particularmente para establecer los requisitos de experiencia específica exigibles a los proponentes, se precisa que no existen criterios uniformes de aplicación general que deban observar las entidades estatales para tal propósito, sin perjuicio de las reglas particulares previstas en los documentos tipo, cuando resulten aplicables.</w:t>
      </w:r>
    </w:p>
    <w:p w14:paraId="646CF7CB" w14:textId="77777777" w:rsidR="0085000D" w:rsidRPr="00461C1F" w:rsidRDefault="0085000D" w:rsidP="0085000D">
      <w:pPr>
        <w:spacing w:after="120" w:line="276" w:lineRule="auto"/>
        <w:ind w:firstLine="709"/>
        <w:jc w:val="both"/>
        <w:rPr>
          <w:rFonts w:ascii="Verdana" w:eastAsia="Calibri" w:hAnsi="Verdana" w:cs="Arial"/>
        </w:rPr>
      </w:pPr>
      <w:r w:rsidRPr="00461C1F">
        <w:rPr>
          <w:rFonts w:ascii="Verdana" w:eastAsia="Calibri" w:hAnsi="Verdana" w:cs="Arial"/>
        </w:rPr>
        <w:t>En ese sentido, la entidad estatal podrá determinar las actividades de mayor relevancia atendiendo, entre otros aspectos, a su participación en el valor económico del contrato, su complejidad técnica y constructiva, y su importancia funcional para el cumplimiento de la finalidad perseguida con la obra. Desde la perspectiva económica, podrá examinarse la proporción del presupuesto asignada a cada actividad respecto del valor total del proyecto. Desde el punto de vista técnico, podrá valorarse el grado de especialización requerido, las condiciones particulares de ejecución, los procedimientos constructivos involucrados y los conocimientos o capacidades necesarios para desarrollarla. Por su parte, la relevancia funcional permite establecer si una actividad constituye un componente esencial para la operación, estabilidad o utilidad de la obra, de manera que su ejecución resulte determinante para alcanzar el objeto contratado.</w:t>
      </w:r>
    </w:p>
    <w:p w14:paraId="436B19B0" w14:textId="77777777" w:rsidR="0085000D" w:rsidRPr="00461C1F" w:rsidRDefault="0085000D" w:rsidP="0085000D">
      <w:pPr>
        <w:spacing w:after="120" w:line="276" w:lineRule="auto"/>
        <w:ind w:firstLine="709"/>
        <w:jc w:val="both"/>
        <w:rPr>
          <w:rFonts w:ascii="Verdana" w:eastAsia="Calibri" w:hAnsi="Verdana" w:cs="Arial"/>
        </w:rPr>
      </w:pPr>
      <w:r w:rsidRPr="00461C1F">
        <w:rPr>
          <w:rFonts w:ascii="Verdana" w:eastAsia="Calibri" w:hAnsi="Verdana" w:cs="Arial"/>
        </w:rPr>
        <w:t xml:space="preserve">A modo de ejemplo, en un contrato cuyo objeto la construcción de una edificación, podrían resultar relevantes las actividades estructurales cuando concentren una proporción significativa del presupuesto o sean determinantes para la ejecución de la obra, mientras que labores accesorias, como la instalación de determinados elementos de señalización interna, podrían no tener esa misma </w:t>
      </w:r>
      <w:r w:rsidRPr="00461C1F">
        <w:rPr>
          <w:rFonts w:ascii="Verdana" w:eastAsia="Calibri" w:hAnsi="Verdana" w:cs="Arial"/>
        </w:rPr>
        <w:lastRenderedPageBreak/>
        <w:t>representatividad. Estos ejemplos no constituyen reglas generales, pues la calificación dependerá de las características concretas de cada contrato.</w:t>
      </w:r>
    </w:p>
    <w:p w14:paraId="7EC540D6" w14:textId="77777777" w:rsidR="0085000D" w:rsidRDefault="0085000D" w:rsidP="0085000D">
      <w:pPr>
        <w:spacing w:after="120" w:line="276" w:lineRule="auto"/>
        <w:ind w:firstLine="709"/>
        <w:jc w:val="both"/>
        <w:rPr>
          <w:rFonts w:ascii="Verdana" w:eastAsia="Calibri" w:hAnsi="Verdana" w:cs="Arial"/>
        </w:rPr>
      </w:pPr>
      <w:r w:rsidRPr="00461C1F">
        <w:rPr>
          <w:rFonts w:ascii="Verdana" w:eastAsia="Calibri" w:hAnsi="Verdana" w:cs="Arial"/>
        </w:rPr>
        <w:t>Así, una actividad podría considerarse de mayor relevancia cuando, por ejemplo, represente una proporción significativa del presupuesto total —como podría ocurrir si concentra más del 50 % del valor del contrato—, cuando sea determinante para la finalidad y funcionalidad de la obra, o cuando concurran ambos factores. No obstante, el porcentaje presupuestal no constituye, por sí solo, un criterio concluyente ni un umbral obligatorio de aplicación general. Una actividad de menor participación económica podría ser técnicamente determinante para la obra, mientras que otra de mayor valor podría comprender labores que, por sus características, no representen la experiencia específica que la entidad necesita verificar. Por consiguiente, las actividades secundarias o accesorias no deben descartarse automáticamente, sino evaluarse según su contribución efectiva al objeto contractual y las condiciones de ejecución.</w:t>
      </w:r>
    </w:p>
    <w:p w14:paraId="70555204" w14:textId="77777777" w:rsidR="0085000D" w:rsidRPr="00541320" w:rsidRDefault="0085000D" w:rsidP="0085000D">
      <w:pPr>
        <w:spacing w:after="120" w:line="276" w:lineRule="auto"/>
        <w:ind w:firstLine="709"/>
        <w:jc w:val="both"/>
        <w:rPr>
          <w:rFonts w:ascii="Verdana" w:eastAsia="Calibri" w:hAnsi="Verdana" w:cs="Arial"/>
        </w:rPr>
      </w:pPr>
      <w:r w:rsidRPr="00926261">
        <w:rPr>
          <w:rFonts w:ascii="Verdana" w:eastAsia="Calibri" w:hAnsi="Verdana" w:cs="Arial"/>
        </w:rPr>
        <w:t xml:space="preserve">A modo de ilustración, vale la pena señara que </w:t>
      </w:r>
      <w:r w:rsidRPr="00926261">
        <w:rPr>
          <w:rFonts w:ascii="Verdana" w:eastAsia="Calibri" w:hAnsi="Verdana" w:cs="Arial"/>
          <w:color w:val="000000"/>
          <w:lang w:val="es-MX"/>
        </w:rPr>
        <w:t>el literal A del numeral 3.5.1. “CARACTERÍSTICAS DE LOS CONTRATOS PRESENTADOS PARA ACREDITAR LA EXPERIENCIA EXIGIDA” del documento base de los documentos tipo de licitación de obra pública de infraestructura de transporte – versión 4, establece las reglas que deben tener en cuenta las entidades estatales y los particulares en caso de que se soliciten combinaciones de diferentes actividades a contratar de una misma o de diferentes matrices de experiencia:</w:t>
      </w:r>
    </w:p>
    <w:p w14:paraId="14386276" w14:textId="77777777" w:rsidR="0085000D" w:rsidRPr="001E577C" w:rsidRDefault="0085000D" w:rsidP="0085000D">
      <w:pPr>
        <w:spacing w:after="120"/>
        <w:ind w:left="709" w:right="709" w:hanging="142"/>
        <w:rPr>
          <w:rFonts w:ascii="Verdana" w:eastAsia="Calibri" w:hAnsi="Verdana" w:cs="Arial"/>
          <w:color w:val="000000"/>
          <w:sz w:val="20"/>
          <w:szCs w:val="20"/>
          <w:lang w:val="es-MX"/>
        </w:rPr>
      </w:pPr>
      <w:r w:rsidRPr="001E577C">
        <w:rPr>
          <w:rFonts w:ascii="Verdana" w:eastAsia="Calibri" w:hAnsi="Verdana" w:cs="Arial"/>
          <w:color w:val="000000"/>
          <w:sz w:val="20"/>
          <w:szCs w:val="20"/>
          <w:lang w:val="es-MX"/>
        </w:rPr>
        <w:tab/>
        <w:t>“</w:t>
      </w:r>
    </w:p>
    <w:p w14:paraId="5225F7D9" w14:textId="77777777" w:rsidR="0085000D" w:rsidRPr="001E577C" w:rsidRDefault="0085000D" w:rsidP="0085000D">
      <w:pPr>
        <w:spacing w:after="120"/>
        <w:ind w:left="709" w:right="709" w:hanging="142"/>
        <w:rPr>
          <w:rFonts w:ascii="Verdana" w:eastAsia="Times New Roman" w:hAnsi="Verdana" w:cs="Arial"/>
          <w:color w:val="000000"/>
          <w:sz w:val="20"/>
          <w:szCs w:val="20"/>
          <w:highlight w:val="lightGray"/>
          <w:lang w:eastAsia="es-ES"/>
        </w:rPr>
      </w:pPr>
      <w:r w:rsidRPr="001E577C">
        <w:rPr>
          <w:rFonts w:ascii="Verdana" w:eastAsia="Times New Roman" w:hAnsi="Verdana" w:cs="Arial"/>
          <w:color w:val="000000"/>
          <w:sz w:val="20"/>
          <w:szCs w:val="20"/>
          <w:highlight w:val="lightGray"/>
          <w:lang w:eastAsia="es-ES"/>
        </w:rPr>
        <w:t xml:space="preserve">(…) </w:t>
      </w:r>
    </w:p>
    <w:p w14:paraId="15A21567" w14:textId="77777777" w:rsidR="0085000D" w:rsidRPr="001E577C" w:rsidRDefault="0085000D" w:rsidP="0085000D">
      <w:pPr>
        <w:spacing w:after="120"/>
        <w:ind w:left="709" w:right="709" w:hanging="142"/>
        <w:jc w:val="both"/>
        <w:rPr>
          <w:rFonts w:ascii="Verdana" w:eastAsia="Times New Roman" w:hAnsi="Verdana" w:cs="Arial"/>
          <w:color w:val="000000"/>
          <w:sz w:val="20"/>
          <w:szCs w:val="20"/>
          <w:highlight w:val="lightGray"/>
          <w:lang w:eastAsia="es-ES"/>
        </w:rPr>
      </w:pPr>
      <w:r w:rsidRPr="001E577C">
        <w:rPr>
          <w:rFonts w:ascii="Verdana" w:eastAsia="Times New Roman" w:hAnsi="Verdana"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061BD488" w14:textId="77777777" w:rsidR="0085000D" w:rsidRPr="001E577C" w:rsidRDefault="0085000D" w:rsidP="0085000D">
      <w:pPr>
        <w:spacing w:after="120"/>
        <w:ind w:left="709" w:right="709"/>
        <w:jc w:val="both"/>
        <w:rPr>
          <w:rFonts w:ascii="Verdana" w:eastAsia="Times New Roman" w:hAnsi="Verdana" w:cs="Arial"/>
          <w:color w:val="000000"/>
          <w:sz w:val="20"/>
          <w:szCs w:val="20"/>
          <w:highlight w:val="lightGray"/>
          <w:lang w:eastAsia="es-ES"/>
        </w:rPr>
      </w:pPr>
      <w:r w:rsidRPr="001E577C">
        <w:rPr>
          <w:rFonts w:ascii="Verdana" w:eastAsia="Times New Roman" w:hAnsi="Verdana" w:cs="Arial"/>
          <w:b/>
          <w:bCs/>
          <w:color w:val="000000"/>
          <w:sz w:val="20"/>
          <w:szCs w:val="20"/>
          <w:highlight w:val="lightGray"/>
          <w:lang w:eastAsia="es-ES"/>
        </w:rPr>
        <w:t>Actividad Principal:</w:t>
      </w:r>
      <w:r w:rsidRPr="001E577C">
        <w:rPr>
          <w:rFonts w:ascii="Verdana" w:eastAsia="Times New Roman" w:hAnsi="Verdana" w:cs="Arial"/>
          <w:color w:val="000000"/>
          <w:sz w:val="20"/>
          <w:szCs w:val="20"/>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74B51D26" w14:textId="77777777" w:rsidR="0085000D" w:rsidRPr="001E577C" w:rsidRDefault="0085000D" w:rsidP="0085000D">
      <w:pPr>
        <w:spacing w:after="120"/>
        <w:ind w:left="709" w:right="709"/>
        <w:jc w:val="both"/>
        <w:rPr>
          <w:rFonts w:ascii="Verdana" w:eastAsia="Times New Roman" w:hAnsi="Verdana" w:cs="Arial"/>
          <w:color w:val="000000"/>
          <w:sz w:val="20"/>
          <w:szCs w:val="20"/>
          <w:highlight w:val="lightGray"/>
          <w:lang w:eastAsia="es-ES"/>
        </w:rPr>
      </w:pPr>
      <w:r w:rsidRPr="001E577C">
        <w:rPr>
          <w:rFonts w:ascii="Verdana" w:eastAsia="Times New Roman" w:hAnsi="Verdana" w:cs="Arial"/>
          <w:color w:val="000000"/>
          <w:sz w:val="20"/>
          <w:szCs w:val="20"/>
          <w:highlight w:val="lightGray"/>
          <w:lang w:eastAsia="es-ES"/>
        </w:rPr>
        <w:lastRenderedPageBreak/>
        <w:t xml:space="preserve">[La Entidad deberá establecer como actividad principal alguna de las “actividades a contratar” definidas en la Matriz 1 – Experiencia de estos Documentos Tipo]. </w:t>
      </w:r>
    </w:p>
    <w:p w14:paraId="632C4066" w14:textId="77777777" w:rsidR="0085000D" w:rsidRPr="001E577C" w:rsidRDefault="0085000D" w:rsidP="0085000D">
      <w:pPr>
        <w:spacing w:after="120"/>
        <w:ind w:left="709" w:right="709"/>
        <w:jc w:val="both"/>
        <w:rPr>
          <w:rFonts w:ascii="Verdana" w:eastAsia="Times New Roman" w:hAnsi="Verdana" w:cs="Arial"/>
          <w:color w:val="000000"/>
          <w:sz w:val="20"/>
          <w:szCs w:val="20"/>
          <w:highlight w:val="lightGray"/>
          <w:lang w:eastAsia="es-ES"/>
        </w:rPr>
      </w:pPr>
      <w:r w:rsidRPr="001E577C">
        <w:rPr>
          <w:rFonts w:ascii="Verdana" w:eastAsia="Times New Roman" w:hAnsi="Verdana" w:cs="Arial"/>
          <w:b/>
          <w:bCs/>
          <w:color w:val="000000"/>
          <w:sz w:val="20"/>
          <w:szCs w:val="20"/>
          <w:highlight w:val="lightGray"/>
          <w:lang w:eastAsia="es-ES"/>
        </w:rPr>
        <w:t>Actividad Secundaria</w:t>
      </w:r>
      <w:r w:rsidRPr="001E577C">
        <w:rPr>
          <w:rFonts w:ascii="Verdana" w:eastAsia="Times New Roman" w:hAnsi="Verdana" w:cs="Arial"/>
          <w:color w:val="000000"/>
          <w:sz w:val="20"/>
          <w:szCs w:val="20"/>
          <w:highlight w:val="lightGray"/>
          <w:lang w:eastAsia="es-ES"/>
        </w:rPr>
        <w:t xml:space="preserve"> </w:t>
      </w:r>
      <w:r w:rsidRPr="001E577C">
        <w:rPr>
          <w:rFonts w:ascii="Verdana" w:eastAsia="Times New Roman" w:hAnsi="Verdana" w:cs="Arial"/>
          <w:b/>
          <w:bCs/>
          <w:color w:val="000000"/>
          <w:sz w:val="20"/>
          <w:szCs w:val="20"/>
          <w:highlight w:val="lightGray"/>
          <w:lang w:eastAsia="es-ES"/>
        </w:rPr>
        <w:t>(1)</w:t>
      </w:r>
      <w:r w:rsidRPr="001E577C">
        <w:rPr>
          <w:rFonts w:ascii="Verdana" w:eastAsia="Times New Roman" w:hAnsi="Verdana" w:cs="Arial"/>
          <w:color w:val="000000"/>
          <w:sz w:val="20"/>
          <w:szCs w:val="20"/>
          <w:highlight w:val="lightGray"/>
          <w:lang w:eastAsia="es-ES"/>
        </w:rPr>
        <w:t xml:space="preserve">: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w:t>
      </w:r>
      <w:proofErr w:type="spellStart"/>
      <w:r w:rsidRPr="001E577C">
        <w:rPr>
          <w:rFonts w:ascii="Verdana" w:eastAsia="Times New Roman" w:hAnsi="Verdana" w:cs="Arial"/>
          <w:color w:val="000000"/>
          <w:sz w:val="20"/>
          <w:szCs w:val="20"/>
          <w:highlight w:val="lightGray"/>
          <w:lang w:eastAsia="es-ES"/>
        </w:rPr>
        <w:t>ii</w:t>
      </w:r>
      <w:proofErr w:type="spellEnd"/>
      <w:r w:rsidRPr="001E577C">
        <w:rPr>
          <w:rFonts w:ascii="Verdana" w:eastAsia="Times New Roman" w:hAnsi="Verdana" w:cs="Arial"/>
          <w:color w:val="000000"/>
          <w:sz w:val="20"/>
          <w:szCs w:val="20"/>
          <w:highlight w:val="lightGray"/>
          <w:lang w:eastAsia="es-ES"/>
        </w:rPr>
        <w:t>)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14:paraId="33AF842A" w14:textId="77777777" w:rsidR="0085000D" w:rsidRDefault="0085000D" w:rsidP="0085000D">
      <w:pPr>
        <w:spacing w:after="0" w:line="276" w:lineRule="auto"/>
        <w:ind w:firstLine="709"/>
        <w:jc w:val="both"/>
        <w:rPr>
          <w:rFonts w:ascii="Verdana" w:eastAsia="Calibri" w:hAnsi="Verdana" w:cs="Arial"/>
          <w:color w:val="000000"/>
          <w:lang w:val="es-MX"/>
        </w:rPr>
      </w:pPr>
    </w:p>
    <w:p w14:paraId="6F6E0371" w14:textId="77777777" w:rsidR="0085000D" w:rsidRPr="00E626CB" w:rsidRDefault="0085000D" w:rsidP="0085000D">
      <w:pPr>
        <w:spacing w:after="120" w:line="276" w:lineRule="auto"/>
        <w:ind w:firstLine="709"/>
        <w:jc w:val="both"/>
        <w:rPr>
          <w:rFonts w:ascii="Verdana" w:eastAsia="Calibri" w:hAnsi="Verdana" w:cs="Arial"/>
          <w:color w:val="000000"/>
          <w:lang w:val="es-MX"/>
        </w:rPr>
      </w:pPr>
      <w:r w:rsidRPr="00E626CB">
        <w:rPr>
          <w:rFonts w:ascii="Verdana" w:eastAsia="Calibri" w:hAnsi="Verdana" w:cs="Arial"/>
          <w:color w:val="000000"/>
          <w:lang w:val="es-MX"/>
        </w:rPr>
        <w:t xml:space="preserve">Conforme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E626CB">
        <w:rPr>
          <w:rFonts w:ascii="Verdana" w:eastAsia="Calibri" w:hAnsi="Verdana" w:cs="Arial"/>
          <w:color w:val="000000"/>
          <w:lang w:val="es-MX"/>
        </w:rPr>
        <w:t>ii</w:t>
      </w:r>
      <w:proofErr w:type="spellEnd"/>
      <w:r w:rsidRPr="00E626CB">
        <w:rPr>
          <w:rFonts w:ascii="Verdana" w:eastAsia="Calibri" w:hAnsi="Verdana" w:cs="Arial"/>
          <w:color w:val="000000"/>
          <w:lang w:val="es-MX"/>
        </w:rPr>
        <w:t xml:space="preserve">) cuando en un Proceso de Contratación aplican matrices de experiencia de otros Documentos Tipo y la Entidad considera conveniente incluir dicha experiencia. </w:t>
      </w:r>
    </w:p>
    <w:p w14:paraId="6A86EB20" w14:textId="77777777" w:rsidR="0085000D" w:rsidRDefault="0085000D" w:rsidP="0085000D">
      <w:pPr>
        <w:spacing w:after="120" w:line="276" w:lineRule="auto"/>
        <w:ind w:firstLine="709"/>
        <w:jc w:val="both"/>
        <w:rPr>
          <w:rFonts w:ascii="Verdana" w:eastAsia="Calibri" w:hAnsi="Verdana" w:cs="Arial"/>
        </w:rPr>
      </w:pPr>
      <w:r>
        <w:rPr>
          <w:rFonts w:ascii="Verdana" w:eastAsia="Calibri" w:hAnsi="Verdana" w:cs="Arial"/>
        </w:rPr>
        <w:t>Como se evidencia, el documento tipo señala que l</w:t>
      </w:r>
      <w:r w:rsidRPr="008343CD">
        <w:rPr>
          <w:rFonts w:ascii="Verdana" w:eastAsia="Calibri" w:hAnsi="Verdana" w:cs="Arial"/>
        </w:rPr>
        <w:t>a Entidad podrá analizar la relevancia en función del valor de las actividades en el Presupuesto Oficial o por la complejidad técnica, para lo cual establecerá</w:t>
      </w:r>
      <w:r>
        <w:rPr>
          <w:rFonts w:ascii="Verdana" w:eastAsia="Calibri" w:hAnsi="Verdana" w:cs="Arial"/>
        </w:rPr>
        <w:t xml:space="preserve"> la actividad principal y las actividades secundarias. 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w:t>
      </w:r>
      <w:proofErr w:type="spellStart"/>
      <w:r>
        <w:rPr>
          <w:rFonts w:ascii="Verdana" w:eastAsia="Calibri" w:hAnsi="Verdana" w:cs="Arial"/>
        </w:rPr>
        <w:t>ii</w:t>
      </w:r>
      <w:proofErr w:type="spellEnd"/>
      <w:r>
        <w:rPr>
          <w:rFonts w:ascii="Verdana" w:eastAsia="Calibri" w:hAnsi="Verdana" w:cs="Arial"/>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w:t>
      </w:r>
      <w:r>
        <w:rPr>
          <w:rFonts w:ascii="Verdana" w:eastAsia="Calibri" w:hAnsi="Verdana" w:cs="Arial"/>
        </w:rPr>
        <w:lastRenderedPageBreak/>
        <w:t>determinada actividad secundaria, caso en el cual se podrá solicitar la experiencia general–.</w:t>
      </w:r>
    </w:p>
    <w:p w14:paraId="54F72C2D" w14:textId="77777777" w:rsidR="0085000D" w:rsidRDefault="0085000D" w:rsidP="0085000D">
      <w:pPr>
        <w:spacing w:after="120" w:line="276" w:lineRule="auto"/>
        <w:ind w:firstLine="709"/>
        <w:jc w:val="both"/>
        <w:rPr>
          <w:rFonts w:ascii="Verdana" w:eastAsia="Calibri" w:hAnsi="Verdana" w:cs="Arial"/>
        </w:rPr>
      </w:pPr>
      <w:r w:rsidRPr="001E577C">
        <w:rPr>
          <w:rFonts w:ascii="Verdana" w:eastAsia="Calibri" w:hAnsi="Verdana" w:cs="Arial"/>
        </w:rPr>
        <w:t>De esta manera, los documentos tipo no establecen un criterio único para determinar la actividad de mayor relevancia, sino que permiten a la entidad estatal identificarla atendiendo, entre otros aspectos, al peso económico de las actividades dentro del presupuesto oficial o a su complejidad técnica.</w:t>
      </w:r>
    </w:p>
    <w:p w14:paraId="2966965C" w14:textId="77777777" w:rsidR="0085000D" w:rsidRPr="007A2C99" w:rsidRDefault="0085000D" w:rsidP="0085000D">
      <w:pPr>
        <w:spacing w:after="120" w:line="276" w:lineRule="auto"/>
        <w:ind w:firstLine="709"/>
        <w:jc w:val="both"/>
        <w:rPr>
          <w:rFonts w:ascii="Verdana" w:eastAsia="Calibri" w:hAnsi="Verdana" w:cs="Arial"/>
        </w:rPr>
      </w:pPr>
      <w:r w:rsidRPr="00461C1F">
        <w:rPr>
          <w:rFonts w:ascii="Verdana" w:eastAsia="Calibri" w:hAnsi="Verdana" w:cs="Arial"/>
        </w:rPr>
        <w:t>En con</w:t>
      </w:r>
      <w:r>
        <w:rPr>
          <w:rFonts w:ascii="Verdana" w:eastAsia="Calibri" w:hAnsi="Verdana" w:cs="Arial"/>
        </w:rPr>
        <w:t>clusión</w:t>
      </w:r>
      <w:r w:rsidRPr="00461C1F">
        <w:rPr>
          <w:rFonts w:ascii="Verdana" w:eastAsia="Calibri" w:hAnsi="Verdana" w:cs="Arial"/>
        </w:rPr>
        <w:t>, corresponde a cada entidad estatal efectuar una valoración integral y debidamente justificada de las actividades que conforman el proyecto, considerando su alcance, finalidad, presupuesto, complejidad técnica y relación con las demás obligaciones contractuales. A partir de ese análisis, deberá establecer cuáles actividades resulta pertinente exigir como experiencia específica, procurando que los requisitos definidos guarden relación directa con el objeto por contratar y sean adecuados y proporcionales a su naturaleza, cuantía y complejidad, sin generar restricciones injustificadas a la pluralidad de oferentes ni desconocer las reglas aplicables de selección objetiva. En todo caso, cuando resulten aplicables los documentos tipo, la entidad deberá sujetarse a las condiciones y parámetros allí previstos, y la identificación de las actividades representativas no podrá utilizarse para eludir las reglas legales que determinan la modalidad de selección correspondiente.</w:t>
      </w:r>
    </w:p>
    <w:p w14:paraId="5FA3235B" w14:textId="77777777" w:rsidR="0085000D" w:rsidRDefault="0085000D" w:rsidP="0085000D">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lang w:val="es-ES_tradnl"/>
        </w:rPr>
        <w:t xml:space="preserve">vi.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0905565" w14:textId="77777777" w:rsidR="0085000D" w:rsidRPr="00185EE9" w:rsidRDefault="0085000D" w:rsidP="0085000D">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 xml:space="preserve">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E853DE">
        <w:rPr>
          <w:rFonts w:ascii="Verdana" w:eastAsia="Calibri" w:hAnsi="Verdana" w:cs="Arial"/>
          <w:bCs/>
          <w:color w:val="000000" w:themeColor="text1"/>
        </w:rPr>
        <w:lastRenderedPageBreak/>
        <w:t>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0C28B66C" w14:textId="77777777" w:rsidR="0085000D" w:rsidRPr="00182C89" w:rsidRDefault="0085000D" w:rsidP="0085000D">
      <w:pPr>
        <w:tabs>
          <w:tab w:val="left" w:pos="709"/>
        </w:tabs>
        <w:spacing w:after="0" w:line="276" w:lineRule="auto"/>
        <w:jc w:val="both"/>
        <w:rPr>
          <w:rFonts w:ascii="Verdana" w:eastAsia="Calibri" w:hAnsi="Verdana" w:cs="Arial"/>
          <w:color w:val="000000" w:themeColor="text1"/>
        </w:rPr>
      </w:pPr>
    </w:p>
    <w:p w14:paraId="10EAFF97" w14:textId="77777777" w:rsidR="0085000D" w:rsidRPr="00593A5F" w:rsidRDefault="0085000D" w:rsidP="008500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25BF9BB" w14:textId="77777777" w:rsidR="0085000D" w:rsidRPr="00593A5F" w:rsidRDefault="0085000D" w:rsidP="0085000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5000D" w:rsidRPr="002407CE" w14:paraId="0F2759E7" w14:textId="77777777" w:rsidTr="008A06D4">
        <w:trPr>
          <w:trHeight w:val="870"/>
          <w:jc w:val="center"/>
        </w:trPr>
        <w:tc>
          <w:tcPr>
            <w:tcW w:w="8647" w:type="dxa"/>
          </w:tcPr>
          <w:p w14:paraId="3D88456A" w14:textId="77777777" w:rsidR="0085000D" w:rsidRPr="00384930" w:rsidRDefault="0085000D" w:rsidP="008A06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5 y 6.</w:t>
            </w:r>
          </w:p>
          <w:p w14:paraId="2FDBBC1D" w14:textId="77777777" w:rsidR="0085000D" w:rsidRPr="00384930" w:rsidRDefault="0085000D" w:rsidP="008A06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Decreto </w:t>
            </w:r>
            <w:r w:rsidRPr="00384930">
              <w:rPr>
                <w:rFonts w:ascii="Verdana" w:hAnsi="Verdana" w:cs="Arial"/>
              </w:rPr>
              <w:t>1082 de 2015</w:t>
            </w:r>
            <w:r>
              <w:rPr>
                <w:rFonts w:ascii="Verdana" w:hAnsi="Verdana" w:cs="Arial"/>
              </w:rPr>
              <w:t xml:space="preserve">, artículos </w:t>
            </w:r>
            <w:r w:rsidRPr="00384930">
              <w:rPr>
                <w:rFonts w:ascii="Verdana" w:hAnsi="Verdana" w:cs="Arial"/>
              </w:rPr>
              <w:t>2.2.1.1.1.5.2</w:t>
            </w:r>
            <w:r>
              <w:rPr>
                <w:rFonts w:ascii="Verdana" w:hAnsi="Verdana" w:cs="Arial"/>
              </w:rPr>
              <w:t xml:space="preserve">, </w:t>
            </w:r>
            <w:r w:rsidRPr="00384930">
              <w:rPr>
                <w:rFonts w:ascii="Verdana" w:hAnsi="Verdana" w:cs="Arial"/>
              </w:rPr>
              <w:t>2.2.1.1.1.5.3</w:t>
            </w:r>
            <w:r>
              <w:rPr>
                <w:rFonts w:ascii="Verdana" w:hAnsi="Verdana" w:cs="Arial"/>
              </w:rPr>
              <w:t xml:space="preserve"> y </w:t>
            </w:r>
            <w:r w:rsidRPr="00384930">
              <w:rPr>
                <w:rFonts w:ascii="Verdana" w:hAnsi="Verdana" w:cs="Arial"/>
              </w:rPr>
              <w:t>2.2.1.1.1.6.2</w:t>
            </w:r>
            <w:r>
              <w:rPr>
                <w:rFonts w:ascii="Verdana" w:hAnsi="Verdana" w:cs="Arial"/>
              </w:rPr>
              <w:t>.</w:t>
            </w:r>
          </w:p>
          <w:p w14:paraId="1BCC7EC0" w14:textId="77777777" w:rsidR="0085000D" w:rsidRPr="00FF09AA" w:rsidRDefault="0085000D" w:rsidP="008A06D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67708E">
              <w:rPr>
                <w:rFonts w:ascii="Verdana" w:hAnsi="Verdana" w:cs="Arial"/>
                <w:color w:val="000000" w:themeColor="text1"/>
                <w:lang w:val="es-ES_tradnl"/>
              </w:rPr>
              <w:t>Manual para determinar y verificar los requisitos habilitantes en los Procesos de Contratación</w:t>
            </w:r>
            <w:r>
              <w:rPr>
                <w:rFonts w:ascii="Verdana" w:hAnsi="Verdana" w:cs="Arial"/>
                <w:color w:val="000000" w:themeColor="text1"/>
                <w:lang w:val="es-ES_tradnl"/>
              </w:rPr>
              <w:t xml:space="preserve">. Disponible en: </w:t>
            </w:r>
            <w:hyperlink r:id="rId12" w:history="1">
              <w:r w:rsidRPr="007F7F92">
                <w:rPr>
                  <w:rStyle w:val="Hipervnculo"/>
                  <w:rFonts w:ascii="Verdana" w:hAnsi="Verdana" w:cs="Arial"/>
                  <w:lang w:val="es-ES_tradnl"/>
                </w:rPr>
                <w:t>https://www.colombiacompra.gov.co/wp-content/uploads/2024/08/cce-eicp-ma-04._manual_requisitos_habilitantes_v3_29-09-2023.pdf</w:t>
              </w:r>
            </w:hyperlink>
            <w:r>
              <w:rPr>
                <w:rFonts w:ascii="Verdana" w:hAnsi="Verdana" w:cs="Arial"/>
                <w:color w:val="000000" w:themeColor="text1"/>
                <w:lang w:val="es-ES_tradnl"/>
              </w:rPr>
              <w:t xml:space="preserve"> </w:t>
            </w:r>
          </w:p>
        </w:tc>
      </w:tr>
    </w:tbl>
    <w:p w14:paraId="73B0B7B3" w14:textId="77777777" w:rsidR="0085000D" w:rsidRPr="002407CE" w:rsidRDefault="0085000D" w:rsidP="0085000D">
      <w:pPr>
        <w:widowControl w:val="0"/>
        <w:autoSpaceDE w:val="0"/>
        <w:autoSpaceDN w:val="0"/>
        <w:spacing w:after="0" w:line="276" w:lineRule="auto"/>
        <w:jc w:val="both"/>
        <w:rPr>
          <w:rFonts w:ascii="Verdana" w:hAnsi="Verdana" w:cs="Arial"/>
        </w:rPr>
      </w:pPr>
    </w:p>
    <w:p w14:paraId="5D84447D" w14:textId="77777777" w:rsidR="0085000D" w:rsidRPr="00593A5F" w:rsidRDefault="0085000D" w:rsidP="008500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6444FFE" w14:textId="77777777" w:rsidR="0085000D" w:rsidRPr="00593A5F" w:rsidRDefault="0085000D" w:rsidP="0085000D">
      <w:pPr>
        <w:widowControl w:val="0"/>
        <w:autoSpaceDE w:val="0"/>
        <w:autoSpaceDN w:val="0"/>
        <w:spacing w:after="0" w:line="276" w:lineRule="auto"/>
        <w:jc w:val="both"/>
        <w:rPr>
          <w:rFonts w:ascii="Verdana" w:hAnsi="Verdana" w:cs="Arial"/>
        </w:rPr>
      </w:pPr>
    </w:p>
    <w:p w14:paraId="75BDA248" w14:textId="77777777" w:rsidR="0085000D" w:rsidRPr="007E4299" w:rsidRDefault="0085000D" w:rsidP="0085000D">
      <w:pPr>
        <w:widowControl w:val="0"/>
        <w:autoSpaceDE w:val="0"/>
        <w:autoSpaceDN w:val="0"/>
        <w:spacing w:after="0" w:line="276" w:lineRule="auto"/>
        <w:jc w:val="both"/>
        <w:rPr>
          <w:rStyle w:val="normaltextrun"/>
          <w:rFonts w:ascii="Verdana" w:hAnsi="Verdana"/>
        </w:rPr>
      </w:pPr>
      <w:r w:rsidRPr="00465044">
        <w:rPr>
          <w:rFonts w:ascii="Verdana" w:hAnsi="Verdana" w:cs="Arial"/>
          <w:shd w:val="clear" w:color="auto" w:fill="FFFFFF"/>
        </w:rPr>
        <w:t xml:space="preserve">Esta Subdirección se ha pronunciado sobre </w:t>
      </w:r>
      <w:r>
        <w:rPr>
          <w:rFonts w:ascii="Verdana" w:hAnsi="Verdana" w:cs="Arial"/>
          <w:shd w:val="clear" w:color="auto" w:fill="FFFFFF"/>
        </w:rPr>
        <w:t>la diferencia entre experiencia general y específica en el Concepto C-467 del 22 de julio de 2022</w:t>
      </w:r>
      <w:r w:rsidRPr="00533A45">
        <w:rPr>
          <w:rFonts w:ascii="Verdana" w:hAnsi="Verdana" w:cs="Arial"/>
          <w:shd w:val="clear" w:color="auto" w:fill="FFFFFF"/>
        </w:rPr>
        <w:t xml:space="preserve"> </w:t>
      </w:r>
      <w:r>
        <w:rPr>
          <w:rFonts w:ascii="Verdana" w:hAnsi="Verdana" w:cs="Arial"/>
          <w:shd w:val="clear" w:color="auto" w:fill="FFFFFF"/>
        </w:rPr>
        <w:t>y C-812 del 9 de julio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7078A4A" w14:textId="77777777" w:rsidR="0085000D" w:rsidRPr="009C4035" w:rsidRDefault="0085000D" w:rsidP="0085000D">
      <w:pPr>
        <w:widowControl w:val="0"/>
        <w:autoSpaceDE w:val="0"/>
        <w:autoSpaceDN w:val="0"/>
        <w:spacing w:after="0" w:line="276" w:lineRule="auto"/>
        <w:jc w:val="both"/>
        <w:rPr>
          <w:rFonts w:ascii="Verdana" w:hAnsi="Verdana" w:cs="Arial"/>
          <w:color w:val="FF0000"/>
          <w:shd w:val="clear" w:color="auto" w:fill="FFFFFF"/>
          <w:lang w:val="es-ES"/>
        </w:rPr>
      </w:pPr>
      <w:r w:rsidRPr="7071DB28">
        <w:rPr>
          <w:rFonts w:ascii="Verdana" w:hAnsi="Verdana" w:cs="Arial"/>
          <w:color w:val="000000" w:themeColor="text1"/>
          <w:shd w:val="clear" w:color="auto" w:fill="FFFFFF"/>
          <w:lang w:val="es-ES"/>
        </w:rPr>
        <w:t xml:space="preserve"> </w:t>
      </w:r>
      <w:r w:rsidRPr="7071DB28">
        <w:rPr>
          <w:rStyle w:val="normaltextrun"/>
          <w:rFonts w:ascii="Verdana" w:hAnsi="Verdana" w:cs="Arial"/>
          <w:color w:val="FF0000"/>
          <w:shd w:val="clear" w:color="auto" w:fill="FFFFFF"/>
          <w:lang w:val="es-ES"/>
        </w:rPr>
        <w:t xml:space="preserve">        </w:t>
      </w:r>
    </w:p>
    <w:p w14:paraId="4750DC2D"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041B7308"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p>
    <w:p w14:paraId="2C18B4BA"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 xml:space="preserve">De otro lado, te contamos que el Decreto 287 del 19 de marzo de 2026 sustituyó los artículos 2.2.1.2.4.2.6., 2.2.1.2.4.2.7. y 2.2.1.2.4.2.8. del Decreto 1082 de </w:t>
      </w:r>
      <w:r w:rsidRPr="00F42673">
        <w:rPr>
          <w:rFonts w:ascii="Verdana" w:eastAsia="Times New Roman" w:hAnsi="Verdana" w:cs="Times New Roman"/>
          <w:color w:val="000000"/>
          <w:lang w:eastAsia="es-MX"/>
        </w:rPr>
        <w:lastRenderedPageBreak/>
        <w:t>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4ADA0D99"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p>
    <w:p w14:paraId="2A48921B"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3D19E263" w14:textId="77777777" w:rsidR="0085000D" w:rsidRPr="00F42673" w:rsidRDefault="0085000D" w:rsidP="0085000D">
      <w:pPr>
        <w:spacing w:after="0" w:line="276" w:lineRule="auto"/>
        <w:jc w:val="both"/>
        <w:rPr>
          <w:rFonts w:ascii="Verdana" w:eastAsia="Times New Roman" w:hAnsi="Verdana" w:cs="Times New Roman"/>
          <w:color w:val="000000"/>
          <w:lang w:eastAsia="es-MX"/>
        </w:rPr>
      </w:pPr>
    </w:p>
    <w:p w14:paraId="250EBBDF" w14:textId="77777777" w:rsidR="0085000D" w:rsidRPr="00797CA8" w:rsidRDefault="0085000D" w:rsidP="0085000D">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414A0D90" w14:textId="77777777" w:rsidR="0085000D" w:rsidRDefault="0085000D" w:rsidP="0085000D">
      <w:pPr>
        <w:shd w:val="clear" w:color="auto" w:fill="FFFFFF"/>
        <w:spacing w:after="0" w:line="276" w:lineRule="auto"/>
        <w:jc w:val="both"/>
        <w:rPr>
          <w:rFonts w:ascii="Verdana" w:hAnsi="Verdana"/>
          <w:color w:val="000000"/>
          <w:u w:val="single"/>
        </w:rPr>
      </w:pPr>
    </w:p>
    <w:p w14:paraId="50F725F4" w14:textId="77777777" w:rsidR="0085000D" w:rsidRPr="00116940" w:rsidRDefault="0085000D" w:rsidP="0085000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477D6E9" w14:textId="77777777" w:rsidR="0085000D" w:rsidRPr="00116940" w:rsidRDefault="0085000D" w:rsidP="0085000D">
      <w:pPr>
        <w:spacing w:after="0"/>
        <w:jc w:val="both"/>
        <w:rPr>
          <w:rFonts w:ascii="Verdana" w:hAnsi="Verdana"/>
        </w:rPr>
      </w:pPr>
    </w:p>
    <w:p w14:paraId="747C773E" w14:textId="77777777" w:rsidR="0085000D" w:rsidRPr="00116940" w:rsidRDefault="0085000D" w:rsidP="0085000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lastRenderedPageBreak/>
        <w:t xml:space="preserve">Línea nacional gratuita o servicio a la ciudadanía (Mesa de servicio): </w:t>
      </w:r>
      <w:r w:rsidRPr="00116940">
        <w:rPr>
          <w:rStyle w:val="Hipervnculo"/>
          <w:rFonts w:ascii="Verdana" w:hAnsi="Verdana"/>
        </w:rPr>
        <w:t>01800 0520808</w:t>
      </w:r>
    </w:p>
    <w:p w14:paraId="65F7741E" w14:textId="77777777" w:rsidR="0085000D" w:rsidRPr="00116940" w:rsidRDefault="0085000D" w:rsidP="0085000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12E80A2" w14:textId="77777777" w:rsidR="0085000D" w:rsidRPr="00116940" w:rsidRDefault="0085000D" w:rsidP="008500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5009A99B" w14:textId="77777777" w:rsidR="0085000D" w:rsidRPr="00116940" w:rsidRDefault="0085000D" w:rsidP="008500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1DBC8896" w14:textId="77777777" w:rsidR="0085000D" w:rsidRPr="00116940" w:rsidRDefault="0085000D" w:rsidP="0085000D">
      <w:pPr>
        <w:spacing w:after="0" w:line="240" w:lineRule="auto"/>
        <w:ind w:left="720"/>
        <w:jc w:val="both"/>
        <w:rPr>
          <w:rFonts w:ascii="Verdana" w:hAnsi="Verdana"/>
        </w:rPr>
      </w:pPr>
    </w:p>
    <w:p w14:paraId="64D09DD5" w14:textId="77777777" w:rsidR="0085000D" w:rsidRPr="00116940" w:rsidRDefault="0085000D" w:rsidP="0085000D">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243EF30" w14:textId="77777777" w:rsidR="0085000D" w:rsidRPr="00116940" w:rsidRDefault="0085000D" w:rsidP="0085000D">
      <w:pPr>
        <w:spacing w:after="0" w:line="240" w:lineRule="auto"/>
        <w:rPr>
          <w:rFonts w:ascii="Verdana" w:hAnsi="Verdana"/>
        </w:rPr>
      </w:pPr>
    </w:p>
    <w:p w14:paraId="733BD31C" w14:textId="77777777" w:rsidR="0085000D" w:rsidRPr="00116940" w:rsidRDefault="0085000D" w:rsidP="0085000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91ECEBC" w14:textId="77777777" w:rsidR="0085000D" w:rsidRPr="00116940" w:rsidRDefault="0085000D" w:rsidP="0085000D">
      <w:pPr>
        <w:spacing w:after="0" w:line="240" w:lineRule="auto"/>
        <w:jc w:val="both"/>
        <w:rPr>
          <w:rFonts w:ascii="Verdana" w:hAnsi="Verdana"/>
        </w:rPr>
      </w:pPr>
    </w:p>
    <w:p w14:paraId="0DEDDBFD" w14:textId="77777777" w:rsidR="0085000D" w:rsidRPr="00116940" w:rsidRDefault="0085000D" w:rsidP="0085000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91D3CA4" w14:textId="77777777" w:rsidR="0085000D" w:rsidRPr="00116940" w:rsidRDefault="0085000D" w:rsidP="0085000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1AC6792" w14:textId="77777777" w:rsidR="0085000D" w:rsidRPr="00116940" w:rsidRDefault="0085000D" w:rsidP="0085000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E0E3FF3" w14:textId="77777777" w:rsidR="0085000D" w:rsidRPr="009C4035" w:rsidRDefault="0085000D" w:rsidP="0085000D">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3B84D7C" w14:textId="77777777" w:rsidR="0085000D" w:rsidRPr="00593A5F" w:rsidRDefault="0085000D" w:rsidP="0085000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081396E" w14:textId="77777777" w:rsidR="0085000D" w:rsidRPr="00593A5F" w:rsidRDefault="0085000D" w:rsidP="0085000D">
      <w:pPr>
        <w:widowControl w:val="0"/>
        <w:autoSpaceDE w:val="0"/>
        <w:autoSpaceDN w:val="0"/>
        <w:spacing w:after="0" w:line="276" w:lineRule="auto"/>
        <w:jc w:val="both"/>
        <w:rPr>
          <w:rFonts w:ascii="Verdana" w:hAnsi="Verdana" w:cs="Arial"/>
        </w:rPr>
      </w:pPr>
    </w:p>
    <w:p w14:paraId="08851153" w14:textId="77777777" w:rsidR="0085000D" w:rsidRPr="00593A5F" w:rsidRDefault="0085000D" w:rsidP="0085000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3F640E4" w14:textId="77777777" w:rsidR="0085000D" w:rsidRPr="003E0A6C" w:rsidRDefault="0085000D" w:rsidP="0085000D"/>
    <w:p w14:paraId="59031788" w14:textId="48843995" w:rsidR="0085000D" w:rsidRPr="002F7DE0" w:rsidRDefault="00BD5933" w:rsidP="0085000D">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drawing>
          <wp:inline distT="0" distB="0" distL="0" distR="0" wp14:anchorId="13A1E418" wp14:editId="44B833D3">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21"/>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5000D" w:rsidRPr="002F7DE0" w14:paraId="09AC2C96" w14:textId="77777777" w:rsidTr="008A06D4">
        <w:trPr>
          <w:trHeight w:val="315"/>
        </w:trPr>
        <w:tc>
          <w:tcPr>
            <w:tcW w:w="893" w:type="dxa"/>
            <w:vAlign w:val="center"/>
            <w:hideMark/>
          </w:tcPr>
          <w:p w14:paraId="66AA9FC2" w14:textId="77777777" w:rsidR="0085000D" w:rsidRPr="002F7DE0" w:rsidRDefault="0085000D" w:rsidP="008A06D4">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BFD023" w14:textId="77777777" w:rsidR="0085000D" w:rsidRPr="002F7DE0" w:rsidRDefault="0085000D" w:rsidP="008A06D4">
            <w:pPr>
              <w:contextualSpacing/>
              <w:rPr>
                <w:rFonts w:ascii="Verdana" w:hAnsi="Verdana"/>
                <w:sz w:val="16"/>
                <w:szCs w:val="16"/>
              </w:rPr>
            </w:pPr>
            <w:r w:rsidRPr="002F7DE0">
              <w:rPr>
                <w:rFonts w:ascii="Verdana" w:hAnsi="Verdana"/>
                <w:sz w:val="16"/>
                <w:szCs w:val="16"/>
              </w:rPr>
              <w:t>Tatiana Baquero Iguarán</w:t>
            </w:r>
          </w:p>
          <w:p w14:paraId="6BA08F73" w14:textId="77777777" w:rsidR="0085000D" w:rsidRPr="002F7DE0" w:rsidRDefault="0085000D" w:rsidP="008A06D4">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85000D" w:rsidRPr="002F7DE0" w14:paraId="60DF0B02" w14:textId="77777777" w:rsidTr="008A06D4">
        <w:trPr>
          <w:trHeight w:val="330"/>
        </w:trPr>
        <w:tc>
          <w:tcPr>
            <w:tcW w:w="893" w:type="dxa"/>
            <w:vAlign w:val="center"/>
            <w:hideMark/>
          </w:tcPr>
          <w:p w14:paraId="2D372912" w14:textId="77777777" w:rsidR="0085000D" w:rsidRPr="002F7DE0" w:rsidRDefault="0085000D" w:rsidP="008A06D4">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2F6251" w14:textId="77777777" w:rsidR="0085000D" w:rsidRPr="002F7DE0" w:rsidRDefault="0085000D" w:rsidP="008A06D4">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0CDBA1E8" w14:textId="77777777" w:rsidR="0085000D" w:rsidRPr="002F7DE0" w:rsidRDefault="0085000D" w:rsidP="008A06D4">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85000D" w:rsidRPr="002F7DE0" w14:paraId="44AE0BAC" w14:textId="77777777" w:rsidTr="008A06D4">
        <w:trPr>
          <w:trHeight w:val="300"/>
        </w:trPr>
        <w:tc>
          <w:tcPr>
            <w:tcW w:w="893" w:type="dxa"/>
            <w:vAlign w:val="center"/>
          </w:tcPr>
          <w:p w14:paraId="67B641BD" w14:textId="77777777" w:rsidR="0085000D" w:rsidRPr="002F7DE0" w:rsidRDefault="0085000D" w:rsidP="008A06D4">
            <w:pPr>
              <w:contextualSpacing/>
              <w:rPr>
                <w:rFonts w:ascii="Verdana" w:hAnsi="Verdana" w:cs="Arial"/>
                <w:sz w:val="16"/>
                <w:szCs w:val="16"/>
                <w:lang w:val="es-ES" w:eastAsia="es-ES"/>
              </w:rPr>
            </w:pPr>
            <w:r w:rsidRPr="002F7DE0">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04CCB8" w14:textId="77777777" w:rsidR="0085000D" w:rsidRPr="002F7DE0" w:rsidRDefault="0085000D" w:rsidP="008A06D4">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William Javier Murcia </w:t>
            </w:r>
            <w:proofErr w:type="spellStart"/>
            <w:r>
              <w:rPr>
                <w:rFonts w:ascii="Verdana" w:eastAsia="Calibri" w:hAnsi="Verdana" w:cs="Arial"/>
                <w:sz w:val="16"/>
                <w:szCs w:val="16"/>
                <w:lang w:val="pt-BR" w:eastAsia="es-ES"/>
              </w:rPr>
              <w:t>Acevedo</w:t>
            </w:r>
            <w:proofErr w:type="spellEnd"/>
            <w:r>
              <w:rPr>
                <w:rFonts w:ascii="Verdana" w:eastAsia="Calibri" w:hAnsi="Verdana" w:cs="Arial"/>
                <w:sz w:val="16"/>
                <w:szCs w:val="16"/>
                <w:lang w:val="pt-BR" w:eastAsia="es-ES"/>
              </w:rPr>
              <w:t xml:space="preserve"> </w:t>
            </w:r>
          </w:p>
          <w:p w14:paraId="112E9F9D" w14:textId="77777777" w:rsidR="0085000D" w:rsidRPr="002F7DE0" w:rsidRDefault="0085000D" w:rsidP="008A06D4">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w:t>
            </w:r>
            <w:r>
              <w:rPr>
                <w:rFonts w:ascii="Verdana" w:eastAsia="Calibri" w:hAnsi="Verdana" w:cs="Arial"/>
                <w:sz w:val="16"/>
                <w:szCs w:val="16"/>
                <w:lang w:val="pt-BR" w:eastAsia="es-ES"/>
              </w:rPr>
              <w:t xml:space="preserve">(E) </w:t>
            </w:r>
            <w:r w:rsidRPr="002F7DE0">
              <w:rPr>
                <w:rFonts w:ascii="Verdana" w:eastAsia="Calibri" w:hAnsi="Verdana" w:cs="Arial"/>
                <w:sz w:val="16"/>
                <w:szCs w:val="16"/>
                <w:lang w:val="pt-BR" w:eastAsia="es-ES"/>
              </w:rPr>
              <w:t>ANCP – CCE</w:t>
            </w:r>
          </w:p>
        </w:tc>
      </w:tr>
    </w:tbl>
    <w:p w14:paraId="3900974D" w14:textId="0A9F235D" w:rsidR="003D5B0D" w:rsidRPr="0085000D" w:rsidRDefault="003D5B0D" w:rsidP="0085000D"/>
    <w:sectPr w:rsidR="003D5B0D" w:rsidRPr="0085000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17594" w14:textId="77777777" w:rsidR="007349C1" w:rsidRDefault="007349C1" w:rsidP="004A1847">
      <w:pPr>
        <w:spacing w:after="0" w:line="240" w:lineRule="auto"/>
      </w:pPr>
      <w:r>
        <w:separator/>
      </w:r>
    </w:p>
  </w:endnote>
  <w:endnote w:type="continuationSeparator" w:id="0">
    <w:p w14:paraId="46C86688" w14:textId="77777777" w:rsidR="007349C1" w:rsidRDefault="007349C1" w:rsidP="004A1847">
      <w:pPr>
        <w:spacing w:after="0" w:line="240" w:lineRule="auto"/>
      </w:pPr>
      <w:r>
        <w:continuationSeparator/>
      </w:r>
    </w:p>
  </w:endnote>
  <w:endnote w:type="continuationNotice" w:id="1">
    <w:p w14:paraId="048293B8" w14:textId="77777777" w:rsidR="007349C1" w:rsidRDefault="007349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8DC85" w14:textId="77777777" w:rsidR="007349C1" w:rsidRDefault="007349C1" w:rsidP="004A1847">
      <w:pPr>
        <w:spacing w:after="0" w:line="240" w:lineRule="auto"/>
      </w:pPr>
      <w:r>
        <w:separator/>
      </w:r>
    </w:p>
  </w:footnote>
  <w:footnote w:type="continuationSeparator" w:id="0">
    <w:p w14:paraId="4FD70165" w14:textId="77777777" w:rsidR="007349C1" w:rsidRDefault="007349C1" w:rsidP="004A1847">
      <w:pPr>
        <w:spacing w:after="0" w:line="240" w:lineRule="auto"/>
      </w:pPr>
      <w:r>
        <w:continuationSeparator/>
      </w:r>
    </w:p>
  </w:footnote>
  <w:footnote w:type="continuationNotice" w:id="1">
    <w:p w14:paraId="45F00BB3" w14:textId="77777777" w:rsidR="007349C1" w:rsidRDefault="007349C1">
      <w:pPr>
        <w:spacing w:after="0" w:line="240" w:lineRule="auto"/>
      </w:pPr>
    </w:p>
  </w:footnote>
  <w:footnote w:id="2">
    <w:p w14:paraId="3E25409A" w14:textId="77777777" w:rsidR="0085000D" w:rsidRPr="007A7B34" w:rsidRDefault="0085000D" w:rsidP="0085000D">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7A7B34">
        <w:rPr>
          <w:rFonts w:ascii="Verdana" w:hAnsi="Verdana" w:cs="Arial"/>
          <w:sz w:val="16"/>
          <w:szCs w:val="16"/>
          <w:vertAlign w:val="superscript"/>
        </w:rPr>
        <w:footnoteRef/>
      </w:r>
      <w:r w:rsidRPr="007A7B34">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3">
    <w:p w14:paraId="5484109E" w14:textId="77777777" w:rsidR="0085000D" w:rsidRPr="007A7B34" w:rsidRDefault="0085000D" w:rsidP="0085000D">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7A7B34">
        <w:rPr>
          <w:rFonts w:ascii="Verdana" w:hAnsi="Verdana" w:cs="Arial"/>
          <w:sz w:val="16"/>
          <w:szCs w:val="16"/>
          <w:vertAlign w:val="superscript"/>
        </w:rPr>
        <w:footnoteRef/>
      </w:r>
      <w:r w:rsidRPr="007A7B34">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4">
    <w:p w14:paraId="697E6399" w14:textId="77777777" w:rsidR="0085000D" w:rsidRPr="007A7B34" w:rsidRDefault="0085000D" w:rsidP="0085000D">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GONZÁLEZ LÓPEZ, Edgar. El pliego de condiciones en la contratación estatal: la reforma consagrada en la Ley 1150 de 2007 y sus decretos reglamentarios. Bogotá: Universidad Externando de Colombia, 2012. p. 87 y ss.</w:t>
      </w:r>
    </w:p>
  </w:footnote>
  <w:footnote w:id="5">
    <w:p w14:paraId="30BFDB7F" w14:textId="77777777" w:rsidR="0085000D" w:rsidRPr="007A7B34" w:rsidRDefault="0085000D" w:rsidP="0085000D">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Como explica la doctrina, “La discrecionalidad no es un espacio de decisión infinitamente abierto; hay una apertura, pero limitada por los márgenes de la realidad fáctica, y su apreciación racional y razonable. La libertad administrativa no es una planicie sin fronteras, sino un anillo con ribetes elásticos y relativos (pues hay zonas en las que la decisión conforme a Derecho está abierta a distintas opiniones y valoraciones), pero hay ribetes que perfilan el ‘margen’ de la discrecionalidad. Conviene insistir en la idea de que no hay potestades absolutamente discrecionales, pues siempre están confinadas por un margen que las acota (de allí que el espacio de libre discrecionalidad pueda ser comparado con el hueco central de una rosquilla o un ‘donut’). Siempre que hay algún elemento reglado que delimita la dosis o el ‘margen’ de discrecionalidad, y que permite a los tribunales controlar dónde está la frontera que separa la ilegítima arbitrariedad de la legítima arbitrariedad” (Cfr. BLANQUER, David. Derecho administrativo: el fin, los medios y el control. Tomo I. Valencia: Tirant lo Blanch, 2010. p. 192).    </w:t>
      </w:r>
    </w:p>
  </w:footnote>
  <w:footnote w:id="6">
    <w:p w14:paraId="4B5454BA" w14:textId="77777777" w:rsidR="0085000D" w:rsidRPr="007A7B34" w:rsidRDefault="0085000D" w:rsidP="0085000D">
      <w:pPr>
        <w:pStyle w:val="Textonotapie"/>
        <w:ind w:firstLine="708"/>
        <w:jc w:val="both"/>
        <w:rPr>
          <w:rFonts w:ascii="Verdana" w:hAnsi="Verdana" w:cs="Arial"/>
          <w:sz w:val="16"/>
          <w:szCs w:val="16"/>
          <w:lang w:val="es-ES"/>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7D43493F" w14:textId="77777777" w:rsidR="0085000D" w:rsidRPr="007A7B34" w:rsidRDefault="0085000D" w:rsidP="0085000D">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195DE263" w14:textId="77777777" w:rsidR="0085000D" w:rsidRPr="007A7B34" w:rsidRDefault="0085000D" w:rsidP="0085000D">
      <w:pPr>
        <w:pStyle w:val="Textonotapie"/>
        <w:ind w:firstLine="708"/>
        <w:jc w:val="both"/>
        <w:rPr>
          <w:rFonts w:ascii="Verdana" w:hAnsi="Verdana" w:cs="Arial"/>
          <w:sz w:val="16"/>
          <w:szCs w:val="16"/>
          <w:lang w:val="es-ES"/>
        </w:rPr>
      </w:pPr>
      <w:r w:rsidRPr="007A7B34">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8">
    <w:p w14:paraId="41C2A40A" w14:textId="77777777" w:rsidR="0085000D" w:rsidRPr="007A7B34" w:rsidRDefault="0085000D" w:rsidP="0085000D">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31BF6B0" w14:textId="77777777" w:rsidR="0085000D" w:rsidRPr="007A7B34" w:rsidRDefault="0085000D" w:rsidP="0085000D">
      <w:pPr>
        <w:pStyle w:val="Textonotapie"/>
        <w:ind w:firstLine="708"/>
        <w:jc w:val="both"/>
        <w:rPr>
          <w:rFonts w:ascii="Verdana" w:hAnsi="Verdana" w:cs="Arial"/>
          <w:sz w:val="16"/>
          <w:szCs w:val="16"/>
        </w:rPr>
      </w:pPr>
      <w:r w:rsidRPr="007A7B34">
        <w:rPr>
          <w:rFonts w:ascii="Verdana" w:hAnsi="Verdana" w:cs="Arial"/>
          <w:sz w:val="16"/>
          <w:szCs w:val="16"/>
        </w:rPr>
        <w:t>[...]</w:t>
      </w:r>
    </w:p>
    <w:p w14:paraId="42D39CB9" w14:textId="77777777" w:rsidR="0085000D" w:rsidRPr="007A7B34" w:rsidRDefault="0085000D" w:rsidP="0085000D">
      <w:pPr>
        <w:pStyle w:val="Textonotapie"/>
        <w:ind w:firstLine="708"/>
        <w:jc w:val="both"/>
        <w:rPr>
          <w:rFonts w:ascii="Verdana" w:hAnsi="Verdana" w:cs="Arial"/>
          <w:sz w:val="16"/>
          <w:szCs w:val="16"/>
        </w:rPr>
      </w:pPr>
      <w:r w:rsidRPr="007A7B34">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B30366E" w14:textId="77777777" w:rsidR="0085000D" w:rsidRPr="007A7B34" w:rsidRDefault="0085000D" w:rsidP="0085000D">
      <w:pPr>
        <w:pStyle w:val="Textonotapie"/>
        <w:ind w:firstLine="708"/>
        <w:jc w:val="both"/>
        <w:rPr>
          <w:rFonts w:ascii="Verdana" w:hAnsi="Verdana" w:cs="Arial"/>
          <w:sz w:val="16"/>
          <w:szCs w:val="16"/>
          <w:lang w:val="es-ES"/>
        </w:rPr>
      </w:pPr>
      <w:r w:rsidRPr="007A7B34">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9">
    <w:p w14:paraId="13A4EFE8" w14:textId="77777777" w:rsidR="0085000D" w:rsidRPr="007A7B34" w:rsidRDefault="0085000D" w:rsidP="0085000D">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99457DF" w14:textId="77777777" w:rsidR="0085000D" w:rsidRPr="007A7B34" w:rsidRDefault="0085000D" w:rsidP="0085000D">
      <w:pPr>
        <w:pStyle w:val="Textonotapie"/>
        <w:ind w:firstLine="709"/>
        <w:jc w:val="both"/>
        <w:rPr>
          <w:rFonts w:ascii="Verdana" w:hAnsi="Verdana" w:cs="Arial"/>
          <w:sz w:val="16"/>
          <w:szCs w:val="16"/>
        </w:rPr>
      </w:pPr>
      <w:r w:rsidRPr="007A7B34">
        <w:rPr>
          <w:rFonts w:ascii="Verdana" w:hAnsi="Verdana" w:cs="Arial"/>
          <w:sz w:val="16"/>
          <w:szCs w:val="16"/>
        </w:rPr>
        <w:t>1. Si es una persona natural:</w:t>
      </w:r>
    </w:p>
    <w:p w14:paraId="0AFBCF85" w14:textId="77777777" w:rsidR="0085000D" w:rsidRPr="007A7B34" w:rsidRDefault="0085000D" w:rsidP="0085000D">
      <w:pPr>
        <w:pStyle w:val="Textonotapie"/>
        <w:ind w:firstLine="709"/>
        <w:jc w:val="both"/>
        <w:rPr>
          <w:rFonts w:ascii="Verdana" w:hAnsi="Verdana" w:cs="Arial"/>
          <w:sz w:val="16"/>
          <w:szCs w:val="16"/>
        </w:rPr>
      </w:pPr>
      <w:r w:rsidRPr="007A7B34">
        <w:rPr>
          <w:rFonts w:ascii="Verdana" w:hAnsi="Verdana" w:cs="Arial"/>
          <w:sz w:val="16"/>
          <w:szCs w:val="16"/>
        </w:rPr>
        <w:t>1.1. Bienes, obras y servicios que ofrecerá a las Entidades Estatales, identificados con el Clasificador de Bienes y Servicios en el tercer nivel.</w:t>
      </w:r>
    </w:p>
    <w:p w14:paraId="7954DC0F" w14:textId="77777777" w:rsidR="0085000D" w:rsidRPr="007A7B34" w:rsidRDefault="0085000D" w:rsidP="0085000D">
      <w:pPr>
        <w:pStyle w:val="Textonotapie"/>
        <w:ind w:firstLine="709"/>
        <w:jc w:val="both"/>
        <w:rPr>
          <w:rFonts w:ascii="Verdana" w:hAnsi="Verdana" w:cs="Arial"/>
          <w:sz w:val="16"/>
          <w:szCs w:val="16"/>
        </w:rPr>
      </w:pPr>
      <w:r w:rsidRPr="007A7B34">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8CAAE3E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20411D"/>
    <w:multiLevelType w:val="hybridMultilevel"/>
    <w:tmpl w:val="C448937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13145232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07E"/>
    <w:rsid w:val="00016F78"/>
    <w:rsid w:val="000304B4"/>
    <w:rsid w:val="00036C7D"/>
    <w:rsid w:val="00046945"/>
    <w:rsid w:val="000515A8"/>
    <w:rsid w:val="00054F06"/>
    <w:rsid w:val="00061B2A"/>
    <w:rsid w:val="00066F0B"/>
    <w:rsid w:val="00081E33"/>
    <w:rsid w:val="00082362"/>
    <w:rsid w:val="000A683E"/>
    <w:rsid w:val="000B19B9"/>
    <w:rsid w:val="000C09DF"/>
    <w:rsid w:val="000C1807"/>
    <w:rsid w:val="000D0334"/>
    <w:rsid w:val="000D2484"/>
    <w:rsid w:val="000F6486"/>
    <w:rsid w:val="00116EE1"/>
    <w:rsid w:val="001206A4"/>
    <w:rsid w:val="00125105"/>
    <w:rsid w:val="00127233"/>
    <w:rsid w:val="001511A0"/>
    <w:rsid w:val="001A511E"/>
    <w:rsid w:val="001D161B"/>
    <w:rsid w:val="001E4177"/>
    <w:rsid w:val="001E4A0D"/>
    <w:rsid w:val="001E577C"/>
    <w:rsid w:val="001F7DC6"/>
    <w:rsid w:val="002123F9"/>
    <w:rsid w:val="002421BB"/>
    <w:rsid w:val="0025796E"/>
    <w:rsid w:val="00264825"/>
    <w:rsid w:val="002707A2"/>
    <w:rsid w:val="002951A0"/>
    <w:rsid w:val="002962BC"/>
    <w:rsid w:val="002A093D"/>
    <w:rsid w:val="002A0DD0"/>
    <w:rsid w:val="002A49AC"/>
    <w:rsid w:val="002A4EF3"/>
    <w:rsid w:val="002A64FD"/>
    <w:rsid w:val="002C35EC"/>
    <w:rsid w:val="002C7A84"/>
    <w:rsid w:val="002D405E"/>
    <w:rsid w:val="002E4FD9"/>
    <w:rsid w:val="00300670"/>
    <w:rsid w:val="00322A85"/>
    <w:rsid w:val="00324168"/>
    <w:rsid w:val="00331AC2"/>
    <w:rsid w:val="003448F4"/>
    <w:rsid w:val="00374F5E"/>
    <w:rsid w:val="00377E3E"/>
    <w:rsid w:val="00395241"/>
    <w:rsid w:val="003A779E"/>
    <w:rsid w:val="003D0F4D"/>
    <w:rsid w:val="003D5B0D"/>
    <w:rsid w:val="003E0499"/>
    <w:rsid w:val="003F3941"/>
    <w:rsid w:val="004037C6"/>
    <w:rsid w:val="00406575"/>
    <w:rsid w:val="00411F3B"/>
    <w:rsid w:val="00414C74"/>
    <w:rsid w:val="00425F96"/>
    <w:rsid w:val="0042722E"/>
    <w:rsid w:val="00435CB6"/>
    <w:rsid w:val="0044528D"/>
    <w:rsid w:val="00450B32"/>
    <w:rsid w:val="00461C1F"/>
    <w:rsid w:val="004A1847"/>
    <w:rsid w:val="004A305D"/>
    <w:rsid w:val="004C2D20"/>
    <w:rsid w:val="004D4D57"/>
    <w:rsid w:val="004F21C4"/>
    <w:rsid w:val="004F685F"/>
    <w:rsid w:val="0052017B"/>
    <w:rsid w:val="00522467"/>
    <w:rsid w:val="0052278B"/>
    <w:rsid w:val="00541320"/>
    <w:rsid w:val="005566E8"/>
    <w:rsid w:val="00574867"/>
    <w:rsid w:val="00591460"/>
    <w:rsid w:val="005B3816"/>
    <w:rsid w:val="005C3777"/>
    <w:rsid w:val="005C5CDC"/>
    <w:rsid w:val="005D1F94"/>
    <w:rsid w:val="005D476C"/>
    <w:rsid w:val="005E0438"/>
    <w:rsid w:val="005E237C"/>
    <w:rsid w:val="006219F8"/>
    <w:rsid w:val="00654204"/>
    <w:rsid w:val="006629FA"/>
    <w:rsid w:val="00665D70"/>
    <w:rsid w:val="006900D9"/>
    <w:rsid w:val="00706C16"/>
    <w:rsid w:val="007151AE"/>
    <w:rsid w:val="007349C1"/>
    <w:rsid w:val="007405E2"/>
    <w:rsid w:val="007475F2"/>
    <w:rsid w:val="00756841"/>
    <w:rsid w:val="007649AB"/>
    <w:rsid w:val="00771D0C"/>
    <w:rsid w:val="007833AC"/>
    <w:rsid w:val="007A2C99"/>
    <w:rsid w:val="007B268C"/>
    <w:rsid w:val="007B7171"/>
    <w:rsid w:val="007C0C0F"/>
    <w:rsid w:val="007C3DC2"/>
    <w:rsid w:val="007D536F"/>
    <w:rsid w:val="007D7D9D"/>
    <w:rsid w:val="007E5497"/>
    <w:rsid w:val="00806F5F"/>
    <w:rsid w:val="00814480"/>
    <w:rsid w:val="008154AD"/>
    <w:rsid w:val="00820278"/>
    <w:rsid w:val="008343CD"/>
    <w:rsid w:val="00837D8B"/>
    <w:rsid w:val="0085000D"/>
    <w:rsid w:val="008571D0"/>
    <w:rsid w:val="00867F95"/>
    <w:rsid w:val="008843B6"/>
    <w:rsid w:val="00891928"/>
    <w:rsid w:val="008A446D"/>
    <w:rsid w:val="008A6E0F"/>
    <w:rsid w:val="008D0F35"/>
    <w:rsid w:val="008D180B"/>
    <w:rsid w:val="008E5A33"/>
    <w:rsid w:val="008F0EA7"/>
    <w:rsid w:val="00923EEF"/>
    <w:rsid w:val="00926261"/>
    <w:rsid w:val="00930B9F"/>
    <w:rsid w:val="009419F9"/>
    <w:rsid w:val="009543C3"/>
    <w:rsid w:val="0095685E"/>
    <w:rsid w:val="00961B09"/>
    <w:rsid w:val="00965334"/>
    <w:rsid w:val="009663D6"/>
    <w:rsid w:val="0097093E"/>
    <w:rsid w:val="00986AC5"/>
    <w:rsid w:val="009A0DFA"/>
    <w:rsid w:val="009A628E"/>
    <w:rsid w:val="009B2D26"/>
    <w:rsid w:val="009C71A3"/>
    <w:rsid w:val="009C71FA"/>
    <w:rsid w:val="009C72E7"/>
    <w:rsid w:val="009D3058"/>
    <w:rsid w:val="009F3A13"/>
    <w:rsid w:val="00A122D3"/>
    <w:rsid w:val="00A148C4"/>
    <w:rsid w:val="00A17F13"/>
    <w:rsid w:val="00A20739"/>
    <w:rsid w:val="00A23D28"/>
    <w:rsid w:val="00A33C78"/>
    <w:rsid w:val="00AB0ADB"/>
    <w:rsid w:val="00AC1FD8"/>
    <w:rsid w:val="00B006B9"/>
    <w:rsid w:val="00B01B1A"/>
    <w:rsid w:val="00B20F16"/>
    <w:rsid w:val="00B24C33"/>
    <w:rsid w:val="00B474C6"/>
    <w:rsid w:val="00B66319"/>
    <w:rsid w:val="00B72CD3"/>
    <w:rsid w:val="00B72FFF"/>
    <w:rsid w:val="00BB2353"/>
    <w:rsid w:val="00BB75D5"/>
    <w:rsid w:val="00BC3D36"/>
    <w:rsid w:val="00BD5933"/>
    <w:rsid w:val="00BD5C25"/>
    <w:rsid w:val="00BD7F72"/>
    <w:rsid w:val="00C04FB3"/>
    <w:rsid w:val="00C257C1"/>
    <w:rsid w:val="00C330EB"/>
    <w:rsid w:val="00C41061"/>
    <w:rsid w:val="00C754BE"/>
    <w:rsid w:val="00C76B1C"/>
    <w:rsid w:val="00CA0F9F"/>
    <w:rsid w:val="00CA75E1"/>
    <w:rsid w:val="00CB51DF"/>
    <w:rsid w:val="00CB6357"/>
    <w:rsid w:val="00CC1B26"/>
    <w:rsid w:val="00D07314"/>
    <w:rsid w:val="00D270DD"/>
    <w:rsid w:val="00D423A2"/>
    <w:rsid w:val="00D520D8"/>
    <w:rsid w:val="00D63AC2"/>
    <w:rsid w:val="00D7383B"/>
    <w:rsid w:val="00DA231B"/>
    <w:rsid w:val="00DC39FC"/>
    <w:rsid w:val="00DF5254"/>
    <w:rsid w:val="00E16408"/>
    <w:rsid w:val="00E20894"/>
    <w:rsid w:val="00E245AB"/>
    <w:rsid w:val="00E2764C"/>
    <w:rsid w:val="00E27F2E"/>
    <w:rsid w:val="00E341E7"/>
    <w:rsid w:val="00E4468D"/>
    <w:rsid w:val="00E453F6"/>
    <w:rsid w:val="00E50AFE"/>
    <w:rsid w:val="00E626CB"/>
    <w:rsid w:val="00E671CF"/>
    <w:rsid w:val="00E677C2"/>
    <w:rsid w:val="00E75C92"/>
    <w:rsid w:val="00E771DC"/>
    <w:rsid w:val="00E87330"/>
    <w:rsid w:val="00E8772A"/>
    <w:rsid w:val="00E90F6B"/>
    <w:rsid w:val="00E92C27"/>
    <w:rsid w:val="00EA0E3D"/>
    <w:rsid w:val="00EB3554"/>
    <w:rsid w:val="00EC38A7"/>
    <w:rsid w:val="00ED7384"/>
    <w:rsid w:val="00EE1AA8"/>
    <w:rsid w:val="00F01466"/>
    <w:rsid w:val="00F31EDC"/>
    <w:rsid w:val="00F462B3"/>
    <w:rsid w:val="00F502BF"/>
    <w:rsid w:val="00F50C94"/>
    <w:rsid w:val="00F5664F"/>
    <w:rsid w:val="00F666C4"/>
    <w:rsid w:val="00F76AFC"/>
    <w:rsid w:val="00FA47C0"/>
    <w:rsid w:val="00FB5DD1"/>
    <w:rsid w:val="00FC2B5D"/>
    <w:rsid w:val="00FC6CE4"/>
    <w:rsid w:val="00FF1449"/>
    <w:rsid w:val="00FF3F9A"/>
    <w:rsid w:val="10A39B03"/>
    <w:rsid w:val="13E9BF0C"/>
    <w:rsid w:val="165E9519"/>
    <w:rsid w:val="36E7E54D"/>
    <w:rsid w:val="382536D9"/>
    <w:rsid w:val="3A720D5E"/>
    <w:rsid w:val="3D903A31"/>
    <w:rsid w:val="4E46F900"/>
    <w:rsid w:val="6EFDAB80"/>
    <w:rsid w:val="7071DB28"/>
    <w:rsid w:val="7903AF67"/>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D0F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D0F35"/>
    <w:rPr>
      <w:rFonts w:ascii="Geomanist Light" w:hAnsi="Geomanist Light"/>
      <w:lang w:val="es-ES"/>
    </w:rPr>
  </w:style>
  <w:style w:type="character" w:customStyle="1" w:styleId="s15">
    <w:name w:val="s15"/>
    <w:basedOn w:val="Fuentedeprrafopredeter"/>
    <w:rsid w:val="008D0F35"/>
  </w:style>
  <w:style w:type="character" w:customStyle="1" w:styleId="apple-converted-space">
    <w:name w:val="apple-converted-space"/>
    <w:basedOn w:val="Fuentedeprrafopredeter"/>
    <w:rsid w:val="008D0F35"/>
  </w:style>
  <w:style w:type="paragraph" w:customStyle="1" w:styleId="s16">
    <w:name w:val="s16"/>
    <w:basedOn w:val="Normal"/>
    <w:rsid w:val="008D0F3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8D0F3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pellingerror">
    <w:name w:val="spellingerror"/>
    <w:basedOn w:val="Fuentedeprrafopredeter"/>
    <w:rsid w:val="008D0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manviales.com.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1C8D5DC-E84E-4ADF-82AE-4E997E0CA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7970</Words>
  <Characters>43835</Characters>
  <Application>Microsoft Office Word</Application>
  <DocSecurity>0</DocSecurity>
  <Lines>365</Lines>
  <Paragraphs>103</Paragraphs>
  <ScaleCrop>false</ScaleCrop>
  <Company/>
  <LinksUpToDate>false</LinksUpToDate>
  <CharactersWithSpaces>51702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2026-10-21T13:47:00Z</dcterms:created>
  <dcterms:modified xsi:type="dcterms:W3CDTF">2026-10-21T14:57:00Z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