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F347A" w14:textId="77777777" w:rsidR="00607F6E" w:rsidRPr="00FD443A" w:rsidRDefault="00607F6E" w:rsidP="00607F6E">
      <w:pPr>
        <w:jc w:val="both"/>
        <w:rPr>
          <w:rFonts w:ascii="Verdana" w:eastAsia="Calibri" w:hAnsi="Verdana" w:cs="Arial"/>
          <w:b/>
          <w:color w:val="000000"/>
          <w:lang w:val="es-ES_tradnl"/>
        </w:rPr>
      </w:pPr>
      <w:r w:rsidRPr="00FD443A">
        <w:rPr>
          <w:rFonts w:ascii="Verdana" w:eastAsia="Calibri" w:hAnsi="Verdana" w:cs="Arial"/>
          <w:b/>
          <w:color w:val="000000"/>
          <w:lang w:val="es-ES_tradnl"/>
        </w:rPr>
        <w:t>PLAN ANUAL DE ADQUISICIONES – Noción – Guía para elaborar el plan anual de adquisiciones – Obligatoriedad de elaboración</w:t>
      </w:r>
    </w:p>
    <w:p w14:paraId="398D0F00" w14:textId="77777777" w:rsidR="00607F6E" w:rsidRPr="00DF172F" w:rsidRDefault="00607F6E" w:rsidP="00607F6E">
      <w:pPr>
        <w:jc w:val="both"/>
        <w:rPr>
          <w:rFonts w:ascii="Verdana" w:eastAsia="Calibri" w:hAnsi="Verdana" w:cs="Arial"/>
          <w:b/>
          <w:color w:val="000000"/>
          <w:sz w:val="20"/>
          <w:szCs w:val="20"/>
          <w:lang w:val="es-ES_tradnl"/>
        </w:rPr>
      </w:pPr>
    </w:p>
    <w:p w14:paraId="7385554E" w14:textId="77777777" w:rsidR="00607F6E" w:rsidRPr="00DF172F" w:rsidRDefault="00607F6E" w:rsidP="00607F6E">
      <w:pPr>
        <w:jc w:val="both"/>
        <w:rPr>
          <w:rFonts w:ascii="Verdana" w:eastAsia="Calibri" w:hAnsi="Verdana" w:cs="Arial"/>
          <w:bCs/>
          <w:color w:val="000000"/>
          <w:sz w:val="20"/>
          <w:szCs w:val="20"/>
          <w:lang w:val="es-ES_tradnl"/>
        </w:rPr>
      </w:pPr>
      <w:r w:rsidRPr="00DF172F">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5D267729" w14:textId="77777777" w:rsidR="00607F6E" w:rsidRPr="00DF172F" w:rsidRDefault="00607F6E" w:rsidP="00607F6E">
      <w:pPr>
        <w:jc w:val="both"/>
        <w:rPr>
          <w:rFonts w:ascii="Verdana" w:eastAsia="Calibri" w:hAnsi="Verdana" w:cs="Arial"/>
          <w:bCs/>
          <w:color w:val="000000"/>
          <w:sz w:val="20"/>
          <w:szCs w:val="20"/>
          <w:lang w:val="es-ES_tradnl"/>
        </w:rPr>
      </w:pPr>
      <w:r w:rsidRPr="00DF172F">
        <w:rPr>
          <w:rFonts w:ascii="Verdana" w:eastAsia="Calibri" w:hAnsi="Verdana" w:cs="Arial"/>
          <w:bCs/>
          <w:color w:val="000000"/>
          <w:sz w:val="20"/>
          <w:szCs w:val="20"/>
          <w:lang w:val="es-ES_tradnl"/>
        </w:rPr>
        <w:t>[…]</w:t>
      </w:r>
    </w:p>
    <w:p w14:paraId="27B65A67" w14:textId="77777777" w:rsidR="00607F6E" w:rsidRPr="00DF172F" w:rsidRDefault="00607F6E" w:rsidP="00607F6E">
      <w:pPr>
        <w:jc w:val="both"/>
        <w:textAlignment w:val="baseline"/>
        <w:rPr>
          <w:rFonts w:ascii="Verdana" w:hAnsi="Verdana" w:cs="Arial"/>
          <w:color w:val="000000"/>
          <w:sz w:val="20"/>
          <w:szCs w:val="20"/>
          <w:lang w:val="es-ES" w:eastAsia="es-CO"/>
        </w:rPr>
      </w:pPr>
      <w:r w:rsidRPr="00DF172F">
        <w:rPr>
          <w:rFonts w:ascii="Verdana" w:eastAsia="Calibri" w:hAnsi="Verdana" w:cs="Arial"/>
          <w:sz w:val="20"/>
          <w:szCs w:val="20"/>
          <w:lang w:val="es-ES_tradnl" w:eastAsia="es-CO"/>
        </w:rPr>
        <w:t>[E]</w:t>
      </w:r>
      <w:r w:rsidRPr="00DF172F">
        <w:rPr>
          <w:rFonts w:ascii="Verdana"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19B6FA96" w14:textId="77777777" w:rsidR="00607F6E" w:rsidRPr="00DF172F" w:rsidRDefault="00607F6E" w:rsidP="00607F6E">
      <w:pPr>
        <w:jc w:val="both"/>
        <w:textAlignment w:val="baseline"/>
        <w:rPr>
          <w:rFonts w:ascii="Verdana" w:hAnsi="Verdana" w:cs="Arial"/>
          <w:color w:val="000000"/>
          <w:sz w:val="20"/>
          <w:szCs w:val="20"/>
          <w:lang w:eastAsia="es-CO"/>
        </w:rPr>
      </w:pPr>
    </w:p>
    <w:p w14:paraId="1BB805D1" w14:textId="77777777" w:rsidR="00607F6E" w:rsidRPr="00DF172F" w:rsidRDefault="00607F6E" w:rsidP="00607F6E">
      <w:pPr>
        <w:jc w:val="both"/>
        <w:rPr>
          <w:rFonts w:ascii="Verdana" w:eastAsia="Aptos" w:hAnsi="Verdana" w:cs="Arial"/>
          <w:color w:val="000000"/>
          <w:sz w:val="20"/>
          <w:szCs w:val="20"/>
        </w:rPr>
      </w:pPr>
      <w:r w:rsidRPr="00DF172F">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DF172F">
        <w:rPr>
          <w:rFonts w:ascii="Verdana" w:eastAsia="Aptos" w:hAnsi="Verdana" w:cs="Arial"/>
          <w:color w:val="000000"/>
          <w:sz w:val="20"/>
          <w:szCs w:val="20"/>
        </w:rPr>
        <w:t> </w:t>
      </w:r>
    </w:p>
    <w:p w14:paraId="7DC3D4AD" w14:textId="77777777" w:rsidR="00607F6E" w:rsidRPr="005819B2" w:rsidRDefault="00607F6E" w:rsidP="00607F6E">
      <w:pPr>
        <w:spacing w:line="276" w:lineRule="auto"/>
        <w:jc w:val="both"/>
        <w:rPr>
          <w:rFonts w:ascii="Verdana" w:hAnsi="Verdana"/>
        </w:rPr>
      </w:pPr>
    </w:p>
    <w:p w14:paraId="5CC2E210" w14:textId="77777777" w:rsidR="00607F6E" w:rsidRPr="005819B2" w:rsidRDefault="00607F6E" w:rsidP="00607F6E">
      <w:pPr>
        <w:spacing w:line="276" w:lineRule="auto"/>
        <w:jc w:val="both"/>
        <w:rPr>
          <w:rFonts w:ascii="Verdana" w:hAnsi="Verdana"/>
          <w:b/>
          <w:bCs/>
        </w:rPr>
      </w:pPr>
      <w:r w:rsidRPr="005819B2">
        <w:rPr>
          <w:rFonts w:ascii="Verdana" w:hAnsi="Verdana"/>
          <w:b/>
          <w:bCs/>
        </w:rPr>
        <w:t xml:space="preserve">PLAN ANUAL DE ADQUISICIONES – Información a relacionar – Información mínima – Información complementaria </w:t>
      </w:r>
    </w:p>
    <w:p w14:paraId="3B676B56" w14:textId="77777777" w:rsidR="00607F6E" w:rsidRPr="005819B2" w:rsidRDefault="00607F6E" w:rsidP="00607F6E">
      <w:pPr>
        <w:spacing w:line="276" w:lineRule="auto"/>
        <w:jc w:val="both"/>
        <w:rPr>
          <w:rFonts w:ascii="Verdana" w:hAnsi="Verdana"/>
          <w:b/>
          <w:bCs/>
          <w:sz w:val="20"/>
          <w:szCs w:val="20"/>
        </w:rPr>
      </w:pPr>
    </w:p>
    <w:p w14:paraId="098D8ED3" w14:textId="77777777" w:rsidR="00607F6E" w:rsidRPr="005819B2" w:rsidRDefault="00607F6E" w:rsidP="00607F6E">
      <w:pPr>
        <w:jc w:val="both"/>
        <w:rPr>
          <w:rFonts w:ascii="Verdana" w:hAnsi="Verdana"/>
          <w:sz w:val="20"/>
          <w:szCs w:val="20"/>
        </w:rPr>
      </w:pPr>
      <w:r w:rsidRPr="005819B2">
        <w:rPr>
          <w:rFonts w:ascii="Verdana" w:hAnsi="Verdana"/>
          <w:sz w:val="20"/>
          <w:szCs w:val="20"/>
        </w:rPr>
        <w:t xml:space="preserve">[…]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w:t>
      </w:r>
      <w:r w:rsidRPr="005819B2">
        <w:rPr>
          <w:rFonts w:ascii="Verdana" w:hAnsi="Verdana"/>
          <w:sz w:val="20"/>
          <w:szCs w:val="20"/>
        </w:rPr>
        <w:lastRenderedPageBreak/>
        <w:t xml:space="preserve">importante, es complementaria y descriptiva de la información esencialísima del plan, como se explicará a continuación. </w:t>
      </w:r>
    </w:p>
    <w:p w14:paraId="16ACDA32" w14:textId="77777777" w:rsidR="00607F6E" w:rsidRPr="005819B2" w:rsidRDefault="00607F6E" w:rsidP="00607F6E">
      <w:pPr>
        <w:jc w:val="both"/>
        <w:rPr>
          <w:rFonts w:ascii="Verdana" w:hAnsi="Verdana"/>
          <w:sz w:val="20"/>
          <w:szCs w:val="20"/>
        </w:rPr>
      </w:pPr>
    </w:p>
    <w:p w14:paraId="003B63B8" w14:textId="77777777" w:rsidR="00607F6E" w:rsidRPr="005819B2" w:rsidRDefault="00607F6E" w:rsidP="00607F6E">
      <w:pPr>
        <w:jc w:val="both"/>
        <w:rPr>
          <w:rFonts w:ascii="Verdana" w:hAnsi="Verdana"/>
          <w:sz w:val="20"/>
          <w:szCs w:val="20"/>
        </w:rPr>
      </w:pPr>
      <w:r w:rsidRPr="005819B2">
        <w:rPr>
          <w:rFonts w:ascii="Verdana" w:hAnsi="Verdana"/>
          <w:sz w:val="20"/>
          <w:szCs w:val="20"/>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016D3C20" w14:textId="77777777" w:rsidR="00607F6E" w:rsidRPr="005819B2" w:rsidRDefault="00607F6E" w:rsidP="00607F6E">
      <w:pPr>
        <w:jc w:val="both"/>
        <w:rPr>
          <w:rFonts w:ascii="Verdana" w:hAnsi="Verdana"/>
          <w:sz w:val="20"/>
          <w:szCs w:val="20"/>
        </w:rPr>
      </w:pPr>
    </w:p>
    <w:p w14:paraId="56A84688" w14:textId="77777777" w:rsidR="00607F6E" w:rsidRPr="005819B2" w:rsidRDefault="00607F6E" w:rsidP="00607F6E">
      <w:pPr>
        <w:jc w:val="both"/>
        <w:rPr>
          <w:rFonts w:ascii="Verdana" w:hAnsi="Verdana"/>
          <w:sz w:val="20"/>
          <w:szCs w:val="20"/>
        </w:rPr>
      </w:pPr>
      <w:r w:rsidRPr="005819B2">
        <w:rPr>
          <w:rFonts w:ascii="Verdana" w:hAnsi="Verdana"/>
          <w:sz w:val="20"/>
          <w:szCs w:val="20"/>
        </w:rPr>
        <w:t>En ese sentido, la obligación de incluir información en el Plan Anual de Adquisiciones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w:t>
      </w:r>
    </w:p>
    <w:p w14:paraId="10A6AC62" w14:textId="77777777" w:rsidR="00607F6E" w:rsidRPr="005819B2" w:rsidRDefault="00607F6E" w:rsidP="00607F6E">
      <w:pPr>
        <w:spacing w:line="276" w:lineRule="auto"/>
        <w:jc w:val="both"/>
        <w:rPr>
          <w:rFonts w:ascii="Verdana" w:hAnsi="Verdana"/>
          <w:b/>
          <w:bCs/>
          <w:sz w:val="20"/>
          <w:szCs w:val="20"/>
        </w:rPr>
      </w:pPr>
    </w:p>
    <w:p w14:paraId="4EF9CC42" w14:textId="77777777" w:rsidR="00607F6E" w:rsidRDefault="00607F6E" w:rsidP="00FE7128">
      <w:pPr>
        <w:rPr>
          <w:rFonts w:ascii="Verdana" w:eastAsia="Geomanist Light" w:hAnsi="Verdana" w:cs="Arial"/>
          <w:sz w:val="22"/>
          <w:szCs w:val="22"/>
          <w:lang w:val="es-MX"/>
        </w:rPr>
      </w:pPr>
    </w:p>
    <w:p w14:paraId="7628625A" w14:textId="77777777" w:rsidR="00607F6E" w:rsidRDefault="00607F6E" w:rsidP="00FE7128">
      <w:pPr>
        <w:rPr>
          <w:rFonts w:ascii="Verdana" w:eastAsia="Geomanist Light" w:hAnsi="Verdana" w:cs="Arial"/>
          <w:sz w:val="22"/>
          <w:szCs w:val="22"/>
          <w:lang w:val="es-MX"/>
        </w:rPr>
      </w:pPr>
    </w:p>
    <w:p w14:paraId="1376A7A3" w14:textId="77777777" w:rsidR="00607F6E" w:rsidRDefault="00607F6E" w:rsidP="00FE7128">
      <w:pPr>
        <w:rPr>
          <w:rFonts w:ascii="Verdana" w:eastAsia="Geomanist Light" w:hAnsi="Verdana" w:cs="Arial"/>
          <w:sz w:val="22"/>
          <w:szCs w:val="22"/>
          <w:lang w:val="es-MX"/>
        </w:rPr>
      </w:pPr>
    </w:p>
    <w:p w14:paraId="74FD754A" w14:textId="77777777" w:rsidR="00607F6E" w:rsidRDefault="00607F6E" w:rsidP="00FE7128">
      <w:pPr>
        <w:rPr>
          <w:rFonts w:ascii="Verdana" w:eastAsia="Geomanist Light" w:hAnsi="Verdana" w:cs="Arial"/>
          <w:sz w:val="22"/>
          <w:szCs w:val="22"/>
          <w:lang w:val="es-MX"/>
        </w:rPr>
      </w:pPr>
    </w:p>
    <w:p w14:paraId="494390D8" w14:textId="77777777" w:rsidR="00607F6E" w:rsidRDefault="00607F6E" w:rsidP="00FE7128">
      <w:pPr>
        <w:rPr>
          <w:rFonts w:ascii="Verdana" w:eastAsia="Geomanist Light" w:hAnsi="Verdana" w:cs="Arial"/>
          <w:sz w:val="22"/>
          <w:szCs w:val="22"/>
          <w:lang w:val="es-MX"/>
        </w:rPr>
      </w:pPr>
    </w:p>
    <w:p w14:paraId="070FBD70" w14:textId="77777777" w:rsidR="00607F6E" w:rsidRDefault="00607F6E" w:rsidP="00FE7128">
      <w:pPr>
        <w:rPr>
          <w:rFonts w:ascii="Verdana" w:eastAsia="Geomanist Light" w:hAnsi="Verdana" w:cs="Arial"/>
          <w:sz w:val="22"/>
          <w:szCs w:val="22"/>
          <w:lang w:val="es-MX"/>
        </w:rPr>
      </w:pPr>
    </w:p>
    <w:p w14:paraId="0126F8AB" w14:textId="77777777" w:rsidR="00607F6E" w:rsidRDefault="00607F6E" w:rsidP="00FE7128">
      <w:pPr>
        <w:rPr>
          <w:rFonts w:ascii="Verdana" w:eastAsia="Geomanist Light" w:hAnsi="Verdana" w:cs="Arial"/>
          <w:sz w:val="22"/>
          <w:szCs w:val="22"/>
          <w:lang w:val="es-MX"/>
        </w:rPr>
      </w:pPr>
    </w:p>
    <w:p w14:paraId="32BEA7C4" w14:textId="77777777" w:rsidR="00607F6E" w:rsidRDefault="00607F6E" w:rsidP="00FE7128">
      <w:pPr>
        <w:rPr>
          <w:rFonts w:ascii="Verdana" w:eastAsia="Geomanist Light" w:hAnsi="Verdana" w:cs="Arial"/>
          <w:sz w:val="22"/>
          <w:szCs w:val="22"/>
          <w:lang w:val="es-MX"/>
        </w:rPr>
      </w:pPr>
    </w:p>
    <w:p w14:paraId="6C1736DC" w14:textId="77777777" w:rsidR="00607F6E" w:rsidRDefault="00607F6E" w:rsidP="00FE7128">
      <w:pPr>
        <w:rPr>
          <w:rFonts w:ascii="Verdana" w:eastAsia="Geomanist Light" w:hAnsi="Verdana" w:cs="Arial"/>
          <w:sz w:val="22"/>
          <w:szCs w:val="22"/>
          <w:lang w:val="es-MX"/>
        </w:rPr>
      </w:pPr>
    </w:p>
    <w:p w14:paraId="17E8A42B" w14:textId="77777777" w:rsidR="00607F6E" w:rsidRDefault="00607F6E" w:rsidP="00FE7128">
      <w:pPr>
        <w:rPr>
          <w:rFonts w:ascii="Verdana" w:eastAsia="Geomanist Light" w:hAnsi="Verdana" w:cs="Arial"/>
          <w:sz w:val="22"/>
          <w:szCs w:val="22"/>
          <w:lang w:val="es-MX"/>
        </w:rPr>
      </w:pPr>
    </w:p>
    <w:p w14:paraId="2DFA4654" w14:textId="77777777" w:rsidR="00607F6E" w:rsidRDefault="00607F6E" w:rsidP="00FE7128">
      <w:pPr>
        <w:rPr>
          <w:rFonts w:ascii="Verdana" w:eastAsia="Geomanist Light" w:hAnsi="Verdana" w:cs="Arial"/>
          <w:sz w:val="22"/>
          <w:szCs w:val="22"/>
          <w:lang w:val="es-MX"/>
        </w:rPr>
      </w:pPr>
    </w:p>
    <w:p w14:paraId="527D825C" w14:textId="77777777" w:rsidR="00607F6E" w:rsidRDefault="00607F6E" w:rsidP="00FE7128">
      <w:pPr>
        <w:rPr>
          <w:rFonts w:ascii="Verdana" w:eastAsia="Geomanist Light" w:hAnsi="Verdana" w:cs="Arial"/>
          <w:sz w:val="22"/>
          <w:szCs w:val="22"/>
          <w:lang w:val="es-MX"/>
        </w:rPr>
      </w:pPr>
    </w:p>
    <w:p w14:paraId="555E0F49" w14:textId="77777777" w:rsidR="00607F6E" w:rsidRDefault="00607F6E" w:rsidP="00FE7128">
      <w:pPr>
        <w:rPr>
          <w:rFonts w:ascii="Verdana" w:eastAsia="Geomanist Light" w:hAnsi="Verdana" w:cs="Arial"/>
          <w:sz w:val="22"/>
          <w:szCs w:val="22"/>
          <w:lang w:val="es-MX"/>
        </w:rPr>
      </w:pPr>
    </w:p>
    <w:p w14:paraId="235187FA" w14:textId="77777777" w:rsidR="00607F6E" w:rsidRDefault="00607F6E" w:rsidP="00FE7128">
      <w:pPr>
        <w:rPr>
          <w:rFonts w:ascii="Verdana" w:eastAsia="Geomanist Light" w:hAnsi="Verdana" w:cs="Arial"/>
          <w:sz w:val="22"/>
          <w:szCs w:val="22"/>
          <w:lang w:val="es-MX"/>
        </w:rPr>
      </w:pPr>
    </w:p>
    <w:p w14:paraId="1471E851" w14:textId="77777777" w:rsidR="00607F6E" w:rsidRDefault="00607F6E" w:rsidP="00FE7128">
      <w:pPr>
        <w:rPr>
          <w:rFonts w:ascii="Verdana" w:eastAsia="Geomanist Light" w:hAnsi="Verdana" w:cs="Arial"/>
          <w:sz w:val="22"/>
          <w:szCs w:val="22"/>
          <w:lang w:val="es-MX"/>
        </w:rPr>
      </w:pPr>
    </w:p>
    <w:p w14:paraId="62E97BFB" w14:textId="77777777" w:rsidR="00607F6E" w:rsidRDefault="00607F6E" w:rsidP="00FE7128">
      <w:pPr>
        <w:rPr>
          <w:rFonts w:ascii="Verdana" w:eastAsia="Geomanist Light" w:hAnsi="Verdana" w:cs="Arial"/>
          <w:sz w:val="22"/>
          <w:szCs w:val="22"/>
          <w:lang w:val="es-MX"/>
        </w:rPr>
      </w:pPr>
    </w:p>
    <w:p w14:paraId="4C4F5642" w14:textId="77777777" w:rsidR="00607F6E" w:rsidRDefault="00607F6E" w:rsidP="00FE7128">
      <w:pPr>
        <w:rPr>
          <w:rFonts w:ascii="Verdana" w:eastAsia="Geomanist Light" w:hAnsi="Verdana" w:cs="Arial"/>
          <w:sz w:val="22"/>
          <w:szCs w:val="22"/>
          <w:lang w:val="es-MX"/>
        </w:rPr>
      </w:pPr>
    </w:p>
    <w:p w14:paraId="7BE5F455" w14:textId="77777777" w:rsidR="00607F6E" w:rsidRDefault="00607F6E" w:rsidP="00FE7128">
      <w:pPr>
        <w:rPr>
          <w:rFonts w:ascii="Verdana" w:eastAsia="Geomanist Light" w:hAnsi="Verdana" w:cs="Arial"/>
          <w:sz w:val="22"/>
          <w:szCs w:val="22"/>
          <w:lang w:val="es-MX"/>
        </w:rPr>
      </w:pPr>
    </w:p>
    <w:p w14:paraId="5D4DBE34" w14:textId="77777777" w:rsidR="00607F6E" w:rsidRDefault="00607F6E" w:rsidP="00FE7128">
      <w:pPr>
        <w:rPr>
          <w:rFonts w:ascii="Verdana" w:eastAsia="Geomanist Light" w:hAnsi="Verdana" w:cs="Arial"/>
          <w:sz w:val="22"/>
          <w:szCs w:val="22"/>
          <w:lang w:val="es-MX"/>
        </w:rPr>
      </w:pPr>
    </w:p>
    <w:p w14:paraId="6D3C237D" w14:textId="77777777" w:rsidR="00607F6E" w:rsidRDefault="00607F6E" w:rsidP="00FE7128">
      <w:pPr>
        <w:rPr>
          <w:rFonts w:ascii="Verdana" w:eastAsia="Geomanist Light" w:hAnsi="Verdana" w:cs="Arial"/>
          <w:sz w:val="22"/>
          <w:szCs w:val="22"/>
          <w:lang w:val="es-MX"/>
        </w:rPr>
      </w:pPr>
    </w:p>
    <w:p w14:paraId="704B3BEC" w14:textId="77777777" w:rsidR="00607F6E" w:rsidRDefault="00607F6E" w:rsidP="00FE7128">
      <w:pPr>
        <w:rPr>
          <w:rFonts w:ascii="Verdana" w:eastAsia="Geomanist Light" w:hAnsi="Verdana" w:cs="Arial"/>
          <w:sz w:val="22"/>
          <w:szCs w:val="22"/>
          <w:lang w:val="es-MX"/>
        </w:rPr>
      </w:pPr>
    </w:p>
    <w:p w14:paraId="5C85DB96" w14:textId="77777777" w:rsidR="00607F6E" w:rsidRDefault="00607F6E" w:rsidP="00FE7128">
      <w:pPr>
        <w:rPr>
          <w:rFonts w:ascii="Verdana" w:eastAsia="Geomanist Light" w:hAnsi="Verdana" w:cs="Arial"/>
          <w:sz w:val="22"/>
          <w:szCs w:val="22"/>
          <w:lang w:val="es-MX"/>
        </w:rPr>
      </w:pPr>
    </w:p>
    <w:p w14:paraId="1528C348" w14:textId="77777777" w:rsidR="00607F6E" w:rsidRDefault="00607F6E" w:rsidP="00FE7128">
      <w:pPr>
        <w:rPr>
          <w:rFonts w:ascii="Verdana" w:eastAsia="Geomanist Light" w:hAnsi="Verdana" w:cs="Arial"/>
          <w:sz w:val="22"/>
          <w:szCs w:val="22"/>
          <w:lang w:val="es-MX"/>
        </w:rPr>
      </w:pPr>
    </w:p>
    <w:p w14:paraId="243319FF" w14:textId="77777777" w:rsidR="00607F6E" w:rsidRDefault="00607F6E" w:rsidP="00FE7128">
      <w:pPr>
        <w:rPr>
          <w:rFonts w:ascii="Verdana" w:eastAsia="Geomanist Light" w:hAnsi="Verdana" w:cs="Arial"/>
          <w:sz w:val="22"/>
          <w:szCs w:val="22"/>
          <w:lang w:val="es-MX"/>
        </w:rPr>
      </w:pPr>
    </w:p>
    <w:p w14:paraId="59A318E7" w14:textId="77777777" w:rsidR="00607F6E" w:rsidRDefault="00607F6E" w:rsidP="00FE7128">
      <w:pPr>
        <w:rPr>
          <w:rFonts w:ascii="Verdana" w:eastAsia="Geomanist Light" w:hAnsi="Verdana" w:cs="Arial"/>
          <w:sz w:val="22"/>
          <w:szCs w:val="22"/>
          <w:lang w:val="es-MX"/>
        </w:rPr>
      </w:pPr>
    </w:p>
    <w:p w14:paraId="04147906" w14:textId="51FC0089" w:rsidR="00156C4B" w:rsidRPr="006B59D1" w:rsidRDefault="00156C4B" w:rsidP="00FE7128">
      <w:pPr>
        <w:rPr>
          <w:rFonts w:ascii="Verdana" w:eastAsia="Geomanist Light" w:hAnsi="Verdana" w:cs="Arial"/>
          <w:sz w:val="22"/>
          <w:szCs w:val="22"/>
          <w:lang w:val="es-MX"/>
        </w:rPr>
      </w:pPr>
      <w:r w:rsidRPr="006B59D1">
        <w:rPr>
          <w:rFonts w:ascii="Verdana" w:eastAsia="Geomanist Light" w:hAnsi="Verdana" w:cs="Arial"/>
          <w:sz w:val="22"/>
          <w:szCs w:val="22"/>
          <w:lang w:val="es-MX"/>
        </w:rPr>
        <w:lastRenderedPageBreak/>
        <w:t>Bogotá D.C., </w:t>
      </w:r>
      <w:r w:rsidR="008F0011">
        <w:rPr>
          <w:rFonts w:ascii="Verdana" w:eastAsia="Geomanist Light" w:hAnsi="Verdana" w:cs="Arial"/>
          <w:sz w:val="22"/>
          <w:szCs w:val="22"/>
          <w:lang w:val="es-MX"/>
        </w:rPr>
        <w:t>26 de octubre de 2026</w:t>
      </w:r>
    </w:p>
    <w:p w14:paraId="20738AB0" w14:textId="77777777" w:rsidR="00156C4B" w:rsidRPr="006B59D1" w:rsidRDefault="00156C4B" w:rsidP="00FE7128">
      <w:pPr>
        <w:jc w:val="both"/>
        <w:rPr>
          <w:rFonts w:ascii="Verdana" w:eastAsia="Calibri" w:hAnsi="Verdana" w:cs="Arial"/>
          <w:sz w:val="22"/>
          <w:szCs w:val="22"/>
          <w:lang w:val="es-ES"/>
        </w:rPr>
      </w:pPr>
    </w:p>
    <w:p w14:paraId="0B9C3B90" w14:textId="761E8A9C" w:rsidR="00156C4B" w:rsidRPr="006B59D1" w:rsidRDefault="008F0011" w:rsidP="00FE7128">
      <w:pPr>
        <w:jc w:val="right"/>
        <w:rPr>
          <w:rFonts w:ascii="Verdana" w:eastAsia="Calibri" w:hAnsi="Verdana" w:cs="Arial"/>
          <w:sz w:val="22"/>
          <w:szCs w:val="22"/>
          <w:lang w:val="es-ES"/>
        </w:rPr>
      </w:pPr>
      <w:r w:rsidRPr="008F0011">
        <w:rPr>
          <w:rFonts w:ascii="Verdana" w:eastAsia="Calibri" w:hAnsi="Verdana" w:cs="Arial"/>
          <w:sz w:val="22"/>
          <w:szCs w:val="22"/>
          <w:lang w:val="es-ES"/>
        </w:rPr>
        <w:drawing>
          <wp:inline distT="0" distB="0" distL="0" distR="0" wp14:anchorId="0CB870F8" wp14:editId="1AD29BF5">
            <wp:extent cx="3029373" cy="876422"/>
            <wp:effectExtent l="0" t="0" r="0" b="0"/>
            <wp:docPr id="1643433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33575" name=""/>
                    <pic:cNvPicPr/>
                  </pic:nvPicPr>
                  <pic:blipFill>
                    <a:blip r:embed="rId11"/>
                    <a:stretch>
                      <a:fillRect/>
                    </a:stretch>
                  </pic:blipFill>
                  <pic:spPr>
                    <a:xfrm>
                      <a:off x="0" y="0"/>
                      <a:ext cx="3029373" cy="876422"/>
                    </a:xfrm>
                    <a:prstGeom prst="rect">
                      <a:avLst/>
                    </a:prstGeom>
                  </pic:spPr>
                </pic:pic>
              </a:graphicData>
            </a:graphic>
          </wp:inline>
        </w:drawing>
      </w:r>
    </w:p>
    <w:p w14:paraId="03A5AA94" w14:textId="77777777" w:rsidR="00156C4B" w:rsidRPr="006B59D1" w:rsidRDefault="00156C4B" w:rsidP="00FE7128">
      <w:pPr>
        <w:jc w:val="both"/>
        <w:rPr>
          <w:rFonts w:ascii="Verdana" w:eastAsia="Calibri" w:hAnsi="Verdana" w:cs="Arial"/>
          <w:sz w:val="22"/>
          <w:szCs w:val="22"/>
          <w:lang w:val="es-ES" w:eastAsia="es-ES"/>
        </w:rPr>
      </w:pPr>
      <w:r w:rsidRPr="006B59D1">
        <w:rPr>
          <w:rFonts w:ascii="Verdana" w:eastAsia="Calibri" w:hAnsi="Verdana" w:cs="Arial"/>
          <w:sz w:val="22"/>
          <w:szCs w:val="22"/>
          <w:lang w:val="es-ES" w:eastAsia="es-ES"/>
        </w:rPr>
        <w:t>Señora</w:t>
      </w:r>
    </w:p>
    <w:p w14:paraId="058DAA23" w14:textId="77777777" w:rsidR="00156C4B" w:rsidRPr="006B59D1" w:rsidRDefault="00156C4B">
      <w:pPr>
        <w:rPr>
          <w:rFonts w:ascii="Verdana" w:eastAsia="Calibri" w:hAnsi="Verdana" w:cs="Arial"/>
          <w:b/>
          <w:sz w:val="22"/>
          <w:szCs w:val="22"/>
          <w:lang w:val="es-ES" w:eastAsia="es-ES"/>
        </w:rPr>
      </w:pPr>
      <w:r w:rsidRPr="006B59D1">
        <w:rPr>
          <w:rFonts w:ascii="Verdana" w:eastAsia="Calibri" w:hAnsi="Verdana" w:cs="Arial"/>
          <w:b/>
          <w:sz w:val="22"/>
          <w:szCs w:val="22"/>
          <w:lang w:val="es-ES" w:eastAsia="es-ES"/>
        </w:rPr>
        <w:t>Cindy Yosely Florido</w:t>
      </w:r>
    </w:p>
    <w:p w14:paraId="26C4C74D" w14:textId="77777777" w:rsidR="00156C4B" w:rsidRPr="006B59D1" w:rsidRDefault="00156C4B">
      <w:pPr>
        <w:rPr>
          <w:rFonts w:ascii="Verdana" w:eastAsia="Calibri" w:hAnsi="Verdana" w:cs="Arial"/>
          <w:bCs/>
          <w:sz w:val="22"/>
          <w:szCs w:val="22"/>
          <w:lang w:val="es-ES" w:eastAsia="es-ES"/>
        </w:rPr>
      </w:pPr>
      <w:r w:rsidRPr="006B59D1">
        <w:rPr>
          <w:rFonts w:ascii="Verdana" w:eastAsia="Calibri" w:hAnsi="Verdana" w:cs="Arial"/>
          <w:bCs/>
          <w:sz w:val="22"/>
          <w:szCs w:val="22"/>
          <w:lang w:val="es-ES" w:eastAsia="es-ES"/>
        </w:rPr>
        <w:t>Ministerio de Salud y Protección Social</w:t>
      </w:r>
    </w:p>
    <w:p w14:paraId="661E8C7E" w14:textId="77777777" w:rsidR="00156C4B" w:rsidRPr="006B59D1" w:rsidRDefault="00156C4B">
      <w:pPr>
        <w:rPr>
          <w:rFonts w:ascii="Verdana" w:hAnsi="Verdana"/>
          <w:sz w:val="22"/>
          <w:szCs w:val="22"/>
        </w:rPr>
      </w:pPr>
      <w:hyperlink r:id="rId12" w:history="1">
        <w:r w:rsidRPr="006B59D1">
          <w:rPr>
            <w:rStyle w:val="Hipervnculo"/>
            <w:rFonts w:ascii="Verdana" w:hAnsi="Verdana"/>
            <w:sz w:val="22"/>
            <w:szCs w:val="22"/>
          </w:rPr>
          <w:t>cflorido@minsalud.gov.co</w:t>
        </w:r>
      </w:hyperlink>
    </w:p>
    <w:p w14:paraId="3D00AE77" w14:textId="77777777" w:rsidR="00156C4B" w:rsidRPr="006B59D1" w:rsidRDefault="00156C4B">
      <w:pPr>
        <w:rPr>
          <w:rFonts w:ascii="Verdana" w:eastAsia="Calibri" w:hAnsi="Verdana" w:cs="Arial"/>
          <w:b/>
          <w:bCs/>
          <w:sz w:val="22"/>
          <w:szCs w:val="22"/>
          <w:lang w:val="es-ES" w:eastAsia="es-ES"/>
        </w:rPr>
      </w:pPr>
      <w:r w:rsidRPr="006B59D1">
        <w:rPr>
          <w:rFonts w:ascii="Verdana" w:eastAsia="Calibri" w:hAnsi="Verdana" w:cs="Arial"/>
          <w:sz w:val="22"/>
          <w:szCs w:val="22"/>
          <w:lang w:val="es-ES" w:eastAsia="es-ES"/>
        </w:rPr>
        <w:t>Ciudad</w:t>
      </w:r>
    </w:p>
    <w:p w14:paraId="5E31EC43" w14:textId="77777777" w:rsidR="00156C4B" w:rsidRPr="006B59D1" w:rsidRDefault="00156C4B">
      <w:pPr>
        <w:rPr>
          <w:rFonts w:ascii="Verdana" w:eastAsia="Calibri" w:hAnsi="Verdana" w:cs="Arial"/>
          <w:b/>
          <w:bCs/>
          <w:sz w:val="22"/>
          <w:szCs w:val="22"/>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56C4B" w:rsidRPr="00FE7128" w14:paraId="0A90D86C" w14:textId="77777777" w:rsidTr="006B59D1">
        <w:trPr>
          <w:trHeight w:val="170"/>
        </w:trPr>
        <w:tc>
          <w:tcPr>
            <w:tcW w:w="2689" w:type="dxa"/>
          </w:tcPr>
          <w:p w14:paraId="3C41A8CC" w14:textId="77777777" w:rsidR="00156C4B" w:rsidRPr="006B59D1" w:rsidRDefault="00156C4B">
            <w:pPr>
              <w:jc w:val="both"/>
              <w:rPr>
                <w:rFonts w:ascii="Verdana" w:eastAsia="Calibri" w:hAnsi="Verdana" w:cs="Arial"/>
                <w:b/>
                <w:bCs/>
                <w:sz w:val="22"/>
                <w:szCs w:val="22"/>
                <w:lang w:val="es-ES_tradnl"/>
              </w:rPr>
            </w:pPr>
          </w:p>
        </w:tc>
        <w:tc>
          <w:tcPr>
            <w:tcW w:w="6100" w:type="dxa"/>
          </w:tcPr>
          <w:p w14:paraId="67F04A66" w14:textId="77777777" w:rsidR="00156C4B" w:rsidRPr="006B59D1" w:rsidRDefault="00156C4B" w:rsidP="00FE7128">
            <w:pPr>
              <w:jc w:val="both"/>
              <w:rPr>
                <w:rFonts w:ascii="Verdana" w:eastAsia="Calibri" w:hAnsi="Verdana" w:cs="Arial"/>
                <w:b/>
                <w:bCs/>
                <w:sz w:val="22"/>
                <w:szCs w:val="22"/>
                <w:lang w:val="es-ES" w:eastAsia="es-ES"/>
              </w:rPr>
            </w:pPr>
            <w:r w:rsidRPr="006B59D1">
              <w:rPr>
                <w:rFonts w:ascii="Verdana" w:eastAsia="Calibri" w:hAnsi="Verdana" w:cs="Arial"/>
                <w:b/>
                <w:bCs/>
                <w:sz w:val="22"/>
                <w:szCs w:val="22"/>
                <w:lang w:val="es-ES" w:eastAsia="es-ES"/>
              </w:rPr>
              <w:t>Concepto C-1518 de 2026</w:t>
            </w:r>
          </w:p>
          <w:p w14:paraId="3DF56783" w14:textId="41EACE11" w:rsidR="00FE7128" w:rsidRPr="006B59D1" w:rsidRDefault="00FE7128" w:rsidP="00FE7128">
            <w:pPr>
              <w:jc w:val="both"/>
              <w:rPr>
                <w:rFonts w:ascii="Verdana" w:eastAsia="Calibri" w:hAnsi="Verdana" w:cs="Arial"/>
                <w:b/>
                <w:bCs/>
                <w:sz w:val="22"/>
                <w:szCs w:val="22"/>
                <w:lang w:val="es-ES" w:eastAsia="es-ES"/>
              </w:rPr>
            </w:pPr>
          </w:p>
        </w:tc>
      </w:tr>
      <w:tr w:rsidR="00156C4B" w:rsidRPr="00FE7128" w14:paraId="6AF315FB" w14:textId="77777777" w:rsidTr="00356DFB">
        <w:trPr>
          <w:trHeight w:val="884"/>
        </w:trPr>
        <w:tc>
          <w:tcPr>
            <w:tcW w:w="2689" w:type="dxa"/>
          </w:tcPr>
          <w:p w14:paraId="71CB53D0" w14:textId="77777777" w:rsidR="00156C4B" w:rsidRPr="006B59D1" w:rsidRDefault="00156C4B" w:rsidP="00FE7128">
            <w:pPr>
              <w:jc w:val="both"/>
              <w:rPr>
                <w:rFonts w:ascii="Verdana" w:eastAsia="Calibri" w:hAnsi="Verdana" w:cs="Arial"/>
                <w:sz w:val="22"/>
                <w:szCs w:val="22"/>
                <w:lang w:val="es-ES_tradnl"/>
              </w:rPr>
            </w:pPr>
            <w:r w:rsidRPr="006B59D1">
              <w:rPr>
                <w:rFonts w:ascii="Verdana" w:eastAsia="Calibri" w:hAnsi="Verdana" w:cs="Arial"/>
                <w:b/>
                <w:sz w:val="22"/>
                <w:szCs w:val="22"/>
                <w:lang w:val="es-ES_tradnl"/>
              </w:rPr>
              <w:t>Temas:</w:t>
            </w:r>
            <w:r w:rsidRPr="006B59D1">
              <w:rPr>
                <w:rFonts w:ascii="Verdana" w:eastAsia="Calibri" w:hAnsi="Verdana" w:cs="Arial"/>
                <w:sz w:val="22"/>
                <w:szCs w:val="22"/>
                <w:lang w:val="es-ES_tradnl"/>
              </w:rPr>
              <w:t xml:space="preserve">                   </w:t>
            </w:r>
          </w:p>
        </w:tc>
        <w:tc>
          <w:tcPr>
            <w:tcW w:w="6100" w:type="dxa"/>
          </w:tcPr>
          <w:p w14:paraId="205B55B0" w14:textId="77777777" w:rsidR="00156C4B" w:rsidRPr="006B59D1" w:rsidRDefault="00156C4B" w:rsidP="006B59D1">
            <w:pPr>
              <w:jc w:val="both"/>
              <w:rPr>
                <w:rFonts w:ascii="Verdana" w:eastAsia="Calibri" w:hAnsi="Verdana" w:cs="Arial"/>
                <w:sz w:val="22"/>
                <w:szCs w:val="22"/>
                <w:lang w:val="es-ES" w:eastAsia="es-ES"/>
              </w:rPr>
            </w:pPr>
            <w:r w:rsidRPr="006B59D1">
              <w:rPr>
                <w:rFonts w:ascii="Verdana" w:eastAsia="Calibri" w:hAnsi="Verdana" w:cs="Arial"/>
                <w:sz w:val="22"/>
                <w:szCs w:val="22"/>
                <w:lang w:val="es-ES" w:eastAsia="es-ES"/>
              </w:rPr>
              <w:t xml:space="preserve">PLAN ANUAL DE ADQUISICIONES – Noción – Guía para elaborar el plan anual de adquisiciones – Obligatoriedad de elaboración / PLAN ANUAL DE ADQUISICIONES – Información a relacionar – Información mínima – Información complementaria </w:t>
            </w:r>
          </w:p>
        </w:tc>
      </w:tr>
    </w:tbl>
    <w:p w14:paraId="0A9F1E3F" w14:textId="77777777" w:rsidR="00156C4B" w:rsidRPr="006B59D1" w:rsidRDefault="00156C4B" w:rsidP="00FE7128">
      <w:pPr>
        <w:rPr>
          <w:rFonts w:ascii="Verdana" w:eastAsia="Calibri" w:hAnsi="Verdana" w:cs="Arial"/>
          <w:b/>
          <w:bCs/>
          <w:sz w:val="22"/>
          <w:szCs w:val="22"/>
          <w:lang w:val="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56C4B" w:rsidRPr="00FE7128" w14:paraId="594A3854" w14:textId="77777777" w:rsidTr="00356DFB">
        <w:tc>
          <w:tcPr>
            <w:tcW w:w="2689" w:type="dxa"/>
          </w:tcPr>
          <w:p w14:paraId="15580545" w14:textId="77777777" w:rsidR="00156C4B" w:rsidRPr="006B59D1" w:rsidRDefault="00156C4B" w:rsidP="00FE7128">
            <w:pPr>
              <w:jc w:val="both"/>
              <w:rPr>
                <w:rFonts w:ascii="Verdana" w:eastAsia="Calibri" w:hAnsi="Verdana" w:cs="Arial"/>
                <w:b/>
                <w:sz w:val="22"/>
                <w:szCs w:val="22"/>
                <w:lang w:val="es-ES_tradnl"/>
              </w:rPr>
            </w:pPr>
            <w:r w:rsidRPr="006B59D1">
              <w:rPr>
                <w:rFonts w:ascii="Verdana" w:eastAsia="Calibri" w:hAnsi="Verdana" w:cs="Arial"/>
                <w:b/>
                <w:sz w:val="22"/>
                <w:szCs w:val="22"/>
                <w:lang w:val="es-ES_tradnl"/>
              </w:rPr>
              <w:t>Radicación:</w:t>
            </w:r>
            <w:r w:rsidRPr="006B59D1">
              <w:rPr>
                <w:rFonts w:ascii="Verdana" w:eastAsia="Calibri" w:hAnsi="Verdana" w:cs="Arial"/>
                <w:sz w:val="22"/>
                <w:szCs w:val="22"/>
                <w:lang w:val="es-ES_tradnl"/>
              </w:rPr>
              <w:t xml:space="preserve">               </w:t>
            </w:r>
          </w:p>
        </w:tc>
        <w:tc>
          <w:tcPr>
            <w:tcW w:w="6100" w:type="dxa"/>
          </w:tcPr>
          <w:p w14:paraId="6CCEEC40" w14:textId="77777777" w:rsidR="00156C4B" w:rsidRPr="006B59D1" w:rsidRDefault="00156C4B" w:rsidP="00FE7128">
            <w:pPr>
              <w:jc w:val="both"/>
              <w:rPr>
                <w:rFonts w:ascii="Verdana" w:eastAsia="Calibri" w:hAnsi="Verdana" w:cs="Arial"/>
                <w:sz w:val="22"/>
                <w:szCs w:val="22"/>
                <w:lang w:val="es-ES_tradnl"/>
              </w:rPr>
            </w:pPr>
            <w:r w:rsidRPr="006B59D1">
              <w:rPr>
                <w:rFonts w:ascii="Verdana" w:eastAsia="Calibri" w:hAnsi="Verdana" w:cs="Arial"/>
                <w:sz w:val="22"/>
                <w:szCs w:val="22"/>
                <w:lang w:val="es-ES_tradnl"/>
              </w:rPr>
              <w:t>Respuesta a consulta con radicado No.</w:t>
            </w:r>
            <w:r w:rsidRPr="006B59D1">
              <w:rPr>
                <w:rFonts w:ascii="Verdana" w:hAnsi="Verdana"/>
                <w:sz w:val="22"/>
                <w:szCs w:val="22"/>
              </w:rPr>
              <w:t xml:space="preserve"> </w:t>
            </w:r>
            <w:r w:rsidRPr="006B59D1">
              <w:rPr>
                <w:rFonts w:ascii="Verdana" w:eastAsia="Calibri" w:hAnsi="Verdana" w:cs="Arial"/>
                <w:sz w:val="22"/>
                <w:szCs w:val="22"/>
                <w:lang w:val="es-ES_tradnl"/>
              </w:rPr>
              <w:t>1_2026_09_25_012946</w:t>
            </w:r>
          </w:p>
        </w:tc>
      </w:tr>
    </w:tbl>
    <w:p w14:paraId="0F5FC9B5" w14:textId="08631E4C" w:rsidR="00156C4B" w:rsidRPr="006B59D1" w:rsidRDefault="00156C4B" w:rsidP="00FE7128">
      <w:pPr>
        <w:jc w:val="both"/>
        <w:rPr>
          <w:rFonts w:ascii="Verdana" w:eastAsia="Calibri" w:hAnsi="Verdana" w:cs="Arial"/>
          <w:sz w:val="22"/>
          <w:szCs w:val="22"/>
          <w:lang w:val="es-ES_tradnl"/>
        </w:rPr>
      </w:pPr>
    </w:p>
    <w:p w14:paraId="5D8E0B05" w14:textId="77777777" w:rsidR="00FE7128" w:rsidRPr="006B59D1" w:rsidRDefault="00FE7128" w:rsidP="00FE7128">
      <w:pPr>
        <w:jc w:val="both"/>
        <w:rPr>
          <w:rFonts w:ascii="Verdana" w:eastAsia="Calibri" w:hAnsi="Verdana" w:cs="Arial"/>
          <w:sz w:val="22"/>
          <w:szCs w:val="22"/>
          <w:lang w:val="es-ES_tradnl"/>
        </w:rPr>
      </w:pPr>
    </w:p>
    <w:p w14:paraId="68C9DA67" w14:textId="77777777" w:rsidR="00156C4B" w:rsidRPr="006B59D1" w:rsidRDefault="00156C4B" w:rsidP="00FE7128">
      <w:pPr>
        <w:spacing w:line="276" w:lineRule="auto"/>
        <w:jc w:val="both"/>
        <w:rPr>
          <w:rFonts w:ascii="Verdana" w:eastAsia="Calibri" w:hAnsi="Verdana" w:cs="Arial"/>
          <w:sz w:val="22"/>
          <w:szCs w:val="22"/>
          <w:lang w:val="es-ES" w:eastAsia="es-ES"/>
        </w:rPr>
      </w:pPr>
      <w:r w:rsidRPr="006B59D1">
        <w:rPr>
          <w:rFonts w:ascii="Verdana" w:eastAsia="Calibri" w:hAnsi="Verdana" w:cs="Arial"/>
          <w:sz w:val="22"/>
          <w:szCs w:val="22"/>
          <w:lang w:val="es-ES" w:eastAsia="es-ES"/>
        </w:rPr>
        <w:t xml:space="preserve">Estimada Señora Ricaurte: </w:t>
      </w:r>
    </w:p>
    <w:p w14:paraId="22CC7D5B" w14:textId="77777777" w:rsidR="00156C4B" w:rsidRPr="006B59D1" w:rsidRDefault="00156C4B" w:rsidP="00FE7128">
      <w:pPr>
        <w:tabs>
          <w:tab w:val="left" w:pos="3768"/>
        </w:tabs>
        <w:spacing w:line="276" w:lineRule="auto"/>
        <w:jc w:val="both"/>
        <w:rPr>
          <w:rFonts w:ascii="Verdana" w:eastAsia="Calibri" w:hAnsi="Verdana" w:cs="Arial"/>
          <w:sz w:val="22"/>
          <w:szCs w:val="22"/>
          <w:lang w:val="es-ES" w:eastAsia="es-ES"/>
        </w:rPr>
      </w:pPr>
    </w:p>
    <w:p w14:paraId="19F1E108" w14:textId="77777777" w:rsidR="00156C4B" w:rsidRPr="006B59D1" w:rsidRDefault="00156C4B" w:rsidP="00FE7128">
      <w:pPr>
        <w:spacing w:line="276" w:lineRule="auto"/>
        <w:jc w:val="both"/>
        <w:rPr>
          <w:rFonts w:ascii="Verdana" w:eastAsia="Calibri" w:hAnsi="Verdana" w:cs="Arial"/>
          <w:sz w:val="22"/>
          <w:szCs w:val="22"/>
          <w:lang w:val="es-ES" w:eastAsia="es-ES"/>
        </w:rPr>
      </w:pPr>
      <w:r w:rsidRPr="006B59D1">
        <w:rPr>
          <w:rFonts w:ascii="Verdana" w:eastAsia="Calibri" w:hAnsi="Verdana" w:cs="Arial"/>
          <w:sz w:val="22"/>
          <w:szCs w:val="22"/>
          <w:lang w:val="es-ES" w:eastAsia="es-ES"/>
        </w:rPr>
        <w:t>En ejercicio de la competencia otorgada por los artículos 3, numeral 5º, y 11, numeral 8º, del Decreto Ley 4170 de 2011,</w:t>
      </w:r>
      <w:r w:rsidRPr="006B59D1">
        <w:rPr>
          <w:rFonts w:ascii="Verdana" w:eastAsia="Arial MT" w:hAnsi="Verdana" w:cs="Arial MT"/>
          <w:sz w:val="22"/>
          <w:szCs w:val="22"/>
          <w:lang w:val="es-ES" w:eastAsia="es-ES"/>
        </w:rPr>
        <w:t xml:space="preserve"> </w:t>
      </w:r>
      <w:r w:rsidRPr="006B59D1">
        <w:rPr>
          <w:rFonts w:ascii="Verdana" w:eastAsia="Aptos" w:hAnsi="Verdana" w:cs="Arial"/>
          <w:sz w:val="22"/>
          <w:szCs w:val="22"/>
        </w:rPr>
        <w:t xml:space="preserve">así como lo establecido en el artículo 4 de la Resolución 1707 de 2018 expedida por esta Entidad, </w:t>
      </w:r>
      <w:r w:rsidRPr="006B59D1">
        <w:rPr>
          <w:rFonts w:ascii="Verdana" w:eastAsia="Calibri" w:hAnsi="Verdana" w:cs="Arial"/>
          <w:sz w:val="22"/>
          <w:szCs w:val="22"/>
          <w:lang w:val="es-ES" w:eastAsia="es-ES"/>
        </w:rPr>
        <w:t xml:space="preserve">la Agencia Nacional de Contratación Pública – Colombia Compra Eficiente– responde su petición del 25 de septiembre de 2026, en la que realiza la siguiente consulta: </w:t>
      </w:r>
    </w:p>
    <w:p w14:paraId="6F52A2A1" w14:textId="77777777" w:rsidR="00156C4B" w:rsidRPr="006B59D1" w:rsidRDefault="00156C4B" w:rsidP="00FE7128">
      <w:pPr>
        <w:spacing w:line="276" w:lineRule="auto"/>
        <w:jc w:val="both"/>
        <w:rPr>
          <w:rFonts w:ascii="Verdana" w:eastAsia="Calibri" w:hAnsi="Verdana" w:cs="Arial"/>
          <w:sz w:val="22"/>
          <w:szCs w:val="22"/>
          <w:lang w:val="es-ES" w:eastAsia="es-ES"/>
        </w:rPr>
      </w:pPr>
    </w:p>
    <w:p w14:paraId="5035F991" w14:textId="77777777" w:rsidR="00156C4B" w:rsidRDefault="00156C4B" w:rsidP="00FE7128">
      <w:pPr>
        <w:ind w:left="709" w:right="709"/>
        <w:jc w:val="both"/>
        <w:rPr>
          <w:rFonts w:ascii="Verdana" w:eastAsia="Calibri" w:hAnsi="Verdana" w:cs="Arial"/>
          <w:sz w:val="20"/>
          <w:szCs w:val="20"/>
          <w:lang w:val="es-MX"/>
        </w:rPr>
      </w:pPr>
      <w:r w:rsidRPr="006E4A7B">
        <w:rPr>
          <w:rFonts w:ascii="Verdana" w:eastAsia="Calibri" w:hAnsi="Verdana" w:cs="Arial"/>
          <w:sz w:val="20"/>
          <w:szCs w:val="20"/>
          <w:lang w:val="es-MX"/>
        </w:rPr>
        <w:t>“</w:t>
      </w:r>
      <w:r>
        <w:rPr>
          <w:rFonts w:ascii="Verdana" w:eastAsia="Calibri" w:hAnsi="Verdana" w:cs="Arial"/>
          <w:sz w:val="20"/>
          <w:szCs w:val="20"/>
          <w:lang w:val="es-MX"/>
        </w:rPr>
        <w:t xml:space="preserve">1. De conformidad con el artículo 2.2.1.1.1.4.1 del Decreto 1082 de 2015 y el criterio desarrollado por esa Agencia respecto de que el PAA debe comprender los bienes, obras y servicios que una Entidad Estatal pretende adquirir durante la respectiva vigencia, ¿una Entidad Estatal que, en ejercicio de sus competencias legales y presupuestales, expide un acto administrativo mediante el cual transfiere recursos a otra Entidad Estatal, sin que dicho acto tenga por objeto la adquisición de bienes, obras o servicios y sin que constituya en sí mismo un proceso de contratación, </w:t>
      </w:r>
      <w:r>
        <w:rPr>
          <w:rFonts w:ascii="Verdana" w:eastAsia="Calibri" w:hAnsi="Verdana" w:cs="Arial"/>
          <w:sz w:val="20"/>
          <w:szCs w:val="20"/>
          <w:lang w:val="es-MX"/>
        </w:rPr>
        <w:lastRenderedPageBreak/>
        <w:t>está obligada a incluir dicha transferencia de recursos en su Plan Anual de Adquisiciones?</w:t>
      </w:r>
    </w:p>
    <w:p w14:paraId="41B40BEA" w14:textId="77777777" w:rsidR="00156C4B" w:rsidRDefault="00156C4B">
      <w:pPr>
        <w:ind w:left="709" w:right="709"/>
        <w:jc w:val="both"/>
        <w:rPr>
          <w:rFonts w:ascii="Verdana" w:eastAsia="Calibri" w:hAnsi="Verdana" w:cs="Arial"/>
          <w:sz w:val="20"/>
          <w:szCs w:val="20"/>
          <w:lang w:val="es-MX"/>
        </w:rPr>
      </w:pPr>
    </w:p>
    <w:p w14:paraId="3339DA7D" w14:textId="77777777" w:rsidR="00156C4B" w:rsidRDefault="00156C4B">
      <w:pPr>
        <w:ind w:left="709" w:right="709"/>
        <w:jc w:val="both"/>
        <w:rPr>
          <w:rFonts w:ascii="Verdana" w:eastAsia="Calibri" w:hAnsi="Verdana" w:cs="Arial"/>
          <w:sz w:val="20"/>
          <w:szCs w:val="20"/>
          <w:lang w:val="es-MX"/>
        </w:rPr>
      </w:pPr>
      <w:r>
        <w:rPr>
          <w:rFonts w:ascii="Verdana" w:eastAsia="Calibri" w:hAnsi="Verdana" w:cs="Arial"/>
          <w:sz w:val="20"/>
          <w:szCs w:val="20"/>
          <w:lang w:val="es-MX"/>
        </w:rPr>
        <w:t>2. En caso de que la respuesta al interrogante anterior sea negativa, ¿puede entenderse que las transferencias de recursos efectuadas mediante actos administrativos unilaterales, cuando no tienen como objeto directo la adquisición de bienes, obras o servicios por parte de la entidad que transfiere los recursos, se encuentran por fuera del ámbito material del Plan Anual de Adquisiciones?</w:t>
      </w:r>
    </w:p>
    <w:p w14:paraId="4D7FB604" w14:textId="77777777" w:rsidR="00156C4B" w:rsidRDefault="00156C4B">
      <w:pPr>
        <w:ind w:left="709" w:right="709"/>
        <w:jc w:val="both"/>
        <w:rPr>
          <w:rFonts w:ascii="Verdana" w:eastAsia="Calibri" w:hAnsi="Verdana" w:cs="Arial"/>
          <w:sz w:val="20"/>
          <w:szCs w:val="20"/>
          <w:lang w:val="es-MX"/>
        </w:rPr>
      </w:pPr>
    </w:p>
    <w:p w14:paraId="377691AB" w14:textId="77777777" w:rsidR="00156C4B" w:rsidRDefault="00156C4B">
      <w:pPr>
        <w:ind w:left="709" w:right="709"/>
        <w:jc w:val="both"/>
        <w:rPr>
          <w:rFonts w:ascii="Verdana" w:eastAsia="Calibri" w:hAnsi="Verdana" w:cs="Arial"/>
          <w:sz w:val="20"/>
          <w:szCs w:val="20"/>
          <w:lang w:val="es-MX"/>
        </w:rPr>
      </w:pPr>
      <w:r>
        <w:rPr>
          <w:rFonts w:ascii="Verdana" w:eastAsia="Calibri" w:hAnsi="Verdana" w:cs="Arial"/>
          <w:sz w:val="20"/>
          <w:szCs w:val="20"/>
          <w:lang w:val="es-MX"/>
        </w:rPr>
        <w:t>3. En caso de que la entidad que recibe los recursos transferidos posteriormente destine estos recursos a la adquisición de bienes, obras o servicios, ¿la obligación de incorporar dichas adquisiciones en el Plan Anual de Adquisiciones corresponde exclusivamente a la entidad receptora, de acuerdo con sus propias necesidades de contratación y con independencia del acto administrativo mediante el cual recibió los recursos?</w:t>
      </w:r>
    </w:p>
    <w:p w14:paraId="5ABF1B45" w14:textId="77777777" w:rsidR="00156C4B" w:rsidRDefault="00156C4B">
      <w:pPr>
        <w:ind w:left="709" w:right="709"/>
        <w:jc w:val="both"/>
        <w:rPr>
          <w:rFonts w:ascii="Verdana" w:eastAsia="Calibri" w:hAnsi="Verdana" w:cs="Arial"/>
          <w:sz w:val="20"/>
          <w:szCs w:val="20"/>
          <w:lang w:val="es-MX"/>
        </w:rPr>
      </w:pPr>
    </w:p>
    <w:p w14:paraId="70861136" w14:textId="77777777" w:rsidR="00156C4B" w:rsidRDefault="00156C4B">
      <w:pPr>
        <w:ind w:left="709" w:right="709"/>
        <w:jc w:val="both"/>
        <w:rPr>
          <w:rFonts w:ascii="Verdana" w:eastAsia="Calibri" w:hAnsi="Verdana" w:cs="Arial"/>
          <w:sz w:val="20"/>
          <w:szCs w:val="20"/>
          <w:lang w:val="es-MX"/>
        </w:rPr>
      </w:pPr>
      <w:r>
        <w:rPr>
          <w:rFonts w:ascii="Verdana" w:eastAsia="Calibri" w:hAnsi="Verdana" w:cs="Arial"/>
          <w:sz w:val="20"/>
          <w:szCs w:val="20"/>
          <w:lang w:val="es-MX"/>
        </w:rPr>
        <w:t>4. Cuando una transferencia de recursos entre Entidades Estatales se formaliza mediante resolución u otro acto administrativo y no existe un contrato cuyo objeto sea la adquisición de bienes, obras o servicios, ¿resulta jurídicamente procedente registrar dicha operación en el PAA de alguna de las entidades involucradas? En caso afirmativo, ¿qué información debería incorporarse en los campos correspondientes del PAA, particularmente en lo relacionado con la necesidad, el objeto, el Clasificador de Bienes y Servicios, el valor estimado, la modalidad de selección y la fecha estimada de inicio del proceso?</w:t>
      </w:r>
    </w:p>
    <w:p w14:paraId="624F3B14" w14:textId="77777777" w:rsidR="00156C4B" w:rsidRDefault="00156C4B">
      <w:pPr>
        <w:ind w:left="709" w:right="709"/>
        <w:jc w:val="both"/>
        <w:rPr>
          <w:rFonts w:ascii="Verdana" w:eastAsia="Calibri" w:hAnsi="Verdana" w:cs="Arial"/>
          <w:sz w:val="20"/>
          <w:szCs w:val="20"/>
          <w:lang w:val="es-MX"/>
        </w:rPr>
      </w:pPr>
    </w:p>
    <w:p w14:paraId="149A4EDA" w14:textId="77777777" w:rsidR="00156C4B" w:rsidRPr="006E4A7B" w:rsidRDefault="00156C4B">
      <w:pPr>
        <w:ind w:left="709" w:right="709"/>
        <w:jc w:val="both"/>
        <w:rPr>
          <w:rFonts w:ascii="Verdana" w:eastAsia="Calibri" w:hAnsi="Verdana" w:cs="Arial"/>
          <w:sz w:val="20"/>
          <w:szCs w:val="20"/>
          <w:lang w:val="es-MX"/>
        </w:rPr>
      </w:pPr>
      <w:r>
        <w:rPr>
          <w:rFonts w:ascii="Verdana" w:eastAsia="Calibri" w:hAnsi="Verdana" w:cs="Arial"/>
          <w:sz w:val="20"/>
          <w:szCs w:val="20"/>
          <w:lang w:val="es-MX"/>
        </w:rPr>
        <w:t xml:space="preserve">5. ¿Existen conceptos, circulares, guías o pronunciamientos de esa Agencia que hayan abordado específicamente la inclusión o exclusión del PAA de transferencias de recursos realizadas entre Entidades Estatales mediante actos administrativos, cuando dichas transferencias no corresponden directamente a la adquisición de bienes, obras o servicios?”. </w:t>
      </w:r>
      <w:r w:rsidRPr="006E4A7B">
        <w:rPr>
          <w:rFonts w:ascii="Verdana" w:eastAsia="Calibri" w:hAnsi="Verdana" w:cs="Arial"/>
          <w:sz w:val="20"/>
          <w:szCs w:val="20"/>
          <w:lang w:val="es-MX"/>
        </w:rPr>
        <w:t>[sic]</w:t>
      </w:r>
      <w:r>
        <w:rPr>
          <w:rFonts w:ascii="Verdana" w:eastAsia="Calibri" w:hAnsi="Verdana" w:cs="Arial"/>
          <w:sz w:val="20"/>
          <w:szCs w:val="20"/>
          <w:lang w:val="es-MX"/>
        </w:rPr>
        <w:t xml:space="preserve"> </w:t>
      </w:r>
    </w:p>
    <w:p w14:paraId="7ECFB9D6" w14:textId="77777777" w:rsidR="00156C4B" w:rsidRPr="006B59D1" w:rsidRDefault="00156C4B" w:rsidP="00156C4B">
      <w:pPr>
        <w:spacing w:line="276" w:lineRule="auto"/>
        <w:jc w:val="both"/>
        <w:rPr>
          <w:rFonts w:ascii="Verdana" w:eastAsia="Calibri" w:hAnsi="Verdana" w:cs="Arial"/>
          <w:sz w:val="22"/>
          <w:szCs w:val="22"/>
          <w:lang w:val="es-ES" w:eastAsia="es-ES"/>
        </w:rPr>
      </w:pPr>
    </w:p>
    <w:p w14:paraId="0219533D" w14:textId="77777777" w:rsidR="00156C4B" w:rsidRPr="006B59D1" w:rsidRDefault="00156C4B" w:rsidP="00156C4B">
      <w:pPr>
        <w:spacing w:after="120" w:line="276" w:lineRule="auto"/>
        <w:jc w:val="both"/>
        <w:rPr>
          <w:rFonts w:ascii="Verdana" w:eastAsia="Calibri" w:hAnsi="Verdana" w:cs="Arial"/>
          <w:sz w:val="22"/>
          <w:szCs w:val="22"/>
          <w:lang w:val="es-ES_tradnl"/>
        </w:rPr>
      </w:pPr>
      <w:r w:rsidRPr="006B59D1">
        <w:rPr>
          <w:rFonts w:ascii="Verdana" w:eastAsia="Calibri" w:hAnsi="Verdana" w:cs="Arial"/>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6B59D1">
        <w:rPr>
          <w:rFonts w:ascii="Verdana" w:eastAsia="Calibri" w:hAnsi="Verdana" w:cs="Arial"/>
          <w:sz w:val="22"/>
          <w:szCs w:val="22"/>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p>
    <w:p w14:paraId="209AEE74" w14:textId="77777777" w:rsidR="00156C4B" w:rsidRPr="006B59D1" w:rsidRDefault="00156C4B" w:rsidP="00156C4B">
      <w:pPr>
        <w:spacing w:line="276" w:lineRule="auto"/>
        <w:ind w:firstLine="709"/>
        <w:jc w:val="both"/>
        <w:rPr>
          <w:rFonts w:ascii="Verdana" w:eastAsia="Calibri" w:hAnsi="Verdana" w:cs="Arial"/>
          <w:sz w:val="22"/>
          <w:szCs w:val="22"/>
          <w:lang w:val="es-ES" w:eastAsia="es-ES"/>
        </w:rPr>
      </w:pPr>
      <w:r w:rsidRPr="006B59D1">
        <w:rPr>
          <w:rFonts w:ascii="Verdana" w:eastAsia="Calibri" w:hAnsi="Verdana" w:cs="Arial"/>
          <w:sz w:val="22"/>
          <w:szCs w:val="22"/>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2BAA0D2" w14:textId="77777777" w:rsidR="00156C4B" w:rsidRPr="006B59D1" w:rsidRDefault="00156C4B" w:rsidP="00FE7128">
      <w:pPr>
        <w:spacing w:line="276" w:lineRule="auto"/>
        <w:ind w:firstLine="709"/>
        <w:jc w:val="both"/>
        <w:rPr>
          <w:rFonts w:ascii="Verdana" w:eastAsia="Calibri" w:hAnsi="Verdana" w:cs="Arial"/>
          <w:sz w:val="22"/>
          <w:szCs w:val="22"/>
          <w:lang w:val="es-ES" w:eastAsia="es-ES"/>
        </w:rPr>
      </w:pPr>
    </w:p>
    <w:p w14:paraId="7CB89078" w14:textId="77777777" w:rsidR="00156C4B" w:rsidRPr="006B59D1" w:rsidRDefault="00156C4B" w:rsidP="006B59D1">
      <w:pPr>
        <w:widowControl w:val="0"/>
        <w:autoSpaceDE w:val="0"/>
        <w:autoSpaceDN w:val="0"/>
        <w:spacing w:before="1" w:line="276" w:lineRule="auto"/>
        <w:ind w:left="360" w:hanging="360"/>
        <w:jc w:val="both"/>
        <w:outlineLvl w:val="0"/>
        <w:rPr>
          <w:rFonts w:ascii="Verdana" w:eastAsia="Arial" w:hAnsi="Verdana" w:cs="Arial"/>
          <w:b/>
          <w:bCs/>
          <w:sz w:val="22"/>
          <w:szCs w:val="22"/>
          <w:lang w:val="es-ES"/>
        </w:rPr>
      </w:pPr>
      <w:r w:rsidRPr="006B59D1">
        <w:rPr>
          <w:rFonts w:ascii="Verdana" w:eastAsia="Arial" w:hAnsi="Verdana" w:cs="Arial"/>
          <w:b/>
          <w:bCs/>
          <w:sz w:val="22"/>
          <w:szCs w:val="22"/>
          <w:lang w:val="es-ES"/>
        </w:rPr>
        <w:t>1. Problema planteado:</w:t>
      </w:r>
    </w:p>
    <w:p w14:paraId="4F8B5948" w14:textId="77777777" w:rsidR="00156C4B" w:rsidRPr="006B59D1" w:rsidRDefault="00156C4B" w:rsidP="00FE7128">
      <w:pPr>
        <w:tabs>
          <w:tab w:val="left" w:pos="426"/>
        </w:tabs>
        <w:spacing w:line="276" w:lineRule="auto"/>
        <w:jc w:val="both"/>
        <w:rPr>
          <w:rFonts w:ascii="Verdana" w:eastAsia="Century Gothic" w:hAnsi="Verdana" w:cs="Century Gothic"/>
          <w:sz w:val="22"/>
          <w:szCs w:val="22"/>
          <w:lang w:val="es-ES"/>
        </w:rPr>
      </w:pPr>
    </w:p>
    <w:p w14:paraId="5E71D344" w14:textId="77777777" w:rsidR="00FE7128" w:rsidRPr="006B59D1" w:rsidRDefault="00156C4B" w:rsidP="006B59D1">
      <w:pPr>
        <w:spacing w:line="276" w:lineRule="auto"/>
        <w:jc w:val="both"/>
        <w:rPr>
          <w:rFonts w:ascii="Verdana" w:hAnsi="Verdana" w:cs="Segoe UI"/>
          <w:sz w:val="22"/>
          <w:szCs w:val="22"/>
        </w:rPr>
      </w:pPr>
      <w:r w:rsidRPr="006B59D1">
        <w:rPr>
          <w:rFonts w:ascii="Verdana" w:eastAsia="Century Gothic" w:hAnsi="Verdana" w:cs="Century Gothic"/>
          <w:sz w:val="22"/>
          <w:szCs w:val="22"/>
        </w:rPr>
        <w:t xml:space="preserve">De acuerdo con el contenido de su solicitud, le informamos que la misma se resolverá desde el siguiente </w:t>
      </w:r>
      <w:bookmarkStart w:id="0" w:name="_Hlk171070029"/>
      <w:r w:rsidRPr="006B59D1">
        <w:rPr>
          <w:rFonts w:ascii="Verdana" w:eastAsia="Century Gothic" w:hAnsi="Verdana" w:cs="Century Gothic"/>
          <w:sz w:val="22"/>
          <w:szCs w:val="22"/>
        </w:rPr>
        <w:t>interrogante: ¿Cuál es la información que deben relacionar la Entidades Estatales en su Plan Anual de Adquisiciones?</w:t>
      </w:r>
      <w:r w:rsidR="00FE7128" w:rsidRPr="006B59D1">
        <w:rPr>
          <w:rFonts w:ascii="Verdana" w:eastAsia="Century Gothic" w:hAnsi="Verdana" w:cs="Century Gothic"/>
          <w:sz w:val="22"/>
          <w:szCs w:val="22"/>
        </w:rPr>
        <w:t xml:space="preserve">, en otras palabras, </w:t>
      </w:r>
      <w:r w:rsidR="00FE7128" w:rsidRPr="006B59D1">
        <w:rPr>
          <w:rFonts w:ascii="Verdana" w:hAnsi="Verdana" w:cs="Segoe UI"/>
          <w:sz w:val="22"/>
          <w:szCs w:val="22"/>
        </w:rPr>
        <w:t>¿Deben incorporarse en el Plan Anual de Adquisiciones las transferencias de recursos efectuadas entre entidades estatales mediante actos administrativos, cuando dichas transferencias no tienen por objeto la adquisición de bienes, obras o servicios ni constituyen procesos de contratación?</w:t>
      </w:r>
    </w:p>
    <w:p w14:paraId="33E2003D" w14:textId="77777777" w:rsidR="00156C4B" w:rsidRPr="006B59D1" w:rsidRDefault="00156C4B" w:rsidP="00FE7128">
      <w:pPr>
        <w:spacing w:line="276" w:lineRule="auto"/>
        <w:jc w:val="both"/>
        <w:rPr>
          <w:rFonts w:ascii="Verdana" w:eastAsia="Calibri" w:hAnsi="Verdana" w:cs="Arial"/>
          <w:sz w:val="22"/>
          <w:szCs w:val="22"/>
          <w:lang w:val="es-ES"/>
        </w:rPr>
      </w:pPr>
    </w:p>
    <w:bookmarkEnd w:id="0"/>
    <w:p w14:paraId="002FE4FA" w14:textId="77777777" w:rsidR="00156C4B" w:rsidRPr="006B59D1" w:rsidRDefault="00156C4B" w:rsidP="006B59D1">
      <w:pPr>
        <w:widowControl w:val="0"/>
        <w:autoSpaceDE w:val="0"/>
        <w:autoSpaceDN w:val="0"/>
        <w:spacing w:before="1" w:line="276" w:lineRule="auto"/>
        <w:jc w:val="both"/>
        <w:outlineLvl w:val="0"/>
        <w:rPr>
          <w:rFonts w:ascii="Verdana" w:eastAsia="Arial" w:hAnsi="Verdana" w:cs="Arial"/>
          <w:b/>
          <w:bCs/>
          <w:sz w:val="22"/>
          <w:szCs w:val="22"/>
          <w:lang w:val="es-ES"/>
        </w:rPr>
      </w:pPr>
      <w:r w:rsidRPr="006B59D1">
        <w:rPr>
          <w:rFonts w:ascii="Verdana" w:eastAsia="Arial" w:hAnsi="Verdana" w:cs="Arial"/>
          <w:b/>
          <w:bCs/>
          <w:sz w:val="22"/>
          <w:szCs w:val="22"/>
          <w:lang w:val="es-ES"/>
        </w:rPr>
        <w:t>2. Respuesta:</w:t>
      </w:r>
    </w:p>
    <w:p w14:paraId="487002DE" w14:textId="77777777" w:rsidR="00156C4B" w:rsidRPr="006B59D1" w:rsidRDefault="00156C4B" w:rsidP="006B59D1">
      <w:pPr>
        <w:spacing w:line="276" w:lineRule="auto"/>
        <w:jc w:val="both"/>
        <w:rPr>
          <w:rFonts w:ascii="Verdana" w:eastAsia="Aptos" w:hAnsi="Verdana"/>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56C4B" w:rsidRPr="00FE7128" w14:paraId="090C4997" w14:textId="77777777" w:rsidTr="00356DFB">
        <w:tc>
          <w:tcPr>
            <w:tcW w:w="8828" w:type="dxa"/>
          </w:tcPr>
          <w:p w14:paraId="0C2AD366" w14:textId="77777777" w:rsidR="00156C4B" w:rsidRPr="006B59D1" w:rsidRDefault="00156C4B" w:rsidP="00356DFB">
            <w:pPr>
              <w:spacing w:after="120" w:line="276" w:lineRule="auto"/>
              <w:jc w:val="both"/>
              <w:rPr>
                <w:rFonts w:ascii="Verdana" w:eastAsia="Calibri" w:hAnsi="Verdana" w:cs="Arial"/>
                <w:sz w:val="22"/>
                <w:szCs w:val="22"/>
                <w:lang w:val="es-ES"/>
              </w:rPr>
            </w:pPr>
            <w:bookmarkStart w:id="1" w:name="_Hlk171067516"/>
            <w:r w:rsidRPr="006B59D1">
              <w:rPr>
                <w:rFonts w:ascii="Verdana" w:eastAsia="Calibri" w:hAnsi="Verdana" w:cs="Arial"/>
                <w:sz w:val="22"/>
                <w:szCs w:val="22"/>
                <w:lang w:val="es-ES"/>
              </w:rPr>
              <w:t>Inicialmente debe precisarse que, el artículo 2.2.1.1.1.4.1. del Decreto 1082 de 2015, señala que “las entidades deben elaborar un plan anual de adquisiciones, el cual debe contener la lista de bienes, obras y servicios que pretender adquirir durante el año”. Este aparte permite extraer el contenido esencialísimo del mismo, pues lo enlista como requisitos mínimos</w:t>
            </w:r>
            <w:r w:rsidRPr="006B59D1">
              <w:rPr>
                <w:rFonts w:ascii="Verdana" w:eastAsia="Calibri" w:hAnsi="Verdana" w:cs="Arial"/>
                <w:i/>
                <w:iCs/>
                <w:sz w:val="22"/>
                <w:szCs w:val="22"/>
                <w:lang w:val="es-ES"/>
              </w:rPr>
              <w:t xml:space="preserve"> </w:t>
            </w:r>
            <w:r w:rsidRPr="006B59D1">
              <w:rPr>
                <w:rFonts w:ascii="Verdana" w:eastAsia="Calibri" w:hAnsi="Verdana" w:cs="Arial"/>
                <w:sz w:val="22"/>
                <w:szCs w:val="22"/>
                <w:lang w:val="es-ES"/>
              </w:rPr>
              <w:t>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w:t>
            </w:r>
            <w:r w:rsidRPr="006B59D1">
              <w:rPr>
                <w:rFonts w:ascii="Verdana" w:eastAsia="Calibri" w:hAnsi="Verdana" w:cs="Arial"/>
                <w:i/>
                <w:iCs/>
                <w:sz w:val="22"/>
                <w:szCs w:val="22"/>
                <w:lang w:val="es-ES"/>
              </w:rPr>
              <w:t xml:space="preserve"> </w:t>
            </w:r>
            <w:r w:rsidRPr="006B59D1">
              <w:rPr>
                <w:rFonts w:ascii="Verdana" w:eastAsia="Calibri" w:hAnsi="Verdana" w:cs="Arial"/>
                <w:sz w:val="22"/>
                <w:szCs w:val="22"/>
                <w:lang w:val="es-ES"/>
              </w:rPr>
              <w:t xml:space="preserve">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w:t>
            </w:r>
          </w:p>
          <w:p w14:paraId="61FC9C43" w14:textId="77777777" w:rsidR="00156C4B" w:rsidRPr="006B59D1" w:rsidRDefault="00156C4B" w:rsidP="00356DFB">
            <w:pPr>
              <w:spacing w:after="120" w:line="276" w:lineRule="auto"/>
              <w:jc w:val="both"/>
              <w:rPr>
                <w:rFonts w:ascii="Verdana" w:eastAsia="Calibri" w:hAnsi="Verdana" w:cs="Arial"/>
                <w:sz w:val="22"/>
                <w:szCs w:val="22"/>
                <w:lang w:val="es-ES"/>
              </w:rPr>
            </w:pPr>
            <w:r w:rsidRPr="006B59D1">
              <w:rPr>
                <w:rFonts w:ascii="Verdana" w:eastAsia="Calibri" w:hAnsi="Verdana" w:cs="Arial"/>
                <w:sz w:val="22"/>
                <w:szCs w:val="22"/>
                <w:lang w:val="es-ES"/>
              </w:rPr>
              <w:lastRenderedPageBreak/>
              <w:tab/>
              <w:t>En ese sentido, la obligación de incluir información en el Plan Anual de Adquisiciones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Por tanto, en función de los bienes, obras o servicios que la entidad pretenda adquirir, establecerá el tipo de recursos con cargo a los cuales realizará los pagos correspondientes.</w:t>
            </w:r>
          </w:p>
          <w:p w14:paraId="330396A0" w14:textId="77777777" w:rsidR="00156C4B" w:rsidRPr="006B59D1" w:rsidRDefault="00156C4B" w:rsidP="00356DFB">
            <w:pPr>
              <w:spacing w:before="120" w:line="276" w:lineRule="auto"/>
              <w:ind w:firstLine="708"/>
              <w:jc w:val="both"/>
              <w:rPr>
                <w:rFonts w:ascii="Verdana" w:eastAsia="Calibri" w:hAnsi="Verdana" w:cs="Arial"/>
                <w:sz w:val="22"/>
                <w:szCs w:val="22"/>
                <w:lang w:val="es-ES"/>
              </w:rPr>
            </w:pPr>
            <w:r w:rsidRPr="006B59D1">
              <w:rPr>
                <w:rFonts w:ascii="Verdana" w:eastAsia="Calibri" w:hAnsi="Verdana" w:cs="Arial"/>
                <w:sz w:val="22"/>
                <w:szCs w:val="22"/>
                <w:lang w:val="es-ES"/>
              </w:rPr>
              <w:t xml:space="preserve">Sin embargo, se aclara que las normas que regulan el PAA, no contemplan la inclusión de información atinente a “transferencias de recursos”, pues sobre este último, lo que sí solicita el artículo 2.2.1.1.1.4.1. del Decreto 1082 de 2015 a las entidades, entre otros aspectos, es que cuando estas conozcan el bien, obra o servicio a satisfacer, indiquen el tipo de </w:t>
            </w:r>
            <w:r w:rsidRPr="006B59D1">
              <w:rPr>
                <w:rFonts w:ascii="Verdana" w:eastAsia="Calibri" w:hAnsi="Verdana" w:cs="Arial"/>
                <w:i/>
                <w:iCs/>
                <w:sz w:val="22"/>
                <w:szCs w:val="22"/>
                <w:lang w:val="es-ES"/>
              </w:rPr>
              <w:t>recursos</w:t>
            </w:r>
            <w:r w:rsidRPr="006B59D1">
              <w:rPr>
                <w:rFonts w:ascii="Verdana" w:eastAsia="Calibri" w:hAnsi="Verdana" w:cs="Arial"/>
                <w:sz w:val="22"/>
                <w:szCs w:val="22"/>
                <w:lang w:val="es-ES"/>
              </w:rPr>
              <w:t xml:space="preserve"> con cargo a los cuales los pagarán, sin indicar la manera en la que esto deba desagregarse.</w:t>
            </w:r>
          </w:p>
          <w:p w14:paraId="2BB63B43" w14:textId="77777777" w:rsidR="00156C4B" w:rsidRPr="006B59D1" w:rsidRDefault="00156C4B" w:rsidP="00356DFB">
            <w:pPr>
              <w:spacing w:before="120" w:line="276" w:lineRule="auto"/>
              <w:ind w:firstLine="708"/>
              <w:jc w:val="both"/>
              <w:rPr>
                <w:rFonts w:ascii="Verdana" w:eastAsia="Calibri" w:hAnsi="Verdana" w:cs="Arial"/>
                <w:sz w:val="22"/>
                <w:szCs w:val="22"/>
              </w:rPr>
            </w:pPr>
            <w:r w:rsidRPr="006B59D1">
              <w:rPr>
                <w:rFonts w:ascii="Verdana" w:eastAsia="Calibri" w:hAnsi="Verdana" w:cs="Arial"/>
                <w:sz w:val="22"/>
                <w:szCs w:val="22"/>
              </w:rPr>
              <w:t>Con todo, debe advertirse que, si bien Colombia Compra Eficiente ha emitido instrumentos que ayudan a las Entidades Estatales a interpretar y aplicar de manera adecuada las disposiciones normativas que regulan el PAA, tal como la “Guía para Elaborar el Plan Anual de Adquisiciones”, a la fecha, en dichas herramientas no se ha referido sobre la “inclusión o exclusión de transferencias de recursos en el PAA”. Lo anterior, en razón a que, los documentos que expide en el marco de sus funciones y/o competencias, procuran la adecuada interpretación y aplicación de las normas que ciñen la elaboración, publicación y actualización del PAA, por lo que, el análisis requerido para resolver problemas específicos en torno a la elaboración del Plan Anual de adquisiciones, debe ser realizado por quienes tengan interés en ello. De esta manera, las afirmaciones aquí realizadas no pueden ser interpretadas como juicios de valor sobre circunstancias concretas relacionadas con los hechos que motivan la consulta.</w:t>
            </w:r>
          </w:p>
        </w:tc>
      </w:tr>
      <w:bookmarkEnd w:id="1"/>
    </w:tbl>
    <w:p w14:paraId="376FEDF0" w14:textId="77777777" w:rsidR="00156C4B" w:rsidRPr="006B59D1" w:rsidRDefault="00156C4B" w:rsidP="00156C4B">
      <w:pPr>
        <w:widowControl w:val="0"/>
        <w:autoSpaceDE w:val="0"/>
        <w:autoSpaceDN w:val="0"/>
        <w:spacing w:before="1"/>
        <w:ind w:left="360" w:hanging="360"/>
        <w:outlineLvl w:val="0"/>
        <w:rPr>
          <w:rFonts w:ascii="Verdana" w:eastAsia="Arial" w:hAnsi="Verdana" w:cs="Arial"/>
          <w:b/>
          <w:sz w:val="22"/>
          <w:szCs w:val="22"/>
        </w:rPr>
      </w:pPr>
    </w:p>
    <w:p w14:paraId="5C07DFFC" w14:textId="77777777" w:rsidR="00156C4B" w:rsidRPr="006B59D1" w:rsidRDefault="00156C4B" w:rsidP="00156C4B">
      <w:pPr>
        <w:widowControl w:val="0"/>
        <w:autoSpaceDE w:val="0"/>
        <w:autoSpaceDN w:val="0"/>
        <w:spacing w:before="1"/>
        <w:ind w:left="360" w:hanging="360"/>
        <w:outlineLvl w:val="0"/>
        <w:rPr>
          <w:rFonts w:ascii="Verdana" w:eastAsia="Arial" w:hAnsi="Verdana" w:cs="Arial"/>
          <w:b/>
          <w:bCs/>
          <w:sz w:val="22"/>
          <w:szCs w:val="22"/>
          <w:lang w:val="es-ES"/>
        </w:rPr>
      </w:pPr>
      <w:r w:rsidRPr="006B59D1">
        <w:rPr>
          <w:rFonts w:ascii="Verdana" w:eastAsia="Arial" w:hAnsi="Verdana" w:cs="Arial"/>
          <w:b/>
          <w:bCs/>
          <w:sz w:val="22"/>
          <w:szCs w:val="22"/>
          <w:lang w:val="es-ES"/>
        </w:rPr>
        <w:t>3. Razones de la respuesta</w:t>
      </w:r>
    </w:p>
    <w:p w14:paraId="3528B18C" w14:textId="77777777" w:rsidR="00156C4B" w:rsidRPr="006B59D1" w:rsidRDefault="00156C4B" w:rsidP="00156C4B">
      <w:pPr>
        <w:spacing w:line="276" w:lineRule="auto"/>
        <w:jc w:val="both"/>
        <w:rPr>
          <w:rFonts w:ascii="Verdana" w:eastAsia="Calibri" w:hAnsi="Verdana" w:cs="Arial"/>
          <w:sz w:val="22"/>
          <w:szCs w:val="22"/>
          <w:lang w:val="es-ES"/>
        </w:rPr>
      </w:pPr>
    </w:p>
    <w:p w14:paraId="75300A05" w14:textId="77777777" w:rsidR="00156C4B" w:rsidRPr="006B59D1" w:rsidRDefault="00156C4B" w:rsidP="00156C4B">
      <w:pPr>
        <w:spacing w:line="276" w:lineRule="auto"/>
        <w:jc w:val="both"/>
        <w:rPr>
          <w:rFonts w:ascii="Verdana" w:eastAsia="Calibri" w:hAnsi="Verdana" w:cs="Arial"/>
          <w:sz w:val="22"/>
          <w:szCs w:val="22"/>
          <w:lang w:val="es-ES"/>
        </w:rPr>
      </w:pPr>
      <w:r w:rsidRPr="006B59D1">
        <w:rPr>
          <w:rFonts w:ascii="Verdana" w:eastAsia="Calibri" w:hAnsi="Verdana" w:cs="Arial"/>
          <w:sz w:val="22"/>
          <w:szCs w:val="22"/>
          <w:lang w:val="es-ES"/>
        </w:rPr>
        <w:t xml:space="preserve">Las respuestas anteriores se sustentan en las siguientes consideraciones: </w:t>
      </w:r>
    </w:p>
    <w:p w14:paraId="4EFD4A91" w14:textId="77777777" w:rsidR="00156C4B" w:rsidRPr="006B59D1" w:rsidRDefault="00156C4B" w:rsidP="00156C4B">
      <w:pPr>
        <w:spacing w:line="276" w:lineRule="auto"/>
        <w:jc w:val="both"/>
        <w:rPr>
          <w:rFonts w:ascii="Verdana" w:eastAsia="Calibri" w:hAnsi="Verdana" w:cs="Arial"/>
          <w:sz w:val="22"/>
          <w:szCs w:val="22"/>
          <w:lang w:val="es-ES"/>
        </w:rPr>
      </w:pPr>
    </w:p>
    <w:p w14:paraId="6622741D" w14:textId="07C67624" w:rsidR="00156C4B" w:rsidRPr="006B59D1" w:rsidRDefault="00156C4B" w:rsidP="00156C4B">
      <w:pPr>
        <w:spacing w:line="276" w:lineRule="auto"/>
        <w:contextualSpacing/>
        <w:jc w:val="both"/>
        <w:rPr>
          <w:rFonts w:ascii="Verdana" w:eastAsia="Calibri" w:hAnsi="Verdana" w:cs="Arial"/>
          <w:sz w:val="22"/>
          <w:szCs w:val="22"/>
        </w:rPr>
      </w:pPr>
      <w:r w:rsidRPr="006B59D1">
        <w:rPr>
          <w:rFonts w:ascii="Verdana" w:eastAsia="Calibri" w:hAnsi="Verdana" w:cs="Arial"/>
          <w:sz w:val="22"/>
          <w:szCs w:val="22"/>
        </w:rPr>
        <w:t>La Guía para elaborar el Plan Anual de Adquisiciones</w:t>
      </w:r>
      <w:r w:rsidRPr="006B59D1">
        <w:rPr>
          <w:rFonts w:ascii="Verdana" w:eastAsia="Calibri" w:hAnsi="Verdana" w:cs="Arial"/>
          <w:sz w:val="22"/>
          <w:szCs w:val="22"/>
          <w:vertAlign w:val="superscript"/>
        </w:rPr>
        <w:footnoteReference w:id="1"/>
      </w:r>
      <w:r w:rsidRPr="006B59D1">
        <w:rPr>
          <w:rFonts w:ascii="Verdana" w:eastAsia="Calibri" w:hAnsi="Verdana" w:cs="Arial"/>
          <w:sz w:val="22"/>
          <w:szCs w:val="22"/>
        </w:rPr>
        <w:t xml:space="preserve"> de esta Agencia, define al Plan Anual de Adquisiciones, en adelante PAA</w:t>
      </w:r>
      <w:r w:rsidR="00D713C4">
        <w:rPr>
          <w:rFonts w:ascii="Verdana" w:eastAsia="Calibri" w:hAnsi="Verdana" w:cs="Arial"/>
          <w:sz w:val="22"/>
          <w:szCs w:val="22"/>
        </w:rPr>
        <w:t>,</w:t>
      </w:r>
      <w:r w:rsidRPr="006B59D1">
        <w:rPr>
          <w:rFonts w:ascii="Verdana" w:eastAsia="Calibri" w:hAnsi="Verdana" w:cs="Arial"/>
          <w:sz w:val="22"/>
          <w:szCs w:val="22"/>
        </w:rPr>
        <w:t xml:space="preserve">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6B59D1">
        <w:rPr>
          <w:rFonts w:ascii="Verdana" w:eastAsia="Aptos" w:hAnsi="Verdana"/>
          <w:color w:val="000000"/>
          <w:sz w:val="22"/>
          <w:szCs w:val="22"/>
          <w:vertAlign w:val="superscript"/>
        </w:rPr>
        <w:footnoteReference w:id="2"/>
      </w:r>
      <w:r w:rsidRPr="006B59D1">
        <w:rPr>
          <w:rFonts w:ascii="Verdana" w:eastAsia="Calibri" w:hAnsi="Verdana" w:cs="Arial"/>
          <w:sz w:val="22"/>
          <w:szCs w:val="22"/>
        </w:rPr>
        <w:t>.</w:t>
      </w:r>
    </w:p>
    <w:p w14:paraId="52CD7BC3" w14:textId="77777777" w:rsidR="00156C4B" w:rsidRPr="006B59D1" w:rsidRDefault="00156C4B" w:rsidP="00156C4B">
      <w:pPr>
        <w:spacing w:before="120" w:after="120" w:line="276" w:lineRule="auto"/>
        <w:jc w:val="both"/>
        <w:rPr>
          <w:rFonts w:ascii="Verdana" w:eastAsia="Calibri" w:hAnsi="Verdana" w:cs="Arial"/>
          <w:sz w:val="22"/>
          <w:szCs w:val="22"/>
          <w:lang w:val="es-ES"/>
        </w:rPr>
      </w:pPr>
      <w:r w:rsidRPr="006B59D1">
        <w:rPr>
          <w:rFonts w:ascii="Verdana" w:eastAsia="Aptos" w:hAnsi="Verdana" w:cs="Arial"/>
          <w:sz w:val="22"/>
          <w:szCs w:val="22"/>
        </w:rPr>
        <w:tab/>
        <w:t>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 En particular, el artículo 74 de la Ley 1474 de 2011 dispone que “todas las entidades del Estado” deben publicar, a más tardar el 31 de enero de cada año, en su respectiva página web, el plan de acción, en el cual se incluye el plan general de compras</w:t>
      </w:r>
      <w:r w:rsidRPr="006B59D1">
        <w:rPr>
          <w:rFonts w:ascii="Verdana" w:eastAsia="Aptos" w:hAnsi="Verdana"/>
          <w:sz w:val="22"/>
          <w:szCs w:val="22"/>
          <w:shd w:val="clear" w:color="auto" w:fill="FFFFFF"/>
          <w:vertAlign w:val="superscript"/>
          <w:lang w:val="es-ES_tradnl"/>
        </w:rPr>
        <w:footnoteReference w:id="3"/>
      </w:r>
      <w:r w:rsidRPr="006B59D1">
        <w:rPr>
          <w:rFonts w:ascii="Verdana" w:eastAsia="Aptos" w:hAnsi="Verdana" w:cs="Arial"/>
          <w:sz w:val="22"/>
          <w:szCs w:val="22"/>
          <w:shd w:val="clear" w:color="auto" w:fill="FFFFFF"/>
          <w:lang w:val="es-ES_tradnl"/>
        </w:rPr>
        <w:t>.</w:t>
      </w:r>
    </w:p>
    <w:p w14:paraId="3011D204" w14:textId="77777777" w:rsidR="00156C4B" w:rsidRPr="006B59D1" w:rsidRDefault="00156C4B" w:rsidP="00156C4B">
      <w:pPr>
        <w:spacing w:after="120" w:line="276" w:lineRule="auto"/>
        <w:jc w:val="both"/>
        <w:rPr>
          <w:rFonts w:ascii="Verdana" w:eastAsia="Calibri" w:hAnsi="Verdana" w:cs="Arial"/>
          <w:sz w:val="22"/>
          <w:szCs w:val="22"/>
          <w:lang w:val="es-ES"/>
        </w:rPr>
      </w:pPr>
      <w:r w:rsidRPr="006B59D1">
        <w:rPr>
          <w:rFonts w:ascii="Verdana" w:eastAsia="Calibri" w:hAnsi="Verdana" w:cs="Arial"/>
          <w:sz w:val="22"/>
          <w:szCs w:val="22"/>
          <w:lang w:val="es-ES"/>
        </w:rPr>
        <w:tab/>
        <w:t>Como ya se indicó, el plan general de compras para el ordenamiento vigente corresponde con el concepto de PAA como lo establece el artículo 2.2.1.1.1.3.1 del Decreto 1082 de 2015</w:t>
      </w:r>
      <w:r w:rsidRPr="006B59D1">
        <w:rPr>
          <w:rFonts w:ascii="Verdana" w:eastAsia="Aptos" w:hAnsi="Verdana"/>
          <w:sz w:val="22"/>
          <w:szCs w:val="22"/>
          <w:shd w:val="clear" w:color="auto" w:fill="FFFFFF"/>
          <w:vertAlign w:val="superscript"/>
          <w:lang w:val="es-ES_tradnl"/>
        </w:rPr>
        <w:footnoteReference w:id="4"/>
      </w:r>
      <w:r w:rsidRPr="006B59D1">
        <w:rPr>
          <w:rFonts w:ascii="Verdana" w:eastAsia="Aptos" w:hAnsi="Verdana" w:cs="Arial"/>
          <w:sz w:val="22"/>
          <w:szCs w:val="22"/>
          <w:shd w:val="clear" w:color="auto" w:fill="FFFFFF"/>
          <w:lang w:val="es-ES_tradnl"/>
        </w:rPr>
        <w:t>.</w:t>
      </w:r>
      <w:r w:rsidRPr="006B59D1">
        <w:rPr>
          <w:rFonts w:ascii="Verdana" w:eastAsia="Aptos" w:hAnsi="Verdana"/>
          <w:sz w:val="22"/>
          <w:szCs w:val="22"/>
        </w:rPr>
        <w:t xml:space="preserve"> </w:t>
      </w:r>
      <w:r w:rsidRPr="006B59D1">
        <w:rPr>
          <w:rFonts w:ascii="Verdana" w:eastAsia="Aptos" w:hAnsi="Verdana" w:cs="Arial"/>
          <w:sz w:val="22"/>
          <w:szCs w:val="22"/>
          <w:shd w:val="clear" w:color="auto" w:fill="FFFFFF"/>
          <w:lang w:val="es-ES_tradnl"/>
        </w:rPr>
        <w:t>Además, de acuerdo con el artículo 2.2.1.1.1.4.3 ibidem, el PAA también debe publicarse en el Sistema Electrónico para la Contratación Pública, en adelante SECOP</w:t>
      </w:r>
      <w:r w:rsidRPr="006B59D1">
        <w:rPr>
          <w:rFonts w:ascii="Verdana" w:eastAsia="Aptos" w:hAnsi="Verdana"/>
          <w:sz w:val="22"/>
          <w:szCs w:val="22"/>
          <w:shd w:val="clear" w:color="auto" w:fill="FFFFFF"/>
          <w:vertAlign w:val="superscript"/>
        </w:rPr>
        <w:footnoteReference w:id="5"/>
      </w:r>
      <w:r w:rsidRPr="006B59D1">
        <w:rPr>
          <w:rFonts w:ascii="Verdana" w:eastAsia="Aptos" w:hAnsi="Verdana" w:cs="Arial"/>
          <w:sz w:val="22"/>
          <w:szCs w:val="22"/>
          <w:shd w:val="clear" w:color="auto" w:fill="FFFFFF"/>
          <w:lang w:val="es-ES"/>
        </w:rPr>
        <w:t>.</w:t>
      </w:r>
      <w:r w:rsidRPr="006B59D1">
        <w:rPr>
          <w:rFonts w:ascii="Verdana" w:eastAsia="Aptos" w:hAnsi="Verdana"/>
          <w:sz w:val="22"/>
          <w:szCs w:val="22"/>
        </w:rPr>
        <w:t xml:space="preserve"> </w:t>
      </w:r>
      <w:r w:rsidRPr="006B59D1">
        <w:rPr>
          <w:rFonts w:ascii="Verdana" w:eastAsia="Aptos" w:hAnsi="Verdana" w:cs="Arial"/>
          <w:sz w:val="22"/>
          <w:szCs w:val="22"/>
          <w:shd w:val="clear" w:color="auto" w:fill="FFFFFF"/>
          <w:lang w:val="es-ES"/>
        </w:rPr>
        <w:t xml:space="preserve">Se trata de una obligación que involucra a todas las entidades del Estado sin importar la rama a la cual pertenecen, o si se trata de entidades descentralizadas territorialmente o por </w:t>
      </w:r>
      <w:r w:rsidRPr="006B59D1">
        <w:rPr>
          <w:rFonts w:ascii="Verdana" w:eastAsia="Aptos" w:hAnsi="Verdana" w:cs="Arial"/>
          <w:sz w:val="22"/>
          <w:szCs w:val="22"/>
          <w:shd w:val="clear" w:color="auto" w:fill="FFFFFF"/>
          <w:lang w:val="es-ES"/>
        </w:rPr>
        <w:lastRenderedPageBreak/>
        <w:t>servicios; los órganos con competencia para contratar, como los concejos municipales; las empresas del Estado y las sociedades en las que el Estado tenga participación, sin que importe su monto.</w:t>
      </w:r>
    </w:p>
    <w:p w14:paraId="36B2A5B1" w14:textId="77777777" w:rsidR="00156C4B" w:rsidRPr="006B59D1" w:rsidRDefault="00156C4B" w:rsidP="00156C4B">
      <w:pPr>
        <w:spacing w:after="120" w:line="276" w:lineRule="auto"/>
        <w:ind w:firstLine="708"/>
        <w:jc w:val="both"/>
        <w:rPr>
          <w:rFonts w:ascii="Verdana" w:eastAsia="Calibri" w:hAnsi="Verdana" w:cs="Arial"/>
          <w:sz w:val="22"/>
          <w:szCs w:val="22"/>
          <w:lang w:val="es-ES"/>
        </w:rPr>
      </w:pPr>
      <w:r w:rsidRPr="006B59D1">
        <w:rPr>
          <w:rFonts w:ascii="Verdana" w:eastAsia="Calibri" w:hAnsi="Verdana" w:cs="Arial"/>
          <w:sz w:val="22"/>
          <w:szCs w:val="22"/>
          <w:lang w:val="es-ES"/>
        </w:rPr>
        <w:t>El artículo 2.1.1.2.1.10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7E8B40A7" w14:textId="77777777" w:rsidR="00156C4B" w:rsidRPr="006B59D1" w:rsidRDefault="00156C4B" w:rsidP="00156C4B">
      <w:pPr>
        <w:spacing w:after="120" w:line="276" w:lineRule="auto"/>
        <w:ind w:firstLine="708"/>
        <w:jc w:val="both"/>
        <w:rPr>
          <w:rFonts w:ascii="Verdana" w:eastAsia="Calibri" w:hAnsi="Verdana" w:cs="Arial"/>
          <w:sz w:val="22"/>
          <w:szCs w:val="22"/>
          <w:lang w:val="es-ES"/>
        </w:rPr>
      </w:pPr>
      <w:r w:rsidRPr="006B59D1">
        <w:rPr>
          <w:rFonts w:ascii="Verdana" w:eastAsia="Calibri" w:hAnsi="Verdana" w:cs="Arial"/>
          <w:sz w:val="22"/>
          <w:szCs w:val="22"/>
          <w:lang w:val="es-ES"/>
        </w:rPr>
        <w:t>Teniendo en claro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w:t>
      </w:r>
      <w:r w:rsidRPr="006B59D1">
        <w:rPr>
          <w:rStyle w:val="Refdenotaalpie"/>
          <w:rFonts w:ascii="Verdana" w:eastAsia="Calibri" w:hAnsi="Verdana" w:cs="Arial"/>
          <w:sz w:val="22"/>
          <w:szCs w:val="22"/>
          <w:lang w:val="es-ES"/>
        </w:rPr>
        <w:footnoteReference w:id="6"/>
      </w:r>
      <w:r w:rsidRPr="006B59D1">
        <w:rPr>
          <w:rFonts w:ascii="Verdana" w:hAnsi="Verdana" w:cs="Arial"/>
          <w:sz w:val="22"/>
          <w:szCs w:val="22"/>
          <w:lang w:val="es-ES"/>
        </w:rPr>
        <w:t>.</w:t>
      </w:r>
    </w:p>
    <w:p w14:paraId="3F3C4034" w14:textId="77777777" w:rsidR="00156C4B" w:rsidRPr="006B59D1" w:rsidRDefault="00156C4B" w:rsidP="00156C4B">
      <w:pPr>
        <w:spacing w:after="120" w:line="276" w:lineRule="auto"/>
        <w:ind w:firstLine="708"/>
        <w:jc w:val="both"/>
        <w:rPr>
          <w:rFonts w:ascii="Verdana" w:eastAsia="Calibri" w:hAnsi="Verdana" w:cs="Arial"/>
          <w:sz w:val="22"/>
          <w:szCs w:val="22"/>
          <w:lang w:val="es-ES"/>
        </w:rPr>
      </w:pPr>
      <w:r w:rsidRPr="006B59D1">
        <w:rPr>
          <w:rFonts w:ascii="Verdana" w:eastAsia="Calibri" w:hAnsi="Verdana" w:cs="Arial"/>
          <w:sz w:val="22"/>
          <w:szCs w:val="22"/>
          <w:lang w:val="es-ES"/>
        </w:rPr>
        <w:t xml:space="preserve">En ese contexto,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w:t>
      </w:r>
      <w:r w:rsidRPr="006B59D1">
        <w:rPr>
          <w:rFonts w:ascii="Verdana" w:eastAsia="Calibri" w:hAnsi="Verdana" w:cs="Arial"/>
          <w:sz w:val="22"/>
          <w:szCs w:val="22"/>
          <w:lang w:val="es-ES"/>
        </w:rPr>
        <w:lastRenderedPageBreak/>
        <w:t xml:space="preserve">y la fecha aproximada en la cual la Entidad Estatal iniciará el Proceso de Contratación”, que no siendo menos importante, es complementaria y descriptiva de la información esencialísima del plan, como se explicará a continuación. </w:t>
      </w:r>
    </w:p>
    <w:p w14:paraId="0577D659" w14:textId="77777777" w:rsidR="00156C4B" w:rsidRPr="006B59D1" w:rsidRDefault="00156C4B" w:rsidP="00156C4B">
      <w:pPr>
        <w:spacing w:after="120" w:line="276" w:lineRule="auto"/>
        <w:ind w:firstLine="708"/>
        <w:jc w:val="both"/>
        <w:rPr>
          <w:rFonts w:ascii="Verdana" w:hAnsi="Verdana" w:cs="Arial"/>
          <w:sz w:val="22"/>
          <w:szCs w:val="22"/>
          <w:lang w:val="es-ES"/>
        </w:rPr>
      </w:pPr>
      <w:r w:rsidRPr="006B59D1">
        <w:rPr>
          <w:rFonts w:ascii="Verdana" w:hAnsi="Verdana" w:cs="Arial"/>
          <w:sz w:val="22"/>
          <w:szCs w:val="22"/>
          <w:lang w:val="es-ES"/>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6166C46F" w14:textId="31E33FA0" w:rsidR="00156C4B" w:rsidRPr="006B59D1" w:rsidRDefault="00156C4B" w:rsidP="00156C4B">
      <w:pPr>
        <w:spacing w:after="120" w:line="276" w:lineRule="auto"/>
        <w:ind w:firstLine="708"/>
        <w:jc w:val="both"/>
        <w:rPr>
          <w:rFonts w:ascii="Verdana" w:eastAsia="Calibri" w:hAnsi="Verdana" w:cs="Arial"/>
          <w:sz w:val="22"/>
          <w:szCs w:val="22"/>
          <w:lang w:val="es-ES"/>
        </w:rPr>
      </w:pPr>
      <w:r w:rsidRPr="006B59D1">
        <w:rPr>
          <w:rFonts w:ascii="Verdana" w:eastAsia="Calibri" w:hAnsi="Verdana" w:cs="Arial"/>
          <w:sz w:val="22"/>
          <w:szCs w:val="22"/>
          <w:lang w:val="es-ES"/>
        </w:rPr>
        <w:t xml:space="preserve">En ese sentido, la obligación de incluir información en el </w:t>
      </w:r>
      <w:r w:rsidR="00DB23F0">
        <w:rPr>
          <w:rFonts w:ascii="Verdana" w:eastAsia="Calibri" w:hAnsi="Verdana" w:cs="Arial"/>
          <w:sz w:val="22"/>
          <w:szCs w:val="22"/>
          <w:lang w:val="es-ES"/>
        </w:rPr>
        <w:t>PAA</w:t>
      </w:r>
      <w:r w:rsidRPr="006B59D1">
        <w:rPr>
          <w:rFonts w:ascii="Verdana" w:eastAsia="Calibri" w:hAnsi="Verdana" w:cs="Arial"/>
          <w:sz w:val="22"/>
          <w:szCs w:val="22"/>
          <w:lang w:val="es-ES"/>
        </w:rPr>
        <w:t xml:space="preserve"> se fundamenta en que se trate de la adquisición de bienes, obras o servicios por parte de la entidad, y no se encuentra condicionada por la naturaleza de la información complementaria –modalidad de contratación, valor forma de pago, tipo de recursos, etc.– relacionada con la información principal, máxime cuando la obligación de enlistar está consagrada en la norma respecto de los bienes, obras o servicios a adquirir, y no respecto de</w:t>
      </w:r>
      <w:r w:rsidR="00DB23F0">
        <w:rPr>
          <w:rFonts w:ascii="Verdana" w:eastAsia="Calibri" w:hAnsi="Verdana" w:cs="Arial"/>
          <w:sz w:val="22"/>
          <w:szCs w:val="22"/>
          <w:lang w:val="es-ES"/>
        </w:rPr>
        <w:t xml:space="preserve"> las apropiaciones </w:t>
      </w:r>
      <w:proofErr w:type="spellStart"/>
      <w:r w:rsidR="00DB23F0">
        <w:rPr>
          <w:rFonts w:ascii="Verdana" w:eastAsia="Calibri" w:hAnsi="Verdana" w:cs="Arial"/>
          <w:sz w:val="22"/>
          <w:szCs w:val="22"/>
          <w:lang w:val="es-ES"/>
        </w:rPr>
        <w:t>presupeustales</w:t>
      </w:r>
      <w:proofErr w:type="spellEnd"/>
      <w:r w:rsidRPr="006B59D1">
        <w:rPr>
          <w:rFonts w:ascii="Verdana" w:eastAsia="Calibri" w:hAnsi="Verdana" w:cs="Arial"/>
          <w:sz w:val="22"/>
          <w:szCs w:val="22"/>
          <w:lang w:val="es-ES"/>
        </w:rPr>
        <w:t>, lo cual otorga cierta importancia a ese primer aspecto, más que a su forma de contratación. Por tanto, en función de los bienes, obras o servicios que la entidad pretenda adquirir, establecerá el tipo de recursos con cargo a los cuales realizará los pagos correspondientes.</w:t>
      </w:r>
    </w:p>
    <w:p w14:paraId="3E8AC7B1" w14:textId="77777777" w:rsidR="00156C4B" w:rsidRPr="006B59D1" w:rsidRDefault="00156C4B" w:rsidP="00156C4B">
      <w:pPr>
        <w:spacing w:before="120" w:line="276" w:lineRule="auto"/>
        <w:ind w:firstLine="708"/>
        <w:jc w:val="both"/>
        <w:rPr>
          <w:rFonts w:ascii="Verdana" w:eastAsia="Calibri" w:hAnsi="Verdana" w:cs="Arial"/>
          <w:sz w:val="22"/>
          <w:szCs w:val="22"/>
          <w:lang w:val="es-ES"/>
        </w:rPr>
      </w:pPr>
      <w:r w:rsidRPr="006B59D1">
        <w:rPr>
          <w:rFonts w:ascii="Verdana" w:eastAsia="Calibri" w:hAnsi="Verdana" w:cs="Arial"/>
          <w:sz w:val="22"/>
          <w:szCs w:val="22"/>
          <w:lang w:val="es-ES"/>
        </w:rPr>
        <w:t xml:space="preserve">Sin embargo, se aclara que las normas que regulan el PAA, no contemplan la inclusión de información atinente a las </w:t>
      </w:r>
      <w:r w:rsidRPr="006B59D1">
        <w:rPr>
          <w:rFonts w:ascii="Verdana" w:eastAsia="Calibri" w:hAnsi="Verdana" w:cs="Arial"/>
          <w:i/>
          <w:iCs/>
          <w:sz w:val="22"/>
          <w:szCs w:val="22"/>
          <w:lang w:val="es-ES"/>
        </w:rPr>
        <w:t xml:space="preserve">“transferencias de recursos realizadas entre Entidades Estatales”, </w:t>
      </w:r>
      <w:r w:rsidRPr="006B59D1">
        <w:rPr>
          <w:rFonts w:ascii="Verdana" w:eastAsia="Calibri" w:hAnsi="Verdana" w:cs="Arial"/>
          <w:sz w:val="22"/>
          <w:szCs w:val="22"/>
          <w:lang w:val="es-ES"/>
        </w:rPr>
        <w:t xml:space="preserve">pues lo que sí solicita el artículo 2.2.1.1.1.4.1. del Decreto 1082 de 2015 a las entidades, entre otros aspectos, es que cuando conozcan el bien, obra o servicio a satisfacer, indiquen el tipo de </w:t>
      </w:r>
      <w:r w:rsidRPr="006B59D1">
        <w:rPr>
          <w:rFonts w:ascii="Verdana" w:eastAsia="Calibri" w:hAnsi="Verdana" w:cs="Arial"/>
          <w:i/>
          <w:iCs/>
          <w:sz w:val="22"/>
          <w:szCs w:val="22"/>
          <w:lang w:val="es-ES"/>
        </w:rPr>
        <w:t>recursos</w:t>
      </w:r>
      <w:r w:rsidRPr="006B59D1">
        <w:rPr>
          <w:rFonts w:ascii="Verdana" w:eastAsia="Calibri" w:hAnsi="Verdana" w:cs="Arial"/>
          <w:sz w:val="22"/>
          <w:szCs w:val="22"/>
          <w:lang w:val="es-ES"/>
        </w:rPr>
        <w:t xml:space="preserve"> con cargo a los cuales los pagarán, sin indicar la manera en la que esto deba desagregarse.</w:t>
      </w:r>
    </w:p>
    <w:p w14:paraId="6D1BA452" w14:textId="77777777" w:rsidR="00156C4B" w:rsidRPr="006B59D1" w:rsidRDefault="00156C4B" w:rsidP="00156C4B">
      <w:pPr>
        <w:spacing w:before="120" w:line="276" w:lineRule="auto"/>
        <w:ind w:firstLine="709"/>
        <w:jc w:val="both"/>
        <w:rPr>
          <w:rFonts w:ascii="Verdana" w:eastAsia="Calibri" w:hAnsi="Verdana" w:cs="Arial"/>
          <w:sz w:val="22"/>
          <w:szCs w:val="22"/>
          <w:lang w:val="es-ES"/>
        </w:rPr>
      </w:pPr>
      <w:r w:rsidRPr="006B59D1">
        <w:rPr>
          <w:rFonts w:ascii="Verdana" w:eastAsia="Calibri" w:hAnsi="Verdana" w:cs="Arial"/>
          <w:sz w:val="22"/>
          <w:szCs w:val="22"/>
          <w:lang w:val="es-ES"/>
        </w:rPr>
        <w:t xml:space="preserve">Por su parte, esta Agencia, con el fin de orientar a las Entidades Estatales en la elaboración y actualización del PAA, incorporó en la guía sobre el tema, el “Anexo 2 – Adquisiciones Planeadas” en el que de manera ilustrativa, relaciona la información mínima y obligatoria que debe contener dicho plan. Parte de este anexo se inserta a continuación: </w:t>
      </w:r>
    </w:p>
    <w:p w14:paraId="587BC184" w14:textId="77777777" w:rsidR="00156C4B" w:rsidRPr="006B59D1" w:rsidRDefault="00156C4B" w:rsidP="00156C4B">
      <w:pPr>
        <w:spacing w:before="120" w:line="276" w:lineRule="auto"/>
        <w:ind w:firstLine="709"/>
        <w:jc w:val="both"/>
        <w:rPr>
          <w:rFonts w:ascii="Verdana" w:eastAsia="Calibri" w:hAnsi="Verdana" w:cs="Arial"/>
          <w:sz w:val="22"/>
          <w:szCs w:val="22"/>
          <w:lang w:val="es-ES"/>
        </w:rPr>
      </w:pPr>
      <w:r w:rsidRPr="006B59D1">
        <w:rPr>
          <w:rFonts w:ascii="Verdana" w:eastAsia="Calibri" w:hAnsi="Verdana" w:cs="Arial"/>
          <w:noProof/>
          <w:sz w:val="22"/>
          <w:szCs w:val="22"/>
          <w:lang w:val="es-ES"/>
        </w:rPr>
        <w:lastRenderedPageBreak/>
        <w:drawing>
          <wp:inline distT="0" distB="0" distL="0" distR="0" wp14:anchorId="7E4E4C8C" wp14:editId="1CDB9078">
            <wp:extent cx="4782633" cy="1623974"/>
            <wp:effectExtent l="0" t="0" r="0" b="0"/>
            <wp:docPr id="3386663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66340" name=""/>
                    <pic:cNvPicPr/>
                  </pic:nvPicPr>
                  <pic:blipFill>
                    <a:blip r:embed="rId13"/>
                    <a:stretch>
                      <a:fillRect/>
                    </a:stretch>
                  </pic:blipFill>
                  <pic:spPr>
                    <a:xfrm>
                      <a:off x="0" y="0"/>
                      <a:ext cx="4796023" cy="1628521"/>
                    </a:xfrm>
                    <a:prstGeom prst="rect">
                      <a:avLst/>
                    </a:prstGeom>
                  </pic:spPr>
                </pic:pic>
              </a:graphicData>
            </a:graphic>
          </wp:inline>
        </w:drawing>
      </w:r>
    </w:p>
    <w:p w14:paraId="1EBBDC2B" w14:textId="77777777" w:rsidR="00156C4B" w:rsidRPr="006B59D1" w:rsidRDefault="00156C4B" w:rsidP="00156C4B">
      <w:pPr>
        <w:spacing w:before="120" w:line="276" w:lineRule="auto"/>
        <w:ind w:firstLine="708"/>
        <w:jc w:val="both"/>
        <w:rPr>
          <w:rFonts w:ascii="Verdana" w:eastAsia="Calibri" w:hAnsi="Verdana" w:cs="Arial"/>
          <w:sz w:val="22"/>
          <w:szCs w:val="22"/>
        </w:rPr>
      </w:pPr>
      <w:r w:rsidRPr="006B59D1">
        <w:rPr>
          <w:rFonts w:ascii="Verdana" w:eastAsia="Calibri" w:hAnsi="Verdana" w:cs="Arial"/>
          <w:sz w:val="22"/>
          <w:szCs w:val="22"/>
        </w:rPr>
        <w:t>Con todo, debe advertirse que, si bien Colombia Compra Eficiente ha emitido instrumentos que ayudan a las Entidades Estatales a interpretar y aplicar de manera adecuada las disposiciones normativas que regulan el PAA, tal como la “Guía para Elaborar el Plan Anual de Adquisiciones”, a la fecha, en dichas herramientas no se ha referido sobre la “inclusión o exclusión de transferencias de recursos en el PAA”. Lo anterior, en razón a que, los documentos que expide en el marco de sus funciones y/o competencias, procuran la adecuada interpretación y aplicación de las normas que ciñen la elaboración, publicación y actualización del PAA, por lo que, el análisis requerido para resolver problemas específicos en torno a la elaboración del Plan Anual de adquisiciones, debe ser realizado por quienes tengan interés en ello. De esta manera, las afirmaciones aquí realizadas no pueden ser interpretadas como juicios de valor sobre circunstancias concretas relacionadas con los hechos que motivan la consulta.</w:t>
      </w:r>
    </w:p>
    <w:p w14:paraId="27FA10B9" w14:textId="77777777" w:rsidR="00156C4B" w:rsidRPr="006B59D1" w:rsidRDefault="00156C4B" w:rsidP="00156C4B">
      <w:pPr>
        <w:spacing w:before="120" w:line="276" w:lineRule="auto"/>
        <w:ind w:firstLine="709"/>
        <w:jc w:val="both"/>
        <w:rPr>
          <w:rFonts w:ascii="Verdana" w:eastAsia="Calibri" w:hAnsi="Verdana" w:cs="Arial"/>
          <w:sz w:val="22"/>
          <w:szCs w:val="22"/>
        </w:rPr>
      </w:pPr>
      <w:r w:rsidRPr="006B59D1">
        <w:rPr>
          <w:rFonts w:ascii="Verdana" w:eastAsia="Calibri" w:hAnsi="Verdana" w:cs="Arial"/>
          <w:sz w:val="22"/>
          <w:szCs w:val="22"/>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3F605E67" w14:textId="77777777" w:rsidR="00156C4B" w:rsidRPr="006B59D1" w:rsidRDefault="00156C4B" w:rsidP="00156C4B">
      <w:pPr>
        <w:spacing w:line="276" w:lineRule="auto"/>
        <w:ind w:firstLine="709"/>
        <w:jc w:val="both"/>
        <w:rPr>
          <w:rFonts w:ascii="Verdana" w:eastAsia="Calibri" w:hAnsi="Verdana" w:cs="Arial"/>
          <w:sz w:val="22"/>
          <w:szCs w:val="22"/>
        </w:rPr>
      </w:pPr>
    </w:p>
    <w:p w14:paraId="6F125D0C" w14:textId="77777777" w:rsidR="00156C4B" w:rsidRPr="006B59D1" w:rsidRDefault="00156C4B" w:rsidP="00156C4B">
      <w:pPr>
        <w:widowControl w:val="0"/>
        <w:autoSpaceDE w:val="0"/>
        <w:autoSpaceDN w:val="0"/>
        <w:outlineLvl w:val="0"/>
        <w:rPr>
          <w:rFonts w:ascii="Verdana" w:eastAsia="Arial" w:hAnsi="Verdana" w:cs="Arial"/>
          <w:b/>
          <w:bCs/>
          <w:sz w:val="22"/>
          <w:szCs w:val="22"/>
          <w:lang w:val="es-ES"/>
        </w:rPr>
      </w:pPr>
      <w:r w:rsidRPr="006B59D1">
        <w:rPr>
          <w:rFonts w:ascii="Verdana" w:eastAsia="Arial" w:hAnsi="Verdana" w:cs="Arial"/>
          <w:b/>
          <w:bCs/>
          <w:sz w:val="22"/>
          <w:szCs w:val="22"/>
          <w:lang w:val="es-ES"/>
        </w:rPr>
        <w:t>4.Referencias normativas, jurisprudenciales y otras fuentes:</w:t>
      </w:r>
    </w:p>
    <w:p w14:paraId="2E888813"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56C4B" w:rsidRPr="00FE7128" w14:paraId="163DF788" w14:textId="77777777" w:rsidTr="00356DFB">
        <w:trPr>
          <w:trHeight w:val="870"/>
        </w:trPr>
        <w:tc>
          <w:tcPr>
            <w:tcW w:w="8647" w:type="dxa"/>
          </w:tcPr>
          <w:p w14:paraId="46D91E56" w14:textId="77777777" w:rsidR="00156C4B" w:rsidRPr="006B59D1" w:rsidRDefault="00156C4B" w:rsidP="00156C4B">
            <w:pPr>
              <w:widowControl w:val="0"/>
              <w:numPr>
                <w:ilvl w:val="0"/>
                <w:numId w:val="16"/>
              </w:numPr>
              <w:autoSpaceDE w:val="0"/>
              <w:autoSpaceDN w:val="0"/>
              <w:spacing w:line="276" w:lineRule="auto"/>
              <w:contextualSpacing/>
              <w:jc w:val="both"/>
              <w:rPr>
                <w:rFonts w:ascii="Verdana" w:eastAsia="Aptos" w:hAnsi="Verdana" w:cs="Arial"/>
                <w:sz w:val="22"/>
                <w:szCs w:val="22"/>
              </w:rPr>
            </w:pPr>
            <w:r w:rsidRPr="006B59D1">
              <w:rPr>
                <w:rFonts w:ascii="Verdana" w:eastAsia="Calibri" w:hAnsi="Verdana" w:cs="Arial"/>
                <w:sz w:val="22"/>
                <w:szCs w:val="22"/>
                <w:lang w:val="es-ES"/>
              </w:rPr>
              <w:lastRenderedPageBreak/>
              <w:t xml:space="preserve">Decreto 1082 de 2015. Artículo </w:t>
            </w:r>
            <w:r w:rsidRPr="006B59D1">
              <w:rPr>
                <w:rFonts w:ascii="Verdana" w:eastAsia="Calibri" w:hAnsi="Verdana" w:cs="Arial"/>
                <w:kern w:val="2"/>
                <w:sz w:val="22"/>
                <w:szCs w:val="22"/>
                <w14:ligatures w14:val="standardContextual"/>
              </w:rPr>
              <w:t xml:space="preserve">2.2.1.1.1.3.1, 2.2.1.1.1.4.1, </w:t>
            </w:r>
            <w:r w:rsidRPr="006B59D1">
              <w:rPr>
                <w:rFonts w:ascii="Verdana" w:eastAsia="Calibri" w:hAnsi="Verdana" w:cs="Arial"/>
                <w:noProof/>
                <w:sz w:val="22"/>
                <w:szCs w:val="22"/>
                <w:lang w:val="es-ES_tradnl"/>
              </w:rPr>
              <w:t>2.2.1.1.1.4.3 y 2.2.1.1.1.4.4</w:t>
            </w:r>
          </w:p>
          <w:p w14:paraId="126DB67E" w14:textId="77777777" w:rsidR="00156C4B" w:rsidRPr="006B59D1" w:rsidRDefault="00156C4B" w:rsidP="00156C4B">
            <w:pPr>
              <w:widowControl w:val="0"/>
              <w:numPr>
                <w:ilvl w:val="0"/>
                <w:numId w:val="16"/>
              </w:numPr>
              <w:autoSpaceDE w:val="0"/>
              <w:autoSpaceDN w:val="0"/>
              <w:spacing w:line="276" w:lineRule="auto"/>
              <w:contextualSpacing/>
              <w:jc w:val="both"/>
              <w:rPr>
                <w:rFonts w:ascii="Verdana" w:eastAsia="Aptos" w:hAnsi="Verdana" w:cs="Arial"/>
                <w:sz w:val="22"/>
                <w:szCs w:val="22"/>
              </w:rPr>
            </w:pPr>
            <w:r w:rsidRPr="006B59D1">
              <w:rPr>
                <w:rFonts w:ascii="Verdana" w:eastAsia="Calibri" w:hAnsi="Verdana" w:cs="Arial"/>
                <w:kern w:val="2"/>
                <w:sz w:val="22"/>
                <w:szCs w:val="22"/>
                <w14:ligatures w14:val="standardContextual"/>
              </w:rPr>
              <w:t>Ley 1474 de 2011. Artículo 74</w:t>
            </w:r>
          </w:p>
          <w:p w14:paraId="15FEACCF" w14:textId="77777777" w:rsidR="00156C4B" w:rsidRPr="006B59D1" w:rsidRDefault="00156C4B" w:rsidP="00156C4B">
            <w:pPr>
              <w:widowControl w:val="0"/>
              <w:numPr>
                <w:ilvl w:val="0"/>
                <w:numId w:val="16"/>
              </w:numPr>
              <w:autoSpaceDE w:val="0"/>
              <w:autoSpaceDN w:val="0"/>
              <w:spacing w:line="276" w:lineRule="auto"/>
              <w:contextualSpacing/>
              <w:jc w:val="both"/>
              <w:rPr>
                <w:rFonts w:ascii="Verdana" w:eastAsia="Aptos" w:hAnsi="Verdana" w:cs="Arial"/>
                <w:sz w:val="22"/>
                <w:szCs w:val="22"/>
              </w:rPr>
            </w:pPr>
            <w:r w:rsidRPr="006B59D1">
              <w:rPr>
                <w:rFonts w:ascii="Verdana" w:eastAsia="Calibri" w:hAnsi="Verdana" w:cs="Arial"/>
                <w:kern w:val="2"/>
                <w:sz w:val="22"/>
                <w:szCs w:val="22"/>
                <w14:ligatures w14:val="standardContextual"/>
              </w:rPr>
              <w:t>Decreto 1081 de 2015. Artículo 2.1.1.2.1.10</w:t>
            </w:r>
          </w:p>
          <w:p w14:paraId="66383B0B" w14:textId="77777777" w:rsidR="00156C4B" w:rsidRPr="00FE7128" w:rsidRDefault="00156C4B" w:rsidP="00156C4B">
            <w:pPr>
              <w:pStyle w:val="Prrafodelista"/>
              <w:numPr>
                <w:ilvl w:val="0"/>
                <w:numId w:val="16"/>
              </w:numPr>
              <w:spacing w:line="276" w:lineRule="auto"/>
              <w:jc w:val="both"/>
              <w:rPr>
                <w:rFonts w:ascii="Verdana" w:eastAsia="Arial MT" w:hAnsi="Verdana" w:cs="Arial"/>
                <w:lang w:eastAsia="es-ES" w:bidi="es-ES"/>
              </w:rPr>
            </w:pPr>
            <w:r w:rsidRPr="00FE7128">
              <w:rPr>
                <w:rFonts w:ascii="Verdana" w:eastAsia="Calibri" w:hAnsi="Verdana" w:cs="Arial"/>
                <w:kern w:val="2"/>
                <w14:ligatures w14:val="standardContextual"/>
              </w:rPr>
              <w:t xml:space="preserve">Guía para Elaborar el Plan Anual de Adquisiciones. Disponible </w:t>
            </w:r>
            <w:hyperlink r:id="rId14" w:history="1">
              <w:r w:rsidRPr="00FE7128">
                <w:rPr>
                  <w:rFonts w:ascii="Verdana" w:eastAsia="Calibri" w:hAnsi="Verdana" w:cs="Arial"/>
                  <w:color w:val="467886"/>
                  <w:kern w:val="2"/>
                  <w:u w:val="single"/>
                  <w14:ligatures w14:val="standardContextual"/>
                </w:rPr>
                <w:t>aquí</w:t>
              </w:r>
            </w:hyperlink>
          </w:p>
        </w:tc>
      </w:tr>
    </w:tbl>
    <w:p w14:paraId="624DCA69"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rPr>
      </w:pPr>
    </w:p>
    <w:p w14:paraId="5D5B0C36" w14:textId="77777777" w:rsidR="00156C4B" w:rsidRPr="006B59D1" w:rsidRDefault="00156C4B" w:rsidP="00156C4B">
      <w:pPr>
        <w:widowControl w:val="0"/>
        <w:autoSpaceDE w:val="0"/>
        <w:autoSpaceDN w:val="0"/>
        <w:spacing w:before="1"/>
        <w:outlineLvl w:val="0"/>
        <w:rPr>
          <w:rFonts w:ascii="Verdana" w:eastAsia="Arial" w:hAnsi="Verdana" w:cs="Arial"/>
          <w:b/>
          <w:bCs/>
          <w:sz w:val="22"/>
          <w:szCs w:val="22"/>
          <w:lang w:val="es-ES"/>
        </w:rPr>
      </w:pPr>
      <w:r w:rsidRPr="006B59D1">
        <w:rPr>
          <w:rFonts w:ascii="Verdana" w:eastAsia="Arial" w:hAnsi="Verdana" w:cs="Arial"/>
          <w:b/>
          <w:bCs/>
          <w:sz w:val="22"/>
          <w:szCs w:val="22"/>
          <w:lang w:val="es-ES"/>
        </w:rPr>
        <w:t>5. Doctrina de la Agencia Nacional de Contratación Pública:</w:t>
      </w:r>
    </w:p>
    <w:p w14:paraId="08F06D4E"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rPr>
      </w:pPr>
    </w:p>
    <w:p w14:paraId="0A9DFC37"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shd w:val="clear" w:color="auto" w:fill="FFFFFF"/>
          <w:lang w:val="es-ES"/>
        </w:rPr>
      </w:pPr>
      <w:r w:rsidRPr="006B59D1">
        <w:rPr>
          <w:rFonts w:ascii="Verdana" w:eastAsia="Aptos" w:hAnsi="Verdana" w:cs="Arial"/>
          <w:sz w:val="22"/>
          <w:szCs w:val="22"/>
          <w:shd w:val="clear" w:color="auto" w:fill="FFFFFF"/>
          <w:lang w:val="es-ES"/>
        </w:rPr>
        <w:t xml:space="preserve">Sobre el marco jurídico del PAA, esta Subdirección se ha referido en los Conceptos </w:t>
      </w:r>
      <w:r w:rsidRPr="006B59D1">
        <w:rPr>
          <w:rFonts w:ascii="Verdana" w:eastAsia="Calibri" w:hAnsi="Verdana" w:cs="Arial"/>
          <w:sz w:val="22"/>
          <w:szCs w:val="22"/>
          <w:lang w:val="es-ES_tradnl" w:eastAsia="es-MX"/>
        </w:rPr>
        <w:t>C-257 de 3 de junio de 2021, C-258 de 3 de junio de 2021, C-345 de 13 de julio de 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w:t>
      </w:r>
      <w:r w:rsidRPr="006B59D1">
        <w:rPr>
          <w:rFonts w:ascii="Verdana" w:eastAsia="Aptos" w:hAnsi="Verdana" w:cs="Arial"/>
          <w:sz w:val="22"/>
          <w:szCs w:val="22"/>
          <w:shd w:val="clear" w:color="auto" w:fill="FFFFFF"/>
          <w:lang w:val="es-ES"/>
        </w:rPr>
        <w:t xml:space="preserve">, C-887 del 20 de diciembre de 2024, C-934 del 30 de diciembre de 2024, C-1015 del 30 de diciembre de 2024, C-023 del 29 de enero de 2025,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6B59D1">
          <w:rPr>
            <w:rFonts w:ascii="Verdana" w:eastAsia="Aptos" w:hAnsi="Verdana" w:cs="Arial"/>
            <w:color w:val="0000FF"/>
            <w:sz w:val="22"/>
            <w:szCs w:val="22"/>
            <w:u w:val="single"/>
            <w:shd w:val="clear" w:color="auto" w:fill="FFFFFF"/>
            <w:lang w:val="es-ES"/>
          </w:rPr>
          <w:t>https://relatoria.colombiacompra.gov.co/</w:t>
        </w:r>
      </w:hyperlink>
      <w:r w:rsidRPr="006B59D1">
        <w:rPr>
          <w:rFonts w:ascii="Verdana" w:eastAsia="Aptos" w:hAnsi="Verdana" w:cs="Arial"/>
          <w:sz w:val="22"/>
          <w:szCs w:val="22"/>
          <w:shd w:val="clear" w:color="auto" w:fill="FFFFFF"/>
          <w:lang w:val="es-ES"/>
        </w:rPr>
        <w:t xml:space="preserve">. </w:t>
      </w:r>
    </w:p>
    <w:p w14:paraId="69E18A44" w14:textId="77777777" w:rsidR="00156C4B" w:rsidRPr="006B59D1" w:rsidRDefault="00156C4B" w:rsidP="00156C4B">
      <w:pPr>
        <w:spacing w:before="120"/>
        <w:ind w:firstLine="708"/>
        <w:jc w:val="both"/>
        <w:rPr>
          <w:rFonts w:ascii="Verdana" w:hAnsi="Verdana"/>
          <w:color w:val="000000"/>
          <w:sz w:val="22"/>
          <w:szCs w:val="22"/>
          <w:lang w:eastAsia="es-CO"/>
        </w:rPr>
      </w:pPr>
      <w:r w:rsidRPr="006B59D1">
        <w:rPr>
          <w:rFonts w:ascii="Verdana" w:hAnsi="Verdana"/>
          <w:color w:val="000000"/>
          <w:sz w:val="22"/>
          <w:szCs w:val="22"/>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B59D1">
        <w:rPr>
          <w:rFonts w:ascii="Verdana" w:hAnsi="Verdana"/>
          <w:b/>
          <w:bCs/>
          <w:color w:val="000000"/>
          <w:sz w:val="22"/>
          <w:szCs w:val="22"/>
          <w:lang w:eastAsia="es-CO"/>
        </w:rPr>
        <w:t>Guía para la Exigencia y Constitución de Garantías en los Procesos de Contratación</w:t>
      </w:r>
      <w:r w:rsidRPr="006B59D1">
        <w:rPr>
          <w:rFonts w:ascii="Verdana" w:hAnsi="Verdana"/>
          <w:color w:val="000000"/>
          <w:sz w:val="22"/>
          <w:szCs w:val="22"/>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gtFrame="_blank" w:tooltip="Dirección URL original: https://www.colombiacompra.gov.co/archivos/manual/guia-de-garantias-en-procesos-de-contratacion. Haga clic o pulse si confía en este vínculo." w:history="1">
        <w:r w:rsidRPr="006B59D1">
          <w:rPr>
            <w:rStyle w:val="Hipervnculo"/>
            <w:rFonts w:ascii="Verdana" w:hAnsi="Verdana"/>
            <w:sz w:val="22"/>
            <w:szCs w:val="22"/>
            <w:lang w:eastAsia="es-CO"/>
          </w:rPr>
          <w:t>https://www.colombiacompra.gov.co/archivos/manual/guia-de-garantias-en-procesos-de-contratacion</w:t>
        </w:r>
      </w:hyperlink>
    </w:p>
    <w:p w14:paraId="0C824D11" w14:textId="77777777" w:rsidR="00156C4B" w:rsidRPr="006B59D1" w:rsidRDefault="00156C4B" w:rsidP="00156C4B">
      <w:pPr>
        <w:spacing w:before="120"/>
        <w:ind w:firstLine="708"/>
        <w:jc w:val="both"/>
        <w:rPr>
          <w:rFonts w:ascii="Verdana" w:hAnsi="Verdana"/>
          <w:color w:val="000000"/>
          <w:sz w:val="22"/>
          <w:szCs w:val="22"/>
          <w:lang w:eastAsia="es-CO"/>
        </w:rPr>
      </w:pPr>
      <w:r w:rsidRPr="006B59D1">
        <w:rPr>
          <w:rFonts w:ascii="Verdana" w:hAnsi="Verdana"/>
          <w:color w:val="000000"/>
          <w:sz w:val="22"/>
          <w:szCs w:val="22"/>
          <w:lang w:eastAsia="es-CO"/>
        </w:rPr>
        <w:lastRenderedPageBreak/>
        <w:t>De otro lado, te contamos que el Decreto 287 del 19 de marzo de 2026 sustituyó los artículos 2.2.1.2.4.2.6., 2.2.1.2.4.2.7. y 2.2.1.2.4.2.8. del Decreto 1082 de 2015 y estructuró el </w:t>
      </w:r>
      <w:r w:rsidRPr="006B59D1">
        <w:rPr>
          <w:rFonts w:ascii="Verdana" w:hAnsi="Verdana"/>
          <w:b/>
          <w:bCs/>
          <w:color w:val="000000"/>
          <w:sz w:val="22"/>
          <w:szCs w:val="22"/>
          <w:lang w:eastAsia="es-CO"/>
        </w:rPr>
        <w:t>Sistema Integral de Preferencias en favor de las personas con discapacidad</w:t>
      </w:r>
      <w:r w:rsidRPr="006B59D1">
        <w:rPr>
          <w:rFonts w:ascii="Verdana" w:hAnsi="Verdana"/>
          <w:color w:val="000000"/>
          <w:sz w:val="22"/>
          <w:szCs w:val="22"/>
          <w:lang w:eastAsia="es-CO"/>
        </w:rPr>
        <w:t>, en cumplimiento del artículo 13 de la Ley Estatutaria 1618 de 2013. Para orientar su aplicación, esta Agencia expidió la </w:t>
      </w:r>
      <w:r w:rsidRPr="006B59D1">
        <w:rPr>
          <w:rFonts w:ascii="Verdana" w:hAnsi="Verdana"/>
          <w:b/>
          <w:bCs/>
          <w:color w:val="000000"/>
          <w:sz w:val="22"/>
          <w:szCs w:val="22"/>
          <w:lang w:eastAsia="es-CO"/>
        </w:rPr>
        <w:t>Circular Externa 003 del 12 de mayo de 2026, </w:t>
      </w:r>
      <w:r w:rsidRPr="006B59D1">
        <w:rPr>
          <w:rFonts w:ascii="Verdana" w:hAnsi="Verdana"/>
          <w:color w:val="000000"/>
          <w:sz w:val="22"/>
          <w:szCs w:val="22"/>
          <w:lang w:eastAsia="es-CO"/>
        </w:rPr>
        <w:t>en la que precisa quiénes son los beneficiarios, las cinco medidas que integran el sistema y su obligatoriedad según la modalidad de selección, y el régimen de transición aplicable a los procesos en curso. Consúltala aquí: </w:t>
      </w:r>
      <w:hyperlink r:id="rId17" w:tgtFrame="_blank" w:tooltip="Dirección URL original: https://www.colombiacompra.gov.co/archivos/circular/circular-externa-003-de-2026. Haga clic o pulse si confía en este vínculo." w:history="1">
        <w:r w:rsidRPr="006B59D1">
          <w:rPr>
            <w:rStyle w:val="Hipervnculo"/>
            <w:rFonts w:ascii="Verdana" w:hAnsi="Verdana"/>
            <w:sz w:val="22"/>
            <w:szCs w:val="22"/>
            <w:lang w:eastAsia="es-CO"/>
          </w:rPr>
          <w:t>https://www.colombiacompra.gov.co/archivos/circular/circular-externa-003-de-2026</w:t>
        </w:r>
      </w:hyperlink>
    </w:p>
    <w:p w14:paraId="7DD32A09" w14:textId="77777777" w:rsidR="00156C4B" w:rsidRPr="006B59D1" w:rsidRDefault="00156C4B" w:rsidP="00156C4B">
      <w:pPr>
        <w:spacing w:before="120"/>
        <w:ind w:firstLine="708"/>
        <w:jc w:val="both"/>
        <w:rPr>
          <w:rFonts w:ascii="Verdana" w:hAnsi="Verdana"/>
          <w:color w:val="000000"/>
          <w:sz w:val="22"/>
          <w:szCs w:val="22"/>
          <w:lang w:eastAsia="es-CO"/>
        </w:rPr>
      </w:pPr>
      <w:r w:rsidRPr="006B59D1">
        <w:rPr>
          <w:rFonts w:ascii="Verdana" w:hAnsi="Verdana"/>
          <w:color w:val="000000"/>
          <w:sz w:val="22"/>
          <w:szCs w:val="22"/>
          <w:lang w:eastAsia="es-CO"/>
        </w:rPr>
        <w:t>Recuerda también que la</w:t>
      </w:r>
      <w:r w:rsidRPr="006B59D1">
        <w:rPr>
          <w:rFonts w:ascii="Verdana" w:hAnsi="Verdana"/>
          <w:b/>
          <w:bCs/>
          <w:color w:val="000000"/>
          <w:sz w:val="22"/>
          <w:szCs w:val="22"/>
          <w:lang w:eastAsia="es-CO"/>
        </w:rPr>
        <w:t> información sobre sanciones e inhabilidades </w:t>
      </w:r>
      <w:r w:rsidRPr="006B59D1">
        <w:rPr>
          <w:rFonts w:ascii="Verdana" w:hAnsi="Verdana"/>
          <w:color w:val="000000"/>
          <w:sz w:val="22"/>
          <w:szCs w:val="22"/>
          <w:lang w:eastAsia="es-CO"/>
        </w:rPr>
        <w:t>solo cumple su función preventiva si llega oportunamente a los registros públicos. Sobre este deber, esta Agencia expidió la </w:t>
      </w:r>
      <w:r w:rsidRPr="006B59D1">
        <w:rPr>
          <w:rFonts w:ascii="Verdana" w:hAnsi="Verdana"/>
          <w:b/>
          <w:bCs/>
          <w:color w:val="000000"/>
          <w:sz w:val="22"/>
          <w:szCs w:val="22"/>
          <w:lang w:eastAsia="es-CO"/>
        </w:rPr>
        <w:t>Circular Externa 002 del 5 de mayo de 2026,</w:t>
      </w:r>
      <w:r w:rsidRPr="006B59D1">
        <w:rPr>
          <w:rFonts w:ascii="Verdana" w:hAnsi="Verdana"/>
          <w:color w:val="000000"/>
          <w:sz w:val="22"/>
          <w:szCs w:val="22"/>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gtFrame="_blank" w:tooltip="Dirección URL original: https://www.colombiacompra.gov.co/archivos/circular/circular-externa-002-de-2026. Haga clic o pulse si confía en este vínculo." w:history="1">
        <w:r w:rsidRPr="006B59D1">
          <w:rPr>
            <w:rStyle w:val="Hipervnculo"/>
            <w:rFonts w:ascii="Verdana" w:hAnsi="Verdana"/>
            <w:sz w:val="22"/>
            <w:szCs w:val="22"/>
            <w:lang w:eastAsia="es-CO"/>
          </w:rPr>
          <w:t>https://www.colombiacompra.gov.co/archivos/circular/circular-externa-002-de-2026</w:t>
        </w:r>
      </w:hyperlink>
    </w:p>
    <w:p w14:paraId="2900A98F" w14:textId="77777777" w:rsidR="00156C4B" w:rsidRPr="006B59D1" w:rsidRDefault="00156C4B" w:rsidP="00156C4B">
      <w:pPr>
        <w:spacing w:before="120"/>
        <w:ind w:firstLine="708"/>
        <w:jc w:val="both"/>
        <w:rPr>
          <w:rFonts w:ascii="Verdana" w:hAnsi="Verdana"/>
          <w:color w:val="000000"/>
          <w:sz w:val="22"/>
          <w:szCs w:val="22"/>
          <w:lang w:eastAsia="es-CO"/>
        </w:rPr>
      </w:pPr>
      <w:r w:rsidRPr="006B59D1">
        <w:rPr>
          <w:rFonts w:ascii="Verdana" w:hAnsi="Verdana"/>
          <w:color w:val="000000"/>
          <w:sz w:val="22"/>
          <w:szCs w:val="22"/>
          <w:lang w:eastAsia="es-CO"/>
        </w:rPr>
        <w:t>De otra parte, si quieres seguir de cerca la actividad de la Agencia, la tercera edición de 2026 del</w:t>
      </w:r>
      <w:r w:rsidRPr="006B59D1">
        <w:rPr>
          <w:rFonts w:ascii="Verdana" w:hAnsi="Verdana"/>
          <w:b/>
          <w:bCs/>
          <w:color w:val="000000"/>
          <w:sz w:val="22"/>
          <w:szCs w:val="22"/>
          <w:lang w:eastAsia="es-CO"/>
        </w:rPr>
        <w:t> Radar de la Compra Pública</w:t>
      </w:r>
      <w:r w:rsidRPr="006B59D1">
        <w:rPr>
          <w:rFonts w:ascii="Verdana" w:hAnsi="Verdana"/>
          <w:color w:val="000000"/>
          <w:sz w:val="22"/>
          <w:szCs w:val="22"/>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history="1">
        <w:r w:rsidRPr="006B59D1">
          <w:rPr>
            <w:rStyle w:val="Hipervnculo"/>
            <w:rFonts w:ascii="Verdana" w:hAnsi="Verdana"/>
            <w:sz w:val="22"/>
            <w:szCs w:val="22"/>
            <w:lang w:eastAsia="es-CO"/>
          </w:rPr>
          <w:t>https://www.colombiacompra.gov.co/archivos/boletin/boletin-edicion-n-3-de-2026-radar-de-la-compra-publica</w:t>
        </w:r>
      </w:hyperlink>
      <w:r w:rsidRPr="006B59D1">
        <w:rPr>
          <w:rFonts w:ascii="Verdana" w:hAnsi="Verdana"/>
          <w:color w:val="000000"/>
          <w:sz w:val="22"/>
          <w:szCs w:val="22"/>
          <w:lang w:eastAsia="es-CO"/>
        </w:rPr>
        <w:t>"</w:t>
      </w:r>
    </w:p>
    <w:p w14:paraId="1975AA65" w14:textId="77777777" w:rsidR="00156C4B" w:rsidRPr="006B59D1" w:rsidRDefault="00156C4B" w:rsidP="00156C4B">
      <w:pPr>
        <w:jc w:val="both"/>
        <w:rPr>
          <w:rFonts w:ascii="Verdana" w:hAnsi="Verdana"/>
          <w:sz w:val="22"/>
          <w:szCs w:val="22"/>
        </w:rPr>
      </w:pPr>
      <w:r w:rsidRPr="006B59D1">
        <w:rPr>
          <w:rFonts w:ascii="Verdana" w:hAnsi="Verdana"/>
          <w:sz w:val="22"/>
          <w:szCs w:val="22"/>
        </w:rPr>
        <w:t xml:space="preserve">Por último, lo invitamos a seguirnos en las redes sociales en las cuales se difunde información institucional: </w:t>
      </w:r>
    </w:p>
    <w:p w14:paraId="52169731"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shd w:val="clear" w:color="auto" w:fill="FFFFFF"/>
          <w:lang w:val="es-ES"/>
        </w:rPr>
      </w:pPr>
    </w:p>
    <w:p w14:paraId="47B31CF9" w14:textId="77777777" w:rsidR="00156C4B" w:rsidRPr="006B59D1" w:rsidRDefault="00156C4B" w:rsidP="00156C4B">
      <w:pPr>
        <w:jc w:val="both"/>
        <w:rPr>
          <w:rFonts w:ascii="Verdana" w:eastAsia="Aptos" w:hAnsi="Verdana"/>
          <w:sz w:val="22"/>
          <w:szCs w:val="22"/>
        </w:rPr>
      </w:pPr>
      <w:r w:rsidRPr="006B59D1">
        <w:rPr>
          <w:rFonts w:ascii="Verdana" w:eastAsia="Aptos" w:hAnsi="Verdana"/>
          <w:sz w:val="22"/>
          <w:szCs w:val="22"/>
        </w:rPr>
        <w:t xml:space="preserve">Por último, lo invitamos a seguirnos en las redes sociales en las cuales se difunde información institucional: </w:t>
      </w:r>
    </w:p>
    <w:p w14:paraId="3D6B650F" w14:textId="77777777" w:rsidR="00156C4B" w:rsidRPr="006B59D1" w:rsidRDefault="00156C4B" w:rsidP="00156C4B">
      <w:pPr>
        <w:jc w:val="both"/>
        <w:rPr>
          <w:rFonts w:ascii="Verdana" w:eastAsia="Aptos" w:hAnsi="Verdana"/>
          <w:sz w:val="22"/>
          <w:szCs w:val="22"/>
        </w:rPr>
      </w:pPr>
    </w:p>
    <w:p w14:paraId="5C10B9CD" w14:textId="77777777" w:rsidR="00156C4B" w:rsidRPr="006B59D1" w:rsidRDefault="00156C4B" w:rsidP="00156C4B">
      <w:pPr>
        <w:jc w:val="both"/>
        <w:rPr>
          <w:rFonts w:ascii="Verdana" w:eastAsia="Aptos" w:hAnsi="Verdana"/>
          <w:sz w:val="22"/>
          <w:szCs w:val="22"/>
        </w:rPr>
      </w:pPr>
      <w:r w:rsidRPr="006B59D1">
        <w:rPr>
          <w:rFonts w:ascii="Verdana" w:eastAsia="Aptos" w:hAnsi="Verdana"/>
          <w:sz w:val="22"/>
          <w:szCs w:val="22"/>
        </w:rPr>
        <w:t xml:space="preserve">Twitter: </w:t>
      </w:r>
      <w:r w:rsidRPr="006B59D1">
        <w:rPr>
          <w:rFonts w:ascii="Verdana" w:eastAsia="Aptos" w:hAnsi="Verdana" w:cs="Arial"/>
          <w:color w:val="0000FF"/>
          <w:sz w:val="22"/>
          <w:szCs w:val="22"/>
          <w:u w:val="single"/>
          <w:shd w:val="clear" w:color="auto" w:fill="FFFFFF"/>
          <w:lang w:val="es-ES"/>
        </w:rPr>
        <w:t>@colombiacompra</w:t>
      </w:r>
      <w:r w:rsidRPr="006B59D1">
        <w:rPr>
          <w:rFonts w:ascii="Verdana" w:eastAsia="Aptos" w:hAnsi="Verdana"/>
          <w:color w:val="156082"/>
          <w:sz w:val="22"/>
          <w:szCs w:val="22"/>
        </w:rPr>
        <w:t xml:space="preserve"> </w:t>
      </w:r>
    </w:p>
    <w:p w14:paraId="08B4E703" w14:textId="77777777" w:rsidR="00156C4B" w:rsidRPr="006B59D1" w:rsidRDefault="00156C4B" w:rsidP="00156C4B">
      <w:pPr>
        <w:jc w:val="both"/>
        <w:rPr>
          <w:rFonts w:ascii="Verdana" w:eastAsia="Aptos" w:hAnsi="Verdana"/>
          <w:sz w:val="22"/>
          <w:szCs w:val="22"/>
        </w:rPr>
      </w:pPr>
      <w:r w:rsidRPr="006B59D1">
        <w:rPr>
          <w:rFonts w:ascii="Verdana" w:eastAsia="Aptos" w:hAnsi="Verdana"/>
          <w:sz w:val="22"/>
          <w:szCs w:val="22"/>
        </w:rPr>
        <w:t xml:space="preserve">Facebook: </w:t>
      </w:r>
      <w:proofErr w:type="spellStart"/>
      <w:r w:rsidRPr="006B59D1">
        <w:rPr>
          <w:rFonts w:ascii="Verdana" w:eastAsia="Aptos" w:hAnsi="Verdana" w:cs="Arial"/>
          <w:color w:val="0000FF"/>
          <w:sz w:val="22"/>
          <w:szCs w:val="22"/>
          <w:u w:val="single"/>
          <w:shd w:val="clear" w:color="auto" w:fill="FFFFFF"/>
          <w:lang w:val="es-ES"/>
        </w:rPr>
        <w:t>ColombiaCompraEficiente</w:t>
      </w:r>
      <w:proofErr w:type="spellEnd"/>
    </w:p>
    <w:p w14:paraId="1F0F0308" w14:textId="77777777" w:rsidR="00156C4B" w:rsidRPr="006B59D1" w:rsidRDefault="00156C4B" w:rsidP="00156C4B">
      <w:pPr>
        <w:jc w:val="both"/>
        <w:rPr>
          <w:rFonts w:ascii="Verdana" w:eastAsia="Aptos" w:hAnsi="Verdana"/>
          <w:sz w:val="22"/>
          <w:szCs w:val="22"/>
        </w:rPr>
      </w:pPr>
      <w:r w:rsidRPr="006B59D1">
        <w:rPr>
          <w:rFonts w:ascii="Verdana" w:eastAsia="Aptos" w:hAnsi="Verdana"/>
          <w:sz w:val="22"/>
          <w:szCs w:val="22"/>
        </w:rPr>
        <w:t xml:space="preserve">LinkedIn: </w:t>
      </w:r>
      <w:r w:rsidRPr="006B59D1">
        <w:rPr>
          <w:rFonts w:ascii="Verdana" w:eastAsia="Aptos" w:hAnsi="Verdana" w:cs="Arial"/>
          <w:color w:val="0000FF"/>
          <w:sz w:val="22"/>
          <w:szCs w:val="22"/>
          <w:u w:val="single"/>
          <w:shd w:val="clear" w:color="auto" w:fill="FFFFFF"/>
          <w:lang w:val="es-ES"/>
        </w:rPr>
        <w:t>Agencia Nacional de Contratación Pública - Colombia Compra Eficiente</w:t>
      </w:r>
      <w:r w:rsidRPr="006B59D1">
        <w:rPr>
          <w:rFonts w:ascii="Verdana" w:eastAsia="Aptos" w:hAnsi="Verdana"/>
          <w:color w:val="156082"/>
          <w:sz w:val="22"/>
          <w:szCs w:val="22"/>
        </w:rPr>
        <w:t xml:space="preserve"> </w:t>
      </w:r>
      <w:r w:rsidRPr="006B59D1">
        <w:rPr>
          <w:rFonts w:ascii="Verdana" w:eastAsia="Aptos" w:hAnsi="Verdana"/>
          <w:sz w:val="22"/>
          <w:szCs w:val="22"/>
        </w:rPr>
        <w:t xml:space="preserve">Instagram: </w:t>
      </w:r>
      <w:r w:rsidRPr="006B59D1">
        <w:rPr>
          <w:rFonts w:ascii="Verdana" w:eastAsia="Aptos" w:hAnsi="Verdana" w:cs="Arial"/>
          <w:color w:val="0000FF"/>
          <w:sz w:val="22"/>
          <w:szCs w:val="22"/>
          <w:u w:val="single"/>
          <w:shd w:val="clear" w:color="auto" w:fill="FFFFFF"/>
          <w:lang w:val="es-ES"/>
        </w:rPr>
        <w:t>@colombiacompraeficiente_cce</w:t>
      </w:r>
    </w:p>
    <w:p w14:paraId="1DF41270"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rPr>
      </w:pPr>
    </w:p>
    <w:p w14:paraId="377425EF"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lang w:val="es-ES_tradnl"/>
        </w:rPr>
      </w:pPr>
      <w:r w:rsidRPr="006B59D1">
        <w:rPr>
          <w:rFonts w:ascii="Verdana" w:eastAsia="Aptos" w:hAnsi="Verdana" w:cs="Arial"/>
          <w:sz w:val="22"/>
          <w:szCs w:val="22"/>
        </w:rPr>
        <w:lastRenderedPageBreak/>
        <w:t xml:space="preserve">Este concepto tiene el alcance previsto en el artículo 28 del Código de Procedimiento Administrativo y de lo Contencioso Administrativo </w:t>
      </w:r>
      <w:r w:rsidRPr="006B59D1">
        <w:rPr>
          <w:rFonts w:ascii="Verdana" w:eastAsia="Aptos" w:hAnsi="Verdana" w:cs="Arial"/>
          <w:sz w:val="22"/>
          <w:szCs w:val="22"/>
          <w:lang w:val="es-ES_tradnl"/>
        </w:rPr>
        <w:t>y las expresiones aquí utilizadas con mayúscula inicial deben ser entendidas con el significado que les otorga el artículo 2.2.1.1.1.3.1. del Decreto 1082 de 2015.</w:t>
      </w:r>
    </w:p>
    <w:p w14:paraId="7DE01418" w14:textId="77777777" w:rsidR="00156C4B" w:rsidRPr="006B59D1" w:rsidRDefault="00156C4B" w:rsidP="00156C4B">
      <w:pPr>
        <w:widowControl w:val="0"/>
        <w:autoSpaceDE w:val="0"/>
        <w:autoSpaceDN w:val="0"/>
        <w:spacing w:line="276" w:lineRule="auto"/>
        <w:jc w:val="both"/>
        <w:rPr>
          <w:rFonts w:ascii="Verdana" w:eastAsia="Aptos" w:hAnsi="Verdana" w:cs="Arial"/>
          <w:sz w:val="22"/>
          <w:szCs w:val="22"/>
        </w:rPr>
      </w:pPr>
    </w:p>
    <w:p w14:paraId="186FC77F" w14:textId="77777777" w:rsidR="00156C4B" w:rsidRPr="006B59D1" w:rsidRDefault="00156C4B" w:rsidP="00156C4B">
      <w:pPr>
        <w:rPr>
          <w:rFonts w:ascii="Verdana" w:eastAsia="Aptos" w:hAnsi="Verdana" w:cs="Arial"/>
          <w:sz w:val="22"/>
          <w:szCs w:val="22"/>
          <w:lang w:eastAsia="es-CO"/>
        </w:rPr>
      </w:pPr>
      <w:r w:rsidRPr="006B59D1">
        <w:rPr>
          <w:rFonts w:ascii="Verdana" w:hAnsi="Verdana" w:cs="Arial"/>
          <w:sz w:val="22"/>
          <w:szCs w:val="22"/>
          <w:lang w:eastAsia="es-CO"/>
        </w:rPr>
        <w:t>Atentamente,</w:t>
      </w:r>
      <w:r w:rsidRPr="006B59D1">
        <w:rPr>
          <w:rFonts w:ascii="Verdana" w:eastAsia="Aptos" w:hAnsi="Verdana" w:cs="Arial"/>
          <w:sz w:val="22"/>
          <w:szCs w:val="22"/>
          <w:lang w:eastAsia="es-CO"/>
        </w:rPr>
        <w:t xml:space="preserve"> </w:t>
      </w:r>
    </w:p>
    <w:p w14:paraId="13450079" w14:textId="77777777" w:rsidR="00156C4B" w:rsidRPr="006B59D1" w:rsidRDefault="00156C4B" w:rsidP="00156C4B">
      <w:pPr>
        <w:spacing w:line="276" w:lineRule="auto"/>
        <w:rPr>
          <w:rFonts w:ascii="Verdana" w:hAnsi="Verdana" w:cs="Arial"/>
          <w:sz w:val="22"/>
          <w:szCs w:val="22"/>
          <w:lang w:val="es-ES_tradnl" w:eastAsia="es-CO"/>
        </w:rPr>
      </w:pPr>
    </w:p>
    <w:p w14:paraId="241EC798" w14:textId="01A1E629" w:rsidR="00156C4B" w:rsidRPr="001731FC" w:rsidRDefault="0062464A" w:rsidP="00156C4B">
      <w:pPr>
        <w:spacing w:line="276" w:lineRule="auto"/>
        <w:jc w:val="center"/>
        <w:rPr>
          <w:rFonts w:ascii="Verdana" w:eastAsia="Aptos" w:hAnsi="Verdana" w:cs="Arial"/>
          <w:lang w:val="es-ES_tradnl" w:eastAsia="es-CO"/>
        </w:rPr>
      </w:pPr>
      <w:r>
        <w:rPr>
          <w:noProof/>
        </w:rPr>
        <w:drawing>
          <wp:inline distT="0" distB="0" distL="0" distR="0" wp14:anchorId="3665D98B" wp14:editId="6BC1B74D">
            <wp:extent cx="2855595" cy="1069975"/>
            <wp:effectExtent l="0" t="0" r="1905" b="0"/>
            <wp:docPr id="169365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5595" cy="106997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156C4B" w:rsidRPr="001731FC" w14:paraId="7FBA1306" w14:textId="77777777" w:rsidTr="00356DFB">
        <w:trPr>
          <w:trHeight w:val="286"/>
        </w:trPr>
        <w:tc>
          <w:tcPr>
            <w:tcW w:w="901" w:type="dxa"/>
            <w:vAlign w:val="center"/>
            <w:hideMark/>
          </w:tcPr>
          <w:p w14:paraId="4BDBC9BD" w14:textId="77777777" w:rsidR="00156C4B" w:rsidRPr="001731FC" w:rsidRDefault="00156C4B" w:rsidP="00356DFB">
            <w:pPr>
              <w:rPr>
                <w:rFonts w:ascii="Verdana" w:eastAsia="Aptos" w:hAnsi="Verdana" w:cs="Arial"/>
                <w:sz w:val="14"/>
                <w:szCs w:val="14"/>
                <w:lang w:eastAsia="es-ES"/>
              </w:rPr>
            </w:pPr>
            <w:r w:rsidRPr="001731FC">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9D7485A" w14:textId="77777777" w:rsidR="00156C4B" w:rsidRPr="001731FC" w:rsidRDefault="00156C4B" w:rsidP="00356DFB">
            <w:pPr>
              <w:rPr>
                <w:rFonts w:ascii="Verdana" w:eastAsia="Aptos" w:hAnsi="Verdana" w:cs="Arial"/>
                <w:sz w:val="14"/>
                <w:szCs w:val="14"/>
                <w:lang w:eastAsia="es-ES"/>
              </w:rPr>
            </w:pPr>
            <w:r w:rsidRPr="001731FC">
              <w:rPr>
                <w:rFonts w:ascii="Verdana" w:eastAsia="Aptos" w:hAnsi="Verdana" w:cs="Arial"/>
                <w:sz w:val="14"/>
                <w:szCs w:val="14"/>
                <w:lang w:eastAsia="es-ES"/>
              </w:rPr>
              <w:t>Nasly Yeana Mosquera Rivas</w:t>
            </w:r>
          </w:p>
          <w:p w14:paraId="62FF85BA" w14:textId="77777777" w:rsidR="00156C4B" w:rsidRPr="001731FC" w:rsidRDefault="00156C4B" w:rsidP="00356DFB">
            <w:pPr>
              <w:rPr>
                <w:rFonts w:ascii="Verdana" w:eastAsia="Aptos" w:hAnsi="Verdana" w:cs="Arial"/>
                <w:sz w:val="14"/>
                <w:szCs w:val="14"/>
                <w:lang w:eastAsia="es-ES"/>
              </w:rPr>
            </w:pPr>
            <w:r w:rsidRPr="001731FC">
              <w:rPr>
                <w:rFonts w:ascii="Verdana" w:eastAsia="Aptos" w:hAnsi="Verdana" w:cs="Arial"/>
                <w:sz w:val="14"/>
                <w:szCs w:val="14"/>
                <w:lang w:eastAsia="es-ES"/>
              </w:rPr>
              <w:t>Analista T2–06 de la Subdirección de Gestión Contractual</w:t>
            </w:r>
          </w:p>
        </w:tc>
      </w:tr>
      <w:tr w:rsidR="00156C4B" w:rsidRPr="001731FC" w14:paraId="038E36C0" w14:textId="77777777" w:rsidTr="00356DFB">
        <w:trPr>
          <w:trHeight w:val="299"/>
        </w:trPr>
        <w:tc>
          <w:tcPr>
            <w:tcW w:w="901" w:type="dxa"/>
            <w:vAlign w:val="center"/>
          </w:tcPr>
          <w:p w14:paraId="2078C0F2" w14:textId="77777777" w:rsidR="00156C4B" w:rsidRPr="001731FC" w:rsidRDefault="00156C4B" w:rsidP="00356DFB">
            <w:pPr>
              <w:rPr>
                <w:rFonts w:ascii="Verdana" w:eastAsia="Aptos" w:hAnsi="Verdana" w:cs="Arial"/>
                <w:sz w:val="14"/>
                <w:szCs w:val="14"/>
                <w:lang w:eastAsia="es-ES"/>
              </w:rPr>
            </w:pPr>
            <w:r w:rsidRPr="001731FC">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38ECFD1" w14:textId="77777777" w:rsidR="00156C4B" w:rsidRPr="001731FC" w:rsidRDefault="00156C4B" w:rsidP="00356DFB">
            <w:pPr>
              <w:rPr>
                <w:rFonts w:ascii="Verdana" w:eastAsia="Aptos" w:hAnsi="Verdana" w:cs="Arial"/>
                <w:sz w:val="14"/>
                <w:szCs w:val="14"/>
                <w:lang w:eastAsia="es-ES"/>
              </w:rPr>
            </w:pPr>
            <w:r w:rsidRPr="001731FC">
              <w:rPr>
                <w:rFonts w:ascii="Verdana" w:eastAsia="Aptos" w:hAnsi="Verdana" w:cs="Arial"/>
                <w:sz w:val="14"/>
                <w:szCs w:val="14"/>
                <w:lang w:eastAsia="es-ES"/>
              </w:rPr>
              <w:t>Diana Lucía Saavedra Castañeda</w:t>
            </w:r>
          </w:p>
          <w:p w14:paraId="28C75ED7" w14:textId="77777777" w:rsidR="00156C4B" w:rsidRPr="001731FC" w:rsidRDefault="00156C4B" w:rsidP="00356DFB">
            <w:pPr>
              <w:rPr>
                <w:rFonts w:ascii="Verdana" w:eastAsia="Aptos" w:hAnsi="Verdana" w:cs="Arial"/>
                <w:sz w:val="14"/>
                <w:szCs w:val="14"/>
                <w:lang w:eastAsia="es-ES"/>
              </w:rPr>
            </w:pPr>
            <w:r w:rsidRPr="001731FC">
              <w:rPr>
                <w:rFonts w:ascii="Verdana" w:eastAsia="Aptos" w:hAnsi="Verdana" w:cs="Arial"/>
                <w:sz w:val="14"/>
                <w:szCs w:val="14"/>
                <w:lang w:eastAsia="es-ES"/>
              </w:rPr>
              <w:t>Contratista de la Subdirección de Gestión Contractual</w:t>
            </w:r>
          </w:p>
        </w:tc>
      </w:tr>
      <w:tr w:rsidR="00156C4B" w:rsidRPr="001731FC" w14:paraId="7D24FA5D" w14:textId="77777777" w:rsidTr="00356DFB">
        <w:trPr>
          <w:trHeight w:val="272"/>
        </w:trPr>
        <w:tc>
          <w:tcPr>
            <w:tcW w:w="901" w:type="dxa"/>
            <w:vAlign w:val="center"/>
            <w:hideMark/>
          </w:tcPr>
          <w:p w14:paraId="01D712A9" w14:textId="77777777" w:rsidR="00156C4B" w:rsidRPr="001731FC" w:rsidRDefault="00156C4B" w:rsidP="00356DFB">
            <w:pPr>
              <w:rPr>
                <w:rFonts w:ascii="Verdana" w:eastAsia="Aptos" w:hAnsi="Verdana" w:cs="Arial"/>
                <w:sz w:val="14"/>
                <w:szCs w:val="14"/>
                <w:lang w:eastAsia="es-ES"/>
              </w:rPr>
            </w:pPr>
            <w:r w:rsidRPr="001731FC">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2F385A2" w14:textId="77777777" w:rsidR="00156C4B" w:rsidRPr="001731FC" w:rsidRDefault="00156C4B" w:rsidP="00356DFB">
            <w:pPr>
              <w:rPr>
                <w:rFonts w:ascii="Verdana" w:hAnsi="Verdana" w:cs="Arial"/>
                <w:sz w:val="14"/>
                <w:szCs w:val="14"/>
                <w:lang w:eastAsia="es-ES"/>
              </w:rPr>
            </w:pPr>
            <w:r w:rsidRPr="001731FC">
              <w:rPr>
                <w:rFonts w:ascii="Verdana" w:hAnsi="Verdana" w:cs="Arial"/>
                <w:sz w:val="14"/>
                <w:szCs w:val="14"/>
                <w:lang w:eastAsia="es-ES"/>
              </w:rPr>
              <w:t>William Javier Murcia Acevedo</w:t>
            </w:r>
          </w:p>
          <w:p w14:paraId="435A6016" w14:textId="77777777" w:rsidR="00156C4B" w:rsidRPr="001731FC" w:rsidRDefault="00156C4B" w:rsidP="00356DFB">
            <w:pPr>
              <w:rPr>
                <w:rFonts w:ascii="Verdana" w:eastAsia="Aptos" w:hAnsi="Verdana" w:cs="Arial"/>
                <w:sz w:val="14"/>
                <w:szCs w:val="14"/>
                <w:lang w:eastAsia="es-ES"/>
              </w:rPr>
            </w:pPr>
            <w:r w:rsidRPr="001731FC">
              <w:rPr>
                <w:rFonts w:ascii="Verdana" w:hAnsi="Verdana" w:cs="Arial"/>
                <w:sz w:val="14"/>
                <w:szCs w:val="14"/>
                <w:lang w:eastAsia="es-ES"/>
              </w:rPr>
              <w:t>Subdirector de Gestión Contractual (E) ANCP – CCE</w:t>
            </w:r>
          </w:p>
        </w:tc>
      </w:tr>
    </w:tbl>
    <w:p w14:paraId="0EA5C1D7" w14:textId="77777777" w:rsidR="00156C4B" w:rsidRPr="001731FC" w:rsidRDefault="00156C4B" w:rsidP="00156C4B">
      <w:pPr>
        <w:rPr>
          <w:rFonts w:ascii="Verdana" w:hAnsi="Verdana" w:cs="Arial"/>
          <w:lang w:eastAsia="es-ES"/>
        </w:rPr>
      </w:pPr>
    </w:p>
    <w:p w14:paraId="080A18EB" w14:textId="77777777" w:rsidR="00156C4B" w:rsidRPr="001731FC" w:rsidRDefault="00156C4B" w:rsidP="00156C4B">
      <w:pPr>
        <w:rPr>
          <w:rFonts w:ascii="Verdana" w:eastAsia="Aptos" w:hAnsi="Verdana"/>
        </w:rPr>
      </w:pPr>
    </w:p>
    <w:p w14:paraId="0F293BF4" w14:textId="4225E23E" w:rsidR="00127233" w:rsidRPr="00156C4B" w:rsidRDefault="00127233" w:rsidP="00156C4B">
      <w:pPr>
        <w:textAlignment w:val="baseline"/>
      </w:pPr>
    </w:p>
    <w:sectPr w:rsidR="00127233" w:rsidRPr="00156C4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67433" w14:textId="77777777" w:rsidR="004437CB" w:rsidRDefault="004437CB" w:rsidP="004A1847">
      <w:r>
        <w:separator/>
      </w:r>
    </w:p>
  </w:endnote>
  <w:endnote w:type="continuationSeparator" w:id="0">
    <w:p w14:paraId="588D2675" w14:textId="77777777" w:rsidR="004437CB" w:rsidRDefault="004437CB"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CD9A0" w14:textId="77777777" w:rsidR="004437CB" w:rsidRDefault="004437CB" w:rsidP="004A1847">
      <w:r>
        <w:separator/>
      </w:r>
    </w:p>
  </w:footnote>
  <w:footnote w:type="continuationSeparator" w:id="0">
    <w:p w14:paraId="5C7A23D0" w14:textId="77777777" w:rsidR="004437CB" w:rsidRDefault="004437CB" w:rsidP="004A1847">
      <w:r>
        <w:continuationSeparator/>
      </w:r>
    </w:p>
  </w:footnote>
  <w:footnote w:id="1">
    <w:p w14:paraId="02B686F7" w14:textId="77777777" w:rsidR="00156C4B" w:rsidRPr="006B59D1" w:rsidRDefault="00156C4B" w:rsidP="00156C4B">
      <w:pPr>
        <w:pStyle w:val="Textonotapie"/>
        <w:ind w:firstLine="708"/>
        <w:jc w:val="both"/>
        <w:rPr>
          <w:rFonts w:ascii="Verdana" w:hAnsi="Verdana"/>
          <w:sz w:val="8"/>
          <w:szCs w:val="8"/>
        </w:rPr>
      </w:pPr>
      <w:r w:rsidRPr="006B59D1">
        <w:rPr>
          <w:rStyle w:val="Refdenotaalpie"/>
          <w:rFonts w:ascii="Verdana" w:hAnsi="Verdana"/>
          <w:sz w:val="8"/>
          <w:szCs w:val="8"/>
        </w:rPr>
        <w:footnoteRef/>
      </w:r>
      <w:r w:rsidRPr="006B59D1">
        <w:rPr>
          <w:rFonts w:ascii="Verdana" w:hAnsi="Verdana"/>
          <w:sz w:val="8"/>
          <w:szCs w:val="8"/>
        </w:rPr>
        <w:t>Disponible en este enlace:</w:t>
      </w:r>
    </w:p>
    <w:p w14:paraId="2F645A7E" w14:textId="77777777" w:rsidR="00156C4B" w:rsidRPr="006B59D1" w:rsidRDefault="00156C4B" w:rsidP="00156C4B">
      <w:pPr>
        <w:pStyle w:val="Textonotapie"/>
        <w:ind w:firstLine="708"/>
        <w:jc w:val="both"/>
        <w:rPr>
          <w:rFonts w:ascii="Verdana" w:hAnsi="Verdana"/>
          <w:sz w:val="8"/>
          <w:szCs w:val="8"/>
        </w:rPr>
      </w:pPr>
      <w:hyperlink r:id="rId1" w:history="1">
        <w:r w:rsidRPr="006B59D1">
          <w:rPr>
            <w:rStyle w:val="Hipervnculo"/>
            <w:rFonts w:ascii="Verdana" w:hAnsi="Verdana"/>
            <w:sz w:val="8"/>
            <w:szCs w:val="8"/>
          </w:rPr>
          <w:t>https://www.colombiacompra.gov.co/sites/cce_public/files/cce_documents/guia_para_elaborar_el_plan_anual_de_adquisiciones_0.pdf</w:t>
        </w:r>
      </w:hyperlink>
      <w:r w:rsidRPr="006B59D1">
        <w:rPr>
          <w:rFonts w:ascii="Verdana" w:hAnsi="Verdana"/>
          <w:sz w:val="8"/>
          <w:szCs w:val="8"/>
        </w:rPr>
        <w:t xml:space="preserve"> </w:t>
      </w:r>
    </w:p>
    <w:p w14:paraId="37F0666C" w14:textId="77777777" w:rsidR="00156C4B" w:rsidRPr="006B59D1" w:rsidRDefault="00156C4B" w:rsidP="00156C4B">
      <w:pPr>
        <w:pStyle w:val="Textonotapie"/>
        <w:ind w:firstLine="708"/>
        <w:jc w:val="both"/>
        <w:rPr>
          <w:rFonts w:ascii="Verdana" w:hAnsi="Verdana"/>
          <w:sz w:val="8"/>
          <w:szCs w:val="8"/>
          <w:lang w:val="es-CO"/>
        </w:rPr>
      </w:pPr>
    </w:p>
  </w:footnote>
  <w:footnote w:id="2">
    <w:p w14:paraId="44B548F0" w14:textId="77777777" w:rsidR="00156C4B" w:rsidRPr="006B59D1" w:rsidRDefault="00156C4B" w:rsidP="00156C4B">
      <w:pPr>
        <w:pStyle w:val="Textonotapie"/>
        <w:ind w:firstLine="708"/>
        <w:jc w:val="both"/>
        <w:rPr>
          <w:rFonts w:ascii="Verdana" w:hAnsi="Verdana" w:cs="Arial"/>
          <w:sz w:val="8"/>
          <w:szCs w:val="8"/>
          <w:lang w:val="es-CO"/>
        </w:rPr>
      </w:pPr>
      <w:r w:rsidRPr="006B59D1">
        <w:rPr>
          <w:rStyle w:val="Refdenotaalpie"/>
          <w:rFonts w:ascii="Verdana" w:hAnsi="Verdana" w:cs="Arial"/>
          <w:sz w:val="8"/>
          <w:szCs w:val="8"/>
        </w:rPr>
        <w:footnoteRef/>
      </w:r>
      <w:r w:rsidRPr="006B59D1">
        <w:rPr>
          <w:rFonts w:ascii="Verdana" w:eastAsia="Calibri" w:hAnsi="Verdana" w:cs="Arial"/>
          <w:sz w:val="8"/>
          <w:szCs w:val="8"/>
        </w:rPr>
        <w:t xml:space="preserve"> Agencia Nacional de Contratación Pública </w:t>
      </w:r>
      <w:r w:rsidRPr="006B59D1">
        <w:rPr>
          <w:rFonts w:ascii="Verdana" w:eastAsia="Calibri" w:hAnsi="Verdana" w:cs="Arial"/>
          <w:bCs/>
          <w:sz w:val="8"/>
          <w:szCs w:val="8"/>
        </w:rPr>
        <w:t xml:space="preserve">– </w:t>
      </w:r>
      <w:r w:rsidRPr="006B59D1">
        <w:rPr>
          <w:rFonts w:ascii="Verdana" w:eastAsia="Calibri" w:hAnsi="Verdana" w:cs="Arial"/>
          <w:sz w:val="8"/>
          <w:szCs w:val="8"/>
        </w:rPr>
        <w:t>Colombia Compra Eficiente</w:t>
      </w:r>
      <w:r w:rsidRPr="006B59D1">
        <w:rPr>
          <w:rFonts w:ascii="Verdana" w:hAnsi="Verdana" w:cs="Arial"/>
          <w:sz w:val="8"/>
          <w:szCs w:val="8"/>
          <w:lang w:val="es-CO"/>
        </w:rPr>
        <w:t xml:space="preserve"> Guía para elaborar el Plan Anual de Adquisiciones. Página 3. </w:t>
      </w:r>
    </w:p>
  </w:footnote>
  <w:footnote w:id="3">
    <w:p w14:paraId="79BBF0A2" w14:textId="77777777" w:rsidR="00156C4B" w:rsidRPr="006B59D1" w:rsidRDefault="00156C4B" w:rsidP="00156C4B">
      <w:pPr>
        <w:pStyle w:val="Textonotapie"/>
        <w:ind w:firstLine="708"/>
        <w:jc w:val="both"/>
        <w:rPr>
          <w:rFonts w:ascii="Verdana" w:hAnsi="Verdana" w:cs="Arial"/>
          <w:sz w:val="8"/>
          <w:szCs w:val="8"/>
        </w:rPr>
      </w:pPr>
    </w:p>
    <w:p w14:paraId="3A0B61B3" w14:textId="77777777" w:rsidR="00156C4B" w:rsidRPr="006B59D1" w:rsidRDefault="00156C4B" w:rsidP="00156C4B">
      <w:pPr>
        <w:pStyle w:val="Textonotapie"/>
        <w:ind w:firstLine="708"/>
        <w:jc w:val="both"/>
        <w:rPr>
          <w:rFonts w:ascii="Verdana" w:hAnsi="Verdana" w:cs="Arial"/>
          <w:sz w:val="8"/>
          <w:szCs w:val="8"/>
          <w:lang w:val="es-ES"/>
        </w:rPr>
      </w:pPr>
      <w:r w:rsidRPr="006B59D1">
        <w:rPr>
          <w:rStyle w:val="Refdenotaalpie"/>
          <w:rFonts w:ascii="Verdana" w:hAnsi="Verdana" w:cs="Arial"/>
          <w:sz w:val="8"/>
          <w:szCs w:val="8"/>
        </w:rPr>
        <w:footnoteRef/>
      </w:r>
      <w:r w:rsidRPr="006B59D1">
        <w:rPr>
          <w:rFonts w:ascii="Verdana" w:hAnsi="Verdana" w:cs="Arial"/>
          <w:sz w:val="8"/>
          <w:szCs w:val="8"/>
        </w:rPr>
        <w:t xml:space="preserve"> El artículo 74 de la Ley 1474 prescribe: “</w:t>
      </w:r>
      <w:r w:rsidRPr="006B59D1">
        <w:rPr>
          <w:rFonts w:ascii="Verdana" w:hAnsi="Verdana" w:cs="Arial"/>
          <w:sz w:val="8"/>
          <w:szCs w:val="8"/>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1AFEAC4" w14:textId="77777777" w:rsidR="00156C4B" w:rsidRPr="006B59D1" w:rsidRDefault="00156C4B" w:rsidP="00156C4B">
      <w:pPr>
        <w:pStyle w:val="Textonotapie"/>
        <w:ind w:firstLine="708"/>
        <w:jc w:val="both"/>
        <w:rPr>
          <w:rFonts w:ascii="Verdana" w:hAnsi="Verdana" w:cs="Arial"/>
          <w:sz w:val="8"/>
          <w:szCs w:val="8"/>
          <w:lang w:val="es-ES"/>
        </w:rPr>
      </w:pPr>
      <w:r w:rsidRPr="006B59D1">
        <w:rPr>
          <w:rFonts w:ascii="Verdana" w:hAnsi="Verdana" w:cs="Arial"/>
          <w:sz w:val="8"/>
          <w:szCs w:val="8"/>
          <w:lang w:val="es-ES"/>
        </w:rPr>
        <w:t>A partir del año siguiente, el Plan de Acción deberá estar acompañado del informe de gestión del año inmediatamente anterior.</w:t>
      </w:r>
    </w:p>
    <w:p w14:paraId="34CE39C5" w14:textId="77777777" w:rsidR="00156C4B" w:rsidRPr="006B59D1" w:rsidRDefault="00156C4B" w:rsidP="00156C4B">
      <w:pPr>
        <w:pStyle w:val="Textonotapie"/>
        <w:ind w:firstLine="708"/>
        <w:jc w:val="both"/>
        <w:rPr>
          <w:rFonts w:ascii="Verdana" w:hAnsi="Verdana" w:cs="Arial"/>
          <w:sz w:val="8"/>
          <w:szCs w:val="8"/>
          <w:lang w:val="es-ES"/>
        </w:rPr>
      </w:pPr>
      <w:r w:rsidRPr="006B59D1">
        <w:rPr>
          <w:rFonts w:ascii="Verdana" w:hAnsi="Verdana" w:cs="Arial"/>
          <w:sz w:val="8"/>
          <w:szCs w:val="8"/>
          <w:lang w:val="es-ES"/>
        </w:rPr>
        <w:t>Igualmente publicarán por dicho medio su presupuesto debidamente desagregado, así como las modificaciones a este o a su desagregación.</w:t>
      </w:r>
      <w:r w:rsidRPr="006B59D1">
        <w:rPr>
          <w:rFonts w:ascii="Verdana" w:hAnsi="Verdana" w:cs="Arial"/>
          <w:sz w:val="8"/>
          <w:szCs w:val="8"/>
          <w:lang w:val="es-ES"/>
        </w:rPr>
        <w:tab/>
      </w:r>
    </w:p>
    <w:p w14:paraId="668B08DD" w14:textId="77777777" w:rsidR="00156C4B" w:rsidRPr="006B59D1" w:rsidRDefault="00156C4B" w:rsidP="00156C4B">
      <w:pPr>
        <w:pStyle w:val="Textonotapie"/>
        <w:ind w:firstLine="708"/>
        <w:jc w:val="both"/>
        <w:rPr>
          <w:rFonts w:ascii="Verdana" w:hAnsi="Verdana" w:cs="Arial"/>
          <w:sz w:val="8"/>
          <w:szCs w:val="8"/>
          <w:lang w:val="es-ES"/>
        </w:rPr>
      </w:pPr>
      <w:r w:rsidRPr="006B59D1">
        <w:rPr>
          <w:rFonts w:ascii="Verdana" w:hAnsi="Verdana" w:cs="Arial"/>
          <w:sz w:val="8"/>
          <w:szCs w:val="8"/>
          <w:lang w:val="es-ES"/>
        </w:rPr>
        <w:t>Parágrafo. Las empresas industriales y comerciales del Estado y las Sociedades de Economía Mixta estarán exentas de publicar la información relacionada con sus proyectos de inversión”.</w:t>
      </w:r>
    </w:p>
    <w:p w14:paraId="7EDFFF5E" w14:textId="77777777" w:rsidR="00156C4B" w:rsidRPr="006B59D1" w:rsidRDefault="00156C4B" w:rsidP="00156C4B">
      <w:pPr>
        <w:pStyle w:val="Textonotapie"/>
        <w:ind w:firstLine="708"/>
        <w:jc w:val="both"/>
        <w:rPr>
          <w:rFonts w:ascii="Verdana" w:hAnsi="Verdana" w:cs="Arial"/>
          <w:sz w:val="8"/>
          <w:szCs w:val="8"/>
          <w:lang w:val="es-ES"/>
        </w:rPr>
      </w:pPr>
    </w:p>
  </w:footnote>
  <w:footnote w:id="4">
    <w:p w14:paraId="7254A75D" w14:textId="77777777" w:rsidR="00156C4B" w:rsidRPr="006B59D1" w:rsidRDefault="00156C4B" w:rsidP="00156C4B">
      <w:pPr>
        <w:pStyle w:val="Textonotapie"/>
        <w:ind w:firstLine="709"/>
        <w:jc w:val="both"/>
        <w:rPr>
          <w:rFonts w:ascii="Verdana" w:hAnsi="Verdana" w:cs="Arial"/>
          <w:color w:val="000000"/>
          <w:sz w:val="8"/>
          <w:szCs w:val="8"/>
          <w:shd w:val="clear" w:color="auto" w:fill="FFFFFF"/>
        </w:rPr>
      </w:pPr>
      <w:r w:rsidRPr="006B59D1">
        <w:rPr>
          <w:rStyle w:val="Refdenotaalpie"/>
          <w:rFonts w:ascii="Verdana" w:hAnsi="Verdana" w:cs="Arial"/>
          <w:color w:val="000000"/>
          <w:sz w:val="8"/>
          <w:szCs w:val="8"/>
        </w:rPr>
        <w:footnoteRef/>
      </w:r>
      <w:r w:rsidRPr="006B59D1">
        <w:rPr>
          <w:rFonts w:ascii="Verdana" w:hAnsi="Verdana" w:cs="Arial"/>
          <w:color w:val="000000"/>
          <w:sz w:val="8"/>
          <w:szCs w:val="8"/>
        </w:rPr>
        <w:t xml:space="preserve"> “</w:t>
      </w:r>
      <w:r w:rsidRPr="006B59D1">
        <w:rPr>
          <w:rStyle w:val="Fuerte"/>
          <w:rFonts w:ascii="Verdana" w:hAnsi="Verdana" w:cs="Arial"/>
          <w:color w:val="000000"/>
          <w:sz w:val="8"/>
          <w:szCs w:val="8"/>
          <w:shd w:val="clear" w:color="auto" w:fill="FFFFFF"/>
        </w:rPr>
        <w:t>Artículo 2.2.1.1.1.3.1. </w:t>
      </w:r>
      <w:r w:rsidRPr="006B59D1">
        <w:rPr>
          <w:rStyle w:val="nfasis"/>
          <w:rFonts w:ascii="Verdana" w:hAnsi="Verdana" w:cs="Arial"/>
          <w:color w:val="000000"/>
          <w:sz w:val="8"/>
          <w:szCs w:val="8"/>
          <w:shd w:val="clear" w:color="auto" w:fill="FFFFFF"/>
        </w:rPr>
        <w:t>Definiciones. </w:t>
      </w:r>
      <w:r w:rsidRPr="006B59D1">
        <w:rPr>
          <w:rFonts w:ascii="Verdana" w:hAnsi="Verdana" w:cs="Arial"/>
          <w:color w:val="000000"/>
          <w:sz w:val="8"/>
          <w:szCs w:val="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4A5A27B" w14:textId="77777777" w:rsidR="00156C4B" w:rsidRPr="006B59D1" w:rsidRDefault="00156C4B" w:rsidP="00156C4B">
      <w:pPr>
        <w:pStyle w:val="Textonotapie"/>
        <w:ind w:firstLine="709"/>
        <w:jc w:val="both"/>
        <w:rPr>
          <w:rFonts w:ascii="Verdana" w:hAnsi="Verdana" w:cs="Arial"/>
          <w:color w:val="000000"/>
          <w:sz w:val="8"/>
          <w:szCs w:val="8"/>
          <w:shd w:val="clear" w:color="auto" w:fill="FFFFFF"/>
        </w:rPr>
      </w:pPr>
      <w:r w:rsidRPr="006B59D1">
        <w:rPr>
          <w:rFonts w:ascii="Verdana" w:hAnsi="Verdana" w:cs="Arial"/>
          <w:color w:val="000000"/>
          <w:sz w:val="8"/>
          <w:szCs w:val="8"/>
          <w:shd w:val="clear" w:color="auto" w:fill="FFFFFF"/>
        </w:rPr>
        <w:t>[…]</w:t>
      </w:r>
    </w:p>
    <w:p w14:paraId="515720B9" w14:textId="77777777" w:rsidR="00156C4B" w:rsidRPr="006B59D1" w:rsidRDefault="00156C4B" w:rsidP="00156C4B">
      <w:pPr>
        <w:pStyle w:val="NormalWeb"/>
        <w:shd w:val="clear" w:color="auto" w:fill="FFFFFF"/>
        <w:spacing w:before="0" w:beforeAutospacing="0" w:after="0" w:afterAutospacing="0"/>
        <w:ind w:firstLine="709"/>
        <w:jc w:val="both"/>
        <w:rPr>
          <w:rFonts w:ascii="Verdana" w:hAnsi="Verdana" w:cs="Arial"/>
          <w:color w:val="000000"/>
          <w:sz w:val="8"/>
          <w:szCs w:val="8"/>
        </w:rPr>
      </w:pPr>
      <w:r w:rsidRPr="006B59D1">
        <w:rPr>
          <w:rStyle w:val="nfasis"/>
          <w:rFonts w:ascii="Verdana" w:hAnsi="Verdana" w:cs="Arial"/>
          <w:color w:val="000000"/>
          <w:sz w:val="8"/>
          <w:szCs w:val="8"/>
        </w:rPr>
        <w:t>Plan Anual de Adquisiciones: </w:t>
      </w:r>
      <w:r w:rsidRPr="006B59D1">
        <w:rPr>
          <w:rFonts w:ascii="Verdana" w:hAnsi="Verdana" w:cs="Arial"/>
          <w:color w:val="000000"/>
          <w:sz w:val="8"/>
          <w:szCs w:val="8"/>
        </w:rPr>
        <w:t>Plan general de compras al que se refiere el </w:t>
      </w:r>
      <w:hyperlink r:id="rId2" w:history="1">
        <w:r w:rsidRPr="006B59D1">
          <w:rPr>
            <w:rFonts w:ascii="Verdana" w:hAnsi="Verdana" w:cs="Arial"/>
            <w:color w:val="000000"/>
            <w:sz w:val="8"/>
            <w:szCs w:val="8"/>
          </w:rPr>
          <w:t>artículo 74 de la Ley 1474 de 2011</w:t>
        </w:r>
      </w:hyperlink>
      <w:r w:rsidRPr="006B59D1">
        <w:rPr>
          <w:rFonts w:ascii="Verdana" w:hAnsi="Verdana" w:cs="Arial"/>
          <w:color w:val="000000"/>
          <w:sz w:val="8"/>
          <w:szCs w:val="8"/>
        </w:rPr>
        <w:t> y el plan de compras al que se refiere la Ley Anual de Presupuesto. Es un instrumento de planeación contractual que las Entidades Estatales deben diligenciar, publicar y actualizar en los términos del presente título”.</w:t>
      </w:r>
    </w:p>
    <w:p w14:paraId="168F4375" w14:textId="77777777" w:rsidR="00156C4B" w:rsidRPr="006B59D1" w:rsidRDefault="00156C4B" w:rsidP="00156C4B">
      <w:pPr>
        <w:pStyle w:val="NormalWeb"/>
        <w:shd w:val="clear" w:color="auto" w:fill="FFFFFF"/>
        <w:spacing w:before="0" w:beforeAutospacing="0" w:after="0" w:afterAutospacing="0"/>
        <w:ind w:firstLine="709"/>
        <w:jc w:val="both"/>
        <w:rPr>
          <w:rFonts w:ascii="Verdana" w:hAnsi="Verdana" w:cs="Arial"/>
          <w:color w:val="000000"/>
          <w:sz w:val="8"/>
          <w:szCs w:val="8"/>
        </w:rPr>
      </w:pPr>
    </w:p>
  </w:footnote>
  <w:footnote w:id="5">
    <w:p w14:paraId="111BA8B6" w14:textId="77777777" w:rsidR="00156C4B" w:rsidRPr="006B59D1" w:rsidRDefault="00156C4B" w:rsidP="00156C4B">
      <w:pPr>
        <w:pStyle w:val="Textonotapie"/>
        <w:ind w:firstLine="708"/>
        <w:jc w:val="both"/>
        <w:rPr>
          <w:rFonts w:ascii="Verdana" w:hAnsi="Verdana" w:cs="Arial"/>
          <w:sz w:val="8"/>
          <w:szCs w:val="8"/>
        </w:rPr>
      </w:pPr>
      <w:r w:rsidRPr="006B59D1">
        <w:rPr>
          <w:rStyle w:val="Refdenotaalpie"/>
          <w:rFonts w:ascii="Verdana" w:hAnsi="Verdana" w:cs="Arial"/>
          <w:sz w:val="8"/>
          <w:szCs w:val="8"/>
        </w:rPr>
        <w:footnoteRef/>
      </w:r>
      <w:r w:rsidRPr="006B59D1">
        <w:rPr>
          <w:rFonts w:ascii="Verdana" w:hAnsi="Verdana" w:cs="Arial"/>
          <w:sz w:val="8"/>
          <w:szCs w:val="8"/>
        </w:rPr>
        <w:t xml:space="preserve"> Decreto 1082 de 2015: “Artículo 2.2.1.1.1.4.3. Publicación del Plan Anual de Adquisiciones.</w:t>
      </w:r>
      <w:r w:rsidRPr="006B59D1">
        <w:rPr>
          <w:rFonts w:ascii="Verdana" w:hAnsi="Verdana" w:cs="Arial"/>
          <w:i/>
          <w:iCs/>
          <w:sz w:val="8"/>
          <w:szCs w:val="8"/>
        </w:rPr>
        <w:t> </w:t>
      </w:r>
      <w:r w:rsidRPr="006B59D1">
        <w:rPr>
          <w:rFonts w:ascii="Verdana" w:hAnsi="Verdana" w:cs="Arial"/>
          <w:sz w:val="8"/>
          <w:szCs w:val="8"/>
        </w:rPr>
        <w:t xml:space="preserve">La Entidad Estatal debe publicar su Plan Anual de Adquisiciones y las actualizaciones </w:t>
      </w:r>
      <w:proofErr w:type="gramStart"/>
      <w:r w:rsidRPr="006B59D1">
        <w:rPr>
          <w:rFonts w:ascii="Verdana" w:hAnsi="Verdana" w:cs="Arial"/>
          <w:sz w:val="8"/>
          <w:szCs w:val="8"/>
        </w:rPr>
        <w:t>del mismo</w:t>
      </w:r>
      <w:proofErr w:type="gramEnd"/>
      <w:r w:rsidRPr="006B59D1">
        <w:rPr>
          <w:rFonts w:ascii="Verdana" w:hAnsi="Verdana" w:cs="Arial"/>
          <w:sz w:val="8"/>
          <w:szCs w:val="8"/>
        </w:rPr>
        <w:t xml:space="preserve"> en su página web y en el SECOP, en la forma que para el efecto disponga Colombia Compra Eficiente”.</w:t>
      </w:r>
    </w:p>
    <w:p w14:paraId="6D241359" w14:textId="77777777" w:rsidR="00156C4B" w:rsidRPr="006B59D1" w:rsidRDefault="00156C4B" w:rsidP="00156C4B">
      <w:pPr>
        <w:pStyle w:val="Textonotapie"/>
        <w:ind w:firstLine="708"/>
        <w:jc w:val="both"/>
        <w:rPr>
          <w:rFonts w:ascii="Verdana" w:hAnsi="Verdana" w:cs="Arial"/>
          <w:sz w:val="8"/>
          <w:szCs w:val="8"/>
        </w:rPr>
      </w:pPr>
    </w:p>
  </w:footnote>
  <w:footnote w:id="6">
    <w:p w14:paraId="1C07373E" w14:textId="77777777" w:rsidR="00156C4B" w:rsidRPr="006B59D1" w:rsidRDefault="00156C4B" w:rsidP="00156C4B">
      <w:pPr>
        <w:pStyle w:val="Textonotapie"/>
        <w:ind w:firstLine="708"/>
        <w:jc w:val="both"/>
        <w:rPr>
          <w:rFonts w:ascii="Verdana" w:hAnsi="Verdana" w:cs="Arial"/>
          <w:sz w:val="8"/>
          <w:szCs w:val="8"/>
        </w:rPr>
      </w:pPr>
      <w:r w:rsidRPr="006B59D1">
        <w:rPr>
          <w:rStyle w:val="Refdenotaalpie"/>
          <w:rFonts w:ascii="Verdana" w:hAnsi="Verdana" w:cs="Arial"/>
          <w:sz w:val="8"/>
          <w:szCs w:val="8"/>
        </w:rPr>
        <w:footnoteRef/>
      </w:r>
      <w:r w:rsidRPr="006B59D1">
        <w:rPr>
          <w:rFonts w:ascii="Verdana" w:hAnsi="Verdana" w:cs="Arial"/>
          <w:sz w:val="8"/>
          <w:szCs w:val="8"/>
        </w:rPr>
        <w:t xml:space="preserve"> Decreto 1082 de 2015: “Artículo 2.2.1.1.1.4.1. </w:t>
      </w:r>
      <w:bookmarkStart w:id="2" w:name="_Hlk127183777"/>
      <w:r w:rsidRPr="006B59D1">
        <w:rPr>
          <w:rFonts w:ascii="Verdana" w:hAnsi="Verdana" w:cs="Arial"/>
          <w:sz w:val="8"/>
          <w:szCs w:val="8"/>
        </w:rPr>
        <w:t>Modificado por el </w:t>
      </w:r>
      <w:bookmarkEnd w:id="2"/>
      <w:r w:rsidRPr="006B59D1">
        <w:rPr>
          <w:rFonts w:ascii="Verdana" w:hAnsi="Verdana" w:cs="Arial"/>
          <w:sz w:val="8"/>
          <w:szCs w:val="8"/>
        </w:rPr>
        <w:t>Decreto 142 de 2023, artículo 2º. Plan Anual de Adquisiciones.</w:t>
      </w:r>
      <w:r w:rsidRPr="006B59D1">
        <w:rPr>
          <w:rFonts w:ascii="Verdana" w:hAnsi="Verdana" w:cs="Arial"/>
          <w:b/>
          <w:bCs/>
          <w:sz w:val="8"/>
          <w:szCs w:val="8"/>
        </w:rPr>
        <w:t> </w:t>
      </w:r>
      <w:r w:rsidRPr="006B59D1">
        <w:rPr>
          <w:rFonts w:ascii="Verdana" w:hAnsi="Verdana" w:cs="Arial"/>
          <w:sz w:val="8"/>
          <w:szCs w:val="8"/>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5BDF0D61" w14:textId="77777777" w:rsidR="00156C4B" w:rsidRPr="006B59D1" w:rsidRDefault="00156C4B" w:rsidP="00156C4B">
      <w:pPr>
        <w:pStyle w:val="Textonotapie"/>
        <w:ind w:firstLine="708"/>
        <w:jc w:val="both"/>
        <w:rPr>
          <w:rFonts w:ascii="Verdana" w:hAnsi="Verdana" w:cs="Arial"/>
          <w:sz w:val="8"/>
          <w:szCs w:val="8"/>
        </w:rPr>
      </w:pPr>
      <w:r w:rsidRPr="006B59D1">
        <w:rPr>
          <w:rFonts w:ascii="Verdana" w:hAnsi="Verdana" w:cs="Arial"/>
          <w:sz w:val="8"/>
          <w:szCs w:val="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bCs/>
      </w:rPr>
    </w:pPr>
    <w:r w:rsidRPr="00C925AC">
      <w:rPr>
        <w:rFonts w:ascii="Verdana" w:hAnsi="Verdana"/>
        <w:b/>
        <w:bCs/>
      </w:rPr>
      <w:t>FORMATO</w:t>
    </w:r>
    <w:r w:rsidR="00BF7425">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7423550">
    <w:abstractNumId w:val="5"/>
  </w:num>
  <w:num w:numId="2" w16cid:durableId="1456480798">
    <w:abstractNumId w:val="1"/>
  </w:num>
  <w:num w:numId="3" w16cid:durableId="271136562">
    <w:abstractNumId w:val="3"/>
  </w:num>
  <w:num w:numId="4" w16cid:durableId="6485602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843169">
    <w:abstractNumId w:val="1"/>
  </w:num>
  <w:num w:numId="6" w16cid:durableId="1728871600">
    <w:abstractNumId w:val="12"/>
  </w:num>
  <w:num w:numId="7" w16cid:durableId="765923271">
    <w:abstractNumId w:val="4"/>
  </w:num>
  <w:num w:numId="8" w16cid:durableId="498428109">
    <w:abstractNumId w:val="11"/>
  </w:num>
  <w:num w:numId="9" w16cid:durableId="179510172">
    <w:abstractNumId w:val="6"/>
  </w:num>
  <w:num w:numId="10" w16cid:durableId="1515069764">
    <w:abstractNumId w:val="10"/>
  </w:num>
  <w:num w:numId="11" w16cid:durableId="1210652766">
    <w:abstractNumId w:val="7"/>
  </w:num>
  <w:num w:numId="12" w16cid:durableId="634917916">
    <w:abstractNumId w:val="0"/>
  </w:num>
  <w:num w:numId="13" w16cid:durableId="468597421">
    <w:abstractNumId w:val="2"/>
  </w:num>
  <w:num w:numId="14" w16cid:durableId="1750691487">
    <w:abstractNumId w:val="13"/>
  </w:num>
  <w:num w:numId="15" w16cid:durableId="612636450">
    <w:abstractNumId w:val="9"/>
  </w:num>
  <w:num w:numId="16" w16cid:durableId="1499036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549B"/>
    <w:rsid w:val="000D0334"/>
    <w:rsid w:val="000D5DA7"/>
    <w:rsid w:val="000F6486"/>
    <w:rsid w:val="00116940"/>
    <w:rsid w:val="00125105"/>
    <w:rsid w:val="00127233"/>
    <w:rsid w:val="0015699B"/>
    <w:rsid w:val="00156C4B"/>
    <w:rsid w:val="001A33BF"/>
    <w:rsid w:val="001B0A12"/>
    <w:rsid w:val="001E4177"/>
    <w:rsid w:val="001F0B24"/>
    <w:rsid w:val="001F791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03B5"/>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37CB"/>
    <w:rsid w:val="0044528D"/>
    <w:rsid w:val="0046226B"/>
    <w:rsid w:val="00466E39"/>
    <w:rsid w:val="004A1847"/>
    <w:rsid w:val="004A305D"/>
    <w:rsid w:val="004F21C4"/>
    <w:rsid w:val="004F685F"/>
    <w:rsid w:val="005561FF"/>
    <w:rsid w:val="005566E8"/>
    <w:rsid w:val="00574867"/>
    <w:rsid w:val="00591460"/>
    <w:rsid w:val="005A65E0"/>
    <w:rsid w:val="005C3777"/>
    <w:rsid w:val="005C5CDC"/>
    <w:rsid w:val="005D476C"/>
    <w:rsid w:val="00607F6E"/>
    <w:rsid w:val="00613328"/>
    <w:rsid w:val="006200BF"/>
    <w:rsid w:val="006219F8"/>
    <w:rsid w:val="0062464A"/>
    <w:rsid w:val="006302F7"/>
    <w:rsid w:val="00646B9F"/>
    <w:rsid w:val="00665D70"/>
    <w:rsid w:val="006900D9"/>
    <w:rsid w:val="006B59D1"/>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011"/>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74C9"/>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13C4"/>
    <w:rsid w:val="00D7383B"/>
    <w:rsid w:val="00D7788A"/>
    <w:rsid w:val="00DA231B"/>
    <w:rsid w:val="00DB23F0"/>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1CAB"/>
    <w:rsid w:val="00EC38A7"/>
    <w:rsid w:val="00EE1AA8"/>
    <w:rsid w:val="00F23FEA"/>
    <w:rsid w:val="00F31EDC"/>
    <w:rsid w:val="00F462B3"/>
    <w:rsid w:val="00F5664F"/>
    <w:rsid w:val="00F666C4"/>
    <w:rsid w:val="00F76AFC"/>
    <w:rsid w:val="00FA47C0"/>
    <w:rsid w:val="00FB5DD1"/>
    <w:rsid w:val="00FC2B5D"/>
    <w:rsid w:val="00FE7128"/>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128"/>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56C4B"/>
    <w:pPr>
      <w:spacing w:after="160" w:line="240" w:lineRule="exact"/>
    </w:pPr>
    <w:rPr>
      <w:rFonts w:asciiTheme="minorHAnsi" w:eastAsiaTheme="minorHAnsi" w:hAnsiTheme="minorHAnsi" w:cstheme="minorBidi"/>
      <w:sz w:val="22"/>
      <w:szCs w:val="22"/>
      <w:vertAlign w:val="superscript"/>
      <w:lang w:eastAsia="en-US"/>
    </w:rPr>
  </w:style>
  <w:style w:type="table" w:customStyle="1" w:styleId="Tablaconcuadrcula11">
    <w:name w:val="Tabla con cuadrícula11"/>
    <w:basedOn w:val="Tablanormal"/>
    <w:next w:val="Tablaconcuadrcula"/>
    <w:uiPriority w:val="59"/>
    <w:qFormat/>
    <w:rsid w:val="00156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locked/>
    <w:rsid w:val="00156C4B"/>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6C4B"/>
    <w:rPr>
      <w:rFonts w:ascii="Geomanist Light" w:hAnsi="Geomanist Light"/>
      <w:lang w:val="es-ES"/>
    </w:rPr>
  </w:style>
  <w:style w:type="character" w:styleId="Fuerte">
    <w:name w:val="Strong"/>
    <w:basedOn w:val="Fuentedeprrafopredeter"/>
    <w:uiPriority w:val="22"/>
    <w:qFormat/>
    <w:rsid w:val="00156C4B"/>
    <w:rPr>
      <w:b/>
      <w:bCs/>
    </w:rPr>
  </w:style>
  <w:style w:type="character" w:styleId="nfasis">
    <w:name w:val="Emphasis"/>
    <w:basedOn w:val="Fuentedeprrafopredeter"/>
    <w:uiPriority w:val="20"/>
    <w:qFormat/>
    <w:rsid w:val="00156C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90586">
      <w:bodyDiv w:val="1"/>
      <w:marLeft w:val="0"/>
      <w:marRight w:val="0"/>
      <w:marTop w:val="0"/>
      <w:marBottom w:val="0"/>
      <w:divBdr>
        <w:top w:val="none" w:sz="0" w:space="0" w:color="auto"/>
        <w:left w:val="none" w:sz="0" w:space="0" w:color="auto"/>
        <w:bottom w:val="none" w:sz="0" w:space="0" w:color="auto"/>
        <w:right w:val="none" w:sz="0" w:space="0" w:color="auto"/>
      </w:divBdr>
      <w:divsChild>
        <w:div w:id="1857424762">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cflorido@minsalud.gov.co" TargetMode="External"/><Relationship Id="rId17"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lombiacompra.gov.co/archivos/boletin/boletin-edicion-n-3-de-2026-radar-de-la-compra-publi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guia_para_elaborar_el_plan_anual_de_adquisiciones_0.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1FD0E4-3EBE-44AB-BF26-6BF70BB0AB20}">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FF2AD20-3A2D-4D7F-8CEF-AA57F12ED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4591</Words>
  <Characters>25252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2</cp:revision>
  <cp:lastPrinted>2023-01-10T21:18:00Z</cp:lastPrinted>
  <dcterms:created xsi:type="dcterms:W3CDTF">2026-10-27T15:19:00Z</dcterms:created>
  <dcterms:modified xsi:type="dcterms:W3CDTF">2026-10-27T15:19:00Z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