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8734E" w14:textId="00A65CBD" w:rsidR="00C41F7C" w:rsidRDefault="00E83954" w:rsidP="00E83954">
      <w:pPr>
        <w:rPr>
          <w:rFonts w:ascii="Verdana" w:hAnsi="Verdana" w:cs="Arial"/>
          <w:b/>
          <w:bCs/>
          <w:color w:val="000000" w:themeColor="text1"/>
          <w:shd w:val="clear" w:color="auto" w:fill="FFFFFF"/>
          <w:lang w:val="es-ES"/>
        </w:rPr>
      </w:pPr>
      <w:bookmarkStart w:id="0" w:name="_Hlk143780582"/>
      <w:r w:rsidRPr="00C41F7C">
        <w:rPr>
          <w:rFonts w:ascii="Verdana" w:hAnsi="Verdana" w:cs="Arial"/>
          <w:b/>
          <w:bCs/>
          <w:color w:val="000000" w:themeColor="text1"/>
          <w:shd w:val="clear" w:color="auto" w:fill="FFFFFF"/>
          <w:lang w:val="es-ES"/>
        </w:rPr>
        <w:t>SECOP II </w:t>
      </w:r>
      <w:r w:rsidRPr="00C41F7C">
        <w:rPr>
          <w:rFonts w:ascii="Verdana" w:hAnsi="Verdana" w:cs="Arial"/>
          <w:b/>
          <w:bCs/>
          <w:color w:val="000000" w:themeColor="text1"/>
          <w:shd w:val="clear" w:color="auto" w:fill="FFFFFF"/>
          <w:lang w:val="es-MX"/>
        </w:rPr>
        <w:t>–</w:t>
      </w:r>
      <w:r w:rsidRPr="00C41F7C">
        <w:rPr>
          <w:rFonts w:ascii="Verdana" w:hAnsi="Verdana" w:cs="Arial"/>
          <w:b/>
          <w:bCs/>
          <w:color w:val="000000" w:themeColor="text1"/>
          <w:shd w:val="clear" w:color="auto" w:fill="FFFFFF"/>
          <w:lang w:val="es-ES"/>
        </w:rPr>
        <w:t xml:space="preserve"> Plataforma Transaccional </w:t>
      </w:r>
      <w:r w:rsidR="00D5706F">
        <w:rPr>
          <w:rFonts w:ascii="Verdana" w:hAnsi="Verdana" w:cs="Arial"/>
          <w:b/>
          <w:bCs/>
          <w:color w:val="000000" w:themeColor="text1"/>
          <w:shd w:val="clear" w:color="auto" w:fill="FFFFFF"/>
          <w:lang w:val="es-ES"/>
        </w:rPr>
        <w:t>–</w:t>
      </w:r>
      <w:r w:rsidRPr="00C41F7C">
        <w:rPr>
          <w:rFonts w:ascii="Verdana" w:hAnsi="Verdana" w:cs="Arial"/>
          <w:b/>
          <w:bCs/>
          <w:color w:val="000000" w:themeColor="text1"/>
          <w:shd w:val="clear" w:color="auto" w:fill="FFFFFF"/>
          <w:lang w:val="es-ES"/>
        </w:rPr>
        <w:t xml:space="preserve"> publicidad</w:t>
      </w:r>
    </w:p>
    <w:p w14:paraId="094062C7" w14:textId="366310DE" w:rsidR="00D5706F" w:rsidRPr="00D5706F" w:rsidRDefault="00D5706F" w:rsidP="00D5706F">
      <w:pPr>
        <w:spacing w:line="240" w:lineRule="auto"/>
        <w:jc w:val="both"/>
        <w:rPr>
          <w:rFonts w:ascii="Verdana" w:eastAsia="Calibri" w:hAnsi="Verdana" w:cs="Arial"/>
          <w:sz w:val="20"/>
          <w:szCs w:val="20"/>
          <w:lang w:val="es-ES"/>
        </w:rPr>
      </w:pPr>
      <w:r w:rsidRPr="00D5706F">
        <w:rPr>
          <w:rFonts w:ascii="Verdana" w:eastAsia="Calibri" w:hAnsi="Verdana" w:cs="Arial"/>
          <w:color w:val="000000" w:themeColor="text1"/>
          <w:sz w:val="20"/>
          <w:szCs w:val="20"/>
        </w:rPr>
        <w:t xml:space="preserve">[…] </w:t>
      </w:r>
      <w:r w:rsidRPr="00D5706F">
        <w:rPr>
          <w:rFonts w:ascii="Verdana" w:eastAsia="Calibri" w:hAnsi="Verdana" w:cs="Arial"/>
          <w:color w:val="000000" w:themeColor="text1"/>
          <w:sz w:val="20"/>
          <w:szCs w:val="20"/>
        </w:rPr>
        <w:t xml:space="preserve">el SECOP II es una plataforma transaccional, que permite gestionar en línea todos los procedimientos de contratación, </w:t>
      </w:r>
      <w:r w:rsidRPr="00D5706F">
        <w:rPr>
          <w:rFonts w:ascii="Verdana" w:eastAsia="Calibri" w:hAnsi="Verdana" w:cs="Arial"/>
          <w:sz w:val="20"/>
          <w:szCs w:val="20"/>
          <w:lang w:val="es-ES"/>
        </w:rPr>
        <w:t>con cuentas y usuarios asociados a estas, para las entidades y los proveedores, y vista pública para cualquier interesado en hacer seguimiento a la contratación pública. Desde sus cuentas, las entidades crean, evalúan y adjudican procedimientos de contratación, y gestionan la fase de ejecución del contrato. Los proveedores pueden hacer comentarios a los documentos del procedimiento, presentar ofertas y seguir el procedimiento de selección en línea.</w:t>
      </w:r>
    </w:p>
    <w:p w14:paraId="061A34E7" w14:textId="77777777" w:rsidR="00D5706F" w:rsidRPr="00D5706F" w:rsidRDefault="00D5706F" w:rsidP="00D5706F">
      <w:pPr>
        <w:spacing w:line="240" w:lineRule="auto"/>
        <w:jc w:val="both"/>
        <w:rPr>
          <w:rFonts w:ascii="Verdana" w:eastAsia="Calibri" w:hAnsi="Verdana" w:cs="Arial"/>
          <w:sz w:val="20"/>
          <w:szCs w:val="20"/>
          <w:lang w:val="es-ES"/>
        </w:rPr>
      </w:pPr>
      <w:r w:rsidRPr="00D5706F">
        <w:rPr>
          <w:rFonts w:ascii="Verdana" w:eastAsia="Calibri" w:hAnsi="Verdana" w:cs="Arial"/>
          <w:sz w:val="20"/>
          <w:szCs w:val="20"/>
          <w:lang w:val="es-ES"/>
        </w:rPr>
        <w:t>En este sentido, en el SECOP II el procedimiento contractual se desarrolla en línea y dentro de la plataforma, conformándose un expediente electrónico, lo cual denota una diferencia con el SECOP I, donde el procedimiento es físico, esto es, con documentos escritos que se publican para cumplir las obligaciones de las entidades antes señaladas. Al existir esa diferencia entre las dos versiones del SECOP, no es posible realizar en SECOP II actuaciones por escrito que son propias del SECOP I, sino que los documentos y actuaciones son electrónicas.</w:t>
      </w:r>
    </w:p>
    <w:p w14:paraId="366C4145" w14:textId="77777777" w:rsidR="00D5706F" w:rsidRPr="00D5706F" w:rsidRDefault="00D5706F" w:rsidP="00D5706F">
      <w:pPr>
        <w:spacing w:line="240" w:lineRule="auto"/>
        <w:jc w:val="both"/>
        <w:rPr>
          <w:rFonts w:ascii="Verdana" w:eastAsia="Calibri" w:hAnsi="Verdana" w:cs="Arial"/>
          <w:sz w:val="20"/>
          <w:szCs w:val="20"/>
          <w:lang w:val="es-ES"/>
        </w:rPr>
      </w:pPr>
      <w:r w:rsidRPr="00D5706F">
        <w:rPr>
          <w:rFonts w:ascii="Verdana" w:eastAsia="Calibri" w:hAnsi="Verdana" w:cs="Arial"/>
          <w:sz w:val="20"/>
          <w:szCs w:val="20"/>
          <w:lang w:val="es-ES"/>
        </w:rPr>
        <w:t xml:space="preserve">Debido a que la plataforma es totalmente transaccional, el trámite se realiza en línea y la publicidad de las actuaciones es concomitante, según transcurran cada una de las etapas del procedimiento, lo que descarta la necesidad de cargar documentación alguna, salvo algunas excepciones. Además, de acuerdo con lo prescrito en el artículo 14 de la Ley 527 de 1999, en la formación del contrato, salvo acuerdo expreso entre las partes, la oferta y su aceptación podrán expresarse por medio de un mensaje de datos, lo que implica que no se negará validez o fuerza obligatoria a un contrato por la sola razón de haberse utilizado en su formación uno o más mensajes de datos. </w:t>
      </w:r>
    </w:p>
    <w:p w14:paraId="29EB81AD" w14:textId="3E0B67DE" w:rsidR="00C41F7C" w:rsidRDefault="00E83954" w:rsidP="00E83954">
      <w:pPr>
        <w:rPr>
          <w:rFonts w:ascii="Verdana" w:hAnsi="Verdana" w:cs="Arial"/>
          <w:b/>
          <w:bCs/>
          <w:color w:val="000000" w:themeColor="text1"/>
          <w:shd w:val="clear" w:color="auto" w:fill="FFFFFF"/>
          <w:lang w:val="es-ES"/>
        </w:rPr>
      </w:pPr>
      <w:r w:rsidRPr="00C41F7C">
        <w:rPr>
          <w:rFonts w:ascii="Verdana" w:hAnsi="Verdana" w:cs="Arial"/>
          <w:b/>
          <w:bCs/>
          <w:color w:val="000000" w:themeColor="text1"/>
          <w:shd w:val="clear" w:color="auto" w:fill="FFFFFF"/>
          <w:lang w:val="es-ES"/>
        </w:rPr>
        <w:t>SECOP II </w:t>
      </w:r>
      <w:r w:rsidRPr="00C41F7C">
        <w:rPr>
          <w:rFonts w:ascii="Verdana" w:hAnsi="Verdana" w:cs="Arial"/>
          <w:b/>
          <w:bCs/>
          <w:color w:val="000000" w:themeColor="text1"/>
          <w:shd w:val="clear" w:color="auto" w:fill="FFFFFF"/>
          <w:lang w:val="es-MX"/>
        </w:rPr>
        <w:t>–</w:t>
      </w:r>
      <w:r w:rsidRPr="00C41F7C">
        <w:rPr>
          <w:rFonts w:ascii="Verdana" w:hAnsi="Verdana" w:cs="Arial"/>
          <w:b/>
          <w:bCs/>
          <w:color w:val="000000" w:themeColor="text1"/>
          <w:shd w:val="clear" w:color="auto" w:fill="FFFFFF"/>
          <w:lang w:val="es-ES"/>
        </w:rPr>
        <w:t> Modificaciones – validez</w:t>
      </w:r>
    </w:p>
    <w:p w14:paraId="10F47B22"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La naturaleza transaccional de la segunda versión de la plataforma implica que determinadas actuaciones de la actividad contractual se realizan directamente en línea, dentro de la plataforma, de manera que esta no constituye simplemente un repositorio en el cual posteriormente se cargan documentos producidos por fuera de ella. En este sentido, desde esta Agencia, se ha señalado que el SECOP II permite gestionar electrónicamente diferentes actuaciones contractuales y que, tratándose de las funcionalidades habilitadas en la plataforma, las entidades deben utilizar los mecanismos dispuestos para su trámite.</w:t>
      </w:r>
    </w:p>
    <w:p w14:paraId="0E248505"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Esta característica resulta especialmente relevante respecto de las modificaciones contractuales. SECOP II cuenta con una funcionalidad específica para la modificación del contrato, a través de la cual la entidad puede gestionar las modificaciones que correspondan, incluyendo aquellas que requieran la aceptación del contratista. El procedimiento previsto en la plataforma permite crear la modificación, enviarla para aprobación cuando sea necesario, aplicarla y dejar el respectivo registro dentro del expediente electrónico.</w:t>
      </w:r>
    </w:p>
    <w:p w14:paraId="2A0FD71A"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 xml:space="preserve">Por consiguiente, cuando la actuación que pretende realizarse corresponde a una modificación contractual para la cual SECOP II cuenta con una funcionalidad específica, </w:t>
      </w:r>
      <w:r w:rsidRPr="00227511">
        <w:rPr>
          <w:rFonts w:ascii="Verdana" w:hAnsi="Verdana" w:cs="Arial"/>
          <w:sz w:val="20"/>
          <w:szCs w:val="20"/>
          <w:lang w:eastAsia="es-ES"/>
        </w:rPr>
        <w:lastRenderedPageBreak/>
        <w:t>la entidad debe adelantarla mediante dicha plataforma. En estos casos, la suscripción física de un documento por fuera del sistema no sustituye el trámite transaccional previsto por SECOP II. La utilización de un documento físico no puede emplearse, entonces, como mecanismo para eludir el procedimiento electrónico que la plataforma ha establecido para una determinada actuación.</w:t>
      </w:r>
    </w:p>
    <w:p w14:paraId="3CBBC275"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Lo anterior, sin embargo, no significa que todos los documentos que hacen parte de la actividad contractual deban ser necesariamente generados dentro de SECOP II.</w:t>
      </w:r>
    </w:p>
    <w:p w14:paraId="0A1FDD52"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En reiteradas oportunidades como Ente rector de la contratación estatal hemos precisado que el carácter transaccional de SECOP II no impide que determinados documentos puedan ser creados originalmente por fuera de la plataforma, en medio físico o digital, para posteriormente ser incorporados al expediente electrónico. En efecto, el expediente contractual puede contener tanto documentos generados directamente en la plataforma como documentos producidos por otros medios que, posteriormente, son incorporados al expediente para efectos de su conservación, trazabilidad y publicidad.</w:t>
      </w:r>
    </w:p>
    <w:p w14:paraId="037A4BF7"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En este punto resulta necesario distinguir entre el medio mediante el cual se produce un documento y el mecanismo mediante el cual debe tramitarse una actuación contractual. Que un documento pueda ser elaborado físicamente no significa que la entidad pueda adelantar por fuera de SECOP II una actuación que la plataforma está diseñada para tramitar de manera transaccional.</w:t>
      </w:r>
    </w:p>
    <w:p w14:paraId="05C0E68D" w14:textId="77777777" w:rsidR="00227511" w:rsidRPr="00227511" w:rsidRDefault="00227511" w:rsidP="00227511">
      <w:pPr>
        <w:spacing w:after="120" w:line="240" w:lineRule="auto"/>
        <w:jc w:val="both"/>
        <w:rPr>
          <w:rFonts w:ascii="Verdana" w:hAnsi="Verdana" w:cs="Arial"/>
          <w:sz w:val="20"/>
          <w:szCs w:val="20"/>
          <w:lang w:eastAsia="es-ES"/>
        </w:rPr>
      </w:pPr>
      <w:r w:rsidRPr="00227511">
        <w:rPr>
          <w:rFonts w:ascii="Verdana" w:hAnsi="Verdana" w:cs="Arial"/>
          <w:sz w:val="20"/>
          <w:szCs w:val="20"/>
          <w:lang w:eastAsia="es-ES"/>
        </w:rPr>
        <w:t>Así, por ejemplo, puede existir un documento que, por su naturaleza, requiera ser elaborado o formalizado por fuera de la plataforma y que posteriormente deba incorporarse al expediente electrónico. En estos casos, la utilización del medio físico no constituye, por sí misma, una causal de invalidez. Lo relevante será que el documento cumpla los requisitos jurídicos que le sean exigibles y que, posteriormente, sea incorporado al expediente contractual en SECOP II, atendiendo las reglas de publicidad correspondientes.</w:t>
      </w:r>
    </w:p>
    <w:p w14:paraId="554880D5" w14:textId="25CC4E7B" w:rsidR="00E83954" w:rsidRDefault="00E83954" w:rsidP="00E83954">
      <w:pPr>
        <w:rPr>
          <w:rFonts w:ascii="Verdana" w:hAnsi="Verdana"/>
          <w:b/>
          <w:bCs/>
        </w:rPr>
      </w:pPr>
      <w:r w:rsidRPr="00C41F7C">
        <w:rPr>
          <w:rFonts w:ascii="Verdana" w:hAnsi="Verdana"/>
          <w:b/>
          <w:bCs/>
        </w:rPr>
        <w:t>DEBER DE PUBLICIDAD – SECOP II</w:t>
      </w:r>
    </w:p>
    <w:p w14:paraId="3A78334F" w14:textId="7084B723" w:rsidR="00351421" w:rsidRPr="00351421" w:rsidRDefault="00351421" w:rsidP="00351421">
      <w:pPr>
        <w:spacing w:line="240" w:lineRule="auto"/>
        <w:jc w:val="both"/>
        <w:rPr>
          <w:rFonts w:ascii="Verdana" w:eastAsia="Verdana" w:hAnsi="Verdana" w:cs="Verdana"/>
          <w:b/>
          <w:bCs/>
          <w:sz w:val="20"/>
          <w:szCs w:val="20"/>
        </w:rPr>
      </w:pPr>
      <w:r w:rsidRPr="00351421">
        <w:rPr>
          <w:rFonts w:ascii="Verdana" w:eastAsia="Times New Roman" w:hAnsi="Verdana" w:cs="Arial"/>
          <w:sz w:val="20"/>
          <w:szCs w:val="20"/>
          <w:lang w:val="es-ES_tradnl" w:eastAsia="es-ES_tradnl"/>
          <w14:ligatures w14:val="standardContextual"/>
        </w:rPr>
        <w:t>El principio de publicidad impone a las autoridades administrativas el deber de dar a conocer sus actos, contratos y decisiones, para que se divulguen y eventualmente se controlen. En sintonía con este postulado, en la contratación estatal el literal c) del artículo 3 de la Ley 1150 de 2007 establece el Sistema Electrónico para la Contratación Pública, en adelante SECOP, como un mecanismo que “contará con la información oficial de la contratación realizada con dineros públicos, para lo cual establecerá los patrones a que haya lugar y se encargará de su difusión a través de canales electrónicos”</w:t>
      </w:r>
      <w:r w:rsidRPr="00351421">
        <w:rPr>
          <w:rFonts w:ascii="Verdana" w:eastAsia="Times New Roman" w:hAnsi="Verdana" w:cs="Arial"/>
          <w:sz w:val="20"/>
          <w:szCs w:val="20"/>
          <w:lang w:val="es-ES_tradnl" w:eastAsia="es-ES_tradnl"/>
          <w14:ligatures w14:val="standardContextual"/>
        </w:rPr>
        <w:t>.</w:t>
      </w:r>
    </w:p>
    <w:p w14:paraId="4BB813F4" w14:textId="77777777" w:rsidR="00C41F7C" w:rsidRDefault="00C41F7C">
      <w:pPr>
        <w:rPr>
          <w:rFonts w:ascii="Verdana" w:eastAsia="Verdana" w:hAnsi="Verdana" w:cs="Verdana"/>
        </w:rPr>
      </w:pPr>
      <w:r>
        <w:rPr>
          <w:rFonts w:ascii="Verdana" w:eastAsia="Verdana" w:hAnsi="Verdana" w:cs="Verdana"/>
        </w:rPr>
        <w:br w:type="page"/>
      </w:r>
    </w:p>
    <w:p w14:paraId="57A8D8B2" w14:textId="06D8F192" w:rsidR="00FD634C" w:rsidRPr="0024624F" w:rsidRDefault="00237E44" w:rsidP="00FD634C">
      <w:pPr>
        <w:spacing w:after="0"/>
        <w:rPr>
          <w:rFonts w:ascii="Verdana" w:eastAsia="Verdana" w:hAnsi="Verdana" w:cs="Verdana"/>
        </w:rPr>
      </w:pPr>
      <w:r w:rsidRPr="00237E44">
        <w:rPr>
          <w:noProof/>
        </w:rPr>
        <w:lastRenderedPageBreak/>
        <w:drawing>
          <wp:anchor distT="0" distB="0" distL="114300" distR="114300" simplePos="0" relativeHeight="251658240" behindDoc="1" locked="0" layoutInCell="1" allowOverlap="1" wp14:anchorId="5B742B15" wp14:editId="0FAE9293">
            <wp:simplePos x="0" y="0"/>
            <wp:positionH relativeFrom="margin">
              <wp:align>right</wp:align>
            </wp:positionH>
            <wp:positionV relativeFrom="paragraph">
              <wp:posOffset>8531</wp:posOffset>
            </wp:positionV>
            <wp:extent cx="2446236" cy="676189"/>
            <wp:effectExtent l="0" t="0" r="0" b="0"/>
            <wp:wrapNone/>
            <wp:docPr id="124976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6236" cy="6761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5139" w:rsidRPr="30821638">
        <w:rPr>
          <w:rFonts w:ascii="Verdana" w:eastAsia="Verdana" w:hAnsi="Verdana" w:cs="Verdana"/>
        </w:rPr>
        <w:t xml:space="preserve">Bogotá D.C., </w:t>
      </w:r>
      <w:r>
        <w:rPr>
          <w:rFonts w:ascii="Verdana" w:eastAsia="Verdana" w:hAnsi="Verdana" w:cs="Verdana"/>
        </w:rPr>
        <w:t>15 Octubre 2026</w:t>
      </w:r>
      <w:r w:rsidR="00FD634C">
        <w:tab/>
      </w:r>
      <w:r w:rsidR="00FD634C">
        <w:br/>
      </w:r>
      <w:r w:rsidR="00FD634C">
        <w:tab/>
      </w:r>
    </w:p>
    <w:p w14:paraId="038DFF42" w14:textId="25353814" w:rsidR="00FD634C" w:rsidRPr="00CB7B00" w:rsidRDefault="00FD634C" w:rsidP="00FD634C">
      <w:pPr>
        <w:spacing w:after="0" w:line="276" w:lineRule="auto"/>
        <w:jc w:val="both"/>
        <w:rPr>
          <w:rFonts w:ascii="Verdana" w:eastAsia="Calibri" w:hAnsi="Verdana" w:cs="Arial"/>
          <w:lang w:eastAsia="es-ES"/>
        </w:rPr>
      </w:pPr>
      <w:r w:rsidRPr="00CB7B00">
        <w:rPr>
          <w:rFonts w:ascii="Verdana" w:eastAsia="Calibri" w:hAnsi="Verdana" w:cs="Arial"/>
          <w:lang w:eastAsia="es-ES"/>
        </w:rPr>
        <w:t>Señor</w:t>
      </w:r>
      <w:r w:rsidRPr="00DA1A73">
        <w:rPr>
          <w:noProof/>
        </w:rPr>
        <w:t xml:space="preserve"> </w:t>
      </w:r>
    </w:p>
    <w:p w14:paraId="79862B3D" w14:textId="77777777" w:rsidR="00FD634C" w:rsidRDefault="00FD634C" w:rsidP="00FD634C">
      <w:pPr>
        <w:spacing w:after="0" w:line="276" w:lineRule="auto"/>
        <w:rPr>
          <w:rFonts w:ascii="Verdana" w:eastAsia="Calibri" w:hAnsi="Verdana" w:cs="Times New Roman"/>
          <w:b/>
          <w:bCs/>
        </w:rPr>
      </w:pPr>
      <w:r w:rsidRPr="00FB581B">
        <w:rPr>
          <w:rFonts w:ascii="Verdana" w:eastAsia="Calibri" w:hAnsi="Verdana" w:cs="Times New Roman"/>
          <w:b/>
          <w:bCs/>
        </w:rPr>
        <w:t>Rafael Hernando</w:t>
      </w:r>
      <w:r>
        <w:rPr>
          <w:rFonts w:ascii="Verdana" w:eastAsia="Calibri" w:hAnsi="Verdana" w:cs="Times New Roman"/>
          <w:b/>
          <w:bCs/>
        </w:rPr>
        <w:t xml:space="preserve"> </w:t>
      </w:r>
      <w:r w:rsidRPr="00FB581B">
        <w:rPr>
          <w:rFonts w:ascii="Verdana" w:eastAsia="Calibri" w:hAnsi="Verdana" w:cs="Times New Roman"/>
          <w:b/>
          <w:bCs/>
        </w:rPr>
        <w:t>Valenzuela Embus</w:t>
      </w:r>
    </w:p>
    <w:p w14:paraId="2B35C011" w14:textId="77777777" w:rsidR="00FD634C" w:rsidRPr="00065194" w:rsidRDefault="00FD634C" w:rsidP="00FD634C">
      <w:pPr>
        <w:spacing w:after="0" w:line="276" w:lineRule="auto"/>
        <w:rPr>
          <w:rFonts w:ascii="Verdana" w:hAnsi="Verdana"/>
        </w:rPr>
      </w:pPr>
      <w:hyperlink r:id="rId11" w:history="1">
        <w:r w:rsidRPr="00065194">
          <w:rPr>
            <w:rStyle w:val="Hipervnculo"/>
            <w:rFonts w:ascii="Verdana" w:hAnsi="Verdana"/>
          </w:rPr>
          <w:t>rafaelhernandovalenzuelaembus@gmail.com</w:t>
        </w:r>
      </w:hyperlink>
    </w:p>
    <w:p w14:paraId="48161E39" w14:textId="77777777" w:rsidR="00FD634C" w:rsidRPr="00CB7B00" w:rsidRDefault="00FD634C" w:rsidP="00FD634C">
      <w:pPr>
        <w:spacing w:after="0" w:line="276" w:lineRule="auto"/>
        <w:rPr>
          <w:rFonts w:ascii="Verdana" w:hAnsi="Verdana"/>
        </w:rPr>
      </w:pPr>
      <w:r>
        <w:rPr>
          <w:rFonts w:ascii="Verdana" w:hAnsi="Verdana"/>
        </w:rPr>
        <w:t>La Plata</w:t>
      </w:r>
      <w:r w:rsidRPr="00CB7B00">
        <w:rPr>
          <w:rFonts w:ascii="Verdana" w:hAnsi="Verdana"/>
        </w:rPr>
        <w:t xml:space="preserve"> </w:t>
      </w:r>
      <w:r>
        <w:rPr>
          <w:rFonts w:ascii="Verdana" w:hAnsi="Verdana"/>
        </w:rPr>
        <w:t>–</w:t>
      </w:r>
      <w:r w:rsidRPr="00CB7B00">
        <w:rPr>
          <w:rFonts w:ascii="Verdana" w:hAnsi="Verdana"/>
        </w:rPr>
        <w:t xml:space="preserve"> </w:t>
      </w:r>
      <w:r>
        <w:rPr>
          <w:rFonts w:ascii="Verdana" w:hAnsi="Verdana"/>
        </w:rPr>
        <w:t>Huila,</w:t>
      </w:r>
      <w:r w:rsidRPr="00CB7B00">
        <w:rPr>
          <w:rFonts w:ascii="Verdana" w:hAnsi="Verdana"/>
        </w:rPr>
        <w:t xml:space="preserve"> Colombia</w:t>
      </w:r>
    </w:p>
    <w:p w14:paraId="13924694" w14:textId="77777777" w:rsidR="00FD634C" w:rsidRPr="00CB7B00" w:rsidRDefault="00FD634C" w:rsidP="00FD634C">
      <w:pPr>
        <w:spacing w:after="0" w:line="276" w:lineRule="auto"/>
        <w:rPr>
          <w:rFonts w:ascii="Verdana" w:hAnsi="Verdana"/>
        </w:rPr>
      </w:pPr>
    </w:p>
    <w:p w14:paraId="6DAA5562" w14:textId="77777777" w:rsidR="00FD634C" w:rsidRPr="00CB7B00" w:rsidRDefault="00FD634C" w:rsidP="00FD634C">
      <w:pPr>
        <w:spacing w:line="276" w:lineRule="auto"/>
        <w:ind w:left="2124"/>
        <w:rPr>
          <w:rFonts w:ascii="Verdana" w:eastAsia="Calibri" w:hAnsi="Verdana" w:cs="Arial"/>
          <w:b/>
          <w:bCs/>
          <w:lang w:eastAsia="es-ES"/>
        </w:rPr>
      </w:pPr>
      <w:r w:rsidRPr="00CB7B00">
        <w:rPr>
          <w:rFonts w:ascii="Verdana" w:eastAsia="Calibri" w:hAnsi="Verdana" w:cs="Arial"/>
          <w:b/>
          <w:bCs/>
          <w:lang w:eastAsia="es-ES"/>
        </w:rPr>
        <w:t xml:space="preserve">        Concepto </w:t>
      </w:r>
      <w:r w:rsidRPr="009F0C9C">
        <w:rPr>
          <w:rFonts w:ascii="Verdana" w:eastAsia="Calibri" w:hAnsi="Verdana" w:cs="Arial"/>
          <w:b/>
          <w:bCs/>
          <w:lang w:eastAsia="es-ES"/>
        </w:rPr>
        <w:t>C-1521</w:t>
      </w:r>
      <w:r>
        <w:rPr>
          <w:rFonts w:ascii="Verdana" w:eastAsia="Calibri" w:hAnsi="Verdana" w:cs="Arial"/>
          <w:b/>
          <w:bCs/>
          <w:lang w:eastAsia="es-ES"/>
        </w:rPr>
        <w:t xml:space="preserve"> </w:t>
      </w:r>
      <w:r w:rsidRPr="00CB7B00">
        <w:rPr>
          <w:rFonts w:ascii="Verdana" w:eastAsia="Calibri" w:hAnsi="Verdana" w:cs="Arial"/>
          <w:b/>
          <w:bCs/>
          <w:lang w:eastAsia="es-ES"/>
        </w:rPr>
        <w:t>de 2026</w:t>
      </w:r>
    </w:p>
    <w:tbl>
      <w:tblPr>
        <w:tblStyle w:val="Tablaconcuadrcula"/>
        <w:tblW w:w="878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100"/>
      </w:tblGrid>
      <w:tr w:rsidR="00FD634C" w:rsidRPr="00CB7B00" w14:paraId="4EF4E870" w14:textId="77777777" w:rsidTr="00774ACE">
        <w:trPr>
          <w:trHeight w:val="884"/>
        </w:trPr>
        <w:tc>
          <w:tcPr>
            <w:tcW w:w="2689" w:type="dxa"/>
          </w:tcPr>
          <w:p w14:paraId="3A9A8497" w14:textId="77777777" w:rsidR="00FD634C" w:rsidRPr="00CB7B00" w:rsidRDefault="00FD634C" w:rsidP="00774ACE">
            <w:pPr>
              <w:spacing w:line="276" w:lineRule="auto"/>
              <w:jc w:val="both"/>
              <w:rPr>
                <w:rFonts w:ascii="Verdana" w:eastAsia="Calibri" w:hAnsi="Verdana" w:cs="Arial"/>
                <w:color w:val="000000"/>
                <w:lang w:eastAsia="es-ES_tradnl"/>
              </w:rPr>
            </w:pPr>
            <w:r w:rsidRPr="00CB7B00">
              <w:rPr>
                <w:rFonts w:ascii="Verdana" w:eastAsia="Calibri" w:hAnsi="Verdana" w:cs="Arial"/>
                <w:b/>
                <w:color w:val="000000"/>
                <w:lang w:eastAsia="es-ES_tradnl"/>
              </w:rPr>
              <w:t>Temas:</w:t>
            </w:r>
            <w:r w:rsidRPr="00CB7B00">
              <w:rPr>
                <w:rFonts w:ascii="Verdana" w:eastAsia="Calibri" w:hAnsi="Verdana" w:cs="Arial"/>
                <w:color w:val="000000"/>
                <w:lang w:eastAsia="es-ES_tradnl"/>
              </w:rPr>
              <w:t xml:space="preserve">                   </w:t>
            </w:r>
          </w:p>
        </w:tc>
        <w:tc>
          <w:tcPr>
            <w:tcW w:w="6100" w:type="dxa"/>
          </w:tcPr>
          <w:p w14:paraId="29F9B85C" w14:textId="77777777" w:rsidR="00FD634C" w:rsidRDefault="00FD634C" w:rsidP="005F4D21">
            <w:pPr>
              <w:jc w:val="both"/>
              <w:rPr>
                <w:rFonts w:ascii="Verdana" w:hAnsi="Verdana"/>
              </w:rPr>
            </w:pPr>
            <w:r w:rsidRPr="00642BF3">
              <w:rPr>
                <w:rFonts w:ascii="Verdana" w:hAnsi="Verdana" w:cs="Arial"/>
                <w:color w:val="000000" w:themeColor="text1"/>
                <w:shd w:val="clear" w:color="auto" w:fill="FFFFFF"/>
                <w:lang w:val="es-ES"/>
              </w:rPr>
              <w:t>SECOP II </w:t>
            </w:r>
            <w:r w:rsidRPr="00642BF3">
              <w:rPr>
                <w:rFonts w:ascii="Verdana" w:hAnsi="Verdana" w:cs="Arial"/>
                <w:color w:val="000000" w:themeColor="text1"/>
                <w:shd w:val="clear" w:color="auto" w:fill="FFFFFF"/>
                <w:lang w:val="es-MX"/>
              </w:rPr>
              <w:t>–</w:t>
            </w:r>
            <w:r w:rsidRPr="00642BF3">
              <w:rPr>
                <w:rFonts w:ascii="Verdana" w:hAnsi="Verdana" w:cs="Arial"/>
                <w:color w:val="000000" w:themeColor="text1"/>
                <w:shd w:val="clear" w:color="auto" w:fill="FFFFFF"/>
                <w:lang w:val="es-ES"/>
              </w:rPr>
              <w:t> Plataforma Transaccional</w:t>
            </w:r>
            <w:r>
              <w:rPr>
                <w:rFonts w:ascii="Verdana" w:hAnsi="Verdana" w:cs="Arial"/>
                <w:color w:val="000000" w:themeColor="text1"/>
                <w:shd w:val="clear" w:color="auto" w:fill="FFFFFF"/>
                <w:lang w:val="es-ES"/>
              </w:rPr>
              <w:t xml:space="preserve"> - publicidad</w:t>
            </w:r>
            <w:r w:rsidRPr="00642BF3">
              <w:rPr>
                <w:rFonts w:ascii="Verdana" w:hAnsi="Verdana" w:cs="Arial"/>
                <w:color w:val="000000" w:themeColor="text1"/>
                <w:shd w:val="clear" w:color="auto" w:fill="FFFFFF"/>
                <w:lang w:val="es-ES"/>
              </w:rPr>
              <w:t xml:space="preserve"> </w:t>
            </w:r>
            <w:r w:rsidRPr="00642BF3">
              <w:rPr>
                <w:rFonts w:ascii="Verdana" w:eastAsia="Calibri" w:hAnsi="Verdana" w:cs="Arial"/>
                <w:lang w:val="es-ES" w:eastAsia="es-ES"/>
              </w:rPr>
              <w:t xml:space="preserve">/ </w:t>
            </w:r>
            <w:r w:rsidRPr="00642BF3">
              <w:rPr>
                <w:rFonts w:ascii="Verdana" w:hAnsi="Verdana" w:cs="Arial"/>
                <w:color w:val="000000" w:themeColor="text1"/>
                <w:shd w:val="clear" w:color="auto" w:fill="FFFFFF"/>
                <w:lang w:val="es-ES"/>
              </w:rPr>
              <w:t>SECOP II </w:t>
            </w:r>
            <w:r w:rsidRPr="00642BF3">
              <w:rPr>
                <w:rFonts w:ascii="Verdana" w:hAnsi="Verdana" w:cs="Arial"/>
                <w:color w:val="000000" w:themeColor="text1"/>
                <w:shd w:val="clear" w:color="auto" w:fill="FFFFFF"/>
                <w:lang w:val="es-MX"/>
              </w:rPr>
              <w:t>–</w:t>
            </w:r>
            <w:r w:rsidRPr="00642BF3">
              <w:rPr>
                <w:rFonts w:ascii="Verdana" w:hAnsi="Verdana" w:cs="Arial"/>
                <w:color w:val="000000" w:themeColor="text1"/>
                <w:shd w:val="clear" w:color="auto" w:fill="FFFFFF"/>
                <w:lang w:val="es-ES"/>
              </w:rPr>
              <w:t xml:space="preserve"> Modificaciones </w:t>
            </w:r>
            <w:r w:rsidR="000C2A2B">
              <w:rPr>
                <w:rFonts w:ascii="Verdana" w:hAnsi="Verdana" w:cs="Arial"/>
                <w:color w:val="000000" w:themeColor="text1"/>
                <w:shd w:val="clear" w:color="auto" w:fill="FFFFFF"/>
                <w:lang w:val="es-ES"/>
              </w:rPr>
              <w:t>–</w:t>
            </w:r>
            <w:r>
              <w:rPr>
                <w:rFonts w:ascii="Verdana" w:hAnsi="Verdana" w:cs="Arial"/>
                <w:color w:val="000000" w:themeColor="text1"/>
                <w:shd w:val="clear" w:color="auto" w:fill="FFFFFF"/>
                <w:lang w:val="es-ES"/>
              </w:rPr>
              <w:t xml:space="preserve"> validez</w:t>
            </w:r>
            <w:r w:rsidR="000C2A2B">
              <w:rPr>
                <w:rFonts w:ascii="Verdana" w:hAnsi="Verdana" w:cs="Arial"/>
                <w:color w:val="000000" w:themeColor="text1"/>
                <w:shd w:val="clear" w:color="auto" w:fill="FFFFFF"/>
                <w:lang w:val="es-ES"/>
              </w:rPr>
              <w:t xml:space="preserve"> / </w:t>
            </w:r>
            <w:r w:rsidR="000C2A2B" w:rsidRPr="00177046">
              <w:rPr>
                <w:rFonts w:ascii="Verdana" w:hAnsi="Verdana"/>
              </w:rPr>
              <w:t>DEBER DE PUBLICIDAD – SECOP II</w:t>
            </w:r>
          </w:p>
          <w:p w14:paraId="54DD7596" w14:textId="47866ECE" w:rsidR="005F4D21" w:rsidRPr="00AA1103" w:rsidRDefault="005F4D21" w:rsidP="005F4D21">
            <w:pPr>
              <w:jc w:val="both"/>
              <w:rPr>
                <w:rFonts w:ascii="Verdana" w:eastAsia="Calibri" w:hAnsi="Verdana" w:cs="Arial"/>
                <w:lang w:eastAsia="es-ES"/>
              </w:rPr>
            </w:pPr>
          </w:p>
        </w:tc>
      </w:tr>
      <w:tr w:rsidR="00FD634C" w:rsidRPr="00CB7B00" w14:paraId="41B2B1F7" w14:textId="77777777" w:rsidTr="00774ACE">
        <w:tc>
          <w:tcPr>
            <w:tcW w:w="2689" w:type="dxa"/>
          </w:tcPr>
          <w:p w14:paraId="2485EE93" w14:textId="77777777" w:rsidR="00FD634C" w:rsidRPr="00CB7B00" w:rsidRDefault="00FD634C" w:rsidP="00774ACE">
            <w:pPr>
              <w:spacing w:line="276" w:lineRule="auto"/>
              <w:jc w:val="both"/>
              <w:rPr>
                <w:rFonts w:ascii="Verdana" w:eastAsia="Calibri" w:hAnsi="Verdana" w:cs="Arial"/>
                <w:b/>
                <w:lang w:eastAsia="es-ES_tradnl"/>
              </w:rPr>
            </w:pPr>
            <w:r w:rsidRPr="00CB7B00">
              <w:rPr>
                <w:rFonts w:ascii="Verdana" w:eastAsia="Calibri" w:hAnsi="Verdana" w:cs="Arial"/>
                <w:b/>
                <w:lang w:eastAsia="es-ES_tradnl"/>
              </w:rPr>
              <w:t>Radicación:</w:t>
            </w:r>
            <w:r w:rsidRPr="00CB7B00">
              <w:rPr>
                <w:rFonts w:ascii="Verdana" w:eastAsia="Calibri" w:hAnsi="Verdana" w:cs="Arial"/>
                <w:lang w:eastAsia="es-ES_tradnl"/>
              </w:rPr>
              <w:t xml:space="preserve">               </w:t>
            </w:r>
          </w:p>
        </w:tc>
        <w:tc>
          <w:tcPr>
            <w:tcW w:w="6100" w:type="dxa"/>
          </w:tcPr>
          <w:p w14:paraId="411E47BB" w14:textId="7876DC9F" w:rsidR="005F4D21" w:rsidRPr="00CB7B00" w:rsidRDefault="00FD634C" w:rsidP="00774ACE">
            <w:pPr>
              <w:spacing w:line="276" w:lineRule="auto"/>
              <w:jc w:val="both"/>
              <w:rPr>
                <w:rFonts w:ascii="Verdana" w:eastAsia="Calibri" w:hAnsi="Verdana" w:cs="Arial"/>
                <w:lang w:eastAsia="es-ES_tradnl"/>
              </w:rPr>
            </w:pPr>
            <w:r w:rsidRPr="00CB7B00">
              <w:rPr>
                <w:rFonts w:ascii="Verdana" w:eastAsia="Calibri" w:hAnsi="Verdana" w:cs="Arial"/>
                <w:lang w:eastAsia="es-ES_tradnl"/>
              </w:rPr>
              <w:t xml:space="preserve">Respuesta a consultas con radicado No. </w:t>
            </w:r>
            <w:r w:rsidRPr="00F25084">
              <w:rPr>
                <w:rFonts w:ascii="Verdana" w:eastAsia="Calibri" w:hAnsi="Verdana" w:cs="Arial"/>
                <w:lang w:eastAsia="es-ES_tradnl"/>
              </w:rPr>
              <w:t>1_2026_09_25_012943</w:t>
            </w:r>
            <w:r>
              <w:rPr>
                <w:rFonts w:ascii="Verdana" w:eastAsia="Calibri" w:hAnsi="Verdana" w:cs="Arial"/>
                <w:lang w:eastAsia="es-ES_tradnl"/>
              </w:rPr>
              <w:t xml:space="preserve"> acumulada con el radicado No. </w:t>
            </w:r>
            <w:r w:rsidRPr="00B60C76">
              <w:rPr>
                <w:rFonts w:ascii="Verdana" w:eastAsia="Calibri" w:hAnsi="Verdana" w:cs="Arial"/>
                <w:lang w:eastAsia="es-ES_tradnl"/>
              </w:rPr>
              <w:t>1_2026_09_25_012951</w:t>
            </w:r>
            <w:r>
              <w:rPr>
                <w:rFonts w:ascii="Verdana" w:eastAsia="Calibri" w:hAnsi="Verdana" w:cs="Arial"/>
                <w:lang w:eastAsia="es-ES_tradnl"/>
              </w:rPr>
              <w:t xml:space="preserve">  </w:t>
            </w:r>
          </w:p>
        </w:tc>
      </w:tr>
    </w:tbl>
    <w:p w14:paraId="7F62332F" w14:textId="77777777" w:rsidR="00FD634C" w:rsidRPr="00CB7B00" w:rsidRDefault="00FD634C" w:rsidP="00FD634C">
      <w:pPr>
        <w:spacing w:before="240" w:after="0" w:line="276" w:lineRule="auto"/>
        <w:jc w:val="both"/>
        <w:rPr>
          <w:rFonts w:ascii="Verdana" w:eastAsia="Calibri" w:hAnsi="Verdana" w:cs="Arial"/>
          <w:lang w:eastAsia="es-ES"/>
        </w:rPr>
      </w:pPr>
      <w:r w:rsidRPr="00CB7B00">
        <w:rPr>
          <w:rFonts w:ascii="Verdana" w:eastAsia="Calibri" w:hAnsi="Verdana" w:cs="Arial"/>
          <w:lang w:eastAsia="es-ES"/>
        </w:rPr>
        <w:t>Estimad</w:t>
      </w:r>
      <w:r>
        <w:rPr>
          <w:rFonts w:ascii="Verdana" w:eastAsia="Calibri" w:hAnsi="Verdana" w:cs="Arial"/>
          <w:lang w:eastAsia="es-ES"/>
        </w:rPr>
        <w:t>o</w:t>
      </w:r>
      <w:r w:rsidRPr="00CB7B00">
        <w:rPr>
          <w:rFonts w:ascii="Verdana" w:eastAsia="Calibri" w:hAnsi="Verdana" w:cs="Arial"/>
          <w:lang w:eastAsia="es-ES"/>
        </w:rPr>
        <w:t xml:space="preserve"> señor </w:t>
      </w:r>
      <w:r>
        <w:rPr>
          <w:rFonts w:ascii="Verdana" w:eastAsia="Calibri" w:hAnsi="Verdana" w:cs="Arial"/>
          <w:lang w:eastAsia="es-ES"/>
        </w:rPr>
        <w:t>Valenzuela</w:t>
      </w:r>
      <w:r w:rsidRPr="00CB7B00">
        <w:rPr>
          <w:rFonts w:ascii="Verdana" w:eastAsia="Calibri" w:hAnsi="Verdana" w:cs="Arial"/>
          <w:lang w:eastAsia="es-ES"/>
        </w:rPr>
        <w:t>, cordial saludo:</w:t>
      </w:r>
    </w:p>
    <w:p w14:paraId="755285D6" w14:textId="77777777" w:rsidR="00FD634C" w:rsidRPr="00CB7B00" w:rsidRDefault="00FD634C" w:rsidP="00FD634C">
      <w:pPr>
        <w:spacing w:before="240" w:after="0" w:line="276" w:lineRule="auto"/>
        <w:jc w:val="both"/>
        <w:rPr>
          <w:rFonts w:ascii="Verdana" w:eastAsia="Calibri" w:hAnsi="Verdana" w:cs="Arial"/>
          <w:i/>
          <w:iCs/>
          <w:lang w:eastAsia="es-ES"/>
        </w:rPr>
      </w:pPr>
      <w:r w:rsidRPr="00CB7B00">
        <w:rPr>
          <w:rFonts w:ascii="Verdana" w:eastAsia="Calibri" w:hAnsi="Verdana" w:cs="Arial"/>
          <w:color w:val="000000"/>
          <w:lang w:eastAsia="es-ES"/>
        </w:rPr>
        <w:t>En ejercicio de la competencia otorgada por los artículos 3, numeral 5º, y 11, numeral 8º, del Decreto Ley 4170 de 2011,</w:t>
      </w:r>
      <w:r w:rsidRPr="00CB7B00">
        <w:rPr>
          <w:rFonts w:ascii="Verdana" w:eastAsia="Arial MT" w:hAnsi="Verdana" w:cs="Arial MT"/>
          <w:lang w:eastAsia="es-ES"/>
        </w:rPr>
        <w:t xml:space="preserve"> </w:t>
      </w:r>
      <w:r w:rsidRPr="00CB7B00">
        <w:rPr>
          <w:rFonts w:ascii="Verdana" w:eastAsia="Calibri" w:hAnsi="Verdana" w:cs="Arial"/>
        </w:rPr>
        <w:t xml:space="preserve">así como lo establecido en el artículo 4 de la Resolución 1707 de 2018 expedida por esta Entidad, </w:t>
      </w:r>
      <w:r w:rsidRPr="00CB7B00">
        <w:rPr>
          <w:rFonts w:ascii="Verdana" w:eastAsia="Calibri" w:hAnsi="Verdana" w:cs="Arial"/>
          <w:color w:val="000000"/>
          <w:lang w:eastAsia="es-ES"/>
        </w:rPr>
        <w:t xml:space="preserve">la Agencia Nacional de Contratación Pública – Colombia Compra Eficiente responde su solicitud de concepto del </w:t>
      </w:r>
      <w:r>
        <w:rPr>
          <w:rFonts w:ascii="Verdana" w:eastAsia="Calibri" w:hAnsi="Verdana" w:cs="Arial"/>
          <w:color w:val="000000"/>
          <w:lang w:eastAsia="es-ES"/>
        </w:rPr>
        <w:t>25</w:t>
      </w:r>
      <w:r w:rsidRPr="00CB7B00">
        <w:rPr>
          <w:rFonts w:ascii="Verdana" w:eastAsia="Calibri" w:hAnsi="Verdana" w:cs="Arial"/>
          <w:color w:val="000000"/>
          <w:lang w:eastAsia="es-ES"/>
        </w:rPr>
        <w:t xml:space="preserve"> de </w:t>
      </w:r>
      <w:r>
        <w:rPr>
          <w:rFonts w:ascii="Verdana" w:eastAsia="Calibri" w:hAnsi="Verdana" w:cs="Arial"/>
          <w:color w:val="000000"/>
          <w:lang w:eastAsia="es-ES"/>
        </w:rPr>
        <w:t>septiembre</w:t>
      </w:r>
      <w:r w:rsidRPr="00CB7B00">
        <w:rPr>
          <w:rFonts w:ascii="Verdana" w:eastAsia="Calibri" w:hAnsi="Verdana" w:cs="Arial"/>
          <w:color w:val="000000"/>
          <w:lang w:eastAsia="es-ES"/>
        </w:rPr>
        <w:t xml:space="preserve"> de 2026,</w:t>
      </w:r>
      <w:r w:rsidRPr="00CB7B00">
        <w:rPr>
          <w:rFonts w:ascii="Verdana" w:eastAsia="Calibri" w:hAnsi="Verdana" w:cs="Arial"/>
          <w:lang w:eastAsia="es-ES"/>
        </w:rPr>
        <w:t xml:space="preserve"> en las que manifiesta lo siguiente:</w:t>
      </w:r>
      <w:r w:rsidRPr="00CB7B00">
        <w:rPr>
          <w:rFonts w:ascii="Verdana" w:eastAsia="Calibri" w:hAnsi="Verdana" w:cs="Arial"/>
          <w:i/>
          <w:iCs/>
          <w:lang w:eastAsia="es-ES"/>
        </w:rPr>
        <w:t xml:space="preserve"> </w:t>
      </w:r>
      <w:bookmarkStart w:id="1" w:name="_Hlk95313578"/>
    </w:p>
    <w:p w14:paraId="79E55501" w14:textId="77777777" w:rsidR="00FD634C" w:rsidRPr="00CB7B00" w:rsidRDefault="00FD634C" w:rsidP="00FD634C">
      <w:pPr>
        <w:spacing w:after="0" w:line="276" w:lineRule="auto"/>
        <w:jc w:val="both"/>
        <w:rPr>
          <w:rFonts w:ascii="Verdana" w:eastAsia="Calibri" w:hAnsi="Verdana" w:cs="Arial"/>
          <w:i/>
          <w:iCs/>
          <w:lang w:eastAsia="es-ES"/>
        </w:rPr>
      </w:pPr>
    </w:p>
    <w:p w14:paraId="6DFB07B7" w14:textId="77777777" w:rsidR="00FD634C" w:rsidRDefault="00FD634C" w:rsidP="00FD634C">
      <w:pPr>
        <w:spacing w:after="0" w:line="276" w:lineRule="auto"/>
        <w:ind w:left="709" w:right="709"/>
        <w:jc w:val="both"/>
        <w:rPr>
          <w:rFonts w:ascii="Verdana" w:eastAsia="Arial" w:hAnsi="Verdana" w:cs="Arial"/>
          <w:i/>
          <w:iCs/>
          <w:color w:val="000000" w:themeColor="text1"/>
          <w:sz w:val="20"/>
          <w:szCs w:val="20"/>
        </w:rPr>
      </w:pPr>
      <w:r w:rsidRPr="00CB7B00">
        <w:rPr>
          <w:rFonts w:ascii="Verdana" w:eastAsia="Arial" w:hAnsi="Verdana" w:cs="Arial"/>
          <w:i/>
          <w:iCs/>
          <w:color w:val="000000" w:themeColor="text1"/>
          <w:sz w:val="20"/>
          <w:szCs w:val="20"/>
        </w:rPr>
        <w:t>“</w:t>
      </w:r>
      <w:bookmarkEnd w:id="1"/>
      <w:r>
        <w:rPr>
          <w:rFonts w:ascii="Verdana" w:eastAsia="Arial" w:hAnsi="Verdana" w:cs="Arial"/>
          <w:i/>
          <w:iCs/>
          <w:color w:val="000000" w:themeColor="text1"/>
          <w:sz w:val="20"/>
          <w:szCs w:val="20"/>
        </w:rPr>
        <w:t>(…)</w:t>
      </w:r>
    </w:p>
    <w:p w14:paraId="5263D72A" w14:textId="77777777" w:rsidR="00FD634C" w:rsidRDefault="00FD634C" w:rsidP="00FD634C">
      <w:pPr>
        <w:spacing w:after="0" w:line="276" w:lineRule="auto"/>
        <w:ind w:left="709" w:right="709"/>
        <w:jc w:val="both"/>
        <w:rPr>
          <w:rFonts w:ascii="Verdana" w:eastAsia="Arial" w:hAnsi="Verdana" w:cs="Arial"/>
          <w:i/>
          <w:iCs/>
          <w:color w:val="000000" w:themeColor="text1"/>
          <w:sz w:val="20"/>
          <w:szCs w:val="20"/>
        </w:rPr>
      </w:pPr>
    </w:p>
    <w:p w14:paraId="5B423E72" w14:textId="77777777" w:rsidR="00FD634C" w:rsidRDefault="00FD634C" w:rsidP="00FD634C">
      <w:pPr>
        <w:spacing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t xml:space="preserve">Con fundamento en lo anterior, me permito elevar las siguientes preguntas puntuales para que sean absueltas de fondo por la ANCP - Colombia Compra Eficiente: </w:t>
      </w:r>
    </w:p>
    <w:p w14:paraId="1762939A" w14:textId="77777777" w:rsidR="00FD634C" w:rsidRDefault="00FD634C" w:rsidP="00FD634C">
      <w:pPr>
        <w:spacing w:after="0" w:line="276" w:lineRule="auto"/>
        <w:ind w:left="709" w:right="709"/>
        <w:jc w:val="both"/>
        <w:rPr>
          <w:rFonts w:ascii="Verdana" w:eastAsia="Arial" w:hAnsi="Verdana" w:cs="Arial"/>
          <w:i/>
          <w:iCs/>
          <w:color w:val="000000" w:themeColor="text1"/>
          <w:sz w:val="20"/>
          <w:szCs w:val="20"/>
        </w:rPr>
      </w:pPr>
    </w:p>
    <w:p w14:paraId="3BC53BE9" w14:textId="77777777" w:rsidR="00FD634C" w:rsidRDefault="00FD634C" w:rsidP="00FD634C">
      <w:pPr>
        <w:spacing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t xml:space="preserve">PRIMERA: Teniendo en cuenta que la normativa permite la publicación de documentos dentro de los tres (3) días hábiles siguientes a su expedición, ¿es jurídicamente viable y conforme a la reglamentación de SECOP II publicar o reflejar una modificación contractual (Otrosí) en la plataforma después de la fecha de terminación del plazo de ejecución del contrato, siempre y cuando el documento físico del Otrosí haya sido firmado de forma manuscrita con una fecha anterior al vencimiento del plazo contractual? </w:t>
      </w:r>
    </w:p>
    <w:p w14:paraId="18981FA1" w14:textId="77777777" w:rsidR="00FD634C" w:rsidRDefault="00FD634C" w:rsidP="00FD634C">
      <w:pPr>
        <w:spacing w:before="240"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lastRenderedPageBreak/>
        <w:t xml:space="preserve">SEGUNDA: Al ser SECOP II una plataforma de naturaleza estrictamente transaccional, ¿hasta qué punto o en qué escenarios excepcionales la Entidad Estatal puede respaldar las modificaciones contractuales mediante documentos con firma física (manuscrita) en lugar de exigir la firma electrónica nativa del sistema o la aplicación de la aprobación con reconocimiento del proveedor? </w:t>
      </w:r>
    </w:p>
    <w:p w14:paraId="1F022FFE" w14:textId="77777777" w:rsidR="00FD634C" w:rsidRDefault="00FD634C" w:rsidP="00FD634C">
      <w:pPr>
        <w:spacing w:before="240"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t xml:space="preserve">TERCERA: Considerando que las modificaciones contractuales en SECOP II pueden estructurarse directamente en la plataforma (con o sin el uso de la opción de reconocimiento del proveedor), ¿se entiende que una modificación creada y aprobada dentro del flujo de la plataforma adquiere por sí misma la categoría de documento generado electrónicamente, quedando excluida de la regla de los tres (3) días hábiles de publicación posterior por ser de ejecución inmediata dentro del sistema? </w:t>
      </w:r>
    </w:p>
    <w:p w14:paraId="31F7E835" w14:textId="77777777" w:rsidR="00FD634C" w:rsidRDefault="00FD634C" w:rsidP="00FD634C">
      <w:pPr>
        <w:spacing w:before="240"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t xml:space="preserve">CUARTA: ¿Existe la obligación legal absoluta para las Entidades Estatales de tramitar las modificaciones contractuales únicamente de forma transaccional dentro de SECOP II, o conserva la entidad la facultad de suscribirlas físicamente y cargarlas como anexos? En este último evento, ¿en qué medida este procedimiento puede configurar un incumplimiento normativo susceptible de generar un hallazgo administrativo, disciplinario o fiscal por parte de los órganos de control? </w:t>
      </w:r>
    </w:p>
    <w:p w14:paraId="0E94174B" w14:textId="77777777" w:rsidR="00FD634C" w:rsidRDefault="00FD634C" w:rsidP="00FD634C">
      <w:pPr>
        <w:spacing w:before="240" w:after="0" w:line="276" w:lineRule="auto"/>
        <w:ind w:left="709" w:right="709"/>
        <w:jc w:val="both"/>
        <w:rPr>
          <w:rFonts w:ascii="Verdana" w:eastAsia="Arial" w:hAnsi="Verdana" w:cs="Arial"/>
          <w:i/>
          <w:iCs/>
          <w:color w:val="000000" w:themeColor="text1"/>
          <w:sz w:val="20"/>
          <w:szCs w:val="20"/>
        </w:rPr>
      </w:pPr>
      <w:r w:rsidRPr="004A5413">
        <w:rPr>
          <w:rFonts w:ascii="Verdana" w:eastAsia="Arial" w:hAnsi="Verdana" w:cs="Arial"/>
          <w:i/>
          <w:iCs/>
          <w:color w:val="000000" w:themeColor="text1"/>
          <w:sz w:val="20"/>
          <w:szCs w:val="20"/>
        </w:rPr>
        <w:t>QUINTA: ¿Qué documentos se entienden como generados electrónicamente? ¿Qué documentos se entienden como no generados electrónicamente?</w:t>
      </w:r>
    </w:p>
    <w:p w14:paraId="624E4A26" w14:textId="77777777" w:rsidR="00FD634C" w:rsidRDefault="00FD634C" w:rsidP="00FD634C">
      <w:pPr>
        <w:spacing w:before="240" w:after="0" w:line="276" w:lineRule="auto"/>
        <w:ind w:left="709" w:right="709"/>
        <w:jc w:val="both"/>
        <w:rPr>
          <w:rFonts w:ascii="Verdana" w:eastAsia="Calibri" w:hAnsi="Verdana" w:cs="Times New Roman"/>
          <w:i/>
          <w:iCs/>
          <w:sz w:val="20"/>
          <w:szCs w:val="20"/>
        </w:rPr>
      </w:pPr>
      <w:r>
        <w:rPr>
          <w:rFonts w:ascii="Verdana" w:eastAsia="Arial" w:hAnsi="Verdana" w:cs="Arial"/>
          <w:i/>
          <w:iCs/>
          <w:color w:val="000000" w:themeColor="text1"/>
          <w:sz w:val="20"/>
          <w:szCs w:val="20"/>
        </w:rPr>
        <w:t>(…)</w:t>
      </w:r>
      <w:r w:rsidRPr="00CB7B00">
        <w:rPr>
          <w:rFonts w:ascii="Verdana" w:eastAsia="Calibri" w:hAnsi="Verdana" w:cs="Times New Roman"/>
          <w:i/>
          <w:iCs/>
          <w:sz w:val="20"/>
          <w:szCs w:val="20"/>
        </w:rPr>
        <w:t>”.</w:t>
      </w:r>
    </w:p>
    <w:p w14:paraId="707F6C98" w14:textId="77777777" w:rsidR="00FD634C" w:rsidRPr="00CB7B00" w:rsidRDefault="00FD634C" w:rsidP="00FD634C">
      <w:pPr>
        <w:spacing w:after="0" w:line="276" w:lineRule="auto"/>
        <w:ind w:left="709" w:right="709"/>
        <w:jc w:val="both"/>
        <w:rPr>
          <w:rFonts w:ascii="Verdana" w:eastAsia="Calibri" w:hAnsi="Verdana" w:cs="Times New Roman"/>
          <w:i/>
          <w:iCs/>
          <w:sz w:val="20"/>
          <w:szCs w:val="20"/>
        </w:rPr>
      </w:pPr>
    </w:p>
    <w:p w14:paraId="6375E66C" w14:textId="77777777" w:rsidR="00FD634C" w:rsidRPr="00CB7B00" w:rsidRDefault="00FD634C" w:rsidP="00FD634C">
      <w:pPr>
        <w:spacing w:after="120" w:line="276" w:lineRule="auto"/>
        <w:ind w:firstLine="709"/>
        <w:jc w:val="both"/>
        <w:rPr>
          <w:rFonts w:ascii="Verdana" w:eastAsia="Calibri" w:hAnsi="Verdana" w:cs="Arial"/>
          <w:color w:val="000000"/>
          <w:lang w:eastAsia="es-ES"/>
        </w:rPr>
      </w:pPr>
      <w:r w:rsidRPr="00CB7B00">
        <w:rPr>
          <w:rFonts w:ascii="Verdana" w:eastAsia="Calibri" w:hAnsi="Verdana" w:cs="Arial"/>
          <w:color w:val="000000"/>
          <w:lang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w:t>
      </w:r>
      <w:r w:rsidRPr="00CB7B00">
        <w:rPr>
          <w:rFonts w:ascii="Verdana" w:eastAsia="Calibri" w:hAnsi="Verdana" w:cs="Arial"/>
          <w:color w:val="000000"/>
          <w:lang w:eastAsia="es-ES"/>
        </w:rPr>
        <w:lastRenderedPageBreak/>
        <w:t xml:space="preserve">interpretación de normas generales, por definición, no puede extenderse a la resolución de controversias ni a brindar asesorías sobre casos puntuales. </w:t>
      </w:r>
      <w:r w:rsidRPr="00CB7B00">
        <w:rPr>
          <w:rFonts w:ascii="Verdana" w:eastAsia="Calibri" w:hAnsi="Verdana" w:cs="Arial"/>
          <w:color w:val="000000"/>
          <w:lang w:eastAsia="es-ES_tradnl"/>
        </w:rPr>
        <w:tab/>
      </w:r>
    </w:p>
    <w:p w14:paraId="3D15A9F5" w14:textId="77777777" w:rsidR="00FD634C" w:rsidRPr="00CB7B00" w:rsidRDefault="00FD634C" w:rsidP="00FD634C">
      <w:pPr>
        <w:spacing w:line="276" w:lineRule="auto"/>
        <w:ind w:firstLine="709"/>
        <w:jc w:val="both"/>
        <w:rPr>
          <w:rFonts w:ascii="Verdana" w:eastAsia="Calibri" w:hAnsi="Verdana" w:cs="Arial"/>
          <w:color w:val="000000"/>
          <w:lang w:eastAsia="es-ES"/>
        </w:rPr>
      </w:pPr>
      <w:r w:rsidRPr="00CB7B00">
        <w:rPr>
          <w:rFonts w:ascii="Verdana" w:eastAsia="Calibri" w:hAnsi="Verdana" w:cs="Arial"/>
          <w:color w:val="000000"/>
          <w:lang w:eastAsia="es-ES"/>
        </w:rPr>
        <w:t>Conforme lo expuesto, en aras de satisfacer el derecho fundamental de petición se resolverá su consulta dentro de los límites de la referida competencia consultiva, esto es, haciendo abstracción de las circunstancias particulares y concretas mencionadas en las preguntas de la petición, pero haciendo unas consideraciones sobre las normas generales relacionadas con los</w:t>
      </w:r>
      <w:r w:rsidRPr="00CB7B00">
        <w:rPr>
          <w:rFonts w:ascii="Verdana" w:eastAsia="Calibri" w:hAnsi="Verdana" w:cs="Arial"/>
          <w:color w:val="7030A0"/>
          <w:lang w:eastAsia="es-ES"/>
        </w:rPr>
        <w:t xml:space="preserve"> </w:t>
      </w:r>
      <w:r w:rsidRPr="00CB7B00">
        <w:rPr>
          <w:rFonts w:ascii="Verdana" w:eastAsia="Calibri" w:hAnsi="Verdana" w:cs="Arial"/>
          <w:color w:val="000000"/>
          <w:lang w:eastAsia="es-ES"/>
        </w:rPr>
        <w:t>problemas</w:t>
      </w:r>
      <w:r w:rsidRPr="00CB7B00">
        <w:rPr>
          <w:rFonts w:ascii="Verdana" w:eastAsia="Calibri" w:hAnsi="Verdana" w:cs="Arial"/>
          <w:color w:val="7030A0"/>
          <w:lang w:eastAsia="es-ES"/>
        </w:rPr>
        <w:t xml:space="preserve"> </w:t>
      </w:r>
      <w:r w:rsidRPr="00CB7B00">
        <w:rPr>
          <w:rFonts w:ascii="Verdana" w:eastAsia="Calibri" w:hAnsi="Verdana" w:cs="Arial"/>
          <w:color w:val="000000"/>
          <w:lang w:eastAsia="es-ES"/>
        </w:rPr>
        <w:t>jurídicos</w:t>
      </w:r>
      <w:r w:rsidRPr="00CB7B00">
        <w:rPr>
          <w:rFonts w:ascii="Verdana" w:eastAsia="Calibri" w:hAnsi="Verdana" w:cs="Arial"/>
          <w:color w:val="7030A0"/>
          <w:lang w:eastAsia="es-ES"/>
        </w:rPr>
        <w:t xml:space="preserve"> </w:t>
      </w:r>
      <w:r w:rsidRPr="00CB7B00">
        <w:rPr>
          <w:rFonts w:ascii="Verdana" w:eastAsia="Calibri" w:hAnsi="Verdana" w:cs="Arial"/>
          <w:color w:val="000000"/>
          <w:lang w:eastAsia="es-ES"/>
        </w:rPr>
        <w:t xml:space="preserve">de su consulta. </w:t>
      </w:r>
    </w:p>
    <w:p w14:paraId="0325E4FD" w14:textId="77777777" w:rsidR="00FD634C" w:rsidRPr="00CB7B00" w:rsidRDefault="00FD634C" w:rsidP="00FD634C">
      <w:pPr>
        <w:pStyle w:val="Prrafodelista"/>
        <w:numPr>
          <w:ilvl w:val="0"/>
          <w:numId w:val="16"/>
        </w:numPr>
        <w:rPr>
          <w:rFonts w:ascii="Verdana" w:hAnsi="Verdana"/>
          <w:b/>
          <w:bCs/>
          <w:lang w:val="es-CO"/>
        </w:rPr>
      </w:pPr>
      <w:r w:rsidRPr="00CB7B00">
        <w:rPr>
          <w:rFonts w:ascii="Verdana" w:hAnsi="Verdana"/>
          <w:b/>
          <w:bCs/>
          <w:lang w:val="es-CO"/>
        </w:rPr>
        <w:t>Problema planteado:</w:t>
      </w:r>
    </w:p>
    <w:p w14:paraId="5FCE6E3D" w14:textId="027594DA" w:rsidR="00FD634C" w:rsidRDefault="00FD634C" w:rsidP="00FD634C">
      <w:pPr>
        <w:spacing w:line="276" w:lineRule="auto"/>
        <w:jc w:val="both"/>
        <w:rPr>
          <w:rFonts w:ascii="Verdana" w:eastAsia="Century Gothic" w:hAnsi="Verdana" w:cs="Century Gothic"/>
          <w:color w:val="000000" w:themeColor="text1"/>
        </w:rPr>
      </w:pPr>
      <w:r w:rsidRPr="00CB7B00">
        <w:rPr>
          <w:rFonts w:ascii="Verdana" w:eastAsia="Century Gothic" w:hAnsi="Verdana" w:cs="Century Gothic"/>
        </w:rPr>
        <w:t xml:space="preserve">De acuerdo con el contenido de su solicitud, esta Agencia resolverá </w:t>
      </w:r>
      <w:r w:rsidR="00CE0B20">
        <w:rPr>
          <w:rFonts w:ascii="Verdana" w:eastAsia="Century Gothic" w:hAnsi="Verdana" w:cs="Century Gothic"/>
        </w:rPr>
        <w:t>el</w:t>
      </w:r>
      <w:r w:rsidRPr="00CB7B00">
        <w:rPr>
          <w:rFonts w:ascii="Verdana" w:eastAsia="Century Gothic" w:hAnsi="Verdana" w:cs="Century Gothic"/>
        </w:rPr>
        <w:t xml:space="preserve"> siguiente</w:t>
      </w:r>
      <w:r w:rsidR="00CE0B20">
        <w:rPr>
          <w:rFonts w:ascii="Verdana" w:eastAsia="Century Gothic" w:hAnsi="Verdana" w:cs="Century Gothic"/>
        </w:rPr>
        <w:t xml:space="preserve"> </w:t>
      </w:r>
      <w:r w:rsidRPr="00CB7B00">
        <w:rPr>
          <w:rFonts w:ascii="Verdana" w:eastAsia="Century Gothic" w:hAnsi="Verdana" w:cs="Century Gothic"/>
        </w:rPr>
        <w:t xml:space="preserve">problema jurídico: </w:t>
      </w:r>
      <w:r w:rsidRPr="00642C88">
        <w:rPr>
          <w:rFonts w:ascii="Verdana" w:eastAsia="Century Gothic" w:hAnsi="Verdana" w:cs="Century Gothic"/>
          <w:color w:val="000000" w:themeColor="text1"/>
        </w:rPr>
        <w:t>¿Cuenta con validez una modificación a un contrato estatal gestionado a través de SECOP II cuando esta es suscrita físicamente por las partes y no es tramitada mediante la plataforma?</w:t>
      </w:r>
    </w:p>
    <w:p w14:paraId="0D67FA13" w14:textId="77777777" w:rsidR="00FD634C" w:rsidRPr="001D6DFF" w:rsidRDefault="00FD634C" w:rsidP="00FD634C">
      <w:pPr>
        <w:pStyle w:val="Prrafodelista"/>
        <w:numPr>
          <w:ilvl w:val="0"/>
          <w:numId w:val="16"/>
        </w:numPr>
        <w:spacing w:line="276" w:lineRule="auto"/>
        <w:jc w:val="both"/>
        <w:rPr>
          <w:rFonts w:ascii="Verdana" w:eastAsia="Century Gothic" w:hAnsi="Verdana" w:cs="Century Gothic"/>
          <w:b/>
          <w:bCs/>
        </w:rPr>
      </w:pPr>
      <w:r w:rsidRPr="001D6DFF">
        <w:rPr>
          <w:rFonts w:ascii="Verdana" w:eastAsia="Century Gothic" w:hAnsi="Verdana" w:cs="Century Gothic"/>
          <w:b/>
          <w:bCs/>
        </w:rPr>
        <w:t>Respuesta:</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FD634C" w:rsidRPr="00CB7B00" w14:paraId="0729A0D2" w14:textId="77777777" w:rsidTr="00774ACE">
        <w:trPr>
          <w:jc w:val="center"/>
        </w:trPr>
        <w:tc>
          <w:tcPr>
            <w:tcW w:w="8828" w:type="dxa"/>
          </w:tcPr>
          <w:p w14:paraId="68F16232" w14:textId="77777777" w:rsidR="00FD634C" w:rsidRPr="00CB78BB" w:rsidRDefault="00FD634C" w:rsidP="00774ACE">
            <w:pPr>
              <w:spacing w:after="120" w:line="276" w:lineRule="auto"/>
              <w:jc w:val="both"/>
              <w:rPr>
                <w:rFonts w:ascii="Verdana" w:hAnsi="Verdana" w:cs="Arial"/>
                <w:lang w:eastAsia="es-ES"/>
              </w:rPr>
            </w:pPr>
            <w:bookmarkStart w:id="2" w:name="_Hlk171694685"/>
            <w:r w:rsidRPr="00CB78BB">
              <w:rPr>
                <w:rFonts w:ascii="Verdana" w:hAnsi="Verdana" w:cs="Arial"/>
                <w:lang w:eastAsia="es-ES"/>
              </w:rPr>
              <w:t>Respecto a su consulta, debe señalarse que el artículo 3 de la Ley 1150 de 2007 establece el marco para la utilización de medios electrónicos en la contratación estatal y dispone que el Gobierno Nacional desarrollará el Sistema Electrónico para la Contratación Pública –SECOP– como instrumento para apoyar la contratación pública y permitir la realización de las actuaciones correspondientes por medios electrónicos. En desarrollo de este marco, el SECOP II fue concebido como una plataforma transaccional, a diferencia del SECOP I, que opera esencialmente como un sistema de publicidad. En este sentido, el SECOP II es una plataforma transaccional que permite gestionar en línea todos los procedimientos de contratación, con cuentas y usuarios asociados, tanto para las entidades como para los proveedores, y ofrece una vista pública para cualquier interesado que desee hacer seguimiento a la contratación pública.</w:t>
            </w:r>
          </w:p>
          <w:p w14:paraId="0F511A51" w14:textId="0E2E9706"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 xml:space="preserve">La naturaleza transaccional de </w:t>
            </w:r>
            <w:r w:rsidR="007C520F">
              <w:rPr>
                <w:rFonts w:ascii="Verdana" w:hAnsi="Verdana" w:cs="Arial"/>
                <w:lang w:eastAsia="es-ES"/>
              </w:rPr>
              <w:t xml:space="preserve">la segunda versión de </w:t>
            </w:r>
            <w:r w:rsidRPr="00CB78BB">
              <w:rPr>
                <w:rFonts w:ascii="Verdana" w:hAnsi="Verdana" w:cs="Arial"/>
                <w:lang w:eastAsia="es-ES"/>
              </w:rPr>
              <w:t xml:space="preserve">la plataforma implica que determinadas actuaciones de la actividad contractual se realizan directamente en línea, dentro de la plataforma, de manera que esta no constituye simplemente un repositorio en el cual posteriormente se cargan documentos producidos por fuera de ella. En este sentido, desde esta Agencia, se ha señalado que el SECOP II permite gestionar electrónicamente diferentes </w:t>
            </w:r>
            <w:r w:rsidRPr="00CB78BB">
              <w:rPr>
                <w:rFonts w:ascii="Verdana" w:hAnsi="Verdana" w:cs="Arial"/>
                <w:lang w:eastAsia="es-ES"/>
              </w:rPr>
              <w:lastRenderedPageBreak/>
              <w:t>actuaciones contractuales y que, tratándose de las funcionalidades habilitadas en la plataforma, las entidades deben utilizar los mecanismos dispuestos para su trámite.</w:t>
            </w:r>
          </w:p>
          <w:p w14:paraId="356B5C75"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Esta característica resulta especialmente relevante respecto de las modificaciones contractuales. SECOP II cuenta con una funcionalidad específica para la modificación del contrato, a través de la cual la entidad puede gestionar las modificaciones que correspondan, incluyendo aquellas que requieran la aceptación del contratista. El procedimiento previsto en la plataforma permite crear la modificación, enviarla para aprobación cuando sea necesario, aplicarla y dejar el respectivo registro dentro del expediente electrónico.</w:t>
            </w:r>
          </w:p>
          <w:p w14:paraId="72C6D5D5"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Por consiguiente, cuando la actuación que pretende realizarse corresponde a una modificación contractual para la cual SECOP II cuenta con una funcionalidad específica, la entidad debe adelantarla mediante dicha plataforma. En estos casos, la suscripción física de un documento por fuera del sistema no sustituye el trámite transaccional previsto por SECOP II. La utilización de un documento físico no puede emplearse, entonces, como mecanismo para eludir el procedimiento electrónico que la plataforma ha establecido para una determinada actuación.</w:t>
            </w:r>
          </w:p>
          <w:p w14:paraId="51064AB5"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Lo anterior, sin embargo, no significa que todos los documentos que hacen parte de la actividad contractual deban ser necesariamente generados dentro de SECOP II.</w:t>
            </w:r>
          </w:p>
          <w:p w14:paraId="796CE52E"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En reiteradas oportunidades como Ente rector de la contratación estatal hemos precisado que el carácter transaccional de SECOP II no impide que determinados documentos puedan ser creados originalmente por fuera de la plataforma, en medio físico o digital, para posteriormente ser incorporados al expediente electrónico. En efecto, el expediente contractual puede contener tanto documentos generados directamente en la plataforma como documentos producidos por otros medios que, posteriormente, son incorporados al expediente para efectos de su conservación, trazabilidad y publicidad.</w:t>
            </w:r>
          </w:p>
          <w:p w14:paraId="61A11756"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 xml:space="preserve">En este punto resulta necesario distinguir entre el medio mediante el cual se produce un documento y el mecanismo mediante el cual debe tramitarse una actuación contractual. Que un documento pueda ser elaborado físicamente no </w:t>
            </w:r>
            <w:r w:rsidRPr="00CB78BB">
              <w:rPr>
                <w:rFonts w:ascii="Verdana" w:hAnsi="Verdana" w:cs="Arial"/>
                <w:lang w:eastAsia="es-ES"/>
              </w:rPr>
              <w:lastRenderedPageBreak/>
              <w:t>significa que la entidad pueda adelantar por fuera de SECOP II una actuación que la plataforma está diseñada para tramitar de manera transaccional.</w:t>
            </w:r>
          </w:p>
          <w:p w14:paraId="7C09215E"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Así, por ejemplo, puede existir un documento que, por su naturaleza, requiera ser elaborado o formalizado por fuera de la plataforma y que posteriormente deba incorporarse al expediente electrónico. En estos casos, la utilización del medio físico no constituye, por sí misma, una causal de invalidez. Lo relevante será que el documento cumpla los requisitos jurídicos que le sean exigibles y que, posteriormente, sea incorporado al expediente contractual en SECOP II, atendiendo las reglas de publicidad correspondientes.</w:t>
            </w:r>
          </w:p>
          <w:p w14:paraId="05521F45"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Esta consideración adquiere especial importancia frente a documentos que instrumentan acuerdos o decisiones relacionados con la ejecución contractual. En tales eventos, deberá determinarse previamente si lo que se produjo por fuera de la plataforma es simplemente un documento soporte de una actuación o si, por el contrario, constituye la propia actuación contractual que SECOP II permite tramitar directamente.</w:t>
            </w:r>
          </w:p>
          <w:p w14:paraId="3A8640F4" w14:textId="5EBDC10A"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Si se trata de un documento soporte que puede producirse por fuera de la plataforma, su existencia física no afecta, por sí sola, su validez. Una vez producido, deberá incorporarse al expediente electrónico para garantizar la integridad y trazabilidad de la contratación</w:t>
            </w:r>
            <w:r w:rsidR="00136748">
              <w:rPr>
                <w:rFonts w:ascii="Verdana" w:hAnsi="Verdana" w:cs="Arial"/>
                <w:lang w:eastAsia="es-ES"/>
              </w:rPr>
              <w:t>, dentro de los términos legales.</w:t>
            </w:r>
          </w:p>
          <w:p w14:paraId="4B76B4E5"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Por el contrario, si el documento físico pretende sustituir una actuación que SECOP II permite realizar directamente mediante una funcionalidad transaccional —como ocurre con las modificaciones contractuales que pueden gestionarse a través del módulo correspondiente—, la entidad no puede considerar que la sola suscripción física del documento agotó el trámite correspondiente. En tal supuesto, deberá observarse el procedimiento establecido en la plataforma.</w:t>
            </w:r>
          </w:p>
          <w:p w14:paraId="24069062"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Ahora bien, debe diferenciarse igualmente el cumplimiento de las obligaciones de publicidad y utilización del SECOP II de la validez del negocio jurídico contractual. La omisión de una actuación de publicidad o el incumplimiento de una regla relativa al uso de la plataforma no permite afirmar automáticamente que el negocio jurídico celebrado o modificado sea inexistente o inválido.</w:t>
            </w:r>
          </w:p>
          <w:p w14:paraId="2ADDB540"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 xml:space="preserve">La validez de una modificación contractual debe analizarse a partir de las normas que regulan el contrato estatal y, en particular, de los requisitos exigibles para su modificación. Entre otros aspectos, deberá verificarse la </w:t>
            </w:r>
            <w:r w:rsidRPr="00CB78BB">
              <w:rPr>
                <w:rFonts w:ascii="Verdana" w:hAnsi="Verdana" w:cs="Arial"/>
                <w:lang w:eastAsia="es-ES"/>
              </w:rPr>
              <w:lastRenderedPageBreak/>
              <w:t>competencia de quien suscribe la modificación, la existencia del acuerdo de voluntades cuando se trate de una modificación bilateral, el cumplimiento de las formalidades sustanciales que resulten aplicables y la observancia de las demás exigencias legales y contractuales correspondientes.</w:t>
            </w:r>
          </w:p>
          <w:p w14:paraId="167F3431"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De manera independiente, deberá verificarse si la entidad cumplió las reglas relativas al trámite y publicidad de la actuación en SECOP II. Cuando la plataforma cuente con una funcionalidad específica para adelantar la actuación, esta deberá utilizarse; cuando se trate de un documento que pueda producirse por fuera de la plataforma, este podrá ser elaborado mediante soporte físico o digital, sin perjuicio de su posterior incorporación al expediente electrónico y del cumplimiento de las obligaciones de publicidad.</w:t>
            </w:r>
          </w:p>
          <w:p w14:paraId="2901EA68" w14:textId="77777777" w:rsidR="00FD634C" w:rsidRPr="00CB78BB" w:rsidRDefault="00FD634C" w:rsidP="00774ACE">
            <w:pPr>
              <w:spacing w:after="120" w:line="276" w:lineRule="auto"/>
              <w:jc w:val="both"/>
              <w:rPr>
                <w:rFonts w:ascii="Verdana" w:hAnsi="Verdana" w:cs="Arial"/>
                <w:lang w:eastAsia="es-ES"/>
              </w:rPr>
            </w:pPr>
            <w:r w:rsidRPr="00CB78BB">
              <w:rPr>
                <w:rFonts w:ascii="Verdana" w:hAnsi="Verdana" w:cs="Arial"/>
                <w:lang w:eastAsia="es-ES"/>
              </w:rPr>
              <w:t>En consecuencia, no existe una regla conforme a la cual todo documento físico que modifique un contrato tramitado en SECOP II sea, por ese solo hecho, jurídicamente inválido. La determinación de sus efectos jurídicos exige establecer la naturaleza concreta de la actuación, las funcionalidades disponibles en SECOP II y los requisitos sustanciales y formales aplicables a la modificación contractual.</w:t>
            </w:r>
          </w:p>
          <w:p w14:paraId="498A70DF" w14:textId="77777777" w:rsidR="00FD634C" w:rsidRDefault="00FD634C" w:rsidP="00774ACE">
            <w:pPr>
              <w:spacing w:after="120" w:line="276" w:lineRule="auto"/>
              <w:jc w:val="both"/>
              <w:rPr>
                <w:rFonts w:ascii="Verdana" w:hAnsi="Verdana" w:cs="Arial"/>
                <w:lang w:eastAsia="es-ES"/>
              </w:rPr>
            </w:pPr>
            <w:r w:rsidRPr="00CB78BB">
              <w:rPr>
                <w:rFonts w:ascii="Verdana" w:hAnsi="Verdana" w:cs="Arial"/>
                <w:lang w:eastAsia="es-ES"/>
              </w:rPr>
              <w:t>Por tanto, frente a la pregunta planteada, se concluye que un documento firmado físicamente que modifica un contrato tramitado en SECOP II no pierde su validez jurídica por el solo hecho de no haber sido generado o firmado electrónicamente en la plataforma. No obstante, si la modificación corresponde a una actuación para la cual SECOP II dispone de una funcionalidad transaccional específica, la entidad debe tramitarla mediante dicha funcionalidad, pues el carácter transaccional de la plataforma exige que las actuaciones que esta permite gestionar directamente se adelanten a través de los mecanismos electrónicos establecidos para tal fin.</w:t>
            </w:r>
          </w:p>
          <w:p w14:paraId="5F18F3BA" w14:textId="172C3B7C" w:rsidR="00FD634C" w:rsidRDefault="009F1781" w:rsidP="00774ACE">
            <w:pPr>
              <w:spacing w:after="120" w:line="276" w:lineRule="auto"/>
              <w:jc w:val="both"/>
              <w:rPr>
                <w:rFonts w:ascii="Verdana" w:hAnsi="Verdana" w:cs="Arial"/>
                <w:lang w:eastAsia="es-ES"/>
              </w:rPr>
            </w:pPr>
            <w:r w:rsidRPr="009F1781">
              <w:rPr>
                <w:rFonts w:ascii="Verdana" w:hAnsi="Verdana" w:cs="Arial"/>
                <w:lang w:eastAsia="es-ES"/>
              </w:rPr>
              <w:t xml:space="preserve">Por último, frente a los aspectos técnicos planteados en su petición, se informa que estos fueron atendidos por la Subdirección de Información y Desarrollo Tecnológico de esta entidad, en el marco de sus competencias. Por lo tanto, </w:t>
            </w:r>
            <w:r w:rsidR="00911AD1">
              <w:rPr>
                <w:rFonts w:ascii="Verdana" w:hAnsi="Verdana" w:cs="Arial"/>
                <w:lang w:eastAsia="es-ES"/>
              </w:rPr>
              <w:t xml:space="preserve">puede </w:t>
            </w:r>
            <w:r w:rsidRPr="009F1781">
              <w:rPr>
                <w:rFonts w:ascii="Verdana" w:hAnsi="Verdana" w:cs="Arial"/>
                <w:lang w:eastAsia="es-ES"/>
              </w:rPr>
              <w:t>consultar el documento anexo, en el que encontrará la respuesta correspondiente, junto con la información adicional relacionada con estos aspectos</w:t>
            </w:r>
            <w:r w:rsidR="00FD634C" w:rsidRPr="00FF0E4D">
              <w:rPr>
                <w:rFonts w:ascii="Verdana" w:hAnsi="Verdana" w:cs="Arial"/>
                <w:lang w:eastAsia="es-ES"/>
              </w:rPr>
              <w:t>.</w:t>
            </w:r>
            <w:r w:rsidR="00FD634C">
              <w:rPr>
                <w:rStyle w:val="Refdenotaalpie"/>
                <w:rFonts w:ascii="Verdana" w:hAnsi="Verdana" w:cs="Arial"/>
                <w:lang w:eastAsia="es-ES"/>
              </w:rPr>
              <w:footnoteReference w:id="1"/>
            </w:r>
          </w:p>
          <w:p w14:paraId="5B4B02CE" w14:textId="77777777" w:rsidR="00FD634C" w:rsidRDefault="00FD634C" w:rsidP="00774ACE">
            <w:pPr>
              <w:spacing w:after="120" w:line="276" w:lineRule="auto"/>
              <w:jc w:val="both"/>
              <w:rPr>
                <w:rFonts w:ascii="Verdana" w:hAnsi="Verdana" w:cs="Arial"/>
                <w:lang w:eastAsia="es-ES"/>
              </w:rPr>
            </w:pPr>
            <w:r w:rsidRPr="00CB78BB">
              <w:rPr>
                <w:rFonts w:ascii="Verdana" w:hAnsi="Verdana" w:cs="Arial"/>
                <w:lang w:eastAsia="es-ES"/>
              </w:rPr>
              <w:lastRenderedPageBreak/>
              <w:t>En suma, el soporte físico del documento no es, por sí mismo, el elemento que determina su validez jurídica. Lo determinante es establecer, de una parte, si la actuación contractual cumplió los requisitos exigidos para su validez y eficacia y, de otra, si la entidad observó las reglas de usabilidad de la plataforma correspondientes a la naturaleza de la actuación realizada. De esta manera, la obligación de utilizar las funcionalidades transaccionales de SECOP II no debe confundirse con una exigencia de que absolutamente todos los documentos contractuales sean originados dentro de la plataforma.</w:t>
            </w:r>
          </w:p>
          <w:p w14:paraId="67B789AD" w14:textId="77777777" w:rsidR="00FD634C" w:rsidRPr="00BF1878" w:rsidRDefault="00FD634C" w:rsidP="00774ACE">
            <w:pPr>
              <w:spacing w:after="120" w:line="276" w:lineRule="auto"/>
              <w:jc w:val="both"/>
              <w:rPr>
                <w:rFonts w:ascii="Verdana" w:eastAsia="Times New Roman" w:hAnsi="Verdana" w:cs="Times New Roman"/>
              </w:rPr>
            </w:pPr>
            <w:r w:rsidRPr="00BF1878">
              <w:rPr>
                <w:rFonts w:ascii="Verdana" w:hAnsi="Verdana" w:cs="Arial"/>
                <w:lang w:eastAsia="es-ES"/>
              </w:rPr>
              <w:t>Al margen de la explicación precedente debe advertirse que el análisis requerido para resolver problemas específicos en torno a la gestión contractual de las entidades públicas debe ser realizado por quienes tengan interés en ello, de acuerdo con lo explicado la aclaración preliminar del presente oficio. Por lo anterior, previo concepto de sus asesores, la solución de situaciones particulares corresponde a los interesados adoptar la decisión correspondiente y, en caso de conflicto, a las autoridades judiciales, fiscales y disciplinarias. Así, cada entidad definirá la forma de adelantar su gestión contractual, sin que sea atribución de Colombia Compra Eficiente validar sus actuaciones.</w:t>
            </w:r>
          </w:p>
        </w:tc>
      </w:tr>
      <w:bookmarkEnd w:id="2"/>
    </w:tbl>
    <w:p w14:paraId="630B4C23" w14:textId="77777777" w:rsidR="00FD634C" w:rsidRPr="00CB7B00" w:rsidRDefault="00FD634C" w:rsidP="00FD634C">
      <w:pPr>
        <w:pStyle w:val="Prrafodelista"/>
        <w:tabs>
          <w:tab w:val="left" w:pos="142"/>
          <w:tab w:val="left" w:pos="284"/>
        </w:tabs>
        <w:spacing w:after="0" w:line="276" w:lineRule="auto"/>
        <w:ind w:left="0"/>
        <w:contextualSpacing w:val="0"/>
        <w:rPr>
          <w:rFonts w:ascii="Verdana" w:eastAsia="Century Gothic" w:hAnsi="Verdana" w:cs="Century Gothic"/>
          <w:b/>
          <w:bCs/>
          <w:lang w:val="es-CO"/>
        </w:rPr>
      </w:pPr>
    </w:p>
    <w:p w14:paraId="4374CF3A" w14:textId="77777777" w:rsidR="00FD634C" w:rsidRPr="00CB7B00" w:rsidRDefault="00FD634C" w:rsidP="00FD634C">
      <w:pPr>
        <w:pStyle w:val="Prrafodelista"/>
        <w:numPr>
          <w:ilvl w:val="0"/>
          <w:numId w:val="16"/>
        </w:numPr>
        <w:tabs>
          <w:tab w:val="left" w:pos="142"/>
          <w:tab w:val="left" w:pos="284"/>
        </w:tabs>
        <w:spacing w:after="0" w:line="276" w:lineRule="auto"/>
        <w:contextualSpacing w:val="0"/>
        <w:rPr>
          <w:rFonts w:ascii="Verdana" w:eastAsia="Century Gothic" w:hAnsi="Verdana" w:cs="Century Gothic"/>
          <w:b/>
          <w:bCs/>
          <w:lang w:val="es-CO"/>
        </w:rPr>
      </w:pPr>
      <w:r w:rsidRPr="00CB7B00">
        <w:rPr>
          <w:rFonts w:ascii="Verdana" w:eastAsia="Century Gothic" w:hAnsi="Verdana" w:cs="Century Gothic"/>
          <w:b/>
          <w:bCs/>
          <w:lang w:val="es-CO"/>
        </w:rPr>
        <w:t>Razones de la respuesta:</w:t>
      </w:r>
    </w:p>
    <w:p w14:paraId="733ECF37" w14:textId="77777777" w:rsidR="00FD634C" w:rsidRDefault="00FD634C" w:rsidP="00FD634C">
      <w:pPr>
        <w:tabs>
          <w:tab w:val="left" w:pos="426"/>
        </w:tabs>
        <w:spacing w:before="240" w:after="120" w:line="276" w:lineRule="auto"/>
        <w:ind w:firstLine="425"/>
        <w:jc w:val="both"/>
        <w:rPr>
          <w:rFonts w:ascii="Verdana" w:eastAsia="Calibri" w:hAnsi="Verdana" w:cs="Arial"/>
        </w:rPr>
      </w:pPr>
      <w:r w:rsidRPr="00CB7B00">
        <w:rPr>
          <w:rFonts w:ascii="Verdana" w:eastAsia="Calibri" w:hAnsi="Verdana" w:cs="Arial"/>
        </w:rPr>
        <w:t>Lo anterior se sustenta en las siguientes consideraciones:</w:t>
      </w:r>
    </w:p>
    <w:p w14:paraId="3D1BD598" w14:textId="77777777" w:rsidR="00721463" w:rsidRPr="003F20E6" w:rsidRDefault="00721463" w:rsidP="00721463">
      <w:pPr>
        <w:spacing w:after="120" w:line="276" w:lineRule="auto"/>
        <w:jc w:val="both"/>
        <w:rPr>
          <w:rFonts w:ascii="Verdana" w:eastAsia="Times New Roman" w:hAnsi="Verdana" w:cs="Arial"/>
          <w:lang w:val="es-ES" w:eastAsia="es-ES"/>
          <w14:ligatures w14:val="standardContextual"/>
        </w:rPr>
      </w:pPr>
      <w:r w:rsidRPr="003F20E6">
        <w:rPr>
          <w:rFonts w:ascii="Verdana" w:eastAsia="Times New Roman" w:hAnsi="Verdana" w:cs="Arial"/>
          <w:lang w:val="es-ES" w:eastAsia="es-ES"/>
          <w14:ligatures w14:val="standardContextual"/>
        </w:rPr>
        <w:t xml:space="preserve">Uno de los postulados más importantes de un Estado Social y Democrático de Derecho es el principio de </w:t>
      </w:r>
      <w:r w:rsidRPr="003F20E6">
        <w:rPr>
          <w:rFonts w:ascii="Verdana" w:eastAsia="Times New Roman" w:hAnsi="Verdana" w:cs="Arial"/>
          <w:i/>
          <w:iCs/>
          <w:lang w:val="es-ES" w:eastAsia="es-ES"/>
          <w14:ligatures w14:val="standardContextual"/>
        </w:rPr>
        <w:t>publicidad</w:t>
      </w:r>
      <w:r w:rsidRPr="003F20E6">
        <w:rPr>
          <w:rFonts w:ascii="Verdana" w:eastAsia="Times New Roman" w:hAnsi="Verdana" w:cs="Arial"/>
          <w:lang w:val="es-ES" w:eastAsia="es-ES"/>
          <w14:ligatures w14:val="standardContextual"/>
        </w:rPr>
        <w:t>, pues este permite que las actuaciones de las autoridades gocen de visibilidad. En tal sentido, la filosofía política ha indicado que la democracia “[…] es idealmente el gobierno de un poder visible, es decir, el gobierno cuyos actos se realizan ante el público y bajo la supervisión de la opinión pública”</w:t>
      </w:r>
      <w:r w:rsidRPr="003F20E6">
        <w:rPr>
          <w:rFonts w:ascii="Verdana" w:eastAsia="Times New Roman" w:hAnsi="Verdana" w:cs="Arial"/>
          <w:vertAlign w:val="superscript"/>
          <w:lang w:val="es-ES" w:eastAsia="es-ES"/>
          <w14:ligatures w14:val="standardContextual"/>
        </w:rPr>
        <w:footnoteReference w:id="2"/>
      </w:r>
      <w:r w:rsidRPr="003F20E6">
        <w:rPr>
          <w:rFonts w:ascii="Verdana" w:eastAsia="Times New Roman" w:hAnsi="Verdana" w:cs="Arial"/>
          <w:lang w:val="es-ES" w:eastAsia="es-ES"/>
          <w14:ligatures w14:val="standardContextual"/>
        </w:rPr>
        <w:t xml:space="preserve">. El secreto generalizado en el ejercicio del poder político constituye, por el contrario, una negación de la democracia, porque dificulta la supervisión de las autoridades por parte de la sociedad civil y establece una barrera para la participación ciudadana. Inspirada en esta concepción axiológica, en los Estados de derecho se pregona la publicidad de las actuaciones de los poderes públicos. </w:t>
      </w:r>
    </w:p>
    <w:p w14:paraId="6FDDEB21" w14:textId="77777777" w:rsidR="00721463" w:rsidRPr="003F20E6" w:rsidRDefault="00721463" w:rsidP="00721463">
      <w:pPr>
        <w:spacing w:before="120" w:after="120" w:line="276" w:lineRule="auto"/>
        <w:ind w:firstLine="708"/>
        <w:jc w:val="both"/>
        <w:rPr>
          <w:rFonts w:ascii="Verdana" w:eastAsia="Times New Roman" w:hAnsi="Verdana" w:cs="Arial"/>
          <w:lang w:val="es-ES" w:eastAsia="es-ES"/>
          <w14:ligatures w14:val="standardContextual"/>
        </w:rPr>
      </w:pPr>
      <w:r w:rsidRPr="003F20E6">
        <w:rPr>
          <w:rFonts w:ascii="Verdana" w:eastAsia="Times New Roman" w:hAnsi="Verdana" w:cs="Arial"/>
          <w:lang w:val="es-ES" w:eastAsia="es-ES"/>
          <w14:ligatures w14:val="standardContextual"/>
        </w:rPr>
        <w:lastRenderedPageBreak/>
        <w:t xml:space="preserve">Como evidencia de ello, la Constitución Política de 1991 consagra en varios artículos la publicidad como un principio rector del Estado colombiano. Entre los más destacados, puede mencionarse el 209, que afirma que la publicidad es uno de los principios que fundamentan el ejercicio de la función administrativa, y el 74, que consagra la garantía de acceso a los documentos públicos que no gocen de reserva –y esta, además, es excepcional, pues solo procede si existe causal constitucional o legal expresa–. </w:t>
      </w:r>
    </w:p>
    <w:p w14:paraId="2F9232B2" w14:textId="77777777" w:rsidR="00721463" w:rsidRPr="003F20E6" w:rsidRDefault="00721463" w:rsidP="00721463">
      <w:pPr>
        <w:spacing w:before="120" w:after="120" w:line="276" w:lineRule="auto"/>
        <w:ind w:firstLine="709"/>
        <w:jc w:val="both"/>
        <w:rPr>
          <w:rFonts w:ascii="Verdana" w:eastAsia="Times New Roman" w:hAnsi="Verdana" w:cs="Arial"/>
          <w:lang w:val="es-ES_tradnl" w:eastAsia="es-ES_tradnl"/>
          <w14:ligatures w14:val="standardContextual"/>
        </w:rPr>
      </w:pPr>
      <w:r w:rsidRPr="003F20E6">
        <w:rPr>
          <w:rFonts w:ascii="Verdana" w:eastAsia="Times New Roman" w:hAnsi="Verdana" w:cs="Arial"/>
          <w:lang w:val="es-ES_tradnl" w:eastAsia="es-ES_tradnl"/>
          <w14:ligatures w14:val="standardContextual"/>
        </w:rPr>
        <w:t>El principio de publicidad impone a las autoridades administrativas el deber de dar a conocer sus actos, contratos y decisiones</w:t>
      </w:r>
      <w:r>
        <w:rPr>
          <w:rFonts w:ascii="Verdana" w:eastAsia="Times New Roman" w:hAnsi="Verdana" w:cs="Arial"/>
          <w:lang w:val="es-ES_tradnl" w:eastAsia="es-ES_tradnl"/>
          <w14:ligatures w14:val="standardContextual"/>
        </w:rPr>
        <w:t>,</w:t>
      </w:r>
      <w:r w:rsidRPr="003F20E6">
        <w:rPr>
          <w:rFonts w:ascii="Verdana" w:eastAsia="Times New Roman" w:hAnsi="Verdana" w:cs="Arial"/>
          <w:lang w:val="es-ES_tradnl" w:eastAsia="es-ES_tradnl"/>
          <w14:ligatures w14:val="standardContextual"/>
        </w:rPr>
        <w:t xml:space="preserve"> para que se divulguen y eventualmente se controlen. </w:t>
      </w:r>
      <w:r>
        <w:rPr>
          <w:rFonts w:ascii="Verdana" w:eastAsia="Times New Roman" w:hAnsi="Verdana" w:cs="Arial"/>
          <w:lang w:val="es-ES_tradnl" w:eastAsia="es-ES_tradnl"/>
          <w14:ligatures w14:val="standardContextual"/>
        </w:rPr>
        <w:t>En sintonía con este postulado</w:t>
      </w:r>
      <w:r w:rsidRPr="003F20E6">
        <w:rPr>
          <w:rFonts w:ascii="Verdana" w:eastAsia="Times New Roman" w:hAnsi="Verdana" w:cs="Arial"/>
          <w:lang w:val="es-ES_tradnl" w:eastAsia="es-ES_tradnl"/>
          <w14:ligatures w14:val="standardContextual"/>
        </w:rPr>
        <w:t>, en la contratación estatal el literal c) del artículo 3 de la Ley 1150 de 2007 establece el Sistema Electrónico para la Contratación Pública, en adelante SECOP, como un mecanismo que “contará con la información oficial de la contratación realizada con dineros públicos, para lo cual establecerá los patrones a que haya lugar y se encargará de su difusión a través de canales electrónicos”</w:t>
      </w:r>
      <w:r w:rsidRPr="003F20E6">
        <w:rPr>
          <w:rFonts w:ascii="Verdana" w:eastAsia="Times New Roman" w:hAnsi="Verdana" w:cs="Arial"/>
          <w:vertAlign w:val="superscript"/>
          <w:lang w:val="es-ES_tradnl" w:eastAsia="es-ES_tradnl"/>
          <w14:ligatures w14:val="standardContextual"/>
        </w:rPr>
        <w:footnoteReference w:id="3"/>
      </w:r>
      <w:r w:rsidRPr="003F20E6">
        <w:rPr>
          <w:rFonts w:ascii="Verdana" w:eastAsia="Times New Roman" w:hAnsi="Verdana" w:cs="Arial"/>
          <w:lang w:val="es-ES_tradnl" w:eastAsia="es-ES_tradnl"/>
          <w14:ligatures w14:val="standardContextual"/>
        </w:rPr>
        <w:t>.</w:t>
      </w:r>
    </w:p>
    <w:p w14:paraId="16AFAB1C" w14:textId="77777777" w:rsidR="00721463" w:rsidRPr="003F20E6" w:rsidRDefault="00721463" w:rsidP="00721463">
      <w:pPr>
        <w:spacing w:before="120" w:after="120" w:line="276" w:lineRule="auto"/>
        <w:ind w:firstLine="709"/>
        <w:jc w:val="both"/>
        <w:rPr>
          <w:rFonts w:ascii="Verdana" w:eastAsia="Times New Roman" w:hAnsi="Verdana" w:cs="Arial"/>
          <w:lang w:val="es-ES" w:eastAsia="es-ES"/>
          <w14:ligatures w14:val="standardContextual"/>
        </w:rPr>
      </w:pPr>
      <w:r w:rsidRPr="49A0212A">
        <w:rPr>
          <w:rFonts w:ascii="Verdana" w:eastAsia="Times New Roman" w:hAnsi="Verdana" w:cs="Arial"/>
          <w:lang w:val="es-ES" w:eastAsia="es-ES"/>
          <w14:ligatures w14:val="standardContextual"/>
        </w:rPr>
        <w:t>De otra parte, la Ley 1712 de 2014 –Ley estatutaria que regula la transparencia y el derecho de acceso a la información y a los documentos públicos–, identifica como principios que orientan el derecho de acceso a la información pública, el de máxima publicidad, transparencia en la información y buena fe. El principio de máxima publicidad establece que “toda información en posesión, bajo control o custodia de un sujeto obligado es pública y no podrá ser reservada o limitada sino por disposición constitucional o legal”</w:t>
      </w:r>
      <w:r w:rsidRPr="49A0212A">
        <w:rPr>
          <w:rFonts w:ascii="Verdana" w:eastAsia="Times New Roman" w:hAnsi="Verdana" w:cs="Arial"/>
          <w:vertAlign w:val="superscript"/>
          <w:lang w:val="es-ES" w:eastAsia="es-ES"/>
          <w14:ligatures w14:val="standardContextual"/>
        </w:rPr>
        <w:footnoteReference w:id="4"/>
      </w:r>
      <w:r w:rsidRPr="49A0212A">
        <w:rPr>
          <w:rFonts w:ascii="Verdana" w:eastAsia="Times New Roman" w:hAnsi="Verdana" w:cs="Arial"/>
          <w:lang w:val="es-ES" w:eastAsia="es-ES"/>
          <w14:ligatures w14:val="standardContextual"/>
        </w:rPr>
        <w:t xml:space="preserve">. El principio de transparencia en la información alude al deber de los sujetos de proporcionar y </w:t>
      </w:r>
      <w:r w:rsidRPr="49A0212A">
        <w:rPr>
          <w:rFonts w:ascii="Verdana" w:eastAsia="Times New Roman" w:hAnsi="Verdana" w:cs="Arial"/>
          <w:lang w:val="es-ES" w:eastAsia="es-ES"/>
          <w14:ligatures w14:val="standardContextual"/>
        </w:rPr>
        <w:lastRenderedPageBreak/>
        <w:t>facilitar el acceso a la misma en los términos más amplios posibles, y a través de los medios y procedimientos legales.</w:t>
      </w:r>
    </w:p>
    <w:p w14:paraId="6C441FD8" w14:textId="77777777" w:rsidR="00721463" w:rsidRPr="003F20E6" w:rsidRDefault="00721463" w:rsidP="00721463">
      <w:pPr>
        <w:spacing w:before="120" w:after="120" w:line="276" w:lineRule="auto"/>
        <w:ind w:firstLine="709"/>
        <w:jc w:val="both"/>
        <w:rPr>
          <w:rFonts w:ascii="Verdana" w:eastAsia="Times New Roman" w:hAnsi="Verdana" w:cs="Arial"/>
          <w:lang w:val="es-ES_tradnl" w:eastAsia="es-ES_tradnl"/>
          <w14:ligatures w14:val="standardContextual"/>
        </w:rPr>
      </w:pPr>
      <w:r w:rsidRPr="003F20E6">
        <w:rPr>
          <w:rFonts w:ascii="Verdana" w:eastAsia="Times New Roman" w:hAnsi="Verdana" w:cs="Arial"/>
          <w:lang w:val="es-ES_tradnl" w:eastAsia="es-ES_tradnl"/>
          <w14:ligatures w14:val="standardContextual"/>
        </w:rPr>
        <w:t xml:space="preserve"> La Ley Estatutaria citada establece, en el literal e) del artículo 9, que los sujetos obligados, que son todas las entidades públicas</w:t>
      </w:r>
      <w:r w:rsidRPr="003F20E6">
        <w:rPr>
          <w:rFonts w:ascii="Verdana" w:eastAsia="Times New Roman" w:hAnsi="Verdana" w:cs="Arial"/>
          <w:vertAlign w:val="superscript"/>
          <w:lang w:val="es-ES_tradnl" w:eastAsia="es-ES_tradnl"/>
          <w14:ligatures w14:val="standardContextual"/>
        </w:rPr>
        <w:footnoteReference w:id="5"/>
      </w:r>
      <w:r w:rsidRPr="003F20E6">
        <w:rPr>
          <w:rFonts w:ascii="Verdana" w:eastAsia="Times New Roman" w:hAnsi="Verdana" w:cs="Arial"/>
          <w:lang w:val="es-ES_tradnl" w:eastAsia="es-ES_tradnl"/>
          <w14:ligatures w14:val="standardContextual"/>
        </w:rPr>
        <w:t>, deben publicar la información relativa a su contratación. Esta obligación fue desarrollada por el Decreto Único Reglamentario 1081 de 2015</w:t>
      </w:r>
      <w:r w:rsidRPr="003F20E6">
        <w:rPr>
          <w:rFonts w:ascii="Verdana" w:eastAsia="Times New Roman" w:hAnsi="Verdana" w:cs="Arial"/>
          <w:vertAlign w:val="superscript"/>
          <w:lang w:val="es-ES_tradnl" w:eastAsia="es-ES_tradnl"/>
          <w14:ligatures w14:val="standardContextual"/>
        </w:rPr>
        <w:footnoteReference w:id="6"/>
      </w:r>
      <w:r w:rsidRPr="003F20E6">
        <w:rPr>
          <w:rFonts w:ascii="Verdana" w:eastAsia="Times New Roman" w:hAnsi="Verdana" w:cs="Arial"/>
          <w:lang w:val="es-ES_tradnl" w:eastAsia="es-ES_tradnl"/>
          <w14:ligatures w14:val="standardContextual"/>
        </w:rPr>
        <w:t>, el cual dispuso que la publicación de la información contractual de los sujetos obligados, que contratan con cargo a recursos públicos, debe hacerse en el SECOP.</w:t>
      </w:r>
    </w:p>
    <w:p w14:paraId="0C869709" w14:textId="77777777" w:rsidR="00721463" w:rsidRPr="003F20E6" w:rsidRDefault="00721463" w:rsidP="00721463">
      <w:pPr>
        <w:spacing w:before="120" w:after="120" w:line="276" w:lineRule="auto"/>
        <w:ind w:firstLine="709"/>
        <w:jc w:val="both"/>
        <w:rPr>
          <w:rFonts w:ascii="Verdana" w:eastAsia="Times New Roman" w:hAnsi="Verdana" w:cs="Arial"/>
          <w:lang w:val="es-ES_tradnl" w:eastAsia="es-ES_tradnl"/>
          <w14:ligatures w14:val="standardContextual"/>
        </w:rPr>
      </w:pPr>
      <w:r w:rsidRPr="003F20E6">
        <w:rPr>
          <w:rFonts w:ascii="Verdana" w:eastAsia="Times New Roman" w:hAnsi="Verdana" w:cs="Arial"/>
          <w:lang w:val="es-ES_tradnl" w:eastAsia="es-ES_tradnl"/>
          <w14:ligatures w14:val="standardContextual"/>
        </w:rPr>
        <w:t xml:space="preserve">Asimismo, de acuerdo con el literal g) del artículo 11 de la Ley 1712 de 2014, todos los destinatarios de la Ley Estatutaria de Transparencia y Acceso a la Información Pública deben garantizar la publicidad de “sus procedimientos, lineamientos, políticas en materia de adquisiciones y compras, así como todos los datos de adjudicación y ejecución de contratos, incluidos concursos y licitaciones”, y esta información también debe estar en el SECOP. </w:t>
      </w:r>
    </w:p>
    <w:p w14:paraId="225CE799" w14:textId="77777777" w:rsidR="00721463" w:rsidRPr="003F20E6" w:rsidRDefault="00721463" w:rsidP="00721463">
      <w:pPr>
        <w:spacing w:before="120" w:after="120" w:line="276" w:lineRule="auto"/>
        <w:ind w:firstLine="709"/>
        <w:jc w:val="both"/>
        <w:rPr>
          <w:rFonts w:ascii="Verdana" w:eastAsia="Times New Roman" w:hAnsi="Verdana" w:cs="Arial"/>
          <w:lang w:val="es-ES_tradnl" w:eastAsia="es-ES_tradnl"/>
          <w14:ligatures w14:val="standardContextual"/>
        </w:rPr>
      </w:pPr>
      <w:r w:rsidRPr="003F20E6">
        <w:rPr>
          <w:rFonts w:ascii="Verdana" w:eastAsia="Times New Roman" w:hAnsi="Verdana" w:cs="Arial"/>
          <w:lang w:val="es-ES_tradnl" w:eastAsia="es-ES_tradnl"/>
          <w14:ligatures w14:val="standardContextual"/>
        </w:rPr>
        <w:t>El derecho de acceso a la información pública o de interés público permite a toda persona, sin necesidad de acreditar calidad, interés o condición particular, conocer la existencia de información pública, acceder a la misma y difundirla o publicarla, según su interés</w:t>
      </w:r>
      <w:r w:rsidRPr="003F20E6">
        <w:rPr>
          <w:rFonts w:ascii="Verdana" w:eastAsia="Times New Roman" w:hAnsi="Verdana" w:cs="Arial"/>
          <w:vertAlign w:val="superscript"/>
          <w:lang w:val="es-ES_tradnl" w:eastAsia="es-ES_tradnl"/>
          <w14:ligatures w14:val="standardContextual"/>
        </w:rPr>
        <w:footnoteReference w:id="7"/>
      </w:r>
      <w:r w:rsidRPr="003F20E6">
        <w:rPr>
          <w:rFonts w:ascii="Verdana" w:eastAsia="Times New Roman" w:hAnsi="Verdana" w:cs="Arial"/>
          <w:lang w:val="es-ES_tradnl" w:eastAsia="es-ES_tradnl"/>
          <w14:ligatures w14:val="standardContextual"/>
        </w:rPr>
        <w:t xml:space="preserve">. En ese contexto, las Entidades Estatales, conforme al artículo 2.2.1.1.1.7.1 del Decreto 1082 de 2015, tienen la obligación de publicar en el SECOP “[…] los Documentos del Proceso y los actos administrativos del Proceso de Contratación, </w:t>
      </w:r>
      <w:r w:rsidRPr="00E47CAB">
        <w:rPr>
          <w:rFonts w:ascii="Verdana" w:eastAsia="Times New Roman" w:hAnsi="Verdana" w:cs="Arial"/>
          <w:i/>
          <w:iCs/>
          <w:lang w:val="es-ES_tradnl" w:eastAsia="es-ES_tradnl"/>
          <w14:ligatures w14:val="standardContextual"/>
        </w:rPr>
        <w:t>dentro de los tres (3) días siguientes a su expedición</w:t>
      </w:r>
      <w:r w:rsidRPr="003F20E6">
        <w:rPr>
          <w:rFonts w:ascii="Verdana" w:eastAsia="Times New Roman" w:hAnsi="Verdana" w:cs="Arial"/>
          <w:lang w:val="es-ES_tradnl" w:eastAsia="es-ES_tradnl"/>
          <w14:ligatures w14:val="standardContextual"/>
        </w:rPr>
        <w:t xml:space="preserve"> […]”</w:t>
      </w:r>
      <w:r>
        <w:rPr>
          <w:rFonts w:ascii="Verdana" w:eastAsia="Times New Roman" w:hAnsi="Verdana" w:cs="Arial"/>
          <w:lang w:val="es-ES_tradnl" w:eastAsia="es-ES_tradnl"/>
          <w14:ligatures w14:val="standardContextual"/>
        </w:rPr>
        <w:t xml:space="preserve"> (Énfasis fuera del texto original)</w:t>
      </w:r>
      <w:r w:rsidRPr="003F20E6">
        <w:rPr>
          <w:rFonts w:ascii="Verdana" w:eastAsia="Times New Roman" w:hAnsi="Verdana" w:cs="Arial"/>
          <w:lang w:val="es-ES_tradnl" w:eastAsia="es-ES_tradnl"/>
          <w14:ligatures w14:val="standardContextual"/>
        </w:rPr>
        <w:t>.</w:t>
      </w:r>
    </w:p>
    <w:p w14:paraId="612D9C51" w14:textId="77777777" w:rsidR="00721463" w:rsidRPr="003F20E6" w:rsidRDefault="00721463" w:rsidP="00721463">
      <w:pPr>
        <w:tabs>
          <w:tab w:val="left" w:pos="709"/>
        </w:tabs>
        <w:spacing w:before="120" w:after="0" w:line="276" w:lineRule="auto"/>
        <w:ind w:firstLine="709"/>
        <w:jc w:val="both"/>
        <w:rPr>
          <w:rFonts w:ascii="Verdana" w:hAnsi="Verdana" w:cs="Arial"/>
          <w:shd w:val="clear" w:color="auto" w:fill="FFFFFF"/>
        </w:rPr>
      </w:pPr>
      <w:r w:rsidRPr="003F20E6">
        <w:rPr>
          <w:rFonts w:ascii="Verdana" w:hAnsi="Verdana" w:cs="Arial"/>
          <w:shd w:val="clear" w:color="auto" w:fill="FFFFFF"/>
        </w:rPr>
        <w:t xml:space="preserve">La expresión </w:t>
      </w:r>
      <w:r w:rsidRPr="003F20E6">
        <w:rPr>
          <w:rFonts w:ascii="Verdana" w:hAnsi="Verdana" w:cs="Arial"/>
          <w:i/>
          <w:iCs/>
          <w:shd w:val="clear" w:color="auto" w:fill="FFFFFF"/>
        </w:rPr>
        <w:t xml:space="preserve">Documentos del Proceso </w:t>
      </w:r>
      <w:r w:rsidRPr="003F20E6">
        <w:rPr>
          <w:rFonts w:ascii="Verdana" w:hAnsi="Verdana" w:cs="Arial"/>
          <w:shd w:val="clear" w:color="auto" w:fill="FFFFFF"/>
        </w:rPr>
        <w:t xml:space="preserve">está definida en el artículo 2.2.1.1.1.3.1. del Decreto 1082 de 2015, donde se establece que: “son: (a) los </w:t>
      </w:r>
      <w:r w:rsidRPr="003F20E6">
        <w:rPr>
          <w:rFonts w:ascii="Verdana" w:hAnsi="Verdana" w:cs="Arial"/>
          <w:shd w:val="clear" w:color="auto" w:fill="FFFFFF"/>
        </w:rPr>
        <w:lastRenderedPageBreak/>
        <w:t xml:space="preserve">estudios y documentos previos; (b) el aviso de convocatoria; (c) los pliegos de condiciones o la invitación; (d) las adendas; (e) la oferta; (f) el informe de evaluación; (g) el contrato; </w:t>
      </w:r>
      <w:r w:rsidRPr="003F20E6">
        <w:rPr>
          <w:rFonts w:ascii="Verdana" w:hAnsi="Verdana" w:cs="Arial"/>
          <w:i/>
          <w:iCs/>
          <w:shd w:val="clear" w:color="auto" w:fill="FFFFFF"/>
        </w:rPr>
        <w:t>y cualquier otro documento expedido por la Entidad Estatal durante el Proceso de Contratación</w:t>
      </w:r>
      <w:r w:rsidRPr="003F20E6">
        <w:rPr>
          <w:rFonts w:ascii="Verdana" w:hAnsi="Verdana" w:cs="Arial"/>
          <w:shd w:val="clear" w:color="auto" w:fill="FFFFFF"/>
        </w:rPr>
        <w:t xml:space="preserve">”. </w:t>
      </w:r>
      <w:r>
        <w:rPr>
          <w:rFonts w:ascii="Verdana" w:hAnsi="Verdana" w:cs="Arial"/>
          <w:shd w:val="clear" w:color="auto" w:fill="FFFFFF"/>
        </w:rPr>
        <w:t>(</w:t>
      </w:r>
      <w:r w:rsidRPr="003F20E6">
        <w:rPr>
          <w:rFonts w:ascii="Verdana" w:hAnsi="Verdana" w:cs="Arial"/>
          <w:shd w:val="clear" w:color="auto" w:fill="FFFFFF"/>
        </w:rPr>
        <w:t>Énfasis fuera de texto</w:t>
      </w:r>
      <w:r>
        <w:rPr>
          <w:rFonts w:ascii="Verdana" w:hAnsi="Verdana" w:cs="Arial"/>
          <w:shd w:val="clear" w:color="auto" w:fill="FFFFFF"/>
        </w:rPr>
        <w:t>).</w:t>
      </w:r>
    </w:p>
    <w:p w14:paraId="2DD2B10F" w14:textId="77777777" w:rsidR="00721463" w:rsidRPr="003F20E6" w:rsidRDefault="00721463" w:rsidP="00721463">
      <w:pPr>
        <w:tabs>
          <w:tab w:val="left" w:pos="709"/>
        </w:tabs>
        <w:spacing w:before="120" w:after="0" w:line="276" w:lineRule="auto"/>
        <w:ind w:firstLine="709"/>
        <w:jc w:val="both"/>
        <w:rPr>
          <w:rFonts w:ascii="Verdana" w:hAnsi="Verdana" w:cs="Arial"/>
          <w:shd w:val="clear" w:color="auto" w:fill="FFFFFF"/>
        </w:rPr>
      </w:pPr>
      <w:r w:rsidRPr="003F20E6">
        <w:rPr>
          <w:rFonts w:ascii="Verdana" w:hAnsi="Verdana" w:cs="Arial"/>
          <w:shd w:val="clear" w:color="auto" w:fill="FFFFFF"/>
        </w:rPr>
        <w:t xml:space="preserve">Sin embargo, para identificar los documentos que deben publicarse, es necesario realizar una interpretación sistemática de las disposiciones del Decreto 1082 del 2015, comoquiera que el anterior no es un listado taxativo, sino enunciativo, porque además de los documentos enlistados, el artículo 2.2.1.1.1.3.1 </w:t>
      </w:r>
      <w:r w:rsidRPr="003F20E6">
        <w:rPr>
          <w:rFonts w:ascii="Verdana" w:hAnsi="Verdana" w:cs="Arial"/>
          <w:i/>
          <w:iCs/>
          <w:shd w:val="clear" w:color="auto" w:fill="FFFFFF"/>
        </w:rPr>
        <w:t>Ibidem</w:t>
      </w:r>
      <w:r w:rsidRPr="003F20E6">
        <w:rPr>
          <w:rFonts w:ascii="Verdana" w:hAnsi="Verdana" w:cs="Arial"/>
          <w:shd w:val="clear" w:color="auto" w:fill="FFFFFF"/>
        </w:rPr>
        <w:t xml:space="preserve"> recoge en la noción de Documentos del Proceso “cualquier otro documento expedido por la Entidad Estatal durante el Proceso de Contratación”. </w:t>
      </w:r>
    </w:p>
    <w:p w14:paraId="06DF59EE" w14:textId="77777777" w:rsidR="00721463" w:rsidRPr="003F20E6" w:rsidRDefault="00721463" w:rsidP="00721463">
      <w:pPr>
        <w:tabs>
          <w:tab w:val="left" w:pos="709"/>
        </w:tabs>
        <w:spacing w:before="120" w:after="0" w:line="276" w:lineRule="auto"/>
        <w:ind w:firstLine="709"/>
        <w:jc w:val="both"/>
        <w:rPr>
          <w:rFonts w:ascii="Verdana" w:hAnsi="Verdana" w:cs="Arial"/>
          <w:shd w:val="clear" w:color="auto" w:fill="FFFFFF"/>
        </w:rPr>
      </w:pPr>
      <w:r w:rsidRPr="003F20E6">
        <w:rPr>
          <w:rFonts w:ascii="Verdana" w:hAnsi="Verdana" w:cs="Arial"/>
          <w:shd w:val="clear" w:color="auto" w:fill="FFFFFF"/>
        </w:rPr>
        <w:t>Este mismo artículo define la expresión Proceso de Contratación como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Nótese que la norma se refiere a los documentos “expedidos por la entidad estatal” durante el Proceso de Contratación, excluyendo de la noción de Documentos del Proceso los expedidos por un sujeto distinto a la entidad, salvo la oferta, la cual se incluye expresamente en el referido artículo 2.2.1.1.1.3.</w:t>
      </w:r>
    </w:p>
    <w:p w14:paraId="4189ABE5" w14:textId="77777777" w:rsidR="00721463" w:rsidRPr="003F20E6" w:rsidRDefault="00721463" w:rsidP="00721463">
      <w:pPr>
        <w:tabs>
          <w:tab w:val="left" w:pos="709"/>
        </w:tabs>
        <w:spacing w:before="120" w:after="120" w:line="276" w:lineRule="auto"/>
        <w:ind w:firstLine="709"/>
        <w:jc w:val="both"/>
        <w:rPr>
          <w:rFonts w:ascii="Verdana" w:hAnsi="Verdana" w:cs="Arial"/>
          <w:shd w:val="clear" w:color="auto" w:fill="FFFFFF"/>
        </w:rPr>
      </w:pPr>
      <w:r w:rsidRPr="003F20E6">
        <w:rPr>
          <w:rFonts w:ascii="Verdana" w:hAnsi="Verdana" w:cs="Arial"/>
          <w:shd w:val="clear" w:color="auto" w:fill="FFFFFF"/>
        </w:rPr>
        <w:t>En ese sentido, la interpretación sistemática de los preceptos del Decreto 1082 de 2015, de acuerdo con el principio de publicidad, inicialmente, indica que las Entidades Estatales tienen la obligación de publicar todos los documentos que expidan con ocasión del Proceso de Contratación, es decir</w:t>
      </w:r>
      <w:r>
        <w:rPr>
          <w:rFonts w:ascii="Verdana" w:hAnsi="Verdana" w:cs="Arial"/>
          <w:shd w:val="clear" w:color="auto" w:fill="FFFFFF"/>
        </w:rPr>
        <w:t>,</w:t>
      </w:r>
      <w:r w:rsidRPr="003F20E6">
        <w:rPr>
          <w:rFonts w:ascii="Verdana" w:hAnsi="Verdana" w:cs="Arial"/>
          <w:shd w:val="clear" w:color="auto" w:fill="FFFFFF"/>
        </w:rPr>
        <w:t xml:space="preserve"> que todos los documentos expedidos por la entidad durante las etapas precontractual, de ejecución y </w:t>
      </w:r>
      <w:proofErr w:type="spellStart"/>
      <w:r w:rsidRPr="003F20E6">
        <w:rPr>
          <w:rFonts w:ascii="Verdana" w:hAnsi="Verdana" w:cs="Arial"/>
          <w:shd w:val="clear" w:color="auto" w:fill="FFFFFF"/>
        </w:rPr>
        <w:t>postcontractual</w:t>
      </w:r>
      <w:proofErr w:type="spellEnd"/>
      <w:r w:rsidRPr="003F20E6">
        <w:rPr>
          <w:rFonts w:ascii="Verdana" w:hAnsi="Verdana" w:cs="Arial"/>
          <w:shd w:val="clear" w:color="auto" w:fill="FFFFFF"/>
        </w:rPr>
        <w:t xml:space="preserve"> deberán publicarse en SECOP dentro de los tres (3) días siguientes a su expedición, para cumplir el deber de publicidad regulado por el artículo 2.2.1.1.1.7.1. del Decreto 1082 de 2015.</w:t>
      </w:r>
    </w:p>
    <w:p w14:paraId="4BA06771" w14:textId="66B64256" w:rsidR="00FD634C" w:rsidRPr="00D92626" w:rsidRDefault="00721463" w:rsidP="00721463">
      <w:pPr>
        <w:spacing w:line="276" w:lineRule="auto"/>
        <w:ind w:firstLine="709"/>
        <w:jc w:val="both"/>
        <w:rPr>
          <w:rFonts w:ascii="Verdana" w:eastAsia="Calibri" w:hAnsi="Verdana" w:cs="Arial"/>
          <w:lang w:val="es-ES"/>
        </w:rPr>
      </w:pPr>
      <w:r>
        <w:rPr>
          <w:rFonts w:ascii="Verdana" w:eastAsia="Calibri" w:hAnsi="Verdana" w:cs="Arial"/>
          <w:color w:val="000000" w:themeColor="text1"/>
        </w:rPr>
        <w:t>Ahora bien, e</w:t>
      </w:r>
      <w:r w:rsidR="00FD634C" w:rsidRPr="00D92626">
        <w:rPr>
          <w:rFonts w:ascii="Verdana" w:eastAsia="Calibri" w:hAnsi="Verdana" w:cs="Arial"/>
          <w:color w:val="000000" w:themeColor="text1"/>
        </w:rPr>
        <w:t xml:space="preserve">l SECOP II es una plataforma transaccional, que permite gestionar en línea todos los procedimientos de contratación, </w:t>
      </w:r>
      <w:r w:rsidR="00FD634C" w:rsidRPr="00D92626">
        <w:rPr>
          <w:rFonts w:ascii="Verdana" w:eastAsia="Calibri" w:hAnsi="Verdana" w:cs="Arial"/>
          <w:lang w:val="es-ES"/>
        </w:rPr>
        <w:t xml:space="preserve">con cuentas y usuarios asociados a estas, para las entidades y los proveedores, y vista pública para cualquier interesado en hacer seguimiento a la contratación pública. Desde sus cuentas, las entidades crean, evalúan y adjudican procedimientos de contratación, y gestionan la fase de ejecución del contrato. Los proveedores </w:t>
      </w:r>
      <w:r w:rsidR="00FD634C" w:rsidRPr="00D92626">
        <w:rPr>
          <w:rFonts w:ascii="Verdana" w:eastAsia="Calibri" w:hAnsi="Verdana" w:cs="Arial"/>
          <w:lang w:val="es-ES"/>
        </w:rPr>
        <w:lastRenderedPageBreak/>
        <w:t>pueden hacer comentarios a los documentos del procedimiento, presentar ofertas y seguir el procedimiento de selección en línea.</w:t>
      </w:r>
    </w:p>
    <w:p w14:paraId="63AD3AA2" w14:textId="77777777" w:rsidR="00FD634C" w:rsidRPr="00D92626"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En este sentido, en el SECOP II el procedimiento contractual se desarrolla en línea y dentro de la plataforma, conformándose un expediente electrónico, lo cual denota una diferencia con el SECOP I, donde el procedimiento es físico, esto es, con documentos escritos que se publican para cumplir las obligaciones de las entidades antes señaladas. Al existir esa diferencia entre las dos versiones del SECOP, no es posible realizar en SECOP II actuaciones por escrito que son propias del SECOP I, sino que los documentos y actuaciones son electrónicas.</w:t>
      </w:r>
    </w:p>
    <w:p w14:paraId="07AF37DD" w14:textId="77777777" w:rsidR="00FD634C"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 xml:space="preserve">Debido a que la plataforma es totalmente transaccional, el trámite se realiza en línea y la publicidad de las actuaciones es concomitante, según transcurran cada una de las etapas del procedimiento, lo que descarta la necesidad de cargar documentación alguna, salvo algunas excepciones. Además, de acuerdo con lo prescrito en el artículo 14 de la Ley 527 de 1999, en la formación del contrato, salvo acuerdo expreso entre las partes, la oferta y su aceptación podrán expresarse por medio de un mensaje de datos, lo que implica que </w:t>
      </w:r>
      <w:r>
        <w:rPr>
          <w:rFonts w:ascii="Verdana" w:eastAsia="Calibri" w:hAnsi="Verdana" w:cs="Arial"/>
          <w:lang w:val="es-ES"/>
        </w:rPr>
        <w:t>n</w:t>
      </w:r>
      <w:r w:rsidRPr="00D92626">
        <w:rPr>
          <w:rFonts w:ascii="Verdana" w:eastAsia="Calibri" w:hAnsi="Verdana" w:cs="Arial"/>
          <w:lang w:val="es-ES"/>
        </w:rPr>
        <w:t xml:space="preserve">o se negará validez o fuerza obligatoria a un contrato por la sola razón de haberse utilizado en su formación uno o más mensajes de datos. </w:t>
      </w:r>
    </w:p>
    <w:p w14:paraId="67FED90C" w14:textId="77777777" w:rsidR="00FD634C" w:rsidRPr="00D92626"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 xml:space="preserve">Igualmente, el artículo 22 </w:t>
      </w:r>
      <w:proofErr w:type="spellStart"/>
      <w:r w:rsidRPr="00D92626">
        <w:rPr>
          <w:rFonts w:ascii="Verdana" w:eastAsia="Calibri" w:hAnsi="Verdana" w:cs="Arial"/>
          <w:lang w:val="es-ES"/>
        </w:rPr>
        <w:t>ibídem</w:t>
      </w:r>
      <w:proofErr w:type="spellEnd"/>
      <w:r w:rsidRPr="00D92626">
        <w:rPr>
          <w:rFonts w:ascii="Verdana" w:eastAsia="Calibri" w:hAnsi="Verdana" w:cs="Arial"/>
          <w:lang w:val="es-ES"/>
        </w:rPr>
        <w:t xml:space="preserve"> dispone que los contratos electrónicos compuestos por mensajes de datos tienen los efectos jurídicos según las normas aplicables al negocio jurídico contenido en dichos mensajes, esto es, las normas que regulan el sistema de contratación pública. </w:t>
      </w:r>
    </w:p>
    <w:p w14:paraId="36D9914E" w14:textId="77777777" w:rsidR="00FD634C" w:rsidRPr="00D92626"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 xml:space="preserve">En este sentido, la implementación del SECOP II como plataforma transaccional para la actividad contractual del Estado, permite que los contratos que se publiquen sean firmados electrónicamente. De este modo, el proceso mediante el cual se efectúa la </w:t>
      </w:r>
      <w:r>
        <w:rPr>
          <w:rFonts w:ascii="Verdana" w:eastAsia="Calibri" w:hAnsi="Verdana" w:cs="Arial"/>
          <w:lang w:val="es-ES"/>
        </w:rPr>
        <w:t>modificación del contrato</w:t>
      </w:r>
      <w:r w:rsidRPr="00D92626">
        <w:rPr>
          <w:rFonts w:ascii="Verdana" w:eastAsia="Calibri" w:hAnsi="Verdana" w:cs="Arial"/>
          <w:lang w:val="es-ES"/>
        </w:rPr>
        <w:t xml:space="preserve"> y su consecuente aprobación o rechazo es realizado a través del SECOP II. </w:t>
      </w:r>
    </w:p>
    <w:p w14:paraId="53A81F0C" w14:textId="77777777" w:rsidR="00FD634C" w:rsidRPr="00D92626"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 xml:space="preserve">El documento </w:t>
      </w:r>
      <w:r>
        <w:rPr>
          <w:rFonts w:ascii="Verdana" w:eastAsia="Calibri" w:hAnsi="Verdana" w:cs="Arial"/>
          <w:lang w:val="es-ES"/>
        </w:rPr>
        <w:t>“</w:t>
      </w:r>
      <w:r w:rsidRPr="00D92626">
        <w:rPr>
          <w:rFonts w:ascii="Verdana" w:eastAsia="Calibri" w:hAnsi="Verdana" w:cs="Arial"/>
          <w:lang w:val="es-ES"/>
        </w:rPr>
        <w:t>Procesos de Contratación: Gestión Contractual en el SECOP II</w:t>
      </w:r>
      <w:r>
        <w:rPr>
          <w:rFonts w:ascii="Verdana" w:eastAsia="Calibri" w:hAnsi="Verdana" w:cs="Arial"/>
          <w:lang w:val="es-ES"/>
        </w:rPr>
        <w:t>”</w:t>
      </w:r>
      <w:r w:rsidRPr="00D92626">
        <w:rPr>
          <w:rFonts w:ascii="Verdana" w:eastAsia="Calibri" w:hAnsi="Verdana" w:cs="Arial"/>
          <w:lang w:val="es-ES"/>
        </w:rPr>
        <w:t xml:space="preserve"> expedido por esta entidad, detalla los pasos para aprobación de las modificaciones</w:t>
      </w:r>
      <w:r>
        <w:rPr>
          <w:rFonts w:ascii="Verdana" w:eastAsia="Calibri" w:hAnsi="Verdana" w:cs="Arial"/>
          <w:lang w:val="es-ES"/>
        </w:rPr>
        <w:t xml:space="preserve"> del contrato </w:t>
      </w:r>
      <w:r w:rsidRPr="00D92626">
        <w:rPr>
          <w:rFonts w:ascii="Verdana" w:eastAsia="Calibri" w:hAnsi="Verdana" w:cs="Arial"/>
          <w:lang w:val="es-ES"/>
        </w:rPr>
        <w:t>en el SECOP I</w:t>
      </w:r>
      <w:r>
        <w:rPr>
          <w:rFonts w:ascii="Verdana" w:eastAsia="Calibri" w:hAnsi="Verdana" w:cs="Arial"/>
          <w:lang w:val="es-ES"/>
        </w:rPr>
        <w:t>I.</w:t>
      </w:r>
      <w:r w:rsidRPr="00D92626">
        <w:rPr>
          <w:rFonts w:ascii="Verdana" w:eastAsia="Calibri" w:hAnsi="Verdana" w:cs="Arial"/>
          <w:lang w:val="es-ES"/>
        </w:rPr>
        <w:t xml:space="preserve"> Específicamente, el literal III establece el procedimiento a seguir para aprobar o rechazar </w:t>
      </w:r>
      <w:r>
        <w:rPr>
          <w:rFonts w:ascii="Verdana" w:eastAsia="Calibri" w:hAnsi="Verdana" w:cs="Arial"/>
          <w:lang w:val="es-ES"/>
        </w:rPr>
        <w:t>la modificación</w:t>
      </w:r>
      <w:r w:rsidRPr="00D92626">
        <w:rPr>
          <w:rFonts w:ascii="Verdana" w:eastAsia="Calibri" w:hAnsi="Verdana" w:cs="Arial"/>
          <w:lang w:val="es-ES"/>
        </w:rPr>
        <w:t xml:space="preserve">, según el cual una vez la entidad estatal reciba </w:t>
      </w:r>
      <w:r>
        <w:rPr>
          <w:rFonts w:ascii="Verdana" w:eastAsia="Calibri" w:hAnsi="Verdana" w:cs="Arial"/>
          <w:lang w:val="es-ES"/>
        </w:rPr>
        <w:t xml:space="preserve">dicha modificación </w:t>
      </w:r>
      <w:r w:rsidRPr="00D92626">
        <w:rPr>
          <w:rFonts w:ascii="Verdana" w:eastAsia="Calibri" w:hAnsi="Verdana" w:cs="Arial"/>
          <w:lang w:val="es-ES"/>
        </w:rPr>
        <w:t>aprobad</w:t>
      </w:r>
      <w:r>
        <w:rPr>
          <w:rFonts w:ascii="Verdana" w:eastAsia="Calibri" w:hAnsi="Verdana" w:cs="Arial"/>
          <w:lang w:val="es-ES"/>
        </w:rPr>
        <w:t>a</w:t>
      </w:r>
      <w:r w:rsidRPr="00D92626">
        <w:rPr>
          <w:rFonts w:ascii="Verdana" w:eastAsia="Calibri" w:hAnsi="Verdana" w:cs="Arial"/>
          <w:lang w:val="es-ES"/>
        </w:rPr>
        <w:t xml:space="preserve"> por el proveedor debe publicarl</w:t>
      </w:r>
      <w:r>
        <w:rPr>
          <w:rFonts w:ascii="Verdana" w:eastAsia="Calibri" w:hAnsi="Verdana" w:cs="Arial"/>
          <w:lang w:val="es-ES"/>
        </w:rPr>
        <w:t>a</w:t>
      </w:r>
      <w:r w:rsidRPr="00D92626">
        <w:rPr>
          <w:rFonts w:ascii="Verdana" w:eastAsia="Calibri" w:hAnsi="Verdana" w:cs="Arial"/>
          <w:lang w:val="es-ES"/>
        </w:rPr>
        <w:t xml:space="preserve"> y a “partir de este momento el contrato queda para </w:t>
      </w:r>
      <w:r w:rsidRPr="00D92626">
        <w:rPr>
          <w:rFonts w:ascii="Verdana" w:eastAsia="Calibri" w:hAnsi="Verdana" w:cs="Arial"/>
          <w:lang w:val="es-ES"/>
        </w:rPr>
        <w:lastRenderedPageBreak/>
        <w:t>conocimiento del público en general, su estado cambia a “</w:t>
      </w:r>
      <w:r>
        <w:rPr>
          <w:rFonts w:ascii="Verdana" w:eastAsia="Calibri" w:hAnsi="Verdana" w:cs="Arial"/>
          <w:lang w:val="es-ES"/>
        </w:rPr>
        <w:t>en ejecución</w:t>
      </w:r>
      <w:r w:rsidRPr="00D92626">
        <w:rPr>
          <w:rFonts w:ascii="Verdana" w:eastAsia="Calibri" w:hAnsi="Verdana" w:cs="Arial"/>
          <w:lang w:val="es-ES"/>
        </w:rPr>
        <w:t>”</w:t>
      </w:r>
      <w:r>
        <w:rPr>
          <w:rFonts w:ascii="Verdana" w:eastAsia="Calibri" w:hAnsi="Verdana" w:cs="Arial"/>
          <w:lang w:val="es-ES"/>
        </w:rPr>
        <w:t xml:space="preserve"> nuevamente.</w:t>
      </w:r>
    </w:p>
    <w:p w14:paraId="73BBF4A9" w14:textId="77777777" w:rsidR="00FD634C" w:rsidRDefault="00FD634C" w:rsidP="00FD634C">
      <w:pPr>
        <w:spacing w:line="276" w:lineRule="auto"/>
        <w:ind w:firstLine="567"/>
        <w:jc w:val="both"/>
        <w:rPr>
          <w:rFonts w:ascii="Verdana" w:eastAsia="Calibri" w:hAnsi="Verdana" w:cs="Arial"/>
          <w:lang w:val="es-ES"/>
        </w:rPr>
      </w:pPr>
      <w:r w:rsidRPr="00D92626">
        <w:rPr>
          <w:rFonts w:ascii="Verdana" w:eastAsia="Calibri" w:hAnsi="Verdana" w:cs="Arial"/>
          <w:lang w:val="es-ES"/>
        </w:rPr>
        <w:t>Así las cosas, cuando el proceso de contratación se adelanta por el SECOP II la aprobación del contrato para su perfeccionamiento y posterior ejecución</w:t>
      </w:r>
      <w:r>
        <w:rPr>
          <w:rFonts w:ascii="Verdana" w:eastAsia="Calibri" w:hAnsi="Verdana" w:cs="Arial"/>
          <w:lang w:val="es-ES"/>
        </w:rPr>
        <w:t xml:space="preserve">, así como los modificatorios a los que haya lugar, </w:t>
      </w:r>
      <w:r w:rsidRPr="00D92626">
        <w:rPr>
          <w:rFonts w:ascii="Verdana" w:eastAsia="Calibri" w:hAnsi="Verdana" w:cs="Arial"/>
          <w:lang w:val="es-ES"/>
        </w:rPr>
        <w:t>deberá efectuarse en dicha plataforma</w:t>
      </w:r>
      <w:r>
        <w:rPr>
          <w:rFonts w:ascii="Verdana" w:eastAsia="Calibri" w:hAnsi="Verdana" w:cs="Arial"/>
          <w:lang w:val="es-ES"/>
        </w:rPr>
        <w:t xml:space="preserve">, sin perjuicio de que, </w:t>
      </w:r>
      <w:r w:rsidRPr="00BF6F2B">
        <w:rPr>
          <w:rFonts w:ascii="Verdana" w:eastAsia="Calibri" w:hAnsi="Verdana" w:cs="Arial"/>
          <w:color w:val="000000" w:themeColor="text1"/>
        </w:rPr>
        <w:t>precisado el carácter transaccional de SECOP II</w:t>
      </w:r>
      <w:r>
        <w:rPr>
          <w:rFonts w:ascii="Verdana" w:eastAsia="Calibri" w:hAnsi="Verdana" w:cs="Arial"/>
          <w:color w:val="000000" w:themeColor="text1"/>
        </w:rPr>
        <w:t>,</w:t>
      </w:r>
      <w:r w:rsidRPr="00BF6F2B">
        <w:rPr>
          <w:rFonts w:ascii="Verdana" w:eastAsia="Calibri" w:hAnsi="Verdana" w:cs="Arial"/>
          <w:color w:val="000000" w:themeColor="text1"/>
        </w:rPr>
        <w:t xml:space="preserve"> no impide que determinados documentos puedan ser creados originalmente por fuera de la plataforma, en medio físico o </w:t>
      </w:r>
      <w:r>
        <w:rPr>
          <w:rFonts w:ascii="Verdana" w:eastAsia="Calibri" w:hAnsi="Verdana" w:cs="Arial"/>
          <w:color w:val="000000" w:themeColor="text1"/>
        </w:rPr>
        <w:t>digital</w:t>
      </w:r>
      <w:r w:rsidRPr="00BF6F2B">
        <w:rPr>
          <w:rFonts w:ascii="Verdana" w:eastAsia="Calibri" w:hAnsi="Verdana" w:cs="Arial"/>
          <w:color w:val="000000" w:themeColor="text1"/>
        </w:rPr>
        <w:t>, para posteriormente ser incorporados al expediente electrónico. En efecto, el expediente contractual puede contener tanto documentos generados directamente en la plataforma como documentos producidos por otros medios que, posteriormente, son incorporados al expediente para efectos de su conservación, trazabilidad y publicidad.</w:t>
      </w:r>
    </w:p>
    <w:p w14:paraId="0CA5E76A" w14:textId="77777777" w:rsidR="00FD634C" w:rsidRPr="00751E10" w:rsidRDefault="00FD634C" w:rsidP="00FD634C">
      <w:pPr>
        <w:spacing w:after="120" w:line="276" w:lineRule="auto"/>
        <w:ind w:firstLine="708"/>
        <w:jc w:val="both"/>
        <w:rPr>
          <w:rFonts w:ascii="Verdana" w:eastAsia="Calibri" w:hAnsi="Verdana" w:cs="Arial"/>
          <w:lang w:val="es-MX"/>
        </w:rPr>
      </w:pPr>
      <w:r>
        <w:rPr>
          <w:rFonts w:ascii="Verdana" w:eastAsia="Calibri" w:hAnsi="Verdana" w:cs="Arial"/>
          <w:lang w:val="es-ES"/>
        </w:rPr>
        <w:t xml:space="preserve">Ahora bien, </w:t>
      </w:r>
      <w:proofErr w:type="gramStart"/>
      <w:r>
        <w:rPr>
          <w:rFonts w:ascii="Verdana" w:eastAsia="Calibri" w:hAnsi="Verdana" w:cs="Arial"/>
          <w:lang w:val="es-ES"/>
        </w:rPr>
        <w:t>en relación a</w:t>
      </w:r>
      <w:proofErr w:type="gramEnd"/>
      <w:r>
        <w:rPr>
          <w:rFonts w:ascii="Verdana" w:eastAsia="Calibri" w:hAnsi="Verdana" w:cs="Arial"/>
          <w:lang w:val="es-ES"/>
        </w:rPr>
        <w:t xml:space="preserve"> las </w:t>
      </w:r>
      <w:r w:rsidRPr="00751E10">
        <w:rPr>
          <w:rFonts w:ascii="Verdana" w:eastAsia="Calibri" w:hAnsi="Verdana" w:cs="Arial"/>
          <w:i/>
          <w:lang w:val="es-ES"/>
        </w:rPr>
        <w:t>modificaciones a contratos estatales</w:t>
      </w:r>
      <w:r>
        <w:rPr>
          <w:rFonts w:ascii="Verdana" w:eastAsia="Calibri" w:hAnsi="Verdana" w:cs="Arial"/>
          <w:lang w:val="es-ES"/>
        </w:rPr>
        <w:t xml:space="preserve">, sea lo primero resaltar que </w:t>
      </w:r>
      <w:r>
        <w:rPr>
          <w:rFonts w:ascii="Verdana" w:eastAsia="Calibri" w:hAnsi="Verdana" w:cs="Arial"/>
        </w:rPr>
        <w:t>e</w:t>
      </w:r>
      <w:r w:rsidRPr="00F06077">
        <w:rPr>
          <w:rFonts w:ascii="Verdana" w:eastAsia="Calibri" w:hAnsi="Verdana" w:cs="Arial"/>
        </w:rPr>
        <w:t>l Estatuto General de Contratación de la Administración Pública</w:t>
      </w:r>
      <w:r>
        <w:rPr>
          <w:rFonts w:ascii="Verdana" w:eastAsia="Calibri" w:hAnsi="Verdana" w:cs="Arial"/>
        </w:rPr>
        <w:t xml:space="preserve"> – en adelante EGCAP –</w:t>
      </w:r>
      <w:r w:rsidRPr="00672426">
        <w:rPr>
          <w:rFonts w:ascii="Verdana" w:eastAsia="Calibri" w:hAnsi="Verdana" w:cs="Arial"/>
        </w:rPr>
        <w:t>,</w:t>
      </w:r>
      <w:r w:rsidRPr="00F06077">
        <w:rPr>
          <w:rFonts w:ascii="Verdana" w:eastAsia="Calibri" w:hAnsi="Verdana" w:cs="Arial"/>
        </w:rPr>
        <w:t xml:space="preserve"> contenido en las Leyes 80 de 1993 y 1150 de 2007, así como en las normas que las modifican y reglamentan, no consagra una regulación expresa sobre la posibilidad de modificar los contratos celebrados por las </w:t>
      </w:r>
      <w:r w:rsidRPr="00672426">
        <w:rPr>
          <w:rFonts w:ascii="Verdana" w:eastAsia="Calibri" w:hAnsi="Verdana" w:cs="Arial"/>
        </w:rPr>
        <w:t>entidades estatales.</w:t>
      </w:r>
      <w:r>
        <w:rPr>
          <w:rFonts w:ascii="Verdana" w:eastAsia="Calibri" w:hAnsi="Verdana" w:cs="Arial"/>
        </w:rPr>
        <w:t xml:space="preserve"> Lo anterior, teniendo en cuenta que los contratos</w:t>
      </w:r>
      <w:r w:rsidRPr="00672426">
        <w:rPr>
          <w:rFonts w:ascii="Verdana" w:eastAsia="Calibri" w:hAnsi="Verdana" w:cs="Arial"/>
        </w:rPr>
        <w:t>,</w:t>
      </w:r>
      <w:r>
        <w:rPr>
          <w:rFonts w:ascii="Verdana" w:eastAsia="Calibri" w:hAnsi="Verdana" w:cs="Arial"/>
        </w:rPr>
        <w:t xml:space="preserve"> en principio</w:t>
      </w:r>
      <w:r w:rsidRPr="00672426">
        <w:rPr>
          <w:rFonts w:ascii="Verdana" w:eastAsia="Calibri" w:hAnsi="Verdana" w:cs="Arial"/>
        </w:rPr>
        <w:t>,</w:t>
      </w:r>
      <w:r>
        <w:rPr>
          <w:rFonts w:ascii="Verdana" w:eastAsia="Calibri" w:hAnsi="Verdana" w:cs="Arial"/>
        </w:rPr>
        <w:t xml:space="preserve"> deben ejecutarse en las condiciones inicialmente pactadas que fueron convenidas luego de surtir todos los procedimientos previstos para la selección del contratista. </w:t>
      </w:r>
    </w:p>
    <w:p w14:paraId="53AB9643" w14:textId="77777777" w:rsidR="00FD634C" w:rsidRDefault="00FD634C" w:rsidP="00FD634C">
      <w:pPr>
        <w:tabs>
          <w:tab w:val="left" w:pos="709"/>
        </w:tabs>
        <w:spacing w:after="0" w:line="276" w:lineRule="auto"/>
        <w:jc w:val="both"/>
        <w:rPr>
          <w:rFonts w:ascii="Verdana" w:eastAsia="Arial" w:hAnsi="Verdana" w:cs="Arial"/>
          <w:lang w:val="es-MX" w:eastAsia="es-ES" w:bidi="es-ES"/>
        </w:rPr>
      </w:pPr>
      <w:r>
        <w:rPr>
          <w:rFonts w:ascii="Verdana" w:eastAsia="Calibri" w:hAnsi="Verdana" w:cs="Arial"/>
          <w:lang w:val="es-ES"/>
        </w:rPr>
        <w:tab/>
        <w:t>Sin embargo, las modificaciones contractuales son permitidas con diferentes límites legales</w:t>
      </w:r>
      <w:r>
        <w:rPr>
          <w:rStyle w:val="Refdenotaalpie"/>
          <w:rFonts w:ascii="Verdana" w:eastAsia="Calibri" w:hAnsi="Verdana" w:cs="Arial"/>
          <w:lang w:val="es-ES"/>
        </w:rPr>
        <w:footnoteReference w:id="8"/>
      </w:r>
      <w:r>
        <w:rPr>
          <w:rFonts w:ascii="Verdana" w:eastAsia="Calibri" w:hAnsi="Verdana" w:cs="Arial"/>
          <w:lang w:val="es-ES"/>
        </w:rPr>
        <w:t xml:space="preserve"> y jurisprudenciales. En el marco de estos últimos, en </w:t>
      </w:r>
      <w:r w:rsidRPr="00DA7C75">
        <w:rPr>
          <w:rFonts w:ascii="Verdana" w:eastAsia="Arial" w:hAnsi="Verdana" w:cs="Arial"/>
          <w:lang w:val="es-ES" w:eastAsia="es-ES" w:bidi="es-ES"/>
        </w:rPr>
        <w:t xml:space="preserve">el </w:t>
      </w:r>
      <w:bookmarkStart w:id="4" w:name="_Hlk193296637"/>
      <w:r w:rsidRPr="00DA7C75">
        <w:rPr>
          <w:rFonts w:ascii="Verdana" w:eastAsia="Arial" w:hAnsi="Verdana" w:cs="Arial"/>
          <w:lang w:val="es-ES" w:eastAsia="es-ES" w:bidi="es-ES"/>
        </w:rPr>
        <w:t xml:space="preserve">concepto 2263 del 17 de marzo del 2016, la Sala de Consulta y Servicio Civil del Consejo de Estado </w:t>
      </w:r>
      <w:bookmarkEnd w:id="4"/>
      <w:r w:rsidRPr="00DA7C75">
        <w:rPr>
          <w:rFonts w:ascii="Verdana" w:eastAsia="Arial" w:hAnsi="Verdana" w:cs="Arial"/>
          <w:lang w:val="es-ES" w:eastAsia="es-ES" w:bidi="es-ES"/>
        </w:rPr>
        <w:t xml:space="preserve">precisó que </w:t>
      </w:r>
      <w:r w:rsidRPr="00DA7C75">
        <w:rPr>
          <w:rFonts w:ascii="Verdana" w:eastAsia="Arial" w:hAnsi="Verdana" w:cs="Arial"/>
          <w:lang w:val="es-MX" w:eastAsia="es-ES" w:bidi="es-ES"/>
        </w:rPr>
        <w:t>la regla general es la no modificación del contrato, y la vía excepcional su modificación, sometida a límites legales; límites que, en los términos definidos en el referido concepto, corresponden a los siguientes:</w:t>
      </w:r>
    </w:p>
    <w:p w14:paraId="78B0707D" w14:textId="77777777" w:rsidR="00FD634C" w:rsidRPr="00DA7C75" w:rsidRDefault="00FD634C" w:rsidP="00FD634C">
      <w:pPr>
        <w:widowControl w:val="0"/>
        <w:autoSpaceDE w:val="0"/>
        <w:autoSpaceDN w:val="0"/>
        <w:spacing w:after="0" w:line="276" w:lineRule="auto"/>
        <w:ind w:right="-2" w:firstLine="709"/>
        <w:jc w:val="both"/>
        <w:rPr>
          <w:rFonts w:ascii="Verdana" w:eastAsia="Arial" w:hAnsi="Verdana" w:cs="Arial"/>
          <w:lang w:val="es-MX" w:eastAsia="es-ES" w:bidi="es-ES"/>
        </w:rPr>
      </w:pPr>
    </w:p>
    <w:p w14:paraId="23D857AF"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r w:rsidRPr="00751E10">
        <w:rPr>
          <w:rFonts w:ascii="Verdana" w:hAnsi="Verdana" w:cs="Arial"/>
          <w:sz w:val="20"/>
          <w:szCs w:val="20"/>
        </w:rPr>
        <w:t xml:space="preserve">“1. La necesidad de preservar los principios de igualdad, transparencia y libertad de concurrencia, durante la fase de ejecución del contrato. </w:t>
      </w:r>
    </w:p>
    <w:p w14:paraId="3DA89A2F"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p>
    <w:p w14:paraId="082FCD1A"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r w:rsidRPr="00751E10">
        <w:rPr>
          <w:rFonts w:ascii="Verdana" w:hAnsi="Verdana" w:cs="Arial"/>
          <w:sz w:val="20"/>
          <w:szCs w:val="20"/>
        </w:rPr>
        <w:lastRenderedPageBreak/>
        <w:t>Este límite encuentra sustento en el hecho de que, para celebrar contratos estatales las entidades públicas eligen, dentro de un “régimen de concurrencia y de igualdad, las mejores condiciones de costo, calidad e idoneidad de la prestación requerida”, lo que supone que la selección objetiva de la oferta más favorable, se dirige a salvaguardar el interés público y, por lo tanto, celebrado el contrato en esas condiciones,  su eventual modificación debe asegurar que lo adjudicado, y posteriormente alterado, consulte la mejor opción para el servicio público.</w:t>
      </w:r>
    </w:p>
    <w:p w14:paraId="2CDC119F"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p>
    <w:p w14:paraId="119CDCED"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r w:rsidRPr="00751E10">
        <w:rPr>
          <w:rFonts w:ascii="Verdana" w:hAnsi="Verdana" w:cs="Arial"/>
          <w:sz w:val="20"/>
          <w:szCs w:val="20"/>
        </w:rPr>
        <w:t>Así, según lo expuesto en el concepto en cuestión “la aplicación de los principios de transparencia, de libertad de concurrencia y de igualdad, consagrados en el Estatuto Contractual, y las reglas sustanciales del pliego de condiciones, que permitieron elegir la mejor oferta, previo cumplimiento de los requisitos habilitantes y de ponderación, deben ser de estricta observancia por la Administración y por el contratista, y sus efectos trascienden y se aplican durante la ejecución del contrato y en su liquidación, como garantía de inalterabilidad de lo pactado y de acatamiento a la legalidad de las reglas aplicadas en la actuación previa.</w:t>
      </w:r>
    </w:p>
    <w:p w14:paraId="49D4339C"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p>
    <w:p w14:paraId="6CCCB465" w14:textId="77777777" w:rsidR="00FD634C" w:rsidRPr="00435688" w:rsidRDefault="00FD634C" w:rsidP="00FD634C">
      <w:pPr>
        <w:tabs>
          <w:tab w:val="left" w:pos="284"/>
        </w:tabs>
        <w:spacing w:after="0" w:line="240" w:lineRule="auto"/>
        <w:ind w:left="709" w:right="709"/>
        <w:jc w:val="both"/>
        <w:rPr>
          <w:rFonts w:ascii="Verdana" w:hAnsi="Verdana" w:cs="Arial"/>
          <w:i/>
          <w:iCs/>
          <w:sz w:val="20"/>
          <w:szCs w:val="20"/>
        </w:rPr>
      </w:pPr>
      <w:r w:rsidRPr="00435688">
        <w:rPr>
          <w:rFonts w:ascii="Verdana" w:hAnsi="Verdana" w:cs="Arial"/>
          <w:i/>
          <w:iCs/>
          <w:sz w:val="20"/>
          <w:szCs w:val="20"/>
        </w:rPr>
        <w:t xml:space="preserve">2.Límites de orden temporal, entre los que están comprendidos: i) la vigencia del contrato, pues no podría modificarse un contrato cuyo plazo ha culminado y </w:t>
      </w:r>
      <w:proofErr w:type="spellStart"/>
      <w:r w:rsidRPr="00435688">
        <w:rPr>
          <w:rFonts w:ascii="Verdana" w:hAnsi="Verdana" w:cs="Arial"/>
          <w:i/>
          <w:iCs/>
          <w:sz w:val="20"/>
          <w:szCs w:val="20"/>
        </w:rPr>
        <w:t>ii</w:t>
      </w:r>
      <w:proofErr w:type="spellEnd"/>
      <w:r w:rsidRPr="00435688">
        <w:rPr>
          <w:rFonts w:ascii="Verdana" w:hAnsi="Verdana" w:cs="Arial"/>
          <w:i/>
          <w:iCs/>
          <w:sz w:val="20"/>
          <w:szCs w:val="20"/>
        </w:rPr>
        <w:t>) la prohibición de consagrar prórrogas automáticas, sucesivas o indefinidas, en tanto resultan contrarias al derecho esencial de la libertad de competencia.</w:t>
      </w:r>
    </w:p>
    <w:p w14:paraId="043186E6"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p>
    <w:p w14:paraId="7B10D0EF"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r w:rsidRPr="00751E10">
        <w:rPr>
          <w:rFonts w:ascii="Verdana" w:hAnsi="Verdana" w:cs="Arial"/>
          <w:sz w:val="20"/>
          <w:szCs w:val="20"/>
        </w:rPr>
        <w:t>3. Límites de orden formal, que comprenden: i) La solemnidad del contrato de modificación, derivada del carácter solemne del contrato estatal, que exige que la modificación de los contratos conste por escrito</w:t>
      </w:r>
      <w:r w:rsidRPr="00751E10">
        <w:rPr>
          <w:rFonts w:ascii="Verdana" w:hAnsi="Verdana" w:cs="Arial"/>
          <w:sz w:val="20"/>
          <w:szCs w:val="20"/>
          <w:vertAlign w:val="superscript"/>
        </w:rPr>
        <w:footnoteReference w:id="9"/>
      </w:r>
      <w:r w:rsidRPr="00751E10">
        <w:rPr>
          <w:rFonts w:ascii="Verdana" w:hAnsi="Verdana" w:cs="Arial"/>
          <w:sz w:val="20"/>
          <w:szCs w:val="20"/>
        </w:rPr>
        <w:t xml:space="preserve">; </w:t>
      </w:r>
      <w:proofErr w:type="spellStart"/>
      <w:r w:rsidRPr="00751E10">
        <w:rPr>
          <w:rFonts w:ascii="Verdana" w:hAnsi="Verdana" w:cs="Arial"/>
          <w:sz w:val="20"/>
          <w:szCs w:val="20"/>
        </w:rPr>
        <w:t>ii</w:t>
      </w:r>
      <w:proofErr w:type="spellEnd"/>
      <w:r w:rsidRPr="00751E10">
        <w:rPr>
          <w:rFonts w:ascii="Verdana" w:hAnsi="Verdana" w:cs="Arial"/>
          <w:sz w:val="20"/>
          <w:szCs w:val="20"/>
        </w:rPr>
        <w:t>) la motivación y justificación de la modificación, la cual constituye un elemento esencial que permite determinar la juridicidad y la necesidad de una modificación determinada; así como su racionalidad y la proporcionalidad de su contenido.</w:t>
      </w:r>
    </w:p>
    <w:p w14:paraId="4F2C678B"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p>
    <w:p w14:paraId="758D301C" w14:textId="77777777" w:rsidR="00FD634C" w:rsidRPr="00751E10" w:rsidRDefault="00FD634C" w:rsidP="00FD634C">
      <w:pPr>
        <w:tabs>
          <w:tab w:val="left" w:pos="284"/>
        </w:tabs>
        <w:spacing w:after="0" w:line="240" w:lineRule="auto"/>
        <w:ind w:left="709" w:right="709"/>
        <w:jc w:val="both"/>
        <w:rPr>
          <w:rFonts w:ascii="Verdana" w:hAnsi="Verdana" w:cs="Arial"/>
          <w:sz w:val="20"/>
          <w:szCs w:val="20"/>
        </w:rPr>
      </w:pPr>
      <w:r w:rsidRPr="00751E10">
        <w:rPr>
          <w:rFonts w:ascii="Verdana" w:hAnsi="Verdana" w:cs="Arial"/>
          <w:sz w:val="20"/>
          <w:szCs w:val="20"/>
        </w:rPr>
        <w:t>4. Límites de orden material, que corresponden a: i) la prohibición de modificar las condiciones sustanciales del contrato, que se presentará en los casos en que se incluyan elementos que, “habiendo figurado en el procedimiento inicial, hubiera permitido la participación de otros interesados aparte de los inicialmente admitidos, o seleccionar una oferta distinta de la inicialmente seleccionada”.</w:t>
      </w:r>
    </w:p>
    <w:p w14:paraId="447BA299" w14:textId="77777777" w:rsidR="00FD634C" w:rsidRDefault="00FD634C" w:rsidP="00FD634C">
      <w:pPr>
        <w:widowControl w:val="0"/>
        <w:autoSpaceDE w:val="0"/>
        <w:autoSpaceDN w:val="0"/>
        <w:spacing w:after="0" w:line="276" w:lineRule="auto"/>
        <w:ind w:right="104" w:firstLine="708"/>
        <w:jc w:val="both"/>
        <w:rPr>
          <w:rFonts w:ascii="Verdana" w:eastAsia="Arial" w:hAnsi="Verdana" w:cs="Arial"/>
          <w:lang w:val="es-MX" w:eastAsia="es-ES" w:bidi="es-ES"/>
        </w:rPr>
      </w:pPr>
    </w:p>
    <w:p w14:paraId="5619AE4F" w14:textId="77777777" w:rsidR="00FD634C" w:rsidRDefault="00FD634C" w:rsidP="00FD634C">
      <w:pPr>
        <w:widowControl w:val="0"/>
        <w:autoSpaceDE w:val="0"/>
        <w:autoSpaceDN w:val="0"/>
        <w:spacing w:after="120" w:line="276" w:lineRule="auto"/>
        <w:ind w:firstLine="708"/>
        <w:jc w:val="both"/>
        <w:rPr>
          <w:rFonts w:ascii="Verdana" w:hAnsi="Verdana"/>
        </w:rPr>
      </w:pPr>
      <w:r>
        <w:rPr>
          <w:rFonts w:ascii="Verdana" w:hAnsi="Verdana"/>
        </w:rPr>
        <w:lastRenderedPageBreak/>
        <w:t>Conforme lo expuesto, h</w:t>
      </w:r>
      <w:r w:rsidRPr="00236B36">
        <w:rPr>
          <w:rFonts w:ascii="Verdana" w:hAnsi="Verdana"/>
        </w:rPr>
        <w:t>an sido los aportes de la jurisprudencia, de la función consultiva del Consejo de Estado, y de la doctrina comparada, los que han permitido estructurar los límites y requisitos de orden temporal, formal</w:t>
      </w:r>
      <w:r>
        <w:rPr>
          <w:rFonts w:ascii="Verdana" w:hAnsi="Verdana"/>
        </w:rPr>
        <w:t>,</w:t>
      </w:r>
      <w:r w:rsidRPr="00236B36">
        <w:rPr>
          <w:rFonts w:ascii="Verdana" w:hAnsi="Verdana"/>
        </w:rPr>
        <w:t xml:space="preserve"> material</w:t>
      </w:r>
      <w:r>
        <w:rPr>
          <w:rFonts w:ascii="Verdana" w:hAnsi="Verdana"/>
        </w:rPr>
        <w:t xml:space="preserve"> y axiológico</w:t>
      </w:r>
      <w:r w:rsidRPr="00236B36">
        <w:rPr>
          <w:rFonts w:ascii="Verdana" w:hAnsi="Verdana"/>
        </w:rPr>
        <w:t xml:space="preserve"> para la modificación de un contrato estatal. Estos límites deben ser respetados por la entidad contratante a preservar los principios de origen legal como es el principio de planeación, de selección objetiva de libertad de concurrencia, de transparencia, de igualdad, entre otros</w:t>
      </w:r>
      <w:r w:rsidRPr="00236B36">
        <w:rPr>
          <w:rStyle w:val="Refdenotaalpie"/>
          <w:rFonts w:ascii="Verdana" w:hAnsi="Verdana"/>
        </w:rPr>
        <w:footnoteReference w:id="10"/>
      </w:r>
      <w:r w:rsidRPr="00236B36">
        <w:rPr>
          <w:rFonts w:ascii="Verdana" w:hAnsi="Verdana"/>
        </w:rPr>
        <w:t xml:space="preserve">. </w:t>
      </w:r>
    </w:p>
    <w:p w14:paraId="3240E7AA" w14:textId="77777777" w:rsidR="00FD634C" w:rsidRDefault="00FD634C" w:rsidP="00FD634C">
      <w:pPr>
        <w:spacing w:before="120" w:after="120" w:line="276" w:lineRule="auto"/>
        <w:ind w:firstLine="709"/>
        <w:jc w:val="both"/>
        <w:rPr>
          <w:rFonts w:ascii="Verdana" w:eastAsia="Calibri" w:hAnsi="Verdana" w:cs="Arial"/>
          <w:color w:val="000000" w:themeColor="text1"/>
        </w:rPr>
      </w:pPr>
      <w:r>
        <w:rPr>
          <w:rFonts w:ascii="Verdana" w:eastAsia="Arial" w:hAnsi="Verdana" w:cs="Arial"/>
          <w:lang w:eastAsia="es-ES"/>
        </w:rPr>
        <w:t xml:space="preserve">Así, los contratos estatales pueden modificarse en cumplimiento de los requisitos y </w:t>
      </w:r>
      <w:r w:rsidRPr="00672426">
        <w:rPr>
          <w:rFonts w:ascii="Verdana" w:eastAsia="Arial" w:hAnsi="Verdana" w:cs="Arial"/>
          <w:lang w:eastAsia="es-ES"/>
        </w:rPr>
        <w:t xml:space="preserve">los </w:t>
      </w:r>
      <w:r>
        <w:rPr>
          <w:rFonts w:ascii="Verdana" w:eastAsia="Arial" w:hAnsi="Verdana" w:cs="Arial"/>
          <w:lang w:eastAsia="es-ES"/>
        </w:rPr>
        <w:t>límites legales</w:t>
      </w:r>
      <w:r w:rsidRPr="00672426">
        <w:rPr>
          <w:rFonts w:ascii="Verdana" w:eastAsia="Arial" w:hAnsi="Verdana" w:cs="Arial"/>
          <w:lang w:eastAsia="es-ES"/>
        </w:rPr>
        <w:t xml:space="preserve"> y jurisprudenciales</w:t>
      </w:r>
      <w:r>
        <w:rPr>
          <w:rFonts w:ascii="Verdana" w:eastAsia="Arial" w:hAnsi="Verdana" w:cs="Arial"/>
          <w:lang w:eastAsia="es-ES"/>
        </w:rPr>
        <w:t>, siempre atendiendo a los principios que rigen la actuación administrativa y la contratación estatal</w:t>
      </w:r>
      <w:r w:rsidRPr="00672426">
        <w:rPr>
          <w:rFonts w:ascii="Verdana" w:eastAsia="Arial" w:hAnsi="Verdana" w:cs="Arial"/>
          <w:lang w:eastAsia="es-ES"/>
        </w:rPr>
        <w:t xml:space="preserve">. No obstante, </w:t>
      </w:r>
      <w:r w:rsidRPr="009C6597">
        <w:rPr>
          <w:rFonts w:ascii="Verdana" w:eastAsia="Arial" w:hAnsi="Verdana" w:cs="Arial"/>
          <w:lang w:eastAsia="es-ES"/>
        </w:rPr>
        <w:t>esta medida tiene carácter excepcional y solo procede cuando con ella se pretenda garantizar el interés público, cuando la entidad haya verificado y así pueda constatarse por cualquier que la causa de la modificación es real y cierta y cuando se deriva de previsiones legales, esto es, cuando la modificación encuentra sustento no solo en circunstancias fácticas propias de la ejecución del contrato, sino, además, cuando tales situaciones ponen de presente la necesidad de dar cumplimiento a previsiones establecidas por el legislador</w:t>
      </w:r>
    </w:p>
    <w:p w14:paraId="7F042BDC" w14:textId="77777777" w:rsidR="00FD634C" w:rsidRPr="00EF09DE" w:rsidRDefault="00FD634C" w:rsidP="00FD634C">
      <w:pPr>
        <w:spacing w:after="120" w:line="276" w:lineRule="auto"/>
        <w:ind w:firstLine="709"/>
        <w:jc w:val="both"/>
        <w:rPr>
          <w:rFonts w:ascii="Verdana" w:eastAsia="Calibri" w:hAnsi="Verdana" w:cs="Arial"/>
          <w:color w:val="000000" w:themeColor="text1"/>
        </w:rPr>
      </w:pPr>
      <w:r w:rsidRPr="007A60E6">
        <w:rPr>
          <w:rFonts w:ascii="Verdana" w:hAnsi="Verdana"/>
        </w:rPr>
        <w:t xml:space="preserve">Sin perjuicio de lo anterior, </w:t>
      </w:r>
      <w:r w:rsidRPr="007A60E6">
        <w:rPr>
          <w:rFonts w:ascii="Verdana" w:eastAsia="Calibri" w:hAnsi="Verdana" w:cs="Arial"/>
          <w:color w:val="000000"/>
          <w:lang w:val="es-ES" w:eastAsia="es-ES"/>
        </w:rPr>
        <w:t>se precisa que los conceptos emitidos por esta Subdirección en el marco de la función consultiva representan</w:t>
      </w:r>
      <w:r w:rsidRPr="007A60E6">
        <w:rPr>
          <w:rFonts w:ascii="Verdana" w:hAnsi="Verdana" w:cs="Arial"/>
          <w:lang w:eastAsia="es-ES"/>
        </w:rPr>
        <w:t xml:space="preserve"> una </w:t>
      </w:r>
      <w:r w:rsidRPr="007A60E6">
        <w:rPr>
          <w:rFonts w:ascii="Verdana" w:eastAsia="Calibri" w:hAnsi="Verdana" w:cs="Arial"/>
          <w:bCs/>
          <w:lang w:val="es-ES_tradnl"/>
        </w:rPr>
        <w:t>posición hermenéutica respecto a las disposiciones normativas del Sistema de Compras Públicas,</w:t>
      </w:r>
      <w:r w:rsidRPr="007A60E6">
        <w:rPr>
          <w:rFonts w:ascii="Verdana" w:hAnsi="Verdana" w:cs="Arial"/>
          <w:lang w:eastAsia="es-ES"/>
        </w:rPr>
        <w:t xml:space="preserve"> que </w:t>
      </w:r>
      <w:r w:rsidRPr="007A60E6">
        <w:rPr>
          <w:rFonts w:ascii="Verdana" w:eastAsia="Calibri" w:hAnsi="Verdana" w:cs="Arial"/>
          <w:bCs/>
          <w:lang w:val="es-ES_tradnl"/>
        </w:rPr>
        <w:t>no tienen efectos vinculantes en relación con una situación jurídica particular y concreta, y exponen un criterio que, aunque jurídicamente fundamentado, no representan la única interpretación válida del ordenamiento jurídico.</w:t>
      </w:r>
      <w:r w:rsidRPr="007A60E6">
        <w:rPr>
          <w:rFonts w:ascii="Verdana" w:eastAsiaTheme="minorEastAsia" w:hAnsi="Verdana" w:cs="Arial"/>
          <w:szCs w:val="24"/>
          <w:lang w:eastAsia="es-CO"/>
        </w:rPr>
        <w:t xml:space="preserve"> De este modo, las autoridades que ejercen funciones consultivas pueden expresar su</w:t>
      </w:r>
      <w:r w:rsidRPr="007A60E6">
        <w:rPr>
          <w:rFonts w:ascii="Verdana" w:eastAsiaTheme="minorEastAsia" w:hAnsi="Verdana" w:cs="Arial"/>
          <w:spacing w:val="1"/>
          <w:szCs w:val="24"/>
          <w:lang w:eastAsia="es-CO"/>
        </w:rPr>
        <w:t xml:space="preserve"> </w:t>
      </w:r>
      <w:r w:rsidRPr="007A60E6">
        <w:rPr>
          <w:rFonts w:ascii="Verdana" w:eastAsiaTheme="minorEastAsia" w:hAnsi="Verdana" w:cs="Arial"/>
          <w:szCs w:val="24"/>
          <w:lang w:eastAsia="es-CO"/>
        </w:rPr>
        <w:t>interpretación de un precepto normativo, que no excluye otras interpretaciones posibles, pues el derecho, como sistema normativo, es un lenguaje que, en ocasiones, se tiñe de vaguedad, en</w:t>
      </w:r>
      <w:r w:rsidRPr="007A60E6">
        <w:rPr>
          <w:rFonts w:ascii="Verdana" w:eastAsiaTheme="minorEastAsia" w:hAnsi="Verdana" w:cs="Arial"/>
          <w:spacing w:val="1"/>
          <w:szCs w:val="24"/>
          <w:lang w:eastAsia="es-CO"/>
        </w:rPr>
        <w:t xml:space="preserve"> </w:t>
      </w:r>
      <w:r w:rsidRPr="007A60E6">
        <w:rPr>
          <w:rFonts w:ascii="Verdana" w:eastAsiaTheme="minorEastAsia" w:hAnsi="Verdana" w:cs="Arial"/>
          <w:szCs w:val="24"/>
          <w:lang w:eastAsia="es-CO"/>
        </w:rPr>
        <w:t>virtud</w:t>
      </w:r>
      <w:r w:rsidRPr="007A60E6">
        <w:rPr>
          <w:rFonts w:ascii="Verdana" w:eastAsiaTheme="minorEastAsia" w:hAnsi="Verdana" w:cs="Arial"/>
          <w:spacing w:val="-10"/>
          <w:szCs w:val="24"/>
          <w:lang w:eastAsia="es-CO"/>
        </w:rPr>
        <w:t xml:space="preserve"> </w:t>
      </w:r>
      <w:r w:rsidRPr="007A60E6">
        <w:rPr>
          <w:rFonts w:ascii="Verdana" w:eastAsiaTheme="minorEastAsia" w:hAnsi="Verdana" w:cs="Arial"/>
          <w:szCs w:val="24"/>
          <w:lang w:eastAsia="es-CO"/>
        </w:rPr>
        <w:t>de</w:t>
      </w:r>
      <w:r w:rsidRPr="007A60E6">
        <w:rPr>
          <w:rFonts w:ascii="Verdana" w:eastAsiaTheme="minorEastAsia" w:hAnsi="Verdana" w:cs="Arial"/>
          <w:spacing w:val="-9"/>
          <w:szCs w:val="24"/>
          <w:lang w:eastAsia="es-CO"/>
        </w:rPr>
        <w:t xml:space="preserve"> </w:t>
      </w:r>
      <w:r w:rsidRPr="007A60E6">
        <w:rPr>
          <w:rFonts w:ascii="Verdana" w:eastAsiaTheme="minorEastAsia" w:hAnsi="Verdana" w:cs="Arial"/>
          <w:szCs w:val="24"/>
          <w:lang w:eastAsia="es-CO"/>
        </w:rPr>
        <w:t>la</w:t>
      </w:r>
      <w:r w:rsidRPr="007A60E6">
        <w:rPr>
          <w:rFonts w:ascii="Verdana" w:eastAsiaTheme="minorEastAsia" w:hAnsi="Verdana" w:cs="Arial"/>
          <w:spacing w:val="-9"/>
          <w:szCs w:val="24"/>
          <w:lang w:eastAsia="es-CO"/>
        </w:rPr>
        <w:t xml:space="preserve"> </w:t>
      </w:r>
      <w:r w:rsidRPr="007A60E6">
        <w:rPr>
          <w:rFonts w:ascii="Verdana" w:eastAsiaTheme="minorEastAsia" w:hAnsi="Verdana" w:cs="Arial"/>
          <w:szCs w:val="24"/>
          <w:lang w:eastAsia="es-CO"/>
        </w:rPr>
        <w:t>utilización</w:t>
      </w:r>
      <w:r w:rsidRPr="007A60E6">
        <w:rPr>
          <w:rFonts w:ascii="Verdana" w:eastAsiaTheme="minorEastAsia" w:hAnsi="Verdana" w:cs="Arial"/>
          <w:spacing w:val="-9"/>
          <w:szCs w:val="24"/>
          <w:lang w:eastAsia="es-CO"/>
        </w:rPr>
        <w:t xml:space="preserve"> </w:t>
      </w:r>
      <w:r w:rsidRPr="007A60E6">
        <w:rPr>
          <w:rFonts w:ascii="Verdana" w:eastAsiaTheme="minorEastAsia" w:hAnsi="Verdana" w:cs="Arial"/>
          <w:szCs w:val="24"/>
          <w:lang w:eastAsia="es-CO"/>
        </w:rPr>
        <w:t>de</w:t>
      </w:r>
      <w:r w:rsidRPr="007A60E6">
        <w:rPr>
          <w:rFonts w:ascii="Verdana" w:eastAsiaTheme="minorEastAsia" w:hAnsi="Verdana" w:cs="Arial"/>
          <w:spacing w:val="-9"/>
          <w:szCs w:val="24"/>
          <w:lang w:eastAsia="es-CO"/>
        </w:rPr>
        <w:t xml:space="preserve"> </w:t>
      </w:r>
      <w:r w:rsidRPr="007A60E6">
        <w:rPr>
          <w:rFonts w:ascii="Verdana" w:eastAsiaTheme="minorEastAsia" w:hAnsi="Verdana" w:cs="Arial"/>
          <w:szCs w:val="24"/>
          <w:lang w:eastAsia="es-CO"/>
        </w:rPr>
        <w:t>conceptos</w:t>
      </w:r>
      <w:r w:rsidRPr="007A60E6">
        <w:rPr>
          <w:rFonts w:ascii="Verdana" w:eastAsiaTheme="minorEastAsia" w:hAnsi="Verdana" w:cs="Arial"/>
          <w:spacing w:val="-10"/>
          <w:szCs w:val="24"/>
          <w:lang w:eastAsia="es-CO"/>
        </w:rPr>
        <w:t xml:space="preserve"> </w:t>
      </w:r>
      <w:r w:rsidRPr="007A60E6">
        <w:rPr>
          <w:rFonts w:ascii="Verdana" w:eastAsiaTheme="minorEastAsia" w:hAnsi="Verdana" w:cs="Arial"/>
          <w:szCs w:val="24"/>
          <w:lang w:eastAsia="es-CO"/>
        </w:rPr>
        <w:t>jurídicos</w:t>
      </w:r>
      <w:r w:rsidRPr="007A60E6">
        <w:rPr>
          <w:rFonts w:ascii="Verdana" w:eastAsiaTheme="minorEastAsia" w:hAnsi="Verdana" w:cs="Arial"/>
          <w:spacing w:val="-9"/>
          <w:szCs w:val="24"/>
          <w:lang w:eastAsia="es-CO"/>
        </w:rPr>
        <w:t xml:space="preserve"> </w:t>
      </w:r>
      <w:r w:rsidRPr="007A60E6">
        <w:rPr>
          <w:rFonts w:ascii="Verdana" w:eastAsiaTheme="minorEastAsia" w:hAnsi="Verdana" w:cs="Arial"/>
          <w:szCs w:val="24"/>
          <w:lang w:eastAsia="es-CO"/>
        </w:rPr>
        <w:t>indeterminados.</w:t>
      </w:r>
      <w:r w:rsidRPr="007A60E6">
        <w:rPr>
          <w:rFonts w:ascii="Verdana" w:eastAsiaTheme="minorEastAsia" w:hAnsi="Verdana" w:cs="Arial"/>
          <w:spacing w:val="-9"/>
          <w:szCs w:val="24"/>
          <w:lang w:eastAsia="es-CO"/>
        </w:rPr>
        <w:t xml:space="preserve"> </w:t>
      </w:r>
    </w:p>
    <w:p w14:paraId="5E13A595" w14:textId="77777777" w:rsidR="00FD634C" w:rsidRPr="00CB7B00" w:rsidRDefault="00FD634C" w:rsidP="00FD634C">
      <w:pPr>
        <w:spacing w:line="276" w:lineRule="auto"/>
        <w:ind w:firstLine="709"/>
        <w:jc w:val="both"/>
        <w:rPr>
          <w:rFonts w:ascii="Verdana" w:eastAsia="Calibri" w:hAnsi="Verdana" w:cs="Times New Roman"/>
        </w:rPr>
      </w:pPr>
      <w:r w:rsidRPr="00CB7B00">
        <w:rPr>
          <w:rFonts w:ascii="Verdana" w:eastAsia="Calibri" w:hAnsi="Verdana" w:cs="Times New Roman"/>
        </w:rPr>
        <w:t xml:space="preserve">En ese sentido, al tratarse de un análisis que debe realizarse en un procedimiento contractual específico, esta Agencia no puede definir un criterio universal y absoluto por vía consultiva, sino que brinda elementos de carácter general para que los partícipes del Sistema de Compras y Contratación Pública </w:t>
      </w:r>
      <w:r w:rsidRPr="00CB7B00">
        <w:rPr>
          <w:rFonts w:ascii="Verdana" w:eastAsia="Calibri" w:hAnsi="Verdana" w:cs="Times New Roman"/>
        </w:rPr>
        <w:lastRenderedPageBreak/>
        <w:t>adopten la decisión que corresponda, lo cual es acorde con el principio de juridicidad. Así cada entidad definirá la forma de adelantar su gestión contractual, sin que sea atribución de la Agencia Nacional de Contratación Pública – Colombia Compra Eficiente, validar sus actuaciones.</w:t>
      </w:r>
    </w:p>
    <w:p w14:paraId="32C43F57" w14:textId="77777777" w:rsidR="00FD634C" w:rsidRPr="00CB7B00" w:rsidRDefault="00FD634C" w:rsidP="00FD634C">
      <w:pPr>
        <w:pStyle w:val="Prrafodelista"/>
        <w:numPr>
          <w:ilvl w:val="0"/>
          <w:numId w:val="16"/>
        </w:numPr>
        <w:tabs>
          <w:tab w:val="left" w:pos="426"/>
        </w:tabs>
        <w:spacing w:before="240" w:after="120" w:line="276" w:lineRule="auto"/>
        <w:jc w:val="both"/>
        <w:rPr>
          <w:rFonts w:ascii="Verdana" w:eastAsia="Century Gothic" w:hAnsi="Verdana" w:cs="Century Gothic"/>
          <w:b/>
          <w:bCs/>
          <w:lang w:val="es-CO"/>
        </w:rPr>
      </w:pPr>
      <w:r w:rsidRPr="00CB7B00">
        <w:rPr>
          <w:rFonts w:ascii="Verdana" w:eastAsia="Century Gothic" w:hAnsi="Verdana" w:cs="Century Gothic"/>
          <w:b/>
          <w:bCs/>
          <w:lang w:val="es-CO"/>
        </w:rPr>
        <w:t>Referencias normativas:</w:t>
      </w:r>
    </w:p>
    <w:tbl>
      <w:tblPr>
        <w:tblStyle w:val="Tablaconcuadrcula"/>
        <w:tblW w:w="864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FD634C" w:rsidRPr="00CB7B00" w14:paraId="14CBA82F" w14:textId="77777777" w:rsidTr="00774ACE">
        <w:trPr>
          <w:trHeight w:val="453"/>
          <w:jc w:val="center"/>
        </w:trPr>
        <w:tc>
          <w:tcPr>
            <w:tcW w:w="8647" w:type="dxa"/>
          </w:tcPr>
          <w:p w14:paraId="06D85756" w14:textId="77777777"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Constitución Política de Colombia de 1991, artículos 74 y 209.</w:t>
            </w:r>
          </w:p>
          <w:p w14:paraId="349B42F4" w14:textId="3BA92F8F"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Ley 80 de 1993, artículos 25, 32 y 40.</w:t>
            </w:r>
          </w:p>
          <w:p w14:paraId="436453C5" w14:textId="3DE5F405"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Ley 1150 de 2007, artículos 2 y 3, literal c).</w:t>
            </w:r>
          </w:p>
          <w:p w14:paraId="7AEE9131" w14:textId="55B19774"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Ley 1712 de 2014, artículos 2, 5, 9, literal e), 10 y 11, literal g).</w:t>
            </w:r>
          </w:p>
          <w:p w14:paraId="2D4502D5" w14:textId="08A6EA5B"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Decreto 1082 de 2015, artículo pendiente de precisar.</w:t>
            </w:r>
          </w:p>
          <w:p w14:paraId="4B8A6CEF" w14:textId="1D09D15A"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Decreto 1081 de 2015, artículo 2.1.1.2.1.7.</w:t>
            </w:r>
          </w:p>
          <w:p w14:paraId="1881F893" w14:textId="4AAB48CE"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Corte Constitucional. Sentencia C-274 del 9 de mayo de 2013. M. P.: María Victoria Calle Correa.</w:t>
            </w:r>
          </w:p>
          <w:p w14:paraId="4D29DA85" w14:textId="14F0BA88"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Consejo de Estado. Sala de Consulta y Servicio Civil. Concepto del 17 de marzo de 2016. Radicación número 2263.</w:t>
            </w:r>
          </w:p>
          <w:p w14:paraId="59B10638" w14:textId="70B9216D" w:rsidR="00F3482D" w:rsidRPr="00F3482D" w:rsidRDefault="00F3482D" w:rsidP="00F3482D">
            <w:pPr>
              <w:pStyle w:val="NormalWeb"/>
              <w:numPr>
                <w:ilvl w:val="0"/>
                <w:numId w:val="18"/>
              </w:numPr>
              <w:spacing w:line="276" w:lineRule="auto"/>
              <w:rPr>
                <w:rStyle w:val="normaltextrun"/>
                <w:rFonts w:ascii="Verdana" w:eastAsiaTheme="minorHAnsi" w:hAnsi="Verdana" w:cs="Arial"/>
                <w:sz w:val="22"/>
                <w:szCs w:val="22"/>
                <w:shd w:val="clear" w:color="auto" w:fill="FFFFFF"/>
                <w:lang w:val="es-ES" w:eastAsia="en-US"/>
              </w:rPr>
            </w:pPr>
            <w:r w:rsidRPr="00F3482D">
              <w:rPr>
                <w:rStyle w:val="normaltextrun"/>
                <w:rFonts w:ascii="Verdana" w:eastAsiaTheme="minorHAnsi" w:hAnsi="Verdana" w:cs="Arial"/>
                <w:sz w:val="22"/>
                <w:szCs w:val="22"/>
                <w:shd w:val="clear" w:color="auto" w:fill="FFFFFF"/>
                <w:lang w:val="es-ES" w:eastAsia="en-US"/>
              </w:rPr>
              <w:t>Consejo de Estado. Sala de Consulta y Servicio Civil. Concepto del 6 de junio de 2018. Radicación número 2369. C. P.: Óscar Darío Amaya Navas.</w:t>
            </w:r>
          </w:p>
          <w:p w14:paraId="4552CE93" w14:textId="527281DD" w:rsidR="00FD634C" w:rsidRPr="00F3482D" w:rsidRDefault="00F3482D" w:rsidP="00F3482D">
            <w:pPr>
              <w:pStyle w:val="NormalWeb"/>
              <w:numPr>
                <w:ilvl w:val="0"/>
                <w:numId w:val="18"/>
              </w:numPr>
              <w:spacing w:line="276" w:lineRule="auto"/>
            </w:pPr>
            <w:r w:rsidRPr="00F3482D">
              <w:rPr>
                <w:rStyle w:val="normaltextrun"/>
                <w:rFonts w:ascii="Verdana" w:eastAsiaTheme="minorHAnsi" w:hAnsi="Verdana" w:cs="Arial"/>
                <w:sz w:val="22"/>
                <w:szCs w:val="22"/>
                <w:shd w:val="clear" w:color="auto" w:fill="FFFFFF"/>
                <w:lang w:val="es-ES" w:eastAsia="en-US"/>
              </w:rPr>
              <w:t>BOBBIO, Norberto. Democracia y secreto. México: Fondo de Cultura Económica, 2013, p. 27.</w:t>
            </w:r>
          </w:p>
        </w:tc>
      </w:tr>
    </w:tbl>
    <w:p w14:paraId="63FFD130" w14:textId="77777777" w:rsidR="00FD634C" w:rsidRPr="00CB7B00" w:rsidRDefault="00FD634C" w:rsidP="00FD634C">
      <w:pPr>
        <w:pStyle w:val="Prrafodelista"/>
        <w:numPr>
          <w:ilvl w:val="0"/>
          <w:numId w:val="16"/>
        </w:numPr>
        <w:tabs>
          <w:tab w:val="left" w:pos="142"/>
          <w:tab w:val="left" w:pos="284"/>
        </w:tabs>
        <w:spacing w:before="240" w:line="276" w:lineRule="auto"/>
        <w:jc w:val="both"/>
        <w:rPr>
          <w:rStyle w:val="normaltextrun"/>
          <w:rFonts w:ascii="Verdana" w:eastAsia="Century Gothic" w:hAnsi="Verdana" w:cs="Century Gothic"/>
          <w:b/>
          <w:bCs/>
          <w:lang w:val="es-CO"/>
        </w:rPr>
      </w:pPr>
      <w:r w:rsidRPr="00CB7B00">
        <w:rPr>
          <w:rFonts w:ascii="Verdana" w:eastAsia="Century Gothic" w:hAnsi="Verdana" w:cs="Century Gothic"/>
          <w:b/>
          <w:bCs/>
          <w:lang w:val="es-CO"/>
        </w:rPr>
        <w:t>Doctrina de la Agencia Nacional de Contratación Pública:</w:t>
      </w:r>
    </w:p>
    <w:p w14:paraId="68090E87" w14:textId="2783A3CD" w:rsidR="00FD634C" w:rsidRDefault="00FD634C" w:rsidP="00FD634C">
      <w:pPr>
        <w:spacing w:before="240" w:after="0" w:line="276" w:lineRule="auto"/>
        <w:jc w:val="both"/>
        <w:rPr>
          <w:rStyle w:val="normaltextrun"/>
          <w:rFonts w:ascii="Verdana" w:hAnsi="Verdana" w:cs="Arial"/>
          <w:shd w:val="clear" w:color="auto" w:fill="FFFFFF"/>
          <w:lang w:val="es-ES"/>
        </w:rPr>
      </w:pPr>
      <w:r w:rsidRPr="00781197">
        <w:rPr>
          <w:rStyle w:val="normaltextrun"/>
          <w:rFonts w:ascii="Verdana" w:hAnsi="Verdana" w:cs="Arial"/>
          <w:shd w:val="clear" w:color="auto" w:fill="FFFFFF"/>
          <w:lang w:val="es-ES"/>
        </w:rPr>
        <w:t xml:space="preserve">La Agencia Nacional de Contratación Pública – Colombia Compra Eficiente, se ha pronunciado en diferentes conceptos sobre las modificaciones en los contratos estatales en los Conceptos Nro. C-277 de 21 de junio de 2021, C-644 de 18 de noviembre de 2021, C-755 de 21 de enero de 2022, C-152 de 1 de abril de 2022, C-267 de 5 de mayo de 2022, C-432 de 13 de julio de 2022, C-630 del 29 de septiembre de 2022, C784 del 21 de noviembre del 2022, C-398 del 27 de septiembre de 2023, C-452 del 7 de noviembre de 2023, C-463 del 22 de noviembre de 2023, C-471 del 25 de enero del 2024, C-329 del 22 de agosto de 2024, C-563 del 21 de octubre de 2024, C-903 del 2 de enero de 2024, C-1008 del 30 de enero de 2025, C-308 del 28 de abril de 2025, entre otros. En torno a los anticipos, Colombia Compra Eficiente ha expedido los siguientes Conceptos: C- C-796 de noviembre de 2022, C-825 de diciembre de 2022, C-842 de 2022 </w:t>
      </w:r>
      <w:r w:rsidRPr="00781197">
        <w:rPr>
          <w:rStyle w:val="normaltextrun"/>
          <w:rFonts w:ascii="Verdana" w:hAnsi="Verdana" w:cs="Arial"/>
          <w:shd w:val="clear" w:color="auto" w:fill="FFFFFF"/>
          <w:lang w:val="es-ES"/>
        </w:rPr>
        <w:lastRenderedPageBreak/>
        <w:t>de diciembre 2022, C-109 de mayo 2023, C-455 de diciembre de 2023, C-471 de 2023, C-452 de 2023, C-396 de 2023, C-090 de 2024, C-188 del 31 de julio de 2024, C-485 del 2025 entre otros. Estos y otros conceptos se encuentran disponibles para consulta en el Sistema de Relatoría de la Agencia, en el cual también podrás encontrar jurisprudencia del Consejo de Estado, laudos arbitrales y la normativa de la contratación concordada con la doctrina de la Subdirección de Gestión Contractual, accede a través del siguiente enlace</w:t>
      </w:r>
      <w:r>
        <w:rPr>
          <w:rStyle w:val="normaltextrun"/>
          <w:rFonts w:ascii="Verdana" w:hAnsi="Verdana" w:cs="Arial"/>
          <w:shd w:val="clear" w:color="auto" w:fill="FFFFFF"/>
          <w:lang w:val="es-ES"/>
        </w:rPr>
        <w:t xml:space="preserve">: </w:t>
      </w:r>
      <w:hyperlink r:id="rId12" w:history="1">
        <w:r w:rsidRPr="004E78EA">
          <w:rPr>
            <w:rStyle w:val="Hipervnculo"/>
            <w:rFonts w:ascii="Verdana" w:hAnsi="Verdana" w:cs="Arial"/>
            <w:shd w:val="clear" w:color="auto" w:fill="FFFFFF"/>
            <w:lang w:val="es-ES"/>
          </w:rPr>
          <w:t>https://relatoria.colombiacompra.gov.co/busqueda/conceptos</w:t>
        </w:r>
      </w:hyperlink>
      <w:r w:rsidRPr="00781197">
        <w:rPr>
          <w:rStyle w:val="normaltextrun"/>
          <w:rFonts w:ascii="Verdana" w:hAnsi="Verdana" w:cs="Arial"/>
          <w:shd w:val="clear" w:color="auto" w:fill="FFFFFF"/>
          <w:lang w:val="es-ES"/>
        </w:rPr>
        <w:t xml:space="preserve">. </w:t>
      </w:r>
    </w:p>
    <w:p w14:paraId="3E7F470E" w14:textId="77777777" w:rsidR="00FD634C" w:rsidRPr="00CB7B00" w:rsidRDefault="00FD634C" w:rsidP="00FD634C">
      <w:pPr>
        <w:spacing w:before="240" w:after="0" w:line="276" w:lineRule="auto"/>
        <w:jc w:val="both"/>
        <w:rPr>
          <w:rStyle w:val="Hipervnculo"/>
          <w:rFonts w:ascii="Verdana" w:hAnsi="Verdana"/>
        </w:rPr>
      </w:pPr>
      <w:r w:rsidRPr="00CB7B00">
        <w:rPr>
          <w:rFonts w:ascii="Verdana" w:hAnsi="Verdana"/>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CB7B00">
        <w:rPr>
          <w:rFonts w:ascii="Verdana" w:hAnsi="Verdana"/>
          <w:b/>
          <w:bCs/>
        </w:rPr>
        <w:t>Guía para la Exigencia y Constitución de Garantías en los Procesos de Contratación</w:t>
      </w:r>
      <w:r w:rsidRPr="00CB7B00">
        <w:rPr>
          <w:rFonts w:ascii="Verdana" w:hAnsi="Verdana"/>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3" w:tooltip="Dirección URL original: https://www.colombiacompra.gov.co/archivos/manual/guia-de-garantias-en-procesos-de-contratacion. Haga clic o pulse si confía en este vínculo." w:history="1">
        <w:r w:rsidRPr="00CB7B00">
          <w:rPr>
            <w:rStyle w:val="Hipervnculo"/>
            <w:rFonts w:ascii="Verdana" w:hAnsi="Verdana"/>
          </w:rPr>
          <w:t>https://www.colombiacompra.gov.co/archivos/manual/guia-de-garantias-en-procesos-de-contratacion</w:t>
        </w:r>
      </w:hyperlink>
    </w:p>
    <w:p w14:paraId="33D5C126" w14:textId="77777777" w:rsidR="00FD634C" w:rsidRPr="00E57649" w:rsidRDefault="00FD634C" w:rsidP="00FD634C">
      <w:pPr>
        <w:spacing w:before="240" w:after="0" w:line="276" w:lineRule="auto"/>
        <w:jc w:val="both"/>
        <w:rPr>
          <w:rFonts w:ascii="Verdana" w:hAnsi="Verdana"/>
          <w:color w:val="0000FF"/>
          <w:u w:val="single"/>
        </w:rPr>
      </w:pPr>
      <w:r w:rsidRPr="00CB7B00">
        <w:rPr>
          <w:rFonts w:ascii="Verdana" w:hAnsi="Verdana"/>
        </w:rPr>
        <w:t>De otro lado, te contamos que el Decreto 287 del 19 de marzo de 2026 sustituyó los artículos 2.2.1.2.4.2.6., 2.2.1.2.4.2.7. y 2.2.1.2.4.2.8. del Decreto 1082 de 2015 y estructuró el </w:t>
      </w:r>
      <w:r w:rsidRPr="00CB7B00">
        <w:rPr>
          <w:rFonts w:ascii="Verdana" w:hAnsi="Verdana"/>
          <w:b/>
          <w:bCs/>
        </w:rPr>
        <w:t>Sistema Integral de Preferencias en favor de las personas con discapacidad</w:t>
      </w:r>
      <w:r w:rsidRPr="00CB7B00">
        <w:rPr>
          <w:rFonts w:ascii="Verdana" w:hAnsi="Verdana"/>
        </w:rPr>
        <w:t>, en cumplimiento del artículo 13 de la Ley Estatutaria 1618 de 2013. Para orientar su aplicación, esta Agencia expidió la </w:t>
      </w:r>
      <w:r w:rsidRPr="00CB7B00">
        <w:rPr>
          <w:rFonts w:ascii="Verdana" w:hAnsi="Verdana"/>
          <w:b/>
          <w:bCs/>
        </w:rPr>
        <w:t>Circular Externa 003 del 12 de mayo de 2026, </w:t>
      </w:r>
      <w:r w:rsidRPr="00CB7B00">
        <w:rPr>
          <w:rFonts w:ascii="Verdana" w:hAnsi="Verdana"/>
        </w:rPr>
        <w:t>en la que precisa quiénes son los beneficiarios, las cinco medidas que integran el sistema y su obligatoriedad según la modalidad de selección, y el régimen de transición aplicable a los procesos en curso. Consúltala aquí: </w:t>
      </w:r>
      <w:hyperlink r:id="rId14" w:tooltip="Dirección URL original: https://www.colombiacompra.gov.co/archivos/circular/circular-externa-003-de-2026. Haga clic o pulse si confía en este vínculo." w:history="1">
        <w:r w:rsidRPr="00CB7B00">
          <w:rPr>
            <w:rStyle w:val="Hipervnculo"/>
            <w:rFonts w:ascii="Verdana" w:hAnsi="Verdana"/>
          </w:rPr>
          <w:t>https://www.colombiacompra.gov.co/archivos/circular/circular-externa-003-de-2026</w:t>
        </w:r>
      </w:hyperlink>
    </w:p>
    <w:p w14:paraId="2A5F9936" w14:textId="77777777" w:rsidR="00FD634C" w:rsidRPr="00CB7B00" w:rsidRDefault="00FD634C" w:rsidP="00FD634C">
      <w:pPr>
        <w:spacing w:before="240" w:after="0" w:line="276" w:lineRule="auto"/>
        <w:jc w:val="both"/>
        <w:rPr>
          <w:rStyle w:val="Hipervnculo"/>
          <w:rFonts w:ascii="Verdana" w:hAnsi="Verdana"/>
        </w:rPr>
      </w:pPr>
      <w:r w:rsidRPr="00CB7B00">
        <w:rPr>
          <w:rFonts w:ascii="Verdana" w:hAnsi="Verdana"/>
        </w:rPr>
        <w:t>Recuerda también que la</w:t>
      </w:r>
      <w:r w:rsidRPr="00CB7B00">
        <w:rPr>
          <w:rFonts w:ascii="Verdana" w:hAnsi="Verdana"/>
          <w:b/>
          <w:bCs/>
        </w:rPr>
        <w:t> información sobre sanciones e inhabilidades </w:t>
      </w:r>
      <w:r w:rsidRPr="00CB7B00">
        <w:rPr>
          <w:rFonts w:ascii="Verdana" w:hAnsi="Verdana"/>
        </w:rPr>
        <w:t>solo cumple su función preventiva si llega oportunamente a los registros públicos. Sobre este deber, esta Agencia expidió la </w:t>
      </w:r>
      <w:r w:rsidRPr="00CB7B00">
        <w:rPr>
          <w:rFonts w:ascii="Verdana" w:hAnsi="Verdana"/>
          <w:b/>
          <w:bCs/>
        </w:rPr>
        <w:t>Circular Externa 002 del 5 de mayo de 2026,</w:t>
      </w:r>
      <w:r w:rsidRPr="00CB7B00">
        <w:rPr>
          <w:rFonts w:ascii="Verdana" w:hAnsi="Verdana"/>
        </w:rPr>
        <w:t xml:space="preserve"> dirigida a todas las entidades del Estado sin distinción de su régimen </w:t>
      </w:r>
      <w:r w:rsidRPr="00CB7B00">
        <w:rPr>
          <w:rFonts w:ascii="Verdana" w:hAnsi="Verdana"/>
        </w:rPr>
        <w:lastRenderedPageBreak/>
        <w:t>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5" w:tooltip="Dirección URL original: https://www.colombiacompra.gov.co/archivos/circular/circular-externa-002-de-2026. Haga clic o pulse si confía en este vínculo." w:history="1">
        <w:r w:rsidRPr="00CB7B00">
          <w:rPr>
            <w:rStyle w:val="Hipervnculo"/>
            <w:rFonts w:ascii="Verdana" w:hAnsi="Verdana"/>
          </w:rPr>
          <w:t>https://www.colombiacompra.gov.co/archivos/circular/circular-externa-002-de-2026</w:t>
        </w:r>
      </w:hyperlink>
    </w:p>
    <w:p w14:paraId="30856E41" w14:textId="77777777" w:rsidR="00FD634C" w:rsidRPr="00CB7B00" w:rsidRDefault="00FD634C" w:rsidP="00FD634C">
      <w:pPr>
        <w:spacing w:before="240" w:after="0" w:line="276" w:lineRule="auto"/>
        <w:jc w:val="both"/>
        <w:rPr>
          <w:rStyle w:val="Hipervnculo"/>
          <w:rFonts w:ascii="Verdana" w:hAnsi="Verdana"/>
        </w:rPr>
      </w:pPr>
      <w:r w:rsidRPr="00CB7B00">
        <w:rPr>
          <w:rFonts w:ascii="Verdana" w:hAnsi="Verdana"/>
        </w:rPr>
        <w:t>Finalmente, si quieres seguir de cerca la actividad de la Agencia, la tercera edición de 2026 del</w:t>
      </w:r>
      <w:r w:rsidRPr="00CB7B00">
        <w:rPr>
          <w:rFonts w:ascii="Verdana" w:hAnsi="Verdana"/>
          <w:b/>
          <w:bCs/>
        </w:rPr>
        <w:t> Radar de la Compra Pública</w:t>
      </w:r>
      <w:r w:rsidRPr="00CB7B00">
        <w:rPr>
          <w:rFonts w:ascii="Verdana" w:hAnsi="Verdana"/>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6" w:tooltip="Dirección URL original: https://www.colombiacompra.gov.co/archivos/boletin/boletin-edicion-n-3-de-2026-radar-de-la-compra-publica. Haga clic o pulse si confía en este vínculo." w:history="1">
        <w:r w:rsidRPr="00CB7B00">
          <w:rPr>
            <w:rStyle w:val="Hipervnculo"/>
            <w:rFonts w:ascii="Verdana" w:hAnsi="Verdana"/>
          </w:rPr>
          <w:t>https://www.colombiacompra.gov.co/archivos/boletin/boletin-edicion-n-3-de-2026-radar-de-la-compra-publica</w:t>
        </w:r>
      </w:hyperlink>
    </w:p>
    <w:p w14:paraId="09E391F4" w14:textId="77777777" w:rsidR="00FD634C" w:rsidRPr="00CB7B00" w:rsidRDefault="00FD634C" w:rsidP="00FD634C">
      <w:pPr>
        <w:widowControl w:val="0"/>
        <w:autoSpaceDE w:val="0"/>
        <w:autoSpaceDN w:val="0"/>
        <w:spacing w:after="0" w:line="276" w:lineRule="auto"/>
        <w:jc w:val="both"/>
        <w:rPr>
          <w:rStyle w:val="normaltextrun"/>
          <w:rFonts w:ascii="Verdana" w:hAnsi="Verdana" w:cs="Arial"/>
          <w:shd w:val="clear" w:color="auto" w:fill="FFFFFF"/>
        </w:rPr>
      </w:pPr>
    </w:p>
    <w:p w14:paraId="7A62E50D" w14:textId="77777777" w:rsidR="00FD634C" w:rsidRPr="00CB7B00" w:rsidRDefault="00FD634C" w:rsidP="00FD634C">
      <w:pPr>
        <w:spacing w:after="120" w:line="276" w:lineRule="auto"/>
        <w:jc w:val="both"/>
        <w:rPr>
          <w:rFonts w:ascii="Verdana" w:hAnsi="Verdana"/>
        </w:rPr>
      </w:pPr>
      <w:r w:rsidRPr="00CB7B00">
        <w:rPr>
          <w:rFonts w:ascii="Verdana" w:hAnsi="Verdana"/>
        </w:rPr>
        <w:t xml:space="preserve">Aprovechamos la oportunidad para manifestar la entera disposición de la Agencia Nacional de Contratación Pública –Colombia Compra Eficiente– para atender las peticiones o solicitudes, así como para brindar el apoyo que se requiera en el marco de nuestras funciones a través de nuestros diferentes canales de atención: </w:t>
      </w:r>
    </w:p>
    <w:p w14:paraId="3EFA1264" w14:textId="77777777" w:rsidR="00FD634C" w:rsidRPr="00CB7B00" w:rsidRDefault="00FD634C" w:rsidP="00FD634C">
      <w:pPr>
        <w:pStyle w:val="Prrafodelista"/>
        <w:numPr>
          <w:ilvl w:val="0"/>
          <w:numId w:val="15"/>
        </w:numPr>
        <w:spacing w:after="0" w:line="276" w:lineRule="auto"/>
        <w:contextualSpacing w:val="0"/>
        <w:jc w:val="both"/>
        <w:rPr>
          <w:rFonts w:ascii="Verdana" w:hAnsi="Verdana"/>
          <w:lang w:val="es-CO"/>
        </w:rPr>
      </w:pPr>
      <w:r w:rsidRPr="00CB7B00">
        <w:rPr>
          <w:rFonts w:ascii="Verdana" w:hAnsi="Verdana"/>
          <w:lang w:val="es-CO"/>
        </w:rPr>
        <w:t>Línea nacional gratuita o servicio a la ciudadanía: 01800 0520808</w:t>
      </w:r>
    </w:p>
    <w:p w14:paraId="1AA06B1C" w14:textId="77777777" w:rsidR="00FD634C" w:rsidRPr="00CB7B00" w:rsidRDefault="00FD634C" w:rsidP="00FD634C">
      <w:pPr>
        <w:pStyle w:val="Prrafodelista"/>
        <w:numPr>
          <w:ilvl w:val="0"/>
          <w:numId w:val="15"/>
        </w:numPr>
        <w:spacing w:after="0" w:line="276" w:lineRule="auto"/>
        <w:contextualSpacing w:val="0"/>
        <w:jc w:val="both"/>
        <w:rPr>
          <w:rFonts w:ascii="Verdana" w:hAnsi="Verdana"/>
          <w:lang w:val="es-CO"/>
        </w:rPr>
      </w:pPr>
      <w:r w:rsidRPr="00CB7B00">
        <w:rPr>
          <w:rFonts w:ascii="Verdana" w:hAnsi="Verdana"/>
          <w:lang w:val="es-CO"/>
        </w:rPr>
        <w:t>Línea en Bogotá (Mesa de servicio): +57 601 7456788</w:t>
      </w:r>
    </w:p>
    <w:p w14:paraId="1739D06A" w14:textId="77777777" w:rsidR="00FD634C" w:rsidRPr="00CB7B00" w:rsidRDefault="00FD634C" w:rsidP="00FD634C">
      <w:pPr>
        <w:pStyle w:val="Prrafodelista"/>
        <w:numPr>
          <w:ilvl w:val="0"/>
          <w:numId w:val="15"/>
        </w:numPr>
        <w:spacing w:after="0" w:line="276" w:lineRule="auto"/>
        <w:contextualSpacing w:val="0"/>
        <w:jc w:val="both"/>
        <w:rPr>
          <w:rFonts w:ascii="Verdana" w:hAnsi="Verdana"/>
          <w:lang w:val="es-CO"/>
        </w:rPr>
      </w:pPr>
      <w:r w:rsidRPr="00CB7B00">
        <w:rPr>
          <w:rFonts w:ascii="Verdana" w:hAnsi="Verdana"/>
          <w:lang w:val="es-CO"/>
        </w:rPr>
        <w:t>Línea de servicio y atención al ciudadano: +57 601 7956600</w:t>
      </w:r>
    </w:p>
    <w:p w14:paraId="1FFD31AD" w14:textId="77777777" w:rsidR="00FD634C" w:rsidRPr="00CB7B00" w:rsidRDefault="00FD634C" w:rsidP="00FD634C">
      <w:pPr>
        <w:pStyle w:val="Prrafodelista"/>
        <w:numPr>
          <w:ilvl w:val="0"/>
          <w:numId w:val="15"/>
        </w:numPr>
        <w:spacing w:line="276" w:lineRule="auto"/>
        <w:contextualSpacing w:val="0"/>
        <w:jc w:val="both"/>
        <w:rPr>
          <w:rFonts w:ascii="Verdana" w:hAnsi="Verdana"/>
          <w:lang w:val="es-CO"/>
        </w:rPr>
      </w:pPr>
      <w:r w:rsidRPr="00CB7B00">
        <w:rPr>
          <w:rFonts w:ascii="Verdana" w:hAnsi="Verdana"/>
          <w:lang w:val="es-CO"/>
        </w:rPr>
        <w:t xml:space="preserve">Página web: </w:t>
      </w:r>
      <w:hyperlink r:id="rId17" w:history="1">
        <w:r w:rsidRPr="00CB7B00">
          <w:rPr>
            <w:rStyle w:val="Hipervnculo"/>
            <w:rFonts w:ascii="Verdana" w:hAnsi="Verdana"/>
            <w:lang w:val="es-CO"/>
          </w:rPr>
          <w:t>www.colombiacompra.gov.co</w:t>
        </w:r>
      </w:hyperlink>
    </w:p>
    <w:p w14:paraId="4F67720B" w14:textId="77777777" w:rsidR="00FD634C" w:rsidRDefault="00FD634C" w:rsidP="00FD634C">
      <w:pPr>
        <w:spacing w:after="0" w:line="276" w:lineRule="auto"/>
        <w:jc w:val="both"/>
        <w:rPr>
          <w:rFonts w:ascii="Verdana" w:hAnsi="Verdana"/>
        </w:rPr>
      </w:pPr>
      <w:r w:rsidRPr="00CB7B00">
        <w:rPr>
          <w:rFonts w:ascii="Verdana" w:hAnsi="Verdana"/>
        </w:rPr>
        <w:t>Por último, lo invitamos a seguirnos en las redes sociales en las cuales se difunde información institucional:</w:t>
      </w:r>
    </w:p>
    <w:p w14:paraId="4E8EF2AD" w14:textId="77777777" w:rsidR="00FD634C" w:rsidRPr="00CB7B00" w:rsidRDefault="00FD634C" w:rsidP="00FD634C">
      <w:pPr>
        <w:spacing w:before="240" w:after="0" w:line="276" w:lineRule="auto"/>
        <w:jc w:val="both"/>
        <w:rPr>
          <w:rFonts w:ascii="Verdana" w:hAnsi="Verdana"/>
        </w:rPr>
      </w:pPr>
      <w:r w:rsidRPr="00CB7B00">
        <w:rPr>
          <w:rFonts w:ascii="Verdana" w:hAnsi="Verdana"/>
        </w:rPr>
        <w:t xml:space="preserve">Twitter: </w:t>
      </w:r>
      <w:r w:rsidRPr="00CB7B00">
        <w:rPr>
          <w:rStyle w:val="Hipervnculo"/>
          <w:rFonts w:ascii="Verdana" w:hAnsi="Verdana"/>
        </w:rPr>
        <w:t>@colombiacompra</w:t>
      </w:r>
      <w:r w:rsidRPr="00CB7B00">
        <w:rPr>
          <w:rFonts w:ascii="Verdana" w:hAnsi="Verdana"/>
        </w:rPr>
        <w:t xml:space="preserve"> </w:t>
      </w:r>
    </w:p>
    <w:p w14:paraId="5D00B927" w14:textId="77777777" w:rsidR="00FD634C" w:rsidRPr="00CB7B00" w:rsidRDefault="00FD634C" w:rsidP="00FD634C">
      <w:pPr>
        <w:spacing w:after="0" w:line="276" w:lineRule="auto"/>
        <w:jc w:val="both"/>
        <w:rPr>
          <w:rFonts w:ascii="Verdana" w:hAnsi="Verdana"/>
        </w:rPr>
      </w:pPr>
      <w:r w:rsidRPr="00CB7B00">
        <w:rPr>
          <w:rFonts w:ascii="Verdana" w:hAnsi="Verdana"/>
        </w:rPr>
        <w:t xml:space="preserve">Facebook: </w:t>
      </w:r>
      <w:proofErr w:type="spellStart"/>
      <w:r w:rsidRPr="00CB7B00">
        <w:rPr>
          <w:rStyle w:val="Hipervnculo"/>
          <w:rFonts w:ascii="Verdana" w:hAnsi="Verdana"/>
        </w:rPr>
        <w:t>ColombiaCompraEficiente</w:t>
      </w:r>
      <w:proofErr w:type="spellEnd"/>
    </w:p>
    <w:p w14:paraId="7FCBF2FE" w14:textId="77777777" w:rsidR="00FD634C" w:rsidRPr="00CB7B00" w:rsidRDefault="00FD634C" w:rsidP="00FD634C">
      <w:pPr>
        <w:spacing w:after="0" w:line="276" w:lineRule="auto"/>
        <w:jc w:val="both"/>
        <w:rPr>
          <w:rStyle w:val="Hipervnculo"/>
          <w:rFonts w:ascii="Verdana" w:hAnsi="Verdana"/>
        </w:rPr>
      </w:pPr>
      <w:r w:rsidRPr="00CB7B00">
        <w:rPr>
          <w:rFonts w:ascii="Verdana" w:hAnsi="Verdana"/>
        </w:rPr>
        <w:t xml:space="preserve">LinkedIn: </w:t>
      </w:r>
      <w:r w:rsidRPr="00CB7B00">
        <w:rPr>
          <w:rStyle w:val="Hipervnculo"/>
          <w:rFonts w:ascii="Verdana" w:hAnsi="Verdana"/>
        </w:rPr>
        <w:t>Agencia Nacional de Contratación Pública - Colombia Compra Eficiente</w:t>
      </w:r>
    </w:p>
    <w:p w14:paraId="4E35F4B5" w14:textId="77777777" w:rsidR="00FD634C" w:rsidRPr="00CB7B00" w:rsidRDefault="00FD634C" w:rsidP="00FD634C">
      <w:pPr>
        <w:spacing w:line="276" w:lineRule="auto"/>
        <w:jc w:val="both"/>
        <w:rPr>
          <w:rFonts w:ascii="Verdana" w:hAnsi="Verdana"/>
          <w:color w:val="0000FF"/>
          <w:u w:val="single"/>
        </w:rPr>
      </w:pPr>
      <w:r w:rsidRPr="00CB7B00">
        <w:rPr>
          <w:rFonts w:ascii="Verdana" w:hAnsi="Verdana"/>
        </w:rPr>
        <w:t xml:space="preserve">Instagram: </w:t>
      </w:r>
      <w:r w:rsidRPr="00CB7B00">
        <w:rPr>
          <w:rStyle w:val="Hipervnculo"/>
          <w:rFonts w:ascii="Verdana" w:hAnsi="Verdana"/>
        </w:rPr>
        <w:t>@colombiacompraeficiente_cce</w:t>
      </w:r>
    </w:p>
    <w:p w14:paraId="06F9961B" w14:textId="77777777" w:rsidR="00FD634C" w:rsidRPr="00CB7B00" w:rsidRDefault="00FD634C" w:rsidP="00FD634C">
      <w:pPr>
        <w:spacing w:after="0" w:line="276" w:lineRule="auto"/>
        <w:jc w:val="both"/>
        <w:rPr>
          <w:rFonts w:ascii="Verdana" w:eastAsia="Calibri" w:hAnsi="Verdana" w:cs="Times New Roman"/>
          <w:bCs/>
        </w:rPr>
      </w:pPr>
      <w:r w:rsidRPr="00CB7B00">
        <w:rPr>
          <w:rFonts w:ascii="Verdana" w:eastAsia="Calibri" w:hAnsi="Verdana" w:cs="Times New Roman"/>
        </w:rPr>
        <w:t xml:space="preserve">Este concepto tiene el alcance previsto en el artículo 28 del Código de Procedimiento Administrativo y de lo Contencioso Administrativo y las </w:t>
      </w:r>
      <w:r w:rsidRPr="00CB7B00">
        <w:rPr>
          <w:rFonts w:ascii="Verdana" w:eastAsia="Calibri" w:hAnsi="Verdana" w:cs="Times New Roman"/>
        </w:rPr>
        <w:lastRenderedPageBreak/>
        <w:t>expresiones utilizadas con mayúscula inicial deben ser entendidas con el significado que les otorga el artículo 2.2.1.1.1.3.1 del Decreto 1082 de 2015.</w:t>
      </w:r>
    </w:p>
    <w:p w14:paraId="30002ED3" w14:textId="77777777" w:rsidR="00FD634C" w:rsidRPr="00CB7B00" w:rsidRDefault="00FD634C" w:rsidP="00FD634C">
      <w:pPr>
        <w:spacing w:after="0" w:line="276" w:lineRule="auto"/>
        <w:jc w:val="both"/>
        <w:rPr>
          <w:rFonts w:ascii="Verdana" w:eastAsia="Calibri" w:hAnsi="Verdana" w:cs="Times New Roman"/>
        </w:rPr>
      </w:pPr>
    </w:p>
    <w:p w14:paraId="12112428" w14:textId="77777777" w:rsidR="00FD634C" w:rsidRPr="00CB7B00" w:rsidRDefault="00FD634C" w:rsidP="00FD634C">
      <w:pPr>
        <w:widowControl w:val="0"/>
        <w:autoSpaceDE w:val="0"/>
        <w:autoSpaceDN w:val="0"/>
        <w:spacing w:line="276" w:lineRule="auto"/>
        <w:jc w:val="both"/>
        <w:rPr>
          <w:rStyle w:val="normaltextrun"/>
          <w:rFonts w:ascii="Verdana" w:hAnsi="Verdana" w:cs="Arial"/>
          <w:color w:val="FF0000"/>
          <w:shd w:val="clear" w:color="auto" w:fill="FFFFFF"/>
        </w:rPr>
      </w:pPr>
      <w:r w:rsidRPr="00CB7B00">
        <w:rPr>
          <w:rFonts w:ascii="Verdana" w:eastAsia="Calibri" w:hAnsi="Verdana" w:cs="Times New Roman"/>
        </w:rPr>
        <w:t>Atentamente,</w:t>
      </w:r>
    </w:p>
    <w:p w14:paraId="36A4BB4B" w14:textId="77777777" w:rsidR="00FD634C" w:rsidRDefault="00FD634C" w:rsidP="00FD634C">
      <w:pPr>
        <w:spacing w:after="0" w:line="276" w:lineRule="auto"/>
        <w:jc w:val="center"/>
        <w:rPr>
          <w:rFonts w:ascii="Verdana" w:eastAsia="Times New Roman" w:hAnsi="Verdana" w:cs="Arial"/>
          <w:lang w:eastAsia="es-CO"/>
        </w:rPr>
      </w:pPr>
    </w:p>
    <w:p w14:paraId="3EB5AC44" w14:textId="4C236641" w:rsidR="00E83954" w:rsidRPr="00E83954" w:rsidRDefault="00E83954" w:rsidP="00E83954">
      <w:pPr>
        <w:spacing w:after="0" w:line="276" w:lineRule="auto"/>
        <w:jc w:val="center"/>
        <w:rPr>
          <w:rFonts w:ascii="Verdana" w:eastAsia="Times New Roman" w:hAnsi="Verdana" w:cs="Arial"/>
          <w:noProof/>
          <w:lang w:eastAsia="es-CO"/>
        </w:rPr>
      </w:pPr>
      <w:r w:rsidRPr="00E83954">
        <w:rPr>
          <w:rFonts w:ascii="Verdana" w:eastAsia="Times New Roman" w:hAnsi="Verdana" w:cs="Arial"/>
          <w:noProof/>
          <w:lang w:eastAsia="es-CO"/>
        </w:rPr>
        <w:drawing>
          <wp:inline distT="0" distB="0" distL="0" distR="0" wp14:anchorId="17A8B85E" wp14:editId="6E04E072">
            <wp:extent cx="3771900" cy="1400175"/>
            <wp:effectExtent l="0" t="0" r="0" b="9525"/>
            <wp:docPr id="9981805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1900" cy="1400175"/>
                    </a:xfrm>
                    <a:prstGeom prst="rect">
                      <a:avLst/>
                    </a:prstGeom>
                    <a:noFill/>
                    <a:ln>
                      <a:noFill/>
                    </a:ln>
                  </pic:spPr>
                </pic:pic>
              </a:graphicData>
            </a:graphic>
          </wp:inline>
        </w:drawing>
      </w:r>
    </w:p>
    <w:p w14:paraId="0F8C5815" w14:textId="77777777" w:rsidR="00FD634C" w:rsidRDefault="00FD634C" w:rsidP="00FD634C">
      <w:pPr>
        <w:spacing w:after="0" w:line="276" w:lineRule="auto"/>
        <w:jc w:val="center"/>
        <w:rPr>
          <w:rFonts w:ascii="Verdana" w:eastAsia="Times New Roman" w:hAnsi="Verdana" w:cs="Arial"/>
          <w:lang w:eastAsia="es-CO"/>
        </w:rPr>
      </w:pP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FD634C" w:rsidRPr="00CB7B00" w14:paraId="193EA85B" w14:textId="77777777" w:rsidTr="00774ACE">
        <w:trPr>
          <w:trHeight w:val="315"/>
        </w:trPr>
        <w:tc>
          <w:tcPr>
            <w:tcW w:w="893" w:type="dxa"/>
            <w:vAlign w:val="center"/>
            <w:hideMark/>
          </w:tcPr>
          <w:p w14:paraId="161BDCA6" w14:textId="77777777" w:rsidR="00FD634C" w:rsidRPr="00CB7B00" w:rsidRDefault="00FD634C" w:rsidP="00774ACE">
            <w:pPr>
              <w:spacing w:line="276" w:lineRule="auto"/>
              <w:rPr>
                <w:rFonts w:ascii="Verdana" w:eastAsia="Times New Roman" w:hAnsi="Verdana" w:cs="Arial"/>
                <w:color w:val="000000"/>
                <w:sz w:val="16"/>
                <w:szCs w:val="16"/>
                <w:lang w:eastAsia="es-ES"/>
              </w:rPr>
            </w:pPr>
            <w:r w:rsidRPr="00CB7B00">
              <w:rPr>
                <w:rFonts w:ascii="Verdana" w:eastAsia="Times New Roman" w:hAnsi="Verdana" w:cs="Arial"/>
                <w:color w:val="000000"/>
                <w:sz w:val="16"/>
                <w:szCs w:val="16"/>
                <w:lang w:eastAsia="es-ES"/>
              </w:rPr>
              <w:t>Elaboró:</w:t>
            </w:r>
          </w:p>
        </w:tc>
        <w:tc>
          <w:tcPr>
            <w:tcW w:w="5628" w:type="dxa"/>
            <w:tcBorders>
              <w:top w:val="nil"/>
              <w:left w:val="nil"/>
              <w:bottom w:val="dotted" w:sz="4" w:space="0" w:color="7F7F7F"/>
              <w:right w:val="nil"/>
            </w:tcBorders>
            <w:vAlign w:val="center"/>
            <w:hideMark/>
          </w:tcPr>
          <w:p w14:paraId="45EC7690" w14:textId="77777777" w:rsidR="00FD634C" w:rsidRPr="00CB7B00" w:rsidRDefault="00FD634C" w:rsidP="00774ACE">
            <w:pPr>
              <w:spacing w:line="276" w:lineRule="auto"/>
              <w:rPr>
                <w:rFonts w:ascii="Verdana" w:eastAsia="Arial" w:hAnsi="Verdana" w:cs="Arial"/>
                <w:color w:val="000000"/>
                <w:sz w:val="16"/>
                <w:szCs w:val="16"/>
              </w:rPr>
            </w:pPr>
            <w:r w:rsidRPr="00CB7B00">
              <w:rPr>
                <w:rFonts w:ascii="Verdana" w:eastAsia="Arial" w:hAnsi="Verdana" w:cs="Arial"/>
                <w:color w:val="000000"/>
                <w:sz w:val="16"/>
                <w:szCs w:val="16"/>
              </w:rPr>
              <w:t>Ángela María Olmos Andrade</w:t>
            </w:r>
          </w:p>
          <w:p w14:paraId="1B8D5D3D" w14:textId="77777777" w:rsidR="00FD634C" w:rsidRPr="00CB7B00" w:rsidRDefault="00FD634C" w:rsidP="00774ACE">
            <w:pPr>
              <w:spacing w:line="276" w:lineRule="auto"/>
              <w:rPr>
                <w:rFonts w:ascii="Verdana" w:eastAsia="Arial" w:hAnsi="Verdana" w:cs="Arial"/>
                <w:color w:val="000000"/>
                <w:sz w:val="16"/>
                <w:szCs w:val="16"/>
              </w:rPr>
            </w:pPr>
            <w:r w:rsidRPr="00CB7B00">
              <w:rPr>
                <w:rFonts w:ascii="Verdana" w:eastAsia="Arial" w:hAnsi="Verdana" w:cs="Arial"/>
                <w:color w:val="000000"/>
                <w:sz w:val="16"/>
                <w:szCs w:val="16"/>
              </w:rPr>
              <w:t>Analista T2 - 02 de la Subdirección de Gestión Contractual</w:t>
            </w:r>
          </w:p>
        </w:tc>
      </w:tr>
      <w:tr w:rsidR="00FD634C" w:rsidRPr="00CB7B00" w14:paraId="47ADAFC7" w14:textId="77777777" w:rsidTr="00774ACE">
        <w:trPr>
          <w:trHeight w:val="330"/>
        </w:trPr>
        <w:tc>
          <w:tcPr>
            <w:tcW w:w="893" w:type="dxa"/>
            <w:vAlign w:val="center"/>
            <w:hideMark/>
          </w:tcPr>
          <w:p w14:paraId="13CD7192" w14:textId="77777777" w:rsidR="00FD634C" w:rsidRPr="00CB7B00" w:rsidRDefault="00FD634C" w:rsidP="00774ACE">
            <w:pPr>
              <w:spacing w:line="276" w:lineRule="auto"/>
              <w:rPr>
                <w:rFonts w:ascii="Verdana" w:eastAsia="Times New Roman" w:hAnsi="Verdana" w:cs="Arial"/>
                <w:color w:val="000000"/>
                <w:sz w:val="16"/>
                <w:szCs w:val="16"/>
                <w:lang w:eastAsia="es-ES"/>
              </w:rPr>
            </w:pPr>
            <w:r w:rsidRPr="00CB7B00">
              <w:rPr>
                <w:rFonts w:ascii="Verdana" w:eastAsia="Times New Roman" w:hAnsi="Verdana" w:cs="Arial"/>
                <w:color w:val="000000"/>
                <w:sz w:val="16"/>
                <w:szCs w:val="16"/>
                <w:lang w:eastAsia="es-ES"/>
              </w:rPr>
              <w:t>Revisó:</w:t>
            </w:r>
          </w:p>
        </w:tc>
        <w:tc>
          <w:tcPr>
            <w:tcW w:w="5628" w:type="dxa"/>
            <w:tcBorders>
              <w:top w:val="dotted" w:sz="4" w:space="0" w:color="7F7F7F"/>
              <w:left w:val="nil"/>
              <w:bottom w:val="dotted" w:sz="4" w:space="0" w:color="7F7F7F"/>
              <w:right w:val="nil"/>
            </w:tcBorders>
            <w:vAlign w:val="center"/>
            <w:hideMark/>
          </w:tcPr>
          <w:p w14:paraId="4B8A9E98" w14:textId="77777777" w:rsidR="00FD634C" w:rsidRPr="00CB7B00" w:rsidRDefault="00FD634C" w:rsidP="00774ACE">
            <w:pPr>
              <w:spacing w:line="276" w:lineRule="auto"/>
              <w:rPr>
                <w:rFonts w:ascii="Verdana" w:eastAsia="Times New Roman" w:hAnsi="Verdana" w:cs="Arial"/>
                <w:color w:val="000000"/>
                <w:sz w:val="16"/>
                <w:szCs w:val="16"/>
              </w:rPr>
            </w:pPr>
            <w:r w:rsidRPr="00CB7B00">
              <w:rPr>
                <w:rFonts w:ascii="Verdana" w:eastAsia="Times New Roman" w:hAnsi="Verdana" w:cs="Arial"/>
                <w:color w:val="000000"/>
                <w:sz w:val="16"/>
                <w:szCs w:val="16"/>
              </w:rPr>
              <w:t xml:space="preserve">Juan David Cárdenas Cabeza </w:t>
            </w:r>
          </w:p>
          <w:p w14:paraId="1FF2FBAC" w14:textId="77777777" w:rsidR="00FD634C" w:rsidRPr="00CB7B00" w:rsidRDefault="00FD634C" w:rsidP="00774ACE">
            <w:pPr>
              <w:spacing w:line="276" w:lineRule="auto"/>
              <w:textAlignment w:val="baseline"/>
              <w:rPr>
                <w:rFonts w:ascii="Verdana" w:eastAsia="Times New Roman" w:hAnsi="Verdana" w:cs="Arial"/>
                <w:color w:val="000000"/>
                <w:sz w:val="16"/>
                <w:szCs w:val="16"/>
              </w:rPr>
            </w:pPr>
            <w:r w:rsidRPr="00CB7B00">
              <w:rPr>
                <w:rFonts w:ascii="Verdana" w:eastAsia="Times New Roman" w:hAnsi="Verdana" w:cs="Arial"/>
                <w:color w:val="000000"/>
                <w:sz w:val="16"/>
                <w:szCs w:val="16"/>
              </w:rPr>
              <w:t>Contratista de la Subdirección de Gestión Contractual</w:t>
            </w:r>
          </w:p>
        </w:tc>
      </w:tr>
      <w:tr w:rsidR="00FD634C" w:rsidRPr="00CB7B00" w14:paraId="0902C81E" w14:textId="77777777" w:rsidTr="00774ACE">
        <w:trPr>
          <w:trHeight w:val="300"/>
        </w:trPr>
        <w:tc>
          <w:tcPr>
            <w:tcW w:w="893" w:type="dxa"/>
            <w:vAlign w:val="center"/>
            <w:hideMark/>
          </w:tcPr>
          <w:p w14:paraId="6D3D4B45" w14:textId="77777777" w:rsidR="00FD634C" w:rsidRPr="00CB7B00" w:rsidRDefault="00FD634C" w:rsidP="00774ACE">
            <w:pPr>
              <w:spacing w:line="276" w:lineRule="auto"/>
              <w:rPr>
                <w:rFonts w:ascii="Verdana" w:eastAsia="Times New Roman" w:hAnsi="Verdana" w:cs="Arial"/>
                <w:color w:val="000000"/>
                <w:sz w:val="16"/>
                <w:szCs w:val="16"/>
                <w:lang w:eastAsia="es-ES"/>
              </w:rPr>
            </w:pPr>
            <w:r w:rsidRPr="00CB7B00">
              <w:rPr>
                <w:rFonts w:ascii="Verdana" w:eastAsia="Times New Roman" w:hAnsi="Verdana" w:cs="Arial"/>
                <w:color w:val="000000"/>
                <w:sz w:val="16"/>
                <w:szCs w:val="16"/>
                <w:lang w:eastAsia="es-ES"/>
              </w:rPr>
              <w:t>Aprobó:</w:t>
            </w:r>
          </w:p>
        </w:tc>
        <w:tc>
          <w:tcPr>
            <w:tcW w:w="5628" w:type="dxa"/>
            <w:tcBorders>
              <w:top w:val="dotted" w:sz="4" w:space="0" w:color="7F7F7F"/>
              <w:left w:val="nil"/>
              <w:bottom w:val="dotted" w:sz="4" w:space="0" w:color="7F7F7F"/>
              <w:right w:val="nil"/>
            </w:tcBorders>
            <w:vAlign w:val="center"/>
            <w:hideMark/>
          </w:tcPr>
          <w:p w14:paraId="637D7812" w14:textId="77777777" w:rsidR="00FD634C" w:rsidRPr="00CB7B00" w:rsidRDefault="00FD634C" w:rsidP="00774ACE">
            <w:pPr>
              <w:spacing w:line="276" w:lineRule="auto"/>
              <w:rPr>
                <w:rFonts w:ascii="Verdana" w:eastAsia="Times New Roman" w:hAnsi="Verdana" w:cs="Arial"/>
                <w:color w:val="000000"/>
                <w:sz w:val="16"/>
                <w:szCs w:val="16"/>
              </w:rPr>
            </w:pPr>
            <w:r w:rsidRPr="00CB7B00">
              <w:rPr>
                <w:rFonts w:ascii="Verdana" w:eastAsia="Times New Roman" w:hAnsi="Verdana" w:cs="Arial"/>
                <w:color w:val="000000"/>
                <w:sz w:val="16"/>
                <w:szCs w:val="16"/>
              </w:rPr>
              <w:t>Carolina Quintero Gacharná</w:t>
            </w:r>
          </w:p>
          <w:p w14:paraId="5F743ADB" w14:textId="77777777" w:rsidR="00FD634C" w:rsidRPr="00CB7B00" w:rsidRDefault="00FD634C" w:rsidP="00774ACE">
            <w:pPr>
              <w:spacing w:line="276" w:lineRule="auto"/>
              <w:rPr>
                <w:rFonts w:ascii="Verdana" w:eastAsia="Times New Roman" w:hAnsi="Verdana" w:cs="Arial"/>
                <w:color w:val="000000"/>
                <w:sz w:val="16"/>
                <w:szCs w:val="16"/>
              </w:rPr>
            </w:pPr>
            <w:r w:rsidRPr="00CB7B00">
              <w:rPr>
                <w:rFonts w:ascii="Verdana" w:eastAsia="Times New Roman" w:hAnsi="Verdana" w:cs="Arial"/>
                <w:color w:val="000000"/>
                <w:sz w:val="16"/>
                <w:szCs w:val="16"/>
              </w:rPr>
              <w:t>Subdirectora de Gestión Contractual ANCP – CCE</w:t>
            </w:r>
          </w:p>
        </w:tc>
      </w:tr>
      <w:tr w:rsidR="00FD634C" w:rsidRPr="00CB7B00" w14:paraId="61E56B96" w14:textId="77777777" w:rsidTr="00774ACE">
        <w:trPr>
          <w:trHeight w:val="300"/>
        </w:trPr>
        <w:tc>
          <w:tcPr>
            <w:tcW w:w="893" w:type="dxa"/>
            <w:vAlign w:val="center"/>
          </w:tcPr>
          <w:p w14:paraId="4AC3D13C" w14:textId="77777777" w:rsidR="00FD634C" w:rsidRPr="00CB7B00" w:rsidRDefault="00FD634C" w:rsidP="00774ACE">
            <w:pPr>
              <w:spacing w:line="276" w:lineRule="auto"/>
              <w:rPr>
                <w:rFonts w:ascii="Verdana" w:eastAsia="Times New Roman" w:hAnsi="Verdana" w:cs="Arial"/>
                <w:color w:val="000000"/>
                <w:sz w:val="16"/>
                <w:szCs w:val="16"/>
                <w:lang w:eastAsia="es-ES"/>
              </w:rPr>
            </w:pPr>
            <w:r>
              <w:rPr>
                <w:rFonts w:ascii="Verdana" w:eastAsia="Times New Roman" w:hAnsi="Verdana" w:cs="Arial"/>
                <w:color w:val="000000"/>
                <w:sz w:val="16"/>
                <w:szCs w:val="16"/>
                <w:lang w:eastAsia="es-ES"/>
              </w:rPr>
              <w:t xml:space="preserve">Anexo: </w:t>
            </w:r>
          </w:p>
        </w:tc>
        <w:tc>
          <w:tcPr>
            <w:tcW w:w="5628" w:type="dxa"/>
            <w:tcBorders>
              <w:top w:val="dotted" w:sz="4" w:space="0" w:color="7F7F7F"/>
              <w:left w:val="nil"/>
              <w:bottom w:val="dotted" w:sz="4" w:space="0" w:color="7F7F7F"/>
              <w:right w:val="nil"/>
            </w:tcBorders>
            <w:vAlign w:val="center"/>
          </w:tcPr>
          <w:p w14:paraId="553EB653" w14:textId="77777777" w:rsidR="00FD634C" w:rsidRPr="00CB7B00" w:rsidRDefault="00FD634C" w:rsidP="00774ACE">
            <w:pPr>
              <w:spacing w:line="276" w:lineRule="auto"/>
              <w:rPr>
                <w:rFonts w:ascii="Verdana" w:eastAsia="Times New Roman" w:hAnsi="Verdana" w:cs="Arial"/>
                <w:color w:val="000000"/>
                <w:sz w:val="16"/>
                <w:szCs w:val="16"/>
              </w:rPr>
            </w:pPr>
            <w:r>
              <w:rPr>
                <w:rFonts w:ascii="Verdana" w:eastAsia="Times New Roman" w:hAnsi="Verdana" w:cs="Arial"/>
                <w:color w:val="000000"/>
                <w:sz w:val="16"/>
                <w:szCs w:val="16"/>
              </w:rPr>
              <w:t>18 folios</w:t>
            </w:r>
          </w:p>
        </w:tc>
      </w:tr>
    </w:tbl>
    <w:p w14:paraId="395D46BD" w14:textId="77777777" w:rsidR="00FD634C" w:rsidRPr="000E2B93" w:rsidRDefault="00FD634C" w:rsidP="00FD634C">
      <w:pPr>
        <w:spacing w:after="0" w:line="276" w:lineRule="auto"/>
        <w:rPr>
          <w:rFonts w:ascii="Verdana" w:eastAsia="Verdana" w:hAnsi="Verdana" w:cs="Verdana"/>
          <w:lang w:eastAsia="es-CO"/>
        </w:rPr>
      </w:pPr>
      <w:r w:rsidRPr="30821638">
        <w:rPr>
          <w:rFonts w:ascii="Verdana" w:eastAsia="Verdana" w:hAnsi="Verdana" w:cs="Verdana"/>
          <w:lang w:eastAsia="es-CO"/>
        </w:rPr>
        <w:t> </w:t>
      </w:r>
    </w:p>
    <w:p w14:paraId="1EC076C9" w14:textId="618BB50F" w:rsidR="002A0DD0" w:rsidRPr="004060D9" w:rsidRDefault="002A0DD0" w:rsidP="30821638">
      <w:pPr>
        <w:spacing w:after="0"/>
        <w:jc w:val="both"/>
        <w:rPr>
          <w:rStyle w:val="Hipervnculo"/>
          <w:rFonts w:ascii="Verdana" w:eastAsia="Verdana" w:hAnsi="Verdana" w:cs="Verdana"/>
          <w:sz w:val="16"/>
          <w:szCs w:val="16"/>
        </w:rPr>
      </w:pPr>
      <w:r w:rsidRPr="004060D9">
        <w:rPr>
          <w:rStyle w:val="ui-provider"/>
          <w:rFonts w:ascii="Verdana" w:eastAsia="Verdana" w:hAnsi="Verdana" w:cs="Verdana"/>
          <w:sz w:val="16"/>
          <w:szCs w:val="16"/>
        </w:rPr>
        <w:t xml:space="preserve">Para visualizar los anexos se recomienda utilizar un aplicativo de visualización de PDF como Adobe Reader que permite la descarga de los archivos anexos. Si presenta inconvenientes para ver los anexos, en el siguiente enlace podrá ver el </w:t>
      </w:r>
      <w:hyperlink r:id="rId19">
        <w:r w:rsidRPr="004060D9">
          <w:rPr>
            <w:rStyle w:val="Hipervnculo"/>
            <w:rFonts w:ascii="Verdana" w:eastAsia="Verdana" w:hAnsi="Verdana" w:cs="Verdana"/>
            <w:sz w:val="16"/>
            <w:szCs w:val="16"/>
          </w:rPr>
          <w:t>instructivo</w:t>
        </w:r>
      </w:hyperlink>
    </w:p>
    <w:p w14:paraId="71450DB7" w14:textId="77777777" w:rsidR="00322A85" w:rsidRPr="00E02524" w:rsidRDefault="00322A85" w:rsidP="30821638">
      <w:pPr>
        <w:spacing w:after="0"/>
        <w:jc w:val="both"/>
        <w:rPr>
          <w:rStyle w:val="Hipervnculo"/>
          <w:rFonts w:ascii="Verdana" w:eastAsia="Verdana" w:hAnsi="Verdana" w:cs="Verdana"/>
        </w:rPr>
      </w:pPr>
    </w:p>
    <w:bookmarkEnd w:id="0"/>
    <w:p w14:paraId="0F293BF4" w14:textId="25B330EB" w:rsidR="00127233" w:rsidRPr="0015699B" w:rsidRDefault="00127233" w:rsidP="004060D9">
      <w:pPr>
        <w:spacing w:after="0" w:line="240" w:lineRule="auto"/>
        <w:jc w:val="both"/>
        <w:textAlignment w:val="baseline"/>
        <w:rPr>
          <w:rFonts w:ascii="Verdana" w:eastAsia="Verdana" w:hAnsi="Verdana" w:cs="Verdana"/>
          <w:lang w:eastAsia="es-CO"/>
        </w:rPr>
      </w:pPr>
    </w:p>
    <w:sectPr w:rsidR="00127233" w:rsidRPr="0015699B" w:rsidSect="007C0C0F">
      <w:headerReference w:type="default" r:id="rId20"/>
      <w:footerReference w:type="default" r:id="rId21"/>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131B0" w14:textId="77777777" w:rsidR="00947E9C" w:rsidRDefault="00947E9C" w:rsidP="004A1847">
      <w:pPr>
        <w:spacing w:after="0" w:line="240" w:lineRule="auto"/>
      </w:pPr>
      <w:r>
        <w:separator/>
      </w:r>
    </w:p>
  </w:endnote>
  <w:endnote w:type="continuationSeparator" w:id="0">
    <w:p w14:paraId="161BA34C" w14:textId="77777777" w:rsidR="00947E9C" w:rsidRDefault="00947E9C"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BB179" w14:textId="77777777" w:rsidR="00947E9C" w:rsidRDefault="00947E9C" w:rsidP="004A1847">
      <w:pPr>
        <w:spacing w:after="0" w:line="240" w:lineRule="auto"/>
      </w:pPr>
      <w:r>
        <w:separator/>
      </w:r>
    </w:p>
  </w:footnote>
  <w:footnote w:type="continuationSeparator" w:id="0">
    <w:p w14:paraId="7266C29D" w14:textId="77777777" w:rsidR="00947E9C" w:rsidRDefault="00947E9C" w:rsidP="004A1847">
      <w:pPr>
        <w:spacing w:after="0" w:line="240" w:lineRule="auto"/>
      </w:pPr>
      <w:r>
        <w:continuationSeparator/>
      </w:r>
    </w:p>
  </w:footnote>
  <w:footnote w:id="1">
    <w:p w14:paraId="6CC9838C" w14:textId="77777777" w:rsidR="00FD634C" w:rsidRPr="00F824D9" w:rsidRDefault="00FD634C" w:rsidP="00FD634C">
      <w:pPr>
        <w:pStyle w:val="Textonotapie"/>
        <w:jc w:val="both"/>
        <w:rPr>
          <w:sz w:val="14"/>
          <w:szCs w:val="14"/>
        </w:rPr>
      </w:pPr>
      <w:r w:rsidRPr="00F824D9">
        <w:rPr>
          <w:rStyle w:val="Refdenotaalpie"/>
          <w:sz w:val="14"/>
          <w:szCs w:val="14"/>
        </w:rPr>
        <w:footnoteRef/>
      </w:r>
      <w:r w:rsidRPr="00F824D9">
        <w:rPr>
          <w:sz w:val="14"/>
          <w:szCs w:val="14"/>
        </w:rPr>
        <w:t xml:space="preserve"> </w:t>
      </w:r>
      <w:r w:rsidRPr="00F824D9">
        <w:rPr>
          <w:rFonts w:ascii="Verdana" w:hAnsi="Verdana"/>
          <w:sz w:val="14"/>
          <w:szCs w:val="14"/>
          <w:lang w:val="es-CO"/>
        </w:rPr>
        <w:t xml:space="preserve">Para visualizar los anexos se recomienda utilizar un aplicativo de visualización de PDF como Adobe Reader que permite la descarga de los archivos anexos. Si presenta inconvenientes para ver los anexos, en el siguiente enlace podrá ver el </w:t>
      </w:r>
      <w:hyperlink r:id="rId1" w:tgtFrame="_blank" w:history="1">
        <w:r w:rsidRPr="00F824D9">
          <w:rPr>
            <w:rStyle w:val="Hipervnculo"/>
            <w:rFonts w:ascii="Verdana" w:hAnsi="Verdana"/>
            <w:sz w:val="14"/>
            <w:szCs w:val="14"/>
            <w:lang w:val="es-CO"/>
          </w:rPr>
          <w:t>instructivo</w:t>
        </w:r>
      </w:hyperlink>
      <w:r w:rsidRPr="00F824D9">
        <w:rPr>
          <w:sz w:val="14"/>
          <w:szCs w:val="14"/>
          <w:lang w:val="es-CO"/>
        </w:rPr>
        <w:t> </w:t>
      </w:r>
    </w:p>
  </w:footnote>
  <w:footnote w:id="2">
    <w:p w14:paraId="59943F04" w14:textId="77777777" w:rsidR="00721463" w:rsidRPr="002521A9" w:rsidRDefault="00721463" w:rsidP="00721463">
      <w:pPr>
        <w:pStyle w:val="Textonotapie"/>
        <w:ind w:firstLine="709"/>
        <w:jc w:val="both"/>
        <w:rPr>
          <w:rFonts w:ascii="Verdana" w:hAnsi="Verdana" w:cs="Arial"/>
          <w:sz w:val="16"/>
          <w:szCs w:val="16"/>
          <w:lang w:val="es-ES"/>
        </w:rPr>
      </w:pPr>
      <w:r w:rsidRPr="002521A9">
        <w:rPr>
          <w:rStyle w:val="Refdenotaalpie"/>
          <w:rFonts w:ascii="Verdana" w:hAnsi="Verdana" w:cs="Arial"/>
          <w:sz w:val="16"/>
          <w:szCs w:val="16"/>
        </w:rPr>
        <w:footnoteRef/>
      </w:r>
      <w:r w:rsidRPr="002521A9">
        <w:rPr>
          <w:rFonts w:ascii="Verdana" w:hAnsi="Verdana" w:cs="Arial"/>
          <w:sz w:val="16"/>
          <w:szCs w:val="16"/>
        </w:rPr>
        <w:t xml:space="preserve"> </w:t>
      </w:r>
      <w:r w:rsidRPr="002521A9">
        <w:rPr>
          <w:rFonts w:ascii="Verdana" w:hAnsi="Verdana" w:cs="Arial"/>
          <w:sz w:val="16"/>
          <w:szCs w:val="16"/>
          <w:lang w:val="es-ES"/>
        </w:rPr>
        <w:t>BOBBIO, Norberto. Democracia y secreto. México: Fondo de Cultura Económica, 2013. p. 27.</w:t>
      </w:r>
    </w:p>
  </w:footnote>
  <w:footnote w:id="3">
    <w:p w14:paraId="27425997" w14:textId="77777777" w:rsidR="00721463" w:rsidRPr="002521A9" w:rsidRDefault="00721463" w:rsidP="00721463">
      <w:pPr>
        <w:pStyle w:val="Textonotapie"/>
        <w:ind w:firstLine="709"/>
        <w:jc w:val="both"/>
        <w:rPr>
          <w:rFonts w:ascii="Verdana" w:hAnsi="Verdana" w:cs="Arial"/>
          <w:color w:val="000000" w:themeColor="text1"/>
          <w:sz w:val="16"/>
          <w:szCs w:val="16"/>
        </w:rPr>
      </w:pPr>
      <w:r w:rsidRPr="002521A9">
        <w:rPr>
          <w:rStyle w:val="Refdenotaalpie"/>
          <w:rFonts w:ascii="Verdana" w:hAnsi="Verdana" w:cs="Arial"/>
          <w:color w:val="000000" w:themeColor="text1"/>
          <w:sz w:val="16"/>
          <w:szCs w:val="16"/>
        </w:rPr>
        <w:footnoteRef/>
      </w:r>
      <w:r w:rsidRPr="002521A9">
        <w:rPr>
          <w:rFonts w:ascii="Verdana" w:hAnsi="Verdana" w:cs="Arial"/>
          <w:color w:val="000000" w:themeColor="text1"/>
          <w:sz w:val="16"/>
          <w:szCs w:val="16"/>
        </w:rPr>
        <w:t xml:space="preserve"> Ley 1150 de 2007: “Artículo 3. De conformidad con lo dispuesto en la Ley 527 de 1999, la sustanciación de las actuaciones, la expedición de los actos administrativos, los documentos, contratos y en general los actos derivados de la actividad precontractual y contractual, podrán tener lugar por medios electrónicos. Para el trámite, notificación y publicación de tales actos, podrán utilizarse soportes, medios y aplicaciones electrónicas. Los mecanismos e instrumentos por medio de los cuales las entidades cumplirán con las obligaciones de publicidad del proceso contractual serán señalados por el Gobierno Nacional.</w:t>
      </w:r>
    </w:p>
    <w:p w14:paraId="3773C73A" w14:textId="77777777" w:rsidR="00721463" w:rsidRPr="002521A9" w:rsidRDefault="00721463" w:rsidP="00721463">
      <w:pPr>
        <w:pStyle w:val="Textonotapie"/>
        <w:ind w:firstLine="709"/>
        <w:jc w:val="both"/>
        <w:rPr>
          <w:rFonts w:ascii="Verdana" w:hAnsi="Verdana" w:cs="Arial"/>
          <w:color w:val="000000" w:themeColor="text1"/>
          <w:sz w:val="16"/>
          <w:szCs w:val="16"/>
        </w:rPr>
      </w:pPr>
      <w:r w:rsidRPr="002521A9">
        <w:rPr>
          <w:rFonts w:ascii="Verdana" w:hAnsi="Verdana" w:cs="Arial"/>
          <w:color w:val="000000" w:themeColor="text1"/>
          <w:sz w:val="16"/>
          <w:szCs w:val="16"/>
        </w:rPr>
        <w:t>Lo anterior, sin perjuicio de las publicaciones previstas en el numeral 3 del artículo 30 de la Ley 80 de 1993.</w:t>
      </w:r>
    </w:p>
    <w:p w14:paraId="6FAEDFF2" w14:textId="77777777" w:rsidR="00721463" w:rsidRPr="002521A9" w:rsidRDefault="00721463" w:rsidP="00721463">
      <w:pPr>
        <w:pStyle w:val="Textonotapie"/>
        <w:ind w:firstLine="709"/>
        <w:jc w:val="both"/>
        <w:rPr>
          <w:rFonts w:ascii="Verdana" w:hAnsi="Verdana" w:cs="Arial"/>
          <w:color w:val="000000" w:themeColor="text1"/>
          <w:sz w:val="16"/>
          <w:szCs w:val="16"/>
        </w:rPr>
      </w:pPr>
      <w:r w:rsidRPr="002521A9">
        <w:rPr>
          <w:rFonts w:ascii="Verdana" w:hAnsi="Verdana" w:cs="Arial"/>
          <w:color w:val="000000" w:themeColor="text1"/>
          <w:sz w:val="16"/>
          <w:szCs w:val="16"/>
        </w:rPr>
        <w:t xml:space="preserve">Con el fin de materializar los objetivos a que se refiere el inciso anterior, el Gobierno Nacional desarrollará el Sistema Electrónico para la Contratación Pública, </w:t>
      </w:r>
      <w:proofErr w:type="spellStart"/>
      <w:r w:rsidRPr="002521A9">
        <w:rPr>
          <w:rFonts w:ascii="Verdana" w:hAnsi="Verdana" w:cs="Arial"/>
          <w:color w:val="000000" w:themeColor="text1"/>
          <w:sz w:val="16"/>
          <w:szCs w:val="16"/>
        </w:rPr>
        <w:t>Secop</w:t>
      </w:r>
      <w:proofErr w:type="spellEnd"/>
      <w:r w:rsidRPr="002521A9">
        <w:rPr>
          <w:rFonts w:ascii="Verdana" w:hAnsi="Verdana" w:cs="Arial"/>
          <w:color w:val="000000" w:themeColor="text1"/>
          <w:sz w:val="16"/>
          <w:szCs w:val="16"/>
        </w:rPr>
        <w:t xml:space="preserve">, el cual: </w:t>
      </w:r>
    </w:p>
    <w:p w14:paraId="22D24BFD" w14:textId="77777777" w:rsidR="00721463" w:rsidRPr="002521A9" w:rsidRDefault="00721463" w:rsidP="00721463">
      <w:pPr>
        <w:pStyle w:val="Textonotapie"/>
        <w:ind w:firstLine="709"/>
        <w:jc w:val="both"/>
        <w:rPr>
          <w:rFonts w:ascii="Verdana" w:hAnsi="Verdana" w:cs="Arial"/>
          <w:color w:val="000000" w:themeColor="text1"/>
          <w:sz w:val="16"/>
          <w:szCs w:val="16"/>
        </w:rPr>
      </w:pPr>
      <w:r w:rsidRPr="002521A9">
        <w:rPr>
          <w:rFonts w:ascii="Verdana" w:hAnsi="Verdana" w:cs="Arial"/>
          <w:color w:val="000000" w:themeColor="text1"/>
          <w:sz w:val="16"/>
          <w:szCs w:val="16"/>
        </w:rPr>
        <w:t>[…]</w:t>
      </w:r>
    </w:p>
    <w:p w14:paraId="78B9F329" w14:textId="77777777" w:rsidR="00721463" w:rsidRPr="002521A9" w:rsidRDefault="00721463" w:rsidP="00721463">
      <w:pPr>
        <w:pStyle w:val="Textonotapie"/>
        <w:ind w:firstLine="709"/>
        <w:jc w:val="both"/>
        <w:rPr>
          <w:rFonts w:ascii="Verdana" w:hAnsi="Verdana" w:cs="Arial"/>
          <w:color w:val="000000" w:themeColor="text1"/>
          <w:sz w:val="16"/>
          <w:szCs w:val="16"/>
        </w:rPr>
      </w:pPr>
      <w:r w:rsidRPr="002521A9">
        <w:rPr>
          <w:rFonts w:ascii="Verdana" w:hAnsi="Verdana" w:cs="Arial"/>
          <w:color w:val="000000" w:themeColor="text1"/>
          <w:sz w:val="16"/>
          <w:szCs w:val="16"/>
        </w:rPr>
        <w:t xml:space="preserve">c) Contará con la información oficial de la contratación realizada con dineros públicos, para lo cual establecerá los patrones a que haya lugar y se encargará de su difusión a través de canales electrónico”. </w:t>
      </w:r>
    </w:p>
    <w:p w14:paraId="10B26C53" w14:textId="77777777" w:rsidR="00721463" w:rsidRPr="009D3894" w:rsidRDefault="00721463" w:rsidP="00721463">
      <w:pPr>
        <w:pStyle w:val="Textonotapie"/>
        <w:ind w:firstLine="709"/>
        <w:jc w:val="both"/>
        <w:rPr>
          <w:rFonts w:ascii="Verdana" w:hAnsi="Verdana" w:cs="Arial"/>
          <w:color w:val="000000" w:themeColor="text1"/>
          <w:sz w:val="14"/>
          <w:szCs w:val="14"/>
          <w:lang w:val="es-CO"/>
        </w:rPr>
      </w:pPr>
    </w:p>
  </w:footnote>
  <w:footnote w:id="4">
    <w:p w14:paraId="27F26C84" w14:textId="77777777" w:rsidR="00721463" w:rsidRPr="00A64514" w:rsidRDefault="00721463" w:rsidP="00721463">
      <w:pPr>
        <w:pStyle w:val="Textonotapie"/>
        <w:ind w:firstLine="709"/>
        <w:jc w:val="both"/>
        <w:rPr>
          <w:rFonts w:ascii="Verdana" w:hAnsi="Verdana" w:cs="Arial"/>
          <w:color w:val="000000" w:themeColor="text1"/>
          <w:sz w:val="16"/>
          <w:szCs w:val="16"/>
          <w:lang w:val="es-CO"/>
        </w:rPr>
      </w:pPr>
      <w:r w:rsidRPr="00A64514">
        <w:rPr>
          <w:rStyle w:val="Refdenotaalpie"/>
          <w:rFonts w:ascii="Verdana" w:hAnsi="Verdana" w:cs="Arial"/>
          <w:color w:val="000000" w:themeColor="text1"/>
          <w:sz w:val="16"/>
          <w:szCs w:val="16"/>
        </w:rPr>
        <w:footnoteRef/>
      </w:r>
      <w:r w:rsidRPr="00A64514">
        <w:rPr>
          <w:rFonts w:ascii="Verdana" w:hAnsi="Verdana" w:cs="Arial"/>
          <w:color w:val="000000" w:themeColor="text1"/>
          <w:sz w:val="16"/>
          <w:szCs w:val="16"/>
        </w:rPr>
        <w:t xml:space="preserve"> Ley 1712 de 2014: «Artículo 2. Toda información en posesión, bajo control o custodia de un sujeto obligado es pública y no podrá ser reservada o limitada sino por disposición constitucional o legal, de conformidad con la presente ley”.</w:t>
      </w:r>
    </w:p>
  </w:footnote>
  <w:footnote w:id="5">
    <w:p w14:paraId="1A39DEEB" w14:textId="77777777" w:rsidR="00721463" w:rsidRPr="00A64514" w:rsidRDefault="00721463" w:rsidP="00721463">
      <w:pPr>
        <w:pStyle w:val="Textonotapie"/>
        <w:ind w:firstLine="709"/>
        <w:jc w:val="both"/>
        <w:rPr>
          <w:rFonts w:ascii="Verdana" w:hAnsi="Verdana" w:cs="Arial"/>
          <w:color w:val="000000" w:themeColor="text1"/>
          <w:sz w:val="16"/>
          <w:szCs w:val="16"/>
        </w:rPr>
      </w:pPr>
      <w:r w:rsidRPr="00A64514">
        <w:rPr>
          <w:rStyle w:val="Refdenotaalpie"/>
          <w:rFonts w:ascii="Verdana" w:hAnsi="Verdana" w:cs="Arial"/>
          <w:color w:val="000000" w:themeColor="text1"/>
          <w:sz w:val="16"/>
          <w:szCs w:val="16"/>
        </w:rPr>
        <w:footnoteRef/>
      </w:r>
      <w:r w:rsidRPr="00A64514">
        <w:rPr>
          <w:rFonts w:ascii="Verdana" w:hAnsi="Verdana" w:cs="Arial"/>
          <w:color w:val="000000" w:themeColor="text1"/>
          <w:sz w:val="16"/>
          <w:szCs w:val="16"/>
        </w:rPr>
        <w:t xml:space="preserve"> Ley 1712 de 2014: «Artículo 5. Ámbito de aplicación. Las disposiciones de esta ley serán aplicables a las siguientes personas en calidad de sujetos obligados: </w:t>
      </w:r>
    </w:p>
    <w:p w14:paraId="3929A47B" w14:textId="77777777" w:rsidR="00721463" w:rsidRPr="00A64514" w:rsidRDefault="00721463" w:rsidP="00721463">
      <w:pPr>
        <w:pStyle w:val="Textonotapie"/>
        <w:ind w:firstLine="709"/>
        <w:jc w:val="both"/>
        <w:rPr>
          <w:rFonts w:ascii="Verdana" w:hAnsi="Verdana" w:cs="Arial"/>
          <w:color w:val="000000" w:themeColor="text1"/>
          <w:sz w:val="16"/>
          <w:szCs w:val="16"/>
          <w:lang w:val="es-CO"/>
        </w:rPr>
      </w:pPr>
      <w:r w:rsidRPr="00A64514">
        <w:rPr>
          <w:rFonts w:ascii="Verdana" w:hAnsi="Verdana" w:cs="Arial"/>
          <w:color w:val="000000" w:themeColor="text1"/>
          <w:sz w:val="16"/>
          <w:szCs w:val="16"/>
        </w:rPr>
        <w:t>“a) Toda entidad pública, incluyendo las pertenecientes a todas las Ramas del Poder Público, en todos los niveles de la estructura estatal, central o descentralizada por servicios o territorialmente, en los órdenes nacional, departamental, municipal y distrital».</w:t>
      </w:r>
    </w:p>
  </w:footnote>
  <w:footnote w:id="6">
    <w:p w14:paraId="0D97C4A0" w14:textId="77777777" w:rsidR="00721463" w:rsidRPr="00A64514" w:rsidRDefault="00721463" w:rsidP="00721463">
      <w:pPr>
        <w:pStyle w:val="Textonotapie"/>
        <w:ind w:firstLine="709"/>
        <w:jc w:val="both"/>
        <w:rPr>
          <w:rFonts w:ascii="Verdana" w:hAnsi="Verdana" w:cs="Arial"/>
          <w:color w:val="000000" w:themeColor="text1"/>
          <w:sz w:val="16"/>
          <w:szCs w:val="16"/>
        </w:rPr>
      </w:pPr>
      <w:r w:rsidRPr="00A64514">
        <w:rPr>
          <w:rFonts w:ascii="Verdana" w:eastAsia="Times New Roman" w:hAnsi="Verdana" w:cs="Arial"/>
          <w:color w:val="000000" w:themeColor="text1"/>
          <w:sz w:val="16"/>
          <w:szCs w:val="16"/>
          <w:vertAlign w:val="superscript"/>
          <w:lang w:val="es-ES" w:eastAsia="es-ES"/>
        </w:rPr>
        <w:footnoteRef/>
      </w:r>
      <w:r w:rsidRPr="00A64514">
        <w:rPr>
          <w:rFonts w:ascii="Verdana" w:eastAsia="Times New Roman" w:hAnsi="Verdana" w:cs="Arial"/>
          <w:color w:val="000000" w:themeColor="text1"/>
          <w:sz w:val="16"/>
          <w:szCs w:val="16"/>
          <w:vertAlign w:val="superscript"/>
          <w:lang w:val="es-ES" w:eastAsia="es-ES"/>
        </w:rPr>
        <w:t xml:space="preserve"> </w:t>
      </w:r>
      <w:r w:rsidRPr="00A64514">
        <w:rPr>
          <w:rFonts w:ascii="Verdana" w:eastAsia="Times New Roman" w:hAnsi="Verdana" w:cs="Arial"/>
          <w:color w:val="000000" w:themeColor="text1"/>
          <w:sz w:val="16"/>
          <w:szCs w:val="16"/>
          <w:lang w:val="es-ES" w:eastAsia="es-ES"/>
        </w:rPr>
        <w:t>“</w:t>
      </w:r>
      <w:r w:rsidRPr="00A64514">
        <w:rPr>
          <w:rFonts w:ascii="Verdana" w:hAnsi="Verdana" w:cs="Arial"/>
          <w:color w:val="000000" w:themeColor="text1"/>
          <w:sz w:val="16"/>
          <w:szCs w:val="16"/>
        </w:rPr>
        <w:t xml:space="preserve">Artículo 2.1.1.2.1.7. Publicación de la información contractual. De conformidad con el literal (c) del artículo 3° de la Ley 1150 de 2007, el sistema de información del Estado en el cual los sujetos obligados que contratan con cargo a recursos públicos deben cumplir la obligación de publicar la información de su gestión contractual es el Sistema Electrónico para la Contratación Pública [SECOP] </w:t>
      </w:r>
    </w:p>
    <w:p w14:paraId="125EDB9C" w14:textId="77777777" w:rsidR="00721463" w:rsidRPr="00A64514" w:rsidRDefault="00721463" w:rsidP="00721463">
      <w:pPr>
        <w:pStyle w:val="Textonotapie"/>
        <w:ind w:firstLine="709"/>
        <w:jc w:val="both"/>
        <w:rPr>
          <w:rFonts w:ascii="Verdana" w:eastAsia="Times New Roman" w:hAnsi="Verdana" w:cs="Arial"/>
          <w:color w:val="000000" w:themeColor="text1"/>
          <w:sz w:val="16"/>
          <w:szCs w:val="16"/>
          <w:lang w:val="es-ES" w:eastAsia="es-ES"/>
        </w:rPr>
      </w:pPr>
      <w:r w:rsidRPr="00A64514">
        <w:rPr>
          <w:rFonts w:ascii="Verdana" w:hAnsi="Verdana" w:cs="Arial"/>
          <w:color w:val="000000" w:themeColor="text1"/>
          <w:sz w:val="16"/>
          <w:szCs w:val="16"/>
        </w:rPr>
        <w:t>[…].</w:t>
      </w:r>
    </w:p>
    <w:p w14:paraId="5C1BACF6" w14:textId="77777777" w:rsidR="00721463" w:rsidRPr="00A64514" w:rsidRDefault="00721463" w:rsidP="00721463">
      <w:pPr>
        <w:pStyle w:val="Textonotapie"/>
        <w:ind w:firstLine="709"/>
        <w:jc w:val="both"/>
        <w:rPr>
          <w:rFonts w:ascii="Verdana" w:eastAsia="Times New Roman" w:hAnsi="Verdana" w:cs="Arial"/>
          <w:color w:val="000000" w:themeColor="text1"/>
          <w:sz w:val="16"/>
          <w:szCs w:val="16"/>
          <w:lang w:val="es-ES" w:eastAsia="es-ES"/>
        </w:rPr>
      </w:pPr>
      <w:r w:rsidRPr="00A64514">
        <w:rPr>
          <w:rFonts w:ascii="Verdana" w:eastAsia="Times New Roman" w:hAnsi="Verdana" w:cs="Arial"/>
          <w:color w:val="000000" w:themeColor="text1"/>
          <w:sz w:val="16"/>
          <w:szCs w:val="16"/>
          <w:lang w:val="es-ES" w:eastAsia="es-ES"/>
        </w:rPr>
        <w:t>«Los sujetos obligados que contratan con recursos públicos y recursos privados, deben publicar la información de su gestión contractual con cargo a recursos públicos en el Sistema Electrónico para la Contratación Pública [SECOP]”.</w:t>
      </w:r>
    </w:p>
  </w:footnote>
  <w:footnote w:id="7">
    <w:p w14:paraId="2CC74989" w14:textId="77777777" w:rsidR="00721463" w:rsidRPr="00A64514" w:rsidRDefault="00721463" w:rsidP="00721463">
      <w:pPr>
        <w:pStyle w:val="Textonotapie"/>
        <w:ind w:firstLine="709"/>
        <w:jc w:val="both"/>
        <w:rPr>
          <w:rFonts w:ascii="Verdana" w:hAnsi="Verdana" w:cs="Arial"/>
          <w:color w:val="000000"/>
          <w:sz w:val="16"/>
          <w:szCs w:val="16"/>
        </w:rPr>
      </w:pPr>
      <w:r w:rsidRPr="00A64514">
        <w:rPr>
          <w:rStyle w:val="Refdenotaalpie"/>
          <w:rFonts w:ascii="Verdana" w:hAnsi="Verdana" w:cs="Arial"/>
          <w:color w:val="000000"/>
          <w:sz w:val="16"/>
          <w:szCs w:val="16"/>
        </w:rPr>
        <w:footnoteRef/>
      </w:r>
      <w:r w:rsidRPr="00A64514">
        <w:rPr>
          <w:rFonts w:ascii="Verdana" w:hAnsi="Verdana" w:cs="Arial"/>
          <w:color w:val="000000"/>
          <w:sz w:val="16"/>
          <w:szCs w:val="16"/>
        </w:rPr>
        <w:t xml:space="preserve"> C</w:t>
      </w:r>
      <w:proofErr w:type="spellStart"/>
      <w:r w:rsidRPr="00A64514">
        <w:rPr>
          <w:rFonts w:ascii="Verdana" w:eastAsia="Times New Roman" w:hAnsi="Verdana" w:cs="Arial"/>
          <w:color w:val="000000"/>
          <w:sz w:val="16"/>
          <w:szCs w:val="16"/>
          <w:lang w:val="es-ES" w:eastAsia="es-ES"/>
        </w:rPr>
        <w:t>orte</w:t>
      </w:r>
      <w:proofErr w:type="spellEnd"/>
      <w:r w:rsidRPr="00A64514">
        <w:rPr>
          <w:rFonts w:ascii="Verdana" w:eastAsia="Times New Roman" w:hAnsi="Verdana" w:cs="Arial"/>
          <w:color w:val="000000"/>
          <w:sz w:val="16"/>
          <w:szCs w:val="16"/>
          <w:lang w:val="es-ES" w:eastAsia="es-ES"/>
        </w:rPr>
        <w:t xml:space="preserve"> Constitucional. Sentencia C‒274 de 9 de mayo de 2013. M.P. Mar</w:t>
      </w:r>
      <w:r w:rsidRPr="00A64514">
        <w:rPr>
          <w:rFonts w:ascii="Verdana" w:eastAsia="Times New Roman" w:hAnsi="Verdana" w:cs="Century Gothic"/>
          <w:color w:val="000000"/>
          <w:sz w:val="16"/>
          <w:szCs w:val="16"/>
          <w:lang w:val="es-ES" w:eastAsia="es-ES"/>
        </w:rPr>
        <w:t>í</w:t>
      </w:r>
      <w:r w:rsidRPr="00A64514">
        <w:rPr>
          <w:rFonts w:ascii="Verdana" w:eastAsia="Times New Roman" w:hAnsi="Verdana" w:cs="Arial"/>
          <w:color w:val="000000"/>
          <w:sz w:val="16"/>
          <w:szCs w:val="16"/>
          <w:lang w:val="es-ES" w:eastAsia="es-ES"/>
        </w:rPr>
        <w:t xml:space="preserve">a Victoria Calle Correa. </w:t>
      </w:r>
    </w:p>
    <w:p w14:paraId="745CE362" w14:textId="77777777" w:rsidR="00721463" w:rsidRPr="00EB4645" w:rsidRDefault="00721463" w:rsidP="00721463">
      <w:pPr>
        <w:pStyle w:val="Textonotapie"/>
        <w:ind w:firstLine="709"/>
        <w:jc w:val="both"/>
        <w:rPr>
          <w:rFonts w:ascii="Verdana" w:hAnsi="Verdana" w:cs="Arial"/>
          <w:color w:val="000000"/>
          <w:sz w:val="16"/>
          <w:szCs w:val="16"/>
          <w:lang w:val="es-CO"/>
        </w:rPr>
      </w:pPr>
    </w:p>
  </w:footnote>
  <w:footnote w:id="8">
    <w:p w14:paraId="6E814297" w14:textId="77777777" w:rsidR="00FD634C" w:rsidRPr="00751E10" w:rsidRDefault="00FD634C" w:rsidP="00FD634C">
      <w:pPr>
        <w:pStyle w:val="Textonotapie"/>
        <w:rPr>
          <w:rFonts w:ascii="Verdana" w:hAnsi="Verdana"/>
          <w:sz w:val="16"/>
          <w:szCs w:val="16"/>
          <w:lang w:val="es-ES"/>
        </w:rPr>
      </w:pPr>
      <w:r w:rsidRPr="00751E10">
        <w:rPr>
          <w:rStyle w:val="Refdenotaalpie"/>
          <w:rFonts w:ascii="Verdana" w:hAnsi="Verdana"/>
          <w:sz w:val="16"/>
          <w:szCs w:val="16"/>
        </w:rPr>
        <w:footnoteRef/>
      </w:r>
      <w:r w:rsidRPr="00751E10">
        <w:rPr>
          <w:rFonts w:ascii="Verdana" w:hAnsi="Verdana"/>
          <w:sz w:val="16"/>
          <w:szCs w:val="16"/>
        </w:rPr>
        <w:t xml:space="preserve"> </w:t>
      </w:r>
      <w:bookmarkStart w:id="3" w:name="_Hlk193296629"/>
      <w:r w:rsidRPr="00751E10">
        <w:rPr>
          <w:rFonts w:ascii="Verdana" w:hAnsi="Verdana"/>
          <w:sz w:val="16"/>
          <w:szCs w:val="16"/>
          <w:lang w:val="es-ES"/>
        </w:rPr>
        <w:t>Ley 80 de 1993, Artículo 40, parágrafo</w:t>
      </w:r>
      <w:bookmarkEnd w:id="3"/>
      <w:r w:rsidRPr="00751E10">
        <w:rPr>
          <w:rFonts w:ascii="Verdana" w:hAnsi="Verdana"/>
          <w:sz w:val="16"/>
          <w:szCs w:val="16"/>
          <w:lang w:val="es-ES"/>
        </w:rPr>
        <w:t>: “</w:t>
      </w:r>
      <w:proofErr w:type="gramStart"/>
      <w:r w:rsidRPr="00751E10">
        <w:rPr>
          <w:rFonts w:ascii="Verdana" w:hAnsi="Verdana"/>
          <w:sz w:val="16"/>
          <w:szCs w:val="16"/>
          <w:lang w:val="es-ES"/>
        </w:rPr>
        <w:t>´[</w:t>
      </w:r>
      <w:proofErr w:type="gramEnd"/>
      <w:r w:rsidRPr="00751E10">
        <w:rPr>
          <w:rFonts w:ascii="Verdana" w:hAnsi="Verdana"/>
          <w:sz w:val="16"/>
          <w:szCs w:val="16"/>
          <w:lang w:val="es-ES"/>
        </w:rPr>
        <w:t>…] Los contratos no podrán adicionarse en más del cincuenta por ciento (50%) de su valor inicial, expresado éste en salarios mínimos legales mensuales.”</w:t>
      </w:r>
    </w:p>
  </w:footnote>
  <w:footnote w:id="9">
    <w:p w14:paraId="6FE49C2E" w14:textId="77777777" w:rsidR="00FD634C" w:rsidRPr="00751E10" w:rsidRDefault="00FD634C" w:rsidP="00FD634C">
      <w:pPr>
        <w:pStyle w:val="Textonotapie"/>
        <w:ind w:firstLine="708"/>
        <w:jc w:val="both"/>
        <w:rPr>
          <w:rFonts w:ascii="Verdana" w:hAnsi="Verdana" w:cs="Arial"/>
          <w:sz w:val="16"/>
          <w:szCs w:val="16"/>
          <w:lang w:val="es-ES_tradnl"/>
        </w:rPr>
      </w:pPr>
      <w:r w:rsidRPr="00751E10">
        <w:rPr>
          <w:rStyle w:val="Refdenotaalpie"/>
          <w:rFonts w:ascii="Verdana" w:hAnsi="Verdana" w:cs="Arial"/>
          <w:sz w:val="16"/>
          <w:szCs w:val="16"/>
        </w:rPr>
        <w:footnoteRef/>
      </w:r>
      <w:r w:rsidRPr="00751E10">
        <w:rPr>
          <w:rFonts w:ascii="Verdana" w:hAnsi="Verdana" w:cs="Arial"/>
          <w:sz w:val="16"/>
          <w:szCs w:val="16"/>
        </w:rPr>
        <w:t xml:space="preserve"> Los acuerdos de voluntades que no cumplan con esta formalidad se consideran inexistentes, por lo tanto, tal como lo ha planteado el Consejo de Estado en el </w:t>
      </w:r>
      <w:bookmarkStart w:id="5" w:name="_Hlk193296747"/>
      <w:r w:rsidRPr="00751E10">
        <w:rPr>
          <w:rFonts w:ascii="Verdana" w:hAnsi="Verdana" w:cs="Arial"/>
          <w:sz w:val="16"/>
          <w:szCs w:val="16"/>
        </w:rPr>
        <w:t>Concepto 2263 del 17 de marzo del 2017</w:t>
      </w:r>
      <w:bookmarkEnd w:id="5"/>
      <w:r w:rsidRPr="00751E10">
        <w:rPr>
          <w:rFonts w:ascii="Verdana" w:hAnsi="Verdana" w:cs="Arial"/>
          <w:sz w:val="16"/>
          <w:szCs w:val="16"/>
        </w:rPr>
        <w:t>,  “las eventuales reclamaciones contractuales que pueda presentar un particular sobre prestaciones realizadas, sin la previa modificación del mismo, están llamadas al fracaso, pues la Administración no puede reconocer situaciones de hecho u obligaciones dinerarias con cargo a un contrato que estipula obligaciones distintas</w:t>
      </w:r>
      <w:r w:rsidRPr="00751E10">
        <w:rPr>
          <w:rFonts w:ascii="Verdana" w:hAnsi="Verdana" w:cs="Arial"/>
          <w:sz w:val="16"/>
          <w:szCs w:val="16"/>
          <w:lang w:val="es-ES_tradnl"/>
        </w:rPr>
        <w:t>”.</w:t>
      </w:r>
    </w:p>
    <w:p w14:paraId="30487E55" w14:textId="77777777" w:rsidR="00FD634C" w:rsidRPr="00751E10" w:rsidRDefault="00FD634C" w:rsidP="00FD634C">
      <w:pPr>
        <w:pStyle w:val="Textonotapie"/>
        <w:jc w:val="both"/>
        <w:rPr>
          <w:rFonts w:ascii="Verdana" w:hAnsi="Verdana" w:cs="Arial"/>
          <w:sz w:val="16"/>
          <w:szCs w:val="16"/>
          <w:lang w:val="es-CO"/>
        </w:rPr>
      </w:pPr>
    </w:p>
  </w:footnote>
  <w:footnote w:id="10">
    <w:p w14:paraId="682352D3" w14:textId="77777777" w:rsidR="00FD634C" w:rsidRPr="00CC4AB2" w:rsidRDefault="00FD634C" w:rsidP="00FD634C">
      <w:pPr>
        <w:spacing w:after="0" w:line="240" w:lineRule="auto"/>
        <w:ind w:firstLine="708"/>
        <w:contextualSpacing/>
        <w:jc w:val="both"/>
        <w:rPr>
          <w:rFonts w:ascii="Verdana" w:hAnsi="Verdana"/>
          <w:sz w:val="16"/>
          <w:szCs w:val="16"/>
        </w:rPr>
      </w:pPr>
    </w:p>
    <w:p w14:paraId="2E2D6197" w14:textId="77777777" w:rsidR="00FD634C" w:rsidRDefault="00FD634C" w:rsidP="00FD634C">
      <w:pPr>
        <w:spacing w:after="0" w:line="240" w:lineRule="auto"/>
        <w:ind w:firstLine="708"/>
        <w:contextualSpacing/>
        <w:jc w:val="both"/>
        <w:rPr>
          <w:rFonts w:ascii="Verdana" w:hAnsi="Verdana"/>
          <w:sz w:val="16"/>
          <w:szCs w:val="16"/>
        </w:rPr>
      </w:pPr>
      <w:r w:rsidRPr="00CC4AB2">
        <w:rPr>
          <w:rStyle w:val="Refdenotaalpie"/>
          <w:rFonts w:ascii="Verdana" w:hAnsi="Verdana"/>
          <w:sz w:val="16"/>
          <w:szCs w:val="16"/>
        </w:rPr>
        <w:footnoteRef/>
      </w:r>
      <w:r w:rsidRPr="00CC4AB2">
        <w:rPr>
          <w:rFonts w:ascii="Verdana" w:hAnsi="Verdana"/>
          <w:sz w:val="16"/>
          <w:szCs w:val="16"/>
        </w:rPr>
        <w:t xml:space="preserve"> CONSEJO DE ESTADO. </w:t>
      </w:r>
      <w:r w:rsidRPr="00236B36">
        <w:rPr>
          <w:rFonts w:ascii="Verdana" w:hAnsi="Verdana"/>
          <w:sz w:val="16"/>
          <w:szCs w:val="16"/>
        </w:rPr>
        <w:t>Sala de Consulta y Servicio Civil.</w:t>
      </w:r>
      <w:r w:rsidRPr="00803210">
        <w:rPr>
          <w:rFonts w:ascii="Verdana" w:hAnsi="Verdana"/>
          <w:i/>
          <w:iCs/>
          <w:sz w:val="16"/>
          <w:szCs w:val="16"/>
        </w:rPr>
        <w:t xml:space="preserve"> </w:t>
      </w:r>
      <w:r w:rsidRPr="00236B36">
        <w:rPr>
          <w:rFonts w:ascii="Verdana" w:hAnsi="Verdana"/>
          <w:sz w:val="16"/>
          <w:szCs w:val="16"/>
        </w:rPr>
        <w:t>C.P.: Óscar Daría Amaya Navas</w:t>
      </w:r>
      <w:r w:rsidRPr="00CC4AB2">
        <w:rPr>
          <w:rFonts w:ascii="Verdana" w:hAnsi="Verdana"/>
          <w:sz w:val="16"/>
          <w:szCs w:val="16"/>
        </w:rPr>
        <w:t xml:space="preserve">. Concepto del </w:t>
      </w:r>
      <w:r w:rsidRPr="00236B36">
        <w:rPr>
          <w:rFonts w:ascii="Verdana" w:hAnsi="Verdana"/>
          <w:sz w:val="16"/>
          <w:szCs w:val="16"/>
        </w:rPr>
        <w:t>06 de junio 2018. Radicación número: 2369.</w:t>
      </w:r>
    </w:p>
    <w:p w14:paraId="1E0597C7" w14:textId="77777777" w:rsidR="00FD634C" w:rsidRPr="00803210" w:rsidRDefault="00FD634C" w:rsidP="00FD634C">
      <w:pPr>
        <w:spacing w:after="0" w:line="240" w:lineRule="auto"/>
        <w:ind w:firstLine="708"/>
        <w:contextualSpacing/>
        <w:jc w:val="both"/>
        <w:rPr>
          <w:rFonts w:ascii="Verdana" w:hAnsi="Verdana"/>
          <w:i/>
          <w:iCs/>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58241"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5824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5pt;height:12.2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6C326F"/>
    <w:multiLevelType w:val="hybridMultilevel"/>
    <w:tmpl w:val="23A835FC"/>
    <w:lvl w:ilvl="0" w:tplc="12F8F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0"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D239A1"/>
    <w:multiLevelType w:val="hybridMultilevel"/>
    <w:tmpl w:val="07B858A8"/>
    <w:lvl w:ilvl="0" w:tplc="240A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D14EFF"/>
    <w:multiLevelType w:val="hybridMultilevel"/>
    <w:tmpl w:val="964A283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48779781">
    <w:abstractNumId w:val="5"/>
  </w:num>
  <w:num w:numId="2" w16cid:durableId="19822139">
    <w:abstractNumId w:val="1"/>
  </w:num>
  <w:num w:numId="3" w16cid:durableId="876742304">
    <w:abstractNumId w:val="3"/>
  </w:num>
  <w:num w:numId="4" w16cid:durableId="2451864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3"/>
  </w:num>
  <w:num w:numId="7" w16cid:durableId="1946422806">
    <w:abstractNumId w:val="4"/>
  </w:num>
  <w:num w:numId="8" w16cid:durableId="152644682">
    <w:abstractNumId w:val="11"/>
  </w:num>
  <w:num w:numId="9" w16cid:durableId="1317221377">
    <w:abstractNumId w:val="6"/>
  </w:num>
  <w:num w:numId="10" w16cid:durableId="1471245386">
    <w:abstractNumId w:val="10"/>
  </w:num>
  <w:num w:numId="11" w16cid:durableId="289172385">
    <w:abstractNumId w:val="7"/>
  </w:num>
  <w:num w:numId="12" w16cid:durableId="1470781324">
    <w:abstractNumId w:val="0"/>
  </w:num>
  <w:num w:numId="13" w16cid:durableId="1512908409">
    <w:abstractNumId w:val="2"/>
  </w:num>
  <w:num w:numId="14" w16cid:durableId="895897244">
    <w:abstractNumId w:val="14"/>
  </w:num>
  <w:num w:numId="15" w16cid:durableId="390349800">
    <w:abstractNumId w:val="9"/>
  </w:num>
  <w:num w:numId="16" w16cid:durableId="1819809630">
    <w:abstractNumId w:val="8"/>
  </w:num>
  <w:num w:numId="17" w16cid:durableId="1271931617">
    <w:abstractNumId w:val="15"/>
  </w:num>
  <w:num w:numId="18" w16cid:durableId="5028154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6F78"/>
    <w:rsid w:val="00046945"/>
    <w:rsid w:val="00061B2A"/>
    <w:rsid w:val="00082362"/>
    <w:rsid w:val="000A27D4"/>
    <w:rsid w:val="000A683E"/>
    <w:rsid w:val="000B19B9"/>
    <w:rsid w:val="000C2A2B"/>
    <w:rsid w:val="000D0334"/>
    <w:rsid w:val="000D5DA7"/>
    <w:rsid w:val="000F6486"/>
    <w:rsid w:val="00116940"/>
    <w:rsid w:val="00125105"/>
    <w:rsid w:val="00127233"/>
    <w:rsid w:val="00136748"/>
    <w:rsid w:val="0015699B"/>
    <w:rsid w:val="001A33BF"/>
    <w:rsid w:val="001E4177"/>
    <w:rsid w:val="001F0B24"/>
    <w:rsid w:val="001F7DC6"/>
    <w:rsid w:val="0022400B"/>
    <w:rsid w:val="00227511"/>
    <w:rsid w:val="00237E44"/>
    <w:rsid w:val="002421BB"/>
    <w:rsid w:val="0025796E"/>
    <w:rsid w:val="002644B2"/>
    <w:rsid w:val="002707A2"/>
    <w:rsid w:val="002951A0"/>
    <w:rsid w:val="002962BC"/>
    <w:rsid w:val="002A093D"/>
    <w:rsid w:val="002A0DD0"/>
    <w:rsid w:val="002A49AC"/>
    <w:rsid w:val="002A64FD"/>
    <w:rsid w:val="002C7A84"/>
    <w:rsid w:val="002D5533"/>
    <w:rsid w:val="002E2BF8"/>
    <w:rsid w:val="002E4FD9"/>
    <w:rsid w:val="0030657A"/>
    <w:rsid w:val="00322A85"/>
    <w:rsid w:val="00324168"/>
    <w:rsid w:val="00330834"/>
    <w:rsid w:val="003448F4"/>
    <w:rsid w:val="00351421"/>
    <w:rsid w:val="00374F5E"/>
    <w:rsid w:val="00377E3E"/>
    <w:rsid w:val="003A779E"/>
    <w:rsid w:val="003D0F4D"/>
    <w:rsid w:val="003D18D0"/>
    <w:rsid w:val="003D5B0D"/>
    <w:rsid w:val="003E0499"/>
    <w:rsid w:val="003E4F80"/>
    <w:rsid w:val="003E6439"/>
    <w:rsid w:val="003F3941"/>
    <w:rsid w:val="004060D9"/>
    <w:rsid w:val="00406575"/>
    <w:rsid w:val="00414C74"/>
    <w:rsid w:val="0042722E"/>
    <w:rsid w:val="0044528D"/>
    <w:rsid w:val="00466E39"/>
    <w:rsid w:val="004A1847"/>
    <w:rsid w:val="004A305D"/>
    <w:rsid w:val="004B0002"/>
    <w:rsid w:val="004C117A"/>
    <w:rsid w:val="004F21C4"/>
    <w:rsid w:val="004F685F"/>
    <w:rsid w:val="00520633"/>
    <w:rsid w:val="005566E8"/>
    <w:rsid w:val="00574867"/>
    <w:rsid w:val="00591460"/>
    <w:rsid w:val="00591F8E"/>
    <w:rsid w:val="005A65E0"/>
    <w:rsid w:val="005C3777"/>
    <w:rsid w:val="005C5CDC"/>
    <w:rsid w:val="005D476C"/>
    <w:rsid w:val="005F4D21"/>
    <w:rsid w:val="006200BF"/>
    <w:rsid w:val="006219F8"/>
    <w:rsid w:val="006302F7"/>
    <w:rsid w:val="00642C88"/>
    <w:rsid w:val="00646B9F"/>
    <w:rsid w:val="00665D70"/>
    <w:rsid w:val="006900D9"/>
    <w:rsid w:val="00706C16"/>
    <w:rsid w:val="00721463"/>
    <w:rsid w:val="007340C3"/>
    <w:rsid w:val="0075235A"/>
    <w:rsid w:val="00756841"/>
    <w:rsid w:val="007649AB"/>
    <w:rsid w:val="00771D0C"/>
    <w:rsid w:val="007833AC"/>
    <w:rsid w:val="00786430"/>
    <w:rsid w:val="007B268C"/>
    <w:rsid w:val="007B7171"/>
    <w:rsid w:val="007C0C0F"/>
    <w:rsid w:val="007C3DC2"/>
    <w:rsid w:val="007C520F"/>
    <w:rsid w:val="007E5497"/>
    <w:rsid w:val="00806F5F"/>
    <w:rsid w:val="00820278"/>
    <w:rsid w:val="008258C9"/>
    <w:rsid w:val="00844AE9"/>
    <w:rsid w:val="00867F95"/>
    <w:rsid w:val="008843B6"/>
    <w:rsid w:val="00891928"/>
    <w:rsid w:val="008A1007"/>
    <w:rsid w:val="008A446D"/>
    <w:rsid w:val="008B25F1"/>
    <w:rsid w:val="008C40E9"/>
    <w:rsid w:val="008D180B"/>
    <w:rsid w:val="008E5F46"/>
    <w:rsid w:val="008F0EA7"/>
    <w:rsid w:val="00911AD1"/>
    <w:rsid w:val="00923EEF"/>
    <w:rsid w:val="009419F9"/>
    <w:rsid w:val="00947E9C"/>
    <w:rsid w:val="0095685E"/>
    <w:rsid w:val="00961B09"/>
    <w:rsid w:val="00965334"/>
    <w:rsid w:val="0097093E"/>
    <w:rsid w:val="009A0DFA"/>
    <w:rsid w:val="009A1C6F"/>
    <w:rsid w:val="009B2D26"/>
    <w:rsid w:val="009C150A"/>
    <w:rsid w:val="009C71FA"/>
    <w:rsid w:val="009C72E7"/>
    <w:rsid w:val="009C7F7E"/>
    <w:rsid w:val="009D3058"/>
    <w:rsid w:val="009F1781"/>
    <w:rsid w:val="009F3A13"/>
    <w:rsid w:val="00A122D3"/>
    <w:rsid w:val="00A14468"/>
    <w:rsid w:val="00A17F13"/>
    <w:rsid w:val="00A20739"/>
    <w:rsid w:val="00A23AF9"/>
    <w:rsid w:val="00A33C78"/>
    <w:rsid w:val="00AB0ADB"/>
    <w:rsid w:val="00B00C0E"/>
    <w:rsid w:val="00B01B1A"/>
    <w:rsid w:val="00B0381D"/>
    <w:rsid w:val="00B44A47"/>
    <w:rsid w:val="00B72CD3"/>
    <w:rsid w:val="00B72FFF"/>
    <w:rsid w:val="00BB694E"/>
    <w:rsid w:val="00BC3D36"/>
    <w:rsid w:val="00BD54A6"/>
    <w:rsid w:val="00BD55B1"/>
    <w:rsid w:val="00BD6A2E"/>
    <w:rsid w:val="00BD7F72"/>
    <w:rsid w:val="00BF7425"/>
    <w:rsid w:val="00C03D35"/>
    <w:rsid w:val="00C04FB3"/>
    <w:rsid w:val="00C11D8B"/>
    <w:rsid w:val="00C15139"/>
    <w:rsid w:val="00C26C5A"/>
    <w:rsid w:val="00C330EB"/>
    <w:rsid w:val="00C35337"/>
    <w:rsid w:val="00C41F7C"/>
    <w:rsid w:val="00C50D69"/>
    <w:rsid w:val="00C5365C"/>
    <w:rsid w:val="00C754BE"/>
    <w:rsid w:val="00C76B1C"/>
    <w:rsid w:val="00C925AC"/>
    <w:rsid w:val="00CB6357"/>
    <w:rsid w:val="00CC1B26"/>
    <w:rsid w:val="00CE0B20"/>
    <w:rsid w:val="00D13DE5"/>
    <w:rsid w:val="00D361FD"/>
    <w:rsid w:val="00D423A2"/>
    <w:rsid w:val="00D44E26"/>
    <w:rsid w:val="00D520D8"/>
    <w:rsid w:val="00D5706F"/>
    <w:rsid w:val="00D63AC2"/>
    <w:rsid w:val="00D7383B"/>
    <w:rsid w:val="00D7788A"/>
    <w:rsid w:val="00DA101E"/>
    <w:rsid w:val="00DA231B"/>
    <w:rsid w:val="00DC39FC"/>
    <w:rsid w:val="00DF5254"/>
    <w:rsid w:val="00E02524"/>
    <w:rsid w:val="00E16408"/>
    <w:rsid w:val="00E20894"/>
    <w:rsid w:val="00E245AB"/>
    <w:rsid w:val="00E2764C"/>
    <w:rsid w:val="00E27F2E"/>
    <w:rsid w:val="00E309CE"/>
    <w:rsid w:val="00E50AFE"/>
    <w:rsid w:val="00E75C92"/>
    <w:rsid w:val="00E771DC"/>
    <w:rsid w:val="00E83954"/>
    <w:rsid w:val="00E8772A"/>
    <w:rsid w:val="00E90F6B"/>
    <w:rsid w:val="00E92C27"/>
    <w:rsid w:val="00EA0E3D"/>
    <w:rsid w:val="00EC38A7"/>
    <w:rsid w:val="00EE1AA8"/>
    <w:rsid w:val="00F23FEA"/>
    <w:rsid w:val="00F31EDC"/>
    <w:rsid w:val="00F33E38"/>
    <w:rsid w:val="00F3482D"/>
    <w:rsid w:val="00F462B3"/>
    <w:rsid w:val="00F5664F"/>
    <w:rsid w:val="00F63B06"/>
    <w:rsid w:val="00F666C4"/>
    <w:rsid w:val="00F76AFC"/>
    <w:rsid w:val="00FA47C0"/>
    <w:rsid w:val="00FB5DD1"/>
    <w:rsid w:val="00FC2B5D"/>
    <w:rsid w:val="00FD634C"/>
    <w:rsid w:val="00FF1449"/>
    <w:rsid w:val="00FF7963"/>
    <w:rsid w:val="071B8F93"/>
    <w:rsid w:val="07C73DD1"/>
    <w:rsid w:val="09908A09"/>
    <w:rsid w:val="0E0AF0F4"/>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oot"/>
    <w:basedOn w:val="Normal"/>
    <w:link w:val="PrrafodelistaCar"/>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uiPriority w:val="99"/>
    <w:rsid w:val="00FD634C"/>
    <w:pPr>
      <w:spacing w:line="240" w:lineRule="exact"/>
    </w:pPr>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FD634C"/>
    <w:rPr>
      <w:rFonts w:ascii="Geomanist Light" w:hAnsi="Geomanist Light"/>
      <w:lang w:val="es-ES"/>
    </w:rPr>
  </w:style>
  <w:style w:type="character" w:customStyle="1" w:styleId="NormalWebCar">
    <w:name w:val="Normal (Web) Car"/>
    <w:link w:val="NormalWeb"/>
    <w:uiPriority w:val="99"/>
    <w:locked/>
    <w:rsid w:val="00FD634C"/>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m02.safelinks.protection.outlook.com/?url=https%3A%2F%2Fwww.colombiacompra.gov.co%2Farchivos%2Fmanual%2Fguia-de-garantias-en-procesos-de-contratacion&amp;data=05%7C02%7Cangela.olmos%40colombiacompra.gov.co%7C7128555136e04fa6887d08dee99e1b50%7C7b09041e245149d08cb179d5e3d8c1be%7C0%7C0%7C639205062455697770%7CUnknown%7CTWFpbGZsb3d8eyJFbXB0eU1hcGkiOnRydWUsIlYiOiIwLjAuMDAwMCIsIlAiOiJXaW4zMiIsIkFOIjoiTWFpbCIsIldUIjoyfQ%3D%3D%7C0%7C%7C%7C&amp;sdata=xtO12WcCdwYHeXUidcMKqDbcqTrQ9cKf4Dp4jbhhRfY%3D&amp;reserved=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relatoria.colombiacompra.gov.co/busqueda/conceptos" TargetMode="External"/><Relationship Id="rId17"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https://nam02.safelinks.protection.outlook.com/?url=https%3A%2F%2Fwww.colombiacompra.gov.co%2Farchivos%2Fboletin%2Fboletin-edicion-n-3-de-2026-radar-de-la-compra-publica&amp;data=05%7C02%7Cangela.olmos%40colombiacompra.gov.co%7C7128555136e04fa6887d08dee99e1b50%7C7b09041e245149d08cb179d5e3d8c1be%7C0%7C0%7C639205062455813537%7CUnknown%7CTWFpbGZsb3d8eyJFbXB0eU1hcGkiOnRydWUsIlYiOiIwLjAuMDAwMCIsIlAiOiJXaW4zMiIsIkFOIjoiTWFpbCIsIldUIjoyfQ%3D%3D%7C0%7C%7C%7C&amp;sdata=BI9eiPyO2YOdvz%2Fmc8zSJAqeX5zdIJr9lpFGCdSRWT0%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faelhernandovalenzuelaembus@gmail.com" TargetMode="External"/><Relationship Id="rId5" Type="http://schemas.openxmlformats.org/officeDocument/2006/relationships/styles" Target="styles.xml"/><Relationship Id="rId15" Type="http://schemas.openxmlformats.org/officeDocument/2006/relationships/hyperlink" Target="https://nam02.safelinks.protection.outlook.com/?url=https%3A%2F%2Fwww.colombiacompra.gov.co%2Farchivos%2Fcircular%2Fcircular-externa-002-de-2026&amp;data=05%7C02%7Cangela.olmos%40colombiacompra.gov.co%7C7128555136e04fa6887d08dee99e1b50%7C7b09041e245149d08cb179d5e3d8c1be%7C0%7C0%7C639205062455783512%7CUnknown%7CTWFpbGZsb3d8eyJFbXB0eU1hcGkiOnRydWUsIlYiOiIwLjAuMDAwMCIsIlAiOiJXaW4zMiIsIkFOIjoiTWFpbCIsIldUIjoyfQ%3D%3D%7C0%7C%7C%7C&amp;sdata=o0aNWXLtqBTIjjTfbvEP4fWtwRbbpR5F3D8%2Bgi0xYRw%3D&amp;reserved=0"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https://nam02.safelinks.protection.outlook.com/?url=https%3A%2F%2Fwww.colombiacompra.gov.co%2Fsala-de-prensa%2Finfografias%2Finstructivo-para-visualizar-anexos-en-un-archivo-pdf&amp;data=05%7C01%7Csergio.caballero%40colombiacompra.gov.co%7Ca4dfcf066f0248f713f008da65a65aa4%7C7b09041e245149d08cb179d5e3d8c1be%7C0%7C0%7C637934062550982134%7CUnknown%7CTWFpbGZsb3d8eyJWIjoiMC4wLjAwMDAiLCJQIjoiV2luMzIiLCJBTiI6Ik1haWwiLCJXVCI6Mn0%3D%7C3000%7C%7C%7C&amp;sdata=GsOqIIle3WKl%2BGqjdk2uXda18rkS3LlXwkCZ8%2BWAMLY%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m02.safelinks.protection.outlook.com/?url=https%3A%2F%2Fwww.colombiacompra.gov.co%2Farchivos%2Fcircular%2Fcircular-externa-003-de-2026&amp;data=05%7C02%7Cangela.olmos%40colombiacompra.gov.co%7C7128555136e04fa6887d08dee99e1b50%7C7b09041e245149d08cb179d5e3d8c1be%7C0%7C0%7C639205062455749430%7CUnknown%7CTWFpbGZsb3d8eyJFbXB0eU1hcGkiOnRydWUsIlYiOiIwLjAuMDAwMCIsIlAiOiJXaW4zMiIsIkFOIjoiTWFpbCIsIldUIjoyfQ%3D%3D%7C0%7C%7C%7C&amp;sdata=%2BwyO1QjPoqQ85c4iiQUT%2B4%2BSIhHwUEw62Bt4IPe08Xs%3D&amp;reserved=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nam02.safelinks.protection.outlook.com/?url=https%3A%2F%2Fwww.colombiacompra.gov.co%2Fsala-de-prensa%2Finfografias%2Finstructivo-para-visualizar-anexos-en-un-archivo-pdf&amp;data=05%7C01%7Csergio.caballero%40colombiacompra.gov.co%7Ca4dfcf066f0248f713f008da65a65aa4%7C7b09041e245149d08cb179d5e3d8c1be%7C0%7C0%7C637934062550982134%7CUnknown%7CTWFpbGZsb3d8eyJWIjoiMC4wLjAwMDAiLCJQIjoiV2luMzIiLCJBTiI6Ik1haWwiLCJXVCI6Mn0%3D%7C3000%7C%7C%7C&amp;sdata=GsOqIIle3WKl%2BGqjdk2uXda18rkS3LlXwkCZ8%2BWAMLY%3D&amp;reserved=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3.xml><?xml version="1.0" encoding="utf-8"?>
<ds:datastoreItem xmlns:ds="http://schemas.openxmlformats.org/officeDocument/2006/customXml" ds:itemID="{D69AB97F-BF57-45DB-8E40-912925036683}"/>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67</TotalTime>
  <Pages>20</Pages>
  <Words>7221</Words>
  <Characters>39721</Characters>
  <Application>Microsoft Office Word</Application>
  <DocSecurity>0</DocSecurity>
  <Lines>331</Lines>
  <Paragraphs>93</Paragraphs>
  <ScaleCrop>false</ScaleCrop>
  <Company/>
  <LinksUpToDate>false</LinksUpToDate>
  <CharactersWithSpaces>46849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Angela Maria Olmos Andrade</cp:lastModifiedBy>
  <cp:revision>10</cp:revision>
  <cp:lastPrinted>2023-01-10T21:18:00Z</cp:lastPrinted>
  <dcterms:created xsi:type="dcterms:W3CDTF">2026-10-15T20:03:00Z</dcterms:created>
  <dcterms:modified xsi:type="dcterms:W3CDTF">2026-10-15T22:07:00Z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