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8D337" w14:textId="77777777" w:rsidR="00A44A4E" w:rsidRPr="000D0E36" w:rsidRDefault="00A44A4E" w:rsidP="00A44A4E">
      <w:pPr>
        <w:jc w:val="both"/>
        <w:rPr>
          <w:rFonts w:ascii="Verdana" w:eastAsia="Calibri" w:hAnsi="Verdana" w:cs="Arial"/>
          <w:b/>
          <w:sz w:val="22"/>
          <w:szCs w:val="22"/>
          <w:lang w:val="es-ES_tradnl"/>
        </w:rPr>
      </w:pPr>
      <w:bookmarkStart w:id="0" w:name="_Hlk143780582"/>
      <w:r w:rsidRPr="000D0E36">
        <w:rPr>
          <w:rFonts w:ascii="Verdana" w:eastAsia="Calibri" w:hAnsi="Verdana" w:cs="Arial"/>
          <w:b/>
          <w:sz w:val="22"/>
          <w:szCs w:val="22"/>
          <w:lang w:val="es-ES_tradnl"/>
        </w:rPr>
        <w:t>GARANTÍAS CONTRACTUALES – Exigencia – Obligación del proponente – Obligación del contratista - Finalidad</w:t>
      </w:r>
    </w:p>
    <w:p w14:paraId="2B4BEAE1" w14:textId="77777777" w:rsidR="00A44A4E" w:rsidRPr="000D0E36" w:rsidRDefault="00A44A4E" w:rsidP="00A44A4E">
      <w:pPr>
        <w:jc w:val="both"/>
        <w:rPr>
          <w:rFonts w:ascii="Verdana" w:eastAsia="Calibri" w:hAnsi="Verdana" w:cs="Arial"/>
          <w:b/>
          <w:sz w:val="22"/>
          <w:szCs w:val="22"/>
          <w:lang w:val="es-ES_tradnl"/>
        </w:rPr>
      </w:pPr>
    </w:p>
    <w:p w14:paraId="1A7E83FF" w14:textId="77777777" w:rsidR="00A44A4E" w:rsidRPr="00567279" w:rsidRDefault="00A44A4E" w:rsidP="00A44A4E">
      <w:pPr>
        <w:jc w:val="both"/>
        <w:rPr>
          <w:rFonts w:ascii="Verdana" w:eastAsia="Aptos" w:hAnsi="Verdana"/>
          <w:sz w:val="20"/>
          <w:szCs w:val="20"/>
        </w:rPr>
      </w:pPr>
      <w:r w:rsidRPr="00567279">
        <w:rPr>
          <w:rFonts w:ascii="Verdana" w:eastAsia="Aptos" w:hAnsi="Verdana"/>
          <w:sz w:val="20"/>
          <w:szCs w:val="20"/>
        </w:rPr>
        <w:t xml:space="preserve">[…] el Estatuto General de Contratación de la Administración Pública, exige por regla general, en los procesos de contratación pública la constitución de garantías ya sea en la etapa precontractual, contractual o postcontractual, con el fin de evitar o mitigar posibles riesgos.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 </w:t>
      </w:r>
    </w:p>
    <w:p w14:paraId="029A8157" w14:textId="77777777" w:rsidR="00A44A4E" w:rsidRPr="000D0E36" w:rsidRDefault="00A44A4E" w:rsidP="00A44A4E">
      <w:pPr>
        <w:jc w:val="both"/>
        <w:rPr>
          <w:rFonts w:ascii="Verdana" w:eastAsia="Aptos" w:hAnsi="Verdana"/>
          <w:sz w:val="22"/>
          <w:szCs w:val="22"/>
        </w:rPr>
      </w:pPr>
    </w:p>
    <w:p w14:paraId="7C60A6D1" w14:textId="77777777" w:rsidR="00A44A4E" w:rsidRPr="000D0E36" w:rsidRDefault="00A44A4E" w:rsidP="00A44A4E">
      <w:pPr>
        <w:jc w:val="both"/>
        <w:rPr>
          <w:rFonts w:ascii="Verdana" w:eastAsia="Calibri" w:hAnsi="Verdana" w:cs="Arial"/>
          <w:b/>
          <w:color w:val="000000"/>
          <w:sz w:val="22"/>
          <w:szCs w:val="22"/>
          <w:lang w:val="es-ES"/>
        </w:rPr>
      </w:pPr>
      <w:r w:rsidRPr="000D0E36">
        <w:rPr>
          <w:rFonts w:ascii="Verdana" w:eastAsia="Calibri" w:hAnsi="Verdana" w:cs="Arial"/>
          <w:b/>
          <w:color w:val="000000"/>
          <w:sz w:val="22"/>
          <w:szCs w:val="22"/>
          <w:lang w:val="es-ES"/>
        </w:rPr>
        <w:t>GARANTÍA DE CUMPLIMIENTO – Vigencia – Liquidación del contrato</w:t>
      </w:r>
    </w:p>
    <w:p w14:paraId="22EC9352" w14:textId="77777777" w:rsidR="00A44A4E" w:rsidRPr="000D0E36" w:rsidRDefault="00A44A4E" w:rsidP="00A44A4E">
      <w:pPr>
        <w:jc w:val="both"/>
        <w:rPr>
          <w:rFonts w:ascii="Verdana" w:eastAsia="Calibri" w:hAnsi="Verdana" w:cs="Arial"/>
          <w:b/>
          <w:color w:val="000000"/>
          <w:sz w:val="22"/>
          <w:szCs w:val="22"/>
          <w:lang w:val="es-ES"/>
        </w:rPr>
      </w:pPr>
    </w:p>
    <w:p w14:paraId="68DC70DA" w14:textId="77777777" w:rsidR="00A44A4E" w:rsidRPr="00567279" w:rsidRDefault="00A44A4E" w:rsidP="00A44A4E">
      <w:pPr>
        <w:jc w:val="both"/>
        <w:rPr>
          <w:rFonts w:ascii="Verdana" w:eastAsia="Calibri" w:hAnsi="Verdana" w:cs="Arial"/>
          <w:color w:val="000000"/>
          <w:sz w:val="20"/>
          <w:szCs w:val="20"/>
          <w:lang w:val="es-ES"/>
        </w:rPr>
      </w:pPr>
      <w:r w:rsidRPr="00567279">
        <w:rPr>
          <w:rFonts w:ascii="Verdana" w:eastAsia="Aptos" w:hAnsi="Verdana"/>
          <w:sz w:val="20"/>
          <w:szCs w:val="20"/>
        </w:rPr>
        <w:t xml:space="preserve">[…] </w:t>
      </w:r>
      <w:r w:rsidRPr="00567279">
        <w:rPr>
          <w:rFonts w:ascii="Verdana" w:eastAsia="Calibri" w:hAnsi="Verdana" w:cs="Arial"/>
          <w:color w:val="000000"/>
          <w:sz w:val="20"/>
          <w:szCs w:val="20"/>
          <w:lang w:val="es-ES"/>
        </w:rPr>
        <w:t xml:space="preserve">de acuerdo con lo establecido en el artículo 2.2.1.2.3.1.12 ibidem, regula la suficiencia de la garantía de cumplimiento, la garantía de cumplimiento debe tener una vigencia mínima hasta la liquidación del contrato. En ese sentido, el amparo cubre tanto el plazo de ejecución como el plazo de vigencia del contrato. </w:t>
      </w:r>
    </w:p>
    <w:p w14:paraId="6BE240A5" w14:textId="77777777" w:rsidR="00A44A4E" w:rsidRPr="00567279" w:rsidRDefault="00A44A4E" w:rsidP="00A44A4E">
      <w:pPr>
        <w:jc w:val="both"/>
        <w:rPr>
          <w:rFonts w:ascii="Verdana" w:eastAsia="Calibri" w:hAnsi="Verdana" w:cs="Arial"/>
          <w:color w:val="000000"/>
          <w:sz w:val="20"/>
          <w:szCs w:val="20"/>
          <w:lang w:val="es-ES"/>
        </w:rPr>
      </w:pPr>
    </w:p>
    <w:p w14:paraId="61D6F7E5" w14:textId="77777777" w:rsidR="00A44A4E" w:rsidRPr="000D0E36" w:rsidRDefault="00A44A4E" w:rsidP="00A44A4E">
      <w:pPr>
        <w:jc w:val="both"/>
        <w:rPr>
          <w:rFonts w:ascii="Verdana" w:eastAsia="Calibri" w:hAnsi="Verdana" w:cs="Arial"/>
          <w:color w:val="000000"/>
          <w:sz w:val="22"/>
          <w:szCs w:val="22"/>
          <w:lang w:val="es-ES"/>
        </w:rPr>
      </w:pPr>
      <w:r w:rsidRPr="00567279">
        <w:rPr>
          <w:rFonts w:ascii="Verdana" w:eastAsia="Aptos" w:hAnsi="Verdana"/>
          <w:sz w:val="20"/>
          <w:szCs w:val="20"/>
        </w:rPr>
        <w:t xml:space="preserve">[…] </w:t>
      </w:r>
      <w:r w:rsidRPr="00567279">
        <w:rPr>
          <w:rFonts w:ascii="Verdana" w:eastAsia="Calibri" w:hAnsi="Verdana" w:cs="Arial"/>
          <w:color w:val="000000"/>
          <w:sz w:val="20"/>
          <w:szCs w:val="20"/>
          <w:lang w:val="es-ES"/>
        </w:rPr>
        <w:t>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w:t>
      </w:r>
      <w:r>
        <w:rPr>
          <w:rFonts w:ascii="Verdana" w:eastAsia="Calibri" w:hAnsi="Verdana" w:cs="Arial"/>
          <w:color w:val="000000"/>
          <w:sz w:val="22"/>
          <w:szCs w:val="22"/>
          <w:lang w:val="es-ES"/>
        </w:rPr>
        <w:t>.</w:t>
      </w:r>
    </w:p>
    <w:p w14:paraId="0EF0F312" w14:textId="77777777" w:rsidR="00A44A4E" w:rsidRPr="000D0E36" w:rsidRDefault="00A44A4E" w:rsidP="00A44A4E">
      <w:pPr>
        <w:jc w:val="both"/>
        <w:rPr>
          <w:rFonts w:ascii="Verdana" w:eastAsia="Calibri" w:hAnsi="Verdana" w:cs="Arial"/>
          <w:b/>
          <w:color w:val="000000"/>
          <w:sz w:val="22"/>
          <w:szCs w:val="22"/>
          <w:lang w:val="es-ES"/>
        </w:rPr>
      </w:pPr>
    </w:p>
    <w:p w14:paraId="4CA9BC13" w14:textId="77777777" w:rsidR="00A44A4E" w:rsidRPr="00567279" w:rsidRDefault="00A44A4E" w:rsidP="00A44A4E">
      <w:pPr>
        <w:jc w:val="both"/>
        <w:rPr>
          <w:rFonts w:ascii="Verdana" w:eastAsia="Calibri" w:hAnsi="Verdana" w:cs="Arial"/>
          <w:b/>
          <w:bCs/>
          <w:sz w:val="22"/>
          <w:szCs w:val="22"/>
          <w:lang w:val="es-ES" w:eastAsia="es-ES"/>
        </w:rPr>
      </w:pPr>
      <w:r w:rsidRPr="00567279">
        <w:rPr>
          <w:rFonts w:ascii="Verdana" w:eastAsia="Calibri" w:hAnsi="Verdana" w:cs="Arial"/>
          <w:b/>
          <w:bCs/>
          <w:sz w:val="22"/>
          <w:szCs w:val="22"/>
          <w:lang w:val="es-ES" w:eastAsia="es-ES"/>
        </w:rPr>
        <w:t>GARANTÍA DE CUMPLIMIENTO – Vigencia – Liquidación del contrato – Falta de ampliación</w:t>
      </w:r>
    </w:p>
    <w:p w14:paraId="26A10A22" w14:textId="77777777" w:rsidR="00A44A4E" w:rsidRPr="000D0E36" w:rsidRDefault="00A44A4E" w:rsidP="00A44A4E">
      <w:pPr>
        <w:jc w:val="both"/>
        <w:rPr>
          <w:rFonts w:ascii="Verdana" w:eastAsia="Aptos" w:hAnsi="Verdana"/>
          <w:sz w:val="22"/>
          <w:szCs w:val="22"/>
        </w:rPr>
      </w:pPr>
    </w:p>
    <w:p w14:paraId="0B0E7D0B" w14:textId="77777777" w:rsidR="00A44A4E" w:rsidRPr="00567279" w:rsidRDefault="00A44A4E" w:rsidP="00A44A4E">
      <w:pPr>
        <w:jc w:val="both"/>
        <w:rPr>
          <w:rFonts w:ascii="Verdana" w:eastAsia="Calibri" w:hAnsi="Verdana" w:cs="Arial"/>
          <w:color w:val="000000"/>
          <w:sz w:val="20"/>
          <w:szCs w:val="20"/>
          <w:lang w:val="es-ES"/>
        </w:rPr>
      </w:pPr>
      <w:r w:rsidRPr="00567279">
        <w:rPr>
          <w:rFonts w:ascii="Verdana" w:eastAsia="Calibri" w:hAnsi="Verdana" w:cs="Arial"/>
          <w:color w:val="000000"/>
          <w:sz w:val="20"/>
          <w:szCs w:val="20"/>
          <w:lang w:val="es-ES"/>
        </w:rPr>
        <w:t>En síntesis, la Entidad Estatal tiene el deber de exigir que la garantía de cumplimiento permanezca vigente hasta la liquidación del contrato; sin embargo, la falta de ampliación de dicha garantía no se encuentra prevista expresamente como una circunstancia que, por sí sola, elimine la facultad o el deber de liquidar el contrato. La procedencia de la liquidación y las medidas a adoptar deberán determinarse a partir de las circunstancias particulares del caso concreto y de los riesgos jurídicos y contractuales identificados por la entidad.</w:t>
      </w:r>
    </w:p>
    <w:p w14:paraId="45DFB56F" w14:textId="77777777" w:rsidR="00A44A4E" w:rsidRPr="000D0E36" w:rsidRDefault="00A44A4E" w:rsidP="00A44A4E">
      <w:pPr>
        <w:jc w:val="both"/>
        <w:rPr>
          <w:rFonts w:ascii="Verdana" w:eastAsia="Aptos" w:hAnsi="Verdana"/>
          <w:sz w:val="22"/>
          <w:szCs w:val="22"/>
        </w:rPr>
      </w:pPr>
    </w:p>
    <w:p w14:paraId="32404422" w14:textId="77777777" w:rsidR="00A44A4E" w:rsidRPr="000D0E36" w:rsidRDefault="00A44A4E" w:rsidP="00A44A4E">
      <w:pPr>
        <w:jc w:val="both"/>
        <w:rPr>
          <w:rFonts w:ascii="Verdana" w:eastAsia="Aptos" w:hAnsi="Verdana"/>
          <w:sz w:val="22"/>
          <w:szCs w:val="22"/>
        </w:rPr>
      </w:pPr>
    </w:p>
    <w:p w14:paraId="668299E6" w14:textId="77777777" w:rsidR="00A44A4E" w:rsidRPr="000D0E36" w:rsidRDefault="00A44A4E" w:rsidP="00A44A4E">
      <w:pPr>
        <w:jc w:val="both"/>
        <w:rPr>
          <w:rFonts w:ascii="Verdana" w:eastAsia="Aptos" w:hAnsi="Verdana"/>
          <w:sz w:val="22"/>
          <w:szCs w:val="22"/>
        </w:rPr>
      </w:pPr>
    </w:p>
    <w:p w14:paraId="3B570CAF" w14:textId="77777777" w:rsidR="00A44A4E" w:rsidRPr="000D0E36" w:rsidRDefault="00A44A4E" w:rsidP="00A44A4E">
      <w:pPr>
        <w:jc w:val="both"/>
        <w:rPr>
          <w:rFonts w:ascii="Verdana" w:eastAsia="Aptos" w:hAnsi="Verdana"/>
          <w:sz w:val="22"/>
          <w:szCs w:val="22"/>
        </w:rPr>
      </w:pPr>
    </w:p>
    <w:p w14:paraId="158E6048" w14:textId="77777777" w:rsidR="00A44A4E" w:rsidRPr="000D0E36" w:rsidRDefault="00A44A4E" w:rsidP="00A44A4E">
      <w:pPr>
        <w:jc w:val="both"/>
        <w:rPr>
          <w:rFonts w:ascii="Verdana" w:eastAsia="Aptos" w:hAnsi="Verdana"/>
          <w:sz w:val="22"/>
          <w:szCs w:val="22"/>
        </w:rPr>
      </w:pPr>
    </w:p>
    <w:p w14:paraId="1210614E" w14:textId="77777777" w:rsidR="00A44A4E" w:rsidRPr="000D0E36" w:rsidRDefault="00A44A4E" w:rsidP="00A44A4E">
      <w:pPr>
        <w:jc w:val="both"/>
        <w:rPr>
          <w:rFonts w:ascii="Verdana" w:eastAsia="Aptos" w:hAnsi="Verdana"/>
          <w:sz w:val="22"/>
          <w:szCs w:val="22"/>
        </w:rPr>
      </w:pPr>
    </w:p>
    <w:p w14:paraId="1971BB30" w14:textId="77777777" w:rsidR="00A44A4E" w:rsidRPr="000D0E36" w:rsidRDefault="00A44A4E" w:rsidP="00A44A4E">
      <w:pPr>
        <w:jc w:val="both"/>
        <w:rPr>
          <w:rFonts w:ascii="Verdana" w:eastAsia="Aptos" w:hAnsi="Verdana"/>
          <w:sz w:val="22"/>
          <w:szCs w:val="22"/>
        </w:rPr>
      </w:pPr>
    </w:p>
    <w:p w14:paraId="3B26EFB6" w14:textId="77777777" w:rsidR="00A44A4E" w:rsidRPr="000D0E36" w:rsidRDefault="00A44A4E" w:rsidP="00A44A4E">
      <w:pPr>
        <w:jc w:val="both"/>
        <w:rPr>
          <w:rFonts w:ascii="Verdana" w:eastAsia="Aptos" w:hAnsi="Verdana"/>
          <w:sz w:val="22"/>
          <w:szCs w:val="22"/>
        </w:rPr>
      </w:pPr>
    </w:p>
    <w:p w14:paraId="5FC6F9B3" w14:textId="77777777" w:rsidR="00A44A4E" w:rsidRPr="000D0E36" w:rsidRDefault="00A44A4E" w:rsidP="00A44A4E">
      <w:pPr>
        <w:jc w:val="both"/>
        <w:rPr>
          <w:rFonts w:ascii="Verdana" w:eastAsia="Aptos" w:hAnsi="Verdana"/>
          <w:sz w:val="22"/>
          <w:szCs w:val="22"/>
        </w:rPr>
      </w:pPr>
    </w:p>
    <w:p w14:paraId="6F662709" w14:textId="77777777" w:rsidR="00A44A4E" w:rsidRPr="000D0E36" w:rsidRDefault="00A44A4E" w:rsidP="00A44A4E">
      <w:pPr>
        <w:jc w:val="both"/>
        <w:rPr>
          <w:rFonts w:ascii="Verdana" w:eastAsia="Aptos" w:hAnsi="Verdana"/>
          <w:sz w:val="22"/>
          <w:szCs w:val="22"/>
        </w:rPr>
      </w:pPr>
    </w:p>
    <w:p w14:paraId="3CF46A66" w14:textId="107B248F" w:rsidR="00A44A4E" w:rsidRPr="000D0E36" w:rsidRDefault="00A44A4E" w:rsidP="00A44A4E">
      <w:pPr>
        <w:rPr>
          <w:rFonts w:ascii="Verdana" w:eastAsia="Geomanist Light" w:hAnsi="Verdana" w:cs="Arial"/>
          <w:sz w:val="22"/>
          <w:szCs w:val="22"/>
          <w:lang w:val="es-MX"/>
        </w:rPr>
      </w:pPr>
      <w:r w:rsidRPr="000D0E36">
        <w:rPr>
          <w:rFonts w:ascii="Verdana" w:eastAsia="Geomanist Light" w:hAnsi="Verdana" w:cs="Arial"/>
          <w:sz w:val="22"/>
          <w:szCs w:val="22"/>
          <w:lang w:val="es-MX"/>
        </w:rPr>
        <w:lastRenderedPageBreak/>
        <w:t>Bogotá D.C., </w:t>
      </w:r>
      <w:r w:rsidR="004175E2">
        <w:rPr>
          <w:rFonts w:ascii="Verdana" w:eastAsia="Geomanist Light" w:hAnsi="Verdana" w:cs="Arial"/>
          <w:sz w:val="22"/>
          <w:szCs w:val="22"/>
        </w:rPr>
        <w:t>26 octubre 2026</w:t>
      </w:r>
    </w:p>
    <w:p w14:paraId="07A294B7" w14:textId="396557BD" w:rsidR="00A44A4E" w:rsidRPr="000D0E36" w:rsidRDefault="00A44A4E" w:rsidP="00A44A4E">
      <w:pPr>
        <w:rPr>
          <w:rFonts w:ascii="Verdana" w:eastAsia="Calibri" w:hAnsi="Verdana" w:cs="Arial"/>
          <w:sz w:val="22"/>
          <w:szCs w:val="22"/>
          <w:lang w:val="es-ES"/>
        </w:rPr>
      </w:pPr>
    </w:p>
    <w:p w14:paraId="032FD2CD" w14:textId="5F363E7D" w:rsidR="00A44A4E" w:rsidRPr="000D0E36" w:rsidRDefault="004175E2" w:rsidP="00A44A4E">
      <w:pPr>
        <w:jc w:val="both"/>
        <w:rPr>
          <w:rFonts w:ascii="Verdana" w:eastAsia="Calibri" w:hAnsi="Verdana" w:cs="Arial"/>
          <w:sz w:val="22"/>
          <w:szCs w:val="22"/>
          <w:lang w:val="es-ES" w:eastAsia="es-ES"/>
        </w:rPr>
      </w:pPr>
      <w:r w:rsidRPr="004175E2">
        <w:rPr>
          <w:rFonts w:ascii="Verdana" w:eastAsia="Geomanist Light" w:hAnsi="Verdana" w:cs="Arial"/>
          <w:noProof/>
          <w:sz w:val="22"/>
          <w:szCs w:val="22"/>
        </w:rPr>
        <w:drawing>
          <wp:anchor distT="0" distB="0" distL="114300" distR="114300" simplePos="0" relativeHeight="251658240" behindDoc="1" locked="0" layoutInCell="1" allowOverlap="1" wp14:anchorId="47E033CC" wp14:editId="3F08389F">
            <wp:simplePos x="0" y="0"/>
            <wp:positionH relativeFrom="margin">
              <wp:align>right</wp:align>
            </wp:positionH>
            <wp:positionV relativeFrom="paragraph">
              <wp:posOffset>7473</wp:posOffset>
            </wp:positionV>
            <wp:extent cx="2503805" cy="694690"/>
            <wp:effectExtent l="0" t="0" r="0" b="0"/>
            <wp:wrapTight wrapText="bothSides">
              <wp:wrapPolygon edited="0">
                <wp:start x="0" y="0"/>
                <wp:lineTo x="0" y="20731"/>
                <wp:lineTo x="21364" y="20731"/>
                <wp:lineTo x="21364" y="0"/>
                <wp:lineTo x="0" y="0"/>
              </wp:wrapPolygon>
            </wp:wrapTight>
            <wp:docPr id="210938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3805" cy="694690"/>
                    </a:xfrm>
                    <a:prstGeom prst="rect">
                      <a:avLst/>
                    </a:prstGeom>
                    <a:noFill/>
                    <a:ln>
                      <a:noFill/>
                    </a:ln>
                  </pic:spPr>
                </pic:pic>
              </a:graphicData>
            </a:graphic>
          </wp:anchor>
        </w:drawing>
      </w:r>
      <w:r w:rsidR="00A44A4E" w:rsidRPr="000D0E36">
        <w:rPr>
          <w:rFonts w:ascii="Verdana" w:eastAsia="Calibri" w:hAnsi="Verdana" w:cs="Arial"/>
          <w:sz w:val="22"/>
          <w:szCs w:val="22"/>
          <w:lang w:val="es-ES" w:eastAsia="es-ES"/>
        </w:rPr>
        <w:t>Señor(a)</w:t>
      </w:r>
    </w:p>
    <w:p w14:paraId="5CB6BD4A" w14:textId="77777777" w:rsidR="00A44A4E" w:rsidRPr="000D0E36" w:rsidRDefault="00A44A4E" w:rsidP="00A44A4E">
      <w:pPr>
        <w:rPr>
          <w:rFonts w:ascii="Verdana" w:eastAsia="Calibri" w:hAnsi="Verdana" w:cs="Arial"/>
          <w:b/>
          <w:sz w:val="22"/>
          <w:szCs w:val="22"/>
          <w:lang w:val="es-ES" w:eastAsia="es-ES"/>
        </w:rPr>
      </w:pPr>
      <w:r w:rsidRPr="000D0E36">
        <w:rPr>
          <w:rFonts w:ascii="Verdana" w:eastAsia="Calibri" w:hAnsi="Verdana" w:cs="Arial"/>
          <w:b/>
          <w:sz w:val="22"/>
          <w:szCs w:val="22"/>
          <w:lang w:val="es-ES" w:eastAsia="es-ES"/>
        </w:rPr>
        <w:t>Anónimo (a)</w:t>
      </w:r>
    </w:p>
    <w:p w14:paraId="6988B046" w14:textId="77777777" w:rsidR="00A44A4E" w:rsidRPr="000D0E36" w:rsidRDefault="00A44A4E" w:rsidP="00A44A4E">
      <w:pPr>
        <w:rPr>
          <w:rFonts w:ascii="Verdana" w:hAnsi="Verdana"/>
          <w:sz w:val="22"/>
          <w:szCs w:val="22"/>
        </w:rPr>
      </w:pPr>
      <w:hyperlink r:id="rId11" w:history="1">
        <w:r w:rsidRPr="000D0E36">
          <w:rPr>
            <w:rStyle w:val="Hipervnculo"/>
            <w:rFonts w:ascii="Verdana" w:hAnsi="Verdana"/>
            <w:sz w:val="22"/>
            <w:szCs w:val="22"/>
          </w:rPr>
          <w:t>kitten1306@hotmail.com</w:t>
        </w:r>
      </w:hyperlink>
    </w:p>
    <w:p w14:paraId="3BDF6FF5" w14:textId="77777777" w:rsidR="00A44A4E" w:rsidRPr="000D0E36" w:rsidRDefault="00A44A4E" w:rsidP="00A44A4E">
      <w:pPr>
        <w:rPr>
          <w:rFonts w:ascii="Verdana" w:eastAsia="Calibri" w:hAnsi="Verdana" w:cs="Arial"/>
          <w:b/>
          <w:sz w:val="22"/>
          <w:szCs w:val="22"/>
          <w:lang w:val="es-ES" w:eastAsia="es-ES"/>
        </w:rPr>
      </w:pPr>
      <w:r w:rsidRPr="000D0E36">
        <w:rPr>
          <w:rFonts w:ascii="Verdana" w:eastAsia="Calibri" w:hAnsi="Verdana" w:cs="Arial"/>
          <w:sz w:val="22"/>
          <w:szCs w:val="22"/>
          <w:lang w:val="es-ES" w:eastAsia="es-ES"/>
        </w:rPr>
        <w:t>Ciudad</w:t>
      </w:r>
    </w:p>
    <w:p w14:paraId="05D6CD85" w14:textId="77777777" w:rsidR="00A44A4E" w:rsidRPr="000D0E36" w:rsidRDefault="00A44A4E" w:rsidP="00A44A4E">
      <w:pPr>
        <w:rPr>
          <w:rFonts w:ascii="Verdana" w:eastAsia="Calibri" w:hAnsi="Verdana" w:cs="Arial"/>
          <w:b/>
          <w:sz w:val="22"/>
          <w:szCs w:val="22"/>
          <w:lang w:val="es-ES_tradnl"/>
        </w:rPr>
      </w:pPr>
    </w:p>
    <w:p w14:paraId="1C970DAF" w14:textId="77777777" w:rsidR="00A44A4E" w:rsidRPr="000D0E36" w:rsidRDefault="00A44A4E" w:rsidP="00A44A4E">
      <w:pPr>
        <w:rPr>
          <w:rFonts w:ascii="Verdana" w:eastAsia="Calibri" w:hAnsi="Verdana" w:cs="Arial"/>
          <w:b/>
          <w:sz w:val="22"/>
          <w:szCs w:val="22"/>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44A4E" w:rsidRPr="00B54634" w14:paraId="0265A1DC" w14:textId="77777777" w:rsidTr="0074180E">
        <w:trPr>
          <w:trHeight w:val="170"/>
        </w:trPr>
        <w:tc>
          <w:tcPr>
            <w:tcW w:w="2689" w:type="dxa"/>
          </w:tcPr>
          <w:p w14:paraId="69F4A60C" w14:textId="77777777" w:rsidR="00A44A4E" w:rsidRPr="000D0E36" w:rsidRDefault="00A44A4E" w:rsidP="0074180E">
            <w:pPr>
              <w:jc w:val="both"/>
              <w:rPr>
                <w:rFonts w:ascii="Verdana" w:eastAsia="Calibri" w:hAnsi="Verdana" w:cs="Arial"/>
                <w:b/>
                <w:lang w:val="es-ES_tradnl"/>
              </w:rPr>
            </w:pPr>
          </w:p>
        </w:tc>
        <w:tc>
          <w:tcPr>
            <w:tcW w:w="6100" w:type="dxa"/>
          </w:tcPr>
          <w:p w14:paraId="69931264" w14:textId="77777777" w:rsidR="00A44A4E" w:rsidRPr="000D0E36" w:rsidRDefault="00A44A4E" w:rsidP="0074180E">
            <w:pPr>
              <w:jc w:val="both"/>
              <w:rPr>
                <w:rFonts w:ascii="Verdana" w:eastAsia="Calibri" w:hAnsi="Verdana" w:cs="Arial"/>
                <w:b/>
                <w:bCs/>
                <w:lang w:val="es-ES" w:eastAsia="es-ES"/>
              </w:rPr>
            </w:pPr>
            <w:r w:rsidRPr="000D0E36">
              <w:rPr>
                <w:rFonts w:ascii="Verdana" w:eastAsia="Calibri" w:hAnsi="Verdana" w:cs="Arial"/>
                <w:b/>
                <w:lang w:val="es-ES" w:eastAsia="es-ES"/>
              </w:rPr>
              <w:t>Concepto C-1523 de 2026</w:t>
            </w:r>
          </w:p>
          <w:p w14:paraId="4A358615" w14:textId="77777777" w:rsidR="00A44A4E" w:rsidRPr="000D0E36" w:rsidRDefault="00A44A4E" w:rsidP="0074180E">
            <w:pPr>
              <w:jc w:val="both"/>
              <w:rPr>
                <w:rFonts w:ascii="Verdana" w:eastAsia="Calibri" w:hAnsi="Verdana" w:cs="Arial"/>
                <w:b/>
                <w:lang w:val="es-ES" w:eastAsia="es-ES"/>
              </w:rPr>
            </w:pPr>
          </w:p>
        </w:tc>
      </w:tr>
      <w:tr w:rsidR="00A44A4E" w:rsidRPr="00B54634" w14:paraId="293247C5" w14:textId="77777777" w:rsidTr="0074180E">
        <w:trPr>
          <w:trHeight w:val="884"/>
        </w:trPr>
        <w:tc>
          <w:tcPr>
            <w:tcW w:w="2689" w:type="dxa"/>
          </w:tcPr>
          <w:p w14:paraId="0FFF1A50" w14:textId="77777777" w:rsidR="00A44A4E" w:rsidRPr="000D0E36" w:rsidRDefault="00A44A4E" w:rsidP="0074180E">
            <w:pPr>
              <w:jc w:val="both"/>
              <w:rPr>
                <w:rFonts w:ascii="Verdana" w:eastAsia="Calibri" w:hAnsi="Verdana" w:cs="Arial"/>
                <w:lang w:val="es-ES_tradnl"/>
              </w:rPr>
            </w:pPr>
            <w:r w:rsidRPr="000D0E36">
              <w:rPr>
                <w:rFonts w:ascii="Verdana" w:eastAsia="Calibri" w:hAnsi="Verdana" w:cs="Arial"/>
                <w:b/>
                <w:lang w:val="es-ES_tradnl"/>
              </w:rPr>
              <w:t>Temas:</w:t>
            </w:r>
            <w:r w:rsidRPr="000D0E36">
              <w:rPr>
                <w:rFonts w:ascii="Verdana" w:eastAsia="Calibri" w:hAnsi="Verdana" w:cs="Arial"/>
                <w:lang w:val="es-ES_tradnl"/>
              </w:rPr>
              <w:t xml:space="preserve">                   </w:t>
            </w:r>
          </w:p>
        </w:tc>
        <w:tc>
          <w:tcPr>
            <w:tcW w:w="6100" w:type="dxa"/>
          </w:tcPr>
          <w:p w14:paraId="48A13B0B" w14:textId="77777777" w:rsidR="00A44A4E" w:rsidRPr="000D0E36" w:rsidRDefault="00A44A4E" w:rsidP="0074180E">
            <w:pPr>
              <w:jc w:val="both"/>
              <w:rPr>
                <w:rFonts w:ascii="Verdana" w:eastAsia="Calibri" w:hAnsi="Verdana" w:cs="Arial"/>
                <w:lang w:val="es-ES" w:eastAsia="es-ES"/>
              </w:rPr>
            </w:pPr>
            <w:r w:rsidRPr="000D0E36">
              <w:rPr>
                <w:rFonts w:ascii="Verdana" w:eastAsia="Calibri" w:hAnsi="Verdana" w:cs="Arial"/>
                <w:lang w:val="es-ES" w:eastAsia="es-ES"/>
              </w:rPr>
              <w:t xml:space="preserve">GARANTÍAS CONTRACTUALES – Exigencia – Obligación del proponente – Obligación del contratista – Finalidad / GARANTÍA DE CUMPLIMIENTO – Vigencia – Liquidación del contrato </w:t>
            </w:r>
            <w:r w:rsidRPr="00FC4EE2">
              <w:rPr>
                <w:rFonts w:ascii="Verdana" w:eastAsia="Calibri" w:hAnsi="Verdana" w:cs="Arial"/>
                <w:lang w:val="es-ES" w:eastAsia="es-ES"/>
              </w:rPr>
              <w:t xml:space="preserve">/ GARANTÍA DE CUMPLIMIENTO – Vigencia – Liquidación del contrato </w:t>
            </w:r>
            <w:r>
              <w:rPr>
                <w:rFonts w:ascii="Verdana" w:eastAsia="Calibri" w:hAnsi="Verdana" w:cs="Arial"/>
                <w:lang w:val="es-ES" w:eastAsia="es-ES"/>
              </w:rPr>
              <w:t>– Falta de ampliación</w:t>
            </w:r>
          </w:p>
          <w:p w14:paraId="6C62E684" w14:textId="77777777" w:rsidR="00A44A4E" w:rsidRPr="000D0E36" w:rsidRDefault="00A44A4E" w:rsidP="0074180E">
            <w:pPr>
              <w:jc w:val="both"/>
              <w:rPr>
                <w:rFonts w:ascii="Verdana" w:eastAsia="Calibri" w:hAnsi="Verdana" w:cs="Arial"/>
                <w:lang w:val="es-ES" w:eastAsia="es-ES"/>
              </w:rPr>
            </w:pPr>
          </w:p>
        </w:tc>
      </w:tr>
      <w:tr w:rsidR="00A44A4E" w:rsidRPr="00B54634" w14:paraId="4F7A6D57" w14:textId="77777777" w:rsidTr="0074180E">
        <w:tc>
          <w:tcPr>
            <w:tcW w:w="2689" w:type="dxa"/>
          </w:tcPr>
          <w:p w14:paraId="08F8271D" w14:textId="77777777" w:rsidR="00A44A4E" w:rsidRPr="000D0E36" w:rsidRDefault="00A44A4E" w:rsidP="0074180E">
            <w:pPr>
              <w:jc w:val="both"/>
              <w:rPr>
                <w:rFonts w:ascii="Verdana" w:eastAsia="Calibri" w:hAnsi="Verdana" w:cs="Arial"/>
                <w:b/>
                <w:lang w:val="es-ES_tradnl"/>
              </w:rPr>
            </w:pPr>
            <w:r w:rsidRPr="000D0E36">
              <w:rPr>
                <w:rFonts w:ascii="Verdana" w:eastAsia="Calibri" w:hAnsi="Verdana" w:cs="Arial"/>
                <w:b/>
                <w:lang w:val="es-ES_tradnl"/>
              </w:rPr>
              <w:t>Radicación:</w:t>
            </w:r>
            <w:r w:rsidRPr="000D0E36">
              <w:rPr>
                <w:rFonts w:ascii="Verdana" w:eastAsia="Calibri" w:hAnsi="Verdana" w:cs="Arial"/>
                <w:lang w:val="es-ES_tradnl"/>
              </w:rPr>
              <w:t xml:space="preserve">               </w:t>
            </w:r>
          </w:p>
        </w:tc>
        <w:tc>
          <w:tcPr>
            <w:tcW w:w="6100" w:type="dxa"/>
          </w:tcPr>
          <w:p w14:paraId="33012F25" w14:textId="77777777" w:rsidR="00A44A4E" w:rsidRPr="000D0E36" w:rsidRDefault="00A44A4E" w:rsidP="0074180E">
            <w:pPr>
              <w:jc w:val="both"/>
              <w:rPr>
                <w:rFonts w:ascii="Verdana" w:eastAsia="Calibri" w:hAnsi="Verdana" w:cs="Arial"/>
                <w:lang w:val="es-ES_tradnl"/>
              </w:rPr>
            </w:pPr>
            <w:r w:rsidRPr="000D0E36">
              <w:rPr>
                <w:rFonts w:ascii="Verdana" w:eastAsia="Calibri" w:hAnsi="Verdana" w:cs="Arial"/>
                <w:lang w:val="es-ES_tradnl"/>
              </w:rPr>
              <w:t>Respuesta a consulta No. 1_2026_09_28_012996</w:t>
            </w:r>
          </w:p>
        </w:tc>
      </w:tr>
    </w:tbl>
    <w:p w14:paraId="26C186B6" w14:textId="77777777" w:rsidR="00A44A4E" w:rsidRPr="000D0E36" w:rsidRDefault="00A44A4E" w:rsidP="00A44A4E">
      <w:pPr>
        <w:jc w:val="both"/>
        <w:rPr>
          <w:rFonts w:ascii="Verdana" w:eastAsia="Calibri" w:hAnsi="Verdana" w:cs="Arial"/>
          <w:sz w:val="22"/>
          <w:szCs w:val="22"/>
          <w:lang w:val="es-ES_tradnl"/>
        </w:rPr>
      </w:pPr>
    </w:p>
    <w:p w14:paraId="6959C15E" w14:textId="77777777" w:rsidR="00A44A4E" w:rsidRPr="000D0E36" w:rsidRDefault="00A44A4E" w:rsidP="00A44A4E">
      <w:pPr>
        <w:jc w:val="both"/>
        <w:rPr>
          <w:rFonts w:ascii="Verdana" w:eastAsia="Calibri" w:hAnsi="Verdana" w:cs="Arial"/>
          <w:sz w:val="22"/>
          <w:szCs w:val="22"/>
          <w:lang w:val="es-ES_tradnl"/>
        </w:rPr>
      </w:pPr>
    </w:p>
    <w:p w14:paraId="335C1767" w14:textId="77777777" w:rsidR="00A44A4E" w:rsidRPr="000D0E36" w:rsidRDefault="00A44A4E" w:rsidP="00A44A4E">
      <w:pPr>
        <w:spacing w:line="276" w:lineRule="auto"/>
        <w:jc w:val="both"/>
        <w:rPr>
          <w:rFonts w:ascii="Verdana" w:eastAsia="Calibri" w:hAnsi="Verdana" w:cs="Arial"/>
          <w:sz w:val="22"/>
          <w:szCs w:val="22"/>
          <w:lang w:val="es-ES" w:eastAsia="es-ES"/>
        </w:rPr>
      </w:pPr>
      <w:r w:rsidRPr="000D0E36">
        <w:rPr>
          <w:rFonts w:ascii="Verdana" w:eastAsia="Calibri" w:hAnsi="Verdana" w:cs="Arial"/>
          <w:sz w:val="22"/>
          <w:szCs w:val="22"/>
          <w:lang w:val="es-ES" w:eastAsia="es-ES"/>
        </w:rPr>
        <w:t>Estimado (a) señor (a):</w:t>
      </w:r>
    </w:p>
    <w:p w14:paraId="6EFAA59A" w14:textId="77777777" w:rsidR="00A44A4E" w:rsidRPr="000D0E36" w:rsidRDefault="00A44A4E" w:rsidP="00A44A4E">
      <w:pPr>
        <w:tabs>
          <w:tab w:val="left" w:pos="3768"/>
        </w:tabs>
        <w:spacing w:line="276" w:lineRule="auto"/>
        <w:jc w:val="both"/>
        <w:rPr>
          <w:rFonts w:ascii="Verdana" w:eastAsia="Calibri" w:hAnsi="Verdana" w:cs="Arial"/>
          <w:sz w:val="22"/>
          <w:szCs w:val="22"/>
          <w:lang w:val="es-ES" w:eastAsia="es-ES"/>
        </w:rPr>
      </w:pPr>
      <w:r w:rsidRPr="000D0E36">
        <w:rPr>
          <w:rFonts w:ascii="Verdana" w:eastAsia="Calibri" w:hAnsi="Verdana" w:cs="Arial"/>
          <w:sz w:val="22"/>
          <w:szCs w:val="22"/>
          <w:lang w:val="es-ES" w:eastAsia="es-ES"/>
        </w:rPr>
        <w:tab/>
      </w:r>
    </w:p>
    <w:p w14:paraId="20B00753" w14:textId="77777777" w:rsidR="00A44A4E" w:rsidRPr="000D0E36" w:rsidRDefault="00A44A4E" w:rsidP="00A44A4E">
      <w:pPr>
        <w:spacing w:line="276" w:lineRule="auto"/>
        <w:jc w:val="both"/>
        <w:rPr>
          <w:rFonts w:ascii="Verdana" w:eastAsia="Calibri" w:hAnsi="Verdana" w:cs="Arial"/>
          <w:sz w:val="22"/>
          <w:szCs w:val="22"/>
          <w:lang w:val="es-ES" w:eastAsia="es-ES"/>
        </w:rPr>
      </w:pPr>
      <w:r w:rsidRPr="000D0E36">
        <w:rPr>
          <w:rFonts w:ascii="Verdana" w:eastAsia="Calibri" w:hAnsi="Verdana" w:cs="Arial"/>
          <w:sz w:val="22"/>
          <w:szCs w:val="22"/>
          <w:lang w:val="es-ES" w:eastAsia="es-ES"/>
        </w:rPr>
        <w:t>En ejercicio de la competencia otorgada por los artículos 3, numeral 5º, y 11, numeral 8º, del Decreto Ley 4170 de 2011,</w:t>
      </w:r>
      <w:r w:rsidRPr="000D0E36">
        <w:rPr>
          <w:rFonts w:ascii="Verdana" w:eastAsia="Arial MT" w:hAnsi="Verdana" w:cs="Arial MT"/>
          <w:sz w:val="22"/>
          <w:szCs w:val="22"/>
          <w:lang w:val="es-ES" w:eastAsia="es-ES"/>
        </w:rPr>
        <w:t xml:space="preserve"> </w:t>
      </w:r>
      <w:r w:rsidRPr="000D0E36">
        <w:rPr>
          <w:rFonts w:ascii="Verdana" w:eastAsia="Aptos" w:hAnsi="Verdana" w:cs="Arial"/>
          <w:sz w:val="22"/>
          <w:szCs w:val="22"/>
        </w:rPr>
        <w:t xml:space="preserve">así como lo establecido en el artículo 4 de la Resolución 1707 de 2018 expedida por esta Entidad, </w:t>
      </w:r>
      <w:r w:rsidRPr="000D0E36">
        <w:rPr>
          <w:rFonts w:ascii="Verdana" w:eastAsia="Calibri" w:hAnsi="Verdana" w:cs="Arial"/>
          <w:sz w:val="22"/>
          <w:szCs w:val="22"/>
          <w:lang w:val="es-ES" w:eastAsia="es-ES"/>
        </w:rPr>
        <w:t xml:space="preserve">la Agencia Nacional de Contratación Pública – Colombia Compra Eficiente– responde su solicitud de consulta del 28 de septiembre de 2026, en las que realiza las siguientes preguntas: </w:t>
      </w:r>
    </w:p>
    <w:p w14:paraId="1C15B0BB" w14:textId="77777777" w:rsidR="00A44A4E" w:rsidRPr="000D0E36" w:rsidRDefault="00A44A4E" w:rsidP="00A44A4E">
      <w:pPr>
        <w:tabs>
          <w:tab w:val="left" w:pos="142"/>
          <w:tab w:val="left" w:pos="284"/>
        </w:tabs>
        <w:spacing w:line="276" w:lineRule="auto"/>
        <w:contextualSpacing/>
        <w:jc w:val="both"/>
        <w:rPr>
          <w:rFonts w:ascii="Verdana" w:eastAsia="Century Gothic" w:hAnsi="Verdana" w:cs="Century Gothic"/>
          <w:b/>
          <w:sz w:val="22"/>
          <w:szCs w:val="22"/>
          <w:lang w:val="es-ES"/>
        </w:rPr>
      </w:pPr>
    </w:p>
    <w:p w14:paraId="0729A48B" w14:textId="77777777" w:rsidR="00A44A4E" w:rsidRPr="000D0E36" w:rsidRDefault="00A44A4E" w:rsidP="00A44A4E">
      <w:pPr>
        <w:tabs>
          <w:tab w:val="left" w:pos="709"/>
        </w:tabs>
        <w:ind w:left="709" w:right="709"/>
        <w:jc w:val="both"/>
        <w:rPr>
          <w:rFonts w:ascii="Verdana" w:eastAsia="Calibri" w:hAnsi="Verdana" w:cs="Arial"/>
          <w:sz w:val="22"/>
          <w:szCs w:val="22"/>
        </w:rPr>
      </w:pPr>
      <w:r w:rsidRPr="000D0E36">
        <w:rPr>
          <w:rFonts w:ascii="Verdana" w:eastAsia="Calibri" w:hAnsi="Verdana" w:cs="Arial"/>
          <w:sz w:val="22"/>
          <w:szCs w:val="22"/>
          <w:lang w:val="es-MX"/>
        </w:rPr>
        <w:t>“</w:t>
      </w:r>
      <w:r w:rsidRPr="000D0E36">
        <w:rPr>
          <w:rFonts w:ascii="Verdana" w:eastAsia="Calibri" w:hAnsi="Verdana" w:cs="Arial"/>
          <w:sz w:val="22"/>
          <w:szCs w:val="22"/>
        </w:rPr>
        <w:t>1. ¿La falta de ampliación de la garantía de cumplimiento para cubrir el período de liquidación impide, por sí misma, adelantar y/o suscribir la liquidación del contrato, cuando se encuentra debidamente acreditado el cumplimiento de las obligaciones contractuales a cargo del contratista y no se evidencian incumplimientos atribuibles a este?</w:t>
      </w:r>
    </w:p>
    <w:p w14:paraId="639A1B39" w14:textId="77777777" w:rsidR="00A44A4E" w:rsidRPr="000D0E36" w:rsidRDefault="00A44A4E" w:rsidP="00A44A4E">
      <w:pPr>
        <w:tabs>
          <w:tab w:val="left" w:pos="709"/>
        </w:tabs>
        <w:ind w:left="709" w:right="709"/>
        <w:jc w:val="both"/>
        <w:rPr>
          <w:rFonts w:ascii="Verdana" w:eastAsia="Calibri" w:hAnsi="Verdana" w:cs="Arial"/>
          <w:sz w:val="22"/>
          <w:szCs w:val="22"/>
        </w:rPr>
      </w:pPr>
    </w:p>
    <w:p w14:paraId="2A13326C" w14:textId="77777777" w:rsidR="00A44A4E" w:rsidRPr="000D0E36" w:rsidRDefault="00A44A4E" w:rsidP="00A44A4E">
      <w:pPr>
        <w:tabs>
          <w:tab w:val="left" w:pos="709"/>
        </w:tabs>
        <w:ind w:left="709" w:right="709"/>
        <w:jc w:val="both"/>
        <w:rPr>
          <w:rFonts w:ascii="Verdana" w:eastAsia="Calibri" w:hAnsi="Verdana" w:cs="Arial"/>
          <w:sz w:val="22"/>
          <w:szCs w:val="22"/>
        </w:rPr>
      </w:pPr>
      <w:r w:rsidRPr="000D0E36">
        <w:rPr>
          <w:rFonts w:ascii="Verdana" w:eastAsia="Calibri" w:hAnsi="Verdana" w:cs="Arial"/>
          <w:sz w:val="22"/>
          <w:szCs w:val="22"/>
        </w:rPr>
        <w:t xml:space="preserve">2. En el supuesto señalado, ¿la entidad estatal se encuentra obligada a exigir al contratista la ampliación de la garantía de cumplimiento como condición previa para efectuar la liquidación del contrato, aun cuando las obligaciones contractuales fueron </w:t>
      </w:r>
      <w:r w:rsidRPr="000D0E36">
        <w:rPr>
          <w:rFonts w:ascii="Verdana" w:eastAsia="Calibri" w:hAnsi="Verdana" w:cs="Arial"/>
          <w:sz w:val="22"/>
          <w:szCs w:val="22"/>
        </w:rPr>
        <w:lastRenderedPageBreak/>
        <w:t>ejecutadas satisfactoriamente y no existen situaciones pendientes que puedan configurar un incumplimiento?</w:t>
      </w:r>
    </w:p>
    <w:p w14:paraId="3D823579" w14:textId="77777777" w:rsidR="00A44A4E" w:rsidRPr="000D0E36" w:rsidRDefault="00A44A4E" w:rsidP="00A44A4E">
      <w:pPr>
        <w:tabs>
          <w:tab w:val="left" w:pos="709"/>
        </w:tabs>
        <w:ind w:left="709" w:right="709"/>
        <w:jc w:val="both"/>
        <w:rPr>
          <w:rFonts w:ascii="Verdana" w:eastAsia="Calibri" w:hAnsi="Verdana" w:cs="Arial"/>
          <w:sz w:val="22"/>
          <w:szCs w:val="22"/>
        </w:rPr>
      </w:pPr>
    </w:p>
    <w:p w14:paraId="474A2D70" w14:textId="77777777" w:rsidR="00A44A4E" w:rsidRPr="000D0E36" w:rsidRDefault="00A44A4E" w:rsidP="00A44A4E">
      <w:pPr>
        <w:tabs>
          <w:tab w:val="left" w:pos="709"/>
        </w:tabs>
        <w:ind w:left="709" w:right="709"/>
        <w:jc w:val="both"/>
        <w:rPr>
          <w:rFonts w:ascii="Verdana" w:eastAsia="Calibri" w:hAnsi="Verdana" w:cs="Arial"/>
          <w:sz w:val="22"/>
          <w:szCs w:val="22"/>
        </w:rPr>
      </w:pPr>
      <w:r w:rsidRPr="000D0E36">
        <w:rPr>
          <w:rFonts w:ascii="Verdana" w:eastAsia="Calibri" w:hAnsi="Verdana" w:cs="Arial"/>
          <w:sz w:val="22"/>
          <w:szCs w:val="22"/>
        </w:rPr>
        <w:t>3. En caso de que el contratista no gestione o no acceda a ampliar la garantía de cumplimiento para cubrir el período de liquidación, ¿puede la entidad continuar con el trámite y suscripción de la liquidación, dejando constancia expresa en el acta de que</w:t>
      </w:r>
    </w:p>
    <w:p w14:paraId="03BDEA4C" w14:textId="77777777" w:rsidR="00A44A4E" w:rsidRPr="000D0E36" w:rsidRDefault="00A44A4E" w:rsidP="00A44A4E">
      <w:pPr>
        <w:tabs>
          <w:tab w:val="left" w:pos="709"/>
        </w:tabs>
        <w:ind w:left="709" w:right="709"/>
        <w:jc w:val="both"/>
        <w:rPr>
          <w:rFonts w:ascii="Verdana" w:eastAsia="Calibri" w:hAnsi="Verdana" w:cs="Arial"/>
          <w:sz w:val="22"/>
          <w:szCs w:val="22"/>
        </w:rPr>
      </w:pPr>
    </w:p>
    <w:p w14:paraId="27D21976" w14:textId="77777777" w:rsidR="00A44A4E" w:rsidRPr="000D0E36" w:rsidRDefault="00A44A4E" w:rsidP="00A44A4E">
      <w:pPr>
        <w:pStyle w:val="Prrafodelista"/>
        <w:numPr>
          <w:ilvl w:val="0"/>
          <w:numId w:val="2"/>
        </w:numPr>
        <w:tabs>
          <w:tab w:val="left" w:pos="709"/>
        </w:tabs>
        <w:ind w:left="1069" w:right="709"/>
        <w:jc w:val="both"/>
        <w:rPr>
          <w:rFonts w:ascii="Verdana" w:eastAsia="Calibri" w:hAnsi="Verdana" w:cs="Arial"/>
          <w:sz w:val="22"/>
          <w:szCs w:val="22"/>
        </w:rPr>
      </w:pPr>
      <w:r w:rsidRPr="000D0E36">
        <w:rPr>
          <w:rFonts w:ascii="Verdana" w:eastAsia="Calibri" w:hAnsi="Verdana" w:cs="Arial"/>
          <w:sz w:val="22"/>
          <w:szCs w:val="22"/>
        </w:rPr>
        <w:t>el plazo de ejecución contractual finalizó;</w:t>
      </w:r>
    </w:p>
    <w:p w14:paraId="42279205" w14:textId="77777777" w:rsidR="00A44A4E" w:rsidRPr="000D0E36" w:rsidRDefault="00A44A4E" w:rsidP="00A44A4E">
      <w:pPr>
        <w:pStyle w:val="Prrafodelista"/>
        <w:numPr>
          <w:ilvl w:val="0"/>
          <w:numId w:val="2"/>
        </w:numPr>
        <w:tabs>
          <w:tab w:val="left" w:pos="709"/>
        </w:tabs>
        <w:ind w:left="1069" w:right="709"/>
        <w:jc w:val="both"/>
        <w:rPr>
          <w:rFonts w:ascii="Verdana" w:eastAsia="Calibri" w:hAnsi="Verdana" w:cs="Arial"/>
          <w:sz w:val="22"/>
          <w:szCs w:val="22"/>
        </w:rPr>
      </w:pPr>
      <w:r w:rsidRPr="000D0E36">
        <w:rPr>
          <w:rFonts w:ascii="Verdana" w:eastAsia="Calibri" w:hAnsi="Verdana" w:cs="Arial"/>
          <w:sz w:val="22"/>
          <w:szCs w:val="22"/>
        </w:rPr>
        <w:t>las obligaciones contractuales fueron ejecutadas y recibidas a satisfacción, según corresponda;</w:t>
      </w:r>
    </w:p>
    <w:p w14:paraId="03198E9B" w14:textId="77777777" w:rsidR="00A44A4E" w:rsidRPr="000D0E36" w:rsidRDefault="00A44A4E" w:rsidP="00A44A4E">
      <w:pPr>
        <w:pStyle w:val="Prrafodelista"/>
        <w:numPr>
          <w:ilvl w:val="0"/>
          <w:numId w:val="2"/>
        </w:numPr>
        <w:tabs>
          <w:tab w:val="left" w:pos="709"/>
        </w:tabs>
        <w:ind w:left="1069" w:right="709"/>
        <w:jc w:val="both"/>
        <w:rPr>
          <w:rFonts w:ascii="Verdana" w:eastAsia="Calibri" w:hAnsi="Verdana" w:cs="Arial"/>
          <w:sz w:val="22"/>
          <w:szCs w:val="22"/>
        </w:rPr>
      </w:pPr>
      <w:r w:rsidRPr="000D0E36">
        <w:rPr>
          <w:rFonts w:ascii="Verdana" w:eastAsia="Calibri" w:hAnsi="Verdana" w:cs="Arial"/>
          <w:sz w:val="22"/>
          <w:szCs w:val="22"/>
        </w:rPr>
        <w:t>no se evidencian incumplimientos atribuibles al contratista; y</w:t>
      </w:r>
    </w:p>
    <w:p w14:paraId="06807A0C" w14:textId="77777777" w:rsidR="00A44A4E" w:rsidRPr="000D0E36" w:rsidRDefault="00A44A4E" w:rsidP="00A44A4E">
      <w:pPr>
        <w:pStyle w:val="Prrafodelista"/>
        <w:numPr>
          <w:ilvl w:val="0"/>
          <w:numId w:val="2"/>
        </w:numPr>
        <w:tabs>
          <w:tab w:val="left" w:pos="709"/>
        </w:tabs>
        <w:ind w:left="1069" w:right="709"/>
        <w:jc w:val="both"/>
        <w:rPr>
          <w:rFonts w:ascii="Verdana" w:eastAsia="Calibri" w:hAnsi="Verdana" w:cs="Arial"/>
          <w:sz w:val="22"/>
          <w:szCs w:val="22"/>
        </w:rPr>
      </w:pPr>
      <w:r w:rsidRPr="000D0E36">
        <w:rPr>
          <w:rFonts w:ascii="Verdana" w:eastAsia="Calibri" w:hAnsi="Verdana" w:cs="Arial"/>
          <w:sz w:val="22"/>
          <w:szCs w:val="22"/>
        </w:rPr>
        <w:t>la garantía de cumplimiento no fue ampliada para cubrir el período de liquidación.</w:t>
      </w:r>
    </w:p>
    <w:p w14:paraId="09D6D882" w14:textId="77777777" w:rsidR="00A44A4E" w:rsidRPr="000D0E36" w:rsidRDefault="00A44A4E" w:rsidP="00A44A4E">
      <w:pPr>
        <w:pStyle w:val="Prrafodelista"/>
        <w:tabs>
          <w:tab w:val="left" w:pos="709"/>
        </w:tabs>
        <w:ind w:left="709" w:right="709"/>
        <w:jc w:val="both"/>
        <w:rPr>
          <w:rFonts w:ascii="Verdana" w:eastAsia="Calibri" w:hAnsi="Verdana" w:cs="Arial"/>
          <w:sz w:val="22"/>
          <w:szCs w:val="22"/>
        </w:rPr>
      </w:pPr>
    </w:p>
    <w:p w14:paraId="123CBBE7" w14:textId="77777777" w:rsidR="00A44A4E" w:rsidRPr="000D0E36" w:rsidRDefault="00A44A4E" w:rsidP="00A44A4E">
      <w:pPr>
        <w:tabs>
          <w:tab w:val="left" w:pos="709"/>
        </w:tabs>
        <w:ind w:left="709" w:right="709"/>
        <w:jc w:val="both"/>
        <w:rPr>
          <w:rFonts w:ascii="Verdana" w:eastAsia="Calibri" w:hAnsi="Verdana" w:cs="Arial"/>
          <w:sz w:val="22"/>
          <w:szCs w:val="22"/>
          <w:lang w:val="es-MX"/>
        </w:rPr>
      </w:pPr>
      <w:r w:rsidRPr="000D0E36">
        <w:rPr>
          <w:rFonts w:ascii="Verdana" w:eastAsia="Calibri" w:hAnsi="Verdana" w:cs="Arial"/>
          <w:sz w:val="22"/>
          <w:szCs w:val="22"/>
        </w:rPr>
        <w:t>4. Finalmente, solicitamos precisar cuál es el alcance de la obligación de mantener vigente la garantía de cumplimiento durante la etapa de liquidación, particularmente frente a contratos en los que, una vez finalizado el plazo de ejecución, no existen obligaciones pendientes de cumplimiento ni incumplimientos atribuibles al contratista. (…)</w:t>
      </w:r>
      <w:r w:rsidRPr="000D0E36">
        <w:rPr>
          <w:rFonts w:ascii="Verdana" w:eastAsia="Calibri" w:hAnsi="Verdana" w:cs="Arial"/>
          <w:sz w:val="22"/>
          <w:szCs w:val="22"/>
          <w:lang w:val="es-MX"/>
        </w:rPr>
        <w:t>” [sic]</w:t>
      </w:r>
    </w:p>
    <w:p w14:paraId="3F01387B" w14:textId="77777777" w:rsidR="00A44A4E" w:rsidRPr="000D0E36" w:rsidRDefault="00A44A4E" w:rsidP="00A44A4E">
      <w:pPr>
        <w:tabs>
          <w:tab w:val="left" w:pos="142"/>
          <w:tab w:val="left" w:pos="284"/>
        </w:tabs>
        <w:spacing w:line="276" w:lineRule="auto"/>
        <w:contextualSpacing/>
        <w:jc w:val="both"/>
        <w:rPr>
          <w:rFonts w:ascii="Verdana" w:eastAsia="Century Gothic" w:hAnsi="Verdana" w:cs="Century Gothic"/>
          <w:b/>
          <w:sz w:val="22"/>
          <w:szCs w:val="22"/>
          <w:lang w:val="es-ES"/>
        </w:rPr>
      </w:pPr>
    </w:p>
    <w:p w14:paraId="2CE09609" w14:textId="77777777" w:rsidR="00A44A4E" w:rsidRPr="000D0E36" w:rsidRDefault="00A44A4E" w:rsidP="00A44A4E">
      <w:pPr>
        <w:spacing w:after="120" w:line="276" w:lineRule="auto"/>
        <w:ind w:firstLine="709"/>
        <w:jc w:val="both"/>
        <w:rPr>
          <w:rFonts w:ascii="Verdana" w:eastAsia="Calibri" w:hAnsi="Verdana" w:cs="Arial"/>
          <w:sz w:val="22"/>
          <w:szCs w:val="22"/>
          <w:lang w:val="es-ES_tradnl"/>
        </w:rPr>
      </w:pPr>
      <w:r w:rsidRPr="000D0E36">
        <w:rPr>
          <w:rFonts w:ascii="Verdana" w:eastAsia="Calibri" w:hAnsi="Verdana" w:cs="Arial"/>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D0E36">
        <w:rPr>
          <w:rFonts w:ascii="Verdana" w:eastAsia="Calibri" w:hAnsi="Verdana" w:cs="Arial"/>
          <w:sz w:val="22"/>
          <w:szCs w:val="22"/>
          <w:lang w:val="es-ES_tradnl"/>
        </w:rPr>
        <w:tab/>
      </w:r>
    </w:p>
    <w:p w14:paraId="3EE89875" w14:textId="77777777" w:rsidR="00A44A4E" w:rsidRPr="000D0E36" w:rsidRDefault="00A44A4E" w:rsidP="00A44A4E">
      <w:pPr>
        <w:spacing w:line="276" w:lineRule="auto"/>
        <w:ind w:firstLine="709"/>
        <w:jc w:val="both"/>
        <w:rPr>
          <w:rFonts w:ascii="Verdana" w:eastAsia="Calibri" w:hAnsi="Verdana" w:cs="Arial"/>
          <w:sz w:val="22"/>
          <w:szCs w:val="22"/>
          <w:lang w:val="es-ES" w:eastAsia="es-ES"/>
        </w:rPr>
      </w:pPr>
      <w:r w:rsidRPr="000D0E36">
        <w:rPr>
          <w:rFonts w:ascii="Verdana" w:eastAsia="Calibri" w:hAnsi="Verdana" w:cs="Arial"/>
          <w:sz w:val="22"/>
          <w:szCs w:val="22"/>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w:t>
      </w:r>
      <w:r w:rsidRPr="000D0E36">
        <w:rPr>
          <w:rFonts w:ascii="Verdana" w:eastAsia="Calibri" w:hAnsi="Verdana" w:cs="Arial"/>
          <w:sz w:val="22"/>
          <w:szCs w:val="22"/>
          <w:lang w:val="es-ES" w:eastAsia="es-ES"/>
        </w:rPr>
        <w:lastRenderedPageBreak/>
        <w:t xml:space="preserve">sobre las normas generales relacionadas con los problemas jurídicos de su consulta. </w:t>
      </w:r>
    </w:p>
    <w:p w14:paraId="7C2D9B63" w14:textId="77777777" w:rsidR="00A44A4E" w:rsidRPr="000D0E36" w:rsidRDefault="00A44A4E" w:rsidP="00A44A4E">
      <w:pPr>
        <w:spacing w:line="276" w:lineRule="auto"/>
        <w:ind w:firstLine="709"/>
        <w:jc w:val="both"/>
        <w:rPr>
          <w:rFonts w:ascii="Verdana" w:eastAsia="Calibri" w:hAnsi="Verdana" w:cs="Arial"/>
          <w:sz w:val="22"/>
          <w:szCs w:val="22"/>
          <w:lang w:val="es-ES" w:eastAsia="es-ES"/>
        </w:rPr>
      </w:pPr>
    </w:p>
    <w:p w14:paraId="7CAF31D4" w14:textId="77777777" w:rsidR="00A44A4E" w:rsidRPr="000D0E36" w:rsidRDefault="00A44A4E" w:rsidP="00A44A4E">
      <w:pPr>
        <w:widowControl w:val="0"/>
        <w:autoSpaceDE w:val="0"/>
        <w:autoSpaceDN w:val="0"/>
        <w:ind w:left="360" w:hanging="360"/>
        <w:jc w:val="both"/>
        <w:outlineLvl w:val="0"/>
        <w:rPr>
          <w:rFonts w:ascii="Verdana" w:eastAsia="Arial" w:hAnsi="Verdana" w:cs="Arial"/>
          <w:b/>
          <w:sz w:val="22"/>
          <w:szCs w:val="22"/>
          <w:lang w:val="es-ES"/>
        </w:rPr>
      </w:pPr>
      <w:r w:rsidRPr="000D0E36">
        <w:rPr>
          <w:rFonts w:ascii="Verdana" w:eastAsia="Arial" w:hAnsi="Verdana" w:cs="Arial"/>
          <w:b/>
          <w:sz w:val="22"/>
          <w:szCs w:val="22"/>
          <w:lang w:val="es-ES"/>
        </w:rPr>
        <w:t>1. Problema planteado:</w:t>
      </w:r>
    </w:p>
    <w:p w14:paraId="68177E6F" w14:textId="77777777" w:rsidR="00A44A4E" w:rsidRPr="000D0E36" w:rsidRDefault="00A44A4E" w:rsidP="00A44A4E">
      <w:pPr>
        <w:tabs>
          <w:tab w:val="left" w:pos="426"/>
        </w:tabs>
        <w:spacing w:line="276" w:lineRule="auto"/>
        <w:jc w:val="both"/>
        <w:rPr>
          <w:rFonts w:ascii="Verdana" w:eastAsia="Century Gothic" w:hAnsi="Verdana" w:cs="Century Gothic"/>
          <w:sz w:val="22"/>
          <w:szCs w:val="22"/>
          <w:lang w:val="es-ES"/>
        </w:rPr>
      </w:pPr>
    </w:p>
    <w:p w14:paraId="685A623B" w14:textId="77777777" w:rsidR="00A44A4E" w:rsidRPr="000D0E36" w:rsidRDefault="00A44A4E" w:rsidP="00A44A4E">
      <w:pPr>
        <w:spacing w:line="300" w:lineRule="atLeast"/>
        <w:jc w:val="both"/>
        <w:rPr>
          <w:rFonts w:ascii="Verdana" w:hAnsi="Verdana" w:cs="Segoe UI"/>
          <w:sz w:val="22"/>
          <w:szCs w:val="22"/>
        </w:rPr>
      </w:pPr>
      <w:r w:rsidRPr="000D0E36">
        <w:rPr>
          <w:rFonts w:ascii="Verdana" w:eastAsia="Century Gothic" w:hAnsi="Verdana" w:cs="Century Gothic"/>
          <w:sz w:val="22"/>
          <w:szCs w:val="22"/>
        </w:rPr>
        <w:t>De acuerdo con el contenido de su solicitud, le informamos que la misma se resolverá desde el siguiente problema jurídico:</w:t>
      </w:r>
      <w:bookmarkStart w:id="1" w:name="_Hlk171070029"/>
      <w:r w:rsidRPr="000D0E36">
        <w:rPr>
          <w:rFonts w:ascii="Verdana" w:eastAsia="Century Gothic" w:hAnsi="Verdana" w:cs="Century Gothic"/>
          <w:sz w:val="22"/>
          <w:szCs w:val="22"/>
        </w:rPr>
        <w:t xml:space="preserve"> i) </w:t>
      </w:r>
      <w:r w:rsidRPr="000D0E36">
        <w:rPr>
          <w:rFonts w:ascii="Verdana" w:hAnsi="Verdana" w:cs="Segoe UI"/>
          <w:sz w:val="22"/>
          <w:szCs w:val="22"/>
        </w:rPr>
        <w:t xml:space="preserve">¿La falta de ampliación de la garantía de cumplimiento para cubrir el período de liquidación constituye un impedimento jurídico para adelantar o suscribir la liquidación de un contrato estatal cuando las obligaciones contractuales fueron ejecutadas y recibidas a satisfacción y no existen incumplimientos atribuibles al contratista?;  </w:t>
      </w:r>
      <w:proofErr w:type="spellStart"/>
      <w:r w:rsidRPr="000D0E36">
        <w:rPr>
          <w:rFonts w:ascii="Verdana" w:hAnsi="Verdana" w:cs="Segoe UI"/>
          <w:sz w:val="22"/>
          <w:szCs w:val="22"/>
        </w:rPr>
        <w:t>ii</w:t>
      </w:r>
      <w:proofErr w:type="spellEnd"/>
      <w:r w:rsidRPr="000D0E36">
        <w:rPr>
          <w:rFonts w:ascii="Verdana" w:hAnsi="Verdana" w:cs="Segoe UI"/>
          <w:sz w:val="22"/>
          <w:szCs w:val="22"/>
        </w:rPr>
        <w:t>) ¿Cuál es el alcance de la obligación de mantener vigente la garantía de cumplimiento durante la etapa de liquidación y cuáles son los deberes de la entidad estatal frente a la exigencia de su ampliación?</w:t>
      </w:r>
    </w:p>
    <w:p w14:paraId="6E775F93" w14:textId="77777777" w:rsidR="00A44A4E" w:rsidRPr="000D0E36" w:rsidRDefault="00A44A4E" w:rsidP="00A44A4E">
      <w:pPr>
        <w:spacing w:line="276" w:lineRule="auto"/>
        <w:jc w:val="both"/>
        <w:rPr>
          <w:rFonts w:ascii="Verdana" w:eastAsia="Century Gothic" w:hAnsi="Verdana" w:cs="Century Gothic"/>
          <w:sz w:val="22"/>
          <w:szCs w:val="22"/>
        </w:rPr>
      </w:pPr>
      <w:r w:rsidRPr="000D0E36">
        <w:rPr>
          <w:rFonts w:ascii="Verdana" w:eastAsia="Century Gothic" w:hAnsi="Verdana" w:cs="Century Gothic"/>
          <w:sz w:val="22"/>
          <w:szCs w:val="22"/>
        </w:rPr>
        <w:t xml:space="preserve"> </w:t>
      </w:r>
    </w:p>
    <w:p w14:paraId="749A8B0D" w14:textId="77777777" w:rsidR="00A44A4E" w:rsidRPr="000D0E36" w:rsidRDefault="00A44A4E" w:rsidP="00A44A4E">
      <w:pPr>
        <w:widowControl w:val="0"/>
        <w:autoSpaceDE w:val="0"/>
        <w:autoSpaceDN w:val="0"/>
        <w:ind w:left="360" w:hanging="360"/>
        <w:jc w:val="both"/>
        <w:outlineLvl w:val="0"/>
        <w:rPr>
          <w:rFonts w:ascii="Verdana" w:eastAsia="Arial" w:hAnsi="Verdana" w:cs="Arial"/>
          <w:b/>
          <w:bCs/>
          <w:sz w:val="22"/>
          <w:szCs w:val="22"/>
          <w:lang w:val="es-ES"/>
        </w:rPr>
      </w:pPr>
      <w:r w:rsidRPr="000D0E36">
        <w:rPr>
          <w:rFonts w:ascii="Verdana" w:eastAsia="Arial" w:hAnsi="Verdana" w:cs="Arial"/>
          <w:b/>
          <w:bCs/>
          <w:sz w:val="22"/>
          <w:szCs w:val="22"/>
          <w:lang w:val="es-ES"/>
        </w:rPr>
        <w:t>2. Respuesta:</w:t>
      </w:r>
    </w:p>
    <w:p w14:paraId="67D56D47" w14:textId="77777777" w:rsidR="00A44A4E" w:rsidRPr="000D0E36" w:rsidRDefault="00A44A4E" w:rsidP="00A44A4E">
      <w:pPr>
        <w:spacing w:line="276" w:lineRule="auto"/>
        <w:jc w:val="both"/>
        <w:rPr>
          <w:rFonts w:ascii="Verdana" w:eastAsia="Century Gothic" w:hAnsi="Verdana" w:cs="Century Gothic"/>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44A4E" w:rsidRPr="00B54634" w14:paraId="5F8190B9" w14:textId="77777777" w:rsidTr="0074180E">
        <w:tc>
          <w:tcPr>
            <w:tcW w:w="8828" w:type="dxa"/>
          </w:tcPr>
          <w:p w14:paraId="01CE2ADE" w14:textId="77777777" w:rsidR="00A44A4E" w:rsidRPr="000D0E36" w:rsidRDefault="00A44A4E" w:rsidP="0074180E">
            <w:pPr>
              <w:pStyle w:val="NormalWeb"/>
              <w:spacing w:before="0" w:beforeAutospacing="0" w:after="120" w:afterAutospacing="0" w:line="276" w:lineRule="auto"/>
              <w:jc w:val="both"/>
              <w:rPr>
                <w:rFonts w:ascii="Verdana" w:hAnsi="Verdana" w:cs="Segoe UI"/>
              </w:rPr>
            </w:pPr>
            <w:bookmarkStart w:id="2" w:name="_Hlk171067516"/>
            <w:bookmarkEnd w:id="1"/>
            <w:r w:rsidRPr="001004CD">
              <w:rPr>
                <w:rFonts w:ascii="Verdana" w:eastAsia="Century Gothic" w:hAnsi="Verdana" w:cs="Century Gothic"/>
              </w:rPr>
              <w:t xml:space="preserve">i) </w:t>
            </w:r>
            <w:r w:rsidRPr="000D0E36">
              <w:rPr>
                <w:rFonts w:ascii="Verdana" w:hAnsi="Verdana" w:cs="Segoe UI"/>
              </w:rPr>
              <w:t>La garantía de cumplimiento y la liquidación contractual corresponden a instituciones jurídicas diferentes y cumplen finalidades distintas. Mientras la garantía tiene por objeto amparar los riesgos derivados del eventual incumplimiento de las obligaciones garantizadas, la liquidación busca realizar el balance definitivo de la relación contractual, verificar el estado final de las obligaciones de las partes y determinar los saldos, ajustes o reconocimientos a que haya lugar.</w:t>
            </w:r>
          </w:p>
          <w:p w14:paraId="5D4F339B" w14:textId="77777777" w:rsidR="00A44A4E" w:rsidRPr="000D0E36" w:rsidRDefault="00A44A4E" w:rsidP="0074180E">
            <w:pPr>
              <w:pStyle w:val="NormalWeb"/>
              <w:spacing w:before="0" w:beforeAutospacing="0" w:after="120" w:afterAutospacing="0" w:line="276" w:lineRule="auto"/>
              <w:ind w:firstLine="709"/>
              <w:jc w:val="both"/>
              <w:rPr>
                <w:rFonts w:ascii="Verdana" w:hAnsi="Verdana" w:cs="Segoe UI"/>
              </w:rPr>
            </w:pPr>
            <w:r w:rsidRPr="000D0E36">
              <w:rPr>
                <w:rFonts w:ascii="Verdana" w:hAnsi="Verdana" w:cs="Segoe UI"/>
              </w:rPr>
              <w:t>Por ello, aunque el artículo 2.2.1.2.3.1.12 del Decreto 1082 de 2015 exige que la garantía de cumplimiento tenga una vigencia mínima hasta la liquidación del contrato, el ordenamiento jurídico no establece expresamente que la sola ausencia de ampliación de dicha garantía constituya una causal que impida jurídicamente adelantar o suscribir la liquidación del contrato.</w:t>
            </w:r>
          </w:p>
          <w:p w14:paraId="427B9A8D" w14:textId="77777777" w:rsidR="00A44A4E" w:rsidRPr="000D0E36" w:rsidRDefault="00A44A4E" w:rsidP="0074180E">
            <w:pPr>
              <w:pStyle w:val="NormalWeb"/>
              <w:spacing w:before="0" w:beforeAutospacing="0" w:after="120" w:afterAutospacing="0" w:line="276" w:lineRule="auto"/>
              <w:ind w:firstLine="709"/>
              <w:jc w:val="both"/>
              <w:rPr>
                <w:rFonts w:ascii="Verdana" w:hAnsi="Verdana" w:cs="Segoe UI"/>
              </w:rPr>
            </w:pPr>
            <w:r w:rsidRPr="000D0E36">
              <w:rPr>
                <w:rFonts w:ascii="Verdana" w:hAnsi="Verdana" w:cs="Segoe UI"/>
              </w:rPr>
              <w:t>En consecuencia, cuando las obligaciones contractuales han sido ejecutadas y recibidas a satisfacción y no se evidencian incumplimientos atribuibles al contratista, la entidad estatal deberá analizar las circunstancias particulares del caso, la existencia de obligaciones pendientes, los riesgos subsistentes y los efectos que pueda generar la ausencia de cobertura, antes de adoptar la decisión correspondiente.</w:t>
            </w:r>
          </w:p>
          <w:p w14:paraId="1AE4EA84" w14:textId="77777777" w:rsidR="00A44A4E" w:rsidRPr="000D0E36" w:rsidRDefault="00A44A4E" w:rsidP="0074180E">
            <w:pPr>
              <w:pStyle w:val="NormalWeb"/>
              <w:spacing w:before="0" w:beforeAutospacing="0" w:after="0" w:afterAutospacing="0" w:line="276" w:lineRule="auto"/>
              <w:ind w:firstLine="709"/>
              <w:jc w:val="both"/>
              <w:rPr>
                <w:rFonts w:ascii="Verdana" w:hAnsi="Verdana" w:cs="Segoe UI"/>
              </w:rPr>
            </w:pPr>
            <w:r w:rsidRPr="000D0E36">
              <w:rPr>
                <w:rFonts w:ascii="Verdana" w:hAnsi="Verdana" w:cs="Segoe UI"/>
              </w:rPr>
              <w:lastRenderedPageBreak/>
              <w:t>Lo anterior no significa que la falta de ampliación de la garantía resulte jurídicamente irrelevante, sino que su ocurrencia no aparece regulada, por sí sola, como un impedimento automático para adelantar el trámite de liquidación.</w:t>
            </w:r>
          </w:p>
          <w:p w14:paraId="5B0594E1" w14:textId="77777777" w:rsidR="00A44A4E" w:rsidRDefault="00A44A4E" w:rsidP="0074180E">
            <w:pPr>
              <w:pStyle w:val="NormalWeb"/>
              <w:spacing w:before="0" w:beforeAutospacing="0" w:after="0" w:afterAutospacing="0" w:line="276" w:lineRule="auto"/>
              <w:jc w:val="both"/>
              <w:rPr>
                <w:rFonts w:ascii="Verdana" w:eastAsia="Century Gothic" w:hAnsi="Verdana" w:cs="Century Gothic"/>
              </w:rPr>
            </w:pPr>
          </w:p>
          <w:p w14:paraId="002D6E28" w14:textId="77777777" w:rsidR="00A44A4E" w:rsidRPr="000D0E36" w:rsidRDefault="00A44A4E" w:rsidP="0074180E">
            <w:pPr>
              <w:pStyle w:val="NormalWeb"/>
              <w:spacing w:before="0" w:beforeAutospacing="0" w:after="120" w:afterAutospacing="0" w:line="276" w:lineRule="auto"/>
              <w:jc w:val="both"/>
              <w:rPr>
                <w:rFonts w:ascii="Verdana" w:hAnsi="Verdana" w:cs="Segoe UI"/>
              </w:rPr>
            </w:pPr>
            <w:proofErr w:type="spellStart"/>
            <w:r w:rsidRPr="001004CD">
              <w:rPr>
                <w:rFonts w:ascii="Verdana" w:eastAsia="Century Gothic" w:hAnsi="Verdana" w:cs="Century Gothic"/>
              </w:rPr>
              <w:t>ii</w:t>
            </w:r>
            <w:proofErr w:type="spellEnd"/>
            <w:r w:rsidRPr="001004CD">
              <w:rPr>
                <w:rFonts w:ascii="Verdana" w:eastAsia="Century Gothic" w:hAnsi="Verdana" w:cs="Century Gothic"/>
              </w:rPr>
              <w:t xml:space="preserve">) </w:t>
            </w:r>
            <w:r w:rsidRPr="000D0E36">
              <w:rPr>
                <w:rFonts w:ascii="Verdana" w:hAnsi="Verdana" w:cs="Segoe UI"/>
              </w:rPr>
              <w:t>De conformidad con el artículo 2.2.1.2.3.1.12 del Decreto 1082 de 2015, la garantía de cumplimiento debe mantenerse vigente, como mínimo, hasta la liquidación del contrato.</w:t>
            </w:r>
            <w:r>
              <w:rPr>
                <w:rFonts w:ascii="Verdana" w:hAnsi="Verdana" w:cs="Segoe UI"/>
              </w:rPr>
              <w:t xml:space="preserve"> </w:t>
            </w:r>
            <w:r w:rsidRPr="000D0E36">
              <w:rPr>
                <w:rFonts w:ascii="Verdana" w:hAnsi="Verdana" w:cs="Segoe UI"/>
              </w:rPr>
              <w:t>Lo anterior implica que la cobertura del amparo no se limita al plazo previsto para la ejecución de las prestaciones contractuales, sino que se extiende hasta que finalice la vigencia del vínculo contractual, momento que ordinariamente coincide con la liquidación del contrato.</w:t>
            </w:r>
          </w:p>
          <w:p w14:paraId="69E7B604" w14:textId="77777777" w:rsidR="00A44A4E" w:rsidRPr="000D0E36" w:rsidRDefault="00A44A4E" w:rsidP="0074180E">
            <w:pPr>
              <w:pStyle w:val="NormalWeb"/>
              <w:spacing w:before="0" w:beforeAutospacing="0" w:after="120" w:afterAutospacing="0" w:line="276" w:lineRule="auto"/>
              <w:ind w:firstLine="709"/>
              <w:jc w:val="both"/>
              <w:rPr>
                <w:rFonts w:ascii="Verdana" w:hAnsi="Verdana" w:cs="Segoe UI"/>
              </w:rPr>
            </w:pPr>
            <w:r w:rsidRPr="000D0E36">
              <w:rPr>
                <w:rFonts w:ascii="Verdana" w:hAnsi="Verdana" w:cs="Segoe UI"/>
              </w:rPr>
              <w:t xml:space="preserve">En tal sentido, corresponde a la </w:t>
            </w:r>
            <w:r>
              <w:rPr>
                <w:rFonts w:ascii="Verdana" w:hAnsi="Verdana" w:cs="Segoe UI"/>
              </w:rPr>
              <w:t>E</w:t>
            </w:r>
            <w:r w:rsidRPr="000D0E36">
              <w:rPr>
                <w:rFonts w:ascii="Verdana" w:hAnsi="Verdana" w:cs="Segoe UI"/>
              </w:rPr>
              <w:t xml:space="preserve">ntidad </w:t>
            </w:r>
            <w:r>
              <w:rPr>
                <w:rFonts w:ascii="Verdana" w:hAnsi="Verdana" w:cs="Segoe UI"/>
              </w:rPr>
              <w:t>E</w:t>
            </w:r>
            <w:r w:rsidRPr="000D0E36">
              <w:rPr>
                <w:rFonts w:ascii="Verdana" w:hAnsi="Verdana" w:cs="Segoe UI"/>
              </w:rPr>
              <w:t>statal verificar que la garantía mantenga la vigencia requerida durante todo el período que debe permanecer amparado. Por consiguiente, cuando la garantía inicialmente constituida no cubra el término necesario para llegar a la liquidación, la entidad deberá requerir al contratista para que adelante las actuaciones necesarias tendientes a conservar o ampliar la vigencia del respectivo amparo.</w:t>
            </w:r>
          </w:p>
          <w:p w14:paraId="793EAE36" w14:textId="77777777" w:rsidR="00A44A4E" w:rsidRPr="000D0E36" w:rsidRDefault="00A44A4E" w:rsidP="0074180E">
            <w:pPr>
              <w:pStyle w:val="NormalWeb"/>
              <w:spacing w:before="0" w:beforeAutospacing="0" w:after="120" w:afterAutospacing="0" w:line="276" w:lineRule="auto"/>
              <w:ind w:firstLine="709"/>
              <w:jc w:val="both"/>
              <w:rPr>
                <w:rFonts w:ascii="Verdana" w:hAnsi="Verdana" w:cs="Segoe UI"/>
              </w:rPr>
            </w:pPr>
            <w:r w:rsidRPr="000D0E36">
              <w:rPr>
                <w:rFonts w:ascii="Verdana" w:hAnsi="Verdana" w:cs="Segoe UI"/>
              </w:rPr>
              <w:t>Sin embargo, el deber de exigir la ampliación de la garantía no exonera a la entidad de analizar integralmente la situación contractual. Así, cuando el contratista no atienda dicho requerimiento, la entidad deberá valorar, entre otros aspectos</w:t>
            </w:r>
            <w:r>
              <w:rPr>
                <w:rFonts w:ascii="Verdana" w:hAnsi="Verdana" w:cs="Segoe UI"/>
              </w:rPr>
              <w:t>: l</w:t>
            </w:r>
            <w:r w:rsidRPr="000D0E36">
              <w:rPr>
                <w:rFonts w:ascii="Verdana" w:hAnsi="Verdana" w:cs="Segoe UI"/>
              </w:rPr>
              <w:t>a existencia o no de obligaciones pendientes de cumplimiento</w:t>
            </w:r>
            <w:r>
              <w:rPr>
                <w:rFonts w:ascii="Verdana" w:hAnsi="Verdana" w:cs="Segoe UI"/>
              </w:rPr>
              <w:t>, l</w:t>
            </w:r>
            <w:r w:rsidRPr="000D0E36">
              <w:rPr>
                <w:rFonts w:ascii="Verdana" w:hAnsi="Verdana" w:cs="Segoe UI"/>
              </w:rPr>
              <w:t>os riesgos que subsistan al momento de la liquidación</w:t>
            </w:r>
            <w:r>
              <w:rPr>
                <w:rFonts w:ascii="Verdana" w:hAnsi="Verdana" w:cs="Segoe UI"/>
              </w:rPr>
              <w:t>, l</w:t>
            </w:r>
            <w:r w:rsidRPr="000D0E36">
              <w:rPr>
                <w:rFonts w:ascii="Verdana" w:hAnsi="Verdana" w:cs="Segoe UI"/>
              </w:rPr>
              <w:t>a naturaleza de las obligaciones amparada</w:t>
            </w:r>
            <w:r>
              <w:rPr>
                <w:rFonts w:ascii="Verdana" w:hAnsi="Verdana" w:cs="Segoe UI"/>
              </w:rPr>
              <w:t>s, l</w:t>
            </w:r>
            <w:r w:rsidRPr="000D0E36">
              <w:rPr>
                <w:rFonts w:ascii="Verdana" w:hAnsi="Verdana" w:cs="Segoe UI"/>
              </w:rPr>
              <w:t>a existencia de reclamaciones o controversias pendiente</w:t>
            </w:r>
            <w:r>
              <w:rPr>
                <w:rFonts w:ascii="Verdana" w:hAnsi="Verdana" w:cs="Segoe UI"/>
              </w:rPr>
              <w:t>, l</w:t>
            </w:r>
            <w:r w:rsidRPr="000D0E36">
              <w:rPr>
                <w:rFonts w:ascii="Verdana" w:hAnsi="Verdana" w:cs="Segoe UI"/>
              </w:rPr>
              <w:t>as consecuencias jurídicas que puedan derivarse de la ausencia de cobertura</w:t>
            </w:r>
            <w:r>
              <w:rPr>
                <w:rFonts w:ascii="Verdana" w:hAnsi="Verdana" w:cs="Segoe UI"/>
              </w:rPr>
              <w:t xml:space="preserve"> y l</w:t>
            </w:r>
            <w:r w:rsidRPr="000D0E36">
              <w:rPr>
                <w:rFonts w:ascii="Verdana" w:hAnsi="Verdana" w:cs="Segoe UI"/>
              </w:rPr>
              <w:t>as eventuales consecuencias contractuales asociadas a la omisión del contratista de mantener vigente la garantía exigida por la ley y por el contrato.</w:t>
            </w:r>
          </w:p>
          <w:p w14:paraId="74AE5862" w14:textId="77777777" w:rsidR="00A44A4E" w:rsidRPr="000D0E36" w:rsidRDefault="00A44A4E" w:rsidP="0074180E">
            <w:pPr>
              <w:pStyle w:val="NormalWeb"/>
              <w:spacing w:before="0" w:beforeAutospacing="0" w:after="120" w:afterAutospacing="0" w:line="276" w:lineRule="auto"/>
              <w:ind w:firstLine="709"/>
              <w:jc w:val="both"/>
              <w:rPr>
                <w:rFonts w:ascii="Verdana" w:eastAsia="Calibri" w:hAnsi="Verdana" w:cs="Arial"/>
                <w14:ligatures w14:val="standardContextual"/>
              </w:rPr>
            </w:pPr>
            <w:r w:rsidRPr="000D0E36">
              <w:rPr>
                <w:rFonts w:ascii="Verdana" w:hAnsi="Verdana" w:cs="Segoe UI"/>
              </w:rPr>
              <w:t xml:space="preserve">En síntesis, la </w:t>
            </w:r>
            <w:r>
              <w:rPr>
                <w:rFonts w:ascii="Verdana" w:hAnsi="Verdana" w:cs="Segoe UI"/>
              </w:rPr>
              <w:t>E</w:t>
            </w:r>
            <w:r w:rsidRPr="000D0E36">
              <w:rPr>
                <w:rFonts w:ascii="Verdana" w:hAnsi="Verdana" w:cs="Segoe UI"/>
              </w:rPr>
              <w:t xml:space="preserve">ntidad </w:t>
            </w:r>
            <w:r>
              <w:rPr>
                <w:rFonts w:ascii="Verdana" w:hAnsi="Verdana" w:cs="Segoe UI"/>
              </w:rPr>
              <w:t>E</w:t>
            </w:r>
            <w:r w:rsidRPr="000D0E36">
              <w:rPr>
                <w:rFonts w:ascii="Verdana" w:hAnsi="Verdana" w:cs="Segoe UI"/>
              </w:rPr>
              <w:t>statal tiene el deber de exigir que la garantía de cumplimiento permanezca vigente hasta la liquidación del contrato; sin embargo, la falta de ampliación de dicha garantía no se encuentra prevista expresamente como una circunstancia que, por sí sola, elimine la facultad o el deber de liquidar el contrato. La procedencia de la liquidación y las medidas a adoptar deberán determinarse a partir de las circunstancias particulares del caso concreto y de los riesgos jurídicos y contractuales identificados por la entidad.</w:t>
            </w:r>
          </w:p>
        </w:tc>
      </w:tr>
      <w:bookmarkEnd w:id="2"/>
    </w:tbl>
    <w:p w14:paraId="089A036B" w14:textId="77777777" w:rsidR="00A44A4E" w:rsidRPr="000D0E36" w:rsidRDefault="00A44A4E" w:rsidP="00A44A4E">
      <w:pPr>
        <w:tabs>
          <w:tab w:val="left" w:pos="142"/>
          <w:tab w:val="left" w:pos="967"/>
        </w:tabs>
        <w:spacing w:line="276" w:lineRule="auto"/>
        <w:jc w:val="both"/>
        <w:rPr>
          <w:rFonts w:ascii="Verdana" w:eastAsia="Century Gothic" w:hAnsi="Verdana"/>
          <w:b/>
          <w:sz w:val="22"/>
          <w:szCs w:val="22"/>
          <w:lang w:val="es-ES"/>
        </w:rPr>
      </w:pPr>
    </w:p>
    <w:p w14:paraId="1781DD2A" w14:textId="77777777" w:rsidR="00A44A4E" w:rsidRPr="000D0E36" w:rsidRDefault="00A44A4E" w:rsidP="00A44A4E">
      <w:pPr>
        <w:widowControl w:val="0"/>
        <w:autoSpaceDE w:val="0"/>
        <w:autoSpaceDN w:val="0"/>
        <w:spacing w:line="276" w:lineRule="auto"/>
        <w:ind w:hanging="360"/>
        <w:outlineLvl w:val="0"/>
        <w:rPr>
          <w:rFonts w:ascii="Verdana" w:eastAsia="Arial" w:hAnsi="Verdana" w:cs="Arial"/>
          <w:b/>
          <w:sz w:val="22"/>
          <w:szCs w:val="22"/>
          <w:lang w:val="es-ES"/>
        </w:rPr>
      </w:pPr>
      <w:r w:rsidRPr="000D0E36">
        <w:rPr>
          <w:rFonts w:ascii="Verdana" w:eastAsia="Arial" w:hAnsi="Verdana" w:cs="Arial"/>
          <w:b/>
          <w:sz w:val="22"/>
          <w:szCs w:val="22"/>
          <w:lang w:val="es-ES"/>
        </w:rPr>
        <w:t>3. Razones de la respuesta</w:t>
      </w:r>
    </w:p>
    <w:p w14:paraId="6C0E5E0F" w14:textId="77777777" w:rsidR="00A44A4E" w:rsidRPr="000D0E36" w:rsidRDefault="00A44A4E" w:rsidP="00A44A4E">
      <w:pPr>
        <w:spacing w:line="276" w:lineRule="auto"/>
        <w:jc w:val="both"/>
        <w:rPr>
          <w:rFonts w:ascii="Verdana" w:eastAsia="Calibri" w:hAnsi="Verdana" w:cs="Arial"/>
          <w:sz w:val="22"/>
          <w:szCs w:val="22"/>
          <w:lang w:val="es-ES"/>
        </w:rPr>
      </w:pPr>
    </w:p>
    <w:p w14:paraId="7E3B626D" w14:textId="77777777" w:rsidR="00A44A4E" w:rsidRPr="000D0E36" w:rsidRDefault="00A44A4E" w:rsidP="00A44A4E">
      <w:pPr>
        <w:spacing w:line="276" w:lineRule="auto"/>
        <w:jc w:val="both"/>
        <w:rPr>
          <w:rFonts w:ascii="Verdana" w:eastAsia="Calibri" w:hAnsi="Verdana" w:cs="Arial"/>
          <w:sz w:val="22"/>
          <w:szCs w:val="22"/>
          <w:lang w:val="es-ES"/>
        </w:rPr>
      </w:pPr>
      <w:r w:rsidRPr="000D0E36">
        <w:rPr>
          <w:rFonts w:ascii="Verdana" w:eastAsia="Calibri" w:hAnsi="Verdana" w:cs="Arial"/>
          <w:sz w:val="22"/>
          <w:szCs w:val="22"/>
          <w:lang w:val="es-ES"/>
        </w:rPr>
        <w:t xml:space="preserve">La respuesta anterior se sustenta en las siguientes consideraciones: </w:t>
      </w:r>
    </w:p>
    <w:p w14:paraId="473BEEE7" w14:textId="77777777" w:rsidR="00A44A4E" w:rsidRPr="000D0E36" w:rsidRDefault="00A44A4E" w:rsidP="00A44A4E">
      <w:pPr>
        <w:spacing w:line="276" w:lineRule="auto"/>
        <w:jc w:val="both"/>
        <w:rPr>
          <w:rFonts w:ascii="Verdana" w:eastAsia="Calibri" w:hAnsi="Verdana" w:cs="Arial"/>
          <w:sz w:val="22"/>
          <w:szCs w:val="22"/>
          <w:lang w:val="es-ES"/>
        </w:rPr>
      </w:pPr>
    </w:p>
    <w:p w14:paraId="6148DEC5" w14:textId="77777777" w:rsidR="00A44A4E" w:rsidRPr="000D0E36" w:rsidRDefault="00A44A4E" w:rsidP="00A44A4E">
      <w:pPr>
        <w:spacing w:line="276" w:lineRule="auto"/>
        <w:jc w:val="both"/>
        <w:rPr>
          <w:rFonts w:ascii="Verdana" w:eastAsia="Calibri" w:hAnsi="Verdana" w:cs="Arial"/>
          <w:sz w:val="22"/>
          <w:szCs w:val="22"/>
          <w:lang w:val="es-ES_tradnl"/>
        </w:rPr>
      </w:pPr>
      <w:r w:rsidRPr="000D0E36">
        <w:rPr>
          <w:rFonts w:ascii="Verdana" w:eastAsia="Calibri" w:hAnsi="Verdana" w:cs="Arial"/>
          <w:sz w:val="22"/>
          <w:szCs w:val="22"/>
          <w:lang w:val="es-ES"/>
        </w:rPr>
        <w:t>Inicialmente debe precisarse que, el Estatuto General de Contratación de la Administración Pública</w:t>
      </w:r>
      <w:r>
        <w:rPr>
          <w:rFonts w:ascii="Verdana" w:eastAsia="Calibri" w:hAnsi="Verdana" w:cs="Arial"/>
          <w:sz w:val="22"/>
          <w:szCs w:val="22"/>
          <w:lang w:val="es-ES"/>
        </w:rPr>
        <w:t xml:space="preserve"> – en adelante EGCAP –</w:t>
      </w:r>
      <w:r w:rsidRPr="000D0E36">
        <w:rPr>
          <w:rFonts w:ascii="Verdana" w:eastAsia="Calibri" w:hAnsi="Verdana" w:cs="Arial"/>
          <w:sz w:val="22"/>
          <w:szCs w:val="22"/>
          <w:lang w:val="es-ES"/>
        </w:rPr>
        <w:t xml:space="preserve"> exige</w:t>
      </w:r>
      <w:r>
        <w:rPr>
          <w:rFonts w:ascii="Verdana" w:eastAsia="Calibri" w:hAnsi="Verdana" w:cs="Arial"/>
          <w:sz w:val="22"/>
          <w:szCs w:val="22"/>
          <w:lang w:val="es-ES"/>
        </w:rPr>
        <w:t>,</w:t>
      </w:r>
      <w:r w:rsidRPr="000D0E36">
        <w:rPr>
          <w:rFonts w:ascii="Verdana" w:eastAsia="Calibri" w:hAnsi="Verdana" w:cs="Arial"/>
          <w:sz w:val="22"/>
          <w:szCs w:val="22"/>
          <w:lang w:val="es-ES"/>
        </w:rPr>
        <w:t xml:space="preserve"> por regla general, </w:t>
      </w:r>
      <w:r w:rsidRPr="003E7832">
        <w:rPr>
          <w:rFonts w:ascii="Verdana" w:eastAsia="Calibri" w:hAnsi="Verdana" w:cs="Arial"/>
          <w:sz w:val="22"/>
          <w:szCs w:val="22"/>
          <w:lang w:val="es-ES"/>
        </w:rPr>
        <w:t xml:space="preserve">la constitución de garantías </w:t>
      </w:r>
      <w:r w:rsidRPr="000D0E36">
        <w:rPr>
          <w:rFonts w:ascii="Verdana" w:eastAsia="Calibri" w:hAnsi="Verdana" w:cs="Arial"/>
          <w:sz w:val="22"/>
          <w:szCs w:val="22"/>
          <w:lang w:val="es-ES_tradnl"/>
        </w:rPr>
        <w:t xml:space="preserve">en los procesos de contratación </w:t>
      </w:r>
      <w:proofErr w:type="gramStart"/>
      <w:r w:rsidRPr="000D0E36">
        <w:rPr>
          <w:rFonts w:ascii="Verdana" w:eastAsia="Calibri" w:hAnsi="Verdana" w:cs="Arial"/>
          <w:sz w:val="22"/>
          <w:szCs w:val="22"/>
          <w:lang w:val="es-ES_tradnl"/>
        </w:rPr>
        <w:t>pública</w:t>
      </w:r>
      <w:r>
        <w:rPr>
          <w:rFonts w:ascii="Verdana" w:eastAsia="Calibri" w:hAnsi="Verdana" w:cs="Arial"/>
          <w:sz w:val="22"/>
          <w:szCs w:val="22"/>
          <w:lang w:val="es-ES_tradnl"/>
        </w:rPr>
        <w:t>,</w:t>
      </w:r>
      <w:proofErr w:type="gramEnd"/>
      <w:r w:rsidRPr="000D0E36">
        <w:rPr>
          <w:rFonts w:ascii="Verdana" w:eastAsia="Calibri" w:hAnsi="Verdana" w:cs="Arial"/>
          <w:sz w:val="22"/>
          <w:szCs w:val="22"/>
          <w:lang w:val="es-ES_tradnl"/>
        </w:rPr>
        <w:t xml:space="preserve"> </w:t>
      </w:r>
      <w:r w:rsidRPr="000D0E36">
        <w:rPr>
          <w:rFonts w:ascii="Verdana" w:eastAsia="Calibri" w:hAnsi="Verdana" w:cs="Arial"/>
          <w:sz w:val="22"/>
          <w:szCs w:val="22"/>
          <w:lang w:val="es-ES"/>
        </w:rPr>
        <w:t>ya sea en la etapa precontractual, contractual o postcontractual, con el fin de evitar o mitigar posibles riesgos</w:t>
      </w:r>
      <w:r>
        <w:rPr>
          <w:rFonts w:ascii="Verdana" w:eastAsia="Calibri" w:hAnsi="Verdana" w:cs="Arial"/>
          <w:sz w:val="22"/>
          <w:szCs w:val="22"/>
          <w:lang w:val="es-ES"/>
        </w:rPr>
        <w:t xml:space="preserve"> derivados de la celebración y ejecución de los contratos estatales</w:t>
      </w:r>
      <w:r w:rsidRPr="000D0E36">
        <w:rPr>
          <w:rFonts w:ascii="Verdana" w:eastAsia="Calibri" w:hAnsi="Verdana" w:cs="Arial"/>
          <w:sz w:val="22"/>
          <w:szCs w:val="22"/>
          <w:lang w:val="es-ES_tradnl"/>
        </w:rPr>
        <w:t>. En es</w:t>
      </w:r>
      <w:r>
        <w:rPr>
          <w:rFonts w:ascii="Verdana" w:eastAsia="Calibri" w:hAnsi="Verdana" w:cs="Arial"/>
          <w:sz w:val="22"/>
          <w:szCs w:val="22"/>
          <w:lang w:val="es-ES_tradnl"/>
        </w:rPr>
        <w:t>e</w:t>
      </w:r>
      <w:r w:rsidRPr="000D0E36">
        <w:rPr>
          <w:rFonts w:ascii="Verdana" w:eastAsia="Calibri" w:hAnsi="Verdana" w:cs="Arial"/>
          <w:sz w:val="22"/>
          <w:szCs w:val="22"/>
          <w:lang w:val="es-ES_tradnl"/>
        </w:rPr>
        <w:t xml:space="preserve"> </w:t>
      </w:r>
      <w:r>
        <w:rPr>
          <w:rFonts w:ascii="Verdana" w:eastAsia="Calibri" w:hAnsi="Verdana" w:cs="Arial"/>
          <w:sz w:val="22"/>
          <w:szCs w:val="22"/>
          <w:lang w:val="es-ES_tradnl"/>
        </w:rPr>
        <w:t>sentido</w:t>
      </w:r>
      <w:r w:rsidRPr="000D0E36">
        <w:rPr>
          <w:rFonts w:ascii="Verdana" w:eastAsia="Calibri" w:hAnsi="Verdana" w:cs="Arial"/>
          <w:sz w:val="22"/>
          <w:szCs w:val="22"/>
          <w:lang w:val="es-ES_tradnl"/>
        </w:rPr>
        <w:t xml:space="preserve">, el artículo 7 de la Ley 1150 de 2007 dispone que los contratistas tienen la obligación de constituir garantías para </w:t>
      </w:r>
      <w:r>
        <w:rPr>
          <w:rFonts w:ascii="Verdana" w:eastAsia="Calibri" w:hAnsi="Verdana" w:cs="Arial"/>
          <w:sz w:val="22"/>
          <w:szCs w:val="22"/>
          <w:lang w:val="es-ES_tradnl"/>
        </w:rPr>
        <w:t xml:space="preserve">asegurar </w:t>
      </w:r>
      <w:r w:rsidRPr="000D0E36">
        <w:rPr>
          <w:rFonts w:ascii="Verdana" w:eastAsia="Calibri" w:hAnsi="Verdana" w:cs="Arial"/>
          <w:sz w:val="22"/>
          <w:szCs w:val="22"/>
          <w:lang w:val="es-ES_tradnl"/>
        </w:rPr>
        <w:t xml:space="preserve">el cumplimiento de las obligaciones surgidas del contrato, y los proponentes por el ofrecimiento realizado, </w:t>
      </w:r>
      <w:r>
        <w:rPr>
          <w:rFonts w:ascii="Verdana" w:eastAsia="Calibri" w:hAnsi="Verdana" w:cs="Arial"/>
          <w:sz w:val="22"/>
          <w:szCs w:val="22"/>
          <w:lang w:val="es-ES_tradnl"/>
        </w:rPr>
        <w:t xml:space="preserve">las cuales </w:t>
      </w:r>
      <w:r w:rsidRPr="000D0E36">
        <w:rPr>
          <w:rFonts w:ascii="Verdana" w:eastAsia="Calibri" w:hAnsi="Verdana" w:cs="Arial"/>
          <w:sz w:val="22"/>
          <w:szCs w:val="22"/>
          <w:lang w:val="es-ES_tradnl"/>
        </w:rPr>
        <w:t>pued</w:t>
      </w:r>
      <w:r>
        <w:rPr>
          <w:rFonts w:ascii="Verdana" w:eastAsia="Calibri" w:hAnsi="Verdana" w:cs="Arial"/>
          <w:sz w:val="22"/>
          <w:szCs w:val="22"/>
          <w:lang w:val="es-ES_tradnl"/>
        </w:rPr>
        <w:t>en</w:t>
      </w:r>
      <w:r w:rsidRPr="000D0E36">
        <w:rPr>
          <w:rFonts w:ascii="Verdana" w:eastAsia="Calibri" w:hAnsi="Verdana" w:cs="Arial"/>
          <w:sz w:val="22"/>
          <w:szCs w:val="22"/>
          <w:lang w:val="es-ES_tradnl"/>
        </w:rPr>
        <w:t xml:space="preserve"> consistir en pólizas expedidas por compañías aseguradoras, garantías bancarias u otros mecanismos permitidos por la ley y el reglamento. La precitada norma dispone:</w:t>
      </w:r>
    </w:p>
    <w:p w14:paraId="43971704" w14:textId="77777777" w:rsidR="00A44A4E" w:rsidRPr="000D0E36" w:rsidRDefault="00A44A4E" w:rsidP="00A44A4E">
      <w:pPr>
        <w:spacing w:line="276" w:lineRule="auto"/>
        <w:jc w:val="both"/>
        <w:rPr>
          <w:rFonts w:ascii="Verdana" w:eastAsia="Calibri" w:hAnsi="Verdana" w:cs="Arial"/>
          <w:sz w:val="22"/>
          <w:szCs w:val="22"/>
          <w:lang w:val="es-ES_tradnl"/>
        </w:rPr>
      </w:pPr>
    </w:p>
    <w:p w14:paraId="165ABA10" w14:textId="77777777" w:rsidR="00A44A4E" w:rsidRPr="00B54634" w:rsidRDefault="00A44A4E" w:rsidP="00A44A4E">
      <w:pPr>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31A0C7D6" w14:textId="77777777" w:rsidR="00A44A4E" w:rsidRPr="00B54634" w:rsidRDefault="00A44A4E" w:rsidP="00A44A4E">
      <w:pPr>
        <w:ind w:left="709" w:right="709"/>
        <w:jc w:val="both"/>
        <w:rPr>
          <w:rFonts w:ascii="Verdana" w:eastAsia="Calibri" w:hAnsi="Verdana" w:cs="Arial"/>
          <w:sz w:val="20"/>
          <w:szCs w:val="20"/>
          <w:lang w:val="es-ES_tradnl"/>
        </w:rPr>
      </w:pPr>
    </w:p>
    <w:p w14:paraId="001F3649" w14:textId="77777777" w:rsidR="00A44A4E" w:rsidRPr="00B54634" w:rsidRDefault="00A44A4E" w:rsidP="00A44A4E">
      <w:pPr>
        <w:ind w:left="709" w:right="709"/>
        <w:jc w:val="both"/>
        <w:rPr>
          <w:rFonts w:ascii="Verdana" w:eastAsia="Calibri" w:hAnsi="Verdana" w:cs="Arial"/>
          <w:sz w:val="20"/>
          <w:szCs w:val="20"/>
          <w:lang w:val="es-ES_tradnl"/>
        </w:rPr>
      </w:pPr>
      <w:r w:rsidRPr="00B54634">
        <w:rPr>
          <w:rFonts w:ascii="Verdana" w:eastAsia="Calibri" w:hAnsi="Verdana" w:cs="Arial"/>
          <w:i/>
          <w:iCs/>
          <w:sz w:val="20"/>
          <w:szCs w:val="20"/>
          <w:lang w:val="es-ES_tradnl"/>
        </w:rPr>
        <w:t>Las garantías consistirán en pólizas expedidas por compañías de seguros legalmente autorizadas para funcionar en Colombia, en garantías bancarias y en general, en los demás mecanismos de cobertura del riesgo autorizados por el reglamento para el efecto.</w:t>
      </w:r>
      <w:r w:rsidRPr="00B54634">
        <w:rPr>
          <w:rFonts w:ascii="Verdana" w:eastAsia="Calibri" w:hAnsi="Verdana" w:cs="Arial"/>
          <w:sz w:val="20"/>
          <w:szCs w:val="20"/>
          <w:lang w:val="es-ES_tradnl"/>
        </w:rPr>
        <w:t xml:space="preserve"> Tratándose de pólizas, las mismas no expirarán por falta de pago de la prima o por revocatoria unilateral. El Gobierno Nacional señalará las condiciones generales que deberán ser incluidas en las pólizas de cumplimiento de los contratos estatales.</w:t>
      </w:r>
    </w:p>
    <w:p w14:paraId="48724451" w14:textId="77777777" w:rsidR="00A44A4E" w:rsidRPr="00B54634" w:rsidRDefault="00A44A4E" w:rsidP="00A44A4E">
      <w:pPr>
        <w:ind w:left="709" w:right="709"/>
        <w:jc w:val="both"/>
        <w:rPr>
          <w:rFonts w:ascii="Verdana" w:eastAsia="Calibri" w:hAnsi="Verdana" w:cs="Arial"/>
          <w:sz w:val="20"/>
          <w:szCs w:val="20"/>
          <w:lang w:val="es-ES_tradnl"/>
        </w:rPr>
      </w:pPr>
    </w:p>
    <w:p w14:paraId="62B3C14D" w14:textId="77777777" w:rsidR="00A44A4E" w:rsidRPr="00B54634" w:rsidRDefault="00A44A4E" w:rsidP="00A44A4E">
      <w:pPr>
        <w:ind w:left="709" w:right="709"/>
        <w:jc w:val="both"/>
        <w:rPr>
          <w:rFonts w:ascii="Verdana" w:eastAsia="Calibri" w:hAnsi="Verdana" w:cs="Arial"/>
          <w:sz w:val="20"/>
          <w:szCs w:val="20"/>
          <w:lang w:val="es-ES"/>
        </w:rPr>
      </w:pPr>
      <w:r w:rsidRPr="00B54634">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w:t>
      </w:r>
      <w:proofErr w:type="gramStart"/>
      <w:r w:rsidRPr="00B54634">
        <w:rPr>
          <w:rFonts w:ascii="Verdana" w:eastAsia="Calibri" w:hAnsi="Verdana" w:cs="Arial"/>
          <w:sz w:val="20"/>
          <w:szCs w:val="20"/>
          <w:lang w:val="es-ES"/>
        </w:rPr>
        <w:t>que</w:t>
      </w:r>
      <w:proofErr w:type="gramEnd"/>
      <w:r w:rsidRPr="00B54634">
        <w:rPr>
          <w:rFonts w:ascii="Verdana" w:eastAsia="Calibri" w:hAnsi="Verdana" w:cs="Arial"/>
          <w:sz w:val="20"/>
          <w:szCs w:val="20"/>
          <w:lang w:val="es-ES"/>
        </w:rPr>
        <w:t xml:space="preserve"> por las características y complejidad del contrato a celebrar, la garantía pueda ser dividida teniendo en cuenta las etapas o riesgos relativos a la ejecución del respectivo contrato. </w:t>
      </w:r>
    </w:p>
    <w:p w14:paraId="250B8216" w14:textId="77777777" w:rsidR="00A44A4E" w:rsidRPr="00B54634" w:rsidRDefault="00A44A4E" w:rsidP="00A44A4E">
      <w:pPr>
        <w:ind w:left="709" w:right="709"/>
        <w:jc w:val="both"/>
        <w:rPr>
          <w:rFonts w:ascii="Verdana" w:eastAsia="Calibri" w:hAnsi="Verdana" w:cs="Arial"/>
          <w:sz w:val="20"/>
          <w:szCs w:val="20"/>
          <w:lang w:val="es-ES_tradnl"/>
        </w:rPr>
      </w:pPr>
    </w:p>
    <w:p w14:paraId="458A5B09" w14:textId="77777777" w:rsidR="00A44A4E" w:rsidRPr="00B54634" w:rsidRDefault="00A44A4E" w:rsidP="00A44A4E">
      <w:pPr>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67D34853" w14:textId="77777777" w:rsidR="00A44A4E" w:rsidRPr="00B54634" w:rsidRDefault="00A44A4E" w:rsidP="00A44A4E">
      <w:pPr>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 xml:space="preserve"> </w:t>
      </w:r>
    </w:p>
    <w:p w14:paraId="2F8A931C" w14:textId="77777777" w:rsidR="00A44A4E" w:rsidRPr="0082772A" w:rsidRDefault="00A44A4E" w:rsidP="00A44A4E">
      <w:pPr>
        <w:ind w:left="709" w:right="709"/>
        <w:jc w:val="both"/>
        <w:rPr>
          <w:rFonts w:ascii="Verdana" w:eastAsia="Calibri" w:hAnsi="Verdana" w:cs="Arial"/>
          <w:sz w:val="20"/>
          <w:szCs w:val="20"/>
          <w:lang w:val="es-ES"/>
        </w:rPr>
      </w:pPr>
      <w:r w:rsidRPr="0082772A">
        <w:rPr>
          <w:rFonts w:ascii="Verdana" w:eastAsia="Calibri" w:hAnsi="Verdana" w:cs="Arial"/>
          <w:sz w:val="20"/>
          <w:szCs w:val="20"/>
          <w:lang w:val="es-ES"/>
        </w:rPr>
        <w:lastRenderedPageBreak/>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 [Énfasis fuera de texto]</w:t>
      </w:r>
    </w:p>
    <w:p w14:paraId="723A75C8" w14:textId="77777777" w:rsidR="00A44A4E" w:rsidRPr="000D0E36" w:rsidRDefault="00A44A4E" w:rsidP="00A44A4E">
      <w:pPr>
        <w:spacing w:line="276" w:lineRule="auto"/>
        <w:jc w:val="both"/>
        <w:rPr>
          <w:rFonts w:ascii="Verdana" w:eastAsia="Calibri" w:hAnsi="Verdana" w:cs="Arial"/>
          <w:sz w:val="22"/>
          <w:szCs w:val="22"/>
          <w:lang w:val="es-ES"/>
        </w:rPr>
      </w:pPr>
    </w:p>
    <w:p w14:paraId="47C566FA" w14:textId="77777777" w:rsidR="00A44A4E" w:rsidRPr="000D0E36" w:rsidRDefault="00A44A4E" w:rsidP="00A44A4E">
      <w:pPr>
        <w:spacing w:after="120" w:line="276" w:lineRule="auto"/>
        <w:ind w:firstLine="709"/>
        <w:jc w:val="both"/>
        <w:rPr>
          <w:rFonts w:ascii="Verdana" w:eastAsia="Calibri" w:hAnsi="Verdana" w:cs="Arial"/>
          <w:color w:val="000000"/>
          <w:sz w:val="22"/>
          <w:szCs w:val="22"/>
          <w:lang w:val="es-ES_tradnl"/>
        </w:rPr>
      </w:pPr>
      <w:r w:rsidRPr="000D0E36">
        <w:rPr>
          <w:rFonts w:ascii="Verdana" w:eastAsia="Calibri" w:hAnsi="Verdana" w:cs="Arial"/>
          <w:color w:val="000000"/>
          <w:sz w:val="22"/>
          <w:szCs w:val="22"/>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7B0C5F41" w14:textId="77777777" w:rsidR="00A44A4E" w:rsidRPr="000D0E36" w:rsidRDefault="00A44A4E" w:rsidP="00A44A4E">
      <w:pPr>
        <w:spacing w:after="120" w:line="276" w:lineRule="auto"/>
        <w:ind w:firstLine="709"/>
        <w:jc w:val="both"/>
        <w:rPr>
          <w:rFonts w:ascii="Verdana" w:eastAsia="Calibri" w:hAnsi="Verdana" w:cs="Arial"/>
          <w:color w:val="000000"/>
          <w:sz w:val="22"/>
          <w:szCs w:val="22"/>
        </w:rPr>
      </w:pPr>
      <w:r w:rsidRPr="000D0E36">
        <w:rPr>
          <w:rFonts w:ascii="Verdana" w:eastAsia="Calibri" w:hAnsi="Verdana" w:cs="Arial"/>
          <w:color w:val="000000"/>
          <w:sz w:val="22"/>
          <w:szCs w:val="22"/>
          <w:lang w:val="es-ES_tradnl"/>
        </w:rPr>
        <w:t>De acuerdo a lo expresado anteriormente, l</w:t>
      </w:r>
      <w:r w:rsidRPr="000D0E36">
        <w:rPr>
          <w:rFonts w:ascii="Verdana" w:eastAsia="Calibri" w:hAnsi="Verdana" w:cs="Arial"/>
          <w:color w:val="000000"/>
          <w:sz w:val="22"/>
          <w:szCs w:val="22"/>
        </w:rPr>
        <w:t xml:space="preserve">os proponentes o contratistas, para garantizar el cumplimiento de sus obligaciones frente a </w:t>
      </w:r>
      <w:r>
        <w:rPr>
          <w:rFonts w:ascii="Verdana" w:eastAsia="Calibri" w:hAnsi="Verdana" w:cs="Arial"/>
          <w:color w:val="000000"/>
          <w:sz w:val="22"/>
          <w:szCs w:val="22"/>
        </w:rPr>
        <w:t>E</w:t>
      </w:r>
      <w:r w:rsidRPr="000D0E36">
        <w:rPr>
          <w:rFonts w:ascii="Verdana" w:eastAsia="Calibri" w:hAnsi="Verdana" w:cs="Arial"/>
          <w:color w:val="000000"/>
          <w:sz w:val="22"/>
          <w:szCs w:val="22"/>
        </w:rPr>
        <w:t xml:space="preserve">ntidades </w:t>
      </w:r>
      <w:r>
        <w:rPr>
          <w:rFonts w:ascii="Verdana" w:eastAsia="Calibri" w:hAnsi="Verdana" w:cs="Arial"/>
          <w:color w:val="000000"/>
          <w:sz w:val="22"/>
          <w:szCs w:val="22"/>
        </w:rPr>
        <w:t>E</w:t>
      </w:r>
      <w:r w:rsidRPr="000D0E36">
        <w:rPr>
          <w:rFonts w:ascii="Verdana" w:eastAsia="Calibri" w:hAnsi="Verdana" w:cs="Arial"/>
          <w:color w:val="000000"/>
          <w:sz w:val="22"/>
          <w:szCs w:val="22"/>
        </w:rPr>
        <w:t xml:space="preserve">statales en materia contractual, pueden otorgar, las garantías mediante los siguientes mecanismos de cobertura de los riesgos: i) contratos de seguro, que por su esencia, es el medio más usado para amparar los riesgos contractuales; </w:t>
      </w:r>
      <w:proofErr w:type="spellStart"/>
      <w:r w:rsidRPr="000D0E36">
        <w:rPr>
          <w:rFonts w:ascii="Verdana" w:eastAsia="Calibri" w:hAnsi="Verdana" w:cs="Arial"/>
          <w:color w:val="000000"/>
          <w:sz w:val="22"/>
          <w:szCs w:val="22"/>
        </w:rPr>
        <w:t>ii</w:t>
      </w:r>
      <w:proofErr w:type="spellEnd"/>
      <w:r w:rsidRPr="000D0E36">
        <w:rPr>
          <w:rFonts w:ascii="Verdana" w:eastAsia="Calibri" w:hAnsi="Verdana" w:cs="Arial"/>
          <w:color w:val="000000"/>
          <w:sz w:val="22"/>
          <w:szCs w:val="22"/>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0D0E36">
        <w:rPr>
          <w:rFonts w:ascii="Verdana" w:eastAsia="Calibri" w:hAnsi="Verdana" w:cs="Arial"/>
          <w:color w:val="000000"/>
          <w:sz w:val="22"/>
          <w:szCs w:val="22"/>
          <w:vertAlign w:val="superscript"/>
        </w:rPr>
        <w:footnoteReference w:id="1"/>
      </w:r>
      <w:r w:rsidRPr="000D0E36">
        <w:rPr>
          <w:rFonts w:ascii="Verdana" w:eastAsia="Calibri" w:hAnsi="Verdana" w:cs="Arial"/>
          <w:color w:val="000000"/>
          <w:sz w:val="22"/>
          <w:szCs w:val="22"/>
        </w:rPr>
        <w:t xml:space="preserve">;  </w:t>
      </w:r>
      <w:proofErr w:type="spellStart"/>
      <w:r w:rsidRPr="000D0E36">
        <w:rPr>
          <w:rFonts w:ascii="Verdana" w:eastAsia="Calibri" w:hAnsi="Verdana" w:cs="Arial"/>
          <w:color w:val="000000"/>
          <w:sz w:val="22"/>
          <w:szCs w:val="22"/>
        </w:rPr>
        <w:t>iii</w:t>
      </w:r>
      <w:proofErr w:type="spellEnd"/>
      <w:r w:rsidRPr="000D0E36">
        <w:rPr>
          <w:rFonts w:ascii="Verdana" w:eastAsia="Calibri" w:hAnsi="Verdana" w:cs="Arial"/>
          <w:color w:val="000000"/>
          <w:sz w:val="22"/>
          <w:szCs w:val="22"/>
        </w:rPr>
        <w:t xml:space="preserve">) garantías bancarias o cartas de crédito </w:t>
      </w:r>
      <w:r w:rsidRPr="000D0E36">
        <w:rPr>
          <w:rFonts w:ascii="Verdana" w:eastAsia="Calibri" w:hAnsi="Verdana" w:cs="Arial"/>
          <w:i/>
          <w:color w:val="000000"/>
          <w:sz w:val="22"/>
          <w:szCs w:val="22"/>
        </w:rPr>
        <w:t>stand</w:t>
      </w:r>
      <w:r w:rsidRPr="000D0E36">
        <w:rPr>
          <w:rFonts w:ascii="Verdana" w:eastAsia="Calibri" w:hAnsi="Verdana" w:cs="Arial"/>
          <w:color w:val="000000"/>
          <w:sz w:val="22"/>
          <w:szCs w:val="22"/>
        </w:rPr>
        <w:t xml:space="preserve"> </w:t>
      </w:r>
      <w:proofErr w:type="spellStart"/>
      <w:r w:rsidRPr="000D0E36">
        <w:rPr>
          <w:rFonts w:ascii="Verdana" w:eastAsia="Calibri" w:hAnsi="Verdana" w:cs="Arial"/>
          <w:i/>
          <w:color w:val="000000"/>
          <w:sz w:val="22"/>
          <w:szCs w:val="22"/>
        </w:rPr>
        <w:t>by</w:t>
      </w:r>
      <w:proofErr w:type="spellEnd"/>
      <w:r w:rsidRPr="000D0E36">
        <w:rPr>
          <w:rFonts w:ascii="Verdana" w:eastAsia="Calibri" w:hAnsi="Verdana" w:cs="Arial"/>
          <w:color w:val="000000"/>
          <w:sz w:val="22"/>
          <w:szCs w:val="22"/>
        </w:rPr>
        <w:t>, que consisten en compromisos irrevocables o incondicionales asumidos por una entidad financiera de pagar una suma determinada de dinero</w:t>
      </w:r>
      <w:r w:rsidRPr="000D0E36">
        <w:rPr>
          <w:rFonts w:ascii="Verdana" w:eastAsia="Calibri" w:hAnsi="Verdana" w:cs="Arial"/>
          <w:color w:val="000000"/>
          <w:sz w:val="22"/>
          <w:szCs w:val="22"/>
          <w:vertAlign w:val="superscript"/>
        </w:rPr>
        <w:footnoteReference w:id="2"/>
      </w:r>
      <w:r w:rsidRPr="000D0E36">
        <w:rPr>
          <w:rFonts w:ascii="Verdana" w:eastAsia="Calibri" w:hAnsi="Verdana" w:cs="Arial"/>
          <w:color w:val="000000"/>
          <w:sz w:val="22"/>
          <w:szCs w:val="22"/>
        </w:rPr>
        <w:t xml:space="preserve">. </w:t>
      </w:r>
    </w:p>
    <w:p w14:paraId="24AF4A09" w14:textId="77777777" w:rsidR="00A44A4E" w:rsidRDefault="00A44A4E" w:rsidP="00A44A4E">
      <w:pPr>
        <w:spacing w:after="120" w:line="276" w:lineRule="auto"/>
        <w:ind w:firstLine="709"/>
        <w:jc w:val="both"/>
        <w:rPr>
          <w:rFonts w:ascii="Verdana" w:eastAsia="Calibri" w:hAnsi="Verdana" w:cs="Arial"/>
          <w:color w:val="000000"/>
          <w:sz w:val="22"/>
          <w:szCs w:val="22"/>
        </w:rPr>
      </w:pPr>
      <w:r w:rsidRPr="000D0E36">
        <w:rPr>
          <w:rFonts w:ascii="Verdana" w:eastAsia="Calibri" w:hAnsi="Verdana" w:cs="Arial"/>
          <w:color w:val="000000"/>
          <w:sz w:val="22"/>
          <w:szCs w:val="22"/>
        </w:rPr>
        <w:t xml:space="preserve">En ese sentido, y por resultar relevante al objeto consultado, se aclara que de acuerdo con lo establecido en el artículo 2.2.1.2.3.1.12 ibidem, la vigencia mínima de </w:t>
      </w:r>
      <w:r w:rsidRPr="00FC4EE2">
        <w:rPr>
          <w:rFonts w:ascii="Verdana" w:eastAsia="Calibri" w:hAnsi="Verdana" w:cs="Arial"/>
          <w:color w:val="000000"/>
          <w:sz w:val="22"/>
          <w:szCs w:val="22"/>
        </w:rPr>
        <w:t>la garantía de cumplimiento</w:t>
      </w:r>
      <w:r w:rsidRPr="0082772A" w:rsidDel="0082772A">
        <w:rPr>
          <w:rFonts w:ascii="Verdana" w:eastAsia="Calibri" w:hAnsi="Verdana" w:cs="Arial"/>
          <w:color w:val="000000"/>
          <w:sz w:val="22"/>
          <w:szCs w:val="22"/>
        </w:rPr>
        <w:t xml:space="preserve"> </w:t>
      </w:r>
      <w:r w:rsidRPr="000D0E36">
        <w:rPr>
          <w:rFonts w:ascii="Verdana" w:eastAsia="Calibri" w:hAnsi="Verdana" w:cs="Arial"/>
          <w:color w:val="000000"/>
          <w:sz w:val="22"/>
          <w:szCs w:val="22"/>
        </w:rPr>
        <w:t>debe</w:t>
      </w:r>
      <w:r>
        <w:rPr>
          <w:rFonts w:ascii="Verdana" w:eastAsia="Calibri" w:hAnsi="Verdana" w:cs="Arial"/>
          <w:color w:val="000000"/>
          <w:sz w:val="22"/>
          <w:szCs w:val="22"/>
        </w:rPr>
        <w:t xml:space="preserve"> tener una vigencia mínima</w:t>
      </w:r>
      <w:r w:rsidRPr="000D0E36">
        <w:rPr>
          <w:rFonts w:ascii="Verdana" w:eastAsia="Calibri" w:hAnsi="Verdana" w:cs="Arial"/>
          <w:color w:val="000000"/>
          <w:sz w:val="22"/>
          <w:szCs w:val="22"/>
        </w:rPr>
        <w:t xml:space="preserve"> hasta la liquidación del contrato. En ese sentido, el amparo cubre tanto el plazo </w:t>
      </w:r>
      <w:r w:rsidRPr="000D0E36">
        <w:rPr>
          <w:rFonts w:ascii="Verdana" w:eastAsia="Calibri" w:hAnsi="Verdana" w:cs="Arial"/>
          <w:color w:val="000000"/>
          <w:sz w:val="22"/>
          <w:szCs w:val="22"/>
        </w:rPr>
        <w:lastRenderedPageBreak/>
        <w:t xml:space="preserve">de ejecución como el plazo de vigencia del contrato. </w:t>
      </w:r>
      <w:r>
        <w:rPr>
          <w:rFonts w:ascii="Verdana" w:eastAsia="Calibri" w:hAnsi="Verdana" w:cs="Arial"/>
          <w:color w:val="000000"/>
          <w:sz w:val="22"/>
          <w:szCs w:val="22"/>
        </w:rPr>
        <w:t xml:space="preserve">Así las cosas, en atención a los problemas jurídicos planteados se señala que, la cobertura del amparo de cumplimiento no se limita al plazo previsto para la ejecución de las obligaciones principales, sino que debe extenderse hasta la culminación de la relación contractual mediante la correspondiente liquidación. </w:t>
      </w:r>
    </w:p>
    <w:p w14:paraId="73B7F3D6" w14:textId="77777777" w:rsidR="00A44A4E" w:rsidRPr="000D0E36" w:rsidRDefault="00A44A4E" w:rsidP="00A44A4E">
      <w:pPr>
        <w:spacing w:after="120" w:line="276" w:lineRule="auto"/>
        <w:ind w:firstLine="708"/>
        <w:jc w:val="both"/>
        <w:rPr>
          <w:rFonts w:ascii="Verdana" w:eastAsia="Calibri" w:hAnsi="Verdana" w:cs="Segoe UI"/>
          <w:sz w:val="22"/>
          <w:szCs w:val="22"/>
        </w:rPr>
      </w:pPr>
      <w:r w:rsidRPr="000D0E36">
        <w:rPr>
          <w:rFonts w:ascii="Verdana" w:hAnsi="Verdana" w:cs="Segoe UI"/>
          <w:sz w:val="22"/>
          <w:szCs w:val="22"/>
        </w:rPr>
        <w:t>En ese sentido, la jurisprudencia y la doctrina han explicado que el plazo de ejecución y el plazo de vigencia del contrato no siempre coinciden. Mientras el primero corresponde al término previsto para ejecutar las prestaciones a cargo de las partes, el segundo se extiende hasta que queden definidas las situaciones jurídicas derivadas de la ejecución contractual, labor que ordinariamente se materializa mediante la liquidación del contrato</w:t>
      </w:r>
      <w:r w:rsidRPr="000D0E36">
        <w:rPr>
          <w:rFonts w:ascii="Verdana" w:eastAsia="Calibri" w:hAnsi="Verdana"/>
          <w:sz w:val="22"/>
          <w:szCs w:val="22"/>
          <w:vertAlign w:val="superscript"/>
        </w:rPr>
        <w:footnoteReference w:id="3"/>
      </w:r>
      <w:r w:rsidRPr="000D0E36">
        <w:rPr>
          <w:rFonts w:ascii="Verdana" w:eastAsia="Calibri" w:hAnsi="Verdana"/>
          <w:sz w:val="22"/>
          <w:szCs w:val="22"/>
        </w:rPr>
        <w:t>.</w:t>
      </w:r>
      <w:r w:rsidRPr="000D0E36">
        <w:rPr>
          <w:rFonts w:ascii="Verdana" w:eastAsia="Calibri" w:hAnsi="Verdana"/>
          <w:spacing w:val="-2"/>
          <w:sz w:val="22"/>
          <w:szCs w:val="22"/>
        </w:rPr>
        <w:t xml:space="preserve"> </w:t>
      </w:r>
    </w:p>
    <w:p w14:paraId="73125E43" w14:textId="77777777" w:rsidR="00A44A4E" w:rsidRPr="000D0E36" w:rsidRDefault="00A44A4E" w:rsidP="00A44A4E">
      <w:pPr>
        <w:spacing w:line="276" w:lineRule="auto"/>
        <w:ind w:firstLine="709"/>
        <w:jc w:val="both"/>
        <w:rPr>
          <w:rFonts w:ascii="Verdana" w:eastAsia="Calibri" w:hAnsi="Verdana"/>
          <w:spacing w:val="-2"/>
          <w:sz w:val="22"/>
          <w:szCs w:val="22"/>
        </w:rPr>
      </w:pPr>
      <w:r w:rsidRPr="000D0E36">
        <w:rPr>
          <w:rFonts w:ascii="Verdana" w:eastAsia="Calibri" w:hAnsi="Verdana"/>
          <w:sz w:val="22"/>
          <w:szCs w:val="22"/>
        </w:rPr>
        <w:t xml:space="preserve">Al respecto, la jurisprudencia define el </w:t>
      </w:r>
      <w:r w:rsidRPr="000D0E36">
        <w:rPr>
          <w:rFonts w:ascii="Verdana" w:eastAsia="Calibri" w:hAnsi="Verdana"/>
          <w:i/>
          <w:sz w:val="22"/>
          <w:szCs w:val="22"/>
        </w:rPr>
        <w:t xml:space="preserve">plazo de ejecución </w:t>
      </w:r>
      <w:r w:rsidRPr="000D0E36">
        <w:rPr>
          <w:rFonts w:ascii="Verdana" w:eastAsia="Calibri" w:hAnsi="Verdana"/>
          <w:sz w:val="22"/>
          <w:szCs w:val="22"/>
        </w:rPr>
        <w:t>como el establecido para la realización</w:t>
      </w:r>
      <w:r w:rsidRPr="000D0E36">
        <w:rPr>
          <w:rFonts w:ascii="Verdana" w:eastAsia="Calibri" w:hAnsi="Verdana"/>
          <w:spacing w:val="-1"/>
          <w:sz w:val="22"/>
          <w:szCs w:val="22"/>
        </w:rPr>
        <w:t xml:space="preserve"> </w:t>
      </w:r>
      <w:r w:rsidRPr="000D0E36">
        <w:rPr>
          <w:rFonts w:ascii="Verdana" w:eastAsia="Calibri" w:hAnsi="Verdana"/>
          <w:sz w:val="22"/>
          <w:szCs w:val="22"/>
        </w:rPr>
        <w:t>de</w:t>
      </w:r>
      <w:r w:rsidRPr="000D0E36">
        <w:rPr>
          <w:rFonts w:ascii="Verdana" w:eastAsia="Calibri" w:hAnsi="Verdana"/>
          <w:spacing w:val="-5"/>
          <w:sz w:val="22"/>
          <w:szCs w:val="22"/>
        </w:rPr>
        <w:t xml:space="preserve"> </w:t>
      </w:r>
      <w:r w:rsidRPr="000D0E36">
        <w:rPr>
          <w:rFonts w:ascii="Verdana" w:eastAsia="Calibri" w:hAnsi="Verdana"/>
          <w:sz w:val="22"/>
          <w:szCs w:val="22"/>
        </w:rPr>
        <w:t>las</w:t>
      </w:r>
      <w:r w:rsidRPr="000D0E36">
        <w:rPr>
          <w:rFonts w:ascii="Verdana" w:eastAsia="Calibri" w:hAnsi="Verdana"/>
          <w:spacing w:val="-4"/>
          <w:sz w:val="22"/>
          <w:szCs w:val="22"/>
        </w:rPr>
        <w:t xml:space="preserve"> </w:t>
      </w:r>
      <w:r w:rsidRPr="000D0E36">
        <w:rPr>
          <w:rFonts w:ascii="Verdana" w:eastAsia="Calibri" w:hAnsi="Verdana"/>
          <w:sz w:val="22"/>
          <w:szCs w:val="22"/>
        </w:rPr>
        <w:t>prestaciones</w:t>
      </w:r>
      <w:r w:rsidRPr="000D0E36">
        <w:rPr>
          <w:rFonts w:ascii="Verdana" w:eastAsia="Calibri" w:hAnsi="Verdana"/>
          <w:spacing w:val="-2"/>
          <w:sz w:val="22"/>
          <w:szCs w:val="22"/>
        </w:rPr>
        <w:t xml:space="preserve"> </w:t>
      </w:r>
      <w:r w:rsidRPr="000D0E36">
        <w:rPr>
          <w:rFonts w:ascii="Verdana" w:eastAsia="Calibri" w:hAnsi="Verdana"/>
          <w:sz w:val="22"/>
          <w:szCs w:val="22"/>
        </w:rPr>
        <w:t>contractuales</w:t>
      </w:r>
      <w:r w:rsidRPr="000D0E36">
        <w:rPr>
          <w:rFonts w:ascii="Verdana" w:eastAsia="Calibri" w:hAnsi="Verdana"/>
          <w:spacing w:val="-1"/>
          <w:sz w:val="22"/>
          <w:szCs w:val="22"/>
        </w:rPr>
        <w:t xml:space="preserve"> </w:t>
      </w:r>
      <w:r w:rsidRPr="000D0E36">
        <w:rPr>
          <w:rFonts w:ascii="Verdana" w:eastAsia="Calibri" w:hAnsi="Verdana"/>
          <w:sz w:val="22"/>
          <w:szCs w:val="22"/>
        </w:rPr>
        <w:t>y,</w:t>
      </w:r>
      <w:r w:rsidRPr="000D0E36">
        <w:rPr>
          <w:rFonts w:ascii="Verdana" w:eastAsia="Calibri" w:hAnsi="Verdana"/>
          <w:spacing w:val="-5"/>
          <w:sz w:val="22"/>
          <w:szCs w:val="22"/>
        </w:rPr>
        <w:t xml:space="preserve"> </w:t>
      </w:r>
      <w:r w:rsidRPr="000D0E36">
        <w:rPr>
          <w:rFonts w:ascii="Verdana" w:eastAsia="Calibri" w:hAnsi="Verdana"/>
          <w:sz w:val="22"/>
          <w:szCs w:val="22"/>
        </w:rPr>
        <w:t>de</w:t>
      </w:r>
      <w:r w:rsidRPr="000D0E36">
        <w:rPr>
          <w:rFonts w:ascii="Verdana" w:eastAsia="Calibri" w:hAnsi="Verdana"/>
          <w:spacing w:val="-5"/>
          <w:sz w:val="22"/>
          <w:szCs w:val="22"/>
        </w:rPr>
        <w:t xml:space="preserve"> </w:t>
      </w:r>
      <w:r w:rsidRPr="000D0E36">
        <w:rPr>
          <w:rFonts w:ascii="Verdana" w:eastAsia="Calibri" w:hAnsi="Verdana"/>
          <w:sz w:val="22"/>
          <w:szCs w:val="22"/>
        </w:rPr>
        <w:t>igual</w:t>
      </w:r>
      <w:r w:rsidRPr="000D0E36">
        <w:rPr>
          <w:rFonts w:ascii="Verdana" w:eastAsia="Calibri" w:hAnsi="Verdana"/>
          <w:spacing w:val="-4"/>
          <w:sz w:val="22"/>
          <w:szCs w:val="22"/>
        </w:rPr>
        <w:t xml:space="preserve"> </w:t>
      </w:r>
      <w:r w:rsidRPr="000D0E36">
        <w:rPr>
          <w:rFonts w:ascii="Verdana" w:eastAsia="Calibri" w:hAnsi="Verdana"/>
          <w:sz w:val="22"/>
          <w:szCs w:val="22"/>
        </w:rPr>
        <w:t>forma,</w:t>
      </w:r>
      <w:r w:rsidRPr="000D0E36">
        <w:rPr>
          <w:rFonts w:ascii="Verdana" w:eastAsia="Calibri" w:hAnsi="Verdana"/>
          <w:spacing w:val="-3"/>
          <w:sz w:val="22"/>
          <w:szCs w:val="22"/>
        </w:rPr>
        <w:t xml:space="preserve"> </w:t>
      </w:r>
      <w:r w:rsidRPr="000D0E36">
        <w:rPr>
          <w:rFonts w:ascii="Verdana" w:eastAsia="Calibri" w:hAnsi="Verdana"/>
          <w:sz w:val="22"/>
          <w:szCs w:val="22"/>
        </w:rPr>
        <w:t xml:space="preserve">considera que el </w:t>
      </w:r>
      <w:r w:rsidRPr="000D0E36">
        <w:rPr>
          <w:rFonts w:ascii="Verdana" w:eastAsia="Calibri" w:hAnsi="Verdana"/>
          <w:i/>
          <w:sz w:val="22"/>
          <w:szCs w:val="22"/>
        </w:rPr>
        <w:t xml:space="preserve">plazo de vigencia </w:t>
      </w:r>
      <w:r w:rsidRPr="000D0E36">
        <w:rPr>
          <w:rFonts w:ascii="Verdana" w:eastAsia="Calibri" w:hAnsi="Verdana"/>
          <w:sz w:val="22"/>
          <w:szCs w:val="22"/>
        </w:rPr>
        <w:t>de este no ha finalizado mientras subsista la obligación para las partes de liquidar el contrato</w:t>
      </w:r>
      <w:r w:rsidRPr="000D0E36">
        <w:rPr>
          <w:rFonts w:ascii="Verdana" w:eastAsia="Calibri" w:hAnsi="Verdana"/>
          <w:sz w:val="22"/>
          <w:szCs w:val="22"/>
          <w:vertAlign w:val="superscript"/>
        </w:rPr>
        <w:footnoteReference w:id="4"/>
      </w:r>
      <w:r w:rsidRPr="000D0E36">
        <w:rPr>
          <w:rFonts w:ascii="Verdana" w:eastAsia="Calibri" w:hAnsi="Verdana"/>
          <w:sz w:val="22"/>
          <w:szCs w:val="22"/>
        </w:rPr>
        <w:t xml:space="preserve">. Por ello, explica lo </w:t>
      </w:r>
      <w:r w:rsidRPr="000D0E36">
        <w:rPr>
          <w:rFonts w:ascii="Verdana" w:eastAsia="Calibri" w:hAnsi="Verdana"/>
          <w:spacing w:val="-2"/>
          <w:sz w:val="22"/>
          <w:szCs w:val="22"/>
        </w:rPr>
        <w:t>siguiente:</w:t>
      </w:r>
    </w:p>
    <w:p w14:paraId="22B7248E" w14:textId="77777777" w:rsidR="00A44A4E" w:rsidRPr="000D0E36" w:rsidRDefault="00A44A4E" w:rsidP="00A44A4E">
      <w:pPr>
        <w:spacing w:line="276" w:lineRule="auto"/>
        <w:ind w:firstLine="709"/>
        <w:jc w:val="both"/>
        <w:rPr>
          <w:rFonts w:ascii="Verdana" w:eastAsia="Calibri" w:hAnsi="Verdana" w:cs="Arial"/>
          <w:color w:val="000000"/>
          <w:sz w:val="22"/>
          <w:szCs w:val="22"/>
          <w:lang w:val="es-ES" w:eastAsia="es-MX"/>
        </w:rPr>
      </w:pPr>
    </w:p>
    <w:p w14:paraId="67022AEF" w14:textId="77777777" w:rsidR="00A44A4E" w:rsidRPr="00E700B8" w:rsidRDefault="00A44A4E" w:rsidP="00A44A4E">
      <w:pPr>
        <w:ind w:left="709" w:right="709"/>
        <w:jc w:val="both"/>
        <w:rPr>
          <w:rFonts w:ascii="Verdana" w:eastAsia="Calibri" w:hAnsi="Verdana"/>
          <w:sz w:val="20"/>
          <w:szCs w:val="20"/>
        </w:rPr>
      </w:pPr>
      <w:r w:rsidRPr="000D0E36">
        <w:rPr>
          <w:rFonts w:ascii="Verdana" w:eastAsia="Calibri" w:hAnsi="Verdana" w:cs="Arial"/>
          <w:color w:val="000000"/>
          <w:sz w:val="20"/>
          <w:szCs w:val="20"/>
          <w:lang w:val="es-ES" w:eastAsia="es-MX"/>
        </w:rPr>
        <w:t>“</w:t>
      </w:r>
      <w:r w:rsidRPr="00E700B8">
        <w:rPr>
          <w:rFonts w:ascii="Verdana" w:eastAsia="Calibri" w:hAnsi="Verdana"/>
          <w:sz w:val="20"/>
          <w:szCs w:val="20"/>
        </w:rPr>
        <w:t>[…] si bien es cierto en la mayoría de los casos el plazo del contrato coincide con</w:t>
      </w:r>
      <w:r w:rsidRPr="00E700B8">
        <w:rPr>
          <w:rFonts w:ascii="Verdana" w:eastAsia="Calibri" w:hAnsi="Verdana"/>
          <w:spacing w:val="-1"/>
          <w:sz w:val="20"/>
          <w:szCs w:val="20"/>
        </w:rPr>
        <w:t xml:space="preserve"> </w:t>
      </w:r>
      <w:r w:rsidRPr="00E700B8">
        <w:rPr>
          <w:rFonts w:ascii="Verdana" w:eastAsia="Calibri" w:hAnsi="Verdana"/>
          <w:sz w:val="20"/>
          <w:szCs w:val="20"/>
        </w:rPr>
        <w:t>el</w:t>
      </w:r>
      <w:r w:rsidRPr="00E700B8">
        <w:rPr>
          <w:rFonts w:ascii="Verdana" w:eastAsia="Calibri" w:hAnsi="Verdana"/>
          <w:spacing w:val="-1"/>
          <w:sz w:val="20"/>
          <w:szCs w:val="20"/>
        </w:rPr>
        <w:t xml:space="preserve"> </w:t>
      </w:r>
      <w:r w:rsidRPr="0008256C">
        <w:rPr>
          <w:rFonts w:ascii="Verdana" w:eastAsia="Calibri" w:hAnsi="Verdana"/>
          <w:sz w:val="20"/>
          <w:szCs w:val="20"/>
        </w:rPr>
        <w:t>de</w:t>
      </w:r>
      <w:r w:rsidRPr="00E468FD">
        <w:rPr>
          <w:rFonts w:ascii="Verdana" w:eastAsia="Calibri" w:hAnsi="Verdana"/>
          <w:spacing w:val="-1"/>
          <w:sz w:val="20"/>
          <w:szCs w:val="20"/>
        </w:rPr>
        <w:t xml:space="preserve"> </w:t>
      </w:r>
      <w:r w:rsidRPr="001A26FE">
        <w:rPr>
          <w:rFonts w:ascii="Verdana" w:eastAsia="Calibri" w:hAnsi="Verdana"/>
          <w:sz w:val="20"/>
          <w:szCs w:val="20"/>
        </w:rPr>
        <w:t>ejecución de</w:t>
      </w:r>
      <w:r w:rsidRPr="001A26FE">
        <w:rPr>
          <w:rFonts w:ascii="Verdana" w:eastAsia="Calibri" w:hAnsi="Verdana"/>
          <w:spacing w:val="-1"/>
          <w:sz w:val="20"/>
          <w:szCs w:val="20"/>
        </w:rPr>
        <w:t xml:space="preserve"> </w:t>
      </w:r>
      <w:r w:rsidRPr="00E52F09">
        <w:rPr>
          <w:rFonts w:ascii="Verdana" w:eastAsia="Calibri" w:hAnsi="Verdana"/>
          <w:sz w:val="20"/>
          <w:szCs w:val="20"/>
        </w:rPr>
        <w:t>la</w:t>
      </w:r>
      <w:r w:rsidRPr="001004CD">
        <w:rPr>
          <w:rFonts w:ascii="Verdana" w:eastAsia="Calibri" w:hAnsi="Verdana"/>
          <w:spacing w:val="-1"/>
          <w:sz w:val="20"/>
          <w:szCs w:val="20"/>
        </w:rPr>
        <w:t xml:space="preserve"> </w:t>
      </w:r>
      <w:r w:rsidRPr="001004CD">
        <w:rPr>
          <w:rFonts w:ascii="Verdana" w:eastAsia="Calibri" w:hAnsi="Verdana"/>
          <w:sz w:val="20"/>
          <w:szCs w:val="20"/>
        </w:rPr>
        <w:t>obra,</w:t>
      </w:r>
      <w:r w:rsidRPr="001004CD">
        <w:rPr>
          <w:rFonts w:ascii="Verdana" w:eastAsia="Calibri" w:hAnsi="Verdana"/>
          <w:spacing w:val="-1"/>
          <w:sz w:val="20"/>
          <w:szCs w:val="20"/>
        </w:rPr>
        <w:t xml:space="preserve"> </w:t>
      </w:r>
      <w:r w:rsidRPr="001004CD">
        <w:rPr>
          <w:rFonts w:ascii="Verdana" w:eastAsia="Calibri" w:hAnsi="Verdana"/>
          <w:sz w:val="20"/>
          <w:szCs w:val="20"/>
        </w:rPr>
        <w:t>con</w:t>
      </w:r>
      <w:r w:rsidRPr="001004CD">
        <w:rPr>
          <w:rFonts w:ascii="Verdana" w:eastAsia="Calibri" w:hAnsi="Verdana"/>
          <w:spacing w:val="-1"/>
          <w:sz w:val="20"/>
          <w:szCs w:val="20"/>
        </w:rPr>
        <w:t xml:space="preserve"> </w:t>
      </w:r>
      <w:r w:rsidRPr="004018D1">
        <w:rPr>
          <w:rFonts w:ascii="Verdana" w:eastAsia="Calibri" w:hAnsi="Verdana"/>
          <w:sz w:val="20"/>
          <w:szCs w:val="20"/>
        </w:rPr>
        <w:t>la</w:t>
      </w:r>
      <w:r w:rsidRPr="004018D1">
        <w:rPr>
          <w:rFonts w:ascii="Verdana" w:eastAsia="Calibri" w:hAnsi="Verdana"/>
          <w:spacing w:val="-1"/>
          <w:sz w:val="20"/>
          <w:szCs w:val="20"/>
        </w:rPr>
        <w:t xml:space="preserve"> </w:t>
      </w:r>
      <w:r w:rsidRPr="00E700B8">
        <w:rPr>
          <w:rFonts w:ascii="Verdana" w:eastAsia="Calibri" w:hAnsi="Verdana"/>
          <w:sz w:val="20"/>
          <w:szCs w:val="20"/>
        </w:rPr>
        <w:t>entrega</w:t>
      </w:r>
      <w:r w:rsidRPr="00E700B8">
        <w:rPr>
          <w:rFonts w:ascii="Verdana" w:eastAsia="Calibri" w:hAnsi="Verdana"/>
          <w:spacing w:val="-1"/>
          <w:sz w:val="20"/>
          <w:szCs w:val="20"/>
        </w:rPr>
        <w:t xml:space="preserve"> </w:t>
      </w:r>
      <w:r w:rsidRPr="00E700B8">
        <w:rPr>
          <w:rFonts w:ascii="Verdana" w:eastAsia="Calibri" w:hAnsi="Verdana"/>
          <w:sz w:val="20"/>
          <w:szCs w:val="20"/>
        </w:rPr>
        <w:t>del</w:t>
      </w:r>
      <w:r w:rsidRPr="00E700B8">
        <w:rPr>
          <w:rFonts w:ascii="Verdana" w:eastAsia="Calibri" w:hAnsi="Verdana"/>
          <w:spacing w:val="-1"/>
          <w:sz w:val="20"/>
          <w:szCs w:val="20"/>
        </w:rPr>
        <w:t xml:space="preserve"> </w:t>
      </w:r>
      <w:r w:rsidRPr="00E700B8">
        <w:rPr>
          <w:rFonts w:ascii="Verdana" w:eastAsia="Calibri" w:hAnsi="Verdana"/>
          <w:sz w:val="20"/>
          <w:szCs w:val="20"/>
        </w:rPr>
        <w:t>suministro, con la prestación del servicio, también lo es, que este plazo no constituye propiamente hablando</w:t>
      </w:r>
      <w:r w:rsidRPr="00E700B8">
        <w:rPr>
          <w:rFonts w:ascii="Verdana" w:eastAsia="Calibri" w:hAnsi="Verdana"/>
          <w:spacing w:val="-1"/>
          <w:sz w:val="20"/>
          <w:szCs w:val="20"/>
        </w:rPr>
        <w:t xml:space="preserve"> </w:t>
      </w:r>
      <w:r w:rsidRPr="00E700B8">
        <w:rPr>
          <w:rFonts w:ascii="Verdana" w:eastAsia="Calibri" w:hAnsi="Verdana"/>
          <w:sz w:val="20"/>
          <w:szCs w:val="20"/>
        </w:rPr>
        <w:t>el</w:t>
      </w:r>
      <w:r w:rsidRPr="00E700B8">
        <w:rPr>
          <w:rFonts w:ascii="Verdana" w:eastAsia="Calibri" w:hAnsi="Verdana"/>
          <w:spacing w:val="-2"/>
          <w:sz w:val="20"/>
          <w:szCs w:val="20"/>
        </w:rPr>
        <w:t xml:space="preserve"> </w:t>
      </w:r>
      <w:r w:rsidRPr="00E700B8">
        <w:rPr>
          <w:rFonts w:ascii="Verdana" w:eastAsia="Calibri" w:hAnsi="Verdana"/>
          <w:sz w:val="20"/>
          <w:szCs w:val="20"/>
        </w:rPr>
        <w:t>periodo</w:t>
      </w:r>
      <w:r w:rsidRPr="00E700B8">
        <w:rPr>
          <w:rFonts w:ascii="Verdana" w:eastAsia="Calibri" w:hAnsi="Verdana"/>
          <w:spacing w:val="-1"/>
          <w:sz w:val="20"/>
          <w:szCs w:val="20"/>
        </w:rPr>
        <w:t xml:space="preserve"> </w:t>
      </w:r>
      <w:r w:rsidRPr="00E700B8">
        <w:rPr>
          <w:rFonts w:ascii="Verdana" w:eastAsia="Calibri" w:hAnsi="Verdana"/>
          <w:sz w:val="20"/>
          <w:szCs w:val="20"/>
        </w:rPr>
        <w:t>de</w:t>
      </w:r>
      <w:r w:rsidRPr="00E700B8">
        <w:rPr>
          <w:rFonts w:ascii="Verdana" w:eastAsia="Calibri" w:hAnsi="Verdana"/>
          <w:spacing w:val="-2"/>
          <w:sz w:val="20"/>
          <w:szCs w:val="20"/>
        </w:rPr>
        <w:t xml:space="preserve"> </w:t>
      </w:r>
      <w:r w:rsidRPr="00E700B8">
        <w:rPr>
          <w:rFonts w:ascii="Verdana" w:eastAsia="Calibri" w:hAnsi="Verdana"/>
          <w:sz w:val="20"/>
          <w:szCs w:val="20"/>
        </w:rPr>
        <w:t>ejecución del</w:t>
      </w:r>
      <w:r w:rsidRPr="00E700B8">
        <w:rPr>
          <w:rFonts w:ascii="Verdana" w:eastAsia="Calibri" w:hAnsi="Verdana"/>
          <w:spacing w:val="-2"/>
          <w:sz w:val="20"/>
          <w:szCs w:val="20"/>
        </w:rPr>
        <w:t xml:space="preserve"> </w:t>
      </w:r>
      <w:r w:rsidRPr="00E700B8">
        <w:rPr>
          <w:rFonts w:ascii="Verdana" w:eastAsia="Calibri" w:hAnsi="Verdana"/>
          <w:sz w:val="20"/>
          <w:szCs w:val="20"/>
        </w:rPr>
        <w:t>contrato porque al finalizar el plazo que se ha destinado para el cumplimiento de</w:t>
      </w:r>
      <w:r w:rsidRPr="00E700B8">
        <w:rPr>
          <w:rFonts w:ascii="Verdana" w:eastAsia="Calibri" w:hAnsi="Verdana"/>
          <w:spacing w:val="-16"/>
          <w:sz w:val="20"/>
          <w:szCs w:val="20"/>
        </w:rPr>
        <w:t xml:space="preserve"> </w:t>
      </w:r>
      <w:r w:rsidRPr="00E700B8">
        <w:rPr>
          <w:rFonts w:ascii="Verdana" w:eastAsia="Calibri" w:hAnsi="Verdana"/>
          <w:sz w:val="20"/>
          <w:szCs w:val="20"/>
        </w:rPr>
        <w:t>la</w:t>
      </w:r>
      <w:r w:rsidRPr="00E700B8">
        <w:rPr>
          <w:rFonts w:ascii="Verdana" w:eastAsia="Calibri" w:hAnsi="Verdana"/>
          <w:spacing w:val="-16"/>
          <w:sz w:val="20"/>
          <w:szCs w:val="20"/>
        </w:rPr>
        <w:t xml:space="preserve"> </w:t>
      </w:r>
      <w:r w:rsidRPr="00E700B8">
        <w:rPr>
          <w:rFonts w:ascii="Verdana" w:eastAsia="Calibri" w:hAnsi="Verdana"/>
          <w:sz w:val="20"/>
          <w:szCs w:val="20"/>
        </w:rPr>
        <w:t>obligación</w:t>
      </w:r>
      <w:r w:rsidRPr="00E700B8">
        <w:rPr>
          <w:rFonts w:ascii="Verdana" w:eastAsia="Calibri" w:hAnsi="Verdana"/>
          <w:spacing w:val="-13"/>
          <w:sz w:val="20"/>
          <w:szCs w:val="20"/>
        </w:rPr>
        <w:t xml:space="preserve"> </w:t>
      </w:r>
      <w:r w:rsidRPr="00E700B8">
        <w:rPr>
          <w:rFonts w:ascii="Verdana" w:eastAsia="Calibri" w:hAnsi="Verdana"/>
          <w:sz w:val="20"/>
          <w:szCs w:val="20"/>
        </w:rPr>
        <w:t>principal</w:t>
      </w:r>
      <w:r w:rsidRPr="00E700B8">
        <w:rPr>
          <w:rFonts w:ascii="Verdana" w:eastAsia="Calibri" w:hAnsi="Verdana"/>
          <w:spacing w:val="-14"/>
          <w:sz w:val="20"/>
          <w:szCs w:val="20"/>
        </w:rPr>
        <w:t xml:space="preserve"> </w:t>
      </w:r>
      <w:r w:rsidRPr="00E700B8">
        <w:rPr>
          <w:rFonts w:ascii="Verdana" w:eastAsia="Calibri" w:hAnsi="Verdana"/>
          <w:sz w:val="20"/>
          <w:szCs w:val="20"/>
        </w:rPr>
        <w:t>por</w:t>
      </w:r>
      <w:r w:rsidRPr="00E700B8">
        <w:rPr>
          <w:rFonts w:ascii="Verdana" w:eastAsia="Calibri" w:hAnsi="Verdana"/>
          <w:spacing w:val="-16"/>
          <w:sz w:val="20"/>
          <w:szCs w:val="20"/>
        </w:rPr>
        <w:t xml:space="preserve"> </w:t>
      </w:r>
      <w:r w:rsidRPr="00E700B8">
        <w:rPr>
          <w:rFonts w:ascii="Verdana" w:eastAsia="Calibri" w:hAnsi="Verdana"/>
          <w:sz w:val="20"/>
          <w:szCs w:val="20"/>
        </w:rPr>
        <w:t>parte</w:t>
      </w:r>
      <w:r w:rsidRPr="00E700B8">
        <w:rPr>
          <w:rFonts w:ascii="Verdana" w:eastAsia="Calibri" w:hAnsi="Verdana"/>
          <w:spacing w:val="-15"/>
          <w:sz w:val="20"/>
          <w:szCs w:val="20"/>
        </w:rPr>
        <w:t xml:space="preserve"> </w:t>
      </w:r>
      <w:r w:rsidRPr="00E700B8">
        <w:rPr>
          <w:rFonts w:ascii="Verdana" w:eastAsia="Calibri" w:hAnsi="Verdana"/>
          <w:sz w:val="20"/>
          <w:szCs w:val="20"/>
        </w:rPr>
        <w:t>del</w:t>
      </w:r>
      <w:r w:rsidRPr="00E700B8">
        <w:rPr>
          <w:rFonts w:ascii="Verdana" w:eastAsia="Calibri" w:hAnsi="Verdana"/>
          <w:spacing w:val="-16"/>
          <w:sz w:val="20"/>
          <w:szCs w:val="20"/>
        </w:rPr>
        <w:t xml:space="preserve"> </w:t>
      </w:r>
      <w:r w:rsidRPr="00E700B8">
        <w:rPr>
          <w:rFonts w:ascii="Verdana" w:eastAsia="Calibri" w:hAnsi="Verdana"/>
          <w:sz w:val="20"/>
          <w:szCs w:val="20"/>
        </w:rPr>
        <w:t>contratista</w:t>
      </w:r>
      <w:r w:rsidRPr="00E700B8">
        <w:rPr>
          <w:rFonts w:ascii="Verdana" w:eastAsia="Calibri" w:hAnsi="Verdana"/>
          <w:spacing w:val="-13"/>
          <w:sz w:val="20"/>
          <w:szCs w:val="20"/>
        </w:rPr>
        <w:t xml:space="preserve"> </w:t>
      </w:r>
      <w:r w:rsidRPr="00E700B8">
        <w:rPr>
          <w:rFonts w:ascii="Verdana" w:eastAsia="Calibri" w:hAnsi="Verdana"/>
          <w:sz w:val="20"/>
          <w:szCs w:val="20"/>
        </w:rPr>
        <w:t>las</w:t>
      </w:r>
      <w:r w:rsidRPr="00E700B8">
        <w:rPr>
          <w:rFonts w:ascii="Verdana" w:eastAsia="Calibri" w:hAnsi="Verdana"/>
          <w:spacing w:val="-16"/>
          <w:sz w:val="20"/>
          <w:szCs w:val="20"/>
        </w:rPr>
        <w:t xml:space="preserve"> </w:t>
      </w:r>
      <w:r w:rsidRPr="00E700B8">
        <w:rPr>
          <w:rFonts w:ascii="Verdana" w:eastAsia="Calibri" w:hAnsi="Verdana"/>
          <w:sz w:val="20"/>
          <w:szCs w:val="20"/>
        </w:rPr>
        <w:t>partes</w:t>
      </w:r>
      <w:r w:rsidRPr="00E700B8">
        <w:rPr>
          <w:rFonts w:ascii="Verdana" w:eastAsia="Calibri" w:hAnsi="Verdana"/>
          <w:spacing w:val="-15"/>
          <w:sz w:val="20"/>
          <w:szCs w:val="20"/>
        </w:rPr>
        <w:t xml:space="preserve"> </w:t>
      </w:r>
      <w:r w:rsidRPr="00E700B8">
        <w:rPr>
          <w:rFonts w:ascii="Verdana" w:eastAsia="Calibri" w:hAnsi="Verdana"/>
          <w:sz w:val="20"/>
          <w:szCs w:val="20"/>
        </w:rPr>
        <w:t>no</w:t>
      </w:r>
      <w:r w:rsidRPr="00E700B8">
        <w:rPr>
          <w:rFonts w:ascii="Verdana" w:eastAsia="Calibri" w:hAnsi="Verdana"/>
          <w:spacing w:val="-16"/>
          <w:sz w:val="20"/>
          <w:szCs w:val="20"/>
        </w:rPr>
        <w:t xml:space="preserve"> </w:t>
      </w:r>
      <w:r w:rsidRPr="00E700B8">
        <w:rPr>
          <w:rFonts w:ascii="Verdana" w:eastAsia="Calibri" w:hAnsi="Verdana"/>
          <w:sz w:val="20"/>
          <w:szCs w:val="20"/>
        </w:rPr>
        <w:t>quedan liberadas de pleno derecho mientras no se extingan todas las obligaciones</w:t>
      </w:r>
      <w:r w:rsidRPr="00E700B8">
        <w:rPr>
          <w:rFonts w:ascii="Verdana" w:eastAsia="Calibri" w:hAnsi="Verdana"/>
          <w:spacing w:val="-5"/>
          <w:sz w:val="20"/>
          <w:szCs w:val="20"/>
        </w:rPr>
        <w:t xml:space="preserve"> </w:t>
      </w:r>
      <w:r w:rsidRPr="00E700B8">
        <w:rPr>
          <w:rFonts w:ascii="Verdana" w:eastAsia="Calibri" w:hAnsi="Verdana"/>
          <w:sz w:val="20"/>
          <w:szCs w:val="20"/>
        </w:rPr>
        <w:t>adquiridas,</w:t>
      </w:r>
      <w:r w:rsidRPr="00E700B8">
        <w:rPr>
          <w:rFonts w:ascii="Verdana" w:eastAsia="Calibri" w:hAnsi="Verdana"/>
          <w:spacing w:val="-5"/>
          <w:sz w:val="20"/>
          <w:szCs w:val="20"/>
        </w:rPr>
        <w:t xml:space="preserve"> </w:t>
      </w:r>
      <w:r w:rsidRPr="00E700B8">
        <w:rPr>
          <w:rFonts w:ascii="Verdana" w:eastAsia="Calibri" w:hAnsi="Verdana"/>
          <w:sz w:val="20"/>
          <w:szCs w:val="20"/>
        </w:rPr>
        <w:t>lo</w:t>
      </w:r>
      <w:r w:rsidRPr="00E700B8">
        <w:rPr>
          <w:rFonts w:ascii="Verdana" w:eastAsia="Calibri" w:hAnsi="Verdana"/>
          <w:spacing w:val="-8"/>
          <w:sz w:val="20"/>
          <w:szCs w:val="20"/>
        </w:rPr>
        <w:t xml:space="preserve"> </w:t>
      </w:r>
      <w:r w:rsidRPr="00E700B8">
        <w:rPr>
          <w:rFonts w:ascii="Verdana" w:eastAsia="Calibri" w:hAnsi="Verdana"/>
          <w:sz w:val="20"/>
          <w:szCs w:val="20"/>
        </w:rPr>
        <w:t>cual</w:t>
      </w:r>
      <w:r w:rsidRPr="00E700B8">
        <w:rPr>
          <w:rFonts w:ascii="Verdana" w:eastAsia="Calibri" w:hAnsi="Verdana"/>
          <w:spacing w:val="-7"/>
          <w:sz w:val="20"/>
          <w:szCs w:val="20"/>
        </w:rPr>
        <w:t xml:space="preserve"> </w:t>
      </w:r>
      <w:r w:rsidRPr="00E700B8">
        <w:rPr>
          <w:rFonts w:ascii="Verdana" w:eastAsia="Calibri" w:hAnsi="Verdana"/>
          <w:sz w:val="20"/>
          <w:szCs w:val="20"/>
        </w:rPr>
        <w:t>se</w:t>
      </w:r>
      <w:r w:rsidRPr="00E700B8">
        <w:rPr>
          <w:rFonts w:ascii="Verdana" w:eastAsia="Calibri" w:hAnsi="Verdana"/>
          <w:spacing w:val="-8"/>
          <w:sz w:val="20"/>
          <w:szCs w:val="20"/>
        </w:rPr>
        <w:t xml:space="preserve"> </w:t>
      </w:r>
      <w:r w:rsidRPr="00E700B8">
        <w:rPr>
          <w:rFonts w:ascii="Verdana" w:eastAsia="Calibri" w:hAnsi="Verdana"/>
          <w:sz w:val="20"/>
          <w:szCs w:val="20"/>
        </w:rPr>
        <w:t>cumple</w:t>
      </w:r>
      <w:r w:rsidRPr="00E700B8">
        <w:rPr>
          <w:rFonts w:ascii="Verdana" w:eastAsia="Calibri" w:hAnsi="Verdana"/>
          <w:spacing w:val="-6"/>
          <w:sz w:val="20"/>
          <w:szCs w:val="20"/>
        </w:rPr>
        <w:t xml:space="preserve"> </w:t>
      </w:r>
      <w:r w:rsidRPr="00E700B8">
        <w:rPr>
          <w:rFonts w:ascii="Verdana" w:eastAsia="Calibri" w:hAnsi="Verdana"/>
          <w:sz w:val="20"/>
          <w:szCs w:val="20"/>
        </w:rPr>
        <w:t>necesariamente</w:t>
      </w:r>
      <w:r w:rsidRPr="00E700B8">
        <w:rPr>
          <w:rFonts w:ascii="Verdana" w:eastAsia="Calibri" w:hAnsi="Verdana"/>
          <w:spacing w:val="-3"/>
          <w:sz w:val="20"/>
          <w:szCs w:val="20"/>
        </w:rPr>
        <w:t xml:space="preserve"> </w:t>
      </w:r>
      <w:r w:rsidRPr="00E700B8">
        <w:rPr>
          <w:rFonts w:ascii="Verdana" w:eastAsia="Calibri" w:hAnsi="Verdana"/>
          <w:sz w:val="20"/>
          <w:szCs w:val="20"/>
        </w:rPr>
        <w:t>en</w:t>
      </w:r>
      <w:r w:rsidRPr="00E700B8">
        <w:rPr>
          <w:rFonts w:ascii="Verdana" w:eastAsia="Calibri" w:hAnsi="Verdana"/>
          <w:spacing w:val="-8"/>
          <w:sz w:val="20"/>
          <w:szCs w:val="20"/>
        </w:rPr>
        <w:t xml:space="preserve"> </w:t>
      </w:r>
      <w:r w:rsidRPr="00E700B8">
        <w:rPr>
          <w:rFonts w:ascii="Verdana" w:eastAsia="Calibri" w:hAnsi="Verdana"/>
          <w:sz w:val="20"/>
          <w:szCs w:val="20"/>
        </w:rPr>
        <w:t>la</w:t>
      </w:r>
      <w:r w:rsidRPr="00E700B8">
        <w:rPr>
          <w:rFonts w:ascii="Verdana" w:eastAsia="Calibri" w:hAnsi="Verdana"/>
          <w:spacing w:val="-8"/>
          <w:sz w:val="20"/>
          <w:szCs w:val="20"/>
        </w:rPr>
        <w:t xml:space="preserve"> </w:t>
      </w:r>
      <w:r w:rsidRPr="00E700B8">
        <w:rPr>
          <w:rFonts w:ascii="Verdana" w:eastAsia="Calibri" w:hAnsi="Verdana"/>
          <w:sz w:val="20"/>
          <w:szCs w:val="20"/>
        </w:rPr>
        <w:t>etapa de</w:t>
      </w:r>
      <w:r w:rsidRPr="00E700B8">
        <w:rPr>
          <w:rFonts w:ascii="Verdana" w:eastAsia="Calibri" w:hAnsi="Verdana"/>
          <w:spacing w:val="-13"/>
          <w:sz w:val="20"/>
          <w:szCs w:val="20"/>
        </w:rPr>
        <w:t xml:space="preserve"> </w:t>
      </w:r>
      <w:r w:rsidRPr="00E700B8">
        <w:rPr>
          <w:rFonts w:ascii="Verdana" w:eastAsia="Calibri" w:hAnsi="Verdana"/>
          <w:sz w:val="20"/>
          <w:szCs w:val="20"/>
        </w:rPr>
        <w:t>liquidación</w:t>
      </w:r>
      <w:r w:rsidRPr="00E700B8">
        <w:rPr>
          <w:rFonts w:ascii="Verdana" w:eastAsia="Calibri" w:hAnsi="Verdana"/>
          <w:spacing w:val="-10"/>
          <w:sz w:val="20"/>
          <w:szCs w:val="20"/>
        </w:rPr>
        <w:t xml:space="preserve"> </w:t>
      </w:r>
      <w:r w:rsidRPr="00E700B8">
        <w:rPr>
          <w:rFonts w:ascii="Verdana" w:eastAsia="Calibri" w:hAnsi="Verdana"/>
          <w:sz w:val="20"/>
          <w:szCs w:val="20"/>
        </w:rPr>
        <w:t>del</w:t>
      </w:r>
      <w:r w:rsidRPr="00E700B8">
        <w:rPr>
          <w:rFonts w:ascii="Verdana" w:eastAsia="Calibri" w:hAnsi="Verdana"/>
          <w:spacing w:val="-12"/>
          <w:sz w:val="20"/>
          <w:szCs w:val="20"/>
        </w:rPr>
        <w:t xml:space="preserve"> </w:t>
      </w:r>
      <w:r w:rsidRPr="00E700B8">
        <w:rPr>
          <w:rFonts w:ascii="Verdana" w:eastAsia="Calibri" w:hAnsi="Verdana"/>
          <w:sz w:val="20"/>
          <w:szCs w:val="20"/>
        </w:rPr>
        <w:t>contrato</w:t>
      </w:r>
      <w:r w:rsidRPr="00E700B8">
        <w:rPr>
          <w:rFonts w:ascii="Verdana" w:eastAsia="Calibri" w:hAnsi="Verdana"/>
          <w:spacing w:val="-11"/>
          <w:sz w:val="20"/>
          <w:szCs w:val="20"/>
        </w:rPr>
        <w:t xml:space="preserve"> </w:t>
      </w:r>
      <w:r w:rsidRPr="00E700B8">
        <w:rPr>
          <w:rFonts w:ascii="Verdana" w:eastAsia="Calibri" w:hAnsi="Verdana"/>
          <w:sz w:val="20"/>
          <w:szCs w:val="20"/>
        </w:rPr>
        <w:t>en</w:t>
      </w:r>
      <w:r w:rsidRPr="00E700B8">
        <w:rPr>
          <w:rFonts w:ascii="Verdana" w:eastAsia="Calibri" w:hAnsi="Verdana"/>
          <w:spacing w:val="-13"/>
          <w:sz w:val="20"/>
          <w:szCs w:val="20"/>
        </w:rPr>
        <w:t xml:space="preserve"> </w:t>
      </w:r>
      <w:r w:rsidRPr="00E700B8">
        <w:rPr>
          <w:rFonts w:ascii="Verdana" w:eastAsia="Calibri" w:hAnsi="Verdana"/>
          <w:sz w:val="20"/>
          <w:szCs w:val="20"/>
        </w:rPr>
        <w:t>la</w:t>
      </w:r>
      <w:r w:rsidRPr="00E700B8">
        <w:rPr>
          <w:rFonts w:ascii="Verdana" w:eastAsia="Calibri" w:hAnsi="Verdana"/>
          <w:spacing w:val="-13"/>
          <w:sz w:val="20"/>
          <w:szCs w:val="20"/>
        </w:rPr>
        <w:t xml:space="preserve"> </w:t>
      </w:r>
      <w:r w:rsidRPr="00E700B8">
        <w:rPr>
          <w:rFonts w:ascii="Verdana" w:eastAsia="Calibri" w:hAnsi="Verdana"/>
          <w:sz w:val="20"/>
          <w:szCs w:val="20"/>
        </w:rPr>
        <w:t>cual</w:t>
      </w:r>
      <w:r w:rsidRPr="00E700B8">
        <w:rPr>
          <w:rFonts w:ascii="Verdana" w:eastAsia="Calibri" w:hAnsi="Verdana"/>
          <w:spacing w:val="-12"/>
          <w:sz w:val="20"/>
          <w:szCs w:val="20"/>
        </w:rPr>
        <w:t xml:space="preserve"> </w:t>
      </w:r>
      <w:r w:rsidRPr="00E700B8">
        <w:rPr>
          <w:rFonts w:ascii="Verdana" w:eastAsia="Calibri" w:hAnsi="Verdana"/>
          <w:sz w:val="20"/>
          <w:szCs w:val="20"/>
        </w:rPr>
        <w:t>es</w:t>
      </w:r>
      <w:r w:rsidRPr="00E700B8">
        <w:rPr>
          <w:rFonts w:ascii="Verdana" w:eastAsia="Calibri" w:hAnsi="Verdana"/>
          <w:spacing w:val="-12"/>
          <w:sz w:val="20"/>
          <w:szCs w:val="20"/>
        </w:rPr>
        <w:t xml:space="preserve"> </w:t>
      </w:r>
      <w:r w:rsidRPr="00E700B8">
        <w:rPr>
          <w:rFonts w:ascii="Verdana" w:eastAsia="Calibri" w:hAnsi="Verdana"/>
          <w:sz w:val="20"/>
          <w:szCs w:val="20"/>
        </w:rPr>
        <w:t>donde</w:t>
      </w:r>
      <w:r w:rsidRPr="00E700B8">
        <w:rPr>
          <w:rFonts w:ascii="Verdana" w:eastAsia="Calibri" w:hAnsi="Verdana"/>
          <w:spacing w:val="-12"/>
          <w:sz w:val="20"/>
          <w:szCs w:val="20"/>
        </w:rPr>
        <w:t xml:space="preserve"> </w:t>
      </w:r>
      <w:r w:rsidRPr="00E700B8">
        <w:rPr>
          <w:rFonts w:ascii="Verdana" w:eastAsia="Calibri" w:hAnsi="Verdana"/>
          <w:sz w:val="20"/>
          <w:szCs w:val="20"/>
        </w:rPr>
        <w:t>la</w:t>
      </w:r>
      <w:r w:rsidRPr="00E700B8">
        <w:rPr>
          <w:rFonts w:ascii="Verdana" w:eastAsia="Calibri" w:hAnsi="Verdana"/>
          <w:spacing w:val="-13"/>
          <w:sz w:val="20"/>
          <w:szCs w:val="20"/>
        </w:rPr>
        <w:t xml:space="preserve"> </w:t>
      </w:r>
      <w:r w:rsidRPr="00E700B8">
        <w:rPr>
          <w:rFonts w:ascii="Verdana" w:eastAsia="Calibri" w:hAnsi="Verdana"/>
          <w:sz w:val="20"/>
          <w:szCs w:val="20"/>
        </w:rPr>
        <w:t>administración</w:t>
      </w:r>
      <w:r w:rsidRPr="00E700B8">
        <w:rPr>
          <w:rFonts w:ascii="Verdana" w:eastAsia="Calibri" w:hAnsi="Verdana"/>
          <w:spacing w:val="-8"/>
          <w:sz w:val="20"/>
          <w:szCs w:val="20"/>
        </w:rPr>
        <w:t xml:space="preserve"> </w:t>
      </w:r>
      <w:r w:rsidRPr="00E700B8">
        <w:rPr>
          <w:rFonts w:ascii="Verdana" w:eastAsia="Calibri" w:hAnsi="Verdana"/>
          <w:sz w:val="20"/>
          <w:szCs w:val="20"/>
        </w:rPr>
        <w:t>puede valorar</w:t>
      </w:r>
      <w:r w:rsidRPr="00E700B8">
        <w:rPr>
          <w:rFonts w:ascii="Verdana" w:eastAsia="Calibri" w:hAnsi="Verdana"/>
          <w:spacing w:val="-18"/>
          <w:sz w:val="20"/>
          <w:szCs w:val="20"/>
        </w:rPr>
        <w:t xml:space="preserve"> </w:t>
      </w:r>
      <w:r w:rsidRPr="00E700B8">
        <w:rPr>
          <w:rFonts w:ascii="Verdana" w:eastAsia="Calibri" w:hAnsi="Verdana"/>
          <w:sz w:val="20"/>
          <w:szCs w:val="20"/>
        </w:rPr>
        <w:t>el</w:t>
      </w:r>
      <w:r w:rsidRPr="00E700B8">
        <w:rPr>
          <w:rFonts w:ascii="Verdana" w:eastAsia="Calibri" w:hAnsi="Verdana"/>
          <w:spacing w:val="-18"/>
          <w:sz w:val="20"/>
          <w:szCs w:val="20"/>
        </w:rPr>
        <w:t xml:space="preserve"> </w:t>
      </w:r>
      <w:r w:rsidRPr="00E700B8">
        <w:rPr>
          <w:rFonts w:ascii="Verdana" w:eastAsia="Calibri" w:hAnsi="Verdana"/>
          <w:sz w:val="20"/>
          <w:szCs w:val="20"/>
        </w:rPr>
        <w:t>cumplimiento</w:t>
      </w:r>
      <w:r w:rsidRPr="00E700B8">
        <w:rPr>
          <w:rFonts w:ascii="Verdana" w:eastAsia="Calibri" w:hAnsi="Verdana"/>
          <w:spacing w:val="-15"/>
          <w:sz w:val="20"/>
          <w:szCs w:val="20"/>
        </w:rPr>
        <w:t xml:space="preserve"> </w:t>
      </w:r>
      <w:r w:rsidRPr="00E700B8">
        <w:rPr>
          <w:rFonts w:ascii="Verdana" w:eastAsia="Calibri" w:hAnsi="Verdana"/>
          <w:sz w:val="20"/>
          <w:szCs w:val="20"/>
        </w:rPr>
        <w:t>total</w:t>
      </w:r>
      <w:r w:rsidRPr="00E700B8">
        <w:rPr>
          <w:rFonts w:ascii="Verdana" w:eastAsia="Calibri" w:hAnsi="Verdana"/>
          <w:spacing w:val="-17"/>
          <w:sz w:val="20"/>
          <w:szCs w:val="20"/>
        </w:rPr>
        <w:t xml:space="preserve"> </w:t>
      </w:r>
      <w:r w:rsidRPr="00E700B8">
        <w:rPr>
          <w:rFonts w:ascii="Verdana" w:eastAsia="Calibri" w:hAnsi="Verdana"/>
          <w:sz w:val="20"/>
          <w:szCs w:val="20"/>
        </w:rPr>
        <w:t>de</w:t>
      </w:r>
      <w:r w:rsidRPr="00E700B8">
        <w:rPr>
          <w:rFonts w:ascii="Verdana" w:eastAsia="Calibri" w:hAnsi="Verdana"/>
          <w:spacing w:val="-18"/>
          <w:sz w:val="20"/>
          <w:szCs w:val="20"/>
        </w:rPr>
        <w:t xml:space="preserve"> </w:t>
      </w:r>
      <w:r w:rsidRPr="00E700B8">
        <w:rPr>
          <w:rFonts w:ascii="Verdana" w:eastAsia="Calibri" w:hAnsi="Verdana"/>
          <w:sz w:val="20"/>
          <w:szCs w:val="20"/>
        </w:rPr>
        <w:t>las</w:t>
      </w:r>
      <w:r w:rsidRPr="00E700B8">
        <w:rPr>
          <w:rFonts w:ascii="Verdana" w:eastAsia="Calibri" w:hAnsi="Verdana"/>
          <w:spacing w:val="-18"/>
          <w:sz w:val="20"/>
          <w:szCs w:val="20"/>
        </w:rPr>
        <w:t xml:space="preserve"> </w:t>
      </w:r>
      <w:r w:rsidRPr="00E700B8">
        <w:rPr>
          <w:rFonts w:ascii="Verdana" w:eastAsia="Calibri" w:hAnsi="Verdana"/>
          <w:sz w:val="20"/>
          <w:szCs w:val="20"/>
        </w:rPr>
        <w:t>obligaciones</w:t>
      </w:r>
      <w:r w:rsidRPr="00E700B8">
        <w:rPr>
          <w:rFonts w:ascii="Verdana" w:eastAsia="Calibri" w:hAnsi="Verdana"/>
          <w:spacing w:val="-16"/>
          <w:sz w:val="20"/>
          <w:szCs w:val="20"/>
        </w:rPr>
        <w:t xml:space="preserve"> </w:t>
      </w:r>
      <w:r w:rsidRPr="00E700B8">
        <w:rPr>
          <w:rFonts w:ascii="Verdana" w:eastAsia="Calibri" w:hAnsi="Verdana"/>
          <w:sz w:val="20"/>
          <w:szCs w:val="20"/>
        </w:rPr>
        <w:t>a</w:t>
      </w:r>
      <w:r w:rsidRPr="00E700B8">
        <w:rPr>
          <w:rFonts w:ascii="Verdana" w:eastAsia="Calibri" w:hAnsi="Verdana"/>
          <w:spacing w:val="-19"/>
          <w:sz w:val="20"/>
          <w:szCs w:val="20"/>
        </w:rPr>
        <w:t xml:space="preserve"> </w:t>
      </w:r>
      <w:r w:rsidRPr="00E700B8">
        <w:rPr>
          <w:rFonts w:ascii="Verdana" w:eastAsia="Calibri" w:hAnsi="Verdana"/>
          <w:sz w:val="20"/>
          <w:szCs w:val="20"/>
        </w:rPr>
        <w:t>cargo</w:t>
      </w:r>
      <w:r w:rsidRPr="00E700B8">
        <w:rPr>
          <w:rFonts w:ascii="Verdana" w:eastAsia="Calibri" w:hAnsi="Verdana"/>
          <w:spacing w:val="-17"/>
          <w:sz w:val="20"/>
          <w:szCs w:val="20"/>
        </w:rPr>
        <w:t xml:space="preserve"> </w:t>
      </w:r>
      <w:r w:rsidRPr="00E700B8">
        <w:rPr>
          <w:rFonts w:ascii="Verdana" w:eastAsia="Calibri" w:hAnsi="Verdana"/>
          <w:sz w:val="20"/>
          <w:szCs w:val="20"/>
        </w:rPr>
        <w:t>del</w:t>
      </w:r>
      <w:r w:rsidRPr="00E700B8">
        <w:rPr>
          <w:rFonts w:ascii="Verdana" w:eastAsia="Calibri" w:hAnsi="Verdana"/>
          <w:spacing w:val="-18"/>
          <w:sz w:val="20"/>
          <w:szCs w:val="20"/>
        </w:rPr>
        <w:t xml:space="preserve"> </w:t>
      </w:r>
      <w:r w:rsidRPr="00E700B8">
        <w:rPr>
          <w:rFonts w:ascii="Verdana" w:eastAsia="Calibri" w:hAnsi="Verdana"/>
          <w:sz w:val="20"/>
          <w:szCs w:val="20"/>
        </w:rPr>
        <w:t>contratista y es la que le pone término a la vinculación de las partes</w:t>
      </w:r>
      <w:r w:rsidRPr="00E700B8">
        <w:rPr>
          <w:rFonts w:ascii="Verdana" w:eastAsia="Calibri" w:hAnsi="Verdana"/>
          <w:spacing w:val="-53"/>
          <w:sz w:val="20"/>
          <w:szCs w:val="20"/>
        </w:rPr>
        <w:t xml:space="preserve"> </w:t>
      </w:r>
      <w:r w:rsidRPr="00E700B8">
        <w:rPr>
          <w:rFonts w:ascii="Verdana" w:eastAsia="Calibri" w:hAnsi="Verdana"/>
          <w:sz w:val="20"/>
          <w:szCs w:val="20"/>
        </w:rPr>
        <w:t>”</w:t>
      </w:r>
      <w:r w:rsidRPr="00E700B8">
        <w:rPr>
          <w:rFonts w:ascii="Verdana" w:eastAsia="Calibri" w:hAnsi="Verdana"/>
          <w:sz w:val="20"/>
          <w:szCs w:val="20"/>
          <w:vertAlign w:val="superscript"/>
        </w:rPr>
        <w:footnoteReference w:id="5"/>
      </w:r>
      <w:r w:rsidRPr="00E700B8">
        <w:rPr>
          <w:rFonts w:ascii="Verdana" w:eastAsia="Calibri" w:hAnsi="Verdana"/>
          <w:sz w:val="20"/>
          <w:szCs w:val="20"/>
        </w:rPr>
        <w:t>.</w:t>
      </w:r>
    </w:p>
    <w:p w14:paraId="5935FA60" w14:textId="77777777" w:rsidR="00A44A4E" w:rsidRPr="000D0E36" w:rsidRDefault="00A44A4E" w:rsidP="00A44A4E">
      <w:pPr>
        <w:spacing w:before="120" w:line="276" w:lineRule="auto"/>
        <w:jc w:val="both"/>
        <w:rPr>
          <w:rFonts w:ascii="Verdana" w:eastAsia="Calibri" w:hAnsi="Verdana" w:cs="Arial"/>
          <w:color w:val="000000"/>
          <w:sz w:val="22"/>
          <w:szCs w:val="22"/>
        </w:rPr>
      </w:pPr>
    </w:p>
    <w:p w14:paraId="06D30FC4" w14:textId="77777777" w:rsidR="00A44A4E" w:rsidRPr="000D0E36" w:rsidRDefault="00A44A4E" w:rsidP="00A44A4E">
      <w:pPr>
        <w:pStyle w:val="NormalWeb"/>
        <w:spacing w:before="0" w:beforeAutospacing="0" w:after="120" w:afterAutospacing="0" w:line="276" w:lineRule="auto"/>
        <w:jc w:val="both"/>
        <w:rPr>
          <w:rFonts w:ascii="Verdana" w:hAnsi="Verdana" w:cs="Segoe UI"/>
          <w:sz w:val="22"/>
          <w:szCs w:val="22"/>
          <w:lang w:eastAsia="es-ES_tradnl"/>
        </w:rPr>
      </w:pPr>
      <w:r w:rsidRPr="000D0E36">
        <w:rPr>
          <w:rFonts w:ascii="Verdana" w:eastAsia="Calibri" w:hAnsi="Verdana" w:cs="Arial"/>
          <w:sz w:val="22"/>
          <w:szCs w:val="22"/>
          <w:lang w:val="es-ES"/>
        </w:rPr>
        <w:tab/>
        <w:t xml:space="preserve">De lo anterior se colige que, la cobertura mínima del amparo de cumplimiento cubre el </w:t>
      </w:r>
      <w:r w:rsidRPr="000D0E36">
        <w:rPr>
          <w:rFonts w:ascii="Verdana" w:eastAsia="Calibri" w:hAnsi="Verdana" w:cs="Arial"/>
          <w:i/>
          <w:sz w:val="22"/>
          <w:szCs w:val="22"/>
          <w:lang w:val="es-ES"/>
        </w:rPr>
        <w:t xml:space="preserve">plazo de ejecución </w:t>
      </w:r>
      <w:r w:rsidRPr="000D0E36">
        <w:rPr>
          <w:rFonts w:ascii="Verdana" w:eastAsia="Aptos" w:hAnsi="Verdana"/>
          <w:sz w:val="22"/>
          <w:szCs w:val="22"/>
        </w:rPr>
        <w:t xml:space="preserve">y el </w:t>
      </w:r>
      <w:r w:rsidRPr="000D0E36">
        <w:rPr>
          <w:rFonts w:ascii="Verdana" w:eastAsia="Aptos" w:hAnsi="Verdana"/>
          <w:i/>
          <w:sz w:val="22"/>
          <w:szCs w:val="22"/>
        </w:rPr>
        <w:t>plazo de vigencia</w:t>
      </w:r>
      <w:r w:rsidRPr="000D0E36">
        <w:rPr>
          <w:rFonts w:ascii="Verdana" w:eastAsia="Aptos" w:hAnsi="Verdana"/>
          <w:sz w:val="22"/>
          <w:szCs w:val="22"/>
        </w:rPr>
        <w:t>, el cual finaliza con la liquidación</w:t>
      </w:r>
      <w:r w:rsidRPr="00E700B8">
        <w:rPr>
          <w:rFonts w:ascii="Verdana" w:eastAsia="Aptos" w:hAnsi="Verdana"/>
          <w:sz w:val="22"/>
          <w:szCs w:val="22"/>
        </w:rPr>
        <w:t>, por lo cual la Entidad Estatal</w:t>
      </w:r>
      <w:r w:rsidRPr="0008256C">
        <w:rPr>
          <w:rFonts w:ascii="Verdana" w:eastAsia="Aptos" w:hAnsi="Verdana"/>
          <w:sz w:val="22"/>
          <w:szCs w:val="22"/>
        </w:rPr>
        <w:t xml:space="preserve"> debe </w:t>
      </w:r>
      <w:r w:rsidRPr="00E468FD">
        <w:rPr>
          <w:rFonts w:ascii="Verdana" w:eastAsia="Aptos" w:hAnsi="Verdana"/>
          <w:sz w:val="22"/>
          <w:szCs w:val="22"/>
        </w:rPr>
        <w:t>verificar que la garant</w:t>
      </w:r>
      <w:r w:rsidRPr="001A26FE">
        <w:rPr>
          <w:rFonts w:ascii="Verdana" w:eastAsia="Aptos" w:hAnsi="Verdana"/>
          <w:sz w:val="22"/>
          <w:szCs w:val="22"/>
        </w:rPr>
        <w:t>ía de cumplimiento conserve una vigencia mínima hasta la liquidación del contrato</w:t>
      </w:r>
      <w:r w:rsidRPr="000D0E36">
        <w:rPr>
          <w:rFonts w:ascii="Verdana" w:eastAsia="Aptos" w:hAnsi="Verdana"/>
          <w:sz w:val="22"/>
          <w:szCs w:val="22"/>
        </w:rPr>
        <w:t xml:space="preserve">. </w:t>
      </w:r>
      <w:r>
        <w:rPr>
          <w:rFonts w:ascii="Verdana" w:eastAsia="Aptos" w:hAnsi="Verdana"/>
          <w:sz w:val="22"/>
          <w:szCs w:val="22"/>
        </w:rPr>
        <w:t xml:space="preserve">Sobre el particular, </w:t>
      </w:r>
      <w:r w:rsidRPr="000D0E36">
        <w:rPr>
          <w:rFonts w:ascii="Verdana" w:eastAsia="Aptos" w:hAnsi="Verdana"/>
          <w:sz w:val="22"/>
          <w:szCs w:val="22"/>
        </w:rPr>
        <w:t>ara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0D0E36">
        <w:rPr>
          <w:rFonts w:ascii="Verdana" w:eastAsia="Aptos" w:hAnsi="Verdana"/>
          <w:sz w:val="22"/>
          <w:szCs w:val="22"/>
          <w:vertAlign w:val="superscript"/>
        </w:rPr>
        <w:footnoteReference w:id="6"/>
      </w:r>
      <w:r w:rsidRPr="000D0E36">
        <w:rPr>
          <w:rFonts w:ascii="Verdana" w:eastAsia="Aptos" w:hAnsi="Verdana"/>
          <w:sz w:val="22"/>
          <w:szCs w:val="22"/>
        </w:rPr>
        <w:t xml:space="preserve">. </w:t>
      </w:r>
      <w:r w:rsidRPr="000D0E36">
        <w:rPr>
          <w:rFonts w:ascii="Verdana" w:hAnsi="Verdana" w:cs="Segoe UI"/>
          <w:sz w:val="22"/>
          <w:szCs w:val="22"/>
          <w:lang w:eastAsia="es-ES_tradnl"/>
        </w:rPr>
        <w:t>En consecuencia, cuando la garantía inicialmente constituida no cubra dicho período, la entidad deberá requerir al contratista para que adelante las actuaciones necesarias tendientes a mantener o ampliar la vigencia del respectivo amparo.</w:t>
      </w:r>
    </w:p>
    <w:p w14:paraId="6A109257" w14:textId="77777777" w:rsidR="00A44A4E" w:rsidRPr="000D0E36" w:rsidRDefault="00A44A4E" w:rsidP="00A44A4E">
      <w:pPr>
        <w:spacing w:after="120" w:line="276" w:lineRule="auto"/>
        <w:ind w:firstLine="708"/>
        <w:jc w:val="both"/>
        <w:rPr>
          <w:rFonts w:ascii="Verdana" w:hAnsi="Verdana" w:cs="Segoe UI"/>
          <w:sz w:val="22"/>
          <w:szCs w:val="22"/>
        </w:rPr>
      </w:pPr>
      <w:r w:rsidRPr="000D0E36">
        <w:rPr>
          <w:rFonts w:ascii="Verdana" w:hAnsi="Verdana" w:cs="Segoe UI"/>
          <w:sz w:val="22"/>
          <w:szCs w:val="22"/>
        </w:rPr>
        <w:t>No obstante, la obligación de mantener vigente la garantía y la facultad o el deber de liquidar el contrato constituyen instituciones jurídicas diferentes. Mientras la garantía tiene como finalidad cubrir los riesgos derivados del eventual incumplimiento de las obligaciones amparadas, la liquidación tiene por objeto efectuar el balance definitivo de la relación contractual, verificar el estado final de las obligaciones asumidas por las partes y determinar los saldos o ajustes a que haya lugar.</w:t>
      </w:r>
    </w:p>
    <w:p w14:paraId="18CB0008" w14:textId="77777777" w:rsidR="00A44A4E" w:rsidRPr="000D0E36" w:rsidRDefault="00A44A4E" w:rsidP="00A44A4E">
      <w:pPr>
        <w:spacing w:after="120" w:line="276" w:lineRule="auto"/>
        <w:ind w:firstLine="708"/>
        <w:jc w:val="both"/>
        <w:rPr>
          <w:rFonts w:ascii="Verdana" w:hAnsi="Verdana" w:cs="Segoe UI"/>
          <w:sz w:val="22"/>
          <w:szCs w:val="22"/>
        </w:rPr>
      </w:pPr>
      <w:r w:rsidRPr="000D0E36">
        <w:rPr>
          <w:rFonts w:ascii="Verdana" w:hAnsi="Verdana" w:cs="Segoe UI"/>
          <w:sz w:val="22"/>
          <w:szCs w:val="22"/>
        </w:rPr>
        <w:t xml:space="preserve">Por esta razón, la circunstancia consistente en que el contratista no hubiere adelantado oportunamente la ampliación de la garantía no constituye, por sí sola, una causal expresamente prevista por el ordenamiento jurídico para impedir indefinidamente la liquidación del contrato cuando esta resulte procedente. Sin embargo, dicha situación tampoco releva a la </w:t>
      </w:r>
      <w:r>
        <w:rPr>
          <w:rFonts w:ascii="Verdana" w:hAnsi="Verdana" w:cs="Segoe UI"/>
          <w:sz w:val="22"/>
          <w:szCs w:val="22"/>
        </w:rPr>
        <w:t>E</w:t>
      </w:r>
      <w:r w:rsidRPr="000D0E36">
        <w:rPr>
          <w:rFonts w:ascii="Verdana" w:hAnsi="Verdana" w:cs="Segoe UI"/>
          <w:sz w:val="22"/>
          <w:szCs w:val="22"/>
        </w:rPr>
        <w:t xml:space="preserve">ntidad </w:t>
      </w:r>
      <w:r>
        <w:rPr>
          <w:rFonts w:ascii="Verdana" w:hAnsi="Verdana" w:cs="Segoe UI"/>
          <w:sz w:val="22"/>
          <w:szCs w:val="22"/>
        </w:rPr>
        <w:t>E</w:t>
      </w:r>
      <w:r w:rsidRPr="000D0E36">
        <w:rPr>
          <w:rFonts w:ascii="Verdana" w:hAnsi="Verdana" w:cs="Segoe UI"/>
          <w:sz w:val="22"/>
          <w:szCs w:val="22"/>
        </w:rPr>
        <w:t>statal del deber de exigir el cumplimiento de las obligaciones relacionadas con la constitución y mantenimiento de las garantías contractuales.</w:t>
      </w:r>
    </w:p>
    <w:p w14:paraId="3ECCE003" w14:textId="77777777" w:rsidR="00A44A4E" w:rsidRPr="000D0E36" w:rsidRDefault="00A44A4E" w:rsidP="00A44A4E">
      <w:pPr>
        <w:spacing w:after="120" w:line="276" w:lineRule="auto"/>
        <w:ind w:firstLine="708"/>
        <w:jc w:val="both"/>
        <w:rPr>
          <w:rFonts w:ascii="Verdana" w:hAnsi="Verdana" w:cs="Segoe UI"/>
          <w:sz w:val="22"/>
          <w:szCs w:val="22"/>
        </w:rPr>
      </w:pPr>
      <w:r w:rsidRPr="000D0E36">
        <w:rPr>
          <w:rFonts w:ascii="Verdana" w:hAnsi="Verdana" w:cs="Segoe UI"/>
          <w:sz w:val="22"/>
          <w:szCs w:val="22"/>
        </w:rPr>
        <w:t xml:space="preserve">En consecuencia, cuando se presente una situación de esta naturaleza, la entidad deberá analizar las circunstancias particulares del caso, la existencia o no de obligaciones pendientes de cumplimiento, los riesgos que subsistan al momento de adelantar la liquidación, la naturaleza de las obligaciones </w:t>
      </w:r>
      <w:r w:rsidRPr="000D0E36">
        <w:rPr>
          <w:rFonts w:ascii="Verdana" w:hAnsi="Verdana" w:cs="Segoe UI"/>
          <w:sz w:val="22"/>
          <w:szCs w:val="22"/>
        </w:rPr>
        <w:lastRenderedPageBreak/>
        <w:t>amparadas y los efectos jurídicos que puedan derivarse de la ausencia de cobertura durante el período correspondiente.</w:t>
      </w:r>
    </w:p>
    <w:p w14:paraId="54BABA44" w14:textId="77777777" w:rsidR="00A44A4E" w:rsidRPr="000D0E36" w:rsidRDefault="00A44A4E" w:rsidP="00A44A4E">
      <w:pPr>
        <w:spacing w:after="120" w:line="276" w:lineRule="auto"/>
        <w:ind w:firstLine="708"/>
        <w:jc w:val="both"/>
        <w:rPr>
          <w:rFonts w:ascii="Verdana" w:hAnsi="Verdana" w:cs="Segoe UI"/>
          <w:sz w:val="22"/>
          <w:szCs w:val="22"/>
        </w:rPr>
      </w:pPr>
      <w:r w:rsidRPr="000D0E36">
        <w:rPr>
          <w:rFonts w:ascii="Verdana" w:hAnsi="Verdana" w:cs="Segoe UI"/>
          <w:sz w:val="22"/>
          <w:szCs w:val="22"/>
        </w:rPr>
        <w:t>Bajo esa perspectiva, el ordenamiento jurídico no contiene una disposición que establezca que la sola ausencia de ampliación de la garantía produzca automáticamente la imposibilidad jurídica de liquidar el contrato. Sin embargo, corresponde a la entidad estatal valorar, con fundamento en los antecedentes contractuales y en los documentos que integran el expediente, si existen incumplimientos pendientes de declarar, obligaciones no extinguidas, reclamaciones en curso o cualquier otra circunstancia que haga necesario mantener la cobertura prevista por la garantía de cumplimiento.</w:t>
      </w:r>
    </w:p>
    <w:p w14:paraId="1A88A11E" w14:textId="77777777" w:rsidR="00A44A4E" w:rsidRPr="000D0E36" w:rsidRDefault="00A44A4E" w:rsidP="00A44A4E">
      <w:pPr>
        <w:spacing w:after="120" w:line="276" w:lineRule="auto"/>
        <w:ind w:firstLine="708"/>
        <w:jc w:val="both"/>
        <w:rPr>
          <w:rFonts w:ascii="Verdana" w:hAnsi="Verdana" w:cs="Segoe UI"/>
          <w:sz w:val="22"/>
          <w:szCs w:val="22"/>
        </w:rPr>
      </w:pPr>
      <w:r w:rsidRPr="000D0E36">
        <w:rPr>
          <w:rFonts w:ascii="Verdana" w:hAnsi="Verdana" w:cs="Segoe UI"/>
          <w:sz w:val="22"/>
          <w:szCs w:val="22"/>
        </w:rPr>
        <w:t xml:space="preserve">Así mismo, en ejercicio de sus funciones de </w:t>
      </w:r>
      <w:r>
        <w:rPr>
          <w:rFonts w:ascii="Verdana" w:hAnsi="Verdana" w:cs="Segoe UI"/>
          <w:sz w:val="22"/>
          <w:szCs w:val="22"/>
        </w:rPr>
        <w:t>control y seguimiento</w:t>
      </w:r>
      <w:r w:rsidRPr="000D0E36">
        <w:rPr>
          <w:rFonts w:ascii="Verdana" w:hAnsi="Verdana" w:cs="Segoe UI"/>
          <w:sz w:val="22"/>
          <w:szCs w:val="22"/>
        </w:rPr>
        <w:t xml:space="preserve"> sobre la actividad contractual, la entidad deberá dejar constancia de las circunstancias relevantes que rodean la ejecución y liquidación del contrato y adoptar las decisiones que correspondan de acuerdo con las condiciones particulares del negocio jurídico, las obligaciones pendientes</w:t>
      </w:r>
      <w:r>
        <w:rPr>
          <w:rFonts w:ascii="Verdana" w:hAnsi="Verdana" w:cs="Segoe UI"/>
          <w:sz w:val="22"/>
          <w:szCs w:val="22"/>
        </w:rPr>
        <w:t xml:space="preserve">, </w:t>
      </w:r>
      <w:r w:rsidRPr="000D0E36">
        <w:rPr>
          <w:rFonts w:ascii="Verdana" w:hAnsi="Verdana" w:cs="Segoe UI"/>
          <w:sz w:val="22"/>
          <w:szCs w:val="22"/>
        </w:rPr>
        <w:t>los riesgos identificados al momento de realizar el balance final de la relación contractual</w:t>
      </w:r>
      <w:r>
        <w:rPr>
          <w:rFonts w:ascii="Verdana" w:hAnsi="Verdana" w:cs="Segoe UI"/>
          <w:sz w:val="22"/>
          <w:szCs w:val="22"/>
        </w:rPr>
        <w:t>, incluso valorar un posible incumplimiento contractual por la renuencia del contratista de ampliar las garantías</w:t>
      </w:r>
      <w:r w:rsidRPr="000D0E36">
        <w:rPr>
          <w:rFonts w:ascii="Verdana" w:hAnsi="Verdana" w:cs="Segoe UI"/>
          <w:sz w:val="22"/>
          <w:szCs w:val="22"/>
        </w:rPr>
        <w:t>.</w:t>
      </w:r>
    </w:p>
    <w:p w14:paraId="0699AA48" w14:textId="77777777" w:rsidR="00A44A4E" w:rsidRPr="000D0E36" w:rsidRDefault="00A44A4E" w:rsidP="00A44A4E">
      <w:pPr>
        <w:spacing w:after="120" w:line="276" w:lineRule="auto"/>
        <w:ind w:firstLine="708"/>
        <w:jc w:val="both"/>
        <w:rPr>
          <w:rFonts w:ascii="Verdana" w:hAnsi="Verdana" w:cs="Segoe UI"/>
          <w:sz w:val="22"/>
          <w:szCs w:val="22"/>
        </w:rPr>
      </w:pPr>
      <w:r w:rsidRPr="000D0E36">
        <w:rPr>
          <w:rFonts w:ascii="Verdana" w:hAnsi="Verdana" w:cs="Segoe UI"/>
          <w:sz w:val="22"/>
          <w:szCs w:val="22"/>
        </w:rPr>
        <w:t xml:space="preserve">En síntesis, la garantía de cumplimiento debe mantenerse vigente, como mínimo, hasta la liquidación del contrato, razón por la cual la </w:t>
      </w:r>
      <w:r>
        <w:rPr>
          <w:rFonts w:ascii="Verdana" w:hAnsi="Verdana" w:cs="Segoe UI"/>
          <w:sz w:val="22"/>
          <w:szCs w:val="22"/>
        </w:rPr>
        <w:t>E</w:t>
      </w:r>
      <w:r w:rsidRPr="000D0E36">
        <w:rPr>
          <w:rFonts w:ascii="Verdana" w:hAnsi="Verdana" w:cs="Segoe UI"/>
          <w:sz w:val="22"/>
          <w:szCs w:val="22"/>
        </w:rPr>
        <w:t xml:space="preserve">ntidad </w:t>
      </w:r>
      <w:r>
        <w:rPr>
          <w:rFonts w:ascii="Verdana" w:hAnsi="Verdana" w:cs="Segoe UI"/>
          <w:sz w:val="22"/>
          <w:szCs w:val="22"/>
        </w:rPr>
        <w:t>E</w:t>
      </w:r>
      <w:r w:rsidRPr="000D0E36">
        <w:rPr>
          <w:rFonts w:ascii="Verdana" w:hAnsi="Verdana" w:cs="Segoe UI"/>
          <w:sz w:val="22"/>
          <w:szCs w:val="22"/>
        </w:rPr>
        <w:t xml:space="preserve">statal tiene el deber de exigir al contratista las actuaciones necesarias para conservar dicha cobertura. No obstante, la falta de ampliación de la garantía no aparece regulada como una causal que, por sí sola, suprima la facultad o el deber de liquidar el contrato. </w:t>
      </w:r>
      <w:r>
        <w:rPr>
          <w:rFonts w:ascii="Verdana" w:hAnsi="Verdana" w:cs="Segoe UI"/>
          <w:sz w:val="22"/>
          <w:szCs w:val="22"/>
        </w:rPr>
        <w:t xml:space="preserve">Lo anterior, sin perjuicio de un posible incumplimiento del </w:t>
      </w:r>
      <w:proofErr w:type="gramStart"/>
      <w:r>
        <w:rPr>
          <w:rFonts w:ascii="Verdana" w:hAnsi="Verdana" w:cs="Segoe UI"/>
          <w:sz w:val="22"/>
          <w:szCs w:val="22"/>
        </w:rPr>
        <w:t>contratista ,</w:t>
      </w:r>
      <w:proofErr w:type="gramEnd"/>
      <w:r>
        <w:rPr>
          <w:rFonts w:ascii="Verdana" w:hAnsi="Verdana" w:cs="Segoe UI"/>
          <w:sz w:val="22"/>
          <w:szCs w:val="22"/>
        </w:rPr>
        <w:t xml:space="preserve"> en caso de que realice las actuaciones pertinentes para mantener las garantías vigentes.</w:t>
      </w:r>
    </w:p>
    <w:p w14:paraId="50265057" w14:textId="77777777" w:rsidR="00A44A4E" w:rsidRPr="000D0E36" w:rsidRDefault="00A44A4E" w:rsidP="00A44A4E">
      <w:pPr>
        <w:tabs>
          <w:tab w:val="left" w:pos="709"/>
        </w:tabs>
        <w:spacing w:before="120" w:line="276" w:lineRule="auto"/>
        <w:jc w:val="both"/>
        <w:rPr>
          <w:rFonts w:ascii="Verdana" w:eastAsia="Calibri" w:hAnsi="Verdana" w:cs="Arial"/>
          <w:sz w:val="22"/>
          <w:szCs w:val="22"/>
        </w:rPr>
      </w:pPr>
      <w:r w:rsidRPr="000D0E36">
        <w:rPr>
          <w:rFonts w:ascii="Verdana" w:eastAsia="Calibri" w:hAnsi="Verdana" w:cs="Arial"/>
          <w:sz w:val="22"/>
          <w:szCs w:val="22"/>
        </w:rPr>
        <w:tab/>
        <w:t xml:space="preserve">Finalmente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68E4FEAE" w14:textId="77777777" w:rsidR="00A44A4E" w:rsidRPr="000D0E36" w:rsidRDefault="00A44A4E" w:rsidP="00A44A4E">
      <w:pPr>
        <w:spacing w:line="276" w:lineRule="auto"/>
        <w:ind w:firstLine="708"/>
        <w:jc w:val="both"/>
        <w:rPr>
          <w:rFonts w:ascii="Verdana" w:eastAsia="Calibri" w:hAnsi="Verdana" w:cs="Arial"/>
          <w:sz w:val="22"/>
          <w:szCs w:val="22"/>
        </w:rPr>
      </w:pPr>
    </w:p>
    <w:p w14:paraId="340B5AB0" w14:textId="77777777" w:rsidR="00A44A4E" w:rsidRPr="000D0E36" w:rsidRDefault="00A44A4E" w:rsidP="00A44A4E">
      <w:pPr>
        <w:widowControl w:val="0"/>
        <w:autoSpaceDE w:val="0"/>
        <w:autoSpaceDN w:val="0"/>
        <w:spacing w:line="276" w:lineRule="auto"/>
        <w:outlineLvl w:val="0"/>
        <w:rPr>
          <w:rFonts w:ascii="Verdana" w:eastAsia="Arial" w:hAnsi="Verdana" w:cs="Arial"/>
          <w:b/>
          <w:sz w:val="22"/>
          <w:szCs w:val="22"/>
          <w:lang w:val="es-ES"/>
        </w:rPr>
      </w:pPr>
      <w:r w:rsidRPr="000D0E36">
        <w:rPr>
          <w:rFonts w:ascii="Verdana" w:eastAsia="Arial" w:hAnsi="Verdana" w:cs="Arial"/>
          <w:b/>
          <w:sz w:val="22"/>
          <w:szCs w:val="22"/>
          <w:lang w:val="es-ES"/>
        </w:rPr>
        <w:lastRenderedPageBreak/>
        <w:t>4. Referencias normativas, jurisprudenciales y otras fuentes:</w:t>
      </w:r>
    </w:p>
    <w:p w14:paraId="32A2E6FB" w14:textId="77777777" w:rsidR="00A44A4E" w:rsidRPr="000D0E36" w:rsidRDefault="00A44A4E" w:rsidP="00A44A4E">
      <w:pPr>
        <w:widowControl w:val="0"/>
        <w:autoSpaceDE w:val="0"/>
        <w:autoSpaceDN w:val="0"/>
        <w:spacing w:line="276" w:lineRule="auto"/>
        <w:jc w:val="both"/>
        <w:rPr>
          <w:rFonts w:ascii="Verdana" w:eastAsia="Aptos" w:hAnsi="Verdana" w:cs="Arial"/>
          <w:sz w:val="22"/>
          <w:szCs w:val="22"/>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44A4E" w:rsidRPr="00B54634" w14:paraId="34EB1C8B" w14:textId="77777777" w:rsidTr="0074180E">
        <w:trPr>
          <w:trHeight w:val="870"/>
        </w:trPr>
        <w:tc>
          <w:tcPr>
            <w:tcW w:w="8647" w:type="dxa"/>
          </w:tcPr>
          <w:p w14:paraId="2E840B3E" w14:textId="77777777" w:rsidR="00A44A4E" w:rsidRPr="000D0E36" w:rsidRDefault="00A44A4E" w:rsidP="00A44A4E">
            <w:pPr>
              <w:widowControl w:val="0"/>
              <w:numPr>
                <w:ilvl w:val="0"/>
                <w:numId w:val="1"/>
              </w:numPr>
              <w:autoSpaceDE w:val="0"/>
              <w:autoSpaceDN w:val="0"/>
              <w:spacing w:line="276" w:lineRule="auto"/>
              <w:jc w:val="both"/>
              <w:rPr>
                <w:rFonts w:ascii="Verdana" w:eastAsia="Aptos" w:hAnsi="Verdana" w:cs="Arial"/>
              </w:rPr>
            </w:pPr>
            <w:r w:rsidRPr="000D0E36">
              <w:rPr>
                <w:rFonts w:ascii="Verdana" w:eastAsia="Calibri" w:hAnsi="Verdana" w:cs="Arial"/>
                <w:lang w:val="es-ES"/>
              </w:rPr>
              <w:t>Ley 80 de 1993. Artículo 41 y 60.</w:t>
            </w:r>
          </w:p>
          <w:p w14:paraId="1AB01E1F" w14:textId="77777777" w:rsidR="00A44A4E" w:rsidRPr="000D0E36" w:rsidRDefault="00A44A4E" w:rsidP="00A44A4E">
            <w:pPr>
              <w:widowControl w:val="0"/>
              <w:numPr>
                <w:ilvl w:val="0"/>
                <w:numId w:val="1"/>
              </w:numPr>
              <w:autoSpaceDE w:val="0"/>
              <w:autoSpaceDN w:val="0"/>
              <w:spacing w:line="276" w:lineRule="auto"/>
              <w:jc w:val="both"/>
              <w:rPr>
                <w:rFonts w:ascii="Verdana" w:eastAsia="Aptos" w:hAnsi="Verdana" w:cs="Arial"/>
              </w:rPr>
            </w:pPr>
            <w:r w:rsidRPr="000D0E36">
              <w:rPr>
                <w:rFonts w:ascii="Verdana" w:eastAsia="Calibri" w:hAnsi="Verdana" w:cs="Arial"/>
                <w:lang w:val="es-ES"/>
              </w:rPr>
              <w:t>Ley 1150 de 2007. Artículo 7 y 11</w:t>
            </w:r>
          </w:p>
          <w:p w14:paraId="71804182" w14:textId="77777777" w:rsidR="00A44A4E" w:rsidRPr="000D0E36" w:rsidRDefault="00A44A4E" w:rsidP="00A44A4E">
            <w:pPr>
              <w:numPr>
                <w:ilvl w:val="0"/>
                <w:numId w:val="1"/>
              </w:numPr>
              <w:spacing w:line="276" w:lineRule="auto"/>
              <w:rPr>
                <w:rFonts w:ascii="Verdana" w:eastAsia="Aptos" w:hAnsi="Verdana" w:cs="Arial"/>
              </w:rPr>
            </w:pPr>
            <w:r w:rsidRPr="000D0E36">
              <w:rPr>
                <w:rFonts w:ascii="Verdana" w:eastAsia="Aptos" w:hAnsi="Verdana" w:cs="Arial"/>
              </w:rPr>
              <w:t xml:space="preserve">Decreto 1082 de 2015, artículo 2.2.1.2.3.1.18. </w:t>
            </w:r>
          </w:p>
          <w:p w14:paraId="605E058C" w14:textId="77777777" w:rsidR="00A44A4E" w:rsidRPr="000D0E36" w:rsidRDefault="00A44A4E" w:rsidP="00A44A4E">
            <w:pPr>
              <w:widowControl w:val="0"/>
              <w:numPr>
                <w:ilvl w:val="0"/>
                <w:numId w:val="1"/>
              </w:numPr>
              <w:autoSpaceDE w:val="0"/>
              <w:autoSpaceDN w:val="0"/>
              <w:spacing w:line="276" w:lineRule="auto"/>
              <w:jc w:val="both"/>
              <w:rPr>
                <w:rFonts w:ascii="Verdana" w:eastAsia="Aptos" w:hAnsi="Verdana" w:cs="Arial"/>
              </w:rPr>
            </w:pPr>
            <w:r w:rsidRPr="000D0E36">
              <w:rPr>
                <w:rFonts w:ascii="Verdana" w:eastAsia="Aptos" w:hAnsi="Verdana" w:cs="Arial"/>
              </w:rPr>
              <w:t>Decreto 19 de 2012. Artículo 217</w:t>
            </w:r>
          </w:p>
          <w:p w14:paraId="1207A64D" w14:textId="77777777" w:rsidR="00A44A4E" w:rsidRPr="00F965CD" w:rsidRDefault="00A44A4E" w:rsidP="00A44A4E">
            <w:pPr>
              <w:widowControl w:val="0"/>
              <w:numPr>
                <w:ilvl w:val="0"/>
                <w:numId w:val="1"/>
              </w:numPr>
              <w:autoSpaceDE w:val="0"/>
              <w:autoSpaceDN w:val="0"/>
              <w:spacing w:line="276" w:lineRule="auto"/>
              <w:jc w:val="both"/>
              <w:rPr>
                <w:rFonts w:ascii="Verdana" w:eastAsia="Aptos" w:hAnsi="Verdana" w:cs="Arial"/>
              </w:rPr>
            </w:pPr>
            <w:r>
              <w:rPr>
                <w:rFonts w:ascii="Verdana" w:eastAsia="Calibri" w:hAnsi="Verdana" w:cs="Arial"/>
                <w:lang w:eastAsia="es-ES" w:bidi="es-ES"/>
              </w:rPr>
              <w:t>Consejo de Estado</w:t>
            </w:r>
            <w:r w:rsidRPr="00F965CD">
              <w:rPr>
                <w:rFonts w:ascii="Verdana" w:eastAsia="Calibri" w:hAnsi="Verdana" w:cs="Arial"/>
                <w:lang w:eastAsia="es-ES" w:bidi="es-ES"/>
              </w:rPr>
              <w:t>. Sala de Consulta y Servicio Civil. Concepto de 28 de junio de 2016. Radicación: 2253. C.P. Álvaro Namén Vargas</w:t>
            </w:r>
            <w:r>
              <w:rPr>
                <w:rFonts w:ascii="Verdana" w:eastAsia="Calibri" w:hAnsi="Verdana" w:cs="Arial"/>
                <w:lang w:eastAsia="es-ES" w:bidi="es-ES"/>
              </w:rPr>
              <w:t>.</w:t>
            </w:r>
          </w:p>
          <w:p w14:paraId="4A8394AA" w14:textId="77777777" w:rsidR="00A44A4E" w:rsidRPr="000D0E36" w:rsidRDefault="00A44A4E" w:rsidP="00A44A4E">
            <w:pPr>
              <w:widowControl w:val="0"/>
              <w:numPr>
                <w:ilvl w:val="0"/>
                <w:numId w:val="1"/>
              </w:numPr>
              <w:autoSpaceDE w:val="0"/>
              <w:autoSpaceDN w:val="0"/>
              <w:spacing w:line="276" w:lineRule="auto"/>
              <w:jc w:val="both"/>
              <w:rPr>
                <w:rFonts w:ascii="Verdana" w:eastAsia="Aptos" w:hAnsi="Verdana" w:cs="Arial"/>
              </w:rPr>
            </w:pPr>
            <w:r>
              <w:rPr>
                <w:rFonts w:ascii="Verdana" w:eastAsia="Aptos" w:hAnsi="Verdana" w:cs="Arial"/>
              </w:rPr>
              <w:t xml:space="preserve">Agencia Nacional de Contratación Pública – Colombia Compra Eficiente. </w:t>
            </w:r>
            <w:r w:rsidRPr="000D0E36">
              <w:rPr>
                <w:rFonts w:ascii="Verdana" w:eastAsia="Aptos" w:hAnsi="Verdana" w:cs="Arial"/>
              </w:rPr>
              <w:t xml:space="preserve">Guía para la Liquidación de los Procesos de Contratación. Disponible </w:t>
            </w:r>
            <w:r w:rsidRPr="000D0E36">
              <w:rPr>
                <w:rFonts w:ascii="Verdana" w:eastAsia="Aptos" w:hAnsi="Verdana" w:cs="Arial"/>
                <w:color w:val="467886"/>
                <w:u w:val="single"/>
              </w:rPr>
              <w:t>aquí</w:t>
            </w:r>
          </w:p>
        </w:tc>
      </w:tr>
    </w:tbl>
    <w:p w14:paraId="3AB2D1B8" w14:textId="77777777" w:rsidR="00A44A4E" w:rsidRPr="000D0E36" w:rsidRDefault="00A44A4E" w:rsidP="00A44A4E">
      <w:pPr>
        <w:widowControl w:val="0"/>
        <w:autoSpaceDE w:val="0"/>
        <w:autoSpaceDN w:val="0"/>
        <w:spacing w:line="276" w:lineRule="auto"/>
        <w:jc w:val="both"/>
        <w:rPr>
          <w:rFonts w:ascii="Verdana" w:eastAsia="Aptos" w:hAnsi="Verdana" w:cs="Arial"/>
          <w:sz w:val="22"/>
          <w:szCs w:val="22"/>
        </w:rPr>
      </w:pPr>
    </w:p>
    <w:p w14:paraId="792455C9" w14:textId="77777777" w:rsidR="00A44A4E" w:rsidRPr="000D0E36" w:rsidRDefault="00A44A4E" w:rsidP="00A44A4E">
      <w:pPr>
        <w:widowControl w:val="0"/>
        <w:autoSpaceDE w:val="0"/>
        <w:autoSpaceDN w:val="0"/>
        <w:spacing w:line="276" w:lineRule="auto"/>
        <w:outlineLvl w:val="0"/>
        <w:rPr>
          <w:rFonts w:ascii="Verdana" w:eastAsia="Arial" w:hAnsi="Verdana" w:cs="Arial"/>
          <w:b/>
          <w:sz w:val="22"/>
          <w:szCs w:val="22"/>
          <w:lang w:val="es-ES"/>
        </w:rPr>
      </w:pPr>
      <w:r w:rsidRPr="000D0E36">
        <w:rPr>
          <w:rFonts w:ascii="Verdana" w:eastAsia="Arial" w:hAnsi="Verdana" w:cs="Arial"/>
          <w:b/>
          <w:sz w:val="22"/>
          <w:szCs w:val="22"/>
          <w:lang w:val="es-ES"/>
        </w:rPr>
        <w:t>5. Doctrina de la Agencia Nacional de Contratación Pública:</w:t>
      </w:r>
    </w:p>
    <w:p w14:paraId="01FBE6FA" w14:textId="77777777" w:rsidR="00A44A4E" w:rsidRPr="000D0E36" w:rsidRDefault="00A44A4E" w:rsidP="00A44A4E">
      <w:pPr>
        <w:widowControl w:val="0"/>
        <w:autoSpaceDE w:val="0"/>
        <w:autoSpaceDN w:val="0"/>
        <w:spacing w:line="276" w:lineRule="auto"/>
        <w:jc w:val="both"/>
        <w:rPr>
          <w:rFonts w:ascii="Verdana" w:eastAsia="Aptos" w:hAnsi="Verdana" w:cs="Arial"/>
          <w:sz w:val="22"/>
          <w:szCs w:val="22"/>
        </w:rPr>
      </w:pPr>
    </w:p>
    <w:p w14:paraId="37D8A81D" w14:textId="77777777" w:rsidR="00A44A4E" w:rsidRDefault="00A44A4E" w:rsidP="00A44A4E">
      <w:pPr>
        <w:widowControl w:val="0"/>
        <w:autoSpaceDE w:val="0"/>
        <w:autoSpaceDN w:val="0"/>
        <w:spacing w:line="276" w:lineRule="auto"/>
        <w:jc w:val="both"/>
        <w:rPr>
          <w:rFonts w:ascii="Verdana" w:eastAsia="Aptos" w:hAnsi="Verdana" w:cs="Arial"/>
          <w:sz w:val="22"/>
          <w:szCs w:val="22"/>
          <w:shd w:val="clear" w:color="auto" w:fill="FFFFFF"/>
          <w:lang w:val="es-ES"/>
        </w:rPr>
      </w:pPr>
      <w:r w:rsidRPr="000D0E36">
        <w:rPr>
          <w:rFonts w:ascii="Verdana" w:eastAsia="Aptos" w:hAnsi="Verdana" w:cs="Arial"/>
          <w:sz w:val="22"/>
          <w:szCs w:val="22"/>
          <w:shd w:val="clear" w:color="auto" w:fill="FFFFFF"/>
          <w:lang w:val="es-ES"/>
        </w:rPr>
        <w:t xml:space="preserve">Sobre la liquidación de los contratos estatales, esta Subdirección se ha referido en los Conceptos C-416 de 06 de septiembre de 2024, C-442 del 10 de septiembre de 2024, C- 407 del 11 de septiembre de 2024, C-414 del 11 de septiembre de 2024, C-559 del 11 de septiembre de 2024, C-425 del 13 de septiembre de 2024, C-446 del 18 de septiembre de 2024, C-458 del 20 de septiembre de 2024, C-968 del 16 de diciembre de 2024, C-1865 del 01 de diciembre de 2025, C-1818 del 13 de enero de 2026,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0D0E36">
          <w:rPr>
            <w:rFonts w:ascii="Verdana" w:eastAsia="Aptos" w:hAnsi="Verdana" w:cs="Arial"/>
            <w:color w:val="467886"/>
            <w:sz w:val="22"/>
            <w:szCs w:val="22"/>
            <w:u w:val="single"/>
            <w:shd w:val="clear" w:color="auto" w:fill="FFFFFF"/>
            <w:lang w:val="es-ES"/>
          </w:rPr>
          <w:t>https://relatoria.colombiacompra.gov.co/</w:t>
        </w:r>
      </w:hyperlink>
      <w:r w:rsidRPr="000D0E36">
        <w:rPr>
          <w:rFonts w:ascii="Verdana" w:eastAsia="Aptos" w:hAnsi="Verdana" w:cs="Arial"/>
          <w:sz w:val="22"/>
          <w:szCs w:val="22"/>
          <w:shd w:val="clear" w:color="auto" w:fill="FFFFFF"/>
          <w:lang w:val="es-ES"/>
        </w:rPr>
        <w:t xml:space="preserve">. </w:t>
      </w:r>
    </w:p>
    <w:p w14:paraId="0DB62939" w14:textId="77777777" w:rsidR="00A44A4E" w:rsidRPr="000D0E36" w:rsidRDefault="00A44A4E" w:rsidP="00A44A4E">
      <w:pPr>
        <w:widowControl w:val="0"/>
        <w:autoSpaceDE w:val="0"/>
        <w:autoSpaceDN w:val="0"/>
        <w:spacing w:line="276" w:lineRule="auto"/>
        <w:jc w:val="both"/>
        <w:rPr>
          <w:rFonts w:ascii="Verdana" w:eastAsia="Aptos" w:hAnsi="Verdana" w:cs="Arial"/>
          <w:sz w:val="22"/>
          <w:szCs w:val="22"/>
          <w:shd w:val="clear" w:color="auto" w:fill="FFFFFF"/>
          <w:lang w:val="es-ES"/>
        </w:rPr>
      </w:pPr>
    </w:p>
    <w:p w14:paraId="20581B2B" w14:textId="77777777" w:rsidR="00A44A4E" w:rsidRDefault="00A44A4E" w:rsidP="00A44A4E">
      <w:pPr>
        <w:spacing w:line="276" w:lineRule="auto"/>
        <w:ind w:left="3"/>
        <w:jc w:val="both"/>
        <w:rPr>
          <w:rStyle w:val="Hipervnculo"/>
          <w:rFonts w:ascii="Verdana" w:hAnsi="Verdana"/>
          <w:sz w:val="22"/>
          <w:szCs w:val="22"/>
        </w:rPr>
      </w:pPr>
      <w:r w:rsidRPr="000D0E36">
        <w:rPr>
          <w:rFonts w:ascii="Verdana" w:hAnsi="Verdana"/>
          <w:sz w:val="22"/>
          <w:szCs w:val="22"/>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D0E36">
        <w:rPr>
          <w:rFonts w:ascii="Verdana" w:hAnsi="Verdana"/>
          <w:b/>
          <w:sz w:val="22"/>
          <w:szCs w:val="22"/>
        </w:rPr>
        <w:t>Guía para la Exigencia y Constitución de Garantías en los Procesos de Contratación</w:t>
      </w:r>
      <w:r w:rsidRPr="000D0E36">
        <w:rPr>
          <w:rFonts w:ascii="Verdana" w:hAnsi="Verdana"/>
          <w:sz w:val="22"/>
          <w:szCs w:val="22"/>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0D0E36">
        <w:rPr>
          <w:rFonts w:ascii="Verdana" w:hAnsi="Verdana"/>
          <w:sz w:val="22"/>
          <w:szCs w:val="22"/>
        </w:rPr>
        <w:lastRenderedPageBreak/>
        <w:t>aquí: </w:t>
      </w:r>
      <w:hyperlink r:id="rId13" w:tgtFrame="_blank" w:tooltip="Original URL: https://www.colombiacompra.gov.co/archivos/manual/guia-de-garantias-en-procesos-de-contratacion. Click or tap if you trust this link." w:history="1">
        <w:r w:rsidRPr="000D0E36">
          <w:rPr>
            <w:rStyle w:val="Hipervnculo"/>
            <w:rFonts w:ascii="Verdana" w:hAnsi="Verdana"/>
            <w:sz w:val="22"/>
            <w:szCs w:val="22"/>
          </w:rPr>
          <w:t>https://www.colombiacompra.gov.co/archivos/manual/guia-de-garantias-en-procesos-de-contratacion</w:t>
        </w:r>
      </w:hyperlink>
    </w:p>
    <w:p w14:paraId="6F170195" w14:textId="77777777" w:rsidR="00A44A4E" w:rsidRPr="000D0E36" w:rsidRDefault="00A44A4E" w:rsidP="00A44A4E">
      <w:pPr>
        <w:spacing w:line="276" w:lineRule="auto"/>
        <w:jc w:val="both"/>
        <w:rPr>
          <w:rFonts w:ascii="Verdana" w:hAnsi="Verdana"/>
          <w:sz w:val="22"/>
          <w:szCs w:val="22"/>
        </w:rPr>
      </w:pPr>
    </w:p>
    <w:p w14:paraId="60A49D79" w14:textId="77777777" w:rsidR="00A44A4E" w:rsidRPr="000D0E36" w:rsidRDefault="00A44A4E" w:rsidP="00A44A4E">
      <w:pPr>
        <w:spacing w:line="276" w:lineRule="auto"/>
        <w:jc w:val="both"/>
        <w:rPr>
          <w:rFonts w:ascii="Verdana" w:hAnsi="Verdana"/>
          <w:sz w:val="22"/>
          <w:szCs w:val="22"/>
        </w:rPr>
      </w:pPr>
      <w:r w:rsidRPr="000D0E36">
        <w:rPr>
          <w:rFonts w:ascii="Verdana" w:hAnsi="Verdana"/>
          <w:sz w:val="22"/>
          <w:szCs w:val="22"/>
        </w:rPr>
        <w:t>De otro lado, te contamos que el Decreto 287 del 19 de marzo de 2026 sustituyó los artículos 2.2.1.2.4.2.6., 2.2.1.2.4.2.7. y 2.2.1.2.4.2.8. del Decreto 1082 de 2015 y estructuró el </w:t>
      </w:r>
      <w:r w:rsidRPr="000D0E36">
        <w:rPr>
          <w:rFonts w:ascii="Verdana" w:hAnsi="Verdana"/>
          <w:b/>
          <w:sz w:val="22"/>
          <w:szCs w:val="22"/>
        </w:rPr>
        <w:t>Sistema Integral de Preferencias en favor de las personas con discapacidad</w:t>
      </w:r>
      <w:r w:rsidRPr="000D0E36">
        <w:rPr>
          <w:rFonts w:ascii="Verdana" w:hAnsi="Verdana"/>
          <w:sz w:val="22"/>
          <w:szCs w:val="22"/>
        </w:rPr>
        <w:t>, en cumplimiento del artículo 13 de la Ley Estatutaria 1618 de 2013. Para orientar su aplicación, esta Agencia expidió la </w:t>
      </w:r>
      <w:r w:rsidRPr="000D0E36">
        <w:rPr>
          <w:rFonts w:ascii="Verdana" w:hAnsi="Verdana"/>
          <w:b/>
          <w:sz w:val="22"/>
          <w:szCs w:val="22"/>
        </w:rPr>
        <w:t>Circular Externa 003 del 12 de mayo de 2026, </w:t>
      </w:r>
      <w:r w:rsidRPr="000D0E36">
        <w:rPr>
          <w:rFonts w:ascii="Verdana" w:hAnsi="Verdana"/>
          <w:sz w:val="22"/>
          <w:szCs w:val="22"/>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Original URL: https://www.colombiacompra.gov.co/archivos/circular/circular-externa-003-de-2026. Click or tap if you trust this link." w:history="1">
        <w:r w:rsidRPr="000D0E36">
          <w:rPr>
            <w:rStyle w:val="Hipervnculo"/>
            <w:rFonts w:ascii="Verdana" w:hAnsi="Verdana"/>
            <w:sz w:val="22"/>
            <w:szCs w:val="22"/>
          </w:rPr>
          <w:t>https://www.colombiacompra.gov.co/archivos/circular/circular-externa-003-de-2026</w:t>
        </w:r>
      </w:hyperlink>
    </w:p>
    <w:p w14:paraId="263A1DF9" w14:textId="77777777" w:rsidR="00A44A4E" w:rsidRPr="000D0E36" w:rsidRDefault="00A44A4E" w:rsidP="00A44A4E">
      <w:pPr>
        <w:spacing w:line="276" w:lineRule="auto"/>
        <w:jc w:val="both"/>
        <w:rPr>
          <w:rFonts w:ascii="Verdana" w:hAnsi="Verdana"/>
          <w:sz w:val="22"/>
          <w:szCs w:val="22"/>
          <w:lang w:val="es-ES"/>
        </w:rPr>
      </w:pPr>
    </w:p>
    <w:p w14:paraId="1E9CAC55" w14:textId="77777777" w:rsidR="00A44A4E" w:rsidRPr="000D0E36" w:rsidRDefault="00A44A4E" w:rsidP="00A44A4E">
      <w:pPr>
        <w:spacing w:line="276" w:lineRule="auto"/>
        <w:jc w:val="both"/>
        <w:rPr>
          <w:rFonts w:ascii="Verdana" w:hAnsi="Verdana"/>
          <w:sz w:val="22"/>
          <w:szCs w:val="22"/>
        </w:rPr>
      </w:pPr>
      <w:r w:rsidRPr="000D0E36">
        <w:rPr>
          <w:rFonts w:ascii="Verdana" w:hAnsi="Verdana"/>
          <w:sz w:val="22"/>
          <w:szCs w:val="22"/>
        </w:rPr>
        <w:t>Recuerda también que la</w:t>
      </w:r>
      <w:r w:rsidRPr="000D0E36">
        <w:rPr>
          <w:rFonts w:ascii="Verdana" w:hAnsi="Verdana"/>
          <w:b/>
          <w:sz w:val="22"/>
          <w:szCs w:val="22"/>
        </w:rPr>
        <w:t> información sobre sanciones e inhabilidades </w:t>
      </w:r>
      <w:r w:rsidRPr="000D0E36">
        <w:rPr>
          <w:rFonts w:ascii="Verdana" w:hAnsi="Verdana"/>
          <w:sz w:val="22"/>
          <w:szCs w:val="22"/>
        </w:rPr>
        <w:t>solo cumple su función preventiva si llega oportunamente a los registros públicos. Sobre este deber, esta Agencia expidió la </w:t>
      </w:r>
      <w:r w:rsidRPr="000D0E36">
        <w:rPr>
          <w:rFonts w:ascii="Verdana" w:hAnsi="Verdana"/>
          <w:b/>
          <w:sz w:val="22"/>
          <w:szCs w:val="22"/>
        </w:rPr>
        <w:t>Circular Externa 002 del 5 de mayo de 2026,</w:t>
      </w:r>
      <w:r w:rsidRPr="000D0E36">
        <w:rPr>
          <w:rFonts w:ascii="Verdana" w:hAnsi="Verdana"/>
          <w:sz w:val="22"/>
          <w:szCs w:val="22"/>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0D0E36">
          <w:rPr>
            <w:rStyle w:val="Hipervnculo"/>
            <w:rFonts w:ascii="Verdana" w:hAnsi="Verdana"/>
            <w:sz w:val="22"/>
            <w:szCs w:val="22"/>
          </w:rPr>
          <w:t>https://www.colombiacompra.gov.co/archivos/circular/circular-externa-002-de-2026</w:t>
        </w:r>
      </w:hyperlink>
    </w:p>
    <w:p w14:paraId="7B8BE84E" w14:textId="77777777" w:rsidR="00A44A4E" w:rsidRPr="000D0E36" w:rsidRDefault="00A44A4E" w:rsidP="00A44A4E">
      <w:pPr>
        <w:spacing w:line="276" w:lineRule="auto"/>
        <w:jc w:val="both"/>
        <w:rPr>
          <w:rFonts w:ascii="Verdana" w:hAnsi="Verdana"/>
          <w:sz w:val="22"/>
          <w:szCs w:val="22"/>
        </w:rPr>
      </w:pPr>
    </w:p>
    <w:p w14:paraId="415BF7B7" w14:textId="77777777" w:rsidR="00A44A4E" w:rsidRPr="000D0E36" w:rsidRDefault="00A44A4E" w:rsidP="00A44A4E">
      <w:pPr>
        <w:spacing w:line="276" w:lineRule="auto"/>
        <w:jc w:val="both"/>
        <w:rPr>
          <w:rFonts w:ascii="Verdana" w:hAnsi="Verdana"/>
          <w:sz w:val="22"/>
          <w:szCs w:val="22"/>
        </w:rPr>
      </w:pPr>
      <w:r w:rsidRPr="000D0E36">
        <w:rPr>
          <w:rFonts w:ascii="Verdana" w:hAnsi="Verdana"/>
          <w:sz w:val="22"/>
          <w:szCs w:val="22"/>
        </w:rPr>
        <w:t>Finalmente, si quieres seguir de cerca la actividad de la Agencia, la tercera edición de 2026 del</w:t>
      </w:r>
      <w:r w:rsidRPr="000D0E36">
        <w:rPr>
          <w:rFonts w:ascii="Verdana" w:hAnsi="Verdana"/>
          <w:b/>
          <w:sz w:val="22"/>
          <w:szCs w:val="22"/>
        </w:rPr>
        <w:t> Radar de la Compra Pública</w:t>
      </w:r>
      <w:r w:rsidRPr="000D0E36">
        <w:rPr>
          <w:rFonts w:ascii="Verdana" w:hAnsi="Verdana"/>
          <w:sz w:val="22"/>
          <w:szCs w:val="22"/>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tooltip="Original URL: https://www.colombiacompra.gov.co/archivos/boletin/boletin-edicion-n-3-de-2026-radar-de-la-compra-publica. Click or tap if you trust this link." w:history="1">
        <w:r w:rsidRPr="000D0E36">
          <w:rPr>
            <w:rStyle w:val="Hipervnculo"/>
            <w:rFonts w:ascii="Verdana" w:hAnsi="Verdana"/>
            <w:sz w:val="22"/>
            <w:szCs w:val="22"/>
          </w:rPr>
          <w:t>https://www.colombiacompra.gov.co/archivos/boletin/boletin-edicion-n-3-de-2026-radar-de-la-compra-publica</w:t>
        </w:r>
      </w:hyperlink>
      <w:r w:rsidRPr="000D0E36">
        <w:rPr>
          <w:rFonts w:ascii="Verdana" w:hAnsi="Verdana"/>
          <w:sz w:val="22"/>
          <w:szCs w:val="22"/>
        </w:rPr>
        <w:t>"</w:t>
      </w:r>
    </w:p>
    <w:p w14:paraId="003AF93B" w14:textId="77777777" w:rsidR="00A44A4E" w:rsidRPr="000D0E36" w:rsidRDefault="00A44A4E" w:rsidP="00A44A4E">
      <w:pPr>
        <w:spacing w:line="276" w:lineRule="auto"/>
        <w:jc w:val="both"/>
        <w:rPr>
          <w:rFonts w:ascii="Verdana" w:hAnsi="Verdana"/>
          <w:sz w:val="22"/>
          <w:szCs w:val="22"/>
          <w:lang w:val="es-ES"/>
        </w:rPr>
      </w:pPr>
    </w:p>
    <w:p w14:paraId="7178066D" w14:textId="77777777" w:rsidR="00A44A4E" w:rsidRPr="000D0E36" w:rsidRDefault="00A44A4E" w:rsidP="00A44A4E">
      <w:pPr>
        <w:spacing w:line="276" w:lineRule="auto"/>
        <w:jc w:val="both"/>
        <w:rPr>
          <w:rFonts w:ascii="Verdana" w:hAnsi="Verdana"/>
          <w:sz w:val="22"/>
          <w:szCs w:val="22"/>
          <w:lang w:val="es-ES"/>
        </w:rPr>
      </w:pPr>
      <w:r w:rsidRPr="000D0E36">
        <w:rPr>
          <w:rFonts w:ascii="Verdana" w:hAnsi="Verdana"/>
          <w:sz w:val="22"/>
          <w:szCs w:val="22"/>
          <w:lang w:val="es-ES"/>
        </w:rPr>
        <w:lastRenderedPageBreak/>
        <w:t xml:space="preserve">Por último, lo invitamos a seguirnos en las redes sociales en las cuales se difunde información institucional: </w:t>
      </w:r>
    </w:p>
    <w:p w14:paraId="249B7412" w14:textId="77777777" w:rsidR="00A44A4E" w:rsidRPr="000D0E36" w:rsidRDefault="00A44A4E" w:rsidP="00A44A4E">
      <w:pPr>
        <w:spacing w:line="276" w:lineRule="auto"/>
        <w:jc w:val="both"/>
        <w:rPr>
          <w:rFonts w:ascii="Verdana" w:hAnsi="Verdana"/>
          <w:sz w:val="22"/>
          <w:szCs w:val="22"/>
          <w:lang w:val="es-ES"/>
        </w:rPr>
      </w:pPr>
    </w:p>
    <w:p w14:paraId="7AC08AC3" w14:textId="77777777" w:rsidR="00A44A4E" w:rsidRPr="000D0E36" w:rsidRDefault="00A44A4E" w:rsidP="00A44A4E">
      <w:pPr>
        <w:spacing w:line="276" w:lineRule="auto"/>
        <w:jc w:val="both"/>
        <w:rPr>
          <w:rFonts w:ascii="Verdana" w:hAnsi="Verdana"/>
          <w:sz w:val="22"/>
          <w:szCs w:val="22"/>
          <w:lang w:val="es-ES"/>
        </w:rPr>
      </w:pPr>
      <w:r w:rsidRPr="000D0E36">
        <w:rPr>
          <w:rFonts w:ascii="Verdana" w:hAnsi="Verdana"/>
          <w:sz w:val="22"/>
          <w:szCs w:val="22"/>
          <w:lang w:val="es-ES"/>
        </w:rPr>
        <w:t xml:space="preserve">Twitter: </w:t>
      </w:r>
      <w:r w:rsidRPr="000D0E36">
        <w:rPr>
          <w:rStyle w:val="Hipervnculo"/>
          <w:rFonts w:ascii="Verdana" w:hAnsi="Verdana" w:cs="Arial"/>
          <w:sz w:val="22"/>
          <w:szCs w:val="22"/>
          <w:shd w:val="clear" w:color="auto" w:fill="FFFFFF"/>
          <w:lang w:val="es-ES"/>
        </w:rPr>
        <w:t>@colombiacompra</w:t>
      </w:r>
      <w:r w:rsidRPr="000D0E36">
        <w:rPr>
          <w:rFonts w:ascii="Verdana" w:hAnsi="Verdana"/>
          <w:color w:val="156082" w:themeColor="accent1"/>
          <w:sz w:val="22"/>
          <w:szCs w:val="22"/>
          <w:lang w:val="es-ES"/>
        </w:rPr>
        <w:t xml:space="preserve"> </w:t>
      </w:r>
    </w:p>
    <w:p w14:paraId="47984BD5" w14:textId="77777777" w:rsidR="00A44A4E" w:rsidRPr="000D0E36" w:rsidRDefault="00A44A4E" w:rsidP="00A44A4E">
      <w:pPr>
        <w:spacing w:line="276" w:lineRule="auto"/>
        <w:jc w:val="both"/>
        <w:rPr>
          <w:rFonts w:ascii="Verdana" w:hAnsi="Verdana"/>
          <w:sz w:val="22"/>
          <w:szCs w:val="22"/>
          <w:lang w:val="es-ES"/>
        </w:rPr>
      </w:pPr>
      <w:r w:rsidRPr="000D0E36">
        <w:rPr>
          <w:rFonts w:ascii="Verdana" w:hAnsi="Verdana"/>
          <w:sz w:val="22"/>
          <w:szCs w:val="22"/>
          <w:lang w:val="es-ES"/>
        </w:rPr>
        <w:t xml:space="preserve">Facebook: </w:t>
      </w:r>
      <w:proofErr w:type="spellStart"/>
      <w:r w:rsidRPr="000D0E36">
        <w:rPr>
          <w:rStyle w:val="Hipervnculo"/>
          <w:rFonts w:ascii="Verdana" w:hAnsi="Verdana" w:cs="Arial"/>
          <w:sz w:val="22"/>
          <w:szCs w:val="22"/>
          <w:shd w:val="clear" w:color="auto" w:fill="FFFFFF"/>
          <w:lang w:val="es-ES"/>
        </w:rPr>
        <w:t>ColombiaCompraEficiente</w:t>
      </w:r>
      <w:proofErr w:type="spellEnd"/>
    </w:p>
    <w:p w14:paraId="38A200EC" w14:textId="77777777" w:rsidR="00A44A4E" w:rsidRPr="000D0E36" w:rsidRDefault="00A44A4E" w:rsidP="00A44A4E">
      <w:pPr>
        <w:spacing w:line="276" w:lineRule="auto"/>
        <w:jc w:val="both"/>
        <w:rPr>
          <w:rFonts w:ascii="Verdana" w:hAnsi="Verdana"/>
          <w:sz w:val="22"/>
          <w:szCs w:val="22"/>
          <w:lang w:val="es-ES"/>
        </w:rPr>
      </w:pPr>
      <w:r w:rsidRPr="000D0E36">
        <w:rPr>
          <w:rFonts w:ascii="Verdana" w:hAnsi="Verdana"/>
          <w:sz w:val="22"/>
          <w:szCs w:val="22"/>
          <w:lang w:val="es-ES"/>
        </w:rPr>
        <w:t xml:space="preserve">LinkedIn: </w:t>
      </w:r>
      <w:r w:rsidRPr="000D0E36">
        <w:rPr>
          <w:rStyle w:val="Hipervnculo"/>
          <w:rFonts w:ascii="Verdana" w:hAnsi="Verdana" w:cs="Arial"/>
          <w:sz w:val="22"/>
          <w:szCs w:val="22"/>
          <w:shd w:val="clear" w:color="auto" w:fill="FFFFFF"/>
          <w:lang w:val="es-ES"/>
        </w:rPr>
        <w:t xml:space="preserve">Agencia Nacional de Contratación Pública - Colombia Compra Eficiente </w:t>
      </w:r>
      <w:r w:rsidRPr="000D0E36">
        <w:rPr>
          <w:rFonts w:ascii="Verdana" w:hAnsi="Verdana"/>
          <w:sz w:val="22"/>
          <w:szCs w:val="22"/>
          <w:lang w:val="es-ES"/>
        </w:rPr>
        <w:t xml:space="preserve">Instagram: </w:t>
      </w:r>
      <w:r w:rsidRPr="000D0E36">
        <w:rPr>
          <w:rStyle w:val="Hipervnculo"/>
          <w:rFonts w:ascii="Verdana" w:hAnsi="Verdana" w:cs="Arial"/>
          <w:sz w:val="22"/>
          <w:szCs w:val="22"/>
          <w:shd w:val="clear" w:color="auto" w:fill="FFFFFF"/>
          <w:lang w:val="es-ES"/>
        </w:rPr>
        <w:t>@colombiacompraeficiente_cce</w:t>
      </w:r>
    </w:p>
    <w:p w14:paraId="3A0A2FB5" w14:textId="77777777" w:rsidR="00A44A4E" w:rsidRPr="000D0E36" w:rsidRDefault="00A44A4E" w:rsidP="00A44A4E">
      <w:pPr>
        <w:widowControl w:val="0"/>
        <w:autoSpaceDE w:val="0"/>
        <w:autoSpaceDN w:val="0"/>
        <w:spacing w:line="276" w:lineRule="auto"/>
        <w:jc w:val="both"/>
        <w:rPr>
          <w:rFonts w:ascii="Verdana" w:hAnsi="Verdana" w:cs="Arial"/>
          <w:color w:val="000000" w:themeColor="text1"/>
          <w:sz w:val="22"/>
          <w:szCs w:val="22"/>
          <w:lang w:val="es-ES"/>
        </w:rPr>
      </w:pPr>
    </w:p>
    <w:p w14:paraId="33D501A8" w14:textId="77777777" w:rsidR="00A44A4E" w:rsidRPr="000D0E36" w:rsidRDefault="00A44A4E" w:rsidP="00A44A4E">
      <w:pPr>
        <w:widowControl w:val="0"/>
        <w:autoSpaceDE w:val="0"/>
        <w:autoSpaceDN w:val="0"/>
        <w:spacing w:line="276" w:lineRule="auto"/>
        <w:jc w:val="both"/>
        <w:rPr>
          <w:rFonts w:ascii="Verdana" w:hAnsi="Verdana" w:cs="Arial"/>
          <w:color w:val="000000" w:themeColor="text1"/>
          <w:sz w:val="22"/>
          <w:szCs w:val="22"/>
          <w:lang w:val="es-ES"/>
        </w:rPr>
      </w:pPr>
      <w:r w:rsidRPr="000D0E36">
        <w:rPr>
          <w:rFonts w:ascii="Verdana" w:hAnsi="Verdana" w:cs="Arial"/>
          <w:color w:val="000000" w:themeColor="text1"/>
          <w:sz w:val="22"/>
          <w:szCs w:val="22"/>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AD47C7" w14:textId="77777777" w:rsidR="00A44A4E" w:rsidRPr="000D0E36" w:rsidRDefault="00A44A4E" w:rsidP="00A44A4E">
      <w:pPr>
        <w:spacing w:line="276" w:lineRule="auto"/>
        <w:jc w:val="both"/>
        <w:rPr>
          <w:rFonts w:ascii="Verdana" w:hAnsi="Verdana"/>
          <w:sz w:val="22"/>
          <w:szCs w:val="22"/>
          <w:lang w:val="es-MX"/>
        </w:rPr>
      </w:pPr>
    </w:p>
    <w:p w14:paraId="4BA7442E" w14:textId="77777777" w:rsidR="00A44A4E" w:rsidRPr="000D0E36" w:rsidRDefault="00A44A4E" w:rsidP="00A44A4E">
      <w:pPr>
        <w:spacing w:line="276" w:lineRule="auto"/>
        <w:jc w:val="both"/>
        <w:rPr>
          <w:rFonts w:ascii="Verdana" w:hAnsi="Verdana"/>
          <w:sz w:val="22"/>
          <w:szCs w:val="22"/>
          <w:lang w:val="es-MX"/>
        </w:rPr>
      </w:pPr>
      <w:r w:rsidRPr="000D0E36">
        <w:rPr>
          <w:rFonts w:ascii="Verdana" w:hAnsi="Verdana"/>
          <w:sz w:val="22"/>
          <w:szCs w:val="22"/>
          <w:lang w:val="es-MX"/>
        </w:rPr>
        <w:t>Cordialmente,</w:t>
      </w:r>
    </w:p>
    <w:p w14:paraId="6AEF7CF6" w14:textId="77777777" w:rsidR="00A44A4E" w:rsidRPr="000D0E36" w:rsidRDefault="00A44A4E" w:rsidP="00A44A4E">
      <w:pPr>
        <w:spacing w:line="276" w:lineRule="auto"/>
        <w:rPr>
          <w:rFonts w:ascii="Verdana" w:eastAsia="Aptos" w:hAnsi="Verdana" w:cs="Arial"/>
          <w:sz w:val="22"/>
          <w:szCs w:val="22"/>
          <w:lang w:eastAsia="es-CO"/>
        </w:rPr>
      </w:pPr>
    </w:p>
    <w:p w14:paraId="0099EAEC" w14:textId="2F101B38" w:rsidR="00A44A4E" w:rsidRPr="000D0E36" w:rsidRDefault="00BC043A" w:rsidP="00A44A4E">
      <w:pPr>
        <w:jc w:val="center"/>
        <w:rPr>
          <w:rFonts w:ascii="Verdana" w:eastAsia="Aptos" w:hAnsi="Verdana" w:cs="Arial"/>
          <w:sz w:val="22"/>
          <w:szCs w:val="22"/>
          <w:lang w:eastAsia="es-CO"/>
        </w:rPr>
      </w:pPr>
      <w:r>
        <w:rPr>
          <w:rFonts w:ascii="Verdana" w:eastAsia="Aptos" w:hAnsi="Verdana" w:cs="Arial"/>
          <w:noProof/>
          <w:sz w:val="22"/>
          <w:szCs w:val="22"/>
          <w:lang w:eastAsia="es-CO"/>
          <w14:ligatures w14:val="standardContextual"/>
        </w:rPr>
        <w:drawing>
          <wp:inline distT="0" distB="0" distL="0" distR="0" wp14:anchorId="17F0F270" wp14:editId="18805D22">
            <wp:extent cx="2944623" cy="1097375"/>
            <wp:effectExtent l="0" t="0" r="8255" b="7620"/>
            <wp:docPr id="7471887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88701" name="Imagen 747188701"/>
                    <pic:cNvPicPr/>
                  </pic:nvPicPr>
                  <pic:blipFill>
                    <a:blip r:embed="rId17">
                      <a:extLst>
                        <a:ext uri="{28A0092B-C50C-407E-A947-70E740481C1C}">
                          <a14:useLocalDpi xmlns:a14="http://schemas.microsoft.com/office/drawing/2010/main" val="0"/>
                        </a:ext>
                      </a:extLst>
                    </a:blip>
                    <a:stretch>
                      <a:fillRect/>
                    </a:stretch>
                  </pic:blipFill>
                  <pic:spPr>
                    <a:xfrm>
                      <a:off x="0" y="0"/>
                      <a:ext cx="2944623" cy="1097375"/>
                    </a:xfrm>
                    <a:prstGeom prst="rect">
                      <a:avLst/>
                    </a:prstGeom>
                  </pic:spPr>
                </pic:pic>
              </a:graphicData>
            </a:graphic>
          </wp:inline>
        </w:drawing>
      </w:r>
    </w:p>
    <w:p w14:paraId="328A6DED" w14:textId="77777777" w:rsidR="00A44A4E" w:rsidRPr="000D0E36" w:rsidRDefault="00A44A4E" w:rsidP="00A44A4E">
      <w:pPr>
        <w:spacing w:line="276" w:lineRule="auto"/>
        <w:jc w:val="center"/>
        <w:rPr>
          <w:rFonts w:ascii="Verdana" w:eastAsia="Aptos" w:hAnsi="Verdana" w:cs="Arial"/>
          <w:sz w:val="22"/>
          <w:szCs w:val="22"/>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A44A4E" w:rsidRPr="00B54634" w14:paraId="7BE53859" w14:textId="77777777" w:rsidTr="0074180E">
        <w:trPr>
          <w:trHeight w:val="286"/>
        </w:trPr>
        <w:tc>
          <w:tcPr>
            <w:tcW w:w="901" w:type="dxa"/>
            <w:vAlign w:val="center"/>
            <w:hideMark/>
          </w:tcPr>
          <w:p w14:paraId="03A7E302" w14:textId="77777777" w:rsidR="00A44A4E" w:rsidRPr="00B54634" w:rsidRDefault="00A44A4E" w:rsidP="0074180E">
            <w:pPr>
              <w:rPr>
                <w:rFonts w:ascii="Verdana" w:eastAsia="Aptos" w:hAnsi="Verdana" w:cs="Arial"/>
                <w:sz w:val="14"/>
                <w:szCs w:val="14"/>
                <w:lang w:eastAsia="es-ES"/>
              </w:rPr>
            </w:pPr>
            <w:r w:rsidRPr="00B54634">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ABC8942" w14:textId="77777777" w:rsidR="00A44A4E" w:rsidRPr="00B54634" w:rsidRDefault="00A44A4E" w:rsidP="0074180E">
            <w:pPr>
              <w:rPr>
                <w:rFonts w:ascii="Verdana" w:eastAsia="Aptos" w:hAnsi="Verdana" w:cs="Arial"/>
                <w:sz w:val="14"/>
                <w:szCs w:val="14"/>
                <w:lang w:eastAsia="es-ES"/>
              </w:rPr>
            </w:pPr>
            <w:r>
              <w:rPr>
                <w:rFonts w:ascii="Verdana" w:eastAsia="Aptos" w:hAnsi="Verdana" w:cs="Arial"/>
                <w:sz w:val="14"/>
                <w:szCs w:val="14"/>
                <w:lang w:eastAsia="es-ES"/>
              </w:rPr>
              <w:t>Natalia Montoya Jiménez</w:t>
            </w:r>
          </w:p>
          <w:p w14:paraId="0DEA9866" w14:textId="77777777" w:rsidR="00A44A4E" w:rsidRPr="00B54634" w:rsidRDefault="00A44A4E" w:rsidP="0074180E">
            <w:pPr>
              <w:rPr>
                <w:rFonts w:ascii="Verdana" w:eastAsia="Aptos" w:hAnsi="Verdana" w:cs="Arial"/>
                <w:sz w:val="14"/>
                <w:szCs w:val="14"/>
                <w:lang w:eastAsia="es-ES"/>
              </w:rPr>
            </w:pPr>
            <w:r>
              <w:rPr>
                <w:rFonts w:ascii="Verdana" w:eastAsia="Aptos" w:hAnsi="Verdana" w:cs="Arial"/>
                <w:sz w:val="14"/>
                <w:szCs w:val="14"/>
                <w:lang w:eastAsia="es-ES"/>
              </w:rPr>
              <w:t>Gestor T1 15</w:t>
            </w:r>
            <w:r w:rsidRPr="00B54634">
              <w:rPr>
                <w:rFonts w:ascii="Verdana" w:eastAsia="Aptos" w:hAnsi="Verdana" w:cs="Arial"/>
                <w:sz w:val="14"/>
                <w:szCs w:val="14"/>
                <w:lang w:eastAsia="es-ES"/>
              </w:rPr>
              <w:t xml:space="preserve"> de la Subdirección de Gestión Contractual</w:t>
            </w:r>
          </w:p>
        </w:tc>
      </w:tr>
      <w:tr w:rsidR="00A44A4E" w:rsidRPr="00B54634" w14:paraId="53E83B70" w14:textId="77777777" w:rsidTr="0074180E">
        <w:trPr>
          <w:trHeight w:val="299"/>
        </w:trPr>
        <w:tc>
          <w:tcPr>
            <w:tcW w:w="901" w:type="dxa"/>
            <w:vAlign w:val="center"/>
          </w:tcPr>
          <w:p w14:paraId="23AFB07C" w14:textId="77777777" w:rsidR="00A44A4E" w:rsidRPr="00B54634" w:rsidRDefault="00A44A4E" w:rsidP="0074180E">
            <w:pPr>
              <w:rPr>
                <w:rFonts w:ascii="Verdana" w:eastAsia="Aptos" w:hAnsi="Verdana" w:cs="Arial"/>
                <w:sz w:val="14"/>
                <w:szCs w:val="14"/>
                <w:lang w:eastAsia="es-ES"/>
              </w:rPr>
            </w:pPr>
            <w:r w:rsidRPr="00B54634">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6124C28" w14:textId="77777777" w:rsidR="00A44A4E" w:rsidRPr="00B54634" w:rsidRDefault="00A44A4E" w:rsidP="0074180E">
            <w:pPr>
              <w:rPr>
                <w:rFonts w:ascii="Verdana" w:eastAsia="Aptos" w:hAnsi="Verdana" w:cs="Arial"/>
                <w:sz w:val="14"/>
                <w:szCs w:val="14"/>
                <w:lang w:eastAsia="es-ES"/>
              </w:rPr>
            </w:pPr>
            <w:r>
              <w:rPr>
                <w:rFonts w:ascii="Verdana" w:eastAsia="Aptos" w:hAnsi="Verdana" w:cs="Arial"/>
                <w:sz w:val="14"/>
                <w:szCs w:val="14"/>
                <w:lang w:eastAsia="es-ES"/>
              </w:rPr>
              <w:t>Diana Lucia Saavedra Castañeda</w:t>
            </w:r>
          </w:p>
          <w:p w14:paraId="27005C78" w14:textId="77777777" w:rsidR="00A44A4E" w:rsidRPr="00B54634" w:rsidRDefault="00A44A4E" w:rsidP="0074180E">
            <w:pPr>
              <w:rPr>
                <w:rFonts w:ascii="Verdana" w:eastAsia="Aptos" w:hAnsi="Verdana" w:cs="Arial"/>
                <w:sz w:val="14"/>
                <w:szCs w:val="14"/>
                <w:lang w:eastAsia="es-ES"/>
              </w:rPr>
            </w:pPr>
            <w:r w:rsidRPr="00B54634">
              <w:rPr>
                <w:rFonts w:ascii="Verdana" w:eastAsia="Aptos" w:hAnsi="Verdana" w:cs="Arial"/>
                <w:sz w:val="14"/>
                <w:szCs w:val="14"/>
                <w:lang w:eastAsia="es-ES"/>
              </w:rPr>
              <w:t>Contratista de la Subdirección de Gestión Contractual</w:t>
            </w:r>
          </w:p>
        </w:tc>
      </w:tr>
      <w:tr w:rsidR="00A44A4E" w:rsidRPr="00B54634" w14:paraId="4E6215CC" w14:textId="77777777" w:rsidTr="0074180E">
        <w:trPr>
          <w:trHeight w:val="272"/>
        </w:trPr>
        <w:tc>
          <w:tcPr>
            <w:tcW w:w="901" w:type="dxa"/>
            <w:vAlign w:val="center"/>
            <w:hideMark/>
          </w:tcPr>
          <w:p w14:paraId="0F3D1B58" w14:textId="77777777" w:rsidR="00A44A4E" w:rsidRPr="00B54634" w:rsidRDefault="00A44A4E" w:rsidP="0074180E">
            <w:pPr>
              <w:rPr>
                <w:rFonts w:ascii="Verdana" w:eastAsia="Aptos" w:hAnsi="Verdana" w:cs="Arial"/>
                <w:sz w:val="14"/>
                <w:szCs w:val="14"/>
                <w:lang w:eastAsia="es-ES"/>
              </w:rPr>
            </w:pPr>
            <w:r w:rsidRPr="00B54634">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64EC8C6" w14:textId="77777777" w:rsidR="00A44A4E" w:rsidRPr="00B54634" w:rsidRDefault="00A44A4E" w:rsidP="0074180E">
            <w:pPr>
              <w:rPr>
                <w:rFonts w:ascii="Verdana" w:eastAsia="Aptos" w:hAnsi="Verdana" w:cs="Arial"/>
                <w:sz w:val="14"/>
                <w:szCs w:val="14"/>
                <w:lang w:eastAsia="es-ES"/>
              </w:rPr>
            </w:pPr>
            <w:r>
              <w:rPr>
                <w:rFonts w:ascii="Verdana" w:eastAsia="Aptos" w:hAnsi="Verdana" w:cs="Arial"/>
                <w:sz w:val="14"/>
                <w:szCs w:val="14"/>
                <w:lang w:eastAsia="es-ES"/>
              </w:rPr>
              <w:t>William Javier Murcia Acevedo</w:t>
            </w:r>
          </w:p>
          <w:p w14:paraId="07792A8D" w14:textId="77777777" w:rsidR="00A44A4E" w:rsidRPr="00B54634" w:rsidRDefault="00A44A4E" w:rsidP="0074180E">
            <w:pPr>
              <w:rPr>
                <w:rFonts w:ascii="Verdana" w:eastAsia="Aptos" w:hAnsi="Verdana" w:cs="Arial"/>
                <w:sz w:val="14"/>
                <w:szCs w:val="14"/>
                <w:lang w:eastAsia="es-ES"/>
              </w:rPr>
            </w:pPr>
            <w:r w:rsidRPr="00B54634">
              <w:rPr>
                <w:rFonts w:ascii="Verdana" w:eastAsia="Aptos" w:hAnsi="Verdana" w:cs="Arial"/>
                <w:sz w:val="14"/>
                <w:szCs w:val="14"/>
                <w:lang w:eastAsia="es-ES"/>
              </w:rPr>
              <w:t xml:space="preserve">Subdirector de Gestión Contractual </w:t>
            </w:r>
            <w:r>
              <w:rPr>
                <w:rFonts w:ascii="Verdana" w:eastAsia="Aptos" w:hAnsi="Verdana" w:cs="Arial"/>
                <w:sz w:val="14"/>
                <w:szCs w:val="14"/>
                <w:lang w:eastAsia="es-ES"/>
              </w:rPr>
              <w:t xml:space="preserve">(E) </w:t>
            </w:r>
            <w:r w:rsidRPr="00B54634">
              <w:rPr>
                <w:rFonts w:ascii="Verdana" w:eastAsia="Aptos" w:hAnsi="Verdana" w:cs="Arial"/>
                <w:sz w:val="14"/>
                <w:szCs w:val="14"/>
                <w:lang w:eastAsia="es-ES"/>
              </w:rPr>
              <w:t>ANCP – CCE</w:t>
            </w:r>
          </w:p>
        </w:tc>
      </w:tr>
    </w:tbl>
    <w:p w14:paraId="23EB2441" w14:textId="77777777" w:rsidR="00A44A4E" w:rsidRPr="000D0E36" w:rsidRDefault="00A44A4E" w:rsidP="00A44A4E">
      <w:pPr>
        <w:rPr>
          <w:rFonts w:ascii="Verdana" w:hAnsi="Verdana" w:cs="Arial"/>
          <w:sz w:val="22"/>
          <w:szCs w:val="22"/>
          <w:lang w:eastAsia="es-ES"/>
        </w:rPr>
      </w:pPr>
    </w:p>
    <w:p w14:paraId="0EDA8FBB" w14:textId="77777777" w:rsidR="00A44A4E" w:rsidRPr="000D0E36" w:rsidRDefault="00A44A4E" w:rsidP="00A44A4E">
      <w:pPr>
        <w:rPr>
          <w:rFonts w:ascii="Aptos" w:eastAsia="Aptos" w:hAnsi="Aptos"/>
          <w:sz w:val="22"/>
          <w:szCs w:val="22"/>
        </w:rPr>
      </w:pPr>
    </w:p>
    <w:p w14:paraId="71C8C2A9" w14:textId="77777777" w:rsidR="00A44A4E" w:rsidRPr="000D0E36" w:rsidRDefault="00A44A4E" w:rsidP="00A44A4E">
      <w:pPr>
        <w:rPr>
          <w:rFonts w:ascii="Aptos" w:eastAsia="Aptos" w:hAnsi="Aptos"/>
          <w:sz w:val="22"/>
          <w:szCs w:val="22"/>
        </w:rPr>
      </w:pPr>
    </w:p>
    <w:p w14:paraId="3DE0C368" w14:textId="77777777" w:rsidR="00A44A4E" w:rsidRPr="000D0E36" w:rsidRDefault="00A44A4E" w:rsidP="00A44A4E">
      <w:pPr>
        <w:jc w:val="both"/>
        <w:textAlignment w:val="baseline"/>
        <w:rPr>
          <w:rFonts w:ascii="Verdana" w:eastAsia="Verdana" w:hAnsi="Verdana" w:cs="Verdana"/>
          <w:sz w:val="22"/>
          <w:szCs w:val="22"/>
          <w:lang w:eastAsia="es-CO"/>
        </w:rPr>
      </w:pPr>
    </w:p>
    <w:p w14:paraId="72B549EA" w14:textId="77777777" w:rsidR="00A44A4E" w:rsidRPr="000D0E36" w:rsidRDefault="00A44A4E" w:rsidP="00A44A4E">
      <w:pPr>
        <w:textAlignment w:val="baseline"/>
        <w:rPr>
          <w:rFonts w:ascii="Verdana" w:eastAsia="Verdana" w:hAnsi="Verdana" w:cs="Verdana"/>
          <w:sz w:val="22"/>
          <w:szCs w:val="22"/>
          <w:lang w:eastAsia="es-CO"/>
        </w:rPr>
      </w:pPr>
      <w:r w:rsidRPr="000D0E36">
        <w:rPr>
          <w:rFonts w:ascii="Verdana" w:eastAsia="Verdana" w:hAnsi="Verdana" w:cs="Verdana"/>
          <w:sz w:val="22"/>
          <w:szCs w:val="22"/>
          <w:lang w:eastAsia="es-CO"/>
        </w:rPr>
        <w:t> </w:t>
      </w:r>
    </w:p>
    <w:bookmarkEnd w:id="0"/>
    <w:p w14:paraId="2FE18DBF" w14:textId="77777777" w:rsidR="00A44A4E" w:rsidRPr="000D0E36" w:rsidRDefault="00A44A4E" w:rsidP="00A44A4E">
      <w:pPr>
        <w:ind w:left="1080"/>
        <w:jc w:val="both"/>
        <w:textAlignment w:val="baseline"/>
        <w:rPr>
          <w:rFonts w:ascii="Verdana" w:eastAsia="Verdana" w:hAnsi="Verdana" w:cs="Verdana"/>
          <w:sz w:val="22"/>
          <w:szCs w:val="22"/>
          <w:lang w:eastAsia="es-CO"/>
        </w:rPr>
      </w:pPr>
    </w:p>
    <w:p w14:paraId="7B07960D" w14:textId="77777777" w:rsidR="00A44A4E" w:rsidRPr="000D0E36" w:rsidRDefault="00A44A4E" w:rsidP="00A44A4E">
      <w:pPr>
        <w:rPr>
          <w:sz w:val="22"/>
          <w:szCs w:val="22"/>
        </w:rPr>
      </w:pPr>
    </w:p>
    <w:p w14:paraId="6D145D5E" w14:textId="77777777" w:rsidR="00A44A4E" w:rsidRPr="000D0E36" w:rsidRDefault="00A44A4E" w:rsidP="00A44A4E">
      <w:pPr>
        <w:rPr>
          <w:sz w:val="22"/>
          <w:szCs w:val="22"/>
        </w:rPr>
      </w:pPr>
    </w:p>
    <w:p w14:paraId="414EC7AC" w14:textId="77777777" w:rsidR="00A44A4E" w:rsidRPr="000D0E36" w:rsidRDefault="00A44A4E" w:rsidP="00A44A4E">
      <w:pPr>
        <w:rPr>
          <w:sz w:val="22"/>
          <w:szCs w:val="22"/>
        </w:rPr>
      </w:pPr>
    </w:p>
    <w:p w14:paraId="21636699" w14:textId="77777777" w:rsidR="00A44A4E" w:rsidRDefault="00A44A4E"/>
    <w:sectPr w:rsidR="00A44A4E" w:rsidSect="00A44A4E">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0A60" w14:textId="77777777" w:rsidR="00641D73" w:rsidRDefault="00641D73" w:rsidP="00A44A4E">
      <w:r>
        <w:separator/>
      </w:r>
    </w:p>
  </w:endnote>
  <w:endnote w:type="continuationSeparator" w:id="0">
    <w:p w14:paraId="46134381" w14:textId="77777777" w:rsidR="00641D73" w:rsidRDefault="00641D73" w:rsidP="00A4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81B9" w14:textId="77777777" w:rsidR="00A44A4E" w:rsidRDefault="00A44A4E">
    <w:pPr>
      <w:pStyle w:val="Piedepgina"/>
    </w:pPr>
  </w:p>
  <w:p w14:paraId="68338E77" w14:textId="77777777" w:rsidR="00A44A4E" w:rsidRPr="00174B77" w:rsidRDefault="00A44A4E"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cstheme="minorBidi"/>
        <w:b/>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CED5987" w14:textId="77777777" w:rsidR="00A44A4E" w:rsidRDefault="00A44A4E"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89051E7" w14:textId="77777777" w:rsidR="00A44A4E" w:rsidRPr="00E41027" w:rsidRDefault="00A44A4E"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3A2FE29" w14:textId="77777777" w:rsidR="00A44A4E" w:rsidRDefault="00A44A4E"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F34E" w14:textId="77777777" w:rsidR="00641D73" w:rsidRDefault="00641D73" w:rsidP="00A44A4E">
      <w:r>
        <w:separator/>
      </w:r>
    </w:p>
  </w:footnote>
  <w:footnote w:type="continuationSeparator" w:id="0">
    <w:p w14:paraId="223EBB66" w14:textId="77777777" w:rsidR="00641D73" w:rsidRDefault="00641D73" w:rsidP="00A44A4E">
      <w:r>
        <w:continuationSeparator/>
      </w:r>
    </w:p>
  </w:footnote>
  <w:footnote w:id="1">
    <w:p w14:paraId="6677522C" w14:textId="77777777" w:rsidR="00A44A4E" w:rsidRPr="00341963" w:rsidRDefault="00A44A4E" w:rsidP="00A44A4E">
      <w:pPr>
        <w:pStyle w:val="Textonotapie"/>
        <w:ind w:firstLine="709"/>
        <w:jc w:val="both"/>
        <w:rPr>
          <w:rFonts w:ascii="Verdana" w:hAnsi="Verdana" w:cs="Arial"/>
          <w:sz w:val="14"/>
          <w:szCs w:val="14"/>
        </w:rPr>
      </w:pPr>
      <w:r w:rsidRPr="00341963">
        <w:rPr>
          <w:rStyle w:val="Refdenotaalpie"/>
          <w:rFonts w:ascii="Verdana" w:hAnsi="Verdana" w:cs="Arial"/>
          <w:sz w:val="14"/>
          <w:szCs w:val="14"/>
        </w:rPr>
        <w:footnoteRef/>
      </w:r>
      <w:r w:rsidRPr="00341963">
        <w:rPr>
          <w:rFonts w:ascii="Verdana" w:hAnsi="Verdana" w:cs="Arial"/>
          <w:sz w:val="14"/>
          <w:szCs w:val="14"/>
        </w:rPr>
        <w:t xml:space="preserve"> COLOMBIA COMPRA EFICIENTE. Guía de garantías en procesos de contratación. p. 12. </w:t>
      </w:r>
      <w:r w:rsidRPr="00CD061B">
        <w:rPr>
          <w:rFonts w:ascii="Verdana" w:hAnsi="Verdana" w:cs="Arial"/>
          <w:sz w:val="14"/>
          <w:szCs w:val="14"/>
        </w:rPr>
        <w:t xml:space="preserve">Disponible en: </w:t>
      </w:r>
      <w:hyperlink r:id="rId1" w:history="1">
        <w:r w:rsidRPr="00CD061B">
          <w:rPr>
            <w:rStyle w:val="Hipervnculo"/>
            <w:rFonts w:ascii="Verdana" w:hAnsi="Verdana" w:cs="Arial"/>
            <w:sz w:val="14"/>
            <w:szCs w:val="14"/>
          </w:rPr>
          <w:t>https://www.colombiacompra.gov.co/manuales-guias-y-pliegos-tipo/manuales-y-guias</w:t>
        </w:r>
      </w:hyperlink>
      <w:r w:rsidRPr="00CD061B">
        <w:rPr>
          <w:rFonts w:ascii="Verdana" w:hAnsi="Verdana" w:cs="Arial"/>
          <w:sz w:val="14"/>
          <w:szCs w:val="14"/>
        </w:rPr>
        <w:t xml:space="preserve">. </w:t>
      </w:r>
    </w:p>
  </w:footnote>
  <w:footnote w:id="2">
    <w:p w14:paraId="10F91443" w14:textId="77777777" w:rsidR="00A44A4E" w:rsidRPr="00341963" w:rsidRDefault="00A44A4E" w:rsidP="00A44A4E">
      <w:pPr>
        <w:pStyle w:val="Textonotapie"/>
        <w:ind w:firstLine="709"/>
        <w:jc w:val="both"/>
        <w:rPr>
          <w:rFonts w:ascii="Verdana" w:hAnsi="Verdana" w:cs="Arial"/>
          <w:sz w:val="14"/>
          <w:szCs w:val="14"/>
        </w:rPr>
      </w:pPr>
      <w:r w:rsidRPr="00341963">
        <w:rPr>
          <w:rStyle w:val="Refdenotaalpie"/>
          <w:rFonts w:ascii="Verdana" w:hAnsi="Verdana" w:cs="Arial"/>
          <w:sz w:val="14"/>
          <w:szCs w:val="14"/>
        </w:rPr>
        <w:footnoteRef/>
      </w:r>
      <w:r w:rsidRPr="00341963">
        <w:rPr>
          <w:rFonts w:ascii="Verdana" w:hAnsi="Verdana" w:cs="Arial"/>
          <w:sz w:val="14"/>
          <w:szCs w:val="14"/>
        </w:rPr>
        <w:t xml:space="preserve"> </w:t>
      </w:r>
      <w:proofErr w:type="spellStart"/>
      <w:r w:rsidRPr="00341963">
        <w:rPr>
          <w:rFonts w:ascii="Verdana" w:hAnsi="Verdana" w:cs="Arial"/>
          <w:sz w:val="14"/>
          <w:szCs w:val="14"/>
        </w:rPr>
        <w:t>Ibídem</w:t>
      </w:r>
      <w:proofErr w:type="spellEnd"/>
      <w:r w:rsidRPr="00341963">
        <w:rPr>
          <w:rFonts w:ascii="Verdana" w:hAnsi="Verdana" w:cs="Arial"/>
          <w:sz w:val="14"/>
          <w:szCs w:val="14"/>
        </w:rPr>
        <w:t>.,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3">
    <w:p w14:paraId="3E8B0A22" w14:textId="77777777" w:rsidR="00A44A4E" w:rsidRPr="000D0E36" w:rsidRDefault="00A44A4E" w:rsidP="00A44A4E">
      <w:pPr>
        <w:ind w:firstLine="709"/>
        <w:jc w:val="both"/>
        <w:rPr>
          <w:rFonts w:ascii="Verdana" w:hAnsi="Verdana"/>
          <w:sz w:val="14"/>
          <w:szCs w:val="14"/>
          <w:lang w:val="es-ES"/>
        </w:rPr>
      </w:pPr>
      <w:r w:rsidRPr="000D0E36">
        <w:rPr>
          <w:rStyle w:val="Refdenotaalpie"/>
          <w:rFonts w:ascii="Verdana" w:hAnsi="Verdana"/>
          <w:sz w:val="14"/>
          <w:szCs w:val="14"/>
        </w:rPr>
        <w:footnoteRef/>
      </w:r>
      <w:r w:rsidRPr="000D0E36">
        <w:rPr>
          <w:rFonts w:ascii="Verdana" w:hAnsi="Verdana"/>
          <w:sz w:val="14"/>
          <w:szCs w:val="14"/>
        </w:rPr>
        <w:t>“Artículo</w:t>
      </w:r>
      <w:r w:rsidRPr="000D0E36">
        <w:rPr>
          <w:rFonts w:ascii="Verdana" w:hAnsi="Verdana"/>
          <w:spacing w:val="-9"/>
          <w:sz w:val="14"/>
          <w:szCs w:val="14"/>
        </w:rPr>
        <w:t xml:space="preserve"> </w:t>
      </w:r>
      <w:r w:rsidRPr="000D0E36">
        <w:rPr>
          <w:rFonts w:ascii="Verdana" w:hAnsi="Verdana"/>
          <w:sz w:val="14"/>
          <w:szCs w:val="14"/>
        </w:rPr>
        <w:t>2.2.1.2.3.1.12.</w:t>
      </w:r>
      <w:r w:rsidRPr="000D0E36">
        <w:rPr>
          <w:rFonts w:ascii="Verdana" w:hAnsi="Verdana"/>
          <w:spacing w:val="-7"/>
          <w:sz w:val="14"/>
          <w:szCs w:val="14"/>
        </w:rPr>
        <w:t xml:space="preserve"> </w:t>
      </w:r>
      <w:r w:rsidRPr="000D0E36">
        <w:rPr>
          <w:rFonts w:ascii="Verdana" w:hAnsi="Verdana"/>
          <w:sz w:val="14"/>
          <w:szCs w:val="14"/>
        </w:rPr>
        <w:t>Suficiencia</w:t>
      </w:r>
      <w:r w:rsidRPr="000D0E36">
        <w:rPr>
          <w:rFonts w:ascii="Verdana" w:hAnsi="Verdana"/>
          <w:spacing w:val="-7"/>
          <w:sz w:val="14"/>
          <w:szCs w:val="14"/>
        </w:rPr>
        <w:t xml:space="preserve"> </w:t>
      </w:r>
      <w:r w:rsidRPr="000D0E36">
        <w:rPr>
          <w:rFonts w:ascii="Verdana" w:hAnsi="Verdana"/>
          <w:sz w:val="14"/>
          <w:szCs w:val="14"/>
        </w:rPr>
        <w:t>de</w:t>
      </w:r>
      <w:r w:rsidRPr="000D0E36">
        <w:rPr>
          <w:rFonts w:ascii="Verdana" w:hAnsi="Verdana"/>
          <w:spacing w:val="-9"/>
          <w:sz w:val="14"/>
          <w:szCs w:val="14"/>
        </w:rPr>
        <w:t xml:space="preserve"> </w:t>
      </w:r>
      <w:r w:rsidRPr="000D0E36">
        <w:rPr>
          <w:rFonts w:ascii="Verdana" w:hAnsi="Verdana"/>
          <w:sz w:val="14"/>
          <w:szCs w:val="14"/>
        </w:rPr>
        <w:t>la</w:t>
      </w:r>
      <w:r w:rsidRPr="000D0E36">
        <w:rPr>
          <w:rFonts w:ascii="Verdana" w:hAnsi="Verdana"/>
          <w:spacing w:val="-9"/>
          <w:sz w:val="14"/>
          <w:szCs w:val="14"/>
        </w:rPr>
        <w:t xml:space="preserve"> </w:t>
      </w:r>
      <w:r w:rsidRPr="000D0E36">
        <w:rPr>
          <w:rFonts w:ascii="Verdana" w:hAnsi="Verdana"/>
          <w:sz w:val="14"/>
          <w:szCs w:val="14"/>
        </w:rPr>
        <w:t>garantía</w:t>
      </w:r>
      <w:r w:rsidRPr="000D0E36">
        <w:rPr>
          <w:rFonts w:ascii="Verdana" w:hAnsi="Verdana"/>
          <w:spacing w:val="-8"/>
          <w:sz w:val="14"/>
          <w:szCs w:val="14"/>
        </w:rPr>
        <w:t xml:space="preserve"> </w:t>
      </w:r>
      <w:r w:rsidRPr="000D0E36">
        <w:rPr>
          <w:rFonts w:ascii="Verdana" w:hAnsi="Verdana"/>
          <w:sz w:val="14"/>
          <w:szCs w:val="14"/>
        </w:rPr>
        <w:t>de</w:t>
      </w:r>
      <w:r w:rsidRPr="000D0E36">
        <w:rPr>
          <w:rFonts w:ascii="Verdana" w:hAnsi="Verdana"/>
          <w:spacing w:val="-9"/>
          <w:sz w:val="14"/>
          <w:szCs w:val="14"/>
        </w:rPr>
        <w:t xml:space="preserve"> </w:t>
      </w:r>
      <w:r w:rsidRPr="000D0E36">
        <w:rPr>
          <w:rFonts w:ascii="Verdana" w:hAnsi="Verdana"/>
          <w:sz w:val="14"/>
          <w:szCs w:val="14"/>
        </w:rPr>
        <w:t>cumplimiento.</w:t>
      </w:r>
      <w:r w:rsidRPr="000D0E36">
        <w:rPr>
          <w:rFonts w:ascii="Verdana" w:hAnsi="Verdana"/>
          <w:spacing w:val="-7"/>
          <w:sz w:val="14"/>
          <w:szCs w:val="14"/>
        </w:rPr>
        <w:t xml:space="preserve"> </w:t>
      </w:r>
      <w:r w:rsidRPr="000D0E36">
        <w:rPr>
          <w:rFonts w:ascii="Verdana" w:hAnsi="Verdana"/>
          <w:sz w:val="14"/>
          <w:szCs w:val="14"/>
        </w:rPr>
        <w:t>La</w:t>
      </w:r>
      <w:r w:rsidRPr="000D0E36">
        <w:rPr>
          <w:rFonts w:ascii="Verdana" w:hAnsi="Verdana"/>
          <w:spacing w:val="-9"/>
          <w:sz w:val="14"/>
          <w:szCs w:val="14"/>
        </w:rPr>
        <w:t xml:space="preserve"> </w:t>
      </w:r>
      <w:r w:rsidRPr="000D0E36">
        <w:rPr>
          <w:rFonts w:ascii="Verdana" w:hAnsi="Verdana"/>
          <w:sz w:val="14"/>
          <w:szCs w:val="14"/>
        </w:rPr>
        <w:t>garantía</w:t>
      </w:r>
      <w:r w:rsidRPr="000D0E36">
        <w:rPr>
          <w:rFonts w:ascii="Verdana" w:hAnsi="Verdana"/>
          <w:spacing w:val="-8"/>
          <w:sz w:val="14"/>
          <w:szCs w:val="14"/>
        </w:rPr>
        <w:t xml:space="preserve"> </w:t>
      </w:r>
      <w:r w:rsidRPr="000D0E36">
        <w:rPr>
          <w:rFonts w:ascii="Verdana" w:hAnsi="Verdana"/>
          <w:sz w:val="14"/>
          <w:szCs w:val="14"/>
        </w:rPr>
        <w:t>de</w:t>
      </w:r>
      <w:r w:rsidRPr="000D0E36">
        <w:rPr>
          <w:rFonts w:ascii="Verdana" w:hAnsi="Verdana"/>
          <w:spacing w:val="-9"/>
          <w:sz w:val="14"/>
          <w:szCs w:val="14"/>
        </w:rPr>
        <w:t xml:space="preserve"> </w:t>
      </w:r>
      <w:r w:rsidRPr="000D0E36">
        <w:rPr>
          <w:rFonts w:ascii="Verdana" w:hAnsi="Verdana"/>
          <w:sz w:val="14"/>
          <w:szCs w:val="14"/>
        </w:rPr>
        <w:t>cumplimiento</w:t>
      </w:r>
      <w:r w:rsidRPr="000D0E36">
        <w:rPr>
          <w:rFonts w:ascii="Verdana" w:hAnsi="Verdana"/>
          <w:spacing w:val="-7"/>
          <w:sz w:val="14"/>
          <w:szCs w:val="14"/>
        </w:rPr>
        <w:t xml:space="preserve"> </w:t>
      </w:r>
      <w:r w:rsidRPr="000D0E36">
        <w:rPr>
          <w:rFonts w:ascii="Verdana" w:hAnsi="Verdana"/>
          <w:sz w:val="14"/>
          <w:szCs w:val="14"/>
        </w:rPr>
        <w:t>del</w:t>
      </w:r>
      <w:r w:rsidRPr="000D0E36">
        <w:rPr>
          <w:rFonts w:ascii="Verdana" w:hAnsi="Verdana"/>
          <w:spacing w:val="-9"/>
          <w:sz w:val="14"/>
          <w:szCs w:val="14"/>
        </w:rPr>
        <w:t xml:space="preserve"> </w:t>
      </w:r>
      <w:r w:rsidRPr="000D0E36">
        <w:rPr>
          <w:rFonts w:ascii="Verdana" w:hAnsi="Verdana"/>
          <w:sz w:val="14"/>
          <w:szCs w:val="14"/>
        </w:rPr>
        <w:t>contrato</w:t>
      </w:r>
      <w:r w:rsidRPr="000D0E36">
        <w:rPr>
          <w:rFonts w:ascii="Verdana" w:hAnsi="Verdana"/>
          <w:spacing w:val="-8"/>
          <w:sz w:val="14"/>
          <w:szCs w:val="14"/>
        </w:rPr>
        <w:t xml:space="preserve"> </w:t>
      </w:r>
      <w:r w:rsidRPr="000D0E36">
        <w:rPr>
          <w:rFonts w:ascii="Verdana" w:hAnsi="Verdana"/>
          <w:sz w:val="14"/>
          <w:szCs w:val="14"/>
        </w:rPr>
        <w:t>debe</w:t>
      </w:r>
      <w:r w:rsidRPr="000D0E36">
        <w:rPr>
          <w:rFonts w:ascii="Verdana" w:hAnsi="Verdana"/>
          <w:spacing w:val="-9"/>
          <w:sz w:val="14"/>
          <w:szCs w:val="14"/>
        </w:rPr>
        <w:t xml:space="preserve"> </w:t>
      </w:r>
      <w:r w:rsidRPr="000D0E36">
        <w:rPr>
          <w:rFonts w:ascii="Verdana" w:hAnsi="Verdana"/>
          <w:sz w:val="14"/>
          <w:szCs w:val="14"/>
        </w:rPr>
        <w:t>tener</w:t>
      </w:r>
      <w:r w:rsidRPr="000D0E36">
        <w:rPr>
          <w:rFonts w:ascii="Verdana" w:hAnsi="Verdana"/>
          <w:spacing w:val="-8"/>
          <w:sz w:val="14"/>
          <w:szCs w:val="14"/>
        </w:rPr>
        <w:t xml:space="preserve"> </w:t>
      </w:r>
      <w:r w:rsidRPr="000D0E36">
        <w:rPr>
          <w:rFonts w:ascii="Verdana" w:hAnsi="Verdana"/>
          <w:sz w:val="14"/>
          <w:szCs w:val="14"/>
        </w:rPr>
        <w:t>una</w:t>
      </w:r>
      <w:r w:rsidRPr="000D0E36">
        <w:rPr>
          <w:rFonts w:ascii="Verdana" w:hAnsi="Verdana"/>
          <w:spacing w:val="-9"/>
          <w:sz w:val="14"/>
          <w:szCs w:val="14"/>
        </w:rPr>
        <w:t xml:space="preserve"> </w:t>
      </w:r>
      <w:r w:rsidRPr="000D0E36">
        <w:rPr>
          <w:rFonts w:ascii="Verdana" w:hAnsi="Verdana"/>
          <w:sz w:val="14"/>
          <w:szCs w:val="14"/>
        </w:rPr>
        <w:t>vigencia</w:t>
      </w:r>
      <w:r w:rsidRPr="000D0E36">
        <w:rPr>
          <w:rFonts w:ascii="Verdana" w:hAnsi="Verdana"/>
          <w:spacing w:val="-8"/>
          <w:sz w:val="14"/>
          <w:szCs w:val="14"/>
        </w:rPr>
        <w:t xml:space="preserve"> </w:t>
      </w:r>
      <w:r w:rsidRPr="000D0E36">
        <w:rPr>
          <w:rFonts w:ascii="Verdana" w:hAnsi="Verdana"/>
          <w:sz w:val="14"/>
          <w:szCs w:val="14"/>
        </w:rPr>
        <w:t>mínima</w:t>
      </w:r>
      <w:r w:rsidRPr="000D0E36">
        <w:rPr>
          <w:rFonts w:ascii="Verdana" w:hAnsi="Verdana"/>
          <w:spacing w:val="-8"/>
          <w:sz w:val="14"/>
          <w:szCs w:val="14"/>
        </w:rPr>
        <w:t xml:space="preserve"> </w:t>
      </w:r>
      <w:r w:rsidRPr="000D0E36">
        <w:rPr>
          <w:rFonts w:ascii="Verdana" w:hAnsi="Verdana"/>
          <w:sz w:val="14"/>
          <w:szCs w:val="14"/>
        </w:rPr>
        <w:t>hasta</w:t>
      </w:r>
      <w:r w:rsidRPr="000D0E36">
        <w:rPr>
          <w:rFonts w:ascii="Verdana" w:hAnsi="Verdana"/>
          <w:spacing w:val="-8"/>
          <w:sz w:val="14"/>
          <w:szCs w:val="14"/>
        </w:rPr>
        <w:t xml:space="preserve"> </w:t>
      </w:r>
      <w:r w:rsidRPr="000D0E36">
        <w:rPr>
          <w:rFonts w:ascii="Verdana" w:hAnsi="Verdana"/>
          <w:sz w:val="14"/>
          <w:szCs w:val="14"/>
        </w:rPr>
        <w:t>la</w:t>
      </w:r>
      <w:r w:rsidRPr="000D0E36">
        <w:rPr>
          <w:rFonts w:ascii="Verdana" w:hAnsi="Verdana"/>
          <w:spacing w:val="-9"/>
          <w:sz w:val="14"/>
          <w:szCs w:val="14"/>
        </w:rPr>
        <w:t xml:space="preserve"> </w:t>
      </w:r>
      <w:r w:rsidRPr="000D0E36">
        <w:rPr>
          <w:rFonts w:ascii="Verdana" w:hAnsi="Verdana"/>
          <w:sz w:val="14"/>
          <w:szCs w:val="14"/>
        </w:rPr>
        <w:t>liquidación</w:t>
      </w:r>
      <w:r w:rsidRPr="000D0E36">
        <w:rPr>
          <w:rFonts w:ascii="Verdana" w:hAnsi="Verdana"/>
          <w:spacing w:val="40"/>
          <w:sz w:val="14"/>
          <w:szCs w:val="14"/>
        </w:rPr>
        <w:t xml:space="preserve"> </w:t>
      </w:r>
      <w:r w:rsidRPr="000D0E36">
        <w:rPr>
          <w:rFonts w:ascii="Verdana" w:hAnsi="Verdana"/>
          <w:sz w:val="14"/>
          <w:szCs w:val="14"/>
        </w:rPr>
        <w:t>del contrato. El valor de esta garantía debe ser de por lo menos el diez por ciento (10%) del valor del contrato a menos que el valor del contrato sea superior a un millón</w:t>
      </w:r>
      <w:r w:rsidRPr="000D0E36">
        <w:rPr>
          <w:rFonts w:ascii="Verdana" w:hAnsi="Verdana"/>
          <w:spacing w:val="40"/>
          <w:sz w:val="14"/>
          <w:szCs w:val="14"/>
        </w:rPr>
        <w:t xml:space="preserve"> </w:t>
      </w:r>
      <w:r w:rsidRPr="000D0E36">
        <w:rPr>
          <w:rFonts w:ascii="Verdana" w:hAnsi="Verdana"/>
          <w:sz w:val="14"/>
          <w:szCs w:val="14"/>
        </w:rPr>
        <w:t>(1.000.000) de smmlv, caso en el cual la Entidad Estatal aplicará las siguientes reglas: 1.Si</w:t>
      </w:r>
      <w:r w:rsidRPr="000D0E36">
        <w:rPr>
          <w:rFonts w:ascii="Verdana" w:hAnsi="Verdana"/>
          <w:spacing w:val="-3"/>
          <w:sz w:val="14"/>
          <w:szCs w:val="14"/>
        </w:rPr>
        <w:t xml:space="preserve"> </w:t>
      </w:r>
      <w:r w:rsidRPr="000D0E36">
        <w:rPr>
          <w:rFonts w:ascii="Verdana" w:hAnsi="Verdana"/>
          <w:sz w:val="14"/>
          <w:szCs w:val="14"/>
        </w:rPr>
        <w:t>el</w:t>
      </w:r>
      <w:r w:rsidRPr="000D0E36">
        <w:rPr>
          <w:rFonts w:ascii="Verdana" w:hAnsi="Verdana"/>
          <w:spacing w:val="-3"/>
          <w:sz w:val="14"/>
          <w:szCs w:val="14"/>
        </w:rPr>
        <w:t xml:space="preserve"> </w:t>
      </w:r>
      <w:r w:rsidRPr="000D0E36">
        <w:rPr>
          <w:rFonts w:ascii="Verdana" w:hAnsi="Verdana"/>
          <w:sz w:val="14"/>
          <w:szCs w:val="14"/>
        </w:rPr>
        <w:t>valor</w:t>
      </w:r>
      <w:r w:rsidRPr="000D0E36">
        <w:rPr>
          <w:rFonts w:ascii="Verdana" w:hAnsi="Verdana"/>
          <w:spacing w:val="-3"/>
          <w:sz w:val="14"/>
          <w:szCs w:val="14"/>
        </w:rPr>
        <w:t xml:space="preserve"> </w:t>
      </w:r>
      <w:r w:rsidRPr="000D0E36">
        <w:rPr>
          <w:rFonts w:ascii="Verdana" w:hAnsi="Verdana"/>
          <w:sz w:val="14"/>
          <w:szCs w:val="14"/>
        </w:rPr>
        <w:t>del</w:t>
      </w:r>
      <w:r w:rsidRPr="000D0E36">
        <w:rPr>
          <w:rFonts w:ascii="Verdana" w:hAnsi="Verdana"/>
          <w:spacing w:val="-3"/>
          <w:sz w:val="14"/>
          <w:szCs w:val="14"/>
        </w:rPr>
        <w:t xml:space="preserve"> </w:t>
      </w:r>
      <w:r w:rsidRPr="000D0E36">
        <w:rPr>
          <w:rFonts w:ascii="Verdana" w:hAnsi="Verdana"/>
          <w:sz w:val="14"/>
          <w:szCs w:val="14"/>
        </w:rPr>
        <w:t>contrato</w:t>
      </w:r>
      <w:r w:rsidRPr="000D0E36">
        <w:rPr>
          <w:rFonts w:ascii="Verdana" w:hAnsi="Verdana"/>
          <w:spacing w:val="-2"/>
          <w:sz w:val="14"/>
          <w:szCs w:val="14"/>
        </w:rPr>
        <w:t xml:space="preserve"> </w:t>
      </w:r>
      <w:r w:rsidRPr="000D0E36">
        <w:rPr>
          <w:rFonts w:ascii="Verdana" w:hAnsi="Verdana"/>
          <w:sz w:val="14"/>
          <w:szCs w:val="14"/>
        </w:rPr>
        <w:t>es</w:t>
      </w:r>
      <w:r w:rsidRPr="000D0E36">
        <w:rPr>
          <w:rFonts w:ascii="Verdana" w:hAnsi="Verdana"/>
          <w:spacing w:val="-3"/>
          <w:sz w:val="14"/>
          <w:szCs w:val="14"/>
        </w:rPr>
        <w:t xml:space="preserve"> </w:t>
      </w:r>
      <w:r w:rsidRPr="000D0E36">
        <w:rPr>
          <w:rFonts w:ascii="Verdana" w:hAnsi="Verdana"/>
          <w:sz w:val="14"/>
          <w:szCs w:val="14"/>
        </w:rPr>
        <w:t>superior</w:t>
      </w:r>
      <w:r w:rsidRPr="000D0E36">
        <w:rPr>
          <w:rFonts w:ascii="Verdana" w:hAnsi="Verdana"/>
          <w:spacing w:val="-2"/>
          <w:sz w:val="14"/>
          <w:szCs w:val="14"/>
        </w:rPr>
        <w:t xml:space="preserve"> </w:t>
      </w:r>
      <w:r w:rsidRPr="000D0E36">
        <w:rPr>
          <w:rFonts w:ascii="Verdana" w:hAnsi="Verdana"/>
          <w:sz w:val="14"/>
          <w:szCs w:val="14"/>
        </w:rPr>
        <w:t>a</w:t>
      </w:r>
      <w:r w:rsidRPr="000D0E36">
        <w:rPr>
          <w:rFonts w:ascii="Verdana" w:hAnsi="Verdana"/>
          <w:spacing w:val="-3"/>
          <w:sz w:val="14"/>
          <w:szCs w:val="14"/>
        </w:rPr>
        <w:t xml:space="preserve"> </w:t>
      </w:r>
      <w:r w:rsidRPr="000D0E36">
        <w:rPr>
          <w:rFonts w:ascii="Verdana" w:hAnsi="Verdana"/>
          <w:sz w:val="14"/>
          <w:szCs w:val="14"/>
        </w:rPr>
        <w:t>un</w:t>
      </w:r>
      <w:r w:rsidRPr="000D0E36">
        <w:rPr>
          <w:rFonts w:ascii="Verdana" w:hAnsi="Verdana"/>
          <w:spacing w:val="-3"/>
          <w:sz w:val="14"/>
          <w:szCs w:val="14"/>
        </w:rPr>
        <w:t xml:space="preserve"> </w:t>
      </w:r>
      <w:r w:rsidRPr="000D0E36">
        <w:rPr>
          <w:rFonts w:ascii="Verdana" w:hAnsi="Verdana"/>
          <w:sz w:val="14"/>
          <w:szCs w:val="14"/>
        </w:rPr>
        <w:t>millón</w:t>
      </w:r>
      <w:r w:rsidRPr="000D0E36">
        <w:rPr>
          <w:rFonts w:ascii="Verdana" w:hAnsi="Verdana"/>
          <w:spacing w:val="-3"/>
          <w:sz w:val="14"/>
          <w:szCs w:val="14"/>
        </w:rPr>
        <w:t xml:space="preserve"> </w:t>
      </w:r>
      <w:r w:rsidRPr="000D0E36">
        <w:rPr>
          <w:rFonts w:ascii="Verdana" w:hAnsi="Verdana"/>
          <w:sz w:val="14"/>
          <w:szCs w:val="14"/>
        </w:rPr>
        <w:t>(1.000.000)</w:t>
      </w:r>
      <w:r w:rsidRPr="000D0E36">
        <w:rPr>
          <w:rFonts w:ascii="Verdana" w:hAnsi="Verdana"/>
          <w:spacing w:val="-2"/>
          <w:sz w:val="14"/>
          <w:szCs w:val="14"/>
        </w:rPr>
        <w:t xml:space="preserve"> </w:t>
      </w:r>
      <w:r w:rsidRPr="000D0E36">
        <w:rPr>
          <w:rFonts w:ascii="Verdana" w:hAnsi="Verdana"/>
          <w:sz w:val="14"/>
          <w:szCs w:val="14"/>
        </w:rPr>
        <w:t>de</w:t>
      </w:r>
      <w:r w:rsidRPr="000D0E36">
        <w:rPr>
          <w:rFonts w:ascii="Verdana" w:hAnsi="Verdana"/>
          <w:spacing w:val="-3"/>
          <w:sz w:val="14"/>
          <w:szCs w:val="14"/>
        </w:rPr>
        <w:t xml:space="preserve"> </w:t>
      </w:r>
      <w:r w:rsidRPr="000D0E36">
        <w:rPr>
          <w:rFonts w:ascii="Verdana" w:hAnsi="Verdana"/>
          <w:sz w:val="14"/>
          <w:szCs w:val="14"/>
        </w:rPr>
        <w:t>smmlv</w:t>
      </w:r>
      <w:r w:rsidRPr="000D0E36">
        <w:rPr>
          <w:rFonts w:ascii="Verdana" w:hAnsi="Verdana"/>
          <w:spacing w:val="-3"/>
          <w:sz w:val="14"/>
          <w:szCs w:val="14"/>
        </w:rPr>
        <w:t xml:space="preserve"> </w:t>
      </w:r>
      <w:r w:rsidRPr="000D0E36">
        <w:rPr>
          <w:rFonts w:ascii="Verdana" w:hAnsi="Verdana"/>
          <w:sz w:val="14"/>
          <w:szCs w:val="14"/>
        </w:rPr>
        <w:t>y</w:t>
      </w:r>
      <w:r w:rsidRPr="000D0E36">
        <w:rPr>
          <w:rFonts w:ascii="Verdana" w:hAnsi="Verdana"/>
          <w:spacing w:val="-3"/>
          <w:sz w:val="14"/>
          <w:szCs w:val="14"/>
        </w:rPr>
        <w:t xml:space="preserve"> </w:t>
      </w:r>
      <w:r w:rsidRPr="000D0E36">
        <w:rPr>
          <w:rFonts w:ascii="Verdana" w:hAnsi="Verdana"/>
          <w:sz w:val="14"/>
          <w:szCs w:val="14"/>
        </w:rPr>
        <w:t>hasta</w:t>
      </w:r>
      <w:r w:rsidRPr="000D0E36">
        <w:rPr>
          <w:rFonts w:ascii="Verdana" w:hAnsi="Verdana"/>
          <w:spacing w:val="-3"/>
          <w:sz w:val="14"/>
          <w:szCs w:val="14"/>
        </w:rPr>
        <w:t xml:space="preserve"> </w:t>
      </w:r>
      <w:r w:rsidRPr="000D0E36">
        <w:rPr>
          <w:rFonts w:ascii="Verdana" w:hAnsi="Verdana"/>
          <w:sz w:val="14"/>
          <w:szCs w:val="14"/>
        </w:rPr>
        <w:t>cinco</w:t>
      </w:r>
      <w:r w:rsidRPr="000D0E36">
        <w:rPr>
          <w:rFonts w:ascii="Verdana" w:hAnsi="Verdana"/>
          <w:spacing w:val="-3"/>
          <w:sz w:val="14"/>
          <w:szCs w:val="14"/>
        </w:rPr>
        <w:t xml:space="preserve"> </w:t>
      </w:r>
      <w:r w:rsidRPr="000D0E36">
        <w:rPr>
          <w:rFonts w:ascii="Verdana" w:hAnsi="Verdana"/>
          <w:sz w:val="14"/>
          <w:szCs w:val="14"/>
        </w:rPr>
        <w:t>millones</w:t>
      </w:r>
      <w:r w:rsidRPr="000D0E36">
        <w:rPr>
          <w:rFonts w:ascii="Verdana" w:hAnsi="Verdana"/>
          <w:spacing w:val="-2"/>
          <w:sz w:val="14"/>
          <w:szCs w:val="14"/>
        </w:rPr>
        <w:t xml:space="preserve"> </w:t>
      </w:r>
      <w:r w:rsidRPr="000D0E36">
        <w:rPr>
          <w:rFonts w:ascii="Verdana" w:hAnsi="Verdana"/>
          <w:sz w:val="14"/>
          <w:szCs w:val="14"/>
        </w:rPr>
        <w:t>(5.000.000)</w:t>
      </w:r>
      <w:r w:rsidRPr="000D0E36">
        <w:rPr>
          <w:rFonts w:ascii="Verdana" w:hAnsi="Verdana"/>
          <w:spacing w:val="-2"/>
          <w:sz w:val="14"/>
          <w:szCs w:val="14"/>
        </w:rPr>
        <w:t xml:space="preserve"> </w:t>
      </w:r>
      <w:r w:rsidRPr="000D0E36">
        <w:rPr>
          <w:rFonts w:ascii="Verdana" w:hAnsi="Verdana"/>
          <w:sz w:val="14"/>
          <w:szCs w:val="14"/>
        </w:rPr>
        <w:t>de</w:t>
      </w:r>
      <w:r w:rsidRPr="000D0E36">
        <w:rPr>
          <w:rFonts w:ascii="Verdana" w:hAnsi="Verdana"/>
          <w:spacing w:val="-3"/>
          <w:sz w:val="14"/>
          <w:szCs w:val="14"/>
        </w:rPr>
        <w:t xml:space="preserve"> </w:t>
      </w:r>
      <w:r w:rsidRPr="000D0E36">
        <w:rPr>
          <w:rFonts w:ascii="Verdana" w:hAnsi="Verdana"/>
          <w:sz w:val="14"/>
          <w:szCs w:val="14"/>
        </w:rPr>
        <w:t>smmlv,</w:t>
      </w:r>
      <w:r w:rsidRPr="000D0E36">
        <w:rPr>
          <w:rFonts w:ascii="Verdana" w:hAnsi="Verdana"/>
          <w:spacing w:val="-3"/>
          <w:sz w:val="14"/>
          <w:szCs w:val="14"/>
        </w:rPr>
        <w:t xml:space="preserve"> </w:t>
      </w:r>
      <w:r w:rsidRPr="000D0E36">
        <w:rPr>
          <w:rFonts w:ascii="Verdana" w:hAnsi="Verdana"/>
          <w:sz w:val="14"/>
          <w:szCs w:val="14"/>
        </w:rPr>
        <w:t>la</w:t>
      </w:r>
      <w:r w:rsidRPr="000D0E36">
        <w:rPr>
          <w:rFonts w:ascii="Verdana" w:hAnsi="Verdana"/>
          <w:spacing w:val="-3"/>
          <w:sz w:val="14"/>
          <w:szCs w:val="14"/>
        </w:rPr>
        <w:t xml:space="preserve"> </w:t>
      </w:r>
      <w:r w:rsidRPr="000D0E36">
        <w:rPr>
          <w:rFonts w:ascii="Verdana" w:hAnsi="Verdana"/>
          <w:sz w:val="14"/>
          <w:szCs w:val="14"/>
        </w:rPr>
        <w:t>Entidad</w:t>
      </w:r>
      <w:r w:rsidRPr="000D0E36">
        <w:rPr>
          <w:rFonts w:ascii="Verdana" w:hAnsi="Verdana"/>
          <w:spacing w:val="-3"/>
          <w:sz w:val="14"/>
          <w:szCs w:val="14"/>
        </w:rPr>
        <w:t xml:space="preserve"> </w:t>
      </w:r>
      <w:r w:rsidRPr="000D0E36">
        <w:rPr>
          <w:rFonts w:ascii="Verdana" w:hAnsi="Verdana"/>
          <w:sz w:val="14"/>
          <w:szCs w:val="14"/>
        </w:rPr>
        <w:t>Estatal</w:t>
      </w:r>
      <w:r w:rsidRPr="000D0E36">
        <w:rPr>
          <w:rFonts w:ascii="Verdana" w:hAnsi="Verdana"/>
          <w:spacing w:val="-2"/>
          <w:sz w:val="14"/>
          <w:szCs w:val="14"/>
        </w:rPr>
        <w:t xml:space="preserve"> </w:t>
      </w:r>
      <w:r w:rsidRPr="000D0E36">
        <w:rPr>
          <w:rFonts w:ascii="Verdana" w:hAnsi="Verdana"/>
          <w:sz w:val="14"/>
          <w:szCs w:val="14"/>
        </w:rPr>
        <w:t>puede</w:t>
      </w:r>
      <w:r w:rsidRPr="000D0E36">
        <w:rPr>
          <w:rFonts w:ascii="Verdana" w:hAnsi="Verdana"/>
          <w:spacing w:val="-3"/>
          <w:sz w:val="14"/>
          <w:szCs w:val="14"/>
        </w:rPr>
        <w:t xml:space="preserve"> </w:t>
      </w:r>
      <w:r w:rsidRPr="000D0E36">
        <w:rPr>
          <w:rFonts w:ascii="Verdana" w:hAnsi="Verdana"/>
          <w:sz w:val="14"/>
          <w:szCs w:val="14"/>
        </w:rPr>
        <w:t>aceptar</w:t>
      </w:r>
      <w:r w:rsidRPr="000D0E36">
        <w:rPr>
          <w:rFonts w:ascii="Verdana" w:hAnsi="Verdana"/>
          <w:spacing w:val="-2"/>
          <w:sz w:val="14"/>
          <w:szCs w:val="14"/>
        </w:rPr>
        <w:t xml:space="preserve"> </w:t>
      </w:r>
      <w:r w:rsidRPr="000D0E36">
        <w:rPr>
          <w:rFonts w:ascii="Verdana" w:hAnsi="Verdana"/>
          <w:sz w:val="14"/>
          <w:szCs w:val="14"/>
        </w:rPr>
        <w:t>garantías</w:t>
      </w:r>
      <w:r w:rsidRPr="000D0E36">
        <w:rPr>
          <w:rFonts w:ascii="Verdana" w:hAnsi="Verdana"/>
          <w:spacing w:val="40"/>
          <w:sz w:val="14"/>
          <w:szCs w:val="14"/>
        </w:rPr>
        <w:t xml:space="preserve"> </w:t>
      </w:r>
      <w:r w:rsidRPr="000D0E36">
        <w:rPr>
          <w:rFonts w:ascii="Verdana" w:hAnsi="Verdana"/>
          <w:sz w:val="14"/>
          <w:szCs w:val="14"/>
        </w:rPr>
        <w:t>que cubran al menos el dos punto cinco por ciento (2,5%) del valor del contrato. 2.Si el valor del contrato es superior a cinco millones (5.000.000) de smmlv y hasta diez millones (10.000.000) de smmlv, la Entidad Estatal puede aceptar</w:t>
      </w:r>
      <w:r w:rsidRPr="000D0E36">
        <w:rPr>
          <w:rFonts w:ascii="Verdana" w:hAnsi="Verdana"/>
          <w:spacing w:val="40"/>
          <w:sz w:val="14"/>
          <w:szCs w:val="14"/>
        </w:rPr>
        <w:t xml:space="preserve"> </w:t>
      </w:r>
      <w:r w:rsidRPr="000D0E36">
        <w:rPr>
          <w:rFonts w:ascii="Verdana" w:hAnsi="Verdana"/>
          <w:sz w:val="14"/>
          <w:szCs w:val="14"/>
        </w:rPr>
        <w:t>garantías que cubran al menos el uno por ciento (1%) del valor del contrato. 3.Si</w:t>
      </w:r>
      <w:r w:rsidRPr="000D0E36">
        <w:rPr>
          <w:rFonts w:ascii="Verdana" w:hAnsi="Verdana"/>
          <w:spacing w:val="-4"/>
          <w:sz w:val="14"/>
          <w:szCs w:val="14"/>
        </w:rPr>
        <w:t xml:space="preserve"> </w:t>
      </w:r>
      <w:r w:rsidRPr="000D0E36">
        <w:rPr>
          <w:rFonts w:ascii="Verdana" w:hAnsi="Verdana"/>
          <w:sz w:val="14"/>
          <w:szCs w:val="14"/>
        </w:rPr>
        <w:t>el</w:t>
      </w:r>
      <w:r w:rsidRPr="000D0E36">
        <w:rPr>
          <w:rFonts w:ascii="Verdana" w:hAnsi="Verdana"/>
          <w:spacing w:val="-4"/>
          <w:sz w:val="14"/>
          <w:szCs w:val="14"/>
        </w:rPr>
        <w:t xml:space="preserve"> </w:t>
      </w:r>
      <w:r w:rsidRPr="000D0E36">
        <w:rPr>
          <w:rFonts w:ascii="Verdana" w:hAnsi="Verdana"/>
          <w:sz w:val="14"/>
          <w:szCs w:val="14"/>
        </w:rPr>
        <w:t>valor</w:t>
      </w:r>
      <w:r w:rsidRPr="000D0E36">
        <w:rPr>
          <w:rFonts w:ascii="Verdana" w:hAnsi="Verdana"/>
          <w:spacing w:val="-3"/>
          <w:sz w:val="14"/>
          <w:szCs w:val="14"/>
        </w:rPr>
        <w:t xml:space="preserve"> </w:t>
      </w:r>
      <w:r w:rsidRPr="000D0E36">
        <w:rPr>
          <w:rFonts w:ascii="Verdana" w:hAnsi="Verdana"/>
          <w:sz w:val="14"/>
          <w:szCs w:val="14"/>
        </w:rPr>
        <w:t>del</w:t>
      </w:r>
      <w:r w:rsidRPr="000D0E36">
        <w:rPr>
          <w:rFonts w:ascii="Verdana" w:hAnsi="Verdana"/>
          <w:spacing w:val="-3"/>
          <w:sz w:val="14"/>
          <w:szCs w:val="14"/>
        </w:rPr>
        <w:t xml:space="preserve"> </w:t>
      </w:r>
      <w:r w:rsidRPr="000D0E36">
        <w:rPr>
          <w:rFonts w:ascii="Verdana" w:hAnsi="Verdana"/>
          <w:sz w:val="14"/>
          <w:szCs w:val="14"/>
        </w:rPr>
        <w:t>contrato</w:t>
      </w:r>
      <w:r w:rsidRPr="000D0E36">
        <w:rPr>
          <w:rFonts w:ascii="Verdana" w:hAnsi="Verdana"/>
          <w:spacing w:val="-3"/>
          <w:sz w:val="14"/>
          <w:szCs w:val="14"/>
        </w:rPr>
        <w:t xml:space="preserve"> </w:t>
      </w:r>
      <w:r w:rsidRPr="000D0E36">
        <w:rPr>
          <w:rFonts w:ascii="Verdana" w:hAnsi="Verdana"/>
          <w:sz w:val="14"/>
          <w:szCs w:val="14"/>
        </w:rPr>
        <w:t>es</w:t>
      </w:r>
      <w:r w:rsidRPr="000D0E36">
        <w:rPr>
          <w:rFonts w:ascii="Verdana" w:hAnsi="Verdana"/>
          <w:spacing w:val="-4"/>
          <w:sz w:val="14"/>
          <w:szCs w:val="14"/>
        </w:rPr>
        <w:t xml:space="preserve"> </w:t>
      </w:r>
      <w:r w:rsidRPr="000D0E36">
        <w:rPr>
          <w:rFonts w:ascii="Verdana" w:hAnsi="Verdana"/>
          <w:sz w:val="14"/>
          <w:szCs w:val="14"/>
        </w:rPr>
        <w:t>superior</w:t>
      </w:r>
      <w:r w:rsidRPr="000D0E36">
        <w:rPr>
          <w:rFonts w:ascii="Verdana" w:hAnsi="Verdana"/>
          <w:spacing w:val="-3"/>
          <w:sz w:val="14"/>
          <w:szCs w:val="14"/>
        </w:rPr>
        <w:t xml:space="preserve"> </w:t>
      </w:r>
      <w:r w:rsidRPr="000D0E36">
        <w:rPr>
          <w:rFonts w:ascii="Verdana" w:hAnsi="Verdana"/>
          <w:sz w:val="14"/>
          <w:szCs w:val="14"/>
        </w:rPr>
        <w:t>a</w:t>
      </w:r>
      <w:r w:rsidRPr="000D0E36">
        <w:rPr>
          <w:rFonts w:ascii="Verdana" w:hAnsi="Verdana"/>
          <w:spacing w:val="-4"/>
          <w:sz w:val="14"/>
          <w:szCs w:val="14"/>
        </w:rPr>
        <w:t xml:space="preserve"> </w:t>
      </w:r>
      <w:r w:rsidRPr="000D0E36">
        <w:rPr>
          <w:rFonts w:ascii="Verdana" w:hAnsi="Verdana"/>
          <w:sz w:val="14"/>
          <w:szCs w:val="14"/>
        </w:rPr>
        <w:t>diez</w:t>
      </w:r>
      <w:r w:rsidRPr="000D0E36">
        <w:rPr>
          <w:rFonts w:ascii="Verdana" w:hAnsi="Verdana"/>
          <w:spacing w:val="-3"/>
          <w:sz w:val="14"/>
          <w:szCs w:val="14"/>
        </w:rPr>
        <w:t xml:space="preserve"> </w:t>
      </w:r>
      <w:r w:rsidRPr="000D0E36">
        <w:rPr>
          <w:rFonts w:ascii="Verdana" w:hAnsi="Verdana"/>
          <w:sz w:val="14"/>
          <w:szCs w:val="14"/>
        </w:rPr>
        <w:t>millones</w:t>
      </w:r>
      <w:r w:rsidRPr="000D0E36">
        <w:rPr>
          <w:rFonts w:ascii="Verdana" w:hAnsi="Verdana"/>
          <w:spacing w:val="-3"/>
          <w:sz w:val="14"/>
          <w:szCs w:val="14"/>
        </w:rPr>
        <w:t xml:space="preserve"> </w:t>
      </w:r>
      <w:r w:rsidRPr="000D0E36">
        <w:rPr>
          <w:rFonts w:ascii="Verdana" w:hAnsi="Verdana"/>
          <w:sz w:val="14"/>
          <w:szCs w:val="14"/>
        </w:rPr>
        <w:t>(10.000.000)</w:t>
      </w:r>
      <w:r w:rsidRPr="000D0E36">
        <w:rPr>
          <w:rFonts w:ascii="Verdana" w:hAnsi="Verdana"/>
          <w:spacing w:val="-2"/>
          <w:sz w:val="14"/>
          <w:szCs w:val="14"/>
        </w:rPr>
        <w:t xml:space="preserve"> </w:t>
      </w:r>
      <w:r w:rsidRPr="000D0E36">
        <w:rPr>
          <w:rFonts w:ascii="Verdana" w:hAnsi="Verdana"/>
          <w:sz w:val="14"/>
          <w:szCs w:val="14"/>
        </w:rPr>
        <w:t>de</w:t>
      </w:r>
      <w:r w:rsidRPr="000D0E36">
        <w:rPr>
          <w:rFonts w:ascii="Verdana" w:hAnsi="Verdana"/>
          <w:spacing w:val="-4"/>
          <w:sz w:val="14"/>
          <w:szCs w:val="14"/>
        </w:rPr>
        <w:t xml:space="preserve"> </w:t>
      </w:r>
      <w:r w:rsidRPr="000D0E36">
        <w:rPr>
          <w:rFonts w:ascii="Verdana" w:hAnsi="Verdana"/>
          <w:sz w:val="14"/>
          <w:szCs w:val="14"/>
        </w:rPr>
        <w:t>smmlv,</w:t>
      </w:r>
      <w:r w:rsidRPr="000D0E36">
        <w:rPr>
          <w:rFonts w:ascii="Verdana" w:hAnsi="Verdana"/>
          <w:spacing w:val="-4"/>
          <w:sz w:val="14"/>
          <w:szCs w:val="14"/>
        </w:rPr>
        <w:t xml:space="preserve"> </w:t>
      </w:r>
      <w:r w:rsidRPr="000D0E36">
        <w:rPr>
          <w:rFonts w:ascii="Verdana" w:hAnsi="Verdana"/>
          <w:sz w:val="14"/>
          <w:szCs w:val="14"/>
        </w:rPr>
        <w:t>la</w:t>
      </w:r>
      <w:r w:rsidRPr="000D0E36">
        <w:rPr>
          <w:rFonts w:ascii="Verdana" w:hAnsi="Verdana"/>
          <w:spacing w:val="-4"/>
          <w:sz w:val="14"/>
          <w:szCs w:val="14"/>
        </w:rPr>
        <w:t xml:space="preserve"> </w:t>
      </w:r>
      <w:r w:rsidRPr="000D0E36">
        <w:rPr>
          <w:rFonts w:ascii="Verdana" w:hAnsi="Verdana"/>
          <w:sz w:val="14"/>
          <w:szCs w:val="14"/>
        </w:rPr>
        <w:t>Entidad</w:t>
      </w:r>
      <w:r w:rsidRPr="000D0E36">
        <w:rPr>
          <w:rFonts w:ascii="Verdana" w:hAnsi="Verdana"/>
          <w:spacing w:val="-3"/>
          <w:sz w:val="14"/>
          <w:szCs w:val="14"/>
        </w:rPr>
        <w:t xml:space="preserve"> </w:t>
      </w:r>
      <w:r w:rsidRPr="000D0E36">
        <w:rPr>
          <w:rFonts w:ascii="Verdana" w:hAnsi="Verdana"/>
          <w:sz w:val="14"/>
          <w:szCs w:val="14"/>
        </w:rPr>
        <w:t>Estatal</w:t>
      </w:r>
      <w:r w:rsidRPr="000D0E36">
        <w:rPr>
          <w:rFonts w:ascii="Verdana" w:hAnsi="Verdana"/>
          <w:spacing w:val="-3"/>
          <w:sz w:val="14"/>
          <w:szCs w:val="14"/>
        </w:rPr>
        <w:t xml:space="preserve"> </w:t>
      </w:r>
      <w:r w:rsidRPr="000D0E36">
        <w:rPr>
          <w:rFonts w:ascii="Verdana" w:hAnsi="Verdana"/>
          <w:sz w:val="14"/>
          <w:szCs w:val="14"/>
        </w:rPr>
        <w:t>puede</w:t>
      </w:r>
      <w:r w:rsidRPr="000D0E36">
        <w:rPr>
          <w:rFonts w:ascii="Verdana" w:hAnsi="Verdana"/>
          <w:spacing w:val="-3"/>
          <w:sz w:val="14"/>
          <w:szCs w:val="14"/>
        </w:rPr>
        <w:t xml:space="preserve"> </w:t>
      </w:r>
      <w:r w:rsidRPr="000D0E36">
        <w:rPr>
          <w:rFonts w:ascii="Verdana" w:hAnsi="Verdana"/>
          <w:sz w:val="14"/>
          <w:szCs w:val="14"/>
        </w:rPr>
        <w:t>aceptar</w:t>
      </w:r>
      <w:r w:rsidRPr="000D0E36">
        <w:rPr>
          <w:rFonts w:ascii="Verdana" w:hAnsi="Verdana"/>
          <w:spacing w:val="-3"/>
          <w:sz w:val="14"/>
          <w:szCs w:val="14"/>
        </w:rPr>
        <w:t xml:space="preserve"> </w:t>
      </w:r>
      <w:r w:rsidRPr="000D0E36">
        <w:rPr>
          <w:rFonts w:ascii="Verdana" w:hAnsi="Verdana"/>
          <w:sz w:val="14"/>
          <w:szCs w:val="14"/>
        </w:rPr>
        <w:t>garantías</w:t>
      </w:r>
      <w:r w:rsidRPr="000D0E36">
        <w:rPr>
          <w:rFonts w:ascii="Verdana" w:hAnsi="Verdana"/>
          <w:spacing w:val="-3"/>
          <w:sz w:val="14"/>
          <w:szCs w:val="14"/>
        </w:rPr>
        <w:t xml:space="preserve"> </w:t>
      </w:r>
      <w:r w:rsidRPr="000D0E36">
        <w:rPr>
          <w:rFonts w:ascii="Verdana" w:hAnsi="Verdana"/>
          <w:sz w:val="14"/>
          <w:szCs w:val="14"/>
        </w:rPr>
        <w:t>que</w:t>
      </w:r>
      <w:r w:rsidRPr="000D0E36">
        <w:rPr>
          <w:rFonts w:ascii="Verdana" w:hAnsi="Verdana"/>
          <w:spacing w:val="-3"/>
          <w:sz w:val="14"/>
          <w:szCs w:val="14"/>
        </w:rPr>
        <w:t xml:space="preserve"> </w:t>
      </w:r>
      <w:r w:rsidRPr="000D0E36">
        <w:rPr>
          <w:rFonts w:ascii="Verdana" w:hAnsi="Verdana"/>
          <w:sz w:val="14"/>
          <w:szCs w:val="14"/>
        </w:rPr>
        <w:t>cubran</w:t>
      </w:r>
      <w:r w:rsidRPr="000D0E36">
        <w:rPr>
          <w:rFonts w:ascii="Verdana" w:hAnsi="Verdana"/>
          <w:spacing w:val="-3"/>
          <w:sz w:val="14"/>
          <w:szCs w:val="14"/>
        </w:rPr>
        <w:t xml:space="preserve"> </w:t>
      </w:r>
      <w:r w:rsidRPr="000D0E36">
        <w:rPr>
          <w:rFonts w:ascii="Verdana" w:hAnsi="Verdana"/>
          <w:sz w:val="14"/>
          <w:szCs w:val="14"/>
        </w:rPr>
        <w:t>al</w:t>
      </w:r>
      <w:r w:rsidRPr="000D0E36">
        <w:rPr>
          <w:rFonts w:ascii="Verdana" w:hAnsi="Verdana"/>
          <w:spacing w:val="-4"/>
          <w:sz w:val="14"/>
          <w:szCs w:val="14"/>
        </w:rPr>
        <w:t xml:space="preserve"> </w:t>
      </w:r>
      <w:r w:rsidRPr="000D0E36">
        <w:rPr>
          <w:rFonts w:ascii="Verdana" w:hAnsi="Verdana"/>
          <w:sz w:val="14"/>
          <w:szCs w:val="14"/>
        </w:rPr>
        <w:t>menos</w:t>
      </w:r>
      <w:r w:rsidRPr="000D0E36">
        <w:rPr>
          <w:rFonts w:ascii="Verdana" w:hAnsi="Verdana"/>
          <w:spacing w:val="-3"/>
          <w:sz w:val="14"/>
          <w:szCs w:val="14"/>
        </w:rPr>
        <w:t xml:space="preserve"> </w:t>
      </w:r>
      <w:r w:rsidRPr="000D0E36">
        <w:rPr>
          <w:rFonts w:ascii="Verdana" w:hAnsi="Verdana"/>
          <w:sz w:val="14"/>
          <w:szCs w:val="14"/>
        </w:rPr>
        <w:t>el</w:t>
      </w:r>
      <w:r w:rsidRPr="000D0E36">
        <w:rPr>
          <w:rFonts w:ascii="Verdana" w:hAnsi="Verdana"/>
          <w:spacing w:val="-4"/>
          <w:sz w:val="14"/>
          <w:szCs w:val="14"/>
        </w:rPr>
        <w:t xml:space="preserve"> </w:t>
      </w:r>
      <w:r w:rsidRPr="000D0E36">
        <w:rPr>
          <w:rFonts w:ascii="Verdana" w:hAnsi="Verdana"/>
          <w:sz w:val="14"/>
          <w:szCs w:val="14"/>
        </w:rPr>
        <w:t>cero</w:t>
      </w:r>
      <w:r w:rsidRPr="000D0E36">
        <w:rPr>
          <w:rFonts w:ascii="Verdana" w:hAnsi="Verdana"/>
          <w:spacing w:val="-3"/>
          <w:sz w:val="14"/>
          <w:szCs w:val="14"/>
        </w:rPr>
        <w:t xml:space="preserve"> </w:t>
      </w:r>
      <w:r w:rsidRPr="000D0E36">
        <w:rPr>
          <w:rFonts w:ascii="Verdana" w:hAnsi="Verdana"/>
          <w:sz w:val="14"/>
          <w:szCs w:val="14"/>
        </w:rPr>
        <w:t>punto</w:t>
      </w:r>
      <w:r w:rsidRPr="000D0E36">
        <w:rPr>
          <w:rFonts w:ascii="Verdana" w:hAnsi="Verdana"/>
          <w:spacing w:val="-3"/>
          <w:sz w:val="14"/>
          <w:szCs w:val="14"/>
        </w:rPr>
        <w:t xml:space="preserve"> </w:t>
      </w:r>
      <w:r w:rsidRPr="000D0E36">
        <w:rPr>
          <w:rFonts w:ascii="Verdana" w:hAnsi="Verdana"/>
          <w:sz w:val="14"/>
          <w:szCs w:val="14"/>
        </w:rPr>
        <w:t>cinco</w:t>
      </w:r>
      <w:r w:rsidRPr="000D0E36">
        <w:rPr>
          <w:rFonts w:ascii="Verdana" w:hAnsi="Verdana"/>
          <w:spacing w:val="40"/>
          <w:sz w:val="14"/>
          <w:szCs w:val="14"/>
        </w:rPr>
        <w:t xml:space="preserve"> </w:t>
      </w:r>
      <w:r w:rsidRPr="000D0E36">
        <w:rPr>
          <w:rFonts w:ascii="Verdana" w:hAnsi="Verdana"/>
          <w:sz w:val="14"/>
          <w:szCs w:val="14"/>
        </w:rPr>
        <w:t>por ciento (0,5%) del valor del contrato. Colombia Compra Eficiente debe determinar el valor de la garantía única de cumplimiento del Acuerdo Marco de Precios de acuerdo con el objeto, el valor, la</w:t>
      </w:r>
      <w:r w:rsidRPr="000D0E36">
        <w:rPr>
          <w:rFonts w:ascii="Verdana" w:hAnsi="Verdana"/>
          <w:spacing w:val="40"/>
          <w:sz w:val="14"/>
          <w:szCs w:val="14"/>
        </w:rPr>
        <w:t xml:space="preserve"> </w:t>
      </w:r>
      <w:r w:rsidRPr="000D0E36">
        <w:rPr>
          <w:rFonts w:ascii="Verdana" w:hAnsi="Verdana"/>
          <w:sz w:val="14"/>
          <w:szCs w:val="14"/>
        </w:rPr>
        <w:t>naturaleza y las obligaciones contenidas en este”.</w:t>
      </w:r>
    </w:p>
  </w:footnote>
  <w:footnote w:id="4">
    <w:p w14:paraId="7710923D" w14:textId="77777777" w:rsidR="00A44A4E" w:rsidRPr="000D0E36" w:rsidRDefault="00A44A4E" w:rsidP="00A44A4E">
      <w:pPr>
        <w:ind w:firstLine="709"/>
        <w:jc w:val="both"/>
        <w:rPr>
          <w:rFonts w:ascii="Verdana" w:hAnsi="Verdana"/>
          <w:sz w:val="14"/>
          <w:szCs w:val="14"/>
          <w:lang w:val="es-ES"/>
        </w:rPr>
      </w:pPr>
      <w:r w:rsidRPr="000D0E36">
        <w:rPr>
          <w:rStyle w:val="Refdenotaalpie"/>
          <w:rFonts w:ascii="Verdana" w:hAnsi="Verdana"/>
          <w:sz w:val="14"/>
          <w:szCs w:val="14"/>
        </w:rPr>
        <w:footnoteRef/>
      </w:r>
      <w:r w:rsidRPr="000D0E36">
        <w:rPr>
          <w:rFonts w:ascii="Verdana" w:hAnsi="Verdana"/>
          <w:sz w:val="14"/>
          <w:szCs w:val="14"/>
        </w:rPr>
        <w:t xml:space="preserve"> COLOMBIA</w:t>
      </w:r>
      <w:r w:rsidRPr="000D0E36">
        <w:rPr>
          <w:rFonts w:ascii="Verdana" w:hAnsi="Verdana"/>
          <w:spacing w:val="49"/>
          <w:sz w:val="14"/>
          <w:szCs w:val="14"/>
        </w:rPr>
        <w:t xml:space="preserve">  </w:t>
      </w:r>
      <w:r w:rsidRPr="000D0E36">
        <w:rPr>
          <w:rFonts w:ascii="Verdana" w:hAnsi="Verdana"/>
          <w:sz w:val="14"/>
          <w:szCs w:val="14"/>
        </w:rPr>
        <w:t>COMPRA</w:t>
      </w:r>
      <w:r w:rsidRPr="000D0E36">
        <w:rPr>
          <w:rFonts w:ascii="Verdana" w:hAnsi="Verdana"/>
          <w:spacing w:val="49"/>
          <w:sz w:val="14"/>
          <w:szCs w:val="14"/>
        </w:rPr>
        <w:t xml:space="preserve">  </w:t>
      </w:r>
      <w:r w:rsidRPr="000D0E36">
        <w:rPr>
          <w:rFonts w:ascii="Verdana" w:hAnsi="Verdana"/>
          <w:sz w:val="14"/>
          <w:szCs w:val="14"/>
        </w:rPr>
        <w:t>EFICIENTE.</w:t>
      </w:r>
      <w:r w:rsidRPr="000D0E36">
        <w:rPr>
          <w:rFonts w:ascii="Verdana" w:hAnsi="Verdana"/>
          <w:spacing w:val="50"/>
          <w:sz w:val="14"/>
          <w:szCs w:val="14"/>
        </w:rPr>
        <w:t xml:space="preserve">  </w:t>
      </w:r>
      <w:r w:rsidRPr="000D0E36">
        <w:rPr>
          <w:rFonts w:ascii="Verdana" w:hAnsi="Verdana"/>
          <w:sz w:val="14"/>
          <w:szCs w:val="14"/>
        </w:rPr>
        <w:t>Guía</w:t>
      </w:r>
      <w:r w:rsidRPr="000D0E36">
        <w:rPr>
          <w:rFonts w:ascii="Verdana" w:hAnsi="Verdana"/>
          <w:spacing w:val="49"/>
          <w:sz w:val="14"/>
          <w:szCs w:val="14"/>
        </w:rPr>
        <w:t xml:space="preserve">  </w:t>
      </w:r>
      <w:r w:rsidRPr="000D0E36">
        <w:rPr>
          <w:rFonts w:ascii="Verdana" w:hAnsi="Verdana"/>
          <w:sz w:val="14"/>
          <w:szCs w:val="14"/>
        </w:rPr>
        <w:t>para</w:t>
      </w:r>
      <w:r w:rsidRPr="000D0E36">
        <w:rPr>
          <w:rFonts w:ascii="Verdana" w:hAnsi="Verdana"/>
          <w:spacing w:val="49"/>
          <w:sz w:val="14"/>
          <w:szCs w:val="14"/>
        </w:rPr>
        <w:t xml:space="preserve">  </w:t>
      </w:r>
      <w:r w:rsidRPr="000D0E36">
        <w:rPr>
          <w:rFonts w:ascii="Verdana" w:hAnsi="Verdana"/>
          <w:sz w:val="14"/>
          <w:szCs w:val="14"/>
        </w:rPr>
        <w:t>la</w:t>
      </w:r>
      <w:r w:rsidRPr="000D0E36">
        <w:rPr>
          <w:rFonts w:ascii="Verdana" w:hAnsi="Verdana"/>
          <w:spacing w:val="49"/>
          <w:sz w:val="14"/>
          <w:szCs w:val="14"/>
        </w:rPr>
        <w:t xml:space="preserve">  </w:t>
      </w:r>
      <w:r w:rsidRPr="000D0E36">
        <w:rPr>
          <w:rFonts w:ascii="Verdana" w:hAnsi="Verdana"/>
          <w:sz w:val="14"/>
          <w:szCs w:val="14"/>
        </w:rPr>
        <w:t>Liquidación</w:t>
      </w:r>
      <w:r w:rsidRPr="000D0E36">
        <w:rPr>
          <w:rFonts w:ascii="Verdana" w:hAnsi="Verdana"/>
          <w:spacing w:val="50"/>
          <w:sz w:val="14"/>
          <w:szCs w:val="14"/>
        </w:rPr>
        <w:t xml:space="preserve">  </w:t>
      </w:r>
      <w:r w:rsidRPr="000D0E36">
        <w:rPr>
          <w:rFonts w:ascii="Verdana" w:hAnsi="Verdana"/>
          <w:sz w:val="14"/>
          <w:szCs w:val="14"/>
        </w:rPr>
        <w:t>de</w:t>
      </w:r>
      <w:r w:rsidRPr="000D0E36">
        <w:rPr>
          <w:rFonts w:ascii="Verdana" w:hAnsi="Verdana"/>
          <w:spacing w:val="49"/>
          <w:sz w:val="14"/>
          <w:szCs w:val="14"/>
        </w:rPr>
        <w:t xml:space="preserve">  </w:t>
      </w:r>
      <w:r w:rsidRPr="000D0E36">
        <w:rPr>
          <w:rFonts w:ascii="Verdana" w:hAnsi="Verdana"/>
          <w:sz w:val="14"/>
          <w:szCs w:val="14"/>
        </w:rPr>
        <w:t>los</w:t>
      </w:r>
      <w:r w:rsidRPr="000D0E36">
        <w:rPr>
          <w:rFonts w:ascii="Verdana" w:hAnsi="Verdana"/>
          <w:spacing w:val="50"/>
          <w:sz w:val="14"/>
          <w:szCs w:val="14"/>
        </w:rPr>
        <w:t xml:space="preserve">  </w:t>
      </w:r>
      <w:r w:rsidRPr="000D0E36">
        <w:rPr>
          <w:rFonts w:ascii="Verdana" w:hAnsi="Verdana"/>
          <w:sz w:val="14"/>
          <w:szCs w:val="14"/>
        </w:rPr>
        <w:t>Procesos</w:t>
      </w:r>
      <w:r w:rsidRPr="000D0E36">
        <w:rPr>
          <w:rFonts w:ascii="Verdana" w:hAnsi="Verdana"/>
          <w:spacing w:val="49"/>
          <w:sz w:val="14"/>
          <w:szCs w:val="14"/>
        </w:rPr>
        <w:t xml:space="preserve">  </w:t>
      </w:r>
      <w:r w:rsidRPr="000D0E36">
        <w:rPr>
          <w:rFonts w:ascii="Verdana" w:hAnsi="Verdana"/>
          <w:sz w:val="14"/>
          <w:szCs w:val="14"/>
        </w:rPr>
        <w:t>de</w:t>
      </w:r>
      <w:r w:rsidRPr="000D0E36">
        <w:rPr>
          <w:rFonts w:ascii="Verdana" w:hAnsi="Verdana"/>
          <w:spacing w:val="49"/>
          <w:sz w:val="14"/>
          <w:szCs w:val="14"/>
        </w:rPr>
        <w:t xml:space="preserve">  </w:t>
      </w:r>
      <w:r w:rsidRPr="000D0E36">
        <w:rPr>
          <w:rFonts w:ascii="Verdana" w:hAnsi="Verdana"/>
          <w:sz w:val="14"/>
          <w:szCs w:val="14"/>
        </w:rPr>
        <w:t>Contratación.</w:t>
      </w:r>
      <w:r w:rsidRPr="000D0E36">
        <w:rPr>
          <w:rFonts w:ascii="Verdana" w:hAnsi="Verdana"/>
          <w:spacing w:val="50"/>
          <w:sz w:val="14"/>
          <w:szCs w:val="14"/>
        </w:rPr>
        <w:t xml:space="preserve">                  </w:t>
      </w:r>
      <w:r w:rsidRPr="000D0E36">
        <w:rPr>
          <w:rFonts w:ascii="Verdana" w:hAnsi="Verdana"/>
          <w:sz w:val="14"/>
          <w:szCs w:val="14"/>
        </w:rPr>
        <w:t>página</w:t>
      </w:r>
      <w:r w:rsidRPr="000D0E36">
        <w:rPr>
          <w:rFonts w:ascii="Verdana" w:hAnsi="Verdana"/>
          <w:spacing w:val="49"/>
          <w:sz w:val="14"/>
          <w:szCs w:val="14"/>
        </w:rPr>
        <w:t xml:space="preserve">  </w:t>
      </w:r>
      <w:r w:rsidRPr="000D0E36">
        <w:rPr>
          <w:rFonts w:ascii="Verdana" w:hAnsi="Verdana"/>
          <w:sz w:val="14"/>
          <w:szCs w:val="14"/>
        </w:rPr>
        <w:t>5,</w:t>
      </w:r>
      <w:r w:rsidRPr="000D0E36">
        <w:rPr>
          <w:rFonts w:ascii="Verdana" w:hAnsi="Verdana"/>
          <w:spacing w:val="49"/>
          <w:sz w:val="14"/>
          <w:szCs w:val="14"/>
        </w:rPr>
        <w:t xml:space="preserve">  </w:t>
      </w:r>
      <w:r w:rsidRPr="000D0E36">
        <w:rPr>
          <w:rFonts w:ascii="Verdana" w:hAnsi="Verdana"/>
          <w:sz w:val="14"/>
          <w:szCs w:val="14"/>
        </w:rPr>
        <w:t>disponible</w:t>
      </w:r>
      <w:r w:rsidRPr="000D0E36">
        <w:rPr>
          <w:rFonts w:ascii="Verdana" w:hAnsi="Verdana"/>
          <w:spacing w:val="50"/>
          <w:sz w:val="14"/>
          <w:szCs w:val="14"/>
        </w:rPr>
        <w:t xml:space="preserve">  </w:t>
      </w:r>
      <w:r w:rsidRPr="000D0E36">
        <w:rPr>
          <w:rFonts w:ascii="Verdana" w:hAnsi="Verdana"/>
          <w:spacing w:val="-5"/>
          <w:sz w:val="14"/>
          <w:szCs w:val="14"/>
        </w:rPr>
        <w:t xml:space="preserve">en: </w:t>
      </w:r>
      <w:hyperlink r:id="rId2" w:history="1">
        <w:r w:rsidRPr="000D0E36">
          <w:rPr>
            <w:rStyle w:val="Hipervnculo"/>
            <w:rFonts w:ascii="Verdana" w:hAnsi="Verdana"/>
            <w:spacing w:val="-2"/>
            <w:sz w:val="14"/>
            <w:szCs w:val="14"/>
          </w:rPr>
          <w:t>https://www.colombiacompra.gov.co/sites/cce_public/files/cce_documents /cce_guia_liquidacion_procesos.pdf</w:t>
        </w:r>
      </w:hyperlink>
    </w:p>
  </w:footnote>
  <w:footnote w:id="5">
    <w:p w14:paraId="51C730D6" w14:textId="77777777" w:rsidR="00A44A4E" w:rsidRPr="000D0E36" w:rsidRDefault="00A44A4E" w:rsidP="00A44A4E">
      <w:pPr>
        <w:pStyle w:val="Textonotapie"/>
        <w:ind w:firstLine="709"/>
        <w:jc w:val="both"/>
        <w:rPr>
          <w:rFonts w:ascii="Verdana" w:hAnsi="Verdana"/>
          <w:sz w:val="14"/>
          <w:szCs w:val="14"/>
          <w:lang w:val="es-ES"/>
        </w:rPr>
      </w:pPr>
      <w:r w:rsidRPr="000D0E36">
        <w:rPr>
          <w:rStyle w:val="Refdenotaalpie"/>
          <w:rFonts w:ascii="Verdana" w:hAnsi="Verdana"/>
          <w:sz w:val="14"/>
          <w:szCs w:val="14"/>
        </w:rPr>
        <w:footnoteRef/>
      </w:r>
      <w:r w:rsidRPr="000D0E36">
        <w:rPr>
          <w:rFonts w:ascii="Verdana" w:hAnsi="Verdana"/>
          <w:sz w:val="14"/>
          <w:szCs w:val="14"/>
        </w:rPr>
        <w:t xml:space="preserve"> CONSEJO DE ESTADO. Sala de Consulta y Servicio Civil. Concepto de 28 de junio de 2016. Radicación: 2253. C.P. Álvaro Namén Vargas.</w:t>
      </w:r>
    </w:p>
  </w:footnote>
  <w:footnote w:id="6">
    <w:p w14:paraId="61A95330" w14:textId="77777777" w:rsidR="00A44A4E" w:rsidRPr="000D0E36" w:rsidRDefault="00A44A4E" w:rsidP="00A44A4E">
      <w:pPr>
        <w:pStyle w:val="Textonotapie"/>
        <w:ind w:firstLine="709"/>
        <w:jc w:val="both"/>
        <w:rPr>
          <w:rFonts w:ascii="Verdana" w:hAnsi="Verdana"/>
          <w:sz w:val="14"/>
          <w:szCs w:val="14"/>
          <w:lang w:val="es-ES"/>
        </w:rPr>
      </w:pPr>
      <w:r w:rsidRPr="000D0E36">
        <w:rPr>
          <w:rStyle w:val="Refdenotaalpie"/>
          <w:rFonts w:ascii="Verdana" w:hAnsi="Verdana"/>
          <w:sz w:val="14"/>
          <w:szCs w:val="14"/>
        </w:rPr>
        <w:footnoteRef/>
      </w:r>
      <w:r w:rsidRPr="000D0E36">
        <w:rPr>
          <w:rFonts w:ascii="Verdana" w:hAnsi="Verdana"/>
          <w:sz w:val="14"/>
          <w:szCs w:val="14"/>
        </w:rPr>
        <w:t xml:space="preserve"> Es importante advertir que también durante estos dos meses se podrá realizar una liquidación bilateral, esto es, de mutuo acuerdo, lo cual significa que el plazo para hacer la liquidación bilateral no es un término perentorio, sino sencillamente indica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4349" w14:textId="77777777" w:rsidR="00A44A4E" w:rsidRDefault="00A44A4E" w:rsidP="00844AE9">
    <w:pPr>
      <w:pStyle w:val="Encabezado"/>
      <w:spacing w:line="120" w:lineRule="auto"/>
    </w:pPr>
    <w:r>
      <w:rPr>
        <w:rFonts w:ascii="Geomanist Bold" w:hAnsi="Geomanist Bold"/>
        <w:b/>
        <w:noProof/>
        <w:color w:val="002060"/>
      </w:rPr>
      <w:drawing>
        <wp:anchor distT="0" distB="0" distL="114300" distR="114300" simplePos="0" relativeHeight="251660288" behindDoc="1" locked="0" layoutInCell="1" allowOverlap="1" wp14:anchorId="77FB8BC5" wp14:editId="082E0F4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noProof/>
        <w:color w:val="002060"/>
      </w:rPr>
      <w:drawing>
        <wp:anchor distT="0" distB="0" distL="114300" distR="114300" simplePos="0" relativeHeight="251659264" behindDoc="0" locked="0" layoutInCell="1" allowOverlap="1" wp14:anchorId="6A0C3935" wp14:editId="71FB851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AC7221D" w14:textId="77777777" w:rsidR="00A44A4E" w:rsidRDefault="00A44A4E">
    <w:pPr>
      <w:pStyle w:val="Encabezado"/>
    </w:pPr>
  </w:p>
  <w:p w14:paraId="147456CE" w14:textId="77777777" w:rsidR="00A44A4E" w:rsidRPr="004A305D" w:rsidRDefault="00A44A4E" w:rsidP="00B01B1A">
    <w:pPr>
      <w:spacing w:line="120" w:lineRule="auto"/>
      <w:rPr>
        <w:rFonts w:ascii="Century Gothic" w:eastAsia="Geo" w:hAnsi="Century Gothic" w:cs="Geo"/>
        <w:sz w:val="16"/>
        <w:szCs w:val="16"/>
        <w:lang w:eastAsia="es-CO"/>
      </w:rPr>
    </w:pPr>
  </w:p>
  <w:p w14:paraId="4E32CD04" w14:textId="77777777" w:rsidR="00A44A4E" w:rsidRDefault="00A44A4E" w:rsidP="00844AE9">
    <w:pPr>
      <w:rPr>
        <w:rFonts w:ascii="Verdana" w:hAnsi="Verdana"/>
      </w:rPr>
    </w:pPr>
  </w:p>
  <w:p w14:paraId="0DEFE46E" w14:textId="77777777" w:rsidR="00A44A4E" w:rsidRPr="00C925AC" w:rsidRDefault="00A44A4E" w:rsidP="00844AE9">
    <w:pPr>
      <w:rPr>
        <w:rFonts w:ascii="Verdana" w:hAnsi="Verdana"/>
      </w:rPr>
    </w:pPr>
  </w:p>
  <w:p w14:paraId="471AF87F" w14:textId="77777777" w:rsidR="00A44A4E" w:rsidRPr="00C925AC" w:rsidRDefault="00A44A4E" w:rsidP="000D5DA7">
    <w:pPr>
      <w:spacing w:line="480" w:lineRule="auto"/>
      <w:rPr>
        <w:rFonts w:ascii="Verdana" w:hAnsi="Verdana"/>
        <w:b/>
      </w:rPr>
    </w:pPr>
    <w:r w:rsidRPr="00C925AC">
      <w:rPr>
        <w:rFonts w:ascii="Verdana" w:hAnsi="Verdana"/>
        <w:b/>
      </w:rPr>
      <w:t>FORMATO</w:t>
    </w:r>
    <w:r>
      <w:rPr>
        <w:rFonts w:ascii="Verdana" w:hAnsi="Verdana"/>
        <w:b/>
      </w:rPr>
      <w:t xml:space="preserve"> DE RESPUESTA </w:t>
    </w:r>
    <w:r w:rsidRPr="00C925AC">
      <w:rPr>
        <w:rFonts w:ascii="Verdana" w:hAnsi="Verdana"/>
        <w:b/>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7771077A"/>
    <w:multiLevelType w:val="hybridMultilevel"/>
    <w:tmpl w:val="C96009B8"/>
    <w:lvl w:ilvl="0" w:tplc="240A0001">
      <w:start w:val="1"/>
      <w:numFmt w:val="bullet"/>
      <w:lvlText w:val=""/>
      <w:lvlJc w:val="left"/>
      <w:pPr>
        <w:ind w:left="1429" w:hanging="360"/>
      </w:pPr>
      <w:rPr>
        <w:rFonts w:ascii="Symbol" w:hAnsi="Symbol" w:hint="default"/>
      </w:rPr>
    </w:lvl>
    <w:lvl w:ilvl="1" w:tplc="240A0003">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2126801809">
    <w:abstractNumId w:val="0"/>
  </w:num>
  <w:num w:numId="2" w16cid:durableId="1342515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4E"/>
    <w:rsid w:val="0015414A"/>
    <w:rsid w:val="00237353"/>
    <w:rsid w:val="003E7F90"/>
    <w:rsid w:val="004175E2"/>
    <w:rsid w:val="00431107"/>
    <w:rsid w:val="005734E0"/>
    <w:rsid w:val="00641D73"/>
    <w:rsid w:val="006A49FE"/>
    <w:rsid w:val="00A44A4E"/>
    <w:rsid w:val="00BC04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ADE16"/>
  <w15:chartTrackingRefBased/>
  <w15:docId w15:val="{94B380BA-DFE5-4FB6-9CF3-CF2F4630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A4E"/>
    <w:pPr>
      <w:spacing w:after="0" w:line="240" w:lineRule="auto"/>
    </w:pPr>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A44A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44A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44A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44A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44A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44A4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44A4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44A4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44A4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4A4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44A4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44A4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44A4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44A4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44A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44A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44A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44A4E"/>
    <w:rPr>
      <w:rFonts w:eastAsiaTheme="majorEastAsia" w:cstheme="majorBidi"/>
      <w:color w:val="272727" w:themeColor="text1" w:themeTint="D8"/>
    </w:rPr>
  </w:style>
  <w:style w:type="paragraph" w:styleId="Ttulo">
    <w:name w:val="Title"/>
    <w:basedOn w:val="Normal"/>
    <w:next w:val="Normal"/>
    <w:link w:val="TtuloCar"/>
    <w:uiPriority w:val="10"/>
    <w:qFormat/>
    <w:rsid w:val="00A44A4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44A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44A4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4A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44A4E"/>
    <w:pPr>
      <w:spacing w:before="160"/>
      <w:jc w:val="center"/>
    </w:pPr>
    <w:rPr>
      <w:i/>
      <w:iCs/>
      <w:color w:val="404040" w:themeColor="text1" w:themeTint="BF"/>
    </w:rPr>
  </w:style>
  <w:style w:type="character" w:customStyle="1" w:styleId="CitaCar">
    <w:name w:val="Cita Car"/>
    <w:basedOn w:val="Fuentedeprrafopredeter"/>
    <w:link w:val="Cita"/>
    <w:uiPriority w:val="29"/>
    <w:rsid w:val="00A44A4E"/>
    <w:rPr>
      <w:i/>
      <w:iCs/>
      <w:color w:val="404040" w:themeColor="text1" w:themeTint="BF"/>
    </w:rPr>
  </w:style>
  <w:style w:type="paragraph" w:styleId="Prrafodelista">
    <w:name w:val="List Paragraph"/>
    <w:basedOn w:val="Normal"/>
    <w:uiPriority w:val="34"/>
    <w:qFormat/>
    <w:rsid w:val="00A44A4E"/>
    <w:pPr>
      <w:ind w:left="720"/>
      <w:contextualSpacing/>
    </w:pPr>
  </w:style>
  <w:style w:type="character" w:styleId="nfasisintenso">
    <w:name w:val="Intense Emphasis"/>
    <w:basedOn w:val="Fuentedeprrafopredeter"/>
    <w:uiPriority w:val="21"/>
    <w:qFormat/>
    <w:rsid w:val="00A44A4E"/>
    <w:rPr>
      <w:i/>
      <w:iCs/>
      <w:color w:val="0F4761" w:themeColor="accent1" w:themeShade="BF"/>
    </w:rPr>
  </w:style>
  <w:style w:type="paragraph" w:styleId="Citadestacada">
    <w:name w:val="Intense Quote"/>
    <w:basedOn w:val="Normal"/>
    <w:next w:val="Normal"/>
    <w:link w:val="CitadestacadaCar"/>
    <w:uiPriority w:val="30"/>
    <w:qFormat/>
    <w:rsid w:val="00A44A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44A4E"/>
    <w:rPr>
      <w:i/>
      <w:iCs/>
      <w:color w:val="0F4761" w:themeColor="accent1" w:themeShade="BF"/>
    </w:rPr>
  </w:style>
  <w:style w:type="character" w:styleId="Referenciaintensa">
    <w:name w:val="Intense Reference"/>
    <w:basedOn w:val="Fuentedeprrafopredeter"/>
    <w:uiPriority w:val="32"/>
    <w:qFormat/>
    <w:rsid w:val="00A44A4E"/>
    <w:rPr>
      <w:b/>
      <w:bCs/>
      <w:smallCaps/>
      <w:color w:val="0F4761" w:themeColor="accent1" w:themeShade="BF"/>
      <w:spacing w:val="5"/>
    </w:rPr>
  </w:style>
  <w:style w:type="paragraph" w:styleId="Encabezado">
    <w:name w:val="header"/>
    <w:basedOn w:val="Normal"/>
    <w:link w:val="EncabezadoCar"/>
    <w:uiPriority w:val="99"/>
    <w:unhideWhenUsed/>
    <w:rsid w:val="00A44A4E"/>
    <w:pPr>
      <w:tabs>
        <w:tab w:val="center" w:pos="4419"/>
        <w:tab w:val="right" w:pos="8838"/>
      </w:tabs>
    </w:pPr>
  </w:style>
  <w:style w:type="character" w:customStyle="1" w:styleId="EncabezadoCar">
    <w:name w:val="Encabezado Car"/>
    <w:basedOn w:val="Fuentedeprrafopredeter"/>
    <w:link w:val="Encabezado"/>
    <w:uiPriority w:val="99"/>
    <w:rsid w:val="00A44A4E"/>
    <w:rPr>
      <w:rFonts w:ascii="Times New Roman" w:eastAsia="Times New Roman" w:hAnsi="Times New Roman" w:cs="Times New Roman"/>
      <w:kern w:val="0"/>
      <w:lang w:eastAsia="es-ES_tradnl"/>
      <w14:ligatures w14:val="none"/>
    </w:rPr>
  </w:style>
  <w:style w:type="paragraph" w:styleId="Piedepgina">
    <w:name w:val="footer"/>
    <w:basedOn w:val="Normal"/>
    <w:link w:val="PiedepginaCar"/>
    <w:uiPriority w:val="99"/>
    <w:unhideWhenUsed/>
    <w:rsid w:val="00A44A4E"/>
    <w:pPr>
      <w:tabs>
        <w:tab w:val="center" w:pos="4419"/>
        <w:tab w:val="right" w:pos="8838"/>
      </w:tabs>
    </w:pPr>
  </w:style>
  <w:style w:type="character" w:customStyle="1" w:styleId="PiedepginaCar">
    <w:name w:val="Pie de página Car"/>
    <w:basedOn w:val="Fuentedeprrafopredeter"/>
    <w:link w:val="Piedepgina"/>
    <w:uiPriority w:val="99"/>
    <w:rsid w:val="00A44A4E"/>
    <w:rPr>
      <w:rFonts w:ascii="Times New Roman" w:eastAsia="Times New Roman" w:hAnsi="Times New Roman" w:cs="Times New Roman"/>
      <w:kern w:val="0"/>
      <w:lang w:eastAsia="es-ES_tradnl"/>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44A4E"/>
    <w:rPr>
      <w:rFonts w:ascii="Times New Roman" w:eastAsia="Times New Roman" w:hAnsi="Times New Roman" w:cs="Times New Roman"/>
      <w:sz w:val="20"/>
      <w:szCs w:val="20"/>
      <w:lang w:val="es-MX" w:eastAsia="es-ES_tradnl"/>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A44A4E"/>
    <w:rPr>
      <w:kern w:val="2"/>
      <w:sz w:val="20"/>
      <w:szCs w:val="20"/>
      <w:lang w:val="es-MX"/>
      <w14:ligatures w14:val="standardContextual"/>
    </w:rPr>
  </w:style>
  <w:style w:type="character" w:customStyle="1" w:styleId="TextonotapieCar1">
    <w:name w:val="Texto nota pie Car1"/>
    <w:basedOn w:val="Fuentedeprrafopredeter"/>
    <w:uiPriority w:val="99"/>
    <w:semiHidden/>
    <w:rsid w:val="00A44A4E"/>
    <w:rPr>
      <w:rFonts w:ascii="Times New Roman" w:eastAsia="Times New Roman" w:hAnsi="Times New Roman" w:cs="Times New Roman"/>
      <w:kern w:val="0"/>
      <w:sz w:val="20"/>
      <w:szCs w:val="20"/>
      <w:lang w:eastAsia="es-ES_tradnl"/>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44A4E"/>
    <w:rPr>
      <w:vertAlign w:val="superscript"/>
    </w:rPr>
  </w:style>
  <w:style w:type="table" w:styleId="Tablaconcuadrcula">
    <w:name w:val="Table Grid"/>
    <w:basedOn w:val="Tablanormal"/>
    <w:uiPriority w:val="39"/>
    <w:qFormat/>
    <w:rsid w:val="00A44A4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44A4E"/>
    <w:rPr>
      <w:color w:val="0000FF"/>
      <w:u w:val="single"/>
    </w:rPr>
  </w:style>
  <w:style w:type="paragraph" w:styleId="NormalWeb">
    <w:name w:val="Normal (Web)"/>
    <w:basedOn w:val="Normal"/>
    <w:uiPriority w:val="99"/>
    <w:unhideWhenUsed/>
    <w:rsid w:val="00A44A4E"/>
    <w:pPr>
      <w:spacing w:before="100" w:beforeAutospacing="1" w:after="100" w:afterAutospacing="1"/>
    </w:pPr>
    <w:rPr>
      <w:lang w:eastAsia="es-CO"/>
    </w:rPr>
  </w:style>
  <w:style w:type="paragraph" w:customStyle="1" w:styleId="Appelnotedebasde">
    <w:name w:val="Appel note de bas de..."/>
    <w:basedOn w:val="Normal"/>
    <w:link w:val="Refdenotaalpie"/>
    <w:uiPriority w:val="99"/>
    <w:rsid w:val="00A44A4E"/>
    <w:pPr>
      <w:spacing w:line="240" w:lineRule="exact"/>
    </w:pPr>
    <w:rPr>
      <w:rFonts w:asciiTheme="minorHAnsi" w:eastAsiaTheme="minorHAnsi" w:hAnsiTheme="minorHAnsi" w:cstheme="minorBidi"/>
      <w:kern w:val="2"/>
      <w:vertAlign w:val="superscript"/>
      <w:lang w:eastAsia="en-US"/>
      <w14:ligatures w14:val="standardContextual"/>
    </w:rPr>
  </w:style>
  <w:style w:type="table" w:customStyle="1" w:styleId="Tablaconcuadrcula11">
    <w:name w:val="Tabla con cuadrícula11"/>
    <w:basedOn w:val="Tablanormal"/>
    <w:next w:val="Tablaconcuadrcula"/>
    <w:uiPriority w:val="59"/>
    <w:qFormat/>
    <w:rsid w:val="00A44A4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itten1306@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20/cce_guia_liquidacion_procesos.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354BEC-31EE-4D48-9241-47D5148D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34327B-A864-4544-B6FC-CD033BAD3E2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062822C-F612-4C25-9C7D-2237F3726D83}">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13</Pages>
  <Words>4506</Words>
  <Characters>24789</Characters>
  <Application>Microsoft Office Word</Application>
  <DocSecurity>0</DocSecurity>
  <Lines>206</Lines>
  <Paragraphs>58</Paragraphs>
  <ScaleCrop>false</ScaleCrop>
  <Company/>
  <LinksUpToDate>false</LinksUpToDate>
  <CharactersWithSpaces>29237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Andreina Cerpa Muñoz</cp:lastModifiedBy>
  <cp:revision>4</cp:revision>
  <dcterms:created xsi:type="dcterms:W3CDTF">2026-10-26T14:01:00Z</dcterms:created>
  <dcterms:modified xsi:type="dcterms:W3CDTF">2026-10-27T16:41:00Z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