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81670" w14:textId="77777777" w:rsidR="002C7A87" w:rsidRPr="00682C93" w:rsidRDefault="002C7A87" w:rsidP="002C7A87">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6DB16D33" w14:textId="77777777" w:rsidR="002C7A87" w:rsidRDefault="002C7A87" w:rsidP="002C7A87">
      <w:pPr>
        <w:spacing w:after="0" w:line="240" w:lineRule="auto"/>
        <w:jc w:val="both"/>
        <w:rPr>
          <w:rFonts w:ascii="Verdana" w:hAnsi="Verdana" w:cs="Arial"/>
          <w:b/>
          <w:lang w:val="es-MX" w:eastAsia="es-ES_tradnl"/>
        </w:rPr>
      </w:pPr>
    </w:p>
    <w:p w14:paraId="4AB7254D" w14:textId="77777777" w:rsidR="002C7A87" w:rsidRDefault="002C7A87" w:rsidP="002C7A87">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6F1EEAD7" w14:textId="77777777" w:rsidR="002C7A87" w:rsidRPr="00682C93" w:rsidRDefault="002C7A87" w:rsidP="002C7A87">
      <w:pPr>
        <w:spacing w:after="0" w:line="240" w:lineRule="auto"/>
        <w:jc w:val="both"/>
        <w:rPr>
          <w:rFonts w:ascii="Verdana" w:hAnsi="Verdana" w:cs="Arial"/>
          <w:b/>
          <w:sz w:val="20"/>
          <w:lang w:val="es-MX" w:eastAsia="es-ES_tradnl"/>
        </w:rPr>
      </w:pPr>
    </w:p>
    <w:p w14:paraId="10241B37" w14:textId="77777777" w:rsidR="002C7A87" w:rsidRPr="00682C93" w:rsidRDefault="002C7A87" w:rsidP="002C7A87">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w:t>
      </w:r>
      <w:r>
        <w:rPr>
          <w:rFonts w:ascii="Verdana" w:hAnsi="Verdana" w:cs="Arial"/>
          <w:b/>
          <w:lang w:val="es-MX" w:eastAsia="es-ES_tradnl"/>
        </w:rPr>
        <w:t>C</w:t>
      </w:r>
      <w:r w:rsidRPr="00682C93">
        <w:rPr>
          <w:rFonts w:ascii="Verdana" w:hAnsi="Verdana" w:cs="Arial"/>
          <w:b/>
          <w:lang w:val="es-MX" w:eastAsia="es-ES_tradnl"/>
        </w:rPr>
        <w:t>elebración</w:t>
      </w:r>
      <w:r>
        <w:rPr>
          <w:rFonts w:ascii="Verdana" w:hAnsi="Verdana" w:cs="Arial"/>
          <w:b/>
          <w:lang w:val="es-MX" w:eastAsia="es-ES_tradnl"/>
        </w:rPr>
        <w:t xml:space="preserve"> </w:t>
      </w:r>
      <w:r w:rsidRPr="00483816">
        <w:rPr>
          <w:rFonts w:ascii="Verdana" w:hAnsi="Verdana" w:cs="Arial"/>
          <w:b/>
          <w:bCs/>
          <w:lang w:val="es-ES" w:eastAsia="es-ES_tradnl"/>
        </w:rPr>
        <w:t>–</w:t>
      </w:r>
      <w:r w:rsidRPr="00682C93">
        <w:rPr>
          <w:rFonts w:ascii="Verdana" w:hAnsi="Verdana" w:cs="Arial"/>
          <w:b/>
          <w:lang w:val="es-MX" w:eastAsia="es-ES_tradnl"/>
        </w:rPr>
        <w:t xml:space="preserve"> </w:t>
      </w:r>
      <w:r>
        <w:rPr>
          <w:rFonts w:ascii="Verdana" w:hAnsi="Verdana" w:cs="Arial"/>
          <w:b/>
          <w:lang w:val="es-MX" w:eastAsia="es-ES_tradnl"/>
        </w:rPr>
        <w:t>L</w:t>
      </w:r>
      <w:r w:rsidRPr="00682C93">
        <w:rPr>
          <w:rFonts w:ascii="Verdana" w:hAnsi="Verdana" w:cs="Arial"/>
          <w:b/>
          <w:lang w:val="es-MX" w:eastAsia="es-ES_tradnl"/>
        </w:rPr>
        <w:t>ímite</w:t>
      </w:r>
    </w:p>
    <w:p w14:paraId="5434D00A" w14:textId="77777777" w:rsidR="002C7A87" w:rsidRDefault="002C7A87" w:rsidP="002C7A87">
      <w:pPr>
        <w:spacing w:after="0" w:line="240" w:lineRule="auto"/>
        <w:jc w:val="both"/>
        <w:rPr>
          <w:rFonts w:ascii="Verdana" w:hAnsi="Verdana" w:cs="Arial"/>
          <w:b/>
          <w:lang w:val="es-MX" w:eastAsia="es-ES_tradnl"/>
        </w:rPr>
      </w:pPr>
    </w:p>
    <w:p w14:paraId="091DFF48" w14:textId="77777777" w:rsidR="002C7A87" w:rsidRPr="00E41F23" w:rsidRDefault="002C7A87" w:rsidP="002C7A87">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ED712FE" w14:textId="77777777" w:rsidR="002C7A87" w:rsidRPr="00E41F23" w:rsidRDefault="002C7A87" w:rsidP="002C7A87">
      <w:pPr>
        <w:spacing w:after="0" w:line="240" w:lineRule="auto"/>
        <w:jc w:val="both"/>
        <w:rPr>
          <w:rFonts w:ascii="Verdana" w:eastAsia="Calibri" w:hAnsi="Verdana" w:cs="Arial"/>
          <w:sz w:val="20"/>
        </w:rPr>
      </w:pPr>
    </w:p>
    <w:p w14:paraId="7C00900F" w14:textId="77777777" w:rsidR="002C7A87" w:rsidRDefault="002C7A87" w:rsidP="002C7A87">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3CA37DF8" w14:textId="77777777" w:rsidR="002C7A87" w:rsidRPr="00E41F23" w:rsidRDefault="002C7A87" w:rsidP="002C7A87">
      <w:pPr>
        <w:widowControl w:val="0"/>
        <w:autoSpaceDE w:val="0"/>
        <w:autoSpaceDN w:val="0"/>
        <w:spacing w:after="0" w:line="240" w:lineRule="auto"/>
        <w:ind w:right="113"/>
        <w:jc w:val="both"/>
        <w:rPr>
          <w:rFonts w:ascii="Verdana" w:eastAsia="Arial" w:hAnsi="Verdana" w:cs="Arial"/>
          <w:sz w:val="20"/>
          <w:lang w:val="es-ES" w:eastAsia="es-ES" w:bidi="es-ES"/>
        </w:rPr>
      </w:pPr>
    </w:p>
    <w:p w14:paraId="672469EF" w14:textId="77777777" w:rsidR="002C7A87" w:rsidRPr="00E41F23" w:rsidRDefault="002C7A87" w:rsidP="002C7A87">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7B00E3AA" w14:textId="77777777" w:rsidR="002C7A87" w:rsidRPr="003F2A9C" w:rsidRDefault="002C7A87" w:rsidP="002C7A87">
      <w:pPr>
        <w:spacing w:after="0" w:line="240" w:lineRule="auto"/>
        <w:jc w:val="both"/>
        <w:rPr>
          <w:rFonts w:ascii="Verdana" w:hAnsi="Verdana" w:cs="Arial"/>
          <w:b/>
          <w:sz w:val="20"/>
          <w:lang w:val="es-MX" w:eastAsia="es-ES_tradnl"/>
        </w:rPr>
      </w:pPr>
    </w:p>
    <w:p w14:paraId="6C2AFBE6" w14:textId="77777777" w:rsidR="002C7A87" w:rsidRPr="00682C93" w:rsidRDefault="002C7A87" w:rsidP="002C7A87">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480E8C3B" w14:textId="77777777" w:rsidR="002C7A87" w:rsidRDefault="002C7A87" w:rsidP="002C7A87">
      <w:pPr>
        <w:spacing w:after="0" w:line="240" w:lineRule="auto"/>
        <w:jc w:val="both"/>
        <w:rPr>
          <w:rFonts w:ascii="Verdana" w:hAnsi="Verdana" w:cs="Arial"/>
          <w:b/>
          <w:lang w:val="es-MX" w:eastAsia="es-ES_tradnl"/>
        </w:rPr>
      </w:pPr>
    </w:p>
    <w:p w14:paraId="7126A001" w14:textId="77777777" w:rsidR="002C7A87" w:rsidRPr="00E41F23" w:rsidRDefault="002C7A87" w:rsidP="002C7A87">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71D527C4" w14:textId="77777777" w:rsidR="002C7A87" w:rsidRPr="00E41F23" w:rsidRDefault="002C7A87" w:rsidP="002C7A87">
      <w:pPr>
        <w:spacing w:after="0" w:line="240" w:lineRule="auto"/>
        <w:jc w:val="both"/>
        <w:rPr>
          <w:rFonts w:ascii="Verdana" w:hAnsi="Verdana" w:cs="Arial"/>
          <w:b/>
          <w:lang w:eastAsia="es-ES_tradnl"/>
        </w:rPr>
      </w:pPr>
    </w:p>
    <w:p w14:paraId="19638F81" w14:textId="77777777" w:rsidR="002C7A87" w:rsidRPr="00682C93" w:rsidRDefault="002C7A87" w:rsidP="002C7A87">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1B8500BD" w14:textId="77777777" w:rsidR="002C7A87" w:rsidRPr="00E41F23" w:rsidRDefault="002C7A87" w:rsidP="002C7A87">
      <w:pPr>
        <w:spacing w:after="0" w:line="240" w:lineRule="auto"/>
        <w:jc w:val="both"/>
        <w:rPr>
          <w:rFonts w:ascii="Verdana" w:hAnsi="Verdana" w:cs="Arial"/>
          <w:b/>
          <w:sz w:val="20"/>
          <w:lang w:val="es-MX" w:eastAsia="es-ES_tradnl"/>
        </w:rPr>
      </w:pPr>
    </w:p>
    <w:p w14:paraId="587A00F7" w14:textId="77777777" w:rsidR="002C7A87" w:rsidRPr="00E41F23" w:rsidRDefault="002C7A87" w:rsidP="002C7A87">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B83E74F" w14:textId="77777777" w:rsidR="002C7A87" w:rsidRPr="00682C93" w:rsidRDefault="002C7A87" w:rsidP="002C7A87">
      <w:pPr>
        <w:spacing w:after="0" w:line="240" w:lineRule="auto"/>
        <w:jc w:val="both"/>
        <w:rPr>
          <w:rFonts w:ascii="Verdana" w:hAnsi="Verdana" w:cs="Arial"/>
          <w:b/>
          <w:lang w:val="es-MX" w:eastAsia="es-ES_tradnl"/>
        </w:rPr>
      </w:pPr>
    </w:p>
    <w:p w14:paraId="6E4DAAE5" w14:textId="77777777" w:rsidR="002C7A87" w:rsidRPr="00682C93" w:rsidRDefault="002C7A87" w:rsidP="002C7A87">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 Prohibición del artículo 33 – Destinatarios </w:t>
      </w:r>
    </w:p>
    <w:p w14:paraId="34A2144B" w14:textId="77777777" w:rsidR="002C7A87" w:rsidRDefault="002C7A87" w:rsidP="002C7A87">
      <w:pPr>
        <w:spacing w:after="0" w:line="240" w:lineRule="auto"/>
        <w:rPr>
          <w:rFonts w:ascii="Verdana" w:hAnsi="Verdana" w:cs="Arial"/>
          <w:lang w:val="es-MX" w:eastAsia="es-ES_tradnl"/>
        </w:rPr>
      </w:pPr>
    </w:p>
    <w:p w14:paraId="48F159E3" w14:textId="77777777" w:rsidR="002C7A87" w:rsidRDefault="002C7A87" w:rsidP="002C7A87">
      <w:pPr>
        <w:spacing w:after="0" w:line="240" w:lineRule="auto"/>
        <w:jc w:val="both"/>
        <w:rPr>
          <w:rFonts w:ascii="Verdana" w:eastAsia="Calibri" w:hAnsi="Verdana" w:cs="Arial"/>
          <w:sz w:val="20"/>
          <w:lang w:val="es-MX"/>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w:t>
      </w:r>
      <w:r w:rsidRPr="00E41F23">
        <w:rPr>
          <w:rFonts w:ascii="Verdana" w:eastAsia="Calibri" w:hAnsi="Verdana" w:cs="Arial"/>
          <w:sz w:val="20"/>
          <w:lang w:val="es-MX"/>
        </w:rPr>
        <w:lastRenderedPageBreak/>
        <w:t>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sz w:val="20"/>
          <w:lang w:val="es-MX"/>
        </w:rPr>
        <w:t>.</w:t>
      </w:r>
    </w:p>
    <w:p w14:paraId="6E122EBB" w14:textId="77777777" w:rsidR="002C7A87" w:rsidRDefault="002C7A87" w:rsidP="002C7A87">
      <w:pPr>
        <w:spacing w:after="0"/>
        <w:rPr>
          <w:rFonts w:ascii="Verdana" w:hAnsi="Verdana"/>
          <w:lang w:val="es-MX"/>
        </w:rPr>
      </w:pPr>
    </w:p>
    <w:p w14:paraId="4A97B0E5" w14:textId="77777777" w:rsidR="002C7A87" w:rsidRPr="00B45051" w:rsidRDefault="002C7A87" w:rsidP="002C7A87">
      <w:pPr>
        <w:spacing w:after="0" w:line="240" w:lineRule="auto"/>
        <w:jc w:val="both"/>
        <w:rPr>
          <w:rFonts w:ascii="Verdana" w:hAnsi="Verdana"/>
          <w:b/>
          <w:lang w:val="es-MX"/>
        </w:rPr>
      </w:pPr>
      <w:r w:rsidRPr="00B45051">
        <w:rPr>
          <w:rFonts w:ascii="Verdana" w:hAnsi="Verdana"/>
          <w:b/>
          <w:lang w:val="es-MX"/>
        </w:rPr>
        <w:t xml:space="preserve">LEY DE GARANTÍAS ELECTORALES – Contratos y convenios interadministrativos – Criterio orgánico </w:t>
      </w:r>
    </w:p>
    <w:p w14:paraId="386A2FDC" w14:textId="77777777" w:rsidR="002C7A87" w:rsidRPr="007F019B" w:rsidRDefault="002C7A87" w:rsidP="002C7A87">
      <w:pPr>
        <w:spacing w:after="0" w:line="240" w:lineRule="auto"/>
        <w:jc w:val="both"/>
        <w:rPr>
          <w:rFonts w:ascii="Verdana" w:hAnsi="Verdana"/>
          <w:sz w:val="20"/>
          <w:lang w:val="es-MX"/>
        </w:rPr>
      </w:pPr>
    </w:p>
    <w:p w14:paraId="5CBAEFA0" w14:textId="77777777" w:rsidR="002C7A87" w:rsidRDefault="002C7A87" w:rsidP="002C7A87">
      <w:pPr>
        <w:spacing w:after="0" w:line="240" w:lineRule="auto"/>
        <w:jc w:val="both"/>
        <w:rPr>
          <w:rFonts w:ascii="Verdana" w:hAnsi="Verdana"/>
          <w:sz w:val="20"/>
          <w:lang w:val="es-MX"/>
        </w:rPr>
      </w:pPr>
      <w:r w:rsidRPr="007F019B">
        <w:rPr>
          <w:rFonts w:ascii="Verdana" w:hAnsi="Verdana"/>
          <w:sz w:val="20"/>
          <w:lang w:val="es-ES"/>
        </w:rPr>
        <w:t xml:space="preserve">Ahora bien, respecto del alcance del parágrafo </w:t>
      </w:r>
      <w:r w:rsidRPr="007F019B">
        <w:rPr>
          <w:rFonts w:ascii="Verdana" w:hAnsi="Verdana"/>
          <w:sz w:val="20"/>
        </w:rPr>
        <w:t xml:space="preserve">del artículo 38 de la Ley 996 de 2005, esta prohibición dispone en primera medida que: “[l]os Gobernadores, </w:t>
      </w:r>
      <w:proofErr w:type="gramStart"/>
      <w:r w:rsidRPr="007F019B">
        <w:rPr>
          <w:rFonts w:ascii="Verdana" w:hAnsi="Verdana"/>
          <w:sz w:val="20"/>
        </w:rPr>
        <w:t>Alcaldes</w:t>
      </w:r>
      <w:proofErr w:type="gramEnd"/>
      <w:r w:rsidRPr="007F019B">
        <w:rPr>
          <w:rFonts w:ascii="Verdana" w:hAnsi="Verdana"/>
          <w:sz w:val="20"/>
        </w:rPr>
        <w:t xml:space="preserve"> Municipales y/o Distritales, </w:t>
      </w:r>
      <w:proofErr w:type="gramStart"/>
      <w:r w:rsidRPr="007F019B">
        <w:rPr>
          <w:rFonts w:ascii="Verdana" w:hAnsi="Verdana"/>
          <w:sz w:val="20"/>
        </w:rPr>
        <w:t>Secretarios</w:t>
      </w:r>
      <w:proofErr w:type="gramEnd"/>
      <w:r w:rsidRPr="007F019B">
        <w:rPr>
          <w:rFonts w:ascii="Verdana" w:hAnsi="Verdana"/>
          <w:sz w:val="20"/>
        </w:rPr>
        <w:t xml:space="preserve">, Gerentes y directores de Entidades Descentralizadas del orden Municipal, Departamental o Distrital, dentro de los cuatro (4) meses anteriores a las elecciones, no podrán celebrar </w:t>
      </w:r>
      <w:r w:rsidRPr="007F019B">
        <w:rPr>
          <w:rFonts w:ascii="Verdana" w:hAnsi="Verdana"/>
          <w:i/>
          <w:iCs/>
          <w:sz w:val="20"/>
        </w:rPr>
        <w:t>convenios interadministrativos</w:t>
      </w:r>
      <w:r w:rsidRPr="007F019B">
        <w:rPr>
          <w:rFonts w:ascii="Verdana" w:hAnsi="Verdana"/>
          <w:sz w:val="20"/>
        </w:rPr>
        <w:t xml:space="preserve"> </w:t>
      </w:r>
      <w:r w:rsidRPr="007F019B">
        <w:rPr>
          <w:rFonts w:ascii="Verdana" w:hAnsi="Verdana"/>
          <w:i/>
          <w:iCs/>
          <w:sz w:val="20"/>
        </w:rPr>
        <w:t>para la ejecución de recursos públicos</w:t>
      </w:r>
      <w:r w:rsidRPr="007F019B">
        <w:rPr>
          <w:rFonts w:ascii="Verdana" w:hAnsi="Verdana"/>
          <w:sz w:val="20"/>
        </w:rPr>
        <w:t>”.</w:t>
      </w:r>
      <w:r w:rsidRPr="007F019B">
        <w:rPr>
          <w:rFonts w:ascii="Verdana" w:hAnsi="Verdana"/>
          <w:sz w:val="20"/>
          <w:lang w:val="es-MX"/>
        </w:rPr>
        <w:t xml:space="preserve"> [Énfasis fuera del texto original]</w:t>
      </w:r>
    </w:p>
    <w:p w14:paraId="0A87ABC3" w14:textId="77777777" w:rsidR="002C7A87" w:rsidRPr="007F019B" w:rsidRDefault="002C7A87" w:rsidP="002C7A87">
      <w:pPr>
        <w:spacing w:after="0" w:line="240" w:lineRule="auto"/>
        <w:jc w:val="both"/>
        <w:rPr>
          <w:rFonts w:ascii="Verdana" w:hAnsi="Verdana"/>
          <w:sz w:val="20"/>
          <w:lang w:val="es-ES"/>
        </w:rPr>
      </w:pPr>
    </w:p>
    <w:p w14:paraId="11D51B21" w14:textId="77777777" w:rsidR="002C7A87" w:rsidRDefault="002C7A87" w:rsidP="002C7A87">
      <w:pPr>
        <w:spacing w:after="0" w:line="240" w:lineRule="auto"/>
        <w:jc w:val="both"/>
        <w:rPr>
          <w:rFonts w:ascii="Verdana" w:hAnsi="Verdana"/>
          <w:sz w:val="20"/>
        </w:rPr>
      </w:pPr>
      <w:r w:rsidRPr="007F019B">
        <w:rPr>
          <w:rFonts w:ascii="Verdana" w:hAnsi="Verdana"/>
          <w:sz w:val="20"/>
          <w:lang w:val="es-ES"/>
        </w:rPr>
        <w:t xml:space="preserve">Para tales efectos, debe precisarse que los contratos o convenios interadministrativos están determinados por un criterio orgánico, pues es necesario que los extremos de la relación contractual sean entidades públicas, </w:t>
      </w:r>
      <w:r w:rsidRPr="007F019B">
        <w:rPr>
          <w:rFonts w:ascii="Verdana" w:hAnsi="Verdana"/>
          <w:sz w:val="20"/>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377E78D0" w14:textId="77777777" w:rsidR="002C7A87" w:rsidRPr="007F019B" w:rsidRDefault="002C7A87" w:rsidP="002C7A87">
      <w:pPr>
        <w:spacing w:after="0" w:line="240" w:lineRule="auto"/>
        <w:jc w:val="both"/>
        <w:rPr>
          <w:rFonts w:ascii="Verdana" w:hAnsi="Verdana"/>
          <w:sz w:val="20"/>
        </w:rPr>
      </w:pPr>
    </w:p>
    <w:p w14:paraId="09ED8368" w14:textId="77777777" w:rsidR="002C7A87" w:rsidRPr="007F019B" w:rsidRDefault="002C7A87" w:rsidP="002C7A87">
      <w:pPr>
        <w:spacing w:after="0" w:line="240" w:lineRule="auto"/>
        <w:jc w:val="both"/>
        <w:rPr>
          <w:rFonts w:ascii="Verdana" w:hAnsi="Verdana"/>
          <w:sz w:val="20"/>
          <w:lang w:val="es-ES_tradnl"/>
        </w:rPr>
      </w:pPr>
      <w:r w:rsidRPr="007F019B">
        <w:rPr>
          <w:rFonts w:ascii="Verdana" w:hAnsi="Verdana"/>
          <w:sz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77D6D6F6" w14:textId="77777777" w:rsidR="002C7A87" w:rsidRPr="007F019B" w:rsidRDefault="002C7A87" w:rsidP="002C7A87">
      <w:pPr>
        <w:spacing w:after="0" w:line="240" w:lineRule="auto"/>
        <w:jc w:val="both"/>
        <w:rPr>
          <w:rFonts w:ascii="Verdana" w:hAnsi="Verdana"/>
          <w:b/>
          <w:lang w:val="es-ES_tradnl"/>
        </w:rPr>
      </w:pPr>
    </w:p>
    <w:p w14:paraId="0801A5B0" w14:textId="77777777" w:rsidR="002C7A87" w:rsidRPr="00B45051" w:rsidRDefault="002C7A87" w:rsidP="002C7A87">
      <w:pPr>
        <w:spacing w:after="0" w:line="240" w:lineRule="auto"/>
        <w:jc w:val="both"/>
        <w:rPr>
          <w:rFonts w:ascii="Verdana" w:hAnsi="Verdana"/>
          <w:b/>
          <w:lang w:val="es-MX"/>
        </w:rPr>
      </w:pPr>
      <w:r w:rsidRPr="00B45051">
        <w:rPr>
          <w:rFonts w:ascii="Verdana" w:hAnsi="Verdana"/>
          <w:b/>
          <w:lang w:val="es-MX"/>
        </w:rPr>
        <w:t xml:space="preserve">LEY DE GARANTÍAS ELECTORALES </w:t>
      </w:r>
      <w:r w:rsidRPr="00483816">
        <w:rPr>
          <w:rFonts w:ascii="Verdana" w:hAnsi="Verdana"/>
          <w:b/>
          <w:bCs/>
          <w:lang w:val="es-ES"/>
        </w:rPr>
        <w:t>–</w:t>
      </w:r>
      <w:r>
        <w:rPr>
          <w:rFonts w:ascii="Verdana" w:hAnsi="Verdana"/>
          <w:b/>
          <w:lang w:val="es-MX"/>
        </w:rPr>
        <w:t xml:space="preserve"> </w:t>
      </w:r>
      <w:r w:rsidRPr="00B45051">
        <w:rPr>
          <w:rFonts w:ascii="Verdana" w:hAnsi="Verdana"/>
          <w:b/>
          <w:lang w:val="es-MX"/>
        </w:rPr>
        <w:t>Restricción</w:t>
      </w:r>
      <w:r>
        <w:rPr>
          <w:rFonts w:ascii="Verdana" w:hAnsi="Verdana"/>
          <w:b/>
          <w:lang w:val="es-MX"/>
        </w:rPr>
        <w:t xml:space="preserve"> </w:t>
      </w:r>
      <w:r w:rsidRPr="00483816">
        <w:rPr>
          <w:rFonts w:ascii="Verdana" w:hAnsi="Verdana"/>
          <w:b/>
          <w:bCs/>
          <w:lang w:val="es-ES"/>
        </w:rPr>
        <w:t>–</w:t>
      </w:r>
      <w:r w:rsidRPr="00B45051">
        <w:rPr>
          <w:rFonts w:ascii="Verdana" w:hAnsi="Verdana"/>
          <w:b/>
          <w:lang w:val="es-MX"/>
        </w:rPr>
        <w:t xml:space="preserve"> Convenios interadministrativos – Postura del Consejo de Estado </w:t>
      </w:r>
    </w:p>
    <w:p w14:paraId="423E1067" w14:textId="77777777" w:rsidR="002C7A87" w:rsidRDefault="002C7A87" w:rsidP="002C7A87">
      <w:pPr>
        <w:spacing w:after="0" w:line="240" w:lineRule="auto"/>
        <w:jc w:val="both"/>
        <w:rPr>
          <w:rFonts w:ascii="Verdana" w:hAnsi="Verdana"/>
          <w:b/>
          <w:lang w:val="es-MX"/>
        </w:rPr>
      </w:pPr>
    </w:p>
    <w:p w14:paraId="6208137C" w14:textId="77777777" w:rsidR="002C7A87" w:rsidRDefault="002C7A87" w:rsidP="002C7A87">
      <w:pPr>
        <w:spacing w:after="0" w:line="240" w:lineRule="auto"/>
        <w:jc w:val="both"/>
        <w:rPr>
          <w:rFonts w:ascii="Verdana" w:hAnsi="Verdana"/>
          <w:i/>
          <w:iCs/>
          <w:sz w:val="20"/>
        </w:rPr>
      </w:pPr>
      <w:r w:rsidRPr="007F019B">
        <w:rPr>
          <w:rFonts w:ascii="Verdana" w:hAnsi="Verdana"/>
          <w:sz w:val="20"/>
          <w:lang w:val="es-MX"/>
        </w:rPr>
        <w:t xml:space="preserve">De conformidad con los argumentos de dicha providencia, se parte de la distinción entre los conceptos </w:t>
      </w:r>
      <w:r w:rsidRPr="007F019B">
        <w:rPr>
          <w:rFonts w:ascii="Verdana" w:hAnsi="Verdana"/>
          <w:sz w:val="20"/>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7F019B">
        <w:rPr>
          <w:rFonts w:ascii="Verdana" w:hAnsi="Verdana"/>
          <w:i/>
          <w:iCs/>
          <w:sz w:val="20"/>
        </w:rPr>
        <w:t xml:space="preserve">“si el legislador no diferenció al establecer la prohibición o la restricción, mal haría el reglamento en aplicar un efecto expansivo o extensivo para incluir una categoría no cobijada con la limitación, (…)”. </w:t>
      </w:r>
      <w:r w:rsidRPr="007F019B">
        <w:rPr>
          <w:rFonts w:ascii="Verdana" w:hAnsi="Verdana"/>
          <w:sz w:val="20"/>
        </w:rPr>
        <w:t xml:space="preserve">Por tal motivo, para efectos de decretar la medida de suspensión provisional de los apartes señalados del numeral 16.2 de la Circular Externa Única, argumentó que </w:t>
      </w:r>
      <w:r w:rsidRPr="007F019B">
        <w:rPr>
          <w:rFonts w:ascii="Verdana" w:hAnsi="Verdana"/>
          <w:i/>
          <w:iCs/>
          <w:sz w:val="20"/>
        </w:rPr>
        <w:t xml:space="preserve">“con independencia del propósito loable o plausible de la disposición ya que, procura que no se usen los recursos estatales para incidir o afectar la contienda electoral, no cabe duda de que la entidad demandada incorporó en la </w:t>
      </w:r>
      <w:r w:rsidRPr="007F019B">
        <w:rPr>
          <w:rFonts w:ascii="Verdana" w:hAnsi="Verdana"/>
          <w:i/>
          <w:iCs/>
          <w:sz w:val="20"/>
        </w:rPr>
        <w:lastRenderedPageBreak/>
        <w:t>prohibición una categoría que no quedó comprendida expresa e inequívocamente en la ley</w:t>
      </w:r>
      <w:r w:rsidRPr="007F019B">
        <w:rPr>
          <w:rFonts w:ascii="Verdana" w:hAnsi="Verdana"/>
          <w:sz w:val="20"/>
        </w:rPr>
        <w:t>”</w:t>
      </w:r>
      <w:r w:rsidRPr="007F019B">
        <w:rPr>
          <w:rFonts w:ascii="Verdana" w:hAnsi="Verdana"/>
          <w:i/>
          <w:iCs/>
          <w:sz w:val="20"/>
        </w:rPr>
        <w:t>.</w:t>
      </w:r>
    </w:p>
    <w:p w14:paraId="6AE0749B" w14:textId="77777777" w:rsidR="002C7A87" w:rsidRPr="007F019B" w:rsidRDefault="002C7A87" w:rsidP="002C7A87">
      <w:pPr>
        <w:spacing w:after="0" w:line="240" w:lineRule="auto"/>
        <w:jc w:val="both"/>
        <w:rPr>
          <w:rFonts w:ascii="Verdana" w:hAnsi="Verdana"/>
          <w:i/>
          <w:iCs/>
          <w:sz w:val="20"/>
        </w:rPr>
      </w:pPr>
      <w:r w:rsidRPr="007F019B">
        <w:rPr>
          <w:rFonts w:ascii="Verdana" w:hAnsi="Verdana"/>
          <w:i/>
          <w:iCs/>
          <w:sz w:val="20"/>
        </w:rPr>
        <w:t xml:space="preserve"> </w:t>
      </w:r>
    </w:p>
    <w:p w14:paraId="3FE6421D" w14:textId="77777777" w:rsidR="002C7A87" w:rsidRDefault="002C7A87" w:rsidP="002C7A87">
      <w:pPr>
        <w:spacing w:after="0" w:line="240" w:lineRule="auto"/>
        <w:jc w:val="both"/>
        <w:rPr>
          <w:rFonts w:ascii="Verdana" w:hAnsi="Verdana"/>
          <w:sz w:val="20"/>
        </w:rPr>
      </w:pPr>
      <w:r w:rsidRPr="007F019B">
        <w:rPr>
          <w:rFonts w:ascii="Verdana" w:hAnsi="Verdana"/>
          <w:sz w:val="20"/>
        </w:rPr>
        <w:t>De igual manera, mediante auto del 6 de noviembre de 2025, el Consejo de Estado, Subsección A de la Sección Tercera, decretó</w:t>
      </w:r>
      <w:r w:rsidRPr="007F019B">
        <w:rPr>
          <w:rFonts w:ascii="Verdana" w:hAnsi="Verdana"/>
          <w:bCs/>
          <w:sz w:val="20"/>
        </w:rPr>
        <w:t xml:space="preserve"> </w:t>
      </w:r>
      <w:r w:rsidRPr="007F019B">
        <w:rPr>
          <w:rFonts w:ascii="Verdana" w:hAnsi="Verdana"/>
          <w:sz w:val="20"/>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7F019B">
        <w:rPr>
          <w:rFonts w:ascii="Verdana" w:hAnsi="Verdana"/>
          <w:sz w:val="20"/>
        </w:rPr>
        <w:t>legis</w:t>
      </w:r>
      <w:proofErr w:type="spellEnd"/>
      <w:r w:rsidRPr="007F019B">
        <w:rPr>
          <w:rFonts w:ascii="Verdana" w:hAnsi="Verdana"/>
          <w:sz w:val="20"/>
        </w:rPr>
        <w:t xml:space="preserve"> o iuris y la interpretación extensiva y reiteró los argumentos sobre la diferencia entre contratos y convenios interadministrativos. </w:t>
      </w:r>
    </w:p>
    <w:p w14:paraId="7F832A46" w14:textId="77777777" w:rsidR="002C7A87" w:rsidRPr="007F019B" w:rsidRDefault="002C7A87" w:rsidP="002C7A87">
      <w:pPr>
        <w:spacing w:after="0" w:line="240" w:lineRule="auto"/>
        <w:jc w:val="both"/>
        <w:rPr>
          <w:rFonts w:ascii="Verdana" w:hAnsi="Verdana"/>
          <w:sz w:val="20"/>
        </w:rPr>
      </w:pPr>
    </w:p>
    <w:p w14:paraId="65F9B42A" w14:textId="77777777" w:rsidR="002C7A87" w:rsidRPr="007F019B" w:rsidRDefault="002C7A87" w:rsidP="002C7A87">
      <w:pPr>
        <w:spacing w:after="0" w:line="240" w:lineRule="auto"/>
        <w:jc w:val="both"/>
        <w:rPr>
          <w:rFonts w:ascii="Verdana" w:hAnsi="Verdana"/>
          <w:sz w:val="20"/>
        </w:rPr>
      </w:pPr>
      <w:r w:rsidRPr="007F019B">
        <w:rPr>
          <w:rFonts w:ascii="Verdana" w:hAnsi="Verdana"/>
          <w:sz w:val="20"/>
        </w:rPr>
        <w:t xml:space="preserve">Finalmente, mediante sentencia del 17 de octubre de 2025, emitida por la Sección Tercera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3781AF76" w14:textId="77777777" w:rsidR="002C7A87" w:rsidRDefault="002C7A87" w:rsidP="002C7A87">
      <w:pPr>
        <w:spacing w:after="0" w:line="240" w:lineRule="auto"/>
        <w:rPr>
          <w:rFonts w:ascii="Verdana" w:hAnsi="Verdana"/>
        </w:rPr>
      </w:pPr>
    </w:p>
    <w:p w14:paraId="0535138B" w14:textId="77777777" w:rsidR="002C7A87" w:rsidRPr="00027FE4" w:rsidRDefault="002C7A87" w:rsidP="002C7A87">
      <w:pPr>
        <w:spacing w:after="0" w:line="240" w:lineRule="auto"/>
        <w:jc w:val="both"/>
        <w:rPr>
          <w:rFonts w:ascii="Verdana" w:hAnsi="Verdana"/>
          <w:b/>
        </w:rPr>
      </w:pPr>
      <w:r w:rsidRPr="00027FE4">
        <w:rPr>
          <w:rFonts w:ascii="Verdana" w:hAnsi="Verdana"/>
          <w:b/>
        </w:rPr>
        <w:t>LEY DE GARANTÍAS ELECTORALES – Excepciones – Procedencia Urgencia Manifiesta</w:t>
      </w:r>
    </w:p>
    <w:p w14:paraId="603B6E85" w14:textId="77777777" w:rsidR="002C7A87" w:rsidRPr="00027FE4" w:rsidRDefault="002C7A87" w:rsidP="002C7A87">
      <w:pPr>
        <w:spacing w:after="0" w:line="240" w:lineRule="auto"/>
        <w:jc w:val="both"/>
        <w:rPr>
          <w:rFonts w:ascii="Verdana" w:hAnsi="Verdana"/>
          <w:b/>
        </w:rPr>
      </w:pPr>
    </w:p>
    <w:p w14:paraId="630BD8E7" w14:textId="77777777" w:rsidR="002C7A87" w:rsidRPr="0037512C" w:rsidRDefault="002C7A87" w:rsidP="002C7A87">
      <w:pPr>
        <w:spacing w:after="0" w:line="240" w:lineRule="auto"/>
        <w:jc w:val="both"/>
        <w:rPr>
          <w:rFonts w:ascii="Verdana" w:hAnsi="Verdana"/>
          <w:sz w:val="20"/>
          <w:lang w:val="es-ES"/>
        </w:rPr>
      </w:pPr>
      <w:r w:rsidRPr="0037512C">
        <w:rPr>
          <w:rFonts w:ascii="Verdana" w:hAnsi="Verdana"/>
          <w:sz w:val="20"/>
          <w:lang w:val="es-ES"/>
        </w:rPr>
        <w:t>Por lo tanto, con fundamento en la declaratoria de urgencia manifiesta es posible adelantar la contratación de forma directa, al encontrarse amparada en las excepciones que dispone el artículo 33 de la Ley 996 de 2005. Es decir, con la declaratoria de urgencia manifiesta se garantiza que, en situaciones de emergencia, las autoridades puedan actuar con celeridad y eficacia para atender necesidades inmediatas, sin que ello implique una vulneración de las excepciones dispuestas en el artículo 33 de la Ley 996 de 2005. En este sentido, la urgencia manifiesta permite que los contratos se celebren de manera directa, como puede ser la adquisición de bienes inmuebles, siempre que se justifique adecuadamente la situación que impide seguir el procedimiento regular. Esto, sin perjuicio de los requisitos y condiciones establecidas en el ordenamiento jurídico para su declaratoria.</w:t>
      </w:r>
    </w:p>
    <w:p w14:paraId="588D0808" w14:textId="77777777" w:rsidR="002C7A87" w:rsidRPr="0037512C" w:rsidRDefault="002C7A87" w:rsidP="002C7A87">
      <w:pPr>
        <w:spacing w:after="0" w:line="240" w:lineRule="auto"/>
        <w:jc w:val="both"/>
        <w:rPr>
          <w:rFonts w:ascii="Verdana" w:hAnsi="Verdana"/>
          <w:b/>
          <w:lang w:val="es-ES"/>
        </w:rPr>
      </w:pPr>
    </w:p>
    <w:p w14:paraId="357A0D3F" w14:textId="77777777" w:rsidR="002C7A87" w:rsidRPr="00027FE4" w:rsidRDefault="002C7A87" w:rsidP="002C7A87">
      <w:pPr>
        <w:spacing w:after="0" w:line="240" w:lineRule="auto"/>
        <w:jc w:val="both"/>
        <w:rPr>
          <w:rFonts w:ascii="Verdana" w:hAnsi="Verdana"/>
          <w:b/>
        </w:rPr>
      </w:pPr>
      <w:r w:rsidRPr="00027FE4">
        <w:rPr>
          <w:rFonts w:ascii="Verdana" w:hAnsi="Verdana"/>
          <w:b/>
        </w:rPr>
        <w:t>LEY DE GARANTÍAS ELECTORALES – Urgencia Manifiesta – Improcedencia – Artículo 38</w:t>
      </w:r>
    </w:p>
    <w:p w14:paraId="265B0AC5" w14:textId="77777777" w:rsidR="002C7A87" w:rsidRDefault="002C7A87" w:rsidP="002C7A87">
      <w:pPr>
        <w:spacing w:after="0" w:line="240" w:lineRule="auto"/>
        <w:rPr>
          <w:rFonts w:ascii="Verdana" w:hAnsi="Verdana"/>
        </w:rPr>
      </w:pPr>
    </w:p>
    <w:p w14:paraId="0DB8FC17" w14:textId="77777777" w:rsidR="002C7A87" w:rsidRPr="00027FE4" w:rsidRDefault="002C7A87" w:rsidP="002C7A87">
      <w:pPr>
        <w:spacing w:after="0" w:line="240" w:lineRule="auto"/>
        <w:jc w:val="both"/>
        <w:rPr>
          <w:rFonts w:ascii="Verdana" w:hAnsi="Verdana"/>
          <w:sz w:val="20"/>
          <w:lang w:val="es-ES"/>
        </w:rPr>
      </w:pPr>
      <w:r w:rsidRPr="00027FE4">
        <w:rPr>
          <w:rFonts w:ascii="Verdana" w:hAnsi="Verdana"/>
          <w:sz w:val="20"/>
          <w:lang w:val="es-ES_tradnl"/>
        </w:rPr>
        <w:t xml:space="preserve">Sin embargo, no podrá suscribirse en el marco de la declaratoria de urgencia manifiesta convenios interadministrativos para la ejecución de recursos públicos con </w:t>
      </w:r>
      <w:r w:rsidRPr="00027FE4">
        <w:rPr>
          <w:rFonts w:ascii="Verdana" w:hAnsi="Verdana"/>
          <w:sz w:val="20"/>
        </w:rPr>
        <w:t xml:space="preserve">alcaldes municipales y/o distritales, secretarios, gerentes y directores de entidades descentralizadas del orden municipal, departamental o distrital. Esto se debe a la prohibición contenida en el parágrafo único del artículo 38 de la Ley 996 de 2005, la cual </w:t>
      </w:r>
      <w:r w:rsidRPr="00027FE4">
        <w:rPr>
          <w:rFonts w:ascii="Verdana" w:hAnsi="Verdana"/>
          <w:sz w:val="20"/>
          <w:lang w:val="es-ES"/>
        </w:rPr>
        <w:t xml:space="preserve">dispone que no podrán celebrarse convenios interadministrativos con alcaldes </w:t>
      </w:r>
      <w:r w:rsidRPr="00027FE4">
        <w:rPr>
          <w:rFonts w:ascii="Verdana" w:hAnsi="Verdana"/>
          <w:sz w:val="20"/>
          <w:lang w:val="es-ES"/>
        </w:rPr>
        <w:lastRenderedPageBreak/>
        <w:t xml:space="preserve">municipales y/o distritales, así como con secretarios, gerentes y directores de entidades descentralizadas del orden territorial. Esta prohibición busca evitar que, bajo la institución de la urgencia manifiesta, se canalicen recursos públicos hacia actores políticos locales en un contexto que podría prestarse para favorecer intereses particulares o electorales. Así mismo, dicho artículo no contempla excepciones, lo que significa que la prohibición es absoluta y aplicable en cualquier circunstancia. De esta manera, se garantiza que la contratación directa derivada de la urgencia manifiesta se limite a atender necesidades inmediatas y legítimas, sin abrir la posibilidad de suscribir convenios interadministrativos para la ejecución de recursos públicos. </w:t>
      </w:r>
    </w:p>
    <w:p w14:paraId="0CABADA4" w14:textId="77777777" w:rsidR="002C7A87" w:rsidRPr="00027FE4" w:rsidRDefault="002C7A87" w:rsidP="002C7A87">
      <w:pPr>
        <w:spacing w:after="0" w:line="240" w:lineRule="auto"/>
        <w:rPr>
          <w:rFonts w:ascii="Verdana" w:hAnsi="Verdana"/>
          <w:lang w:val="es-ES"/>
        </w:rPr>
      </w:pPr>
    </w:p>
    <w:p w14:paraId="3131114B" w14:textId="77777777" w:rsidR="002C7A87" w:rsidRDefault="002C7A87" w:rsidP="002C7A87">
      <w:pPr>
        <w:spacing w:after="0" w:line="240" w:lineRule="auto"/>
        <w:rPr>
          <w:rFonts w:ascii="Verdana" w:hAnsi="Verdana"/>
        </w:rPr>
      </w:pPr>
    </w:p>
    <w:p w14:paraId="4271443C" w14:textId="77777777" w:rsidR="002C7A87" w:rsidRDefault="002C7A87" w:rsidP="002C7A87">
      <w:pPr>
        <w:spacing w:after="0" w:line="240" w:lineRule="auto"/>
        <w:rPr>
          <w:rFonts w:ascii="Verdana" w:hAnsi="Verdana"/>
        </w:rPr>
      </w:pPr>
    </w:p>
    <w:p w14:paraId="0E539169" w14:textId="77777777" w:rsidR="002C7A87" w:rsidRDefault="002C7A87" w:rsidP="002C7A87">
      <w:pPr>
        <w:spacing w:after="0" w:line="240" w:lineRule="auto"/>
        <w:rPr>
          <w:rFonts w:ascii="Verdana" w:hAnsi="Verdana"/>
        </w:rPr>
      </w:pPr>
    </w:p>
    <w:p w14:paraId="36FE13EE" w14:textId="77777777" w:rsidR="002C7A87" w:rsidRDefault="002C7A87" w:rsidP="002C7A87">
      <w:pPr>
        <w:spacing w:after="0" w:line="240" w:lineRule="auto"/>
        <w:rPr>
          <w:rFonts w:ascii="Verdana" w:hAnsi="Verdana"/>
        </w:rPr>
      </w:pPr>
    </w:p>
    <w:p w14:paraId="4C4F606F" w14:textId="77777777" w:rsidR="002C7A87" w:rsidRDefault="002C7A87" w:rsidP="002C7A87">
      <w:pPr>
        <w:spacing w:after="0" w:line="240" w:lineRule="auto"/>
        <w:rPr>
          <w:rFonts w:ascii="Verdana" w:hAnsi="Verdana"/>
        </w:rPr>
      </w:pPr>
    </w:p>
    <w:p w14:paraId="1C336D66" w14:textId="77777777" w:rsidR="002C7A87" w:rsidRDefault="002C7A87" w:rsidP="002C7A87">
      <w:pPr>
        <w:spacing w:after="0" w:line="240" w:lineRule="auto"/>
        <w:rPr>
          <w:rFonts w:ascii="Verdana" w:hAnsi="Verdana"/>
        </w:rPr>
      </w:pPr>
    </w:p>
    <w:p w14:paraId="7BF8AB2E" w14:textId="77777777" w:rsidR="002C7A87" w:rsidRDefault="002C7A87" w:rsidP="002C7A87">
      <w:pPr>
        <w:spacing w:after="0" w:line="240" w:lineRule="auto"/>
        <w:rPr>
          <w:rFonts w:ascii="Verdana" w:hAnsi="Verdana"/>
        </w:rPr>
      </w:pPr>
    </w:p>
    <w:p w14:paraId="0DCC0EB5" w14:textId="77777777" w:rsidR="002C7A87" w:rsidRDefault="002C7A87" w:rsidP="002C7A87">
      <w:pPr>
        <w:spacing w:after="0" w:line="240" w:lineRule="auto"/>
        <w:rPr>
          <w:rFonts w:ascii="Verdana" w:hAnsi="Verdana"/>
        </w:rPr>
      </w:pPr>
    </w:p>
    <w:p w14:paraId="685CE721" w14:textId="77777777" w:rsidR="002C7A87" w:rsidRDefault="002C7A87" w:rsidP="002C7A87">
      <w:pPr>
        <w:spacing w:after="0" w:line="240" w:lineRule="auto"/>
        <w:rPr>
          <w:rFonts w:ascii="Verdana" w:hAnsi="Verdana"/>
        </w:rPr>
      </w:pPr>
    </w:p>
    <w:p w14:paraId="4F1BD1BA" w14:textId="77777777" w:rsidR="002C7A87" w:rsidRDefault="002C7A87" w:rsidP="002C7A87">
      <w:pPr>
        <w:spacing w:after="0" w:line="240" w:lineRule="auto"/>
        <w:rPr>
          <w:rFonts w:ascii="Verdana" w:hAnsi="Verdana"/>
        </w:rPr>
      </w:pPr>
    </w:p>
    <w:p w14:paraId="7949A642" w14:textId="77777777" w:rsidR="002C7A87" w:rsidRDefault="002C7A87" w:rsidP="002C7A87">
      <w:pPr>
        <w:spacing w:after="0" w:line="240" w:lineRule="auto"/>
        <w:rPr>
          <w:rFonts w:ascii="Verdana" w:hAnsi="Verdana"/>
        </w:rPr>
      </w:pPr>
    </w:p>
    <w:p w14:paraId="197C1C14" w14:textId="77777777" w:rsidR="002C7A87" w:rsidRDefault="002C7A87" w:rsidP="002C7A87">
      <w:pPr>
        <w:spacing w:after="0" w:line="240" w:lineRule="auto"/>
        <w:rPr>
          <w:rFonts w:ascii="Verdana" w:hAnsi="Verdana"/>
        </w:rPr>
      </w:pPr>
    </w:p>
    <w:p w14:paraId="494DE689" w14:textId="77777777" w:rsidR="002C7A87" w:rsidRDefault="002C7A87" w:rsidP="002C7A87">
      <w:pPr>
        <w:spacing w:after="0" w:line="240" w:lineRule="auto"/>
        <w:rPr>
          <w:rFonts w:ascii="Verdana" w:hAnsi="Verdana"/>
        </w:rPr>
      </w:pPr>
    </w:p>
    <w:p w14:paraId="4C91E33F" w14:textId="77777777" w:rsidR="002C7A87" w:rsidRDefault="002C7A87" w:rsidP="002C7A87">
      <w:pPr>
        <w:spacing w:after="0" w:line="240" w:lineRule="auto"/>
        <w:rPr>
          <w:rFonts w:ascii="Verdana" w:hAnsi="Verdana"/>
        </w:rPr>
      </w:pPr>
    </w:p>
    <w:p w14:paraId="13C7BAAF" w14:textId="77777777" w:rsidR="002C7A87" w:rsidRDefault="002C7A87" w:rsidP="002C7A87">
      <w:pPr>
        <w:spacing w:after="0" w:line="240" w:lineRule="auto"/>
        <w:rPr>
          <w:rFonts w:ascii="Verdana" w:hAnsi="Verdana"/>
        </w:rPr>
      </w:pPr>
    </w:p>
    <w:p w14:paraId="70519A65" w14:textId="77777777" w:rsidR="002C7A87" w:rsidRDefault="002C7A87" w:rsidP="002C7A87">
      <w:pPr>
        <w:spacing w:after="0" w:line="240" w:lineRule="auto"/>
        <w:rPr>
          <w:rFonts w:ascii="Verdana" w:hAnsi="Verdana"/>
        </w:rPr>
      </w:pPr>
    </w:p>
    <w:p w14:paraId="059D1832" w14:textId="77777777" w:rsidR="002C7A87" w:rsidRDefault="002C7A87" w:rsidP="002C7A87">
      <w:pPr>
        <w:spacing w:after="0" w:line="240" w:lineRule="auto"/>
        <w:rPr>
          <w:rFonts w:ascii="Verdana" w:hAnsi="Verdana"/>
        </w:rPr>
      </w:pPr>
    </w:p>
    <w:p w14:paraId="76B5E13F" w14:textId="77777777" w:rsidR="002C7A87" w:rsidRDefault="002C7A87" w:rsidP="002C7A87">
      <w:pPr>
        <w:spacing w:after="0" w:line="240" w:lineRule="auto"/>
        <w:rPr>
          <w:rFonts w:ascii="Verdana" w:hAnsi="Verdana"/>
        </w:rPr>
      </w:pPr>
    </w:p>
    <w:p w14:paraId="3A8F18BC" w14:textId="77777777" w:rsidR="002C7A87" w:rsidRDefault="002C7A87" w:rsidP="002C7A87">
      <w:pPr>
        <w:spacing w:after="0" w:line="240" w:lineRule="auto"/>
        <w:rPr>
          <w:rFonts w:ascii="Verdana" w:hAnsi="Verdana"/>
        </w:rPr>
      </w:pPr>
    </w:p>
    <w:p w14:paraId="1EB4BF0A" w14:textId="77777777" w:rsidR="002C7A87" w:rsidRDefault="002C7A87" w:rsidP="002C7A87">
      <w:pPr>
        <w:spacing w:after="0" w:line="240" w:lineRule="auto"/>
        <w:rPr>
          <w:rFonts w:ascii="Verdana" w:hAnsi="Verdana"/>
        </w:rPr>
      </w:pPr>
    </w:p>
    <w:p w14:paraId="171194D6" w14:textId="77777777" w:rsidR="002C7A87" w:rsidRDefault="002C7A87" w:rsidP="002C7A87">
      <w:pPr>
        <w:spacing w:after="0" w:line="240" w:lineRule="auto"/>
        <w:rPr>
          <w:rFonts w:ascii="Verdana" w:hAnsi="Verdana"/>
        </w:rPr>
      </w:pPr>
    </w:p>
    <w:p w14:paraId="1887A40C" w14:textId="77777777" w:rsidR="002C7A87" w:rsidRDefault="002C7A87" w:rsidP="002C7A87">
      <w:pPr>
        <w:spacing w:after="0" w:line="240" w:lineRule="auto"/>
        <w:rPr>
          <w:rFonts w:ascii="Verdana" w:hAnsi="Verdana"/>
        </w:rPr>
      </w:pPr>
    </w:p>
    <w:p w14:paraId="26AD0CB8" w14:textId="77777777" w:rsidR="002C7A87" w:rsidRDefault="002C7A87" w:rsidP="002C7A87">
      <w:pPr>
        <w:spacing w:after="0" w:line="240" w:lineRule="auto"/>
        <w:rPr>
          <w:rFonts w:ascii="Verdana" w:hAnsi="Verdana"/>
        </w:rPr>
      </w:pPr>
    </w:p>
    <w:p w14:paraId="57CDB6B3" w14:textId="77777777" w:rsidR="002C7A87" w:rsidRPr="00C76732" w:rsidRDefault="002C7A87" w:rsidP="002C7A87">
      <w:pPr>
        <w:spacing w:after="0" w:line="240" w:lineRule="auto"/>
        <w:rPr>
          <w:rFonts w:ascii="Verdana" w:hAnsi="Verdana"/>
          <w:noProof/>
        </w:rPr>
      </w:pPr>
    </w:p>
    <w:p w14:paraId="09E6D24A" w14:textId="77777777" w:rsidR="002C7A87" w:rsidRPr="00C76732" w:rsidRDefault="002C7A87" w:rsidP="002C7A87">
      <w:pPr>
        <w:spacing w:after="0" w:line="240" w:lineRule="auto"/>
        <w:rPr>
          <w:rFonts w:ascii="Verdana" w:hAnsi="Verdana"/>
          <w:noProof/>
        </w:rPr>
      </w:pPr>
    </w:p>
    <w:p w14:paraId="771E0B84" w14:textId="77777777" w:rsidR="002C7A87" w:rsidRPr="00C76732" w:rsidRDefault="002C7A87" w:rsidP="002C7A87">
      <w:pPr>
        <w:spacing w:after="0" w:line="240" w:lineRule="auto"/>
        <w:rPr>
          <w:rFonts w:ascii="Verdana" w:hAnsi="Verdana"/>
          <w:noProof/>
        </w:rPr>
      </w:pPr>
    </w:p>
    <w:p w14:paraId="56ACAE5A" w14:textId="77777777" w:rsidR="002C7A87" w:rsidRPr="00C76732" w:rsidRDefault="002C7A87" w:rsidP="002C7A87">
      <w:pPr>
        <w:spacing w:after="0" w:line="240" w:lineRule="auto"/>
        <w:rPr>
          <w:rFonts w:ascii="Verdana" w:hAnsi="Verdana"/>
          <w:noProof/>
        </w:rPr>
      </w:pPr>
    </w:p>
    <w:p w14:paraId="39A9A603" w14:textId="77777777" w:rsidR="002C7A87" w:rsidRPr="00C76732" w:rsidRDefault="002C7A87" w:rsidP="002C7A87">
      <w:pPr>
        <w:spacing w:after="0" w:line="240" w:lineRule="auto"/>
        <w:rPr>
          <w:rFonts w:ascii="Verdana" w:hAnsi="Verdana"/>
          <w:noProof/>
        </w:rPr>
      </w:pPr>
    </w:p>
    <w:p w14:paraId="3C528979" w14:textId="77777777" w:rsidR="002C7A87" w:rsidRPr="00C76732" w:rsidRDefault="002C7A87" w:rsidP="002C7A87">
      <w:pPr>
        <w:spacing w:after="0" w:line="240" w:lineRule="auto"/>
        <w:rPr>
          <w:rFonts w:ascii="Verdana" w:hAnsi="Verdana"/>
          <w:noProof/>
        </w:rPr>
      </w:pPr>
    </w:p>
    <w:p w14:paraId="4570AC44" w14:textId="77777777" w:rsidR="002C7A87" w:rsidRPr="00C76732" w:rsidRDefault="002C7A87" w:rsidP="002C7A87">
      <w:pPr>
        <w:spacing w:after="0" w:line="240" w:lineRule="auto"/>
        <w:rPr>
          <w:rFonts w:ascii="Verdana" w:hAnsi="Verdana"/>
          <w:noProof/>
        </w:rPr>
      </w:pPr>
    </w:p>
    <w:p w14:paraId="0E8D8738" w14:textId="77777777" w:rsidR="002C7A87" w:rsidRPr="00C76732" w:rsidRDefault="002C7A87" w:rsidP="002C7A87">
      <w:pPr>
        <w:spacing w:after="0" w:line="240" w:lineRule="auto"/>
        <w:rPr>
          <w:rFonts w:ascii="Verdana" w:hAnsi="Verdana"/>
          <w:noProof/>
        </w:rPr>
      </w:pPr>
    </w:p>
    <w:p w14:paraId="66893301" w14:textId="77777777" w:rsidR="002C7A87" w:rsidRPr="00C76732" w:rsidRDefault="002C7A87" w:rsidP="002C7A87">
      <w:pPr>
        <w:spacing w:after="0" w:line="240" w:lineRule="auto"/>
        <w:rPr>
          <w:rFonts w:ascii="Verdana" w:hAnsi="Verdana"/>
          <w:noProof/>
        </w:rPr>
      </w:pPr>
    </w:p>
    <w:p w14:paraId="00E57748" w14:textId="77777777" w:rsidR="007C4C64" w:rsidRDefault="007C4C64" w:rsidP="002C7A87">
      <w:pPr>
        <w:spacing w:after="0" w:line="240" w:lineRule="auto"/>
        <w:rPr>
          <w:rFonts w:ascii="Verdana" w:hAnsi="Verdana"/>
        </w:rPr>
      </w:pPr>
    </w:p>
    <w:p w14:paraId="38768807" w14:textId="28D4A5B2" w:rsidR="002C7A87" w:rsidRPr="00C76732" w:rsidRDefault="002C7A87" w:rsidP="002C7A87">
      <w:pPr>
        <w:spacing w:after="0" w:line="240" w:lineRule="auto"/>
        <w:rPr>
          <w:rFonts w:ascii="Verdana" w:hAnsi="Verdana"/>
        </w:rPr>
      </w:pPr>
      <w:r w:rsidRPr="00C76732">
        <w:rPr>
          <w:rFonts w:ascii="Verdana" w:hAnsi="Verdana"/>
        </w:rPr>
        <w:t xml:space="preserve">Bogotá D.C., </w:t>
      </w:r>
      <w:r w:rsidR="00CA54BA">
        <w:rPr>
          <w:rFonts w:ascii="Verdana" w:hAnsi="Verdana"/>
        </w:rPr>
        <w:t>23 octubre 2026</w:t>
      </w:r>
    </w:p>
    <w:p w14:paraId="364D4624" w14:textId="77777777" w:rsidR="002C7A87" w:rsidRPr="00C76732" w:rsidRDefault="002C7A87" w:rsidP="002C7A87">
      <w:pPr>
        <w:spacing w:after="0" w:line="240" w:lineRule="auto"/>
        <w:rPr>
          <w:rFonts w:ascii="Verdana" w:hAnsi="Verdana"/>
        </w:rPr>
      </w:pPr>
    </w:p>
    <w:p w14:paraId="4D88A580" w14:textId="77777777" w:rsidR="002C7A87" w:rsidRPr="00C76732" w:rsidRDefault="002C7A87" w:rsidP="002C7A87">
      <w:pPr>
        <w:spacing w:after="0" w:line="240" w:lineRule="auto"/>
        <w:rPr>
          <w:rFonts w:ascii="Verdana" w:hAnsi="Verdana"/>
        </w:rPr>
      </w:pPr>
    </w:p>
    <w:p w14:paraId="56A5607D" w14:textId="77777777" w:rsidR="007C4C64" w:rsidRDefault="007C4C64" w:rsidP="002C7A87">
      <w:pPr>
        <w:spacing w:after="0" w:line="240" w:lineRule="auto"/>
        <w:rPr>
          <w:rFonts w:ascii="Verdana" w:eastAsia="Calibri" w:hAnsi="Verdana" w:cs="Times New Roman"/>
        </w:rPr>
      </w:pPr>
    </w:p>
    <w:p w14:paraId="0E41F1D9" w14:textId="2173740D" w:rsidR="002C7A87" w:rsidRPr="00C76732" w:rsidRDefault="002C7A87" w:rsidP="002C7A87">
      <w:pPr>
        <w:spacing w:after="0" w:line="240" w:lineRule="auto"/>
        <w:rPr>
          <w:rFonts w:ascii="Verdana" w:eastAsia="Calibri" w:hAnsi="Verdana" w:cs="Times New Roman"/>
        </w:rPr>
      </w:pPr>
      <w:r w:rsidRPr="00C76732">
        <w:rPr>
          <w:rFonts w:ascii="Verdana" w:eastAsia="Calibri" w:hAnsi="Verdana" w:cs="Times New Roman"/>
        </w:rPr>
        <w:t>Señores</w:t>
      </w:r>
    </w:p>
    <w:p w14:paraId="12E7DD37" w14:textId="77777777" w:rsidR="002C7A87" w:rsidRPr="00C76732" w:rsidRDefault="002C7A87" w:rsidP="002C7A87">
      <w:pPr>
        <w:spacing w:after="0" w:line="240" w:lineRule="auto"/>
        <w:rPr>
          <w:rFonts w:ascii="Verdana" w:eastAsia="Calibri" w:hAnsi="Verdana" w:cs="Times New Roman"/>
          <w:b/>
        </w:rPr>
      </w:pPr>
      <w:r w:rsidRPr="00C76732">
        <w:rPr>
          <w:rFonts w:ascii="Verdana" w:eastAsia="Calibri" w:hAnsi="Verdana" w:cs="Times New Roman"/>
          <w:b/>
        </w:rPr>
        <w:t>LINA MARCELA MONDRAGON RÍOS</w:t>
      </w:r>
    </w:p>
    <w:p w14:paraId="641E301D" w14:textId="100D43A8" w:rsidR="002C7A87" w:rsidRPr="00C76732" w:rsidRDefault="00525724" w:rsidP="002C7A87">
      <w:pPr>
        <w:spacing w:after="0" w:line="240" w:lineRule="auto"/>
        <w:rPr>
          <w:rFonts w:ascii="Verdana" w:eastAsia="Calibri" w:hAnsi="Verdana" w:cs="Times New Roman"/>
          <w:bCs/>
        </w:rPr>
      </w:pPr>
      <w:r w:rsidRPr="00525724">
        <w:rPr>
          <w:rFonts w:ascii="Verdana" w:hAnsi="Verdana"/>
          <w:noProof/>
        </w:rPr>
        <w:drawing>
          <wp:anchor distT="0" distB="0" distL="114300" distR="114300" simplePos="0" relativeHeight="251658240" behindDoc="1" locked="0" layoutInCell="1" allowOverlap="1" wp14:anchorId="210C621F" wp14:editId="67E93AF4">
            <wp:simplePos x="0" y="0"/>
            <wp:positionH relativeFrom="margin">
              <wp:align>right</wp:align>
            </wp:positionH>
            <wp:positionV relativeFrom="paragraph">
              <wp:posOffset>41910</wp:posOffset>
            </wp:positionV>
            <wp:extent cx="2276475" cy="629920"/>
            <wp:effectExtent l="0" t="0" r="9525" b="0"/>
            <wp:wrapTight wrapText="bothSides">
              <wp:wrapPolygon edited="0">
                <wp:start x="0" y="0"/>
                <wp:lineTo x="0" y="20903"/>
                <wp:lineTo x="21510" y="20903"/>
                <wp:lineTo x="21510" y="0"/>
                <wp:lineTo x="0" y="0"/>
              </wp:wrapPolygon>
            </wp:wrapTight>
            <wp:docPr id="1709360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6475" cy="629920"/>
                    </a:xfrm>
                    <a:prstGeom prst="rect">
                      <a:avLst/>
                    </a:prstGeom>
                    <a:noFill/>
                    <a:ln>
                      <a:noFill/>
                    </a:ln>
                  </pic:spPr>
                </pic:pic>
              </a:graphicData>
            </a:graphic>
          </wp:anchor>
        </w:drawing>
      </w:r>
      <w:r w:rsidR="002C7A87" w:rsidRPr="00C76732">
        <w:rPr>
          <w:rFonts w:ascii="Verdana" w:eastAsia="Calibri" w:hAnsi="Verdana" w:cs="Times New Roman"/>
          <w:bCs/>
        </w:rPr>
        <w:t>Secretaria de Despacho</w:t>
      </w:r>
    </w:p>
    <w:p w14:paraId="7528BE05" w14:textId="77777777" w:rsidR="002C7A87" w:rsidRPr="00C76732" w:rsidRDefault="002C7A87" w:rsidP="002C7A87">
      <w:pPr>
        <w:spacing w:after="0" w:line="240" w:lineRule="auto"/>
        <w:rPr>
          <w:rFonts w:ascii="Verdana" w:eastAsia="Calibri" w:hAnsi="Verdana" w:cs="Times New Roman"/>
          <w:b/>
        </w:rPr>
      </w:pPr>
      <w:r w:rsidRPr="00C76732">
        <w:rPr>
          <w:rFonts w:ascii="Verdana" w:eastAsia="Calibri" w:hAnsi="Verdana" w:cs="Times New Roman"/>
          <w:b/>
        </w:rPr>
        <w:t>YEISON VELASQUEZ TORO</w:t>
      </w:r>
    </w:p>
    <w:p w14:paraId="370EBED4" w14:textId="77777777" w:rsidR="002C7A87" w:rsidRPr="00C76732" w:rsidRDefault="002C7A87" w:rsidP="002C7A87">
      <w:pPr>
        <w:spacing w:after="0" w:line="240" w:lineRule="auto"/>
        <w:rPr>
          <w:rFonts w:ascii="Verdana" w:eastAsia="Calibri" w:hAnsi="Verdana" w:cs="Times New Roman"/>
          <w:bCs/>
        </w:rPr>
      </w:pPr>
      <w:r w:rsidRPr="00C76732">
        <w:rPr>
          <w:rFonts w:ascii="Verdana" w:eastAsia="Calibri" w:hAnsi="Verdana" w:cs="Times New Roman"/>
          <w:bCs/>
        </w:rPr>
        <w:t>Director Administrativo</w:t>
      </w:r>
    </w:p>
    <w:p w14:paraId="4BBB8BFA" w14:textId="77777777" w:rsidR="002C7A87" w:rsidRPr="0087053C" w:rsidRDefault="002C7A87" w:rsidP="002C7A87">
      <w:pPr>
        <w:spacing w:after="0" w:line="240" w:lineRule="auto"/>
        <w:rPr>
          <w:rFonts w:ascii="Verdana" w:eastAsia="Calibri" w:hAnsi="Verdana" w:cs="Times New Roman"/>
          <w:b/>
        </w:rPr>
      </w:pPr>
      <w:r w:rsidRPr="0087053C">
        <w:rPr>
          <w:rFonts w:ascii="Verdana" w:eastAsia="Calibri" w:hAnsi="Verdana" w:cs="Times New Roman"/>
          <w:b/>
        </w:rPr>
        <w:t>Alcaldía Municipal de Dosquebradas</w:t>
      </w:r>
    </w:p>
    <w:p w14:paraId="74F5E22A" w14:textId="77777777" w:rsidR="002C7A87" w:rsidRPr="00C76732" w:rsidRDefault="002C7A87" w:rsidP="002C7A87">
      <w:pPr>
        <w:spacing w:after="0" w:line="240" w:lineRule="auto"/>
        <w:rPr>
          <w:rFonts w:ascii="Verdana" w:hAnsi="Verdana"/>
        </w:rPr>
      </w:pPr>
      <w:hyperlink r:id="rId8" w:history="1">
        <w:r w:rsidRPr="00C76732">
          <w:rPr>
            <w:rStyle w:val="Hipervnculo"/>
            <w:rFonts w:ascii="Verdana" w:hAnsi="Verdana"/>
          </w:rPr>
          <w:t>saianotificaciones@dosquebradas.gov.co</w:t>
        </w:r>
      </w:hyperlink>
    </w:p>
    <w:p w14:paraId="17F25820" w14:textId="77777777" w:rsidR="002C7A87" w:rsidRPr="00C76732" w:rsidRDefault="002C7A87" w:rsidP="002C7A87">
      <w:pPr>
        <w:spacing w:after="0" w:line="240" w:lineRule="auto"/>
        <w:rPr>
          <w:rFonts w:ascii="Verdana" w:eastAsia="Calibri" w:hAnsi="Verdana" w:cs="Times New Roman"/>
        </w:rPr>
      </w:pPr>
      <w:r w:rsidRPr="00C76732">
        <w:rPr>
          <w:rFonts w:ascii="Verdana" w:eastAsia="Calibri" w:hAnsi="Verdana" w:cs="Times New Roman"/>
        </w:rPr>
        <w:t>Dosquebradas, Risaralda</w:t>
      </w:r>
    </w:p>
    <w:p w14:paraId="472B88A2" w14:textId="77777777" w:rsidR="002C7A87" w:rsidRDefault="002C7A87" w:rsidP="002C7A87">
      <w:pPr>
        <w:spacing w:after="0" w:line="240" w:lineRule="auto"/>
        <w:rPr>
          <w:rFonts w:ascii="Verdana" w:eastAsia="Calibri" w:hAnsi="Verdana" w:cs="Times New Roman"/>
        </w:rPr>
      </w:pPr>
    </w:p>
    <w:p w14:paraId="2003829C" w14:textId="77777777" w:rsidR="007C4C64" w:rsidRDefault="007C4C64" w:rsidP="002C7A87">
      <w:pPr>
        <w:spacing w:after="0" w:line="240" w:lineRule="auto"/>
        <w:rPr>
          <w:rFonts w:ascii="Verdana" w:eastAsia="Calibri" w:hAnsi="Verdana" w:cs="Times New Roman"/>
        </w:rPr>
      </w:pPr>
    </w:p>
    <w:p w14:paraId="0A7652C1" w14:textId="77777777" w:rsidR="007C4C64" w:rsidRPr="00B453C5" w:rsidRDefault="007C4C64" w:rsidP="002C7A87">
      <w:pPr>
        <w:spacing w:after="0" w:line="240" w:lineRule="auto"/>
        <w:rPr>
          <w:rFonts w:ascii="Verdana" w:eastAsia="Calibri" w:hAnsi="Verdana" w:cs="Times New Roman"/>
        </w:rPr>
      </w:pPr>
    </w:p>
    <w:p w14:paraId="6C2593DA" w14:textId="77777777" w:rsidR="002C7A87" w:rsidRPr="0058618E" w:rsidRDefault="002C7A87" w:rsidP="002C7A87">
      <w:pPr>
        <w:spacing w:after="0" w:line="240" w:lineRule="auto"/>
        <w:rPr>
          <w:rFonts w:ascii="Verdana" w:eastAsia="Calibri" w:hAnsi="Verdana" w:cs="Times New Roman"/>
        </w:rPr>
      </w:pPr>
    </w:p>
    <w:p w14:paraId="78A60CB3" w14:textId="77777777" w:rsidR="002C7A87" w:rsidRDefault="002C7A87" w:rsidP="002C7A87">
      <w:pPr>
        <w:spacing w:after="0" w:line="240" w:lineRule="auto"/>
        <w:rPr>
          <w:rFonts w:ascii="Verdana" w:eastAsia="Calibri" w:hAnsi="Verdana" w:cs="Times New Roman"/>
          <w:b/>
          <w:bCs/>
        </w:rPr>
      </w:pPr>
      <w:r w:rsidRPr="00825DEC">
        <w:rPr>
          <w:rFonts w:ascii="Verdana" w:eastAsia="Calibri" w:hAnsi="Verdana" w:cs="Times New Roman"/>
          <w:b/>
          <w:bCs/>
        </w:rPr>
        <w:t xml:space="preserve">                                    Concepto C- 1</w:t>
      </w:r>
      <w:r w:rsidRPr="00811ED6">
        <w:rPr>
          <w:rFonts w:ascii="Verdana" w:eastAsia="Calibri" w:hAnsi="Verdana" w:cs="Times New Roman"/>
          <w:b/>
          <w:bCs/>
        </w:rPr>
        <w:t>534</w:t>
      </w:r>
      <w:r w:rsidRPr="00C76732">
        <w:rPr>
          <w:rFonts w:ascii="Verdana" w:eastAsia="Calibri" w:hAnsi="Verdana" w:cs="Times New Roman"/>
          <w:b/>
          <w:bCs/>
        </w:rPr>
        <w:t xml:space="preserve"> de 2026</w:t>
      </w:r>
    </w:p>
    <w:p w14:paraId="689CBCE2" w14:textId="77777777" w:rsidR="007C4C64" w:rsidRDefault="007C4C64" w:rsidP="002C7A87">
      <w:pPr>
        <w:spacing w:after="0" w:line="240" w:lineRule="auto"/>
        <w:rPr>
          <w:rFonts w:ascii="Verdana" w:eastAsia="Calibri" w:hAnsi="Verdana" w:cs="Times New Roman"/>
          <w:b/>
          <w:bCs/>
        </w:rPr>
      </w:pPr>
    </w:p>
    <w:p w14:paraId="0D1FCD53" w14:textId="77777777" w:rsidR="007C4C64" w:rsidRPr="00C76732" w:rsidRDefault="007C4C64" w:rsidP="002C7A87">
      <w:pPr>
        <w:spacing w:after="0" w:line="240" w:lineRule="auto"/>
        <w:rPr>
          <w:rFonts w:ascii="Verdana" w:eastAsia="Calibri" w:hAnsi="Verdana" w:cs="Times New Roman"/>
          <w:b/>
          <w:bCs/>
        </w:rPr>
      </w:pPr>
    </w:p>
    <w:p w14:paraId="15422EA2" w14:textId="77777777" w:rsidR="002C7A87" w:rsidRPr="00C76732" w:rsidRDefault="002C7A87" w:rsidP="002C7A87">
      <w:pPr>
        <w:spacing w:after="0" w:line="256" w:lineRule="auto"/>
        <w:rPr>
          <w:rFonts w:ascii="Verdana" w:eastAsia="Calibri" w:hAnsi="Verdana" w:cs="Times New Roman"/>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C7A87" w:rsidRPr="00C76732" w14:paraId="7783301D" w14:textId="77777777" w:rsidTr="00B13FF9">
        <w:trPr>
          <w:trHeight w:val="645"/>
        </w:trPr>
        <w:tc>
          <w:tcPr>
            <w:tcW w:w="2685" w:type="dxa"/>
            <w:hideMark/>
          </w:tcPr>
          <w:p w14:paraId="2703BD38" w14:textId="77777777" w:rsidR="002C7A87" w:rsidRPr="00C76732" w:rsidRDefault="002C7A87" w:rsidP="00B13FF9">
            <w:pPr>
              <w:spacing w:line="256" w:lineRule="auto"/>
              <w:rPr>
                <w:rFonts w:ascii="Verdana" w:hAnsi="Verdana"/>
                <w:b/>
                <w:bCs/>
              </w:rPr>
            </w:pPr>
            <w:r w:rsidRPr="00C76732">
              <w:rPr>
                <w:rFonts w:ascii="Verdana" w:hAnsi="Verdana"/>
                <w:b/>
                <w:bCs/>
              </w:rPr>
              <w:t xml:space="preserve">Temas:                   </w:t>
            </w:r>
          </w:p>
        </w:tc>
        <w:tc>
          <w:tcPr>
            <w:tcW w:w="6241" w:type="dxa"/>
            <w:hideMark/>
          </w:tcPr>
          <w:p w14:paraId="557EC1F1" w14:textId="77777777" w:rsidR="002C7A87" w:rsidRPr="00C76732" w:rsidRDefault="002C7A87" w:rsidP="00B13FF9">
            <w:pPr>
              <w:spacing w:line="276" w:lineRule="auto"/>
              <w:jc w:val="both"/>
              <w:rPr>
                <w:rFonts w:ascii="Verdana" w:hAnsi="Verdana" w:cs="Arial"/>
                <w:lang w:eastAsia="es-ES"/>
              </w:rPr>
            </w:pPr>
            <w:r w:rsidRPr="00C76732">
              <w:rPr>
                <w:rFonts w:ascii="Verdana" w:hAnsi="Verdana" w:cs="Arial"/>
                <w:lang w:eastAsia="es-ES_tradnl"/>
              </w:rPr>
              <w:t xml:space="preserve">LEY DE GARANTÍAS ELECTORALES </w:t>
            </w:r>
            <w:r w:rsidRPr="00C76732">
              <w:rPr>
                <w:rFonts w:ascii="Verdana" w:hAnsi="Verdana" w:cs="Arial"/>
                <w:bCs/>
                <w:lang w:eastAsia="es-ES_tradnl"/>
              </w:rPr>
              <w:t>‒</w:t>
            </w:r>
            <w:r w:rsidRPr="00C76732">
              <w:rPr>
                <w:rFonts w:ascii="Verdana" w:hAnsi="Verdana" w:cs="Arial"/>
                <w:lang w:eastAsia="es-ES_tradnl"/>
              </w:rPr>
              <w:t xml:space="preserve"> Finalidad / LEY DE GARANTÍAS ELECTORALES </w:t>
            </w:r>
            <w:r w:rsidRPr="00C76732">
              <w:rPr>
                <w:rFonts w:ascii="Verdana" w:hAnsi="Verdana" w:cs="Arial"/>
                <w:bCs/>
                <w:lang w:eastAsia="es-ES_tradnl"/>
              </w:rPr>
              <w:t>‒</w:t>
            </w:r>
            <w:r w:rsidRPr="00C76732">
              <w:rPr>
                <w:rFonts w:ascii="Verdana" w:hAnsi="Verdana" w:cs="Arial"/>
                <w:lang w:eastAsia="es-ES_tradnl"/>
              </w:rPr>
              <w:t xml:space="preserve"> Tipos de restricciones </w:t>
            </w:r>
            <w:r w:rsidRPr="00C76732">
              <w:rPr>
                <w:rFonts w:ascii="Verdana" w:hAnsi="Verdana" w:cs="Arial"/>
                <w:bCs/>
                <w:lang w:eastAsia="es-ES_tradnl"/>
              </w:rPr>
              <w:t>‒</w:t>
            </w:r>
            <w:r w:rsidRPr="00C76732">
              <w:rPr>
                <w:rFonts w:ascii="Verdana" w:hAnsi="Verdana" w:cs="Arial"/>
                <w:lang w:eastAsia="es-ES_tradnl"/>
              </w:rPr>
              <w:t xml:space="preserve"> Ámbito temporal – celebración- límite / LEY DE GARANTÍAS ELECTORALES – Prohibición artículo 33 – Contratación directa – Alcance / LEY DE GARANTÍAS ELECTORALES – Excepciones / LEY DE GARANTÍAS ELECTORALES – Prohibición del artículo 33 – Destinatarios / LEY DE GARANTÍAS ELECTORALES – Contratos y convenios interadministrativos – Criterio orgánico / LEY DE GARANTÍAS ELECTORALES –Restricción- Convenios interadministrativos – Postura del Consejo de Estado / LEY DE GARANTÍAS ELECTORALES – Excepciones – Procedencia Urgencia Manifiesta / LEY DE GARANTÍAS ELECTORALES – Urgencia Manifiesta – Improcedencia – Artículo 38. </w:t>
            </w:r>
          </w:p>
        </w:tc>
        <w:tc>
          <w:tcPr>
            <w:tcW w:w="6237" w:type="dxa"/>
          </w:tcPr>
          <w:p w14:paraId="7AE32805" w14:textId="77777777" w:rsidR="002C7A87" w:rsidRPr="00C76732" w:rsidRDefault="002C7A87" w:rsidP="00B13FF9">
            <w:pPr>
              <w:spacing w:line="256" w:lineRule="auto"/>
              <w:rPr>
                <w:rFonts w:ascii="Verdana" w:hAnsi="Verdana"/>
              </w:rPr>
            </w:pPr>
          </w:p>
        </w:tc>
      </w:tr>
      <w:tr w:rsidR="002C7A87" w:rsidRPr="00C76732" w14:paraId="5D591F5F" w14:textId="77777777" w:rsidTr="00B13FF9">
        <w:tc>
          <w:tcPr>
            <w:tcW w:w="2685" w:type="dxa"/>
          </w:tcPr>
          <w:p w14:paraId="7ED9C2BD" w14:textId="77777777" w:rsidR="002C7A87" w:rsidRPr="00C76732" w:rsidRDefault="002C7A87" w:rsidP="00B13FF9">
            <w:pPr>
              <w:rPr>
                <w:rFonts w:ascii="Verdana" w:hAnsi="Verdana"/>
                <w:b/>
                <w:bCs/>
              </w:rPr>
            </w:pPr>
          </w:p>
          <w:p w14:paraId="0310D6C2" w14:textId="77777777" w:rsidR="002C7A87" w:rsidRPr="00C76732" w:rsidRDefault="002C7A87" w:rsidP="00B13FF9">
            <w:pPr>
              <w:rPr>
                <w:rFonts w:ascii="Verdana" w:hAnsi="Verdana"/>
                <w:b/>
                <w:bCs/>
              </w:rPr>
            </w:pPr>
            <w:r w:rsidRPr="00C76732">
              <w:rPr>
                <w:rFonts w:ascii="Verdana" w:hAnsi="Verdana"/>
                <w:b/>
                <w:bCs/>
              </w:rPr>
              <w:t xml:space="preserve">Radicación:               </w:t>
            </w:r>
          </w:p>
        </w:tc>
        <w:tc>
          <w:tcPr>
            <w:tcW w:w="6241" w:type="dxa"/>
          </w:tcPr>
          <w:p w14:paraId="380B7AF6" w14:textId="77777777" w:rsidR="002C7A87" w:rsidRPr="00B453C5" w:rsidRDefault="002C7A87" w:rsidP="00B13FF9">
            <w:pPr>
              <w:jc w:val="both"/>
              <w:rPr>
                <w:rFonts w:ascii="Verdana" w:hAnsi="Verdana"/>
              </w:rPr>
            </w:pPr>
          </w:p>
          <w:p w14:paraId="2B7908D6" w14:textId="77777777" w:rsidR="002C7A87" w:rsidRPr="00811ED6" w:rsidRDefault="002C7A87" w:rsidP="00B13FF9">
            <w:pPr>
              <w:jc w:val="both"/>
              <w:rPr>
                <w:rFonts w:ascii="Verdana" w:hAnsi="Verdana"/>
              </w:rPr>
            </w:pPr>
            <w:r w:rsidRPr="0058618E">
              <w:rPr>
                <w:rFonts w:ascii="Verdana" w:hAnsi="Verdana"/>
              </w:rPr>
              <w:t xml:space="preserve">Respuesta a consulta con radicado No. </w:t>
            </w:r>
            <w:r w:rsidRPr="00825DEC">
              <w:rPr>
                <w:rFonts w:ascii="Verdana" w:hAnsi="Verdana"/>
              </w:rPr>
              <w:t>1_2026_09_29_013083</w:t>
            </w:r>
          </w:p>
          <w:p w14:paraId="5D54BF93" w14:textId="77777777" w:rsidR="002C7A87" w:rsidRPr="00C76732" w:rsidRDefault="002C7A87" w:rsidP="00B13FF9">
            <w:pPr>
              <w:jc w:val="both"/>
              <w:rPr>
                <w:rFonts w:ascii="Verdana" w:hAnsi="Verdana"/>
              </w:rPr>
            </w:pPr>
          </w:p>
          <w:p w14:paraId="17464F55" w14:textId="77777777" w:rsidR="002C7A87" w:rsidRPr="00C76732" w:rsidRDefault="002C7A87" w:rsidP="00B13FF9">
            <w:pPr>
              <w:jc w:val="both"/>
              <w:rPr>
                <w:rFonts w:ascii="Verdana" w:hAnsi="Verdana"/>
              </w:rPr>
            </w:pPr>
          </w:p>
        </w:tc>
        <w:tc>
          <w:tcPr>
            <w:tcW w:w="6237" w:type="dxa"/>
          </w:tcPr>
          <w:p w14:paraId="7F5E3D0D" w14:textId="77777777" w:rsidR="002C7A87" w:rsidRPr="00C76732" w:rsidRDefault="002C7A87" w:rsidP="00B13FF9">
            <w:pPr>
              <w:spacing w:line="256" w:lineRule="auto"/>
              <w:rPr>
                <w:rFonts w:ascii="Verdana" w:hAnsi="Verdana"/>
              </w:rPr>
            </w:pPr>
          </w:p>
        </w:tc>
      </w:tr>
    </w:tbl>
    <w:p w14:paraId="3F155EE5" w14:textId="77777777" w:rsidR="002C7A87" w:rsidRPr="00380CA4" w:rsidRDefault="002C7A87" w:rsidP="002C7A87">
      <w:pPr>
        <w:spacing w:after="0" w:line="276" w:lineRule="auto"/>
        <w:rPr>
          <w:rFonts w:ascii="Verdana" w:eastAsia="Calibri" w:hAnsi="Verdana" w:cs="Times New Roman"/>
        </w:rPr>
      </w:pPr>
      <w:r w:rsidRPr="00380CA4">
        <w:rPr>
          <w:rFonts w:ascii="Verdana" w:eastAsia="Calibri" w:hAnsi="Verdana" w:cs="Times New Roman"/>
        </w:rPr>
        <w:t>Estimado</w:t>
      </w:r>
      <w:r>
        <w:rPr>
          <w:rFonts w:ascii="Verdana" w:eastAsia="Calibri" w:hAnsi="Verdana" w:cs="Times New Roman"/>
        </w:rPr>
        <w:t>s</w:t>
      </w:r>
      <w:r w:rsidRPr="00380CA4">
        <w:rPr>
          <w:rFonts w:ascii="Verdana" w:eastAsia="Calibri" w:hAnsi="Verdana" w:cs="Times New Roman"/>
        </w:rPr>
        <w:t xml:space="preserve"> Señor</w:t>
      </w:r>
      <w:r>
        <w:rPr>
          <w:rFonts w:ascii="Verdana" w:eastAsia="Calibri" w:hAnsi="Verdana" w:cs="Times New Roman"/>
        </w:rPr>
        <w:t>es</w:t>
      </w:r>
      <w:r w:rsidRPr="00380CA4">
        <w:rPr>
          <w:rFonts w:ascii="Verdana" w:eastAsia="Calibri" w:hAnsi="Verdana" w:cs="Times New Roman"/>
        </w:rPr>
        <w:t xml:space="preserve">: </w:t>
      </w:r>
    </w:p>
    <w:p w14:paraId="31E659CC" w14:textId="77777777" w:rsidR="002C7A87" w:rsidRPr="00380CA4" w:rsidRDefault="002C7A87" w:rsidP="002C7A87">
      <w:pPr>
        <w:spacing w:after="0" w:line="276" w:lineRule="auto"/>
        <w:rPr>
          <w:rFonts w:ascii="Verdana" w:eastAsia="Calibri" w:hAnsi="Verdana" w:cs="Times New Roman"/>
        </w:rPr>
      </w:pPr>
    </w:p>
    <w:p w14:paraId="6D0FC272" w14:textId="77777777" w:rsidR="002C7A87" w:rsidRDefault="002C7A87" w:rsidP="002C7A87">
      <w:pPr>
        <w:spacing w:after="0" w:line="276" w:lineRule="auto"/>
        <w:jc w:val="both"/>
        <w:rPr>
          <w:rFonts w:ascii="Verdana" w:eastAsia="Calibri" w:hAnsi="Verdana" w:cs="Times New Roman"/>
        </w:rPr>
      </w:pPr>
      <w:r w:rsidRPr="00380CA4">
        <w:rPr>
          <w:rFonts w:ascii="Verdana" w:eastAsia="Calibri" w:hAnsi="Verdana" w:cs="Arial"/>
          <w:bCs/>
          <w:color w:val="000000" w:themeColor="text1"/>
          <w:lang w:eastAsia="es-ES" w:bidi="es-ES"/>
        </w:rPr>
        <w:t xml:space="preserve">En ejercicio de la competencia otorgada por los artículos 3, numeral 5º, y 11, numeral 8º, del Decreto Ley 4170 de 2011, </w:t>
      </w:r>
      <w:r w:rsidRPr="00380CA4">
        <w:rPr>
          <w:rFonts w:ascii="Verdana" w:eastAsia="Calibri" w:hAnsi="Verdana" w:cs="Arial"/>
          <w:bCs/>
          <w:color w:val="000000" w:themeColor="text1"/>
          <w:lang w:eastAsia="es-ES"/>
        </w:rPr>
        <w:t xml:space="preserve">así como lo establecido por la Resolución 469 de 2025 expedida por esta Entidad, </w:t>
      </w:r>
      <w:r w:rsidRPr="00380CA4">
        <w:rPr>
          <w:rFonts w:ascii="Verdana" w:eastAsia="Calibri" w:hAnsi="Verdana" w:cs="Arial"/>
          <w:bCs/>
          <w:color w:val="000000" w:themeColor="text1"/>
          <w:lang w:eastAsia="es-ES" w:bidi="es-ES"/>
        </w:rPr>
        <w:t xml:space="preserve">la Agencia Nacional de Contratación Pública – Colombia Compra Eficiente– responde la solicitud de consulta </w:t>
      </w:r>
      <w:r w:rsidRPr="00380CA4">
        <w:rPr>
          <w:rFonts w:ascii="Verdana" w:eastAsia="Calibri" w:hAnsi="Verdana" w:cs="Times New Roman"/>
        </w:rPr>
        <w:t xml:space="preserve">presentada el </w:t>
      </w:r>
      <w:r>
        <w:rPr>
          <w:rFonts w:ascii="Verdana" w:eastAsia="Calibri" w:hAnsi="Verdana" w:cs="Times New Roman"/>
        </w:rPr>
        <w:t>28 de agosto</w:t>
      </w:r>
      <w:r w:rsidRPr="00380CA4">
        <w:rPr>
          <w:rFonts w:ascii="Verdana" w:eastAsia="Calibri" w:hAnsi="Verdana" w:cs="Times New Roman"/>
        </w:rPr>
        <w:t xml:space="preserve"> de 2026, en la cual manifiesta: </w:t>
      </w:r>
    </w:p>
    <w:p w14:paraId="10A3795E" w14:textId="77777777" w:rsidR="002C7A87" w:rsidRPr="0087053C" w:rsidRDefault="002C7A87" w:rsidP="002C7A87">
      <w:pPr>
        <w:spacing w:after="0" w:line="276" w:lineRule="auto"/>
        <w:ind w:left="709" w:right="476"/>
        <w:jc w:val="both"/>
        <w:rPr>
          <w:rFonts w:ascii="Verdana" w:eastAsia="Calibri" w:hAnsi="Verdana" w:cs="Times New Roman"/>
          <w:iCs/>
        </w:rPr>
      </w:pPr>
    </w:p>
    <w:p w14:paraId="6A73B8A1"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“1. ¿La prohibición del parágrafo del artículo 38 de la Ley 996 de 2005 admite excepciones cuando los convenios interadministrativos tienen por objeto atender una situación de desastre o calamidad pública declarada? ¿Son aplicables por analogía las excepciones del artículo 33?</w:t>
      </w:r>
    </w:p>
    <w:p w14:paraId="747EDC24"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41D0413F"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2. Si la respuesta es afirmativa, ¿la excepción está condicionada a la vigencia de la declaratoria de desastre o calamidad pública, incluidas sus prórrogas (artículo 64 de la Ley 1523 de 2012)? ¿Qué ocurre con los convenios requeridos después del retorno a la normalidad?</w:t>
      </w:r>
    </w:p>
    <w:p w14:paraId="6D63E494"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2C44E1AD"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3. Para esos efectos, ¿basta la vigencia de la declaratoria nacional de desastre del Decreto 1171 de 2026, o se requiere que esté vigente la declaratoria municipal de calamidad pública?</w:t>
      </w:r>
    </w:p>
    <w:p w14:paraId="69927081"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31F2E9B8"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4. Si la declaratoria nacional de desastre no se prorroga y vence el 11 de agosto de 2027, dentro del periodo de restricción, ¿los convenios interadministrativos celebrados antes de esa fecha al amparo de una eventual excepción por desastre pueden seguir ejecutándose, adicionándose o prorrogándose hasta el 31 de octubre de 2027?</w:t>
      </w:r>
    </w:p>
    <w:p w14:paraId="4EFCFE0D"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5AAB1A21"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5. ¿Los convenios celebrados al amparo del Decreto Legislativo 1381 de 2026, que habilita la cofinanciación extraterritorial hasta el 31 de diciembre de 2027, están sujetos a la prohibición del parágrafo del artículo 38? ¿Constituye ese decreto, por su fuerza de ley y su carácter especial, una excepción a la prohibición?</w:t>
      </w:r>
    </w:p>
    <w:p w14:paraId="711642EB"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7E1236E4"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6. ¿La urgencia manifiesta puede sustentar la celebración de convenios interadministrativos durante el periodo de restricción? Se trata tanto de la declarada por el municipio con base en la calamidad pública como de la que el artículo 2 del Decreto Legislativo 1420 de 2026 da por comprobada mientras rija el desastre del Decreto 1171. ¿O su efecto se limita a la contratación directa?</w:t>
      </w:r>
    </w:p>
    <w:p w14:paraId="1BD0BD0B"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31F11E59"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lastRenderedPageBreak/>
        <w:t>7. ¿La prohibición comprende los convenios interadministrativos para financiar estudios técnicos de ordenamiento territorial y de gestión del riesgo, y los convenios para ajustar el POT con ocasión del desastre? ¿O esos objetos quedan cubiertos por una eventual excepción por desastre?</w:t>
      </w:r>
    </w:p>
    <w:p w14:paraId="0A25FD86"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6E7BB234" w14:textId="77777777" w:rsidR="002C7A87"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8. Esa Agencia ha señalado (concepto C-221 de 2026) que la restricción recae sobre los convenios y no sobre los contratos interadministrativos. ¿Qué criterios permiten distinguir unos de otros en los acuerdos con entidades descentralizadas del mismo municipio, con el área metropolitana, con empresas de servicios públicos y con universidades públicas para estudios técnicos?</w:t>
      </w:r>
    </w:p>
    <w:p w14:paraId="1A705B65"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p>
    <w:p w14:paraId="636EF7BF"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9. ¿Quedan por fuera de la prohibición los convenios que no implican ejecución de recursos públicos, como los de asistencia técnica o cooperación con aportes en especie de entidades nacionales?</w:t>
      </w:r>
    </w:p>
    <w:p w14:paraId="33235439"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6D62CF84"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10. ¿Los convenios celebrados antes del inicio del periodo de restricción pueden ejecutarse, adicionarse, prorrogarse o modificarse durante ese periodo? ¿Puede suscribirse el acta de inicio durante él?</w:t>
      </w:r>
    </w:p>
    <w:p w14:paraId="02BFFFBB"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1AC25751" w14:textId="77777777" w:rsidR="002C7A87"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11. ¿La prohibición se aplica cuando la entidad territorial es la receptora de los recursos, y no la que los aporta, como en los convenios con la Nación o el departamento?</w:t>
      </w:r>
    </w:p>
    <w:p w14:paraId="2C9C829D"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p>
    <w:p w14:paraId="0B4B96C2" w14:textId="77777777" w:rsidR="002C7A87" w:rsidRDefault="002C7A87" w:rsidP="002C7A87">
      <w:pPr>
        <w:spacing w:after="0" w:line="240" w:lineRule="auto"/>
        <w:ind w:left="709" w:right="709"/>
        <w:jc w:val="both"/>
        <w:rPr>
          <w:rFonts w:ascii="Verdana" w:eastAsia="Calibri" w:hAnsi="Verdana" w:cs="Times New Roman"/>
          <w:b/>
          <w:bCs/>
          <w:iCs/>
          <w:sz w:val="20"/>
          <w:szCs w:val="20"/>
        </w:rPr>
      </w:pPr>
      <w:r w:rsidRPr="0087053C">
        <w:rPr>
          <w:rFonts w:ascii="Verdana" w:eastAsia="Calibri" w:hAnsi="Verdana" w:cs="Times New Roman"/>
          <w:b/>
          <w:bCs/>
          <w:iCs/>
          <w:sz w:val="20"/>
          <w:szCs w:val="20"/>
        </w:rPr>
        <w:t>SEGUNDO. Contratación directa y régimen especial de la Ley 1523 de 2012</w:t>
      </w:r>
    </w:p>
    <w:p w14:paraId="6DE33C28" w14:textId="77777777" w:rsidR="002C7A87" w:rsidRPr="0087053C" w:rsidRDefault="002C7A87" w:rsidP="002C7A87">
      <w:pPr>
        <w:spacing w:after="0" w:line="240" w:lineRule="auto"/>
        <w:ind w:left="709" w:right="709"/>
        <w:jc w:val="both"/>
        <w:rPr>
          <w:rFonts w:ascii="Verdana" w:eastAsia="Calibri" w:hAnsi="Verdana" w:cs="Times New Roman"/>
          <w:b/>
          <w:bCs/>
          <w:iCs/>
          <w:sz w:val="20"/>
          <w:szCs w:val="20"/>
        </w:rPr>
      </w:pPr>
    </w:p>
    <w:p w14:paraId="4187C6C3" w14:textId="77777777" w:rsidR="002C7A87" w:rsidRPr="0087053C" w:rsidRDefault="002C7A87" w:rsidP="002C7A87">
      <w:pPr>
        <w:spacing w:after="0" w:line="240" w:lineRule="auto"/>
        <w:ind w:left="709" w:right="709"/>
        <w:jc w:val="both"/>
        <w:rPr>
          <w:rFonts w:ascii="Verdana" w:eastAsia="Calibri" w:hAnsi="Verdana" w:cs="Times New Roman"/>
          <w:b/>
          <w:bCs/>
          <w:iCs/>
          <w:sz w:val="20"/>
          <w:szCs w:val="20"/>
        </w:rPr>
      </w:pPr>
      <w:r w:rsidRPr="0087053C">
        <w:rPr>
          <w:rFonts w:ascii="Verdana" w:eastAsia="Calibri" w:hAnsi="Verdana" w:cs="Times New Roman"/>
          <w:b/>
          <w:bCs/>
          <w:iCs/>
          <w:sz w:val="20"/>
          <w:szCs w:val="20"/>
        </w:rPr>
        <w:t>Interrogantes:</w:t>
      </w:r>
    </w:p>
    <w:p w14:paraId="10E106FA"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23D55A05"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12. En elecciones de autoridades territoriales, ¿rige alguna restricción a la contratación directa distinta de la del parágrafo del artículo 38? ¿La restricción del artículo 33 aplica exclusivamente a la elección presidencial?</w:t>
      </w:r>
    </w:p>
    <w:p w14:paraId="4AEB4A4E"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3F8E8008"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13. ¿Puede el municipio aplicar el régimen especial de contratación de los artículos 65 y 66 de la Ley 1523 de 2012 durante el periodo de restricción, mientras esté vigente la declaratoria de desastre o calamidad pública? ¿Ese régimen cubre la contratación de estudios de ordenamiento y de riesgo?</w:t>
      </w:r>
    </w:p>
    <w:p w14:paraId="58D289BF"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1FFB523C"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14. ¿La inclusión de los estudios técnicos de riesgo y de ordenamiento territorial en el Plan de Acción Específico de la calamidad pública les confiere la conexidad directa exigida por el artículo 66 de la Ley 1523 de 2012 para contratarlos bajo el régimen especial?</w:t>
      </w:r>
    </w:p>
    <w:p w14:paraId="078E8637"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01BFAB39"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 xml:space="preserve">15. ¿Cuál es la relación entre la urgencia manifiesta (artículo 42 de la Ley 80 de 1993 y artículo 2 del Decreto Legislativo 1420 de 2026) y las </w:t>
      </w:r>
      <w:r w:rsidRPr="0087053C">
        <w:rPr>
          <w:rFonts w:ascii="Verdana" w:eastAsia="Calibri" w:hAnsi="Verdana" w:cs="Times New Roman"/>
          <w:iCs/>
          <w:sz w:val="20"/>
          <w:szCs w:val="20"/>
        </w:rPr>
        <w:lastRenderedPageBreak/>
        <w:t>restricciones de la Ley 996 de 2005 en el contexto de un desastre declarado?</w:t>
      </w:r>
    </w:p>
    <w:p w14:paraId="311868DF" w14:textId="77777777" w:rsidR="002C7A87" w:rsidRDefault="002C7A87" w:rsidP="002C7A87">
      <w:pPr>
        <w:spacing w:after="0" w:line="240" w:lineRule="auto"/>
        <w:ind w:left="709" w:right="709"/>
        <w:jc w:val="both"/>
        <w:rPr>
          <w:rFonts w:ascii="Verdana" w:eastAsia="Calibri" w:hAnsi="Verdana" w:cs="Times New Roman"/>
          <w:b/>
          <w:bCs/>
          <w:iCs/>
          <w:sz w:val="20"/>
          <w:szCs w:val="20"/>
        </w:rPr>
      </w:pPr>
    </w:p>
    <w:p w14:paraId="107C1194" w14:textId="77777777" w:rsidR="002C7A87" w:rsidRPr="0087053C" w:rsidRDefault="002C7A87" w:rsidP="002C7A87">
      <w:pPr>
        <w:spacing w:after="0" w:line="240" w:lineRule="auto"/>
        <w:ind w:left="709" w:right="709"/>
        <w:jc w:val="both"/>
        <w:rPr>
          <w:rFonts w:ascii="Verdana" w:eastAsia="Calibri" w:hAnsi="Verdana" w:cs="Times New Roman"/>
          <w:b/>
          <w:bCs/>
          <w:iCs/>
          <w:sz w:val="20"/>
          <w:szCs w:val="20"/>
        </w:rPr>
      </w:pPr>
      <w:r w:rsidRPr="0087053C">
        <w:rPr>
          <w:rFonts w:ascii="Verdana" w:eastAsia="Calibri" w:hAnsi="Verdana" w:cs="Times New Roman"/>
          <w:b/>
          <w:bCs/>
          <w:iCs/>
          <w:sz w:val="20"/>
          <w:szCs w:val="20"/>
        </w:rPr>
        <w:t>TERCERO. Cómputo del término</w:t>
      </w:r>
    </w:p>
    <w:p w14:paraId="02BB07BA" w14:textId="77777777" w:rsidR="002C7A87" w:rsidRDefault="002C7A87" w:rsidP="002C7A87">
      <w:pPr>
        <w:spacing w:after="0" w:line="240" w:lineRule="auto"/>
        <w:ind w:left="709" w:right="709"/>
        <w:jc w:val="both"/>
        <w:rPr>
          <w:rFonts w:ascii="Verdana" w:eastAsia="Calibri" w:hAnsi="Verdana" w:cs="Times New Roman"/>
          <w:b/>
          <w:bCs/>
          <w:iCs/>
          <w:sz w:val="20"/>
          <w:szCs w:val="20"/>
        </w:rPr>
      </w:pPr>
    </w:p>
    <w:p w14:paraId="5C241D72" w14:textId="77777777" w:rsidR="002C7A87" w:rsidRPr="0087053C" w:rsidRDefault="002C7A87" w:rsidP="002C7A87">
      <w:pPr>
        <w:spacing w:after="0" w:line="240" w:lineRule="auto"/>
        <w:ind w:left="709" w:right="709"/>
        <w:jc w:val="both"/>
        <w:rPr>
          <w:rFonts w:ascii="Verdana" w:eastAsia="Calibri" w:hAnsi="Verdana" w:cs="Times New Roman"/>
          <w:b/>
          <w:bCs/>
          <w:iCs/>
          <w:sz w:val="20"/>
          <w:szCs w:val="20"/>
        </w:rPr>
      </w:pPr>
      <w:r w:rsidRPr="0087053C">
        <w:rPr>
          <w:rFonts w:ascii="Verdana" w:eastAsia="Calibri" w:hAnsi="Verdana" w:cs="Times New Roman"/>
          <w:b/>
          <w:bCs/>
          <w:iCs/>
          <w:sz w:val="20"/>
          <w:szCs w:val="20"/>
        </w:rPr>
        <w:t>Interrogante:</w:t>
      </w:r>
    </w:p>
    <w:p w14:paraId="708A8511" w14:textId="77777777" w:rsidR="002C7A87" w:rsidRDefault="002C7A87" w:rsidP="002C7A87">
      <w:pPr>
        <w:spacing w:after="0" w:line="240" w:lineRule="auto"/>
        <w:ind w:left="709" w:right="709"/>
        <w:jc w:val="both"/>
        <w:rPr>
          <w:rFonts w:ascii="Verdana" w:eastAsia="Calibri" w:hAnsi="Verdana" w:cs="Times New Roman"/>
          <w:iCs/>
          <w:sz w:val="20"/>
          <w:szCs w:val="20"/>
        </w:rPr>
      </w:pPr>
    </w:p>
    <w:p w14:paraId="0D1FC82D" w14:textId="77777777" w:rsidR="002C7A87" w:rsidRPr="0087053C" w:rsidRDefault="002C7A87" w:rsidP="002C7A87">
      <w:pPr>
        <w:spacing w:after="0" w:line="240" w:lineRule="auto"/>
        <w:ind w:left="709" w:right="709"/>
        <w:jc w:val="both"/>
        <w:rPr>
          <w:rFonts w:ascii="Verdana" w:eastAsia="Calibri" w:hAnsi="Verdana" w:cs="Times New Roman"/>
          <w:iCs/>
          <w:sz w:val="20"/>
          <w:szCs w:val="20"/>
        </w:rPr>
      </w:pPr>
      <w:r w:rsidRPr="0087053C">
        <w:rPr>
          <w:rFonts w:ascii="Verdana" w:eastAsia="Calibri" w:hAnsi="Verdana" w:cs="Times New Roman"/>
          <w:iCs/>
          <w:sz w:val="20"/>
          <w:szCs w:val="20"/>
        </w:rPr>
        <w:t>16. Siendo las elecciones el 31 de octubre de 2027, ¿desde qué fecha exacta se computa el periodo de cuatro meses del parágrafo del artículo 38? ¿Se extiende hasta el día de la elección o hasta una eventual segunda vuelta?</w:t>
      </w:r>
    </w:p>
    <w:p w14:paraId="174F2883" w14:textId="77777777" w:rsidR="002C7A87" w:rsidRDefault="002C7A87" w:rsidP="002C7A87">
      <w:pPr>
        <w:spacing w:after="0" w:line="276" w:lineRule="auto"/>
        <w:ind w:firstLine="709"/>
        <w:jc w:val="both"/>
        <w:rPr>
          <w:rFonts w:ascii="Verdana" w:eastAsia="Calibri" w:hAnsi="Verdana" w:cs="Times New Roman"/>
        </w:rPr>
      </w:pPr>
    </w:p>
    <w:p w14:paraId="52D1EBFA" w14:textId="77777777" w:rsidR="002C7A87" w:rsidRPr="00380CA4" w:rsidRDefault="002C7A87" w:rsidP="002C7A87">
      <w:pPr>
        <w:spacing w:after="120" w:line="276" w:lineRule="auto"/>
        <w:ind w:firstLine="709"/>
        <w:jc w:val="both"/>
        <w:rPr>
          <w:rFonts w:ascii="Verdana" w:eastAsia="Calibri" w:hAnsi="Verdana" w:cs="Times New Roman"/>
        </w:rPr>
      </w:pPr>
      <w:r w:rsidRPr="00380CA4">
        <w:rPr>
          <w:rFonts w:ascii="Verdana" w:eastAsia="Calibri" w:hAnsi="Verdana" w:cs="Times New Roman"/>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A56AD1C" w14:textId="77777777" w:rsidR="002C7A87" w:rsidRPr="00380CA4" w:rsidRDefault="002C7A87" w:rsidP="002C7A87">
      <w:pPr>
        <w:spacing w:after="0" w:line="276" w:lineRule="auto"/>
        <w:ind w:firstLine="708"/>
        <w:jc w:val="both"/>
        <w:rPr>
          <w:rFonts w:ascii="Verdana" w:eastAsia="Calibri" w:hAnsi="Verdana" w:cs="Times New Roman"/>
        </w:rPr>
      </w:pPr>
      <w:r w:rsidRPr="00380CA4">
        <w:rPr>
          <w:rFonts w:ascii="Verdana" w:eastAsia="Calibri" w:hAnsi="Verdana" w:cs="Times New Roman"/>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rPr>
        <w:t xml:space="preserve">s generales relacionadas con los problemas jurídicos </w:t>
      </w:r>
      <w:r w:rsidRPr="00380CA4">
        <w:rPr>
          <w:rFonts w:ascii="Verdana" w:eastAsia="Calibri" w:hAnsi="Verdana" w:cs="Times New Roman"/>
        </w:rPr>
        <w:t xml:space="preserve">de su consulta. </w:t>
      </w:r>
    </w:p>
    <w:p w14:paraId="4A3BFC77" w14:textId="77777777" w:rsidR="002C7A87" w:rsidRPr="00913562" w:rsidRDefault="002C7A87" w:rsidP="002C7A87">
      <w:pPr>
        <w:spacing w:after="0" w:line="276" w:lineRule="auto"/>
        <w:jc w:val="both"/>
        <w:rPr>
          <w:rFonts w:ascii="Verdana" w:eastAsia="Calibri" w:hAnsi="Verdana" w:cs="Times New Roman"/>
        </w:rPr>
      </w:pPr>
    </w:p>
    <w:p w14:paraId="7A512D48" w14:textId="77777777" w:rsidR="002C7A87" w:rsidRPr="00913562" w:rsidRDefault="002C7A87" w:rsidP="002C7A87">
      <w:pPr>
        <w:numPr>
          <w:ilvl w:val="0"/>
          <w:numId w:val="3"/>
        </w:numPr>
        <w:spacing w:after="0" w:line="276" w:lineRule="auto"/>
        <w:contextualSpacing/>
        <w:jc w:val="both"/>
        <w:rPr>
          <w:rFonts w:ascii="Verdana" w:eastAsia="Calibri" w:hAnsi="Verdana" w:cs="Times New Roman"/>
          <w:b/>
          <w:bCs/>
        </w:rPr>
      </w:pPr>
      <w:r w:rsidRPr="00913562">
        <w:rPr>
          <w:rFonts w:ascii="Verdana" w:eastAsia="Calibri" w:hAnsi="Verdana" w:cs="Times New Roman"/>
          <w:b/>
          <w:bCs/>
        </w:rPr>
        <w:t>Problema planteado:</w:t>
      </w:r>
    </w:p>
    <w:p w14:paraId="17430B02" w14:textId="77777777" w:rsidR="002C7A87" w:rsidRPr="00913562" w:rsidRDefault="002C7A87" w:rsidP="002C7A87">
      <w:pPr>
        <w:spacing w:after="0" w:line="276" w:lineRule="auto"/>
        <w:jc w:val="both"/>
        <w:rPr>
          <w:rFonts w:ascii="Verdana" w:eastAsia="Calibri" w:hAnsi="Verdana" w:cs="Times New Roman"/>
        </w:rPr>
      </w:pPr>
    </w:p>
    <w:p w14:paraId="020A1C47" w14:textId="77777777" w:rsidR="002C7A87" w:rsidRPr="0087053C" w:rsidRDefault="002C7A87" w:rsidP="002C7A87">
      <w:pPr>
        <w:spacing w:after="0" w:line="276" w:lineRule="auto"/>
        <w:jc w:val="both"/>
        <w:rPr>
          <w:rFonts w:ascii="Verdana" w:eastAsia="Times New Roman" w:hAnsi="Verdana" w:cs="Segoe UI"/>
          <w:lang w:eastAsia="es-ES_tradnl"/>
        </w:rPr>
      </w:pPr>
      <w:r w:rsidRPr="00913562">
        <w:rPr>
          <w:rFonts w:ascii="Verdana" w:eastAsia="Calibri" w:hAnsi="Verdana" w:cs="Times New Roman"/>
        </w:rPr>
        <w:t>De</w:t>
      </w:r>
      <w:r w:rsidRPr="00C344DA">
        <w:rPr>
          <w:rFonts w:ascii="Verdana" w:eastAsia="Calibri" w:hAnsi="Verdana" w:cs="Times New Roman"/>
        </w:rPr>
        <w:t xml:space="preserve"> acuerdo con el contenido de su solicitud, esta Agencia procede a resolver </w:t>
      </w:r>
      <w:r w:rsidRPr="00825DEC">
        <w:rPr>
          <w:rFonts w:ascii="Verdana" w:eastAsia="Calibri" w:hAnsi="Verdana" w:cs="Times New Roman"/>
        </w:rPr>
        <w:t xml:space="preserve">los siguientes problemas </w:t>
      </w:r>
      <w:r w:rsidRPr="00811ED6">
        <w:rPr>
          <w:rFonts w:ascii="Verdana" w:eastAsia="Calibri" w:hAnsi="Verdana" w:cs="Times New Roman"/>
        </w:rPr>
        <w:t>jurídico</w:t>
      </w:r>
      <w:r w:rsidRPr="00913562">
        <w:rPr>
          <w:rFonts w:ascii="Verdana" w:eastAsia="Calibri" w:hAnsi="Verdana" w:cs="Times New Roman"/>
        </w:rPr>
        <w:t>s:</w:t>
      </w:r>
      <w:r w:rsidRPr="00913562">
        <w:rPr>
          <w:rFonts w:ascii="Verdana" w:eastAsia="Calibri" w:hAnsi="Verdana" w:cs="Times New Roman"/>
          <w:iCs/>
        </w:rPr>
        <w:t xml:space="preserve"> i) </w:t>
      </w:r>
      <w:r w:rsidRPr="0087053C">
        <w:rPr>
          <w:rFonts w:ascii="Verdana" w:hAnsi="Verdana" w:cs="Segoe UI"/>
        </w:rPr>
        <w:t xml:space="preserve">¿La prohibición prevista en el parágrafo del artículo 38 de la Ley 996 de 2005 respecto de la celebración de convenios </w:t>
      </w:r>
      <w:r w:rsidRPr="0087053C">
        <w:rPr>
          <w:rFonts w:ascii="Verdana" w:hAnsi="Verdana" w:cs="Segoe UI"/>
        </w:rPr>
        <w:lastRenderedPageBreak/>
        <w:t xml:space="preserve">interadministrativos admite excepciones cuando estos tienen por objeto atender situaciones de desastre o calamidad pública, y cuál es el alcance de dichas excepciones frente a las declaratorias de desastre, calamidad pública, sus prórrogas y los regímenes especiales o transitorios expedidos para atender tales situaciones?; </w:t>
      </w:r>
      <w:proofErr w:type="spellStart"/>
      <w:r w:rsidRPr="00913562">
        <w:rPr>
          <w:rFonts w:ascii="Verdana" w:eastAsia="Calibri" w:hAnsi="Verdana" w:cs="Times New Roman"/>
          <w:iCs/>
        </w:rPr>
        <w:t>ii</w:t>
      </w:r>
      <w:proofErr w:type="spellEnd"/>
      <w:r w:rsidRPr="00913562">
        <w:rPr>
          <w:rFonts w:ascii="Verdana" w:eastAsia="Calibri" w:hAnsi="Verdana" w:cs="Times New Roman"/>
          <w:iCs/>
        </w:rPr>
        <w:t>)</w:t>
      </w:r>
      <w:r w:rsidRPr="0087053C">
        <w:rPr>
          <w:rFonts w:ascii="Verdana" w:hAnsi="Verdana" w:cs="Segoe UI"/>
        </w:rPr>
        <w:t xml:space="preserve">; ¿Cuál es la relación entre la urgencia manifiesta y las restricciones previstas en la Ley 996 de 2005 y, en consecuencia, puede la declaratoria de urgencia manifiesta sustentar la celebración de contratos mediante contratación directa durante el período de restricción electoral y permitir la participación de entidades públicas como contratistas?; </w:t>
      </w:r>
      <w:proofErr w:type="spellStart"/>
      <w:r w:rsidRPr="0087053C">
        <w:rPr>
          <w:rFonts w:ascii="Verdana" w:hAnsi="Verdana" w:cs="Segoe UI"/>
        </w:rPr>
        <w:t>iii</w:t>
      </w:r>
      <w:proofErr w:type="spellEnd"/>
      <w:r w:rsidRPr="0087053C">
        <w:rPr>
          <w:rFonts w:ascii="Verdana" w:hAnsi="Verdana" w:cs="Segoe UI"/>
        </w:rPr>
        <w:t xml:space="preserve">) </w:t>
      </w:r>
      <w:r w:rsidRPr="0087053C">
        <w:rPr>
          <w:rFonts w:ascii="Verdana" w:eastAsia="Times New Roman" w:hAnsi="Verdana" w:cs="Segoe UI"/>
          <w:lang w:eastAsia="es-ES_tradnl"/>
        </w:rPr>
        <w:t xml:space="preserve">¿Qué criterios permiten distinguir los convenios interadministrativos de los contratos interadministrativos para efectos de la aplicación de la prohibición contenida en el parágrafo del artículo 38 de la Ley 996 de 2005 y cuáles son las consecuencias de dicha distinción frente a acuerdos celebrados con entidades descentralizadas, áreas metropolitanas, empresas de servicios públicos y universidades públicas?; </w:t>
      </w:r>
      <w:proofErr w:type="spellStart"/>
      <w:r w:rsidRPr="0087053C">
        <w:rPr>
          <w:rFonts w:ascii="Verdana" w:eastAsia="Times New Roman" w:hAnsi="Verdana" w:cs="Segoe UI"/>
          <w:lang w:eastAsia="es-ES_tradnl"/>
        </w:rPr>
        <w:t>iv</w:t>
      </w:r>
      <w:proofErr w:type="spellEnd"/>
      <w:r w:rsidRPr="0087053C">
        <w:rPr>
          <w:rFonts w:ascii="Verdana" w:eastAsia="Times New Roman" w:hAnsi="Verdana" w:cs="Segoe UI"/>
          <w:lang w:eastAsia="es-ES_tradnl"/>
        </w:rPr>
        <w:t>) ¿Cuál es el alcance temporal de la restricción prevista en el parágrafo del artículo 38 de la Ley 996 de 2005 y qué actuaciones pueden adelantarse respecto de convenios interadministrativos celebrados antes del inicio del período de restricción?</w:t>
      </w:r>
    </w:p>
    <w:p w14:paraId="58EB8D62" w14:textId="77777777" w:rsidR="002C7A87" w:rsidRPr="00913562" w:rsidRDefault="002C7A87" w:rsidP="002C7A87">
      <w:pPr>
        <w:spacing w:after="0" w:line="276" w:lineRule="auto"/>
        <w:jc w:val="both"/>
        <w:rPr>
          <w:rFonts w:ascii="Verdana" w:eastAsia="Calibri" w:hAnsi="Verdana" w:cs="Times New Roman"/>
          <w:i/>
          <w:iCs/>
        </w:rPr>
      </w:pPr>
    </w:p>
    <w:p w14:paraId="5F9BCE48" w14:textId="77777777" w:rsidR="002C7A87" w:rsidRPr="00913562" w:rsidRDefault="002C7A87" w:rsidP="002C7A87">
      <w:pPr>
        <w:numPr>
          <w:ilvl w:val="0"/>
          <w:numId w:val="3"/>
        </w:numPr>
        <w:spacing w:after="0" w:line="276" w:lineRule="auto"/>
        <w:contextualSpacing/>
        <w:jc w:val="both"/>
        <w:rPr>
          <w:rFonts w:ascii="Verdana" w:eastAsia="Calibri" w:hAnsi="Verdana" w:cs="Times New Roman"/>
          <w:b/>
          <w:bCs/>
        </w:rPr>
      </w:pPr>
      <w:r w:rsidRPr="00913562">
        <w:rPr>
          <w:rFonts w:ascii="Verdana" w:eastAsia="Calibri" w:hAnsi="Verdana" w:cs="Times New Roman"/>
          <w:b/>
          <w:bCs/>
        </w:rPr>
        <w:t>Respuesta:</w:t>
      </w:r>
    </w:p>
    <w:p w14:paraId="77457D4A" w14:textId="77777777" w:rsidR="002C7A87" w:rsidRPr="00913562" w:rsidRDefault="002C7A87" w:rsidP="002C7A87">
      <w:pPr>
        <w:spacing w:after="0" w:line="276" w:lineRule="auto"/>
        <w:jc w:val="both"/>
        <w:rPr>
          <w:rFonts w:ascii="Verdana" w:eastAsia="Calibri" w:hAnsi="Verdana" w:cs="Times New Roman"/>
          <w:b/>
          <w:bC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C7A87" w:rsidRPr="00380CA4" w14:paraId="3325DD84" w14:textId="77777777" w:rsidTr="00B13FF9">
        <w:trPr>
          <w:trHeight w:val="345"/>
          <w:jc w:val="center"/>
        </w:trPr>
        <w:tc>
          <w:tcPr>
            <w:tcW w:w="8784" w:type="dxa"/>
            <w:tcBorders>
              <w:bottom w:val="single" w:sz="4" w:space="0" w:color="auto"/>
            </w:tcBorders>
          </w:tcPr>
          <w:p w14:paraId="3FE4779E" w14:textId="77777777" w:rsidR="002C7A87" w:rsidRPr="00BE0582" w:rsidRDefault="002C7A87" w:rsidP="00B13FF9">
            <w:pPr>
              <w:tabs>
                <w:tab w:val="left" w:pos="426"/>
              </w:tabs>
              <w:spacing w:line="276" w:lineRule="auto"/>
              <w:jc w:val="both"/>
              <w:rPr>
                <w:rFonts w:ascii="Verdana" w:eastAsia="Calibri" w:hAnsi="Verdana" w:cs="Times New Roman"/>
              </w:rPr>
            </w:pPr>
            <w:r w:rsidRPr="00BE0582">
              <w:rPr>
                <w:rFonts w:ascii="Verdana" w:eastAsia="Calibri" w:hAnsi="Verdana" w:cs="Times New Roman"/>
              </w:rPr>
              <w:t>En torno a los problemas jurídicos objetos de consulta, se expresa:</w:t>
            </w:r>
          </w:p>
          <w:p w14:paraId="3ACDCC6E" w14:textId="77777777" w:rsidR="002C7A87" w:rsidRPr="00BE0582" w:rsidRDefault="002C7A87" w:rsidP="00B13FF9">
            <w:pPr>
              <w:tabs>
                <w:tab w:val="left" w:pos="426"/>
              </w:tabs>
              <w:spacing w:line="276" w:lineRule="auto"/>
              <w:ind w:firstLine="425"/>
              <w:jc w:val="both"/>
              <w:rPr>
                <w:rFonts w:ascii="Verdana" w:eastAsia="Calibri" w:hAnsi="Verdana" w:cs="Times New Roman"/>
              </w:rPr>
            </w:pPr>
          </w:p>
          <w:p w14:paraId="04285E3F" w14:textId="77777777" w:rsidR="002C7A87" w:rsidRPr="0087053C" w:rsidRDefault="002C7A87" w:rsidP="00B13FF9">
            <w:pPr>
              <w:pStyle w:val="NormalWeb"/>
              <w:spacing w:before="0" w:beforeAutospacing="0" w:after="120" w:afterAutospacing="0" w:line="276" w:lineRule="auto"/>
              <w:jc w:val="both"/>
              <w:rPr>
                <w:rFonts w:ascii="Verdana" w:hAnsi="Verdana" w:cs="Segoe UI"/>
                <w:sz w:val="22"/>
                <w:szCs w:val="22"/>
              </w:rPr>
            </w:pPr>
            <w:r w:rsidRPr="0087053C">
              <w:rPr>
                <w:rFonts w:ascii="Verdana" w:hAnsi="Verdana" w:cs="Arial"/>
                <w:bCs/>
                <w:sz w:val="22"/>
                <w:szCs w:val="22"/>
                <w:lang w:val="es-ES_tradnl"/>
              </w:rPr>
              <w:t xml:space="preserve">i) </w:t>
            </w:r>
            <w:r w:rsidRPr="0087053C">
              <w:rPr>
                <w:rFonts w:ascii="Verdana" w:hAnsi="Verdana" w:cs="Segoe UI"/>
                <w:sz w:val="22"/>
                <w:szCs w:val="22"/>
              </w:rPr>
              <w:t>La prohibición prevista en el parágrafo del artículo 38 de la Ley 996 de 2005 recae sobre la celebración de convenios interadministrativos para la ejecución de recursos públicos por parte de los sujetos expresamente señalados en dicha disposición durante los cuatro (4) meses anteriores a las elecciones. Dado su carácter restrictivo, esta norma debe interpretarse de manera estricta y no admite aplicación extensiva ni analógica de excepciones previstas en otras disposiciones de la Ley de Garantías Electorales.</w:t>
            </w:r>
          </w:p>
          <w:p w14:paraId="1BB458E7" w14:textId="77777777" w:rsidR="002C7A87" w:rsidRPr="0087053C" w:rsidRDefault="002C7A87" w:rsidP="00B13FF9">
            <w:pPr>
              <w:pStyle w:val="NormalWeb"/>
              <w:spacing w:before="0" w:beforeAutospacing="0" w:after="120" w:afterAutospacing="0" w:line="276" w:lineRule="auto"/>
              <w:ind w:firstLine="425"/>
              <w:jc w:val="both"/>
              <w:rPr>
                <w:rFonts w:ascii="Verdana" w:hAnsi="Verdana" w:cs="Segoe UI"/>
                <w:sz w:val="22"/>
                <w:szCs w:val="22"/>
              </w:rPr>
            </w:pPr>
            <w:r w:rsidRPr="0087053C">
              <w:rPr>
                <w:rFonts w:ascii="Verdana" w:hAnsi="Verdana" w:cs="Segoe UI"/>
                <w:sz w:val="22"/>
                <w:szCs w:val="22"/>
              </w:rPr>
              <w:t>En consecuencia, las excepciones contempladas en el artículo 33 de la Ley 996 de 2005 para la contratación directa en época de elecciones presidenciales, entre ellas las relacionadas con emergencias, desastres, fuerza mayor o urgencias sanitarias, no son extensibles a</w:t>
            </w:r>
            <w:r>
              <w:rPr>
                <w:rFonts w:ascii="Verdana" w:hAnsi="Verdana" w:cs="Segoe UI"/>
                <w:sz w:val="22"/>
                <w:szCs w:val="22"/>
              </w:rPr>
              <w:t xml:space="preserve"> </w:t>
            </w:r>
            <w:r w:rsidRPr="0087053C">
              <w:rPr>
                <w:rFonts w:ascii="Verdana" w:hAnsi="Verdana" w:cs="Segoe UI"/>
                <w:sz w:val="22"/>
                <w:szCs w:val="22"/>
              </w:rPr>
              <w:t>l</w:t>
            </w:r>
            <w:r>
              <w:rPr>
                <w:rFonts w:ascii="Verdana" w:hAnsi="Verdana" w:cs="Segoe UI"/>
                <w:sz w:val="22"/>
                <w:szCs w:val="22"/>
              </w:rPr>
              <w:t>a prohibición del</w:t>
            </w:r>
            <w:r w:rsidRPr="0087053C">
              <w:rPr>
                <w:rFonts w:ascii="Verdana" w:hAnsi="Verdana" w:cs="Segoe UI"/>
                <w:sz w:val="22"/>
                <w:szCs w:val="22"/>
              </w:rPr>
              <w:t xml:space="preserve"> parágrafo del artículo 38, pues este último no contiene excepción alguna respecto de la </w:t>
            </w:r>
            <w:r w:rsidRPr="0087053C">
              <w:rPr>
                <w:rFonts w:ascii="Verdana" w:hAnsi="Verdana" w:cs="Segoe UI"/>
                <w:sz w:val="22"/>
                <w:szCs w:val="22"/>
              </w:rPr>
              <w:lastRenderedPageBreak/>
              <w:t>celebración de convenios interadministrativos para la ejecución de recursos públicos.</w:t>
            </w:r>
          </w:p>
          <w:p w14:paraId="70C34A5D" w14:textId="77777777" w:rsidR="002C7A87" w:rsidRPr="0087053C" w:rsidRDefault="002C7A87" w:rsidP="00B13FF9">
            <w:pPr>
              <w:pStyle w:val="NormalWeb"/>
              <w:spacing w:before="0" w:beforeAutospacing="0" w:after="120" w:afterAutospacing="0" w:line="276" w:lineRule="auto"/>
              <w:ind w:firstLine="425"/>
              <w:jc w:val="both"/>
              <w:rPr>
                <w:rFonts w:ascii="Verdana" w:hAnsi="Verdana" w:cs="Segoe UI"/>
                <w:sz w:val="22"/>
                <w:szCs w:val="22"/>
              </w:rPr>
            </w:pPr>
            <w:r w:rsidRPr="0087053C">
              <w:rPr>
                <w:rFonts w:ascii="Verdana" w:hAnsi="Verdana" w:cs="Segoe UI"/>
                <w:sz w:val="22"/>
                <w:szCs w:val="22"/>
              </w:rPr>
              <w:t>Por esta razón, la sola existencia de una declaratoria de desastre o calamidad pública, nacional o territorial, ni la expedición de normas especiales dirigidas a atender una situación de desastre, constituyen por sí mismas una habilitación para celebrar convenios interadministrativos prohibidos por el parágrafo del artículo 38 de la Ley 996 de 2005</w:t>
            </w:r>
            <w:r>
              <w:rPr>
                <w:rFonts w:ascii="Verdana" w:hAnsi="Verdana" w:cs="Segoe UI"/>
                <w:sz w:val="22"/>
                <w:szCs w:val="22"/>
              </w:rPr>
              <w:t xml:space="preserve"> durante época preelectoral</w:t>
            </w:r>
            <w:r w:rsidRPr="0087053C">
              <w:rPr>
                <w:rFonts w:ascii="Verdana" w:hAnsi="Verdana" w:cs="Segoe UI"/>
                <w:sz w:val="22"/>
                <w:szCs w:val="22"/>
              </w:rPr>
              <w:t>.</w:t>
            </w:r>
          </w:p>
          <w:p w14:paraId="0F08D7AF" w14:textId="77777777" w:rsidR="002C7A87" w:rsidRPr="0087053C" w:rsidRDefault="002C7A87" w:rsidP="00B13FF9">
            <w:pPr>
              <w:pStyle w:val="NormalWeb"/>
              <w:spacing w:before="0" w:beforeAutospacing="0" w:after="0" w:afterAutospacing="0" w:line="276" w:lineRule="auto"/>
              <w:ind w:firstLine="425"/>
              <w:jc w:val="both"/>
              <w:rPr>
                <w:rFonts w:ascii="Verdana" w:hAnsi="Verdana" w:cs="Segoe UI"/>
                <w:sz w:val="22"/>
                <w:szCs w:val="22"/>
              </w:rPr>
            </w:pPr>
            <w:r w:rsidRPr="0087053C">
              <w:rPr>
                <w:rFonts w:ascii="Verdana" w:hAnsi="Verdana" w:cs="Segoe UI"/>
                <w:sz w:val="22"/>
                <w:szCs w:val="22"/>
              </w:rPr>
              <w:t>No obstante, los convenios interadministrativos celebrados y perfeccionados antes del inicio de la restricción pueden continuar su ejecución durante el periodo electoral. Asimismo, las actuaciones relacionadas con la ejecución contractual, tales como la suscripción de actas de inicio, modificaciones, prórrogas o adiciones, deberán analizarse conforme a la naturaleza jurídica de cada actuación y a las reglas generales desarrolladas por la doctrina y la jurisprudencia sobre la Ley de Garantías Electorales.</w:t>
            </w:r>
          </w:p>
          <w:p w14:paraId="61471ED4" w14:textId="77777777" w:rsidR="002C7A87" w:rsidRDefault="002C7A87" w:rsidP="00B13FF9">
            <w:pPr>
              <w:pStyle w:val="NormalWeb"/>
              <w:spacing w:before="0" w:beforeAutospacing="0" w:after="0" w:afterAutospacing="0" w:line="276" w:lineRule="auto"/>
              <w:jc w:val="both"/>
              <w:rPr>
                <w:rFonts w:ascii="Verdana" w:hAnsi="Verdana" w:cs="Arial"/>
                <w:bCs/>
                <w:sz w:val="22"/>
                <w:szCs w:val="22"/>
                <w:lang w:val="es-ES_tradnl"/>
              </w:rPr>
            </w:pPr>
          </w:p>
          <w:p w14:paraId="00768515" w14:textId="77777777" w:rsidR="002C7A87" w:rsidRPr="0087053C" w:rsidRDefault="002C7A87" w:rsidP="00B13FF9">
            <w:pPr>
              <w:pStyle w:val="NormalWeb"/>
              <w:spacing w:before="0" w:beforeAutospacing="0" w:after="120" w:afterAutospacing="0" w:line="276" w:lineRule="auto"/>
              <w:jc w:val="both"/>
              <w:rPr>
                <w:rFonts w:ascii="Verdana" w:hAnsi="Verdana" w:cs="Segoe UI"/>
                <w:sz w:val="22"/>
                <w:szCs w:val="22"/>
              </w:rPr>
            </w:pPr>
            <w:proofErr w:type="spellStart"/>
            <w:r w:rsidRPr="0087053C">
              <w:rPr>
                <w:rFonts w:ascii="Verdana" w:hAnsi="Verdana" w:cs="Arial"/>
                <w:bCs/>
                <w:sz w:val="22"/>
                <w:szCs w:val="22"/>
                <w:lang w:val="es-ES_tradnl"/>
              </w:rPr>
              <w:t>ii</w:t>
            </w:r>
            <w:proofErr w:type="spellEnd"/>
            <w:r w:rsidRPr="0087053C">
              <w:rPr>
                <w:rFonts w:ascii="Verdana" w:hAnsi="Verdana" w:cs="Arial"/>
                <w:bCs/>
                <w:sz w:val="22"/>
                <w:szCs w:val="22"/>
                <w:lang w:val="es-ES_tradnl"/>
              </w:rPr>
              <w:t xml:space="preserve">) </w:t>
            </w:r>
            <w:r w:rsidRPr="0087053C">
              <w:rPr>
                <w:rFonts w:ascii="Verdana" w:hAnsi="Verdana" w:cs="Segoe UI"/>
                <w:sz w:val="22"/>
                <w:szCs w:val="22"/>
              </w:rPr>
              <w:t>La Ley de Garantías Electorales distingue dos restricciones diferentes</w:t>
            </w:r>
            <w:r>
              <w:rPr>
                <w:rFonts w:ascii="Verdana" w:hAnsi="Verdana" w:cs="Segoe UI"/>
                <w:sz w:val="22"/>
                <w:szCs w:val="22"/>
              </w:rPr>
              <w:t xml:space="preserve">: a) </w:t>
            </w:r>
            <w:r w:rsidRPr="0087053C">
              <w:rPr>
                <w:rFonts w:ascii="Verdana" w:hAnsi="Verdana" w:cs="Segoe UI"/>
                <w:sz w:val="22"/>
                <w:szCs w:val="22"/>
              </w:rPr>
              <w:t>La contenida en el artículo 33, aplicable exclusivamente durante las elecciones presidenciales</w:t>
            </w:r>
            <w:r>
              <w:rPr>
                <w:rFonts w:ascii="Verdana" w:hAnsi="Verdana" w:cs="Segoe UI"/>
                <w:sz w:val="22"/>
                <w:szCs w:val="22"/>
              </w:rPr>
              <w:t xml:space="preserve"> y; b) </w:t>
            </w:r>
            <w:r w:rsidRPr="0087053C">
              <w:rPr>
                <w:rFonts w:ascii="Verdana" w:hAnsi="Verdana" w:cs="Segoe UI"/>
                <w:sz w:val="22"/>
                <w:szCs w:val="22"/>
              </w:rPr>
              <w:t>La contenida en el parágrafo del artículo 38, aplicable respecto de cualquier elección y dirigida específicamente a la celebración de convenios interadministrativos para la ejecución de recursos públicos.</w:t>
            </w:r>
          </w:p>
          <w:p w14:paraId="5DDC36D7" w14:textId="77777777" w:rsidR="002C7A87" w:rsidRPr="0087053C" w:rsidRDefault="002C7A87" w:rsidP="00B13FF9">
            <w:pPr>
              <w:pStyle w:val="NormalWeb"/>
              <w:spacing w:before="0" w:beforeAutospacing="0" w:after="120" w:afterAutospacing="0" w:line="276" w:lineRule="auto"/>
              <w:ind w:firstLine="425"/>
              <w:jc w:val="both"/>
              <w:rPr>
                <w:rFonts w:ascii="Verdana" w:hAnsi="Verdana" w:cs="Segoe UI"/>
                <w:sz w:val="22"/>
                <w:szCs w:val="22"/>
              </w:rPr>
            </w:pPr>
            <w:r w:rsidRPr="0087053C">
              <w:rPr>
                <w:rFonts w:ascii="Verdana" w:hAnsi="Verdana" w:cs="Segoe UI"/>
                <w:sz w:val="22"/>
                <w:szCs w:val="22"/>
              </w:rPr>
              <w:t>En relación con el artículo 33, la contratación directa derivada de una declaratoria de urgencia manifiesta constituye una de las hipótesis que puede encuadrarse dentro de las excepciones previstas para atender emergencias, calamidades o desastres. En consecuencia, la declaratoria de urgencia manifiesta permite adelantar contratación directa para atender de forma inmediata las situaciones que la justifican.</w:t>
            </w:r>
          </w:p>
          <w:p w14:paraId="6430C97F" w14:textId="77777777" w:rsidR="002C7A87" w:rsidRPr="0087053C" w:rsidRDefault="002C7A87" w:rsidP="00B13FF9">
            <w:pPr>
              <w:pStyle w:val="NormalWeb"/>
              <w:spacing w:before="0" w:beforeAutospacing="0" w:after="120" w:afterAutospacing="0" w:line="276" w:lineRule="auto"/>
              <w:ind w:firstLine="425"/>
              <w:jc w:val="both"/>
              <w:rPr>
                <w:rFonts w:ascii="Verdana" w:hAnsi="Verdana" w:cs="Segoe UI"/>
                <w:sz w:val="22"/>
                <w:szCs w:val="22"/>
              </w:rPr>
            </w:pPr>
            <w:r w:rsidRPr="0087053C">
              <w:rPr>
                <w:rFonts w:ascii="Verdana" w:hAnsi="Verdana" w:cs="Segoe UI"/>
                <w:sz w:val="22"/>
                <w:szCs w:val="22"/>
              </w:rPr>
              <w:t>Sin embargo, la urgencia manifiesta no constituye una excepción a la prohibición contenida en el parágrafo del artículo 38 de la Ley 996 de 2005. Por tanto, aun en presencia de una declaratoria de urgencia manifiesta o de disposiciones especiales expedidas para atender una situación de desastre, no resulta posible celebrar convenios interadministrativos para la ejecución de recursos públicos cuando se configure el supuesto prohibido por dicha disposición.</w:t>
            </w:r>
          </w:p>
          <w:p w14:paraId="3EAEE7F3" w14:textId="77777777" w:rsidR="002C7A87" w:rsidRPr="0087053C" w:rsidRDefault="002C7A87" w:rsidP="00B13FF9">
            <w:pPr>
              <w:pStyle w:val="NormalWeb"/>
              <w:spacing w:before="0" w:beforeAutospacing="0" w:after="0" w:afterAutospacing="0" w:line="276" w:lineRule="auto"/>
              <w:ind w:firstLine="425"/>
              <w:jc w:val="both"/>
              <w:rPr>
                <w:rFonts w:ascii="Verdana" w:hAnsi="Verdana" w:cs="Segoe UI"/>
                <w:sz w:val="22"/>
                <w:szCs w:val="22"/>
              </w:rPr>
            </w:pPr>
            <w:r w:rsidRPr="0087053C">
              <w:rPr>
                <w:rFonts w:ascii="Verdana" w:hAnsi="Verdana" w:cs="Segoe UI"/>
                <w:sz w:val="22"/>
                <w:szCs w:val="22"/>
              </w:rPr>
              <w:lastRenderedPageBreak/>
              <w:t>En consecuencia, la urgencia manifiesta habilita la contratación directa en los términos previstos por el artículo 42 de la Ley 80 de 1993 y las normas especiales aplicables, pero no elimina ni suspende la prohibición de celebrar convenios interadministrativos prevista en el parágrafo del artículo 38 de la Ley 996 de 2005.</w:t>
            </w:r>
          </w:p>
          <w:p w14:paraId="570534CF" w14:textId="77777777" w:rsidR="002C7A87" w:rsidRDefault="002C7A87" w:rsidP="00B13FF9">
            <w:pPr>
              <w:pStyle w:val="NormalWeb"/>
              <w:spacing w:before="0" w:beforeAutospacing="0" w:after="0" w:afterAutospacing="0" w:line="276" w:lineRule="auto"/>
              <w:jc w:val="both"/>
              <w:rPr>
                <w:rFonts w:ascii="Verdana" w:hAnsi="Verdana" w:cs="Arial"/>
                <w:bCs/>
                <w:sz w:val="22"/>
                <w:szCs w:val="22"/>
              </w:rPr>
            </w:pPr>
          </w:p>
          <w:p w14:paraId="7DC7D9BD" w14:textId="77777777" w:rsidR="002C7A87" w:rsidRPr="0087053C" w:rsidRDefault="002C7A87" w:rsidP="00B13FF9">
            <w:pPr>
              <w:pStyle w:val="NormalWeb"/>
              <w:spacing w:before="0" w:beforeAutospacing="0" w:after="120" w:afterAutospacing="0" w:line="276" w:lineRule="auto"/>
              <w:jc w:val="both"/>
              <w:rPr>
                <w:rFonts w:ascii="Verdana" w:hAnsi="Verdana" w:cs="Segoe UI"/>
                <w:sz w:val="22"/>
                <w:szCs w:val="22"/>
              </w:rPr>
            </w:pPr>
            <w:proofErr w:type="spellStart"/>
            <w:r w:rsidRPr="0087053C">
              <w:rPr>
                <w:rFonts w:ascii="Verdana" w:hAnsi="Verdana" w:cs="Arial"/>
                <w:bCs/>
                <w:sz w:val="22"/>
                <w:szCs w:val="22"/>
              </w:rPr>
              <w:t>iii</w:t>
            </w:r>
            <w:proofErr w:type="spellEnd"/>
            <w:r w:rsidRPr="0087053C">
              <w:rPr>
                <w:rFonts w:ascii="Verdana" w:hAnsi="Verdana" w:cs="Arial"/>
                <w:bCs/>
                <w:sz w:val="22"/>
                <w:szCs w:val="22"/>
              </w:rPr>
              <w:t xml:space="preserve">) </w:t>
            </w:r>
            <w:r w:rsidRPr="0087053C">
              <w:rPr>
                <w:rFonts w:ascii="Verdana" w:hAnsi="Verdana" w:cs="Segoe UI"/>
                <w:sz w:val="22"/>
                <w:szCs w:val="22"/>
              </w:rPr>
              <w:t>La jurisprudencia reciente del Consejo de Estado y la doctrina de la Agencia han señalado que contratos y convenios interadministrativos corresponden a figuras jurídicas distintas y no pueden ser equiparados para efectos de aplicar las restricciones de la Ley de Garantías Electorales.</w:t>
            </w:r>
          </w:p>
          <w:p w14:paraId="76F9211E" w14:textId="77777777" w:rsidR="002C7A87" w:rsidRPr="0087053C" w:rsidRDefault="002C7A87" w:rsidP="00B13FF9">
            <w:pPr>
              <w:pStyle w:val="NormalWeb"/>
              <w:spacing w:before="0" w:beforeAutospacing="0" w:after="120" w:afterAutospacing="0" w:line="276" w:lineRule="auto"/>
              <w:ind w:firstLine="425"/>
              <w:jc w:val="both"/>
              <w:rPr>
                <w:rFonts w:ascii="Verdana" w:hAnsi="Verdana" w:cs="Segoe UI"/>
                <w:sz w:val="22"/>
                <w:szCs w:val="22"/>
              </w:rPr>
            </w:pPr>
            <w:r w:rsidRPr="0087053C">
              <w:rPr>
                <w:rFonts w:ascii="Verdana" w:hAnsi="Verdana" w:cs="Segoe UI"/>
                <w:sz w:val="22"/>
                <w:szCs w:val="22"/>
              </w:rPr>
              <w:t>Los convenios interadministrativos se caracterizan porque las entidades participantes concurren en condiciones de colaboración o cooperación para alcanzar un fin público común. Sus intereses son convergentes y, en principio, no existe una lógica de intercambio patrimonial ni una relación contratante-contratista.</w:t>
            </w:r>
          </w:p>
          <w:p w14:paraId="4E7866AC" w14:textId="77777777" w:rsidR="002C7A87" w:rsidRPr="0087053C" w:rsidRDefault="002C7A87" w:rsidP="00B13FF9">
            <w:pPr>
              <w:pStyle w:val="NormalWeb"/>
              <w:spacing w:before="0" w:beforeAutospacing="0" w:after="120" w:afterAutospacing="0" w:line="276" w:lineRule="auto"/>
              <w:ind w:firstLine="425"/>
              <w:jc w:val="both"/>
              <w:rPr>
                <w:rFonts w:ascii="Verdana" w:hAnsi="Verdana" w:cs="Segoe UI"/>
                <w:sz w:val="22"/>
                <w:szCs w:val="22"/>
              </w:rPr>
            </w:pPr>
            <w:r w:rsidRPr="0087053C">
              <w:rPr>
                <w:rFonts w:ascii="Verdana" w:hAnsi="Verdana" w:cs="Segoe UI"/>
                <w:sz w:val="22"/>
                <w:szCs w:val="22"/>
              </w:rPr>
              <w:t>Por el contrario, los contratos interadministrativos tienen por objeto el suministro de bienes, la prestación de servicios o la ejecución de actividades específicas mediante prestaciones recíprocas, de manera que una entidad actúa como contratante y la otra como contratista.</w:t>
            </w:r>
          </w:p>
          <w:p w14:paraId="7C07A82D" w14:textId="77777777" w:rsidR="002C7A87" w:rsidRPr="0087053C" w:rsidRDefault="002C7A87" w:rsidP="00B13FF9">
            <w:pPr>
              <w:pStyle w:val="NormalWeb"/>
              <w:spacing w:before="0" w:beforeAutospacing="0" w:after="120" w:afterAutospacing="0" w:line="276" w:lineRule="auto"/>
              <w:ind w:firstLine="425"/>
              <w:jc w:val="both"/>
              <w:rPr>
                <w:rFonts w:ascii="Verdana" w:hAnsi="Verdana" w:cs="Segoe UI"/>
                <w:sz w:val="22"/>
                <w:szCs w:val="22"/>
              </w:rPr>
            </w:pPr>
            <w:r w:rsidRPr="0087053C">
              <w:rPr>
                <w:rFonts w:ascii="Verdana" w:hAnsi="Verdana" w:cs="Segoe UI"/>
                <w:sz w:val="22"/>
                <w:szCs w:val="22"/>
              </w:rPr>
              <w:t>Por ello, de acuerdo con la jurisprudencia del Consejo de Estado, la prohibición del parágrafo del artículo 38 de la Ley 996 de 2005 recae exclusivamente sobre los convenios interadministrativos para la ejecución de recursos públicos y no puede extenderse por analogía ni por interpretación extensiva a los contratos interadministrativos.</w:t>
            </w:r>
          </w:p>
          <w:p w14:paraId="4CCBC26E" w14:textId="77777777" w:rsidR="002C7A87" w:rsidRDefault="002C7A87" w:rsidP="00B13FF9">
            <w:pPr>
              <w:pStyle w:val="NormalWeb"/>
              <w:spacing w:before="0" w:beforeAutospacing="0" w:after="0" w:afterAutospacing="0" w:line="276" w:lineRule="auto"/>
              <w:ind w:firstLine="425"/>
              <w:jc w:val="both"/>
              <w:rPr>
                <w:rFonts w:ascii="Verdana" w:hAnsi="Verdana" w:cs="Segoe UI"/>
                <w:sz w:val="22"/>
                <w:szCs w:val="22"/>
              </w:rPr>
            </w:pPr>
            <w:r w:rsidRPr="0087053C">
              <w:rPr>
                <w:rFonts w:ascii="Verdana" w:hAnsi="Verdana" w:cs="Segoe UI"/>
                <w:sz w:val="22"/>
                <w:szCs w:val="22"/>
              </w:rPr>
              <w:t>La determinación de si un negocio jurídico constituye un convenio o un contrato interadministrativo depende de su contenido material, de su finalidad y de las obligaciones efectivamente asumidas por las partes, y no únicamente de la denominación que se utilice en el documento correspondiente.</w:t>
            </w:r>
          </w:p>
          <w:p w14:paraId="3FEEC802" w14:textId="77777777" w:rsidR="002C7A87" w:rsidRPr="0087053C" w:rsidRDefault="002C7A87" w:rsidP="00B13FF9">
            <w:pPr>
              <w:pStyle w:val="NormalWeb"/>
              <w:spacing w:before="0" w:beforeAutospacing="0" w:after="0" w:afterAutospacing="0" w:line="276" w:lineRule="auto"/>
              <w:ind w:firstLine="425"/>
              <w:jc w:val="both"/>
              <w:rPr>
                <w:rFonts w:ascii="Verdana" w:hAnsi="Verdana" w:cs="Segoe UI"/>
                <w:sz w:val="22"/>
                <w:szCs w:val="22"/>
              </w:rPr>
            </w:pPr>
          </w:p>
          <w:p w14:paraId="467BCA98" w14:textId="77777777" w:rsidR="002C7A87" w:rsidRPr="0087053C" w:rsidRDefault="002C7A87" w:rsidP="00B13FF9">
            <w:pPr>
              <w:pStyle w:val="NormalWeb"/>
              <w:spacing w:before="0" w:beforeAutospacing="0" w:after="120" w:afterAutospacing="0" w:line="276" w:lineRule="auto"/>
              <w:jc w:val="both"/>
              <w:rPr>
                <w:rFonts w:ascii="Verdana" w:hAnsi="Verdana" w:cs="Segoe UI"/>
                <w:sz w:val="22"/>
                <w:szCs w:val="22"/>
              </w:rPr>
            </w:pPr>
            <w:proofErr w:type="spellStart"/>
            <w:r w:rsidRPr="0087053C">
              <w:rPr>
                <w:rFonts w:ascii="Verdana" w:hAnsi="Verdana" w:cs="Arial"/>
                <w:bCs/>
                <w:sz w:val="22"/>
                <w:szCs w:val="22"/>
                <w:lang w:val="es-ES_tradnl"/>
              </w:rPr>
              <w:t>iv</w:t>
            </w:r>
            <w:proofErr w:type="spellEnd"/>
            <w:r w:rsidRPr="0087053C">
              <w:rPr>
                <w:rFonts w:ascii="Verdana" w:hAnsi="Verdana" w:cs="Arial"/>
                <w:bCs/>
                <w:sz w:val="22"/>
                <w:szCs w:val="22"/>
                <w:lang w:val="es-ES_tradnl"/>
              </w:rPr>
              <w:t xml:space="preserve">) </w:t>
            </w:r>
            <w:r w:rsidRPr="0087053C">
              <w:rPr>
                <w:rFonts w:ascii="Verdana" w:hAnsi="Verdana" w:cs="Segoe UI"/>
                <w:sz w:val="22"/>
                <w:szCs w:val="22"/>
              </w:rPr>
              <w:t>Las restricciones previstas en los artículos 33 y 38 de la Ley 996 de 2005 tienen ámbitos temporales diferentes.</w:t>
            </w:r>
            <w:r>
              <w:rPr>
                <w:rFonts w:ascii="Verdana" w:hAnsi="Verdana" w:cs="Segoe UI"/>
                <w:sz w:val="22"/>
                <w:szCs w:val="22"/>
              </w:rPr>
              <w:t xml:space="preserve"> </w:t>
            </w:r>
            <w:r w:rsidRPr="0087053C">
              <w:rPr>
                <w:rFonts w:ascii="Verdana" w:hAnsi="Verdana" w:cs="Segoe UI"/>
                <w:sz w:val="22"/>
                <w:szCs w:val="22"/>
              </w:rPr>
              <w:t>El artículo 33 aplica únicamente a las elecciones presidenciales y se extiende desde los cuatro (4) meses anteriores a la elección hasta la eventual realización de la segunda vuelta presidencial.</w:t>
            </w:r>
            <w:r>
              <w:rPr>
                <w:rFonts w:ascii="Verdana" w:hAnsi="Verdana" w:cs="Segoe UI"/>
                <w:sz w:val="22"/>
                <w:szCs w:val="22"/>
              </w:rPr>
              <w:t xml:space="preserve"> </w:t>
            </w:r>
            <w:r w:rsidRPr="0087053C">
              <w:rPr>
                <w:rFonts w:ascii="Verdana" w:hAnsi="Verdana" w:cs="Segoe UI"/>
                <w:sz w:val="22"/>
                <w:szCs w:val="22"/>
              </w:rPr>
              <w:t xml:space="preserve">Por su parte, el parágrafo del artículo 38 aplica respecto de cualquier elección </w:t>
            </w:r>
            <w:r w:rsidRPr="0087053C">
              <w:rPr>
                <w:rFonts w:ascii="Verdana" w:hAnsi="Verdana" w:cs="Segoe UI"/>
                <w:sz w:val="22"/>
                <w:szCs w:val="22"/>
              </w:rPr>
              <w:lastRenderedPageBreak/>
              <w:t>popular y opera durante los cuatro (4) meses anteriores a la respectiva jornada electoral.</w:t>
            </w:r>
          </w:p>
          <w:p w14:paraId="16180934" w14:textId="77777777" w:rsidR="002C7A87" w:rsidRPr="001D3F22" w:rsidRDefault="002C7A87" w:rsidP="00B13FF9">
            <w:pPr>
              <w:pStyle w:val="NormalWeb"/>
              <w:spacing w:before="0" w:beforeAutospacing="0" w:after="120" w:afterAutospacing="0" w:line="276" w:lineRule="auto"/>
              <w:ind w:firstLine="709"/>
              <w:jc w:val="both"/>
              <w:rPr>
                <w:rFonts w:ascii="Verdana" w:eastAsia="Calibri" w:hAnsi="Verdana" w:cs="Arial"/>
                <w:lang w:val="es-ES"/>
              </w:rPr>
            </w:pPr>
            <w:r w:rsidRPr="0087053C">
              <w:rPr>
                <w:rFonts w:ascii="Verdana" w:hAnsi="Verdana" w:cs="Segoe UI"/>
                <w:sz w:val="22"/>
                <w:szCs w:val="22"/>
              </w:rPr>
              <w:t>Para efectos de esta prohibición, la expresión "celebrar" se refiere al perfeccionamiento del negocio jurídico, esto es, a la existencia del acuerdo de voluntades elevado a escrito en los términos de los artículos 39 y 41 de la Ley 80 de 1993.</w:t>
            </w:r>
            <w:r>
              <w:rPr>
                <w:rFonts w:ascii="Verdana" w:hAnsi="Verdana" w:cs="Segoe UI"/>
                <w:sz w:val="22"/>
                <w:szCs w:val="22"/>
              </w:rPr>
              <w:t xml:space="preserve"> </w:t>
            </w:r>
            <w:r w:rsidRPr="0087053C">
              <w:rPr>
                <w:rFonts w:ascii="Verdana" w:hAnsi="Verdana" w:cs="Segoe UI"/>
                <w:sz w:val="22"/>
                <w:szCs w:val="22"/>
              </w:rPr>
              <w:t xml:space="preserve">Por consiguiente, los convenios interadministrativos que se encuentren perfeccionados antes del inicio de la restricción no se ven afectados por la </w:t>
            </w:r>
            <w:proofErr w:type="gramStart"/>
            <w:r w:rsidRPr="0087053C">
              <w:rPr>
                <w:rFonts w:ascii="Verdana" w:hAnsi="Verdana" w:cs="Segoe UI"/>
                <w:sz w:val="22"/>
                <w:szCs w:val="22"/>
              </w:rPr>
              <w:t>entrada en vigencia</w:t>
            </w:r>
            <w:proofErr w:type="gramEnd"/>
            <w:r w:rsidRPr="0087053C">
              <w:rPr>
                <w:rFonts w:ascii="Verdana" w:hAnsi="Verdana" w:cs="Segoe UI"/>
                <w:sz w:val="22"/>
                <w:szCs w:val="22"/>
              </w:rPr>
              <w:t xml:space="preserve"> de esta. En tal medida, pueden continuar su ejecución durante el periodo electoral, sin perjuicio de que las actuaciones posteriores deban ajustarse a los principios de planeación, transparencia, responsabilidad y demás normas aplicables a la contratación estatal.</w:t>
            </w:r>
          </w:p>
        </w:tc>
      </w:tr>
    </w:tbl>
    <w:p w14:paraId="4EAFF1AF" w14:textId="77777777" w:rsidR="002C7A87" w:rsidRPr="00380CA4" w:rsidRDefault="002C7A87" w:rsidP="002C7A87">
      <w:pPr>
        <w:spacing w:after="0" w:line="276" w:lineRule="auto"/>
        <w:jc w:val="both"/>
        <w:rPr>
          <w:rFonts w:ascii="Verdana" w:eastAsia="Calibri" w:hAnsi="Verdana" w:cs="Arial"/>
          <w:bCs/>
          <w:color w:val="000000" w:themeColor="text1"/>
        </w:rPr>
      </w:pPr>
    </w:p>
    <w:p w14:paraId="4ED7B385" w14:textId="77777777" w:rsidR="002C7A87" w:rsidRPr="00380CA4" w:rsidRDefault="002C7A87" w:rsidP="002C7A87">
      <w:pPr>
        <w:numPr>
          <w:ilvl w:val="0"/>
          <w:numId w:val="3"/>
        </w:numPr>
        <w:tabs>
          <w:tab w:val="left" w:pos="2268"/>
        </w:tabs>
        <w:spacing w:after="0" w:line="276" w:lineRule="auto"/>
        <w:rPr>
          <w:rFonts w:ascii="Verdana" w:eastAsia="Calibri" w:hAnsi="Verdana" w:cs="Times New Roman"/>
          <w:b/>
          <w:bCs/>
        </w:rPr>
      </w:pPr>
      <w:r w:rsidRPr="00380CA4">
        <w:rPr>
          <w:rFonts w:ascii="Verdana" w:eastAsia="Calibri" w:hAnsi="Verdana" w:cs="Times New Roman"/>
          <w:b/>
          <w:bCs/>
        </w:rPr>
        <w:t>Razones de la respuesta:</w:t>
      </w:r>
    </w:p>
    <w:p w14:paraId="440ED334" w14:textId="77777777" w:rsidR="002C7A87" w:rsidRPr="00380CA4" w:rsidRDefault="002C7A87" w:rsidP="002C7A87">
      <w:pPr>
        <w:spacing w:after="0" w:line="276" w:lineRule="auto"/>
        <w:rPr>
          <w:rFonts w:ascii="Verdana" w:eastAsia="Calibri" w:hAnsi="Verdana" w:cs="Times New Roman"/>
          <w:b/>
          <w:bCs/>
        </w:rPr>
      </w:pPr>
    </w:p>
    <w:p w14:paraId="07C93C39" w14:textId="77777777" w:rsidR="002C7A87" w:rsidRPr="00380CA4" w:rsidRDefault="002C7A87" w:rsidP="002C7A87">
      <w:pPr>
        <w:spacing w:after="0" w:line="276" w:lineRule="auto"/>
        <w:jc w:val="both"/>
        <w:rPr>
          <w:rFonts w:ascii="Verdana" w:eastAsia="Calibri" w:hAnsi="Verdana" w:cs="Arial"/>
        </w:rPr>
      </w:pPr>
      <w:r w:rsidRPr="00380CA4">
        <w:rPr>
          <w:rFonts w:ascii="Verdana" w:eastAsia="Calibri" w:hAnsi="Verdana" w:cs="Arial"/>
        </w:rPr>
        <w:t xml:space="preserve">Lo anterior se sustenta en las siguientes consideraciones: </w:t>
      </w:r>
    </w:p>
    <w:p w14:paraId="4E181160" w14:textId="77777777" w:rsidR="002C7A87" w:rsidRPr="00380CA4" w:rsidRDefault="002C7A87" w:rsidP="002C7A87">
      <w:pPr>
        <w:spacing w:after="0" w:line="276" w:lineRule="auto"/>
        <w:jc w:val="both"/>
        <w:rPr>
          <w:rFonts w:ascii="Verdana" w:eastAsia="Calibri" w:hAnsi="Verdana" w:cs="Arial"/>
          <w:color w:val="000000" w:themeColor="text1"/>
        </w:rPr>
      </w:pPr>
    </w:p>
    <w:p w14:paraId="0C5F7256" w14:textId="77777777" w:rsidR="002C7A87" w:rsidRPr="00380CA4" w:rsidRDefault="002C7A87" w:rsidP="002C7A87">
      <w:pPr>
        <w:tabs>
          <w:tab w:val="left" w:pos="426"/>
        </w:tabs>
        <w:spacing w:after="120" w:line="276" w:lineRule="auto"/>
        <w:jc w:val="both"/>
        <w:rPr>
          <w:rFonts w:ascii="Verdana" w:eastAsia="Times New Roman" w:hAnsi="Verdana" w:cs="Arial"/>
          <w:lang w:eastAsia="es-CO"/>
        </w:rPr>
      </w:pPr>
      <w:r>
        <w:rPr>
          <w:rFonts w:ascii="Verdana" w:eastAsia="Calibri" w:hAnsi="Verdana" w:cs="Arial"/>
        </w:rPr>
        <w:t xml:space="preserve">i) </w:t>
      </w:r>
      <w:r w:rsidRPr="00380CA4">
        <w:rPr>
          <w:rFonts w:ascii="Verdana" w:eastAsia="Calibri" w:hAnsi="Verdana" w:cs="Arial"/>
        </w:rPr>
        <w:t>El ordenamiento jurídico colombiano contempla previsiones claras para evitar la obtención de beneficios personales en asuntos propios de la administración pública</w:t>
      </w:r>
      <w:r w:rsidRPr="00380CA4">
        <w:rPr>
          <w:rFonts w:ascii="Verdana" w:eastAsia="Calibri" w:hAnsi="Verdana" w:cs="Arial"/>
          <w:i/>
        </w:rPr>
        <w:t xml:space="preserve">. </w:t>
      </w:r>
      <w:r w:rsidRPr="00380CA4">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380CA4">
        <w:rPr>
          <w:rFonts w:ascii="Verdana" w:hAnsi="Verdana"/>
          <w:vertAlign w:val="superscript"/>
        </w:rPr>
        <w:footnoteReference w:id="1"/>
      </w:r>
      <w:r w:rsidRPr="00380CA4">
        <w:rPr>
          <w:rFonts w:ascii="Verdana" w:eastAsia="Calibri" w:hAnsi="Verdana" w:cs="Arial"/>
        </w:rPr>
        <w:t xml:space="preserve">. </w:t>
      </w:r>
    </w:p>
    <w:p w14:paraId="44B1F448" w14:textId="77777777" w:rsidR="002C7A87" w:rsidRDefault="002C7A87" w:rsidP="002C7A87">
      <w:pPr>
        <w:tabs>
          <w:tab w:val="left" w:pos="426"/>
        </w:tabs>
        <w:spacing w:after="120" w:line="276" w:lineRule="auto"/>
        <w:ind w:firstLine="709"/>
        <w:jc w:val="both"/>
        <w:rPr>
          <w:rFonts w:ascii="Verdana" w:eastAsia="Calibri" w:hAnsi="Verdana" w:cs="Arial"/>
        </w:rPr>
      </w:pPr>
      <w:r w:rsidRPr="00380CA4">
        <w:rPr>
          <w:rFonts w:ascii="Verdana" w:eastAsia="Times New Roman" w:hAnsi="Verdana" w:cs="Arial"/>
          <w:lang w:eastAsia="es-CO"/>
        </w:rPr>
        <w:t xml:space="preserve">En el mismo sentido, </w:t>
      </w:r>
      <w:bookmarkStart w:id="1" w:name="_Hlk99576829"/>
      <w:r w:rsidRPr="00380CA4">
        <w:rPr>
          <w:rFonts w:ascii="Verdana" w:eastAsia="Times New Roman" w:hAnsi="Verdana" w:cs="Arial"/>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80CA4">
        <w:rPr>
          <w:rFonts w:ascii="Verdana" w:eastAsia="Times New Roman" w:hAnsi="Verdana" w:cs="Arial"/>
          <w:vertAlign w:val="superscript"/>
          <w:lang w:eastAsia="es-CO"/>
        </w:rPr>
        <w:footnoteReference w:id="2"/>
      </w:r>
      <w:r w:rsidRPr="00380CA4">
        <w:rPr>
          <w:rFonts w:ascii="Verdana" w:eastAsia="Times New Roman" w:hAnsi="Verdana" w:cs="Arial"/>
          <w:lang w:eastAsia="es-CO"/>
        </w:rPr>
        <w:t xml:space="preserve">. En </w:t>
      </w:r>
      <w:r w:rsidRPr="00380CA4">
        <w:rPr>
          <w:rFonts w:ascii="Verdana" w:eastAsia="Times New Roman" w:hAnsi="Verdana" w:cs="Arial"/>
          <w:lang w:eastAsia="es-CO"/>
        </w:rPr>
        <w:lastRenderedPageBreak/>
        <w:t>esta medida, introduce limitaciones para realizar nombramientos, postulaciones, contrataciones o cualquier otro tipo de actividad que implique destinación de recursos públicos bajo el devenir propio de las Entidades Estatales.</w:t>
      </w:r>
      <w:r w:rsidRPr="00380CA4">
        <w:rPr>
          <w:rFonts w:ascii="Verdana" w:eastAsia="Calibri" w:hAnsi="Verdana" w:cs="Arial"/>
        </w:rPr>
        <w:t xml:space="preserve"> </w:t>
      </w:r>
      <w:bookmarkEnd w:id="1"/>
    </w:p>
    <w:p w14:paraId="79F539FB" w14:textId="77777777" w:rsidR="002C7A87" w:rsidRPr="00380CA4" w:rsidRDefault="002C7A87" w:rsidP="002C7A87">
      <w:pPr>
        <w:tabs>
          <w:tab w:val="left" w:pos="426"/>
        </w:tabs>
        <w:spacing w:after="0" w:line="276" w:lineRule="auto"/>
        <w:ind w:firstLine="709"/>
        <w:jc w:val="both"/>
        <w:rPr>
          <w:rFonts w:ascii="Verdana" w:eastAsia="Calibri" w:hAnsi="Verdana" w:cs="Arial"/>
        </w:rPr>
      </w:pPr>
      <w:r w:rsidRPr="00380CA4">
        <w:rPr>
          <w:rFonts w:ascii="Verdana" w:eastAsia="Times New Roman" w:hAnsi="Verdana" w:cs="Arial"/>
          <w:lang w:eastAsia="es-CO"/>
        </w:rPr>
        <w:t>En armonía con lo anterior, la Corte Constitucional ha abordado la definición de la Ley de Garantías Electorales. De esta manera, explica que tiene como propósito:</w:t>
      </w:r>
    </w:p>
    <w:p w14:paraId="4FBE4B7E" w14:textId="77777777" w:rsidR="002C7A87" w:rsidRPr="00380CA4" w:rsidRDefault="002C7A87" w:rsidP="002C7A87">
      <w:pPr>
        <w:spacing w:after="0" w:line="276" w:lineRule="auto"/>
        <w:ind w:right="709"/>
        <w:contextualSpacing/>
        <w:jc w:val="both"/>
        <w:rPr>
          <w:rFonts w:ascii="Verdana" w:eastAsia="Times New Roman" w:hAnsi="Verdana" w:cs="Arial"/>
          <w:lang w:eastAsia="es-CO"/>
        </w:rPr>
      </w:pPr>
    </w:p>
    <w:p w14:paraId="5262FD9C" w14:textId="77777777" w:rsidR="002C7A87" w:rsidRPr="00380CA4" w:rsidRDefault="002C7A87" w:rsidP="002C7A87">
      <w:pPr>
        <w:spacing w:after="0" w:line="240" w:lineRule="auto"/>
        <w:ind w:left="709" w:right="709"/>
        <w:contextualSpacing/>
        <w:jc w:val="both"/>
        <w:rPr>
          <w:rFonts w:ascii="Verdana" w:eastAsia="Times New Roman" w:hAnsi="Verdana" w:cs="Arial"/>
          <w:sz w:val="20"/>
          <w:szCs w:val="20"/>
          <w:lang w:eastAsia="es-CO"/>
        </w:rPr>
      </w:pPr>
      <w:r w:rsidRPr="00380CA4">
        <w:rPr>
          <w:rFonts w:ascii="Verdana" w:eastAsia="Times New Roman" w:hAnsi="Verdana" w:cs="Arial"/>
          <w:sz w:val="20"/>
          <w:szCs w:val="20"/>
          <w:lang w:eastAsia="es-CO"/>
        </w:rPr>
        <w:t>“[…] la definición de reglas claras que permitan acceder a los canales de expresión democrática de manera efectiva e igualitaria. El objetivo de una ley de garantías es definir esas reglas.</w:t>
      </w:r>
    </w:p>
    <w:p w14:paraId="3AA82589" w14:textId="77777777" w:rsidR="002C7A87" w:rsidRPr="00380CA4" w:rsidRDefault="002C7A87" w:rsidP="002C7A87">
      <w:pPr>
        <w:spacing w:after="0" w:line="240" w:lineRule="auto"/>
        <w:ind w:left="709" w:right="709"/>
        <w:contextualSpacing/>
        <w:jc w:val="both"/>
        <w:rPr>
          <w:rFonts w:ascii="Verdana" w:eastAsia="Times New Roman" w:hAnsi="Verdana" w:cs="Arial"/>
          <w:sz w:val="20"/>
          <w:szCs w:val="20"/>
          <w:lang w:eastAsia="es-CO"/>
        </w:rPr>
      </w:pPr>
      <w:r w:rsidRPr="00380CA4">
        <w:rPr>
          <w:rFonts w:ascii="Verdana" w:eastAsia="Times New Roman" w:hAnsi="Verdana" w:cs="Arial"/>
          <w:sz w:val="20"/>
          <w:szCs w:val="20"/>
          <w:lang w:eastAsia="es-CO"/>
        </w:rPr>
        <w:t xml:space="preserve">[…] </w:t>
      </w:r>
    </w:p>
    <w:p w14:paraId="5FB4C6C5" w14:textId="77777777" w:rsidR="002C7A87" w:rsidRPr="00380CA4" w:rsidRDefault="002C7A87" w:rsidP="002C7A87">
      <w:pPr>
        <w:spacing w:after="0" w:line="240" w:lineRule="auto"/>
        <w:ind w:left="709" w:right="709"/>
        <w:contextualSpacing/>
        <w:jc w:val="both"/>
        <w:rPr>
          <w:rFonts w:ascii="Verdana" w:eastAsia="Times New Roman" w:hAnsi="Verdana" w:cs="Arial"/>
          <w:sz w:val="20"/>
          <w:szCs w:val="20"/>
          <w:lang w:eastAsia="es-CO"/>
        </w:rPr>
      </w:pPr>
      <w:r w:rsidRPr="00380CA4">
        <w:rPr>
          <w:rFonts w:ascii="Verdana" w:eastAsia="Times New Roman" w:hAnsi="Verdana" w:cs="Arial"/>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80CA4">
        <w:rPr>
          <w:rFonts w:ascii="Verdana" w:eastAsia="Calibri" w:hAnsi="Verdana" w:cs="Arial"/>
          <w:sz w:val="20"/>
          <w:szCs w:val="20"/>
          <w:vertAlign w:val="superscript"/>
        </w:rPr>
        <w:footnoteReference w:id="3"/>
      </w:r>
    </w:p>
    <w:p w14:paraId="353A50C7" w14:textId="77777777" w:rsidR="002C7A87" w:rsidRPr="00380CA4" w:rsidRDefault="002C7A87" w:rsidP="002C7A87">
      <w:pPr>
        <w:spacing w:after="0" w:line="276" w:lineRule="auto"/>
        <w:ind w:firstLine="709"/>
        <w:jc w:val="both"/>
        <w:rPr>
          <w:rFonts w:ascii="Verdana" w:eastAsia="Times New Roman" w:hAnsi="Verdana" w:cs="Arial"/>
          <w:lang w:eastAsia="es-CO"/>
        </w:rPr>
      </w:pPr>
      <w:bookmarkStart w:id="2" w:name="_Hlk78818186"/>
    </w:p>
    <w:p w14:paraId="1939BAA3" w14:textId="77777777" w:rsidR="002C7A87" w:rsidRDefault="002C7A87" w:rsidP="002C7A87">
      <w:pPr>
        <w:spacing w:after="120" w:line="276" w:lineRule="auto"/>
        <w:ind w:firstLine="709"/>
        <w:jc w:val="both"/>
        <w:rPr>
          <w:rFonts w:ascii="Verdana" w:eastAsia="Times New Roman" w:hAnsi="Verdana" w:cs="Arial"/>
          <w:lang w:eastAsia="es-CO"/>
        </w:rPr>
      </w:pPr>
      <w:r w:rsidRPr="00380CA4">
        <w:rPr>
          <w:rFonts w:ascii="Verdana" w:eastAsia="Times New Roman" w:hAnsi="Verdana" w:cs="Arial"/>
          <w:lang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2"/>
      <w:r w:rsidRPr="00380CA4">
        <w:rPr>
          <w:rFonts w:ascii="Verdana" w:eastAsia="Times New Roman" w:hAnsi="Verdana" w:cs="Arial"/>
          <w:lang w:eastAsia="es-CO"/>
        </w:rPr>
        <w:t xml:space="preserve">Por ello, varias de las disposiciones de la Ley 996 de 2005, al contener normas prohibitivas, no admiten una interpretación amplia, sino que deben interpretarse restrictivamente. </w:t>
      </w:r>
    </w:p>
    <w:p w14:paraId="56B9B89C" w14:textId="77777777" w:rsidR="002C7A87" w:rsidRPr="00380CA4" w:rsidRDefault="002C7A87" w:rsidP="002C7A87">
      <w:pPr>
        <w:spacing w:after="0" w:line="276" w:lineRule="auto"/>
        <w:ind w:firstLine="709"/>
        <w:jc w:val="both"/>
        <w:rPr>
          <w:rFonts w:ascii="Verdana" w:eastAsia="Times New Roman" w:hAnsi="Verdana" w:cs="Arial"/>
          <w:lang w:eastAsia="es-CO"/>
        </w:rPr>
      </w:pPr>
      <w:r w:rsidRPr="00380CA4">
        <w:rPr>
          <w:rFonts w:ascii="Verdana" w:eastAsia="Times New Roman" w:hAnsi="Verdana" w:cs="Arial"/>
          <w:lang w:eastAsia="es-CO"/>
        </w:rPr>
        <w:t>En efecto, la Sala de Consulta y Servicio Civil del Consejo de Estado, precisó:</w:t>
      </w:r>
    </w:p>
    <w:p w14:paraId="2DEC17C2" w14:textId="77777777" w:rsidR="002C7A87" w:rsidRPr="00380CA4" w:rsidRDefault="002C7A87" w:rsidP="002C7A87">
      <w:pPr>
        <w:spacing w:after="0" w:line="276" w:lineRule="auto"/>
        <w:ind w:firstLine="709"/>
        <w:jc w:val="both"/>
        <w:rPr>
          <w:rFonts w:ascii="Verdana" w:eastAsia="Times New Roman" w:hAnsi="Verdana" w:cs="Arial"/>
          <w:lang w:eastAsia="es-CO"/>
        </w:rPr>
      </w:pPr>
    </w:p>
    <w:p w14:paraId="55583435" w14:textId="77777777" w:rsidR="002C7A87" w:rsidRPr="00380CA4" w:rsidRDefault="002C7A87" w:rsidP="002C7A87">
      <w:pPr>
        <w:spacing w:after="0" w:line="240" w:lineRule="auto"/>
        <w:ind w:left="709" w:right="709"/>
        <w:contextualSpacing/>
        <w:jc w:val="both"/>
        <w:rPr>
          <w:rFonts w:ascii="Verdana" w:eastAsia="Times New Roman" w:hAnsi="Verdana" w:cs="Arial"/>
          <w:sz w:val="20"/>
          <w:szCs w:val="20"/>
          <w:lang w:eastAsia="es-CO"/>
        </w:rPr>
      </w:pPr>
      <w:r w:rsidRPr="00380CA4">
        <w:rPr>
          <w:rFonts w:ascii="Verdana" w:eastAsia="Times New Roman" w:hAnsi="Verdana" w:cs="Arial"/>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80CA4">
        <w:rPr>
          <w:rFonts w:ascii="Verdana" w:eastAsia="Times New Roman" w:hAnsi="Verdana" w:cs="Arial"/>
          <w:sz w:val="20"/>
          <w:szCs w:val="20"/>
          <w:lang w:eastAsia="es-CO"/>
        </w:rPr>
        <w:t>legis</w:t>
      </w:r>
      <w:proofErr w:type="spellEnd"/>
      <w:r w:rsidRPr="00380CA4">
        <w:rPr>
          <w:rFonts w:ascii="Verdana" w:eastAsia="Times New Roman" w:hAnsi="Verdana" w:cs="Arial"/>
          <w:sz w:val="20"/>
          <w:szCs w:val="20"/>
          <w:lang w:eastAsia="es-CO"/>
        </w:rPr>
        <w:t xml:space="preserve"> o iuris y la interpretación extensiva. Las normas legales de contenido </w:t>
      </w:r>
      <w:r w:rsidRPr="00380CA4">
        <w:rPr>
          <w:rFonts w:ascii="Verdana" w:eastAsia="Times New Roman" w:hAnsi="Verdana" w:cs="Arial"/>
          <w:sz w:val="20"/>
          <w:szCs w:val="20"/>
          <w:lang w:eastAsia="es-CO"/>
        </w:rPr>
        <w:lastRenderedPageBreak/>
        <w:t>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3D7C114" w14:textId="77777777" w:rsidR="002C7A87" w:rsidRPr="00380CA4" w:rsidRDefault="002C7A87" w:rsidP="002C7A87">
      <w:pPr>
        <w:spacing w:after="0" w:line="240" w:lineRule="auto"/>
        <w:ind w:right="709"/>
        <w:contextualSpacing/>
        <w:jc w:val="both"/>
        <w:rPr>
          <w:rFonts w:ascii="Verdana" w:eastAsia="Times New Roman" w:hAnsi="Verdana" w:cs="Arial"/>
          <w:lang w:eastAsia="es-CO"/>
        </w:rPr>
      </w:pPr>
    </w:p>
    <w:p w14:paraId="7716DE59" w14:textId="77777777" w:rsidR="002C7A87" w:rsidRPr="00380CA4" w:rsidRDefault="002C7A87" w:rsidP="002C7A87">
      <w:pPr>
        <w:spacing w:after="0" w:line="240" w:lineRule="auto"/>
        <w:ind w:left="709" w:right="709"/>
        <w:contextualSpacing/>
        <w:jc w:val="both"/>
        <w:rPr>
          <w:rFonts w:ascii="Verdana" w:eastAsia="Times New Roman" w:hAnsi="Verdana" w:cs="Arial"/>
          <w:sz w:val="20"/>
          <w:szCs w:val="20"/>
          <w:lang w:eastAsia="es-CO"/>
        </w:rPr>
      </w:pPr>
      <w:r w:rsidRPr="00380CA4">
        <w:rPr>
          <w:rFonts w:ascii="Verdana" w:eastAsia="Times New Roman" w:hAnsi="Verdana" w:cs="Arial"/>
          <w:sz w:val="20"/>
          <w:szCs w:val="20"/>
          <w:lang w:eastAsia="es-CO"/>
        </w:rPr>
        <w:t>La jurisprudencia de la Corte Constitucional</w:t>
      </w:r>
      <w:r w:rsidRPr="00380CA4">
        <w:rPr>
          <w:rFonts w:ascii="Verdana" w:eastAsia="Times New Roman" w:hAnsi="Verdana" w:cs="Arial"/>
          <w:sz w:val="20"/>
          <w:szCs w:val="20"/>
          <w:vertAlign w:val="superscript"/>
          <w:lang w:eastAsia="es-CO"/>
        </w:rPr>
        <w:footnoteReference w:id="4"/>
      </w:r>
      <w:r w:rsidRPr="00380CA4">
        <w:rPr>
          <w:rFonts w:ascii="Verdana" w:eastAsia="Times New Roman" w:hAnsi="Verdana" w:cs="Arial"/>
          <w:sz w:val="20"/>
          <w:szCs w:val="20"/>
          <w:lang w:eastAsia="es-CO"/>
        </w:rPr>
        <w:t> y del Consejo de Estado</w:t>
      </w:r>
      <w:r w:rsidRPr="00380CA4">
        <w:rPr>
          <w:rFonts w:ascii="Verdana" w:eastAsia="Times New Roman" w:hAnsi="Verdana" w:cs="Arial"/>
          <w:sz w:val="20"/>
          <w:szCs w:val="20"/>
          <w:vertAlign w:val="superscript"/>
          <w:lang w:eastAsia="es-CO"/>
        </w:rPr>
        <w:footnoteReference w:id="5"/>
      </w:r>
      <w:r w:rsidRPr="00380CA4">
        <w:rPr>
          <w:rFonts w:ascii="Verdana" w:eastAsia="Times New Roman" w:hAnsi="Verdana" w:cs="Arial"/>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80CA4">
        <w:rPr>
          <w:rFonts w:ascii="Verdana" w:eastAsia="Times New Roman" w:hAnsi="Verdana" w:cs="Arial"/>
          <w:sz w:val="20"/>
          <w:szCs w:val="20"/>
          <w:vertAlign w:val="superscript"/>
          <w:lang w:eastAsia="es-CO"/>
        </w:rPr>
        <w:footnoteReference w:id="6"/>
      </w:r>
      <w:r w:rsidRPr="00380CA4">
        <w:rPr>
          <w:rFonts w:ascii="Verdana" w:eastAsia="Times New Roman" w:hAnsi="Verdana" w:cs="Arial"/>
          <w:sz w:val="20"/>
          <w:szCs w:val="20"/>
          <w:lang w:eastAsia="es-CO"/>
        </w:rPr>
        <w:t>.</w:t>
      </w:r>
    </w:p>
    <w:p w14:paraId="435D047A" w14:textId="77777777" w:rsidR="002C7A87" w:rsidRPr="00380CA4" w:rsidRDefault="002C7A87" w:rsidP="002C7A87">
      <w:pPr>
        <w:spacing w:after="0" w:line="276" w:lineRule="auto"/>
        <w:jc w:val="both"/>
        <w:rPr>
          <w:rFonts w:ascii="Verdana" w:eastAsia="Calibri" w:hAnsi="Verdana" w:cs="Arial"/>
          <w:bCs/>
        </w:rPr>
      </w:pPr>
    </w:p>
    <w:p w14:paraId="628197CE" w14:textId="77777777" w:rsidR="002C7A87" w:rsidRPr="00380CA4" w:rsidRDefault="002C7A87" w:rsidP="002C7A87">
      <w:pPr>
        <w:spacing w:after="120" w:line="276" w:lineRule="auto"/>
        <w:ind w:firstLine="709"/>
        <w:jc w:val="both"/>
        <w:rPr>
          <w:rFonts w:ascii="Verdana" w:eastAsia="Arial" w:hAnsi="Verdana" w:cs="Arial"/>
          <w:lang w:eastAsia="es-ES" w:bidi="es-ES"/>
        </w:rPr>
      </w:pPr>
      <w:r w:rsidRPr="00380CA4">
        <w:rPr>
          <w:rFonts w:ascii="Verdana" w:eastAsia="Times New Roman" w:hAnsi="Verdana" w:cs="Arial"/>
          <w:lang w:eastAsia="es-CO"/>
        </w:rPr>
        <w:t>De</w:t>
      </w:r>
      <w:r w:rsidRPr="00380CA4">
        <w:rPr>
          <w:rFonts w:ascii="Verdana" w:eastAsia="Arial" w:hAnsi="Verdana" w:cs="Arial"/>
          <w:lang w:eastAsia="es-ES" w:bidi="es-ES"/>
        </w:rPr>
        <w:t xml:space="preserve"> conformidad con lo anterior, </w:t>
      </w:r>
      <w:bookmarkStart w:id="3" w:name="_Hlk77236098"/>
      <w:bookmarkStart w:id="4" w:name="_Hlk100679383"/>
      <w:r w:rsidRPr="00380CA4">
        <w:rPr>
          <w:rFonts w:ascii="Verdana" w:eastAsia="Arial" w:hAnsi="Verdana" w:cs="Arial"/>
          <w:lang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0A9B1B9" w14:textId="77777777" w:rsidR="002C7A87" w:rsidRPr="00380CA4" w:rsidRDefault="002C7A87" w:rsidP="002C7A87">
      <w:pPr>
        <w:spacing w:after="120" w:line="276" w:lineRule="auto"/>
        <w:ind w:firstLine="708"/>
        <w:jc w:val="both"/>
        <w:rPr>
          <w:rFonts w:ascii="Verdana" w:eastAsia="Arial" w:hAnsi="Verdana" w:cs="Arial"/>
          <w:lang w:eastAsia="es-ES" w:bidi="es-ES"/>
        </w:rPr>
      </w:pPr>
      <w:r w:rsidRPr="00380CA4">
        <w:rPr>
          <w:rFonts w:ascii="Verdana" w:eastAsia="Arial" w:hAnsi="Verdana" w:cs="Arial"/>
          <w:lang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2913D1A9" w14:textId="77777777" w:rsidR="002C7A87" w:rsidRPr="00380CA4" w:rsidRDefault="002C7A87" w:rsidP="002C7A87">
      <w:pPr>
        <w:spacing w:after="120" w:line="276" w:lineRule="auto"/>
        <w:ind w:firstLine="708"/>
        <w:jc w:val="both"/>
        <w:rPr>
          <w:rFonts w:ascii="Verdana" w:eastAsia="Calibri" w:hAnsi="Verdana" w:cs="Arial"/>
        </w:rPr>
      </w:pPr>
      <w:r w:rsidRPr="00380CA4">
        <w:rPr>
          <w:rFonts w:ascii="Verdana" w:eastAsia="Calibri" w:hAnsi="Verdana" w:cs="Arial"/>
        </w:rPr>
        <w:t xml:space="preserve">Por un lado, el </w:t>
      </w:r>
      <w:r w:rsidRPr="00380CA4">
        <w:rPr>
          <w:rFonts w:ascii="Verdana" w:eastAsia="Calibri" w:hAnsi="Verdana" w:cs="Arial"/>
          <w:i/>
          <w:iCs/>
        </w:rPr>
        <w:t>artículo 33 de la Ley 996 de 2005</w:t>
      </w:r>
      <w:r w:rsidRPr="00380CA4">
        <w:rPr>
          <w:rFonts w:ascii="Verdana" w:eastAsia="Calibri" w:hAnsi="Verdana" w:cs="Arial"/>
        </w:rPr>
        <w:t xml:space="preserve"> prohíbe “[…] la contratación directa por parte de todos los entes del Estado” durante los cuatro (4) meses anteriores a las elecciones presidenciales, salvo “[…] lo referente a la </w:t>
      </w:r>
      <w:r w:rsidRPr="00380CA4">
        <w:rPr>
          <w:rFonts w:ascii="Verdana" w:eastAsia="Calibri" w:hAnsi="Verdana" w:cs="Arial"/>
        </w:rPr>
        <w:lastRenderedPageBreak/>
        <w:t>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80CA4">
        <w:rPr>
          <w:rFonts w:ascii="Verdana" w:eastAsia="Calibri" w:hAnsi="Verdana" w:cs="Arial"/>
          <w:vertAlign w:val="superscript"/>
        </w:rPr>
        <w:footnoteReference w:id="7"/>
      </w:r>
      <w:r w:rsidRPr="00380CA4">
        <w:rPr>
          <w:rFonts w:ascii="Verdana" w:eastAsia="Calibri" w:hAnsi="Verdana" w:cs="Arial"/>
        </w:rPr>
        <w:t>.</w:t>
      </w:r>
    </w:p>
    <w:p w14:paraId="785F16DC" w14:textId="77777777" w:rsidR="002C7A87" w:rsidRPr="00380CA4" w:rsidRDefault="002C7A87" w:rsidP="002C7A87">
      <w:pPr>
        <w:widowControl w:val="0"/>
        <w:autoSpaceDE w:val="0"/>
        <w:autoSpaceDN w:val="0"/>
        <w:spacing w:after="120" w:line="276" w:lineRule="auto"/>
        <w:ind w:right="113" w:firstLine="709"/>
        <w:jc w:val="both"/>
        <w:rPr>
          <w:rFonts w:ascii="Verdana" w:eastAsia="Arial" w:hAnsi="Verdana" w:cs="Arial"/>
          <w:lang w:eastAsia="es-ES" w:bidi="es-ES"/>
        </w:rPr>
      </w:pPr>
      <w:r w:rsidRPr="00380CA4">
        <w:rPr>
          <w:rFonts w:ascii="Verdana" w:eastAsia="Calibri" w:hAnsi="Verdana" w:cs="Arial"/>
        </w:rPr>
        <w:t xml:space="preserve">Por otro lado, </w:t>
      </w:r>
      <w:r w:rsidRPr="00380CA4">
        <w:rPr>
          <w:rFonts w:ascii="Verdana" w:eastAsia="Calibri" w:hAnsi="Verdana" w:cs="Arial"/>
          <w:i/>
          <w:iCs/>
        </w:rPr>
        <w:t>el parágrafo del artículo 38 de la Ley 996 de 2005</w:t>
      </w:r>
      <w:r w:rsidRPr="00380CA4">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bookmarkEnd w:id="4"/>
      <w:r w:rsidRPr="00380CA4">
        <w:rPr>
          <w:rFonts w:ascii="Verdana" w:eastAsia="Calibri" w:hAnsi="Verdana" w:cs="Arial"/>
          <w:vertAlign w:val="superscript"/>
        </w:rPr>
        <w:footnoteReference w:id="8"/>
      </w:r>
      <w:r w:rsidRPr="00380CA4">
        <w:rPr>
          <w:rFonts w:ascii="Verdana" w:eastAsia="Calibri" w:hAnsi="Verdana" w:cs="Arial"/>
        </w:rPr>
        <w:t>.</w:t>
      </w:r>
      <w:r w:rsidRPr="00380CA4">
        <w:rPr>
          <w:rFonts w:ascii="Verdana" w:eastAsia="Arial" w:hAnsi="Verdana" w:cs="Arial"/>
          <w:lang w:eastAsia="es-ES" w:bidi="es-ES"/>
        </w:rPr>
        <w:t xml:space="preserve"> </w:t>
      </w:r>
    </w:p>
    <w:p w14:paraId="72FCE749" w14:textId="77777777" w:rsidR="002C7A87" w:rsidRPr="00380CA4" w:rsidRDefault="002C7A87" w:rsidP="002C7A87">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es-CO"/>
        </w:rPr>
        <w:t>Para entender el momento de aplicación de estas restricciones, es preciso señalar que el vocablo “celebrar” es definido por el Diccionario Panhispánico del Español Jurídico como: “1. </w:t>
      </w:r>
      <w:r w:rsidRPr="00380CA4">
        <w:rPr>
          <w:rFonts w:ascii="Verdana" w:eastAsia="Times New Roman" w:hAnsi="Verdana" w:cs="Arial"/>
          <w:bCs/>
          <w:i/>
          <w:iCs/>
          <w:lang w:eastAsia="es-CO"/>
        </w:rPr>
        <w:t>Gral.</w:t>
      </w:r>
      <w:r w:rsidRPr="00380CA4">
        <w:rPr>
          <w:rFonts w:ascii="Verdana" w:eastAsia="Times New Roman" w:hAnsi="Verdana" w:cs="Arial"/>
          <w:bCs/>
          <w:lang w:eastAsia="es-CO"/>
        </w:rPr>
        <w:t xml:space="preserve"> Otorgar o firmar un contrato. 2. </w:t>
      </w:r>
      <w:proofErr w:type="spellStart"/>
      <w:r w:rsidRPr="00380CA4">
        <w:rPr>
          <w:rFonts w:ascii="Verdana" w:eastAsia="Times New Roman" w:hAnsi="Verdana" w:cs="Arial"/>
          <w:bCs/>
          <w:i/>
          <w:iCs/>
          <w:lang w:eastAsia="es-CO"/>
        </w:rPr>
        <w:t>Proc</w:t>
      </w:r>
      <w:proofErr w:type="spellEnd"/>
      <w:r w:rsidRPr="00380CA4">
        <w:rPr>
          <w:rFonts w:ascii="Verdana" w:eastAsia="Times New Roman" w:hAnsi="Verdana" w:cs="Arial"/>
          <w:bCs/>
          <w:i/>
          <w:iCs/>
          <w:lang w:eastAsia="es-CO"/>
        </w:rPr>
        <w:t>.</w:t>
      </w:r>
      <w:r w:rsidRPr="00380CA4">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6B41D4FA" w14:textId="77777777" w:rsidR="002C7A87" w:rsidRPr="00380CA4" w:rsidRDefault="002C7A87" w:rsidP="002C7A87">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w:t>
      </w:r>
      <w:r w:rsidRPr="00380CA4">
        <w:rPr>
          <w:rFonts w:ascii="Verdana" w:eastAsia="Times New Roman" w:hAnsi="Verdana" w:cs="Arial"/>
          <w:bCs/>
          <w:lang w:eastAsia="es-CO"/>
        </w:rPr>
        <w:lastRenderedPageBreak/>
        <w:t xml:space="preserve">existencia de los contratos estatales, es decir, la producción de efectos jurídicos en los términos del artículo 1501 </w:t>
      </w:r>
      <w:proofErr w:type="spellStart"/>
      <w:r w:rsidRPr="00380CA4">
        <w:rPr>
          <w:rFonts w:ascii="Verdana" w:eastAsia="Times New Roman" w:hAnsi="Verdana" w:cs="Arial"/>
          <w:bCs/>
          <w:i/>
          <w:lang w:eastAsia="es-CO"/>
        </w:rPr>
        <w:t>ibídem</w:t>
      </w:r>
      <w:proofErr w:type="spellEnd"/>
      <w:r w:rsidRPr="00380CA4">
        <w:rPr>
          <w:rFonts w:ascii="Verdana" w:eastAsia="Times New Roman" w:hAnsi="Verdana" w:cs="Arial"/>
          <w:bCs/>
          <w:lang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7946598" w14:textId="77777777" w:rsidR="002C7A87" w:rsidRPr="00380CA4" w:rsidRDefault="002C7A87" w:rsidP="002C7A87">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730A4BE9" w14:textId="77777777" w:rsidR="002C7A87" w:rsidRPr="00380CA4" w:rsidRDefault="002C7A87" w:rsidP="002C7A87">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es-CO"/>
        </w:rPr>
        <w:t>Así mismo,</w:t>
      </w:r>
      <w:r>
        <w:rPr>
          <w:rFonts w:ascii="Verdana" w:eastAsia="Times New Roman" w:hAnsi="Verdana" w:cs="Arial"/>
          <w:bCs/>
          <w:lang w:eastAsia="es-CO"/>
        </w:rPr>
        <w:t xml:space="preserve"> y en atención a las preguntas relacionadas con las modificaciones a los contratos estatales durante las restricciones antes enunciadas,</w:t>
      </w:r>
      <w:r w:rsidRPr="00380CA4">
        <w:rPr>
          <w:rFonts w:ascii="Verdana" w:eastAsia="Times New Roman" w:hAnsi="Verdana" w:cs="Arial"/>
          <w:bCs/>
          <w:lang w:eastAsia="es-CO"/>
        </w:rPr>
        <w:t xml:space="preserve"> 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Pr>
          <w:rFonts w:ascii="Verdana" w:eastAsia="Times New Roman" w:hAnsi="Verdana" w:cs="Arial"/>
          <w:bCs/>
          <w:lang w:eastAsia="es-CO"/>
        </w:rPr>
        <w:t xml:space="preserve"> Electorales</w:t>
      </w:r>
      <w:r w:rsidRPr="00380CA4">
        <w:rPr>
          <w:rFonts w:ascii="Verdana" w:eastAsia="Times New Roman" w:hAnsi="Verdana" w:cs="Arial"/>
          <w:bCs/>
          <w:lang w:eastAsia="es-CO"/>
        </w:rPr>
        <w:t>, sin que ello haga nugatoria la restricción de la contratación directa y siempre que cumplan los principios de planeación, transparencia y responsabilidad</w:t>
      </w:r>
      <w:r w:rsidRPr="00380CA4">
        <w:rPr>
          <w:rFonts w:ascii="Verdana" w:eastAsia="Times New Roman" w:hAnsi="Verdana" w:cs="Arial"/>
          <w:bCs/>
          <w:vertAlign w:val="superscript"/>
          <w:lang w:eastAsia="es-CO"/>
        </w:rPr>
        <w:footnoteReference w:id="9"/>
      </w:r>
      <w:r w:rsidRPr="00380CA4">
        <w:rPr>
          <w:rFonts w:ascii="Verdana" w:eastAsia="Times New Roman" w:hAnsi="Verdana" w:cs="Arial"/>
          <w:bCs/>
          <w:lang w:eastAsia="es-CO"/>
        </w:rPr>
        <w:t xml:space="preserve">. </w:t>
      </w:r>
      <w:r>
        <w:rPr>
          <w:rFonts w:ascii="Verdana" w:eastAsia="Times New Roman" w:hAnsi="Verdana" w:cs="Arial"/>
          <w:bCs/>
          <w:lang w:eastAsia="es-CO"/>
        </w:rPr>
        <w:t xml:space="preserve">Lo anterior, atendiendo su inquietud respecto de la continuidad de los convenios interadministrativos y demás contratación que se hayan adquirido con anterioridad a la </w:t>
      </w:r>
      <w:proofErr w:type="gramStart"/>
      <w:r>
        <w:rPr>
          <w:rFonts w:ascii="Verdana" w:eastAsia="Times New Roman" w:hAnsi="Verdana" w:cs="Arial"/>
          <w:bCs/>
          <w:lang w:eastAsia="es-CO"/>
        </w:rPr>
        <w:t>entrada en vigencia</w:t>
      </w:r>
      <w:proofErr w:type="gramEnd"/>
      <w:r>
        <w:rPr>
          <w:rFonts w:ascii="Verdana" w:eastAsia="Times New Roman" w:hAnsi="Verdana" w:cs="Arial"/>
          <w:bCs/>
          <w:lang w:eastAsia="es-CO"/>
        </w:rPr>
        <w:t xml:space="preserve"> de la prohibición. </w:t>
      </w:r>
    </w:p>
    <w:p w14:paraId="6D0F25B9" w14:textId="77777777" w:rsidR="002C7A87" w:rsidRPr="00380CA4" w:rsidRDefault="002C7A87" w:rsidP="002C7A87">
      <w:pPr>
        <w:widowControl w:val="0"/>
        <w:autoSpaceDE w:val="0"/>
        <w:autoSpaceDN w:val="0"/>
        <w:spacing w:after="0" w:line="276" w:lineRule="auto"/>
        <w:ind w:right="113" w:firstLine="708"/>
        <w:contextualSpacing/>
        <w:jc w:val="both"/>
        <w:rPr>
          <w:rFonts w:ascii="Verdana" w:eastAsia="Arial" w:hAnsi="Verdana" w:cs="Arial"/>
          <w:lang w:eastAsia="es-ES" w:bidi="es-ES"/>
        </w:rPr>
      </w:pPr>
      <w:r>
        <w:rPr>
          <w:rFonts w:ascii="Verdana" w:eastAsia="Arial" w:hAnsi="Verdana" w:cs="Arial"/>
          <w:lang w:eastAsia="es-ES" w:bidi="es-ES"/>
        </w:rPr>
        <w:t xml:space="preserve">Ahora bien, dado que en su consulta indaga sobre las diferencias y ámbito de aplicación de las restricciones aplicables en materia de contratación estatal en época preelectoral, es importante señalar </w:t>
      </w:r>
      <w:r w:rsidRPr="00380CA4">
        <w:rPr>
          <w:rFonts w:ascii="Verdana" w:eastAsia="Arial" w:hAnsi="Verdana" w:cs="Arial"/>
          <w:lang w:eastAsia="es-ES" w:bidi="es-ES"/>
        </w:rPr>
        <w:t xml:space="preserve">La Sala de Consulta y Servicio Civil del Consejo de Estado ha aclarado la distinción en la aplicación de las prohibiciones de la Ley 996 de 2005, dependiendo del tipo de elección que </w:t>
      </w:r>
      <w:r w:rsidRPr="00380CA4">
        <w:rPr>
          <w:rFonts w:ascii="Verdana" w:eastAsia="Arial" w:hAnsi="Verdana" w:cs="Arial"/>
          <w:lang w:eastAsia="es-ES" w:bidi="es-ES"/>
        </w:rPr>
        <w:lastRenderedPageBreak/>
        <w:t>se trate. Al respecto, considera:</w:t>
      </w:r>
    </w:p>
    <w:p w14:paraId="7927229D" w14:textId="77777777" w:rsidR="002C7A87" w:rsidRPr="00380CA4" w:rsidRDefault="002C7A87" w:rsidP="002C7A87">
      <w:pPr>
        <w:widowControl w:val="0"/>
        <w:autoSpaceDE w:val="0"/>
        <w:autoSpaceDN w:val="0"/>
        <w:spacing w:after="0" w:line="240" w:lineRule="auto"/>
        <w:ind w:left="805" w:right="812"/>
        <w:contextualSpacing/>
        <w:jc w:val="both"/>
        <w:rPr>
          <w:rFonts w:ascii="Verdana" w:eastAsia="Arial" w:hAnsi="Verdana" w:cs="Arial"/>
          <w:lang w:eastAsia="es-ES" w:bidi="es-ES"/>
        </w:rPr>
      </w:pPr>
    </w:p>
    <w:p w14:paraId="6D67DD57" w14:textId="77777777" w:rsidR="002C7A87" w:rsidRPr="00380CA4" w:rsidRDefault="002C7A87" w:rsidP="002C7A87">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380CA4">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380CA4">
        <w:rPr>
          <w:rFonts w:ascii="Verdana" w:eastAsia="Arial" w:hAnsi="Verdana" w:cs="Arial"/>
          <w:sz w:val="20"/>
          <w:szCs w:val="20"/>
          <w:lang w:eastAsia="es-ES" w:bidi="es-ES"/>
        </w:rPr>
        <w:t>se integran parcialmente</w:t>
      </w:r>
      <w:bookmarkEnd w:id="7"/>
      <w:r w:rsidRPr="00380CA4">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380CA4">
        <w:rPr>
          <w:rFonts w:ascii="Verdana" w:eastAsia="Arial" w:hAnsi="Verdana" w:cs="Arial"/>
          <w:sz w:val="20"/>
          <w:szCs w:val="20"/>
          <w:lang w:eastAsia="es-ES" w:bidi="es-ES"/>
        </w:rPr>
        <w:t>Presidente</w:t>
      </w:r>
      <w:proofErr w:type="gramEnd"/>
      <w:r w:rsidRPr="00380CA4">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380CA4">
        <w:rPr>
          <w:rFonts w:ascii="Verdana" w:eastAsia="Arial" w:hAnsi="Verdana" w:cs="Arial"/>
          <w:sz w:val="20"/>
          <w:szCs w:val="20"/>
          <w:vertAlign w:val="superscript"/>
          <w:lang w:eastAsia="es-ES" w:bidi="es-ES"/>
        </w:rPr>
        <w:footnoteReference w:id="10"/>
      </w:r>
    </w:p>
    <w:p w14:paraId="44A339A2" w14:textId="77777777" w:rsidR="002C7A87" w:rsidRPr="00380CA4" w:rsidRDefault="002C7A87" w:rsidP="002C7A87">
      <w:pPr>
        <w:widowControl w:val="0"/>
        <w:autoSpaceDE w:val="0"/>
        <w:autoSpaceDN w:val="0"/>
        <w:spacing w:after="0" w:line="276" w:lineRule="auto"/>
        <w:contextualSpacing/>
        <w:rPr>
          <w:rFonts w:ascii="Verdana" w:eastAsia="Arial" w:hAnsi="Verdana" w:cs="Arial"/>
          <w:lang w:eastAsia="es-ES" w:bidi="es-ES"/>
        </w:rPr>
      </w:pPr>
    </w:p>
    <w:p w14:paraId="44E6CC66" w14:textId="77777777" w:rsidR="002C7A87" w:rsidRPr="00380CA4" w:rsidRDefault="002C7A87" w:rsidP="002C7A87">
      <w:pPr>
        <w:spacing w:after="120" w:line="276" w:lineRule="auto"/>
        <w:ind w:firstLine="709"/>
        <w:jc w:val="both"/>
        <w:rPr>
          <w:rFonts w:ascii="Verdana" w:eastAsia="Arial" w:hAnsi="Verdana" w:cs="Arial"/>
          <w:lang w:eastAsia="es-ES" w:bidi="es-ES"/>
        </w:rPr>
      </w:pPr>
      <w:r w:rsidRPr="00380CA4">
        <w:rPr>
          <w:rFonts w:ascii="Verdana" w:eastAsia="Arial" w:hAnsi="Verdana" w:cs="Arial"/>
          <w:lang w:eastAsia="es-ES" w:bidi="es-ES"/>
        </w:rPr>
        <w:t xml:space="preserve">De conformidad con lo anterior, </w:t>
      </w:r>
      <w:bookmarkStart w:id="8" w:name="_Hlk77236420"/>
      <w:bookmarkStart w:id="9" w:name="_Hlk78818435"/>
      <w:bookmarkStart w:id="10" w:name="_Hlk75780333"/>
      <w:r w:rsidRPr="00380CA4">
        <w:rPr>
          <w:rFonts w:ascii="Verdana" w:eastAsia="Arial" w:hAnsi="Verdana" w:cs="Arial"/>
          <w:lang w:eastAsia="es-ES" w:bidi="es-ES"/>
        </w:rPr>
        <w:t xml:space="preserve">la Ley 996 de 2005 establece dos (2) tipos de restricciones en materia de contratación, las cuales coinciden parcialmente. </w:t>
      </w:r>
      <w:r w:rsidRPr="00380CA4">
        <w:rPr>
          <w:rFonts w:ascii="Verdana" w:eastAsia="Arial" w:hAnsi="Verdana" w:cs="Arial"/>
          <w:i/>
          <w:lang w:eastAsia="es-ES" w:bidi="es-ES"/>
        </w:rPr>
        <w:t>En primer lugar</w:t>
      </w:r>
      <w:r w:rsidRPr="00380CA4">
        <w:rPr>
          <w:rFonts w:ascii="Verdana" w:eastAsia="Arial" w:hAnsi="Verdana" w:cs="Arial"/>
          <w:lang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380CA4">
        <w:rPr>
          <w:rFonts w:ascii="Verdana" w:eastAsia="Arial" w:hAnsi="Verdana" w:cs="Arial"/>
          <w:i/>
          <w:lang w:eastAsia="es-ES" w:bidi="es-ES"/>
        </w:rPr>
        <w:t>En segundo lugar</w:t>
      </w:r>
      <w:r w:rsidRPr="00380CA4">
        <w:rPr>
          <w:rFonts w:ascii="Verdana" w:eastAsia="Arial" w:hAnsi="Verdana" w:cs="Arial"/>
          <w:lang w:eastAsia="es-ES" w:bidi="es-ES"/>
        </w:rPr>
        <w:t xml:space="preserve">, también se encuentra la prohibición del parágrafo del artículo 38, el cual debe aplicarse respecto de cualquier tipo de contienda electoral, </w:t>
      </w:r>
      <w:r>
        <w:rPr>
          <w:rFonts w:ascii="Verdana" w:eastAsia="Arial" w:hAnsi="Verdana" w:cs="Arial"/>
          <w:lang w:eastAsia="es-ES" w:bidi="es-ES"/>
        </w:rPr>
        <w:t xml:space="preserve">incluidas las de autoridades territoriales a la que hace mención en su consulta, </w:t>
      </w:r>
      <w:r w:rsidRPr="00380CA4">
        <w:rPr>
          <w:rFonts w:ascii="Verdana" w:eastAsia="Arial" w:hAnsi="Verdana" w:cs="Arial"/>
          <w:lang w:eastAsia="es-ES" w:bidi="es-ES"/>
        </w:rPr>
        <w:t>y que prohíbe la celebración de convenios interadministrativos que impliquen la ejecución de recursos públicos dentro de los cuatro (4) meses anteriores a la respectiva jornada de votaciones.</w:t>
      </w:r>
      <w:bookmarkEnd w:id="8"/>
    </w:p>
    <w:bookmarkEnd w:id="9"/>
    <w:p w14:paraId="653C4902" w14:textId="77777777" w:rsidR="002C7A87" w:rsidRPr="00380CA4" w:rsidRDefault="002C7A87" w:rsidP="002C7A87">
      <w:pPr>
        <w:spacing w:after="120" w:line="276" w:lineRule="auto"/>
        <w:ind w:firstLine="709"/>
        <w:jc w:val="both"/>
        <w:rPr>
          <w:rFonts w:ascii="Verdana" w:eastAsia="Arial" w:hAnsi="Verdana" w:cs="Arial"/>
          <w:lang w:eastAsia="es-ES" w:bidi="es-ES"/>
        </w:rPr>
      </w:pPr>
      <w:r w:rsidRPr="00380CA4">
        <w:rPr>
          <w:rFonts w:ascii="Verdana" w:eastAsia="Arial" w:hAnsi="Verdana" w:cs="Arial"/>
          <w:lang w:eastAsia="es-ES" w:bidi="es-ES"/>
        </w:rPr>
        <w:lastRenderedPageBreak/>
        <w:t xml:space="preserve">Ambas restricciones no son excluyentes, lo que permite concluir que, en el período preelectoral para elección de </w:t>
      </w:r>
      <w:proofErr w:type="gramStart"/>
      <w:r w:rsidRPr="00380CA4">
        <w:rPr>
          <w:rFonts w:ascii="Verdana" w:eastAsia="Arial" w:hAnsi="Verdana" w:cs="Arial"/>
          <w:lang w:eastAsia="es-ES" w:bidi="es-ES"/>
        </w:rPr>
        <w:t>Presidente</w:t>
      </w:r>
      <w:proofErr w:type="gramEnd"/>
      <w:r w:rsidRPr="00380CA4">
        <w:rPr>
          <w:rFonts w:ascii="Verdana" w:eastAsia="Arial" w:hAnsi="Verdana" w:cs="Arial"/>
          <w:lang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380CA4">
        <w:rPr>
          <w:rFonts w:ascii="Verdana" w:eastAsia="Arial" w:hAnsi="Verdana" w:cs="Arial"/>
          <w:lang w:eastAsia="es-ES" w:bidi="es-ES"/>
        </w:rPr>
        <w:t>Presidente</w:t>
      </w:r>
      <w:proofErr w:type="gramEnd"/>
      <w:r w:rsidRPr="00380CA4">
        <w:rPr>
          <w:rFonts w:ascii="Verdana" w:eastAsia="Arial" w:hAnsi="Verdana" w:cs="Arial"/>
          <w:lang w:eastAsia="es-ES" w:bidi="es-ES"/>
        </w:rPr>
        <w:t xml:space="preserve"> de la República,</w:t>
      </w:r>
      <w:r>
        <w:rPr>
          <w:rFonts w:ascii="Verdana" w:eastAsia="Arial" w:hAnsi="Verdana" w:cs="Arial"/>
          <w:lang w:eastAsia="es-ES" w:bidi="es-ES"/>
        </w:rPr>
        <w:t xml:space="preserve"> como en el caso de las elecciones de autoridades territoriales,</w:t>
      </w:r>
      <w:r w:rsidRPr="00380CA4">
        <w:rPr>
          <w:rFonts w:ascii="Verdana" w:eastAsia="Arial" w:hAnsi="Verdana" w:cs="Arial"/>
          <w:lang w:eastAsia="es-ES" w:bidi="es-ES"/>
        </w:rPr>
        <w:t xml:space="preserve"> las autoridades allí mencionadas sólo deben aplicar las restricciones contenidas en el parágrafo del artículo 38.</w:t>
      </w:r>
    </w:p>
    <w:bookmarkEnd w:id="10"/>
    <w:p w14:paraId="54C9B767" w14:textId="77777777" w:rsidR="002C7A87" w:rsidRDefault="002C7A87" w:rsidP="002C7A87">
      <w:pPr>
        <w:spacing w:after="0" w:line="276" w:lineRule="auto"/>
        <w:ind w:firstLine="709"/>
        <w:jc w:val="both"/>
        <w:rPr>
          <w:rFonts w:ascii="Verdana" w:eastAsia="Arial" w:hAnsi="Verdana" w:cs="Arial"/>
          <w:lang w:eastAsia="es-ES" w:bidi="es-ES"/>
        </w:rPr>
      </w:pPr>
      <w:r w:rsidRPr="00380CA4">
        <w:rPr>
          <w:rFonts w:ascii="Verdana" w:eastAsia="Arial" w:hAnsi="Verdana" w:cs="Arial"/>
          <w:lang w:eastAsia="es-ES" w:bidi="es-ES"/>
        </w:rPr>
        <w:t xml:space="preserve">La Corte Constitucional, en la Sentencia C-1153 del 11 de noviembre de 2005, señaló que, para que la garantía sea plena, era necesario que la prohibición se aplicara para el </w:t>
      </w:r>
      <w:proofErr w:type="gramStart"/>
      <w:r w:rsidRPr="00380CA4">
        <w:rPr>
          <w:rFonts w:ascii="Verdana" w:eastAsia="Arial" w:hAnsi="Verdana" w:cs="Arial"/>
          <w:lang w:eastAsia="es-ES" w:bidi="es-ES"/>
        </w:rPr>
        <w:t>Presidente</w:t>
      </w:r>
      <w:proofErr w:type="gramEnd"/>
      <w:r w:rsidRPr="00380CA4">
        <w:rPr>
          <w:rFonts w:ascii="Verdana" w:eastAsia="Arial" w:hAnsi="Verdana" w:cs="Arial"/>
          <w:lang w:eastAsia="es-ES" w:bidi="es-ES"/>
        </w:rPr>
        <w:t xml:space="preserve"> o el </w:t>
      </w:r>
      <w:proofErr w:type="gramStart"/>
      <w:r w:rsidRPr="00380CA4">
        <w:rPr>
          <w:rFonts w:ascii="Verdana" w:eastAsia="Arial" w:hAnsi="Verdana" w:cs="Arial"/>
          <w:lang w:eastAsia="es-ES" w:bidi="es-ES"/>
        </w:rPr>
        <w:t>Vicepresidente</w:t>
      </w:r>
      <w:proofErr w:type="gramEnd"/>
      <w:r w:rsidRPr="00380CA4">
        <w:rPr>
          <w:rFonts w:ascii="Verdana" w:eastAsia="Arial" w:hAnsi="Verdana" w:cs="Arial"/>
          <w:lang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380CA4">
        <w:rPr>
          <w:rFonts w:ascii="Verdana" w:eastAsia="Arial" w:hAnsi="Verdana" w:cs="Arial"/>
          <w:lang w:eastAsia="es-ES" w:bidi="es-ES"/>
        </w:rPr>
        <w:t>Presidente</w:t>
      </w:r>
      <w:proofErr w:type="gramEnd"/>
      <w:r w:rsidRPr="00380CA4">
        <w:rPr>
          <w:rFonts w:ascii="Verdana" w:eastAsia="Arial" w:hAnsi="Verdana" w:cs="Arial"/>
          <w:lang w:eastAsia="es-ES" w:bidi="es-ES"/>
        </w:rPr>
        <w:t xml:space="preserve"> y el </w:t>
      </w:r>
      <w:proofErr w:type="gramStart"/>
      <w:r w:rsidRPr="00380CA4">
        <w:rPr>
          <w:rFonts w:ascii="Verdana" w:eastAsia="Arial" w:hAnsi="Verdana" w:cs="Arial"/>
          <w:lang w:eastAsia="es-ES" w:bidi="es-ES"/>
        </w:rPr>
        <w:t>Vicepresidente</w:t>
      </w:r>
      <w:proofErr w:type="gramEnd"/>
      <w:r w:rsidRPr="00380CA4">
        <w:rPr>
          <w:rFonts w:ascii="Verdana" w:eastAsia="Arial" w:hAnsi="Verdana" w:cs="Arial"/>
          <w:lang w:eastAsia="es-ES" w:bidi="es-ES"/>
        </w:rPr>
        <w:t xml:space="preserve"> de la República, ha perdido vigencia ante la prohibición de la reelección presidencial, restablecida por el Acto Legislativo 2 de 2015. Esto excepto para el </w:t>
      </w:r>
      <w:proofErr w:type="gramStart"/>
      <w:r w:rsidRPr="00380CA4">
        <w:rPr>
          <w:rFonts w:ascii="Verdana" w:eastAsia="Arial" w:hAnsi="Verdana" w:cs="Arial"/>
          <w:lang w:eastAsia="es-ES" w:bidi="es-ES"/>
        </w:rPr>
        <w:t>Vicepresidente</w:t>
      </w:r>
      <w:proofErr w:type="gramEnd"/>
      <w:r w:rsidRPr="00380CA4">
        <w:rPr>
          <w:rFonts w:ascii="Verdana" w:eastAsia="Arial" w:hAnsi="Verdana" w:cs="Arial"/>
          <w:lang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598DD6EA" w14:textId="77777777" w:rsidR="002C7A87" w:rsidRPr="00380CA4" w:rsidRDefault="002C7A87" w:rsidP="002C7A87">
      <w:pPr>
        <w:spacing w:after="0" w:line="276" w:lineRule="auto"/>
        <w:ind w:firstLine="709"/>
        <w:jc w:val="both"/>
        <w:rPr>
          <w:rFonts w:ascii="Verdana" w:eastAsia="Arial" w:hAnsi="Verdana" w:cs="Arial"/>
          <w:lang w:eastAsia="es-ES" w:bidi="es-ES"/>
        </w:rPr>
      </w:pPr>
      <w:r>
        <w:rPr>
          <w:rFonts w:ascii="Verdana" w:eastAsia="Arial" w:hAnsi="Verdana" w:cs="Arial"/>
          <w:lang w:eastAsia="es-ES" w:bidi="es-ES"/>
        </w:rPr>
        <w:t xml:space="preserve">Visto lo anterior, a </w:t>
      </w:r>
      <w:proofErr w:type="gramStart"/>
      <w:r>
        <w:rPr>
          <w:rFonts w:ascii="Verdana" w:eastAsia="Arial" w:hAnsi="Verdana" w:cs="Arial"/>
          <w:lang w:eastAsia="es-ES" w:bidi="es-ES"/>
        </w:rPr>
        <w:t>continuación</w:t>
      </w:r>
      <w:proofErr w:type="gramEnd"/>
      <w:r>
        <w:rPr>
          <w:rFonts w:ascii="Verdana" w:eastAsia="Arial" w:hAnsi="Verdana" w:cs="Arial"/>
          <w:lang w:eastAsia="es-ES" w:bidi="es-ES"/>
        </w:rPr>
        <w:t xml:space="preserve"> es necesario adentrarse en el estudio de cada una de las restricciones con el fin de dar respuesta a los interrogantes planteados. </w:t>
      </w:r>
    </w:p>
    <w:p w14:paraId="317AA973" w14:textId="77777777" w:rsidR="002C7A87" w:rsidRPr="006C14BC" w:rsidRDefault="002C7A87" w:rsidP="002C7A87">
      <w:pPr>
        <w:spacing w:after="0" w:line="276" w:lineRule="auto"/>
        <w:ind w:firstLine="708"/>
        <w:jc w:val="both"/>
        <w:rPr>
          <w:rFonts w:ascii="Verdana" w:eastAsia="Times New Roman" w:hAnsi="Verdana" w:cs="Arial"/>
          <w:bCs/>
          <w:lang w:eastAsia="x-none"/>
        </w:rPr>
      </w:pPr>
      <w:bookmarkStart w:id="11" w:name="_Hlk78820161"/>
    </w:p>
    <w:p w14:paraId="49C35D78" w14:textId="77777777" w:rsidR="002C7A87" w:rsidRPr="006C14BC" w:rsidRDefault="002C7A87" w:rsidP="002C7A87">
      <w:pPr>
        <w:spacing w:after="0" w:line="276" w:lineRule="auto"/>
        <w:jc w:val="both"/>
        <w:rPr>
          <w:rFonts w:ascii="Verdana" w:eastAsia="Times New Roman" w:hAnsi="Verdana" w:cs="Arial"/>
          <w:bCs/>
          <w:lang w:eastAsia="es-CO"/>
        </w:rPr>
      </w:pPr>
      <w:proofErr w:type="spellStart"/>
      <w:r w:rsidRPr="006C14BC">
        <w:rPr>
          <w:rFonts w:ascii="Verdana" w:eastAsia="Times New Roman" w:hAnsi="Verdana" w:cs="Arial"/>
          <w:bCs/>
          <w:lang w:eastAsia="x-none"/>
        </w:rPr>
        <w:t>ii</w:t>
      </w:r>
      <w:proofErr w:type="spellEnd"/>
      <w:r w:rsidRPr="006C14BC">
        <w:rPr>
          <w:rFonts w:ascii="Verdana" w:eastAsia="Times New Roman" w:hAnsi="Verdana" w:cs="Arial"/>
          <w:bCs/>
          <w:lang w:eastAsia="x-none"/>
        </w:rPr>
        <w:t xml:space="preserve">) El ámbito material de la prohibición contenida en el artículo 33 de la ley 996 de 2005 está delimitado por la expresión </w:t>
      </w:r>
      <w:r w:rsidRPr="0087053C">
        <w:rPr>
          <w:rFonts w:ascii="Verdana" w:eastAsia="Calibri" w:hAnsi="Verdana" w:cs="Arial"/>
          <w:bCs/>
        </w:rPr>
        <w:t>“</w:t>
      </w:r>
      <w:r w:rsidRPr="006C14BC">
        <w:rPr>
          <w:rFonts w:ascii="Verdana" w:eastAsia="Times New Roman" w:hAnsi="Verdana" w:cs="Arial"/>
          <w:bCs/>
          <w:lang w:eastAsia="x-none"/>
        </w:rPr>
        <w:t>queda prohibida la contratación directa</w:t>
      </w:r>
      <w:r w:rsidRPr="0087053C">
        <w:rPr>
          <w:rFonts w:ascii="Verdana" w:eastAsia="Calibri" w:hAnsi="Verdana" w:cs="Arial"/>
        </w:rPr>
        <w:t>”</w:t>
      </w:r>
      <w:r w:rsidRPr="006C14BC">
        <w:rPr>
          <w:rFonts w:ascii="Verdana" w:eastAsia="Times New Roman" w:hAnsi="Verdana" w:cs="Arial"/>
          <w:bCs/>
          <w:lang w:eastAsia="x-none"/>
        </w:rPr>
        <w:t xml:space="preserve">. </w:t>
      </w:r>
      <w:r w:rsidRPr="006C14BC">
        <w:rPr>
          <w:rFonts w:ascii="Verdana" w:eastAsia="Times New Roman" w:hAnsi="Verdana" w:cs="Arial"/>
          <w:lang w:eastAsia="es-CO"/>
        </w:rPr>
        <w:t>A propósito de esta restricción de la Ley de Garantías Electorales, la Sala de Consulta y Servicio Civil del Consejo de Estado ha considerado que:</w:t>
      </w:r>
    </w:p>
    <w:p w14:paraId="66E5A360" w14:textId="77777777" w:rsidR="002C7A87" w:rsidRPr="0087053C" w:rsidRDefault="002C7A87" w:rsidP="002C7A87">
      <w:pPr>
        <w:spacing w:after="0" w:line="276" w:lineRule="auto"/>
        <w:ind w:left="708" w:right="709"/>
        <w:jc w:val="both"/>
        <w:rPr>
          <w:rFonts w:ascii="Verdana" w:eastAsia="Calibri" w:hAnsi="Verdana" w:cs="Arial"/>
        </w:rPr>
      </w:pPr>
    </w:p>
    <w:p w14:paraId="12B99177" w14:textId="77777777" w:rsidR="002C7A87" w:rsidRPr="00380CA4" w:rsidRDefault="002C7A87" w:rsidP="002C7A87">
      <w:pPr>
        <w:spacing w:after="120" w:line="240" w:lineRule="auto"/>
        <w:ind w:left="709" w:right="709"/>
        <w:jc w:val="both"/>
        <w:rPr>
          <w:rFonts w:ascii="Verdana" w:eastAsia="Calibri" w:hAnsi="Verdana" w:cs="Arial"/>
          <w:sz w:val="20"/>
          <w:szCs w:val="20"/>
        </w:rPr>
      </w:pPr>
      <w:r>
        <w:rPr>
          <w:rFonts w:ascii="Verdana" w:eastAsia="Calibri" w:hAnsi="Verdana" w:cs="Arial"/>
          <w:sz w:val="20"/>
          <w:szCs w:val="20"/>
        </w:rPr>
        <w:t>“</w:t>
      </w:r>
      <w:r w:rsidRPr="00380CA4">
        <w:rPr>
          <w:rFonts w:ascii="Verdana" w:eastAsia="Calibri" w:hAnsi="Verdana" w:cs="Arial"/>
          <w:sz w:val="20"/>
          <w:szCs w:val="20"/>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380CA4">
        <w:rPr>
          <w:rFonts w:ascii="Verdana" w:eastAsia="Calibri" w:hAnsi="Verdana" w:cs="Arial"/>
          <w:sz w:val="20"/>
          <w:szCs w:val="20"/>
        </w:rPr>
        <w:lastRenderedPageBreak/>
        <w:t>2, ley 1150 de 2007), y cumpliendo siempre los principios que rigen la contratación pública</w:t>
      </w:r>
      <w:r w:rsidRPr="00380CA4">
        <w:rPr>
          <w:rFonts w:ascii="Verdana" w:eastAsia="Times New Roman" w:hAnsi="Verdana" w:cs="Arial"/>
          <w:sz w:val="20"/>
          <w:szCs w:val="20"/>
          <w:vertAlign w:val="superscript"/>
          <w:lang w:eastAsia="es-CO"/>
        </w:rPr>
        <w:footnoteReference w:id="11"/>
      </w:r>
      <w:r w:rsidRPr="00380CA4">
        <w:rPr>
          <w:rFonts w:ascii="Verdana" w:eastAsia="Calibri" w:hAnsi="Verdana" w:cs="Arial"/>
          <w:sz w:val="20"/>
          <w:szCs w:val="20"/>
        </w:rPr>
        <w:t>.</w:t>
      </w:r>
    </w:p>
    <w:p w14:paraId="740E31CF" w14:textId="77777777" w:rsidR="002C7A87" w:rsidRPr="00380CA4" w:rsidRDefault="002C7A87" w:rsidP="002C7A87">
      <w:pPr>
        <w:spacing w:after="0" w:line="240" w:lineRule="auto"/>
        <w:ind w:left="709" w:right="709"/>
        <w:jc w:val="both"/>
        <w:rPr>
          <w:rFonts w:ascii="Verdana" w:eastAsia="Calibri" w:hAnsi="Verdana" w:cs="Arial"/>
          <w:sz w:val="20"/>
          <w:szCs w:val="20"/>
        </w:rPr>
      </w:pPr>
      <w:r w:rsidRPr="00380CA4">
        <w:rPr>
          <w:rFonts w:ascii="Verdana" w:eastAsia="Calibri" w:hAnsi="Verdana" w:cs="Arial"/>
          <w:sz w:val="20"/>
          <w:szCs w:val="20"/>
        </w:rPr>
        <w:t xml:space="preserve">Esta Sala ha entendido </w:t>
      </w:r>
      <w:proofErr w:type="gramStart"/>
      <w:r w:rsidRPr="00380CA4">
        <w:rPr>
          <w:rFonts w:ascii="Verdana" w:eastAsia="Calibri" w:hAnsi="Verdana" w:cs="Arial"/>
          <w:sz w:val="20"/>
          <w:szCs w:val="20"/>
        </w:rPr>
        <w:t>que</w:t>
      </w:r>
      <w:proofErr w:type="gramEnd"/>
      <w:r w:rsidRPr="00380CA4">
        <w:rPr>
          <w:rFonts w:ascii="Verdana" w:eastAsia="Calibri" w:hAnsi="Verdana" w:cs="Arial"/>
          <w:sz w:val="20"/>
          <w:szCs w:val="20"/>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80CA4">
        <w:rPr>
          <w:rFonts w:ascii="Verdana" w:eastAsia="Times New Roman" w:hAnsi="Verdana" w:cs="Arial"/>
          <w:sz w:val="20"/>
          <w:szCs w:val="20"/>
          <w:vertAlign w:val="superscript"/>
        </w:rPr>
        <w:footnoteReference w:id="12"/>
      </w:r>
      <w:r w:rsidRPr="00380CA4">
        <w:rPr>
          <w:rFonts w:ascii="Verdana" w:eastAsia="Times New Roman" w:hAnsi="Verdana" w:cs="Arial"/>
          <w:sz w:val="20"/>
          <w:szCs w:val="20"/>
          <w:vertAlign w:val="superscript"/>
        </w:rPr>
        <w:t>.</w:t>
      </w:r>
      <w:r w:rsidRPr="00380CA4">
        <w:rPr>
          <w:rFonts w:ascii="Verdana" w:eastAsia="Calibri"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Calibri" w:hAnsi="Verdana" w:cs="Arial"/>
          <w:sz w:val="20"/>
          <w:szCs w:val="20"/>
        </w:rPr>
        <w:t>”</w:t>
      </w:r>
      <w:r w:rsidRPr="00380CA4">
        <w:rPr>
          <w:rFonts w:ascii="Verdana" w:eastAsia="Times New Roman" w:hAnsi="Verdana" w:cs="Arial"/>
          <w:sz w:val="20"/>
          <w:szCs w:val="20"/>
          <w:vertAlign w:val="superscript"/>
          <w:lang w:eastAsia="es-CO"/>
        </w:rPr>
        <w:footnoteReference w:id="13"/>
      </w:r>
      <w:r w:rsidRPr="00380CA4">
        <w:rPr>
          <w:rFonts w:ascii="Verdana" w:eastAsia="Calibri" w:hAnsi="Verdana" w:cs="Arial"/>
          <w:sz w:val="20"/>
          <w:szCs w:val="20"/>
        </w:rPr>
        <w:t xml:space="preserve"> .</w:t>
      </w:r>
    </w:p>
    <w:p w14:paraId="5F99B926" w14:textId="77777777" w:rsidR="002C7A87" w:rsidRPr="00380CA4" w:rsidRDefault="002C7A87" w:rsidP="002C7A87">
      <w:pPr>
        <w:shd w:val="clear" w:color="auto" w:fill="FFFFFF"/>
        <w:spacing w:after="0" w:line="276" w:lineRule="auto"/>
        <w:ind w:firstLine="709"/>
        <w:jc w:val="both"/>
        <w:rPr>
          <w:rFonts w:ascii="Verdana" w:eastAsia="Times New Roman" w:hAnsi="Verdana" w:cs="Arial"/>
          <w:lang w:eastAsia="x-none"/>
        </w:rPr>
      </w:pPr>
    </w:p>
    <w:p w14:paraId="2760D6D3" w14:textId="77777777" w:rsidR="002C7A87" w:rsidRPr="00380CA4" w:rsidRDefault="002C7A87" w:rsidP="002C7A87">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lang w:eastAsia="x-none"/>
        </w:rPr>
        <w:t xml:space="preserve">De acuerdo con el citado concepto, la prohibición del artículo 33 de la Ley de Garantías Electorales se refiere a </w:t>
      </w:r>
      <w:r w:rsidRPr="00380CA4">
        <w:rPr>
          <w:rFonts w:ascii="Verdana" w:eastAsia="Times New Roman" w:hAnsi="Verdana" w:cs="Arial"/>
          <w:sz w:val="19"/>
          <w:szCs w:val="19"/>
          <w:lang w:eastAsia="en-GB"/>
        </w:rPr>
        <w:t>“</w:t>
      </w:r>
      <w:r w:rsidRPr="00380CA4">
        <w:rPr>
          <w:rFonts w:ascii="Verdana" w:eastAsia="Times New Roman" w:hAnsi="Verdana" w:cs="Arial"/>
          <w:lang w:eastAsia="x-none"/>
        </w:rPr>
        <w:t>cualquier sistema que no implique convocatoria pública y posibilidad de pluralidad de oferentes</w:t>
      </w:r>
      <w:r w:rsidRPr="00380CA4">
        <w:rPr>
          <w:rFonts w:ascii="Verdana" w:eastAsia="Times New Roman" w:hAnsi="Verdana" w:cs="Arial"/>
          <w:lang w:eastAsia="en-GB"/>
        </w:rPr>
        <w:t>”</w:t>
      </w:r>
      <w:r w:rsidRPr="00380CA4">
        <w:rPr>
          <w:rFonts w:ascii="Verdana" w:eastAsia="Times New Roman" w:hAnsi="Verdana" w:cs="Arial"/>
          <w:lang w:eastAsia="x-none"/>
        </w:rPr>
        <w:t>, por lo que excluye las demás modalidades de contratación previstas en la Ley 1150 de 2007, es decir, la licitación pública, la selección abreviada, el concurso de méritos y la mínima cuantía</w:t>
      </w:r>
      <w:r w:rsidRPr="00380CA4" w:rsidDel="00A85D9F">
        <w:rPr>
          <w:rFonts w:ascii="Verdana" w:eastAsia="Times New Roman" w:hAnsi="Verdana" w:cs="Arial"/>
          <w:lang w:eastAsia="x-none"/>
        </w:rPr>
        <w:t xml:space="preserve"> </w:t>
      </w:r>
      <w:r w:rsidRPr="00380CA4">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380CA4">
        <w:rPr>
          <w:rFonts w:ascii="Verdana" w:eastAsia="Times New Roman" w:hAnsi="Verdana" w:cs="Arial"/>
          <w:vertAlign w:val="superscript"/>
          <w:lang w:eastAsia="x-none"/>
        </w:rPr>
        <w:footnoteReference w:id="14"/>
      </w:r>
      <w:r w:rsidRPr="00380CA4">
        <w:rPr>
          <w:rFonts w:ascii="Verdana" w:eastAsia="Times New Roman" w:hAnsi="Verdana" w:cs="Arial"/>
          <w:lang w:eastAsia="x-none"/>
        </w:rPr>
        <w:t xml:space="preserve"> y sistematizó las causales de contratación directa</w:t>
      </w:r>
      <w:r w:rsidRPr="00380CA4">
        <w:rPr>
          <w:rFonts w:ascii="Verdana" w:eastAsia="Times New Roman" w:hAnsi="Verdana" w:cs="Arial"/>
          <w:vertAlign w:val="superscript"/>
          <w:lang w:eastAsia="x-none"/>
        </w:rPr>
        <w:footnoteReference w:id="15"/>
      </w:r>
      <w:r w:rsidRPr="00380CA4">
        <w:rPr>
          <w:rFonts w:ascii="Verdana" w:eastAsia="Times New Roman" w:hAnsi="Verdana" w:cs="Arial"/>
          <w:lang w:eastAsia="x-none"/>
        </w:rPr>
        <w:t xml:space="preserve">, </w:t>
      </w:r>
      <w:r w:rsidRPr="00380CA4">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491E2555" w14:textId="77777777" w:rsidR="002C7A87" w:rsidRPr="00380CA4" w:rsidRDefault="002C7A87" w:rsidP="002C7A87">
      <w:pPr>
        <w:spacing w:after="120" w:line="276" w:lineRule="auto"/>
        <w:ind w:firstLine="708"/>
        <w:jc w:val="both"/>
        <w:rPr>
          <w:rFonts w:ascii="Verdana" w:eastAsia="Times New Roman" w:hAnsi="Verdana" w:cs="Arial"/>
          <w:lang w:eastAsia="x-none"/>
        </w:rPr>
      </w:pPr>
      <w:r w:rsidRPr="00380CA4">
        <w:rPr>
          <w:rFonts w:ascii="Verdana" w:eastAsia="Times New Roman" w:hAnsi="Verdana" w:cs="Arial"/>
          <w:lang w:eastAsia="x-none"/>
        </w:rPr>
        <w:t xml:space="preserve">De esta forma, con fundamento en la evolución de la normativa sobre la contratación pública, se ha depurado la noción de </w:t>
      </w:r>
      <w:r w:rsidRPr="00380CA4">
        <w:rPr>
          <w:rFonts w:ascii="Verdana" w:eastAsia="Times New Roman" w:hAnsi="Verdana" w:cs="Arial"/>
          <w:sz w:val="19"/>
          <w:szCs w:val="19"/>
          <w:lang w:eastAsia="en-GB"/>
        </w:rPr>
        <w:t>«</w:t>
      </w:r>
      <w:r w:rsidRPr="00380CA4">
        <w:rPr>
          <w:rFonts w:ascii="Verdana" w:eastAsia="Times New Roman" w:hAnsi="Verdana" w:cs="Arial"/>
          <w:lang w:eastAsia="x-none"/>
        </w:rPr>
        <w:t>contratación directa</w:t>
      </w:r>
      <w:r w:rsidRPr="00380CA4">
        <w:rPr>
          <w:rFonts w:ascii="Verdana" w:eastAsia="Times New Roman" w:hAnsi="Verdana" w:cs="Arial"/>
          <w:lang w:eastAsia="en-GB"/>
        </w:rPr>
        <w:t>»</w:t>
      </w:r>
      <w:r w:rsidRPr="00380CA4">
        <w:rPr>
          <w:rFonts w:ascii="Verdana" w:eastAsia="Times New Roman" w:hAnsi="Verdana" w:cs="Arial"/>
          <w:lang w:eastAsia="x-none"/>
        </w:rPr>
        <w:t xml:space="preserve">, precisando el Consejo de Estado –en el concepto citado– que, </w:t>
      </w:r>
      <w:r>
        <w:rPr>
          <w:rFonts w:ascii="Verdana" w:eastAsia="Times New Roman" w:hAnsi="Verdana" w:cs="Arial"/>
          <w:lang w:eastAsia="x-none"/>
        </w:rPr>
        <w:t>“</w:t>
      </w:r>
      <w:r w:rsidRPr="00380CA4">
        <w:rPr>
          <w:rFonts w:ascii="Verdana" w:eastAsia="Times New Roman" w:hAnsi="Verdana" w:cs="Arial"/>
          <w:lang w:eastAsia="x-none"/>
        </w:rPr>
        <w:t xml:space="preserve">aun cuando no coincide única y exactamente con la regulación que de dicho sistema de selección hace el artículo 2º de la Ley 1150 de 2007, tampoco puede afirmarse que sea cualquier procedimiento de contratación distinto de la licitación pública, pues </w:t>
      </w:r>
      <w:r w:rsidRPr="00380CA4">
        <w:rPr>
          <w:rFonts w:ascii="Verdana" w:eastAsia="Times New Roman" w:hAnsi="Verdana" w:cs="Arial"/>
          <w:lang w:eastAsia="x-none"/>
        </w:rPr>
        <w:lastRenderedPageBreak/>
        <w:t>esto sería tanto como desconocer que el legislador, no solo en el Estatuto General de la Contratación de la Administración Pública, sino también en leyes especiales e, incluso, en el derecho privado</w:t>
      </w:r>
      <w:r w:rsidRPr="00380CA4">
        <w:rPr>
          <w:rFonts w:ascii="Verdana" w:eastAsia="Times New Roman" w:hAnsi="Verdana" w:cs="Arial"/>
          <w:vertAlign w:val="superscript"/>
          <w:lang w:eastAsia="x-none"/>
        </w:rPr>
        <w:footnoteReference w:id="16"/>
      </w:r>
      <w:r w:rsidRPr="00380CA4">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380CA4">
        <w:rPr>
          <w:rFonts w:ascii="Verdana" w:eastAsia="Times New Roman" w:hAnsi="Verdana" w:cs="Arial"/>
          <w:lang w:eastAsia="x-none"/>
        </w:rPr>
        <w:t xml:space="preserve">. </w:t>
      </w:r>
    </w:p>
    <w:p w14:paraId="248B0F10" w14:textId="77777777" w:rsidR="002C7A87" w:rsidRPr="00380CA4" w:rsidRDefault="002C7A87" w:rsidP="002C7A87">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x-none"/>
        </w:rPr>
        <w:t>E</w:t>
      </w:r>
      <w:r w:rsidRPr="00380CA4">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380CA4">
        <w:rPr>
          <w:rFonts w:ascii="Verdana" w:eastAsia="Times New Roman" w:hAnsi="Verdana" w:cs="Arial"/>
          <w:lang w:eastAsia="x-none"/>
        </w:rPr>
        <w:t>contratación directa</w:t>
      </w:r>
      <w:r>
        <w:rPr>
          <w:rFonts w:ascii="Verdana" w:eastAsia="Times New Roman" w:hAnsi="Verdana" w:cs="Arial"/>
          <w:lang w:eastAsia="x-none"/>
        </w:rPr>
        <w:t>”</w:t>
      </w:r>
      <w:r w:rsidRPr="00380CA4">
        <w:rPr>
          <w:rFonts w:ascii="Verdana" w:eastAsia="Times New Roman" w:hAnsi="Verdana" w:cs="Arial"/>
          <w:lang w:eastAsia="x-none"/>
        </w:rPr>
        <w:t>, es que la convocatoria para inscribirse en forma previa se haga de manera pública, y que se permita la participación de una pluralidad de oferentes</w:t>
      </w:r>
      <w:r w:rsidRPr="00380CA4">
        <w:rPr>
          <w:rFonts w:ascii="Verdana" w:eastAsia="Times New Roman" w:hAnsi="Verdana" w:cs="Arial"/>
          <w:vertAlign w:val="superscript"/>
          <w:lang w:eastAsia="x-none"/>
        </w:rPr>
        <w:footnoteReference w:id="17"/>
      </w:r>
      <w:r w:rsidRPr="00380CA4">
        <w:rPr>
          <w:rFonts w:ascii="Verdana" w:eastAsia="Times New Roman" w:hAnsi="Verdana" w:cs="Arial"/>
          <w:lang w:eastAsia="x-none"/>
        </w:rPr>
        <w:t xml:space="preserve">. </w:t>
      </w:r>
    </w:p>
    <w:p w14:paraId="05CDA2D8" w14:textId="77777777" w:rsidR="002C7A87" w:rsidRPr="00380CA4" w:rsidRDefault="002C7A87" w:rsidP="002C7A87">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w:t>
      </w:r>
      <w:r>
        <w:rPr>
          <w:rFonts w:ascii="Verdana" w:eastAsia="Times New Roman" w:hAnsi="Verdana" w:cs="Arial"/>
          <w:bCs/>
          <w:lang w:eastAsia="es-CO"/>
        </w:rPr>
        <w:t xml:space="preserve"> Electorales</w:t>
      </w:r>
      <w:r w:rsidRPr="00380CA4">
        <w:rPr>
          <w:rFonts w:ascii="Verdana" w:eastAsia="Times New Roman" w:hAnsi="Verdana" w:cs="Arial"/>
          <w:bCs/>
          <w:lang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eastAsia="es-CO"/>
        </w:rPr>
        <w:t>“</w:t>
      </w:r>
      <w:r w:rsidRPr="00380CA4">
        <w:rPr>
          <w:rFonts w:ascii="Verdana" w:eastAsia="Times New Roman" w:hAnsi="Verdana" w:cs="Arial"/>
          <w:bCs/>
          <w:lang w:eastAsia="es-CO"/>
        </w:rPr>
        <w:t>contratación directa</w:t>
      </w:r>
      <w:r>
        <w:rPr>
          <w:rFonts w:ascii="Verdana" w:eastAsia="Times New Roman" w:hAnsi="Verdana" w:cs="Arial"/>
          <w:bCs/>
          <w:lang w:eastAsia="es-CO"/>
        </w:rPr>
        <w:t>”</w:t>
      </w:r>
      <w:r w:rsidRPr="00380CA4">
        <w:rPr>
          <w:rFonts w:ascii="Verdana" w:eastAsia="Times New Roman" w:hAnsi="Verdana" w:cs="Arial"/>
          <w:bCs/>
          <w:lang w:eastAsia="es-CO"/>
        </w:rPr>
        <w:t>.</w:t>
      </w:r>
    </w:p>
    <w:p w14:paraId="3CECFDA1" w14:textId="77777777" w:rsidR="002C7A87" w:rsidRPr="001052D1" w:rsidRDefault="002C7A87" w:rsidP="002C7A87">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80CA4">
        <w:rPr>
          <w:rFonts w:ascii="Verdana" w:eastAsia="Times New Roman" w:hAnsi="Verdana" w:cs="Arial"/>
          <w:vertAlign w:val="superscript"/>
          <w:lang w:eastAsia="x-none"/>
        </w:rPr>
        <w:footnoteReference w:id="18"/>
      </w:r>
      <w:r w:rsidRPr="00380CA4">
        <w:rPr>
          <w:rFonts w:ascii="Verdana" w:eastAsia="Times New Roman" w:hAnsi="Verdana" w:cs="Arial"/>
          <w:bCs/>
          <w:lang w:eastAsia="x-none"/>
        </w:rPr>
        <w:t>.</w:t>
      </w:r>
      <w:r w:rsidRPr="00380CA4">
        <w:rPr>
          <w:rFonts w:ascii="Verdana" w:eastAsia="Times New Roman" w:hAnsi="Verdana" w:cs="Arial"/>
          <w:vertAlign w:val="superscript"/>
          <w:lang w:eastAsia="x-none"/>
        </w:rPr>
        <w:t xml:space="preserve"> </w:t>
      </w:r>
      <w:r w:rsidRPr="00380CA4">
        <w:rPr>
          <w:rFonts w:ascii="Verdana" w:eastAsia="Times New Roman" w:hAnsi="Verdana" w:cs="Arial"/>
          <w:bCs/>
          <w:lang w:eastAsia="x-none"/>
        </w:rPr>
        <w:t xml:space="preserve">De lo anterior se desprende que la restricción aplica, sin perjuicio de las excepciones establecidas en la misma ley, para celebrar cualquier contrato de forma directa, esto es, sin que exista un </w:t>
      </w:r>
      <w:r w:rsidRPr="00380CA4">
        <w:rPr>
          <w:rFonts w:ascii="Verdana" w:eastAsia="Times New Roman" w:hAnsi="Verdana" w:cs="Arial"/>
          <w:bCs/>
          <w:lang w:eastAsia="x-none"/>
        </w:rPr>
        <w:lastRenderedPageBreak/>
        <w:t>proceso abierto y competitivo.</w:t>
      </w:r>
      <w:r w:rsidRPr="00380CA4">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w:t>
      </w:r>
      <w:r>
        <w:rPr>
          <w:rFonts w:ascii="Verdana" w:eastAsia="Times New Roman" w:hAnsi="Verdana" w:cs="Arial"/>
          <w:lang w:eastAsia="x-none"/>
        </w:rPr>
        <w:t xml:space="preserve"> así como aquellos sistemas que impliquen un procedimiento abierto y competitivo tratándose de regímenes especiales de contratación,</w:t>
      </w:r>
      <w:r w:rsidRPr="00380CA4">
        <w:rPr>
          <w:rFonts w:ascii="Verdana" w:eastAsia="Times New Roman" w:hAnsi="Verdana" w:cs="Arial"/>
          <w:lang w:eastAsia="x-none"/>
        </w:rPr>
        <w:t xml:space="preserve"> razón por la cual en ese período preelectoral de que trata la disposición las entidades públicas pueden seguir contratando bajo estos sistemas.</w:t>
      </w:r>
    </w:p>
    <w:p w14:paraId="6ACAD610" w14:textId="77777777" w:rsidR="002C7A87" w:rsidRDefault="002C7A87" w:rsidP="002C7A87">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x-none"/>
        </w:rPr>
        <w:t>De otro lado, las excepciones a la restricción prevista en la Ley de Garantías</w:t>
      </w:r>
      <w:r>
        <w:rPr>
          <w:rFonts w:ascii="Verdana" w:eastAsia="Times New Roman" w:hAnsi="Verdana" w:cs="Arial"/>
          <w:bCs/>
          <w:lang w:eastAsia="x-none"/>
        </w:rPr>
        <w:t xml:space="preserve"> Electorales</w:t>
      </w:r>
      <w:r w:rsidRPr="00380CA4">
        <w:rPr>
          <w:rFonts w:ascii="Verdana" w:eastAsia="Times New Roman" w:hAnsi="Verdana" w:cs="Arial"/>
          <w:bCs/>
          <w:lang w:eastAsia="x-none"/>
        </w:rPr>
        <w:t xml:space="preserve">,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380CA4">
        <w:rPr>
          <w:rFonts w:ascii="Verdana" w:eastAsia="Times New Roman" w:hAnsi="Verdana" w:cs="Arial"/>
          <w:bCs/>
          <w:lang w:eastAsia="x-none"/>
        </w:rPr>
        <w:t>ii</w:t>
      </w:r>
      <w:proofErr w:type="spellEnd"/>
      <w:r w:rsidRPr="00380CA4">
        <w:rPr>
          <w:rFonts w:ascii="Verdana" w:eastAsia="Times New Roman" w:hAnsi="Verdana" w:cs="Arial"/>
          <w:bCs/>
          <w:lang w:eastAsia="x-none"/>
        </w:rPr>
        <w:t xml:space="preserve">) los contratos de crédito público; </w:t>
      </w:r>
      <w:proofErr w:type="spellStart"/>
      <w:r w:rsidRPr="00380CA4">
        <w:rPr>
          <w:rFonts w:ascii="Verdana" w:eastAsia="Times New Roman" w:hAnsi="Verdana" w:cs="Arial"/>
          <w:bCs/>
          <w:lang w:eastAsia="x-none"/>
        </w:rPr>
        <w:t>iii</w:t>
      </w:r>
      <w:proofErr w:type="spellEnd"/>
      <w:r w:rsidRPr="00380CA4">
        <w:rPr>
          <w:rFonts w:ascii="Verdana" w:eastAsia="Times New Roman" w:hAnsi="Verdana" w:cs="Arial"/>
          <w:bCs/>
          <w:lang w:eastAsia="x-none"/>
        </w:rPr>
        <w:t xml:space="preserve">) los requeridos para cubrir las emergencias educativas, sanitarias y desastres; </w:t>
      </w:r>
      <w:proofErr w:type="spellStart"/>
      <w:r w:rsidRPr="00380CA4">
        <w:rPr>
          <w:rFonts w:ascii="Verdana" w:eastAsia="Times New Roman" w:hAnsi="Verdana" w:cs="Arial"/>
          <w:bCs/>
          <w:lang w:eastAsia="x-none"/>
        </w:rPr>
        <w:t>iv</w:t>
      </w:r>
      <w:proofErr w:type="spellEnd"/>
      <w:r w:rsidRPr="00380CA4">
        <w:rPr>
          <w:rFonts w:ascii="Verdana" w:eastAsia="Times New Roman" w:hAnsi="Verdana"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80CA4">
        <w:rPr>
          <w:rFonts w:ascii="Verdana" w:eastAsia="Times New Roman" w:hAnsi="Verdana" w:cs="Arial"/>
          <w:bCs/>
          <w:lang w:eastAsia="es-CO"/>
        </w:rPr>
        <w:t xml:space="preserve"> </w:t>
      </w:r>
    </w:p>
    <w:p w14:paraId="02831615" w14:textId="77777777" w:rsidR="002C7A87" w:rsidRPr="00380CA4" w:rsidRDefault="002C7A87" w:rsidP="002C7A87">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eastAsia="es-CO"/>
        </w:rPr>
        <w:t>Conforme a las anteriores causales, e</w:t>
      </w:r>
      <w:r w:rsidRPr="00380CA4">
        <w:rPr>
          <w:rFonts w:ascii="Verdana" w:eastAsia="Times New Roman" w:hAnsi="Verdana" w:cs="Arial"/>
          <w:bCs/>
          <w:lang w:eastAsia="es-CO"/>
        </w:rPr>
        <w:t xml:space="preserve">s responsabilidad del respectivo ente del Estado, examinar en cada caso la naturaleza de las actividades que adelanta y determinar si las mismas se enmarcan en alguna de las mencionadas excepciones, de manera que se le permita realizar </w:t>
      </w:r>
      <w:r>
        <w:rPr>
          <w:rFonts w:ascii="Verdana" w:eastAsia="Times New Roman" w:hAnsi="Verdana" w:cs="Arial"/>
          <w:bCs/>
          <w:lang w:eastAsia="es-CO"/>
        </w:rPr>
        <w:t xml:space="preserve">la contratación que necesite de </w:t>
      </w:r>
      <w:r w:rsidRPr="00380CA4">
        <w:rPr>
          <w:rFonts w:ascii="Verdana" w:eastAsia="Times New Roman" w:hAnsi="Verdana" w:cs="Arial"/>
          <w:bCs/>
          <w:lang w:eastAsia="es-CO"/>
        </w:rPr>
        <w:t>forma directa.</w:t>
      </w:r>
    </w:p>
    <w:p w14:paraId="79F2D740" w14:textId="77777777" w:rsidR="002C7A87" w:rsidRPr="00380CA4" w:rsidRDefault="002C7A87" w:rsidP="002C7A87">
      <w:pPr>
        <w:spacing w:after="120" w:line="276" w:lineRule="auto"/>
        <w:ind w:firstLine="709"/>
        <w:jc w:val="both"/>
        <w:rPr>
          <w:rFonts w:ascii="Verdana" w:eastAsia="Times New Roman" w:hAnsi="Verdana" w:cs="Arial"/>
          <w:bCs/>
          <w:lang w:eastAsia="x-none"/>
        </w:rPr>
      </w:pPr>
      <w:r w:rsidRPr="00380CA4">
        <w:rPr>
          <w:rFonts w:ascii="Verdana" w:eastAsia="Times New Roman" w:hAnsi="Verdana" w:cs="Arial"/>
          <w:bCs/>
          <w:lang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80CA4">
        <w:rPr>
          <w:rFonts w:ascii="Verdana" w:eastAsia="Calibri" w:hAnsi="Verdana" w:cs="Arial"/>
          <w:vertAlign w:val="superscript"/>
        </w:rPr>
        <w:footnoteReference w:id="19"/>
      </w:r>
      <w:r w:rsidRPr="00380CA4">
        <w:rPr>
          <w:rFonts w:ascii="Verdana" w:eastAsia="Times New Roman" w:hAnsi="Verdana" w:cs="Arial"/>
          <w:bCs/>
          <w:lang w:eastAsia="x-none"/>
        </w:rPr>
        <w:t xml:space="preserve">. De ahí que la Corte haya señalado que las excepciones a la restricción protegen diversos tipos de urgencias de defensa, salud, educación, infraestructura vial y de servicios públicos y ecológicas, que tienden a no limitar desproporcionadamente la acción </w:t>
      </w:r>
      <w:r w:rsidRPr="00380CA4">
        <w:rPr>
          <w:rFonts w:ascii="Verdana" w:eastAsia="Times New Roman" w:hAnsi="Verdana" w:cs="Arial"/>
          <w:bCs/>
          <w:lang w:eastAsia="x-none"/>
        </w:rPr>
        <w:lastRenderedPageBreak/>
        <w:t>del Estado en el cumplimiento de sus fines, en procura de la igualdad entre los candidatos como garantía electoral.</w:t>
      </w:r>
    </w:p>
    <w:p w14:paraId="7438B839" w14:textId="77777777" w:rsidR="002C7A87" w:rsidRDefault="002C7A87" w:rsidP="002C7A87">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380CA4">
        <w:rPr>
          <w:rFonts w:ascii="Verdana" w:eastAsia="Calibri" w:hAnsi="Verdana" w:cs="Arial"/>
          <w:sz w:val="24"/>
        </w:rPr>
        <w:t xml:space="preserve"> </w:t>
      </w:r>
      <w:r w:rsidRPr="00380CA4">
        <w:rPr>
          <w:rFonts w:ascii="Verdana" w:eastAsia="Times New Roman" w:hAnsi="Verdana" w:cs="Arial"/>
          <w:bCs/>
          <w:lang w:eastAsia="x-none"/>
        </w:rPr>
        <w:t>En efecto, tal como lo ha sostenido el Consejo de Estado, el vocablo “todos” utilizado por el legislador comprende</w:t>
      </w:r>
      <w:r w:rsidRPr="00380CA4">
        <w:rPr>
          <w:rFonts w:ascii="Verdana" w:eastAsia="Calibri" w:hAnsi="Verdana" w:cs="Arial"/>
          <w:sz w:val="24"/>
        </w:rPr>
        <w:t xml:space="preserve"> </w:t>
      </w:r>
      <w:r w:rsidRPr="00380CA4">
        <w:rPr>
          <w:rFonts w:ascii="Verdana" w:eastAsia="Times New Roman" w:hAnsi="Verdana" w:cs="Arial"/>
          <w:bCs/>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3F004AEF" w14:textId="77777777" w:rsidR="002C7A87" w:rsidRPr="00380CA4" w:rsidRDefault="002C7A87" w:rsidP="002C7A87">
      <w:pPr>
        <w:spacing w:after="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 xml:space="preserve">La Sala de Consulta y Servicio Civil del Consejo de Estado, en Concepto 1727 de fecha 20 de febrero de 2006, consideró que: </w:t>
      </w:r>
    </w:p>
    <w:p w14:paraId="09477FC7" w14:textId="77777777" w:rsidR="002C7A87" w:rsidRPr="00380CA4" w:rsidRDefault="002C7A87" w:rsidP="002C7A87">
      <w:pPr>
        <w:spacing w:after="0" w:line="276" w:lineRule="auto"/>
        <w:jc w:val="both"/>
        <w:rPr>
          <w:rFonts w:ascii="Verdana" w:eastAsia="Times New Roman" w:hAnsi="Verdana" w:cs="Arial"/>
          <w:bCs/>
          <w:lang w:eastAsia="x-none"/>
        </w:rPr>
      </w:pPr>
    </w:p>
    <w:p w14:paraId="16FDBDAD" w14:textId="77777777" w:rsidR="002C7A87" w:rsidRPr="0087053C" w:rsidRDefault="002C7A87" w:rsidP="002C7A87">
      <w:pPr>
        <w:spacing w:after="0" w:line="240" w:lineRule="auto"/>
        <w:ind w:left="709" w:right="709"/>
        <w:jc w:val="both"/>
        <w:rPr>
          <w:rFonts w:ascii="Verdana" w:eastAsia="Times New Roman" w:hAnsi="Verdana" w:cs="Arial"/>
          <w:bCs/>
          <w:sz w:val="20"/>
          <w:szCs w:val="20"/>
          <w:lang w:eastAsia="es-CO"/>
        </w:rPr>
      </w:pPr>
      <w:r w:rsidRPr="0087053C">
        <w:rPr>
          <w:rFonts w:ascii="Verdana" w:eastAsia="Times New Roman" w:hAnsi="Verdana" w:cs="Arial"/>
          <w:bCs/>
          <w:sz w:val="20"/>
          <w:szCs w:val="20"/>
          <w:lang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87053C">
        <w:rPr>
          <w:rFonts w:ascii="Verdana" w:eastAsia="Times New Roman" w:hAnsi="Verdana" w:cs="Arial"/>
          <w:bCs/>
          <w:sz w:val="20"/>
          <w:szCs w:val="20"/>
          <w:vertAlign w:val="superscript"/>
          <w:lang w:eastAsia="x-none"/>
        </w:rPr>
        <w:footnoteReference w:id="20"/>
      </w:r>
      <w:r w:rsidRPr="0087053C">
        <w:rPr>
          <w:rFonts w:ascii="Verdana" w:eastAsia="Times New Roman" w:hAnsi="Verdana" w:cs="Arial"/>
          <w:bCs/>
          <w:sz w:val="20"/>
          <w:szCs w:val="20"/>
          <w:lang w:eastAsia="x-none"/>
        </w:rPr>
        <w:t>.</w:t>
      </w:r>
      <w:r w:rsidRPr="0087053C">
        <w:rPr>
          <w:rFonts w:ascii="Verdana" w:eastAsia="Times New Roman" w:hAnsi="Verdana" w:cs="Arial"/>
          <w:bCs/>
          <w:sz w:val="20"/>
          <w:szCs w:val="20"/>
          <w:lang w:eastAsia="es-CO"/>
        </w:rPr>
        <w:t xml:space="preserve"> </w:t>
      </w:r>
    </w:p>
    <w:p w14:paraId="1F625B29" w14:textId="77777777" w:rsidR="002C7A87" w:rsidRPr="00380CA4" w:rsidRDefault="002C7A87" w:rsidP="002C7A87">
      <w:pPr>
        <w:spacing w:after="0" w:line="276" w:lineRule="auto"/>
        <w:ind w:firstLine="708"/>
        <w:jc w:val="both"/>
        <w:rPr>
          <w:rFonts w:ascii="Verdana" w:eastAsia="Times New Roman" w:hAnsi="Verdana" w:cs="Arial"/>
          <w:bCs/>
          <w:lang w:eastAsia="es-CO"/>
        </w:rPr>
      </w:pPr>
    </w:p>
    <w:p w14:paraId="1B4FE80C" w14:textId="77777777" w:rsidR="002C7A87" w:rsidRPr="00380CA4" w:rsidRDefault="002C7A87" w:rsidP="002C7A87">
      <w:pPr>
        <w:spacing w:after="0" w:line="276" w:lineRule="auto"/>
        <w:ind w:firstLine="708"/>
        <w:jc w:val="both"/>
        <w:rPr>
          <w:rFonts w:ascii="Verdana" w:eastAsia="Calibri" w:hAnsi="Verdana" w:cs="Arial"/>
        </w:rPr>
      </w:pPr>
      <w:r w:rsidRPr="00380CA4">
        <w:rPr>
          <w:rFonts w:ascii="Verdana" w:eastAsia="Times New Roman" w:hAnsi="Verdana" w:cs="Arial"/>
          <w:bCs/>
          <w:lang w:eastAsia="x-none"/>
        </w:rPr>
        <w:t xml:space="preserve">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w:t>
      </w:r>
      <w:r w:rsidRPr="00380CA4">
        <w:rPr>
          <w:rFonts w:ascii="Verdana" w:eastAsia="Times New Roman" w:hAnsi="Verdana" w:cs="Arial"/>
          <w:bCs/>
          <w:lang w:eastAsia="x-none"/>
        </w:rPr>
        <w:lastRenderedPageBreak/>
        <w:t>Legislador”</w:t>
      </w:r>
      <w:r w:rsidRPr="00380CA4">
        <w:rPr>
          <w:rFonts w:ascii="Verdana" w:eastAsia="Calibri" w:hAnsi="Verdana" w:cs="Arial"/>
          <w:sz w:val="24"/>
          <w:vertAlign w:val="superscript"/>
        </w:rPr>
        <w:footnoteReference w:id="21"/>
      </w:r>
      <w:r w:rsidRPr="00380CA4">
        <w:rPr>
          <w:rFonts w:ascii="Verdana" w:eastAsia="Times New Roman" w:hAnsi="Verdana" w:cs="Arial"/>
          <w:bCs/>
          <w:lang w:eastAsia="x-none"/>
        </w:rPr>
        <w:t>.</w:t>
      </w:r>
      <w:r w:rsidRPr="00380CA4">
        <w:rPr>
          <w:rFonts w:ascii="Verdana" w:eastAsia="Calibri" w:hAnsi="Verdana" w:cs="Arial"/>
        </w:rPr>
        <w:t xml:space="preserve"> Además, la Sala de Consulta y Servicio Civil del Consejo de Estado realizó la siguiente distinción, retomando el pronunciamiento de la misma sala del 20 de febrero de 2006, citado anteriormente:</w:t>
      </w:r>
    </w:p>
    <w:p w14:paraId="6385D805" w14:textId="77777777" w:rsidR="002C7A87" w:rsidRPr="00380CA4" w:rsidRDefault="002C7A87" w:rsidP="002C7A87">
      <w:pPr>
        <w:spacing w:after="0" w:line="276" w:lineRule="auto"/>
        <w:jc w:val="both"/>
        <w:rPr>
          <w:rFonts w:ascii="Verdana" w:eastAsia="Calibri" w:hAnsi="Verdana" w:cs="Arial"/>
        </w:rPr>
      </w:pPr>
    </w:p>
    <w:p w14:paraId="20BD127B" w14:textId="77777777" w:rsidR="002C7A87" w:rsidRPr="00380CA4" w:rsidRDefault="002C7A87" w:rsidP="002C7A87">
      <w:pPr>
        <w:spacing w:after="0" w:line="240" w:lineRule="auto"/>
        <w:ind w:left="708" w:right="709"/>
        <w:jc w:val="both"/>
        <w:rPr>
          <w:rFonts w:ascii="Verdana" w:eastAsia="Calibri" w:hAnsi="Verdana" w:cs="Arial"/>
          <w:sz w:val="20"/>
          <w:szCs w:val="20"/>
        </w:rPr>
      </w:pPr>
      <w:r>
        <w:rPr>
          <w:rFonts w:ascii="Verdana" w:eastAsia="Calibri" w:hAnsi="Verdana" w:cs="Arial"/>
          <w:sz w:val="20"/>
          <w:szCs w:val="20"/>
        </w:rPr>
        <w:t>“</w:t>
      </w:r>
      <w:r w:rsidRPr="00380CA4">
        <w:rPr>
          <w:rFonts w:ascii="Verdana" w:eastAsia="Calibri" w:hAnsi="Verdana" w:cs="Arial"/>
          <w:sz w:val="20"/>
          <w:szCs w:val="20"/>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107ACA49" w14:textId="77777777" w:rsidR="002C7A87" w:rsidRPr="00380CA4" w:rsidRDefault="002C7A87" w:rsidP="002C7A87">
      <w:pPr>
        <w:spacing w:after="0" w:line="240" w:lineRule="auto"/>
        <w:ind w:left="708" w:right="709"/>
        <w:jc w:val="both"/>
        <w:rPr>
          <w:rFonts w:ascii="Verdana" w:eastAsia="Calibri" w:hAnsi="Verdana" w:cs="Arial"/>
          <w:sz w:val="20"/>
          <w:szCs w:val="20"/>
        </w:rPr>
      </w:pPr>
    </w:p>
    <w:p w14:paraId="51AEFE94" w14:textId="77777777" w:rsidR="002C7A87" w:rsidRPr="00380CA4" w:rsidRDefault="002C7A87" w:rsidP="002C7A87">
      <w:pPr>
        <w:spacing w:after="0" w:line="240" w:lineRule="auto"/>
        <w:ind w:left="708" w:right="709"/>
        <w:jc w:val="both"/>
        <w:rPr>
          <w:rFonts w:ascii="Verdana" w:eastAsia="Calibri" w:hAnsi="Verdana" w:cs="Arial"/>
          <w:sz w:val="20"/>
          <w:szCs w:val="20"/>
        </w:rPr>
      </w:pPr>
      <w:r w:rsidRPr="00380CA4">
        <w:rPr>
          <w:rFonts w:ascii="Verdana" w:eastAsia="Times New Roman" w:hAnsi="Verdana" w:cs="Arial"/>
          <w:bCs/>
          <w:sz w:val="20"/>
          <w:szCs w:val="20"/>
          <w:lang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eastAsia="Times New Roman" w:hAnsi="Verdana" w:cs="Arial"/>
          <w:bCs/>
          <w:sz w:val="20"/>
          <w:szCs w:val="20"/>
          <w:lang w:eastAsia="x-none"/>
        </w:rPr>
        <w:t>”</w:t>
      </w:r>
      <w:r w:rsidRPr="00380CA4">
        <w:rPr>
          <w:rFonts w:ascii="Verdana" w:eastAsia="Calibri" w:hAnsi="Verdana" w:cs="Arial"/>
          <w:sz w:val="20"/>
          <w:szCs w:val="20"/>
          <w:vertAlign w:val="superscript"/>
        </w:rPr>
        <w:footnoteReference w:id="22"/>
      </w:r>
      <w:r w:rsidRPr="00380CA4">
        <w:rPr>
          <w:rFonts w:ascii="Verdana" w:eastAsia="Times New Roman" w:hAnsi="Verdana" w:cs="Arial"/>
          <w:bCs/>
          <w:sz w:val="20"/>
          <w:szCs w:val="20"/>
          <w:lang w:eastAsia="x-none"/>
        </w:rPr>
        <w:t>.</w:t>
      </w:r>
    </w:p>
    <w:p w14:paraId="4169461D" w14:textId="77777777" w:rsidR="002C7A87" w:rsidRPr="00380CA4" w:rsidRDefault="002C7A87" w:rsidP="002C7A87">
      <w:pPr>
        <w:spacing w:after="0" w:line="276" w:lineRule="auto"/>
        <w:jc w:val="both"/>
        <w:rPr>
          <w:rFonts w:ascii="Verdana" w:eastAsia="Calibri" w:hAnsi="Verdana" w:cs="Arial"/>
        </w:rPr>
      </w:pPr>
    </w:p>
    <w:p w14:paraId="7EB391E9" w14:textId="77777777" w:rsidR="002C7A87" w:rsidRPr="00380CA4" w:rsidRDefault="002C7A87" w:rsidP="002C7A87">
      <w:pPr>
        <w:spacing w:after="120" w:line="276" w:lineRule="auto"/>
        <w:ind w:firstLine="709"/>
        <w:jc w:val="both"/>
        <w:rPr>
          <w:rFonts w:ascii="Verdana" w:eastAsia="Times New Roman" w:hAnsi="Verdana" w:cs="Arial"/>
          <w:lang w:eastAsia="es-CO"/>
        </w:rPr>
      </w:pPr>
      <w:r w:rsidRPr="00380CA4">
        <w:rPr>
          <w:rFonts w:ascii="Verdana" w:eastAsia="Calibri" w:hAnsi="Verdana" w:cs="Arial"/>
        </w:rPr>
        <w:t>De acuerdo con estos pronunciamientos de la Sala de Consulta y Servicio Civil del Consejo de Estado, la prohibición de la contratación directa también aplica frente a las entidades exceptuadas de la aplicación del E</w:t>
      </w:r>
      <w:r>
        <w:rPr>
          <w:rFonts w:ascii="Verdana" w:eastAsia="Calibri" w:hAnsi="Verdana" w:cs="Arial"/>
        </w:rPr>
        <w:t xml:space="preserve">statuto </w:t>
      </w:r>
      <w:r w:rsidRPr="00380CA4">
        <w:rPr>
          <w:rFonts w:ascii="Verdana" w:eastAsia="Calibri" w:hAnsi="Verdana" w:cs="Arial"/>
        </w:rPr>
        <w:t>G</w:t>
      </w:r>
      <w:r>
        <w:rPr>
          <w:rFonts w:ascii="Verdana" w:eastAsia="Calibri" w:hAnsi="Verdana" w:cs="Arial"/>
        </w:rPr>
        <w:t xml:space="preserve">eneral de </w:t>
      </w:r>
      <w:r w:rsidRPr="00380CA4">
        <w:rPr>
          <w:rFonts w:ascii="Verdana" w:eastAsia="Calibri" w:hAnsi="Verdana" w:cs="Arial"/>
        </w:rPr>
        <w:t>C</w:t>
      </w:r>
      <w:r>
        <w:rPr>
          <w:rFonts w:ascii="Verdana" w:eastAsia="Calibri" w:hAnsi="Verdana" w:cs="Arial"/>
        </w:rPr>
        <w:t xml:space="preserve">ontratación de la </w:t>
      </w:r>
      <w:r w:rsidRPr="00380CA4">
        <w:rPr>
          <w:rFonts w:ascii="Verdana" w:eastAsia="Calibri" w:hAnsi="Verdana" w:cs="Arial"/>
        </w:rPr>
        <w:t>A</w:t>
      </w:r>
      <w:r>
        <w:rPr>
          <w:rFonts w:ascii="Verdana" w:eastAsia="Calibri" w:hAnsi="Verdana" w:cs="Arial"/>
        </w:rPr>
        <w:t xml:space="preserve">dministración </w:t>
      </w:r>
      <w:r w:rsidRPr="00380CA4">
        <w:rPr>
          <w:rFonts w:ascii="Verdana" w:eastAsia="Calibri" w:hAnsi="Verdana" w:cs="Arial"/>
        </w:rPr>
        <w:t>P</w:t>
      </w:r>
      <w:r>
        <w:rPr>
          <w:rFonts w:ascii="Verdana" w:eastAsia="Calibri" w:hAnsi="Verdana" w:cs="Arial"/>
        </w:rPr>
        <w:t>ública</w:t>
      </w:r>
      <w:r w:rsidRPr="00380CA4">
        <w:rPr>
          <w:rFonts w:ascii="Verdana" w:eastAsia="Calibri" w:hAnsi="Verdana" w:cs="Arial"/>
        </w:rPr>
        <w:t xml:space="preserve"> y que se rigen en materia </w:t>
      </w:r>
      <w:r w:rsidRPr="00380CA4">
        <w:rPr>
          <w:rFonts w:ascii="Verdana" w:eastAsia="Calibri" w:hAnsi="Verdana" w:cs="Arial"/>
        </w:rPr>
        <w:lastRenderedPageBreak/>
        <w:t xml:space="preserve">contractual por el derecho privado. Sin embargo, señaló que algunas de estas entidades, como sucede con las empresas de servicios públicos domiciliarios, los </w:t>
      </w:r>
      <w:r w:rsidRPr="00380CA4">
        <w:rPr>
          <w:rFonts w:ascii="Verdana" w:eastAsia="Times New Roman" w:hAnsi="Verdana" w:cs="Arial"/>
          <w:bCs/>
          <w:lang w:eastAsia="x-none"/>
        </w:rPr>
        <w:t>establecimientos de crédito, las sociedades de servicios financieros y las entidades aseguradoras</w:t>
      </w:r>
      <w:r w:rsidRPr="00380CA4">
        <w:rPr>
          <w:rFonts w:ascii="Verdana" w:eastAsia="Calibri" w:hAnsi="Verdana" w:cs="Arial"/>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380CA4">
        <w:rPr>
          <w:rFonts w:ascii="Verdana" w:eastAsia="Calibri" w:hAnsi="Verdana" w:cs="Arial"/>
          <w:vertAlign w:val="superscript"/>
        </w:rPr>
        <w:footnoteReference w:id="23"/>
      </w:r>
      <w:r w:rsidRPr="00380CA4">
        <w:rPr>
          <w:rFonts w:ascii="Verdana" w:eastAsia="Calibri" w:hAnsi="Verdana" w:cs="Arial"/>
        </w:rPr>
        <w:t>.</w:t>
      </w:r>
      <w:r w:rsidRPr="00380CA4">
        <w:rPr>
          <w:rFonts w:ascii="Verdana" w:eastAsia="Times New Roman" w:hAnsi="Verdana" w:cs="Arial"/>
          <w:lang w:eastAsia="es-CO"/>
        </w:rPr>
        <w:t xml:space="preserve"> </w:t>
      </w:r>
    </w:p>
    <w:p w14:paraId="49F18D82" w14:textId="77777777" w:rsidR="002C7A87" w:rsidRPr="00380CA4" w:rsidRDefault="002C7A87" w:rsidP="002C7A87">
      <w:pPr>
        <w:spacing w:after="0" w:line="276" w:lineRule="auto"/>
        <w:ind w:firstLine="709"/>
        <w:jc w:val="both"/>
        <w:rPr>
          <w:rFonts w:ascii="Verdana" w:eastAsia="Times New Roman" w:hAnsi="Verdana" w:cs="Arial"/>
          <w:bCs/>
          <w:lang w:eastAsia="x-none"/>
        </w:rPr>
      </w:pPr>
      <w:r w:rsidRPr="00380CA4">
        <w:rPr>
          <w:rFonts w:ascii="Verdana" w:eastAsia="Times New Roman" w:hAnsi="Verdana" w:cs="Arial"/>
          <w:lang w:eastAsia="es-CO"/>
        </w:rPr>
        <w:t>Sin perjuicio de estos pronunciamientos de la Sala de Consulta y Servicio Civil</w:t>
      </w:r>
      <w:r w:rsidRPr="00380CA4">
        <w:rPr>
          <w:rFonts w:ascii="Verdana" w:eastAsia="Calibri" w:hAnsi="Verdana" w:cs="Arial"/>
        </w:rPr>
        <w:t xml:space="preserve">, como la ha señalado esa misma Corporación, la restricción prevista en la Ley 996 de 2005 </w:t>
      </w:r>
      <w:r w:rsidRPr="00380CA4">
        <w:rPr>
          <w:rFonts w:ascii="Verdana" w:eastAsia="Times New Roman" w:hAnsi="Verdana" w:cs="Arial"/>
          <w:bCs/>
          <w:lang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52CE836D" w14:textId="77777777" w:rsidR="002C7A87" w:rsidRPr="00380CA4" w:rsidRDefault="002C7A87" w:rsidP="002C7A87">
      <w:pPr>
        <w:spacing w:after="0" w:line="276" w:lineRule="auto"/>
        <w:ind w:firstLine="709"/>
        <w:jc w:val="both"/>
        <w:rPr>
          <w:rFonts w:ascii="Verdana" w:eastAsia="Times New Roman" w:hAnsi="Verdana" w:cs="Arial"/>
          <w:bCs/>
          <w:lang w:eastAsia="x-none"/>
        </w:rPr>
      </w:pPr>
    </w:p>
    <w:p w14:paraId="5794C636" w14:textId="77777777" w:rsidR="002C7A87" w:rsidRPr="00380CA4" w:rsidRDefault="002C7A87" w:rsidP="002C7A87">
      <w:pPr>
        <w:spacing w:after="120" w:line="276" w:lineRule="auto"/>
        <w:jc w:val="both"/>
        <w:rPr>
          <w:rFonts w:ascii="Verdana" w:hAnsi="Verdana" w:cs="Arial"/>
        </w:rPr>
      </w:pPr>
      <w:proofErr w:type="spellStart"/>
      <w:r>
        <w:rPr>
          <w:rFonts w:ascii="Verdana" w:hAnsi="Verdana" w:cs="Arial"/>
        </w:rPr>
        <w:t>iii</w:t>
      </w:r>
      <w:proofErr w:type="spellEnd"/>
      <w:r>
        <w:rPr>
          <w:rFonts w:ascii="Verdana" w:hAnsi="Verdana" w:cs="Arial"/>
        </w:rPr>
        <w:t xml:space="preserve">) </w:t>
      </w:r>
      <w:r w:rsidRPr="00380CA4">
        <w:rPr>
          <w:rFonts w:ascii="Verdana" w:hAnsi="Verdana" w:cs="Arial"/>
        </w:rPr>
        <w:t xml:space="preserve">Ahora bien, respecto del alcance del parágrafo del artículo 38 de la Ley 996 de 2005, esta prohibición dispone en primera medida que: “[l]os Gobernadores, </w:t>
      </w:r>
      <w:proofErr w:type="gramStart"/>
      <w:r w:rsidRPr="00380CA4">
        <w:rPr>
          <w:rFonts w:ascii="Verdana" w:hAnsi="Verdana" w:cs="Arial"/>
        </w:rPr>
        <w:t>Alcaldes</w:t>
      </w:r>
      <w:proofErr w:type="gramEnd"/>
      <w:r w:rsidRPr="00380CA4">
        <w:rPr>
          <w:rFonts w:ascii="Verdana" w:hAnsi="Verdana" w:cs="Arial"/>
        </w:rPr>
        <w:t xml:space="preserve"> Municipales y/o Distritales, </w:t>
      </w:r>
      <w:proofErr w:type="gramStart"/>
      <w:r w:rsidRPr="00380CA4">
        <w:rPr>
          <w:rFonts w:ascii="Verdana" w:hAnsi="Verdana" w:cs="Arial"/>
        </w:rPr>
        <w:t>Secretarios</w:t>
      </w:r>
      <w:proofErr w:type="gramEnd"/>
      <w:r w:rsidRPr="00380CA4">
        <w:rPr>
          <w:rFonts w:ascii="Verdana" w:hAnsi="Verdana" w:cs="Arial"/>
        </w:rPr>
        <w:t xml:space="preserve">, Gerentes y directores de Entidades Descentralizadas del orden Municipal, Departamental o Distrital, dentro de los cuatro (4) meses anteriores a las elecciones, no podrán celebrar </w:t>
      </w:r>
      <w:r w:rsidRPr="00380CA4">
        <w:rPr>
          <w:rFonts w:ascii="Verdana" w:hAnsi="Verdana" w:cs="Arial"/>
          <w:i/>
          <w:iCs/>
        </w:rPr>
        <w:t>convenios interadministrativos</w:t>
      </w:r>
      <w:r w:rsidRPr="00380CA4">
        <w:rPr>
          <w:rFonts w:ascii="Verdana" w:hAnsi="Verdana" w:cs="Arial"/>
        </w:rPr>
        <w:t xml:space="preserve"> </w:t>
      </w:r>
      <w:r w:rsidRPr="00380CA4">
        <w:rPr>
          <w:rFonts w:ascii="Verdana" w:hAnsi="Verdana" w:cs="Arial"/>
          <w:i/>
          <w:iCs/>
        </w:rPr>
        <w:t>para la ejecución de recursos públicos</w:t>
      </w:r>
      <w:r w:rsidRPr="00380CA4">
        <w:rPr>
          <w:rFonts w:ascii="Verdana" w:hAnsi="Verdana" w:cs="Arial"/>
        </w:rPr>
        <w:t>”.</w:t>
      </w:r>
      <w:r w:rsidRPr="00380CA4">
        <w:rPr>
          <w:rFonts w:ascii="Verdana" w:eastAsia="Times New Roman" w:hAnsi="Verdana" w:cs="Arial"/>
          <w:lang w:eastAsia="x-none"/>
        </w:rPr>
        <w:t xml:space="preserve"> </w:t>
      </w:r>
    </w:p>
    <w:p w14:paraId="0184E8C0" w14:textId="77777777" w:rsidR="002C7A87" w:rsidRPr="0078567C" w:rsidRDefault="002C7A87" w:rsidP="002C7A87">
      <w:pPr>
        <w:spacing w:after="120" w:line="276" w:lineRule="auto"/>
        <w:ind w:firstLine="709"/>
        <w:jc w:val="both"/>
        <w:rPr>
          <w:rFonts w:ascii="Verdana" w:hAnsi="Verdana" w:cs="Arial"/>
          <w:lang w:eastAsia="es-ES"/>
        </w:rPr>
      </w:pPr>
      <w:r w:rsidRPr="00380CA4">
        <w:rPr>
          <w:rFonts w:ascii="Verdana" w:eastAsia="Times New Roman" w:hAnsi="Verdana" w:cs="Arial"/>
          <w:lang w:eastAsia="es-ES"/>
        </w:rPr>
        <w:t xml:space="preserve">Para tales efectos, debe precisarse que </w:t>
      </w:r>
      <w:r w:rsidRPr="00380CA4">
        <w:rPr>
          <w:rFonts w:ascii="Verdana" w:eastAsia="Times New Roman" w:hAnsi="Verdana" w:cs="Arial"/>
          <w:color w:val="000000" w:themeColor="text1"/>
          <w:lang w:eastAsia="es-CO"/>
        </w:rPr>
        <w:t xml:space="preserve">los contratos o convenios interadministrativos están determinados por un criterio orgánico, pues es necesario que los extremos de la relación contractual sean entidades públicas, </w:t>
      </w:r>
      <w:r w:rsidRPr="00380CA4">
        <w:rPr>
          <w:rFonts w:ascii="Verdana" w:hAnsi="Verdana" w:cs="Arial"/>
          <w:lang w:eastAsia="es-ES"/>
        </w:rPr>
        <w:t xml:space="preserve">independientemente de las normas que regulan la relación contractual. En este </w:t>
      </w:r>
      <w:r w:rsidRPr="00380CA4">
        <w:rPr>
          <w:rFonts w:ascii="Verdana" w:hAnsi="Verdana" w:cs="Arial"/>
          <w:lang w:eastAsia="es-ES"/>
        </w:rPr>
        <w:lastRenderedPageBreak/>
        <w:t>sentido, los convenios interadministrativos solo pueden ser celebrados entre entidades públicas, pues a éstas corresponde la realización de los fines y tareas que el legislador les ha asignado</w:t>
      </w:r>
      <w:r w:rsidRPr="00380CA4">
        <w:rPr>
          <w:rFonts w:ascii="Verdana" w:hAnsi="Verdana" w:cs="Arial"/>
          <w:vertAlign w:val="superscript"/>
          <w:lang w:eastAsia="es-ES"/>
        </w:rPr>
        <w:footnoteReference w:id="24"/>
      </w:r>
      <w:r w:rsidRPr="00380CA4">
        <w:rPr>
          <w:rFonts w:ascii="Verdana" w:hAnsi="Verdana" w:cs="Arial"/>
          <w:lang w:eastAsia="es-ES"/>
        </w:rPr>
        <w:t>.</w:t>
      </w:r>
      <w:r>
        <w:rPr>
          <w:rFonts w:ascii="Verdana" w:hAnsi="Verdana" w:cs="Arial"/>
          <w:lang w:eastAsia="es-ES"/>
        </w:rPr>
        <w:t xml:space="preserve"> </w:t>
      </w:r>
      <w:r w:rsidRPr="00380CA4">
        <w:rPr>
          <w:rFonts w:ascii="Verdana" w:hAnsi="Verdana" w:cs="Arial"/>
          <w:color w:val="000000" w:themeColor="text1"/>
        </w:rPr>
        <w:t xml:space="preserve">Si bien los contratos o convenios interadministrativos están previstos en la Ley 80 de 1993, en la Ley 1150 de 2007 y en el Decreto 1082 de 2015, no quiere decir que solo puedan celebrarse entre </w:t>
      </w:r>
      <w:r>
        <w:rPr>
          <w:rFonts w:ascii="Verdana" w:hAnsi="Verdana" w:cs="Arial"/>
          <w:color w:val="000000" w:themeColor="text1"/>
        </w:rPr>
        <w:t>e</w:t>
      </w:r>
      <w:r w:rsidRPr="00380CA4">
        <w:rPr>
          <w:rFonts w:ascii="Verdana" w:hAnsi="Verdana" w:cs="Arial"/>
          <w:color w:val="000000" w:themeColor="text1"/>
        </w:rPr>
        <w:t xml:space="preserve">ntidades </w:t>
      </w:r>
      <w:r>
        <w:rPr>
          <w:rFonts w:ascii="Verdana" w:hAnsi="Verdana" w:cs="Arial"/>
          <w:color w:val="000000" w:themeColor="text1"/>
        </w:rPr>
        <w:t>e</w:t>
      </w:r>
      <w:r w:rsidRPr="00380CA4">
        <w:rPr>
          <w:rFonts w:ascii="Verdana" w:hAnsi="Verdana" w:cs="Arial"/>
          <w:color w:val="000000" w:themeColor="text1"/>
        </w:rPr>
        <w:t xml:space="preserve">statales que apliquen el régimen de contratación allí previsto. En efecto, una </w:t>
      </w:r>
      <w:r>
        <w:rPr>
          <w:rFonts w:ascii="Verdana" w:hAnsi="Verdana" w:cs="Arial"/>
          <w:color w:val="000000" w:themeColor="text1"/>
        </w:rPr>
        <w:t>e</w:t>
      </w:r>
      <w:r w:rsidRPr="00380CA4">
        <w:rPr>
          <w:rFonts w:ascii="Verdana" w:hAnsi="Verdana" w:cs="Arial"/>
          <w:color w:val="000000" w:themeColor="text1"/>
        </w:rPr>
        <w:t xml:space="preserve">ntidad </w:t>
      </w:r>
      <w:r>
        <w:rPr>
          <w:rFonts w:ascii="Verdana" w:hAnsi="Verdana" w:cs="Arial"/>
          <w:color w:val="000000" w:themeColor="text1"/>
        </w:rPr>
        <w:t>e</w:t>
      </w:r>
      <w:r w:rsidRPr="00380CA4">
        <w:rPr>
          <w:rFonts w:ascii="Verdana" w:hAnsi="Verdana" w:cs="Arial"/>
          <w:color w:val="000000" w:themeColor="text1"/>
        </w:rPr>
        <w:t xml:space="preserve">statal de la Ley 80 de 1993 – como es el caso de un municipio – bien puede celebrar esta clase de convenios con una </w:t>
      </w:r>
      <w:r>
        <w:rPr>
          <w:rFonts w:ascii="Verdana" w:hAnsi="Verdana" w:cs="Arial"/>
          <w:color w:val="000000" w:themeColor="text1"/>
        </w:rPr>
        <w:t>e</w:t>
      </w:r>
      <w:r w:rsidRPr="00380CA4">
        <w:rPr>
          <w:rFonts w:ascii="Verdana" w:hAnsi="Verdana" w:cs="Arial"/>
          <w:color w:val="000000" w:themeColor="text1"/>
        </w:rPr>
        <w:t xml:space="preserve">ntidad </w:t>
      </w:r>
      <w:r>
        <w:rPr>
          <w:rFonts w:ascii="Verdana" w:hAnsi="Verdana" w:cs="Arial"/>
          <w:color w:val="000000" w:themeColor="text1"/>
        </w:rPr>
        <w:t>e</w:t>
      </w:r>
      <w:r w:rsidRPr="00380CA4">
        <w:rPr>
          <w:rFonts w:ascii="Verdana" w:hAnsi="Verdana" w:cs="Arial"/>
          <w:color w:val="000000" w:themeColor="text1"/>
        </w:rPr>
        <w:t>statal de régimen especial y no por ello dejará de ser un contrato o convenio interadministrativo.</w:t>
      </w:r>
    </w:p>
    <w:p w14:paraId="62E1CD23" w14:textId="77777777" w:rsidR="002C7A87" w:rsidRPr="00380CA4" w:rsidRDefault="002C7A87" w:rsidP="002C7A87">
      <w:pPr>
        <w:spacing w:before="120" w:after="0" w:line="276" w:lineRule="auto"/>
        <w:ind w:firstLine="708"/>
        <w:jc w:val="both"/>
        <w:rPr>
          <w:rFonts w:ascii="Verdana" w:hAnsi="Verdana" w:cs="Arial"/>
        </w:rPr>
      </w:pPr>
      <w:r w:rsidRPr="00380CA4">
        <w:rPr>
          <w:rFonts w:ascii="Verdana" w:hAnsi="Verdana" w:cs="Aria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380CA4">
        <w:rPr>
          <w:rFonts w:ascii="Verdana" w:hAnsi="Verdana" w:cs="Arial"/>
          <w:vertAlign w:val="superscript"/>
        </w:rPr>
        <w:footnoteReference w:id="25"/>
      </w:r>
      <w:r w:rsidRPr="00380CA4">
        <w:rPr>
          <w:rFonts w:ascii="Verdana" w:hAnsi="Verdana" w:cs="Arial"/>
        </w:rPr>
        <w:t>. Nótese que, en este caso, lo que cambia es la modalidad de selección y no la naturaleza de contrato interadministrativo.</w:t>
      </w:r>
    </w:p>
    <w:p w14:paraId="0B87AB2F" w14:textId="77777777" w:rsidR="002C7A87" w:rsidRPr="00380CA4" w:rsidRDefault="002C7A87" w:rsidP="002C7A87">
      <w:pPr>
        <w:spacing w:before="120" w:after="0" w:line="276" w:lineRule="auto"/>
        <w:ind w:firstLine="708"/>
        <w:jc w:val="both"/>
        <w:rPr>
          <w:rFonts w:ascii="Verdana" w:hAnsi="Verdana" w:cs="Arial"/>
        </w:rPr>
      </w:pPr>
      <w:r w:rsidRPr="00380CA4">
        <w:rPr>
          <w:rFonts w:ascii="Verdana" w:hAnsi="Verdana" w:cs="Arial"/>
        </w:rPr>
        <w:t>Además, es necesario tener en cuenta que para que un contrato o convenio interadministrativo exista debe cumplir con los siguientes elementos: acuerdo sobre el objeto y la contraprestación y que conste por escrito</w:t>
      </w:r>
      <w:r w:rsidRPr="00380CA4">
        <w:rPr>
          <w:rFonts w:ascii="Verdana" w:hAnsi="Verdana" w:cs="Arial"/>
          <w:vertAlign w:val="superscript"/>
        </w:rPr>
        <w:footnoteReference w:id="26"/>
      </w:r>
      <w:r w:rsidRPr="00380CA4">
        <w:rPr>
          <w:rFonts w:ascii="Verdana" w:hAnsi="Verdana" w:cs="Aria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6EBEE57D" w14:textId="77777777" w:rsidR="002C7A87" w:rsidRPr="00380CA4" w:rsidRDefault="002C7A87" w:rsidP="002C7A87">
      <w:pPr>
        <w:spacing w:before="120" w:after="0" w:line="276" w:lineRule="auto"/>
        <w:ind w:firstLine="708"/>
        <w:jc w:val="both"/>
        <w:rPr>
          <w:rFonts w:ascii="Verdana" w:hAnsi="Verdana"/>
          <w:sz w:val="24"/>
          <w:szCs w:val="24"/>
          <w:lang w:eastAsia="es-CO"/>
        </w:rPr>
      </w:pPr>
      <w:r w:rsidRPr="00460529">
        <w:rPr>
          <w:rFonts w:ascii="Verdana" w:hAnsi="Verdana" w:cs="Arial"/>
        </w:rPr>
        <w:lastRenderedPageBreak/>
        <w:t>Sobre este aspecto, se resalta que la Corte Constitucional señaló en la Sentencia C–671 de 2015 que “Lo que hace interadministrativo a un contrato o convenio no es el procedimiento de selección aplicable, sino la calidad de los suj</w:t>
      </w:r>
      <w:r w:rsidRPr="00811ED6">
        <w:rPr>
          <w:rFonts w:ascii="Verdana" w:hAnsi="Verdana" w:cs="Arial"/>
        </w:rPr>
        <w:t>etos contratantes, esto es que las dos partes de la relación jurídica contractual formen parte de la administración pública”. Así las cosas, atendiendo a la literalidad de las normas enunciadas, no cabe una interpretación diferente</w:t>
      </w:r>
      <w:r w:rsidRPr="00460529">
        <w:rPr>
          <w:rFonts w:ascii="Verdana" w:hAnsi="Verdana" w:cs="Arial"/>
          <w:vertAlign w:val="superscript"/>
        </w:rPr>
        <w:footnoteReference w:id="27"/>
      </w:r>
      <w:r w:rsidRPr="00460529">
        <w:rPr>
          <w:rFonts w:ascii="Verdana" w:hAnsi="Verdana" w:cs="Arial"/>
        </w:rPr>
        <w:t xml:space="preserve">, pues, de acuerdo con </w:t>
      </w:r>
      <w:r w:rsidRPr="00811ED6">
        <w:rPr>
          <w:rFonts w:ascii="Verdana" w:hAnsi="Verdana" w:cs="Arial"/>
        </w:rPr>
        <w:t>lo anotado, esta clase de acuerdos de voluntades se definen por un criterio orgánico, por lo que uno de sus elementos esenciales es que en los extremos de la relación jurídico negocial concurran personas de derecho público</w:t>
      </w:r>
      <w:r w:rsidRPr="00460529">
        <w:rPr>
          <w:rFonts w:ascii="Verdana" w:hAnsi="Verdana"/>
          <w:sz w:val="24"/>
          <w:szCs w:val="24"/>
          <w:lang w:eastAsia="es-CO"/>
        </w:rPr>
        <w:t>.</w:t>
      </w:r>
    </w:p>
    <w:p w14:paraId="2C76EE30" w14:textId="77777777" w:rsidR="002C7A87" w:rsidRPr="00380CA4" w:rsidRDefault="002C7A87" w:rsidP="002C7A87">
      <w:pPr>
        <w:spacing w:before="120" w:after="0" w:line="276" w:lineRule="auto"/>
        <w:ind w:firstLine="708"/>
        <w:jc w:val="both"/>
        <w:rPr>
          <w:rFonts w:ascii="Verdana" w:eastAsia="Times New Roman" w:hAnsi="Verdana" w:cs="Arial"/>
          <w:lang w:eastAsia="es-CO"/>
        </w:rPr>
      </w:pPr>
      <w:r w:rsidRPr="00380CA4">
        <w:rPr>
          <w:rFonts w:ascii="Verdana" w:eastAsia="Arial" w:hAnsi="Verdana" w:cs="Arial"/>
          <w:lang w:eastAsia="es-ES" w:bidi="es-ES"/>
        </w:rPr>
        <w:t>De esta manera, se</w:t>
      </w:r>
      <w:r w:rsidRPr="00380CA4">
        <w:rPr>
          <w:rFonts w:ascii="Verdana" w:eastAsia="Times New Roman" w:hAnsi="Verdana" w:cs="Arial"/>
          <w:lang w:eastAsia="es-CO"/>
        </w:rPr>
        <w:t xml:space="preserve"> observa entonces que el parágrafo del artículo 38 de la Ley 996 de 2005 prohíbe a los </w:t>
      </w:r>
      <w:proofErr w:type="gramStart"/>
      <w:r w:rsidRPr="00380CA4">
        <w:rPr>
          <w:rFonts w:ascii="Verdana" w:eastAsia="Times New Roman" w:hAnsi="Verdana" w:cs="Arial"/>
          <w:lang w:eastAsia="es-CO"/>
        </w:rPr>
        <w:t>Alcaldes</w:t>
      </w:r>
      <w:proofErr w:type="gramEnd"/>
      <w:r w:rsidRPr="00380CA4">
        <w:rPr>
          <w:rFonts w:ascii="Verdana" w:eastAsia="Times New Roman" w:hAnsi="Verdana" w:cs="Arial"/>
          <w:lang w:eastAsia="es-CO"/>
        </w:rPr>
        <w:t xml:space="preserve">, Gobernadores, </w:t>
      </w:r>
      <w:proofErr w:type="gramStart"/>
      <w:r w:rsidRPr="00380CA4">
        <w:rPr>
          <w:rFonts w:ascii="Verdana" w:eastAsia="Times New Roman" w:hAnsi="Verdana" w:cs="Arial"/>
          <w:lang w:eastAsia="es-CO"/>
        </w:rPr>
        <w:t>Secretarios</w:t>
      </w:r>
      <w:proofErr w:type="gramEnd"/>
      <w:r w:rsidRPr="00380CA4">
        <w:rPr>
          <w:rFonts w:ascii="Verdana" w:eastAsia="Times New Roman" w:hAnsi="Verdana" w:cs="Arial"/>
          <w:lang w:eastAsia="es-CO"/>
        </w:rPr>
        <w:t xml:space="preserve">, Gerentes y </w:t>
      </w:r>
      <w:proofErr w:type="gramStart"/>
      <w:r w:rsidRPr="00380CA4">
        <w:rPr>
          <w:rFonts w:ascii="Verdana" w:eastAsia="Times New Roman" w:hAnsi="Verdana" w:cs="Arial"/>
          <w:lang w:eastAsia="es-CO"/>
        </w:rPr>
        <w:t>Directores</w:t>
      </w:r>
      <w:proofErr w:type="gramEnd"/>
      <w:r w:rsidRPr="00380CA4">
        <w:rPr>
          <w:rFonts w:ascii="Verdana" w:eastAsia="Times New Roman" w:hAnsi="Verdana" w:cs="Arial"/>
          <w:lang w:eastAsia="es-CO"/>
        </w:rPr>
        <w:t xml:space="preserve"> de las entidades del orden municipal, departamental o distrital celebrar </w:t>
      </w:r>
      <w:r w:rsidRPr="00380CA4">
        <w:rPr>
          <w:rFonts w:ascii="Verdana" w:eastAsia="Times New Roman" w:hAnsi="Verdana" w:cs="Arial"/>
          <w:i/>
          <w:iCs/>
          <w:lang w:eastAsia="es-CO"/>
        </w:rPr>
        <w:t>convenios interadministrativos</w:t>
      </w:r>
      <w:r w:rsidRPr="00380CA4">
        <w:rPr>
          <w:rFonts w:ascii="Verdana" w:eastAsia="Times New Roman" w:hAnsi="Verdana" w:cs="Arial"/>
          <w:lang w:eastAsia="es-CO"/>
        </w:rPr>
        <w:t xml:space="preserve"> para la ejecución de recursos públicos. En este sentido,</w:t>
      </w:r>
      <w:r>
        <w:rPr>
          <w:rFonts w:ascii="Verdana" w:eastAsia="Times New Roman" w:hAnsi="Verdana" w:cs="Arial"/>
          <w:lang w:eastAsia="es-CO"/>
        </w:rPr>
        <w:t xml:space="preserve"> y atendiendo a las consultas realizadas,</w:t>
      </w:r>
      <w:r w:rsidRPr="00380CA4">
        <w:rPr>
          <w:rFonts w:ascii="Verdana" w:eastAsia="Times New Roman" w:hAnsi="Verdana" w:cs="Arial"/>
          <w:lang w:eastAsia="es-CO"/>
        </w:rPr>
        <w:t xml:space="preserve"> si una o ambas partes de la relación contractual es una entidad de aquellas descritas en el parágrafo </w:t>
      </w:r>
      <w:r w:rsidRPr="00380CA4">
        <w:rPr>
          <w:rFonts w:ascii="Verdana" w:eastAsia="Times New Roman" w:hAnsi="Verdana" w:cs="Arial"/>
          <w:i/>
          <w:lang w:eastAsia="es-CO"/>
        </w:rPr>
        <w:t>ibidem</w:t>
      </w:r>
      <w:r w:rsidRPr="00380CA4">
        <w:rPr>
          <w:rFonts w:ascii="Verdana" w:eastAsia="Times New Roman" w:hAnsi="Verdana" w:cs="Arial"/>
          <w:lang w:eastAsia="es-CO"/>
        </w:rPr>
        <w:t xml:space="preserve">, es decir, alcaldías, gobernaciones, secretarías de despacho, así como entidades descentralizadas por servicios del orden municipal, departamental o distrital no podrá celebrar tales </w:t>
      </w:r>
      <w:r w:rsidRPr="00380CA4">
        <w:rPr>
          <w:rFonts w:ascii="Verdana" w:eastAsia="Times New Roman" w:hAnsi="Verdana" w:cs="Arial"/>
          <w:i/>
          <w:iCs/>
          <w:lang w:eastAsia="es-CO"/>
        </w:rPr>
        <w:t>convenios</w:t>
      </w:r>
      <w:r w:rsidRPr="00380CA4">
        <w:rPr>
          <w:rFonts w:ascii="Verdana" w:eastAsia="Times New Roman" w:hAnsi="Verdana" w:cs="Arial"/>
          <w:lang w:eastAsia="es-CO"/>
        </w:rPr>
        <w:t xml:space="preserve"> durante la aplicación de la Ley de Garantías Electorales, toda vez que la citada disposición se refiere a dicha tipología contractual sin que el legislador hubiere contemplado un efecto extensivo a otra tipología. </w:t>
      </w:r>
    </w:p>
    <w:p w14:paraId="699C71FD" w14:textId="77777777" w:rsidR="002C7A87" w:rsidRPr="00380CA4" w:rsidRDefault="002C7A87" w:rsidP="002C7A87">
      <w:pPr>
        <w:spacing w:before="120" w:after="0" w:line="276" w:lineRule="auto"/>
        <w:jc w:val="both"/>
        <w:rPr>
          <w:rFonts w:ascii="Verdana" w:eastAsia="Times New Roman" w:hAnsi="Verdana" w:cs="Arial"/>
          <w:lang w:eastAsia="es-CO"/>
        </w:rPr>
      </w:pPr>
      <w:r w:rsidRPr="00380CA4">
        <w:rPr>
          <w:rFonts w:ascii="Verdana" w:eastAsia="Times New Roman" w:hAnsi="Verdana" w:cs="Arial"/>
          <w:lang w:eastAsia="es-CO"/>
        </w:rPr>
        <w:t>Respecto del alcance de esta prohibición</w:t>
      </w:r>
      <w:r>
        <w:rPr>
          <w:rFonts w:ascii="Verdana" w:eastAsia="Times New Roman" w:hAnsi="Verdana" w:cs="Arial"/>
          <w:lang w:eastAsia="es-CO"/>
        </w:rPr>
        <w:t xml:space="preserve">, atendiendo a su consulta sobre si quedan por fuera de la prohibición de los convenios que no implican ejecución de recursos públicos, como los de asistencia técnica o cooperación con aportes en especie de entidades nacionales, </w:t>
      </w:r>
      <w:r w:rsidRPr="00380CA4">
        <w:rPr>
          <w:rFonts w:ascii="Verdana" w:eastAsia="Times New Roman" w:hAnsi="Verdana" w:cs="Arial"/>
          <w:lang w:eastAsia="es-CO"/>
        </w:rPr>
        <w:t xml:space="preserve">la Circular Externa No. 006 de 2025 expedida por la ANCP -CCE, en los literales </w:t>
      </w:r>
      <w:proofErr w:type="spellStart"/>
      <w:r w:rsidRPr="00380CA4">
        <w:rPr>
          <w:rFonts w:ascii="Verdana" w:eastAsia="Times New Roman" w:hAnsi="Verdana" w:cs="Arial"/>
          <w:lang w:eastAsia="es-CO"/>
        </w:rPr>
        <w:t>ii</w:t>
      </w:r>
      <w:proofErr w:type="spellEnd"/>
      <w:r w:rsidRPr="00380CA4">
        <w:rPr>
          <w:rFonts w:ascii="Verdana" w:eastAsia="Times New Roman" w:hAnsi="Verdana" w:cs="Arial"/>
          <w:lang w:eastAsia="es-CO"/>
        </w:rPr>
        <w:t xml:space="preserve">) y </w:t>
      </w:r>
      <w:proofErr w:type="spellStart"/>
      <w:r w:rsidRPr="00380CA4">
        <w:rPr>
          <w:rFonts w:ascii="Verdana" w:eastAsia="Times New Roman" w:hAnsi="Verdana" w:cs="Arial"/>
          <w:lang w:eastAsia="es-CO"/>
        </w:rPr>
        <w:t>iv</w:t>
      </w:r>
      <w:proofErr w:type="spellEnd"/>
      <w:r w:rsidRPr="00380CA4">
        <w:rPr>
          <w:rFonts w:ascii="Verdana" w:eastAsia="Times New Roman" w:hAnsi="Verdana" w:cs="Arial"/>
          <w:lang w:eastAsia="es-CO"/>
        </w:rPr>
        <w:t xml:space="preserve">) del numeral 2, indica que el parágrafo del artículo 38 de la Ley 996 de 2005 cobija expresamente a los </w:t>
      </w:r>
      <w:r w:rsidRPr="00380CA4">
        <w:rPr>
          <w:rFonts w:ascii="Verdana" w:eastAsia="Times New Roman" w:hAnsi="Verdana" w:cs="Arial"/>
          <w:i/>
          <w:iCs/>
          <w:lang w:eastAsia="es-CO"/>
        </w:rPr>
        <w:t>convenios interadministrativos</w:t>
      </w:r>
      <w:r w:rsidRPr="00380CA4">
        <w:rPr>
          <w:rFonts w:ascii="Verdana" w:eastAsia="Times New Roman" w:hAnsi="Verdana" w:cs="Arial"/>
          <w:lang w:eastAsia="es-CO"/>
        </w:rPr>
        <w:t xml:space="preserve"> en los que se contemple la ejecución de recursos públicos, sin importar de que estos sean en dinero o en especie, ya que la norma no distingue. Lo anterior conforme a la directriz interpretativa del artículo 31 del Código Civil, según la cual “Lo favorable u odioso de una disposición no se tomará en cuenta para ampliar o restringir su interpretación. La extensión que </w:t>
      </w:r>
      <w:r w:rsidRPr="00380CA4">
        <w:rPr>
          <w:rFonts w:ascii="Verdana" w:eastAsia="Times New Roman" w:hAnsi="Verdana" w:cs="Arial"/>
          <w:lang w:eastAsia="es-CO"/>
        </w:rPr>
        <w:lastRenderedPageBreak/>
        <w:t>deba darse a toda ley se determinará por su genuino sentido, y según las reglas de interpretación precedentes”</w:t>
      </w:r>
      <w:r w:rsidRPr="00380CA4">
        <w:rPr>
          <w:rStyle w:val="Refdenotaalpie"/>
          <w:rFonts w:ascii="Verdana" w:hAnsi="Verdana" w:cs="Arial"/>
        </w:rPr>
        <w:footnoteReference w:id="28"/>
      </w:r>
      <w:r w:rsidRPr="00380CA4">
        <w:rPr>
          <w:rFonts w:ascii="Verdana" w:eastAsia="Times New Roman" w:hAnsi="Verdana" w:cs="Arial"/>
          <w:lang w:eastAsia="es-CO"/>
        </w:rPr>
        <w:t>. Por ello, en el Concepto 2201913000006634 del 6 de septiembre de 2019, la Agencia sostuvo que la ejecución de recursos no se agota en el “[…] el dinero que integra el ciclo presupuestal de la entidad […]”, pues “[…] también los bienes muebles, inmuebles y personal hacen parte del concepto de ‘recursos públicos’”.</w:t>
      </w:r>
    </w:p>
    <w:p w14:paraId="31CDECD9" w14:textId="77777777" w:rsidR="002C7A87" w:rsidRDefault="002C7A87" w:rsidP="002C7A87">
      <w:pPr>
        <w:spacing w:before="120" w:after="0" w:line="276" w:lineRule="auto"/>
        <w:ind w:firstLine="708"/>
        <w:jc w:val="both"/>
        <w:rPr>
          <w:rFonts w:ascii="Verdana" w:eastAsia="Times New Roman" w:hAnsi="Verdana" w:cs="Arial"/>
          <w:lang w:eastAsia="es-CO"/>
        </w:rPr>
      </w:pPr>
      <w:r>
        <w:rPr>
          <w:rFonts w:ascii="Verdana" w:eastAsia="Times New Roman" w:hAnsi="Verdana" w:cs="Arial"/>
          <w:lang w:eastAsia="es-CO"/>
        </w:rPr>
        <w:t>Ahora bien, respecto a las preguntas relacionadas con si son extensivas las excepciones contempladas en el artículo 33 de la Ley 996 de 2005 a la prohibición del parágrafo 38</w:t>
      </w:r>
      <w:r w:rsidRPr="00380CA4">
        <w:rPr>
          <w:rFonts w:ascii="Verdana" w:eastAsia="Times New Roman" w:hAnsi="Verdana" w:cs="Arial"/>
          <w:lang w:eastAsia="es-CO"/>
        </w:rPr>
        <w:t xml:space="preserve">, conforme a lo dispuesto en la Circular referida, si se suscriben </w:t>
      </w:r>
      <w:r w:rsidRPr="00380CA4">
        <w:rPr>
          <w:rFonts w:ascii="Verdana" w:eastAsia="Times New Roman" w:hAnsi="Verdana" w:cs="Arial"/>
          <w:i/>
          <w:iCs/>
          <w:lang w:eastAsia="es-CO"/>
        </w:rPr>
        <w:t>convenios interadministrativos para la ejecución de recursos públicos</w:t>
      </w:r>
      <w:r w:rsidRPr="00380CA4">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380CA4">
        <w:rPr>
          <w:rFonts w:ascii="Verdana" w:eastAsia="Times New Roman" w:hAnsi="Verdana" w:cs="Arial"/>
          <w:i/>
          <w:iCs/>
          <w:lang w:eastAsia="es-CO"/>
        </w:rPr>
        <w:t>ibidem</w:t>
      </w:r>
      <w:r w:rsidRPr="00380CA4">
        <w:rPr>
          <w:rFonts w:ascii="Verdana" w:eastAsia="Times New Roman" w:hAnsi="Verdana" w:cs="Arial"/>
          <w:lang w:eastAsia="es-CO"/>
        </w:rPr>
        <w:t>, independientemente de que se configure alguno de los supuestos de excepción que señaló el inciso final del artículo 33, es decir, que se trate de:</w:t>
      </w:r>
      <w:r w:rsidRPr="00380CA4">
        <w:rPr>
          <w:rFonts w:ascii="Verdana" w:hAnsi="Verdana" w:cs="Arial"/>
          <w:bCs/>
          <w:lang w:eastAsia="x-none"/>
        </w:rPr>
        <w:t xml:space="preserve"> i) la defensa y seguridad del Estado; </w:t>
      </w:r>
      <w:proofErr w:type="spellStart"/>
      <w:r w:rsidRPr="00380CA4">
        <w:rPr>
          <w:rFonts w:ascii="Verdana" w:hAnsi="Verdana" w:cs="Arial"/>
          <w:bCs/>
          <w:lang w:eastAsia="x-none"/>
        </w:rPr>
        <w:t>ii</w:t>
      </w:r>
      <w:proofErr w:type="spellEnd"/>
      <w:r w:rsidRPr="00380CA4">
        <w:rPr>
          <w:rFonts w:ascii="Verdana" w:hAnsi="Verdana" w:cs="Arial"/>
          <w:bCs/>
          <w:lang w:eastAsia="x-none"/>
        </w:rPr>
        <w:t xml:space="preserve">) los contratos de crédito público; </w:t>
      </w:r>
      <w:proofErr w:type="spellStart"/>
      <w:r w:rsidRPr="00380CA4">
        <w:rPr>
          <w:rFonts w:ascii="Verdana" w:hAnsi="Verdana" w:cs="Arial"/>
          <w:bCs/>
          <w:lang w:eastAsia="x-none"/>
        </w:rPr>
        <w:t>iii</w:t>
      </w:r>
      <w:proofErr w:type="spellEnd"/>
      <w:r w:rsidRPr="00380CA4">
        <w:rPr>
          <w:rFonts w:ascii="Verdana" w:hAnsi="Verdana" w:cs="Arial"/>
          <w:bCs/>
          <w:lang w:eastAsia="x-none"/>
        </w:rPr>
        <w:t xml:space="preserve">) los requeridos para cubrir las emergencias educativas, sanitarias y desastres; </w:t>
      </w:r>
      <w:proofErr w:type="spellStart"/>
      <w:r w:rsidRPr="00380CA4">
        <w:rPr>
          <w:rFonts w:ascii="Verdana" w:hAnsi="Verdana" w:cs="Arial"/>
          <w:bCs/>
          <w:lang w:eastAsia="x-none"/>
        </w:rPr>
        <w:t>iv</w:t>
      </w:r>
      <w:proofErr w:type="spellEnd"/>
      <w:r w:rsidRPr="00380CA4">
        <w:rPr>
          <w:rFonts w:ascii="Verdana" w:hAnsi="Verdana"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80CA4">
        <w:rPr>
          <w:rFonts w:ascii="Verdana" w:hAnsi="Verdana" w:cs="Arial"/>
          <w:bCs/>
          <w:lang w:eastAsia="es-CO"/>
        </w:rPr>
        <w:t xml:space="preserve"> </w:t>
      </w:r>
      <w:r w:rsidRPr="00380CA4">
        <w:rPr>
          <w:rFonts w:ascii="Verdana" w:eastAsia="Times New Roman" w:hAnsi="Verdana" w:cs="Arial"/>
          <w:lang w:eastAsia="es-CO"/>
        </w:rPr>
        <w:t xml:space="preserve">  </w:t>
      </w:r>
    </w:p>
    <w:p w14:paraId="440416ED" w14:textId="77777777" w:rsidR="002C7A87" w:rsidRDefault="002C7A87" w:rsidP="002C7A87">
      <w:pPr>
        <w:spacing w:before="120" w:after="120" w:line="276" w:lineRule="auto"/>
        <w:ind w:firstLine="708"/>
        <w:jc w:val="both"/>
        <w:rPr>
          <w:rFonts w:ascii="Verdana" w:eastAsia="Times New Roman" w:hAnsi="Verdana" w:cs="Arial"/>
          <w:lang w:eastAsia="es-CO"/>
        </w:rPr>
      </w:pPr>
      <w:r>
        <w:rPr>
          <w:rFonts w:ascii="Verdana" w:eastAsia="Times New Roman" w:hAnsi="Verdana" w:cs="Arial"/>
          <w:lang w:eastAsia="es-CO"/>
        </w:rPr>
        <w:t>Así las cosas, se</w:t>
      </w:r>
      <w:r w:rsidRPr="00380CA4">
        <w:rPr>
          <w:rFonts w:ascii="Verdana" w:eastAsia="Times New Roman" w:hAnsi="Verdana" w:cs="Arial"/>
          <w:lang w:eastAsia="es-CO"/>
        </w:rPr>
        <w:t xml:space="preserve"> precisa que el parágrafo </w:t>
      </w:r>
      <w:r>
        <w:rPr>
          <w:rFonts w:ascii="Verdana" w:eastAsia="Times New Roman" w:hAnsi="Verdana" w:cs="Arial"/>
          <w:lang w:eastAsia="es-CO"/>
        </w:rPr>
        <w:t>del artículo 38 de la Ley 996 de 2005</w:t>
      </w:r>
      <w:r w:rsidRPr="00380CA4">
        <w:rPr>
          <w:rFonts w:ascii="Verdana" w:eastAsia="Times New Roman" w:hAnsi="Verdana" w:cs="Arial"/>
          <w:lang w:eastAsia="es-CO"/>
        </w:rPr>
        <w:t xml:space="preserve"> no estableció ningún supuesto que exceptúe la aplicación de esta prohibición, por lo que la restricción referida a la celebración de convenios interadministrativos aplicará a los sujetos allí señalados, </w:t>
      </w:r>
      <w:r w:rsidRPr="00380CA4">
        <w:rPr>
          <w:rFonts w:ascii="Verdana" w:eastAsia="Times New Roman" w:hAnsi="Verdana" w:cs="Arial"/>
          <w:i/>
          <w:iCs/>
          <w:lang w:eastAsia="es-CO"/>
        </w:rPr>
        <w:t>“aunque se configure alguno de los supuestos de excepción que señaló el inciso final del artículo 33”</w:t>
      </w:r>
      <w:r w:rsidRPr="0087053C">
        <w:rPr>
          <w:rFonts w:ascii="Verdana" w:eastAsia="Times New Roman" w:hAnsi="Verdana" w:cs="Arial"/>
          <w:lang w:eastAsia="es-CO"/>
        </w:rPr>
        <w:t xml:space="preserve">, </w:t>
      </w:r>
      <w:r w:rsidRPr="0087053C">
        <w:rPr>
          <w:rFonts w:ascii="Verdana" w:eastAsia="Times New Roman" w:hAnsi="Verdana" w:cs="Arial"/>
          <w:lang w:eastAsia="es-CO"/>
        </w:rPr>
        <w:lastRenderedPageBreak/>
        <w:t>entre ellas la</w:t>
      </w:r>
      <w:r>
        <w:rPr>
          <w:rFonts w:ascii="Verdana" w:eastAsia="Times New Roman" w:hAnsi="Verdana" w:cs="Arial"/>
          <w:lang w:eastAsia="es-CO"/>
        </w:rPr>
        <w:t xml:space="preserve"> declaratoria de situación de desastre, calamidad pública o emergencia. </w:t>
      </w:r>
    </w:p>
    <w:p w14:paraId="6BF0509F" w14:textId="77777777" w:rsidR="002C7A87" w:rsidRPr="006177F8" w:rsidRDefault="002C7A87" w:rsidP="002C7A87">
      <w:pPr>
        <w:spacing w:after="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Ahora bien, e</w:t>
      </w:r>
      <w:r w:rsidRPr="006177F8">
        <w:rPr>
          <w:rFonts w:ascii="Verdana" w:eastAsia="Arial" w:hAnsi="Verdana" w:cs="Arial"/>
          <w:lang w:val="es-ES" w:eastAsia="es-ES" w:bidi="es-ES"/>
        </w:rPr>
        <w:t xml:space="preserv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 xml:space="preserve">se ha pronunciado en el sentido de que </w:t>
      </w:r>
      <w:bookmarkStart w:id="12"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2"/>
      <w:r w:rsidRPr="006177F8">
        <w:rPr>
          <w:rFonts w:ascii="Verdana" w:eastAsia="Arial" w:hAnsi="Verdana" w:cs="Arial"/>
          <w:vertAlign w:val="superscript"/>
          <w:lang w:val="es-ES" w:eastAsia="es-ES" w:bidi="es-ES"/>
        </w:rPr>
        <w:footnoteReference w:id="29"/>
      </w:r>
      <w:r w:rsidRPr="006177F8">
        <w:rPr>
          <w:rFonts w:ascii="Verdana" w:eastAsia="Arial" w:hAnsi="Verdana" w:cs="Arial"/>
          <w:lang w:val="es-ES" w:eastAsia="es-ES" w:bidi="es-ES"/>
        </w:rPr>
        <w:t>. Al respecto, dicho Concepto expresa:</w:t>
      </w:r>
    </w:p>
    <w:p w14:paraId="7D51CB62" w14:textId="77777777" w:rsidR="002C7A87" w:rsidRPr="006177F8" w:rsidRDefault="002C7A87" w:rsidP="002C7A87">
      <w:pPr>
        <w:spacing w:after="0" w:line="276" w:lineRule="auto"/>
        <w:ind w:firstLine="709"/>
        <w:jc w:val="both"/>
        <w:rPr>
          <w:rFonts w:ascii="Verdana" w:eastAsia="Arial" w:hAnsi="Verdana" w:cs="Arial"/>
          <w:lang w:val="es-ES" w:eastAsia="es-ES" w:bidi="es-ES"/>
        </w:rPr>
      </w:pPr>
    </w:p>
    <w:p w14:paraId="45F476E5" w14:textId="77777777" w:rsidR="002C7A87" w:rsidRDefault="002C7A87" w:rsidP="002C7A87">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4E82189D" w14:textId="77777777" w:rsidR="002C7A87" w:rsidRPr="006177F8" w:rsidRDefault="002C7A87" w:rsidP="002C7A87">
      <w:pPr>
        <w:spacing w:after="0" w:line="240" w:lineRule="auto"/>
        <w:ind w:left="709" w:right="709"/>
        <w:jc w:val="both"/>
        <w:rPr>
          <w:rFonts w:ascii="Verdana" w:eastAsia="Arial" w:hAnsi="Verdana" w:cs="Arial"/>
          <w:sz w:val="20"/>
          <w:lang w:eastAsia="es-ES" w:bidi="es-ES"/>
        </w:rPr>
      </w:pPr>
    </w:p>
    <w:p w14:paraId="6FF72EAD" w14:textId="77777777" w:rsidR="002C7A87" w:rsidRDefault="002C7A87" w:rsidP="002C7A87">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78C69569" w14:textId="77777777" w:rsidR="002C7A87" w:rsidRPr="006177F8" w:rsidRDefault="002C7A87" w:rsidP="002C7A87">
      <w:pPr>
        <w:spacing w:after="0" w:line="240" w:lineRule="auto"/>
        <w:ind w:left="709" w:right="709"/>
        <w:jc w:val="both"/>
        <w:rPr>
          <w:rFonts w:ascii="Verdana" w:eastAsia="Arial" w:hAnsi="Verdana" w:cs="Arial"/>
          <w:sz w:val="20"/>
          <w:lang w:eastAsia="es-ES" w:bidi="es-ES"/>
        </w:rPr>
      </w:pPr>
    </w:p>
    <w:p w14:paraId="755ED301" w14:textId="77777777" w:rsidR="002C7A87" w:rsidRDefault="002C7A87" w:rsidP="002C7A87">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 de manera que sus fallos no son fruto de las presiones propias de épocas de campaña electoral, ni comprometen o amenazan la transparencia de la actividad administrativa tutelada en la ley de </w:t>
      </w:r>
      <w:hyperlink r:id="rId9"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r>
        <w:rPr>
          <w:rFonts w:ascii="Verdana" w:eastAsia="Arial" w:hAnsi="Verdana" w:cs="Arial"/>
          <w:sz w:val="20"/>
          <w:lang w:eastAsia="es-ES" w:bidi="es-ES"/>
        </w:rPr>
        <w:t xml:space="preserve">. </w:t>
      </w:r>
    </w:p>
    <w:p w14:paraId="51D1C2ED" w14:textId="77777777" w:rsidR="002C7A87" w:rsidRPr="006177F8" w:rsidRDefault="002C7A87" w:rsidP="002C7A87">
      <w:pPr>
        <w:spacing w:after="0" w:line="240" w:lineRule="auto"/>
        <w:ind w:left="709" w:right="709"/>
        <w:jc w:val="both"/>
        <w:rPr>
          <w:rFonts w:ascii="Verdana" w:eastAsia="Arial" w:hAnsi="Verdana" w:cs="Arial"/>
          <w:sz w:val="20"/>
          <w:lang w:eastAsia="es-ES" w:bidi="es-ES"/>
        </w:rPr>
      </w:pPr>
    </w:p>
    <w:p w14:paraId="772FD7C9" w14:textId="77777777" w:rsidR="002C7A87" w:rsidRDefault="002C7A87" w:rsidP="002C7A87">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 xml:space="preserve">Por tanto, el derecho de acceso y de obtener una pronta y cumplida administración de justicia , que se concreta cuando se cumple lo ordenado en las respectivas sentencias, hacen que no sea necesario que el legislador </w:t>
      </w:r>
      <w:r w:rsidRPr="006177F8">
        <w:rPr>
          <w:rFonts w:ascii="Verdana" w:eastAsia="Arial" w:hAnsi="Verdana" w:cs="Arial"/>
          <w:sz w:val="20"/>
          <w:lang w:eastAsia="es-ES" w:bidi="es-ES"/>
        </w:rPr>
        <w:lastRenderedPageBreak/>
        <w:t>hubiese incluido el cumplimiento de fallos judiciales como parte de las excepciones a los regímenes prohibitivos contendido en los artículos </w:t>
      </w:r>
      <w:hyperlink r:id="rId10"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1"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2"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0176241F" w14:textId="77777777" w:rsidR="002C7A87" w:rsidRPr="0087053C" w:rsidRDefault="002C7A87" w:rsidP="002C7A87">
      <w:pPr>
        <w:spacing w:after="0" w:line="276" w:lineRule="auto"/>
        <w:ind w:left="709" w:right="709"/>
        <w:jc w:val="both"/>
        <w:rPr>
          <w:rFonts w:ascii="Verdana" w:eastAsia="Arial" w:hAnsi="Verdana" w:cs="Arial"/>
          <w:lang w:eastAsia="es-ES" w:bidi="es-ES"/>
        </w:rPr>
      </w:pPr>
    </w:p>
    <w:p w14:paraId="2C547488" w14:textId="77777777" w:rsidR="002C7A87" w:rsidRPr="0087053C" w:rsidRDefault="002C7A87" w:rsidP="002C7A87">
      <w:pPr>
        <w:spacing w:after="120" w:line="276" w:lineRule="auto"/>
        <w:ind w:firstLine="708"/>
        <w:jc w:val="both"/>
        <w:rPr>
          <w:rFonts w:ascii="Verdana" w:hAnsi="Verdana" w:cs="Arial"/>
          <w:lang w:val="es-ES"/>
        </w:rPr>
      </w:pPr>
      <w:r>
        <w:rPr>
          <w:rFonts w:ascii="Verdana" w:hAnsi="Verdana" w:cs="Arial"/>
          <w:lang w:val="es-ES"/>
        </w:rPr>
        <w:t xml:space="preserve">El </w:t>
      </w:r>
      <w:r w:rsidRPr="006177F8">
        <w:rPr>
          <w:rFonts w:ascii="Verdana" w:hAnsi="Verdana" w:cs="Arial"/>
          <w:lang w:val="es-ES"/>
        </w:rPr>
        <w:t xml:space="preserve">razonamiento de la Sala de Consulta y Servicio Civil del Consejo de Estado establece que las decisiones judiciales no se encuentran restringidas por las limitaciones de la Ley de Garantías Electorales. En consecuencia, es posible que un juez ordene la suscripción de un </w:t>
      </w:r>
      <w:r>
        <w:rPr>
          <w:rFonts w:ascii="Verdana" w:hAnsi="Verdana" w:cs="Arial"/>
          <w:lang w:val="es-ES"/>
        </w:rPr>
        <w:t>convenio interadministrativo</w:t>
      </w:r>
      <w:r w:rsidRPr="006177F8">
        <w:rPr>
          <w:rFonts w:ascii="Verdana" w:hAnsi="Verdana" w:cs="Arial"/>
          <w:lang w:val="es-ES"/>
        </w:rPr>
        <w:t xml:space="preserve">. </w:t>
      </w:r>
      <w:r>
        <w:rPr>
          <w:rFonts w:ascii="Verdana" w:hAnsi="Verdana" w:cs="Arial"/>
          <w:lang w:val="es-ES"/>
        </w:rPr>
        <w:t>De tal manera, n</w:t>
      </w:r>
      <w:r w:rsidRPr="006177F8">
        <w:rPr>
          <w:rFonts w:ascii="Verdana" w:hAnsi="Verdana" w:cs="Arial"/>
          <w:lang w:val="es-ES"/>
        </w:rPr>
        <w:t>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p w14:paraId="3F0752E2" w14:textId="77777777" w:rsidR="002C7A87" w:rsidRPr="00380CA4" w:rsidRDefault="002C7A87" w:rsidP="002C7A87">
      <w:pPr>
        <w:spacing w:before="120" w:after="0" w:line="276" w:lineRule="auto"/>
        <w:ind w:firstLine="708"/>
        <w:jc w:val="both"/>
        <w:rPr>
          <w:rFonts w:ascii="Verdana" w:eastAsia="Times New Roman" w:hAnsi="Verdana" w:cs="Arial"/>
          <w:lang w:eastAsia="es-CO"/>
        </w:rPr>
      </w:pPr>
      <w:r w:rsidRPr="00380CA4">
        <w:rPr>
          <w:rFonts w:ascii="Verdana" w:eastAsia="Times New Roman" w:hAnsi="Verdana" w:cs="Arial"/>
          <w:lang w:eastAsia="es-CO"/>
        </w:rPr>
        <w:t>En este punto, teniendo en cuenta lo señalado en el contenido de su petición</w:t>
      </w:r>
      <w:r>
        <w:rPr>
          <w:rFonts w:ascii="Verdana" w:eastAsia="Times New Roman" w:hAnsi="Verdana" w:cs="Arial"/>
          <w:lang w:eastAsia="es-CO"/>
        </w:rPr>
        <w:t xml:space="preserve"> acerca de la aplicación de la restricción a los convenios interadministrativos y no a los contratos</w:t>
      </w:r>
      <w:r w:rsidRPr="00380CA4">
        <w:rPr>
          <w:rFonts w:ascii="Verdana" w:eastAsia="Times New Roman" w:hAnsi="Verdana" w:cs="Arial"/>
          <w:lang w:eastAsia="es-CO"/>
        </w:rPr>
        <w:t xml:space="preserve">, vale la pena destacar que, </w:t>
      </w:r>
      <w:r w:rsidRPr="00380CA4">
        <w:rPr>
          <w:rFonts w:ascii="Verdana" w:eastAsia="Arial" w:hAnsi="Verdana" w:cs="Arial"/>
          <w:lang w:eastAsia="es-ES" w:bidi="es-ES"/>
        </w:rPr>
        <w:t xml:space="preserve">mediante auto de 4 de octubre del 2024, el Consejo de Estado, Subsección C de la Sección Tercera, decretó medida de suspensión provisional parcial del </w:t>
      </w:r>
      <w:r w:rsidRPr="00380CA4">
        <w:rPr>
          <w:rFonts w:ascii="Verdana" w:hAnsi="Verdana" w:cs="Arial"/>
        </w:rPr>
        <w:t>numeral 16.2 de la Circular Externa Única de 2022 expedida por la Agencia Nacional de Contratación Pública – Colombia Compra Eficiente, concretamente, respecto de los siguientes apartes normativos</w:t>
      </w:r>
      <w:r w:rsidRPr="00380CA4">
        <w:rPr>
          <w:rFonts w:ascii="Verdana" w:hAnsi="Verdana" w:cs="Arial"/>
          <w:vertAlign w:val="superscript"/>
        </w:rPr>
        <w:footnoteReference w:id="30"/>
      </w:r>
      <w:r w:rsidRPr="00380CA4">
        <w:rPr>
          <w:rFonts w:ascii="Verdana" w:hAnsi="Verdana" w:cs="Arial"/>
        </w:rPr>
        <w:t xml:space="preserve">: </w:t>
      </w:r>
    </w:p>
    <w:p w14:paraId="17038667" w14:textId="77777777" w:rsidR="002C7A87" w:rsidRPr="00380CA4" w:rsidRDefault="002C7A87" w:rsidP="002C7A87">
      <w:pPr>
        <w:spacing w:after="0" w:line="276" w:lineRule="auto"/>
        <w:ind w:firstLine="709"/>
        <w:jc w:val="both"/>
        <w:rPr>
          <w:rFonts w:ascii="Verdana" w:hAnsi="Verdana" w:cs="Arial"/>
        </w:rPr>
      </w:pPr>
    </w:p>
    <w:p w14:paraId="7D47D490" w14:textId="77777777" w:rsidR="002C7A87" w:rsidRPr="00380CA4" w:rsidRDefault="002C7A87" w:rsidP="002C7A87">
      <w:pPr>
        <w:spacing w:after="120" w:line="240" w:lineRule="auto"/>
        <w:ind w:left="709" w:right="709"/>
        <w:jc w:val="both"/>
        <w:rPr>
          <w:rFonts w:ascii="Verdana" w:hAnsi="Verdana" w:cs="Arial"/>
          <w:sz w:val="20"/>
          <w:szCs w:val="20"/>
        </w:rPr>
      </w:pPr>
      <w:r w:rsidRPr="00380CA4">
        <w:rPr>
          <w:rFonts w:ascii="Verdana" w:hAnsi="Verdana" w:cs="Arial"/>
          <w:sz w:val="20"/>
          <w:szCs w:val="20"/>
        </w:rPr>
        <w:t xml:space="preserve">“i)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7B28C87" w14:textId="77777777" w:rsidR="002C7A87" w:rsidRPr="00380CA4" w:rsidRDefault="002C7A87" w:rsidP="002C7A87">
      <w:pPr>
        <w:spacing w:after="0" w:line="240" w:lineRule="auto"/>
        <w:ind w:left="709" w:right="709"/>
        <w:jc w:val="both"/>
        <w:rPr>
          <w:rFonts w:ascii="Verdana" w:hAnsi="Verdana" w:cs="Arial"/>
          <w:sz w:val="20"/>
          <w:szCs w:val="20"/>
        </w:rPr>
      </w:pPr>
      <w:proofErr w:type="spellStart"/>
      <w:r w:rsidRPr="00380CA4">
        <w:rPr>
          <w:rFonts w:ascii="Verdana" w:hAnsi="Verdana" w:cs="Arial"/>
          <w:sz w:val="20"/>
          <w:szCs w:val="20"/>
        </w:rPr>
        <w:lastRenderedPageBreak/>
        <w:t>ii</w:t>
      </w:r>
      <w:proofErr w:type="spellEnd"/>
      <w:r w:rsidRPr="00380CA4">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7C5E665" w14:textId="77777777" w:rsidR="002C7A87" w:rsidRPr="00380CA4" w:rsidRDefault="002C7A87" w:rsidP="002C7A87">
      <w:pPr>
        <w:spacing w:after="0" w:line="276" w:lineRule="auto"/>
        <w:ind w:left="709" w:right="709"/>
        <w:jc w:val="both"/>
        <w:rPr>
          <w:rFonts w:ascii="Verdana" w:hAnsi="Verdana" w:cs="Arial"/>
        </w:rPr>
      </w:pPr>
    </w:p>
    <w:p w14:paraId="6E2471E0" w14:textId="77777777" w:rsidR="002C7A87" w:rsidRPr="00380CA4" w:rsidRDefault="002C7A87" w:rsidP="002C7A87">
      <w:pPr>
        <w:spacing w:after="120" w:line="276" w:lineRule="auto"/>
        <w:ind w:firstLine="709"/>
        <w:jc w:val="both"/>
        <w:rPr>
          <w:rFonts w:ascii="Verdana" w:eastAsia="Arial" w:hAnsi="Verdana" w:cs="Arial"/>
          <w:i/>
          <w:iCs/>
          <w:lang w:eastAsia="es-ES" w:bidi="es-ES"/>
        </w:rPr>
      </w:pPr>
      <w:r w:rsidRPr="00380CA4">
        <w:rPr>
          <w:rFonts w:ascii="Verdana" w:eastAsia="Arial" w:hAnsi="Verdana" w:cs="Arial"/>
          <w:lang w:eastAsia="es-ES" w:bidi="es-ES"/>
        </w:rPr>
        <w:t>De conformidad con los argumentos de dicha providencia, se parte de la distinción entre los conceptos 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380CA4">
        <w:rPr>
          <w:rFonts w:ascii="Verdana" w:hAnsi="Verdana"/>
          <w:sz w:val="24"/>
          <w:szCs w:val="24"/>
          <w:lang w:eastAsia="es-CO"/>
        </w:rPr>
        <w:t xml:space="preserve"> </w:t>
      </w:r>
      <w:r w:rsidRPr="00380CA4">
        <w:rPr>
          <w:rFonts w:ascii="Verdana" w:eastAsia="Arial" w:hAnsi="Verdana" w:cs="Arial"/>
          <w:lang w:eastAsia="es-ES" w:bidi="es-ES"/>
        </w:rPr>
        <w:t xml:space="preserve">En este sentido, en relación con el parágrafo del artículo 38 de la Ley 996 de 2005 concluyó que </w:t>
      </w:r>
      <w:r w:rsidRPr="00380CA4">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380CA4">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380CA4">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380CA4">
        <w:rPr>
          <w:rFonts w:ascii="Verdana" w:eastAsia="Arial" w:hAnsi="Verdana" w:cs="Arial"/>
          <w:lang w:eastAsia="es-ES" w:bidi="es-ES"/>
        </w:rPr>
        <w:t>”</w:t>
      </w:r>
      <w:r w:rsidRPr="00380CA4">
        <w:rPr>
          <w:rFonts w:ascii="Verdana" w:eastAsia="Arial" w:hAnsi="Verdana" w:cs="Arial"/>
          <w:i/>
          <w:iCs/>
          <w:lang w:eastAsia="es-ES" w:bidi="es-ES"/>
        </w:rPr>
        <w:t xml:space="preserve">. </w:t>
      </w:r>
    </w:p>
    <w:p w14:paraId="07319FA1" w14:textId="77777777" w:rsidR="002C7A87" w:rsidRPr="00380CA4" w:rsidRDefault="002C7A87" w:rsidP="002C7A87">
      <w:pPr>
        <w:spacing w:after="120" w:line="276" w:lineRule="auto"/>
        <w:ind w:firstLine="709"/>
        <w:jc w:val="both"/>
        <w:rPr>
          <w:rFonts w:ascii="Verdana" w:eastAsia="Arial" w:hAnsi="Verdana" w:cs="Arial"/>
          <w:lang w:eastAsia="es-ES" w:bidi="es-ES"/>
        </w:rPr>
      </w:pPr>
      <w:r w:rsidRPr="00380CA4">
        <w:rPr>
          <w:rFonts w:ascii="Verdana" w:eastAsia="Arial" w:hAnsi="Verdana" w:cs="Arial"/>
          <w:lang w:eastAsia="es-ES" w:bidi="es-ES"/>
        </w:rPr>
        <w:t>De igual manera, mediante auto del 6 de noviembre de 2025, el Consejo de Estado, Subsección A de la Sección Tercera, decretó</w:t>
      </w:r>
      <w:r w:rsidRPr="00380CA4">
        <w:rPr>
          <w:rFonts w:ascii="Verdana" w:eastAsia="Arial" w:hAnsi="Verdana" w:cs="Arial"/>
          <w:b/>
          <w:bCs/>
          <w:lang w:eastAsia="es-ES" w:bidi="es-ES"/>
        </w:rPr>
        <w:t xml:space="preserve"> </w:t>
      </w:r>
      <w:r w:rsidRPr="00380CA4">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380CA4">
        <w:rPr>
          <w:rFonts w:ascii="Verdana" w:eastAsia="Arial" w:hAnsi="Verdana" w:cs="Arial"/>
          <w:vertAlign w:val="superscript"/>
          <w:lang w:eastAsia="es-ES" w:bidi="es-ES"/>
        </w:rPr>
        <w:footnoteReference w:id="31"/>
      </w:r>
      <w:r w:rsidRPr="00380CA4">
        <w:rPr>
          <w:rFonts w:ascii="Verdana" w:eastAsia="Arial" w:hAnsi="Verdana" w:cs="Arial"/>
          <w:lang w:eastAsia="es-ES" w:bidi="es-ES"/>
        </w:rPr>
        <w:t xml:space="preserve">. Para tales </w:t>
      </w:r>
      <w:r w:rsidRPr="00380CA4">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w:t>
      </w:r>
      <w:proofErr w:type="spellStart"/>
      <w:r w:rsidRPr="00380CA4">
        <w:rPr>
          <w:rFonts w:ascii="Verdana" w:eastAsia="Arial" w:hAnsi="Verdana" w:cs="Arial"/>
          <w:lang w:eastAsia="es-ES" w:bidi="es-ES"/>
        </w:rPr>
        <w:t>legis</w:t>
      </w:r>
      <w:proofErr w:type="spellEnd"/>
      <w:r w:rsidRPr="00380CA4">
        <w:rPr>
          <w:rFonts w:ascii="Verdana" w:eastAsia="Arial" w:hAnsi="Verdana" w:cs="Arial"/>
          <w:lang w:eastAsia="es-ES" w:bidi="es-ES"/>
        </w:rPr>
        <w:t xml:space="preserve"> o iuris y la interpretación extensiva y reiteró los argumentos sobre la diferencia entre contratos y convenios interadministrativos. </w:t>
      </w:r>
    </w:p>
    <w:p w14:paraId="15C5A3B4" w14:textId="77777777" w:rsidR="002C7A87" w:rsidRPr="00380CA4" w:rsidRDefault="002C7A87" w:rsidP="002C7A87">
      <w:pPr>
        <w:spacing w:after="120" w:line="276" w:lineRule="auto"/>
        <w:ind w:firstLine="709"/>
        <w:jc w:val="both"/>
        <w:rPr>
          <w:rFonts w:ascii="Verdana" w:eastAsia="Times New Roman" w:hAnsi="Verdana" w:cs="Times New Roman"/>
          <w:lang w:eastAsia="es-ES"/>
        </w:rPr>
      </w:pPr>
      <w:r w:rsidRPr="00380CA4">
        <w:rPr>
          <w:rFonts w:ascii="Verdana" w:eastAsia="Arial" w:hAnsi="Verdana" w:cs="Arial"/>
          <w:lang w:eastAsia="es-ES" w:bidi="es-ES"/>
        </w:rPr>
        <w:t xml:space="preserve">Finalmente, mediante sentencia del 17 de octubre de 2025, emitida por la Sección Tercera del Consejo de Estado, dentro del expediente </w:t>
      </w:r>
      <w:r w:rsidRPr="00380CA4">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380CA4">
        <w:rPr>
          <w:rStyle w:val="Refdenotaalpie"/>
          <w:rFonts w:ascii="Verdana" w:eastAsia="Times New Roman" w:hAnsi="Verdana" w:cs="Times New Roman"/>
          <w:lang w:eastAsia="es-ES"/>
        </w:rPr>
        <w:footnoteReference w:id="32"/>
      </w:r>
      <w:r w:rsidRPr="00380CA4">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5A25FD6A" w14:textId="77777777" w:rsidR="002C7A87" w:rsidRDefault="002C7A87" w:rsidP="002C7A87">
      <w:pPr>
        <w:spacing w:after="120" w:line="276" w:lineRule="auto"/>
        <w:ind w:firstLine="709"/>
        <w:jc w:val="both"/>
        <w:rPr>
          <w:rFonts w:ascii="Verdana" w:eastAsia="Times New Roman" w:hAnsi="Verdana" w:cs="Arial"/>
          <w:lang w:eastAsia="es-CO"/>
        </w:rPr>
      </w:pPr>
      <w:r w:rsidRPr="00380CA4">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380CA4">
        <w:rPr>
          <w:rFonts w:ascii="Verdana" w:eastAsia="Times New Roman" w:hAnsi="Verdana" w:cs="Arial"/>
          <w:lang w:eastAsia="es-CO"/>
        </w:rPr>
        <w:t xml:space="preserve">Así las </w:t>
      </w:r>
      <w:r w:rsidRPr="00380CA4">
        <w:rPr>
          <w:rFonts w:ascii="Verdana" w:eastAsia="Times New Roman" w:hAnsi="Verdana" w:cs="Arial"/>
          <w:lang w:eastAsia="es-CO"/>
        </w:rPr>
        <w:lastRenderedPageBreak/>
        <w:t xml:space="preserve">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380CA4">
        <w:rPr>
          <w:rFonts w:ascii="Verdana" w:eastAsia="Times New Roman" w:hAnsi="Verdana" w:cs="Arial"/>
          <w:i/>
          <w:iCs/>
          <w:lang w:eastAsia="es-CO"/>
        </w:rPr>
        <w:t>contratos interadministrativos</w:t>
      </w:r>
      <w:r w:rsidRPr="00380CA4">
        <w:rPr>
          <w:rFonts w:ascii="Verdana" w:eastAsia="Times New Roman" w:hAnsi="Verdana" w:cs="Arial"/>
          <w:lang w:eastAsia="es-CO"/>
        </w:rPr>
        <w:t>, esta prohibición solo aplicaría a los convenios interadministrativos que impliquen la ejecución de recursos públicos</w:t>
      </w:r>
      <w:r w:rsidRPr="00380CA4">
        <w:rPr>
          <w:rStyle w:val="Refdenotaalpie"/>
          <w:rFonts w:ascii="Verdana" w:eastAsia="Times New Roman" w:hAnsi="Verdana" w:cs="Arial"/>
          <w:lang w:eastAsia="es-CO"/>
        </w:rPr>
        <w:footnoteReference w:id="33"/>
      </w:r>
      <w:r w:rsidRPr="00380CA4">
        <w:rPr>
          <w:rFonts w:ascii="Verdana" w:eastAsia="Times New Roman" w:hAnsi="Verdana" w:cs="Arial"/>
          <w:lang w:eastAsia="es-CO"/>
        </w:rPr>
        <w:t xml:space="preserve">. Conforme a lo señalado por el Consejo de Estado, cuando dos entidades públicas celebren un </w:t>
      </w:r>
      <w:r w:rsidRPr="00380CA4">
        <w:rPr>
          <w:rFonts w:ascii="Verdana" w:eastAsia="Times New Roman" w:hAnsi="Verdana" w:cs="Arial"/>
          <w:i/>
          <w:iCs/>
          <w:lang w:eastAsia="es-CO"/>
        </w:rPr>
        <w:t>contrato interadministrativo,</w:t>
      </w:r>
      <w:r w:rsidRPr="00380CA4">
        <w:rPr>
          <w:rFonts w:ascii="Verdana" w:eastAsia="Times New Roman" w:hAnsi="Verdana" w:cs="Arial"/>
          <w:lang w:eastAsia="es-CO"/>
        </w:rPr>
        <w:t xml:space="preserve"> independientemente del objeto, dicho contrato puede suscribirse durante el periodo preelectoral.</w:t>
      </w:r>
    </w:p>
    <w:p w14:paraId="7E77C137" w14:textId="77777777" w:rsidR="002C7A87" w:rsidRDefault="002C7A87" w:rsidP="002C7A87">
      <w:pPr>
        <w:spacing w:after="0" w:line="276" w:lineRule="auto"/>
        <w:ind w:firstLine="709"/>
        <w:jc w:val="both"/>
        <w:rPr>
          <w:rFonts w:ascii="Verdana" w:eastAsiaTheme="minorEastAsia" w:hAnsi="Verdana" w:cs="Arial"/>
          <w:lang w:eastAsia="es-CO"/>
        </w:rPr>
      </w:pPr>
      <w:r>
        <w:rPr>
          <w:rFonts w:ascii="Verdana" w:eastAsia="Times New Roman" w:hAnsi="Verdana" w:cs="Arial"/>
          <w:lang w:eastAsia="es-CO"/>
        </w:rPr>
        <w:t xml:space="preserve">Dado que la prohibición objeto de análisis aplica solo a convenios interadministrativos, no a contratos interadministrativos, es importante señalar que su diferencia. </w:t>
      </w:r>
      <w:r w:rsidRPr="00B57A1B">
        <w:rPr>
          <w:rFonts w:ascii="Verdana" w:eastAsiaTheme="minorEastAsia" w:hAnsi="Verdana" w:cs="Arial"/>
          <w:lang w:eastAsia="es-CO"/>
        </w:rPr>
        <w:t xml:space="preserve">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533C68E5" w14:textId="77777777" w:rsidR="002C7A87" w:rsidRPr="00B57A1B" w:rsidRDefault="002C7A87" w:rsidP="002C7A87">
      <w:pPr>
        <w:spacing w:after="0" w:line="276" w:lineRule="auto"/>
        <w:ind w:firstLine="709"/>
        <w:jc w:val="both"/>
        <w:rPr>
          <w:rFonts w:ascii="Verdana" w:eastAsiaTheme="minorEastAsia" w:hAnsi="Verdana" w:cs="Arial"/>
          <w:lang w:eastAsia="es-CO"/>
        </w:rPr>
      </w:pPr>
    </w:p>
    <w:p w14:paraId="4F90F43B" w14:textId="77777777" w:rsidR="002C7A87" w:rsidRPr="000E225C" w:rsidRDefault="002C7A87" w:rsidP="002C7A87">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06F64983" w14:textId="77777777" w:rsidR="002C7A87" w:rsidRPr="000E225C" w:rsidRDefault="002C7A87" w:rsidP="002C7A87">
      <w:pPr>
        <w:numPr>
          <w:ilvl w:val="0"/>
          <w:numId w:val="4"/>
        </w:numPr>
        <w:spacing w:after="0" w:line="240" w:lineRule="auto"/>
        <w:ind w:left="709" w:right="709" w:firstLine="0"/>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316EE468" w14:textId="77777777" w:rsidR="002C7A87" w:rsidRPr="000E225C" w:rsidRDefault="002C7A87" w:rsidP="002C7A87">
      <w:pPr>
        <w:numPr>
          <w:ilvl w:val="0"/>
          <w:numId w:val="4"/>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 xml:space="preserve">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w:t>
      </w:r>
      <w:r w:rsidRPr="000E225C">
        <w:rPr>
          <w:rFonts w:ascii="Verdana" w:eastAsiaTheme="minorEastAsia" w:hAnsi="Verdana" w:cs="Arial"/>
          <w:sz w:val="20"/>
          <w:szCs w:val="20"/>
          <w:lang w:eastAsia="es-CO"/>
        </w:rPr>
        <w:lastRenderedPageBreak/>
        <w:t>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063D3E01" w14:textId="77777777" w:rsidR="002C7A87" w:rsidRPr="0087053C" w:rsidRDefault="002C7A87" w:rsidP="002C7A87">
      <w:pPr>
        <w:numPr>
          <w:ilvl w:val="0"/>
          <w:numId w:val="4"/>
        </w:numPr>
        <w:spacing w:after="0" w:line="240" w:lineRule="auto"/>
        <w:ind w:left="711"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34"/>
      </w:r>
      <w:r>
        <w:rPr>
          <w:rFonts w:ascii="Verdana" w:eastAsiaTheme="minorEastAsia" w:hAnsi="Verdana" w:cs="Arial"/>
          <w:sz w:val="20"/>
          <w:szCs w:val="20"/>
          <w:lang w:eastAsia="es-CO"/>
        </w:rPr>
        <w:t>.</w:t>
      </w:r>
    </w:p>
    <w:p w14:paraId="76806621" w14:textId="77777777" w:rsidR="002C7A87" w:rsidRPr="00D0672D" w:rsidRDefault="002C7A87" w:rsidP="002C7A87">
      <w:pPr>
        <w:spacing w:after="0" w:line="276" w:lineRule="auto"/>
        <w:ind w:left="709" w:right="709"/>
        <w:contextualSpacing/>
        <w:jc w:val="both"/>
        <w:rPr>
          <w:rFonts w:ascii="Verdana" w:eastAsiaTheme="minorEastAsia" w:hAnsi="Verdana" w:cs="Arial"/>
          <w:sz w:val="20"/>
          <w:szCs w:val="20"/>
          <w:lang w:val="es-ES" w:eastAsia="es-CO"/>
        </w:rPr>
      </w:pPr>
    </w:p>
    <w:p w14:paraId="36DB01EA" w14:textId="77777777" w:rsidR="002C7A87" w:rsidRDefault="002C7A87" w:rsidP="002C7A87">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0AE546A7" w14:textId="77777777" w:rsidR="002C7A87" w:rsidRPr="00B57A1B" w:rsidRDefault="002C7A87" w:rsidP="002C7A87">
      <w:pPr>
        <w:spacing w:after="0" w:line="276" w:lineRule="auto"/>
        <w:ind w:firstLine="709"/>
        <w:jc w:val="both"/>
        <w:rPr>
          <w:rFonts w:ascii="Verdana" w:eastAsiaTheme="minorEastAsia" w:hAnsi="Verdana" w:cs="Arial"/>
          <w:lang w:eastAsia="es-CO"/>
        </w:rPr>
      </w:pPr>
    </w:p>
    <w:p w14:paraId="18D42393" w14:textId="77777777" w:rsidR="002C7A87" w:rsidRPr="000E225C" w:rsidRDefault="002C7A87" w:rsidP="002C7A87">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1D658D01" w14:textId="77777777" w:rsidR="002C7A87" w:rsidRPr="000E225C" w:rsidRDefault="002C7A87" w:rsidP="002C7A87">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5BDF2798" w14:textId="77777777" w:rsidR="002C7A87" w:rsidRDefault="002C7A87" w:rsidP="002C7A87">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 xml:space="preserve">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w:t>
      </w:r>
      <w:r w:rsidRPr="000E225C">
        <w:rPr>
          <w:rFonts w:ascii="Verdana" w:hAnsi="Verdana" w:cs="Weiss"/>
          <w:sz w:val="20"/>
          <w:szCs w:val="19"/>
        </w:rPr>
        <w:lastRenderedPageBreak/>
        <w:t>y el segundo, aunque persona pública, tiene intereses y está en un mercado de forma similar a como lo hace el particular”</w:t>
      </w:r>
      <w:r w:rsidRPr="000E225C">
        <w:rPr>
          <w:rFonts w:ascii="Verdana" w:hAnsi="Verdana" w:cs="Weiss"/>
          <w:sz w:val="20"/>
          <w:szCs w:val="19"/>
          <w:vertAlign w:val="superscript"/>
        </w:rPr>
        <w:footnoteReference w:id="35"/>
      </w:r>
      <w:r w:rsidRPr="000E225C">
        <w:rPr>
          <w:rFonts w:ascii="Verdana" w:hAnsi="Verdana" w:cs="Weiss"/>
          <w:sz w:val="20"/>
          <w:szCs w:val="19"/>
        </w:rPr>
        <w:t>.</w:t>
      </w:r>
    </w:p>
    <w:p w14:paraId="1AFECFF5" w14:textId="77777777" w:rsidR="002C7A87" w:rsidRPr="004A769B" w:rsidRDefault="002C7A87" w:rsidP="002C7A87">
      <w:pPr>
        <w:autoSpaceDE w:val="0"/>
        <w:autoSpaceDN w:val="0"/>
        <w:adjustRightInd w:val="0"/>
        <w:spacing w:after="0" w:line="240" w:lineRule="auto"/>
        <w:ind w:left="709" w:right="709"/>
        <w:jc w:val="both"/>
        <w:rPr>
          <w:rFonts w:ascii="Verdana" w:hAnsi="Verdana" w:cs="Weiss"/>
          <w:sz w:val="20"/>
          <w:szCs w:val="19"/>
        </w:rPr>
      </w:pPr>
    </w:p>
    <w:p w14:paraId="3C7CA666" w14:textId="77777777" w:rsidR="002C7A87" w:rsidRDefault="002C7A87" w:rsidP="002C7A87">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Ahora bien, esta distinción conceptual entre contratos y convenios interadministrativos resulta relevante para precisar </w:t>
      </w:r>
      <w:r>
        <w:rPr>
          <w:rFonts w:ascii="Verdana" w:eastAsiaTheme="minorEastAsia" w:hAnsi="Verdana" w:cs="Arial"/>
          <w:lang w:eastAsia="es-CO"/>
        </w:rPr>
        <w:t xml:space="preserve">el </w:t>
      </w:r>
      <w:r w:rsidRPr="00B57A1B">
        <w:rPr>
          <w:rFonts w:ascii="Verdana" w:eastAsiaTheme="minorEastAsia" w:hAnsi="Verdana" w:cs="Arial"/>
          <w:lang w:eastAsia="es-CO"/>
        </w:rPr>
        <w:t xml:space="preserve">ámbito de aplicación de las instituciones del EGCAP. Al respecto, el Consejo </w:t>
      </w:r>
      <w:r>
        <w:rPr>
          <w:rFonts w:ascii="Verdana" w:eastAsiaTheme="minorEastAsia" w:hAnsi="Verdana" w:cs="Arial"/>
          <w:lang w:eastAsia="es-CO"/>
        </w:rPr>
        <w:t xml:space="preserve">de Estado </w:t>
      </w:r>
      <w:r w:rsidRPr="00B57A1B">
        <w:rPr>
          <w:rFonts w:ascii="Verdana" w:eastAsiaTheme="minorEastAsia" w:hAnsi="Verdana" w:cs="Arial"/>
          <w:lang w:eastAsia="es-CO"/>
        </w:rPr>
        <w:t>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36"/>
      </w:r>
      <w:r w:rsidRPr="00B57A1B">
        <w:rPr>
          <w:rFonts w:ascii="Verdana" w:eastAsiaTheme="minorEastAsia" w:hAnsi="Verdana" w:cs="Arial"/>
          <w:lang w:eastAsia="es-CO"/>
        </w:rPr>
        <w:t xml:space="preserve">. </w:t>
      </w:r>
    </w:p>
    <w:p w14:paraId="150859F8" w14:textId="77777777" w:rsidR="002C7A87" w:rsidRPr="004A769B" w:rsidRDefault="002C7A87" w:rsidP="002C7A87">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De esta manera, el Consejo de Estado expresa:  </w:t>
      </w:r>
    </w:p>
    <w:p w14:paraId="7C703A6F" w14:textId="77777777" w:rsidR="002C7A87" w:rsidRPr="000E225C" w:rsidRDefault="002C7A87" w:rsidP="002C7A87">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787EAF21" w14:textId="77777777" w:rsidR="002C7A87" w:rsidRPr="000E225C" w:rsidRDefault="002C7A87" w:rsidP="002C7A87">
      <w:pPr>
        <w:widowControl w:val="0"/>
        <w:autoSpaceDE w:val="0"/>
        <w:autoSpaceDN w:val="0"/>
        <w:spacing w:after="0" w:line="240" w:lineRule="auto"/>
        <w:ind w:left="709" w:right="709"/>
        <w:jc w:val="both"/>
        <w:rPr>
          <w:rFonts w:ascii="Verdana" w:eastAsia="Arial MT" w:hAnsi="Verdana" w:cs="Arial MT"/>
          <w:sz w:val="20"/>
          <w:szCs w:val="19"/>
        </w:rPr>
      </w:pPr>
    </w:p>
    <w:p w14:paraId="2F117A1A" w14:textId="77777777" w:rsidR="002C7A87" w:rsidRPr="000E225C" w:rsidRDefault="002C7A87" w:rsidP="002C7A87">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w:t>
      </w:r>
      <w:r w:rsidRPr="000E225C">
        <w:rPr>
          <w:rFonts w:ascii="Verdana" w:eastAsia="Arial MT" w:hAnsi="Verdana" w:cs="Arial MT"/>
          <w:i/>
          <w:iCs/>
          <w:sz w:val="20"/>
          <w:szCs w:val="19"/>
        </w:rPr>
        <w:lastRenderedPageBreak/>
        <w:t xml:space="preserve">o falta de regulación normativa y/o convencional. </w:t>
      </w:r>
    </w:p>
    <w:p w14:paraId="4C860DB0" w14:textId="77777777" w:rsidR="002C7A87" w:rsidRPr="000E225C" w:rsidRDefault="002C7A87" w:rsidP="002C7A87">
      <w:pPr>
        <w:widowControl w:val="0"/>
        <w:autoSpaceDE w:val="0"/>
        <w:autoSpaceDN w:val="0"/>
        <w:spacing w:after="0" w:line="240" w:lineRule="auto"/>
        <w:ind w:left="709" w:right="709"/>
        <w:jc w:val="both"/>
        <w:rPr>
          <w:rFonts w:ascii="Verdana" w:eastAsia="Arial MT" w:hAnsi="Verdana" w:cs="Arial MT"/>
          <w:sz w:val="20"/>
          <w:szCs w:val="19"/>
        </w:rPr>
      </w:pPr>
    </w:p>
    <w:p w14:paraId="4DC7F566" w14:textId="77777777" w:rsidR="002C7A87" w:rsidRDefault="002C7A87" w:rsidP="002C7A87">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37"/>
      </w:r>
      <w:r w:rsidRPr="000E225C">
        <w:rPr>
          <w:rFonts w:ascii="Verdana" w:eastAsia="Arial MT" w:hAnsi="Verdana" w:cs="Arial MT"/>
          <w:i/>
          <w:iCs/>
          <w:sz w:val="20"/>
          <w:szCs w:val="19"/>
        </w:rPr>
        <w:t>.</w:t>
      </w:r>
    </w:p>
    <w:p w14:paraId="0B1E2971" w14:textId="77777777" w:rsidR="002C7A87" w:rsidRPr="00380CA4" w:rsidRDefault="002C7A87" w:rsidP="002C7A87">
      <w:pPr>
        <w:spacing w:after="0" w:line="276" w:lineRule="auto"/>
        <w:jc w:val="both"/>
        <w:rPr>
          <w:rFonts w:ascii="Verdana" w:eastAsia="Times New Roman" w:hAnsi="Verdana" w:cs="Arial"/>
          <w:bCs/>
          <w:lang w:eastAsia="x-none"/>
        </w:rPr>
      </w:pPr>
    </w:p>
    <w:bookmarkEnd w:id="11"/>
    <w:p w14:paraId="1F28904C" w14:textId="77777777" w:rsidR="002C7A87" w:rsidRPr="00380CA4" w:rsidRDefault="002C7A87" w:rsidP="002C7A87">
      <w:pPr>
        <w:spacing w:line="276" w:lineRule="auto"/>
        <w:jc w:val="both"/>
        <w:rPr>
          <w:rFonts w:ascii="Verdana" w:eastAsia="Times New Roman" w:hAnsi="Verdana" w:cs="Arial"/>
          <w:iCs/>
          <w:color w:val="000000"/>
          <w:szCs w:val="24"/>
          <w:lang w:eastAsia="es-ES_tradnl"/>
        </w:rPr>
      </w:pPr>
      <w:proofErr w:type="spellStart"/>
      <w:r>
        <w:rPr>
          <w:rFonts w:ascii="Verdana" w:eastAsia="Times New Roman" w:hAnsi="Verdana" w:cs="Arial"/>
          <w:color w:val="000000"/>
          <w:lang w:eastAsia="es-ES"/>
        </w:rPr>
        <w:t>iv</w:t>
      </w:r>
      <w:proofErr w:type="spellEnd"/>
      <w:r>
        <w:rPr>
          <w:rFonts w:ascii="Verdana" w:eastAsia="Times New Roman" w:hAnsi="Verdana" w:cs="Arial"/>
          <w:color w:val="000000"/>
          <w:lang w:eastAsia="es-ES"/>
        </w:rPr>
        <w:t xml:space="preserve">. </w:t>
      </w:r>
      <w:r w:rsidRPr="00380CA4">
        <w:rPr>
          <w:rFonts w:ascii="Verdana" w:hAnsi="Verdana" w:cs="Arial"/>
          <w:lang w:eastAsia="es-ES"/>
        </w:rPr>
        <w:t>Al margen de la explicación precedente debe advertirse que el análisis requerido para resolver problemas específicos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2346895" w14:textId="77777777" w:rsidR="002C7A87" w:rsidRPr="00380CA4" w:rsidRDefault="002C7A87" w:rsidP="002C7A87">
      <w:pPr>
        <w:spacing w:after="0" w:line="276" w:lineRule="auto"/>
        <w:ind w:firstLine="708"/>
        <w:jc w:val="both"/>
        <w:rPr>
          <w:rFonts w:ascii="Verdana" w:eastAsia="Calibri" w:hAnsi="Verdana" w:cs="Arial"/>
        </w:rPr>
      </w:pPr>
      <w:r w:rsidRPr="00380CA4">
        <w:rPr>
          <w:rFonts w:ascii="Verdana" w:eastAsia="Times New Roman" w:hAnsi="Verdana" w:cs="Arial"/>
          <w:color w:val="000000"/>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5F9D0613" w14:textId="77777777" w:rsidR="002C7A87" w:rsidRPr="00ED4BD7" w:rsidRDefault="002C7A87" w:rsidP="002C7A87">
      <w:pPr>
        <w:spacing w:after="0" w:line="276" w:lineRule="auto"/>
        <w:jc w:val="both"/>
        <w:rPr>
          <w:rFonts w:ascii="Verdana" w:eastAsia="Calibri" w:hAnsi="Verdana" w:cs="Arial"/>
          <w:lang w:eastAsia="es-MX"/>
        </w:rPr>
      </w:pPr>
    </w:p>
    <w:p w14:paraId="25FF011D" w14:textId="77777777" w:rsidR="002C7A87" w:rsidRPr="00ED4BD7" w:rsidRDefault="002C7A87" w:rsidP="002C7A87">
      <w:pPr>
        <w:pStyle w:val="Prrafodelista"/>
        <w:numPr>
          <w:ilvl w:val="0"/>
          <w:numId w:val="3"/>
        </w:numPr>
        <w:tabs>
          <w:tab w:val="left" w:pos="142"/>
          <w:tab w:val="left" w:pos="284"/>
        </w:tabs>
        <w:spacing w:after="0" w:line="276" w:lineRule="auto"/>
        <w:contextualSpacing w:val="0"/>
        <w:jc w:val="both"/>
        <w:rPr>
          <w:rFonts w:ascii="Verdana" w:eastAsia="Century Gothic" w:hAnsi="Verdana" w:cs="Century Gothic"/>
          <w:b/>
          <w:bCs/>
        </w:rPr>
      </w:pPr>
      <w:r w:rsidRPr="00ED4BD7">
        <w:rPr>
          <w:rFonts w:ascii="Verdana" w:eastAsia="Century Gothic" w:hAnsi="Verdana" w:cs="Century Gothic"/>
          <w:b/>
          <w:bCs/>
        </w:rPr>
        <w:t xml:space="preserve">Referencias normativas: </w:t>
      </w:r>
    </w:p>
    <w:p w14:paraId="42DA72D4" w14:textId="77777777" w:rsidR="002C7A87" w:rsidRPr="00ED4BD7" w:rsidRDefault="002C7A87" w:rsidP="002C7A8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C7A87" w:rsidRPr="00ED4BD7" w14:paraId="16A70DC6" w14:textId="77777777" w:rsidTr="00B13FF9">
        <w:trPr>
          <w:trHeight w:val="487"/>
          <w:jc w:val="center"/>
        </w:trPr>
        <w:tc>
          <w:tcPr>
            <w:tcW w:w="8647" w:type="dxa"/>
          </w:tcPr>
          <w:p w14:paraId="5173F8D2" w14:textId="77777777" w:rsidR="002C7A87" w:rsidRPr="00ED4BD7" w:rsidRDefault="002C7A87" w:rsidP="002C7A87">
            <w:pPr>
              <w:widowControl w:val="0"/>
              <w:numPr>
                <w:ilvl w:val="0"/>
                <w:numId w:val="2"/>
              </w:numPr>
              <w:autoSpaceDE w:val="0"/>
              <w:autoSpaceDN w:val="0"/>
              <w:spacing w:line="276" w:lineRule="auto"/>
              <w:jc w:val="both"/>
              <w:rPr>
                <w:rFonts w:ascii="Verdana" w:eastAsia="Arial MT" w:hAnsi="Verdana" w:cs="Arial"/>
                <w:lang w:eastAsia="es-ES" w:bidi="es-ES"/>
              </w:rPr>
            </w:pPr>
            <w:r w:rsidRPr="00ED4BD7">
              <w:rPr>
                <w:rFonts w:ascii="Verdana" w:eastAsia="Arial MT" w:hAnsi="Verdana" w:cs="Arial"/>
                <w:lang w:eastAsia="es-ES" w:bidi="es-ES"/>
              </w:rPr>
              <w:lastRenderedPageBreak/>
              <w:t>Constitución Política de 1991, artículo 127.</w:t>
            </w:r>
          </w:p>
          <w:p w14:paraId="691D66E7" w14:textId="77777777" w:rsidR="002C7A87" w:rsidRPr="00ED4BD7" w:rsidRDefault="002C7A87" w:rsidP="002C7A87">
            <w:pPr>
              <w:widowControl w:val="0"/>
              <w:numPr>
                <w:ilvl w:val="0"/>
                <w:numId w:val="2"/>
              </w:numPr>
              <w:autoSpaceDE w:val="0"/>
              <w:autoSpaceDN w:val="0"/>
              <w:spacing w:line="276" w:lineRule="auto"/>
              <w:jc w:val="both"/>
              <w:rPr>
                <w:rFonts w:ascii="Verdana" w:eastAsia="Arial MT" w:hAnsi="Verdana" w:cs="Arial"/>
                <w:lang w:eastAsia="es-ES" w:bidi="es-ES"/>
              </w:rPr>
            </w:pPr>
            <w:r w:rsidRPr="00ED4BD7">
              <w:rPr>
                <w:rFonts w:ascii="Verdana" w:eastAsia="Arial MT" w:hAnsi="Verdana" w:cs="Arial"/>
                <w:lang w:eastAsia="es-ES" w:bidi="es-ES"/>
              </w:rPr>
              <w:t xml:space="preserve">Código Civil, artículos 27 y 1501. </w:t>
            </w:r>
            <w:r w:rsidRPr="00ED4BD7">
              <w:rPr>
                <w:rFonts w:ascii="Verdana" w:eastAsia="Arial MT" w:hAnsi="Verdana" w:cs="Arial"/>
                <w:bCs/>
                <w:lang w:eastAsia="es-ES" w:bidi="es-ES"/>
              </w:rPr>
              <w:t xml:space="preserve"> </w:t>
            </w:r>
          </w:p>
          <w:p w14:paraId="2801AB39" w14:textId="77777777" w:rsidR="002C7A87" w:rsidRPr="00ED4BD7" w:rsidRDefault="002C7A87" w:rsidP="002C7A87">
            <w:pPr>
              <w:widowControl w:val="0"/>
              <w:numPr>
                <w:ilvl w:val="0"/>
                <w:numId w:val="2"/>
              </w:numPr>
              <w:autoSpaceDE w:val="0"/>
              <w:autoSpaceDN w:val="0"/>
              <w:spacing w:line="276" w:lineRule="auto"/>
              <w:jc w:val="both"/>
              <w:rPr>
                <w:rFonts w:ascii="Verdana" w:eastAsia="Arial MT" w:hAnsi="Verdana" w:cs="Arial"/>
                <w:lang w:eastAsia="es-ES" w:bidi="es-ES"/>
              </w:rPr>
            </w:pPr>
            <w:r w:rsidRPr="00ED4BD7">
              <w:rPr>
                <w:rFonts w:ascii="Verdana" w:eastAsia="Arial MT" w:hAnsi="Verdana" w:cs="Arial"/>
                <w:lang w:eastAsia="es-ES" w:bidi="es-ES"/>
              </w:rPr>
              <w:t>Ley 80 de 1993, artículos 2, 39, 41 y 42.</w:t>
            </w:r>
          </w:p>
          <w:p w14:paraId="6312747C" w14:textId="77777777" w:rsidR="002C7A87" w:rsidRPr="00ED4BD7" w:rsidRDefault="002C7A87" w:rsidP="002C7A87">
            <w:pPr>
              <w:widowControl w:val="0"/>
              <w:numPr>
                <w:ilvl w:val="0"/>
                <w:numId w:val="2"/>
              </w:numPr>
              <w:autoSpaceDE w:val="0"/>
              <w:autoSpaceDN w:val="0"/>
              <w:spacing w:line="276" w:lineRule="auto"/>
              <w:ind w:left="714" w:hanging="357"/>
              <w:jc w:val="both"/>
              <w:rPr>
                <w:rFonts w:ascii="Verdana" w:eastAsia="Arial MT" w:hAnsi="Verdana" w:cs="Arial"/>
                <w:lang w:eastAsia="es-ES" w:bidi="es-ES"/>
              </w:rPr>
            </w:pPr>
            <w:r w:rsidRPr="00ED4BD7">
              <w:rPr>
                <w:rFonts w:ascii="Verdana" w:eastAsia="Arial MT" w:hAnsi="Verdana" w:cs="Arial"/>
                <w:bCs/>
                <w:lang w:eastAsia="es-ES" w:bidi="es-ES"/>
              </w:rPr>
              <w:t>Ley 996 de 2005: artículos 33 y 38 parágrafo.</w:t>
            </w:r>
          </w:p>
          <w:p w14:paraId="560B9D86" w14:textId="77777777" w:rsidR="002C7A87" w:rsidRPr="00ED4BD7" w:rsidRDefault="002C7A87" w:rsidP="002C7A87">
            <w:pPr>
              <w:widowControl w:val="0"/>
              <w:numPr>
                <w:ilvl w:val="0"/>
                <w:numId w:val="2"/>
              </w:numPr>
              <w:autoSpaceDE w:val="0"/>
              <w:autoSpaceDN w:val="0"/>
              <w:spacing w:line="276" w:lineRule="auto"/>
              <w:ind w:left="714" w:hanging="357"/>
              <w:jc w:val="both"/>
              <w:rPr>
                <w:rFonts w:ascii="Verdana" w:eastAsia="Arial MT" w:hAnsi="Verdana" w:cs="Arial"/>
                <w:lang w:eastAsia="es-ES" w:bidi="es-ES"/>
              </w:rPr>
            </w:pPr>
            <w:r w:rsidRPr="00ED4BD7">
              <w:rPr>
                <w:rFonts w:ascii="Verdana" w:eastAsia="Arial MT" w:hAnsi="Verdana" w:cs="Arial"/>
                <w:bCs/>
                <w:lang w:eastAsia="es-ES" w:bidi="es-ES"/>
              </w:rPr>
              <w:t xml:space="preserve">Ley 1150 de 2007, artículo 2. </w:t>
            </w:r>
          </w:p>
        </w:tc>
      </w:tr>
    </w:tbl>
    <w:p w14:paraId="21C83495" w14:textId="77777777" w:rsidR="002C7A87" w:rsidRPr="00ED4BD7" w:rsidRDefault="002C7A87" w:rsidP="002C7A87">
      <w:pPr>
        <w:widowControl w:val="0"/>
        <w:autoSpaceDE w:val="0"/>
        <w:autoSpaceDN w:val="0"/>
        <w:spacing w:after="0" w:line="276" w:lineRule="auto"/>
        <w:jc w:val="both"/>
        <w:rPr>
          <w:rFonts w:ascii="Verdana" w:hAnsi="Verdana" w:cs="Arial"/>
        </w:rPr>
      </w:pPr>
    </w:p>
    <w:p w14:paraId="1895EED4" w14:textId="77777777" w:rsidR="002C7A87" w:rsidRPr="00ED4BD7" w:rsidRDefault="002C7A87" w:rsidP="002C7A87">
      <w:pPr>
        <w:pStyle w:val="Prrafodelista"/>
        <w:numPr>
          <w:ilvl w:val="0"/>
          <w:numId w:val="3"/>
        </w:numPr>
        <w:tabs>
          <w:tab w:val="left" w:pos="142"/>
          <w:tab w:val="left" w:pos="284"/>
        </w:tabs>
        <w:spacing w:after="0" w:line="276" w:lineRule="auto"/>
        <w:contextualSpacing w:val="0"/>
        <w:jc w:val="both"/>
        <w:rPr>
          <w:rFonts w:ascii="Verdana" w:eastAsia="Century Gothic" w:hAnsi="Verdana" w:cs="Century Gothic"/>
          <w:b/>
          <w:bCs/>
        </w:rPr>
      </w:pPr>
      <w:r w:rsidRPr="00ED4BD7">
        <w:rPr>
          <w:rFonts w:ascii="Verdana" w:eastAsia="Century Gothic" w:hAnsi="Verdana" w:cs="Century Gothic"/>
          <w:b/>
          <w:bCs/>
        </w:rPr>
        <w:t>Doctrina de la Agencia Nacional de Contratación Pública:</w:t>
      </w:r>
    </w:p>
    <w:p w14:paraId="4AF8056B" w14:textId="77777777" w:rsidR="002C7A87" w:rsidRPr="00ED4BD7" w:rsidRDefault="002C7A87" w:rsidP="002C7A87">
      <w:pPr>
        <w:widowControl w:val="0"/>
        <w:autoSpaceDE w:val="0"/>
        <w:autoSpaceDN w:val="0"/>
        <w:spacing w:after="0" w:line="276" w:lineRule="auto"/>
        <w:jc w:val="both"/>
        <w:rPr>
          <w:rFonts w:ascii="Verdana" w:hAnsi="Verdana" w:cs="Arial"/>
        </w:rPr>
      </w:pPr>
    </w:p>
    <w:p w14:paraId="27F4C1E0" w14:textId="77777777" w:rsidR="002C7A87" w:rsidRPr="00ED4BD7" w:rsidRDefault="002C7A87" w:rsidP="002C7A87">
      <w:pPr>
        <w:widowControl w:val="0"/>
        <w:autoSpaceDE w:val="0"/>
        <w:autoSpaceDN w:val="0"/>
        <w:spacing w:after="0" w:line="276" w:lineRule="auto"/>
        <w:jc w:val="both"/>
        <w:rPr>
          <w:rFonts w:ascii="Verdana" w:eastAsia="Calibri" w:hAnsi="Verdana" w:cs="Times New Roman"/>
        </w:rPr>
      </w:pPr>
      <w:r w:rsidRPr="00ED4BD7">
        <w:rPr>
          <w:rFonts w:ascii="Verdana" w:eastAsia="Calibri" w:hAnsi="Verdana" w:cs="Times New Roman"/>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C-1401 del 22 de octubre de 2025, C-1512 del 27 de octubre de 2025, C-1488 del 30 de octubre de 2025, C-1596 del 6 de noviembre de 2025, C-1509 del 19 de noviembre de 2025, C-1548 del 2 de diciembre de 2025, C-1773 del 5 de diciembre de 2025, C-1646 del 17 de diciembre de 2025, C-1703 del 29 de diciembre de 2025, C-068 del 27 de enero de 2026, C-111 del 6 de febrero de 2026, C-127 del 6 de febrero de 2026, C-221 del 26 de marzo de 2026, y C-1139 del 27 de agosto de 2026, entre otros. Estos y otros conceptos se encuentran disponibles para consulta en el Sistema de Relatoría de la Agencia, en el cual también podrás encontrar jurisprudencia del Consejo de Estado, laudos arbitrales y la normativa de la contratación concordada con la doctrina </w:t>
      </w:r>
      <w:r w:rsidRPr="00ED4BD7">
        <w:rPr>
          <w:rFonts w:ascii="Verdana" w:eastAsia="Calibri" w:hAnsi="Verdana" w:cs="Times New Roman"/>
        </w:rPr>
        <w:lastRenderedPageBreak/>
        <w:t>de la Subdirección de Gestión Contractual, accede a través del siguiente enlace:</w:t>
      </w:r>
    </w:p>
    <w:p w14:paraId="73BE6658" w14:textId="77777777" w:rsidR="002C7A87" w:rsidRPr="00ED4BD7" w:rsidRDefault="002C7A87" w:rsidP="002C7A87">
      <w:pPr>
        <w:spacing w:after="0" w:line="276" w:lineRule="auto"/>
        <w:jc w:val="both"/>
        <w:rPr>
          <w:rFonts w:ascii="Verdana" w:eastAsia="Calibri" w:hAnsi="Verdana" w:cs="Times New Roman"/>
        </w:rPr>
      </w:pPr>
      <w:hyperlink r:id="rId13" w:history="1">
        <w:r w:rsidRPr="00ED4BD7">
          <w:rPr>
            <w:rStyle w:val="Hipervnculo"/>
            <w:rFonts w:ascii="Verdana" w:eastAsia="Calibri" w:hAnsi="Verdana" w:cs="Times New Roman"/>
          </w:rPr>
          <w:t>https://relatoria.colombiacompra.gov.co/busqueda/conceptos</w:t>
        </w:r>
      </w:hyperlink>
      <w:r w:rsidRPr="00ED4BD7">
        <w:rPr>
          <w:rFonts w:ascii="Verdana" w:eastAsia="Calibri" w:hAnsi="Verdana" w:cs="Times New Roman"/>
        </w:rPr>
        <w:t xml:space="preserve">. </w:t>
      </w:r>
    </w:p>
    <w:p w14:paraId="6A69321B" w14:textId="77777777" w:rsidR="002C7A87" w:rsidRPr="00ED4BD7" w:rsidRDefault="002C7A87" w:rsidP="002C7A87">
      <w:pPr>
        <w:widowControl w:val="0"/>
        <w:autoSpaceDE w:val="0"/>
        <w:autoSpaceDN w:val="0"/>
        <w:spacing w:after="0" w:line="276" w:lineRule="auto"/>
        <w:jc w:val="both"/>
        <w:rPr>
          <w:rFonts w:ascii="Verdana" w:hAnsi="Verdana" w:cs="Arial"/>
          <w:color w:val="000000" w:themeColor="text1"/>
          <w:shd w:val="clear" w:color="auto" w:fill="FFFFFF"/>
        </w:rPr>
      </w:pPr>
    </w:p>
    <w:bookmarkEnd w:id="0"/>
    <w:p w14:paraId="60B424A0" w14:textId="77777777" w:rsidR="002C7A87" w:rsidRDefault="002C7A87" w:rsidP="002C7A87">
      <w:pPr>
        <w:widowControl w:val="0"/>
        <w:autoSpaceDE w:val="0"/>
        <w:autoSpaceDN w:val="0"/>
        <w:spacing w:after="0" w:line="276" w:lineRule="auto"/>
        <w:jc w:val="both"/>
        <w:rPr>
          <w:rStyle w:val="Hipervnculo"/>
          <w:rFonts w:ascii="Verdana" w:hAnsi="Verdana"/>
        </w:rPr>
      </w:pPr>
      <w:r w:rsidRPr="00ED4BD7">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D4BD7">
        <w:rPr>
          <w:rFonts w:ascii="Verdana" w:hAnsi="Verdana"/>
          <w:b/>
          <w:bCs/>
        </w:rPr>
        <w:t>Guía para la Exigencia y Constitución de Garantías en los Procesos de Contratación</w:t>
      </w:r>
      <w:r w:rsidRPr="00ED4BD7">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Dirección URL original: https://www.colombiacompra.gov.co/archivos/manual/guia-de-garantias-en-procesos-de-contratacion. Haga clic o pulse si confía en este vínculo." w:history="1">
        <w:r w:rsidRPr="00ED4BD7">
          <w:rPr>
            <w:rStyle w:val="Hipervnculo"/>
            <w:rFonts w:ascii="Verdana" w:hAnsi="Verdana"/>
          </w:rPr>
          <w:t>https://www.colombiacompra.gov.co/archivos/manual/guia-de-garantias-en-procesos-de-contratacion</w:t>
        </w:r>
      </w:hyperlink>
    </w:p>
    <w:p w14:paraId="79EE00C3" w14:textId="77777777" w:rsidR="002C7A87" w:rsidRPr="00ED4BD7" w:rsidRDefault="002C7A87" w:rsidP="002C7A87">
      <w:pPr>
        <w:widowControl w:val="0"/>
        <w:autoSpaceDE w:val="0"/>
        <w:autoSpaceDN w:val="0"/>
        <w:spacing w:after="0" w:line="276" w:lineRule="auto"/>
        <w:jc w:val="both"/>
        <w:rPr>
          <w:rFonts w:ascii="Verdana" w:hAnsi="Verdana"/>
        </w:rPr>
      </w:pPr>
    </w:p>
    <w:p w14:paraId="3AA03599" w14:textId="77777777" w:rsidR="002C7A87" w:rsidRDefault="002C7A87" w:rsidP="002C7A87">
      <w:pPr>
        <w:widowControl w:val="0"/>
        <w:autoSpaceDE w:val="0"/>
        <w:autoSpaceDN w:val="0"/>
        <w:spacing w:after="0" w:line="276" w:lineRule="auto"/>
        <w:jc w:val="both"/>
        <w:rPr>
          <w:rStyle w:val="Hipervnculo"/>
          <w:rFonts w:ascii="Verdana" w:hAnsi="Verdana"/>
        </w:rPr>
      </w:pPr>
      <w:r w:rsidRPr="00ED4BD7">
        <w:rPr>
          <w:rFonts w:ascii="Verdana" w:hAnsi="Verdana"/>
        </w:rPr>
        <w:t>De otro lado, te contamos que el Decreto 287 del 19 de marzo de 2026 sustituyó los artículos 2.2.1.2.4.2.6., 2.2.1.2.4.2.7. y 2.2.1.2.4.2.8. del Decreto 1082 de 2015 y estructuró el </w:t>
      </w:r>
      <w:r w:rsidRPr="00ED4BD7">
        <w:rPr>
          <w:rFonts w:ascii="Verdana" w:hAnsi="Verdana"/>
          <w:b/>
          <w:bCs/>
        </w:rPr>
        <w:t>Sistema Integral de Preferencias en favor de las personas con discapacidad</w:t>
      </w:r>
      <w:r w:rsidRPr="00ED4BD7">
        <w:rPr>
          <w:rFonts w:ascii="Verdana" w:hAnsi="Verdana"/>
        </w:rPr>
        <w:t>, en cumplimiento del artículo 13 de la Ley Estatutaria 1618 de 2013. Para orientar su aplicación, esta Agencia expidió la </w:t>
      </w:r>
      <w:r w:rsidRPr="00ED4BD7">
        <w:rPr>
          <w:rFonts w:ascii="Verdana" w:hAnsi="Verdana"/>
          <w:b/>
          <w:bCs/>
        </w:rPr>
        <w:t>Circular Externa 003 del 12 de mayo de 2026, </w:t>
      </w:r>
      <w:r w:rsidRPr="00ED4BD7">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5" w:tooltip="Dirección URL original: https://www.colombiacompra.gov.co/archivos/circular/circular-externa-003-de-2026. Haga clic o pulse si confía en este vínculo." w:history="1">
        <w:r w:rsidRPr="00ED4BD7">
          <w:rPr>
            <w:rStyle w:val="Hipervnculo"/>
            <w:rFonts w:ascii="Verdana" w:hAnsi="Verdana"/>
          </w:rPr>
          <w:t>https://www.colombiacompra.gov.co/archivos/circular/circular-externa-003-de-2026</w:t>
        </w:r>
      </w:hyperlink>
    </w:p>
    <w:p w14:paraId="2F34F2B1" w14:textId="77777777" w:rsidR="002C7A87" w:rsidRPr="00ED4BD7" w:rsidRDefault="002C7A87" w:rsidP="002C7A87">
      <w:pPr>
        <w:widowControl w:val="0"/>
        <w:autoSpaceDE w:val="0"/>
        <w:autoSpaceDN w:val="0"/>
        <w:spacing w:after="0" w:line="276" w:lineRule="auto"/>
        <w:jc w:val="both"/>
        <w:rPr>
          <w:rFonts w:ascii="Verdana" w:hAnsi="Verdana"/>
        </w:rPr>
      </w:pPr>
    </w:p>
    <w:p w14:paraId="1D4F4E6A" w14:textId="77777777" w:rsidR="002C7A87" w:rsidRDefault="002C7A87" w:rsidP="002C7A87">
      <w:pPr>
        <w:widowControl w:val="0"/>
        <w:autoSpaceDE w:val="0"/>
        <w:autoSpaceDN w:val="0"/>
        <w:spacing w:after="0" w:line="276" w:lineRule="auto"/>
        <w:jc w:val="both"/>
        <w:rPr>
          <w:rStyle w:val="Hipervnculo"/>
          <w:rFonts w:ascii="Verdana" w:hAnsi="Verdana"/>
        </w:rPr>
      </w:pPr>
      <w:r w:rsidRPr="00ED4BD7">
        <w:rPr>
          <w:rFonts w:ascii="Verdana" w:hAnsi="Verdana"/>
        </w:rPr>
        <w:t>Recuerda también que la</w:t>
      </w:r>
      <w:r w:rsidRPr="00ED4BD7">
        <w:rPr>
          <w:rFonts w:ascii="Verdana" w:hAnsi="Verdana"/>
          <w:b/>
          <w:bCs/>
        </w:rPr>
        <w:t> información sobre sanciones e inhabilidades </w:t>
      </w:r>
      <w:r w:rsidRPr="00ED4BD7">
        <w:rPr>
          <w:rFonts w:ascii="Verdana" w:hAnsi="Verdana"/>
        </w:rPr>
        <w:t>solo cumple su función preventiva si llega oportunamente a los registros públicos. Sobre este deber, esta Agencia expidió la </w:t>
      </w:r>
      <w:r w:rsidRPr="00ED4BD7">
        <w:rPr>
          <w:rFonts w:ascii="Verdana" w:hAnsi="Verdana"/>
          <w:b/>
          <w:bCs/>
        </w:rPr>
        <w:t>Circular Externa 002 del 5 de mayo de 2026,</w:t>
      </w:r>
      <w:r w:rsidRPr="00ED4BD7">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ED4BD7">
        <w:rPr>
          <w:rFonts w:ascii="Verdana" w:hAnsi="Verdana"/>
        </w:rPr>
        <w:lastRenderedPageBreak/>
        <w:t>aquí: </w:t>
      </w:r>
      <w:hyperlink r:id="rId16" w:tooltip="Dirección URL original: https://www.colombiacompra.gov.co/archivos/circular/circular-externa-002-de-2026. Haga clic o pulse si confía en este vínculo." w:history="1">
        <w:r w:rsidRPr="00ED4BD7">
          <w:rPr>
            <w:rStyle w:val="Hipervnculo"/>
            <w:rFonts w:ascii="Verdana" w:hAnsi="Verdana"/>
          </w:rPr>
          <w:t>https://www.colombiacompra.gov.co/archivos/circular/circular-externa-002-de-2026</w:t>
        </w:r>
      </w:hyperlink>
    </w:p>
    <w:p w14:paraId="067FF162" w14:textId="77777777" w:rsidR="002C7A87" w:rsidRPr="00ED4BD7" w:rsidRDefault="002C7A87" w:rsidP="002C7A87">
      <w:pPr>
        <w:widowControl w:val="0"/>
        <w:autoSpaceDE w:val="0"/>
        <w:autoSpaceDN w:val="0"/>
        <w:spacing w:after="0" w:line="276" w:lineRule="auto"/>
        <w:jc w:val="both"/>
        <w:rPr>
          <w:rFonts w:ascii="Verdana" w:hAnsi="Verdana"/>
        </w:rPr>
      </w:pPr>
    </w:p>
    <w:p w14:paraId="755BEAE8" w14:textId="77777777" w:rsidR="002C7A87" w:rsidRDefault="002C7A87" w:rsidP="002C7A87">
      <w:pPr>
        <w:widowControl w:val="0"/>
        <w:autoSpaceDE w:val="0"/>
        <w:autoSpaceDN w:val="0"/>
        <w:spacing w:after="0" w:line="276" w:lineRule="auto"/>
        <w:jc w:val="both"/>
        <w:rPr>
          <w:rStyle w:val="Hipervnculo"/>
          <w:rFonts w:ascii="Verdana" w:hAnsi="Verdana"/>
        </w:rPr>
      </w:pPr>
      <w:r w:rsidRPr="00ED4BD7">
        <w:rPr>
          <w:rFonts w:ascii="Verdana" w:hAnsi="Verdana"/>
        </w:rPr>
        <w:t>Finalmente, si quieres seguir de cerca la actividad de la Agencia, la tercera edición de 2026 del</w:t>
      </w:r>
      <w:r w:rsidRPr="00ED4BD7">
        <w:rPr>
          <w:rFonts w:ascii="Verdana" w:hAnsi="Verdana"/>
          <w:b/>
          <w:bCs/>
        </w:rPr>
        <w:t> Radar de la Compra Pública</w:t>
      </w:r>
      <w:r w:rsidRPr="00ED4BD7">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Dirección URL original: https://www.colombiacompra.gov.co/archivos/boletin/boletin-edicion-n-3-de-2026-radar-de-la-compra-publica. Haga clic o pulse si confía en este vínculo." w:history="1">
        <w:r w:rsidRPr="00ED4BD7">
          <w:rPr>
            <w:rStyle w:val="Hipervnculo"/>
            <w:rFonts w:ascii="Verdana" w:hAnsi="Verdana"/>
          </w:rPr>
          <w:t>https://www.colombiacompra.gov.co/archivos/boletin/boletin-edicion-n-3-de-2026-radar-de-la-compra-publica</w:t>
        </w:r>
      </w:hyperlink>
    </w:p>
    <w:p w14:paraId="624FA9DC" w14:textId="77777777" w:rsidR="002C7A87" w:rsidRPr="00ED4BD7" w:rsidRDefault="002C7A87" w:rsidP="002C7A87">
      <w:pPr>
        <w:widowControl w:val="0"/>
        <w:autoSpaceDE w:val="0"/>
        <w:autoSpaceDN w:val="0"/>
        <w:spacing w:after="0" w:line="276" w:lineRule="auto"/>
        <w:jc w:val="both"/>
        <w:rPr>
          <w:rFonts w:ascii="Verdana" w:hAnsi="Verdana"/>
        </w:rPr>
      </w:pPr>
    </w:p>
    <w:p w14:paraId="25344633" w14:textId="77777777" w:rsidR="002C7A87" w:rsidRPr="00ED4BD7" w:rsidRDefault="002C7A87" w:rsidP="002C7A87">
      <w:pPr>
        <w:spacing w:after="0" w:line="276" w:lineRule="auto"/>
        <w:jc w:val="both"/>
        <w:rPr>
          <w:rFonts w:ascii="Verdana" w:hAnsi="Verdana"/>
        </w:rPr>
      </w:pPr>
      <w:r w:rsidRPr="00ED4BD7">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175CDDE" w14:textId="77777777" w:rsidR="002C7A87" w:rsidRPr="00ED4BD7" w:rsidRDefault="002C7A87" w:rsidP="002C7A87">
      <w:pPr>
        <w:spacing w:after="0" w:line="276" w:lineRule="auto"/>
        <w:jc w:val="both"/>
        <w:rPr>
          <w:rFonts w:ascii="Verdana" w:hAnsi="Verdana"/>
        </w:rPr>
      </w:pPr>
    </w:p>
    <w:p w14:paraId="7F67B874" w14:textId="77777777" w:rsidR="002C7A87" w:rsidRPr="00ED4BD7" w:rsidRDefault="002C7A87" w:rsidP="002C7A87">
      <w:pPr>
        <w:pStyle w:val="Prrafodelista"/>
        <w:numPr>
          <w:ilvl w:val="0"/>
          <w:numId w:val="1"/>
        </w:numPr>
        <w:spacing w:after="0" w:line="276" w:lineRule="auto"/>
        <w:contextualSpacing w:val="0"/>
        <w:jc w:val="both"/>
        <w:rPr>
          <w:rFonts w:ascii="Verdana" w:eastAsia="Verdana" w:hAnsi="Verdana" w:cs="Verdana"/>
          <w:color w:val="156082" w:themeColor="accent1"/>
          <w:u w:val="single"/>
          <w:lang w:val="es-MX"/>
        </w:rPr>
      </w:pPr>
      <w:r w:rsidRPr="00ED4BD7">
        <w:rPr>
          <w:rFonts w:ascii="Verdana" w:eastAsia="Verdana" w:hAnsi="Verdana" w:cs="Verdana"/>
          <w:lang w:val="es-MX"/>
        </w:rPr>
        <w:t xml:space="preserve">Línea nacional gratuita o servicio a la ciudadanía (Mesa de servicio): </w:t>
      </w:r>
      <w:r w:rsidRPr="00ED4BD7">
        <w:rPr>
          <w:rStyle w:val="Hipervnculo"/>
          <w:rFonts w:ascii="Verdana" w:hAnsi="Verdana"/>
        </w:rPr>
        <w:t>01800 0520808</w:t>
      </w:r>
    </w:p>
    <w:p w14:paraId="491C2F2E" w14:textId="77777777" w:rsidR="002C7A87" w:rsidRPr="00ED4BD7" w:rsidRDefault="002C7A87" w:rsidP="002C7A87">
      <w:pPr>
        <w:pStyle w:val="Prrafodelista"/>
        <w:numPr>
          <w:ilvl w:val="0"/>
          <w:numId w:val="1"/>
        </w:numPr>
        <w:spacing w:after="0" w:line="276" w:lineRule="auto"/>
        <w:contextualSpacing w:val="0"/>
        <w:rPr>
          <w:rFonts w:ascii="Verdana" w:eastAsia="Verdana" w:hAnsi="Verdana" w:cs="Verdana"/>
          <w:color w:val="156082" w:themeColor="accent1"/>
          <w:u w:val="single"/>
          <w:lang w:val="es-MX"/>
        </w:rPr>
      </w:pPr>
      <w:r w:rsidRPr="00ED4BD7">
        <w:rPr>
          <w:rFonts w:ascii="Verdana" w:eastAsia="Verdana" w:hAnsi="Verdana" w:cs="Verdana"/>
          <w:lang w:val="es-MX"/>
        </w:rPr>
        <w:t>Línea en Bogotá (Mesa de servicio</w:t>
      </w:r>
      <w:proofErr w:type="gramStart"/>
      <w:r w:rsidRPr="00ED4BD7">
        <w:rPr>
          <w:rFonts w:ascii="Verdana" w:eastAsia="Verdana" w:hAnsi="Verdana" w:cs="Verdana"/>
          <w:lang w:val="es-MX"/>
        </w:rPr>
        <w:t>):</w:t>
      </w:r>
      <w:r w:rsidRPr="00ED4BD7">
        <w:rPr>
          <w:rStyle w:val="Hipervnculo"/>
          <w:rFonts w:ascii="Verdana" w:hAnsi="Verdana"/>
        </w:rPr>
        <w:t>+</w:t>
      </w:r>
      <w:proofErr w:type="gramEnd"/>
      <w:r w:rsidRPr="00ED4BD7">
        <w:rPr>
          <w:rStyle w:val="Hipervnculo"/>
          <w:rFonts w:ascii="Verdana" w:hAnsi="Verdana"/>
        </w:rPr>
        <w:t>57 601 7456788</w:t>
      </w:r>
    </w:p>
    <w:p w14:paraId="594AC70F" w14:textId="77777777" w:rsidR="002C7A87" w:rsidRPr="00ED4BD7" w:rsidRDefault="002C7A87" w:rsidP="002C7A87">
      <w:pPr>
        <w:pStyle w:val="Prrafodelista"/>
        <w:numPr>
          <w:ilvl w:val="0"/>
          <w:numId w:val="1"/>
        </w:numPr>
        <w:spacing w:after="0" w:line="276" w:lineRule="auto"/>
        <w:contextualSpacing w:val="0"/>
        <w:rPr>
          <w:rFonts w:ascii="Verdana" w:eastAsia="Verdana" w:hAnsi="Verdana" w:cs="Verdana"/>
          <w:color w:val="0000FF"/>
          <w:u w:val="single"/>
          <w:lang w:val="es-MX"/>
        </w:rPr>
      </w:pPr>
      <w:r w:rsidRPr="00ED4BD7">
        <w:rPr>
          <w:rFonts w:ascii="Verdana" w:eastAsia="Verdana" w:hAnsi="Verdana" w:cs="Verdana"/>
          <w:lang w:val="es-MX"/>
        </w:rPr>
        <w:t xml:space="preserve">Correo de radicación de correspondencia: </w:t>
      </w:r>
      <w:hyperlink r:id="rId18">
        <w:r w:rsidRPr="00ED4BD7">
          <w:rPr>
            <w:rStyle w:val="Hipervnculo"/>
            <w:rFonts w:ascii="Verdana" w:eastAsia="Verdana" w:hAnsi="Verdana" w:cs="Verdana"/>
            <w:lang w:val="es-MX"/>
          </w:rPr>
          <w:t>ventanilladeradicacion@colombiacompra.gov.co</w:t>
        </w:r>
      </w:hyperlink>
    </w:p>
    <w:p w14:paraId="24C37201" w14:textId="77777777" w:rsidR="002C7A87" w:rsidRPr="00ED4BD7" w:rsidRDefault="002C7A87" w:rsidP="002C7A87">
      <w:pPr>
        <w:pStyle w:val="Prrafodelista"/>
        <w:numPr>
          <w:ilvl w:val="0"/>
          <w:numId w:val="1"/>
        </w:numPr>
        <w:spacing w:after="0" w:line="276" w:lineRule="auto"/>
        <w:contextualSpacing w:val="0"/>
        <w:rPr>
          <w:rFonts w:ascii="Verdana" w:eastAsia="Verdana" w:hAnsi="Verdana" w:cs="Verdana"/>
          <w:color w:val="0000FF"/>
          <w:u w:val="single"/>
          <w:lang w:val="es-MX"/>
        </w:rPr>
      </w:pPr>
      <w:r w:rsidRPr="00ED4BD7">
        <w:rPr>
          <w:rFonts w:ascii="Verdana" w:eastAsia="Verdana" w:hAnsi="Verdana" w:cs="Verdana"/>
        </w:rPr>
        <w:t>Formulario web para</w:t>
      </w:r>
      <w:r w:rsidRPr="00ED4BD7">
        <w:rPr>
          <w:rFonts w:ascii="Verdana" w:eastAsia="Verdana" w:hAnsi="Verdana" w:cs="Verdana"/>
          <w:lang w:val="es"/>
        </w:rPr>
        <w:t xml:space="preserve"> PQRSD: </w:t>
      </w:r>
      <w:hyperlink r:id="rId19">
        <w:r w:rsidRPr="00ED4BD7">
          <w:rPr>
            <w:rStyle w:val="Hipervnculo"/>
            <w:rFonts w:ascii="Verdana" w:eastAsia="Verdana" w:hAnsi="Verdana" w:cs="Verdana"/>
            <w:lang w:val="es-MX"/>
          </w:rPr>
          <w:t>https://www.colombiacompra.gov.co/pqrsd/informacion-importante-antes-de-formular-una-pqrsd</w:t>
        </w:r>
      </w:hyperlink>
    </w:p>
    <w:p w14:paraId="78F944E3" w14:textId="77777777" w:rsidR="002C7A87" w:rsidRPr="00ED4BD7" w:rsidRDefault="002C7A87" w:rsidP="002C7A87">
      <w:pPr>
        <w:spacing w:after="0" w:line="276" w:lineRule="auto"/>
        <w:ind w:left="720"/>
        <w:jc w:val="both"/>
        <w:rPr>
          <w:rFonts w:ascii="Verdana" w:hAnsi="Verdana"/>
        </w:rPr>
      </w:pPr>
    </w:p>
    <w:p w14:paraId="0DD49EF8" w14:textId="77777777" w:rsidR="002C7A87" w:rsidRPr="00ED4BD7" w:rsidRDefault="002C7A87" w:rsidP="002C7A87">
      <w:pPr>
        <w:spacing w:after="0" w:line="276" w:lineRule="auto"/>
        <w:rPr>
          <w:rFonts w:ascii="Verdana" w:hAnsi="Verdana"/>
        </w:rPr>
      </w:pPr>
      <w:r w:rsidRPr="00ED4BD7">
        <w:rPr>
          <w:rFonts w:ascii="Verdana" w:hAnsi="Verdana"/>
        </w:rPr>
        <w:t xml:space="preserve">Evalúa el servicio que ofrece la Agencia por el canal de atención de PQRSD en el siguiente </w:t>
      </w:r>
      <w:proofErr w:type="gramStart"/>
      <w:r w:rsidRPr="00ED4BD7">
        <w:rPr>
          <w:rFonts w:ascii="Verdana" w:hAnsi="Verdana"/>
        </w:rPr>
        <w:t>enlace :</w:t>
      </w:r>
      <w:proofErr w:type="gramEnd"/>
      <w:hyperlink r:id="rId20" w:tgtFrame="_blank" w:tooltip="https://forms.office.com/r/pphywvs2sz" w:history="1">
        <w:r w:rsidRPr="00ED4BD7">
          <w:rPr>
            <w:rStyle w:val="Hipervnculo"/>
            <w:rFonts w:ascii="Verdana" w:hAnsi="Verdana"/>
          </w:rPr>
          <w:t>https://forms.office.com/r/pPHyWVs2SZ</w:t>
        </w:r>
      </w:hyperlink>
      <w:r w:rsidRPr="00ED4BD7">
        <w:rPr>
          <w:rFonts w:ascii="Verdana" w:hAnsi="Verdana"/>
        </w:rPr>
        <w:t xml:space="preserve"> .¡Ayúdanos a mejorar porque el compromiso es de todos!</w:t>
      </w:r>
    </w:p>
    <w:p w14:paraId="30E35627" w14:textId="77777777" w:rsidR="002C7A87" w:rsidRPr="00ED4BD7" w:rsidRDefault="002C7A87" w:rsidP="002C7A87">
      <w:pPr>
        <w:spacing w:after="0" w:line="276" w:lineRule="auto"/>
        <w:rPr>
          <w:rFonts w:ascii="Verdana" w:hAnsi="Verdana"/>
        </w:rPr>
      </w:pPr>
    </w:p>
    <w:p w14:paraId="1C6CE9A4" w14:textId="77777777" w:rsidR="002C7A87" w:rsidRPr="00ED4BD7" w:rsidRDefault="002C7A87" w:rsidP="002C7A87">
      <w:pPr>
        <w:spacing w:after="0" w:line="276" w:lineRule="auto"/>
        <w:jc w:val="both"/>
        <w:rPr>
          <w:rFonts w:ascii="Verdana" w:hAnsi="Verdana"/>
        </w:rPr>
      </w:pPr>
      <w:r w:rsidRPr="00ED4BD7">
        <w:rPr>
          <w:rFonts w:ascii="Verdana" w:hAnsi="Verdana"/>
        </w:rPr>
        <w:t xml:space="preserve">Por último, lo invitamos a seguirnos en las redes sociales en las cuales se difunde información institucional: </w:t>
      </w:r>
    </w:p>
    <w:p w14:paraId="194BF965" w14:textId="77777777" w:rsidR="002C7A87" w:rsidRPr="00ED4BD7" w:rsidRDefault="002C7A87" w:rsidP="002C7A87">
      <w:pPr>
        <w:spacing w:after="0" w:line="276" w:lineRule="auto"/>
        <w:jc w:val="both"/>
        <w:rPr>
          <w:rFonts w:ascii="Verdana" w:hAnsi="Verdana"/>
        </w:rPr>
      </w:pPr>
    </w:p>
    <w:p w14:paraId="12AB4FBE" w14:textId="77777777" w:rsidR="002C7A87" w:rsidRPr="00ED4BD7" w:rsidRDefault="002C7A87" w:rsidP="002C7A87">
      <w:pPr>
        <w:spacing w:after="0" w:line="276" w:lineRule="auto"/>
        <w:jc w:val="both"/>
        <w:rPr>
          <w:rFonts w:ascii="Verdana" w:hAnsi="Verdana"/>
        </w:rPr>
      </w:pPr>
      <w:r w:rsidRPr="00ED4BD7">
        <w:rPr>
          <w:rFonts w:ascii="Verdana" w:hAnsi="Verdana"/>
        </w:rPr>
        <w:t xml:space="preserve">Twitter: </w:t>
      </w:r>
      <w:r w:rsidRPr="00ED4BD7">
        <w:rPr>
          <w:rStyle w:val="Hipervnculo"/>
          <w:rFonts w:ascii="Verdana" w:hAnsi="Verdana"/>
        </w:rPr>
        <w:t>@colombiacompra</w:t>
      </w:r>
      <w:r w:rsidRPr="00ED4BD7">
        <w:rPr>
          <w:rFonts w:ascii="Verdana" w:hAnsi="Verdana"/>
        </w:rPr>
        <w:t xml:space="preserve"> </w:t>
      </w:r>
    </w:p>
    <w:p w14:paraId="511EDA67" w14:textId="77777777" w:rsidR="002C7A87" w:rsidRPr="00ED4BD7" w:rsidRDefault="002C7A87" w:rsidP="002C7A87">
      <w:pPr>
        <w:spacing w:after="0" w:line="276" w:lineRule="auto"/>
        <w:jc w:val="both"/>
        <w:rPr>
          <w:rFonts w:ascii="Verdana" w:hAnsi="Verdana"/>
        </w:rPr>
      </w:pPr>
      <w:r w:rsidRPr="00ED4BD7">
        <w:rPr>
          <w:rFonts w:ascii="Verdana" w:hAnsi="Verdana"/>
        </w:rPr>
        <w:t xml:space="preserve">Facebook: </w:t>
      </w:r>
      <w:proofErr w:type="spellStart"/>
      <w:r w:rsidRPr="00ED4BD7">
        <w:rPr>
          <w:rStyle w:val="Hipervnculo"/>
          <w:rFonts w:ascii="Verdana" w:hAnsi="Verdana"/>
        </w:rPr>
        <w:t>ColombiaCompraEficiente</w:t>
      </w:r>
      <w:proofErr w:type="spellEnd"/>
    </w:p>
    <w:p w14:paraId="27AD8BF8" w14:textId="77777777" w:rsidR="002C7A87" w:rsidRPr="00ED4BD7" w:rsidRDefault="002C7A87" w:rsidP="002C7A87">
      <w:pPr>
        <w:spacing w:after="0" w:line="276" w:lineRule="auto"/>
        <w:jc w:val="both"/>
        <w:rPr>
          <w:rFonts w:ascii="Verdana" w:hAnsi="Verdana"/>
        </w:rPr>
      </w:pPr>
      <w:r w:rsidRPr="00ED4BD7">
        <w:rPr>
          <w:rFonts w:ascii="Verdana" w:hAnsi="Verdana"/>
        </w:rPr>
        <w:lastRenderedPageBreak/>
        <w:t xml:space="preserve">LinkedIn: </w:t>
      </w:r>
      <w:r w:rsidRPr="00ED4BD7">
        <w:rPr>
          <w:rStyle w:val="Hipervnculo"/>
          <w:rFonts w:ascii="Verdana" w:hAnsi="Verdana"/>
        </w:rPr>
        <w:t>Agencia Nacional de Contratación Pública - Colombia Compra Eficiente</w:t>
      </w:r>
      <w:r w:rsidRPr="00ED4BD7">
        <w:rPr>
          <w:rFonts w:ascii="Verdana" w:hAnsi="Verdana"/>
        </w:rPr>
        <w:t xml:space="preserve"> Instagram: </w:t>
      </w:r>
      <w:r w:rsidRPr="00ED4BD7">
        <w:rPr>
          <w:rStyle w:val="Hipervnculo"/>
          <w:rFonts w:ascii="Verdana" w:hAnsi="Verdana"/>
        </w:rPr>
        <w:t>@colombiacompraeficiente_cce</w:t>
      </w:r>
    </w:p>
    <w:p w14:paraId="47DF67CF" w14:textId="77777777" w:rsidR="002C7A87" w:rsidRPr="00ED4BD7" w:rsidRDefault="002C7A87" w:rsidP="002C7A87">
      <w:pPr>
        <w:widowControl w:val="0"/>
        <w:autoSpaceDE w:val="0"/>
        <w:autoSpaceDN w:val="0"/>
        <w:spacing w:after="0" w:line="276" w:lineRule="auto"/>
        <w:jc w:val="both"/>
        <w:rPr>
          <w:rFonts w:ascii="Verdana" w:hAnsi="Verdana" w:cs="Arial"/>
          <w:color w:val="FF0000"/>
          <w:shd w:val="clear" w:color="auto" w:fill="FFFFFF"/>
          <w:lang w:val="es-ES_tradnl"/>
        </w:rPr>
      </w:pPr>
      <w:r w:rsidRPr="00ED4BD7">
        <w:rPr>
          <w:rStyle w:val="normaltextrun"/>
          <w:rFonts w:ascii="Verdana" w:hAnsi="Verdana" w:cs="Arial"/>
          <w:color w:val="FF0000"/>
          <w:shd w:val="clear" w:color="auto" w:fill="FFFFFF"/>
          <w:lang w:val="es-ES_tradnl"/>
        </w:rPr>
        <w:t xml:space="preserve">        </w:t>
      </w:r>
    </w:p>
    <w:p w14:paraId="609E4B4F" w14:textId="77777777" w:rsidR="002C7A87" w:rsidRPr="00ED4BD7" w:rsidRDefault="002C7A87" w:rsidP="002C7A87">
      <w:pPr>
        <w:widowControl w:val="0"/>
        <w:autoSpaceDE w:val="0"/>
        <w:autoSpaceDN w:val="0"/>
        <w:spacing w:after="0" w:line="276" w:lineRule="auto"/>
        <w:jc w:val="both"/>
        <w:rPr>
          <w:rFonts w:ascii="Verdana" w:hAnsi="Verdana" w:cs="Arial"/>
          <w:lang w:val="es-ES_tradnl"/>
        </w:rPr>
      </w:pPr>
      <w:r w:rsidRPr="00ED4BD7">
        <w:rPr>
          <w:rFonts w:ascii="Verdana" w:hAnsi="Verdana" w:cs="Arial"/>
        </w:rPr>
        <w:t xml:space="preserve">Este concepto tiene el alcance previsto en el artículo 28 del Código de Procedimiento Administrativo y de lo Contencioso Administrativo </w:t>
      </w:r>
      <w:r w:rsidRPr="00ED4BD7">
        <w:rPr>
          <w:rFonts w:ascii="Verdana" w:hAnsi="Verdana" w:cs="Arial"/>
          <w:lang w:val="es-ES_tradnl"/>
        </w:rPr>
        <w:t>y las expresiones aquí utilizadas con mayúscula inicial deben ser entendidas con el significado que les otorga el artículo 2.2.1.1.1.3.1. del Decreto 1082 de 2015.</w:t>
      </w:r>
    </w:p>
    <w:p w14:paraId="33BC111B" w14:textId="77777777" w:rsidR="002C7A87" w:rsidRPr="00BE0582" w:rsidRDefault="002C7A87" w:rsidP="002C7A87">
      <w:pPr>
        <w:spacing w:after="0" w:line="240" w:lineRule="auto"/>
        <w:jc w:val="both"/>
        <w:rPr>
          <w:rFonts w:ascii="Verdana" w:eastAsia="Calibri" w:hAnsi="Verdana" w:cs="Times New Roman"/>
        </w:rPr>
      </w:pPr>
    </w:p>
    <w:p w14:paraId="50E918DE" w14:textId="77777777" w:rsidR="002C7A87" w:rsidRPr="00BE0582" w:rsidRDefault="002C7A87" w:rsidP="002C7A87">
      <w:pPr>
        <w:spacing w:after="0" w:line="240" w:lineRule="auto"/>
        <w:jc w:val="both"/>
        <w:rPr>
          <w:rFonts w:ascii="Verdana" w:eastAsia="Calibri" w:hAnsi="Verdana" w:cs="Times New Roman"/>
        </w:rPr>
      </w:pPr>
      <w:r w:rsidRPr="00BE0582">
        <w:rPr>
          <w:rFonts w:ascii="Verdana" w:eastAsia="Calibri" w:hAnsi="Verdana" w:cs="Times New Roman"/>
        </w:rPr>
        <w:t>Atentamente,</w:t>
      </w:r>
    </w:p>
    <w:p w14:paraId="196BD13F" w14:textId="77777777" w:rsidR="002C7A87" w:rsidRPr="00BE0582" w:rsidRDefault="002C7A87" w:rsidP="002C7A87">
      <w:pPr>
        <w:spacing w:after="0" w:line="240" w:lineRule="auto"/>
        <w:rPr>
          <w:rFonts w:ascii="Verdana" w:hAnsi="Verdana" w:cs="Arial"/>
          <w:lang w:val="es-ES_tradnl" w:eastAsia="es-CO"/>
        </w:rPr>
      </w:pPr>
    </w:p>
    <w:p w14:paraId="58471422" w14:textId="66B161A8" w:rsidR="002C7A87" w:rsidRPr="00BE0582" w:rsidRDefault="007C4C64" w:rsidP="007C4C64">
      <w:pPr>
        <w:spacing w:after="0" w:line="240"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064F380B" wp14:editId="56148B5D">
            <wp:extent cx="2813501" cy="1047750"/>
            <wp:effectExtent l="0" t="0" r="6350" b="0"/>
            <wp:docPr id="6428646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18708" cy="1049689"/>
                    </a:xfrm>
                    <a:prstGeom prst="rect">
                      <a:avLst/>
                    </a:prstGeom>
                    <a:noFill/>
                  </pic:spPr>
                </pic:pic>
              </a:graphicData>
            </a:graphic>
          </wp:inline>
        </w:drawing>
      </w:r>
    </w:p>
    <w:p w14:paraId="39DC49AC" w14:textId="77777777" w:rsidR="002C7A87" w:rsidRPr="006D3180" w:rsidRDefault="002C7A87" w:rsidP="007C4C64">
      <w:pPr>
        <w:spacing w:after="0" w:line="240" w:lineRule="auto"/>
        <w:jc w:val="center"/>
        <w:rPr>
          <w:rFonts w:ascii="Verdana" w:hAnsi="Verdana" w:cs="Arial"/>
          <w:b/>
          <w:bCs/>
          <w:lang w:val="es-ES_tradnl" w:eastAsia="es-CO"/>
        </w:rPr>
      </w:pPr>
      <w:r w:rsidRPr="006D3180">
        <w:rPr>
          <w:rFonts w:ascii="Verdana" w:hAnsi="Verdana" w:cs="Arial"/>
          <w:b/>
          <w:bCs/>
          <w:lang w:val="es-ES_tradnl" w:eastAsia="es-CO"/>
        </w:rPr>
        <w:t>William Javier Murcia Acevedo</w:t>
      </w:r>
    </w:p>
    <w:p w14:paraId="530325D9" w14:textId="77777777" w:rsidR="002C7A87" w:rsidRDefault="002C7A87" w:rsidP="007C4C64">
      <w:pPr>
        <w:spacing w:after="0" w:line="240" w:lineRule="auto"/>
        <w:jc w:val="center"/>
        <w:rPr>
          <w:rFonts w:ascii="Verdana" w:hAnsi="Verdana" w:cs="Arial"/>
          <w:b/>
          <w:bCs/>
          <w:lang w:val="es-ES_tradnl" w:eastAsia="es-CO"/>
        </w:rPr>
      </w:pPr>
      <w:r w:rsidRPr="0087053C">
        <w:rPr>
          <w:rFonts w:ascii="Verdana" w:hAnsi="Verdana" w:cs="Arial"/>
          <w:b/>
          <w:bCs/>
          <w:lang w:val="es-ES_tradnl" w:eastAsia="es-CO"/>
        </w:rPr>
        <w:t>Subdirector de Gestión Contractual (E)</w:t>
      </w:r>
    </w:p>
    <w:p w14:paraId="670AEA8A" w14:textId="77777777" w:rsidR="007C4C64" w:rsidRPr="0087053C" w:rsidRDefault="007C4C64" w:rsidP="007C4C64">
      <w:pPr>
        <w:spacing w:after="0" w:line="240" w:lineRule="auto"/>
        <w:jc w:val="center"/>
        <w:rPr>
          <w:rFonts w:ascii="Verdana" w:hAnsi="Verdana" w:cs="Arial"/>
          <w:b/>
          <w:bCs/>
          <w:lang w:val="es-ES_tradnl" w:eastAsia="es-CO"/>
        </w:rPr>
      </w:pPr>
    </w:p>
    <w:p w14:paraId="3ACFD1EB" w14:textId="77777777" w:rsidR="002C7A87" w:rsidRPr="00BE0582" w:rsidRDefault="002C7A87" w:rsidP="002C7A87">
      <w:pPr>
        <w:spacing w:after="0" w:line="240" w:lineRule="auto"/>
        <w:rPr>
          <w:rFonts w:ascii="Verdana" w:hAnsi="Verdana"/>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2C7A87" w:rsidRPr="00206556" w14:paraId="72E44B30" w14:textId="77777777" w:rsidTr="00B13FF9">
        <w:trPr>
          <w:trHeight w:val="322"/>
        </w:trPr>
        <w:tc>
          <w:tcPr>
            <w:tcW w:w="733" w:type="dxa"/>
            <w:tcBorders>
              <w:top w:val="nil"/>
              <w:left w:val="nil"/>
              <w:bottom w:val="nil"/>
              <w:right w:val="nil"/>
            </w:tcBorders>
            <w:vAlign w:val="center"/>
            <w:hideMark/>
          </w:tcPr>
          <w:p w14:paraId="51B50747" w14:textId="77777777" w:rsidR="002C7A87" w:rsidRPr="00206556" w:rsidRDefault="002C7A87" w:rsidP="00B13FF9">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8E4FFA4" w14:textId="77777777" w:rsidR="002C7A87" w:rsidRPr="00206556" w:rsidRDefault="002C7A87" w:rsidP="00B13FF9">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7430100A" w14:textId="77777777" w:rsidR="002C7A87" w:rsidRPr="00A5703A" w:rsidRDefault="002C7A87" w:rsidP="00B13FF9">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2C7A87" w:rsidRPr="00206556" w14:paraId="153727A1" w14:textId="77777777" w:rsidTr="00B13FF9">
        <w:trPr>
          <w:trHeight w:val="322"/>
        </w:trPr>
        <w:tc>
          <w:tcPr>
            <w:tcW w:w="733" w:type="dxa"/>
            <w:tcBorders>
              <w:top w:val="nil"/>
              <w:left w:val="nil"/>
              <w:bottom w:val="nil"/>
              <w:right w:val="nil"/>
            </w:tcBorders>
            <w:vAlign w:val="center"/>
            <w:hideMark/>
          </w:tcPr>
          <w:p w14:paraId="3B255E82" w14:textId="77777777" w:rsidR="002C7A87" w:rsidRPr="00206556" w:rsidRDefault="002C7A87" w:rsidP="00B13FF9">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3A774A0" w14:textId="77777777" w:rsidR="002C7A87" w:rsidRPr="00206556" w:rsidRDefault="002C7A87" w:rsidP="00B13FF9">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Lucia Saavedra Castañeda</w:t>
            </w:r>
          </w:p>
          <w:p w14:paraId="6A31D7F8" w14:textId="77777777" w:rsidR="002C7A87" w:rsidRPr="00A5703A" w:rsidRDefault="002C7A87" w:rsidP="00B13FF9">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2C7A87" w:rsidRPr="00206556" w14:paraId="5E0B2F7E" w14:textId="77777777" w:rsidTr="00B13FF9">
        <w:trPr>
          <w:trHeight w:val="307"/>
        </w:trPr>
        <w:tc>
          <w:tcPr>
            <w:tcW w:w="733" w:type="dxa"/>
            <w:tcBorders>
              <w:top w:val="nil"/>
              <w:left w:val="nil"/>
              <w:bottom w:val="nil"/>
              <w:right w:val="nil"/>
            </w:tcBorders>
            <w:vAlign w:val="center"/>
            <w:hideMark/>
          </w:tcPr>
          <w:p w14:paraId="7FF7F97E" w14:textId="77777777" w:rsidR="002C7A87" w:rsidRPr="00206556" w:rsidRDefault="002C7A87" w:rsidP="00B13FF9">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72B44D7" w14:textId="77777777" w:rsidR="002C7A87" w:rsidRPr="003B4AD5" w:rsidRDefault="002C7A87" w:rsidP="00B13FF9">
            <w:pPr>
              <w:spacing w:after="0" w:line="256" w:lineRule="auto"/>
              <w:rPr>
                <w:rFonts w:ascii="Verdana" w:eastAsia="Times New Roman" w:hAnsi="Verdana" w:cs="Arial"/>
                <w:sz w:val="18"/>
                <w:szCs w:val="18"/>
                <w:lang w:eastAsia="es-ES"/>
              </w:rPr>
            </w:pPr>
            <w:r w:rsidRPr="003B4AD5">
              <w:rPr>
                <w:rFonts w:ascii="Verdana" w:hAnsi="Verdana" w:cs="Arial"/>
                <w:sz w:val="16"/>
                <w:szCs w:val="16"/>
                <w:lang w:eastAsia="es-ES"/>
              </w:rPr>
              <w:t>William Javier Murcia Acevedo</w:t>
            </w:r>
          </w:p>
          <w:p w14:paraId="01FCE5DE" w14:textId="77777777" w:rsidR="002C7A87" w:rsidRPr="00206556" w:rsidRDefault="002C7A87" w:rsidP="00B13FF9">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w:t>
            </w:r>
            <w:r>
              <w:rPr>
                <w:rFonts w:ascii="Verdana" w:eastAsia="Times New Roman" w:hAnsi="Verdana" w:cs="Arial"/>
                <w:sz w:val="16"/>
                <w:szCs w:val="16"/>
                <w:lang w:eastAsia="es-ES"/>
              </w:rPr>
              <w:t xml:space="preserve"> </w:t>
            </w:r>
            <w:r w:rsidRPr="00206556">
              <w:rPr>
                <w:rFonts w:ascii="Verdana" w:eastAsia="Times New Roman" w:hAnsi="Verdana" w:cs="Arial"/>
                <w:sz w:val="16"/>
                <w:szCs w:val="16"/>
                <w:lang w:eastAsia="es-ES"/>
              </w:rPr>
              <w:t>de Gestión Contractual ANCP – CCE</w:t>
            </w:r>
            <w:r>
              <w:rPr>
                <w:rFonts w:ascii="Verdana" w:eastAsia="Times New Roman" w:hAnsi="Verdana" w:cs="Arial"/>
                <w:sz w:val="16"/>
                <w:szCs w:val="16"/>
                <w:lang w:eastAsia="es-ES"/>
              </w:rPr>
              <w:t xml:space="preserve"> (E)</w:t>
            </w:r>
          </w:p>
        </w:tc>
      </w:tr>
    </w:tbl>
    <w:p w14:paraId="6E29D74E" w14:textId="77777777" w:rsidR="002C7A87" w:rsidRPr="004D2E21" w:rsidRDefault="002C7A87" w:rsidP="002C7A87"/>
    <w:p w14:paraId="0602272B" w14:textId="77777777" w:rsidR="002D6822" w:rsidRDefault="002D6822"/>
    <w:sectPr w:rsidR="002D6822" w:rsidSect="002C7A87">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FF72B" w14:textId="77777777" w:rsidR="00F80B78" w:rsidRDefault="00F80B78" w:rsidP="002C7A87">
      <w:pPr>
        <w:spacing w:after="0" w:line="240" w:lineRule="auto"/>
      </w:pPr>
      <w:r>
        <w:separator/>
      </w:r>
    </w:p>
  </w:endnote>
  <w:endnote w:type="continuationSeparator" w:id="0">
    <w:p w14:paraId="5BFA5BA8" w14:textId="77777777" w:rsidR="00F80B78" w:rsidRDefault="00F80B78" w:rsidP="002C7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5C76" w14:textId="77777777" w:rsidR="002C7A87" w:rsidRDefault="002C7A87">
    <w:pPr>
      <w:pStyle w:val="Piedepgina"/>
    </w:pPr>
  </w:p>
  <w:p w14:paraId="4ED90D82" w14:textId="77777777" w:rsidR="002C7A87" w:rsidRPr="00174B77" w:rsidRDefault="002C7A87"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7E80A9E" w14:textId="77777777" w:rsidR="002C7A87" w:rsidRDefault="002C7A87"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BEC39CD" w14:textId="77777777" w:rsidR="002C7A87" w:rsidRPr="00E41027" w:rsidRDefault="002C7A87"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0721E40" w14:textId="77777777" w:rsidR="002C7A87" w:rsidRDefault="002C7A87"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8DBF5" w14:textId="77777777" w:rsidR="00F80B78" w:rsidRDefault="00F80B78" w:rsidP="002C7A87">
      <w:pPr>
        <w:spacing w:after="0" w:line="240" w:lineRule="auto"/>
      </w:pPr>
      <w:r>
        <w:separator/>
      </w:r>
    </w:p>
  </w:footnote>
  <w:footnote w:type="continuationSeparator" w:id="0">
    <w:p w14:paraId="17EDB579" w14:textId="77777777" w:rsidR="00F80B78" w:rsidRDefault="00F80B78" w:rsidP="002C7A87">
      <w:pPr>
        <w:spacing w:after="0" w:line="240" w:lineRule="auto"/>
      </w:pPr>
      <w:r>
        <w:continuationSeparator/>
      </w:r>
    </w:p>
  </w:footnote>
  <w:footnote w:id="1">
    <w:p w14:paraId="0AD8207F"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06356D2" w14:textId="77777777" w:rsidR="002C7A87" w:rsidRPr="0087053C" w:rsidRDefault="002C7A87" w:rsidP="002C7A87">
      <w:pPr>
        <w:pStyle w:val="Textonotapie"/>
        <w:ind w:firstLine="709"/>
        <w:jc w:val="both"/>
        <w:rPr>
          <w:rFonts w:ascii="Verdana" w:hAnsi="Verdana" w:cs="Arial"/>
          <w:sz w:val="16"/>
          <w:szCs w:val="16"/>
        </w:rPr>
      </w:pPr>
      <w:r w:rsidRPr="0087053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7802EB23"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Gaceta del Congreso de la República No. 71 del 2005.</w:t>
      </w:r>
    </w:p>
  </w:footnote>
  <w:footnote w:id="3">
    <w:p w14:paraId="2303A0B1" w14:textId="77777777" w:rsidR="002C7A87" w:rsidRPr="0087053C" w:rsidRDefault="002C7A87" w:rsidP="002C7A87">
      <w:pPr>
        <w:pStyle w:val="Textonotapie"/>
        <w:ind w:firstLine="709"/>
        <w:jc w:val="both"/>
        <w:rPr>
          <w:rFonts w:ascii="Verdana" w:hAnsi="Verdana" w:cs="Arial"/>
          <w:sz w:val="16"/>
          <w:szCs w:val="16"/>
          <w:lang w:val="pt-BR"/>
        </w:rPr>
      </w:pPr>
      <w:r w:rsidRPr="0087053C">
        <w:rPr>
          <w:rStyle w:val="Refdenotaalpie"/>
          <w:rFonts w:ascii="Verdana" w:hAnsi="Verdana" w:cs="Arial"/>
          <w:sz w:val="16"/>
          <w:szCs w:val="16"/>
        </w:rPr>
        <w:footnoteRef/>
      </w:r>
      <w:r w:rsidRPr="0087053C">
        <w:rPr>
          <w:rFonts w:ascii="Verdana" w:hAnsi="Verdana" w:cs="Arial"/>
          <w:sz w:val="16"/>
          <w:szCs w:val="16"/>
          <w:lang w:val="pt-BR"/>
        </w:rPr>
        <w:t xml:space="preserve"> Corte Constitucional, Sentencia C- 1153 de 2005, M.P. Marco Gerardo </w:t>
      </w:r>
      <w:proofErr w:type="spellStart"/>
      <w:r w:rsidRPr="0087053C">
        <w:rPr>
          <w:rFonts w:ascii="Verdana" w:hAnsi="Verdana" w:cs="Arial"/>
          <w:sz w:val="16"/>
          <w:szCs w:val="16"/>
          <w:lang w:val="pt-BR"/>
        </w:rPr>
        <w:t>Monroy</w:t>
      </w:r>
      <w:proofErr w:type="spellEnd"/>
      <w:r w:rsidRPr="0087053C">
        <w:rPr>
          <w:rFonts w:ascii="Verdana" w:hAnsi="Verdana" w:cs="Arial"/>
          <w:sz w:val="16"/>
          <w:szCs w:val="16"/>
          <w:lang w:val="pt-BR"/>
        </w:rPr>
        <w:t xml:space="preserve"> Cabra.</w:t>
      </w:r>
    </w:p>
  </w:footnote>
  <w:footnote w:id="4">
    <w:p w14:paraId="5D386D42" w14:textId="77777777" w:rsidR="002C7A87" w:rsidRPr="0087053C" w:rsidRDefault="002C7A87" w:rsidP="002C7A87">
      <w:pPr>
        <w:pStyle w:val="Textonotapie"/>
        <w:ind w:firstLine="709"/>
        <w:jc w:val="both"/>
        <w:rPr>
          <w:rFonts w:ascii="Verdana" w:hAnsi="Verdana" w:cs="Arial"/>
          <w:sz w:val="16"/>
          <w:szCs w:val="16"/>
          <w:lang w:val="pt-BR"/>
        </w:rPr>
      </w:pPr>
      <w:r w:rsidRPr="0087053C">
        <w:rPr>
          <w:rStyle w:val="Refdenotaalpie"/>
          <w:rFonts w:ascii="Verdana" w:hAnsi="Verdana" w:cs="Arial"/>
          <w:sz w:val="16"/>
          <w:szCs w:val="16"/>
        </w:rPr>
        <w:footnoteRef/>
      </w:r>
      <w:r w:rsidRPr="0087053C">
        <w:rPr>
          <w:rFonts w:ascii="Verdana" w:hAnsi="Verdana" w:cs="Arial"/>
          <w:sz w:val="16"/>
          <w:szCs w:val="16"/>
          <w:lang w:val="pt-BR"/>
        </w:rPr>
        <w:t xml:space="preserve"> Corte Constitucional. Sentencias: C-233 de 4 de abril de 2002, expediente: D-3704; C-551 de 9 de </w:t>
      </w:r>
      <w:proofErr w:type="spellStart"/>
      <w:r w:rsidRPr="0087053C">
        <w:rPr>
          <w:rFonts w:ascii="Verdana" w:hAnsi="Verdana" w:cs="Arial"/>
          <w:sz w:val="16"/>
          <w:szCs w:val="16"/>
          <w:lang w:val="pt-BR"/>
        </w:rPr>
        <w:t>julio</w:t>
      </w:r>
      <w:proofErr w:type="spellEnd"/>
      <w:r w:rsidRPr="0087053C">
        <w:rPr>
          <w:rFonts w:ascii="Verdana" w:hAnsi="Verdana" w:cs="Arial"/>
          <w:sz w:val="16"/>
          <w:szCs w:val="16"/>
          <w:lang w:val="pt-BR"/>
        </w:rPr>
        <w:t xml:space="preserve"> de 2003, expediente: CRF-001 de 9 de </w:t>
      </w:r>
      <w:proofErr w:type="spellStart"/>
      <w:r w:rsidRPr="0087053C">
        <w:rPr>
          <w:rFonts w:ascii="Verdana" w:hAnsi="Verdana" w:cs="Arial"/>
          <w:sz w:val="16"/>
          <w:szCs w:val="16"/>
          <w:lang w:val="pt-BR"/>
        </w:rPr>
        <w:t>julio</w:t>
      </w:r>
      <w:proofErr w:type="spellEnd"/>
      <w:r w:rsidRPr="0087053C">
        <w:rPr>
          <w:rFonts w:ascii="Verdana" w:hAnsi="Verdana" w:cs="Arial"/>
          <w:sz w:val="16"/>
          <w:szCs w:val="16"/>
          <w:lang w:val="pt-BR"/>
        </w:rPr>
        <w:t xml:space="preserve"> de 2003; C-652 de 5 de agosto de 2003, expediente: D-4330; C-353 de 20 de </w:t>
      </w:r>
      <w:proofErr w:type="spellStart"/>
      <w:r w:rsidRPr="0087053C">
        <w:rPr>
          <w:rFonts w:ascii="Verdana" w:hAnsi="Verdana" w:cs="Arial"/>
          <w:sz w:val="16"/>
          <w:szCs w:val="16"/>
          <w:lang w:val="pt-BR"/>
        </w:rPr>
        <w:t>mayo</w:t>
      </w:r>
      <w:proofErr w:type="spellEnd"/>
      <w:r w:rsidRPr="0087053C">
        <w:rPr>
          <w:rFonts w:ascii="Verdana" w:hAnsi="Verdana" w:cs="Arial"/>
          <w:sz w:val="16"/>
          <w:szCs w:val="16"/>
          <w:lang w:val="pt-BR"/>
        </w:rPr>
        <w:t xml:space="preserve"> de 2009, expediente: D-7518, C-541 de 30 de </w:t>
      </w:r>
      <w:proofErr w:type="spellStart"/>
      <w:r w:rsidRPr="0087053C">
        <w:rPr>
          <w:rFonts w:ascii="Verdana" w:hAnsi="Verdana" w:cs="Arial"/>
          <w:sz w:val="16"/>
          <w:szCs w:val="16"/>
          <w:lang w:val="pt-BR"/>
        </w:rPr>
        <w:t>junio</w:t>
      </w:r>
      <w:proofErr w:type="spellEnd"/>
      <w:r w:rsidRPr="0087053C">
        <w:rPr>
          <w:rFonts w:ascii="Verdana" w:hAnsi="Verdana" w:cs="Arial"/>
          <w:sz w:val="16"/>
          <w:szCs w:val="16"/>
          <w:lang w:val="pt-BR"/>
        </w:rPr>
        <w:t xml:space="preserve"> de 2010, expediente: DD7966; entre </w:t>
      </w:r>
      <w:proofErr w:type="spellStart"/>
      <w:r w:rsidRPr="0087053C">
        <w:rPr>
          <w:rFonts w:ascii="Verdana" w:hAnsi="Verdana" w:cs="Arial"/>
          <w:sz w:val="16"/>
          <w:szCs w:val="16"/>
          <w:lang w:val="pt-BR"/>
        </w:rPr>
        <w:t>otras</w:t>
      </w:r>
      <w:proofErr w:type="spellEnd"/>
      <w:r w:rsidRPr="0087053C">
        <w:rPr>
          <w:rFonts w:ascii="Verdana" w:hAnsi="Verdana" w:cs="Arial"/>
          <w:sz w:val="16"/>
          <w:szCs w:val="16"/>
          <w:lang w:val="pt-BR"/>
        </w:rPr>
        <w:t>.</w:t>
      </w:r>
    </w:p>
  </w:footnote>
  <w:footnote w:id="5">
    <w:p w14:paraId="58C45757" w14:textId="77777777" w:rsidR="002C7A87" w:rsidRPr="0087053C" w:rsidRDefault="002C7A87" w:rsidP="002C7A87">
      <w:pPr>
        <w:pStyle w:val="Textonotapie"/>
        <w:ind w:firstLine="709"/>
        <w:jc w:val="both"/>
        <w:rPr>
          <w:rFonts w:ascii="Verdana" w:hAnsi="Verdana" w:cs="Arial"/>
          <w:sz w:val="16"/>
          <w:szCs w:val="16"/>
          <w:lang w:val="es-CO"/>
        </w:rPr>
      </w:pPr>
      <w:r w:rsidRPr="0087053C">
        <w:rPr>
          <w:rStyle w:val="Refdenotaalpie"/>
          <w:rFonts w:ascii="Verdana" w:hAnsi="Verdana" w:cs="Arial"/>
          <w:sz w:val="16"/>
          <w:szCs w:val="16"/>
        </w:rPr>
        <w:footnoteRef/>
      </w:r>
      <w:r w:rsidRPr="0087053C">
        <w:rPr>
          <w:rFonts w:ascii="Verdana" w:hAnsi="Verdana" w:cs="Arial"/>
          <w:sz w:val="16"/>
          <w:szCs w:val="16"/>
          <w:lang w:val="es-CO"/>
        </w:rPr>
        <w:t xml:space="preserve"> Consejo de Estado, Sala de lo Contencioso Administrativo,</w:t>
      </w:r>
      <w:r w:rsidRPr="0087053C">
        <w:rPr>
          <w:rFonts w:ascii="Verdana" w:hAnsi="Verdana" w:cs="Arial"/>
          <w:sz w:val="16"/>
          <w:szCs w:val="16"/>
          <w:lang w:val="es-CO"/>
        </w:rPr>
        <w:t xml:space="preserve">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7F5780B0"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de fecha 24 de julio de 2013, radicado 2166, C. P. Álvaro Namén Vargas.  </w:t>
      </w:r>
    </w:p>
  </w:footnote>
  <w:footnote w:id="7">
    <w:p w14:paraId="5AF0E934" w14:textId="77777777" w:rsidR="002C7A87" w:rsidRPr="0087053C" w:rsidRDefault="002C7A87" w:rsidP="002C7A87">
      <w:pPr>
        <w:spacing w:after="0" w:line="240" w:lineRule="auto"/>
        <w:ind w:firstLine="709"/>
        <w:jc w:val="both"/>
        <w:rPr>
          <w:rFonts w:ascii="Verdana" w:eastAsia="Times New Roman"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w:t>
      </w:r>
      <w:bookmarkStart w:id="5" w:name="33"/>
      <w:r w:rsidRPr="0087053C">
        <w:rPr>
          <w:rFonts w:ascii="Verdana" w:eastAsia="Calibri" w:hAnsi="Verdana" w:cs="Arial"/>
          <w:color w:val="000000"/>
          <w:sz w:val="16"/>
          <w:szCs w:val="16"/>
        </w:rPr>
        <w:t>“</w:t>
      </w:r>
      <w:r w:rsidRPr="0087053C">
        <w:rPr>
          <w:rFonts w:ascii="Verdana" w:eastAsia="Times New Roman" w:hAnsi="Verdana" w:cs="Arial"/>
          <w:sz w:val="16"/>
          <w:szCs w:val="16"/>
        </w:rPr>
        <w:t>Artículo 33. Restricciones a la contratación pública.</w:t>
      </w:r>
      <w:bookmarkEnd w:id="5"/>
      <w:r w:rsidRPr="0087053C">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672F6719" w14:textId="77777777" w:rsidR="002C7A87" w:rsidRPr="0087053C" w:rsidRDefault="002C7A87" w:rsidP="002C7A87">
      <w:pPr>
        <w:spacing w:after="0" w:line="240" w:lineRule="auto"/>
        <w:ind w:firstLine="709"/>
        <w:jc w:val="both"/>
        <w:rPr>
          <w:rFonts w:ascii="Verdana" w:eastAsia="Times New Roman" w:hAnsi="Verdana" w:cs="Arial"/>
          <w:sz w:val="16"/>
          <w:szCs w:val="16"/>
        </w:rPr>
      </w:pPr>
      <w:r w:rsidRPr="0087053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7053C">
        <w:rPr>
          <w:rFonts w:ascii="Verdana" w:eastAsia="Calibri" w:hAnsi="Verdana" w:cs="Arial"/>
          <w:color w:val="000000"/>
          <w:sz w:val="16"/>
          <w:szCs w:val="16"/>
        </w:rPr>
        <w:t>”</w:t>
      </w:r>
      <w:r w:rsidRPr="0087053C">
        <w:rPr>
          <w:rFonts w:ascii="Verdana" w:eastAsia="Times New Roman" w:hAnsi="Verdana" w:cs="Arial"/>
          <w:sz w:val="16"/>
          <w:szCs w:val="16"/>
        </w:rPr>
        <w:t>.</w:t>
      </w:r>
    </w:p>
  </w:footnote>
  <w:footnote w:id="8">
    <w:p w14:paraId="209329E9" w14:textId="77777777" w:rsidR="002C7A87" w:rsidRPr="0087053C" w:rsidRDefault="002C7A87" w:rsidP="002C7A87">
      <w:pPr>
        <w:pStyle w:val="NormalWeb"/>
        <w:spacing w:before="0" w:beforeAutospacing="0" w:after="0" w:afterAutospacing="0"/>
        <w:ind w:firstLine="709"/>
        <w:jc w:val="both"/>
        <w:rPr>
          <w:rFonts w:ascii="Verdana" w:hAnsi="Verdana" w:cs="Arial"/>
          <w:sz w:val="16"/>
          <w:szCs w:val="16"/>
          <w:lang w:val="es-MX"/>
        </w:rPr>
      </w:pPr>
      <w:r w:rsidRPr="0087053C">
        <w:rPr>
          <w:rStyle w:val="Refdenotaalpie"/>
          <w:rFonts w:ascii="Verdana" w:hAnsi="Verdana" w:cs="Arial"/>
          <w:sz w:val="16"/>
          <w:szCs w:val="16"/>
        </w:rPr>
        <w:footnoteRef/>
      </w:r>
      <w:r w:rsidRPr="0087053C">
        <w:rPr>
          <w:rFonts w:ascii="Verdana" w:hAnsi="Verdana" w:cs="Arial"/>
          <w:sz w:val="16"/>
          <w:szCs w:val="16"/>
        </w:rPr>
        <w:t xml:space="preserve"> </w:t>
      </w:r>
      <w:bookmarkStart w:id="6" w:name="38"/>
      <w:r w:rsidRPr="0087053C">
        <w:rPr>
          <w:rFonts w:ascii="Verdana" w:eastAsia="Calibri" w:hAnsi="Verdana" w:cs="Arial"/>
          <w:color w:val="000000"/>
          <w:sz w:val="16"/>
          <w:szCs w:val="16"/>
        </w:rPr>
        <w:t>“</w:t>
      </w:r>
      <w:r w:rsidRPr="0087053C">
        <w:rPr>
          <w:rFonts w:ascii="Verdana" w:hAnsi="Verdana" w:cs="Arial"/>
          <w:sz w:val="16"/>
          <w:szCs w:val="16"/>
          <w:lang w:val="es-MX"/>
        </w:rPr>
        <w:t>Artículo 38. Prohibiciones para los servidores públicos. A los empleados del Estado les está prohibido:</w:t>
      </w:r>
      <w:bookmarkEnd w:id="6"/>
      <w:r w:rsidRPr="0087053C">
        <w:rPr>
          <w:rFonts w:ascii="Verdana" w:hAnsi="Verdana" w:cs="Arial"/>
          <w:sz w:val="16"/>
          <w:szCs w:val="16"/>
          <w:lang w:val="es-MX"/>
        </w:rPr>
        <w:t xml:space="preserve"> […]</w:t>
      </w:r>
    </w:p>
    <w:p w14:paraId="48BBA4D6" w14:textId="77777777" w:rsidR="002C7A87" w:rsidRPr="0087053C" w:rsidRDefault="002C7A87" w:rsidP="002C7A87">
      <w:pPr>
        <w:pStyle w:val="NormalWeb"/>
        <w:spacing w:before="0" w:beforeAutospacing="0" w:after="0" w:afterAutospacing="0"/>
        <w:ind w:firstLine="709"/>
        <w:jc w:val="both"/>
        <w:rPr>
          <w:rFonts w:ascii="Verdana" w:hAnsi="Verdana" w:cs="Arial"/>
          <w:sz w:val="16"/>
          <w:szCs w:val="16"/>
          <w:lang w:val="es-MX"/>
        </w:rPr>
      </w:pPr>
      <w:r w:rsidRPr="0087053C">
        <w:rPr>
          <w:rStyle w:val="baj"/>
          <w:rFonts w:ascii="Verdana" w:hAnsi="Verdana" w:cs="Arial"/>
          <w:sz w:val="16"/>
          <w:szCs w:val="16"/>
          <w:lang w:val="es-MX"/>
        </w:rPr>
        <w:t>Parágrafo.</w:t>
      </w:r>
      <w:r w:rsidRPr="0087053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7053C">
        <w:rPr>
          <w:rFonts w:ascii="Verdana" w:eastAsia="Calibri" w:hAnsi="Verdana" w:cs="Arial"/>
          <w:color w:val="000000"/>
          <w:sz w:val="16"/>
          <w:szCs w:val="16"/>
        </w:rPr>
        <w:t>”</w:t>
      </w:r>
      <w:r w:rsidRPr="0087053C">
        <w:rPr>
          <w:rFonts w:ascii="Verdana" w:hAnsi="Verdana" w:cs="Arial"/>
          <w:sz w:val="16"/>
          <w:szCs w:val="16"/>
          <w:lang w:val="es-MX"/>
        </w:rPr>
        <w:t>.</w:t>
      </w:r>
    </w:p>
  </w:footnote>
  <w:footnote w:id="9">
    <w:p w14:paraId="61AF93BC"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Colombia Compra Eficiente. Circular Externa Única. Numeral 16.5. </w:t>
      </w:r>
    </w:p>
  </w:footnote>
  <w:footnote w:id="10">
    <w:p w14:paraId="27C38604" w14:textId="77777777" w:rsidR="002C7A87" w:rsidRPr="0087053C" w:rsidRDefault="002C7A87" w:rsidP="002C7A87">
      <w:pPr>
        <w:spacing w:after="0" w:line="240" w:lineRule="auto"/>
        <w:ind w:left="100" w:right="244" w:firstLine="709"/>
        <w:jc w:val="both"/>
        <w:rPr>
          <w:rFonts w:ascii="Verdana" w:hAnsi="Verdana" w:cs="Arial"/>
          <w:sz w:val="16"/>
          <w:szCs w:val="16"/>
          <w:lang w:val="es-ES"/>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12F8FE74" w14:textId="77777777" w:rsidR="002C7A87" w:rsidRPr="0087053C" w:rsidRDefault="002C7A87" w:rsidP="002C7A87">
      <w:pPr>
        <w:pStyle w:val="Textonotapie"/>
        <w:ind w:right="51"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w:t>
      </w:r>
      <w:r w:rsidRPr="0087053C">
        <w:rPr>
          <w:rFonts w:ascii="Verdana" w:hAnsi="Verdana" w:cs="Arial"/>
          <w:sz w:val="16"/>
          <w:szCs w:val="16"/>
          <w:lang w:val="es-ES"/>
        </w:rPr>
        <w:t xml:space="preserve">[25] </w:t>
      </w:r>
      <w:r w:rsidRPr="0087053C">
        <w:rPr>
          <w:rFonts w:ascii="Verdana" w:hAnsi="Verdana" w:cs="Arial"/>
          <w:sz w:val="16"/>
          <w:szCs w:val="16"/>
        </w:rPr>
        <w:t>Cfr. Consejo de Estado. Sección Tercera. Sentencia de 3 de diciembre de 2007. Radicados: 24.715, 25.206, 25.409, 24.524, 27.834, 25.410, 26.105, 28.244, 31.447 -acumulados</w:t>
      </w:r>
      <w:proofErr w:type="gramStart"/>
      <w:r w:rsidRPr="0087053C">
        <w:rPr>
          <w:rFonts w:ascii="Verdana" w:hAnsi="Verdana" w:cs="Arial"/>
          <w:sz w:val="16"/>
          <w:szCs w:val="16"/>
        </w:rPr>
        <w:t>-“</w:t>
      </w:r>
      <w:proofErr w:type="gramEnd"/>
      <w:r w:rsidRPr="0087053C">
        <w:rPr>
          <w:rFonts w:ascii="Verdana" w:hAnsi="Verdana" w:cs="Arial"/>
          <w:sz w:val="16"/>
          <w:szCs w:val="16"/>
        </w:rPr>
        <w:t>.</w:t>
      </w:r>
    </w:p>
  </w:footnote>
  <w:footnote w:id="12">
    <w:p w14:paraId="7546680D" w14:textId="77777777" w:rsidR="002C7A87" w:rsidRPr="0087053C" w:rsidRDefault="002C7A87" w:rsidP="002C7A87">
      <w:pPr>
        <w:pStyle w:val="Textonotapie"/>
        <w:ind w:right="51"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w:t>
      </w:r>
      <w:r w:rsidRPr="0087053C">
        <w:rPr>
          <w:rFonts w:ascii="Verdana" w:hAnsi="Verdana" w:cs="Arial"/>
          <w:sz w:val="16"/>
          <w:szCs w:val="16"/>
          <w:lang w:val="es-ES"/>
        </w:rPr>
        <w:t xml:space="preserve">[26] </w:t>
      </w:r>
      <w:r w:rsidRPr="0087053C">
        <w:rPr>
          <w:rFonts w:ascii="Verdana" w:hAnsi="Verdana" w:cs="Arial"/>
          <w:sz w:val="16"/>
          <w:szCs w:val="16"/>
        </w:rPr>
        <w:t>Al respecto ver el concepto 1712 de 2 de febrero de 2006. Consejo de Estado Sala de Consulta y Servicio Civil”.</w:t>
      </w:r>
    </w:p>
  </w:footnote>
  <w:footnote w:id="13">
    <w:p w14:paraId="2912B89B"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4E40CBC7" w14:textId="77777777" w:rsidR="002C7A87" w:rsidRPr="0087053C" w:rsidRDefault="002C7A87" w:rsidP="002C7A87">
      <w:pPr>
        <w:pStyle w:val="Textonotapie"/>
        <w:ind w:firstLine="709"/>
        <w:jc w:val="both"/>
        <w:rPr>
          <w:rFonts w:ascii="Verdana" w:hAnsi="Verdana" w:cs="Arial"/>
          <w:sz w:val="16"/>
          <w:szCs w:val="16"/>
          <w:lang w:val="es-ES"/>
        </w:rPr>
      </w:pPr>
      <w:r w:rsidRPr="0087053C">
        <w:rPr>
          <w:rStyle w:val="Refdenotaalpie"/>
          <w:rFonts w:ascii="Verdana" w:hAnsi="Verdana" w:cs="Arial"/>
          <w:sz w:val="16"/>
          <w:szCs w:val="16"/>
        </w:rPr>
        <w:footnoteRef/>
      </w:r>
      <w:r w:rsidRPr="0087053C">
        <w:rPr>
          <w:rFonts w:ascii="Verdana" w:hAnsi="Verdana" w:cs="Arial"/>
          <w:sz w:val="16"/>
          <w:szCs w:val="16"/>
        </w:rPr>
        <w:t xml:space="preserve"> </w:t>
      </w:r>
      <w:r w:rsidRPr="0087053C">
        <w:rPr>
          <w:rFonts w:ascii="Verdana" w:hAnsi="Verdana" w:cs="Arial"/>
          <w:sz w:val="16"/>
          <w:szCs w:val="16"/>
          <w:lang w:val="es-ES"/>
        </w:rPr>
        <w:t xml:space="preserve">Artículo 2. </w:t>
      </w:r>
    </w:p>
  </w:footnote>
  <w:footnote w:id="15">
    <w:p w14:paraId="26D67759" w14:textId="77777777" w:rsidR="002C7A87" w:rsidRPr="0087053C" w:rsidRDefault="002C7A87" w:rsidP="002C7A87">
      <w:pPr>
        <w:pStyle w:val="Textonotapie"/>
        <w:ind w:firstLine="709"/>
        <w:jc w:val="both"/>
        <w:rPr>
          <w:rFonts w:ascii="Verdana" w:hAnsi="Verdana" w:cs="Arial"/>
          <w:sz w:val="16"/>
          <w:szCs w:val="16"/>
          <w:lang w:val="es-ES"/>
        </w:rPr>
      </w:pPr>
      <w:r w:rsidRPr="0087053C">
        <w:rPr>
          <w:rStyle w:val="Refdenotaalpie"/>
          <w:rFonts w:ascii="Verdana" w:hAnsi="Verdana" w:cs="Arial"/>
          <w:sz w:val="16"/>
          <w:szCs w:val="16"/>
        </w:rPr>
        <w:footnoteRef/>
      </w:r>
      <w:r w:rsidRPr="0087053C">
        <w:rPr>
          <w:rFonts w:ascii="Verdana" w:hAnsi="Verdana" w:cs="Arial"/>
          <w:sz w:val="16"/>
          <w:szCs w:val="16"/>
        </w:rPr>
        <w:t xml:space="preserve"> </w:t>
      </w:r>
      <w:r w:rsidRPr="0087053C">
        <w:rPr>
          <w:rFonts w:ascii="Verdana" w:hAnsi="Verdana" w:cs="Arial"/>
          <w:i/>
          <w:sz w:val="16"/>
          <w:szCs w:val="16"/>
          <w:lang w:val="es-ES"/>
        </w:rPr>
        <w:t>Ídem</w:t>
      </w:r>
      <w:r w:rsidRPr="0087053C">
        <w:rPr>
          <w:rFonts w:ascii="Verdana" w:hAnsi="Verdana" w:cs="Arial"/>
          <w:sz w:val="16"/>
          <w:szCs w:val="16"/>
          <w:lang w:val="es-ES"/>
        </w:rPr>
        <w:t>.</w:t>
      </w:r>
    </w:p>
  </w:footnote>
  <w:footnote w:id="16">
    <w:p w14:paraId="0CAD53F2" w14:textId="77777777" w:rsidR="002C7A87" w:rsidRPr="0087053C" w:rsidRDefault="002C7A87" w:rsidP="002C7A87">
      <w:pPr>
        <w:pStyle w:val="Textonotapie"/>
        <w:ind w:firstLine="709"/>
        <w:jc w:val="both"/>
        <w:rPr>
          <w:rFonts w:ascii="Verdana" w:hAnsi="Verdana" w:cs="Arial"/>
          <w:sz w:val="16"/>
          <w:szCs w:val="16"/>
          <w:lang w:val="es-ES"/>
        </w:rPr>
      </w:pPr>
      <w:r w:rsidRPr="0087053C">
        <w:rPr>
          <w:rStyle w:val="Refdenotaalpie"/>
          <w:rFonts w:ascii="Verdana" w:hAnsi="Verdana" w:cs="Arial"/>
          <w:sz w:val="16"/>
          <w:szCs w:val="16"/>
        </w:rPr>
        <w:footnoteRef/>
      </w:r>
      <w:r w:rsidRPr="0087053C">
        <w:rPr>
          <w:rStyle w:val="Refdenotaalpie"/>
          <w:rFonts w:ascii="Verdana" w:hAnsi="Verdana" w:cs="Arial"/>
          <w:sz w:val="16"/>
          <w:szCs w:val="16"/>
        </w:rPr>
        <w:t xml:space="preserve"> </w:t>
      </w:r>
      <w:r w:rsidRPr="0087053C">
        <w:rPr>
          <w:rFonts w:ascii="Verdana" w:hAnsi="Verdana" w:cs="Arial"/>
          <w:sz w:val="16"/>
          <w:szCs w:val="16"/>
          <w:lang w:val="es-ES"/>
        </w:rPr>
        <w:t xml:space="preserve">“[…] A este respecto, cabe recordar que el artículo 860 del Código de Comercio regula la licitación en el derecho privado”. </w:t>
      </w:r>
    </w:p>
  </w:footnote>
  <w:footnote w:id="17">
    <w:p w14:paraId="707A30BF" w14:textId="77777777" w:rsidR="002C7A87" w:rsidRPr="0087053C" w:rsidRDefault="002C7A87" w:rsidP="002C7A87">
      <w:pPr>
        <w:shd w:val="clear" w:color="auto" w:fill="FFFFFF"/>
        <w:spacing w:after="0" w:line="240" w:lineRule="auto"/>
        <w:ind w:firstLine="709"/>
        <w:jc w:val="both"/>
        <w:rPr>
          <w:rFonts w:ascii="Verdana" w:hAnsi="Verdana" w:cs="Arial"/>
          <w:sz w:val="16"/>
          <w:szCs w:val="16"/>
          <w:lang w:val="es-ES"/>
        </w:rPr>
      </w:pPr>
      <w:r w:rsidRPr="0087053C">
        <w:rPr>
          <w:rStyle w:val="Refdenotaalpie"/>
          <w:rFonts w:ascii="Verdana" w:hAnsi="Verdana" w:cs="Arial"/>
          <w:sz w:val="16"/>
          <w:szCs w:val="16"/>
        </w:rPr>
        <w:footnoteRef/>
      </w:r>
      <w:r w:rsidRPr="0087053C">
        <w:rPr>
          <w:rStyle w:val="Refdenotaalpie"/>
          <w:rFonts w:ascii="Verdana" w:hAnsi="Verdana" w:cs="Arial"/>
          <w:sz w:val="16"/>
          <w:szCs w:val="16"/>
        </w:rPr>
        <w:t xml:space="preserve"> </w:t>
      </w:r>
      <w:r w:rsidRPr="0087053C">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8">
    <w:p w14:paraId="1AACF451"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Concepto del 08 de mayo de 2018. Exp. 2.382. C.P. Álvaro Namén Vargas.</w:t>
      </w:r>
    </w:p>
  </w:footnote>
  <w:footnote w:id="19">
    <w:p w14:paraId="782594AC"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54C5951A" w14:textId="77777777" w:rsidR="002C7A87" w:rsidRPr="0087053C" w:rsidRDefault="002C7A87" w:rsidP="002C7A87">
      <w:pPr>
        <w:spacing w:after="0" w:line="240" w:lineRule="auto"/>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3AF5E1C9" w14:textId="77777777" w:rsidR="002C7A87" w:rsidRPr="0087053C" w:rsidRDefault="002C7A87" w:rsidP="002C7A87">
      <w:pPr>
        <w:pStyle w:val="Textonotapie"/>
        <w:ind w:right="51" w:firstLine="709"/>
        <w:jc w:val="both"/>
        <w:rPr>
          <w:rFonts w:ascii="Verdana" w:eastAsia="Times New Roman" w:hAnsi="Verdana" w:cs="Arial"/>
          <w:bCs/>
          <w:sz w:val="16"/>
          <w:szCs w:val="16"/>
          <w:lang w:eastAsia="x-none"/>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87053C">
        <w:rPr>
          <w:rFonts w:ascii="Verdana" w:eastAsia="Times New Roman" w:hAnsi="Verdana" w:cs="Arial"/>
          <w:bCs/>
          <w:sz w:val="16"/>
          <w:szCs w:val="16"/>
          <w:lang w:eastAsia="x-none"/>
        </w:rPr>
        <w:t xml:space="preserve"> “</w:t>
      </w:r>
      <w:r w:rsidRPr="0087053C">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87053C">
        <w:rPr>
          <w:rFonts w:ascii="Verdana" w:eastAsia="Times New Roman" w:hAnsi="Verdana" w:cs="Arial"/>
          <w:bCs/>
          <w:sz w:val="16"/>
          <w:szCs w:val="16"/>
          <w:lang w:eastAsia="x-none"/>
        </w:rPr>
        <w:t>”.</w:t>
      </w:r>
    </w:p>
  </w:footnote>
  <w:footnote w:id="22">
    <w:p w14:paraId="05E39F9C" w14:textId="77777777" w:rsidR="002C7A87" w:rsidRPr="0087053C" w:rsidRDefault="002C7A87" w:rsidP="002C7A87">
      <w:pPr>
        <w:spacing w:after="0" w:line="240" w:lineRule="auto"/>
        <w:ind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3">
    <w:p w14:paraId="086ED102" w14:textId="77777777" w:rsidR="002C7A87" w:rsidRPr="0087053C" w:rsidRDefault="002C7A87" w:rsidP="002C7A87">
      <w:pPr>
        <w:pStyle w:val="Textonotapie"/>
        <w:ind w:right="51" w:firstLine="709"/>
        <w:jc w:val="both"/>
        <w:rPr>
          <w:rFonts w:ascii="Verdana" w:hAnsi="Verdana" w:cs="Arial"/>
          <w:sz w:val="16"/>
          <w:szCs w:val="16"/>
        </w:rPr>
      </w:pPr>
      <w:r w:rsidRPr="0087053C">
        <w:rPr>
          <w:rStyle w:val="Refdenotaalpie"/>
          <w:rFonts w:ascii="Verdana" w:hAnsi="Verdana" w:cs="Arial"/>
          <w:sz w:val="16"/>
          <w:szCs w:val="16"/>
        </w:rPr>
        <w:footnoteRef/>
      </w:r>
      <w:r w:rsidRPr="0087053C">
        <w:rPr>
          <w:rFonts w:ascii="Verdana" w:hAnsi="Verdana" w:cs="Arial"/>
          <w:sz w:val="16"/>
          <w:szCs w:val="16"/>
        </w:rPr>
        <w:t xml:space="preserve"> Consejo de Estado. Sala de Consulta y Servicio Civil, ídem.</w:t>
      </w:r>
    </w:p>
  </w:footnote>
  <w:footnote w:id="24">
    <w:p w14:paraId="1E54E915" w14:textId="77777777" w:rsidR="002C7A87" w:rsidRPr="0087053C" w:rsidRDefault="002C7A87" w:rsidP="002C7A87">
      <w:pPr>
        <w:pStyle w:val="Textonotapie"/>
        <w:ind w:firstLine="709"/>
        <w:jc w:val="both"/>
        <w:rPr>
          <w:rFonts w:ascii="Verdana" w:hAnsi="Verdana" w:cs="Arial"/>
          <w:sz w:val="16"/>
          <w:szCs w:val="16"/>
        </w:rPr>
      </w:pPr>
      <w:r w:rsidRPr="0087053C">
        <w:rPr>
          <w:rStyle w:val="Refdenotaalpie"/>
          <w:rFonts w:ascii="Verdana" w:hAnsi="Verdana"/>
          <w:sz w:val="16"/>
          <w:szCs w:val="16"/>
        </w:rPr>
        <w:footnoteRef/>
      </w:r>
      <w:r w:rsidRPr="0087053C">
        <w:rPr>
          <w:rFonts w:ascii="Verdana" w:hAnsi="Verdana"/>
          <w:sz w:val="16"/>
          <w:szCs w:val="16"/>
        </w:rPr>
        <w:t xml:space="preserve"> </w:t>
      </w:r>
      <w:r w:rsidRPr="0087053C">
        <w:rPr>
          <w:rFonts w:ascii="Verdana" w:hAnsi="Verdana" w:cs="Arial"/>
          <w:sz w:val="16"/>
          <w:szCs w:val="16"/>
        </w:rPr>
        <w:t xml:space="preserve">Consejo de Estado, Sección Tercera, Subsección A. Sentencia del 21 de febrero de 2025. CP: José Roberto Sáchica Méndez. Exp. 68.280. </w:t>
      </w:r>
    </w:p>
  </w:footnote>
  <w:footnote w:id="25">
    <w:p w14:paraId="3A7E9CAD" w14:textId="77777777" w:rsidR="002C7A87" w:rsidRPr="0087053C" w:rsidRDefault="002C7A87" w:rsidP="002C7A87">
      <w:pPr>
        <w:pStyle w:val="Textonotapie"/>
        <w:ind w:firstLine="709"/>
        <w:jc w:val="both"/>
        <w:rPr>
          <w:rFonts w:ascii="Verdana" w:hAnsi="Verdana" w:cs="Arial"/>
          <w:sz w:val="16"/>
          <w:szCs w:val="16"/>
        </w:rPr>
      </w:pPr>
      <w:r w:rsidRPr="0087053C">
        <w:rPr>
          <w:rFonts w:ascii="Verdana" w:hAnsi="Verdana"/>
          <w:sz w:val="16"/>
          <w:szCs w:val="16"/>
          <w:vertAlign w:val="superscript"/>
        </w:rPr>
        <w:footnoteRef/>
      </w:r>
      <w:r w:rsidRPr="0087053C">
        <w:rPr>
          <w:rFonts w:ascii="Verdana" w:hAnsi="Verdana"/>
          <w:sz w:val="16"/>
          <w:szCs w:val="16"/>
          <w:vertAlign w:val="superscript"/>
        </w:rPr>
        <w:t xml:space="preserve"> </w:t>
      </w:r>
      <w:r w:rsidRPr="0087053C">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6">
    <w:p w14:paraId="264D6EB8" w14:textId="77777777" w:rsidR="002C7A87" w:rsidRPr="0087053C" w:rsidRDefault="002C7A87" w:rsidP="002C7A87">
      <w:pPr>
        <w:pStyle w:val="Textonotapie"/>
        <w:ind w:firstLine="709"/>
        <w:jc w:val="both"/>
        <w:rPr>
          <w:rFonts w:ascii="Verdana" w:hAnsi="Verdana" w:cs="Arial"/>
          <w:sz w:val="16"/>
          <w:szCs w:val="16"/>
        </w:rPr>
      </w:pPr>
      <w:r w:rsidRPr="0087053C">
        <w:rPr>
          <w:rFonts w:ascii="Verdana" w:hAnsi="Verdana"/>
          <w:sz w:val="16"/>
          <w:szCs w:val="16"/>
          <w:vertAlign w:val="superscript"/>
        </w:rPr>
        <w:footnoteRef/>
      </w:r>
      <w:r w:rsidRPr="0087053C">
        <w:rPr>
          <w:rFonts w:ascii="Verdana" w:hAnsi="Verdana" w:cs="Arial"/>
          <w:sz w:val="16"/>
          <w:szCs w:val="16"/>
          <w:vertAlign w:val="superscript"/>
        </w:rPr>
        <w:t xml:space="preserve"> </w:t>
      </w:r>
      <w:r w:rsidRPr="0087053C">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039D4278" w14:textId="77777777" w:rsidR="002C7A87" w:rsidRPr="0087053C" w:rsidRDefault="002C7A87" w:rsidP="002C7A87">
      <w:pPr>
        <w:pStyle w:val="Textonotapie"/>
        <w:ind w:firstLine="709"/>
        <w:jc w:val="both"/>
        <w:rPr>
          <w:rFonts w:ascii="Verdana" w:hAnsi="Verdana" w:cs="Arial"/>
          <w:sz w:val="16"/>
          <w:szCs w:val="16"/>
        </w:rPr>
      </w:pPr>
      <w:r w:rsidRPr="0087053C">
        <w:rPr>
          <w:rFonts w:ascii="Verdana" w:hAnsi="Verdana" w:cs="Arial"/>
          <w:sz w:val="16"/>
          <w:szCs w:val="16"/>
        </w:rPr>
        <w:t>[…]”.</w:t>
      </w:r>
    </w:p>
  </w:footnote>
  <w:footnote w:id="27">
    <w:p w14:paraId="430B9CDB" w14:textId="77777777" w:rsidR="002C7A87" w:rsidRPr="0087053C" w:rsidRDefault="002C7A87" w:rsidP="002C7A87">
      <w:pPr>
        <w:pStyle w:val="Textonotapie"/>
        <w:ind w:firstLine="709"/>
        <w:jc w:val="both"/>
        <w:rPr>
          <w:rFonts w:ascii="Verdana" w:hAnsi="Verdana" w:cs="Arial"/>
          <w:sz w:val="16"/>
          <w:szCs w:val="16"/>
        </w:rPr>
      </w:pPr>
      <w:r w:rsidRPr="0087053C">
        <w:rPr>
          <w:rFonts w:ascii="Verdana" w:hAnsi="Verdana"/>
          <w:sz w:val="16"/>
          <w:szCs w:val="16"/>
          <w:vertAlign w:val="superscript"/>
        </w:rPr>
        <w:footnoteRef/>
      </w:r>
      <w:r w:rsidRPr="0087053C">
        <w:rPr>
          <w:rFonts w:ascii="Verdana" w:hAnsi="Verdana" w:cs="Arial"/>
          <w:sz w:val="16"/>
          <w:szCs w:val="16"/>
          <w:vertAlign w:val="superscript"/>
        </w:rPr>
        <w:t xml:space="preserve"> </w:t>
      </w:r>
      <w:r w:rsidRPr="0087053C">
        <w:rPr>
          <w:rFonts w:ascii="Verdana" w:hAnsi="Verdana" w:cs="Arial"/>
          <w:sz w:val="16"/>
          <w:szCs w:val="16"/>
        </w:rPr>
        <w:t>Código Civil: “Artículo 27. Cuando el sentido de la ley sea claro, no se desatenderá su tenor a pretexto de consultar su espíritu”.</w:t>
      </w:r>
    </w:p>
  </w:footnote>
  <w:footnote w:id="28">
    <w:p w14:paraId="2F8D5E4B" w14:textId="77777777" w:rsidR="002C7A87" w:rsidRPr="0087053C" w:rsidRDefault="002C7A87" w:rsidP="002C7A87">
      <w:pPr>
        <w:pStyle w:val="Textonotapie"/>
        <w:ind w:firstLine="709"/>
        <w:jc w:val="both"/>
        <w:rPr>
          <w:rFonts w:ascii="Verdana" w:hAnsi="Verdana"/>
          <w:sz w:val="16"/>
          <w:szCs w:val="16"/>
          <w:lang w:val="es-ES"/>
        </w:rPr>
      </w:pPr>
      <w:r w:rsidRPr="0087053C">
        <w:rPr>
          <w:rStyle w:val="Refdenotaalpie"/>
          <w:rFonts w:ascii="Verdana" w:hAnsi="Verdana"/>
          <w:sz w:val="16"/>
          <w:szCs w:val="16"/>
        </w:rPr>
        <w:footnoteRef/>
      </w:r>
      <w:r w:rsidRPr="0087053C">
        <w:rPr>
          <w:rFonts w:ascii="Verdana" w:hAnsi="Verdana"/>
          <w:sz w:val="16"/>
          <w:szCs w:val="16"/>
        </w:rPr>
        <w:t xml:space="preserve"> </w:t>
      </w:r>
      <w:r w:rsidRPr="0087053C">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87053C">
        <w:rPr>
          <w:rFonts w:ascii="Verdana" w:hAnsi="Verdana"/>
          <w:i/>
          <w:iCs/>
          <w:sz w:val="16"/>
          <w:szCs w:val="16"/>
          <w:lang w:val="es-ES"/>
        </w:rPr>
        <w:t>Ubi lex non distinguit nec nos distinguere debemus</w:t>
      </w:r>
      <w:r w:rsidRPr="0087053C">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5D6729D4" w14:textId="77777777" w:rsidR="002C7A87" w:rsidRPr="0087053C" w:rsidRDefault="002C7A87" w:rsidP="002C7A87">
      <w:pPr>
        <w:pStyle w:val="Textonotapie"/>
        <w:ind w:firstLine="709"/>
        <w:jc w:val="both"/>
        <w:rPr>
          <w:rFonts w:ascii="Verdana" w:hAnsi="Verdana"/>
          <w:sz w:val="16"/>
          <w:szCs w:val="16"/>
          <w:lang w:val="es-CO"/>
        </w:rPr>
      </w:pPr>
      <w:r w:rsidRPr="0087053C">
        <w:rPr>
          <w:rFonts w:ascii="Verdana" w:hAnsi="Verdana"/>
          <w:sz w:val="16"/>
          <w:szCs w:val="16"/>
          <w:lang w:val="es-ES"/>
        </w:rPr>
        <w:t xml:space="preserve">En el derecho antiguo y en el derecho canónico se distinguían las leyes en favorables y odiosas, para ampliar o restringir su interpretación. </w:t>
      </w:r>
      <w:r w:rsidRPr="0087053C">
        <w:rPr>
          <w:rFonts w:ascii="Verdana" w:hAnsi="Verdana"/>
          <w:i/>
          <w:iCs/>
          <w:sz w:val="16"/>
          <w:szCs w:val="16"/>
          <w:lang w:val="es-ES"/>
        </w:rPr>
        <w:t>Odia restringí et favores convenit ampliari</w:t>
      </w:r>
      <w:r w:rsidRPr="0087053C">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87053C">
        <w:rPr>
          <w:rFonts w:ascii="Verdana" w:hAnsi="Verdana"/>
          <w:sz w:val="16"/>
          <w:szCs w:val="16"/>
        </w:rPr>
        <w:t>CLARO SOLAR, Luis. Explicaciones de derecho civil chileno y comparado. Volumen I. Tomo I. Santiago: Editorial Jurídica de Chile, 2013. p. 119. Énfasis dentro del texto).</w:t>
      </w:r>
    </w:p>
  </w:footnote>
  <w:footnote w:id="29">
    <w:p w14:paraId="59BC87E6" w14:textId="77777777" w:rsidR="002C7A87" w:rsidRPr="00BE0582" w:rsidRDefault="002C7A87" w:rsidP="002C7A87">
      <w:pPr>
        <w:pStyle w:val="Textonotapie"/>
        <w:ind w:firstLine="709"/>
        <w:jc w:val="both"/>
        <w:rPr>
          <w:rFonts w:ascii="Verdana" w:hAnsi="Verdana" w:cs="Arial"/>
          <w:sz w:val="16"/>
          <w:szCs w:val="16"/>
        </w:rPr>
      </w:pPr>
      <w:r w:rsidRPr="00BE0582">
        <w:rPr>
          <w:rStyle w:val="Refdenotaalpie"/>
          <w:rFonts w:ascii="Verdana" w:hAnsi="Verdana" w:cs="Arial"/>
          <w:sz w:val="16"/>
          <w:szCs w:val="16"/>
        </w:rPr>
        <w:footnoteRef/>
      </w:r>
      <w:r w:rsidRPr="00BE0582">
        <w:rPr>
          <w:rFonts w:ascii="Verdana" w:hAnsi="Verdana" w:cs="Arial"/>
          <w:sz w:val="16"/>
          <w:szCs w:val="16"/>
        </w:rPr>
        <w:t xml:space="preserve"> </w:t>
      </w:r>
      <w:bookmarkStart w:id="13" w:name="_Hlk192533196"/>
      <w:r w:rsidRPr="00BE0582">
        <w:rPr>
          <w:rFonts w:ascii="Verdana" w:hAnsi="Verdana" w:cs="Arial"/>
          <w:sz w:val="16"/>
          <w:szCs w:val="16"/>
        </w:rPr>
        <w:t>Consejo de Estado. Sala de Consulta y Servicio Civil. Concepto del 15 de noviembre de 2007. Rad. 1863. C.P: Luis Fernando Álvarez Jaramillo.</w:t>
      </w:r>
      <w:bookmarkEnd w:id="13"/>
    </w:p>
  </w:footnote>
  <w:footnote w:id="30">
    <w:p w14:paraId="30B67340" w14:textId="77777777" w:rsidR="002C7A87" w:rsidRPr="0087053C" w:rsidRDefault="002C7A87" w:rsidP="002C7A87">
      <w:pPr>
        <w:pStyle w:val="Textonotapie"/>
        <w:ind w:firstLine="709"/>
        <w:jc w:val="both"/>
        <w:rPr>
          <w:rFonts w:ascii="Verdana" w:hAnsi="Verdana"/>
          <w:sz w:val="16"/>
          <w:szCs w:val="16"/>
          <w:lang w:val="es-CO"/>
        </w:rPr>
      </w:pPr>
      <w:r w:rsidRPr="0087053C">
        <w:rPr>
          <w:rStyle w:val="Refdenotaalpie"/>
          <w:rFonts w:ascii="Verdana" w:hAnsi="Verdana"/>
          <w:sz w:val="16"/>
          <w:szCs w:val="16"/>
        </w:rPr>
        <w:footnoteRef/>
      </w:r>
      <w:r w:rsidRPr="0087053C">
        <w:rPr>
          <w:rFonts w:ascii="Verdana" w:hAnsi="Verdana"/>
          <w:sz w:val="16"/>
          <w:szCs w:val="16"/>
          <w:lang w:val="es-CO"/>
        </w:rPr>
        <w:t xml:space="preserve"> Consejo de Estado, Sección Tercera, Subsección B. Auto del 4 de octubre de 2024. C.P: Fredy Ibarra Martínez. Exp. 70.313.</w:t>
      </w:r>
    </w:p>
  </w:footnote>
  <w:footnote w:id="31">
    <w:p w14:paraId="627018EB" w14:textId="77777777" w:rsidR="002C7A87" w:rsidRPr="0087053C" w:rsidRDefault="002C7A87" w:rsidP="002C7A87">
      <w:pPr>
        <w:pStyle w:val="Textonotapie"/>
        <w:ind w:firstLine="709"/>
        <w:jc w:val="both"/>
        <w:rPr>
          <w:rFonts w:ascii="Verdana" w:hAnsi="Verdana"/>
          <w:sz w:val="16"/>
          <w:szCs w:val="16"/>
          <w:lang w:val="es-CO"/>
        </w:rPr>
      </w:pPr>
      <w:r w:rsidRPr="0087053C">
        <w:rPr>
          <w:rStyle w:val="Refdenotaalpie"/>
          <w:rFonts w:ascii="Verdana" w:hAnsi="Verdana"/>
          <w:sz w:val="16"/>
          <w:szCs w:val="16"/>
        </w:rPr>
        <w:footnoteRef/>
      </w:r>
      <w:r w:rsidRPr="0087053C">
        <w:rPr>
          <w:rFonts w:ascii="Verdana" w:hAnsi="Verdana"/>
          <w:sz w:val="16"/>
          <w:szCs w:val="16"/>
        </w:rPr>
        <w:t xml:space="preserve"> La parte resolutiva del auto dispone lo siguiente; “</w:t>
      </w:r>
      <w:r w:rsidRPr="0087053C">
        <w:rPr>
          <w:rFonts w:ascii="Verdana" w:hAnsi="Verdana"/>
          <w:b/>
          <w:sz w:val="16"/>
          <w:szCs w:val="16"/>
          <w:lang w:val="es-CO"/>
        </w:rPr>
        <w:t xml:space="preserve">PRIMERO: DECRETAR </w:t>
      </w:r>
      <w:r w:rsidRPr="0087053C">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87053C">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87053C">
        <w:rPr>
          <w:rFonts w:ascii="Verdana" w:hAnsi="Verdana"/>
          <w:sz w:val="16"/>
          <w:szCs w:val="16"/>
          <w:lang w:val="es-CO"/>
        </w:rPr>
        <w:t xml:space="preserve">, por las razones expuestas en precedencia. </w:t>
      </w:r>
    </w:p>
    <w:p w14:paraId="0178D1D5" w14:textId="77777777" w:rsidR="002C7A87" w:rsidRPr="0087053C" w:rsidRDefault="002C7A87" w:rsidP="002C7A87">
      <w:pPr>
        <w:pStyle w:val="Textonotapie"/>
        <w:ind w:firstLine="709"/>
        <w:jc w:val="both"/>
        <w:rPr>
          <w:rFonts w:ascii="Verdana" w:hAnsi="Verdana"/>
          <w:sz w:val="16"/>
          <w:szCs w:val="16"/>
          <w:lang w:val="es-CO"/>
        </w:rPr>
      </w:pPr>
      <w:r w:rsidRPr="0087053C">
        <w:rPr>
          <w:rFonts w:ascii="Verdana" w:hAnsi="Verdana"/>
          <w:b/>
          <w:sz w:val="16"/>
          <w:szCs w:val="16"/>
          <w:lang w:val="es-CO"/>
        </w:rPr>
        <w:t xml:space="preserve">SEGUNDO: DECRETAR </w:t>
      </w:r>
      <w:r w:rsidRPr="0087053C">
        <w:rPr>
          <w:rFonts w:ascii="Verdana" w:hAnsi="Verdana"/>
          <w:sz w:val="16"/>
          <w:szCs w:val="16"/>
          <w:lang w:val="es-CO"/>
        </w:rPr>
        <w:t>la suspensión provisional de la expresión “</w:t>
      </w:r>
      <w:r w:rsidRPr="0087053C">
        <w:rPr>
          <w:rFonts w:ascii="Verdana" w:hAnsi="Verdana"/>
          <w:i/>
          <w:sz w:val="16"/>
          <w:szCs w:val="16"/>
          <w:lang w:val="es-CO"/>
        </w:rPr>
        <w:t>contratos</w:t>
      </w:r>
      <w:r w:rsidRPr="0087053C">
        <w:rPr>
          <w:rFonts w:ascii="Verdana" w:hAnsi="Verdana"/>
          <w:sz w:val="16"/>
          <w:szCs w:val="16"/>
          <w:lang w:val="es-CO"/>
        </w:rPr>
        <w:t xml:space="preserve">” y del párrafo </w:t>
      </w:r>
      <w:r w:rsidRPr="0087053C">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87053C">
        <w:rPr>
          <w:rFonts w:ascii="Verdana" w:hAnsi="Verdana"/>
          <w:sz w:val="16"/>
          <w:szCs w:val="16"/>
          <w:lang w:val="es-CO"/>
        </w:rPr>
        <w:t>”,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Subsección. Auto del 6 de noviembre de 2025. C.P: Fernando Alexei Pardo Flórez. Exp. 72.424.</w:t>
      </w:r>
    </w:p>
  </w:footnote>
  <w:footnote w:id="32">
    <w:p w14:paraId="13167F6B" w14:textId="77777777" w:rsidR="002C7A87" w:rsidRPr="0087053C" w:rsidRDefault="002C7A87" w:rsidP="002C7A87">
      <w:pPr>
        <w:spacing w:after="0" w:line="240" w:lineRule="auto"/>
        <w:ind w:firstLine="709"/>
        <w:jc w:val="both"/>
        <w:rPr>
          <w:rFonts w:ascii="Verdana" w:eastAsia="Times New Roman" w:hAnsi="Verdana" w:cs="Times New Roman"/>
          <w:sz w:val="16"/>
          <w:szCs w:val="16"/>
          <w:lang w:eastAsia="es-ES"/>
        </w:rPr>
      </w:pPr>
      <w:r w:rsidRPr="0087053C">
        <w:rPr>
          <w:rStyle w:val="Refdenotaalpie"/>
          <w:rFonts w:ascii="Verdana" w:hAnsi="Verdana"/>
          <w:sz w:val="16"/>
          <w:szCs w:val="16"/>
        </w:rPr>
        <w:footnoteRef/>
      </w:r>
      <w:r w:rsidRPr="0087053C">
        <w:rPr>
          <w:rFonts w:ascii="Verdana" w:hAnsi="Verdana"/>
          <w:sz w:val="16"/>
          <w:szCs w:val="16"/>
        </w:rPr>
        <w:t xml:space="preserve"> </w:t>
      </w:r>
      <w:r w:rsidRPr="0087053C">
        <w:rPr>
          <w:rFonts w:ascii="Verdana" w:eastAsia="Times New Roman" w:hAnsi="Verdana" w:cs="Times New Roman"/>
          <w:sz w:val="16"/>
          <w:szCs w:val="16"/>
          <w:lang w:eastAsia="es-ES"/>
        </w:rPr>
        <w:t xml:space="preserve">Consejo de Estado. Sección Tercera. Subsección B. Sentencia 17 de octubre de 2025. C.P. Fredy Ibarra Martínez. Exp. 70.313. </w:t>
      </w:r>
      <w:r w:rsidRPr="0087053C">
        <w:rPr>
          <w:rFonts w:ascii="Verdana" w:hAnsi="Verdana"/>
          <w:sz w:val="16"/>
          <w:szCs w:val="16"/>
        </w:rPr>
        <w:t xml:space="preserve">La parte de la providencia señala: </w:t>
      </w:r>
      <w:r w:rsidRPr="0087053C">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3">
    <w:p w14:paraId="6122F7B3" w14:textId="77777777" w:rsidR="002C7A87" w:rsidRPr="0087053C" w:rsidRDefault="002C7A87" w:rsidP="002C7A87">
      <w:pPr>
        <w:pStyle w:val="Textonotapie"/>
        <w:ind w:firstLine="709"/>
        <w:jc w:val="both"/>
        <w:rPr>
          <w:rFonts w:ascii="Verdana" w:hAnsi="Verdana"/>
          <w:sz w:val="16"/>
          <w:szCs w:val="16"/>
          <w:lang w:val="es-CO"/>
        </w:rPr>
      </w:pPr>
      <w:r w:rsidRPr="0087053C">
        <w:rPr>
          <w:rStyle w:val="Refdenotaalpie"/>
          <w:rFonts w:ascii="Verdana" w:hAnsi="Verdana"/>
          <w:sz w:val="16"/>
          <w:szCs w:val="16"/>
        </w:rPr>
        <w:footnoteRef/>
      </w:r>
      <w:r w:rsidRPr="0087053C">
        <w:rPr>
          <w:rFonts w:ascii="Verdana" w:hAnsi="Verdana"/>
          <w:sz w:val="16"/>
          <w:szCs w:val="16"/>
        </w:rPr>
        <w:t xml:space="preserve"> No </w:t>
      </w:r>
      <w:proofErr w:type="gramStart"/>
      <w:r w:rsidRPr="0087053C">
        <w:rPr>
          <w:rFonts w:ascii="Verdana" w:hAnsi="Verdana"/>
          <w:sz w:val="16"/>
          <w:szCs w:val="16"/>
        </w:rPr>
        <w:t>obstante</w:t>
      </w:r>
      <w:proofErr w:type="gramEnd"/>
      <w:r w:rsidRPr="0087053C">
        <w:rPr>
          <w:rFonts w:ascii="Verdana" w:hAnsi="Verdana"/>
          <w:sz w:val="16"/>
          <w:szCs w:val="16"/>
        </w:rPr>
        <w:t xml:space="preserv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4">
    <w:p w14:paraId="15856C7A" w14:textId="77777777" w:rsidR="002C7A87" w:rsidRPr="00BE0582" w:rsidRDefault="002C7A87" w:rsidP="002C7A87">
      <w:pPr>
        <w:pStyle w:val="Textonotapie"/>
        <w:ind w:firstLine="709"/>
        <w:jc w:val="both"/>
        <w:rPr>
          <w:rFonts w:ascii="Verdana" w:hAnsi="Verdana"/>
          <w:sz w:val="16"/>
          <w:szCs w:val="16"/>
          <w:lang w:val="es-CO"/>
        </w:rPr>
      </w:pPr>
      <w:r w:rsidRPr="00BE0582">
        <w:rPr>
          <w:rStyle w:val="Refdenotaalpie"/>
          <w:rFonts w:ascii="Verdana" w:hAnsi="Verdana"/>
          <w:sz w:val="16"/>
          <w:szCs w:val="16"/>
        </w:rPr>
        <w:footnoteRef/>
      </w:r>
      <w:r w:rsidRPr="00BE0582">
        <w:rPr>
          <w:rFonts w:ascii="Verdana" w:hAnsi="Verdana"/>
          <w:sz w:val="16"/>
          <w:szCs w:val="16"/>
        </w:rPr>
        <w:t xml:space="preserve"> </w:t>
      </w:r>
      <w:r w:rsidRPr="00BE0582">
        <w:rPr>
          <w:rFonts w:ascii="Verdana" w:hAnsi="Verdana"/>
          <w:sz w:val="16"/>
          <w:szCs w:val="16"/>
          <w:lang w:val="es-CO"/>
        </w:rPr>
        <w:t xml:space="preserve">Consejo de Estado, Sala de Consulta y Servicio Civil. Concepto no. 2257 del 26 de julio de 2016, C.P: Álvaro Namén Vargas. Consejo de Estado. Sala de lo Contencioso Administrativo. Sección Tercera, Subsección A. Sentencia del 23 de junio de 2010. Exp 17860. C.P: Mauricio Fajardo Gómez. Consejo de Estado. Sala de lo Contencioso Administrativo. Sección Tercera. Auto del 4 de octubre de 2024. Exp </w:t>
      </w:r>
      <w:r w:rsidRPr="00BE0582">
        <w:rPr>
          <w:rFonts w:ascii="Verdana" w:hAnsi="Verdana"/>
          <w:bCs/>
          <w:sz w:val="16"/>
          <w:szCs w:val="16"/>
        </w:rPr>
        <w:t>70313.</w:t>
      </w:r>
      <w:r w:rsidRPr="00BE0582">
        <w:rPr>
          <w:rFonts w:ascii="Verdana" w:hAnsi="Verdana"/>
          <w:sz w:val="16"/>
          <w:szCs w:val="16"/>
          <w:lang w:val="es-CO"/>
        </w:rPr>
        <w:t xml:space="preserve"> C.P: Fredy Ibarra Martínez. </w:t>
      </w:r>
    </w:p>
  </w:footnote>
  <w:footnote w:id="35">
    <w:p w14:paraId="3A9F4968" w14:textId="77777777" w:rsidR="002C7A87" w:rsidRPr="00BE0582" w:rsidRDefault="002C7A87" w:rsidP="002C7A87">
      <w:pPr>
        <w:pStyle w:val="Textonotapie"/>
        <w:ind w:firstLine="709"/>
        <w:jc w:val="both"/>
        <w:rPr>
          <w:rFonts w:ascii="Verdana" w:hAnsi="Verdana"/>
          <w:sz w:val="16"/>
          <w:szCs w:val="16"/>
          <w:lang w:val="es-CO"/>
        </w:rPr>
      </w:pPr>
      <w:r w:rsidRPr="00BE0582">
        <w:rPr>
          <w:rStyle w:val="Refdenotaalpie"/>
          <w:rFonts w:ascii="Verdana" w:hAnsi="Verdana"/>
          <w:sz w:val="16"/>
          <w:szCs w:val="16"/>
        </w:rPr>
        <w:footnoteRef/>
      </w:r>
      <w:r w:rsidRPr="00BE0582">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BE0582">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p w14:paraId="0BCFE065" w14:textId="77777777" w:rsidR="002C7A87" w:rsidRPr="00BE0582" w:rsidRDefault="002C7A87" w:rsidP="002C7A87">
      <w:pPr>
        <w:pStyle w:val="Textonotapie"/>
        <w:ind w:firstLine="709"/>
        <w:jc w:val="both"/>
        <w:rPr>
          <w:rFonts w:ascii="Verdana" w:hAnsi="Verdana"/>
          <w:sz w:val="16"/>
          <w:szCs w:val="16"/>
          <w:lang w:val="es-CO"/>
        </w:rPr>
      </w:pPr>
    </w:p>
  </w:footnote>
  <w:footnote w:id="36">
    <w:p w14:paraId="40E02C5A" w14:textId="77777777" w:rsidR="002C7A87" w:rsidRPr="00BE0582" w:rsidRDefault="002C7A87" w:rsidP="002C7A87">
      <w:pPr>
        <w:pStyle w:val="Textonotapie"/>
        <w:ind w:firstLine="709"/>
        <w:jc w:val="both"/>
        <w:rPr>
          <w:rFonts w:ascii="Verdana" w:hAnsi="Verdana"/>
          <w:sz w:val="16"/>
          <w:szCs w:val="16"/>
        </w:rPr>
      </w:pPr>
      <w:r w:rsidRPr="00BE0582">
        <w:rPr>
          <w:rStyle w:val="Refdenotaalpie"/>
          <w:rFonts w:ascii="Verdana" w:hAnsi="Verdana"/>
          <w:sz w:val="16"/>
          <w:szCs w:val="16"/>
        </w:rPr>
        <w:footnoteRef/>
      </w:r>
      <w:r w:rsidRPr="00BE0582">
        <w:rPr>
          <w:rFonts w:ascii="Verdana" w:hAnsi="Verdana"/>
          <w:sz w:val="16"/>
          <w:szCs w:val="16"/>
        </w:rPr>
        <w:t xml:space="preserve"> Consejo de Estado. Sala de lo Contencioso Administrativo. Sección Tercera, Subsección A. Sentencia del 25 de mayo de 2025. Exp. 70.504. C.P: María Adriana Marín. Consejo de Estado. Sala de lo Contencioso Administrativo. Sección Tercera, Subsección A. Sentencia del 16 de agosto de 2022. Exp. 60434. C.P.: María Adriana Marín.</w:t>
      </w:r>
    </w:p>
    <w:p w14:paraId="7312523B" w14:textId="77777777" w:rsidR="002C7A87" w:rsidRPr="00BE0582" w:rsidRDefault="002C7A87" w:rsidP="002C7A87">
      <w:pPr>
        <w:pStyle w:val="Textonotapie"/>
        <w:ind w:firstLine="709"/>
        <w:jc w:val="both"/>
        <w:rPr>
          <w:rFonts w:ascii="Verdana" w:hAnsi="Verdana"/>
          <w:sz w:val="16"/>
          <w:szCs w:val="16"/>
          <w:lang w:val="es-ES"/>
        </w:rPr>
      </w:pPr>
    </w:p>
  </w:footnote>
  <w:footnote w:id="37">
    <w:p w14:paraId="20E9A3F6" w14:textId="77777777" w:rsidR="002C7A87" w:rsidRPr="00BE0582" w:rsidRDefault="002C7A87" w:rsidP="002C7A87">
      <w:pPr>
        <w:pStyle w:val="Textonotapie"/>
        <w:ind w:firstLine="709"/>
        <w:jc w:val="both"/>
        <w:rPr>
          <w:rFonts w:ascii="Verdana" w:hAnsi="Verdana"/>
          <w:sz w:val="16"/>
          <w:szCs w:val="16"/>
          <w:lang w:val="es-CO"/>
        </w:rPr>
      </w:pPr>
      <w:r w:rsidRPr="00BE0582">
        <w:rPr>
          <w:rStyle w:val="Refdenotaalpie"/>
          <w:rFonts w:ascii="Verdana" w:hAnsi="Verdana"/>
          <w:sz w:val="16"/>
          <w:szCs w:val="16"/>
        </w:rPr>
        <w:footnoteRef/>
      </w:r>
      <w:r w:rsidRPr="00BE0582">
        <w:rPr>
          <w:rFonts w:ascii="Verdana" w:hAnsi="Verdana"/>
          <w:sz w:val="16"/>
          <w:szCs w:val="16"/>
        </w:rPr>
        <w:t xml:space="preserve"> </w:t>
      </w:r>
      <w:r w:rsidRPr="00BE0582">
        <w:rPr>
          <w:rFonts w:ascii="Verdana" w:hAnsi="Verdana"/>
          <w:sz w:val="16"/>
          <w:szCs w:val="16"/>
          <w:lang w:val="es-CO"/>
        </w:rPr>
        <w:t xml:space="preserve">Consejo de Estado. Sala de lo Contencioso Administrativo. Sección Tercera, Subsección A. Sentencia del 14 de junio de 2019. Rad.: 25000-23-37-000-2010-02552-01 (AP). C.P: Marta Nubia Velásquez Rico. Consejo de Estado. Sala de lo Contencioso Administrativo. Sección Tercera. Subsección A. Sentencia del 25 de mayo de 2025. Exp. 70.504. C.P. María Adriana </w:t>
      </w:r>
      <w:proofErr w:type="gramStart"/>
      <w:r w:rsidRPr="00BE0582">
        <w:rPr>
          <w:rFonts w:ascii="Verdana" w:hAnsi="Verdana"/>
          <w:sz w:val="16"/>
          <w:szCs w:val="16"/>
          <w:lang w:val="es-CO"/>
        </w:rPr>
        <w:t>Marín..</w:t>
      </w:r>
      <w:proofErr w:type="gramEnd"/>
    </w:p>
    <w:p w14:paraId="3E43D807" w14:textId="77777777" w:rsidR="002C7A87" w:rsidRPr="00BE0582" w:rsidRDefault="002C7A87" w:rsidP="002C7A87">
      <w:pPr>
        <w:pStyle w:val="Textonotapie"/>
        <w:ind w:firstLine="709"/>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5F35" w14:textId="77777777" w:rsidR="002C7A87" w:rsidRDefault="002C7A87"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4506B61" wp14:editId="2C34503E">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DF7127E" wp14:editId="3A8D5FE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12845DA" w14:textId="77777777" w:rsidR="002C7A87" w:rsidRDefault="002C7A87">
    <w:pPr>
      <w:pStyle w:val="Encabezado"/>
    </w:pPr>
  </w:p>
  <w:p w14:paraId="210C8E9E" w14:textId="77777777" w:rsidR="002C7A87" w:rsidRPr="004A305D" w:rsidRDefault="002C7A87" w:rsidP="00B01B1A">
    <w:pPr>
      <w:spacing w:after="0" w:line="120" w:lineRule="auto"/>
      <w:rPr>
        <w:rFonts w:ascii="Century Gothic" w:eastAsia="Geo" w:hAnsi="Century Gothic" w:cs="Geo"/>
        <w:sz w:val="16"/>
        <w:szCs w:val="16"/>
        <w:lang w:eastAsia="es-CO"/>
      </w:rPr>
    </w:pPr>
  </w:p>
  <w:p w14:paraId="79C815BE" w14:textId="77777777" w:rsidR="002C7A87" w:rsidRDefault="002C7A87" w:rsidP="00844AE9">
    <w:pPr>
      <w:spacing w:after="0" w:line="240" w:lineRule="auto"/>
      <w:rPr>
        <w:rFonts w:ascii="Verdana" w:hAnsi="Verdana"/>
        <w:sz w:val="24"/>
        <w:szCs w:val="24"/>
      </w:rPr>
    </w:pPr>
  </w:p>
  <w:p w14:paraId="0BF70BC5" w14:textId="77777777" w:rsidR="002C7A87" w:rsidRPr="00C925AC" w:rsidRDefault="002C7A87" w:rsidP="00844AE9">
    <w:pPr>
      <w:spacing w:after="0" w:line="240" w:lineRule="auto"/>
      <w:rPr>
        <w:rFonts w:ascii="Verdana" w:hAnsi="Verdana"/>
        <w:sz w:val="24"/>
        <w:szCs w:val="24"/>
      </w:rPr>
    </w:pPr>
  </w:p>
  <w:p w14:paraId="1F8B2DDB" w14:textId="77777777" w:rsidR="002C7A87" w:rsidRPr="00C925AC" w:rsidRDefault="002C7A87"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2001097">
    <w:abstractNumId w:val="2"/>
  </w:num>
  <w:num w:numId="2" w16cid:durableId="13922520">
    <w:abstractNumId w:val="1"/>
  </w:num>
  <w:num w:numId="3" w16cid:durableId="1844932654">
    <w:abstractNumId w:val="0"/>
  </w:num>
  <w:num w:numId="4" w16cid:durableId="371003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87"/>
    <w:rsid w:val="002C7A87"/>
    <w:rsid w:val="002D6822"/>
    <w:rsid w:val="00525724"/>
    <w:rsid w:val="007A436C"/>
    <w:rsid w:val="007C4C64"/>
    <w:rsid w:val="009B4EF6"/>
    <w:rsid w:val="00A96E62"/>
    <w:rsid w:val="00BF0187"/>
    <w:rsid w:val="00C74F1F"/>
    <w:rsid w:val="00CA54BA"/>
    <w:rsid w:val="00E23CC6"/>
    <w:rsid w:val="00F80B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BE24"/>
  <w15:chartTrackingRefBased/>
  <w15:docId w15:val="{C4CD808C-743A-4043-81AF-51DEDA79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A87"/>
    <w:pPr>
      <w:spacing w:line="259" w:lineRule="auto"/>
    </w:pPr>
    <w:rPr>
      <w:kern w:val="0"/>
      <w:sz w:val="22"/>
      <w:szCs w:val="22"/>
      <w14:ligatures w14:val="none"/>
    </w:rPr>
  </w:style>
  <w:style w:type="paragraph" w:styleId="Ttulo1">
    <w:name w:val="heading 1"/>
    <w:basedOn w:val="Normal"/>
    <w:next w:val="Normal"/>
    <w:link w:val="Ttulo1Car"/>
    <w:uiPriority w:val="9"/>
    <w:qFormat/>
    <w:rsid w:val="002C7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C7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C7A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C7A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C7A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C7A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7A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7A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7A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7A8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C7A8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C7A8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C7A8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C7A8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C7A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7A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7A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7A87"/>
    <w:rPr>
      <w:rFonts w:eastAsiaTheme="majorEastAsia" w:cstheme="majorBidi"/>
      <w:color w:val="272727" w:themeColor="text1" w:themeTint="D8"/>
    </w:rPr>
  </w:style>
  <w:style w:type="paragraph" w:styleId="Ttulo">
    <w:name w:val="Title"/>
    <w:basedOn w:val="Normal"/>
    <w:next w:val="Normal"/>
    <w:link w:val="TtuloCar"/>
    <w:uiPriority w:val="10"/>
    <w:qFormat/>
    <w:rsid w:val="002C7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7A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7A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7A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7A87"/>
    <w:pPr>
      <w:spacing w:before="160"/>
      <w:jc w:val="center"/>
    </w:pPr>
    <w:rPr>
      <w:i/>
      <w:iCs/>
      <w:color w:val="404040" w:themeColor="text1" w:themeTint="BF"/>
    </w:rPr>
  </w:style>
  <w:style w:type="character" w:customStyle="1" w:styleId="CitaCar">
    <w:name w:val="Cita Car"/>
    <w:basedOn w:val="Fuentedeprrafopredeter"/>
    <w:link w:val="Cita"/>
    <w:uiPriority w:val="29"/>
    <w:rsid w:val="002C7A8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2C7A87"/>
    <w:pPr>
      <w:ind w:left="720"/>
      <w:contextualSpacing/>
    </w:pPr>
  </w:style>
  <w:style w:type="character" w:styleId="nfasisintenso">
    <w:name w:val="Intense Emphasis"/>
    <w:basedOn w:val="Fuentedeprrafopredeter"/>
    <w:uiPriority w:val="21"/>
    <w:qFormat/>
    <w:rsid w:val="002C7A87"/>
    <w:rPr>
      <w:i/>
      <w:iCs/>
      <w:color w:val="0F4761" w:themeColor="accent1" w:themeShade="BF"/>
    </w:rPr>
  </w:style>
  <w:style w:type="paragraph" w:styleId="Citadestacada">
    <w:name w:val="Intense Quote"/>
    <w:basedOn w:val="Normal"/>
    <w:next w:val="Normal"/>
    <w:link w:val="CitadestacadaCar"/>
    <w:uiPriority w:val="30"/>
    <w:qFormat/>
    <w:rsid w:val="002C7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C7A87"/>
    <w:rPr>
      <w:i/>
      <w:iCs/>
      <w:color w:val="0F4761" w:themeColor="accent1" w:themeShade="BF"/>
    </w:rPr>
  </w:style>
  <w:style w:type="character" w:styleId="Referenciaintensa">
    <w:name w:val="Intense Reference"/>
    <w:basedOn w:val="Fuentedeprrafopredeter"/>
    <w:uiPriority w:val="32"/>
    <w:qFormat/>
    <w:rsid w:val="002C7A87"/>
    <w:rPr>
      <w:b/>
      <w:bCs/>
      <w:smallCaps/>
      <w:color w:val="0F4761" w:themeColor="accent1" w:themeShade="BF"/>
      <w:spacing w:val="5"/>
    </w:rPr>
  </w:style>
  <w:style w:type="paragraph" w:styleId="Encabezado">
    <w:name w:val="header"/>
    <w:basedOn w:val="Normal"/>
    <w:link w:val="EncabezadoCar"/>
    <w:uiPriority w:val="99"/>
    <w:unhideWhenUsed/>
    <w:rsid w:val="002C7A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7A87"/>
    <w:rPr>
      <w:kern w:val="0"/>
      <w:sz w:val="22"/>
      <w:szCs w:val="22"/>
      <w14:ligatures w14:val="none"/>
    </w:rPr>
  </w:style>
  <w:style w:type="paragraph" w:styleId="Piedepgina">
    <w:name w:val="footer"/>
    <w:basedOn w:val="Normal"/>
    <w:link w:val="PiedepginaCar"/>
    <w:uiPriority w:val="99"/>
    <w:unhideWhenUsed/>
    <w:rsid w:val="002C7A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7A87"/>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C7A8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C7A8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C7A8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C7A87"/>
    <w:rPr>
      <w:vertAlign w:val="superscript"/>
    </w:rPr>
  </w:style>
  <w:style w:type="character" w:customStyle="1" w:styleId="normaltextrun">
    <w:name w:val="normaltextrun"/>
    <w:basedOn w:val="Fuentedeprrafopredeter"/>
    <w:rsid w:val="002C7A87"/>
  </w:style>
  <w:style w:type="table" w:styleId="Tablaconcuadrcula">
    <w:name w:val="Table Grid"/>
    <w:basedOn w:val="Tablanormal"/>
    <w:uiPriority w:val="39"/>
    <w:qFormat/>
    <w:rsid w:val="002C7A8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C7A87"/>
    <w:rPr>
      <w:color w:val="0000FF"/>
      <w:u w:val="single"/>
    </w:rPr>
  </w:style>
  <w:style w:type="paragraph" w:styleId="NormalWeb">
    <w:name w:val="Normal (Web)"/>
    <w:basedOn w:val="Normal"/>
    <w:link w:val="NormalWebCar"/>
    <w:uiPriority w:val="99"/>
    <w:unhideWhenUsed/>
    <w:rsid w:val="002C7A8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2C7A87"/>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C7A87"/>
  </w:style>
  <w:style w:type="character" w:customStyle="1" w:styleId="NormalWebCar">
    <w:name w:val="Normal (Web) Car"/>
    <w:link w:val="NormalWeb"/>
    <w:uiPriority w:val="99"/>
    <w:locked/>
    <w:rsid w:val="002C7A87"/>
    <w:rPr>
      <w:rFonts w:ascii="Times New Roman" w:eastAsia="Times New Roman" w:hAnsi="Times New Roman" w:cs="Times New Roman"/>
      <w:kern w:val="0"/>
      <w:lang w:eastAsia="es-CO"/>
      <w14:ligatures w14:val="none"/>
    </w:rPr>
  </w:style>
  <w:style w:type="character" w:customStyle="1" w:styleId="baj">
    <w:name w:val="b_aj"/>
    <w:basedOn w:val="Fuentedeprrafopredeter"/>
    <w:rsid w:val="002C7A87"/>
  </w:style>
  <w:style w:type="table" w:customStyle="1" w:styleId="Tablaconcuadrcula1">
    <w:name w:val="Tabla con cuadrícula1"/>
    <w:basedOn w:val="Tablanormal"/>
    <w:next w:val="Tablaconcuadrcula"/>
    <w:uiPriority w:val="39"/>
    <w:qFormat/>
    <w:rsid w:val="002C7A87"/>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anotificaciones@dosquebradas.gov.co" TargetMode="Externa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emf"/><Relationship Id="rId12" Type="http://schemas.openxmlformats.org/officeDocument/2006/relationships/hyperlink" Target="https://www.funcionpublica.gov.co/eva/gestornormativo/norma.php?i=18232" TargetMode="External"/><Relationship Id="rId17"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0" Type="http://schemas.openxmlformats.org/officeDocument/2006/relationships/hyperlink" Target="https://forms.office.com/r/pPHyWVs2S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uncionpublica.gov.co/eva/gestornormativo/norma.php?i=18232"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hyperlink" Target="https://www.funcionpublica.gov.co/eva/gestornormativo/norma.php?i=18232" TargetMode="External"/><Relationship Id="rId19" Type="http://schemas.openxmlformats.org/officeDocument/2006/relationships/hyperlink" Target="https://www.colombiacompra.gov.co/pqrsd/informacion-importante-antes-de-formular-una-pqrsd" TargetMode="External"/><Relationship Id="rId4" Type="http://schemas.openxmlformats.org/officeDocument/2006/relationships/webSettings" Target="webSettings.xml"/><Relationship Id="rId9" Type="http://schemas.openxmlformats.org/officeDocument/2006/relationships/hyperlink" Target="https://www.funcionpublica.gov.co/eva/gestornormativo/norma.php?i=18232" TargetMode="External"/><Relationship Id="rId14"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22" Type="http://schemas.openxmlformats.org/officeDocument/2006/relationships/header" Target="head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89C8F8-F0A5-4956-AB4A-1005CE2DD1B5}"/>
</file>

<file path=customXml/itemProps2.xml><?xml version="1.0" encoding="utf-8"?>
<ds:datastoreItem xmlns:ds="http://schemas.openxmlformats.org/officeDocument/2006/customXml" ds:itemID="{945F856A-CC8F-4443-8BE0-2A6FC10E3141}"/>
</file>

<file path=customXml/itemProps3.xml><?xml version="1.0" encoding="utf-8"?>
<ds:datastoreItem xmlns:ds="http://schemas.openxmlformats.org/officeDocument/2006/customXml" ds:itemID="{B74B1445-CFFD-44D5-9EF2-0C3C117B21D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40</Pages>
  <Words>13900</Words>
  <Characters>76455</Characters>
  <Application>Microsoft Office Word</Application>
  <DocSecurity>0</DocSecurity>
  <Lines>637</Lines>
  <Paragraphs>180</Paragraphs>
  <ScaleCrop>false</ScaleCrop>
  <Company/>
  <LinksUpToDate>false</LinksUpToDate>
  <CharactersWithSpaces>90175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5</cp:revision>
  <dcterms:created xsi:type="dcterms:W3CDTF">2026-10-24T01:19:00Z</dcterms:created>
  <dcterms:modified xsi:type="dcterms:W3CDTF">2026-10-26T13:46:00Z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