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95216" w14:textId="2A139767" w:rsidR="009A6340" w:rsidRDefault="004E3161" w:rsidP="004E3161">
      <w:pPr>
        <w:rPr>
          <w:rFonts w:ascii="Verdana" w:hAnsi="Verdana" w:cs="Arial"/>
          <w:b/>
          <w:bCs/>
          <w:color w:val="000000"/>
          <w:sz w:val="20"/>
          <w:szCs w:val="20"/>
          <w:lang w:val="es-ES" w:eastAsia="es-ES"/>
        </w:rPr>
      </w:pPr>
      <w:bookmarkStart w:id="0" w:name="_Hlk143780582"/>
      <w:r w:rsidRPr="009A6340">
        <w:rPr>
          <w:rFonts w:ascii="Verdana" w:hAnsi="Verdana" w:cs="Arial"/>
          <w:b/>
          <w:bCs/>
          <w:color w:val="000000"/>
          <w:sz w:val="20"/>
          <w:szCs w:val="20"/>
          <w:lang w:val="es-ES" w:eastAsia="es-ES"/>
        </w:rPr>
        <w:t>CONTRATO DE ARRENDAMIENTO – Definición – Elementos</w:t>
      </w:r>
    </w:p>
    <w:p w14:paraId="11C3E39F" w14:textId="41602BC1" w:rsidR="006D2964" w:rsidRPr="00613E9C" w:rsidRDefault="009D1BEE" w:rsidP="009D1BEE">
      <w:pPr>
        <w:spacing w:after="120" w:line="240" w:lineRule="auto"/>
        <w:jc w:val="both"/>
        <w:rPr>
          <w:rFonts w:ascii="Verdana" w:eastAsia="Calibri" w:hAnsi="Verdana" w:cs="Arial"/>
          <w:sz w:val="20"/>
          <w:szCs w:val="20"/>
          <w:lang w:eastAsia="es-ES_tradnl"/>
        </w:rPr>
      </w:pPr>
      <w:r w:rsidRPr="00613E9C">
        <w:rPr>
          <w:rFonts w:ascii="Verdana" w:eastAsia="Calibri" w:hAnsi="Verdana"/>
          <w:bCs/>
          <w:color w:val="000000" w:themeColor="text1"/>
          <w:sz w:val="20"/>
          <w:szCs w:val="20"/>
        </w:rPr>
        <w:t xml:space="preserve">[…] </w:t>
      </w:r>
      <w:r w:rsidR="006D2964" w:rsidRPr="00613E9C">
        <w:rPr>
          <w:rFonts w:ascii="Verdana" w:eastAsia="Times New Roman" w:hAnsi="Verdana" w:cs="Arial"/>
          <w:color w:val="000000" w:themeColor="text1"/>
          <w:sz w:val="20"/>
          <w:szCs w:val="20"/>
          <w:lang w:eastAsia="es-ES_tradnl"/>
        </w:rPr>
        <w:t xml:space="preserve">las </w:t>
      </w:r>
      <w:r w:rsidR="006D2964" w:rsidRPr="00613E9C">
        <w:rPr>
          <w:rFonts w:ascii="Verdana" w:eastAsia="Calibri" w:hAnsi="Verdana" w:cs="Arial"/>
          <w:sz w:val="20"/>
          <w:szCs w:val="20"/>
          <w:lang w:eastAsia="es-ES_tradnl"/>
        </w:rPr>
        <w:t xml:space="preserve">entidades estatales regidas por el EGCAP están habilitadas para celebrar los contratos que suelen celebrar los particulares entre sí –como el de arrendamiento al que se refiere en su pregunta– en ejercicio de la autonomía de la voluntad privada. En ese sentido, puede ocurrir que dentro de la gestión ordinaria de sus competencias y funciones las entidades tengan necesidades que deban ser satisfechas a través de contratos como el de arrendamiento, en los que además de las disposiciones del EGCAP deberán aplicarse en su mayoría normas de derecho privado, lo que de ninguna manera desvirtúa la calidad de estatal de dichos contratos. </w:t>
      </w:r>
    </w:p>
    <w:p w14:paraId="230006A2" w14:textId="47CFE4D5" w:rsidR="006D2964" w:rsidRPr="00613E9C" w:rsidRDefault="006D2964" w:rsidP="009D1BEE">
      <w:pPr>
        <w:spacing w:after="120" w:line="240" w:lineRule="auto"/>
        <w:jc w:val="both"/>
        <w:rPr>
          <w:rFonts w:ascii="Verdana" w:eastAsia="Calibri" w:hAnsi="Verdana"/>
          <w:color w:val="000000" w:themeColor="text1"/>
          <w:sz w:val="20"/>
          <w:szCs w:val="20"/>
        </w:rPr>
      </w:pPr>
      <w:r w:rsidRPr="00613E9C">
        <w:rPr>
          <w:rFonts w:ascii="Verdana" w:eastAsia="Calibri" w:hAnsi="Verdana"/>
          <w:bCs/>
          <w:color w:val="000000" w:themeColor="text1"/>
          <w:sz w:val="20"/>
          <w:szCs w:val="20"/>
        </w:rPr>
        <w:t>El artículo 1973 del Código Civil define el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dominio del bien cuyo uso y goce se entrega.</w:t>
      </w:r>
    </w:p>
    <w:p w14:paraId="18B924C2" w14:textId="14DB5072" w:rsidR="006D2964" w:rsidRPr="00613E9C" w:rsidRDefault="006D2964" w:rsidP="009D1BEE">
      <w:pPr>
        <w:spacing w:line="240" w:lineRule="auto"/>
        <w:jc w:val="both"/>
        <w:rPr>
          <w:rFonts w:ascii="Verdana" w:hAnsi="Verdana" w:cs="Arial"/>
          <w:b/>
          <w:bCs/>
          <w:color w:val="000000"/>
          <w:sz w:val="20"/>
          <w:szCs w:val="20"/>
          <w:lang w:val="es-ES" w:eastAsia="es-ES"/>
        </w:rPr>
      </w:pPr>
      <w:r w:rsidRPr="00613E9C">
        <w:rPr>
          <w:rFonts w:ascii="Verdana" w:eastAsia="Calibri" w:hAnsi="Verdana"/>
          <w:bCs/>
          <w:color w:val="000000" w:themeColor="text1"/>
          <w:sz w:val="20"/>
          <w:szCs w:val="20"/>
          <w:lang w:val="es-ES"/>
        </w:rPr>
        <w:t xml:space="preserve">En </w:t>
      </w:r>
      <w:r w:rsidRPr="00613E9C">
        <w:rPr>
          <w:rFonts w:ascii="Verdana" w:eastAsia="Calibri" w:hAnsi="Verdana"/>
          <w:color w:val="000000" w:themeColor="text1"/>
          <w:sz w:val="20"/>
          <w:szCs w:val="20"/>
          <w:lang w:val="es-ES"/>
        </w:rPr>
        <w:t>cuanto</w:t>
      </w:r>
      <w:r w:rsidRPr="00613E9C">
        <w:rPr>
          <w:rFonts w:ascii="Verdana" w:eastAsia="Calibri" w:hAnsi="Verdana"/>
          <w:bCs/>
          <w:color w:val="000000" w:themeColor="text1"/>
          <w:sz w:val="20"/>
          <w:szCs w:val="20"/>
          <w:lang w:val="es-ES"/>
        </w:rPr>
        <w:t xml:space="preserve"> a sus características, la doctrina ha indicado que el arrendamiento es un contrato: i) bilateral, pues ambas partes se obligan recíprocamente; </w:t>
      </w:r>
      <w:proofErr w:type="spellStart"/>
      <w:r w:rsidRPr="00613E9C">
        <w:rPr>
          <w:rFonts w:ascii="Verdana" w:eastAsia="Calibri" w:hAnsi="Verdana"/>
          <w:bCs/>
          <w:color w:val="000000" w:themeColor="text1"/>
          <w:sz w:val="20"/>
          <w:szCs w:val="20"/>
          <w:lang w:val="es-ES"/>
        </w:rPr>
        <w:t>ii</w:t>
      </w:r>
      <w:proofErr w:type="spellEnd"/>
      <w:r w:rsidRPr="00613E9C">
        <w:rPr>
          <w:rFonts w:ascii="Verdana" w:eastAsia="Calibri" w:hAnsi="Verdana"/>
          <w:bCs/>
          <w:color w:val="000000" w:themeColor="text1"/>
          <w:sz w:val="20"/>
          <w:szCs w:val="20"/>
          <w:lang w:val="es-ES"/>
        </w:rPr>
        <w:t xml:space="preserve">) consensual, dado que se perfecciona con el consentimiento; </w:t>
      </w:r>
      <w:proofErr w:type="spellStart"/>
      <w:r w:rsidRPr="00613E9C">
        <w:rPr>
          <w:rFonts w:ascii="Verdana" w:eastAsia="Calibri" w:hAnsi="Verdana"/>
          <w:bCs/>
          <w:color w:val="000000" w:themeColor="text1"/>
          <w:sz w:val="20"/>
          <w:szCs w:val="20"/>
          <w:lang w:val="es-ES"/>
        </w:rPr>
        <w:t>iii</w:t>
      </w:r>
      <w:proofErr w:type="spellEnd"/>
      <w:r w:rsidRPr="00613E9C">
        <w:rPr>
          <w:rFonts w:ascii="Verdana" w:eastAsia="Calibri" w:hAnsi="Verdana"/>
          <w:bCs/>
          <w:color w:val="000000" w:themeColor="text1"/>
          <w:sz w:val="20"/>
          <w:szCs w:val="20"/>
          <w:lang w:val="es-ES"/>
        </w:rPr>
        <w:t xml:space="preserve">) oneroso, ya que ambas partes obtienen utilidades –el arrendatario, el uso y goce del bien, y el arrendador la renta o canon–; </w:t>
      </w:r>
      <w:proofErr w:type="spellStart"/>
      <w:r w:rsidRPr="00613E9C">
        <w:rPr>
          <w:rFonts w:ascii="Verdana" w:eastAsia="Calibri" w:hAnsi="Verdana"/>
          <w:bCs/>
          <w:color w:val="000000" w:themeColor="text1"/>
          <w:sz w:val="20"/>
          <w:szCs w:val="20"/>
          <w:lang w:val="es-ES"/>
        </w:rPr>
        <w:t>iv</w:t>
      </w:r>
      <w:proofErr w:type="spellEnd"/>
      <w:r w:rsidRPr="00613E9C">
        <w:rPr>
          <w:rFonts w:ascii="Verdana" w:eastAsia="Calibri" w:hAnsi="Verdana"/>
          <w:bCs/>
          <w:color w:val="000000" w:themeColor="text1"/>
          <w:sz w:val="20"/>
          <w:szCs w:val="20"/>
          <w:lang w:val="es-ES"/>
        </w:rPr>
        <w:t xml:space="preserve">) de ejecución sucesiva, en la medida en que se ejecuta en forma periódica; v) principal, porque existe en forma </w:t>
      </w:r>
      <w:r w:rsidR="009D1BEE" w:rsidRPr="00613E9C">
        <w:rPr>
          <w:rFonts w:ascii="Verdana" w:eastAsia="Calibri" w:hAnsi="Verdana"/>
          <w:bCs/>
          <w:color w:val="000000" w:themeColor="text1"/>
          <w:sz w:val="20"/>
          <w:szCs w:val="20"/>
          <w:lang w:val="es-ES"/>
        </w:rPr>
        <w:t xml:space="preserve"> </w:t>
      </w:r>
      <w:proofErr w:type="spellStart"/>
      <w:r w:rsidRPr="00613E9C">
        <w:rPr>
          <w:rFonts w:ascii="Verdana" w:eastAsia="Calibri" w:hAnsi="Verdana"/>
          <w:bCs/>
          <w:color w:val="000000" w:themeColor="text1"/>
          <w:sz w:val="20"/>
          <w:szCs w:val="20"/>
          <w:lang w:val="es-ES"/>
        </w:rPr>
        <w:t>utónoma</w:t>
      </w:r>
      <w:proofErr w:type="spellEnd"/>
      <w:r w:rsidRPr="00613E9C">
        <w:rPr>
          <w:rFonts w:ascii="Verdana" w:eastAsia="Calibri" w:hAnsi="Verdana"/>
          <w:bCs/>
          <w:color w:val="000000" w:themeColor="text1"/>
          <w:sz w:val="20"/>
          <w:szCs w:val="20"/>
          <w:lang w:val="es-ES"/>
        </w:rPr>
        <w:t>; y v) nominado, porque está tipificado y desarrollado en la ley.</w:t>
      </w:r>
    </w:p>
    <w:p w14:paraId="1A274012" w14:textId="15FEC006" w:rsidR="004E3161" w:rsidRDefault="004E3161" w:rsidP="004E3161">
      <w:pPr>
        <w:rPr>
          <w:rFonts w:ascii="Verdana" w:hAnsi="Verdana" w:cs="Arial"/>
          <w:b/>
          <w:bCs/>
          <w:color w:val="000000"/>
          <w:sz w:val="20"/>
          <w:szCs w:val="20"/>
          <w:lang w:val="es-ES" w:eastAsia="es-ES"/>
        </w:rPr>
      </w:pPr>
      <w:r w:rsidRPr="009A6340">
        <w:rPr>
          <w:rFonts w:ascii="Verdana" w:hAnsi="Verdana" w:cs="Arial"/>
          <w:b/>
          <w:bCs/>
          <w:color w:val="000000"/>
          <w:sz w:val="20"/>
          <w:szCs w:val="20"/>
          <w:lang w:val="es-ES" w:eastAsia="es-ES"/>
        </w:rPr>
        <w:t xml:space="preserve">CONTRATO DE ARRENDAMIENTO – incremento </w:t>
      </w:r>
    </w:p>
    <w:p w14:paraId="04AECF0E" w14:textId="377B67D3" w:rsidR="00680285" w:rsidRPr="00680285" w:rsidRDefault="00680285" w:rsidP="00680285">
      <w:pPr>
        <w:spacing w:after="120" w:line="240" w:lineRule="auto"/>
        <w:jc w:val="both"/>
        <w:rPr>
          <w:rFonts w:ascii="Verdana" w:eastAsia="Calibri" w:hAnsi="Verdana"/>
          <w:color w:val="000000" w:themeColor="text1"/>
          <w:sz w:val="20"/>
          <w:szCs w:val="20"/>
        </w:rPr>
      </w:pPr>
      <w:r w:rsidRPr="00680285">
        <w:rPr>
          <w:rFonts w:ascii="Verdana" w:eastAsia="Calibri" w:hAnsi="Verdana"/>
          <w:bCs/>
          <w:color w:val="000000" w:themeColor="text1"/>
          <w:sz w:val="20"/>
          <w:szCs w:val="20"/>
        </w:rPr>
        <w:t xml:space="preserve">[…] </w:t>
      </w:r>
      <w:r w:rsidRPr="00680285">
        <w:rPr>
          <w:rFonts w:ascii="Verdana" w:eastAsia="Calibri" w:hAnsi="Verdana"/>
          <w:color w:val="000000" w:themeColor="text1"/>
          <w:sz w:val="20"/>
          <w:szCs w:val="20"/>
        </w:rPr>
        <w:t>las partes pueden acordar un mecanismo de reajuste del canon, definiendo la fórmula o el porcentaje aplicable y el momento a partir del cual operará, de manera que las obligaciones económicas sean claras, objetivas y determinables desde la estructuración y posterior celebración del contrato. Cuando estos elementos han sido definidos previamente, la aplicación del reajuste corresponde al cumplimiento de una condición contractual pactada y no constituye, por ese solo hecho, una modificación del contrato, aun cuando implique una variación del valor que debe pagarse durante su ejecución.</w:t>
      </w:r>
    </w:p>
    <w:p w14:paraId="414A08EE" w14:textId="77777777" w:rsidR="00680285" w:rsidRPr="00680285" w:rsidRDefault="00680285" w:rsidP="00680285">
      <w:pPr>
        <w:spacing w:after="120" w:line="240" w:lineRule="auto"/>
        <w:jc w:val="both"/>
        <w:rPr>
          <w:rFonts w:ascii="Verdana" w:eastAsia="Calibri" w:hAnsi="Verdana"/>
          <w:color w:val="000000" w:themeColor="text1"/>
          <w:sz w:val="20"/>
          <w:szCs w:val="20"/>
        </w:rPr>
      </w:pPr>
      <w:r w:rsidRPr="00680285">
        <w:rPr>
          <w:rFonts w:ascii="Verdana" w:eastAsia="Calibri" w:hAnsi="Verdana"/>
          <w:color w:val="000000" w:themeColor="text1"/>
          <w:sz w:val="20"/>
          <w:szCs w:val="20"/>
        </w:rPr>
        <w:t>Distinto es el supuesto en el que, durante la ejecución contractual, se pretenda introducir un incremento del canon que no fue contemplado inicialmente. En tal caso, se trataría de modificar las condiciones económicas del negocio jurídico, cuya procedencia deberá analizarse conforme al régimen aplicable a la modificación de los contratos estatales. Por consiguiente, la autonomía de la voluntad no habilita a las partes para desconocer las disposiciones legales aplicables ni permite que una de ellas imponga unilateralmente un incremento no previsto en el contrato.</w:t>
      </w:r>
    </w:p>
    <w:p w14:paraId="137B8520" w14:textId="77777777" w:rsidR="00680285" w:rsidRPr="009A6340" w:rsidRDefault="00680285" w:rsidP="004E3161">
      <w:pPr>
        <w:rPr>
          <w:rFonts w:ascii="Verdana" w:eastAsia="Verdana" w:hAnsi="Verdana" w:cs="Verdana"/>
          <w:b/>
          <w:bCs/>
          <w:sz w:val="20"/>
          <w:szCs w:val="20"/>
        </w:rPr>
      </w:pPr>
    </w:p>
    <w:p w14:paraId="551AF1AD" w14:textId="0EECBF85" w:rsidR="008D024B" w:rsidRPr="00C554A0" w:rsidRDefault="009A6340" w:rsidP="00C554A0">
      <w:pPr>
        <w:rPr>
          <w:rFonts w:ascii="Verdana" w:eastAsia="Verdana" w:hAnsi="Verdana" w:cs="Verdana"/>
        </w:rPr>
      </w:pPr>
      <w:r>
        <w:rPr>
          <w:rFonts w:ascii="Verdana" w:eastAsia="Verdana" w:hAnsi="Verdana" w:cs="Verdana"/>
        </w:rPr>
        <w:br w:type="page"/>
      </w:r>
      <w:r w:rsidR="0086046C" w:rsidRPr="0086046C">
        <w:rPr>
          <w:rFonts w:ascii="Verdana" w:eastAsia="Verdana" w:hAnsi="Verdana" w:cs="Verdana"/>
          <w:noProof/>
        </w:rPr>
        <w:lastRenderedPageBreak/>
        <w:drawing>
          <wp:anchor distT="0" distB="0" distL="114300" distR="114300" simplePos="0" relativeHeight="251658240" behindDoc="1" locked="0" layoutInCell="1" allowOverlap="1" wp14:anchorId="40A46950" wp14:editId="55928057">
            <wp:simplePos x="0" y="0"/>
            <wp:positionH relativeFrom="margin">
              <wp:align>right</wp:align>
            </wp:positionH>
            <wp:positionV relativeFrom="paragraph">
              <wp:posOffset>5080</wp:posOffset>
            </wp:positionV>
            <wp:extent cx="2478405" cy="686483"/>
            <wp:effectExtent l="0" t="0" r="0" b="0"/>
            <wp:wrapNone/>
            <wp:docPr id="121015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8405" cy="6864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54A0">
        <w:rPr>
          <w:rFonts w:ascii="Verdana" w:eastAsia="Verdana" w:hAnsi="Verdana" w:cs="Verdana"/>
        </w:rPr>
        <w:t>B</w:t>
      </w:r>
      <w:r w:rsidR="00C15139" w:rsidRPr="30821638">
        <w:rPr>
          <w:rFonts w:ascii="Verdana" w:eastAsia="Verdana" w:hAnsi="Verdana" w:cs="Verdana"/>
        </w:rPr>
        <w:t xml:space="preserve">ogotá D.C., </w:t>
      </w:r>
      <w:r w:rsidR="0086046C">
        <w:rPr>
          <w:rFonts w:ascii="Verdana" w:eastAsia="Verdana" w:hAnsi="Verdana" w:cs="Verdana"/>
        </w:rPr>
        <w:t xml:space="preserve">27 </w:t>
      </w:r>
      <w:proofErr w:type="gramStart"/>
      <w:r w:rsidR="0086046C">
        <w:rPr>
          <w:rFonts w:ascii="Verdana" w:eastAsia="Verdana" w:hAnsi="Verdana" w:cs="Verdana"/>
        </w:rPr>
        <w:t>Octubre</w:t>
      </w:r>
      <w:proofErr w:type="gramEnd"/>
      <w:r w:rsidR="0086046C">
        <w:rPr>
          <w:rFonts w:ascii="Verdana" w:eastAsia="Verdana" w:hAnsi="Verdana" w:cs="Verdana"/>
        </w:rPr>
        <w:t xml:space="preserve"> 2026 </w:t>
      </w:r>
      <w:r w:rsidR="00C15139">
        <w:br/>
      </w:r>
    </w:p>
    <w:p w14:paraId="27713EFE" w14:textId="77777777" w:rsidR="008D024B" w:rsidRPr="00A77871" w:rsidRDefault="008D024B" w:rsidP="008D024B">
      <w:pPr>
        <w:pStyle w:val="Sinespaciado"/>
        <w:jc w:val="both"/>
        <w:rPr>
          <w:rFonts w:ascii="Verdana" w:hAnsi="Verdana"/>
          <w:lang w:eastAsia="es-ES"/>
        </w:rPr>
      </w:pPr>
      <w:bookmarkStart w:id="1" w:name="_Hlk186494164"/>
      <w:r w:rsidRPr="00A77871">
        <w:rPr>
          <w:rFonts w:ascii="Verdana" w:hAnsi="Verdana"/>
          <w:lang w:eastAsia="es-ES"/>
        </w:rPr>
        <w:t>Señor</w:t>
      </w:r>
    </w:p>
    <w:p w14:paraId="3E8A4E78" w14:textId="78BDBD1C" w:rsidR="008D024B" w:rsidRDefault="00AF08DA" w:rsidP="008D024B">
      <w:pPr>
        <w:pStyle w:val="Sinespaciado"/>
        <w:jc w:val="both"/>
        <w:rPr>
          <w:rFonts w:ascii="Verdana" w:hAnsi="Verdana" w:cs="Times New Roman"/>
          <w:b/>
          <w:bCs/>
        </w:rPr>
      </w:pPr>
      <w:r>
        <w:rPr>
          <w:rFonts w:ascii="Verdana" w:hAnsi="Verdana" w:cs="Times New Roman"/>
          <w:b/>
          <w:bCs/>
        </w:rPr>
        <w:t>Lina Sofia</w:t>
      </w:r>
      <w:r w:rsidR="00410EEC">
        <w:rPr>
          <w:rFonts w:ascii="Verdana" w:hAnsi="Verdana" w:cs="Times New Roman"/>
          <w:b/>
          <w:bCs/>
        </w:rPr>
        <w:t xml:space="preserve"> Pérez Pedraza</w:t>
      </w:r>
    </w:p>
    <w:p w14:paraId="21E6FC12" w14:textId="39B641B8" w:rsidR="00410EEC" w:rsidRPr="00410EEC" w:rsidRDefault="00410EEC" w:rsidP="008D024B">
      <w:pPr>
        <w:pStyle w:val="Sinespaciado"/>
        <w:jc w:val="both"/>
        <w:rPr>
          <w:rFonts w:ascii="Verdana" w:hAnsi="Verdana"/>
        </w:rPr>
      </w:pPr>
      <w:hyperlink r:id="rId11" w:history="1">
        <w:r w:rsidRPr="00410EEC">
          <w:rPr>
            <w:rStyle w:val="Hipervnculo"/>
            <w:rFonts w:ascii="Verdana" w:hAnsi="Verdana"/>
          </w:rPr>
          <w:t>lperez@uapa-pae.gov.co</w:t>
        </w:r>
      </w:hyperlink>
    </w:p>
    <w:p w14:paraId="726F43BC" w14:textId="5CF0EDFD" w:rsidR="008D024B" w:rsidRPr="00700F79" w:rsidRDefault="008D024B" w:rsidP="008D024B">
      <w:pPr>
        <w:pStyle w:val="Sinespaciado"/>
        <w:jc w:val="both"/>
        <w:rPr>
          <w:rFonts w:ascii="Verdana" w:hAnsi="Verdana" w:cs="Times New Roman"/>
        </w:rPr>
      </w:pPr>
      <w:r>
        <w:rPr>
          <w:rFonts w:ascii="Verdana" w:hAnsi="Verdana" w:cs="Times New Roman"/>
        </w:rPr>
        <w:t>Ciudad</w:t>
      </w:r>
    </w:p>
    <w:p w14:paraId="31866920" w14:textId="77777777" w:rsidR="008D024B" w:rsidRDefault="008D024B" w:rsidP="008D024B">
      <w:pPr>
        <w:pStyle w:val="Sinespaciado"/>
        <w:jc w:val="both"/>
        <w:rPr>
          <w:rFonts w:ascii="Verdana" w:hAnsi="Verdana" w:cs="Times New Roman"/>
          <w:b/>
          <w:bCs/>
        </w:rPr>
      </w:pPr>
    </w:p>
    <w:p w14:paraId="0C7BC4C6" w14:textId="4B029F25" w:rsidR="008D024B" w:rsidRPr="00A77871" w:rsidRDefault="008D024B" w:rsidP="008D024B">
      <w:pPr>
        <w:spacing w:line="276" w:lineRule="auto"/>
        <w:jc w:val="both"/>
        <w:rPr>
          <w:rFonts w:ascii="Verdana" w:eastAsia="Calibri" w:hAnsi="Verdana" w:cs="Arial"/>
          <w:b/>
          <w:bCs/>
          <w:lang w:eastAsia="es-ES"/>
        </w:rPr>
      </w:pPr>
      <w:r w:rsidRPr="00A77871">
        <w:rPr>
          <w:rFonts w:ascii="Verdana" w:eastAsia="Calibri" w:hAnsi="Verdana" w:cs="Arial"/>
          <w:b/>
          <w:bCs/>
          <w:lang w:eastAsia="es-ES"/>
        </w:rPr>
        <w:t xml:space="preserve">                                    Concepto </w:t>
      </w:r>
      <w:r w:rsidR="000D7070" w:rsidRPr="000D7070">
        <w:rPr>
          <w:rFonts w:ascii="Verdana" w:eastAsia="Calibri" w:hAnsi="Verdana" w:cs="Arial"/>
          <w:b/>
          <w:bCs/>
          <w:lang w:eastAsia="es-ES"/>
        </w:rPr>
        <w:t>C-1535</w:t>
      </w:r>
      <w:r>
        <w:rPr>
          <w:rFonts w:ascii="Verdana" w:eastAsia="Calibri" w:hAnsi="Verdana" w:cs="Arial"/>
          <w:b/>
          <w:bCs/>
          <w:lang w:eastAsia="es-ES"/>
        </w:rPr>
        <w:t xml:space="preserve"> </w:t>
      </w:r>
      <w:r w:rsidRPr="00A77871">
        <w:rPr>
          <w:rFonts w:ascii="Verdana" w:eastAsia="Calibri" w:hAnsi="Verdana" w:cs="Arial"/>
          <w:b/>
          <w:bCs/>
          <w:lang w:eastAsia="es-ES"/>
        </w:rPr>
        <w:t>de 2026</w:t>
      </w: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D024B" w:rsidRPr="00A77871" w14:paraId="5A7AA1CF" w14:textId="77777777" w:rsidTr="00F44B6A">
        <w:trPr>
          <w:trHeight w:val="884"/>
        </w:trPr>
        <w:tc>
          <w:tcPr>
            <w:tcW w:w="2689" w:type="dxa"/>
          </w:tcPr>
          <w:p w14:paraId="033892BC" w14:textId="77777777" w:rsidR="008D024B" w:rsidRPr="00A77871" w:rsidRDefault="008D024B" w:rsidP="00F44B6A">
            <w:pPr>
              <w:spacing w:line="276" w:lineRule="auto"/>
              <w:jc w:val="both"/>
              <w:rPr>
                <w:rFonts w:ascii="Verdana" w:eastAsia="Calibri" w:hAnsi="Verdana" w:cs="Arial"/>
                <w:color w:val="000000"/>
                <w:lang w:eastAsia="es-ES_tradnl"/>
              </w:rPr>
            </w:pPr>
            <w:r w:rsidRPr="00A77871">
              <w:rPr>
                <w:rFonts w:ascii="Verdana" w:eastAsia="Calibri" w:hAnsi="Verdana" w:cs="Arial"/>
                <w:b/>
                <w:color w:val="000000"/>
                <w:lang w:eastAsia="es-ES_tradnl"/>
              </w:rPr>
              <w:t>Temas:</w:t>
            </w:r>
            <w:r w:rsidRPr="00A77871">
              <w:rPr>
                <w:rFonts w:ascii="Verdana" w:eastAsia="Calibri" w:hAnsi="Verdana" w:cs="Arial"/>
                <w:color w:val="000000"/>
                <w:lang w:eastAsia="es-ES_tradnl"/>
              </w:rPr>
              <w:t xml:space="preserve">                   </w:t>
            </w:r>
          </w:p>
        </w:tc>
        <w:tc>
          <w:tcPr>
            <w:tcW w:w="6100" w:type="dxa"/>
          </w:tcPr>
          <w:p w14:paraId="310E4AFF" w14:textId="00801B48" w:rsidR="008D024B" w:rsidRDefault="00A03842" w:rsidP="00D753D2">
            <w:pPr>
              <w:jc w:val="both"/>
              <w:rPr>
                <w:rFonts w:ascii="Verdana" w:hAnsi="Verdana" w:cs="Arial"/>
                <w:color w:val="000000"/>
                <w:lang w:val="es-ES" w:eastAsia="es-ES"/>
              </w:rPr>
            </w:pPr>
            <w:r w:rsidRPr="002059F2">
              <w:rPr>
                <w:rFonts w:ascii="Verdana" w:hAnsi="Verdana" w:cs="Arial"/>
                <w:color w:val="000000"/>
                <w:lang w:val="es-ES" w:eastAsia="es-ES"/>
              </w:rPr>
              <w:t xml:space="preserve">CONTRATO DE ARRENDAMIENTO – </w:t>
            </w:r>
            <w:r w:rsidR="00690F6C">
              <w:rPr>
                <w:rFonts w:ascii="Verdana" w:hAnsi="Verdana" w:cs="Arial"/>
                <w:color w:val="000000"/>
                <w:lang w:val="es-ES" w:eastAsia="es-ES"/>
              </w:rPr>
              <w:t>Definición</w:t>
            </w:r>
            <w:r w:rsidRPr="002059F2">
              <w:rPr>
                <w:rFonts w:ascii="Verdana" w:hAnsi="Verdana" w:cs="Arial"/>
                <w:color w:val="000000"/>
                <w:lang w:val="es-ES" w:eastAsia="es-ES"/>
              </w:rPr>
              <w:t xml:space="preserve"> – Elementos / CONTRATO DE ARRENDAMIENT</w:t>
            </w:r>
            <w:r w:rsidR="00994790">
              <w:rPr>
                <w:rFonts w:ascii="Verdana" w:hAnsi="Verdana" w:cs="Arial"/>
                <w:color w:val="000000"/>
                <w:lang w:val="es-ES" w:eastAsia="es-ES"/>
              </w:rPr>
              <w:t>O</w:t>
            </w:r>
            <w:r w:rsidR="000D0C15">
              <w:rPr>
                <w:rFonts w:ascii="Verdana" w:hAnsi="Verdana" w:cs="Arial"/>
                <w:color w:val="000000"/>
                <w:lang w:val="es-ES" w:eastAsia="es-ES"/>
              </w:rPr>
              <w:t xml:space="preserve"> </w:t>
            </w:r>
            <w:r w:rsidRPr="002059F2">
              <w:rPr>
                <w:rFonts w:ascii="Verdana" w:hAnsi="Verdana" w:cs="Arial"/>
                <w:color w:val="000000"/>
                <w:lang w:val="es-ES" w:eastAsia="es-ES"/>
              </w:rPr>
              <w:t xml:space="preserve">– </w:t>
            </w:r>
            <w:r w:rsidR="007D5CB0">
              <w:rPr>
                <w:rFonts w:ascii="Verdana" w:hAnsi="Verdana" w:cs="Arial"/>
                <w:color w:val="000000"/>
                <w:lang w:val="es-ES" w:eastAsia="es-ES"/>
              </w:rPr>
              <w:t>incremento</w:t>
            </w:r>
            <w:r w:rsidRPr="002059F2">
              <w:rPr>
                <w:rFonts w:ascii="Verdana" w:hAnsi="Verdana" w:cs="Arial"/>
                <w:color w:val="000000"/>
                <w:lang w:val="es-ES" w:eastAsia="es-ES"/>
              </w:rPr>
              <w:t xml:space="preserve"> </w:t>
            </w:r>
          </w:p>
          <w:p w14:paraId="44325884" w14:textId="385AD902" w:rsidR="00D753D2" w:rsidRPr="00EB7DC9" w:rsidRDefault="00D753D2" w:rsidP="00D753D2">
            <w:pPr>
              <w:jc w:val="both"/>
              <w:rPr>
                <w:rFonts w:ascii="Verdana" w:eastAsia="Calibri" w:hAnsi="Verdana" w:cs="Arial"/>
                <w:lang w:eastAsia="es-ES"/>
              </w:rPr>
            </w:pPr>
          </w:p>
        </w:tc>
      </w:tr>
      <w:tr w:rsidR="008D024B" w:rsidRPr="00A77871" w14:paraId="09EF5A44" w14:textId="77777777" w:rsidTr="00F44B6A">
        <w:tc>
          <w:tcPr>
            <w:tcW w:w="2689" w:type="dxa"/>
          </w:tcPr>
          <w:p w14:paraId="2D9E6495" w14:textId="77777777" w:rsidR="008D024B" w:rsidRPr="00A77871" w:rsidRDefault="008D024B" w:rsidP="00F44B6A">
            <w:pPr>
              <w:spacing w:line="276" w:lineRule="auto"/>
              <w:jc w:val="both"/>
              <w:rPr>
                <w:rFonts w:ascii="Verdana" w:eastAsia="Calibri" w:hAnsi="Verdana" w:cs="Arial"/>
                <w:b/>
                <w:lang w:eastAsia="es-ES_tradnl"/>
              </w:rPr>
            </w:pPr>
            <w:r w:rsidRPr="00A77871">
              <w:rPr>
                <w:rFonts w:ascii="Verdana" w:eastAsia="Calibri" w:hAnsi="Verdana" w:cs="Arial"/>
                <w:b/>
                <w:lang w:eastAsia="es-ES_tradnl"/>
              </w:rPr>
              <w:t>Radicación:</w:t>
            </w:r>
            <w:r w:rsidRPr="00A77871">
              <w:rPr>
                <w:rFonts w:ascii="Verdana" w:eastAsia="Calibri" w:hAnsi="Verdana" w:cs="Arial"/>
                <w:lang w:eastAsia="es-ES_tradnl"/>
              </w:rPr>
              <w:t xml:space="preserve">               </w:t>
            </w:r>
          </w:p>
        </w:tc>
        <w:tc>
          <w:tcPr>
            <w:tcW w:w="6100" w:type="dxa"/>
          </w:tcPr>
          <w:p w14:paraId="30856E90" w14:textId="04B66AE7" w:rsidR="008D024B" w:rsidRPr="00A77871" w:rsidRDefault="008D024B" w:rsidP="00F44B6A">
            <w:pPr>
              <w:spacing w:line="276" w:lineRule="auto"/>
              <w:jc w:val="both"/>
              <w:rPr>
                <w:rFonts w:ascii="Verdana" w:eastAsia="Calibri" w:hAnsi="Verdana" w:cs="Arial"/>
                <w:lang w:eastAsia="es-ES_tradnl"/>
              </w:rPr>
            </w:pPr>
            <w:r w:rsidRPr="00A77871">
              <w:rPr>
                <w:rFonts w:ascii="Verdana" w:eastAsia="Calibri" w:hAnsi="Verdana" w:cs="Arial"/>
                <w:lang w:eastAsia="es-ES_tradnl"/>
              </w:rPr>
              <w:t xml:space="preserve">Respuesta a consultas con radicado No. </w:t>
            </w:r>
            <w:r w:rsidR="00C16773" w:rsidRPr="00C16773">
              <w:rPr>
                <w:rFonts w:ascii="Verdana" w:eastAsia="Calibri" w:hAnsi="Verdana" w:cs="Arial"/>
                <w:lang w:eastAsia="es-ES_tradnl"/>
              </w:rPr>
              <w:t>1_2026_09_29_013086</w:t>
            </w:r>
          </w:p>
        </w:tc>
      </w:tr>
    </w:tbl>
    <w:p w14:paraId="3E668EE9" w14:textId="77777777" w:rsidR="008D024B" w:rsidRPr="00A77871" w:rsidRDefault="008D024B" w:rsidP="008D024B">
      <w:pPr>
        <w:spacing w:after="0" w:line="276" w:lineRule="auto"/>
        <w:jc w:val="both"/>
        <w:rPr>
          <w:rFonts w:ascii="Verdana" w:eastAsia="Calibri" w:hAnsi="Verdana" w:cs="Arial"/>
          <w:color w:val="000000"/>
          <w:lang w:eastAsia="es-ES_tradnl"/>
        </w:rPr>
      </w:pPr>
    </w:p>
    <w:p w14:paraId="7F8560ED" w14:textId="0DF3CE44" w:rsidR="008D024B" w:rsidRPr="00A77871" w:rsidRDefault="008D024B" w:rsidP="008D024B">
      <w:pPr>
        <w:spacing w:line="276" w:lineRule="auto"/>
        <w:jc w:val="both"/>
        <w:rPr>
          <w:rFonts w:ascii="Verdana" w:eastAsia="Calibri" w:hAnsi="Verdana" w:cs="Arial"/>
          <w:color w:val="000000"/>
          <w:lang w:eastAsia="es-ES"/>
        </w:rPr>
      </w:pPr>
      <w:r w:rsidRPr="00A77871">
        <w:rPr>
          <w:rFonts w:ascii="Verdana" w:eastAsia="Calibri" w:hAnsi="Verdana" w:cs="Arial"/>
          <w:lang w:eastAsia="es-ES"/>
        </w:rPr>
        <w:t>Estimad</w:t>
      </w:r>
      <w:r w:rsidR="00C16773">
        <w:rPr>
          <w:rFonts w:ascii="Verdana" w:eastAsia="Calibri" w:hAnsi="Verdana" w:cs="Arial"/>
          <w:lang w:eastAsia="es-ES"/>
        </w:rPr>
        <w:t>a</w:t>
      </w:r>
      <w:r w:rsidRPr="00A77871">
        <w:rPr>
          <w:rFonts w:ascii="Verdana" w:eastAsia="Calibri" w:hAnsi="Verdana" w:cs="Arial"/>
          <w:lang w:eastAsia="es-ES"/>
        </w:rPr>
        <w:t xml:space="preserve"> </w:t>
      </w:r>
      <w:r>
        <w:rPr>
          <w:rFonts w:ascii="Verdana" w:eastAsia="Calibri" w:hAnsi="Verdana" w:cs="Arial"/>
          <w:lang w:eastAsia="es-ES"/>
        </w:rPr>
        <w:t>señor</w:t>
      </w:r>
      <w:r w:rsidR="00C16773">
        <w:rPr>
          <w:rFonts w:ascii="Verdana" w:eastAsia="Calibri" w:hAnsi="Verdana" w:cs="Arial"/>
          <w:lang w:eastAsia="es-ES"/>
        </w:rPr>
        <w:t>a Pérez</w:t>
      </w:r>
      <w:r w:rsidRPr="00A77871">
        <w:rPr>
          <w:rFonts w:ascii="Verdana" w:eastAsia="Calibri" w:hAnsi="Verdana" w:cs="Arial"/>
          <w:lang w:eastAsia="es-ES"/>
        </w:rPr>
        <w:t>, cordial saludo</w:t>
      </w:r>
      <w:r>
        <w:rPr>
          <w:rFonts w:ascii="Verdana" w:eastAsia="Calibri" w:hAnsi="Verdana" w:cs="Arial"/>
          <w:lang w:eastAsia="es-ES"/>
        </w:rPr>
        <w:t>:</w:t>
      </w:r>
      <w:r w:rsidRPr="00A77871">
        <w:rPr>
          <w:rFonts w:ascii="Verdana" w:eastAsia="Calibri" w:hAnsi="Verdana" w:cs="Arial"/>
          <w:color w:val="000000"/>
          <w:lang w:eastAsia="es-ES"/>
        </w:rPr>
        <w:tab/>
      </w:r>
    </w:p>
    <w:p w14:paraId="3AE44D99" w14:textId="77DC4B4A" w:rsidR="008D024B" w:rsidRDefault="008D024B" w:rsidP="008D024B">
      <w:pPr>
        <w:spacing w:line="276" w:lineRule="auto"/>
        <w:jc w:val="both"/>
        <w:rPr>
          <w:rFonts w:ascii="Verdana" w:eastAsia="Calibri" w:hAnsi="Verdana" w:cs="Arial"/>
          <w:i/>
          <w:iCs/>
          <w:lang w:eastAsia="es-ES"/>
        </w:rPr>
      </w:pPr>
      <w:r w:rsidRPr="00A77871">
        <w:rPr>
          <w:rFonts w:ascii="Verdana" w:eastAsia="Calibri" w:hAnsi="Verdana" w:cs="Arial"/>
          <w:color w:val="000000"/>
          <w:lang w:eastAsia="es-ES"/>
        </w:rPr>
        <w:t>En ejercicio de la competencia otorgada por los artículos 3, numeral 5º, y 11, numeral 8º, del Decreto Ley 4170 de 2011,</w:t>
      </w:r>
      <w:r w:rsidRPr="00A77871">
        <w:rPr>
          <w:rFonts w:ascii="Verdana" w:eastAsia="Arial MT" w:hAnsi="Verdana" w:cs="Arial MT"/>
          <w:lang w:eastAsia="es-ES"/>
        </w:rPr>
        <w:t xml:space="preserve"> </w:t>
      </w:r>
      <w:r w:rsidRPr="00A77871">
        <w:rPr>
          <w:rFonts w:ascii="Verdana" w:eastAsia="Calibri" w:hAnsi="Verdana" w:cs="Arial"/>
        </w:rPr>
        <w:t xml:space="preserve">así como lo establecido en el artículo 4 de la Resolución 1707 de 2018 expedida por esta Entidad, </w:t>
      </w:r>
      <w:r w:rsidRPr="00A77871">
        <w:rPr>
          <w:rFonts w:ascii="Verdana" w:eastAsia="Calibri" w:hAnsi="Verdana" w:cs="Arial"/>
          <w:color w:val="000000"/>
          <w:lang w:eastAsia="es-ES"/>
        </w:rPr>
        <w:t xml:space="preserve">la Agencia Nacional de Contratación Pública – Colombia Compra Eficiente responde su solicitud de concepto del </w:t>
      </w:r>
      <w:r w:rsidR="00C16773">
        <w:rPr>
          <w:rFonts w:ascii="Verdana" w:eastAsia="Calibri" w:hAnsi="Verdana" w:cs="Arial"/>
          <w:color w:val="000000"/>
          <w:lang w:eastAsia="es-ES"/>
        </w:rPr>
        <w:t>29</w:t>
      </w:r>
      <w:r>
        <w:rPr>
          <w:rFonts w:ascii="Verdana" w:eastAsia="Calibri" w:hAnsi="Verdana" w:cs="Arial"/>
          <w:color w:val="000000"/>
          <w:lang w:eastAsia="es-ES"/>
        </w:rPr>
        <w:t xml:space="preserve"> </w:t>
      </w:r>
      <w:r w:rsidRPr="00A77871">
        <w:rPr>
          <w:rFonts w:ascii="Verdana" w:eastAsia="Calibri" w:hAnsi="Verdana" w:cs="Arial"/>
          <w:color w:val="000000"/>
          <w:lang w:eastAsia="es-ES"/>
        </w:rPr>
        <w:t xml:space="preserve">de </w:t>
      </w:r>
      <w:r>
        <w:rPr>
          <w:rFonts w:ascii="Verdana" w:eastAsia="Calibri" w:hAnsi="Verdana" w:cs="Arial"/>
          <w:color w:val="000000"/>
          <w:lang w:eastAsia="es-ES"/>
        </w:rPr>
        <w:t>septiembre</w:t>
      </w:r>
      <w:r w:rsidRPr="00A77871">
        <w:rPr>
          <w:rFonts w:ascii="Verdana" w:eastAsia="Calibri" w:hAnsi="Verdana" w:cs="Arial"/>
          <w:color w:val="000000"/>
          <w:lang w:eastAsia="es-ES"/>
        </w:rPr>
        <w:t xml:space="preserve"> de 2026,</w:t>
      </w:r>
      <w:r w:rsidRPr="00A77871">
        <w:rPr>
          <w:rFonts w:ascii="Verdana" w:eastAsia="Calibri" w:hAnsi="Verdana" w:cs="Arial"/>
          <w:lang w:eastAsia="es-ES"/>
        </w:rPr>
        <w:t xml:space="preserve"> en la que manifiesta lo siguiente:</w:t>
      </w:r>
      <w:r w:rsidRPr="00A77871">
        <w:rPr>
          <w:rFonts w:ascii="Verdana" w:eastAsia="Calibri" w:hAnsi="Verdana" w:cs="Arial"/>
          <w:i/>
          <w:iCs/>
          <w:lang w:eastAsia="es-ES"/>
        </w:rPr>
        <w:t xml:space="preserve"> </w:t>
      </w:r>
      <w:bookmarkStart w:id="2" w:name="_Hlk95313578"/>
    </w:p>
    <w:p w14:paraId="6381B6D4" w14:textId="77777777" w:rsidR="008D024B" w:rsidRDefault="008D024B" w:rsidP="008D024B">
      <w:pPr>
        <w:spacing w:after="0" w:line="240" w:lineRule="auto"/>
        <w:ind w:left="709" w:right="709"/>
        <w:jc w:val="both"/>
        <w:rPr>
          <w:rFonts w:ascii="Verdana" w:hAnsi="Verdana" w:cs="Arial"/>
          <w:i/>
          <w:iCs/>
          <w:sz w:val="20"/>
          <w:szCs w:val="20"/>
          <w:shd w:val="clear" w:color="auto" w:fill="FFFFFF"/>
          <w:lang w:val="es-ES"/>
        </w:rPr>
      </w:pPr>
      <w:r w:rsidRPr="00ED70E4">
        <w:rPr>
          <w:rFonts w:ascii="Verdana" w:hAnsi="Verdana" w:cs="Arial"/>
          <w:i/>
          <w:iCs/>
          <w:sz w:val="20"/>
          <w:szCs w:val="20"/>
          <w:shd w:val="clear" w:color="auto" w:fill="FFFFFF"/>
          <w:lang w:val="es-ES"/>
        </w:rPr>
        <w:t>“(…)</w:t>
      </w:r>
      <w:bookmarkEnd w:id="2"/>
    </w:p>
    <w:p w14:paraId="024FD177" w14:textId="77777777" w:rsidR="008D024B" w:rsidRDefault="008D024B" w:rsidP="008D024B">
      <w:pPr>
        <w:spacing w:after="0" w:line="240" w:lineRule="auto"/>
        <w:ind w:left="709" w:right="709"/>
        <w:jc w:val="both"/>
        <w:rPr>
          <w:rFonts w:ascii="Verdana" w:hAnsi="Verdana" w:cs="Arial"/>
          <w:i/>
          <w:iCs/>
          <w:sz w:val="20"/>
          <w:szCs w:val="20"/>
          <w:shd w:val="clear" w:color="auto" w:fill="FFFFFF"/>
          <w:lang w:val="es-ES"/>
        </w:rPr>
      </w:pPr>
    </w:p>
    <w:p w14:paraId="2FFCAEC3" w14:textId="77777777" w:rsidR="002D1241" w:rsidRDefault="002D1241" w:rsidP="002D1241">
      <w:pPr>
        <w:spacing w:after="0" w:line="240" w:lineRule="auto"/>
        <w:ind w:left="709" w:right="709"/>
        <w:jc w:val="both"/>
        <w:rPr>
          <w:rFonts w:ascii="Verdana" w:hAnsi="Verdana" w:cs="Arial"/>
          <w:i/>
          <w:iCs/>
          <w:sz w:val="20"/>
          <w:szCs w:val="20"/>
          <w:shd w:val="clear" w:color="auto" w:fill="FFFFFF"/>
        </w:rPr>
      </w:pPr>
      <w:r w:rsidRPr="002D1241">
        <w:rPr>
          <w:rFonts w:ascii="Verdana" w:hAnsi="Verdana" w:cs="Arial"/>
          <w:i/>
          <w:iCs/>
          <w:sz w:val="20"/>
          <w:szCs w:val="20"/>
          <w:shd w:val="clear" w:color="auto" w:fill="FFFFFF"/>
        </w:rPr>
        <w:t>Tratándose de contratos de arrendamiento celebrados entre un</w:t>
      </w:r>
      <w:r>
        <w:rPr>
          <w:rFonts w:ascii="Verdana" w:hAnsi="Verdana" w:cs="Arial"/>
          <w:i/>
          <w:iCs/>
          <w:sz w:val="20"/>
          <w:szCs w:val="20"/>
          <w:shd w:val="clear" w:color="auto" w:fill="FFFFFF"/>
        </w:rPr>
        <w:t xml:space="preserve"> </w:t>
      </w:r>
      <w:r w:rsidRPr="002D1241">
        <w:rPr>
          <w:rFonts w:ascii="Verdana" w:hAnsi="Verdana" w:cs="Arial"/>
          <w:i/>
          <w:iCs/>
          <w:sz w:val="20"/>
          <w:szCs w:val="20"/>
          <w:shd w:val="clear" w:color="auto" w:fill="FFFFFF"/>
        </w:rPr>
        <w:t>particular en calidad de arrendador y una entidad estatal en calidad de</w:t>
      </w:r>
      <w:r>
        <w:rPr>
          <w:rFonts w:ascii="Verdana" w:hAnsi="Verdana" w:cs="Arial"/>
          <w:i/>
          <w:iCs/>
          <w:sz w:val="20"/>
          <w:szCs w:val="20"/>
          <w:shd w:val="clear" w:color="auto" w:fill="FFFFFF"/>
        </w:rPr>
        <w:t xml:space="preserve"> </w:t>
      </w:r>
      <w:r w:rsidRPr="002D1241">
        <w:rPr>
          <w:rFonts w:ascii="Verdana" w:hAnsi="Verdana" w:cs="Arial"/>
          <w:i/>
          <w:iCs/>
          <w:sz w:val="20"/>
          <w:szCs w:val="20"/>
          <w:shd w:val="clear" w:color="auto" w:fill="FFFFFF"/>
        </w:rPr>
        <w:t>arrendataria, para el alquiler de un bien inmueble de oficinas</w:t>
      </w:r>
      <w:r>
        <w:rPr>
          <w:rFonts w:ascii="Verdana" w:hAnsi="Verdana" w:cs="Arial"/>
          <w:i/>
          <w:iCs/>
          <w:sz w:val="20"/>
          <w:szCs w:val="20"/>
          <w:shd w:val="clear" w:color="auto" w:fill="FFFFFF"/>
        </w:rPr>
        <w:t xml:space="preserve"> </w:t>
      </w:r>
    </w:p>
    <w:p w14:paraId="3FC01D61" w14:textId="77777777" w:rsidR="002D1241" w:rsidRDefault="002D1241" w:rsidP="002D1241">
      <w:pPr>
        <w:spacing w:after="0" w:line="240" w:lineRule="auto"/>
        <w:ind w:left="709" w:right="709"/>
        <w:jc w:val="both"/>
        <w:rPr>
          <w:rFonts w:ascii="Verdana" w:hAnsi="Verdana" w:cs="Arial"/>
          <w:i/>
          <w:iCs/>
          <w:sz w:val="20"/>
          <w:szCs w:val="20"/>
          <w:shd w:val="clear" w:color="auto" w:fill="FFFFFF"/>
        </w:rPr>
      </w:pPr>
    </w:p>
    <w:p w14:paraId="24155C4F" w14:textId="0BC92C96" w:rsidR="002D1241" w:rsidRDefault="002D1241" w:rsidP="002D1241">
      <w:pPr>
        <w:spacing w:after="0" w:line="240" w:lineRule="auto"/>
        <w:ind w:left="709" w:right="709"/>
        <w:jc w:val="both"/>
        <w:rPr>
          <w:rFonts w:ascii="Verdana" w:hAnsi="Verdana" w:cs="Arial"/>
          <w:i/>
          <w:iCs/>
          <w:sz w:val="20"/>
          <w:szCs w:val="20"/>
          <w:shd w:val="clear" w:color="auto" w:fill="FFFFFF"/>
        </w:rPr>
      </w:pPr>
      <w:r w:rsidRPr="002D1241">
        <w:rPr>
          <w:rFonts w:ascii="Verdana" w:hAnsi="Verdana" w:cs="Arial"/>
          <w:i/>
          <w:iCs/>
          <w:sz w:val="20"/>
          <w:szCs w:val="20"/>
          <w:shd w:val="clear" w:color="auto" w:fill="FFFFFF"/>
        </w:rPr>
        <w:t>¿Las partes son autónomas para fijar el momento en que se aplicará el</w:t>
      </w:r>
      <w:r>
        <w:rPr>
          <w:rFonts w:ascii="Verdana" w:hAnsi="Verdana" w:cs="Arial"/>
          <w:i/>
          <w:iCs/>
          <w:sz w:val="20"/>
          <w:szCs w:val="20"/>
          <w:shd w:val="clear" w:color="auto" w:fill="FFFFFF"/>
        </w:rPr>
        <w:t xml:space="preserve"> </w:t>
      </w:r>
      <w:r w:rsidRPr="002D1241">
        <w:rPr>
          <w:rFonts w:ascii="Verdana" w:hAnsi="Verdana" w:cs="Arial"/>
          <w:i/>
          <w:iCs/>
          <w:sz w:val="20"/>
          <w:szCs w:val="20"/>
          <w:shd w:val="clear" w:color="auto" w:fill="FFFFFF"/>
        </w:rPr>
        <w:t xml:space="preserve">incremento al canon de arrendamiento? </w:t>
      </w:r>
    </w:p>
    <w:p w14:paraId="0C841AF7" w14:textId="77777777" w:rsidR="002D1241" w:rsidRPr="002D1241" w:rsidRDefault="002D1241" w:rsidP="002D1241">
      <w:pPr>
        <w:spacing w:after="0" w:line="240" w:lineRule="auto"/>
        <w:ind w:left="709" w:right="709"/>
        <w:jc w:val="both"/>
        <w:rPr>
          <w:rFonts w:ascii="Verdana" w:hAnsi="Verdana" w:cs="Arial"/>
          <w:i/>
          <w:iCs/>
          <w:sz w:val="20"/>
          <w:szCs w:val="20"/>
          <w:shd w:val="clear" w:color="auto" w:fill="FFFFFF"/>
        </w:rPr>
      </w:pPr>
    </w:p>
    <w:p w14:paraId="551968FC" w14:textId="0AE37F6E" w:rsidR="008D024B" w:rsidRPr="009640C2" w:rsidRDefault="002D1241" w:rsidP="009640C2">
      <w:pPr>
        <w:spacing w:after="0" w:line="240" w:lineRule="auto"/>
        <w:ind w:left="709" w:right="709"/>
        <w:jc w:val="both"/>
        <w:rPr>
          <w:rFonts w:ascii="Verdana" w:hAnsi="Verdana" w:cs="Arial"/>
          <w:i/>
          <w:iCs/>
          <w:sz w:val="20"/>
          <w:szCs w:val="20"/>
          <w:shd w:val="clear" w:color="auto" w:fill="FFFFFF"/>
        </w:rPr>
      </w:pPr>
      <w:r w:rsidRPr="002D1241">
        <w:rPr>
          <w:rFonts w:ascii="Verdana" w:hAnsi="Verdana" w:cs="Arial"/>
          <w:i/>
          <w:iCs/>
          <w:sz w:val="20"/>
          <w:szCs w:val="20"/>
          <w:shd w:val="clear" w:color="auto" w:fill="FFFFFF"/>
        </w:rPr>
        <w:t>Si la entidad estatal ha ocupado el bien por varios años bajo varios</w:t>
      </w:r>
      <w:r w:rsidR="002B33EB">
        <w:rPr>
          <w:rFonts w:ascii="Verdana" w:hAnsi="Verdana" w:cs="Arial"/>
          <w:i/>
          <w:iCs/>
          <w:sz w:val="20"/>
          <w:szCs w:val="20"/>
          <w:shd w:val="clear" w:color="auto" w:fill="FFFFFF"/>
        </w:rPr>
        <w:t xml:space="preserve"> </w:t>
      </w:r>
      <w:r w:rsidRPr="002D1241">
        <w:rPr>
          <w:rFonts w:ascii="Verdana" w:hAnsi="Verdana" w:cs="Arial"/>
          <w:i/>
          <w:iCs/>
          <w:sz w:val="20"/>
          <w:szCs w:val="20"/>
          <w:shd w:val="clear" w:color="auto" w:fill="FFFFFF"/>
        </w:rPr>
        <w:t>contratos de arrendamiento y va a celebrar un nuevo contrato sobre el</w:t>
      </w:r>
      <w:r w:rsidR="002B33EB">
        <w:rPr>
          <w:rFonts w:ascii="Verdana" w:hAnsi="Verdana" w:cs="Arial"/>
          <w:i/>
          <w:iCs/>
          <w:sz w:val="20"/>
          <w:szCs w:val="20"/>
          <w:shd w:val="clear" w:color="auto" w:fill="FFFFFF"/>
        </w:rPr>
        <w:t xml:space="preserve"> </w:t>
      </w:r>
      <w:r w:rsidRPr="002D1241">
        <w:rPr>
          <w:rFonts w:ascii="Verdana" w:hAnsi="Verdana" w:cs="Arial"/>
          <w:i/>
          <w:iCs/>
          <w:sz w:val="20"/>
          <w:szCs w:val="20"/>
          <w:shd w:val="clear" w:color="auto" w:fill="FFFFFF"/>
        </w:rPr>
        <w:t>mismo bien, ¿las partes pueden en ejercicio de su autonomía, fijar el</w:t>
      </w:r>
      <w:r w:rsidR="002B33EB">
        <w:rPr>
          <w:rFonts w:ascii="Verdana" w:hAnsi="Verdana" w:cs="Arial"/>
          <w:i/>
          <w:iCs/>
          <w:sz w:val="20"/>
          <w:szCs w:val="20"/>
          <w:shd w:val="clear" w:color="auto" w:fill="FFFFFF"/>
        </w:rPr>
        <w:t xml:space="preserve"> </w:t>
      </w:r>
      <w:r w:rsidRPr="002D1241">
        <w:rPr>
          <w:rFonts w:ascii="Verdana" w:hAnsi="Verdana" w:cs="Arial"/>
          <w:i/>
          <w:iCs/>
          <w:sz w:val="20"/>
          <w:szCs w:val="20"/>
          <w:shd w:val="clear" w:color="auto" w:fill="FFFFFF"/>
        </w:rPr>
        <w:t>momento en que se dará el incremento del canon, por ejemplo, que el</w:t>
      </w:r>
      <w:r w:rsidR="002B33EB">
        <w:rPr>
          <w:rFonts w:ascii="Verdana" w:hAnsi="Verdana" w:cs="Arial"/>
          <w:i/>
          <w:iCs/>
          <w:sz w:val="20"/>
          <w:szCs w:val="20"/>
          <w:shd w:val="clear" w:color="auto" w:fill="FFFFFF"/>
        </w:rPr>
        <w:t xml:space="preserve"> </w:t>
      </w:r>
      <w:r w:rsidRPr="002D1241">
        <w:rPr>
          <w:rFonts w:ascii="Verdana" w:hAnsi="Verdana" w:cs="Arial"/>
          <w:i/>
          <w:iCs/>
          <w:sz w:val="20"/>
          <w:szCs w:val="20"/>
          <w:shd w:val="clear" w:color="auto" w:fill="FFFFFF"/>
        </w:rPr>
        <w:t>incremento se aplicará al cumplir un año de ocupación, es decir, tomando</w:t>
      </w:r>
      <w:r w:rsidR="002B33EB">
        <w:rPr>
          <w:rFonts w:ascii="Verdana" w:hAnsi="Verdana" w:cs="Arial"/>
          <w:i/>
          <w:iCs/>
          <w:sz w:val="20"/>
          <w:szCs w:val="20"/>
          <w:shd w:val="clear" w:color="auto" w:fill="FFFFFF"/>
        </w:rPr>
        <w:t xml:space="preserve"> </w:t>
      </w:r>
      <w:r w:rsidRPr="002D1241">
        <w:rPr>
          <w:rFonts w:ascii="Verdana" w:hAnsi="Verdana" w:cs="Arial"/>
          <w:i/>
          <w:iCs/>
          <w:sz w:val="20"/>
          <w:szCs w:val="20"/>
          <w:shd w:val="clear" w:color="auto" w:fill="FFFFFF"/>
        </w:rPr>
        <w:t>la fecha en que efectivamente se realizó la ocupación del bien en el cual</w:t>
      </w:r>
      <w:r w:rsidR="002B33EB">
        <w:rPr>
          <w:rFonts w:ascii="Verdana" w:hAnsi="Verdana" w:cs="Arial"/>
          <w:i/>
          <w:iCs/>
          <w:sz w:val="20"/>
          <w:szCs w:val="20"/>
          <w:shd w:val="clear" w:color="auto" w:fill="FFFFFF"/>
        </w:rPr>
        <w:t xml:space="preserve"> </w:t>
      </w:r>
      <w:r w:rsidRPr="002D1241">
        <w:rPr>
          <w:rFonts w:ascii="Verdana" w:hAnsi="Verdana" w:cs="Arial"/>
          <w:i/>
          <w:iCs/>
          <w:sz w:val="20"/>
          <w:szCs w:val="20"/>
          <w:shd w:val="clear" w:color="auto" w:fill="FFFFFF"/>
        </w:rPr>
        <w:t>ya lleva varios años o este incremento debe aplicarse al cumplir un año</w:t>
      </w:r>
      <w:r w:rsidR="002B33EB">
        <w:rPr>
          <w:rFonts w:ascii="Verdana" w:hAnsi="Verdana" w:cs="Arial"/>
          <w:i/>
          <w:iCs/>
          <w:sz w:val="20"/>
          <w:szCs w:val="20"/>
          <w:shd w:val="clear" w:color="auto" w:fill="FFFFFF"/>
        </w:rPr>
        <w:t xml:space="preserve"> </w:t>
      </w:r>
      <w:r w:rsidRPr="002D1241">
        <w:rPr>
          <w:rFonts w:ascii="Verdana" w:hAnsi="Verdana" w:cs="Arial"/>
          <w:i/>
          <w:iCs/>
          <w:sz w:val="20"/>
          <w:szCs w:val="20"/>
          <w:shd w:val="clear" w:color="auto" w:fill="FFFFFF"/>
        </w:rPr>
        <w:t>de ejecución del contrato nuevo?</w:t>
      </w:r>
      <w:r w:rsidR="002871DA">
        <w:rPr>
          <w:rFonts w:ascii="Verdana" w:hAnsi="Verdana" w:cs="Arial"/>
          <w:i/>
          <w:iCs/>
          <w:sz w:val="20"/>
          <w:szCs w:val="20"/>
          <w:shd w:val="clear" w:color="auto" w:fill="FFFFFF"/>
        </w:rPr>
        <w:t>”.</w:t>
      </w:r>
    </w:p>
    <w:p w14:paraId="4ADD6982" w14:textId="77777777" w:rsidR="008D024B" w:rsidRPr="00A77871" w:rsidRDefault="008D024B" w:rsidP="008D024B">
      <w:pPr>
        <w:spacing w:before="240" w:after="120" w:line="276" w:lineRule="auto"/>
        <w:jc w:val="both"/>
        <w:rPr>
          <w:rFonts w:ascii="Verdana" w:eastAsia="Calibri" w:hAnsi="Verdana" w:cs="Arial"/>
          <w:color w:val="000000"/>
          <w:lang w:eastAsia="es-ES"/>
        </w:rPr>
      </w:pPr>
      <w:r w:rsidRPr="005101AB">
        <w:rPr>
          <w:rFonts w:ascii="Verdana" w:eastAsia="Calibri" w:hAnsi="Verdana" w:cs="Arial"/>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w:t>
      </w:r>
      <w:r w:rsidRPr="00A77871">
        <w:rPr>
          <w:rFonts w:ascii="Verdana" w:eastAsia="Calibri" w:hAnsi="Verdana" w:cs="Arial"/>
          <w:color w:val="000000"/>
          <w:lang w:eastAsia="es-ES"/>
        </w:rPr>
        <w:t xml:space="preserve">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77871">
        <w:rPr>
          <w:rFonts w:ascii="Verdana" w:eastAsia="Calibri" w:hAnsi="Verdana" w:cs="Arial"/>
          <w:color w:val="000000"/>
          <w:lang w:eastAsia="es-ES_tradnl"/>
        </w:rPr>
        <w:tab/>
      </w:r>
    </w:p>
    <w:p w14:paraId="2B257186" w14:textId="77777777" w:rsidR="008D024B" w:rsidRPr="00A77871" w:rsidRDefault="008D024B" w:rsidP="008D024B">
      <w:pPr>
        <w:spacing w:line="276" w:lineRule="auto"/>
        <w:jc w:val="both"/>
        <w:rPr>
          <w:rFonts w:ascii="Verdana" w:eastAsia="Calibri" w:hAnsi="Verdana" w:cs="Arial"/>
          <w:b/>
          <w:bCs/>
          <w:color w:val="000000"/>
          <w:lang w:eastAsia="es-ES"/>
        </w:rPr>
      </w:pPr>
      <w:r w:rsidRPr="00A7787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problemas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jurídicos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de su consulta.</w:t>
      </w:r>
      <w:r w:rsidRPr="00A77871">
        <w:rPr>
          <w:rFonts w:ascii="Verdana" w:eastAsia="Calibri" w:hAnsi="Verdana" w:cs="Arial"/>
          <w:b/>
          <w:bCs/>
          <w:color w:val="000000"/>
          <w:lang w:eastAsia="es-ES"/>
        </w:rPr>
        <w:t xml:space="preserve"> </w:t>
      </w:r>
    </w:p>
    <w:p w14:paraId="5680FE97" w14:textId="77777777" w:rsidR="008D024B" w:rsidRPr="001B415F" w:rsidRDefault="008D024B" w:rsidP="00D60A86">
      <w:pPr>
        <w:numPr>
          <w:ilvl w:val="0"/>
          <w:numId w:val="16"/>
        </w:numPr>
        <w:tabs>
          <w:tab w:val="left" w:pos="142"/>
          <w:tab w:val="left" w:pos="284"/>
        </w:tabs>
        <w:spacing w:after="0" w:line="276" w:lineRule="auto"/>
        <w:ind w:left="0" w:firstLine="357"/>
        <w:contextualSpacing/>
        <w:jc w:val="both"/>
        <w:rPr>
          <w:rFonts w:ascii="Verdana" w:eastAsia="Century Gothic" w:hAnsi="Verdana" w:cs="Century Gothic"/>
        </w:rPr>
      </w:pPr>
      <w:r w:rsidRPr="001B415F">
        <w:rPr>
          <w:rFonts w:ascii="Verdana" w:eastAsia="Century Gothic" w:hAnsi="Verdana" w:cs="Century Gothic"/>
          <w:b/>
          <w:bCs/>
        </w:rPr>
        <w:t>Problema planteado:</w:t>
      </w:r>
    </w:p>
    <w:p w14:paraId="1C73E933" w14:textId="69185417" w:rsidR="0090753D" w:rsidRDefault="008D024B" w:rsidP="00D60A86">
      <w:pPr>
        <w:spacing w:before="240" w:line="276" w:lineRule="auto"/>
        <w:jc w:val="both"/>
        <w:rPr>
          <w:rFonts w:ascii="Verdana" w:eastAsia="Calibri" w:hAnsi="Verdana" w:cs="Times New Roman"/>
          <w:iCs/>
          <w:lang w:val="es-ES"/>
        </w:rPr>
      </w:pPr>
      <w:r w:rsidRPr="00A77871">
        <w:rPr>
          <w:rFonts w:ascii="Verdana" w:eastAsia="Century Gothic" w:hAnsi="Verdana" w:cs="Century Gothic"/>
        </w:rPr>
        <w:t xml:space="preserve">De acuerdo con el contenido de su solicitud, esta Agencia resolverá </w:t>
      </w:r>
      <w:r w:rsidR="00B609A7">
        <w:rPr>
          <w:rFonts w:ascii="Verdana" w:eastAsia="Century Gothic" w:hAnsi="Verdana" w:cs="Century Gothic"/>
        </w:rPr>
        <w:t>el</w:t>
      </w:r>
      <w:r w:rsidRPr="00A77871">
        <w:rPr>
          <w:rFonts w:ascii="Verdana" w:eastAsia="Century Gothic" w:hAnsi="Verdana" w:cs="Century Gothic"/>
        </w:rPr>
        <w:t xml:space="preserve"> siguiente problema jurídico</w:t>
      </w:r>
      <w:r w:rsidRPr="00C853DB">
        <w:rPr>
          <w:rFonts w:ascii="Verdana" w:eastAsia="Century Gothic" w:hAnsi="Verdana" w:cs="Century Gothic"/>
        </w:rPr>
        <w:t>:</w:t>
      </w:r>
      <w:r w:rsidRPr="008D15EE">
        <w:rPr>
          <w:rFonts w:ascii="Verdana" w:eastAsia="Century Gothic" w:hAnsi="Verdana" w:cs="Century Gothic"/>
        </w:rPr>
        <w:t xml:space="preserve"> </w:t>
      </w:r>
      <w:r w:rsidR="00B609A7">
        <w:rPr>
          <w:rFonts w:ascii="Verdana" w:eastAsia="Century Gothic" w:hAnsi="Verdana" w:cs="Century Gothic"/>
        </w:rPr>
        <w:t>¿</w:t>
      </w:r>
      <w:r w:rsidR="00B609A7" w:rsidRPr="00B609A7">
        <w:rPr>
          <w:rFonts w:ascii="Verdana" w:eastAsia="Century Gothic" w:hAnsi="Verdana" w:cs="Century Gothic"/>
        </w:rPr>
        <w:t>A partir de qué momento puede operar el reajuste del canon de arrendamiento en los contratos estatales de arrendamiento de bienes inmuebles y, en el caso de contratos sucesivos sobre un mismo inmueble, puede establecerse como referencia para dicho reajuste la fecha histórica de ocupación del bien?</w:t>
      </w:r>
    </w:p>
    <w:p w14:paraId="4A9E2863" w14:textId="70A3A94E" w:rsidR="008951E7" w:rsidRDefault="008D024B" w:rsidP="00A57936">
      <w:pPr>
        <w:numPr>
          <w:ilvl w:val="0"/>
          <w:numId w:val="16"/>
        </w:numPr>
        <w:tabs>
          <w:tab w:val="left" w:pos="142"/>
          <w:tab w:val="left" w:pos="284"/>
        </w:tabs>
        <w:spacing w:line="276" w:lineRule="auto"/>
        <w:ind w:left="0" w:firstLine="357"/>
        <w:contextualSpacing/>
        <w:jc w:val="both"/>
        <w:rPr>
          <w:rFonts w:ascii="Verdana" w:eastAsia="Century Gothic" w:hAnsi="Verdana" w:cs="Century Gothic"/>
        </w:rPr>
      </w:pPr>
      <w:r w:rsidRPr="00F76786">
        <w:rPr>
          <w:rFonts w:ascii="Verdana" w:eastAsia="Century Gothic" w:hAnsi="Verdana" w:cs="Century Gothic"/>
          <w:b/>
          <w:bCs/>
        </w:rPr>
        <w:t xml:space="preserve"> Respuesta</w:t>
      </w:r>
      <w:r w:rsidR="00A57936">
        <w:rPr>
          <w:rFonts w:ascii="Verdana" w:eastAsia="Century Gothic" w:hAnsi="Verdana" w:cs="Century Gothic"/>
          <w:b/>
          <w:bCs/>
        </w:rPr>
        <w:t>:</w:t>
      </w:r>
    </w:p>
    <w:p w14:paraId="73DAF65D" w14:textId="77777777" w:rsidR="00A57936" w:rsidRPr="00A57936" w:rsidRDefault="00A57936" w:rsidP="00A57936">
      <w:pPr>
        <w:tabs>
          <w:tab w:val="left" w:pos="142"/>
          <w:tab w:val="left" w:pos="284"/>
        </w:tabs>
        <w:spacing w:line="276" w:lineRule="auto"/>
        <w:contextualSpacing/>
        <w:jc w:val="both"/>
        <w:rPr>
          <w:rFonts w:ascii="Verdana" w:eastAsia="Century Gothic" w:hAnsi="Verdana" w:cs="Century Gothic"/>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D024B" w:rsidRPr="00A77871" w14:paraId="2D91B2B7" w14:textId="77777777" w:rsidTr="00F44B6A">
        <w:trPr>
          <w:jc w:val="center"/>
        </w:trPr>
        <w:tc>
          <w:tcPr>
            <w:tcW w:w="8828" w:type="dxa"/>
          </w:tcPr>
          <w:p w14:paraId="00124362" w14:textId="2ACE0872" w:rsidR="005834BD" w:rsidRPr="005834BD" w:rsidRDefault="00215B4B" w:rsidP="005834BD">
            <w:pPr>
              <w:spacing w:after="120" w:line="276" w:lineRule="auto"/>
              <w:jc w:val="both"/>
              <w:rPr>
                <w:rFonts w:ascii="Verdana" w:eastAsia="Calibri" w:hAnsi="Verdana"/>
                <w:color w:val="000000" w:themeColor="text1"/>
              </w:rPr>
            </w:pPr>
            <w:bookmarkStart w:id="3" w:name="_Hlk171694685"/>
            <w:r>
              <w:rPr>
                <w:rFonts w:ascii="Verdana" w:eastAsia="Calibri" w:hAnsi="Verdana"/>
                <w:color w:val="000000" w:themeColor="text1"/>
              </w:rPr>
              <w:t xml:space="preserve">Para resolver el problema jurídico planteado es </w:t>
            </w:r>
            <w:r w:rsidR="00155E57">
              <w:rPr>
                <w:rFonts w:ascii="Verdana" w:eastAsia="Calibri" w:hAnsi="Verdana"/>
                <w:color w:val="000000" w:themeColor="text1"/>
              </w:rPr>
              <w:t>menester</w:t>
            </w:r>
            <w:r w:rsidR="00AB5920">
              <w:rPr>
                <w:rFonts w:ascii="Verdana" w:eastAsia="Calibri" w:hAnsi="Verdana"/>
                <w:color w:val="000000" w:themeColor="text1"/>
              </w:rPr>
              <w:t xml:space="preserve"> acotar</w:t>
            </w:r>
            <w:r>
              <w:rPr>
                <w:rFonts w:ascii="Verdana" w:eastAsia="Calibri" w:hAnsi="Verdana"/>
                <w:color w:val="000000" w:themeColor="text1"/>
              </w:rPr>
              <w:t xml:space="preserve"> </w:t>
            </w:r>
            <w:r w:rsidR="00AB5920">
              <w:rPr>
                <w:rFonts w:ascii="Verdana" w:eastAsia="Calibri" w:hAnsi="Verdana"/>
                <w:color w:val="000000" w:themeColor="text1"/>
              </w:rPr>
              <w:t>que,</w:t>
            </w:r>
            <w:r w:rsidR="0041343D">
              <w:rPr>
                <w:rFonts w:ascii="Verdana" w:eastAsia="Calibri" w:hAnsi="Verdana"/>
                <w:color w:val="000000" w:themeColor="text1"/>
              </w:rPr>
              <w:t xml:space="preserve"> e</w:t>
            </w:r>
            <w:r w:rsidR="005834BD" w:rsidRPr="005834BD">
              <w:rPr>
                <w:rFonts w:ascii="Verdana" w:eastAsia="Calibri" w:hAnsi="Verdana"/>
                <w:color w:val="000000" w:themeColor="text1"/>
              </w:rPr>
              <w:t>n relación con la estipulación del incremento del canon de arrendamiento, es</w:t>
            </w:r>
            <w:r w:rsidR="00155E57">
              <w:rPr>
                <w:rFonts w:ascii="Verdana" w:eastAsia="Calibri" w:hAnsi="Verdana"/>
                <w:color w:val="000000" w:themeColor="text1"/>
              </w:rPr>
              <w:t xml:space="preserve"> necesario</w:t>
            </w:r>
            <w:r w:rsidR="005834BD" w:rsidRPr="005834BD">
              <w:rPr>
                <w:rFonts w:ascii="Verdana" w:eastAsia="Calibri" w:hAnsi="Verdana"/>
                <w:color w:val="000000" w:themeColor="text1"/>
              </w:rPr>
              <w:t xml:space="preserve"> precisar que la determinación de las condiciones económicas del contrato corresponde a las partes, en ejercicio de la autonomía de la voluntad y dentro de los límites establecidos por el ordenamiento jurídico. En consecuencia, desde la estructuración del negocio jurídico, estas pueden establecer el precio del arrendamiento, los conceptos que lo integran y las </w:t>
            </w:r>
            <w:r w:rsidR="005834BD" w:rsidRPr="005834BD">
              <w:rPr>
                <w:rFonts w:ascii="Verdana" w:eastAsia="Calibri" w:hAnsi="Verdana"/>
                <w:color w:val="000000" w:themeColor="text1"/>
              </w:rPr>
              <w:lastRenderedPageBreak/>
              <w:t>condiciones bajo las cuales procederá su eventual reajuste, atendiendo a la naturaleza del contrato, las necesidades de la entidad estatal y las condiciones del mercado inmobiliario.</w:t>
            </w:r>
          </w:p>
          <w:p w14:paraId="57AFB07C" w14:textId="1BF8DD54" w:rsidR="005834BD" w:rsidRPr="005834BD" w:rsidRDefault="005834BD" w:rsidP="005834BD">
            <w:pPr>
              <w:spacing w:after="120" w:line="276" w:lineRule="auto"/>
              <w:jc w:val="both"/>
              <w:rPr>
                <w:rFonts w:ascii="Verdana" w:eastAsia="Calibri" w:hAnsi="Verdana"/>
                <w:color w:val="000000" w:themeColor="text1"/>
              </w:rPr>
            </w:pPr>
            <w:r w:rsidRPr="005834BD">
              <w:rPr>
                <w:rFonts w:ascii="Verdana" w:eastAsia="Calibri" w:hAnsi="Verdana"/>
                <w:color w:val="000000" w:themeColor="text1"/>
              </w:rPr>
              <w:t xml:space="preserve">En este sentido, las partes pueden acordar un mecanismo de reajuste del canon, definiendo la fórmula o el porcentaje aplicable y el momento a partir del cual operará, de manera que las obligaciones económicas sean claras, objetivas y determinables desde la </w:t>
            </w:r>
            <w:r w:rsidR="008B02F7">
              <w:rPr>
                <w:rFonts w:ascii="Verdana" w:eastAsia="Calibri" w:hAnsi="Verdana"/>
                <w:color w:val="000000" w:themeColor="text1"/>
              </w:rPr>
              <w:t xml:space="preserve">estructuración y posterior </w:t>
            </w:r>
            <w:r w:rsidRPr="005834BD">
              <w:rPr>
                <w:rFonts w:ascii="Verdana" w:eastAsia="Calibri" w:hAnsi="Verdana"/>
                <w:color w:val="000000" w:themeColor="text1"/>
              </w:rPr>
              <w:t>celebración del contrato. Cuando estos elementos han sido definidos previamente, la aplicación del reajuste corresponde al cumplimiento de una condición contractual pactada y no constituye, por ese solo hecho, una modificación del contrato, aun cuando implique una variación del valor que debe pagarse durante su ejecución.</w:t>
            </w:r>
          </w:p>
          <w:p w14:paraId="0A12737F" w14:textId="77777777" w:rsidR="005834BD" w:rsidRPr="005834BD" w:rsidRDefault="005834BD" w:rsidP="005834BD">
            <w:pPr>
              <w:spacing w:after="120" w:line="276" w:lineRule="auto"/>
              <w:jc w:val="both"/>
              <w:rPr>
                <w:rFonts w:ascii="Verdana" w:eastAsia="Calibri" w:hAnsi="Verdana"/>
                <w:color w:val="000000" w:themeColor="text1"/>
              </w:rPr>
            </w:pPr>
            <w:r w:rsidRPr="005834BD">
              <w:rPr>
                <w:rFonts w:ascii="Verdana" w:eastAsia="Calibri" w:hAnsi="Verdana"/>
                <w:color w:val="000000" w:themeColor="text1"/>
              </w:rPr>
              <w:t>Distinto es el supuesto en el que, durante la ejecución contractual, se pretenda introducir un incremento del canon que no fue contemplado inicialmente. En tal caso, se trataría de modificar las condiciones económicas del negocio jurídico, cuya procedencia deberá analizarse conforme al régimen aplicable a la modificación de los contratos estatales. Por consiguiente, la autonomía de la voluntad no habilita a las partes para desconocer las disposiciones legales aplicables ni permite que una de ellas imponga unilateralmente un incremento no previsto en el contrato.</w:t>
            </w:r>
          </w:p>
          <w:p w14:paraId="00E58637" w14:textId="77777777" w:rsidR="005834BD" w:rsidRPr="005834BD" w:rsidRDefault="005834BD" w:rsidP="005834BD">
            <w:pPr>
              <w:spacing w:after="120" w:line="276" w:lineRule="auto"/>
              <w:jc w:val="both"/>
              <w:rPr>
                <w:rFonts w:ascii="Verdana" w:eastAsia="Calibri" w:hAnsi="Verdana"/>
                <w:color w:val="000000" w:themeColor="text1"/>
              </w:rPr>
            </w:pPr>
            <w:r w:rsidRPr="005834BD">
              <w:rPr>
                <w:rFonts w:ascii="Verdana" w:eastAsia="Calibri" w:hAnsi="Verdana"/>
                <w:color w:val="000000" w:themeColor="text1"/>
              </w:rPr>
              <w:t>Estas consideraciones también resultan aplicables cuando se celebran contratos sucesivos de arrendamiento respecto de un mismo inmueble. En efecto, la celebración de un nuevo contrato constituye un vínculo jurídico distinto, cuyas condiciones económicas deben definirse desde su estructuración y celebración. Por tanto, la continuidad material en la ocupación del inmueble no determina, por sí sola, que el reajuste del canon deba calcularse desde la fecha histórica de ocupación, ni implica necesariamente que este solo pueda operar una vez transcurrido un año desde la celebración del nuevo contrato.</w:t>
            </w:r>
          </w:p>
          <w:p w14:paraId="005A8C81" w14:textId="77777777" w:rsidR="005834BD" w:rsidRPr="005834BD" w:rsidRDefault="005834BD" w:rsidP="005834BD">
            <w:pPr>
              <w:spacing w:after="120" w:line="276" w:lineRule="auto"/>
              <w:jc w:val="both"/>
              <w:rPr>
                <w:rFonts w:ascii="Verdana" w:eastAsia="Calibri" w:hAnsi="Verdana"/>
                <w:color w:val="000000" w:themeColor="text1"/>
              </w:rPr>
            </w:pPr>
            <w:r w:rsidRPr="005834BD">
              <w:rPr>
                <w:rFonts w:ascii="Verdana" w:eastAsia="Calibri" w:hAnsi="Verdana"/>
                <w:color w:val="000000" w:themeColor="text1"/>
              </w:rPr>
              <w:t xml:space="preserve">En este último supuesto, las partes pueden establecer expresamente en el nuevo contrato la fecha o el mecanismo que servirá de referencia para determinar el reajuste del canon, incluida la fecha histórica de ocupación del inmueble, siempre que la estipulación sea objetiva y determinable, cuente con una justificación económica y de mercado, y resulte compatible con el ordenamiento jurídico y los principios que rigen la contratación estatal. En </w:t>
            </w:r>
            <w:r w:rsidRPr="005834BD">
              <w:rPr>
                <w:rFonts w:ascii="Verdana" w:eastAsia="Calibri" w:hAnsi="Verdana"/>
                <w:color w:val="000000" w:themeColor="text1"/>
              </w:rPr>
              <w:lastRenderedPageBreak/>
              <w:t>consecuencia, la utilización de dicha fecha como referencia no opera automáticamente por la sola continuidad en la ocupación del bien, sino que debe derivarse de las condiciones expresamente acordadas para el nuevo vínculo contractual.</w:t>
            </w:r>
          </w:p>
          <w:p w14:paraId="2CCCDDE6" w14:textId="12C82065" w:rsidR="005834BD" w:rsidRPr="005834BD" w:rsidRDefault="002F64F0" w:rsidP="005834BD">
            <w:pPr>
              <w:spacing w:after="120" w:line="276" w:lineRule="auto"/>
              <w:jc w:val="both"/>
              <w:rPr>
                <w:rFonts w:ascii="Verdana" w:eastAsia="Calibri" w:hAnsi="Verdana"/>
                <w:color w:val="000000" w:themeColor="text1"/>
              </w:rPr>
            </w:pPr>
            <w:r>
              <w:rPr>
                <w:rFonts w:ascii="Verdana" w:eastAsia="Calibri" w:hAnsi="Verdana"/>
                <w:color w:val="000000" w:themeColor="text1"/>
              </w:rPr>
              <w:t>Así</w:t>
            </w:r>
            <w:r w:rsidR="005834BD" w:rsidRPr="005834BD">
              <w:rPr>
                <w:rFonts w:ascii="Verdana" w:eastAsia="Calibri" w:hAnsi="Verdana"/>
                <w:color w:val="000000" w:themeColor="text1"/>
              </w:rPr>
              <w:t>, el momento a partir del cual puede operar el reajuste del canon de arrendamiento depende del mecanismo y de las condiciones económicas pactadas por las partes en el respectivo contrato. En los contratos sucesivos sobre un mismo inmueble, la fecha histórica de ocupación puede establecerse como referencia para determinar dicho reajuste, siempre que se incorpore expresamente en el nuevo contrato y cuente con la correspondiente justificación económica y de mercado.</w:t>
            </w:r>
          </w:p>
          <w:p w14:paraId="3624670A" w14:textId="7F7E4A2D" w:rsidR="008D024B" w:rsidRPr="00A54773" w:rsidRDefault="00B90BE9" w:rsidP="00B90BE9">
            <w:pPr>
              <w:tabs>
                <w:tab w:val="left" w:pos="426"/>
              </w:tabs>
              <w:spacing w:before="240" w:after="120" w:line="276" w:lineRule="auto"/>
              <w:jc w:val="both"/>
              <w:rPr>
                <w:rFonts w:ascii="Verdana" w:hAnsi="Verdana" w:cs="Arial"/>
                <w:lang w:val="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bookmarkEnd w:id="3"/>
    </w:tbl>
    <w:p w14:paraId="4981E647" w14:textId="77777777" w:rsidR="008D024B" w:rsidRDefault="008D024B" w:rsidP="008D024B">
      <w:pPr>
        <w:tabs>
          <w:tab w:val="left" w:pos="142"/>
          <w:tab w:val="left" w:pos="284"/>
        </w:tabs>
        <w:spacing w:before="240" w:line="276" w:lineRule="auto"/>
        <w:ind w:left="357"/>
        <w:contextualSpacing/>
        <w:jc w:val="both"/>
        <w:rPr>
          <w:rFonts w:ascii="Verdana" w:eastAsia="Century Gothic" w:hAnsi="Verdana" w:cs="Century Gothic"/>
          <w:b/>
          <w:bCs/>
        </w:rPr>
      </w:pPr>
    </w:p>
    <w:p w14:paraId="176C1CCB" w14:textId="77777777" w:rsidR="008D024B" w:rsidRPr="00A77871" w:rsidRDefault="008D024B" w:rsidP="008D024B">
      <w:pPr>
        <w:numPr>
          <w:ilvl w:val="0"/>
          <w:numId w:val="16"/>
        </w:numPr>
        <w:tabs>
          <w:tab w:val="left" w:pos="142"/>
          <w:tab w:val="left" w:pos="284"/>
        </w:tabs>
        <w:spacing w:before="240" w:line="276" w:lineRule="auto"/>
        <w:ind w:left="0" w:firstLine="357"/>
        <w:contextualSpacing/>
        <w:jc w:val="both"/>
        <w:rPr>
          <w:rFonts w:ascii="Verdana" w:eastAsia="Century Gothic" w:hAnsi="Verdana" w:cs="Century Gothic"/>
          <w:b/>
          <w:bCs/>
        </w:rPr>
      </w:pPr>
      <w:r w:rsidRPr="00A77871">
        <w:rPr>
          <w:rFonts w:ascii="Verdana" w:eastAsia="Century Gothic" w:hAnsi="Verdana" w:cs="Century Gothic"/>
          <w:b/>
          <w:bCs/>
        </w:rPr>
        <w:t>Razones de la respuesta:</w:t>
      </w:r>
    </w:p>
    <w:p w14:paraId="299959E9" w14:textId="77777777" w:rsidR="008D024B" w:rsidRDefault="008D024B" w:rsidP="008D024B">
      <w:pPr>
        <w:spacing w:before="240" w:line="276" w:lineRule="auto"/>
        <w:jc w:val="both"/>
        <w:rPr>
          <w:rFonts w:ascii="Verdana" w:eastAsia="Calibri" w:hAnsi="Verdana" w:cs="Arial"/>
        </w:rPr>
      </w:pPr>
      <w:r w:rsidRPr="00454A35">
        <w:rPr>
          <w:rFonts w:ascii="Verdana" w:eastAsia="Calibri" w:hAnsi="Verdana" w:cs="Arial"/>
        </w:rPr>
        <w:t>Lo anterior se sustenta en las siguientes consideraciones:</w:t>
      </w:r>
    </w:p>
    <w:p w14:paraId="141448BB" w14:textId="77777777" w:rsidR="00E53A27" w:rsidRPr="007739D1" w:rsidRDefault="00E53A27" w:rsidP="00E53A27">
      <w:pPr>
        <w:spacing w:after="120" w:line="276" w:lineRule="auto"/>
        <w:jc w:val="both"/>
        <w:rPr>
          <w:rFonts w:ascii="Verdana" w:hAnsi="Verdana" w:cs="Arial"/>
        </w:rPr>
      </w:pPr>
      <w:r w:rsidRPr="007739D1">
        <w:rPr>
          <w:rFonts w:ascii="Verdana" w:eastAsia="Calibri" w:hAnsi="Verdana" w:cs="Arial"/>
          <w:lang w:val="es-ES"/>
        </w:rPr>
        <w:t xml:space="preserve">El Estatuto General de Contratación de la Administración Pública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7739D1">
        <w:rPr>
          <w:rFonts w:ascii="Verdana" w:hAnsi="Verdana" w:cs="Arial"/>
        </w:rPr>
        <w:t xml:space="preserve">el inciso primero del artículo 13 dispone: “Los contratos que celebren las entidades a que se refiere el artículo 2o. del presente estatuto se regirán por las disposiciones comerciales y civiles pertinentes, salvo en las materias particularmente reguladas en esta ley”. </w:t>
      </w:r>
    </w:p>
    <w:p w14:paraId="6936EB5F" w14:textId="77777777" w:rsidR="00E53A27" w:rsidRPr="007739D1" w:rsidRDefault="00E53A27" w:rsidP="00E53A27">
      <w:pPr>
        <w:spacing w:after="120" w:line="276" w:lineRule="auto"/>
        <w:ind w:firstLine="709"/>
        <w:jc w:val="both"/>
        <w:rPr>
          <w:rFonts w:ascii="Verdana" w:hAnsi="Verdana" w:cs="Arial"/>
        </w:rPr>
      </w:pPr>
      <w:r w:rsidRPr="007739D1">
        <w:rPr>
          <w:rFonts w:ascii="Verdana" w:hAnsi="Verdana" w:cs="Arial"/>
        </w:rPr>
        <w:t xml:space="preserve">Dicha idea también se reitera en el EGCAP considerando que: “Son contratos estatales todos los actos jurídicos generadores de obligaciones que celebren las entidades a que se refiere el presente estatuto, previstos en el </w:t>
      </w:r>
      <w:r w:rsidRPr="007739D1">
        <w:rPr>
          <w:rFonts w:ascii="Verdana" w:hAnsi="Verdana" w:cs="Arial"/>
        </w:rPr>
        <w:lastRenderedPageBreak/>
        <w:t>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7AF0999D" w14:textId="77777777" w:rsidR="00E53A27" w:rsidRPr="007739D1" w:rsidRDefault="00E53A27" w:rsidP="00E53A27">
      <w:pPr>
        <w:spacing w:after="0" w:line="276" w:lineRule="auto"/>
        <w:ind w:firstLine="708"/>
        <w:jc w:val="both"/>
        <w:rPr>
          <w:rFonts w:ascii="Verdana" w:hAnsi="Verdana" w:cs="Arial"/>
        </w:rPr>
      </w:pPr>
      <w:r w:rsidRPr="007739D1">
        <w:rPr>
          <w:rFonts w:ascii="Verdana" w:hAnsi="Verdana" w:cs="Arial"/>
        </w:rPr>
        <w:t>De esta manera, los contratos de las entidades sometidas al EGCAP se rigen generalmente por el derecho privado y, excepcionalmente, por el derecho público, pues las normas civiles y comerciales son el derecho común de los contratos estatales</w:t>
      </w:r>
      <w:r w:rsidRPr="007739D1">
        <w:rPr>
          <w:rFonts w:ascii="Verdana" w:hAnsi="Verdana" w:cs="Arial"/>
          <w:vertAlign w:val="superscript"/>
        </w:rPr>
        <w:footnoteReference w:id="1"/>
      </w:r>
      <w:r w:rsidRPr="007739D1">
        <w:rPr>
          <w:rFonts w:ascii="Verdana" w:hAnsi="Verdana" w:cs="Arial"/>
        </w:rPr>
        <w:t>. Para la doctrina, la mixtura del régimen contractual:</w:t>
      </w:r>
    </w:p>
    <w:p w14:paraId="7B4210C5" w14:textId="77777777" w:rsidR="00E53A27" w:rsidRPr="007739D1" w:rsidRDefault="00E53A27" w:rsidP="00E53A27">
      <w:pPr>
        <w:spacing w:after="0" w:line="276" w:lineRule="auto"/>
        <w:ind w:firstLine="709"/>
        <w:jc w:val="both"/>
        <w:rPr>
          <w:rFonts w:ascii="Verdana" w:hAnsi="Verdana" w:cs="Arial"/>
        </w:rPr>
      </w:pPr>
    </w:p>
    <w:p w14:paraId="308A55C5" w14:textId="77777777" w:rsidR="00E53A27" w:rsidRPr="007739D1" w:rsidRDefault="00E53A27" w:rsidP="00E53A27">
      <w:pPr>
        <w:spacing w:after="0" w:line="240" w:lineRule="auto"/>
        <w:ind w:left="709" w:right="709"/>
        <w:jc w:val="both"/>
        <w:rPr>
          <w:rFonts w:ascii="Verdana" w:hAnsi="Verdana" w:cs="Arial"/>
          <w:sz w:val="20"/>
          <w:szCs w:val="20"/>
        </w:rPr>
      </w:pPr>
      <w:r w:rsidRPr="007739D1">
        <w:rPr>
          <w:rFonts w:ascii="Verdana" w:hAnsi="Verdana" w:cs="Arial"/>
          <w:sz w:val="20"/>
          <w:szCs w:val="20"/>
        </w:rPr>
        <w:t xml:space="preserve">“[…] no hace otra cosa que aprovechar ciertos principios rectores de la contratación general </w:t>
      </w:r>
      <w:proofErr w:type="gramStart"/>
      <w:r w:rsidRPr="007739D1">
        <w:rPr>
          <w:rFonts w:ascii="Verdana" w:hAnsi="Verdana" w:cs="Arial"/>
          <w:sz w:val="20"/>
          <w:szCs w:val="20"/>
        </w:rPr>
        <w:t>que</w:t>
      </w:r>
      <w:proofErr w:type="gramEnd"/>
      <w:r w:rsidRPr="007739D1">
        <w:rPr>
          <w:rFonts w:ascii="Verdana" w:hAnsi="Verdana" w:cs="Arial"/>
          <w:sz w:val="20"/>
          <w:szCs w:val="20"/>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46093850" w14:textId="77777777" w:rsidR="00E53A27" w:rsidRPr="007739D1" w:rsidRDefault="00E53A27" w:rsidP="00E53A27">
      <w:pPr>
        <w:spacing w:after="0" w:line="240" w:lineRule="auto"/>
        <w:ind w:right="709"/>
        <w:jc w:val="both"/>
        <w:rPr>
          <w:rFonts w:ascii="Verdana" w:hAnsi="Verdana" w:cs="Arial"/>
          <w:sz w:val="20"/>
          <w:szCs w:val="20"/>
        </w:rPr>
      </w:pPr>
      <w:r w:rsidRPr="007739D1">
        <w:rPr>
          <w:rFonts w:ascii="Verdana" w:hAnsi="Verdana" w:cs="Arial"/>
          <w:sz w:val="20"/>
          <w:szCs w:val="20"/>
        </w:rPr>
        <w:tab/>
      </w:r>
    </w:p>
    <w:p w14:paraId="6AC2356B" w14:textId="77777777" w:rsidR="00E53A27" w:rsidRPr="007739D1" w:rsidRDefault="00E53A27" w:rsidP="00E53A27">
      <w:pPr>
        <w:spacing w:after="0" w:line="240" w:lineRule="auto"/>
        <w:ind w:left="709" w:right="709"/>
        <w:jc w:val="both"/>
        <w:rPr>
          <w:rFonts w:ascii="Verdana" w:hAnsi="Verdana" w:cs="Arial"/>
          <w:sz w:val="20"/>
          <w:szCs w:val="20"/>
        </w:rPr>
      </w:pPr>
      <w:r w:rsidRPr="007739D1">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7739D1">
        <w:rPr>
          <w:rFonts w:ascii="Verdana" w:hAnsi="Verdana" w:cs="Arial"/>
          <w:sz w:val="20"/>
          <w:szCs w:val="20"/>
          <w:vertAlign w:val="superscript"/>
        </w:rPr>
        <w:footnoteReference w:id="2"/>
      </w:r>
      <w:r w:rsidRPr="007739D1">
        <w:rPr>
          <w:rFonts w:ascii="Verdana" w:hAnsi="Verdana" w:cs="Arial"/>
          <w:sz w:val="20"/>
          <w:szCs w:val="20"/>
        </w:rPr>
        <w:t xml:space="preserve">. </w:t>
      </w:r>
    </w:p>
    <w:p w14:paraId="37883A57" w14:textId="77777777" w:rsidR="00E53A27" w:rsidRPr="007739D1" w:rsidRDefault="00E53A27" w:rsidP="00E53A27">
      <w:pPr>
        <w:spacing w:after="0" w:line="276" w:lineRule="auto"/>
        <w:ind w:left="709" w:right="709"/>
        <w:jc w:val="both"/>
        <w:rPr>
          <w:rFonts w:ascii="Verdana" w:hAnsi="Verdana" w:cs="Arial"/>
        </w:rPr>
      </w:pPr>
      <w:r w:rsidRPr="007739D1">
        <w:rPr>
          <w:rFonts w:ascii="Verdana" w:hAnsi="Verdana" w:cs="Arial"/>
        </w:rPr>
        <w:t xml:space="preserve"> </w:t>
      </w:r>
    </w:p>
    <w:p w14:paraId="3BF0DFC1" w14:textId="0C122A57" w:rsidR="00E53A27" w:rsidRPr="005C185F" w:rsidRDefault="00E53A27" w:rsidP="005C185F">
      <w:pPr>
        <w:spacing w:after="0" w:line="276" w:lineRule="auto"/>
        <w:jc w:val="both"/>
        <w:rPr>
          <w:rFonts w:ascii="Verdana" w:hAnsi="Verdana" w:cs="Arial"/>
        </w:rPr>
      </w:pPr>
      <w:r w:rsidRPr="007739D1">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w:t>
      </w:r>
    </w:p>
    <w:p w14:paraId="22C4BB65" w14:textId="1E78C5F2" w:rsidR="00E53A27" w:rsidRPr="007739D1" w:rsidRDefault="00E53A27" w:rsidP="005C185F">
      <w:pPr>
        <w:tabs>
          <w:tab w:val="left" w:pos="426"/>
        </w:tabs>
        <w:spacing w:before="240" w:after="120" w:line="276" w:lineRule="auto"/>
        <w:ind w:firstLine="425"/>
        <w:jc w:val="both"/>
        <w:rPr>
          <w:rFonts w:ascii="Verdana" w:eastAsia="Arial" w:hAnsi="Verdana" w:cs="Arial"/>
          <w:color w:val="000000" w:themeColor="text1"/>
          <w:lang w:val="es-ES" w:eastAsia="es-ES"/>
        </w:rPr>
      </w:pPr>
      <w:r w:rsidRPr="007739D1">
        <w:rPr>
          <w:rFonts w:ascii="Verdana" w:hAnsi="Verdana" w:cs="Arial"/>
          <w:lang w:val="es-ES"/>
        </w:rPr>
        <w:lastRenderedPageBreak/>
        <w:t>Los contratos se fundan bajo el principio de autonomía de voluntad de las partes, donde ocurren varias personas en la celebración de un negocio que suelen ser quienes materialmente, y en la práctica, actúan como partes del correspondiente acuerdo, es decir, quienes se obligan en virtud de este. En efecto</w:t>
      </w:r>
      <w:r w:rsidRPr="007739D1">
        <w:rPr>
          <w:rFonts w:ascii="Verdana" w:eastAsia="Arial" w:hAnsi="Verdana" w:cs="Arial"/>
          <w:color w:val="000000" w:themeColor="text1"/>
          <w:lang w:val="es-ES" w:eastAsia="es-ES"/>
        </w:rPr>
        <w:t>, el artículo 1495 del Código Civil establece que el “[c]</w:t>
      </w:r>
      <w:proofErr w:type="spellStart"/>
      <w:r w:rsidRPr="007739D1">
        <w:rPr>
          <w:rFonts w:ascii="Verdana" w:eastAsia="Arial" w:hAnsi="Verdana" w:cs="Arial"/>
          <w:color w:val="000000" w:themeColor="text1"/>
          <w:lang w:val="es-ES" w:eastAsia="es-ES"/>
        </w:rPr>
        <w:t>ontrato</w:t>
      </w:r>
      <w:proofErr w:type="spellEnd"/>
      <w:r w:rsidRPr="007739D1">
        <w:rPr>
          <w:rFonts w:ascii="Verdana" w:eastAsia="Arial" w:hAnsi="Verdana" w:cs="Arial"/>
          <w:color w:val="000000" w:themeColor="text1"/>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7055D01B" w14:textId="77777777" w:rsidR="00E53A27" w:rsidRPr="007739D1" w:rsidRDefault="00E53A27" w:rsidP="00E53A27">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7739D1">
        <w:rPr>
          <w:rFonts w:ascii="Verdana" w:eastAsia="Arial" w:hAnsi="Verdana" w:cs="Arial"/>
          <w:color w:val="000000" w:themeColor="text1"/>
          <w:lang w:val="es-ES_tradnl" w:eastAsia="es-ES_tradnl"/>
        </w:rPr>
        <w:t xml:space="preserve">Por su parte, el artículo 1º de la Ley 80 de 1993 determina que su objetivo es disponer de reglas y principios que rigen los contratos de las entidades estatales y, en ese sentido, el artículo 32 </w:t>
      </w:r>
      <w:r w:rsidRPr="007739D1">
        <w:rPr>
          <w:rFonts w:ascii="Verdana" w:eastAsia="Arial" w:hAnsi="Verdana" w:cs="Arial"/>
          <w:i/>
          <w:iCs/>
          <w:color w:val="000000" w:themeColor="text1"/>
          <w:lang w:val="es-ES_tradnl" w:eastAsia="es-ES_tradnl"/>
        </w:rPr>
        <w:t>ibidem</w:t>
      </w:r>
      <w:r w:rsidRPr="007739D1">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De acuerdo con lo anterior, para la definición de contrato estatal basta con que una de las entidades que enumera el artículo 2º de la Ley 80 de 1993</w:t>
      </w:r>
      <w:r w:rsidRPr="007739D1">
        <w:rPr>
          <w:rFonts w:ascii="Verdana" w:eastAsia="Arial" w:hAnsi="Verdana" w:cs="Arial"/>
          <w:color w:val="000000" w:themeColor="text1"/>
          <w:vertAlign w:val="superscript"/>
          <w:lang w:val="es-ES_tradnl" w:eastAsia="es-ES_tradnl"/>
        </w:rPr>
        <w:footnoteReference w:id="3"/>
      </w:r>
      <w:r w:rsidRPr="007739D1">
        <w:rPr>
          <w:rFonts w:ascii="Verdana" w:eastAsia="Arial" w:hAnsi="Verdana" w:cs="Arial"/>
          <w:color w:val="000000" w:themeColor="text1"/>
          <w:lang w:val="es-ES_tradnl" w:eastAsia="es-ES_tradnl"/>
        </w:rPr>
        <w:t xml:space="preserve"> sea una de las partes, sin importar el extremo de la relación jurídico negocial que</w:t>
      </w:r>
      <w:r w:rsidRPr="007739D1">
        <w:rPr>
          <w:rFonts w:ascii="Verdana" w:eastAsia="Arial" w:hAnsi="Verdana" w:cs="Arial"/>
          <w:color w:val="000000" w:themeColor="text1"/>
          <w:spacing w:val="-14"/>
          <w:lang w:val="es-ES_tradnl" w:eastAsia="es-ES_tradnl"/>
        </w:rPr>
        <w:t xml:space="preserve"> </w:t>
      </w:r>
      <w:r w:rsidRPr="007739D1">
        <w:rPr>
          <w:rFonts w:ascii="Verdana" w:eastAsia="Arial" w:hAnsi="Verdana" w:cs="Arial"/>
          <w:color w:val="000000" w:themeColor="text1"/>
          <w:lang w:val="es-ES_tradnl" w:eastAsia="es-ES_tradnl"/>
        </w:rPr>
        <w:t xml:space="preserve">asuma. </w:t>
      </w:r>
    </w:p>
    <w:p w14:paraId="271D816A" w14:textId="77777777" w:rsidR="00E53A27" w:rsidRPr="007739D1" w:rsidRDefault="00E53A27" w:rsidP="00E53A27">
      <w:pPr>
        <w:spacing w:after="120" w:line="276" w:lineRule="auto"/>
        <w:ind w:firstLine="708"/>
        <w:jc w:val="both"/>
        <w:rPr>
          <w:rFonts w:ascii="Verdana" w:eastAsia="Calibri" w:hAnsi="Verdana"/>
          <w:color w:val="000000" w:themeColor="text1"/>
          <w:lang w:val="es-ES"/>
        </w:rPr>
      </w:pPr>
      <w:r w:rsidRPr="007739D1">
        <w:rPr>
          <w:rFonts w:ascii="Verdana" w:eastAsia="Calibri" w:hAnsi="Verdana"/>
          <w:color w:val="000000" w:themeColor="text1"/>
          <w:lang w:val="es-ES"/>
        </w:rPr>
        <w:t xml:space="preserve">Más allá de la tipicidad o no del contrato estatal,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w:t>
      </w:r>
      <w:r w:rsidRPr="007739D1">
        <w:rPr>
          <w:rFonts w:ascii="Verdana" w:eastAsia="Calibri" w:hAnsi="Verdana"/>
          <w:color w:val="000000" w:themeColor="text1"/>
          <w:lang w:val="es-ES"/>
        </w:rPr>
        <w:lastRenderedPageBreak/>
        <w:t xml:space="preserve">comunitarios de las comunidades negras regulados por la Ley 70 de 1993 […] las organizaciones de base de comunidades negras, afrocolombianas, raizales y palenqueras y las demás formas y expresiones organizativas […]; y los consorcios y uniones temporales”. </w:t>
      </w:r>
    </w:p>
    <w:p w14:paraId="31FA7EAC" w14:textId="77777777" w:rsidR="00E53A27" w:rsidRPr="007739D1" w:rsidRDefault="00E53A27" w:rsidP="00E53A27">
      <w:pPr>
        <w:spacing w:after="120" w:line="276" w:lineRule="auto"/>
        <w:ind w:firstLine="709"/>
        <w:jc w:val="both"/>
        <w:rPr>
          <w:rFonts w:ascii="Verdana" w:eastAsia="Calibri" w:hAnsi="Verdana"/>
          <w:color w:val="000000" w:themeColor="text1"/>
        </w:rPr>
      </w:pPr>
      <w:r w:rsidRPr="007739D1">
        <w:rPr>
          <w:rFonts w:ascii="Verdana" w:eastAsia="Calibri" w:hAnsi="Verdana"/>
          <w:color w:val="000000" w:themeColor="text1"/>
        </w:rPr>
        <w:t>Asimismo, para efectos de individualizar sus requisitos esenciales, el artículo 1501 del Código Civil dispone que corresponden a “[…] aquellas cosas sin las cuales, o no produce efecto alguno, o degeneran en otro contrato diferente […]”.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007739D1">
        <w:rPr>
          <w:rFonts w:ascii="Verdana" w:eastAsia="Calibri" w:hAnsi="Verdana"/>
          <w:color w:val="000000" w:themeColor="text1"/>
          <w:vertAlign w:val="superscript"/>
        </w:rPr>
        <w:footnoteReference w:id="4"/>
      </w:r>
      <w:r w:rsidRPr="007739D1">
        <w:rPr>
          <w:rFonts w:ascii="Verdana" w:eastAsia="Calibri" w:hAnsi="Verdana"/>
          <w:color w:val="000000" w:themeColor="text1"/>
        </w:rPr>
        <w:t xml:space="preserve">. </w:t>
      </w:r>
    </w:p>
    <w:p w14:paraId="71DA6B0B" w14:textId="77777777" w:rsidR="00E53A27" w:rsidRPr="007739D1" w:rsidRDefault="00E53A27" w:rsidP="00E53A27">
      <w:pPr>
        <w:spacing w:after="120" w:line="276" w:lineRule="auto"/>
        <w:ind w:firstLine="709"/>
        <w:jc w:val="both"/>
        <w:rPr>
          <w:rFonts w:ascii="Verdana" w:eastAsia="Calibri" w:hAnsi="Verdana"/>
          <w:color w:val="000000" w:themeColor="text1"/>
          <w:lang w:val="es-ES"/>
        </w:rPr>
      </w:pPr>
      <w:r>
        <w:rPr>
          <w:rFonts w:ascii="Verdana" w:eastAsia="Calibri" w:hAnsi="Verdana"/>
          <w:color w:val="000000" w:themeColor="text1"/>
        </w:rPr>
        <w:t>En referencia a</w:t>
      </w:r>
      <w:r w:rsidRPr="007739D1">
        <w:rPr>
          <w:rFonts w:ascii="Verdana" w:eastAsia="Calibri" w:hAnsi="Verdana"/>
          <w:color w:val="000000" w:themeColor="text1"/>
          <w:lang w:val="es-ES"/>
        </w:rPr>
        <w:t xml:space="preserve"> la tipicidad o no del negocio, la existencia de los contratos estatales, es decir, la producción de efectos jurídicos en los términos del artículo 1501 </w:t>
      </w:r>
      <w:r w:rsidRPr="007739D1">
        <w:rPr>
          <w:rFonts w:ascii="Verdana" w:eastAsia="Calibri" w:hAnsi="Verdana"/>
          <w:i/>
          <w:color w:val="000000" w:themeColor="text1"/>
          <w:lang w:val="es-ES"/>
        </w:rPr>
        <w:t>ibidem</w:t>
      </w:r>
      <w:r w:rsidRPr="007739D1">
        <w:rPr>
          <w:rFonts w:ascii="Verdana" w:eastAsia="Calibri" w:hAnsi="Verdana"/>
          <w:color w:val="000000" w:themeColor="text1"/>
          <w:lang w:val="es-ES"/>
        </w:rPr>
        <w:t xml:space="preserve">, depende de la regulación del inciso primero de los artículos 39 y 41 del EGCAP.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634967AD" w14:textId="77777777" w:rsidR="00E53A27" w:rsidRDefault="00E53A27" w:rsidP="00E53A27">
      <w:pPr>
        <w:spacing w:after="120" w:line="276" w:lineRule="auto"/>
        <w:ind w:firstLine="708"/>
        <w:jc w:val="both"/>
        <w:rPr>
          <w:rFonts w:ascii="Verdana" w:eastAsia="Calibri" w:hAnsi="Verdana" w:cs="Arial"/>
          <w:lang w:eastAsia="es-ES_tradnl"/>
        </w:rPr>
      </w:pPr>
      <w:r w:rsidRPr="007739D1">
        <w:rPr>
          <w:rFonts w:ascii="Verdana" w:eastAsia="Times New Roman" w:hAnsi="Verdana" w:cs="Arial"/>
          <w:color w:val="000000" w:themeColor="text1"/>
          <w:lang w:eastAsia="es-ES_tradnl"/>
        </w:rPr>
        <w:t xml:space="preserve">Ahora bien, teniendo en cuenta el objeto de su consulta, es preciso mencionar que las </w:t>
      </w:r>
      <w:r w:rsidRPr="007739D1">
        <w:rPr>
          <w:rFonts w:ascii="Verdana" w:eastAsia="Calibri" w:hAnsi="Verdana" w:cs="Arial"/>
          <w:lang w:eastAsia="es-ES_tradnl"/>
        </w:rPr>
        <w:t xml:space="preserve">entidades estatales regidas por el EGCAP están habilitadas para celebrar los contratos que suelen celebrar los particulares entre sí –como el de </w:t>
      </w:r>
      <w:r>
        <w:rPr>
          <w:rFonts w:ascii="Verdana" w:eastAsia="Calibri" w:hAnsi="Verdana" w:cs="Arial"/>
          <w:lang w:eastAsia="es-ES_tradnl"/>
        </w:rPr>
        <w:t xml:space="preserve">arrendamiento </w:t>
      </w:r>
      <w:r w:rsidRPr="007739D1">
        <w:rPr>
          <w:rFonts w:ascii="Verdana" w:eastAsia="Calibri" w:hAnsi="Verdana" w:cs="Arial"/>
          <w:lang w:eastAsia="es-ES_tradnl"/>
        </w:rPr>
        <w:t>al que se refiere en su pregunta– en ejercicio de la autonomía de la voluntad privada. En ese sentido, puede ocurrir que dentro de la gestión ordinaria de sus competencias y funciones las entidades tengan necesidades que deban ser satisfechas a través de contratos como</w:t>
      </w:r>
      <w:r>
        <w:rPr>
          <w:rFonts w:ascii="Verdana" w:eastAsia="Calibri" w:hAnsi="Verdana" w:cs="Arial"/>
          <w:lang w:eastAsia="es-ES_tradnl"/>
        </w:rPr>
        <w:t xml:space="preserve"> el de arrendamiento</w:t>
      </w:r>
      <w:r w:rsidRPr="007739D1">
        <w:rPr>
          <w:rFonts w:ascii="Verdana" w:eastAsia="Calibri" w:hAnsi="Verdana" w:cs="Arial"/>
          <w:lang w:eastAsia="es-ES_tradnl"/>
        </w:rPr>
        <w:t xml:space="preserve">, en los que además de las disposiciones del EGCAP deberán </w:t>
      </w:r>
      <w:r w:rsidRPr="007739D1">
        <w:rPr>
          <w:rFonts w:ascii="Verdana" w:eastAsia="Calibri" w:hAnsi="Verdana" w:cs="Arial"/>
          <w:lang w:eastAsia="es-ES_tradnl"/>
        </w:rPr>
        <w:lastRenderedPageBreak/>
        <w:t xml:space="preserve">aplicarse en su mayoría normas de derecho privado, lo que de ninguna manera desvirtúa la calidad de estatal de dichos contratos. </w:t>
      </w:r>
    </w:p>
    <w:p w14:paraId="3995AFDE" w14:textId="27DF9AD2" w:rsidR="00E53A27" w:rsidRPr="00BB46CC" w:rsidRDefault="00E53A27" w:rsidP="00C36D07">
      <w:pPr>
        <w:spacing w:after="120" w:line="276" w:lineRule="auto"/>
        <w:ind w:firstLine="709"/>
        <w:jc w:val="both"/>
        <w:rPr>
          <w:rFonts w:ascii="Verdana" w:eastAsia="Calibri" w:hAnsi="Verdana"/>
          <w:color w:val="000000" w:themeColor="text1"/>
        </w:rPr>
      </w:pPr>
      <w:r w:rsidRPr="00DA60DB">
        <w:rPr>
          <w:rFonts w:ascii="Verdana" w:eastAsia="Calibri" w:hAnsi="Verdana"/>
          <w:bCs/>
          <w:color w:val="000000" w:themeColor="text1"/>
        </w:rPr>
        <w:t>El artículo 1973 del Código Civil define el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w:t>
      </w:r>
      <w:r w:rsidRPr="00DA60DB">
        <w:rPr>
          <w:rFonts w:ascii="Verdana" w:eastAsia="Calibri" w:hAnsi="Verdana"/>
          <w:bCs/>
          <w:color w:val="000000" w:themeColor="text1"/>
          <w:vertAlign w:val="superscript"/>
        </w:rPr>
        <w:footnoteReference w:id="5"/>
      </w:r>
      <w:r w:rsidRPr="00DA60DB">
        <w:rPr>
          <w:rFonts w:ascii="Verdana" w:eastAsia="Calibri" w:hAnsi="Verdana"/>
          <w:bCs/>
          <w:color w:val="000000" w:themeColor="text1"/>
        </w:rPr>
        <w:t>. Por tanto, se diferencia del contrato de compraventa en que no opera una transferencia del dominio del bien cuyo uso y goce se entrega.</w:t>
      </w:r>
    </w:p>
    <w:p w14:paraId="3E88A799" w14:textId="77777777" w:rsidR="00E53A27" w:rsidRPr="00DA60DB" w:rsidRDefault="00E53A27" w:rsidP="00E53A27">
      <w:pPr>
        <w:spacing w:after="120" w:line="276" w:lineRule="auto"/>
        <w:ind w:firstLine="708"/>
        <w:jc w:val="both"/>
        <w:rPr>
          <w:rFonts w:ascii="Verdana" w:eastAsia="Calibri" w:hAnsi="Verdana"/>
          <w:bCs/>
          <w:color w:val="000000" w:themeColor="text1"/>
          <w:lang w:val="es-ES"/>
        </w:rPr>
      </w:pPr>
      <w:r w:rsidRPr="00DA60DB">
        <w:rPr>
          <w:rFonts w:ascii="Verdana" w:eastAsia="Calibri" w:hAnsi="Verdana"/>
          <w:bCs/>
          <w:color w:val="000000" w:themeColor="text1"/>
          <w:lang w:val="es-ES"/>
        </w:rPr>
        <w:t xml:space="preserve">En </w:t>
      </w:r>
      <w:r w:rsidRPr="00DA60DB">
        <w:rPr>
          <w:rFonts w:ascii="Verdana" w:eastAsia="Calibri" w:hAnsi="Verdana"/>
          <w:color w:val="000000" w:themeColor="text1"/>
          <w:lang w:val="es-ES"/>
        </w:rPr>
        <w:t>cuanto</w:t>
      </w:r>
      <w:r w:rsidRPr="00DA60DB">
        <w:rPr>
          <w:rFonts w:ascii="Verdana" w:eastAsia="Calibri" w:hAnsi="Verdana"/>
          <w:bCs/>
          <w:color w:val="000000" w:themeColor="text1"/>
          <w:lang w:val="es-ES"/>
        </w:rPr>
        <w:t xml:space="preserve"> a sus características, la doctrina ha indicado que el arrendamiento es un contrato: i) bilateral, pues ambas partes se obligan recíprocamente; </w:t>
      </w:r>
      <w:proofErr w:type="spellStart"/>
      <w:r w:rsidRPr="00DA60DB">
        <w:rPr>
          <w:rFonts w:ascii="Verdana" w:eastAsia="Calibri" w:hAnsi="Verdana"/>
          <w:bCs/>
          <w:color w:val="000000" w:themeColor="text1"/>
          <w:lang w:val="es-ES"/>
        </w:rPr>
        <w:t>ii</w:t>
      </w:r>
      <w:proofErr w:type="spellEnd"/>
      <w:r w:rsidRPr="00DA60DB">
        <w:rPr>
          <w:rFonts w:ascii="Verdana" w:eastAsia="Calibri" w:hAnsi="Verdana"/>
          <w:bCs/>
          <w:color w:val="000000" w:themeColor="text1"/>
          <w:lang w:val="es-ES"/>
        </w:rPr>
        <w:t>) consensual, dado que se perfecciona con el consentimiento</w:t>
      </w:r>
      <w:r w:rsidRPr="00DA60DB">
        <w:rPr>
          <w:rFonts w:ascii="Verdana" w:eastAsia="Calibri" w:hAnsi="Verdana"/>
          <w:bCs/>
          <w:color w:val="000000" w:themeColor="text1"/>
          <w:vertAlign w:val="superscript"/>
          <w:lang w:val="es-ES"/>
        </w:rPr>
        <w:footnoteReference w:id="6"/>
      </w:r>
      <w:r w:rsidRPr="00DA60DB">
        <w:rPr>
          <w:rFonts w:ascii="Verdana" w:eastAsia="Calibri" w:hAnsi="Verdana"/>
          <w:bCs/>
          <w:color w:val="000000" w:themeColor="text1"/>
          <w:lang w:val="es-ES"/>
        </w:rPr>
        <w:t xml:space="preserve">; </w:t>
      </w:r>
      <w:proofErr w:type="spellStart"/>
      <w:r w:rsidRPr="00DA60DB">
        <w:rPr>
          <w:rFonts w:ascii="Verdana" w:eastAsia="Calibri" w:hAnsi="Verdana"/>
          <w:bCs/>
          <w:color w:val="000000" w:themeColor="text1"/>
          <w:lang w:val="es-ES"/>
        </w:rPr>
        <w:t>iii</w:t>
      </w:r>
      <w:proofErr w:type="spellEnd"/>
      <w:r w:rsidRPr="00DA60DB">
        <w:rPr>
          <w:rFonts w:ascii="Verdana" w:eastAsia="Calibri" w:hAnsi="Verdana"/>
          <w:bCs/>
          <w:color w:val="000000" w:themeColor="text1"/>
          <w:lang w:val="es-ES"/>
        </w:rPr>
        <w:t xml:space="preserve">) oneroso, ya que ambas partes obtienen utilidades –el arrendatario, el uso y goce del bien, y el arrendador la renta o canon–; </w:t>
      </w:r>
      <w:proofErr w:type="spellStart"/>
      <w:r w:rsidRPr="00DA60DB">
        <w:rPr>
          <w:rFonts w:ascii="Verdana" w:eastAsia="Calibri" w:hAnsi="Verdana"/>
          <w:bCs/>
          <w:color w:val="000000" w:themeColor="text1"/>
          <w:lang w:val="es-ES"/>
        </w:rPr>
        <w:t>iv</w:t>
      </w:r>
      <w:proofErr w:type="spellEnd"/>
      <w:r w:rsidRPr="00DA60DB">
        <w:rPr>
          <w:rFonts w:ascii="Verdana" w:eastAsia="Calibri" w:hAnsi="Verdana"/>
          <w:bCs/>
          <w:color w:val="000000" w:themeColor="text1"/>
          <w:lang w:val="es-ES"/>
        </w:rPr>
        <w:t>) de ejecución sucesiva, en la medida en que se ejecuta en forma periódica; v) principal, porque existe en forma autónoma; y v) nominado, porque está tipificado y desarrollado en la ley</w:t>
      </w:r>
      <w:r w:rsidRPr="00DA60DB">
        <w:rPr>
          <w:rFonts w:ascii="Verdana" w:eastAsia="Calibri" w:hAnsi="Verdana"/>
          <w:bCs/>
          <w:color w:val="000000" w:themeColor="text1"/>
          <w:vertAlign w:val="superscript"/>
          <w:lang w:val="es-ES"/>
        </w:rPr>
        <w:footnoteReference w:id="7"/>
      </w:r>
      <w:r w:rsidRPr="00DA60DB">
        <w:rPr>
          <w:rFonts w:ascii="Verdana" w:eastAsia="Calibri" w:hAnsi="Verdana"/>
          <w:bCs/>
          <w:color w:val="000000" w:themeColor="text1"/>
          <w:lang w:val="es-ES"/>
        </w:rPr>
        <w:t xml:space="preserve">. </w:t>
      </w:r>
    </w:p>
    <w:p w14:paraId="1B926B28" w14:textId="77777777" w:rsidR="00E53A27" w:rsidRPr="00BB46CC" w:rsidRDefault="00E53A27" w:rsidP="00E53A27">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w:t>
      </w:r>
      <w:r>
        <w:rPr>
          <w:rFonts w:ascii="Verdana" w:eastAsia="Calibri" w:hAnsi="Verdana"/>
          <w:color w:val="000000" w:themeColor="text1"/>
        </w:rPr>
        <w:t>torno</w:t>
      </w:r>
      <w:r w:rsidRPr="00BB46CC">
        <w:rPr>
          <w:rFonts w:ascii="Verdana" w:eastAsia="Calibri" w:hAnsi="Verdana"/>
          <w:color w:val="000000" w:themeColor="text1"/>
        </w:rPr>
        <w:t xml:space="preserve"> a su regulación, son, principalmente, los artículos 1973 al 2078 del Código Civil los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w:t>
      </w:r>
      <w:r>
        <w:rPr>
          <w:rFonts w:ascii="Verdana" w:eastAsia="Calibri" w:hAnsi="Verdana"/>
          <w:color w:val="000000" w:themeColor="text1"/>
        </w:rPr>
        <w:t>“</w:t>
      </w:r>
      <w:r w:rsidRPr="00E21DBA">
        <w:rPr>
          <w:rFonts w:ascii="Verdana" w:eastAsia="Calibri" w:hAnsi="Verdana"/>
          <w:color w:val="000000" w:themeColor="text1"/>
        </w:rPr>
        <w:t>Por la cual se expide el régimen de arrendamiento de vivienda urbana y se dictan otras disposiciones</w:t>
      </w:r>
      <w:r>
        <w:rPr>
          <w:rFonts w:ascii="Verdana" w:eastAsia="Calibri" w:hAnsi="Verdana"/>
          <w:color w:val="000000" w:themeColor="text1"/>
        </w:rPr>
        <w:t>”</w:t>
      </w:r>
      <w:r w:rsidRPr="00BB46CC">
        <w:rPr>
          <w:rFonts w:ascii="Verdana" w:eastAsia="Calibri" w:hAnsi="Verdana"/>
          <w:color w:val="000000" w:themeColor="text1"/>
        </w:rPr>
        <w:t>.</w:t>
      </w:r>
    </w:p>
    <w:p w14:paraId="5B259773" w14:textId="77777777" w:rsidR="00E53A27" w:rsidRPr="00BB46CC" w:rsidRDefault="00E53A27" w:rsidP="00E53A27">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igual sentido, por su importancia en la contratación estatal, debe precisarse que la modalidad de selección aplicable a la celebración de los contratos de arrendamiento depende del régimen aplicable a la entidad estatal. </w:t>
      </w:r>
      <w:r w:rsidRPr="00BB46CC">
        <w:rPr>
          <w:rFonts w:ascii="Verdana" w:eastAsia="Calibri" w:hAnsi="Verdana"/>
          <w:color w:val="000000" w:themeColor="text1"/>
        </w:rPr>
        <w:lastRenderedPageBreak/>
        <w:t>Si se rige por el derecho privado, es decir, si está exceptuada del Estatuto General de Contratación de la Administración Pública, debe aplicar en principio las normas civiles y comerciales mencionadas, en las cuales se permite la celebración directa del contrato de arrendamiento, pero si el reglamento o manual interno de contratación de la entidad dispone que debe efectuar algún procedimiento especial, este prevalece. En contrate, si la entidad estatal se rige por el Estatuto General de Contratación de la Administración Pública, bien sea que obre en calidad de arrendadora o arrendataria, debe acudir a la modalidad de selección de contratación directa si arrendara un inmueble, pues el artículo 2º, numeral 4° literal i) de la Ley 1150 de 2007 establece que una de las causales de este procedimiento es “i) El arrendamiento o adquisición de inmuebles”. Si lo que arrendará es un bien mueble, lo deberá hacer por licitación pública, selección abreviada o mínima cuantía, dependiendo del valor de la contratación. En ambos supuestos la entidad estatal también debe aplicar las normas civiles y comerciales que regulan la sustantividad del contrato de arrendamiento, porque a estas se remiten los artículos 13, 32 y 40 de la Ley 80 de 1993.</w:t>
      </w:r>
    </w:p>
    <w:p w14:paraId="4C300047" w14:textId="77777777" w:rsidR="00E53A27" w:rsidRPr="00BB46CC" w:rsidRDefault="00E53A27" w:rsidP="00E53A27">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Por otro lado, La Ley 80 de 1993, en el texto original del artículo 41, estableció que los requisitos para perfeccionar el contrato eran: i) llegar a un acuerdo sobre el objeto y la contraprestación y </w:t>
      </w:r>
      <w:proofErr w:type="spellStart"/>
      <w:r w:rsidRPr="00BB46CC">
        <w:rPr>
          <w:rFonts w:ascii="Verdana" w:eastAsia="Calibri" w:hAnsi="Verdana"/>
          <w:color w:val="000000" w:themeColor="text1"/>
        </w:rPr>
        <w:t>ii</w:t>
      </w:r>
      <w:proofErr w:type="spellEnd"/>
      <w:r w:rsidRPr="00BB46CC">
        <w:rPr>
          <w:rFonts w:ascii="Verdana" w:eastAsia="Calibri" w:hAnsi="Verdana"/>
          <w:color w:val="000000" w:themeColor="text1"/>
        </w:rPr>
        <w:t xml:space="preserve">) que conste por escrito. Por su parte, para iniciar la ejecución se requería: i) la constitución y aprobación de la garantía y </w:t>
      </w:r>
      <w:proofErr w:type="spellStart"/>
      <w:r w:rsidRPr="00BB46CC">
        <w:rPr>
          <w:rFonts w:ascii="Verdana" w:eastAsia="Calibri" w:hAnsi="Verdana"/>
          <w:color w:val="000000" w:themeColor="text1"/>
        </w:rPr>
        <w:t>ii</w:t>
      </w:r>
      <w:proofErr w:type="spellEnd"/>
      <w:r w:rsidRPr="00BB46CC">
        <w:rPr>
          <w:rFonts w:ascii="Verdana" w:eastAsia="Calibri" w:hAnsi="Verdana"/>
          <w:color w:val="000000" w:themeColor="text1"/>
        </w:rPr>
        <w:t>) la existencia del registro presupuestal.</w:t>
      </w:r>
    </w:p>
    <w:p w14:paraId="6887740A" w14:textId="77777777" w:rsidR="00E53A27" w:rsidRPr="00BB46CC" w:rsidRDefault="00E53A27" w:rsidP="00E53A27">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Ahora bien, tratándose del arrendamiento de bienes inmuebles el artículo 2º, numeral 4° literal i), de la Ley 1150 de 2007 dispone la modalidad de selección de contratación directa, pues, establece que una de las causales de este procedimiento es “i) El arrendamiento o adquisición de inmuebles”. Adicionalmente, el artículo 2.2.1.2.1.4.11 del Decreto 1082 de 2015 dispone que las entidades estatales pueden alquilar o arrendar inmuebles mediante contratación directa para lo cual deben seguir las siguientes reglas: </w:t>
      </w:r>
    </w:p>
    <w:p w14:paraId="2F7B9214" w14:textId="77777777" w:rsidR="00E53A27" w:rsidRPr="00BB46CC" w:rsidRDefault="00E53A27" w:rsidP="00E53A27">
      <w:pPr>
        <w:spacing w:after="0" w:line="276" w:lineRule="auto"/>
        <w:jc w:val="both"/>
        <w:rPr>
          <w:rFonts w:ascii="Verdana" w:eastAsia="Calibri" w:hAnsi="Verdana"/>
          <w:color w:val="000000" w:themeColor="text1"/>
        </w:rPr>
      </w:pPr>
    </w:p>
    <w:p w14:paraId="329FD911" w14:textId="77777777" w:rsidR="00E53A27" w:rsidRPr="00BB46CC" w:rsidRDefault="00E53A27" w:rsidP="00E53A27">
      <w:pPr>
        <w:spacing w:after="0" w:line="240" w:lineRule="auto"/>
        <w:ind w:left="709" w:right="709"/>
        <w:jc w:val="both"/>
        <w:rPr>
          <w:rFonts w:ascii="Verdana" w:eastAsia="Calibri" w:hAnsi="Verdana"/>
          <w:color w:val="000000" w:themeColor="text1"/>
          <w:sz w:val="20"/>
          <w:szCs w:val="20"/>
        </w:rPr>
      </w:pPr>
      <w:r w:rsidRPr="00BB46CC">
        <w:rPr>
          <w:rFonts w:ascii="Verdana" w:eastAsia="Calibri" w:hAnsi="Verdana"/>
          <w:color w:val="000000" w:themeColor="text1"/>
          <w:sz w:val="20"/>
          <w:szCs w:val="20"/>
        </w:rPr>
        <w:t>1.    Verificar las condiciones del mercado inmobiliario en la ciudad en la que la Entidad Estatal requiere el inmueble.</w:t>
      </w:r>
    </w:p>
    <w:p w14:paraId="395725D0" w14:textId="77777777" w:rsidR="00E53A27" w:rsidRPr="00BB46CC" w:rsidRDefault="00E53A27" w:rsidP="00E53A27">
      <w:pPr>
        <w:spacing w:after="0" w:line="240" w:lineRule="auto"/>
        <w:ind w:left="709" w:right="709"/>
        <w:jc w:val="both"/>
        <w:rPr>
          <w:rFonts w:ascii="Verdana" w:eastAsia="Calibri" w:hAnsi="Verdana"/>
          <w:color w:val="000000" w:themeColor="text1"/>
          <w:sz w:val="20"/>
          <w:szCs w:val="20"/>
        </w:rPr>
      </w:pPr>
      <w:r w:rsidRPr="00BB46CC">
        <w:rPr>
          <w:rFonts w:ascii="Verdana" w:eastAsia="Calibri" w:hAnsi="Verdana"/>
          <w:color w:val="000000" w:themeColor="text1"/>
          <w:sz w:val="20"/>
          <w:szCs w:val="20"/>
        </w:rPr>
        <w:t>2.    Analizar y comparar las condiciones de los bienes inmuebles que satisfacen las necesidades identificadas y las opciones de arrendamiento, análisis que deberá tener en cuenta los principios y objetivos del sistema de compra y contratación pública.</w:t>
      </w:r>
    </w:p>
    <w:p w14:paraId="5F525EB9" w14:textId="77777777" w:rsidR="00E53A27" w:rsidRPr="00BB46CC" w:rsidRDefault="00E53A27" w:rsidP="00E53A27">
      <w:pPr>
        <w:spacing w:after="120" w:line="276" w:lineRule="auto"/>
        <w:jc w:val="both"/>
        <w:rPr>
          <w:rFonts w:ascii="Verdana" w:eastAsia="Calibri" w:hAnsi="Verdana"/>
          <w:color w:val="000000" w:themeColor="text1"/>
        </w:rPr>
      </w:pPr>
    </w:p>
    <w:p w14:paraId="7608C7F4" w14:textId="77777777" w:rsidR="00E53A27" w:rsidRPr="00BB46CC" w:rsidRDefault="00E53A27" w:rsidP="00E53A27">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lastRenderedPageBreak/>
        <w:t xml:space="preserve">En contraste, si se trata de arrendamiento de bienes muebles, la modalidad aplicable será la licitación pública, la selección abreviada o la mínima cuantía, según corresponda dependiendo del valor de la contratación. Lo anterior en la medida que no se encuentran dentro de las causales de contratación directa que expresamente señala el numeral 4 del artículo 2 de la Ley 1150 de 2007. </w:t>
      </w:r>
    </w:p>
    <w:p w14:paraId="49EBD94C" w14:textId="77777777" w:rsidR="00E53A27" w:rsidRPr="00BB46CC" w:rsidRDefault="00E53A27" w:rsidP="00E53A27">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 xml:space="preserve">En virtud de este contrato, las partes se obligan, una a conceder el goce del inmueble, y otra a pagar un precio por el mismo. Estos contratos tienen como elementos característicos, conforme a la ley y a la jurisprudencia del Consejo de Estado, los siguientes: i) entrega de un bien que efectúa el arrendador al arrendatario para el goce o uso exclusivo de este y </w:t>
      </w:r>
      <w:proofErr w:type="spellStart"/>
      <w:r w:rsidRPr="00BB46CC">
        <w:rPr>
          <w:rFonts w:ascii="Verdana" w:eastAsia="Calibri" w:hAnsi="Verdana"/>
          <w:color w:val="000000" w:themeColor="text1"/>
        </w:rPr>
        <w:t>ii</w:t>
      </w:r>
      <w:proofErr w:type="spellEnd"/>
      <w:r w:rsidRPr="00BB46CC">
        <w:rPr>
          <w:rFonts w:ascii="Verdana" w:eastAsia="Calibri" w:hAnsi="Verdana"/>
          <w:color w:val="000000" w:themeColor="text1"/>
        </w:rPr>
        <w:t xml:space="preserve">) el pago de un precio por el uso o goce del bien arrendado. </w:t>
      </w:r>
    </w:p>
    <w:p w14:paraId="77FC039C" w14:textId="77777777" w:rsidR="00E53A27" w:rsidRPr="00BB46CC" w:rsidRDefault="00E53A27" w:rsidP="00E53A27">
      <w:pPr>
        <w:spacing w:after="120" w:line="276" w:lineRule="auto"/>
        <w:ind w:firstLine="708"/>
        <w:jc w:val="both"/>
        <w:rPr>
          <w:rFonts w:ascii="Verdana" w:eastAsia="Calibri" w:hAnsi="Verdana"/>
          <w:color w:val="000000" w:themeColor="text1"/>
        </w:rPr>
      </w:pPr>
      <w:r w:rsidRPr="00BB46CC">
        <w:rPr>
          <w:rFonts w:ascii="Verdana" w:eastAsia="Calibri" w:hAnsi="Verdana"/>
          <w:color w:val="000000" w:themeColor="text1"/>
        </w:rPr>
        <w:t>En estos eventos, la entidad debe elaborar los estudios y documentos previos y, además, el artículo 2.2.1.2.1.4.11. del Decreto 1082 de 2015 les impone el deber de verificar las condiciones del mercado inmobiliario en la ciudad donde la entidad estatal requiere el documento, y además analizar y comparar las condiciones de los bienes inmuebles que satisfacen sus necesidades; y señala que deberá tener en cuenta los principios y objetivos del sistema de compra y contratación pública.</w:t>
      </w:r>
    </w:p>
    <w:p w14:paraId="1A23710F" w14:textId="77777777" w:rsidR="00E53A27" w:rsidRPr="00BB46CC" w:rsidRDefault="00E53A27" w:rsidP="00E53A27">
      <w:pPr>
        <w:spacing w:after="120" w:line="276" w:lineRule="auto"/>
        <w:ind w:firstLine="708"/>
        <w:jc w:val="both"/>
        <w:rPr>
          <w:rFonts w:ascii="Verdana" w:eastAsia="Calibri" w:hAnsi="Verdana"/>
          <w:color w:val="000000" w:themeColor="text1"/>
        </w:rPr>
      </w:pPr>
      <w:r>
        <w:rPr>
          <w:rFonts w:ascii="Verdana" w:eastAsia="Calibri" w:hAnsi="Verdana"/>
          <w:color w:val="000000" w:themeColor="text1"/>
        </w:rPr>
        <w:t>Además, o</w:t>
      </w:r>
      <w:r w:rsidRPr="00BB46CC">
        <w:rPr>
          <w:rFonts w:ascii="Verdana" w:eastAsia="Calibri" w:hAnsi="Verdana"/>
          <w:color w:val="000000" w:themeColor="text1"/>
        </w:rPr>
        <w:t>tro aspecto importante del contrato de arrendamiento consiste en la imposibilidad de pactar cláusulas de prórroga automática, puesto que el Consejo de Estado explica que  en el Estatuto General de la Contratación de la Administración Pública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w:t>
      </w:r>
    </w:p>
    <w:p w14:paraId="5CB509D0" w14:textId="77777777" w:rsidR="00E53A27" w:rsidRDefault="00E53A27" w:rsidP="00E53A27">
      <w:pPr>
        <w:spacing w:after="120" w:line="276" w:lineRule="auto"/>
        <w:ind w:firstLine="708"/>
        <w:jc w:val="both"/>
        <w:rPr>
          <w:rFonts w:ascii="Verdana" w:eastAsia="Aptos" w:hAnsi="Verdana" w:cs="Times New Roman"/>
          <w:kern w:val="2"/>
          <w14:ligatures w14:val="standardContextual"/>
        </w:rPr>
      </w:pPr>
      <w:r w:rsidRPr="00BB46CC">
        <w:rPr>
          <w:rFonts w:ascii="Verdana" w:eastAsia="Calibri" w:hAnsi="Verdana"/>
          <w:color w:val="000000" w:themeColor="text1"/>
        </w:rPr>
        <w:t xml:space="preserve">En síntesis, en los casos en donde una de las partes del contrato de arrendamiento sea una entidad pública, este contrato adquiere el carácter de estatal y su contenido se enmarcará en las normas civiles y comerciales que lo regulan, además de las establecidas en el Estatuto General de Contratación de la Administración Pública. </w:t>
      </w:r>
      <w:r w:rsidRPr="00F53DEF">
        <w:rPr>
          <w:rFonts w:ascii="Verdana" w:eastAsia="Calibri" w:hAnsi="Verdana"/>
          <w:color w:val="000000" w:themeColor="text1"/>
        </w:rPr>
        <w:t>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r w:rsidRPr="00DA60DB">
        <w:rPr>
          <w:rFonts w:ascii="Verdana" w:eastAsia="Aptos" w:hAnsi="Verdana" w:cs="Times New Roman"/>
          <w:kern w:val="2"/>
          <w14:ligatures w14:val="standardContextual"/>
        </w:rPr>
        <w:t xml:space="preserve"> </w:t>
      </w:r>
    </w:p>
    <w:p w14:paraId="284667B3" w14:textId="77777777" w:rsidR="00E53A27" w:rsidRPr="00DA60DB" w:rsidRDefault="00E53A27" w:rsidP="00E53A27">
      <w:pPr>
        <w:spacing w:after="120" w:line="276" w:lineRule="auto"/>
        <w:ind w:firstLine="708"/>
        <w:jc w:val="both"/>
        <w:rPr>
          <w:rFonts w:ascii="Verdana" w:eastAsia="Calibri" w:hAnsi="Verdana"/>
          <w:color w:val="000000" w:themeColor="text1"/>
        </w:rPr>
      </w:pPr>
      <w:r w:rsidRPr="00F53DEF">
        <w:rPr>
          <w:rFonts w:ascii="Verdana" w:eastAsia="Aptos" w:hAnsi="Verdana" w:cs="Times New Roman"/>
          <w:kern w:val="2"/>
          <w14:ligatures w14:val="standardContextual"/>
        </w:rPr>
        <w:lastRenderedPageBreak/>
        <w:t>En esta línea, el Consejo de Estado en la Sentencia de Unificación del 14 de agosto de 2018, en la cual unifica su posición de que: “No es procedente que las autoridades administrativas entreguen bienes de uso público utilizando para ello la fórmula contractual del arrendamiento, por las razones expuestas en la parte motiva de esta providencia”</w:t>
      </w:r>
      <w:r w:rsidRPr="00F53DEF">
        <w:rPr>
          <w:rFonts w:ascii="Verdana" w:eastAsia="Aptos" w:hAnsi="Verdana" w:cs="Times New Roman"/>
          <w:kern w:val="2"/>
          <w:vertAlign w:val="superscript"/>
          <w14:ligatures w14:val="standardContextual"/>
        </w:rPr>
        <w:footnoteReference w:id="8"/>
      </w:r>
      <w:r w:rsidRPr="00F53DEF">
        <w:rPr>
          <w:rFonts w:ascii="Verdana" w:eastAsia="Aptos" w:hAnsi="Verdana" w:cs="Times New Roman"/>
          <w:kern w:val="2"/>
          <w14:ligatures w14:val="standardContextual"/>
        </w:rPr>
        <w:t>. Por tanto, según el Consejo de Estado debe asumirse que además de bienes inalienables, inembargables e imprescriptibles, se trata de bienes afectados a una destinación de interés general, que constituye su finalidad esencial y que no es otra que servir para el uso y disfrute de la colectividad.</w:t>
      </w:r>
      <w:r>
        <w:rPr>
          <w:rFonts w:ascii="Verdana" w:eastAsia="Aptos" w:hAnsi="Verdana" w:cs="Times New Roman"/>
          <w:kern w:val="2"/>
          <w14:ligatures w14:val="standardContextual"/>
        </w:rPr>
        <w:t xml:space="preserve"> De este modo, el </w:t>
      </w:r>
      <w:r w:rsidRPr="00DA60DB">
        <w:rPr>
          <w:rFonts w:ascii="Verdana" w:eastAsia="Calibri" w:hAnsi="Verdana"/>
          <w:color w:val="000000" w:themeColor="text1"/>
        </w:rPr>
        <w:t>Consejo de Estado ha expresado la incompatibilidad entre la naturaleza de los bienes de uso público como la esencia del contrato de arrendamiento. “</w:t>
      </w:r>
      <w:r w:rsidRPr="00DA60DB">
        <w:rPr>
          <w:rFonts w:ascii="Verdana" w:eastAsia="Calibri" w:hAnsi="Verdana"/>
          <w:bCs/>
          <w:i/>
          <w:color w:val="000000" w:themeColor="text1"/>
        </w:rPr>
        <w:t>por expresa disposición constitucional, siempre que el objeto del negocio jurídico tenga la calidad de bien de uso público sus reglas de uso, disfrute y disposición deberán consultar forzosamente el régimen que se desprende del artículo 63 de la Carta y del principio de prevalencia del interés general (artículos 1 y 58 Superiores).</w:t>
      </w:r>
      <w:r w:rsidRPr="00DA60DB">
        <w:rPr>
          <w:rFonts w:ascii="Verdana" w:eastAsia="Calibri" w:hAnsi="Verdana"/>
          <w:bCs/>
          <w:color w:val="000000" w:themeColor="text1"/>
        </w:rPr>
        <w:t xml:space="preserve"> </w:t>
      </w:r>
      <w:r w:rsidRPr="00DA60DB">
        <w:rPr>
          <w:rFonts w:ascii="Verdana" w:eastAsia="Calibri" w:hAnsi="Verdana"/>
          <w:color w:val="000000" w:themeColor="text1"/>
        </w:rPr>
        <w:t>Por ende</w:t>
      </w:r>
      <w:r>
        <w:rPr>
          <w:rFonts w:ascii="Verdana" w:eastAsia="Calibri" w:hAnsi="Verdana"/>
          <w:color w:val="000000" w:themeColor="text1"/>
        </w:rPr>
        <w:t>,</w:t>
      </w:r>
      <w:r w:rsidRPr="00DA60DB">
        <w:rPr>
          <w:rFonts w:ascii="Verdana" w:eastAsia="Calibri" w:hAnsi="Verdana"/>
          <w:color w:val="000000" w:themeColor="text1"/>
        </w:rPr>
        <w:t xml:space="preserve"> deberá asumirse que además de bienes inalienables, inembargables e imprescriptibles, se trata de bienes afectados a una destinación de interés general, que constituye su finalidad esencial y que no es otra que servir para el uso y disfrute de la colectividad”</w:t>
      </w:r>
      <w:r w:rsidRPr="00DA60DB">
        <w:rPr>
          <w:rFonts w:ascii="Verdana" w:eastAsia="Calibri" w:hAnsi="Verdana"/>
          <w:color w:val="000000" w:themeColor="text1"/>
          <w:vertAlign w:val="superscript"/>
        </w:rPr>
        <w:footnoteReference w:id="9"/>
      </w:r>
      <w:r w:rsidRPr="00DA60DB">
        <w:rPr>
          <w:rFonts w:ascii="Verdana" w:eastAsia="Calibri" w:hAnsi="Verdana"/>
          <w:color w:val="000000" w:themeColor="text1"/>
        </w:rPr>
        <w:t xml:space="preserve"> (énfasis fuera de texto).</w:t>
      </w:r>
    </w:p>
    <w:p w14:paraId="30051086" w14:textId="77777777" w:rsidR="00E53A27" w:rsidRDefault="00E53A27" w:rsidP="00E53A27">
      <w:pPr>
        <w:spacing w:after="120" w:line="276" w:lineRule="auto"/>
        <w:ind w:firstLine="708"/>
        <w:jc w:val="both"/>
        <w:rPr>
          <w:rFonts w:ascii="Verdana" w:eastAsia="Calibri" w:hAnsi="Verdana"/>
          <w:color w:val="000000" w:themeColor="text1"/>
        </w:rPr>
      </w:pPr>
      <w:r w:rsidRPr="00DA60DB">
        <w:rPr>
          <w:rFonts w:ascii="Verdana" w:eastAsia="Calibri" w:hAnsi="Verdana"/>
          <w:color w:val="000000" w:themeColor="text1"/>
        </w:rPr>
        <w:t>Al respecto, es importante considerar que, la conclusión sobre la imposibilidad de arrendar bienes de uso público, a la que concluye de la Sentencia de Unificación no es derivada de una prohibición legal expresa, sino de la interpretación que el Consejo de Estado hace de la naturaleza del contrato de arrendamiento como una venta temporal del uso de un bien, definición extraía de la Doctrina</w:t>
      </w:r>
      <w:r w:rsidRPr="00DA60DB">
        <w:rPr>
          <w:rFonts w:ascii="Verdana" w:eastAsia="Calibri" w:hAnsi="Verdana"/>
          <w:color w:val="000000" w:themeColor="text1"/>
          <w:vertAlign w:val="superscript"/>
        </w:rPr>
        <w:footnoteReference w:id="10"/>
      </w:r>
      <w:r w:rsidRPr="00DA60DB">
        <w:rPr>
          <w:rFonts w:ascii="Verdana" w:eastAsia="Calibri" w:hAnsi="Verdana"/>
          <w:color w:val="000000" w:themeColor="text1"/>
        </w:rPr>
        <w:t>.</w:t>
      </w:r>
      <w:r>
        <w:rPr>
          <w:rFonts w:ascii="Verdana" w:eastAsia="Calibri" w:hAnsi="Verdana"/>
          <w:color w:val="000000" w:themeColor="text1"/>
        </w:rPr>
        <w:t xml:space="preserve"> Teniendo en cuenta estas precisiones, es importante revisar sobre la posibilidad de suscribir contratos de arrendamiento con un plazo de ejecución indefinido, aspecto que se analiza en el próximo apartado. </w:t>
      </w:r>
    </w:p>
    <w:p w14:paraId="3A20A6E5" w14:textId="2E022DEE" w:rsidR="00E53A27" w:rsidRPr="00F2205D" w:rsidRDefault="00E53A27" w:rsidP="00690A6F">
      <w:pPr>
        <w:spacing w:after="120" w:line="276" w:lineRule="auto"/>
        <w:ind w:firstLine="709"/>
        <w:jc w:val="both"/>
        <w:rPr>
          <w:rFonts w:ascii="Verdana" w:eastAsia="Calibri" w:hAnsi="Verdana"/>
          <w:color w:val="000000" w:themeColor="text1"/>
        </w:rPr>
      </w:pPr>
      <w:r>
        <w:rPr>
          <w:rFonts w:ascii="Verdana" w:eastAsia="Calibri" w:hAnsi="Verdana"/>
          <w:color w:val="000000" w:themeColor="text1"/>
        </w:rPr>
        <w:lastRenderedPageBreak/>
        <w:t xml:space="preserve">El </w:t>
      </w:r>
      <w:r w:rsidRPr="00F2205D">
        <w:rPr>
          <w:rFonts w:ascii="Verdana" w:eastAsia="Calibri" w:hAnsi="Verdana"/>
          <w:color w:val="000000" w:themeColor="text1"/>
        </w:rPr>
        <w:t>artículo 1551 del Código Civil</w:t>
      </w:r>
      <w:r>
        <w:rPr>
          <w:rFonts w:ascii="Verdana" w:eastAsia="Calibri" w:hAnsi="Verdana"/>
          <w:color w:val="000000" w:themeColor="text1"/>
        </w:rPr>
        <w:t xml:space="preserve"> </w:t>
      </w:r>
      <w:r w:rsidRPr="00F2205D">
        <w:rPr>
          <w:rFonts w:ascii="Verdana" w:eastAsia="Calibri" w:hAnsi="Verdana"/>
          <w:color w:val="000000" w:themeColor="text1"/>
        </w:rPr>
        <w:t xml:space="preserve">define el “plazo” como la época para cumplir una obligación. El plazo puede ser i) expreso o </w:t>
      </w:r>
      <w:proofErr w:type="spellStart"/>
      <w:r w:rsidRPr="00F2205D">
        <w:rPr>
          <w:rFonts w:ascii="Verdana" w:eastAsia="Calibri" w:hAnsi="Verdana"/>
          <w:color w:val="000000" w:themeColor="text1"/>
        </w:rPr>
        <w:t>ii</w:t>
      </w:r>
      <w:proofErr w:type="spellEnd"/>
      <w:r w:rsidRPr="00F2205D">
        <w:rPr>
          <w:rFonts w:ascii="Verdana" w:eastAsia="Calibri" w:hAnsi="Verdana"/>
          <w:color w:val="000000" w:themeColor="text1"/>
        </w:rPr>
        <w:t>) tácito</w:t>
      </w:r>
      <w:r w:rsidRPr="00F2205D">
        <w:rPr>
          <w:rFonts w:ascii="Verdana" w:eastAsia="Calibri" w:hAnsi="Verdana"/>
          <w:color w:val="000000" w:themeColor="text1"/>
          <w:vertAlign w:val="superscript"/>
        </w:rPr>
        <w:footnoteReference w:id="11"/>
      </w:r>
      <w:r w:rsidRPr="00F2205D">
        <w:rPr>
          <w:rFonts w:ascii="Verdana" w:eastAsia="Calibri" w:hAnsi="Verdana"/>
          <w:color w:val="000000" w:themeColor="text1"/>
        </w:rPr>
        <w:t xml:space="preserve">. La doctrina define el </w:t>
      </w:r>
      <w:r>
        <w:rPr>
          <w:rFonts w:ascii="Verdana" w:eastAsia="Calibri" w:hAnsi="Verdana"/>
          <w:color w:val="000000" w:themeColor="text1"/>
        </w:rPr>
        <w:t>“</w:t>
      </w:r>
      <w:r w:rsidRPr="00F2205D">
        <w:rPr>
          <w:rFonts w:ascii="Verdana" w:eastAsia="Calibri" w:hAnsi="Verdana"/>
          <w:color w:val="000000" w:themeColor="text1"/>
        </w:rPr>
        <w:t>plazo</w:t>
      </w:r>
      <w:r>
        <w:rPr>
          <w:rFonts w:ascii="Verdana" w:eastAsia="Calibri" w:hAnsi="Verdana"/>
          <w:color w:val="000000" w:themeColor="text1"/>
        </w:rPr>
        <w:t>”</w:t>
      </w:r>
      <w:r w:rsidRPr="00F2205D">
        <w:rPr>
          <w:rFonts w:ascii="Verdana" w:eastAsia="Calibri" w:hAnsi="Verdana"/>
          <w:color w:val="000000" w:themeColor="text1"/>
        </w:rPr>
        <w:t xml:space="preserve"> como un hecho futuro y cierto para el nacimiento o la extinción de un derecho, y elabora una clasificación de los plazos de la cual se destacan el plazo expreso y tácito, que complementa lo señalado en el Código Civil. Respecto del plazo expreso indica que es el señalado en términos explícitos, y el plazo tácito “[…] tiene lugar cuando no existe plazo expreso y la obligación no es susceptible de cumplirse inmediatamente […]”</w:t>
      </w:r>
      <w:r w:rsidRPr="00F2205D">
        <w:rPr>
          <w:rFonts w:ascii="Verdana" w:eastAsia="Calibri" w:hAnsi="Verdana"/>
          <w:color w:val="000000" w:themeColor="text1"/>
          <w:vertAlign w:val="superscript"/>
        </w:rPr>
        <w:footnoteReference w:id="12"/>
      </w:r>
      <w:r w:rsidRPr="00F2205D">
        <w:rPr>
          <w:rFonts w:ascii="Verdana" w:eastAsia="Calibri" w:hAnsi="Verdana"/>
          <w:color w:val="000000" w:themeColor="text1"/>
        </w:rPr>
        <w:t>.</w:t>
      </w:r>
    </w:p>
    <w:p w14:paraId="11AF6F11" w14:textId="77777777" w:rsidR="00E53A27" w:rsidRPr="00F2205D" w:rsidRDefault="00E53A27" w:rsidP="00E53A27">
      <w:pPr>
        <w:spacing w:after="120" w:line="276" w:lineRule="auto"/>
        <w:ind w:firstLine="708"/>
        <w:jc w:val="both"/>
        <w:rPr>
          <w:rFonts w:ascii="Verdana" w:eastAsia="Calibri" w:hAnsi="Verdana"/>
          <w:color w:val="000000" w:themeColor="text1"/>
        </w:rPr>
      </w:pPr>
      <w:r w:rsidRPr="00F2205D">
        <w:rPr>
          <w:rFonts w:ascii="Verdana" w:eastAsia="Calibri" w:hAnsi="Verdana"/>
          <w:color w:val="000000" w:themeColor="text1"/>
        </w:rPr>
        <w:t xml:space="preserve">Particularmente, 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usuales en los contratos estatales, las partes modulan cualquiera de estos dos (2) elementos haciendo que las obligaciones sean exigibles o que lo derechos se extingan con el vencimiento de un periodo determinado en el contrato. </w:t>
      </w:r>
    </w:p>
    <w:p w14:paraId="1244AAC8" w14:textId="77777777" w:rsidR="00E53A27" w:rsidRPr="00E15D88" w:rsidRDefault="00E53A27" w:rsidP="00E53A27">
      <w:pPr>
        <w:spacing w:line="276" w:lineRule="auto"/>
        <w:ind w:firstLine="708"/>
        <w:jc w:val="both"/>
        <w:rPr>
          <w:rFonts w:ascii="Verdana" w:eastAsia="Calibri" w:hAnsi="Verdana" w:cs="Arial"/>
          <w:color w:val="000000" w:themeColor="text1"/>
        </w:rPr>
      </w:pPr>
      <w:r w:rsidRPr="00F2205D">
        <w:rPr>
          <w:rFonts w:ascii="Verdana" w:eastAsia="Calibri" w:hAnsi="Verdana"/>
          <w:color w:val="000000" w:themeColor="text1"/>
        </w:rPr>
        <w:t>Esta precisión es relevante para el tema objeto de consulta, pues es pertinente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“Cuando hay plazo suspensivo pendiente, el derecho respectivo ya ha nacido, tiene existencia real y útil. Lo que falta es solo la llegada del instante en que ese derecho puede ejercitarse, y consecuentemente, obligar al deudor”</w:t>
      </w:r>
      <w:r w:rsidRPr="00F2205D">
        <w:rPr>
          <w:rFonts w:ascii="Verdana" w:eastAsia="Calibri" w:hAnsi="Verdana"/>
          <w:color w:val="000000" w:themeColor="text1"/>
          <w:vertAlign w:val="superscript"/>
        </w:rPr>
        <w:footnoteReference w:id="13"/>
      </w:r>
      <w:r w:rsidRPr="00F2205D">
        <w:rPr>
          <w:rFonts w:ascii="Verdana" w:eastAsia="Calibri" w:hAnsi="Verdana"/>
          <w:color w:val="000000" w:themeColor="text1"/>
        </w:rPr>
        <w:t xml:space="preserve">. En contraste, los segundos tienen por efecto extinguir los derechos y las obligaciones nacidas del contrato, por lo que estando pendiente el vencimiento, la exigibilidad de las prestaciones es inmediata y el acreedor puede solicitar su cumplimiento, pero una vez se agota </w:t>
      </w:r>
      <w:r w:rsidRPr="00F2205D">
        <w:rPr>
          <w:rFonts w:ascii="Verdana" w:eastAsia="Calibri" w:hAnsi="Verdana"/>
          <w:color w:val="000000" w:themeColor="text1"/>
        </w:rPr>
        <w:lastRenderedPageBreak/>
        <w:t>el plazo, el contrato pierde sus efectos</w:t>
      </w:r>
      <w:r w:rsidRPr="00F2205D">
        <w:rPr>
          <w:rFonts w:ascii="Verdana" w:eastAsia="Calibri" w:hAnsi="Verdana"/>
          <w:color w:val="000000" w:themeColor="text1"/>
          <w:vertAlign w:val="superscript"/>
        </w:rPr>
        <w:footnoteReference w:id="14"/>
      </w:r>
      <w:r w:rsidRPr="00F2205D">
        <w:rPr>
          <w:rFonts w:ascii="Verdana" w:eastAsia="Calibri" w:hAnsi="Verdana"/>
          <w:color w:val="000000" w:themeColor="text1"/>
        </w:rPr>
        <w:t>.</w:t>
      </w:r>
      <w:r w:rsidRPr="009925C3">
        <w:rPr>
          <w:rFonts w:ascii="Verdana" w:eastAsia="Calibri" w:hAnsi="Verdana" w:cs="Arial"/>
          <w:color w:val="000000" w:themeColor="text1"/>
        </w:rPr>
        <w:t xml:space="preserve"> </w:t>
      </w:r>
      <w:r w:rsidRPr="00E15D88">
        <w:rPr>
          <w:rFonts w:ascii="Verdana" w:eastAsia="Calibri" w:hAnsi="Verdana" w:cs="Arial"/>
          <w:color w:val="000000" w:themeColor="text1"/>
        </w:rPr>
        <w:t>Sobre el particular, el Consejo de Estado explica que:</w:t>
      </w:r>
    </w:p>
    <w:p w14:paraId="6F5878B2" w14:textId="77777777" w:rsidR="00E53A27" w:rsidRPr="009925C3" w:rsidRDefault="00E53A27" w:rsidP="00E53A27">
      <w:pPr>
        <w:spacing w:after="0" w:line="240" w:lineRule="auto"/>
        <w:ind w:left="709" w:right="709"/>
        <w:jc w:val="both"/>
        <w:rPr>
          <w:rFonts w:ascii="Verdana" w:eastAsia="Calibri" w:hAnsi="Verdana" w:cs="Arial"/>
          <w:color w:val="000000" w:themeColor="text1"/>
          <w:sz w:val="20"/>
          <w:szCs w:val="20"/>
        </w:rPr>
      </w:pPr>
      <w:r w:rsidRPr="009925C3">
        <w:rPr>
          <w:rFonts w:ascii="Verdana" w:eastAsia="Calibri" w:hAnsi="Verdana" w:cs="Arial"/>
          <w:color w:val="000000" w:themeColor="text1"/>
          <w:sz w:val="20"/>
          <w:szCs w:val="20"/>
        </w:rPr>
        <w:t xml:space="preserve">Algunas obligaciones se contraen para ser cumplidas durante un plazo o en un día cierto, son las denominadas por la doctrina como </w:t>
      </w:r>
      <w:r w:rsidRPr="009925C3">
        <w:rPr>
          <w:rFonts w:ascii="Verdana" w:eastAsia="Calibri" w:hAnsi="Verdana" w:cs="Arial"/>
          <w:i/>
          <w:iCs/>
          <w:color w:val="000000" w:themeColor="text1"/>
          <w:sz w:val="20"/>
          <w:szCs w:val="20"/>
        </w:rPr>
        <w:t>ex die</w:t>
      </w:r>
      <w:r w:rsidRPr="009925C3">
        <w:rPr>
          <w:rFonts w:ascii="Verdana" w:eastAsia="Calibri" w:hAnsi="Verdana" w:cs="Arial"/>
          <w:color w:val="000000" w:themeColor="text1"/>
          <w:sz w:val="20"/>
          <w:szCs w:val="20"/>
        </w:rPr>
        <w:t xml:space="preserve"> o </w:t>
      </w:r>
      <w:r w:rsidRPr="009925C3">
        <w:rPr>
          <w:rFonts w:ascii="Verdana" w:eastAsia="Calibri" w:hAnsi="Verdana" w:cs="Arial"/>
          <w:i/>
          <w:iCs/>
          <w:color w:val="000000" w:themeColor="text1"/>
          <w:sz w:val="20"/>
          <w:szCs w:val="20"/>
        </w:rPr>
        <w:t>sub die</w:t>
      </w:r>
      <w:r w:rsidRPr="009925C3">
        <w:rPr>
          <w:rFonts w:ascii="Verdana" w:eastAsia="Calibri" w:hAnsi="Verdana" w:cs="Arial"/>
          <w:color w:val="000000" w:themeColor="text1"/>
          <w:sz w:val="20"/>
          <w:szCs w:val="20"/>
        </w:rPr>
        <w:t xml:space="preserve"> y otras se contraen para producir efectos hasta una época o día que se fija, las cuales se denominan </w:t>
      </w:r>
      <w:r w:rsidRPr="009925C3">
        <w:rPr>
          <w:rFonts w:ascii="Verdana" w:eastAsia="Calibri" w:hAnsi="Verdana" w:cs="Arial"/>
          <w:i/>
          <w:iCs/>
          <w:color w:val="000000" w:themeColor="text1"/>
          <w:sz w:val="20"/>
          <w:szCs w:val="20"/>
        </w:rPr>
        <w:t>ad diem</w:t>
      </w:r>
      <w:r w:rsidRPr="009925C3">
        <w:rPr>
          <w:rFonts w:ascii="Verdana" w:eastAsia="Calibri" w:hAnsi="Verdana" w:cs="Arial"/>
          <w:color w:val="000000" w:themeColor="text1"/>
          <w:sz w:val="20"/>
          <w:szCs w:val="20"/>
        </w:rPr>
        <w:t>, por tal razón, el plazo puede concebirse en función de la exigibilidad del pago o cumplimiento, o de la extinción del vínculo jurídico, diferenciándose así de las obligaciones puras y simples, las cuales no están sujetas a ninguna modalidad para su exigibilidad, es decir, nacen y se hacen exigibles en el mismo instante.</w:t>
      </w:r>
    </w:p>
    <w:p w14:paraId="301B2DCA" w14:textId="77777777" w:rsidR="00E53A27" w:rsidRPr="009925C3" w:rsidRDefault="00E53A27" w:rsidP="00E53A27">
      <w:pPr>
        <w:spacing w:after="0" w:line="240" w:lineRule="auto"/>
        <w:ind w:left="709" w:right="709"/>
        <w:jc w:val="both"/>
        <w:rPr>
          <w:rFonts w:ascii="Verdana" w:eastAsia="Calibri" w:hAnsi="Verdana" w:cs="Arial"/>
          <w:color w:val="000000" w:themeColor="text1"/>
          <w:sz w:val="20"/>
          <w:szCs w:val="20"/>
        </w:rPr>
      </w:pPr>
      <w:r w:rsidRPr="009925C3">
        <w:rPr>
          <w:rFonts w:ascii="Verdana" w:eastAsia="Calibri" w:hAnsi="Verdana" w:cs="Arial"/>
          <w:color w:val="000000" w:themeColor="text1"/>
          <w:sz w:val="20"/>
          <w:szCs w:val="20"/>
        </w:rPr>
        <w:t>[…]</w:t>
      </w:r>
    </w:p>
    <w:p w14:paraId="1DB8723B" w14:textId="77777777" w:rsidR="00E53A27" w:rsidRPr="009925C3" w:rsidRDefault="00E53A27" w:rsidP="00E53A27">
      <w:pPr>
        <w:spacing w:after="0" w:line="240" w:lineRule="auto"/>
        <w:ind w:left="709" w:right="709"/>
        <w:jc w:val="both"/>
        <w:rPr>
          <w:rFonts w:ascii="Verdana" w:eastAsia="Calibri" w:hAnsi="Verdana" w:cs="Arial"/>
          <w:color w:val="000000" w:themeColor="text1"/>
          <w:sz w:val="20"/>
          <w:szCs w:val="20"/>
        </w:rPr>
      </w:pPr>
      <w:r w:rsidRPr="009925C3">
        <w:rPr>
          <w:rFonts w:ascii="Verdana" w:eastAsia="Calibri" w:hAnsi="Verdana" w:cs="Arial"/>
          <w:color w:val="000000" w:themeColor="text1"/>
          <w:sz w:val="20"/>
          <w:szCs w:val="20"/>
        </w:rPr>
        <w:t xml:space="preserve">El plazo </w:t>
      </w:r>
      <w:r w:rsidRPr="009925C3">
        <w:rPr>
          <w:rFonts w:ascii="Verdana" w:eastAsia="Calibri" w:hAnsi="Verdana" w:cs="Arial"/>
          <w:i/>
          <w:iCs/>
          <w:color w:val="000000" w:themeColor="text1"/>
          <w:sz w:val="20"/>
          <w:szCs w:val="20"/>
        </w:rPr>
        <w:t>ex die</w:t>
      </w:r>
      <w:r w:rsidRPr="009925C3">
        <w:rPr>
          <w:rFonts w:ascii="Verdana" w:eastAsia="Calibri" w:hAnsi="Verdana" w:cs="Arial"/>
          <w:color w:val="000000" w:themeColor="text1"/>
          <w:sz w:val="20"/>
          <w:szCs w:val="20"/>
        </w:rPr>
        <w:t xml:space="preserve"> o </w:t>
      </w:r>
      <w:r w:rsidRPr="009925C3">
        <w:rPr>
          <w:rFonts w:ascii="Verdana" w:eastAsia="Calibri" w:hAnsi="Verdana" w:cs="Arial"/>
          <w:i/>
          <w:iCs/>
          <w:color w:val="000000" w:themeColor="text1"/>
          <w:sz w:val="20"/>
          <w:szCs w:val="20"/>
        </w:rPr>
        <w:t>sub die</w:t>
      </w:r>
      <w:r w:rsidRPr="009925C3">
        <w:rPr>
          <w:rFonts w:ascii="Verdana" w:eastAsia="Calibri" w:hAnsi="Verdana" w:cs="Arial"/>
          <w:color w:val="000000" w:themeColor="text1"/>
          <w:sz w:val="20"/>
          <w:szCs w:val="20"/>
        </w:rPr>
        <w:t xml:space="preserve">, que la doctrina ha denominado término suspensivo, primordial o inicial, tiene como finalidad suspender la exigibilidad de las obligaciones en el tiempo hasta el acaecimiento del momento dispuesto, por </w:t>
      </w:r>
      <w:proofErr w:type="gramStart"/>
      <w:r w:rsidRPr="009925C3">
        <w:rPr>
          <w:rFonts w:ascii="Verdana" w:eastAsia="Calibri" w:hAnsi="Verdana" w:cs="Arial"/>
          <w:color w:val="000000" w:themeColor="text1"/>
          <w:sz w:val="20"/>
          <w:szCs w:val="20"/>
        </w:rPr>
        <w:t>ende</w:t>
      </w:r>
      <w:proofErr w:type="gramEnd"/>
      <w:r w:rsidRPr="009925C3">
        <w:rPr>
          <w:rFonts w:ascii="Verdana" w:eastAsia="Calibri" w:hAnsi="Verdana" w:cs="Arial"/>
          <w:color w:val="000000" w:themeColor="text1"/>
          <w:sz w:val="20"/>
          <w:szCs w:val="20"/>
        </w:rPr>
        <w:t xml:space="preserve"> su incumplimiento durante el interregno comprendido entre el surgimiento del vínculo jurídico y hasta antes del vencimiento del plazo, no conlleva consecuencias jurídicas, es decir, hasta antes de la llegada del plazo el derecho no puede exigirse</w:t>
      </w:r>
      <w:r w:rsidRPr="009925C3">
        <w:rPr>
          <w:rStyle w:val="Refdenotaalpie"/>
          <w:rFonts w:ascii="Verdana" w:eastAsia="Calibri" w:hAnsi="Verdana" w:cs="Arial"/>
          <w:color w:val="000000" w:themeColor="text1"/>
          <w:sz w:val="20"/>
          <w:szCs w:val="20"/>
        </w:rPr>
        <w:footnoteReference w:id="15"/>
      </w:r>
      <w:r w:rsidRPr="009925C3">
        <w:rPr>
          <w:rFonts w:ascii="Verdana" w:eastAsia="Calibri" w:hAnsi="Verdana" w:cs="Arial"/>
          <w:color w:val="000000" w:themeColor="text1"/>
          <w:sz w:val="20"/>
          <w:szCs w:val="20"/>
        </w:rPr>
        <w:t>.</w:t>
      </w:r>
    </w:p>
    <w:p w14:paraId="4802FEBA" w14:textId="77777777" w:rsidR="00E53A27" w:rsidRPr="00E15D88" w:rsidRDefault="00E53A27" w:rsidP="00E53A27">
      <w:pPr>
        <w:spacing w:after="0" w:line="240" w:lineRule="auto"/>
        <w:ind w:left="709" w:right="709"/>
        <w:jc w:val="both"/>
        <w:rPr>
          <w:rFonts w:ascii="Verdana" w:eastAsia="Calibri" w:hAnsi="Verdana" w:cs="Arial"/>
          <w:color w:val="000000" w:themeColor="text1"/>
        </w:rPr>
      </w:pPr>
    </w:p>
    <w:p w14:paraId="35F2EF60" w14:textId="77777777" w:rsidR="00E53A27" w:rsidRPr="00E15D88" w:rsidRDefault="00E53A27" w:rsidP="00E53A27">
      <w:pPr>
        <w:spacing w:after="120" w:line="276" w:lineRule="auto"/>
        <w:ind w:firstLine="708"/>
        <w:jc w:val="both"/>
        <w:rPr>
          <w:rFonts w:ascii="Verdana" w:eastAsia="Calibri" w:hAnsi="Verdana" w:cs="Arial"/>
          <w:color w:val="000000" w:themeColor="text1"/>
        </w:rPr>
      </w:pPr>
      <w:r w:rsidRPr="00E15D88">
        <w:rPr>
          <w:rFonts w:ascii="Verdana" w:eastAsia="Calibri" w:hAnsi="Verdana" w:cs="Arial"/>
          <w:color w:val="000000" w:themeColor="text1"/>
        </w:rPr>
        <w:t xml:space="preserve">Ahora bien, </w:t>
      </w:r>
      <w:bookmarkStart w:id="4" w:name="_Hlk55584494"/>
      <w:r w:rsidRPr="00E15D88">
        <w:rPr>
          <w:rFonts w:ascii="Verdana" w:eastAsia="Calibri" w:hAnsi="Verdana" w:cs="Arial"/>
          <w:color w:val="000000" w:themeColor="text1"/>
        </w:rPr>
        <w:t>usualmente los plazos en los contratos estatales son suspensivos, sin perjuicio de que del contenido del contrato se deriven plazos parciales u obligaciones que deben cumplirse en términos específicos. En todo caso, frente a cada contrato debe analizarse si se pactó un plazo suspensivo o extintivo, de conformidad con el régimen de las obligaciones establecido en el Código Civil, normas que se aplican a los contratos estatales, por la remisión realizada por el artículo 13 de la Ley 80 de 1993</w:t>
      </w:r>
      <w:r w:rsidRPr="00E15D88">
        <w:rPr>
          <w:rStyle w:val="Refdenotaalpie"/>
          <w:rFonts w:ascii="Verdana" w:eastAsia="Calibri" w:hAnsi="Verdana" w:cs="Arial"/>
          <w:color w:val="000000" w:themeColor="text1"/>
        </w:rPr>
        <w:footnoteReference w:id="16"/>
      </w:r>
      <w:r w:rsidRPr="00E15D88">
        <w:rPr>
          <w:rFonts w:ascii="Verdana" w:eastAsia="Calibri" w:hAnsi="Verdana" w:cs="Arial"/>
          <w:color w:val="000000" w:themeColor="text1"/>
        </w:rPr>
        <w:t xml:space="preserve">.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el plazo pactado, pues solo a partir </w:t>
      </w:r>
      <w:r w:rsidRPr="00E15D88">
        <w:rPr>
          <w:rFonts w:ascii="Verdana" w:eastAsia="Calibri" w:hAnsi="Verdana" w:cs="Arial"/>
          <w:color w:val="000000" w:themeColor="text1"/>
        </w:rPr>
        <w:lastRenderedPageBreak/>
        <w:t>de ese momento las obligaciones son puras y simples. De hecho, la llegada o vencimiento del plazo suspensivo no extingue el contrato ni las obligaciones derivadas del vínculo jurídico, ya que, al contrario, lo que se requiere es precisamente su ejecución</w:t>
      </w:r>
      <w:r w:rsidRPr="00E15D88">
        <w:rPr>
          <w:rStyle w:val="Refdenotaalpie"/>
          <w:rFonts w:ascii="Verdana" w:eastAsia="Calibri" w:hAnsi="Verdana" w:cs="Arial"/>
          <w:color w:val="000000" w:themeColor="text1"/>
        </w:rPr>
        <w:footnoteReference w:id="17"/>
      </w:r>
      <w:r w:rsidRPr="00E15D88">
        <w:rPr>
          <w:rFonts w:ascii="Verdana" w:eastAsia="Calibri" w:hAnsi="Verdana" w:cs="Arial"/>
          <w:color w:val="000000" w:themeColor="text1"/>
        </w:rPr>
        <w:t>. Lo contrario equivale a afirmar que, si las obligaciones no se cumplen oportunamente, la entidad pierde el derecho a obtener el pago de la prestación debida, cuando considera que pese a su extemporaneidad se requiere su ejecución efectiva. Esta conclusión no solo sería contraria al interés público como fin de la contratación estatal, sino que desconoce la normas sobre el pago de los artículos 1626 y siguientes del Código Civil, razón por la cual, sin perjuicio de la responsabilidad del contratista por el cumplimiento extemporáneo, la entidad puede recibir lo que ejecute el contratista después de vencido el plazo del contrato, lo que se extiende a la exigibilidad de lo que está pendiente por cumplir.</w:t>
      </w:r>
      <w:r>
        <w:rPr>
          <w:rFonts w:ascii="Verdana" w:eastAsia="Calibri" w:hAnsi="Verdana" w:cs="Arial"/>
          <w:color w:val="000000" w:themeColor="text1"/>
        </w:rPr>
        <w:t xml:space="preserve"> Lo anterior, en la medida que “</w:t>
      </w:r>
      <w:r w:rsidRPr="00E15D88">
        <w:rPr>
          <w:rFonts w:ascii="Verdana" w:eastAsia="Calibri" w:hAnsi="Verdana" w:cs="Arial"/>
          <w:color w:val="000000" w:themeColor="text1"/>
        </w:rPr>
        <w:t>El contrato no podrá considerarse definitivamente concluido hasta tanto ambas obligaciones y derechos principales, la entrega y recepción –o puesta a disposición– de la obra o su produ</w:t>
      </w:r>
      <w:r>
        <w:rPr>
          <w:rFonts w:ascii="Verdana" w:eastAsia="Calibri" w:hAnsi="Verdana" w:cs="Arial"/>
          <w:color w:val="000000" w:themeColor="text1"/>
        </w:rPr>
        <w:t>cto […] no hayan sido cumplidos”</w:t>
      </w:r>
      <w:r w:rsidRPr="00E15D88">
        <w:rPr>
          <w:rStyle w:val="Refdenotaalpie"/>
          <w:rFonts w:ascii="Verdana" w:eastAsia="Calibri" w:hAnsi="Verdana" w:cs="Arial"/>
          <w:color w:val="000000" w:themeColor="text1"/>
        </w:rPr>
        <w:footnoteReference w:id="18"/>
      </w:r>
      <w:r w:rsidRPr="00E15D88">
        <w:rPr>
          <w:rFonts w:ascii="Verdana" w:eastAsia="Calibri" w:hAnsi="Verdana" w:cs="Arial"/>
          <w:color w:val="000000" w:themeColor="text1"/>
        </w:rPr>
        <w:t>.</w:t>
      </w:r>
      <w:bookmarkEnd w:id="4"/>
      <w:r w:rsidRPr="00E15D88">
        <w:rPr>
          <w:rFonts w:ascii="Verdana" w:eastAsia="Calibri" w:hAnsi="Verdana" w:cs="Arial"/>
          <w:color w:val="000000" w:themeColor="text1"/>
        </w:rPr>
        <w:t xml:space="preserve"> </w:t>
      </w:r>
      <w:r w:rsidRPr="00E15D88">
        <w:rPr>
          <w:rFonts w:ascii="Verdana" w:eastAsia="Calibri" w:hAnsi="Verdana" w:cs="Arial"/>
          <w:color w:val="000000" w:themeColor="text1"/>
        </w:rPr>
        <w:tab/>
        <w:t xml:space="preserve"> </w:t>
      </w:r>
    </w:p>
    <w:p w14:paraId="43D60C7E" w14:textId="77777777" w:rsidR="00E53A27" w:rsidRPr="00C67AF9" w:rsidRDefault="00E53A27" w:rsidP="00E53A27">
      <w:pPr>
        <w:spacing w:line="276" w:lineRule="auto"/>
        <w:jc w:val="both"/>
        <w:rPr>
          <w:rFonts w:ascii="Verdana" w:eastAsia="Calibri" w:hAnsi="Verdana" w:cs="Arial"/>
          <w:color w:val="000000" w:themeColor="text1"/>
          <w:sz w:val="21"/>
          <w:szCs w:val="21"/>
        </w:rPr>
      </w:pPr>
      <w:r w:rsidRPr="00E15D88">
        <w:rPr>
          <w:rFonts w:ascii="Verdana" w:eastAsia="Calibri" w:hAnsi="Verdana" w:cs="Arial"/>
          <w:color w:val="000000" w:themeColor="text1"/>
        </w:rPr>
        <w:tab/>
        <w:t>De esta manera</w:t>
      </w:r>
      <w:r>
        <w:rPr>
          <w:rFonts w:ascii="Verdana" w:eastAsia="Calibri" w:hAnsi="Verdana" w:cs="Arial"/>
          <w:color w:val="000000" w:themeColor="text1"/>
        </w:rPr>
        <w:t>,</w:t>
      </w:r>
      <w:r w:rsidRPr="00E15D88">
        <w:rPr>
          <w:rFonts w:ascii="Verdana" w:eastAsia="Calibri" w:hAnsi="Verdana" w:cs="Arial"/>
          <w:color w:val="000000" w:themeColor="text1"/>
        </w:rPr>
        <w:t xml:space="preserve"> se concluye que el plazo no siempre tiene efectos extintivos en todas las tipologías contractuales. En efecto, en la medida que suspenda la exigibilidad de las obligaciones, el </w:t>
      </w:r>
      <w:r>
        <w:rPr>
          <w:rFonts w:ascii="Verdana" w:eastAsia="Calibri" w:hAnsi="Verdana" w:cs="Arial"/>
          <w:color w:val="000000" w:themeColor="text1"/>
        </w:rPr>
        <w:t>“</w:t>
      </w:r>
      <w:r w:rsidRPr="00E15D88">
        <w:rPr>
          <w:rFonts w:ascii="Verdana" w:eastAsia="Calibri" w:hAnsi="Verdana" w:cs="Arial"/>
          <w:color w:val="000000" w:themeColor="text1"/>
        </w:rPr>
        <w:t>plazo</w:t>
      </w:r>
      <w:r>
        <w:rPr>
          <w:rFonts w:ascii="Verdana" w:eastAsia="Calibri" w:hAnsi="Verdana" w:cs="Arial"/>
          <w:color w:val="000000" w:themeColor="text1"/>
        </w:rPr>
        <w:t>”</w:t>
      </w:r>
      <w:r w:rsidRPr="00E15D88">
        <w:rPr>
          <w:rFonts w:ascii="Verdana" w:eastAsia="Calibri" w:hAnsi="Verdana" w:cs="Arial"/>
          <w:color w:val="000000" w:themeColor="text1"/>
        </w:rPr>
        <w:t xml:space="preserve"> expreso es aquel estipulado en el contrato, en el cual las partes disponen un término específico para su cumplimiento. Esto significa que –antes del vencimiento– el contrato se encuentra en ejecución, y el contratista tiene ese tiempo para ejecutar las prestaciones a las cuales se comprometió en virtud de la suscripción del negocio jurídico. </w:t>
      </w:r>
    </w:p>
    <w:p w14:paraId="05AA16B8" w14:textId="77777777" w:rsidR="00E53A27" w:rsidRDefault="00E53A27" w:rsidP="00E53A27">
      <w:pPr>
        <w:spacing w:after="120" w:line="276" w:lineRule="auto"/>
        <w:ind w:firstLine="709"/>
        <w:jc w:val="both"/>
        <w:rPr>
          <w:rFonts w:ascii="Verdana" w:eastAsia="Calibri" w:hAnsi="Verdana" w:cs="Arial"/>
          <w:color w:val="000000" w:themeColor="text1"/>
        </w:rPr>
      </w:pPr>
      <w:r w:rsidRPr="00E15D88">
        <w:rPr>
          <w:rFonts w:ascii="Verdana" w:eastAsia="Calibri" w:hAnsi="Verdana" w:cs="Arial"/>
          <w:color w:val="000000" w:themeColor="text1"/>
        </w:rPr>
        <w:t xml:space="preserve">Es necesario aclarar que el plazo del contrato es el período requerido en este para que se cumpla su objeto, a cargo del contratista como deudor del bien, obra o servicio para satisfacer la necesidad de la entidad, y que esta última recibe como acreedora. Esta definición no cambia respecto del marco normativo citado, pues el Estatuto General de Contratación de la Administración Pública no contiene normas especiales sobre el </w:t>
      </w:r>
      <w:r>
        <w:rPr>
          <w:rFonts w:ascii="Verdana" w:eastAsia="Calibri" w:hAnsi="Verdana" w:cs="Arial"/>
          <w:color w:val="000000" w:themeColor="text1"/>
        </w:rPr>
        <w:t>“</w:t>
      </w:r>
      <w:r w:rsidRPr="00E15D88">
        <w:rPr>
          <w:rFonts w:ascii="Verdana" w:eastAsia="Calibri" w:hAnsi="Verdana" w:cs="Arial"/>
          <w:color w:val="000000" w:themeColor="text1"/>
        </w:rPr>
        <w:t>plazo</w:t>
      </w:r>
      <w:r>
        <w:rPr>
          <w:rFonts w:ascii="Verdana" w:eastAsia="Calibri" w:hAnsi="Verdana" w:cs="Arial"/>
          <w:color w:val="000000" w:themeColor="text1"/>
        </w:rPr>
        <w:t>”</w:t>
      </w:r>
      <w:r w:rsidRPr="00E15D88">
        <w:rPr>
          <w:rFonts w:ascii="Verdana" w:eastAsia="Calibri" w:hAnsi="Verdana" w:cs="Arial"/>
          <w:color w:val="000000" w:themeColor="text1"/>
        </w:rPr>
        <w:t xml:space="preserve">, por lo que, en virtud del artículo </w:t>
      </w:r>
      <w:r w:rsidRPr="00E15D88">
        <w:rPr>
          <w:rFonts w:ascii="Verdana" w:eastAsia="Calibri" w:hAnsi="Verdana" w:cs="Arial"/>
          <w:color w:val="000000" w:themeColor="text1"/>
        </w:rPr>
        <w:lastRenderedPageBreak/>
        <w:t>13, 32 y 40 de la Ley 80 de 1993, es posible remitirse a las normas civiles y comerciales aplicables.</w:t>
      </w:r>
    </w:p>
    <w:p w14:paraId="69363542" w14:textId="77777777" w:rsidR="00E53A27" w:rsidRPr="00CA7B44" w:rsidRDefault="00E53A27" w:rsidP="00E53A27">
      <w:pPr>
        <w:spacing w:after="120" w:line="276" w:lineRule="auto"/>
        <w:ind w:firstLine="709"/>
        <w:jc w:val="both"/>
        <w:rPr>
          <w:rFonts w:ascii="Verdana" w:eastAsia="Calibri" w:hAnsi="Verdana"/>
          <w:color w:val="000000" w:themeColor="text1"/>
        </w:rPr>
      </w:pPr>
      <w:r>
        <w:rPr>
          <w:rFonts w:ascii="Verdana" w:eastAsia="Calibri" w:hAnsi="Verdana" w:cs="Arial"/>
          <w:color w:val="000000" w:themeColor="text1"/>
        </w:rPr>
        <w:t xml:space="preserve">Teniendo en cuenta estas precisiones, el plazo del contrato de arrendamiento de un bien inmueble </w:t>
      </w:r>
      <w:r w:rsidRPr="00CA7B44">
        <w:rPr>
          <w:rFonts w:ascii="Verdana" w:eastAsia="Calibri" w:hAnsi="Verdana"/>
          <w:color w:val="000000" w:themeColor="text1"/>
        </w:rPr>
        <w:t>celebrado por una entidad estatal se rige por los principios de la contratación pública, entre ellos el de</w:t>
      </w:r>
      <w:r>
        <w:rPr>
          <w:rFonts w:ascii="Verdana" w:eastAsia="Calibri" w:hAnsi="Verdana"/>
          <w:color w:val="000000" w:themeColor="text1"/>
        </w:rPr>
        <w:t xml:space="preserve"> economía, responsabilidad,</w:t>
      </w:r>
      <w:r w:rsidRPr="00CA7B44">
        <w:rPr>
          <w:rFonts w:ascii="Verdana" w:eastAsia="Calibri" w:hAnsi="Verdana"/>
          <w:color w:val="000000" w:themeColor="text1"/>
        </w:rPr>
        <w:t xml:space="preserve"> planeación</w:t>
      </w:r>
      <w:r>
        <w:rPr>
          <w:rFonts w:ascii="Verdana" w:eastAsia="Calibri" w:hAnsi="Verdana"/>
          <w:color w:val="000000" w:themeColor="text1"/>
        </w:rPr>
        <w:t xml:space="preserve"> y transparencia</w:t>
      </w:r>
      <w:r w:rsidRPr="00CA7B44">
        <w:rPr>
          <w:rFonts w:ascii="Verdana" w:eastAsia="Calibri" w:hAnsi="Verdana"/>
          <w:color w:val="000000" w:themeColor="text1"/>
        </w:rPr>
        <w:t>. En este contexto, el plazo pactado en el contrato</w:t>
      </w:r>
      <w:r>
        <w:rPr>
          <w:rFonts w:ascii="Verdana" w:eastAsia="Calibri" w:hAnsi="Verdana"/>
          <w:color w:val="000000" w:themeColor="text1"/>
        </w:rPr>
        <w:t xml:space="preserve"> tiene efectos extintivos</w:t>
      </w:r>
      <w:r w:rsidRPr="00CA7B44">
        <w:rPr>
          <w:rFonts w:ascii="Verdana" w:eastAsia="Calibri" w:hAnsi="Verdana"/>
          <w:color w:val="000000" w:themeColor="text1"/>
        </w:rPr>
        <w:t xml:space="preserve">, pues determina el momento en que cesan los efectos jurídicos del vínculo contractual. La administración no puede continuar ejecutando el contrato ni asumir obligaciones fuera del término establecido, salvo que se pacte una prórroga formal mediante otrosí </w:t>
      </w:r>
      <w:r>
        <w:rPr>
          <w:rFonts w:ascii="Verdana" w:eastAsia="Calibri" w:hAnsi="Verdana"/>
          <w:color w:val="000000" w:themeColor="text1"/>
        </w:rPr>
        <w:t xml:space="preserve">o adición </w:t>
      </w:r>
      <w:r w:rsidRPr="00CA7B44">
        <w:rPr>
          <w:rFonts w:ascii="Verdana" w:eastAsia="Calibri" w:hAnsi="Verdana"/>
          <w:color w:val="000000" w:themeColor="text1"/>
        </w:rPr>
        <w:t>debidamente suscrita. Esta característica garantiza seguridad jurídica y permite ejercer control sobre el uso de recursos públicos.</w:t>
      </w:r>
    </w:p>
    <w:p w14:paraId="5FA60974" w14:textId="77777777" w:rsidR="00E53A27" w:rsidRDefault="00E53A27" w:rsidP="00E53A27">
      <w:pPr>
        <w:spacing w:after="120" w:line="276" w:lineRule="auto"/>
        <w:ind w:firstLine="708"/>
        <w:jc w:val="both"/>
        <w:rPr>
          <w:rFonts w:ascii="Verdana" w:eastAsia="Calibri" w:hAnsi="Verdana"/>
          <w:color w:val="000000" w:themeColor="text1"/>
        </w:rPr>
      </w:pPr>
      <w:r w:rsidRPr="00CA7B44">
        <w:rPr>
          <w:rFonts w:ascii="Verdana" w:eastAsia="Calibri" w:hAnsi="Verdana"/>
          <w:color w:val="000000" w:themeColor="text1"/>
        </w:rPr>
        <w:t xml:space="preserve">La extinción del contrato por vencimiento del plazo no requiere declaración adicional ni acto administrativo, ya que opera de pleno derecho. En el caso de los contratos de arrendamiento, esto implica que la entidad debe restituir el bien arrendado o renovar el vínculo mediante un nuevo contrato o adición, según corresponda. </w:t>
      </w:r>
      <w:r>
        <w:rPr>
          <w:rFonts w:ascii="Verdana" w:eastAsia="Calibri" w:hAnsi="Verdana"/>
          <w:color w:val="000000" w:themeColor="text1"/>
        </w:rPr>
        <w:t xml:space="preserve">Así mismo, el carácter </w:t>
      </w:r>
      <w:r w:rsidRPr="00CA7B44">
        <w:rPr>
          <w:rFonts w:ascii="Verdana" w:eastAsia="Calibri" w:hAnsi="Verdana"/>
          <w:color w:val="000000" w:themeColor="text1"/>
        </w:rPr>
        <w:t xml:space="preserve">extintivo del plazo en los contratos estatales de arrendamiento permite delimitar con precisión el período de uso del bien, facilitar la programación presupuestal y garantizar la trazabilidad de las decisiones administrativas. Esta delimitación temporal es indispensable para la liquidación del contrato, la evaluación de su cumplimiento y la adopción de decisiones sobre </w:t>
      </w:r>
      <w:r>
        <w:rPr>
          <w:rFonts w:ascii="Verdana" w:eastAsia="Calibri" w:hAnsi="Verdana"/>
          <w:color w:val="000000" w:themeColor="text1"/>
        </w:rPr>
        <w:t xml:space="preserve">su adición </w:t>
      </w:r>
      <w:r w:rsidRPr="00CA7B44">
        <w:rPr>
          <w:rFonts w:ascii="Verdana" w:eastAsia="Calibri" w:hAnsi="Verdana"/>
          <w:color w:val="000000" w:themeColor="text1"/>
        </w:rPr>
        <w:t>o terminación definitiva. Por tanto, toda cláusula de plazo en un contrato estatal de arrendamiento debe ser clara, determinada y ajustada a los principios de la contratación pública.</w:t>
      </w:r>
    </w:p>
    <w:p w14:paraId="7FC5973B" w14:textId="77777777" w:rsidR="00E53A27" w:rsidRDefault="00E53A27" w:rsidP="00E53A27">
      <w:pPr>
        <w:spacing w:after="120" w:line="276" w:lineRule="auto"/>
        <w:ind w:firstLine="708"/>
        <w:jc w:val="both"/>
        <w:rPr>
          <w:rFonts w:ascii="Verdana" w:eastAsia="Calibri" w:hAnsi="Verdana"/>
          <w:color w:val="000000" w:themeColor="text1"/>
        </w:rPr>
      </w:pPr>
      <w:r>
        <w:rPr>
          <w:rFonts w:ascii="Verdana" w:eastAsia="Calibri" w:hAnsi="Verdana"/>
          <w:color w:val="000000" w:themeColor="text1"/>
        </w:rPr>
        <w:t xml:space="preserve">En este aspecto, el plazo del contrato de arrendamiento al ser extintivo debe caracterizarse por tener un término claro y determinado, con fundamento y cumplimiento de </w:t>
      </w:r>
      <w:r w:rsidRPr="00801142">
        <w:rPr>
          <w:rFonts w:ascii="Verdana" w:eastAsia="Calibri" w:hAnsi="Verdana"/>
          <w:color w:val="000000" w:themeColor="text1"/>
        </w:rPr>
        <w:t>la planeación,</w:t>
      </w:r>
      <w:r>
        <w:rPr>
          <w:rFonts w:ascii="Verdana" w:eastAsia="Calibri" w:hAnsi="Verdana"/>
          <w:color w:val="000000" w:themeColor="text1"/>
        </w:rPr>
        <w:t xml:space="preserve"> el principio presupuestal de anualidad del gasto público, los principios de la función administrativa y la gestión fiscal. Esto </w:t>
      </w:r>
      <w:r w:rsidRPr="00801142">
        <w:rPr>
          <w:rFonts w:ascii="Verdana" w:eastAsia="Calibri" w:hAnsi="Verdana"/>
          <w:color w:val="000000" w:themeColor="text1"/>
        </w:rPr>
        <w:t xml:space="preserve">permite a la administración pública ejercer sus funciones de seguimiento, supervisión y sanción dentro de un marco temporal definido. Un contrato sin plazo </w:t>
      </w:r>
      <w:r>
        <w:rPr>
          <w:rFonts w:ascii="Verdana" w:eastAsia="Calibri" w:hAnsi="Verdana"/>
          <w:color w:val="000000" w:themeColor="text1"/>
        </w:rPr>
        <w:t xml:space="preserve">determinado </w:t>
      </w:r>
      <w:r w:rsidRPr="00801142">
        <w:rPr>
          <w:rFonts w:ascii="Verdana" w:eastAsia="Calibri" w:hAnsi="Verdana"/>
          <w:color w:val="000000" w:themeColor="text1"/>
        </w:rPr>
        <w:t>vulneraría principios como la transparencia,</w:t>
      </w:r>
      <w:r>
        <w:rPr>
          <w:rFonts w:ascii="Verdana" w:eastAsia="Calibri" w:hAnsi="Verdana"/>
          <w:color w:val="000000" w:themeColor="text1"/>
        </w:rPr>
        <w:t xml:space="preserve"> la planeación,</w:t>
      </w:r>
      <w:r w:rsidRPr="00801142">
        <w:rPr>
          <w:rFonts w:ascii="Verdana" w:eastAsia="Calibri" w:hAnsi="Verdana"/>
          <w:color w:val="000000" w:themeColor="text1"/>
        </w:rPr>
        <w:t xml:space="preserve"> la eficiencia</w:t>
      </w:r>
      <w:r>
        <w:rPr>
          <w:rFonts w:ascii="Verdana" w:eastAsia="Calibri" w:hAnsi="Verdana"/>
          <w:color w:val="000000" w:themeColor="text1"/>
        </w:rPr>
        <w:t>, así como el principio de anualidad del gasto público.</w:t>
      </w:r>
    </w:p>
    <w:p w14:paraId="5A47A872" w14:textId="77777777" w:rsidR="00E53A27" w:rsidRPr="00D069D8" w:rsidRDefault="00E53A27" w:rsidP="00E53A27">
      <w:pPr>
        <w:shd w:val="clear" w:color="auto" w:fill="FFFFFF" w:themeFill="background1"/>
        <w:spacing w:after="120" w:line="276" w:lineRule="auto"/>
        <w:ind w:right="51" w:firstLine="708"/>
        <w:jc w:val="both"/>
        <w:rPr>
          <w:rFonts w:ascii="Verdana" w:eastAsia="Calibri" w:hAnsi="Verdana" w:cs="Arial"/>
          <w:color w:val="000000" w:themeColor="text1"/>
          <w:lang w:val="es-ES"/>
        </w:rPr>
      </w:pPr>
      <w:r>
        <w:rPr>
          <w:rFonts w:ascii="Verdana" w:eastAsia="Calibri" w:hAnsi="Verdana"/>
          <w:color w:val="000000" w:themeColor="text1"/>
        </w:rPr>
        <w:t xml:space="preserve">Este último tiene su </w:t>
      </w:r>
      <w:r w:rsidRPr="00D069D8">
        <w:rPr>
          <w:rFonts w:ascii="Verdana" w:eastAsia="Calibri" w:hAnsi="Verdana" w:cs="Arial"/>
          <w:color w:val="000000" w:themeColor="text1"/>
          <w:lang w:val="es-ES"/>
        </w:rPr>
        <w:t xml:space="preserve">fundamento constitucional </w:t>
      </w:r>
      <w:bookmarkStart w:id="5" w:name="_Hlk65717879"/>
      <w:r w:rsidRPr="00D069D8">
        <w:rPr>
          <w:rFonts w:ascii="Verdana" w:eastAsia="Calibri" w:hAnsi="Verdana" w:cs="Arial"/>
          <w:color w:val="000000" w:themeColor="text1"/>
          <w:lang w:val="es-ES"/>
        </w:rPr>
        <w:t xml:space="preserve">en el artículo 346 superior que contiene el régimen general del presupuesto de rentas y la ley de </w:t>
      </w:r>
      <w:r w:rsidRPr="00D069D8">
        <w:rPr>
          <w:rFonts w:ascii="Verdana" w:eastAsia="Calibri" w:hAnsi="Verdana" w:cs="Arial"/>
          <w:color w:val="000000" w:themeColor="text1"/>
          <w:lang w:val="es-ES"/>
        </w:rPr>
        <w:lastRenderedPageBreak/>
        <w:t>apropiaciones</w:t>
      </w:r>
      <w:r w:rsidRPr="00D069D8">
        <w:rPr>
          <w:rFonts w:ascii="Verdana" w:eastAsia="Calibri" w:hAnsi="Verdana" w:cs="Arial"/>
          <w:color w:val="000000" w:themeColor="text1"/>
          <w:vertAlign w:val="superscript"/>
          <w:lang w:val="es-ES"/>
        </w:rPr>
        <w:footnoteReference w:id="19"/>
      </w:r>
      <w:r w:rsidRPr="00D069D8">
        <w:rPr>
          <w:rFonts w:ascii="Verdana" w:eastAsia="Calibri" w:hAnsi="Verdana" w:cs="Arial"/>
          <w:color w:val="000000" w:themeColor="text1"/>
          <w:lang w:val="es-ES"/>
        </w:rPr>
        <w:t>, que deberá presentarse al Congreso dentro de los primeros diez días de cada legislatura, elaborarse y aprobarse dentro de un marco de sostenibilidad fiscal y corresponder al Plan Nacional de Desarrollo</w:t>
      </w:r>
      <w:r w:rsidRPr="00D069D8">
        <w:rPr>
          <w:rFonts w:ascii="Verdana" w:eastAsia="Calibri" w:hAnsi="Verdana" w:cs="Arial"/>
          <w:color w:val="000000" w:themeColor="text1"/>
          <w:vertAlign w:val="superscript"/>
          <w:lang w:val="es-ES"/>
        </w:rPr>
        <w:footnoteReference w:id="20"/>
      </w:r>
      <w:r w:rsidRPr="00D069D8">
        <w:rPr>
          <w:rFonts w:ascii="Verdana" w:eastAsia="Calibri" w:hAnsi="Verdana" w:cs="Arial"/>
          <w:color w:val="000000" w:themeColor="text1"/>
          <w:lang w:val="es-ES"/>
        </w:rPr>
        <w:t>. De conformidad con la misma norma constitucional, el presupuesto tiene vigencia anual y, por tanto, tienen como finalidad fijar los gastos y las rentas nacionales del Estado para la respectiva vigencia fiscal anual</w:t>
      </w:r>
      <w:bookmarkEnd w:id="5"/>
      <w:r w:rsidRPr="00D069D8">
        <w:rPr>
          <w:rFonts w:ascii="Verdana" w:eastAsia="Calibri" w:hAnsi="Verdana" w:cs="Arial"/>
          <w:color w:val="000000" w:themeColor="text1"/>
          <w:lang w:val="es-ES"/>
        </w:rPr>
        <w:t xml:space="preserve">. </w:t>
      </w:r>
    </w:p>
    <w:p w14:paraId="0A15FA8E" w14:textId="77777777" w:rsidR="00E53A27" w:rsidRDefault="00E53A27" w:rsidP="00E53A27">
      <w:pPr>
        <w:shd w:val="clear" w:color="auto" w:fill="FFFFFF"/>
        <w:spacing w:after="120" w:line="276" w:lineRule="auto"/>
        <w:ind w:right="51" w:firstLine="709"/>
        <w:jc w:val="both"/>
        <w:rPr>
          <w:rFonts w:ascii="Verdana" w:eastAsia="Calibri" w:hAnsi="Verdana" w:cs="Arial"/>
          <w:lang w:val="es-ES_tradnl"/>
        </w:rPr>
      </w:pPr>
      <w:r w:rsidRPr="00D069D8">
        <w:rPr>
          <w:rFonts w:ascii="Verdana" w:eastAsia="Calibri" w:hAnsi="Verdana" w:cs="Arial"/>
          <w:color w:val="000000" w:themeColor="text1"/>
          <w:lang w:val="es-ES_tradnl"/>
        </w:rPr>
        <w:t xml:space="preserve">En armonía con lo anterior, el Estatuto Orgánico del Presupuesto consagra este principio en el artículo 14 consistente en que </w:t>
      </w:r>
      <w:r w:rsidRPr="00D069D8">
        <w:rPr>
          <w:rFonts w:ascii="Verdana" w:eastAsia="Calibri" w:hAnsi="Verdana" w:cs="Arial"/>
          <w:lang w:val="es-ES_tradnl"/>
        </w:rPr>
        <w:t>“</w:t>
      </w:r>
      <w:r w:rsidRPr="00D069D8">
        <w:rPr>
          <w:rFonts w:ascii="Verdana" w:eastAsia="Calibri" w:hAnsi="Verdana" w:cs="Arial"/>
          <w:color w:val="000000" w:themeColor="text1"/>
          <w:lang w:val="es-ES_tradnl"/>
        </w:rPr>
        <w:t>Después del 31 de diciembre no podrán asumirse compromisos con cargo a las apropiaciones del año fiscal que se cierra en esa fecha y los saldos de apropiación no afectados por compromisos caducarán sin excepción</w:t>
      </w:r>
      <w:r w:rsidRPr="00D069D8">
        <w:rPr>
          <w:rFonts w:ascii="Verdana" w:eastAsia="Calibri" w:hAnsi="Verdana" w:cs="Arial"/>
          <w:lang w:val="es-ES_tradnl"/>
        </w:rPr>
        <w:t>”</w:t>
      </w:r>
      <w:r w:rsidRPr="00D069D8">
        <w:rPr>
          <w:rFonts w:ascii="Verdana" w:eastAsia="Calibri" w:hAnsi="Verdana" w:cs="Arial"/>
          <w:color w:val="000000" w:themeColor="text1"/>
          <w:lang w:val="es-ES_tradnl"/>
        </w:rPr>
        <w:t>. Es decir, los gastos previstos en el presupuesto anual deben ejecutarse dentro de una vigencia fiscal comprendida entre el 1 de enero y el 31 de diciembre</w:t>
      </w:r>
      <w:r w:rsidRPr="00D069D8">
        <w:rPr>
          <w:rFonts w:ascii="Verdana" w:eastAsia="Calibri" w:hAnsi="Verdana" w:cs="Arial"/>
          <w:color w:val="000000" w:themeColor="text1"/>
          <w:vertAlign w:val="superscript"/>
          <w:lang w:val="es-ES_tradnl"/>
        </w:rPr>
        <w:footnoteReference w:id="21"/>
      </w:r>
      <w:r w:rsidRPr="00D069D8">
        <w:rPr>
          <w:rFonts w:ascii="Verdana" w:eastAsia="Calibri" w:hAnsi="Verdana" w:cs="Arial"/>
          <w:color w:val="000000" w:themeColor="text1"/>
          <w:lang w:val="es-ES_tradnl"/>
        </w:rPr>
        <w:t>.</w:t>
      </w:r>
      <w:r w:rsidRPr="00D069D8">
        <w:rPr>
          <w:rFonts w:ascii="Verdana" w:eastAsia="Calibri" w:hAnsi="Verdana" w:cs="Arial"/>
          <w:color w:val="000000" w:themeColor="text1"/>
        </w:rPr>
        <w:t xml:space="preserve"> En el mismo sentido, </w:t>
      </w:r>
      <w:r w:rsidRPr="00D069D8">
        <w:rPr>
          <w:rFonts w:ascii="Verdana" w:eastAsia="Calibri" w:hAnsi="Verdana" w:cs="Arial"/>
          <w:color w:val="000000" w:themeColor="text1"/>
          <w:lang w:val="es-ES_tradnl"/>
        </w:rPr>
        <w:t xml:space="preserve">el artículo 89 </w:t>
      </w:r>
      <w:r w:rsidRPr="00D069D8">
        <w:rPr>
          <w:rFonts w:ascii="Verdana" w:eastAsia="Calibri" w:hAnsi="Verdana" w:cs="Arial"/>
          <w:i/>
          <w:iCs/>
          <w:color w:val="000000" w:themeColor="text1"/>
          <w:lang w:val="es-ES_tradnl"/>
        </w:rPr>
        <w:t>ibidem</w:t>
      </w:r>
      <w:r w:rsidRPr="00D069D8">
        <w:rPr>
          <w:rFonts w:ascii="Verdana" w:eastAsia="Calibri" w:hAnsi="Verdana" w:cs="Arial"/>
          <w:color w:val="000000" w:themeColor="text1"/>
          <w:lang w:val="es-ES_tradnl"/>
        </w:rPr>
        <w:t xml:space="preserve"> consolida al principio de anualidad como regla general en la ejecución del gasto al establecer que </w:t>
      </w:r>
      <w:r w:rsidRPr="00D069D8">
        <w:rPr>
          <w:rFonts w:ascii="Verdana" w:eastAsia="Calibri" w:hAnsi="Verdana" w:cs="Arial"/>
          <w:lang w:val="es-ES_tradnl"/>
        </w:rPr>
        <w:t>“</w:t>
      </w:r>
      <w:r w:rsidRPr="00D069D8">
        <w:rPr>
          <w:rFonts w:ascii="Verdana" w:eastAsia="Calibri" w:hAnsi="Verdana" w:cs="Arial"/>
          <w:color w:val="000000" w:themeColor="text1"/>
          <w:lang w:val="es-ES_tradnl"/>
        </w:rPr>
        <w:t xml:space="preserve">las apropiaciones presupuestales incluidas en el Presupuesto General de la Nación son autorizaciones máximas de gasto que el Congreso aprueba para ser ejecutadas o comprometidas durante la vigencia fiscal respectiva, por lo que después del 31 de diciembre de cada año estas autorizaciones expiran y, en consecuencia, no podrán comprometerse, adicionarse, transferirse, ni </w:t>
      </w:r>
      <w:proofErr w:type="spellStart"/>
      <w:r w:rsidRPr="00D069D8">
        <w:rPr>
          <w:rFonts w:ascii="Verdana" w:eastAsia="Calibri" w:hAnsi="Verdana" w:cs="Arial"/>
          <w:color w:val="000000" w:themeColor="text1"/>
          <w:lang w:val="es-ES_tradnl"/>
        </w:rPr>
        <w:t>contracreditarse</w:t>
      </w:r>
      <w:proofErr w:type="spellEnd"/>
      <w:r w:rsidRPr="00D069D8">
        <w:rPr>
          <w:rFonts w:ascii="Verdana" w:eastAsia="Calibri" w:hAnsi="Verdana" w:cs="Arial"/>
          <w:lang w:val="es-ES_tradnl"/>
        </w:rPr>
        <w:t>”.</w:t>
      </w:r>
    </w:p>
    <w:p w14:paraId="0839C499" w14:textId="77777777" w:rsidR="00E53A27" w:rsidRPr="00D81BFE" w:rsidRDefault="00E53A27" w:rsidP="00E53A27">
      <w:pPr>
        <w:shd w:val="clear" w:color="auto" w:fill="FFFFFF"/>
        <w:spacing w:after="120" w:line="276" w:lineRule="auto"/>
        <w:ind w:right="51" w:firstLine="709"/>
        <w:jc w:val="both"/>
        <w:rPr>
          <w:rFonts w:ascii="Verdana" w:eastAsia="Calibri" w:hAnsi="Verdana" w:cs="Arial"/>
          <w:lang w:val="es-ES_tradnl"/>
        </w:rPr>
      </w:pPr>
      <w:r w:rsidRPr="00D069D8">
        <w:rPr>
          <w:rFonts w:ascii="Verdana" w:eastAsia="Calibri" w:hAnsi="Verdana" w:cs="Arial"/>
          <w:lang w:val="es-ES_tradnl"/>
        </w:rPr>
        <w:lastRenderedPageBreak/>
        <w:t>A su turno, el artículo 8 de la Ley 819 de 2003 consagra el principio de anualidad al disponer que “l</w:t>
      </w:r>
      <w:r w:rsidRPr="00D069D8">
        <w:rPr>
          <w:rFonts w:ascii="Verdana" w:eastAsia="Calibri" w:hAnsi="Verdana" w:cs="Arial"/>
        </w:rPr>
        <w:t>a preparación y elaboración del Presupuesto General de la Nación y el de las entidades territoriales, deberá sujetarse a los correspondientes Marcos Fiscales de Mediano Plazo de manera que las apropiaciones presupuestales aprobadas por el Congreso de la República, las Asambleas y los Concejos, puedan ejecutarse en su totalidad durante la vigencia fiscal correspondiente”.</w:t>
      </w:r>
      <w:r>
        <w:rPr>
          <w:rFonts w:ascii="Verdana" w:eastAsia="Calibri" w:hAnsi="Verdana" w:cs="Arial"/>
        </w:rPr>
        <w:t xml:space="preserve"> </w:t>
      </w:r>
      <w:r w:rsidRPr="00D069D8">
        <w:rPr>
          <w:rFonts w:ascii="Verdana" w:eastAsia="Calibri" w:hAnsi="Verdana" w:cs="Arial"/>
          <w:color w:val="000000" w:themeColor="text1"/>
          <w:lang w:val="es-ES"/>
        </w:rPr>
        <w:t>En este sentido, la regla general es que las entidades estatales solo pueden adquirir compromisos presupuestales que no excedan en su ejecución la vigencia fiscal en la que se suscribe el respectivo contrato</w:t>
      </w:r>
      <w:r>
        <w:rPr>
          <w:rFonts w:ascii="Verdana" w:eastAsia="Calibri" w:hAnsi="Verdana" w:cs="Arial"/>
          <w:color w:val="000000" w:themeColor="text1"/>
          <w:lang w:val="es-ES"/>
        </w:rPr>
        <w:t>, salvo las excepciones establecidas por la ley, como son</w:t>
      </w:r>
      <w:r w:rsidRPr="00415516">
        <w:rPr>
          <w:rFonts w:ascii="Verdana" w:eastAsia="Calibri" w:hAnsi="Verdana" w:cs="Arial"/>
          <w:color w:val="000000" w:themeColor="text1"/>
          <w:lang w:val="es-ES_tradnl"/>
        </w:rPr>
        <w:t xml:space="preserve"> las vigencias futuras, las cuentas por pagar y las reservas presupuestales.</w:t>
      </w:r>
    </w:p>
    <w:p w14:paraId="2B37DF1A" w14:textId="77777777" w:rsidR="00E53A27" w:rsidRPr="0090499C" w:rsidRDefault="00E53A27" w:rsidP="00E53A27">
      <w:pPr>
        <w:spacing w:after="120" w:line="276" w:lineRule="auto"/>
        <w:ind w:firstLine="708"/>
        <w:jc w:val="both"/>
        <w:rPr>
          <w:rFonts w:ascii="Verdana" w:eastAsia="Calibri" w:hAnsi="Verdana"/>
          <w:color w:val="000000" w:themeColor="text1"/>
        </w:rPr>
      </w:pPr>
      <w:r w:rsidRPr="00801142">
        <w:rPr>
          <w:rFonts w:ascii="Verdana" w:eastAsia="Calibri" w:hAnsi="Verdana"/>
          <w:color w:val="000000" w:themeColor="text1"/>
        </w:rPr>
        <w:t>En consecuencia, los contratos estatales</w:t>
      </w:r>
      <w:r>
        <w:rPr>
          <w:rFonts w:ascii="Verdana" w:eastAsia="Calibri" w:hAnsi="Verdana"/>
          <w:color w:val="000000" w:themeColor="text1"/>
        </w:rPr>
        <w:t xml:space="preserve"> de arrendamiento</w:t>
      </w:r>
      <w:r w:rsidRPr="00801142">
        <w:rPr>
          <w:rFonts w:ascii="Verdana" w:eastAsia="Calibri" w:hAnsi="Verdana"/>
          <w:color w:val="000000" w:themeColor="text1"/>
        </w:rPr>
        <w:t xml:space="preserve"> deben estructurarse con base en una planeación rigurosa que incluya un plazo </w:t>
      </w:r>
      <w:r>
        <w:rPr>
          <w:rFonts w:ascii="Verdana" w:eastAsia="Calibri" w:hAnsi="Verdana"/>
          <w:color w:val="000000" w:themeColor="text1"/>
        </w:rPr>
        <w:t>definido y determinado</w:t>
      </w:r>
      <w:r w:rsidRPr="00801142">
        <w:rPr>
          <w:rFonts w:ascii="Verdana" w:eastAsia="Calibri" w:hAnsi="Verdana"/>
          <w:color w:val="000000" w:themeColor="text1"/>
        </w:rPr>
        <w:t xml:space="preserve">. Esta exigencia no solo responde a criterios legales, sino también a principios de buena administración y eficiencia institucional. </w:t>
      </w:r>
      <w:r>
        <w:rPr>
          <w:rFonts w:ascii="Verdana" w:eastAsia="Calibri" w:hAnsi="Verdana"/>
          <w:color w:val="000000" w:themeColor="text1"/>
        </w:rPr>
        <w:t>En efecto, l</w:t>
      </w:r>
      <w:r w:rsidRPr="00801142">
        <w:rPr>
          <w:rFonts w:ascii="Verdana" w:eastAsia="Calibri" w:hAnsi="Verdana"/>
          <w:color w:val="000000" w:themeColor="text1"/>
        </w:rPr>
        <w:t xml:space="preserve">a estipulación de plazos indefinidos </w:t>
      </w:r>
      <w:r>
        <w:rPr>
          <w:rFonts w:ascii="Verdana" w:eastAsia="Calibri" w:hAnsi="Verdana"/>
          <w:color w:val="000000" w:themeColor="text1"/>
        </w:rPr>
        <w:t xml:space="preserve">implicaría asumir obligaciones presupuestales, sin tener en cuenta el principio de anualidad del gasto, así como la problemática de establecer el valor estimado del contrato, el cual es fundamental para definir el monto de la disponibilidad presupuestal. Esto último, tiene sustento en el artículo 25 numeral 6 de la Ley 80 de 1993, que prescribe: </w:t>
      </w:r>
      <w:bookmarkStart w:id="7" w:name="25"/>
      <w:r>
        <w:rPr>
          <w:rFonts w:ascii="Verdana" w:eastAsia="Calibri" w:hAnsi="Verdana"/>
          <w:color w:val="000000" w:themeColor="text1"/>
        </w:rPr>
        <w:t>“</w:t>
      </w:r>
      <w:r w:rsidRPr="00546EBA">
        <w:rPr>
          <w:rFonts w:ascii="Verdana" w:eastAsia="Calibri" w:hAnsi="Verdana"/>
          <w:color w:val="000000" w:themeColor="text1"/>
        </w:rPr>
        <w:t xml:space="preserve">Artículo 25. Del Principio </w:t>
      </w:r>
      <w:r>
        <w:rPr>
          <w:rFonts w:ascii="Verdana" w:eastAsia="Calibri" w:hAnsi="Verdana"/>
          <w:color w:val="000000" w:themeColor="text1"/>
        </w:rPr>
        <w:t>d</w:t>
      </w:r>
      <w:r w:rsidRPr="00546EBA">
        <w:rPr>
          <w:rFonts w:ascii="Verdana" w:eastAsia="Calibri" w:hAnsi="Verdana"/>
          <w:color w:val="000000" w:themeColor="text1"/>
        </w:rPr>
        <w:t>e Economía.</w:t>
      </w:r>
      <w:bookmarkEnd w:id="7"/>
      <w:r>
        <w:rPr>
          <w:rFonts w:ascii="Verdana" w:eastAsia="Calibri" w:hAnsi="Verdana"/>
          <w:color w:val="000000" w:themeColor="text1"/>
        </w:rPr>
        <w:t xml:space="preserve"> </w:t>
      </w:r>
      <w:r w:rsidRPr="00546EBA">
        <w:rPr>
          <w:rFonts w:ascii="Verdana" w:eastAsia="Calibri" w:hAnsi="Verdana"/>
          <w:color w:val="000000" w:themeColor="text1"/>
        </w:rPr>
        <w:t xml:space="preserve">En virtud de este principio: </w:t>
      </w:r>
      <w:r>
        <w:rPr>
          <w:rFonts w:ascii="Verdana" w:eastAsia="Calibri" w:hAnsi="Verdana"/>
          <w:color w:val="000000" w:themeColor="text1"/>
        </w:rPr>
        <w:t xml:space="preserve">[…] </w:t>
      </w:r>
      <w:r w:rsidRPr="00546EBA">
        <w:rPr>
          <w:rFonts w:ascii="Verdana" w:eastAsia="Calibri" w:hAnsi="Verdana"/>
          <w:color w:val="000000" w:themeColor="text1"/>
        </w:rPr>
        <w:t>Las entidades estatales abrirán licitaciones e iniciarán procesos de suscripción de contratos, cuando existan las respectivas partidas o disponibilidades presupuestales</w:t>
      </w:r>
      <w:r>
        <w:rPr>
          <w:rFonts w:ascii="Verdana" w:eastAsia="Calibri" w:hAnsi="Verdana"/>
          <w:color w:val="000000" w:themeColor="text1"/>
        </w:rPr>
        <w:t>”</w:t>
      </w:r>
      <w:r w:rsidRPr="00546EBA">
        <w:rPr>
          <w:rFonts w:ascii="Verdana" w:eastAsia="Calibri" w:hAnsi="Verdana"/>
          <w:color w:val="000000" w:themeColor="text1"/>
        </w:rPr>
        <w:t>.</w:t>
      </w:r>
      <w:r>
        <w:rPr>
          <w:rFonts w:ascii="Verdana" w:eastAsia="Calibri" w:hAnsi="Verdana"/>
          <w:color w:val="000000" w:themeColor="text1"/>
        </w:rPr>
        <w:t xml:space="preserve"> De este modo, los contratos estatales de arrendamiento de bienes inmuebles implican que la entidad calcule su valor para contar con la disponibilidad presupuestal correspondiente. </w:t>
      </w:r>
    </w:p>
    <w:p w14:paraId="770355FF" w14:textId="076E3AE7" w:rsidR="00E53A27" w:rsidRPr="00555D1D" w:rsidRDefault="00E53A27" w:rsidP="00D5657B">
      <w:pPr>
        <w:spacing w:after="120" w:line="276" w:lineRule="auto"/>
        <w:ind w:firstLine="709"/>
        <w:jc w:val="both"/>
        <w:rPr>
          <w:rFonts w:ascii="Verdana" w:eastAsia="Calibri" w:hAnsi="Verdana" w:cs="Arial"/>
          <w:color w:val="000000"/>
          <w:lang w:val="es-ES"/>
        </w:rPr>
      </w:pPr>
      <w:r>
        <w:rPr>
          <w:rFonts w:ascii="Verdana" w:eastAsia="Calibri" w:hAnsi="Verdana" w:cs="Arial"/>
          <w:color w:val="000000" w:themeColor="text1"/>
          <w:lang w:val="es-ES"/>
        </w:rPr>
        <w:t xml:space="preserve">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 xml:space="preserve">oblemas específicos en torno a la </w:t>
      </w:r>
      <w:r w:rsidR="001F4AB8">
        <w:rPr>
          <w:rFonts w:ascii="Verdana" w:hAnsi="Verdana" w:cs="Arial"/>
          <w:lang w:val="es-ES_tradnl" w:eastAsia="es-ES"/>
        </w:rPr>
        <w:t xml:space="preserve">materia de consulta </w:t>
      </w:r>
      <w:r>
        <w:rPr>
          <w:rFonts w:ascii="Verdana" w:hAnsi="Verdana" w:cs="Arial"/>
          <w:lang w:val="es-ES_tradnl" w:eastAsia="es-ES"/>
        </w:rPr>
        <w:t>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6071810" w14:textId="77777777" w:rsidR="00E53A27" w:rsidRPr="00B17041" w:rsidRDefault="00E53A27" w:rsidP="00E53A27">
      <w:pPr>
        <w:spacing w:after="120" w:line="276" w:lineRule="auto"/>
        <w:ind w:firstLine="709"/>
        <w:jc w:val="both"/>
        <w:rPr>
          <w:rFonts w:ascii="Verdana" w:hAnsi="Verdana" w:cs="Arial"/>
          <w:lang w:val="es-ES" w:eastAsia="es-ES"/>
        </w:rPr>
      </w:pPr>
      <w:r w:rsidRPr="00B17041">
        <w:rPr>
          <w:rFonts w:ascii="Verdana" w:hAnsi="Verdana" w:cs="Arial"/>
          <w:lang w:val="es-ES" w:eastAsia="es-ES"/>
        </w:rPr>
        <w:lastRenderedPageBreak/>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0559BE2" w14:textId="77777777" w:rsidR="008D024B" w:rsidRPr="00A77871" w:rsidRDefault="008D024B" w:rsidP="008D024B">
      <w:pPr>
        <w:numPr>
          <w:ilvl w:val="0"/>
          <w:numId w:val="16"/>
        </w:numPr>
        <w:tabs>
          <w:tab w:val="left" w:pos="142"/>
          <w:tab w:val="left" w:pos="284"/>
        </w:tabs>
        <w:spacing w:before="240" w:line="276" w:lineRule="auto"/>
        <w:ind w:left="0" w:firstLine="357"/>
        <w:contextualSpacing/>
        <w:jc w:val="both"/>
        <w:rPr>
          <w:rFonts w:ascii="Verdana" w:eastAsia="Century Gothic" w:hAnsi="Verdana" w:cs="Century Gothic"/>
          <w:b/>
          <w:bCs/>
        </w:rPr>
      </w:pPr>
      <w:r w:rsidRPr="00A77871">
        <w:rPr>
          <w:rFonts w:ascii="Verdana" w:eastAsia="Century Gothic" w:hAnsi="Verdana" w:cs="Century Gothic"/>
          <w:b/>
          <w:bCs/>
        </w:rPr>
        <w:t>Referencias normativas y jurisprudenciales:</w:t>
      </w:r>
    </w:p>
    <w:p w14:paraId="6F49EE96" w14:textId="77777777" w:rsidR="008D024B" w:rsidRPr="00A77871" w:rsidRDefault="008D024B" w:rsidP="008D024B">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D024B" w:rsidRPr="00A77871" w14:paraId="5341EE4E" w14:textId="77777777" w:rsidTr="00F44B6A">
        <w:trPr>
          <w:trHeight w:val="410"/>
          <w:jc w:val="center"/>
        </w:trPr>
        <w:tc>
          <w:tcPr>
            <w:tcW w:w="8647" w:type="dxa"/>
          </w:tcPr>
          <w:p w14:paraId="65DA5456" w14:textId="22C7A094"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 xml:space="preserve">Código Civil, artículos, </w:t>
            </w:r>
            <w:r w:rsidR="00421F88">
              <w:rPr>
                <w:rFonts w:ascii="Verdana" w:hAnsi="Verdana" w:cs="Arial"/>
              </w:rPr>
              <w:t xml:space="preserve">1495, </w:t>
            </w:r>
            <w:r w:rsidRPr="004D650F">
              <w:rPr>
                <w:rFonts w:ascii="Verdana" w:hAnsi="Verdana" w:cs="Arial"/>
              </w:rPr>
              <w:t>1551, 1973</w:t>
            </w:r>
            <w:r w:rsidR="00C219D8">
              <w:rPr>
                <w:rFonts w:ascii="Verdana" w:hAnsi="Verdana" w:cs="Arial"/>
              </w:rPr>
              <w:t>.</w:t>
            </w:r>
          </w:p>
          <w:p w14:paraId="03E24E1F" w14:textId="6C3B213E"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Código del Comercio, artículos 518 al 523</w:t>
            </w:r>
            <w:r w:rsidR="00C219D8">
              <w:rPr>
                <w:rFonts w:ascii="Verdana" w:hAnsi="Verdana" w:cs="Arial"/>
              </w:rPr>
              <w:t>.</w:t>
            </w:r>
          </w:p>
          <w:p w14:paraId="1BDBBDCD"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Ley 80 de 1993, artículos 2, 13, 14, 25, 32 y 40.</w:t>
            </w:r>
          </w:p>
          <w:p w14:paraId="0A9E6C4C"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 xml:space="preserve">Ley 819 de 2003, artículo 8. </w:t>
            </w:r>
          </w:p>
          <w:p w14:paraId="7AAD460B"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Ley 820 de 2003.</w:t>
            </w:r>
          </w:p>
          <w:p w14:paraId="64651B2A"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Ley 1150 de 2007, artículo 2 y 5.</w:t>
            </w:r>
          </w:p>
          <w:p w14:paraId="15D00E2D"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Decreto 1068 de 2015, artículo 2.8.3.4.</w:t>
            </w:r>
          </w:p>
          <w:p w14:paraId="69BC87BF" w14:textId="77777777" w:rsidR="004D650F" w:rsidRDefault="004D650F" w:rsidP="004D650F">
            <w:pPr>
              <w:numPr>
                <w:ilvl w:val="0"/>
                <w:numId w:val="17"/>
              </w:numPr>
              <w:spacing w:line="360" w:lineRule="auto"/>
              <w:rPr>
                <w:rFonts w:ascii="Verdana" w:hAnsi="Verdana" w:cs="Arial"/>
              </w:rPr>
            </w:pPr>
            <w:r w:rsidRPr="004D650F">
              <w:rPr>
                <w:rFonts w:ascii="Verdana" w:hAnsi="Verdana" w:cs="Arial"/>
              </w:rPr>
              <w:t>Decreto 1082 de 2015, artículo 2.2.1.2.1.4.11.</w:t>
            </w:r>
          </w:p>
          <w:p w14:paraId="4F7CAC66"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 xml:space="preserve">Consejo de Estado. Sección Tercera, Subsección C. Sentencia del 13 de febrero de 2015. </w:t>
            </w:r>
            <w:proofErr w:type="spellStart"/>
            <w:r w:rsidRPr="004D650F">
              <w:rPr>
                <w:rFonts w:ascii="Verdana" w:hAnsi="Verdana" w:cs="Arial"/>
              </w:rPr>
              <w:t>Exp</w:t>
            </w:r>
            <w:proofErr w:type="spellEnd"/>
            <w:r w:rsidRPr="004D650F">
              <w:rPr>
                <w:rFonts w:ascii="Verdana" w:hAnsi="Verdana" w:cs="Arial"/>
              </w:rPr>
              <w:t xml:space="preserve">. 26.938 C.P. Olga Mélida Valle De </w:t>
            </w:r>
            <w:proofErr w:type="spellStart"/>
            <w:r w:rsidRPr="004D650F">
              <w:rPr>
                <w:rFonts w:ascii="Verdana" w:hAnsi="Verdana" w:cs="Arial"/>
              </w:rPr>
              <w:t>De</w:t>
            </w:r>
            <w:proofErr w:type="spellEnd"/>
            <w:r w:rsidRPr="004D650F">
              <w:rPr>
                <w:rFonts w:ascii="Verdana" w:hAnsi="Verdana" w:cs="Arial"/>
              </w:rPr>
              <w:t xml:space="preserve"> la Hoz (E).</w:t>
            </w:r>
          </w:p>
          <w:p w14:paraId="36755CFA" w14:textId="7CEEAD20"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Consejo de Estado, Sala Plena Contenciosa. Sentencia del 14 de agosto de 2018, Radicado. 05001-33-31-003-2009-00157-01(AP)SU. C.P. Oswaldo Giraldo López.</w:t>
            </w:r>
          </w:p>
          <w:p w14:paraId="00B09B75"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 xml:space="preserve">BENAVIDES, José Luis. El contrato estatal: entre el derecho público y el derecho privado. Segunda edición. Bogotá: Universidad Externado de Colombia, 2009. pp. 78-79.      </w:t>
            </w:r>
          </w:p>
          <w:p w14:paraId="12488EA7"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 xml:space="preserve">BETANCUR JARAMILLO, Carlos. Derecho procesal administrativo. Octava edición. Medellín: Señal Editora, 2013. p. 627. </w:t>
            </w:r>
          </w:p>
          <w:p w14:paraId="04956A86"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lastRenderedPageBreak/>
              <w:t xml:space="preserve">BONIVENTO FERNANDEZ, José. Los principales contratos civiles y su paralelo con los comerciales. Vigésimo segunda edición. Bogotá: Tirant lo Blanch, 2024. </w:t>
            </w:r>
          </w:p>
          <w:p w14:paraId="73244B17"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 xml:space="preserve">FUEYO LANERI, Fernando. Derecho civil: de las obligaciones. Tomo IV. Volumen I. Santiago de Chile: Roberts y Cía. Ltda., 1958. </w:t>
            </w:r>
          </w:p>
          <w:p w14:paraId="5261A096"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 xml:space="preserve">OSPINA FERNÁNDEZ, Guillermo. Régimen General de las Obligaciones. Editorial Temis S.A., reimpresión de la octava edición, Bogotá, 2008. </w:t>
            </w:r>
          </w:p>
          <w:p w14:paraId="065A7A08"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PEÑA GONZÁLEZ, Edilberto. Principios e instituciones presupuestales en Colombia, en: Estudios Socio-Jurídicos, Bogotá (Colombia), 9 (1), enero-junio de 2007.</w:t>
            </w:r>
          </w:p>
          <w:p w14:paraId="580828B9"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 xml:space="preserve">PODETTI, Humberto. El contrato de construcción. Buenos Aires: Editorial Astrea, 2004. </w:t>
            </w:r>
          </w:p>
          <w:p w14:paraId="4C0F144D" w14:textId="77777777" w:rsidR="004D650F" w:rsidRPr="004D650F" w:rsidRDefault="004D650F" w:rsidP="004D650F">
            <w:pPr>
              <w:numPr>
                <w:ilvl w:val="0"/>
                <w:numId w:val="17"/>
              </w:numPr>
              <w:spacing w:line="360" w:lineRule="auto"/>
              <w:rPr>
                <w:rFonts w:ascii="Verdana" w:hAnsi="Verdana" w:cs="Arial"/>
              </w:rPr>
            </w:pPr>
            <w:r w:rsidRPr="004D650F">
              <w:rPr>
                <w:rFonts w:ascii="Verdana" w:hAnsi="Verdana" w:cs="Arial"/>
              </w:rPr>
              <w:t xml:space="preserve">SÁNCHEZ TRUJILLO, Juan Pablo. Completitud de la oferta del contrato atípico: elementos esenciales del contrato atípico como requisito de delimitación del objeto de la oferta mercantil. Consultado el 14 de noviembre de 2025 en la página web https://revistas.udea.edu.co/index.php/derypol/article/view/331285/20790715.  </w:t>
            </w:r>
          </w:p>
          <w:p w14:paraId="40F35CF5" w14:textId="01D877AF" w:rsidR="008D024B" w:rsidRPr="004D650F" w:rsidRDefault="004D650F" w:rsidP="004D650F">
            <w:pPr>
              <w:numPr>
                <w:ilvl w:val="0"/>
                <w:numId w:val="17"/>
              </w:numPr>
              <w:spacing w:line="360" w:lineRule="auto"/>
              <w:rPr>
                <w:rFonts w:ascii="Verdana" w:hAnsi="Verdana" w:cs="Arial"/>
              </w:rPr>
            </w:pPr>
            <w:r w:rsidRPr="004D650F">
              <w:rPr>
                <w:rFonts w:ascii="Verdana" w:hAnsi="Verdana" w:cs="Arial"/>
              </w:rPr>
              <w:t xml:space="preserve">VELÁSQUEZ GOMÉZ, Hernán Darío. Estudio sobre las obligaciones. Bogotá: Temis, 2010. </w:t>
            </w:r>
          </w:p>
        </w:tc>
      </w:tr>
    </w:tbl>
    <w:p w14:paraId="2360153B" w14:textId="77777777" w:rsidR="008D024B" w:rsidRDefault="008D024B" w:rsidP="008D024B">
      <w:pPr>
        <w:tabs>
          <w:tab w:val="left" w:pos="142"/>
          <w:tab w:val="left" w:pos="284"/>
        </w:tabs>
        <w:spacing w:before="240" w:line="276" w:lineRule="auto"/>
        <w:ind w:left="357"/>
        <w:contextualSpacing/>
        <w:jc w:val="both"/>
        <w:rPr>
          <w:rFonts w:ascii="Verdana" w:eastAsia="Century Gothic" w:hAnsi="Verdana" w:cs="Century Gothic"/>
          <w:b/>
          <w:bCs/>
        </w:rPr>
      </w:pPr>
    </w:p>
    <w:p w14:paraId="381B4BAE" w14:textId="77777777" w:rsidR="008D024B" w:rsidRPr="00271484" w:rsidRDefault="008D024B" w:rsidP="008D024B">
      <w:pPr>
        <w:numPr>
          <w:ilvl w:val="0"/>
          <w:numId w:val="16"/>
        </w:numPr>
        <w:tabs>
          <w:tab w:val="left" w:pos="142"/>
          <w:tab w:val="left" w:pos="284"/>
        </w:tabs>
        <w:spacing w:before="240" w:line="276" w:lineRule="auto"/>
        <w:ind w:left="0" w:firstLine="357"/>
        <w:contextualSpacing/>
        <w:jc w:val="both"/>
        <w:rPr>
          <w:rFonts w:ascii="Verdana" w:eastAsia="Century Gothic" w:hAnsi="Verdana" w:cs="Century Gothic"/>
          <w:b/>
          <w:bCs/>
        </w:rPr>
      </w:pPr>
      <w:r w:rsidRPr="00A77871">
        <w:rPr>
          <w:rFonts w:ascii="Verdana" w:eastAsia="Century Gothic" w:hAnsi="Verdana" w:cs="Century Gothic"/>
          <w:b/>
          <w:bCs/>
        </w:rPr>
        <w:t>Doctrina de la Agencia Nacional de Contratación Pública:</w:t>
      </w:r>
    </w:p>
    <w:p w14:paraId="7F83F40E" w14:textId="77777777" w:rsidR="00DC069E" w:rsidRDefault="00DC069E" w:rsidP="00DC069E">
      <w:pPr>
        <w:widowControl w:val="0"/>
        <w:autoSpaceDE w:val="0"/>
        <w:autoSpaceDN w:val="0"/>
        <w:spacing w:after="0" w:line="276" w:lineRule="auto"/>
        <w:jc w:val="both"/>
        <w:rPr>
          <w:rFonts w:ascii="Verdana" w:hAnsi="Verdana" w:cs="Arial"/>
          <w:shd w:val="clear" w:color="auto" w:fill="FFFFFF"/>
        </w:rPr>
      </w:pPr>
    </w:p>
    <w:p w14:paraId="62A5266C" w14:textId="35E16BDE" w:rsidR="00DC069E" w:rsidRPr="00DC069E" w:rsidRDefault="00DC069E" w:rsidP="00A134BA">
      <w:pPr>
        <w:widowControl w:val="0"/>
        <w:autoSpaceDE w:val="0"/>
        <w:autoSpaceDN w:val="0"/>
        <w:spacing w:after="0" w:line="276" w:lineRule="auto"/>
        <w:jc w:val="both"/>
        <w:rPr>
          <w:rFonts w:ascii="Verdana" w:eastAsia="Calibri" w:hAnsi="Verdana" w:cs="Times New Roman"/>
        </w:rPr>
      </w:pPr>
      <w:r w:rsidRPr="00DC069E">
        <w:rPr>
          <w:rFonts w:ascii="Verdana" w:hAnsi="Verdana" w:cs="Arial"/>
          <w:shd w:val="clear" w:color="auto" w:fill="FFFFFF"/>
        </w:rPr>
        <w:t xml:space="preserve">Esta Subdirección se ha pronunciado sobre el Contrato de Arrendamiento de Bienes Inmuebles en los siguientes conceptos: C-319 del 28 de febrero de 2025, C-462 del 19 de mayo de 2025, C-564 del 30 de mayo de 2025, C-1128 del 22 de septiembre de 2025, C-1648 del 14 de noviembre de 2025, entre otros. En cuanto a los plazos de los contratos estatales, se han expedido los siguientes conceptos: </w:t>
      </w:r>
      <w:r w:rsidRPr="00DC069E">
        <w:rPr>
          <w:rFonts w:ascii="Verdana" w:hAnsi="Verdana" w:cs="Arial"/>
          <w:bCs/>
          <w:shd w:val="clear" w:color="auto" w:fill="FFFFFF"/>
        </w:rPr>
        <w:t xml:space="preserve">C-432 del 27 de julio de 2020, en el C-646 del 9 de noviembre de </w:t>
      </w:r>
      <w:r w:rsidRPr="00DC069E">
        <w:rPr>
          <w:rFonts w:ascii="Verdana" w:hAnsi="Verdana" w:cs="Arial"/>
          <w:bCs/>
          <w:shd w:val="clear" w:color="auto" w:fill="FFFFFF"/>
        </w:rPr>
        <w:lastRenderedPageBreak/>
        <w:t xml:space="preserve">2020, C-327 del1 de junio de 2021, C-375 del 14 de junio de 2022, C-529 del 18 de agosto de 2022, C-807 del 25 de noviembre de 2022 y C-276 del 14 de julio de 2023, C-837 del 6 de diciembre de 2024, </w:t>
      </w:r>
      <w:r w:rsidRPr="00DC069E">
        <w:rPr>
          <w:rFonts w:ascii="Verdana" w:hAnsi="Verdana" w:cs="Arial"/>
          <w:shd w:val="clear" w:color="auto" w:fill="FFFFFF"/>
        </w:rPr>
        <w:t xml:space="preserve">C-156 del 18 de marzo de 2025, </w:t>
      </w:r>
      <w:r w:rsidR="00B536A2" w:rsidRPr="00B536A2">
        <w:rPr>
          <w:rFonts w:ascii="Verdana" w:hAnsi="Verdana" w:cs="Arial"/>
          <w:shd w:val="clear" w:color="auto" w:fill="FFFFFF"/>
        </w:rPr>
        <w:t>C-010 del 13 de febrero de 2026; C-022 del 2 de febrero de 2026; C-073 del 27 de febrero de 2026; C-087 del 4 de marzo de 2026; C-130 del 24 de febrero de 2026; C-185 del 23 de febrero de 2026; C-210 del 12 de marzo de 2026; C-271 del 25 de marzo de 2026; C-272 del 1 de abril de 2026; C-341 del 13 de abril de 2026; C-344 del 16 de abril de 2026; C-403 del 23 de abril de 2026; C-1017 del 5 de agosto de 2026; C-1035 del 11 de agosto de 2026; y C-1037 del 5 de agosto de 2026</w:t>
      </w:r>
      <w:r w:rsidR="00A134BA">
        <w:rPr>
          <w:rFonts w:ascii="Verdana" w:hAnsi="Verdana" w:cs="Arial"/>
          <w:shd w:val="clear" w:color="auto" w:fill="FFFFFF"/>
        </w:rPr>
        <w:t xml:space="preserve">, </w:t>
      </w:r>
      <w:r w:rsidRPr="00DC069E">
        <w:rPr>
          <w:rFonts w:ascii="Verdana" w:hAnsi="Verdana" w:cs="Arial"/>
          <w:shd w:val="clear" w:color="auto" w:fill="FFFFFF"/>
        </w:rPr>
        <w:t xml:space="preserve">entre otros. </w:t>
      </w:r>
      <w:r w:rsidRPr="00DC069E">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Times New Roman"/>
        </w:rPr>
        <w:t xml:space="preserve"> </w:t>
      </w:r>
      <w:hyperlink r:id="rId12" w:history="1">
        <w:r w:rsidRPr="00DC069E">
          <w:rPr>
            <w:rStyle w:val="Hipervnculo"/>
            <w:rFonts w:ascii="Verdana" w:eastAsia="Calibri" w:hAnsi="Verdana" w:cs="Times New Roman"/>
            <w:lang w:val="es-ES"/>
          </w:rPr>
          <w:t>https://relatoria.colombiacompra.gov.co/busqueda/conceptos</w:t>
        </w:r>
      </w:hyperlink>
      <w:r w:rsidRPr="00DC069E">
        <w:rPr>
          <w:rFonts w:ascii="Verdana" w:eastAsia="Calibri" w:hAnsi="Verdana" w:cs="Times New Roman"/>
        </w:rPr>
        <w:t xml:space="preserve">. </w:t>
      </w:r>
    </w:p>
    <w:p w14:paraId="670B6D74" w14:textId="74EBF6DD" w:rsidR="008D024B" w:rsidRPr="00C509E0" w:rsidRDefault="008D024B" w:rsidP="00DC069E">
      <w:pPr>
        <w:widowControl w:val="0"/>
        <w:autoSpaceDE w:val="0"/>
        <w:autoSpaceDN w:val="0"/>
        <w:spacing w:before="240" w:after="120" w:line="276" w:lineRule="auto"/>
        <w:jc w:val="both"/>
        <w:rPr>
          <w:rFonts w:ascii="Verdana" w:hAnsi="Verdana" w:cs="Arial"/>
          <w:shd w:val="clear" w:color="auto" w:fill="FFFFFF"/>
        </w:rPr>
      </w:pPr>
      <w:r w:rsidRPr="008725C9">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8725C9">
        <w:rPr>
          <w:rFonts w:ascii="Verdana" w:hAnsi="Verdana"/>
          <w:b/>
          <w:bCs/>
        </w:rPr>
        <w:t>Guía para la Exigencia y Constitución de Garantías en los Procesos de Contratación</w:t>
      </w:r>
      <w:r w:rsidRPr="008725C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Dirección URL original: https://www.colombiacompra.gov.co/archivos/manual/guia-de-garantias-en-procesos-de-contratacion. Haga clic o pulse si confía en este vínculo." w:history="1">
        <w:r w:rsidRPr="008725C9">
          <w:rPr>
            <w:rStyle w:val="Hipervnculo"/>
            <w:rFonts w:ascii="Verdana" w:hAnsi="Verdana"/>
          </w:rPr>
          <w:t>https://www.colombiacompra.gov.co/archivos/manual/guia-de-garantias-en-procesos-de-contratacion</w:t>
        </w:r>
      </w:hyperlink>
    </w:p>
    <w:p w14:paraId="3C72F520" w14:textId="77777777" w:rsidR="008D024B" w:rsidRPr="008725C9" w:rsidRDefault="008D024B" w:rsidP="008D024B">
      <w:pPr>
        <w:spacing w:line="276" w:lineRule="auto"/>
        <w:jc w:val="both"/>
        <w:rPr>
          <w:rFonts w:ascii="Verdana" w:hAnsi="Verdana"/>
        </w:rPr>
      </w:pPr>
      <w:r w:rsidRPr="008725C9">
        <w:rPr>
          <w:rFonts w:ascii="Verdana" w:hAnsi="Verdana"/>
        </w:rPr>
        <w:t>De otro lado, te contamos que el Decreto 287 del 19 de marzo de 2026 sustituyó los artículos 2.2.1.2.4.2.6., 2.2.1.2.4.2.7. y 2.2.1.2.4.2.8. del Decreto 1082 de 2015 y estructuró el </w:t>
      </w:r>
      <w:r w:rsidRPr="008725C9">
        <w:rPr>
          <w:rFonts w:ascii="Verdana" w:hAnsi="Verdana"/>
          <w:b/>
          <w:bCs/>
        </w:rPr>
        <w:t>Sistema Integral de Preferencias en favor de las personas con discapacidad</w:t>
      </w:r>
      <w:r w:rsidRPr="008725C9">
        <w:rPr>
          <w:rFonts w:ascii="Verdana" w:hAnsi="Verdana"/>
        </w:rPr>
        <w:t>, en cumplimiento del artículo 13 de la Ley Estatutaria 1618 de 2013. Para orientar su aplicación, esta Agencia expidió la </w:t>
      </w:r>
      <w:r w:rsidRPr="008725C9">
        <w:rPr>
          <w:rFonts w:ascii="Verdana" w:hAnsi="Verdana"/>
          <w:b/>
          <w:bCs/>
        </w:rPr>
        <w:t>Circular Externa 003 del 12 de mayo de 2026, </w:t>
      </w:r>
      <w:r w:rsidRPr="008725C9">
        <w:rPr>
          <w:rFonts w:ascii="Verdana" w:hAnsi="Verdana"/>
        </w:rPr>
        <w:t xml:space="preserve">en la que precisa quiénes son los beneficiarios, las cinco medidas que integran el sistema y su obligatoriedad según la modalidad de selección, y el régimen de transición aplicable a los procesos en curso. Consúltala </w:t>
      </w:r>
      <w:r w:rsidRPr="008725C9">
        <w:rPr>
          <w:rFonts w:ascii="Verdana" w:hAnsi="Verdana"/>
        </w:rPr>
        <w:lastRenderedPageBreak/>
        <w:t>aquí: </w:t>
      </w:r>
      <w:hyperlink r:id="rId14" w:tooltip="Dirección URL original: https://www.colombiacompra.gov.co/archivos/circular/circular-externa-003-de-2026. Haga clic o pulse si confía en este vínculo." w:history="1">
        <w:r w:rsidRPr="008725C9">
          <w:rPr>
            <w:rStyle w:val="Hipervnculo"/>
            <w:rFonts w:ascii="Verdana" w:hAnsi="Verdana"/>
          </w:rPr>
          <w:t>https://www.colombiacompra.gov.co/archivos/circular/circular-externa-003-de-2026</w:t>
        </w:r>
      </w:hyperlink>
    </w:p>
    <w:p w14:paraId="21329B60" w14:textId="77777777" w:rsidR="008D024B" w:rsidRPr="008725C9" w:rsidRDefault="008D024B" w:rsidP="008D024B">
      <w:pPr>
        <w:spacing w:line="276" w:lineRule="auto"/>
        <w:jc w:val="both"/>
        <w:rPr>
          <w:rFonts w:ascii="Verdana" w:hAnsi="Verdana"/>
        </w:rPr>
      </w:pPr>
      <w:r w:rsidRPr="008725C9">
        <w:rPr>
          <w:rFonts w:ascii="Verdana" w:hAnsi="Verdana"/>
        </w:rPr>
        <w:t>Recuerda también que la</w:t>
      </w:r>
      <w:r w:rsidRPr="008725C9">
        <w:rPr>
          <w:rFonts w:ascii="Verdana" w:hAnsi="Verdana"/>
          <w:b/>
          <w:bCs/>
        </w:rPr>
        <w:t> información sobre sanciones e inhabilidades </w:t>
      </w:r>
      <w:r w:rsidRPr="008725C9">
        <w:rPr>
          <w:rFonts w:ascii="Verdana" w:hAnsi="Verdana"/>
        </w:rPr>
        <w:t>solo cumple su función preventiva si llega oportunamente a los registros públicos. Sobre este deber, esta Agencia expidió la </w:t>
      </w:r>
      <w:r w:rsidRPr="008725C9">
        <w:rPr>
          <w:rFonts w:ascii="Verdana" w:hAnsi="Verdana"/>
          <w:b/>
          <w:bCs/>
        </w:rPr>
        <w:t>Circular Externa 002 del 5 de mayo de 2026,</w:t>
      </w:r>
      <w:r w:rsidRPr="008725C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Dirección URL original: https://www.colombiacompra.gov.co/archivos/circular/circular-externa-002-de-2026. Haga clic o pulse si confía en este vínculo." w:history="1">
        <w:r w:rsidRPr="008725C9">
          <w:rPr>
            <w:rStyle w:val="Hipervnculo"/>
            <w:rFonts w:ascii="Verdana" w:hAnsi="Verdana"/>
          </w:rPr>
          <w:t>https://www.colombiacompra.gov.co/archivos/circular/circular-externa-002-de-2026</w:t>
        </w:r>
      </w:hyperlink>
    </w:p>
    <w:p w14:paraId="2D7F880B" w14:textId="77777777" w:rsidR="008D024B" w:rsidRPr="008725C9" w:rsidRDefault="008D024B" w:rsidP="008D024B">
      <w:pPr>
        <w:spacing w:line="276" w:lineRule="auto"/>
        <w:jc w:val="both"/>
        <w:rPr>
          <w:rFonts w:ascii="Verdana" w:hAnsi="Verdana"/>
        </w:rPr>
      </w:pPr>
      <w:r w:rsidRPr="008725C9">
        <w:rPr>
          <w:rFonts w:ascii="Verdana" w:hAnsi="Verdana"/>
        </w:rPr>
        <w:t>Finalmente, si quieres seguir de cerca la actividad de la Agencia, la tercera edición de 2026 del</w:t>
      </w:r>
      <w:r w:rsidRPr="008725C9">
        <w:rPr>
          <w:rFonts w:ascii="Verdana" w:hAnsi="Verdana"/>
          <w:b/>
          <w:bCs/>
        </w:rPr>
        <w:t> Radar de la Compra Pública</w:t>
      </w:r>
      <w:r w:rsidRPr="008725C9">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Dirección URL original: https://www.colombiacompra.gov.co/archivos/boletin/boletin-edicion-n-3-de-2026-radar-de-la-compra-publica. Haga clic o pulse si confía en este vínculo." w:history="1">
        <w:r w:rsidRPr="008725C9">
          <w:rPr>
            <w:rStyle w:val="Hipervnculo"/>
            <w:rFonts w:ascii="Verdana" w:hAnsi="Verdana"/>
          </w:rPr>
          <w:t>https://www.colombiacompra.gov.co/archivos/boletin/boletin-edicion-n-3-de-2026-radar-de-la-compra-publica</w:t>
        </w:r>
      </w:hyperlink>
      <w:r w:rsidRPr="008725C9">
        <w:rPr>
          <w:rFonts w:ascii="Verdana" w:hAnsi="Verdana"/>
        </w:rPr>
        <w:t>"</w:t>
      </w:r>
    </w:p>
    <w:p w14:paraId="1092E37E" w14:textId="77777777" w:rsidR="008D024B" w:rsidRPr="00047700" w:rsidRDefault="008D024B" w:rsidP="008D024B">
      <w:pPr>
        <w:spacing w:line="276" w:lineRule="auto"/>
        <w:jc w:val="both"/>
        <w:rPr>
          <w:rFonts w:ascii="Verdana" w:hAnsi="Verdana"/>
        </w:rPr>
      </w:pPr>
      <w:r w:rsidRPr="00A77871">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047700">
        <w:rPr>
          <w:rFonts w:ascii="Verdana" w:hAnsi="Verdana"/>
        </w:rPr>
        <w:t xml:space="preserve">atención: </w:t>
      </w:r>
    </w:p>
    <w:p w14:paraId="6E2E15EA" w14:textId="77777777" w:rsidR="008D024B" w:rsidRPr="00D5657B" w:rsidRDefault="008D024B" w:rsidP="008D024B">
      <w:pPr>
        <w:pStyle w:val="Prrafodelista"/>
        <w:numPr>
          <w:ilvl w:val="0"/>
          <w:numId w:val="18"/>
        </w:numPr>
        <w:spacing w:after="0" w:line="276" w:lineRule="auto"/>
        <w:jc w:val="both"/>
        <w:rPr>
          <w:rFonts w:ascii="Verdana" w:eastAsia="Verdana" w:hAnsi="Verdana" w:cs="Verdana"/>
          <w:color w:val="4472C4" w:themeColor="accent1"/>
          <w:u w:val="single"/>
        </w:rPr>
      </w:pPr>
      <w:r w:rsidRPr="00D5657B">
        <w:rPr>
          <w:rFonts w:ascii="Verdana" w:eastAsia="Verdana" w:hAnsi="Verdana" w:cs="Verdana"/>
        </w:rPr>
        <w:t xml:space="preserve">Línea nacional gratuita o servicio a la ciudadanía (Mesa de servicio): </w:t>
      </w:r>
      <w:r w:rsidRPr="00D5657B">
        <w:rPr>
          <w:rStyle w:val="Hipervnculo"/>
          <w:rFonts w:ascii="Verdana" w:hAnsi="Verdana"/>
          <w:lang w:val="es-CO"/>
        </w:rPr>
        <w:t>01800 0520808</w:t>
      </w:r>
    </w:p>
    <w:p w14:paraId="790B943C" w14:textId="77777777" w:rsidR="008D024B" w:rsidRPr="00D5657B" w:rsidRDefault="008D024B" w:rsidP="008D024B">
      <w:pPr>
        <w:pStyle w:val="Prrafodelista"/>
        <w:numPr>
          <w:ilvl w:val="0"/>
          <w:numId w:val="18"/>
        </w:numPr>
        <w:spacing w:after="0" w:line="276" w:lineRule="auto"/>
        <w:jc w:val="both"/>
        <w:rPr>
          <w:rFonts w:ascii="Verdana" w:eastAsia="Verdana" w:hAnsi="Verdana" w:cs="Verdana"/>
          <w:color w:val="4472C4" w:themeColor="accent1"/>
          <w:u w:val="single"/>
          <w:lang w:val="es-CO"/>
        </w:rPr>
      </w:pPr>
      <w:r w:rsidRPr="00D5657B">
        <w:rPr>
          <w:rFonts w:ascii="Verdana" w:eastAsia="Verdana" w:hAnsi="Verdana" w:cs="Verdana"/>
          <w:lang w:val="es-CO"/>
        </w:rPr>
        <w:t xml:space="preserve">Línea en Bogotá (Mesa de servicio): </w:t>
      </w:r>
      <w:r w:rsidRPr="00D5657B">
        <w:rPr>
          <w:rStyle w:val="Hipervnculo"/>
          <w:rFonts w:ascii="Verdana" w:hAnsi="Verdana"/>
          <w:lang w:val="es-CO"/>
        </w:rPr>
        <w:t>+57 601 7456788</w:t>
      </w:r>
    </w:p>
    <w:p w14:paraId="4C42C718" w14:textId="77777777" w:rsidR="008D024B" w:rsidRPr="00D5657B" w:rsidRDefault="008D024B" w:rsidP="008D024B">
      <w:pPr>
        <w:pStyle w:val="Prrafodelista"/>
        <w:numPr>
          <w:ilvl w:val="0"/>
          <w:numId w:val="18"/>
        </w:numPr>
        <w:spacing w:after="0" w:line="276" w:lineRule="auto"/>
        <w:jc w:val="both"/>
        <w:rPr>
          <w:rFonts w:ascii="Verdana" w:eastAsia="Verdana" w:hAnsi="Verdana" w:cs="Verdana"/>
          <w:color w:val="0000FF"/>
          <w:u w:val="single"/>
          <w:lang w:val="es-CO"/>
        </w:rPr>
      </w:pPr>
      <w:r w:rsidRPr="00D5657B">
        <w:rPr>
          <w:rFonts w:ascii="Verdana" w:eastAsia="Verdana" w:hAnsi="Verdana" w:cs="Verdana"/>
          <w:lang w:val="es-CO"/>
        </w:rPr>
        <w:t xml:space="preserve">Correo de radicación de correspondencia: </w:t>
      </w:r>
      <w:hyperlink r:id="rId17" w:history="1">
        <w:r w:rsidRPr="00D5657B">
          <w:rPr>
            <w:rStyle w:val="Hipervnculo"/>
            <w:rFonts w:ascii="Verdana" w:eastAsia="Verdana" w:hAnsi="Verdana" w:cs="Verdana"/>
            <w:lang w:val="es-CO"/>
          </w:rPr>
          <w:t>ventanilladeradicacion@colombiacompra.gov.co</w:t>
        </w:r>
      </w:hyperlink>
    </w:p>
    <w:p w14:paraId="38DCC2F4" w14:textId="77777777" w:rsidR="008D024B" w:rsidRPr="00D5657B" w:rsidRDefault="008D024B" w:rsidP="008D024B">
      <w:pPr>
        <w:pStyle w:val="Prrafodelista"/>
        <w:numPr>
          <w:ilvl w:val="0"/>
          <w:numId w:val="18"/>
        </w:numPr>
        <w:spacing w:line="276" w:lineRule="auto"/>
        <w:jc w:val="both"/>
        <w:rPr>
          <w:rFonts w:ascii="Verdana" w:hAnsi="Verdana"/>
        </w:rPr>
      </w:pPr>
      <w:r w:rsidRPr="00D5657B">
        <w:rPr>
          <w:rFonts w:ascii="Verdana" w:eastAsia="Verdana" w:hAnsi="Verdana" w:cs="Verdana"/>
          <w:lang w:val="es-CO"/>
        </w:rPr>
        <w:t xml:space="preserve">Formulario web para PQRSD: </w:t>
      </w:r>
      <w:hyperlink r:id="rId18" w:history="1">
        <w:r w:rsidRPr="00D5657B">
          <w:rPr>
            <w:rStyle w:val="Hipervnculo"/>
            <w:rFonts w:ascii="Verdana" w:eastAsia="Verdana" w:hAnsi="Verdana" w:cs="Verdana"/>
            <w:lang w:val="es-CO"/>
          </w:rPr>
          <w:t>https://www.colombiacompra.gov.co/pqrsd/informacion-importante-antes-de-formular-una-pqrsd</w:t>
        </w:r>
      </w:hyperlink>
    </w:p>
    <w:p w14:paraId="082FDF50" w14:textId="77777777" w:rsidR="008D024B" w:rsidRPr="00047700" w:rsidRDefault="008D024B" w:rsidP="008D024B">
      <w:pPr>
        <w:spacing w:line="276" w:lineRule="auto"/>
        <w:jc w:val="both"/>
        <w:rPr>
          <w:rFonts w:ascii="Verdana" w:hAnsi="Verdana"/>
        </w:rPr>
      </w:pPr>
      <w:r w:rsidRPr="00047700">
        <w:rPr>
          <w:rFonts w:ascii="Verdana" w:hAnsi="Verdana"/>
        </w:rPr>
        <w:lastRenderedPageBreak/>
        <w:t xml:space="preserve">Evalúa el servicio que ofrece la Agencia por el canal de atención de PQRSD en el siguiente enlace: </w:t>
      </w:r>
      <w:hyperlink r:id="rId19" w:history="1">
        <w:r w:rsidRPr="00047700">
          <w:rPr>
            <w:rStyle w:val="Hipervnculo"/>
            <w:rFonts w:ascii="Verdana" w:hAnsi="Verdana"/>
          </w:rPr>
          <w:t>https://forms.office.com/r/pPHyWVs2SZ</w:t>
        </w:r>
      </w:hyperlink>
      <w:r w:rsidRPr="00047700">
        <w:rPr>
          <w:rFonts w:ascii="Verdana" w:hAnsi="Verdana"/>
        </w:rPr>
        <w:t>. ¡Ayúdanos a mejorar porque el compromiso es de todos!</w:t>
      </w:r>
    </w:p>
    <w:p w14:paraId="2F96BD48" w14:textId="77777777" w:rsidR="008D024B" w:rsidRPr="00047700" w:rsidRDefault="008D024B" w:rsidP="008D024B">
      <w:pPr>
        <w:spacing w:line="276" w:lineRule="auto"/>
        <w:jc w:val="both"/>
        <w:rPr>
          <w:rFonts w:ascii="Verdana" w:hAnsi="Verdana"/>
        </w:rPr>
      </w:pPr>
      <w:r w:rsidRPr="00047700">
        <w:rPr>
          <w:rFonts w:ascii="Verdana" w:hAnsi="Verdana"/>
        </w:rPr>
        <w:t xml:space="preserve">Por último, lo invitamos a seguirnos en las redes sociales en las cuales se difunde información institucional: </w:t>
      </w:r>
    </w:p>
    <w:p w14:paraId="44E835FE" w14:textId="77777777" w:rsidR="008D024B" w:rsidRPr="00D5657B" w:rsidRDefault="008D024B" w:rsidP="008D024B">
      <w:pPr>
        <w:spacing w:after="0" w:line="276" w:lineRule="auto"/>
        <w:jc w:val="both"/>
        <w:rPr>
          <w:rFonts w:ascii="Verdana" w:hAnsi="Verdana"/>
        </w:rPr>
      </w:pPr>
      <w:r w:rsidRPr="00D5657B">
        <w:rPr>
          <w:rFonts w:ascii="Verdana" w:hAnsi="Verdana"/>
        </w:rPr>
        <w:t xml:space="preserve">Twitter: </w:t>
      </w:r>
      <w:r w:rsidRPr="00D5657B">
        <w:rPr>
          <w:rStyle w:val="Hipervnculo"/>
          <w:rFonts w:ascii="Verdana" w:hAnsi="Verdana"/>
        </w:rPr>
        <w:t>@colombiacompra</w:t>
      </w:r>
      <w:r w:rsidRPr="00D5657B">
        <w:rPr>
          <w:rFonts w:ascii="Verdana" w:hAnsi="Verdana"/>
        </w:rPr>
        <w:t xml:space="preserve"> </w:t>
      </w:r>
    </w:p>
    <w:p w14:paraId="1B6C2C04" w14:textId="77777777" w:rsidR="008D024B" w:rsidRPr="00D5657B" w:rsidRDefault="008D024B" w:rsidP="008D024B">
      <w:pPr>
        <w:spacing w:after="0" w:line="276" w:lineRule="auto"/>
        <w:jc w:val="both"/>
        <w:rPr>
          <w:rFonts w:ascii="Verdana" w:hAnsi="Verdana"/>
        </w:rPr>
      </w:pPr>
      <w:r w:rsidRPr="00D5657B">
        <w:rPr>
          <w:rFonts w:ascii="Verdana" w:hAnsi="Verdana"/>
        </w:rPr>
        <w:t xml:space="preserve">Facebook: </w:t>
      </w:r>
      <w:proofErr w:type="spellStart"/>
      <w:r w:rsidRPr="00D5657B">
        <w:rPr>
          <w:rStyle w:val="Hipervnculo"/>
          <w:rFonts w:ascii="Verdana" w:hAnsi="Verdana"/>
        </w:rPr>
        <w:t>ColombiaCompraEficiente</w:t>
      </w:r>
      <w:proofErr w:type="spellEnd"/>
    </w:p>
    <w:p w14:paraId="1FE147A8" w14:textId="77777777" w:rsidR="008D024B" w:rsidRPr="00D5657B" w:rsidRDefault="008D024B" w:rsidP="008D024B">
      <w:pPr>
        <w:spacing w:after="0" w:line="276" w:lineRule="auto"/>
        <w:jc w:val="both"/>
        <w:rPr>
          <w:rFonts w:ascii="Verdana" w:hAnsi="Verdana"/>
        </w:rPr>
      </w:pPr>
      <w:r w:rsidRPr="00D5657B">
        <w:rPr>
          <w:rFonts w:ascii="Verdana" w:hAnsi="Verdana"/>
        </w:rPr>
        <w:t xml:space="preserve">LinkedIn: </w:t>
      </w:r>
      <w:r w:rsidRPr="00D5657B">
        <w:rPr>
          <w:rStyle w:val="Hipervnculo"/>
          <w:rFonts w:ascii="Verdana" w:hAnsi="Verdana"/>
        </w:rPr>
        <w:t>Agencia Nacional de Contratación Pública - Colombia Compra Eficiente</w:t>
      </w:r>
      <w:r w:rsidRPr="00D5657B">
        <w:rPr>
          <w:rFonts w:ascii="Verdana" w:hAnsi="Verdana"/>
        </w:rPr>
        <w:t xml:space="preserve"> </w:t>
      </w:r>
    </w:p>
    <w:p w14:paraId="2086C655" w14:textId="77777777" w:rsidR="008D024B" w:rsidRPr="00D5657B" w:rsidRDefault="008D024B" w:rsidP="008D024B">
      <w:pPr>
        <w:spacing w:line="276" w:lineRule="auto"/>
        <w:jc w:val="both"/>
        <w:rPr>
          <w:rFonts w:ascii="Verdana" w:hAnsi="Verdana"/>
        </w:rPr>
      </w:pPr>
      <w:r w:rsidRPr="00D5657B">
        <w:rPr>
          <w:rFonts w:ascii="Verdana" w:hAnsi="Verdana"/>
        </w:rPr>
        <w:t xml:space="preserve">Instagram: </w:t>
      </w:r>
      <w:r w:rsidRPr="00D5657B">
        <w:rPr>
          <w:rStyle w:val="Hipervnculo"/>
          <w:rFonts w:ascii="Verdana" w:hAnsi="Verdana"/>
        </w:rPr>
        <w:t>@colombiacompraeficiente_cce</w:t>
      </w:r>
    </w:p>
    <w:p w14:paraId="6D737D99" w14:textId="77777777" w:rsidR="008D024B" w:rsidRPr="00A77871" w:rsidRDefault="008D024B" w:rsidP="008D024B">
      <w:pPr>
        <w:spacing w:after="0" w:line="276" w:lineRule="auto"/>
        <w:jc w:val="both"/>
        <w:rPr>
          <w:rFonts w:ascii="Verdana" w:eastAsia="Calibri" w:hAnsi="Verdana" w:cs="Times New Roman"/>
          <w:bCs/>
        </w:rPr>
      </w:pPr>
      <w:r w:rsidRPr="00A77871">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2A644CE" w14:textId="77777777" w:rsidR="008D024B" w:rsidRPr="00A77871" w:rsidRDefault="008D024B" w:rsidP="008D024B">
      <w:pPr>
        <w:spacing w:after="0" w:line="276" w:lineRule="auto"/>
        <w:jc w:val="both"/>
        <w:rPr>
          <w:rFonts w:ascii="Verdana" w:hAnsi="Verdana"/>
        </w:rPr>
      </w:pPr>
    </w:p>
    <w:p w14:paraId="0377AFCF" w14:textId="69A38B80" w:rsidR="008D024B" w:rsidRDefault="008D024B" w:rsidP="008D024B">
      <w:pPr>
        <w:spacing w:line="276" w:lineRule="auto"/>
        <w:jc w:val="both"/>
        <w:rPr>
          <w:rFonts w:ascii="Verdana" w:eastAsia="Times New Roman" w:hAnsi="Verdana" w:cs="Arial"/>
          <w:lang w:eastAsia="es-CO"/>
        </w:rPr>
      </w:pPr>
      <w:bookmarkStart w:id="8" w:name="_Hlk117695077"/>
      <w:r w:rsidRPr="00A77871">
        <w:rPr>
          <w:rFonts w:ascii="Verdana" w:eastAsia="Times New Roman" w:hAnsi="Verdana" w:cs="Arial"/>
          <w:lang w:eastAsia="es-CO"/>
        </w:rPr>
        <w:t xml:space="preserve">Atentamente, </w:t>
      </w:r>
    </w:p>
    <w:p w14:paraId="73506F60" w14:textId="54C4AF26" w:rsidR="00746701" w:rsidRDefault="004E3D90" w:rsidP="008D024B">
      <w:pPr>
        <w:spacing w:line="276" w:lineRule="auto"/>
        <w:jc w:val="both"/>
        <w:rPr>
          <w:rFonts w:ascii="Verdana" w:eastAsia="Times New Roman" w:hAnsi="Verdana" w:cs="Arial"/>
          <w:lang w:eastAsia="es-CO"/>
        </w:rPr>
      </w:pPr>
      <w:r w:rsidRPr="00A2193F">
        <w:rPr>
          <w:noProof/>
        </w:rPr>
        <w:drawing>
          <wp:anchor distT="0" distB="0" distL="114300" distR="114300" simplePos="0" relativeHeight="251659264" behindDoc="1" locked="0" layoutInCell="1" allowOverlap="1" wp14:anchorId="54505119" wp14:editId="7E843799">
            <wp:simplePos x="0" y="0"/>
            <wp:positionH relativeFrom="margin">
              <wp:align>center</wp:align>
            </wp:positionH>
            <wp:positionV relativeFrom="paragraph">
              <wp:posOffset>184785</wp:posOffset>
            </wp:positionV>
            <wp:extent cx="3759859" cy="1400175"/>
            <wp:effectExtent l="0" t="0" r="0" b="0"/>
            <wp:wrapNone/>
            <wp:docPr id="16645643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59859"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0BB5A3" w14:textId="5627ED3A" w:rsidR="00186B93" w:rsidRPr="00AC44C7" w:rsidRDefault="00186B93" w:rsidP="008D024B">
      <w:pPr>
        <w:spacing w:line="276" w:lineRule="auto"/>
        <w:jc w:val="both"/>
        <w:rPr>
          <w:rFonts w:ascii="Verdana" w:eastAsia="Times New Roman" w:hAnsi="Verdana" w:cs="Arial"/>
          <w:lang w:eastAsia="es-CO"/>
        </w:rPr>
      </w:pPr>
    </w:p>
    <w:p w14:paraId="27482DAB" w14:textId="29343569" w:rsidR="00A2193F" w:rsidRPr="00A2193F" w:rsidRDefault="00A2193F" w:rsidP="00A2193F">
      <w:pPr>
        <w:spacing w:line="276" w:lineRule="auto"/>
        <w:jc w:val="center"/>
        <w:rPr>
          <w:noProof/>
        </w:rPr>
      </w:pPr>
    </w:p>
    <w:bookmarkEnd w:id="1"/>
    <w:bookmarkEnd w:id="8"/>
    <w:p w14:paraId="1006A388" w14:textId="77777777" w:rsidR="00C15139" w:rsidRDefault="00C15139" w:rsidP="30821638">
      <w:pPr>
        <w:spacing w:after="0" w:line="240" w:lineRule="auto"/>
        <w:jc w:val="both"/>
        <w:textAlignment w:val="baseline"/>
        <w:rPr>
          <w:rFonts w:ascii="Verdana" w:eastAsia="Verdana" w:hAnsi="Verdana" w:cs="Verdana"/>
          <w:lang w:eastAsia="es-CO"/>
        </w:rPr>
      </w:pPr>
    </w:p>
    <w:p w14:paraId="519A49FC" w14:textId="77777777" w:rsidR="004E3D90" w:rsidRPr="000E2B93" w:rsidRDefault="004E3D90" w:rsidP="30821638">
      <w:pPr>
        <w:spacing w:after="0" w:line="240" w:lineRule="auto"/>
        <w:jc w:val="both"/>
        <w:textAlignment w:val="baseline"/>
        <w:rPr>
          <w:rFonts w:ascii="Verdana" w:eastAsia="Verdana" w:hAnsi="Verdana" w:cs="Verdana"/>
          <w:lang w:eastAsia="es-CO"/>
        </w:rPr>
      </w:pPr>
    </w:p>
    <w:p w14:paraId="460A0D33" w14:textId="77777777" w:rsidR="004E3D90"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tbl>
      <w:tblPr>
        <w:tblStyle w:val="Tablaconcuadrcula"/>
        <w:tblpPr w:leftFromText="141" w:rightFromText="141" w:vertAnchor="text" w:horzAnchor="margin" w:tblpY="342"/>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E3D90" w:rsidRPr="0029279E" w14:paraId="39F99F3D" w14:textId="77777777" w:rsidTr="00D77C8C">
        <w:trPr>
          <w:trHeight w:val="315"/>
        </w:trPr>
        <w:tc>
          <w:tcPr>
            <w:tcW w:w="893" w:type="dxa"/>
            <w:vAlign w:val="center"/>
            <w:hideMark/>
          </w:tcPr>
          <w:p w14:paraId="0AA93CD7" w14:textId="77777777" w:rsidR="004E3D90" w:rsidRPr="0029279E" w:rsidRDefault="004E3D90" w:rsidP="00D77C8C">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198FB962" w14:textId="77777777" w:rsidR="004E3D90" w:rsidRPr="0029279E" w:rsidRDefault="004E3D90" w:rsidP="00D77C8C">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Ángela María Olmos Andrade</w:t>
            </w:r>
          </w:p>
          <w:p w14:paraId="39C79DB3" w14:textId="77777777" w:rsidR="004E3D90" w:rsidRPr="0029279E" w:rsidRDefault="004E3D90" w:rsidP="00D77C8C">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Analista T2 - 02 de la Subdirección de Gestión Contractual</w:t>
            </w:r>
          </w:p>
        </w:tc>
      </w:tr>
      <w:tr w:rsidR="004E3D90" w:rsidRPr="0029279E" w14:paraId="16600982" w14:textId="77777777" w:rsidTr="00D77C8C">
        <w:trPr>
          <w:trHeight w:val="330"/>
        </w:trPr>
        <w:tc>
          <w:tcPr>
            <w:tcW w:w="893" w:type="dxa"/>
            <w:vAlign w:val="center"/>
            <w:hideMark/>
          </w:tcPr>
          <w:p w14:paraId="385EBE61" w14:textId="77777777" w:rsidR="004E3D90" w:rsidRPr="0029279E" w:rsidRDefault="004E3D90" w:rsidP="00D77C8C">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25BA5333" w14:textId="77777777" w:rsidR="004E3D90" w:rsidRPr="0029279E" w:rsidRDefault="004E3D90" w:rsidP="00D77C8C">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Adriana Katherine López</w:t>
            </w:r>
            <w:r>
              <w:rPr>
                <w:rFonts w:ascii="Verdana" w:eastAsia="Times New Roman" w:hAnsi="Verdana" w:cs="Arial"/>
                <w:color w:val="000000"/>
                <w:sz w:val="16"/>
                <w:szCs w:val="16"/>
              </w:rPr>
              <w:t xml:space="preserve"> Rodríguez</w:t>
            </w:r>
          </w:p>
          <w:p w14:paraId="78169BB3" w14:textId="77777777" w:rsidR="004E3D90" w:rsidRPr="0029279E" w:rsidRDefault="004E3D90" w:rsidP="00D77C8C">
            <w:pPr>
              <w:spacing w:line="276" w:lineRule="auto"/>
              <w:jc w:val="both"/>
              <w:textAlignment w:val="baseline"/>
              <w:rPr>
                <w:rFonts w:ascii="Verdana" w:eastAsia="Times New Roman" w:hAnsi="Verdana" w:cs="Arial"/>
                <w:color w:val="000000"/>
                <w:sz w:val="16"/>
                <w:szCs w:val="16"/>
              </w:rPr>
            </w:pPr>
            <w:r w:rsidRPr="0029279E">
              <w:rPr>
                <w:rFonts w:ascii="Verdana" w:eastAsia="Times New Roman" w:hAnsi="Verdana" w:cs="Arial"/>
                <w:color w:val="000000"/>
                <w:sz w:val="16"/>
                <w:szCs w:val="16"/>
              </w:rPr>
              <w:t>Contratista de la Subdirección de Gestión Contractual</w:t>
            </w:r>
          </w:p>
        </w:tc>
      </w:tr>
      <w:tr w:rsidR="004E3D90" w:rsidRPr="0029279E" w14:paraId="776CAE5F" w14:textId="77777777" w:rsidTr="00D77C8C">
        <w:trPr>
          <w:trHeight w:val="300"/>
        </w:trPr>
        <w:tc>
          <w:tcPr>
            <w:tcW w:w="893" w:type="dxa"/>
            <w:vAlign w:val="center"/>
            <w:hideMark/>
          </w:tcPr>
          <w:p w14:paraId="7D596DDB" w14:textId="77777777" w:rsidR="004E3D90" w:rsidRPr="0029279E" w:rsidRDefault="004E3D90" w:rsidP="00D77C8C">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6AD85C26" w14:textId="77777777" w:rsidR="004E3D90" w:rsidRPr="0029279E" w:rsidRDefault="004E3D90" w:rsidP="00D77C8C">
            <w:pPr>
              <w:spacing w:line="276" w:lineRule="auto"/>
              <w:jc w:val="both"/>
              <w:rPr>
                <w:rFonts w:ascii="Verdana" w:eastAsia="Times New Roman" w:hAnsi="Verdana" w:cs="Arial"/>
                <w:color w:val="000000"/>
                <w:sz w:val="16"/>
                <w:szCs w:val="16"/>
              </w:rPr>
            </w:pPr>
            <w:r>
              <w:rPr>
                <w:rFonts w:ascii="Verdana" w:eastAsia="Times New Roman" w:hAnsi="Verdana" w:cs="Arial"/>
                <w:color w:val="000000"/>
                <w:sz w:val="16"/>
                <w:szCs w:val="16"/>
              </w:rPr>
              <w:t>William Javier Murcia Acevedo</w:t>
            </w:r>
          </w:p>
          <w:p w14:paraId="095405BC" w14:textId="77777777" w:rsidR="004E3D90" w:rsidRPr="0029279E" w:rsidRDefault="004E3D90" w:rsidP="00D77C8C">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Subdirector</w:t>
            </w:r>
            <w:r>
              <w:rPr>
                <w:rFonts w:ascii="Verdana" w:eastAsia="Times New Roman" w:hAnsi="Verdana" w:cs="Arial"/>
                <w:color w:val="000000"/>
                <w:sz w:val="16"/>
                <w:szCs w:val="16"/>
              </w:rPr>
              <w:t xml:space="preserve"> </w:t>
            </w:r>
            <w:r w:rsidRPr="0029279E">
              <w:rPr>
                <w:rFonts w:ascii="Verdana" w:eastAsia="Times New Roman" w:hAnsi="Verdana" w:cs="Arial"/>
                <w:color w:val="000000"/>
                <w:sz w:val="16"/>
                <w:szCs w:val="16"/>
              </w:rPr>
              <w:t>de Gestión Contractual</w:t>
            </w:r>
            <w:r>
              <w:rPr>
                <w:rFonts w:ascii="Verdana" w:eastAsia="Times New Roman" w:hAnsi="Verdana" w:cs="Arial"/>
                <w:color w:val="000000"/>
                <w:sz w:val="16"/>
                <w:szCs w:val="16"/>
              </w:rPr>
              <w:t xml:space="preserve"> (E)</w:t>
            </w:r>
            <w:r w:rsidRPr="0029279E">
              <w:rPr>
                <w:rFonts w:ascii="Verdana" w:eastAsia="Times New Roman" w:hAnsi="Verdana" w:cs="Arial"/>
                <w:color w:val="000000"/>
                <w:sz w:val="16"/>
                <w:szCs w:val="16"/>
              </w:rPr>
              <w:t xml:space="preserve"> ANCP – CCE</w:t>
            </w:r>
          </w:p>
        </w:tc>
      </w:tr>
    </w:tbl>
    <w:p w14:paraId="69BC4D14" w14:textId="3155DCF2"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D2BC9" w14:textId="77777777" w:rsidR="00FE21A8" w:rsidRDefault="00FE21A8" w:rsidP="004A1847">
      <w:pPr>
        <w:spacing w:after="0" w:line="240" w:lineRule="auto"/>
      </w:pPr>
      <w:r>
        <w:separator/>
      </w:r>
    </w:p>
  </w:endnote>
  <w:endnote w:type="continuationSeparator" w:id="0">
    <w:p w14:paraId="551AE803" w14:textId="77777777" w:rsidR="00FE21A8" w:rsidRDefault="00FE21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5E897" w14:textId="77777777" w:rsidR="00FE21A8" w:rsidRDefault="00FE21A8" w:rsidP="004A1847">
      <w:pPr>
        <w:spacing w:after="0" w:line="240" w:lineRule="auto"/>
      </w:pPr>
      <w:r>
        <w:separator/>
      </w:r>
    </w:p>
  </w:footnote>
  <w:footnote w:type="continuationSeparator" w:id="0">
    <w:p w14:paraId="4913ADCA" w14:textId="77777777" w:rsidR="00FE21A8" w:rsidRDefault="00FE21A8" w:rsidP="004A1847">
      <w:pPr>
        <w:spacing w:after="0" w:line="240" w:lineRule="auto"/>
      </w:pPr>
      <w:r>
        <w:continuationSeparator/>
      </w:r>
    </w:p>
  </w:footnote>
  <w:footnote w:id="1">
    <w:p w14:paraId="69330489" w14:textId="77777777" w:rsidR="00E53A27" w:rsidRPr="005C185F" w:rsidRDefault="00E53A27" w:rsidP="00E53A27">
      <w:pPr>
        <w:pStyle w:val="Textonotapie"/>
        <w:ind w:firstLine="708"/>
        <w:jc w:val="both"/>
        <w:rPr>
          <w:rFonts w:ascii="Verdana" w:hAnsi="Verdana" w:cs="Arial"/>
          <w:sz w:val="14"/>
          <w:szCs w:val="14"/>
        </w:rPr>
      </w:pPr>
      <w:r w:rsidRPr="005C185F">
        <w:rPr>
          <w:rStyle w:val="Refdenotaalpie"/>
          <w:rFonts w:ascii="Verdana" w:hAnsi="Verdana" w:cs="Arial"/>
          <w:sz w:val="14"/>
          <w:szCs w:val="14"/>
        </w:rPr>
        <w:footnoteRef/>
      </w:r>
      <w:r w:rsidRPr="005C185F">
        <w:rPr>
          <w:rFonts w:ascii="Verdana" w:hAnsi="Verdana" w:cs="Arial"/>
          <w:sz w:val="14"/>
          <w:szCs w:val="14"/>
        </w:rPr>
        <w:t xml:space="preserve"> Cfr. BENAVIDES, José Luis. El contrato estatal: entre el derecho público y el derecho privado. Segunda edición. Bogotá: Universidad Externado de Colombia, 2009. pp. 78-79.      </w:t>
      </w:r>
    </w:p>
    <w:p w14:paraId="6541FD18" w14:textId="77777777" w:rsidR="00E53A27" w:rsidRPr="00D40286" w:rsidRDefault="00E53A27" w:rsidP="00E53A27">
      <w:pPr>
        <w:pStyle w:val="Textonotapie"/>
        <w:ind w:firstLine="708"/>
        <w:jc w:val="both"/>
        <w:rPr>
          <w:rFonts w:ascii="Verdana" w:hAnsi="Verdana" w:cs="Arial"/>
          <w:sz w:val="16"/>
          <w:szCs w:val="16"/>
          <w:lang w:val="es-ES"/>
        </w:rPr>
      </w:pPr>
    </w:p>
  </w:footnote>
  <w:footnote w:id="2">
    <w:p w14:paraId="5F916CBC" w14:textId="77777777" w:rsidR="00E53A27" w:rsidRPr="005C185F" w:rsidRDefault="00E53A27" w:rsidP="00E53A27">
      <w:pPr>
        <w:pStyle w:val="Textonotapie"/>
        <w:ind w:firstLine="708"/>
        <w:jc w:val="both"/>
        <w:rPr>
          <w:rFonts w:ascii="Verdana" w:hAnsi="Verdana" w:cs="Arial"/>
          <w:sz w:val="14"/>
          <w:szCs w:val="14"/>
        </w:rPr>
      </w:pPr>
      <w:r w:rsidRPr="005C185F">
        <w:rPr>
          <w:rStyle w:val="Refdenotaalpie"/>
          <w:rFonts w:ascii="Verdana" w:hAnsi="Verdana" w:cs="Arial"/>
          <w:sz w:val="14"/>
          <w:szCs w:val="14"/>
        </w:rPr>
        <w:footnoteRef/>
      </w:r>
      <w:r w:rsidRPr="005C185F">
        <w:rPr>
          <w:rFonts w:ascii="Verdana" w:hAnsi="Verdana" w:cs="Arial"/>
          <w:sz w:val="14"/>
          <w:szCs w:val="14"/>
        </w:rPr>
        <w:t xml:space="preserve"> BETANCUR JARAMILLO, Carlos. Derecho procesal administrativo. Octava edición. Medellín: Señal Editora, 2013. p. 627. </w:t>
      </w:r>
    </w:p>
  </w:footnote>
  <w:footnote w:id="3">
    <w:p w14:paraId="69056281" w14:textId="77777777" w:rsidR="00E53A27" w:rsidRPr="005C185F" w:rsidRDefault="00E53A27" w:rsidP="00E53A27">
      <w:pPr>
        <w:pStyle w:val="Textoindependiente"/>
        <w:ind w:firstLine="708"/>
        <w:contextualSpacing/>
        <w:jc w:val="both"/>
        <w:rPr>
          <w:sz w:val="14"/>
          <w:szCs w:val="14"/>
        </w:rPr>
      </w:pPr>
      <w:r w:rsidRPr="005C185F">
        <w:rPr>
          <w:rStyle w:val="Refdenotaalpie"/>
          <w:sz w:val="14"/>
          <w:szCs w:val="14"/>
        </w:rPr>
        <w:footnoteRef/>
      </w:r>
      <w:r w:rsidRPr="005C185F">
        <w:rPr>
          <w:sz w:val="14"/>
          <w:szCs w:val="14"/>
        </w:rPr>
        <w:t xml:space="preserve"> </w:t>
      </w:r>
      <w:r w:rsidRPr="005C185F">
        <w:rPr>
          <w:sz w:val="14"/>
          <w:szCs w:val="14"/>
          <w:lang w:val="es-ES_tradnl"/>
        </w:rPr>
        <w:t xml:space="preserve">El artículo 2º define, para los efectos del ámbito de sujeción del estatuto, que se denominan entidades estatales: “a) </w:t>
      </w:r>
      <w:r w:rsidRPr="005C185F">
        <w:rPr>
          <w:sz w:val="14"/>
          <w:szCs w:val="14"/>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0EA0D285" w14:textId="77777777" w:rsidR="00E53A27" w:rsidRPr="00CD2FB8" w:rsidRDefault="00E53A27" w:rsidP="00E53A27">
      <w:pPr>
        <w:pStyle w:val="Textoindependiente"/>
        <w:ind w:firstLine="708"/>
        <w:contextualSpacing/>
        <w:jc w:val="both"/>
        <w:rPr>
          <w:sz w:val="16"/>
          <w:szCs w:val="16"/>
        </w:rPr>
      </w:pPr>
    </w:p>
  </w:footnote>
  <w:footnote w:id="4">
    <w:p w14:paraId="4AB9021F" w14:textId="77777777" w:rsidR="00E53A27" w:rsidRPr="00C36D07" w:rsidRDefault="00E53A27" w:rsidP="00E53A27">
      <w:pPr>
        <w:pStyle w:val="Textonotapie"/>
        <w:ind w:firstLine="709"/>
        <w:jc w:val="both"/>
        <w:rPr>
          <w:rFonts w:ascii="Verdana" w:hAnsi="Verdana"/>
          <w:sz w:val="14"/>
          <w:szCs w:val="14"/>
        </w:rPr>
      </w:pPr>
      <w:r w:rsidRPr="00C36D07">
        <w:rPr>
          <w:rStyle w:val="Refdenotaalpie"/>
          <w:rFonts w:ascii="Verdana" w:hAnsi="Verdana"/>
          <w:sz w:val="14"/>
          <w:szCs w:val="14"/>
        </w:rPr>
        <w:footnoteRef/>
      </w:r>
      <w:r w:rsidRPr="00C36D07">
        <w:rPr>
          <w:rFonts w:ascii="Verdana" w:hAnsi="Verdana"/>
          <w:sz w:val="14"/>
          <w:szCs w:val="14"/>
        </w:rPr>
        <w:t xml:space="preserve"> SÁNCHEZ TRUJILLO, Juan Pablo. Completitud de la oferta del contrato atípico: elementos esenciales del contrato atípico como requisito de delimitación del objeto de la oferta mercantil. Consultado el 14 de noviembre de 2025 en la página web </w:t>
      </w:r>
      <w:hyperlink r:id="rId1" w:history="1">
        <w:r w:rsidRPr="00C36D07">
          <w:rPr>
            <w:rStyle w:val="Hipervnculo"/>
            <w:rFonts w:ascii="Verdana" w:hAnsi="Verdana"/>
            <w:sz w:val="14"/>
            <w:szCs w:val="14"/>
          </w:rPr>
          <w:t>https://revistas.udea.edu.co/index.php/derypol/article/view/331285/20790715</w:t>
        </w:r>
      </w:hyperlink>
      <w:r w:rsidRPr="00C36D07">
        <w:rPr>
          <w:rFonts w:ascii="Verdana" w:hAnsi="Verdana"/>
          <w:sz w:val="14"/>
          <w:szCs w:val="14"/>
        </w:rPr>
        <w:t xml:space="preserve">. </w:t>
      </w:r>
    </w:p>
  </w:footnote>
  <w:footnote w:id="5">
    <w:p w14:paraId="369335E1" w14:textId="77777777" w:rsidR="00E53A27" w:rsidRPr="00C36D07" w:rsidRDefault="00E53A27" w:rsidP="00E53A27">
      <w:pPr>
        <w:pStyle w:val="Textonotapie"/>
        <w:ind w:firstLine="709"/>
        <w:jc w:val="both"/>
        <w:rPr>
          <w:rFonts w:ascii="Verdana" w:hAnsi="Verdana" w:cs="Arial"/>
          <w:color w:val="000000" w:themeColor="text1"/>
          <w:sz w:val="14"/>
          <w:szCs w:val="14"/>
          <w:lang w:val="es-ES"/>
        </w:rPr>
      </w:pPr>
      <w:r w:rsidRPr="00C36D07">
        <w:rPr>
          <w:rStyle w:val="Refdenotaalpie"/>
          <w:rFonts w:ascii="Verdana" w:hAnsi="Verdana" w:cs="Arial"/>
          <w:color w:val="000000" w:themeColor="text1"/>
          <w:sz w:val="14"/>
          <w:szCs w:val="14"/>
        </w:rPr>
        <w:footnoteRef/>
      </w:r>
      <w:r w:rsidRPr="00C36D07">
        <w:rPr>
          <w:rFonts w:ascii="Verdana" w:hAnsi="Verdana" w:cs="Arial"/>
          <w:color w:val="000000" w:themeColor="text1"/>
          <w:sz w:val="14"/>
          <w:szCs w:val="14"/>
        </w:rPr>
        <w:t xml:space="preserve"> </w:t>
      </w:r>
      <w:r w:rsidRPr="00C36D07">
        <w:rPr>
          <w:rFonts w:ascii="Verdana" w:hAnsi="Verdana" w:cs="Arial"/>
          <w:color w:val="000000" w:themeColor="text1"/>
          <w:sz w:val="14"/>
          <w:szCs w:val="14"/>
          <w:lang w:val="es-ES"/>
        </w:rPr>
        <w:t>Para la doctrina, “El arrendamiento es el contrato en virtud del cual una de las partes se obliga a proporcionarle a otra el uso y goce de una cosa, durante cierto tiempo, y ésta a pagar, como contraprestación, un precio determinado.</w:t>
      </w:r>
    </w:p>
    <w:p w14:paraId="4886D1AE" w14:textId="77777777" w:rsidR="00E53A27" w:rsidRPr="00C36D07" w:rsidRDefault="00E53A27" w:rsidP="00E53A27">
      <w:pPr>
        <w:pStyle w:val="Textonotapie"/>
        <w:ind w:firstLine="709"/>
        <w:jc w:val="both"/>
        <w:rPr>
          <w:rFonts w:ascii="Verdana" w:hAnsi="Verdana" w:cs="Arial"/>
          <w:color w:val="000000" w:themeColor="text1"/>
          <w:sz w:val="14"/>
          <w:szCs w:val="14"/>
          <w:lang w:val="es-ES"/>
        </w:rPr>
      </w:pPr>
      <w:r w:rsidRPr="00C36D07">
        <w:rPr>
          <w:rFonts w:ascii="Verdana" w:hAnsi="Verdana" w:cs="Arial"/>
          <w:color w:val="000000" w:themeColor="text1"/>
          <w:sz w:val="14"/>
          <w:szCs w:val="14"/>
          <w:lang w:val="es-ES"/>
        </w:rPr>
        <w:t xml:space="preserve">La parte que proporciona el goce se llama </w:t>
      </w:r>
      <w:r w:rsidRPr="00C36D07">
        <w:rPr>
          <w:rFonts w:ascii="Verdana" w:hAnsi="Verdana" w:cs="Arial"/>
          <w:b/>
          <w:bCs/>
          <w:color w:val="000000" w:themeColor="text1"/>
          <w:sz w:val="14"/>
          <w:szCs w:val="14"/>
          <w:lang w:val="es-ES"/>
        </w:rPr>
        <w:t>arrendador</w:t>
      </w:r>
      <w:r w:rsidRPr="00C36D07">
        <w:rPr>
          <w:rFonts w:ascii="Verdana" w:hAnsi="Verdana" w:cs="Arial"/>
          <w:color w:val="000000" w:themeColor="text1"/>
          <w:sz w:val="14"/>
          <w:szCs w:val="14"/>
          <w:lang w:val="es-ES"/>
        </w:rPr>
        <w:t xml:space="preserve"> y la parte que da el precio </w:t>
      </w:r>
      <w:r w:rsidRPr="00C36D07">
        <w:rPr>
          <w:rFonts w:ascii="Verdana" w:hAnsi="Verdana" w:cs="Arial"/>
          <w:b/>
          <w:bCs/>
          <w:color w:val="000000" w:themeColor="text1"/>
          <w:sz w:val="14"/>
          <w:szCs w:val="14"/>
          <w:lang w:val="es-ES"/>
        </w:rPr>
        <w:t>arrendatario</w:t>
      </w:r>
      <w:r w:rsidRPr="00C36D07">
        <w:rPr>
          <w:rFonts w:ascii="Verdana" w:hAnsi="Verdana" w:cs="Arial"/>
          <w:color w:val="000000" w:themeColor="text1"/>
          <w:sz w:val="14"/>
          <w:szCs w:val="14"/>
          <w:lang w:val="es-ES"/>
        </w:rPr>
        <w:t xml:space="preserve">. También se conoce con el nombre de </w:t>
      </w:r>
      <w:r w:rsidRPr="00C36D07">
        <w:rPr>
          <w:rFonts w:ascii="Verdana" w:hAnsi="Verdana" w:cs="Arial"/>
          <w:b/>
          <w:bCs/>
          <w:color w:val="000000" w:themeColor="text1"/>
          <w:sz w:val="14"/>
          <w:szCs w:val="14"/>
          <w:lang w:val="es-ES"/>
        </w:rPr>
        <w:t>inquilino</w:t>
      </w:r>
      <w:r w:rsidRPr="00C36D07">
        <w:rPr>
          <w:rFonts w:ascii="Verdana" w:hAnsi="Verdana" w:cs="Arial"/>
          <w:color w:val="000000" w:themeColor="text1"/>
          <w:sz w:val="14"/>
          <w:szCs w:val="14"/>
          <w:lang w:val="es-ES"/>
        </w:rPr>
        <w:t xml:space="preserve"> cuando se trata de arrendamiento de casas, almacenes u otros edificios, y </w:t>
      </w:r>
      <w:r w:rsidRPr="00C36D07">
        <w:rPr>
          <w:rFonts w:ascii="Verdana" w:hAnsi="Verdana" w:cs="Arial"/>
          <w:b/>
          <w:bCs/>
          <w:color w:val="000000" w:themeColor="text1"/>
          <w:sz w:val="14"/>
          <w:szCs w:val="14"/>
          <w:lang w:val="es-ES"/>
        </w:rPr>
        <w:t>colono</w:t>
      </w:r>
      <w:r w:rsidRPr="00C36D07">
        <w:rPr>
          <w:rFonts w:ascii="Verdana" w:hAnsi="Verdana" w:cs="Arial"/>
          <w:color w:val="000000" w:themeColor="text1"/>
          <w:sz w:val="14"/>
          <w:szCs w:val="14"/>
          <w:lang w:val="es-ES"/>
        </w:rPr>
        <w:t xml:space="preserve"> cuando el goce radica en predio rústico. Son expresiones que, indistintamente, hace uso el Código Civil, por ejemplo, en los artículos 1977, 2028, 2037, respectivamente” (BONIVENTO FERNANDEZ, José. Los principales contratos civiles y su paralelo con los comerciales. Vigésimo segunda edición. Bogotá: Tirant lo Blanch, 2024. p. 524 p. 569. Énfasis dentro del texto). </w:t>
      </w:r>
    </w:p>
  </w:footnote>
  <w:footnote w:id="6">
    <w:p w14:paraId="7726CAFD" w14:textId="77777777" w:rsidR="00E53A27" w:rsidRPr="00C36D07" w:rsidRDefault="00E53A27" w:rsidP="00E53A27">
      <w:pPr>
        <w:pStyle w:val="Textonotapie"/>
        <w:ind w:firstLine="708"/>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Lo anterior bajo el régimen del derecho privado, sin perjuicio de que cuando se trata de un contrato estatal deben cumplirse los requisitos de perfeccionamiento establecidos en el artículo 41 de la Ley 80 de 1993.</w:t>
      </w:r>
    </w:p>
  </w:footnote>
  <w:footnote w:id="7">
    <w:p w14:paraId="26463064" w14:textId="77777777" w:rsidR="00E53A27" w:rsidRPr="0031671B" w:rsidRDefault="00E53A27" w:rsidP="00E53A27">
      <w:pPr>
        <w:pStyle w:val="Textonotapie"/>
        <w:ind w:firstLine="709"/>
        <w:jc w:val="both"/>
        <w:rPr>
          <w:rFonts w:ascii="Verdana" w:hAnsi="Verdana" w:cs="Arial"/>
          <w:color w:val="000000" w:themeColor="text1"/>
          <w:sz w:val="16"/>
          <w:szCs w:val="16"/>
        </w:rPr>
      </w:pPr>
      <w:r w:rsidRPr="00C36D07">
        <w:rPr>
          <w:rStyle w:val="Refdenotaalpie"/>
          <w:rFonts w:ascii="Verdana" w:hAnsi="Verdana" w:cs="Arial"/>
          <w:color w:val="000000" w:themeColor="text1"/>
          <w:sz w:val="14"/>
          <w:szCs w:val="14"/>
        </w:rPr>
        <w:footnoteRef/>
      </w:r>
      <w:r w:rsidRPr="00C36D07">
        <w:rPr>
          <w:rFonts w:ascii="Verdana" w:hAnsi="Verdana" w:cs="Arial"/>
          <w:color w:val="000000" w:themeColor="text1"/>
          <w:sz w:val="14"/>
          <w:szCs w:val="14"/>
        </w:rPr>
        <w:t xml:space="preserve"> </w:t>
      </w:r>
      <w:r w:rsidRPr="00C36D07">
        <w:rPr>
          <w:rFonts w:ascii="Verdana" w:hAnsi="Verdana" w:cs="Arial"/>
          <w:i/>
          <w:iCs/>
          <w:color w:val="000000" w:themeColor="text1"/>
          <w:sz w:val="14"/>
          <w:szCs w:val="14"/>
        </w:rPr>
        <w:t>Ibidem</w:t>
      </w:r>
      <w:r w:rsidRPr="00C36D07">
        <w:rPr>
          <w:rFonts w:ascii="Verdana" w:hAnsi="Verdana" w:cs="Arial"/>
          <w:color w:val="000000" w:themeColor="text1"/>
          <w:sz w:val="14"/>
          <w:szCs w:val="14"/>
        </w:rPr>
        <w:t>. pp. 569-570.</w:t>
      </w:r>
    </w:p>
  </w:footnote>
  <w:footnote w:id="8">
    <w:p w14:paraId="6DBB3621" w14:textId="77777777" w:rsidR="00E53A27" w:rsidRPr="00C36D07" w:rsidRDefault="00E53A27" w:rsidP="00E53A27">
      <w:pPr>
        <w:pStyle w:val="Textonotapie"/>
        <w:ind w:firstLine="708"/>
        <w:jc w:val="both"/>
        <w:rPr>
          <w:rFonts w:ascii="Verdana" w:hAnsi="Verdana"/>
          <w:sz w:val="14"/>
          <w:szCs w:val="14"/>
          <w:lang w:val="es-ES"/>
        </w:rPr>
      </w:pPr>
      <w:r w:rsidRPr="00C36D07">
        <w:rPr>
          <w:rStyle w:val="Refdenotaalpie"/>
          <w:rFonts w:ascii="Verdana" w:hAnsi="Verdana"/>
          <w:sz w:val="14"/>
          <w:szCs w:val="14"/>
        </w:rPr>
        <w:footnoteRef/>
      </w:r>
      <w:r w:rsidRPr="00C36D07">
        <w:rPr>
          <w:rFonts w:ascii="Verdana" w:hAnsi="Verdana"/>
          <w:sz w:val="14"/>
          <w:szCs w:val="14"/>
        </w:rPr>
        <w:t xml:space="preserve"> </w:t>
      </w:r>
      <w:r w:rsidRPr="00C36D07">
        <w:rPr>
          <w:rFonts w:ascii="Verdana" w:hAnsi="Verdana" w:cs="Times New Roman"/>
          <w:sz w:val="14"/>
          <w:szCs w:val="14"/>
          <w:lang w:val="es-ES"/>
        </w:rPr>
        <w:t>Consejo de Estado, Sala Plena Contenciosa. Sentencia del 14 de agosto de 2018, Radicado.</w:t>
      </w:r>
      <w:r w:rsidRPr="00C36D07">
        <w:rPr>
          <w:rFonts w:ascii="Verdana" w:hAnsi="Verdana"/>
          <w:sz w:val="14"/>
          <w:szCs w:val="14"/>
        </w:rPr>
        <w:t xml:space="preserve"> </w:t>
      </w:r>
      <w:r w:rsidRPr="00C36D07">
        <w:rPr>
          <w:rFonts w:ascii="Verdana" w:hAnsi="Verdana" w:cs="Times New Roman"/>
          <w:sz w:val="14"/>
          <w:szCs w:val="14"/>
        </w:rPr>
        <w:t>05001-33-31-003-2009-00157-01(AP)SU.</w:t>
      </w:r>
      <w:r w:rsidRPr="00C36D07">
        <w:rPr>
          <w:rFonts w:ascii="Verdana" w:hAnsi="Verdana" w:cs="Times New Roman"/>
          <w:sz w:val="14"/>
          <w:szCs w:val="14"/>
          <w:lang w:val="es-ES"/>
        </w:rPr>
        <w:t xml:space="preserve"> C.P. Oswaldo Giraldo López.</w:t>
      </w:r>
    </w:p>
  </w:footnote>
  <w:footnote w:id="9">
    <w:p w14:paraId="42E4DF09" w14:textId="30602340" w:rsidR="00E53A27" w:rsidRPr="00C36D07" w:rsidRDefault="00E53A27" w:rsidP="00E53A27">
      <w:pPr>
        <w:pStyle w:val="Textonotapie"/>
        <w:ind w:firstLine="708"/>
        <w:jc w:val="both"/>
        <w:rPr>
          <w:rFonts w:ascii="Verdana" w:hAnsi="Verdana"/>
          <w:sz w:val="14"/>
          <w:szCs w:val="14"/>
        </w:rPr>
      </w:pPr>
      <w:r w:rsidRPr="00C36D07">
        <w:rPr>
          <w:rStyle w:val="Refdenotaalpie"/>
          <w:rFonts w:ascii="Verdana" w:hAnsi="Verdana"/>
          <w:sz w:val="14"/>
          <w:szCs w:val="14"/>
        </w:rPr>
        <w:footnoteRef/>
      </w:r>
      <w:r w:rsidRPr="00C36D07">
        <w:rPr>
          <w:rFonts w:ascii="Verdana" w:hAnsi="Verdana"/>
          <w:sz w:val="14"/>
          <w:szCs w:val="14"/>
        </w:rPr>
        <w:t xml:space="preserve"> </w:t>
      </w:r>
      <w:r w:rsidRPr="00C36D07">
        <w:rPr>
          <w:rFonts w:ascii="Verdana" w:hAnsi="Verdana" w:cs="Times New Roman"/>
          <w:sz w:val="14"/>
          <w:szCs w:val="14"/>
          <w:lang w:val="es-ES"/>
        </w:rPr>
        <w:t>Consejo de Estado, Sala Plena Contenciosa. Sentencia del 14 de agosto de 2018, Radicado.</w:t>
      </w:r>
      <w:r w:rsidRPr="00C36D07">
        <w:rPr>
          <w:rFonts w:ascii="Verdana" w:hAnsi="Verdana"/>
          <w:sz w:val="14"/>
          <w:szCs w:val="14"/>
        </w:rPr>
        <w:t xml:space="preserve"> </w:t>
      </w:r>
      <w:r w:rsidRPr="00C36D07">
        <w:rPr>
          <w:rFonts w:ascii="Verdana" w:hAnsi="Verdana" w:cs="Times New Roman"/>
          <w:sz w:val="14"/>
          <w:szCs w:val="14"/>
        </w:rPr>
        <w:t>05001-33-31-003-2009-00157-01(AP)SU.</w:t>
      </w:r>
      <w:r w:rsidRPr="00C36D07">
        <w:rPr>
          <w:rFonts w:ascii="Verdana" w:hAnsi="Verdana" w:cs="Times New Roman"/>
          <w:sz w:val="14"/>
          <w:szCs w:val="14"/>
          <w:lang w:val="es-ES"/>
        </w:rPr>
        <w:t xml:space="preserve"> C.P. Oswaldo Giraldo López.</w:t>
      </w:r>
    </w:p>
  </w:footnote>
  <w:footnote w:id="10">
    <w:p w14:paraId="614D270C" w14:textId="77777777" w:rsidR="00E53A27" w:rsidRPr="00C36D07" w:rsidRDefault="00E53A27" w:rsidP="00E53A27">
      <w:pPr>
        <w:pStyle w:val="Textonotapie"/>
        <w:ind w:firstLine="708"/>
        <w:jc w:val="both"/>
        <w:rPr>
          <w:rFonts w:ascii="Verdana" w:hAnsi="Verdana"/>
          <w:sz w:val="14"/>
          <w:szCs w:val="14"/>
          <w:lang w:val="es-ES"/>
        </w:rPr>
      </w:pPr>
      <w:r w:rsidRPr="00C36D07">
        <w:rPr>
          <w:rStyle w:val="Refdenotaalpie"/>
          <w:rFonts w:ascii="Verdana" w:hAnsi="Verdana"/>
          <w:sz w:val="14"/>
          <w:szCs w:val="14"/>
        </w:rPr>
        <w:footnoteRef/>
      </w:r>
      <w:r w:rsidRPr="00C36D07">
        <w:rPr>
          <w:rFonts w:ascii="Verdana" w:hAnsi="Verdana"/>
          <w:sz w:val="14"/>
          <w:szCs w:val="14"/>
        </w:rPr>
        <w:t xml:space="preserve"> Al respecto, en dicha Sentencia de Unificación se cita a: </w:t>
      </w:r>
      <w:r w:rsidRPr="00C36D07">
        <w:rPr>
          <w:rFonts w:ascii="Verdana" w:hAnsi="Verdana"/>
          <w:sz w:val="14"/>
          <w:szCs w:val="14"/>
          <w:lang w:val="es-CO"/>
        </w:rPr>
        <w:t xml:space="preserve">GÓMEZ ESTRADA, Cesar. De los principales contratos civiles. Santafé de Bogotá: Editorial Temis, 1996, p. 183. 160. Distinción entre el arrendamiento y otras figuras afines. “[…] A) Entre el arrendamiento de cosas y la venta existen varios puntos de contacto, tantos que alguien ha considerado que el contrato de arrendamiento no es a la postre nada distinto a la venta temporal del uso de un bien. Nuestro resaltado tiene como propósito significar la propagación de una idea sin autor ni contexto conocido”. </w:t>
      </w:r>
    </w:p>
  </w:footnote>
  <w:footnote w:id="11">
    <w:p w14:paraId="67DFDBD6" w14:textId="77777777" w:rsidR="00E53A27" w:rsidRPr="00C36D07" w:rsidRDefault="00E53A27" w:rsidP="00E53A27">
      <w:pPr>
        <w:pStyle w:val="Textonotapie"/>
        <w:ind w:firstLine="709"/>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Código Civil: “Articulo 1551. Definición de plazo. El plazo es la época que se fija para el cumplimiento de la obligación; puede ser expreso o tácito. Es tácito, el indispensable para cumplirlo.</w:t>
      </w:r>
    </w:p>
    <w:p w14:paraId="120190D7" w14:textId="77777777" w:rsidR="00E53A27" w:rsidRPr="00C36D07" w:rsidRDefault="00E53A27" w:rsidP="00E53A27">
      <w:pPr>
        <w:pStyle w:val="Textonotapie"/>
        <w:ind w:firstLine="709"/>
        <w:jc w:val="both"/>
        <w:rPr>
          <w:rFonts w:ascii="Verdana" w:hAnsi="Verdana" w:cs="Arial"/>
          <w:sz w:val="14"/>
          <w:szCs w:val="14"/>
        </w:rPr>
      </w:pPr>
      <w:r w:rsidRPr="00C36D07">
        <w:rPr>
          <w:rFonts w:ascii="Verdana" w:hAnsi="Verdana" w:cs="Arial"/>
          <w:sz w:val="14"/>
          <w:szCs w:val="14"/>
        </w:rPr>
        <w:t xml:space="preserve">No podrá el juez, sino en casos especiales que </w:t>
      </w:r>
      <w:r w:rsidRPr="00C36D07">
        <w:rPr>
          <w:rFonts w:ascii="Verdana" w:hAnsi="Verdana" w:cs="Arial"/>
          <w:sz w:val="14"/>
          <w:szCs w:val="14"/>
        </w:rPr>
        <w:t>las leyes designe, señalar plazo para el cumplimiento de una obligación; solo podrá interpretar el concebido en términos vagos u oscuros, sobre cuya inteligencia y aplicación discuerden las partes”.</w:t>
      </w:r>
    </w:p>
  </w:footnote>
  <w:footnote w:id="12">
    <w:p w14:paraId="611E3164" w14:textId="77777777" w:rsidR="00E53A27" w:rsidRPr="00C36D07" w:rsidRDefault="00E53A27" w:rsidP="00E53A27">
      <w:pPr>
        <w:pStyle w:val="Textonotapie"/>
        <w:ind w:firstLine="709"/>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OSPINA FERNÁNDEZ, Guillermo. Régimen General de las Obligaciones. Editorial Temis S.A., reimpresión de la octava edición, Bogotá, 2008. pp. 218-219.</w:t>
      </w:r>
    </w:p>
  </w:footnote>
  <w:footnote w:id="13">
    <w:p w14:paraId="305114BC" w14:textId="482CEC6F" w:rsidR="00E53A27" w:rsidRPr="00C36D07" w:rsidRDefault="00E53A27" w:rsidP="00C36D07">
      <w:pPr>
        <w:pStyle w:val="Textonotapie"/>
        <w:ind w:firstLine="708"/>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FUEYO LANERI, Fernando. Derecho civil: de las obligaciones. Tomo IV. Volumen I. Santiago de Chile: Roberts y Cía. Ltda., 1958. p. 152.</w:t>
      </w:r>
    </w:p>
  </w:footnote>
  <w:footnote w:id="14">
    <w:p w14:paraId="43A97C29" w14:textId="10D6D098" w:rsidR="00E53A27" w:rsidRPr="00C36D07" w:rsidRDefault="00E53A27" w:rsidP="00C36D07">
      <w:pPr>
        <w:pStyle w:val="Textonotapie"/>
        <w:ind w:firstLine="708"/>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La doctrina explica lo siguiente: “Cuando se da un plazo para que se extinga un derecho, es claro que la obligación nace pura y simple frente al acreedor, pero al llegar el plazo se le extingue su derecho, que es el que en verdad está </w:t>
      </w:r>
      <w:r w:rsidRPr="00C36D07">
        <w:rPr>
          <w:rFonts w:ascii="Verdana" w:hAnsi="Verdana" w:cs="Arial"/>
          <w:sz w:val="14"/>
          <w:szCs w:val="14"/>
        </w:rPr>
        <w:t xml:space="preserve">modalizado. Así, si alguien se obliga a entregar en arrendamiento un animal hasta el día treinta de cierto mes, su obligación es pura y simple. La fecha estará determinando la extinción del derecho del arrendatario. Pero, igualmente, el plazo extintivo, correlativamente, extingue la obligación, que para el caso es la que contrajo el arrendador de entregar la cosa y permitir el goce por parte del arrendatario. Y así como se extingue el derecho al goce del arrendatario y la obligación del arrendador de concederlo, también se extingue la obligación de pagar y derecho del arrendador a cobrar. Tomo ello como consecuencia de la extinción del contrato (art. 2008-2), lo que indica que el plazo extintivo es también una causal de extinción de los contratos […]” (VELÁSQUEZ GOMÉZ, Hernán Darío. Estudio sobre las obligaciones. Bogotá: Temis, 2010. p. 137).       </w:t>
      </w:r>
    </w:p>
  </w:footnote>
  <w:footnote w:id="15">
    <w:p w14:paraId="0592D4CB" w14:textId="6BF19355" w:rsidR="00E53A27" w:rsidRPr="00C36D07" w:rsidRDefault="00E53A27" w:rsidP="00C36D07">
      <w:pPr>
        <w:pStyle w:val="Textonotapie"/>
        <w:ind w:firstLine="709"/>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Consejo de Estado. Sección Tercera, Subsección C. Sentencia del 13 de febrero de 2015. Exp. 26.938 C.P. Olga Mélida Valle De De la Hoz (E).</w:t>
      </w:r>
    </w:p>
  </w:footnote>
  <w:footnote w:id="16">
    <w:p w14:paraId="6CFA2E16" w14:textId="77777777" w:rsidR="00E53A27" w:rsidRPr="00C36D07" w:rsidRDefault="00E53A27" w:rsidP="00E53A27">
      <w:pPr>
        <w:pStyle w:val="Textonotapie"/>
        <w:ind w:firstLine="708"/>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Ley 80 de 1993: “Artículo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w:t>
      </w:r>
    </w:p>
    <w:p w14:paraId="54C6E0A0" w14:textId="77777777" w:rsidR="00E53A27" w:rsidRPr="00E15D88" w:rsidRDefault="00E53A27" w:rsidP="00E53A27">
      <w:pPr>
        <w:pStyle w:val="Textonotapie"/>
        <w:ind w:firstLine="708"/>
        <w:jc w:val="both"/>
        <w:rPr>
          <w:rFonts w:ascii="Verdana" w:hAnsi="Verdana" w:cs="Arial"/>
          <w:sz w:val="16"/>
          <w:szCs w:val="16"/>
          <w:lang w:val="es-CO"/>
        </w:rPr>
      </w:pPr>
    </w:p>
  </w:footnote>
  <w:footnote w:id="17">
    <w:p w14:paraId="74CBC0FB" w14:textId="371B36B0" w:rsidR="00E53A27" w:rsidRPr="00C36D07" w:rsidRDefault="00E53A27" w:rsidP="00C36D07">
      <w:pPr>
        <w:pStyle w:val="Textonotapie"/>
        <w:ind w:firstLine="708"/>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Al respecto, la doctrina explica que “El constructor se ha obligado a construir la obra, y no solo a poner los medios necesarios para ello, porque ha asumido una obligación de resultado. Su culminación es la entrega de la obra terminada o de lo que la obra produce, al comitente. </w:t>
      </w:r>
      <w:r w:rsidRPr="00C36D07">
        <w:rPr>
          <w:rFonts w:ascii="Verdana" w:hAnsi="Verdana" w:cs="Arial"/>
          <w:i/>
          <w:iCs/>
          <w:sz w:val="14"/>
          <w:szCs w:val="14"/>
        </w:rPr>
        <w:t>En tanto acto material, la entrega es simultáneamente el medio por el por el que se da cumplimiento a la obligación principal del constructor y se satisface el derecho principal del comitente</w:t>
      </w:r>
      <w:r w:rsidRPr="00C36D07">
        <w:rPr>
          <w:rFonts w:ascii="Verdana" w:hAnsi="Verdana" w:cs="Arial"/>
          <w:sz w:val="14"/>
          <w:szCs w:val="14"/>
        </w:rPr>
        <w:t xml:space="preserve">. La recepción es, consecuentemente, un derecho del constructor y una obligación del comitente, aunque sea obvio destacarlo” (PODETTI, Humberto. El contrato de construcción. Buenos Aires: Editorial Astrea, 2004. p. 435, cursivas fuera de texto).    </w:t>
      </w:r>
    </w:p>
  </w:footnote>
  <w:footnote w:id="18">
    <w:p w14:paraId="47B765C7" w14:textId="77777777" w:rsidR="00E53A27" w:rsidRPr="00C36D07" w:rsidRDefault="00E53A27" w:rsidP="00E53A27">
      <w:pPr>
        <w:pStyle w:val="Textonotapie"/>
        <w:ind w:firstLine="708"/>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w:t>
      </w:r>
      <w:r w:rsidRPr="00C36D07">
        <w:rPr>
          <w:rFonts w:ascii="Verdana" w:hAnsi="Verdana" w:cs="Arial"/>
          <w:i/>
          <w:iCs/>
          <w:sz w:val="14"/>
          <w:szCs w:val="14"/>
        </w:rPr>
        <w:t>Ibidem</w:t>
      </w:r>
      <w:r w:rsidRPr="00C36D07">
        <w:rPr>
          <w:rFonts w:ascii="Verdana" w:hAnsi="Verdana" w:cs="Arial"/>
          <w:sz w:val="14"/>
          <w:szCs w:val="14"/>
        </w:rPr>
        <w:t xml:space="preserve">., p. 435. </w:t>
      </w:r>
    </w:p>
    <w:p w14:paraId="61C8623A" w14:textId="77777777" w:rsidR="00E53A27" w:rsidRPr="00E15D88" w:rsidRDefault="00E53A27" w:rsidP="00E53A27">
      <w:pPr>
        <w:pStyle w:val="Textonotapie"/>
        <w:ind w:firstLine="708"/>
        <w:jc w:val="both"/>
        <w:rPr>
          <w:rFonts w:ascii="Verdana" w:hAnsi="Verdana" w:cs="Arial"/>
          <w:sz w:val="16"/>
          <w:szCs w:val="16"/>
          <w:lang w:val="es-ES"/>
        </w:rPr>
      </w:pPr>
    </w:p>
  </w:footnote>
  <w:footnote w:id="19">
    <w:p w14:paraId="5F6D2A3A" w14:textId="77777777" w:rsidR="00E53A27" w:rsidRPr="00C36D07" w:rsidRDefault="00E53A27" w:rsidP="00E53A27">
      <w:pPr>
        <w:pStyle w:val="Textonotapie"/>
        <w:ind w:firstLine="708"/>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“El instrumento principal de la actividad financiera del gobierno es el presupuesto público, el cual es también la carta de orientación para la ejecución de las finanzas estatales, instrumento de planificación y cumplimiento de planes y programas que refleja la actividad gubernamental y el cumplimiento de la Constitución Política en los ámbitos políticos, económicos, jurídicos y sociales. […] El presupuesto enmarca toda la práctica de política fiscal del Estado. Por medio de éste se llevan a cabo la búsqueda y el cumplimiento de principios y finalidades de la actuación administrativa, y que (sic) en últimas, orienta la satisfacción de necesidades de los individuos que lo conforman y se garantizan los recursos necesarios para el normal funcionamiento del aparato estatal”. PEÑA GONZÁLEZ, Edilberto. Principios e instituciones presupuestales en Colombia, en: Estudios Socio-Jurídicos, Bogotá (Colombia), 9 (1), enero-junio de 2007, pp. 248-250.</w:t>
      </w:r>
    </w:p>
  </w:footnote>
  <w:footnote w:id="20">
    <w:p w14:paraId="79F9E722" w14:textId="77777777" w:rsidR="00E53A27" w:rsidRPr="00C36D07" w:rsidRDefault="00E53A27" w:rsidP="00E53A27">
      <w:pPr>
        <w:pStyle w:val="Textonotapie"/>
        <w:ind w:firstLine="708"/>
        <w:jc w:val="both"/>
        <w:rPr>
          <w:rFonts w:ascii="Verdana" w:hAnsi="Verdana" w:cs="Arial"/>
          <w:sz w:val="14"/>
          <w:szCs w:val="14"/>
        </w:rPr>
      </w:pPr>
      <w:r w:rsidRPr="00C36D07">
        <w:rPr>
          <w:rStyle w:val="Refdenotaalpie"/>
          <w:rFonts w:ascii="Verdana" w:hAnsi="Verdana" w:cs="Arial"/>
          <w:sz w:val="14"/>
          <w:szCs w:val="14"/>
        </w:rPr>
        <w:footnoteRef/>
      </w:r>
      <w:r w:rsidRPr="00C36D07">
        <w:rPr>
          <w:rFonts w:ascii="Verdana" w:hAnsi="Verdana" w:cs="Arial"/>
          <w:sz w:val="14"/>
          <w:szCs w:val="14"/>
        </w:rPr>
        <w:t xml:space="preserve"> De conformidad con lo dispuesto en el artículo 10 del Decreto 111 de 1996 “La Ley Anual sobre el Presupuesto General de la Nación es el instrumento para el cumplimiento de los planes y programas de desarrollo económico y social” </w:t>
      </w:r>
    </w:p>
    <w:p w14:paraId="0324EB0E" w14:textId="77777777" w:rsidR="00E53A27" w:rsidRPr="00C36D07" w:rsidRDefault="00E53A27" w:rsidP="00E53A27">
      <w:pPr>
        <w:pStyle w:val="Textonotapie"/>
        <w:ind w:firstLine="708"/>
        <w:jc w:val="both"/>
        <w:rPr>
          <w:rFonts w:ascii="Verdana" w:hAnsi="Verdana" w:cs="Arial"/>
          <w:sz w:val="14"/>
          <w:szCs w:val="14"/>
        </w:rPr>
      </w:pPr>
      <w:r w:rsidRPr="00C36D07">
        <w:rPr>
          <w:rFonts w:ascii="Verdana" w:hAnsi="Verdana" w:cs="Arial"/>
          <w:sz w:val="14"/>
          <w:szCs w:val="14"/>
        </w:rPr>
        <w:t>A su turno, el artículo 11 del mismo Decreto indica que “El Presupuesto General de la Nación se compone de las siguientes partes:</w:t>
      </w:r>
    </w:p>
    <w:p w14:paraId="3A5A3A8C" w14:textId="77777777" w:rsidR="00E53A27" w:rsidRPr="00C36D07" w:rsidRDefault="00E53A27" w:rsidP="00E53A27">
      <w:pPr>
        <w:pStyle w:val="Textonotapie"/>
        <w:ind w:firstLine="708"/>
        <w:jc w:val="both"/>
        <w:rPr>
          <w:rFonts w:ascii="Verdana" w:hAnsi="Verdana" w:cs="Arial"/>
          <w:sz w:val="14"/>
          <w:szCs w:val="14"/>
        </w:rPr>
      </w:pPr>
      <w:r w:rsidRPr="00C36D07">
        <w:rPr>
          <w:rFonts w:ascii="Verdana" w:hAnsi="Verdana" w:cs="Arial"/>
          <w:sz w:val="14"/>
          <w:szCs w:val="14"/>
        </w:rPr>
        <w:t>a) El Presupuesto de Rentas contendrá la estimación de los ingresos corrientes de la Nación; de las contribuciones para fiscales cuando sean administradas por un órgano que haga parte del Presupuesto, de los fondos especiales, de los recursos de capital y de los ingresos de los establecimientos públicos del orden nacional;</w:t>
      </w:r>
    </w:p>
    <w:p w14:paraId="3284EB1F" w14:textId="77777777" w:rsidR="00E53A27" w:rsidRPr="00C36D07" w:rsidRDefault="00E53A27" w:rsidP="00E53A27">
      <w:pPr>
        <w:pStyle w:val="Textonotapie"/>
        <w:ind w:firstLine="708"/>
        <w:jc w:val="both"/>
        <w:rPr>
          <w:rFonts w:ascii="Verdana" w:hAnsi="Verdana" w:cs="Arial"/>
          <w:sz w:val="14"/>
          <w:szCs w:val="14"/>
        </w:rPr>
      </w:pPr>
      <w:r w:rsidRPr="00C36D07">
        <w:rPr>
          <w:rFonts w:ascii="Verdana" w:hAnsi="Verdana" w:cs="Arial"/>
          <w:sz w:val="14"/>
          <w:szCs w:val="14"/>
        </w:rPr>
        <w:t>b) El Presupuesto de Gastos o Ley de Apropiaciones. Incluirá las apropiaciones para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distinguiendo entre gastos de funcionamiento, servicio de la deuda pública y gastos de inversión, clasificados y detallados en la forma que indiquen los reglamentos;</w:t>
      </w:r>
    </w:p>
    <w:p w14:paraId="303CE213" w14:textId="77777777" w:rsidR="00E53A27" w:rsidRPr="00C36D07" w:rsidRDefault="00E53A27" w:rsidP="00E53A27">
      <w:pPr>
        <w:pStyle w:val="Textonotapie"/>
        <w:ind w:firstLine="708"/>
        <w:jc w:val="both"/>
        <w:rPr>
          <w:rFonts w:ascii="Verdana" w:hAnsi="Verdana" w:cs="Arial"/>
          <w:sz w:val="14"/>
          <w:szCs w:val="14"/>
          <w:lang w:val="es-CO"/>
        </w:rPr>
      </w:pPr>
      <w:r w:rsidRPr="00C36D07">
        <w:rPr>
          <w:rFonts w:ascii="Verdana" w:hAnsi="Verdana" w:cs="Arial"/>
          <w:sz w:val="14"/>
          <w:szCs w:val="14"/>
        </w:rPr>
        <w:t xml:space="preserve"> c) Disposiciones generales. Corresponde a las normas tendientes a asegurar la correcta ejecución del Presupuesto General de la Nación, las cuales regirán únicamente para el año fiscal para el cual se expidan.»</w:t>
      </w:r>
    </w:p>
  </w:footnote>
  <w:footnote w:id="21">
    <w:p w14:paraId="2AB9B644" w14:textId="77777777" w:rsidR="00E53A27" w:rsidRPr="00F73D92" w:rsidRDefault="00E53A27" w:rsidP="00E53A27">
      <w:pPr>
        <w:pStyle w:val="Textonotapie"/>
        <w:ind w:firstLine="709"/>
        <w:jc w:val="both"/>
        <w:rPr>
          <w:rFonts w:ascii="Verdana" w:hAnsi="Verdana"/>
          <w:sz w:val="16"/>
          <w:szCs w:val="16"/>
          <w:lang w:val="es-CO"/>
        </w:rPr>
      </w:pPr>
      <w:r w:rsidRPr="00C36D07">
        <w:rPr>
          <w:rStyle w:val="Refdenotaalpie"/>
          <w:rFonts w:ascii="Verdana" w:hAnsi="Verdana" w:cs="Arial"/>
          <w:sz w:val="14"/>
          <w:szCs w:val="14"/>
        </w:rPr>
        <w:footnoteRef/>
      </w:r>
      <w:r w:rsidRPr="00C36D07">
        <w:rPr>
          <w:rFonts w:ascii="Verdana" w:hAnsi="Verdana" w:cs="Arial"/>
          <w:sz w:val="14"/>
          <w:szCs w:val="14"/>
        </w:rPr>
        <w:t xml:space="preserve"> Decreto 1068 de 2015 “</w:t>
      </w:r>
      <w:r w:rsidRPr="00C36D07">
        <w:rPr>
          <w:rFonts w:ascii="Verdana" w:hAnsi="Verdana" w:cs="Arial"/>
          <w:sz w:val="14"/>
          <w:szCs w:val="14"/>
          <w:lang w:val="es-CO"/>
        </w:rPr>
        <w:t>Artículo </w:t>
      </w:r>
      <w:bookmarkStart w:id="6" w:name="2.8.3.4"/>
      <w:bookmarkEnd w:id="6"/>
      <w:r w:rsidRPr="00C36D07">
        <w:rPr>
          <w:rFonts w:ascii="Verdana" w:hAnsi="Verdana" w:cs="Arial"/>
          <w:sz w:val="14"/>
          <w:szCs w:val="14"/>
          <w:lang w:val="es-CO"/>
        </w:rPr>
        <w:t>2.8.3.4. </w:t>
      </w:r>
      <w:r w:rsidRPr="00C36D07">
        <w:rPr>
          <w:rFonts w:ascii="Verdana" w:hAnsi="Verdana" w:cs="Arial"/>
          <w:i/>
          <w:iCs/>
          <w:sz w:val="14"/>
          <w:szCs w:val="14"/>
          <w:lang w:val="es-CO"/>
        </w:rPr>
        <w:t>Anualidad.</w:t>
      </w:r>
      <w:r w:rsidRPr="00C36D07">
        <w:rPr>
          <w:rFonts w:ascii="Verdana" w:hAnsi="Verdana" w:cs="Arial"/>
          <w:sz w:val="14"/>
          <w:szCs w:val="14"/>
          <w:lang w:val="es-CO"/>
        </w:rPr>
        <w:t> El año fiscal comienza el 1 de enero y termina el 31 de diciembre de cada año. Después del 31 de diciembre no podrán asumirse compromisos con cargo a las apropiaciones del año fiscal que se cierra en esa fecha y los saldos de apropiación no afectados por compromisos caducarán sin excepción”.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AB3D5C"/>
    <w:multiLevelType w:val="hybridMultilevel"/>
    <w:tmpl w:val="37DC7668"/>
    <w:lvl w:ilvl="0" w:tplc="BF78F908">
      <w:start w:val="1"/>
      <w:numFmt w:val="lowerRoman"/>
      <w:lvlText w:val="%1."/>
      <w:lvlJc w:val="left"/>
      <w:pPr>
        <w:ind w:left="1080" w:hanging="720"/>
      </w:pPr>
      <w:rPr>
        <w:rFonts w:cs="Times New Roman"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9AE221C"/>
    <w:multiLevelType w:val="hybridMultilevel"/>
    <w:tmpl w:val="F44834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AC54732"/>
    <w:multiLevelType w:val="hybridMultilevel"/>
    <w:tmpl w:val="C1F6881E"/>
    <w:lvl w:ilvl="0" w:tplc="85407A0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4"/>
  </w:num>
  <w:num w:numId="8" w16cid:durableId="152644682">
    <w:abstractNumId w:val="15"/>
  </w:num>
  <w:num w:numId="9" w16cid:durableId="1317221377">
    <w:abstractNumId w:val="6"/>
  </w:num>
  <w:num w:numId="10" w16cid:durableId="1471245386">
    <w:abstractNumId w:val="14"/>
  </w:num>
  <w:num w:numId="11" w16cid:durableId="289172385">
    <w:abstractNumId w:val="7"/>
  </w:num>
  <w:num w:numId="12" w16cid:durableId="1470781324">
    <w:abstractNumId w:val="0"/>
  </w:num>
  <w:num w:numId="13" w16cid:durableId="1512908409">
    <w:abstractNumId w:val="2"/>
  </w:num>
  <w:num w:numId="14" w16cid:durableId="895897244">
    <w:abstractNumId w:val="17"/>
  </w:num>
  <w:num w:numId="15" w16cid:durableId="390349800">
    <w:abstractNumId w:val="12"/>
  </w:num>
  <w:num w:numId="16" w16cid:durableId="2040160837">
    <w:abstractNumId w:val="11"/>
  </w:num>
  <w:num w:numId="17" w16cid:durableId="903610564">
    <w:abstractNumId w:val="10"/>
  </w:num>
  <w:num w:numId="18" w16cid:durableId="136338707">
    <w:abstractNumId w:val="9"/>
  </w:num>
  <w:num w:numId="19" w16cid:durableId="832331773">
    <w:abstractNumId w:val="13"/>
  </w:num>
  <w:num w:numId="20" w16cid:durableId="12333454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02"/>
    <w:rsid w:val="00016F78"/>
    <w:rsid w:val="000170AB"/>
    <w:rsid w:val="0001743B"/>
    <w:rsid w:val="00027775"/>
    <w:rsid w:val="00045E31"/>
    <w:rsid w:val="00046945"/>
    <w:rsid w:val="00051D53"/>
    <w:rsid w:val="00061B2A"/>
    <w:rsid w:val="000739A0"/>
    <w:rsid w:val="00082362"/>
    <w:rsid w:val="000949AA"/>
    <w:rsid w:val="000A683E"/>
    <w:rsid w:val="000B19B9"/>
    <w:rsid w:val="000D0334"/>
    <w:rsid w:val="000D0C15"/>
    <w:rsid w:val="000D5DA7"/>
    <w:rsid w:val="000D7070"/>
    <w:rsid w:val="000F6486"/>
    <w:rsid w:val="00116940"/>
    <w:rsid w:val="00125105"/>
    <w:rsid w:val="00127233"/>
    <w:rsid w:val="00155E57"/>
    <w:rsid w:val="0015699B"/>
    <w:rsid w:val="00172D62"/>
    <w:rsid w:val="00186B93"/>
    <w:rsid w:val="00197164"/>
    <w:rsid w:val="001A33BF"/>
    <w:rsid w:val="001A7660"/>
    <w:rsid w:val="001B1A1C"/>
    <w:rsid w:val="001B2570"/>
    <w:rsid w:val="001C2FED"/>
    <w:rsid w:val="001E4177"/>
    <w:rsid w:val="001F0B24"/>
    <w:rsid w:val="001F4AB8"/>
    <w:rsid w:val="001F7DC6"/>
    <w:rsid w:val="00215B4B"/>
    <w:rsid w:val="0022400B"/>
    <w:rsid w:val="002421BB"/>
    <w:rsid w:val="00251287"/>
    <w:rsid w:val="0025796E"/>
    <w:rsid w:val="00265B13"/>
    <w:rsid w:val="002707A2"/>
    <w:rsid w:val="002871DA"/>
    <w:rsid w:val="00290CDA"/>
    <w:rsid w:val="002951A0"/>
    <w:rsid w:val="002962BC"/>
    <w:rsid w:val="002A093D"/>
    <w:rsid w:val="002A0DD0"/>
    <w:rsid w:val="002A49AC"/>
    <w:rsid w:val="002A64FD"/>
    <w:rsid w:val="002B33EB"/>
    <w:rsid w:val="002B428C"/>
    <w:rsid w:val="002C4B28"/>
    <w:rsid w:val="002C7A84"/>
    <w:rsid w:val="002D1241"/>
    <w:rsid w:val="002E0F7D"/>
    <w:rsid w:val="002E2BF8"/>
    <w:rsid w:val="002E4FD9"/>
    <w:rsid w:val="002F64F0"/>
    <w:rsid w:val="002F7E94"/>
    <w:rsid w:val="0030657A"/>
    <w:rsid w:val="00322A85"/>
    <w:rsid w:val="00324168"/>
    <w:rsid w:val="00330834"/>
    <w:rsid w:val="003345CE"/>
    <w:rsid w:val="003448F4"/>
    <w:rsid w:val="00374F5E"/>
    <w:rsid w:val="00377E3E"/>
    <w:rsid w:val="0039784B"/>
    <w:rsid w:val="003A779E"/>
    <w:rsid w:val="003C3D71"/>
    <w:rsid w:val="003D0F4D"/>
    <w:rsid w:val="003D5B0D"/>
    <w:rsid w:val="003E0499"/>
    <w:rsid w:val="003E4F80"/>
    <w:rsid w:val="003E6439"/>
    <w:rsid w:val="003F3941"/>
    <w:rsid w:val="00406575"/>
    <w:rsid w:val="00410EEC"/>
    <w:rsid w:val="0041304F"/>
    <w:rsid w:val="0041343D"/>
    <w:rsid w:val="00414C74"/>
    <w:rsid w:val="00421F88"/>
    <w:rsid w:val="0042722E"/>
    <w:rsid w:val="004419A9"/>
    <w:rsid w:val="00442AC9"/>
    <w:rsid w:val="0044528D"/>
    <w:rsid w:val="00466E39"/>
    <w:rsid w:val="00474323"/>
    <w:rsid w:val="004763BA"/>
    <w:rsid w:val="00497001"/>
    <w:rsid w:val="004A121A"/>
    <w:rsid w:val="004A1847"/>
    <w:rsid w:val="004A293A"/>
    <w:rsid w:val="004A305D"/>
    <w:rsid w:val="004B65B1"/>
    <w:rsid w:val="004D650F"/>
    <w:rsid w:val="004E3161"/>
    <w:rsid w:val="004E3D90"/>
    <w:rsid w:val="004E7CC5"/>
    <w:rsid w:val="004F21C4"/>
    <w:rsid w:val="004F685F"/>
    <w:rsid w:val="00510652"/>
    <w:rsid w:val="005566E8"/>
    <w:rsid w:val="00574867"/>
    <w:rsid w:val="005834BD"/>
    <w:rsid w:val="00591460"/>
    <w:rsid w:val="005A65E0"/>
    <w:rsid w:val="005B2E45"/>
    <w:rsid w:val="005C185F"/>
    <w:rsid w:val="005C3777"/>
    <w:rsid w:val="005C5CDC"/>
    <w:rsid w:val="005C6B10"/>
    <w:rsid w:val="005D476C"/>
    <w:rsid w:val="00610841"/>
    <w:rsid w:val="00613E9C"/>
    <w:rsid w:val="006200BF"/>
    <w:rsid w:val="006219F8"/>
    <w:rsid w:val="006302F7"/>
    <w:rsid w:val="00632734"/>
    <w:rsid w:val="00646B9F"/>
    <w:rsid w:val="0065422A"/>
    <w:rsid w:val="00665D70"/>
    <w:rsid w:val="00680285"/>
    <w:rsid w:val="006900D9"/>
    <w:rsid w:val="00690A6F"/>
    <w:rsid w:val="00690F6C"/>
    <w:rsid w:val="006C3594"/>
    <w:rsid w:val="006D2964"/>
    <w:rsid w:val="00706C16"/>
    <w:rsid w:val="0072793A"/>
    <w:rsid w:val="007340C3"/>
    <w:rsid w:val="00745363"/>
    <w:rsid w:val="00746701"/>
    <w:rsid w:val="00751209"/>
    <w:rsid w:val="0075235A"/>
    <w:rsid w:val="00756841"/>
    <w:rsid w:val="007649AB"/>
    <w:rsid w:val="00771D0C"/>
    <w:rsid w:val="007833AC"/>
    <w:rsid w:val="0079729D"/>
    <w:rsid w:val="007B268C"/>
    <w:rsid w:val="007B7171"/>
    <w:rsid w:val="007C0C0F"/>
    <w:rsid w:val="007C3DC2"/>
    <w:rsid w:val="007D5CB0"/>
    <w:rsid w:val="007E5497"/>
    <w:rsid w:val="007E6CA9"/>
    <w:rsid w:val="007F373F"/>
    <w:rsid w:val="0080693C"/>
    <w:rsid w:val="00806F5F"/>
    <w:rsid w:val="00820278"/>
    <w:rsid w:val="008258C9"/>
    <w:rsid w:val="008273D1"/>
    <w:rsid w:val="00844AE9"/>
    <w:rsid w:val="0086046C"/>
    <w:rsid w:val="00867F95"/>
    <w:rsid w:val="008843B6"/>
    <w:rsid w:val="00891928"/>
    <w:rsid w:val="00894E74"/>
    <w:rsid w:val="008951E7"/>
    <w:rsid w:val="008A446D"/>
    <w:rsid w:val="008B02F7"/>
    <w:rsid w:val="008B25F1"/>
    <w:rsid w:val="008D024B"/>
    <w:rsid w:val="008D180B"/>
    <w:rsid w:val="008F0EA7"/>
    <w:rsid w:val="008F390A"/>
    <w:rsid w:val="00902AA2"/>
    <w:rsid w:val="0090753D"/>
    <w:rsid w:val="00923EEF"/>
    <w:rsid w:val="009419F9"/>
    <w:rsid w:val="00946C33"/>
    <w:rsid w:val="0095343E"/>
    <w:rsid w:val="0095685E"/>
    <w:rsid w:val="00961B09"/>
    <w:rsid w:val="00961F27"/>
    <w:rsid w:val="009640C2"/>
    <w:rsid w:val="00965334"/>
    <w:rsid w:val="0097093E"/>
    <w:rsid w:val="00973D19"/>
    <w:rsid w:val="009766E6"/>
    <w:rsid w:val="009855DE"/>
    <w:rsid w:val="00994790"/>
    <w:rsid w:val="009A0DFA"/>
    <w:rsid w:val="009A1C6F"/>
    <w:rsid w:val="009A6340"/>
    <w:rsid w:val="009B2D26"/>
    <w:rsid w:val="009C6A84"/>
    <w:rsid w:val="009C71FA"/>
    <w:rsid w:val="009C72E7"/>
    <w:rsid w:val="009C7F7E"/>
    <w:rsid w:val="009D1BEE"/>
    <w:rsid w:val="009D3058"/>
    <w:rsid w:val="009F3A13"/>
    <w:rsid w:val="00A03842"/>
    <w:rsid w:val="00A122D3"/>
    <w:rsid w:val="00A134BA"/>
    <w:rsid w:val="00A14468"/>
    <w:rsid w:val="00A16DEE"/>
    <w:rsid w:val="00A17F13"/>
    <w:rsid w:val="00A20739"/>
    <w:rsid w:val="00A2193F"/>
    <w:rsid w:val="00A23AF9"/>
    <w:rsid w:val="00A33C78"/>
    <w:rsid w:val="00A33EF0"/>
    <w:rsid w:val="00A4713C"/>
    <w:rsid w:val="00A55585"/>
    <w:rsid w:val="00A57936"/>
    <w:rsid w:val="00AB061F"/>
    <w:rsid w:val="00AB0ADB"/>
    <w:rsid w:val="00AB5920"/>
    <w:rsid w:val="00AC2E5B"/>
    <w:rsid w:val="00AC7CE4"/>
    <w:rsid w:val="00AF08DA"/>
    <w:rsid w:val="00AF72C9"/>
    <w:rsid w:val="00B00C0E"/>
    <w:rsid w:val="00B01B1A"/>
    <w:rsid w:val="00B0381D"/>
    <w:rsid w:val="00B21980"/>
    <w:rsid w:val="00B2333B"/>
    <w:rsid w:val="00B44A47"/>
    <w:rsid w:val="00B536A2"/>
    <w:rsid w:val="00B609A7"/>
    <w:rsid w:val="00B675CE"/>
    <w:rsid w:val="00B72CD3"/>
    <w:rsid w:val="00B72FFF"/>
    <w:rsid w:val="00B87F19"/>
    <w:rsid w:val="00B90BE9"/>
    <w:rsid w:val="00B95206"/>
    <w:rsid w:val="00BA05AA"/>
    <w:rsid w:val="00BB30ED"/>
    <w:rsid w:val="00BC3D36"/>
    <w:rsid w:val="00BC44BC"/>
    <w:rsid w:val="00BD039C"/>
    <w:rsid w:val="00BD48E3"/>
    <w:rsid w:val="00BD54A6"/>
    <w:rsid w:val="00BD7F72"/>
    <w:rsid w:val="00BF539A"/>
    <w:rsid w:val="00BF7425"/>
    <w:rsid w:val="00C04FB3"/>
    <w:rsid w:val="00C055BF"/>
    <w:rsid w:val="00C10712"/>
    <w:rsid w:val="00C113F9"/>
    <w:rsid w:val="00C11D8B"/>
    <w:rsid w:val="00C15139"/>
    <w:rsid w:val="00C16773"/>
    <w:rsid w:val="00C219D8"/>
    <w:rsid w:val="00C319B8"/>
    <w:rsid w:val="00C330EB"/>
    <w:rsid w:val="00C36D07"/>
    <w:rsid w:val="00C50D69"/>
    <w:rsid w:val="00C5365C"/>
    <w:rsid w:val="00C554A0"/>
    <w:rsid w:val="00C74060"/>
    <w:rsid w:val="00C754BE"/>
    <w:rsid w:val="00C76B1C"/>
    <w:rsid w:val="00C84961"/>
    <w:rsid w:val="00C925AC"/>
    <w:rsid w:val="00C929EE"/>
    <w:rsid w:val="00CB5FC4"/>
    <w:rsid w:val="00CB6357"/>
    <w:rsid w:val="00CC1B26"/>
    <w:rsid w:val="00CC663C"/>
    <w:rsid w:val="00CD6073"/>
    <w:rsid w:val="00D208E0"/>
    <w:rsid w:val="00D361FD"/>
    <w:rsid w:val="00D423A2"/>
    <w:rsid w:val="00D44E26"/>
    <w:rsid w:val="00D46235"/>
    <w:rsid w:val="00D520D8"/>
    <w:rsid w:val="00D52D3A"/>
    <w:rsid w:val="00D5657B"/>
    <w:rsid w:val="00D60A86"/>
    <w:rsid w:val="00D63AC2"/>
    <w:rsid w:val="00D65FFB"/>
    <w:rsid w:val="00D7383B"/>
    <w:rsid w:val="00D753D2"/>
    <w:rsid w:val="00D7788A"/>
    <w:rsid w:val="00D803CB"/>
    <w:rsid w:val="00DA231B"/>
    <w:rsid w:val="00DC069E"/>
    <w:rsid w:val="00DC39FC"/>
    <w:rsid w:val="00DC6E06"/>
    <w:rsid w:val="00DD2A6C"/>
    <w:rsid w:val="00DD48F1"/>
    <w:rsid w:val="00DF5254"/>
    <w:rsid w:val="00E02524"/>
    <w:rsid w:val="00E16408"/>
    <w:rsid w:val="00E20894"/>
    <w:rsid w:val="00E245AB"/>
    <w:rsid w:val="00E2764C"/>
    <w:rsid w:val="00E27F2E"/>
    <w:rsid w:val="00E3510C"/>
    <w:rsid w:val="00E50AFE"/>
    <w:rsid w:val="00E53A27"/>
    <w:rsid w:val="00E75C92"/>
    <w:rsid w:val="00E771DC"/>
    <w:rsid w:val="00E8772A"/>
    <w:rsid w:val="00E90F6B"/>
    <w:rsid w:val="00E92C27"/>
    <w:rsid w:val="00EA0E3D"/>
    <w:rsid w:val="00EC38A7"/>
    <w:rsid w:val="00EC61ED"/>
    <w:rsid w:val="00EE1AA8"/>
    <w:rsid w:val="00EE2EAB"/>
    <w:rsid w:val="00EE53B9"/>
    <w:rsid w:val="00F23FEA"/>
    <w:rsid w:val="00F31EDC"/>
    <w:rsid w:val="00F462B3"/>
    <w:rsid w:val="00F46EE4"/>
    <w:rsid w:val="00F5664F"/>
    <w:rsid w:val="00F5725B"/>
    <w:rsid w:val="00F666C4"/>
    <w:rsid w:val="00F76AFC"/>
    <w:rsid w:val="00F84B2C"/>
    <w:rsid w:val="00FA08F7"/>
    <w:rsid w:val="00FA47C0"/>
    <w:rsid w:val="00FB5DD1"/>
    <w:rsid w:val="00FC2B5D"/>
    <w:rsid w:val="00FD0108"/>
    <w:rsid w:val="00FE21A8"/>
    <w:rsid w:val="00FE672D"/>
    <w:rsid w:val="00FF1449"/>
    <w:rsid w:val="00FF1F16"/>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D024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D024B"/>
    <w:rPr>
      <w:rFonts w:ascii="Geomanist Light" w:hAnsi="Geomanist Light"/>
      <w:lang w:val="es-ES"/>
    </w:rPr>
  </w:style>
  <w:style w:type="paragraph" w:styleId="Sinespaciado">
    <w:name w:val="No Spacing"/>
    <w:uiPriority w:val="1"/>
    <w:qFormat/>
    <w:rsid w:val="008D024B"/>
    <w:pPr>
      <w:spacing w:after="0" w:line="240" w:lineRule="auto"/>
    </w:pPr>
  </w:style>
  <w:style w:type="character" w:customStyle="1" w:styleId="s15">
    <w:name w:val="s15"/>
    <w:basedOn w:val="Fuentedeprrafopredeter"/>
    <w:rsid w:val="008D024B"/>
  </w:style>
  <w:style w:type="character" w:customStyle="1" w:styleId="NormalWebCar">
    <w:name w:val="Normal (Web) Car"/>
    <w:link w:val="NormalWeb"/>
    <w:uiPriority w:val="99"/>
    <w:locked/>
    <w:rsid w:val="008D024B"/>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8D024B"/>
    <w:rPr>
      <w:b/>
      <w:bCs/>
    </w:rPr>
  </w:style>
  <w:style w:type="character" w:styleId="nfasis">
    <w:name w:val="Emphasis"/>
    <w:basedOn w:val="Fuentedeprrafopredeter"/>
    <w:uiPriority w:val="20"/>
    <w:qFormat/>
    <w:rsid w:val="008D024B"/>
    <w:rPr>
      <w:i/>
      <w:iCs/>
    </w:rPr>
  </w:style>
  <w:style w:type="character" w:customStyle="1" w:styleId="Hipervnculo1">
    <w:name w:val="Hipervínculo1"/>
    <w:basedOn w:val="Fuentedeprrafopredeter"/>
    <w:uiPriority w:val="99"/>
    <w:unhideWhenUsed/>
    <w:rsid w:val="008D024B"/>
    <w:rPr>
      <w:color w:val="F2F2F2"/>
      <w:u w:val="single"/>
    </w:rPr>
  </w:style>
  <w:style w:type="paragraph" w:styleId="Textoindependiente">
    <w:name w:val="Body Text"/>
    <w:basedOn w:val="Normal"/>
    <w:link w:val="TextoindependienteCar"/>
    <w:uiPriority w:val="1"/>
    <w:qFormat/>
    <w:rsid w:val="005B2E45"/>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B2E45"/>
    <w:rPr>
      <w:rFonts w:ascii="Verdana" w:eastAsia="Verdana" w:hAnsi="Verdana" w:cs="Verdana"/>
      <w:lang w:val="es-ES"/>
    </w:rPr>
  </w:style>
  <w:style w:type="character" w:styleId="Refdecomentario">
    <w:name w:val="annotation reference"/>
    <w:basedOn w:val="Fuentedeprrafopredeter"/>
    <w:uiPriority w:val="99"/>
    <w:semiHidden/>
    <w:unhideWhenUsed/>
    <w:rsid w:val="00197164"/>
    <w:rPr>
      <w:sz w:val="16"/>
      <w:szCs w:val="16"/>
    </w:rPr>
  </w:style>
  <w:style w:type="paragraph" w:styleId="Textocomentario">
    <w:name w:val="annotation text"/>
    <w:basedOn w:val="Normal"/>
    <w:link w:val="TextocomentarioCar"/>
    <w:uiPriority w:val="99"/>
    <w:semiHidden/>
    <w:unhideWhenUsed/>
    <w:rsid w:val="0019716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97164"/>
    <w:rPr>
      <w:sz w:val="20"/>
      <w:szCs w:val="20"/>
    </w:rPr>
  </w:style>
  <w:style w:type="paragraph" w:styleId="Asuntodelcomentario">
    <w:name w:val="annotation subject"/>
    <w:basedOn w:val="Textocomentario"/>
    <w:next w:val="Textocomentario"/>
    <w:link w:val="AsuntodelcomentarioCar"/>
    <w:uiPriority w:val="99"/>
    <w:semiHidden/>
    <w:unhideWhenUsed/>
    <w:rsid w:val="00197164"/>
    <w:rPr>
      <w:b/>
      <w:bCs/>
    </w:rPr>
  </w:style>
  <w:style w:type="character" w:customStyle="1" w:styleId="AsuntodelcomentarioCar">
    <w:name w:val="Asunto del comentario Car"/>
    <w:basedOn w:val="TextocomentarioCar"/>
    <w:link w:val="Asuntodelcomentario"/>
    <w:uiPriority w:val="99"/>
    <w:semiHidden/>
    <w:rsid w:val="001971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75061861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perez@uapa-pae.gov.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revistas.udea.edu.co/index.php/derypol/article/view/331285/207907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83093D-A144-412A-BEFE-B92F76D9D275}"/>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8028</Words>
  <Characters>44159</Characters>
  <Application>Microsoft Office Word</Application>
  <DocSecurity>0</DocSecurity>
  <Lines>367</Lines>
  <Paragraphs>104</Paragraphs>
  <ScaleCrop>false</ScaleCrop>
  <Company/>
  <LinksUpToDate>false</LinksUpToDate>
  <CharactersWithSpaces>52083</CharactersWithSpaces>
  <SharedDoc>false</SharedDoc>
  <HLinks>
    <vt:vector size="54"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2752636</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vt:lpwstr>
      </vt:variant>
      <vt:variant>
        <vt:lpwstr/>
      </vt:variant>
      <vt:variant>
        <vt:i4>7340154</vt:i4>
      </vt:variant>
      <vt:variant>
        <vt:i4>12</vt:i4>
      </vt:variant>
      <vt:variant>
        <vt:i4>0</vt:i4>
      </vt:variant>
      <vt:variant>
        <vt:i4>5</vt:i4>
      </vt:variant>
      <vt:variant>
        <vt:lpwstr>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vt:lpwstr>
      </vt:variant>
      <vt:variant>
        <vt:lpwstr/>
      </vt:variant>
      <vt:variant>
        <vt:i4>7405690</vt:i4>
      </vt:variant>
      <vt:variant>
        <vt:i4>9</vt:i4>
      </vt:variant>
      <vt:variant>
        <vt:i4>0</vt:i4>
      </vt:variant>
      <vt:variant>
        <vt:i4>5</vt:i4>
      </vt:variant>
      <vt:variant>
        <vt:lpwstr>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vt:lpwstr>
      </vt:variant>
      <vt:variant>
        <vt:lpwstr/>
      </vt:variant>
      <vt:variant>
        <vt:i4>2490427</vt:i4>
      </vt:variant>
      <vt:variant>
        <vt:i4>6</vt:i4>
      </vt:variant>
      <vt:variant>
        <vt:i4>0</vt:i4>
      </vt:variant>
      <vt:variant>
        <vt:i4>5</vt:i4>
      </vt:variant>
      <vt:variant>
        <vt:lpwstr>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2686996</vt:i4>
      </vt:variant>
      <vt:variant>
        <vt:i4>0</vt:i4>
      </vt:variant>
      <vt:variant>
        <vt:i4>0</vt:i4>
      </vt:variant>
      <vt:variant>
        <vt:i4>5</vt:i4>
      </vt:variant>
      <vt:variant>
        <vt:lpwstr>mailto:lperez@uapa-pae.gov.co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2</cp:revision>
  <cp:lastPrinted>2023-01-10T21:18:00Z</cp:lastPrinted>
  <dcterms:created xsi:type="dcterms:W3CDTF">2026-10-28T14:59:00Z</dcterms:created>
  <dcterms:modified xsi:type="dcterms:W3CDTF">2026-10-28T14:59:00Z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