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C4BE1" w14:textId="77777777" w:rsidR="00E518EB" w:rsidRDefault="00E518EB" w:rsidP="00A519D3">
      <w:pPr>
        <w:spacing w:after="0"/>
        <w:rPr>
          <w:rFonts w:ascii="Verdana" w:eastAsia="Verdana" w:hAnsi="Verdana" w:cs="Verdana"/>
          <w:lang w:val="es-MX"/>
        </w:rPr>
      </w:pPr>
    </w:p>
    <w:p w14:paraId="6FEFE4B8" w14:textId="77777777" w:rsidR="0024581D" w:rsidRPr="0024581D" w:rsidRDefault="0024581D" w:rsidP="0024581D">
      <w:pPr>
        <w:spacing w:after="0" w:line="240" w:lineRule="auto"/>
        <w:rPr>
          <w:rFonts w:ascii="Verdana" w:eastAsia="Calibri" w:hAnsi="Verdana" w:cs="Arial"/>
          <w:b/>
          <w:bCs/>
          <w:lang w:val="es-ES" w:eastAsia="es-ES"/>
        </w:rPr>
      </w:pPr>
      <w:r w:rsidRPr="0024581D">
        <w:rPr>
          <w:rFonts w:ascii="Verdana" w:eastAsia="Calibri" w:hAnsi="Verdana" w:cs="Arial"/>
          <w:b/>
          <w:bCs/>
          <w:lang w:val="es-ES" w:eastAsia="es-ES"/>
        </w:rPr>
        <w:t>CAJAS DE COMENSACIÓN FAMILIAR – Recursos – Naturaleza de los recursos</w:t>
      </w:r>
    </w:p>
    <w:p w14:paraId="61266BFD" w14:textId="77777777" w:rsidR="0024581D" w:rsidRPr="0024581D" w:rsidRDefault="0024581D" w:rsidP="0024581D">
      <w:pPr>
        <w:spacing w:after="0" w:line="240" w:lineRule="auto"/>
        <w:rPr>
          <w:rFonts w:ascii="Verdana" w:eastAsia="Calibri" w:hAnsi="Verdana" w:cs="Arial"/>
          <w:b/>
          <w:bCs/>
          <w:lang w:val="es-ES" w:eastAsia="es-ES"/>
        </w:rPr>
      </w:pPr>
    </w:p>
    <w:p w14:paraId="1A09C093" w14:textId="77777777" w:rsidR="0024581D" w:rsidRPr="0024581D" w:rsidRDefault="0024581D" w:rsidP="0024581D">
      <w:pPr>
        <w:spacing w:after="120" w:line="276" w:lineRule="auto"/>
        <w:jc w:val="both"/>
        <w:rPr>
          <w:rFonts w:ascii="Verdana" w:eastAsia="Calibri" w:hAnsi="Verdana" w:cs="Arial"/>
          <w:sz w:val="21"/>
          <w:szCs w:val="21"/>
          <w:shd w:val="clear" w:color="auto" w:fill="FFFFFF"/>
          <w:lang w:val="es-ES" w:eastAsia="es-ES_tradnl"/>
        </w:rPr>
      </w:pPr>
      <w:r w:rsidRPr="0024581D">
        <w:rPr>
          <w:rFonts w:ascii="Verdana" w:eastAsia="Calibri" w:hAnsi="Verdana" w:cs="Arial"/>
          <w:sz w:val="21"/>
          <w:szCs w:val="21"/>
          <w:lang w:val="es-ES" w:eastAsia="es-ES"/>
        </w:rPr>
        <w:t xml:space="preserve">[…] debe señalarse que, </w:t>
      </w:r>
      <w:r w:rsidRPr="0024581D">
        <w:rPr>
          <w:rFonts w:ascii="Verdana" w:eastAsia="Times New Roman" w:hAnsi="Verdana" w:cs="Segoe UI"/>
          <w:sz w:val="21"/>
          <w:szCs w:val="21"/>
          <w:lang w:eastAsia="es-ES_tradnl"/>
        </w:rPr>
        <w:t>dada la naturaleza pública de los recursos que administran y su calidad de sujetos obligados conforme a la Ley 1712 de 2014, a juicio de esta Agencia, las Cajas de Compensación Familiar deben publicar la información relativa a su contratación en SECOP, cuando esta se realice con cargo a recursos parafiscales u otros fondos con destinación pública.</w:t>
      </w:r>
    </w:p>
    <w:p w14:paraId="032D7DF4" w14:textId="77777777" w:rsidR="0024581D" w:rsidRPr="0024581D" w:rsidRDefault="0024581D" w:rsidP="0024581D">
      <w:pPr>
        <w:spacing w:after="120" w:line="276" w:lineRule="auto"/>
        <w:jc w:val="both"/>
        <w:rPr>
          <w:rFonts w:ascii="Verdana" w:eastAsia="Times New Roman" w:hAnsi="Verdana" w:cs="Segoe UI"/>
          <w:sz w:val="21"/>
          <w:szCs w:val="21"/>
          <w:lang w:eastAsia="es-ES_tradnl"/>
        </w:rPr>
      </w:pPr>
      <w:r w:rsidRPr="0024581D">
        <w:rPr>
          <w:rFonts w:ascii="Verdana" w:eastAsia="Calibri" w:hAnsi="Verdana" w:cs="Arial"/>
          <w:sz w:val="21"/>
          <w:szCs w:val="21"/>
          <w:shd w:val="clear" w:color="auto" w:fill="FFFFFF"/>
          <w:lang w:val="es-ES" w:eastAsia="es-ES_tradnl"/>
        </w:rPr>
        <w:t xml:space="preserve">Lo anterior se sustenta en que, </w:t>
      </w:r>
      <w:r w:rsidRPr="0024581D">
        <w:rPr>
          <w:rFonts w:ascii="Verdana" w:eastAsia="Calibri" w:hAnsi="Verdana" w:cs="Arial"/>
          <w:color w:val="000000" w:themeColor="text1"/>
          <w:sz w:val="21"/>
          <w:szCs w:val="21"/>
          <w:lang w:eastAsia="es-ES_tradnl"/>
        </w:rPr>
        <w:t>d</w:t>
      </w:r>
      <w:r w:rsidRPr="0024581D">
        <w:rPr>
          <w:rFonts w:ascii="Verdana" w:eastAsia="Times New Roman" w:hAnsi="Verdana" w:cs="Segoe UI"/>
          <w:sz w:val="21"/>
          <w:szCs w:val="21"/>
          <w:lang w:eastAsia="es-ES_tradnl"/>
        </w:rPr>
        <w:t xml:space="preserve">e conformidad con lo previsto en el artículo 2.2.7.5.3.2 del Decreto 1072 de 2015, los recursos administrados por las Cajas de Compensación Familiar son de carácter parafiscal. Sobre estos, el Consejo de Estado ha señalado que poseen naturaleza pública, en tanto constituyen una fuente de financiación creada por el Estado en beneficio de un sector específico, aun cuando no integren el Presupuesto General de la Nación. </w:t>
      </w:r>
    </w:p>
    <w:p w14:paraId="0345B61D" w14:textId="77777777" w:rsidR="0024581D" w:rsidRPr="0024581D" w:rsidRDefault="0024581D" w:rsidP="0024581D">
      <w:pPr>
        <w:spacing w:after="0" w:line="240" w:lineRule="auto"/>
        <w:rPr>
          <w:rFonts w:ascii="Verdana" w:eastAsia="Calibri" w:hAnsi="Verdana" w:cs="Arial"/>
          <w:b/>
          <w:bCs/>
          <w:lang w:val="es-ES" w:eastAsia="es-ES"/>
        </w:rPr>
      </w:pPr>
      <w:r w:rsidRPr="0024581D">
        <w:rPr>
          <w:rFonts w:ascii="Verdana" w:eastAsia="Calibri" w:hAnsi="Verdana" w:cs="Arial"/>
          <w:b/>
          <w:bCs/>
          <w:lang w:val="es-ES" w:eastAsia="es-ES"/>
        </w:rPr>
        <w:t>PRINCIPIO DE PUBLICIDAD – Deber de publicación – SECOP</w:t>
      </w:r>
    </w:p>
    <w:p w14:paraId="24681A0E" w14:textId="77777777" w:rsidR="0024581D" w:rsidRPr="0024581D" w:rsidRDefault="0024581D" w:rsidP="0024581D">
      <w:pPr>
        <w:spacing w:after="0" w:line="240" w:lineRule="auto"/>
        <w:rPr>
          <w:rFonts w:ascii="Verdana" w:eastAsia="Calibri" w:hAnsi="Verdana" w:cs="Arial"/>
          <w:b/>
          <w:bCs/>
          <w:lang w:val="es-ES" w:eastAsia="es-ES"/>
        </w:rPr>
      </w:pPr>
    </w:p>
    <w:p w14:paraId="48BC594E" w14:textId="77777777" w:rsidR="0024581D" w:rsidRPr="0024581D" w:rsidRDefault="0024581D" w:rsidP="0024581D">
      <w:pPr>
        <w:spacing w:after="120" w:line="276" w:lineRule="auto"/>
        <w:jc w:val="both"/>
        <w:rPr>
          <w:rFonts w:ascii="Verdana" w:eastAsia="Calibri" w:hAnsi="Verdana" w:cs="Arial"/>
          <w:color w:val="000000"/>
          <w:sz w:val="21"/>
          <w:szCs w:val="21"/>
          <w:lang w:val="es-ES_tradnl" w:eastAsia="es-ES_tradnl"/>
        </w:rPr>
      </w:pPr>
      <w:r w:rsidRPr="0024581D">
        <w:rPr>
          <w:rFonts w:ascii="Verdana" w:eastAsia="Times New Roman" w:hAnsi="Verdana" w:cs="Arial"/>
          <w:sz w:val="21"/>
          <w:szCs w:val="21"/>
          <w:lang w:val="es-ES_tradnl" w:eastAsia="es-ES_tradnl"/>
          <w14:ligatures w14:val="standardContextual"/>
        </w:rPr>
        <w:t xml:space="preserve">El principio de publicidad impone a las autoridades administrativas el deber de dar a conocer sus actos, contratos y decisiones, para que se divulguen y eventualmente se controlen. Así mismo, </w:t>
      </w:r>
      <w:r w:rsidRPr="0024581D">
        <w:rPr>
          <w:rFonts w:ascii="Verdana" w:eastAsia="Calibri" w:hAnsi="Verdana" w:cs="Arial"/>
          <w:color w:val="000000"/>
          <w:sz w:val="21"/>
          <w:szCs w:val="21"/>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p>
    <w:p w14:paraId="7CBAEFCE" w14:textId="77777777" w:rsidR="0024581D" w:rsidRPr="0024581D" w:rsidRDefault="0024581D" w:rsidP="0024581D">
      <w:pPr>
        <w:spacing w:after="120" w:line="276" w:lineRule="auto"/>
        <w:jc w:val="both"/>
        <w:rPr>
          <w:rFonts w:ascii="Verdana" w:eastAsia="Times New Roman" w:hAnsi="Verdana" w:cs="Arial"/>
          <w:sz w:val="21"/>
          <w:szCs w:val="21"/>
          <w:lang w:val="es-ES" w:eastAsia="es-ES"/>
          <w14:ligatures w14:val="standardContextual"/>
        </w:rPr>
      </w:pPr>
      <w:r w:rsidRPr="0024581D">
        <w:rPr>
          <w:rFonts w:ascii="Verdana" w:eastAsia="Times New Roman" w:hAnsi="Verdana" w:cs="Arial"/>
          <w:sz w:val="21"/>
          <w:szCs w:val="21"/>
          <w:lang w:val="es-ES" w:eastAsia="es-ES"/>
          <w14:ligatures w14:val="standardContextual"/>
        </w:rPr>
        <w:t xml:space="preserve">En armonía con lo anterior, la Constitución Política de 1991 consagra en varios artículos la publicidad como un principio rector del Estado colombiano. Entre los más destacados, puede mencionarse el 209, que establece la publicidad como uno de los principios que fundamentan el ejercicio de la función administrativa, y el 74, que consagra la garantía de acceso a los documentos públicos que no estén sometidos a reserva, la cual es excepcional y solo procede si existe causal constitucional o legal expresa. </w:t>
      </w:r>
    </w:p>
    <w:p w14:paraId="2A8EB650" w14:textId="77777777" w:rsidR="0024581D" w:rsidRPr="0024581D" w:rsidRDefault="0024581D" w:rsidP="0024581D">
      <w:pPr>
        <w:spacing w:after="120" w:line="276" w:lineRule="auto"/>
        <w:jc w:val="both"/>
        <w:rPr>
          <w:rFonts w:ascii="Verdana" w:eastAsia="Times New Roman" w:hAnsi="Verdana" w:cs="Arial"/>
          <w:b/>
          <w:bCs/>
          <w:lang w:val="es-ES" w:eastAsia="es-ES"/>
          <w14:ligatures w14:val="standardContextual"/>
        </w:rPr>
      </w:pPr>
      <w:r w:rsidRPr="0024581D">
        <w:rPr>
          <w:rFonts w:ascii="Verdana" w:eastAsia="Calibri" w:hAnsi="Verdana" w:cs="Arial"/>
          <w:b/>
          <w:bCs/>
          <w:lang w:val="es-ES" w:eastAsia="es-ES"/>
        </w:rPr>
        <w:t xml:space="preserve">PRINCIPIO DE PUBLICIDAD – Deber de publicación </w:t>
      </w:r>
      <w:r w:rsidRPr="0024581D">
        <w:rPr>
          <w:rFonts w:ascii="Verdana" w:eastAsia="Aptos" w:hAnsi="Verdana" w:cs="Times New Roman"/>
          <w:b/>
          <w:bCs/>
          <w:kern w:val="2"/>
          <w:lang w:eastAsia="es-ES_tradnl"/>
          <w14:ligatures w14:val="standardContextual"/>
        </w:rPr>
        <w:t>– SECOP – Sujetos obligados</w:t>
      </w:r>
    </w:p>
    <w:p w14:paraId="3FF4D3EF" w14:textId="77777777" w:rsidR="0024581D" w:rsidRPr="0024581D" w:rsidRDefault="0024581D" w:rsidP="0024581D">
      <w:pPr>
        <w:spacing w:after="120" w:line="276" w:lineRule="auto"/>
        <w:jc w:val="both"/>
        <w:rPr>
          <w:rFonts w:ascii="Verdana" w:eastAsia="Calibri" w:hAnsi="Verdana" w:cs="Arial"/>
          <w:sz w:val="21"/>
          <w:szCs w:val="21"/>
          <w:lang w:val="es-ES_tradnl" w:eastAsia="es-ES_tradnl"/>
        </w:rPr>
      </w:pPr>
      <w:r w:rsidRPr="0024581D">
        <w:rPr>
          <w:rFonts w:ascii="Verdana" w:eastAsia="Calibri" w:hAnsi="Verdana" w:cs="Arial"/>
          <w:sz w:val="21"/>
          <w:szCs w:val="21"/>
          <w:lang w:val="es-ES_tradnl" w:eastAsia="es-ES_tradnl"/>
        </w:rPr>
        <w:t xml:space="preserve">De la norma antes citada es posible establecer que la obligación de publicar la actividad contractual ha estado encaminada a que se publique aquella información relacionada con la ejecución de dineros públicos. Así las cosas, en SECOP deben publicarse los documentos vinculados a la contratación con cargo a recursos públicos. </w:t>
      </w:r>
    </w:p>
    <w:p w14:paraId="2E734C7F" w14:textId="77777777" w:rsidR="0024581D" w:rsidRPr="0024581D" w:rsidRDefault="0024581D" w:rsidP="0024581D">
      <w:pPr>
        <w:tabs>
          <w:tab w:val="left" w:pos="709"/>
        </w:tabs>
        <w:spacing w:after="120" w:line="276" w:lineRule="auto"/>
        <w:jc w:val="both"/>
        <w:rPr>
          <w:rFonts w:ascii="Verdana" w:eastAsia="Times New Roman" w:hAnsi="Verdana" w:cs="Arial"/>
          <w:sz w:val="21"/>
          <w:szCs w:val="21"/>
          <w:shd w:val="clear" w:color="auto" w:fill="FFFFFF"/>
          <w:lang w:eastAsia="es-ES_tradnl"/>
        </w:rPr>
      </w:pPr>
      <w:r w:rsidRPr="0024581D">
        <w:rPr>
          <w:rFonts w:ascii="Verdana" w:eastAsia="Times New Roman" w:hAnsi="Verdana" w:cs="Arial"/>
          <w:sz w:val="21"/>
          <w:szCs w:val="21"/>
          <w:shd w:val="clear" w:color="auto" w:fill="FFFFFF"/>
          <w:lang w:eastAsia="es-ES_tradnl"/>
        </w:rPr>
        <w:lastRenderedPageBreak/>
        <w:t xml:space="preserve">La referida obligación incluye todos los documentos generados durante las fases precontractual, contractual y </w:t>
      </w:r>
      <w:proofErr w:type="spellStart"/>
      <w:r w:rsidRPr="0024581D">
        <w:rPr>
          <w:rFonts w:ascii="Verdana" w:eastAsia="Times New Roman" w:hAnsi="Verdana" w:cs="Arial"/>
          <w:sz w:val="21"/>
          <w:szCs w:val="21"/>
          <w:shd w:val="clear" w:color="auto" w:fill="FFFFFF"/>
          <w:lang w:eastAsia="es-ES_tradnl"/>
        </w:rPr>
        <w:t>postcontractual</w:t>
      </w:r>
      <w:proofErr w:type="spellEnd"/>
      <w:r w:rsidRPr="0024581D">
        <w:rPr>
          <w:rFonts w:ascii="Verdana" w:eastAsia="Times New Roman" w:hAnsi="Verdana" w:cs="Arial"/>
          <w:sz w:val="21"/>
          <w:szCs w:val="21"/>
          <w:shd w:val="clear" w:color="auto" w:fill="FFFFFF"/>
          <w:lang w:eastAsia="es-ES_tradnl"/>
        </w:rPr>
        <w:t>,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w:t>
      </w:r>
    </w:p>
    <w:p w14:paraId="184A615B" w14:textId="77777777" w:rsidR="0024581D" w:rsidRPr="0024581D" w:rsidRDefault="0024581D" w:rsidP="0024581D">
      <w:pPr>
        <w:spacing w:after="0" w:line="240" w:lineRule="auto"/>
        <w:rPr>
          <w:rFonts w:ascii="Verdana" w:eastAsia="Aptos" w:hAnsi="Verdana" w:cs="Times New Roman"/>
          <w:b/>
          <w:bCs/>
          <w:kern w:val="2"/>
          <w:lang w:eastAsia="es-ES_tradnl"/>
          <w14:ligatures w14:val="standardContextual"/>
        </w:rPr>
      </w:pPr>
      <w:r w:rsidRPr="0024581D">
        <w:rPr>
          <w:rFonts w:ascii="Verdana" w:eastAsia="Calibri" w:hAnsi="Verdana" w:cs="Arial"/>
          <w:b/>
          <w:bCs/>
          <w:lang w:val="es-ES" w:eastAsia="es-ES"/>
        </w:rPr>
        <w:t xml:space="preserve">PRINCIPIO DE PUBLICIDAD – Deber de publicación </w:t>
      </w:r>
      <w:r w:rsidRPr="0024581D">
        <w:rPr>
          <w:rFonts w:ascii="Verdana" w:eastAsia="Aptos" w:hAnsi="Verdana" w:cs="Times New Roman"/>
          <w:b/>
          <w:bCs/>
          <w:kern w:val="2"/>
          <w:lang w:eastAsia="es-ES_tradnl"/>
          <w14:ligatures w14:val="standardContextual"/>
        </w:rPr>
        <w:t>– SECOP – Cajas de Compensación Familiar</w:t>
      </w:r>
    </w:p>
    <w:p w14:paraId="7885A2E4" w14:textId="77777777" w:rsidR="0024581D" w:rsidRPr="0024581D" w:rsidRDefault="0024581D" w:rsidP="0024581D">
      <w:pPr>
        <w:spacing w:after="0" w:line="240" w:lineRule="auto"/>
        <w:rPr>
          <w:rFonts w:ascii="Verdana" w:eastAsia="Aptos" w:hAnsi="Verdana" w:cs="Times New Roman"/>
          <w:b/>
          <w:bCs/>
          <w:kern w:val="2"/>
          <w:lang w:eastAsia="es-ES_tradnl"/>
          <w14:ligatures w14:val="standardContextual"/>
        </w:rPr>
      </w:pPr>
    </w:p>
    <w:p w14:paraId="39C705EE" w14:textId="77777777" w:rsidR="0024581D" w:rsidRPr="0024581D" w:rsidRDefault="0024581D" w:rsidP="0024581D">
      <w:pPr>
        <w:spacing w:after="0" w:line="240" w:lineRule="auto"/>
        <w:jc w:val="both"/>
        <w:rPr>
          <w:rFonts w:ascii="Verdana" w:eastAsia="Calibri" w:hAnsi="Verdana" w:cs="Arial"/>
          <w:b/>
          <w:bCs/>
          <w:sz w:val="21"/>
          <w:szCs w:val="21"/>
          <w:lang w:eastAsia="es-ES"/>
        </w:rPr>
      </w:pPr>
      <w:r w:rsidRPr="0024581D">
        <w:rPr>
          <w:rFonts w:ascii="Verdana" w:eastAsia="Calibri" w:hAnsi="Verdana" w:cs="Arial"/>
          <w:color w:val="000000"/>
          <w:sz w:val="21"/>
          <w:szCs w:val="21"/>
          <w:lang w:eastAsia="es-ES_tradnl"/>
        </w:rPr>
        <w:t xml:space="preserve">En el caso de las Cajas de Compensación Familiar, la exigibilidad de publicidad en el SECOP no proviene del artículo 53 </w:t>
      </w:r>
      <w:r w:rsidRPr="0024581D">
        <w:rPr>
          <w:rFonts w:ascii="Verdana" w:eastAsia="Calibri" w:hAnsi="Verdana" w:cs="Arial"/>
          <w:i/>
          <w:iCs/>
          <w:color w:val="000000"/>
          <w:sz w:val="21"/>
          <w:szCs w:val="21"/>
          <w:lang w:eastAsia="es-ES_tradnl"/>
        </w:rPr>
        <w:t>ibidem</w:t>
      </w:r>
      <w:r w:rsidRPr="0024581D">
        <w:rPr>
          <w:rFonts w:ascii="Verdana" w:eastAsia="Calibri" w:hAnsi="Verdana" w:cs="Arial"/>
          <w:color w:val="000000"/>
          <w:sz w:val="21"/>
          <w:szCs w:val="21"/>
          <w:lang w:eastAsia="es-ES_tradnl"/>
        </w:rPr>
        <w:t xml:space="preserve">, sino de la Ley 1712 de 2014 y reglamentación, que imponen publicar en SECOP la información contractual cuando se contrata con cargo a recursos públicos. Así, </w:t>
      </w:r>
      <w:r w:rsidRPr="0024581D">
        <w:rPr>
          <w:rFonts w:ascii="Verdana" w:eastAsia="Arial" w:hAnsi="Verdana" w:cs="Arial"/>
          <w:color w:val="000000"/>
          <w:sz w:val="21"/>
          <w:szCs w:val="21"/>
          <w:lang w:eastAsia="es-ES_tradnl"/>
        </w:rPr>
        <w:t xml:space="preserve">aunque las Cajas de Compensación Familiar administran recursos parafiscales, ello no las convierte en entidades públicas y, por ende, tampoco en estatales sometidas o exceptuadas del Estatuto General de Contratación de la Administración Pública. </w:t>
      </w:r>
      <w:r w:rsidRPr="0024581D">
        <w:rPr>
          <w:rFonts w:ascii="Verdana" w:eastAsia="Times New Roman" w:hAnsi="Verdana" w:cs="Segoe UI"/>
          <w:sz w:val="21"/>
          <w:szCs w:val="21"/>
          <w:lang w:eastAsia="es-ES_tradnl"/>
        </w:rPr>
        <w:t>Pese a que en ciertos escenarios pueden colaborar con el Estado y participar en la prestación de funciones sociales, su naturaleza jurídica permanece en el ámbito del derecho privado, por lo cual continúan siendo particulares que gestionan recursos públicos.</w:t>
      </w:r>
    </w:p>
    <w:p w14:paraId="233B541A" w14:textId="77777777" w:rsidR="0024581D" w:rsidRPr="0024581D" w:rsidRDefault="0024581D" w:rsidP="0024581D">
      <w:pPr>
        <w:spacing w:after="0" w:line="240" w:lineRule="auto"/>
        <w:rPr>
          <w:rFonts w:ascii="Verdana" w:eastAsia="Geomanist Light" w:hAnsi="Verdana" w:cs="Arial"/>
          <w:b/>
          <w:bCs/>
          <w:color w:val="000000" w:themeColor="text1"/>
          <w:lang w:val="es-MX" w:eastAsia="es-ES_tradnl"/>
        </w:rPr>
      </w:pPr>
    </w:p>
    <w:p w14:paraId="36163EB7"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0E70C115"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16AC0ADD"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612977A8"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0EE04ACA"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4DA1EA4B"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57A620F4"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1B4B0516"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280EEBAB"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5F73CE52"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78BEF966"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5172C78C"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3B5E2BB0"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26BED302"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01B1C5ED"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1C02D28B"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3353CFE1"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681C095E" w14:textId="77777777" w:rsidR="0024581D" w:rsidRPr="0024581D" w:rsidRDefault="0024581D" w:rsidP="0024581D">
      <w:pPr>
        <w:spacing w:after="0" w:line="240" w:lineRule="auto"/>
        <w:rPr>
          <w:rFonts w:ascii="Verdana" w:eastAsia="Geomanist Light" w:hAnsi="Verdana" w:cs="Arial"/>
          <w:color w:val="000000" w:themeColor="text1"/>
          <w:lang w:val="es-MX" w:eastAsia="es-ES_tradnl"/>
        </w:rPr>
      </w:pPr>
    </w:p>
    <w:p w14:paraId="3972686C" w14:textId="77777777" w:rsidR="00880C47" w:rsidRDefault="00880C47" w:rsidP="0024581D">
      <w:pPr>
        <w:spacing w:after="0"/>
        <w:rPr>
          <w:rFonts w:ascii="Verdana" w:eastAsia="Verdana" w:hAnsi="Verdana" w:cs="Verdana"/>
        </w:rPr>
      </w:pPr>
    </w:p>
    <w:p w14:paraId="6CF81E4C" w14:textId="77777777" w:rsidR="00880C47" w:rsidRDefault="00880C47" w:rsidP="0024581D">
      <w:pPr>
        <w:spacing w:after="0"/>
        <w:rPr>
          <w:rFonts w:ascii="Verdana" w:eastAsia="Verdana" w:hAnsi="Verdana" w:cs="Verdana"/>
        </w:rPr>
      </w:pPr>
    </w:p>
    <w:p w14:paraId="2E429E3F" w14:textId="77777777" w:rsidR="00880C47" w:rsidRDefault="00880C47" w:rsidP="0024581D">
      <w:pPr>
        <w:spacing w:after="0"/>
        <w:rPr>
          <w:rFonts w:ascii="Verdana" w:eastAsia="Verdana" w:hAnsi="Verdana" w:cs="Verdana"/>
        </w:rPr>
      </w:pPr>
    </w:p>
    <w:p w14:paraId="2096EAC2" w14:textId="77777777" w:rsidR="00880C47" w:rsidRDefault="00880C47" w:rsidP="0024581D">
      <w:pPr>
        <w:spacing w:after="0"/>
        <w:rPr>
          <w:rFonts w:ascii="Verdana" w:eastAsia="Verdana" w:hAnsi="Verdana" w:cs="Verdana"/>
        </w:rPr>
      </w:pPr>
    </w:p>
    <w:p w14:paraId="46906E25" w14:textId="77777777" w:rsidR="00880C47" w:rsidRDefault="00880C47" w:rsidP="0024581D">
      <w:pPr>
        <w:spacing w:after="0"/>
        <w:rPr>
          <w:rFonts w:ascii="Verdana" w:eastAsia="Verdana" w:hAnsi="Verdana" w:cs="Verdana"/>
        </w:rPr>
      </w:pPr>
    </w:p>
    <w:p w14:paraId="46F3443B" w14:textId="77777777" w:rsidR="00880C47" w:rsidRDefault="00880C47" w:rsidP="0024581D">
      <w:pPr>
        <w:spacing w:after="0"/>
        <w:rPr>
          <w:rFonts w:ascii="Verdana" w:eastAsia="Verdana" w:hAnsi="Verdana" w:cs="Verdana"/>
        </w:rPr>
      </w:pPr>
    </w:p>
    <w:p w14:paraId="790D4EA5" w14:textId="201823C4" w:rsidR="0024581D" w:rsidRPr="0024581D" w:rsidRDefault="0024581D" w:rsidP="0024581D">
      <w:pPr>
        <w:spacing w:after="0"/>
        <w:rPr>
          <w:rFonts w:ascii="Verdana" w:eastAsia="Verdana" w:hAnsi="Verdana" w:cs="Verdana"/>
        </w:rPr>
      </w:pPr>
      <w:r w:rsidRPr="30821638">
        <w:rPr>
          <w:rFonts w:ascii="Verdana" w:eastAsia="Verdana" w:hAnsi="Verdana" w:cs="Verdana"/>
        </w:rPr>
        <w:t xml:space="preserve">Bogotá D.C., </w:t>
      </w:r>
      <w:r w:rsidR="00E43CA8">
        <w:rPr>
          <w:rFonts w:ascii="Verdana" w:eastAsia="Verdana" w:hAnsi="Verdana" w:cs="Verdana"/>
        </w:rPr>
        <w:t>6 octubre 2026</w:t>
      </w:r>
      <w:r>
        <w:tab/>
      </w:r>
      <w:r>
        <w:br/>
      </w:r>
      <w:r>
        <w:tab/>
      </w:r>
      <w:r w:rsidR="00E43CA8">
        <w:t xml:space="preserve">                                                                                        </w:t>
      </w:r>
      <w:r w:rsidR="00E43CA8" w:rsidRPr="00E43CA8">
        <w:rPr>
          <w:noProof/>
        </w:rPr>
        <w:drawing>
          <wp:inline distT="0" distB="0" distL="0" distR="0" wp14:anchorId="691AD37B" wp14:editId="350035B2">
            <wp:extent cx="2257425" cy="625274"/>
            <wp:effectExtent l="0" t="0" r="0" b="3810"/>
            <wp:docPr id="7072290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2744" cy="635057"/>
                    </a:xfrm>
                    <a:prstGeom prst="rect">
                      <a:avLst/>
                    </a:prstGeom>
                    <a:noFill/>
                    <a:ln>
                      <a:noFill/>
                    </a:ln>
                  </pic:spPr>
                </pic:pic>
              </a:graphicData>
            </a:graphic>
          </wp:inline>
        </w:drawing>
      </w:r>
    </w:p>
    <w:p w14:paraId="0E8F0429" w14:textId="77777777" w:rsidR="0024581D" w:rsidRPr="0024581D" w:rsidRDefault="0024581D" w:rsidP="0024581D">
      <w:pPr>
        <w:spacing w:after="0" w:line="240" w:lineRule="auto"/>
        <w:jc w:val="both"/>
        <w:rPr>
          <w:rFonts w:ascii="Verdana" w:eastAsia="Calibri" w:hAnsi="Verdana" w:cs="Arial"/>
          <w:lang w:val="es-ES" w:eastAsia="es-ES"/>
        </w:rPr>
      </w:pPr>
      <w:r w:rsidRPr="0024581D">
        <w:rPr>
          <w:rFonts w:ascii="Verdana" w:eastAsia="Calibri" w:hAnsi="Verdana" w:cs="Arial"/>
          <w:lang w:val="es-ES" w:eastAsia="es-ES"/>
        </w:rPr>
        <w:t>Señores</w:t>
      </w:r>
    </w:p>
    <w:p w14:paraId="1F9F41E2" w14:textId="0437ED82" w:rsidR="0024581D" w:rsidRPr="0024581D" w:rsidRDefault="00081AB3" w:rsidP="0024581D">
      <w:pPr>
        <w:spacing w:after="0" w:line="240" w:lineRule="auto"/>
        <w:jc w:val="both"/>
        <w:rPr>
          <w:rFonts w:ascii="Verdana" w:eastAsia="Calibri" w:hAnsi="Verdana" w:cs="Arial"/>
          <w:b/>
          <w:bCs/>
          <w:lang w:val="pt-PT" w:eastAsia="es-ES"/>
        </w:rPr>
      </w:pPr>
      <w:r w:rsidRPr="0024581D">
        <w:rPr>
          <w:rFonts w:ascii="Verdana" w:eastAsia="Calibri" w:hAnsi="Verdana" w:cs="Arial"/>
          <w:b/>
          <w:bCs/>
          <w:lang w:val="pt-PT" w:eastAsia="es-ES"/>
        </w:rPr>
        <w:t>Contraloria General De La Republica</w:t>
      </w:r>
    </w:p>
    <w:p w14:paraId="3BAF3C4A" w14:textId="77777777" w:rsidR="0024581D" w:rsidRPr="0024581D" w:rsidRDefault="0024581D" w:rsidP="0024581D">
      <w:pPr>
        <w:spacing w:after="0" w:line="240" w:lineRule="auto"/>
        <w:jc w:val="both"/>
        <w:rPr>
          <w:rFonts w:ascii="Verdana" w:eastAsia="Calibri" w:hAnsi="Verdana" w:cs="Arial"/>
          <w:b/>
          <w:bCs/>
          <w:lang w:val="pt-PT" w:eastAsia="es-ES"/>
        </w:rPr>
      </w:pPr>
      <w:r w:rsidRPr="0024581D">
        <w:rPr>
          <w:rFonts w:ascii="Verdana" w:eastAsia="Calibri" w:hAnsi="Verdana" w:cs="Arial"/>
          <w:bCs/>
          <w:lang w:val="pt-PT" w:eastAsia="es-ES_tradnl"/>
        </w:rPr>
        <w:t>correspondenciaatlantico@contraloria.gov.co</w:t>
      </w:r>
    </w:p>
    <w:p w14:paraId="4CA8BDC5" w14:textId="77777777" w:rsidR="0024581D" w:rsidRPr="0024581D" w:rsidRDefault="0024581D" w:rsidP="0024581D">
      <w:pPr>
        <w:spacing w:after="0" w:line="240" w:lineRule="auto"/>
        <w:jc w:val="both"/>
        <w:rPr>
          <w:rFonts w:ascii="Verdana" w:eastAsia="Calibri" w:hAnsi="Verdana" w:cs="Arial"/>
          <w:b/>
          <w:bCs/>
          <w:lang w:val="pt-PT" w:eastAsia="es-ES"/>
        </w:rPr>
      </w:pPr>
      <w:r w:rsidRPr="0024581D">
        <w:rPr>
          <w:rFonts w:ascii="Verdana" w:eastAsia="Calibri" w:hAnsi="Verdana" w:cs="Arial"/>
          <w:lang w:val="pt-PT" w:eastAsia="es-ES"/>
        </w:rPr>
        <w:t>Ciudad</w:t>
      </w:r>
    </w:p>
    <w:p w14:paraId="00851513" w14:textId="77777777" w:rsidR="0024581D" w:rsidRPr="0024581D" w:rsidRDefault="0024581D" w:rsidP="0024581D">
      <w:pPr>
        <w:spacing w:after="0" w:line="240" w:lineRule="auto"/>
        <w:rPr>
          <w:rFonts w:ascii="Verdana" w:eastAsia="Calibri" w:hAnsi="Verdana" w:cs="Arial"/>
          <w:b/>
          <w:lang w:val="pt-PT" w:eastAsia="es-ES_tradnl"/>
        </w:rPr>
      </w:pPr>
    </w:p>
    <w:p w14:paraId="0C86199A" w14:textId="77777777" w:rsidR="0024581D" w:rsidRPr="0024581D" w:rsidRDefault="0024581D" w:rsidP="0024581D">
      <w:pPr>
        <w:spacing w:after="0" w:line="240" w:lineRule="auto"/>
        <w:rPr>
          <w:rFonts w:ascii="Verdana" w:eastAsia="Calibri" w:hAnsi="Verdana" w:cs="Arial"/>
          <w:b/>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4581D" w:rsidRPr="0024581D" w14:paraId="141BC6A8" w14:textId="77777777">
        <w:trPr>
          <w:trHeight w:val="80"/>
        </w:trPr>
        <w:tc>
          <w:tcPr>
            <w:tcW w:w="2689" w:type="dxa"/>
          </w:tcPr>
          <w:p w14:paraId="0F90D60E" w14:textId="77777777" w:rsidR="0024581D" w:rsidRPr="0024581D" w:rsidRDefault="0024581D" w:rsidP="0024581D">
            <w:pPr>
              <w:jc w:val="both"/>
              <w:rPr>
                <w:rFonts w:ascii="Verdana" w:eastAsia="Calibri" w:hAnsi="Verdana" w:cs="Arial"/>
                <w:b/>
                <w:color w:val="7030A0"/>
                <w:lang w:val="es-ES_tradnl" w:eastAsia="es-ES_tradnl"/>
              </w:rPr>
            </w:pPr>
          </w:p>
        </w:tc>
        <w:tc>
          <w:tcPr>
            <w:tcW w:w="6100" w:type="dxa"/>
          </w:tcPr>
          <w:p w14:paraId="4270A367" w14:textId="77777777" w:rsidR="0024581D" w:rsidRPr="0024581D" w:rsidRDefault="0024581D" w:rsidP="0024581D">
            <w:pPr>
              <w:jc w:val="both"/>
              <w:rPr>
                <w:rFonts w:ascii="Verdana" w:eastAsia="Calibri" w:hAnsi="Verdana" w:cs="Arial"/>
                <w:b/>
                <w:bCs/>
                <w:color w:val="7030A0"/>
                <w:lang w:val="es-ES" w:eastAsia="es-ES"/>
              </w:rPr>
            </w:pPr>
            <w:r w:rsidRPr="0024581D">
              <w:rPr>
                <w:rFonts w:ascii="Verdana" w:eastAsia="Calibri" w:hAnsi="Verdana" w:cs="Arial"/>
                <w:b/>
                <w:lang w:val="es-ES" w:eastAsia="es-ES"/>
              </w:rPr>
              <w:t xml:space="preserve"> </w:t>
            </w:r>
            <w:r w:rsidRPr="0024581D">
              <w:rPr>
                <w:rFonts w:ascii="Verdana" w:eastAsia="Times New Roman" w:hAnsi="Verdana" w:cs="Calibri"/>
                <w:b/>
                <w:bCs/>
                <w:color w:val="000000"/>
                <w:lang w:eastAsia="es-ES_tradnl"/>
              </w:rPr>
              <w:t>Concepto-1536</w:t>
            </w:r>
            <w:r w:rsidRPr="0024581D">
              <w:rPr>
                <w:rFonts w:ascii="Verdana" w:eastAsia="Calibri" w:hAnsi="Verdana" w:cs="Arial"/>
                <w:b/>
                <w:bCs/>
                <w:color w:val="7030A0"/>
                <w:lang w:val="es-ES" w:eastAsia="es-ES"/>
              </w:rPr>
              <w:t xml:space="preserve"> </w:t>
            </w:r>
            <w:r w:rsidRPr="0024581D">
              <w:rPr>
                <w:rFonts w:ascii="Verdana" w:eastAsia="Calibri" w:hAnsi="Verdana" w:cs="Arial"/>
                <w:b/>
                <w:bCs/>
                <w:lang w:val="es-ES" w:eastAsia="es-ES"/>
              </w:rPr>
              <w:t>de 2026</w:t>
            </w:r>
          </w:p>
          <w:p w14:paraId="76396D1C" w14:textId="77777777" w:rsidR="0024581D" w:rsidRPr="0024581D" w:rsidRDefault="0024581D" w:rsidP="0024581D">
            <w:pPr>
              <w:jc w:val="both"/>
              <w:rPr>
                <w:rFonts w:ascii="Verdana" w:eastAsia="Calibri" w:hAnsi="Verdana" w:cs="Arial"/>
                <w:b/>
                <w:color w:val="7030A0"/>
                <w:lang w:val="es-ES" w:eastAsia="es-ES"/>
              </w:rPr>
            </w:pPr>
          </w:p>
        </w:tc>
      </w:tr>
      <w:tr w:rsidR="0024581D" w:rsidRPr="0024581D" w14:paraId="3443F7D4" w14:textId="77777777">
        <w:trPr>
          <w:trHeight w:val="884"/>
        </w:trPr>
        <w:tc>
          <w:tcPr>
            <w:tcW w:w="2689" w:type="dxa"/>
          </w:tcPr>
          <w:p w14:paraId="08A0DBB3" w14:textId="77777777" w:rsidR="0024581D" w:rsidRPr="0024581D" w:rsidRDefault="0024581D" w:rsidP="0024581D">
            <w:pPr>
              <w:jc w:val="both"/>
              <w:rPr>
                <w:rFonts w:ascii="Verdana" w:eastAsia="Calibri" w:hAnsi="Verdana" w:cs="Arial"/>
                <w:color w:val="000000"/>
                <w:lang w:val="es-ES_tradnl" w:eastAsia="es-ES_tradnl"/>
              </w:rPr>
            </w:pPr>
            <w:r w:rsidRPr="0024581D">
              <w:rPr>
                <w:rFonts w:ascii="Verdana" w:eastAsia="Calibri" w:hAnsi="Verdana" w:cs="Arial"/>
                <w:b/>
                <w:color w:val="000000"/>
                <w:lang w:val="es-ES_tradnl" w:eastAsia="es-ES_tradnl"/>
              </w:rPr>
              <w:t>Temas:</w:t>
            </w:r>
            <w:r w:rsidRPr="0024581D">
              <w:rPr>
                <w:rFonts w:ascii="Verdana" w:eastAsia="Calibri" w:hAnsi="Verdana" w:cs="Arial"/>
                <w:color w:val="000000"/>
                <w:lang w:val="es-ES_tradnl" w:eastAsia="es-ES_tradnl"/>
              </w:rPr>
              <w:t xml:space="preserve">                   </w:t>
            </w:r>
          </w:p>
        </w:tc>
        <w:tc>
          <w:tcPr>
            <w:tcW w:w="6100" w:type="dxa"/>
          </w:tcPr>
          <w:p w14:paraId="1E190C24" w14:textId="77777777" w:rsidR="0024581D" w:rsidRPr="0024581D" w:rsidRDefault="0024581D" w:rsidP="0024581D">
            <w:pPr>
              <w:jc w:val="both"/>
              <w:rPr>
                <w:rFonts w:ascii="Verdana" w:eastAsia="Aptos" w:hAnsi="Verdana" w:cs="Times New Roman"/>
                <w:kern w:val="2"/>
                <w:lang w:eastAsia="es-ES_tradnl"/>
                <w14:ligatures w14:val="standardContextual"/>
              </w:rPr>
            </w:pPr>
            <w:r w:rsidRPr="0024581D">
              <w:rPr>
                <w:rFonts w:ascii="Verdana" w:eastAsia="Calibri" w:hAnsi="Verdana" w:cs="Arial"/>
                <w:lang w:val="es-ES" w:eastAsia="es-ES"/>
              </w:rPr>
              <w:t xml:space="preserve">CAJAS DE COMENSACIÓN FAMILIAR – Recursos – Naturaleza de los recursos / PRINCIPIO DE PUBLICIDAD – Deber de publicación </w:t>
            </w:r>
            <w:r w:rsidRPr="0024581D">
              <w:rPr>
                <w:rFonts w:ascii="Verdana" w:eastAsia="Aptos" w:hAnsi="Verdana" w:cs="Times New Roman"/>
                <w:kern w:val="2"/>
                <w:lang w:eastAsia="es-ES_tradnl"/>
                <w14:ligatures w14:val="standardContextual"/>
              </w:rPr>
              <w:t xml:space="preserve">– SECOP / </w:t>
            </w:r>
            <w:r w:rsidRPr="0024581D">
              <w:rPr>
                <w:rFonts w:ascii="Verdana" w:eastAsia="Calibri" w:hAnsi="Verdana" w:cs="Arial"/>
                <w:lang w:val="es-ES" w:eastAsia="es-ES"/>
              </w:rPr>
              <w:t xml:space="preserve">PRINCIPIO DE PUBLICIDAD – Deber de publicación </w:t>
            </w:r>
            <w:r w:rsidRPr="0024581D">
              <w:rPr>
                <w:rFonts w:ascii="Verdana" w:eastAsia="Aptos" w:hAnsi="Verdana" w:cs="Times New Roman"/>
                <w:kern w:val="2"/>
                <w:lang w:eastAsia="es-ES_tradnl"/>
                <w14:ligatures w14:val="standardContextual"/>
              </w:rPr>
              <w:t xml:space="preserve">– SECOP – Sujetos obligados / </w:t>
            </w:r>
            <w:r w:rsidRPr="0024581D">
              <w:rPr>
                <w:rFonts w:ascii="Verdana" w:eastAsia="Calibri" w:hAnsi="Verdana" w:cs="Arial"/>
                <w:lang w:val="es-ES" w:eastAsia="es-ES"/>
              </w:rPr>
              <w:t xml:space="preserve">PRINCIPIO DE PUBLICIDAD – Deber de publicación </w:t>
            </w:r>
            <w:r w:rsidRPr="0024581D">
              <w:rPr>
                <w:rFonts w:ascii="Verdana" w:eastAsia="Aptos" w:hAnsi="Verdana" w:cs="Times New Roman"/>
                <w:kern w:val="2"/>
                <w:lang w:eastAsia="es-ES_tradnl"/>
                <w14:ligatures w14:val="standardContextual"/>
              </w:rPr>
              <w:t>– SECOP – Cajas de Compensación Familiar / SECOP - Actividad contractual – Recursos públicos – Procedencia</w:t>
            </w:r>
          </w:p>
          <w:p w14:paraId="41F377B3" w14:textId="77777777" w:rsidR="0024581D" w:rsidRPr="0024581D" w:rsidRDefault="0024581D" w:rsidP="0024581D">
            <w:pPr>
              <w:jc w:val="both"/>
              <w:rPr>
                <w:rFonts w:ascii="Verdana" w:eastAsia="Calibri" w:hAnsi="Verdana" w:cs="Arial"/>
                <w:lang w:val="es-ES" w:eastAsia="es-ES"/>
              </w:rPr>
            </w:pPr>
          </w:p>
        </w:tc>
      </w:tr>
      <w:tr w:rsidR="0024581D" w:rsidRPr="0024581D" w14:paraId="527A5099" w14:textId="77777777">
        <w:tc>
          <w:tcPr>
            <w:tcW w:w="2689" w:type="dxa"/>
          </w:tcPr>
          <w:p w14:paraId="2E8745C6" w14:textId="77777777" w:rsidR="0024581D" w:rsidRPr="0024581D" w:rsidRDefault="0024581D" w:rsidP="0024581D">
            <w:pPr>
              <w:jc w:val="both"/>
              <w:rPr>
                <w:rFonts w:ascii="Verdana" w:eastAsia="Calibri" w:hAnsi="Verdana" w:cs="Arial"/>
                <w:b/>
                <w:lang w:val="es-ES_tradnl" w:eastAsia="es-ES_tradnl"/>
              </w:rPr>
            </w:pPr>
            <w:r w:rsidRPr="0024581D">
              <w:rPr>
                <w:rFonts w:ascii="Verdana" w:eastAsia="Calibri" w:hAnsi="Verdana" w:cs="Arial"/>
                <w:b/>
                <w:lang w:val="es-ES_tradnl" w:eastAsia="es-ES_tradnl"/>
              </w:rPr>
              <w:t xml:space="preserve"> Radicación:</w:t>
            </w:r>
            <w:r w:rsidRPr="0024581D">
              <w:rPr>
                <w:rFonts w:ascii="Verdana" w:eastAsia="Calibri" w:hAnsi="Verdana" w:cs="Arial"/>
                <w:lang w:val="es-ES_tradnl" w:eastAsia="es-ES_tradnl"/>
              </w:rPr>
              <w:t xml:space="preserve">               </w:t>
            </w:r>
          </w:p>
        </w:tc>
        <w:tc>
          <w:tcPr>
            <w:tcW w:w="6100" w:type="dxa"/>
          </w:tcPr>
          <w:p w14:paraId="168C9AE5" w14:textId="6C5321AB" w:rsidR="0024581D" w:rsidRPr="0024581D" w:rsidRDefault="0024581D" w:rsidP="0024581D">
            <w:pPr>
              <w:jc w:val="both"/>
              <w:rPr>
                <w:rFonts w:ascii="Verdana" w:eastAsia="Calibri" w:hAnsi="Verdana" w:cs="Arial"/>
                <w:lang w:val="es-ES_tradnl" w:eastAsia="es-ES_tradnl"/>
              </w:rPr>
            </w:pPr>
            <w:r w:rsidRPr="0024581D">
              <w:rPr>
                <w:rFonts w:ascii="Verdana" w:eastAsia="Calibri" w:hAnsi="Verdana" w:cs="Arial"/>
                <w:lang w:val="es-ES_tradnl" w:eastAsia="es-ES_tradnl"/>
              </w:rPr>
              <w:t xml:space="preserve">Respuesta a </w:t>
            </w:r>
            <w:r w:rsidR="001767A8">
              <w:rPr>
                <w:rFonts w:ascii="Verdana" w:eastAsia="Calibri" w:hAnsi="Verdana" w:cs="Arial"/>
                <w:lang w:val="es-ES_tradnl" w:eastAsia="es-ES_tradnl"/>
              </w:rPr>
              <w:t>l</w:t>
            </w:r>
            <w:r w:rsidR="006A410C">
              <w:rPr>
                <w:rFonts w:ascii="Verdana" w:eastAsia="Calibri" w:hAnsi="Verdana" w:cs="Arial"/>
                <w:lang w:val="es-ES_tradnl" w:eastAsia="es-ES_tradnl"/>
              </w:rPr>
              <w:t xml:space="preserve">as </w:t>
            </w:r>
            <w:r w:rsidRPr="0024581D">
              <w:rPr>
                <w:rFonts w:ascii="Verdana" w:eastAsia="Calibri" w:hAnsi="Verdana" w:cs="Arial"/>
                <w:lang w:val="es-ES_tradnl" w:eastAsia="es-ES_tradnl"/>
              </w:rPr>
              <w:t xml:space="preserve">consultas Acumuladas con radicados No. </w:t>
            </w:r>
            <w:r w:rsidRPr="0024581D">
              <w:rPr>
                <w:rFonts w:ascii="Verdana" w:eastAsia="Times New Roman" w:hAnsi="Verdana" w:cs="Calibri"/>
                <w:color w:val="000000"/>
                <w:lang w:eastAsia="es-ES_tradnl"/>
              </w:rPr>
              <w:t>1_2026_09_29_013109- 1_2026_09_30_013175</w:t>
            </w:r>
          </w:p>
          <w:p w14:paraId="2B1EEE20" w14:textId="77777777" w:rsidR="0024581D" w:rsidRPr="0024581D" w:rsidRDefault="0024581D" w:rsidP="0024581D">
            <w:pPr>
              <w:jc w:val="both"/>
              <w:rPr>
                <w:rFonts w:ascii="Verdana" w:eastAsia="Calibri" w:hAnsi="Verdana" w:cs="Arial"/>
                <w:lang w:val="es-ES_tradnl" w:eastAsia="es-ES_tradnl"/>
              </w:rPr>
            </w:pPr>
          </w:p>
          <w:p w14:paraId="5CA21E89" w14:textId="77777777" w:rsidR="0024581D" w:rsidRPr="0024581D" w:rsidRDefault="0024581D" w:rsidP="0024581D">
            <w:pPr>
              <w:jc w:val="both"/>
              <w:rPr>
                <w:rFonts w:ascii="Verdana" w:eastAsia="Calibri" w:hAnsi="Verdana" w:cs="Arial"/>
                <w:lang w:val="es-ES_tradnl" w:eastAsia="es-ES_tradnl"/>
              </w:rPr>
            </w:pPr>
          </w:p>
        </w:tc>
      </w:tr>
    </w:tbl>
    <w:p w14:paraId="3972EDD3" w14:textId="77777777" w:rsidR="0024581D" w:rsidRPr="0024581D" w:rsidRDefault="0024581D" w:rsidP="0024581D">
      <w:pPr>
        <w:spacing w:after="0" w:line="276" w:lineRule="auto"/>
        <w:jc w:val="both"/>
        <w:rPr>
          <w:rFonts w:ascii="Verdana" w:eastAsia="Calibri" w:hAnsi="Verdana" w:cs="Arial"/>
          <w:lang w:val="es-ES" w:eastAsia="es-ES"/>
        </w:rPr>
      </w:pPr>
      <w:r w:rsidRPr="0024581D">
        <w:rPr>
          <w:rFonts w:ascii="Verdana" w:eastAsia="Calibri" w:hAnsi="Verdana" w:cs="Arial"/>
          <w:color w:val="000000" w:themeColor="text1"/>
          <w:lang w:val="es-ES" w:eastAsia="es-ES"/>
        </w:rPr>
        <w:t>Estimado Señores:</w:t>
      </w:r>
    </w:p>
    <w:p w14:paraId="091A953E" w14:textId="77777777" w:rsidR="0024581D" w:rsidRPr="0024581D" w:rsidRDefault="0024581D" w:rsidP="0024581D">
      <w:pPr>
        <w:tabs>
          <w:tab w:val="left" w:pos="3768"/>
        </w:tabs>
        <w:spacing w:after="0" w:line="276" w:lineRule="auto"/>
        <w:jc w:val="both"/>
        <w:rPr>
          <w:rFonts w:ascii="Verdana" w:eastAsia="Calibri" w:hAnsi="Verdana" w:cs="Arial"/>
          <w:lang w:val="es-ES" w:eastAsia="es-ES"/>
        </w:rPr>
      </w:pPr>
      <w:r w:rsidRPr="0024581D">
        <w:rPr>
          <w:rFonts w:ascii="Verdana" w:eastAsia="Calibri" w:hAnsi="Verdana" w:cs="Arial"/>
          <w:lang w:val="es-ES" w:eastAsia="es-ES"/>
        </w:rPr>
        <w:tab/>
      </w:r>
    </w:p>
    <w:p w14:paraId="5BDC19FA" w14:textId="77777777" w:rsidR="0024581D" w:rsidRPr="0024581D" w:rsidRDefault="0024581D" w:rsidP="0024581D">
      <w:pPr>
        <w:spacing w:after="0" w:line="276" w:lineRule="auto"/>
        <w:contextualSpacing/>
        <w:jc w:val="both"/>
        <w:rPr>
          <w:rFonts w:ascii="Verdana" w:eastAsia="Calibri" w:hAnsi="Verdana" w:cs="Arial"/>
          <w:lang w:val="es-ES" w:eastAsia="es-ES_tradnl"/>
        </w:rPr>
      </w:pPr>
      <w:r w:rsidRPr="0024581D">
        <w:rPr>
          <w:rFonts w:ascii="Verdana" w:eastAsia="Calibri" w:hAnsi="Verdana" w:cs="Arial"/>
          <w:lang w:val="es-ES" w:eastAsia="es-ES_tradnl"/>
        </w:rPr>
        <w:t xml:space="preserve">En ejercicio de la competencia otorgada por los artículos 3, numeral 5º, y 11, numeral 8º, del Decreto Ley 4170 de 2011, así como lo establecido en la Resolución </w:t>
      </w:r>
      <w:r w:rsidRPr="0024581D">
        <w:rPr>
          <w:rFonts w:ascii="Verdana" w:eastAsia="Times New Roman" w:hAnsi="Verdana" w:cs="Arial"/>
          <w:lang w:eastAsia="es-ES_tradnl"/>
        </w:rPr>
        <w:t xml:space="preserve">469 de 2025 </w:t>
      </w:r>
      <w:r w:rsidRPr="0024581D">
        <w:rPr>
          <w:rFonts w:ascii="Verdana" w:eastAsia="Calibri" w:hAnsi="Verdana" w:cs="Arial"/>
          <w:lang w:val="es-ES" w:eastAsia="es-ES_tradnl"/>
        </w:rPr>
        <w:t>expedida por esta Entidad, la Agencia Nacional de Contratación Pública – Colombia Compra Eficiente– responde su solicitud de consulta de fecha 29 de septiembre de 2026, en la cual manifiesta lo siguiente:</w:t>
      </w:r>
    </w:p>
    <w:p w14:paraId="25DD7D57" w14:textId="77777777" w:rsidR="0024581D" w:rsidRPr="0024581D" w:rsidRDefault="0024581D" w:rsidP="0024581D">
      <w:pPr>
        <w:tabs>
          <w:tab w:val="left" w:pos="142"/>
          <w:tab w:val="left" w:pos="284"/>
        </w:tabs>
        <w:spacing w:after="0" w:line="276" w:lineRule="auto"/>
        <w:jc w:val="both"/>
        <w:rPr>
          <w:rFonts w:ascii="Verdana" w:eastAsia="Century Gothic" w:hAnsi="Verdana" w:cs="Century Gothic"/>
          <w:b/>
          <w:bCs/>
          <w:lang w:val="es-ES"/>
        </w:rPr>
      </w:pPr>
    </w:p>
    <w:p w14:paraId="3D1E2D33" w14:textId="77777777" w:rsidR="0024581D" w:rsidRPr="0024581D" w:rsidRDefault="0024581D" w:rsidP="0024581D">
      <w:pPr>
        <w:autoSpaceDE w:val="0"/>
        <w:autoSpaceDN w:val="0"/>
        <w:adjustRightInd w:val="0"/>
        <w:spacing w:after="0" w:line="240" w:lineRule="auto"/>
        <w:ind w:left="709" w:right="709"/>
        <w:jc w:val="both"/>
        <w:rPr>
          <w:rFonts w:ascii="Verdana" w:eastAsia="Times New Roman" w:hAnsi="Verdana" w:cs="CIDFont+F1"/>
          <w:i/>
          <w:iCs/>
          <w:sz w:val="20"/>
          <w:szCs w:val="20"/>
          <w:lang w:eastAsia="es-ES_tradnl"/>
        </w:rPr>
      </w:pPr>
      <w:r w:rsidRPr="0024581D">
        <w:rPr>
          <w:rFonts w:ascii="Verdana" w:eastAsia="Times New Roman" w:hAnsi="Verdana" w:cs="CIDFont+F1"/>
          <w:i/>
          <w:iCs/>
          <w:sz w:val="20"/>
          <w:szCs w:val="20"/>
          <w:lang w:eastAsia="es-ES_tradnl"/>
        </w:rPr>
        <w:t xml:space="preserve">“Referencia: Solicitud información – Lineamientos Publicación </w:t>
      </w:r>
      <w:proofErr w:type="spellStart"/>
      <w:r w:rsidRPr="0024581D">
        <w:rPr>
          <w:rFonts w:ascii="Verdana" w:eastAsia="Times New Roman" w:hAnsi="Verdana" w:cs="CIDFont+F1"/>
          <w:i/>
          <w:iCs/>
          <w:sz w:val="20"/>
          <w:szCs w:val="20"/>
          <w:lang w:eastAsia="es-ES_tradnl"/>
        </w:rPr>
        <w:t>Secop</w:t>
      </w:r>
      <w:proofErr w:type="spellEnd"/>
      <w:r w:rsidRPr="0024581D">
        <w:rPr>
          <w:rFonts w:ascii="Verdana" w:eastAsia="Times New Roman" w:hAnsi="Verdana" w:cs="CIDFont+F1"/>
          <w:i/>
          <w:iCs/>
          <w:sz w:val="20"/>
          <w:szCs w:val="20"/>
          <w:lang w:eastAsia="es-ES_tradnl"/>
        </w:rPr>
        <w:t xml:space="preserve"> </w:t>
      </w:r>
      <w:proofErr w:type="spellStart"/>
      <w:r w:rsidRPr="0024581D">
        <w:rPr>
          <w:rFonts w:ascii="Verdana" w:eastAsia="Times New Roman" w:hAnsi="Verdana" w:cs="CIDFont+F1"/>
          <w:i/>
          <w:iCs/>
          <w:sz w:val="20"/>
          <w:szCs w:val="20"/>
          <w:lang w:eastAsia="es-ES_tradnl"/>
        </w:rPr>
        <w:t>IIpara</w:t>
      </w:r>
      <w:proofErr w:type="spellEnd"/>
      <w:r w:rsidRPr="0024581D">
        <w:rPr>
          <w:rFonts w:ascii="Verdana" w:eastAsia="Times New Roman" w:hAnsi="Verdana" w:cs="CIDFont+F1"/>
          <w:i/>
          <w:iCs/>
          <w:sz w:val="20"/>
          <w:szCs w:val="20"/>
          <w:lang w:eastAsia="es-ES_tradnl"/>
        </w:rPr>
        <w:t xml:space="preserve"> CCF Combarranquilla - Auditoría de Cumplimiento a la </w:t>
      </w:r>
      <w:proofErr w:type="gramStart"/>
      <w:r w:rsidRPr="0024581D">
        <w:rPr>
          <w:rFonts w:ascii="Verdana" w:eastAsia="Times New Roman" w:hAnsi="Verdana" w:cs="CIDFont+F1"/>
          <w:i/>
          <w:iCs/>
          <w:sz w:val="20"/>
          <w:szCs w:val="20"/>
          <w:lang w:eastAsia="es-ES_tradnl"/>
        </w:rPr>
        <w:t>CCF  COMBARRANQUILLA</w:t>
      </w:r>
      <w:proofErr w:type="gramEnd"/>
      <w:r w:rsidRPr="0024581D">
        <w:rPr>
          <w:rFonts w:ascii="Verdana" w:eastAsia="Times New Roman" w:hAnsi="Verdana" w:cs="CIDFont+F1"/>
          <w:i/>
          <w:iCs/>
          <w:sz w:val="20"/>
          <w:szCs w:val="20"/>
          <w:lang w:eastAsia="es-ES_tradnl"/>
        </w:rPr>
        <w:t>, vigencia 2025.</w:t>
      </w:r>
    </w:p>
    <w:p w14:paraId="49B8D904" w14:textId="77777777" w:rsidR="0024581D" w:rsidRPr="0024581D" w:rsidRDefault="0024581D" w:rsidP="0024581D">
      <w:pPr>
        <w:autoSpaceDE w:val="0"/>
        <w:autoSpaceDN w:val="0"/>
        <w:adjustRightInd w:val="0"/>
        <w:spacing w:after="0" w:line="240" w:lineRule="auto"/>
        <w:ind w:left="709" w:right="709"/>
        <w:jc w:val="both"/>
        <w:rPr>
          <w:rFonts w:ascii="Verdana" w:eastAsia="Times New Roman" w:hAnsi="Verdana" w:cs="CIDFont+F1"/>
          <w:i/>
          <w:iCs/>
          <w:sz w:val="20"/>
          <w:szCs w:val="20"/>
          <w:lang w:eastAsia="es-ES_tradnl"/>
        </w:rPr>
      </w:pPr>
      <w:r w:rsidRPr="0024581D">
        <w:rPr>
          <w:rFonts w:ascii="Verdana" w:eastAsia="Times New Roman" w:hAnsi="Verdana" w:cs="CIDFont+F1"/>
          <w:i/>
          <w:iCs/>
          <w:sz w:val="20"/>
          <w:szCs w:val="20"/>
          <w:lang w:eastAsia="es-ES_tradnl"/>
        </w:rPr>
        <w:t xml:space="preserve">La Contraloría General de la República- Gerencia Departamental </w:t>
      </w:r>
      <w:proofErr w:type="gramStart"/>
      <w:r w:rsidRPr="0024581D">
        <w:rPr>
          <w:rFonts w:ascii="Verdana" w:eastAsia="Times New Roman" w:hAnsi="Verdana" w:cs="CIDFont+F1"/>
          <w:i/>
          <w:iCs/>
          <w:sz w:val="20"/>
          <w:szCs w:val="20"/>
          <w:lang w:eastAsia="es-ES_tradnl"/>
        </w:rPr>
        <w:t>Colegiada  Atlántico</w:t>
      </w:r>
      <w:proofErr w:type="gramEnd"/>
      <w:r w:rsidRPr="0024581D">
        <w:rPr>
          <w:rFonts w:ascii="Verdana" w:eastAsia="Times New Roman" w:hAnsi="Verdana" w:cs="CIDFont+F1"/>
          <w:i/>
          <w:iCs/>
          <w:sz w:val="20"/>
          <w:szCs w:val="20"/>
          <w:lang w:eastAsia="es-ES_tradnl"/>
        </w:rPr>
        <w:t xml:space="preserve">, en cumplimiento del Plan Nacional de Vigilancia y Control Fiscal –PNVCF 2026 desarrolla Auditoria de Cumplimiento a la Caja </w:t>
      </w:r>
      <w:proofErr w:type="gramStart"/>
      <w:r w:rsidRPr="0024581D">
        <w:rPr>
          <w:rFonts w:ascii="Verdana" w:eastAsia="Times New Roman" w:hAnsi="Verdana" w:cs="CIDFont+F1"/>
          <w:i/>
          <w:iCs/>
          <w:sz w:val="20"/>
          <w:szCs w:val="20"/>
          <w:lang w:eastAsia="es-ES_tradnl"/>
        </w:rPr>
        <w:t>de  Compensación</w:t>
      </w:r>
      <w:proofErr w:type="gramEnd"/>
      <w:r w:rsidRPr="0024581D">
        <w:rPr>
          <w:rFonts w:ascii="Verdana" w:eastAsia="Times New Roman" w:hAnsi="Verdana" w:cs="CIDFont+F1"/>
          <w:i/>
          <w:iCs/>
          <w:sz w:val="20"/>
          <w:szCs w:val="20"/>
          <w:lang w:eastAsia="es-ES_tradnl"/>
        </w:rPr>
        <w:t xml:space="preserve"> Familiar de Barranquilla -COMBARRANQUILLA, </w:t>
      </w:r>
      <w:proofErr w:type="gramStart"/>
      <w:r w:rsidRPr="0024581D">
        <w:rPr>
          <w:rFonts w:ascii="Verdana" w:eastAsia="Times New Roman" w:hAnsi="Verdana" w:cs="CIDFont+F1"/>
          <w:i/>
          <w:iCs/>
          <w:sz w:val="20"/>
          <w:szCs w:val="20"/>
          <w:lang w:eastAsia="es-ES_tradnl"/>
        </w:rPr>
        <w:t>vigencia  2025</w:t>
      </w:r>
      <w:proofErr w:type="gramEnd"/>
      <w:r w:rsidRPr="0024581D">
        <w:rPr>
          <w:rFonts w:ascii="Verdana" w:eastAsia="Times New Roman" w:hAnsi="Verdana" w:cs="CIDFont+F1"/>
          <w:i/>
          <w:iCs/>
          <w:sz w:val="20"/>
          <w:szCs w:val="20"/>
          <w:lang w:eastAsia="es-ES_tradnl"/>
        </w:rPr>
        <w:t>.</w:t>
      </w:r>
    </w:p>
    <w:p w14:paraId="536A3FF9" w14:textId="77777777" w:rsidR="0024581D" w:rsidRPr="0024581D" w:rsidRDefault="0024581D" w:rsidP="0024581D">
      <w:pPr>
        <w:autoSpaceDE w:val="0"/>
        <w:autoSpaceDN w:val="0"/>
        <w:adjustRightInd w:val="0"/>
        <w:spacing w:after="0" w:line="240" w:lineRule="auto"/>
        <w:ind w:left="709" w:right="709"/>
        <w:jc w:val="both"/>
        <w:rPr>
          <w:rFonts w:ascii="Verdana" w:eastAsia="Times New Roman" w:hAnsi="Verdana" w:cs="CIDFont+F1"/>
          <w:i/>
          <w:iCs/>
          <w:sz w:val="20"/>
          <w:szCs w:val="20"/>
          <w:lang w:eastAsia="es-ES_tradnl"/>
        </w:rPr>
      </w:pPr>
      <w:r w:rsidRPr="0024581D">
        <w:rPr>
          <w:rFonts w:ascii="Verdana" w:eastAsia="Times New Roman" w:hAnsi="Verdana" w:cs="CIDFont+F1"/>
          <w:i/>
          <w:iCs/>
          <w:sz w:val="20"/>
          <w:szCs w:val="20"/>
          <w:lang w:eastAsia="es-ES_tradnl"/>
        </w:rPr>
        <w:lastRenderedPageBreak/>
        <w:t xml:space="preserve">Dentro del desarrollo del presente proceso auditor, se hace necesario </w:t>
      </w:r>
      <w:proofErr w:type="gramStart"/>
      <w:r w:rsidRPr="0024581D">
        <w:rPr>
          <w:rFonts w:ascii="Verdana" w:eastAsia="Times New Roman" w:hAnsi="Verdana" w:cs="CIDFont+F1"/>
          <w:i/>
          <w:iCs/>
          <w:sz w:val="20"/>
          <w:szCs w:val="20"/>
          <w:lang w:eastAsia="es-ES_tradnl"/>
        </w:rPr>
        <w:t>tener  claridad</w:t>
      </w:r>
      <w:proofErr w:type="gramEnd"/>
      <w:r w:rsidRPr="0024581D">
        <w:rPr>
          <w:rFonts w:ascii="Verdana" w:eastAsia="Times New Roman" w:hAnsi="Verdana" w:cs="CIDFont+F1"/>
          <w:i/>
          <w:iCs/>
          <w:sz w:val="20"/>
          <w:szCs w:val="20"/>
          <w:lang w:eastAsia="es-ES_tradnl"/>
        </w:rPr>
        <w:t xml:space="preserve"> respecto de los lineamientos dados por Colombia Compra </w:t>
      </w:r>
      <w:proofErr w:type="gramStart"/>
      <w:r w:rsidRPr="0024581D">
        <w:rPr>
          <w:rFonts w:ascii="Verdana" w:eastAsia="Times New Roman" w:hAnsi="Verdana" w:cs="CIDFont+F1"/>
          <w:i/>
          <w:iCs/>
          <w:sz w:val="20"/>
          <w:szCs w:val="20"/>
          <w:lang w:eastAsia="es-ES_tradnl"/>
        </w:rPr>
        <w:t>Eficiente  relacionados</w:t>
      </w:r>
      <w:proofErr w:type="gramEnd"/>
      <w:r w:rsidRPr="0024581D">
        <w:rPr>
          <w:rFonts w:ascii="Verdana" w:eastAsia="Times New Roman" w:hAnsi="Verdana" w:cs="CIDFont+F1"/>
          <w:i/>
          <w:iCs/>
          <w:sz w:val="20"/>
          <w:szCs w:val="20"/>
          <w:lang w:eastAsia="es-ES_tradnl"/>
        </w:rPr>
        <w:t xml:space="preserve"> con el criterio normativo con relación a la obligación de la CCF Combarranquilla de publicar sus contratos y documentos contractuales en </w:t>
      </w:r>
      <w:proofErr w:type="gramStart"/>
      <w:r w:rsidRPr="0024581D">
        <w:rPr>
          <w:rFonts w:ascii="Verdana" w:eastAsia="Times New Roman" w:hAnsi="Verdana" w:cs="CIDFont+F1"/>
          <w:i/>
          <w:iCs/>
          <w:sz w:val="20"/>
          <w:szCs w:val="20"/>
          <w:lang w:eastAsia="es-ES_tradnl"/>
        </w:rPr>
        <w:t>el  SECOP</w:t>
      </w:r>
      <w:proofErr w:type="gramEnd"/>
      <w:r w:rsidRPr="0024581D">
        <w:rPr>
          <w:rFonts w:ascii="Verdana" w:eastAsia="Times New Roman" w:hAnsi="Verdana" w:cs="CIDFont+F1"/>
          <w:i/>
          <w:iCs/>
          <w:sz w:val="20"/>
          <w:szCs w:val="20"/>
          <w:lang w:eastAsia="es-ES_tradnl"/>
        </w:rPr>
        <w:t xml:space="preserve"> II, la plataforma electrónica para la contratación pública </w:t>
      </w:r>
      <w:proofErr w:type="gramStart"/>
      <w:r w:rsidRPr="0024581D">
        <w:rPr>
          <w:rFonts w:ascii="Verdana" w:eastAsia="Times New Roman" w:hAnsi="Verdana" w:cs="CIDFont+F1"/>
          <w:i/>
          <w:iCs/>
          <w:sz w:val="20"/>
          <w:szCs w:val="20"/>
          <w:lang w:eastAsia="es-ES_tradnl"/>
        </w:rPr>
        <w:t>en  Colombia</w:t>
      </w:r>
      <w:proofErr w:type="gramEnd"/>
      <w:r w:rsidRPr="0024581D">
        <w:rPr>
          <w:rFonts w:ascii="Verdana" w:eastAsia="Times New Roman" w:hAnsi="Verdana" w:cs="CIDFont+F1"/>
          <w:i/>
          <w:iCs/>
          <w:sz w:val="20"/>
          <w:szCs w:val="20"/>
          <w:lang w:eastAsia="es-ES_tradnl"/>
        </w:rPr>
        <w:t>.”</w:t>
      </w:r>
    </w:p>
    <w:p w14:paraId="2E252546" w14:textId="77777777" w:rsidR="0024581D" w:rsidRPr="0024581D" w:rsidRDefault="0024581D" w:rsidP="0024581D">
      <w:pPr>
        <w:autoSpaceDE w:val="0"/>
        <w:autoSpaceDN w:val="0"/>
        <w:adjustRightInd w:val="0"/>
        <w:spacing w:after="0" w:line="240" w:lineRule="auto"/>
        <w:ind w:left="709" w:right="709"/>
        <w:jc w:val="both"/>
        <w:rPr>
          <w:rFonts w:ascii="Verdana" w:eastAsia="Times New Roman" w:hAnsi="Verdana" w:cs="CIDFont+F1"/>
          <w:i/>
          <w:iCs/>
          <w:sz w:val="20"/>
          <w:szCs w:val="20"/>
          <w:lang w:eastAsia="es-ES_tradnl"/>
        </w:rPr>
      </w:pPr>
    </w:p>
    <w:p w14:paraId="6213C4E5" w14:textId="77777777" w:rsidR="0024581D" w:rsidRPr="0024581D" w:rsidRDefault="0024581D" w:rsidP="0024581D">
      <w:pPr>
        <w:autoSpaceDE w:val="0"/>
        <w:autoSpaceDN w:val="0"/>
        <w:adjustRightInd w:val="0"/>
        <w:spacing w:after="0" w:line="240" w:lineRule="auto"/>
        <w:ind w:left="709" w:right="709"/>
        <w:jc w:val="both"/>
        <w:rPr>
          <w:rFonts w:ascii="Verdana" w:eastAsia="Times New Roman" w:hAnsi="Verdana" w:cs="CIDFont+F1"/>
          <w:i/>
          <w:iCs/>
          <w:sz w:val="20"/>
          <w:szCs w:val="20"/>
          <w:lang w:eastAsia="es-ES_tradnl"/>
        </w:rPr>
      </w:pPr>
      <w:r w:rsidRPr="0024581D">
        <w:rPr>
          <w:rFonts w:ascii="Verdana" w:eastAsia="Times New Roman" w:hAnsi="Verdana" w:cs="CIDFont+F1"/>
          <w:i/>
          <w:iCs/>
          <w:sz w:val="20"/>
          <w:szCs w:val="20"/>
          <w:lang w:eastAsia="es-ES_tradnl"/>
        </w:rPr>
        <w:t>Conforme lo anterior, solicitamos dada la naturaleza pública de los recursos que manejan las Cajas de Compensación Familiar aclarar si es sujeto de aplicación de las obligaciones estipuladas en las normativas correspondientes (Ley 2195 de 2022 y la Circular Externa de Colombia Compra Eficiente de 2022</w:t>
      </w:r>
      <w:proofErr w:type="gramStart"/>
      <w:r w:rsidRPr="0024581D">
        <w:rPr>
          <w:rFonts w:ascii="Verdana" w:eastAsia="Times New Roman" w:hAnsi="Verdana" w:cs="CIDFont+F1"/>
          <w:i/>
          <w:iCs/>
          <w:sz w:val="20"/>
          <w:szCs w:val="20"/>
          <w:lang w:eastAsia="es-ES_tradnl"/>
        </w:rPr>
        <w:t>)..</w:t>
      </w:r>
      <w:proofErr w:type="gramEnd"/>
      <w:r w:rsidRPr="0024581D">
        <w:rPr>
          <w:rFonts w:ascii="Verdana" w:eastAsia="Times New Roman" w:hAnsi="Verdana" w:cs="CIDFont+F1"/>
          <w:i/>
          <w:iCs/>
          <w:sz w:val="20"/>
          <w:szCs w:val="20"/>
          <w:lang w:eastAsia="es-ES_tradnl"/>
        </w:rPr>
        <w:t xml:space="preserve"> “</w:t>
      </w:r>
    </w:p>
    <w:p w14:paraId="2B75768F" w14:textId="77777777" w:rsidR="0024581D" w:rsidRPr="0024581D" w:rsidRDefault="0024581D" w:rsidP="0024581D">
      <w:pPr>
        <w:autoSpaceDE w:val="0"/>
        <w:autoSpaceDN w:val="0"/>
        <w:adjustRightInd w:val="0"/>
        <w:spacing w:after="0" w:line="276" w:lineRule="auto"/>
        <w:ind w:right="616"/>
        <w:jc w:val="both"/>
        <w:rPr>
          <w:rFonts w:ascii="Verdana" w:eastAsia="Century Gothic" w:hAnsi="Verdana" w:cs="Century Gothic"/>
          <w:b/>
          <w:lang w:eastAsia="es-ES_tradnl"/>
        </w:rPr>
      </w:pPr>
    </w:p>
    <w:p w14:paraId="54521EF8" w14:textId="77777777" w:rsidR="0024581D" w:rsidRPr="0024581D" w:rsidRDefault="0024581D" w:rsidP="0024581D">
      <w:pPr>
        <w:spacing w:after="120" w:line="276" w:lineRule="auto"/>
        <w:ind w:firstLine="709"/>
        <w:jc w:val="both"/>
        <w:rPr>
          <w:rFonts w:ascii="Verdana" w:eastAsia="Calibri" w:hAnsi="Verdana" w:cs="Arial"/>
          <w:color w:val="000000"/>
          <w:lang w:val="es-ES_tradnl" w:eastAsia="es-ES_tradnl"/>
        </w:rPr>
      </w:pPr>
      <w:r w:rsidRPr="0024581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4581D">
        <w:rPr>
          <w:rFonts w:ascii="Verdana" w:eastAsia="Calibri" w:hAnsi="Verdana" w:cs="Arial"/>
          <w:color w:val="000000"/>
          <w:lang w:val="es-ES_tradnl" w:eastAsia="es-ES_tradnl"/>
        </w:rPr>
        <w:tab/>
      </w:r>
    </w:p>
    <w:p w14:paraId="6D7AF3D2" w14:textId="77777777" w:rsidR="0024581D" w:rsidRPr="0024581D" w:rsidRDefault="0024581D" w:rsidP="0024581D">
      <w:pPr>
        <w:spacing w:after="0" w:line="276" w:lineRule="auto"/>
        <w:ind w:firstLine="709"/>
        <w:jc w:val="both"/>
        <w:rPr>
          <w:rFonts w:ascii="Verdana" w:eastAsia="Calibri" w:hAnsi="Verdana" w:cs="Arial"/>
          <w:color w:val="000000"/>
          <w:lang w:val="es-ES" w:eastAsia="es-ES"/>
        </w:rPr>
      </w:pPr>
      <w:r w:rsidRPr="0024581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w:t>
      </w:r>
      <w:r w:rsidRPr="0024581D">
        <w:rPr>
          <w:rFonts w:ascii="Verdana" w:eastAsia="Calibri" w:hAnsi="Verdana" w:cs="Arial"/>
          <w:color w:val="7030A0"/>
          <w:lang w:val="es-ES" w:eastAsia="es-ES"/>
        </w:rPr>
        <w:t xml:space="preserve"> </w:t>
      </w:r>
      <w:r w:rsidRPr="0024581D">
        <w:rPr>
          <w:rFonts w:ascii="Verdana" w:eastAsia="Calibri" w:hAnsi="Verdana" w:cs="Arial"/>
          <w:color w:val="000000"/>
          <w:lang w:val="es-ES" w:eastAsia="es-ES"/>
        </w:rPr>
        <w:t>problema</w:t>
      </w:r>
      <w:r w:rsidRPr="0024581D">
        <w:rPr>
          <w:rFonts w:ascii="Verdana" w:eastAsia="Calibri" w:hAnsi="Verdana" w:cs="Arial"/>
          <w:color w:val="7030A0"/>
          <w:lang w:val="es-ES" w:eastAsia="es-ES"/>
        </w:rPr>
        <w:t xml:space="preserve"> </w:t>
      </w:r>
      <w:r w:rsidRPr="0024581D">
        <w:rPr>
          <w:rFonts w:ascii="Verdana" w:eastAsia="Calibri" w:hAnsi="Verdana" w:cs="Arial"/>
          <w:color w:val="000000"/>
          <w:lang w:val="es-ES" w:eastAsia="es-ES"/>
        </w:rPr>
        <w:t>jurídico</w:t>
      </w:r>
      <w:r w:rsidRPr="0024581D">
        <w:rPr>
          <w:rFonts w:ascii="Verdana" w:eastAsia="Calibri" w:hAnsi="Verdana" w:cs="Arial"/>
          <w:color w:val="7030A0"/>
          <w:lang w:val="es-ES" w:eastAsia="es-ES"/>
        </w:rPr>
        <w:t xml:space="preserve"> </w:t>
      </w:r>
      <w:r w:rsidRPr="0024581D">
        <w:rPr>
          <w:rFonts w:ascii="Verdana" w:eastAsia="Calibri" w:hAnsi="Verdana" w:cs="Arial"/>
          <w:color w:val="000000"/>
          <w:lang w:val="es-ES" w:eastAsia="es-ES"/>
        </w:rPr>
        <w:t xml:space="preserve">de su consulta. </w:t>
      </w:r>
    </w:p>
    <w:p w14:paraId="20E8B66D" w14:textId="77777777" w:rsidR="0024581D" w:rsidRPr="0024581D" w:rsidRDefault="0024581D" w:rsidP="0024581D">
      <w:pPr>
        <w:spacing w:after="0" w:line="276" w:lineRule="auto"/>
        <w:ind w:firstLine="709"/>
        <w:jc w:val="both"/>
        <w:rPr>
          <w:rFonts w:ascii="Verdana" w:eastAsia="Calibri" w:hAnsi="Verdana" w:cs="Arial"/>
          <w:color w:val="000000"/>
          <w:lang w:val="es-ES" w:eastAsia="es-ES"/>
        </w:rPr>
      </w:pPr>
    </w:p>
    <w:p w14:paraId="1AAB463F" w14:textId="37A0ABC8" w:rsidR="0024581D" w:rsidRPr="0024581D" w:rsidRDefault="005A6184" w:rsidP="002513B5">
      <w:p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 xml:space="preserve">    </w:t>
      </w:r>
      <w:r w:rsidR="002513B5">
        <w:rPr>
          <w:rFonts w:ascii="Verdana" w:eastAsia="Century Gothic" w:hAnsi="Verdana" w:cs="Century Gothic"/>
          <w:b/>
          <w:bCs/>
          <w:lang w:val="es-ES"/>
        </w:rPr>
        <w:t>1.</w:t>
      </w:r>
      <w:r w:rsidR="0024581D" w:rsidRPr="0024581D">
        <w:rPr>
          <w:rFonts w:ascii="Verdana" w:eastAsia="Century Gothic" w:hAnsi="Verdana" w:cs="Century Gothic"/>
          <w:b/>
          <w:bCs/>
          <w:lang w:val="es-ES"/>
        </w:rPr>
        <w:t>Problema planteado:</w:t>
      </w:r>
    </w:p>
    <w:p w14:paraId="37B29FC7" w14:textId="77777777" w:rsidR="0024581D" w:rsidRPr="0024581D" w:rsidRDefault="0024581D" w:rsidP="0024581D">
      <w:pPr>
        <w:tabs>
          <w:tab w:val="left" w:pos="426"/>
        </w:tabs>
        <w:spacing w:after="0" w:line="276" w:lineRule="auto"/>
        <w:jc w:val="both"/>
        <w:rPr>
          <w:rFonts w:ascii="Verdana" w:eastAsia="Century Gothic" w:hAnsi="Verdana" w:cs="Century Gothic"/>
          <w:lang w:val="es-ES" w:eastAsia="es-ES_tradnl"/>
        </w:rPr>
      </w:pPr>
    </w:p>
    <w:p w14:paraId="06B72B53" w14:textId="16AB6B1B" w:rsidR="0024581D" w:rsidRDefault="0024581D" w:rsidP="0024581D">
      <w:pPr>
        <w:spacing w:after="0" w:line="276" w:lineRule="auto"/>
        <w:jc w:val="both"/>
        <w:rPr>
          <w:rFonts w:ascii="Verdana" w:eastAsia="Century Gothic" w:hAnsi="Verdana" w:cs="Century Gothic"/>
          <w:lang w:eastAsia="es-ES_tradnl"/>
        </w:rPr>
      </w:pPr>
      <w:r w:rsidRPr="0024581D">
        <w:rPr>
          <w:rFonts w:ascii="Verdana" w:eastAsia="Century Gothic" w:hAnsi="Verdana" w:cs="Century Gothic"/>
          <w:lang w:eastAsia="es-ES_tradnl"/>
        </w:rPr>
        <w:t>De acuerdo con el contenido de su solicitud, esta Agencia resolverá el siguiente problema jurídico</w:t>
      </w:r>
      <w:proofErr w:type="gramStart"/>
      <w:r w:rsidRPr="0024581D">
        <w:rPr>
          <w:rFonts w:ascii="Verdana" w:eastAsia="Century Gothic" w:hAnsi="Verdana" w:cs="Century Gothic"/>
          <w:lang w:eastAsia="es-ES_tradnl"/>
        </w:rPr>
        <w:t xml:space="preserve">: </w:t>
      </w:r>
      <w:r w:rsidR="00B662CA" w:rsidRPr="005A33EC">
        <w:rPr>
          <w:rFonts w:ascii="Verdana" w:eastAsia="Century Gothic" w:hAnsi="Verdana" w:cs="Century Gothic"/>
          <w:lang w:eastAsia="es-ES_tradnl"/>
        </w:rPr>
        <w:t xml:space="preserve"> ¿</w:t>
      </w:r>
      <w:proofErr w:type="gramEnd"/>
      <w:r w:rsidR="00A4057C" w:rsidRPr="005A33EC">
        <w:rPr>
          <w:rFonts w:ascii="Verdana" w:eastAsia="Century Gothic" w:hAnsi="Verdana" w:cs="Century Gothic"/>
          <w:lang w:eastAsia="es-ES_tradnl"/>
        </w:rPr>
        <w:t xml:space="preserve"> </w:t>
      </w:r>
      <w:r w:rsidR="00915755">
        <w:rPr>
          <w:rFonts w:ascii="Verdana" w:eastAsia="Century Gothic" w:hAnsi="Verdana" w:cs="Century Gothic"/>
          <w:lang w:eastAsia="es-ES_tradnl"/>
        </w:rPr>
        <w:t>L</w:t>
      </w:r>
      <w:r w:rsidR="00A4057C" w:rsidRPr="005A33EC">
        <w:rPr>
          <w:rFonts w:ascii="Verdana" w:eastAsia="Century Gothic" w:hAnsi="Verdana" w:cs="Century Gothic"/>
          <w:lang w:eastAsia="es-ES_tradnl"/>
        </w:rPr>
        <w:t>as Cajas de Compensación Familiar, dada su naturaleza jurídica y el carácter parafiscal de los recursos que administran, se encuentran obligadas a publicar en SECOP II los contratos y documentos contractuales financiados con dichos recursos?</w:t>
      </w:r>
    </w:p>
    <w:p w14:paraId="03D73E1D" w14:textId="77777777" w:rsidR="005A33EC" w:rsidRDefault="005A33EC" w:rsidP="0024581D">
      <w:pPr>
        <w:spacing w:after="0" w:line="276" w:lineRule="auto"/>
        <w:jc w:val="both"/>
        <w:rPr>
          <w:rFonts w:ascii="Verdana" w:eastAsia="Century Gothic" w:hAnsi="Verdana" w:cs="Century Gothic"/>
          <w:lang w:eastAsia="es-ES_tradnl"/>
        </w:rPr>
      </w:pPr>
    </w:p>
    <w:p w14:paraId="2414AE10" w14:textId="77777777" w:rsidR="005A33EC" w:rsidRDefault="005A33EC" w:rsidP="0024581D">
      <w:pPr>
        <w:spacing w:after="0" w:line="276" w:lineRule="auto"/>
        <w:jc w:val="both"/>
        <w:rPr>
          <w:rFonts w:ascii="Verdana" w:eastAsia="Century Gothic" w:hAnsi="Verdana" w:cs="Century Gothic"/>
          <w:lang w:eastAsia="es-ES_tradnl"/>
        </w:rPr>
      </w:pPr>
    </w:p>
    <w:p w14:paraId="17E59C98" w14:textId="77777777" w:rsidR="005A33EC" w:rsidRDefault="005A33EC" w:rsidP="0024581D">
      <w:pPr>
        <w:spacing w:after="0" w:line="276" w:lineRule="auto"/>
        <w:jc w:val="both"/>
        <w:rPr>
          <w:rFonts w:ascii="Verdana" w:eastAsia="Century Gothic" w:hAnsi="Verdana" w:cs="Century Gothic"/>
          <w:lang w:eastAsia="es-ES_tradnl"/>
        </w:rPr>
      </w:pPr>
    </w:p>
    <w:p w14:paraId="65BA166C" w14:textId="77777777" w:rsidR="005A33EC" w:rsidRPr="0024581D" w:rsidRDefault="005A33EC" w:rsidP="0024581D">
      <w:pPr>
        <w:spacing w:after="0" w:line="276" w:lineRule="auto"/>
        <w:jc w:val="both"/>
        <w:rPr>
          <w:rFonts w:ascii="Verdana" w:eastAsia="Century Gothic" w:hAnsi="Verdana" w:cs="Century Gothic"/>
          <w:lang w:eastAsia="es-ES_tradnl"/>
        </w:rPr>
      </w:pPr>
    </w:p>
    <w:p w14:paraId="3C05D3B6" w14:textId="77777777" w:rsidR="0024581D" w:rsidRPr="005A6184" w:rsidRDefault="0024581D" w:rsidP="005A6184">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5A6184">
        <w:rPr>
          <w:rFonts w:ascii="Verdana" w:eastAsia="Century Gothic" w:hAnsi="Verdana" w:cs="Century Gothic"/>
          <w:b/>
          <w:bCs/>
        </w:rPr>
        <w:t>Respuesta:</w:t>
      </w:r>
    </w:p>
    <w:p w14:paraId="4697CEAC" w14:textId="77777777" w:rsidR="0024581D" w:rsidRPr="0024581D" w:rsidRDefault="0024581D" w:rsidP="0024581D">
      <w:pPr>
        <w:tabs>
          <w:tab w:val="left" w:pos="142"/>
          <w:tab w:val="left" w:pos="284"/>
        </w:tabs>
        <w:spacing w:after="0" w:line="276" w:lineRule="auto"/>
        <w:jc w:val="both"/>
        <w:rPr>
          <w:rFonts w:ascii="Verdana" w:eastAsia="Century Gothic" w:hAnsi="Verdana" w:cs="Century Gothic"/>
          <w:b/>
          <w:lang w:val="es-ES" w:eastAsia="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4581D" w:rsidRPr="0024581D" w14:paraId="6597AD95" w14:textId="77777777">
        <w:tc>
          <w:tcPr>
            <w:tcW w:w="8828" w:type="dxa"/>
          </w:tcPr>
          <w:p w14:paraId="16A5FF34" w14:textId="2333F5B9" w:rsidR="00915755" w:rsidRPr="005A33EC" w:rsidRDefault="00915755" w:rsidP="005A33EC">
            <w:pPr>
              <w:spacing w:before="100" w:beforeAutospacing="1" w:after="100" w:afterAutospacing="1" w:line="276" w:lineRule="auto"/>
              <w:jc w:val="both"/>
              <w:rPr>
                <w:rFonts w:ascii="Verdana" w:eastAsia="Times New Roman" w:hAnsi="Verdana" w:cs="Segoe UI"/>
                <w:lang w:eastAsia="es-ES_tradnl"/>
              </w:rPr>
            </w:pPr>
            <w:r w:rsidRPr="005A33EC">
              <w:rPr>
                <w:rFonts w:ascii="Verdana" w:eastAsia="Times New Roman" w:hAnsi="Verdana" w:cs="Segoe UI"/>
                <w:lang w:eastAsia="es-ES_tradnl"/>
              </w:rPr>
              <w:t>En relación con el problema jurídico planteado se considera que las Cajas de Compensación Familiar, en su calidad de particulares que administran recursos parafiscales de naturaleza pública, se encuentran sujetas a los deberes de transparencia previstos en la Ley 1712 de 2014 respecto de la contratación financiada con dichos recursos. En consecuencia, deben publicar en el SECOP la información correspondiente a los contratos celebrados con cargo a recursos parafiscales u otros fondos de naturaleza o destinación pública.</w:t>
            </w:r>
          </w:p>
          <w:p w14:paraId="793C2E8D" w14:textId="77777777" w:rsidR="00915755" w:rsidRPr="005A33EC" w:rsidRDefault="00915755" w:rsidP="005A33EC">
            <w:pPr>
              <w:spacing w:before="100" w:beforeAutospacing="1" w:after="100" w:afterAutospacing="1" w:line="276" w:lineRule="auto"/>
              <w:jc w:val="both"/>
              <w:rPr>
                <w:rFonts w:ascii="Verdana" w:eastAsia="Times New Roman" w:hAnsi="Verdana" w:cs="Segoe UI"/>
                <w:lang w:eastAsia="es-ES_tradnl"/>
              </w:rPr>
            </w:pPr>
            <w:r w:rsidRPr="005A33EC">
              <w:rPr>
                <w:rFonts w:ascii="Verdana" w:eastAsia="Times New Roman" w:hAnsi="Verdana" w:cs="Segoe UI"/>
                <w:lang w:eastAsia="es-ES_tradnl"/>
              </w:rPr>
              <w:t>Lo anterior se explica porque, de conformidad con el artículo 5 de la Ley 1712 de 2014, son sujetos obligados quienes administren instituciones parafiscales, fondos o recursos de naturaleza u origen público. A su vez, el artículo 2.2.7.5.3.2 del Decreto 1072 de 2015 reconoce el carácter parafiscal de los recursos administrados por las Cajas de Compensación Familiar.</w:t>
            </w:r>
          </w:p>
          <w:p w14:paraId="14D2CE10" w14:textId="77777777" w:rsidR="00915755" w:rsidRPr="005A33EC" w:rsidRDefault="00915755" w:rsidP="005A33EC">
            <w:pPr>
              <w:spacing w:before="100" w:beforeAutospacing="1" w:after="100" w:afterAutospacing="1" w:line="276" w:lineRule="auto"/>
              <w:jc w:val="both"/>
              <w:rPr>
                <w:rFonts w:ascii="Verdana" w:eastAsia="Times New Roman" w:hAnsi="Verdana" w:cs="Segoe UI"/>
                <w:lang w:eastAsia="es-ES_tradnl"/>
              </w:rPr>
            </w:pPr>
            <w:r w:rsidRPr="005A33EC">
              <w:rPr>
                <w:rFonts w:ascii="Verdana" w:eastAsia="Times New Roman" w:hAnsi="Verdana" w:cs="Segoe UI"/>
                <w:lang w:eastAsia="es-ES_tradnl"/>
              </w:rPr>
              <w:t>Ahora bien, este deber de publicidad no se deriva del artículo 53 de la Ley 2195 de 2022. Dicha disposición se refiere a entidades estatales sometidas a regímenes contractuales excepcionales, mientras que las Cajas de Compensación Familiar conservan su naturaleza jurídica de derecho privado, aun cuando administren recursos parafiscales. Por tanto, su obligación de publicidad encuentra fundamento en las normas de transparencia y acceso a la información pública y no en su eventual asimilación a una entidad estatal de régimen exceptuado.</w:t>
            </w:r>
          </w:p>
          <w:p w14:paraId="7637F295" w14:textId="77777777" w:rsidR="00915755" w:rsidRPr="005A33EC" w:rsidRDefault="00915755" w:rsidP="005A33EC">
            <w:pPr>
              <w:spacing w:before="100" w:beforeAutospacing="1" w:after="100" w:afterAutospacing="1" w:line="276" w:lineRule="auto"/>
              <w:jc w:val="both"/>
              <w:rPr>
                <w:rFonts w:ascii="Verdana" w:eastAsia="Times New Roman" w:hAnsi="Verdana" w:cs="Segoe UI"/>
                <w:lang w:eastAsia="es-ES_tradnl"/>
              </w:rPr>
            </w:pPr>
            <w:r w:rsidRPr="005A33EC">
              <w:rPr>
                <w:rFonts w:ascii="Verdana" w:eastAsia="Times New Roman" w:hAnsi="Verdana" w:cs="Segoe UI"/>
                <w:lang w:eastAsia="es-ES_tradnl"/>
              </w:rPr>
              <w:t>En cuanto a la Circular Externa 002 de 2022 de Colombia Compra Eficiente, esta contiene lineamientos sobre la obligatoriedad del uso de SECOP II para los sujetos comprendidos en su ámbito de aplicación. Sin embargo, la Circular no modifica la naturaleza jurídica de las Cajas de Compensación Familiar ni constituye, por sí sola, fundamento para aplicarles el artículo 53 de la Ley 2195 de 2022.</w:t>
            </w:r>
          </w:p>
          <w:p w14:paraId="5B6235DD" w14:textId="77777777" w:rsidR="00915755" w:rsidRPr="005A33EC" w:rsidRDefault="00915755" w:rsidP="005A33EC">
            <w:pPr>
              <w:spacing w:before="100" w:beforeAutospacing="1" w:after="100" w:afterAutospacing="1" w:line="276" w:lineRule="auto"/>
              <w:jc w:val="both"/>
              <w:rPr>
                <w:rFonts w:ascii="Verdana" w:eastAsia="Times New Roman" w:hAnsi="Verdana" w:cs="Segoe UI"/>
                <w:lang w:eastAsia="es-ES_tradnl"/>
              </w:rPr>
            </w:pPr>
            <w:r w:rsidRPr="005A33EC">
              <w:rPr>
                <w:rFonts w:ascii="Verdana" w:eastAsia="Times New Roman" w:hAnsi="Verdana" w:cs="Segoe UI"/>
                <w:lang w:eastAsia="es-ES_tradnl"/>
              </w:rPr>
              <w:t xml:space="preserve">Por lo anterior, debe distinguirse entre el deber material de publicidad de la contratación financiada con recursos públicos, que sí resulta exigible a las Cajas de Compensación Familiar, y la utilización específica de SECOP II como </w:t>
            </w:r>
            <w:r w:rsidRPr="005A33EC">
              <w:rPr>
                <w:rFonts w:ascii="Verdana" w:eastAsia="Times New Roman" w:hAnsi="Verdana" w:cs="Segoe UI"/>
                <w:lang w:eastAsia="es-ES_tradnl"/>
              </w:rPr>
              <w:lastRenderedPageBreak/>
              <w:t>herramienta para cumplir dicho deber, la cual dependerá de los lineamientos de obligatoriedad de uso de la plataforma que resulten aplicables al respectivo sujeto.</w:t>
            </w:r>
          </w:p>
          <w:p w14:paraId="61B94350" w14:textId="77777777" w:rsidR="00915755" w:rsidRPr="005A33EC" w:rsidRDefault="00915755" w:rsidP="005A33EC">
            <w:pPr>
              <w:spacing w:before="100" w:beforeAutospacing="1" w:after="100" w:afterAutospacing="1" w:line="276" w:lineRule="auto"/>
              <w:jc w:val="both"/>
              <w:rPr>
                <w:rFonts w:ascii="Verdana" w:eastAsia="Times New Roman" w:hAnsi="Verdana" w:cs="Segoe UI"/>
                <w:lang w:eastAsia="es-ES_tradnl"/>
              </w:rPr>
            </w:pPr>
            <w:r w:rsidRPr="005A33EC">
              <w:rPr>
                <w:rFonts w:ascii="Verdana" w:eastAsia="Times New Roman" w:hAnsi="Verdana" w:cs="Segoe UI"/>
                <w:lang w:eastAsia="es-ES_tradnl"/>
              </w:rPr>
              <w:t>En consecuencia, las Cajas de Compensación Familiar deben publicar en el SECOP la información contractual correspondiente a negocios financiados con recursos parafiscales o públicos. No obstante, dicha obligación no surge del artículo 53 de la Ley 2195 de 2022 y la utilización específica de SECOP II deberá determinarse conforme a los lineamientos vigentes de Colombia Compra Eficiente aplicables al sujeto obligado.</w:t>
            </w:r>
          </w:p>
          <w:p w14:paraId="00EED616" w14:textId="2D8CB314" w:rsidR="0024581D" w:rsidRPr="0024581D" w:rsidRDefault="001A5B3A" w:rsidP="0024581D">
            <w:pPr>
              <w:spacing w:after="120" w:line="276" w:lineRule="auto"/>
              <w:ind w:firstLine="709"/>
              <w:jc w:val="both"/>
              <w:rPr>
                <w:rFonts w:ascii="Verdana" w:eastAsia="Aptos" w:hAnsi="Verdana" w:cs="Arial"/>
                <w:shd w:val="clear" w:color="auto" w:fill="FFFFFF"/>
                <w:lang w:eastAsia="es-ES_tradnl"/>
              </w:rPr>
            </w:pPr>
            <w:r w:rsidRPr="005A33EC">
              <w:rPr>
                <w:rFonts w:ascii="Verdana" w:eastAsia="Times New Roman" w:hAnsi="Verdana" w:cs="Segoe UI"/>
                <w:lang w:eastAsia="es-ES_tradnl"/>
              </w:rPr>
              <w:t>.</w:t>
            </w:r>
          </w:p>
        </w:tc>
      </w:tr>
    </w:tbl>
    <w:p w14:paraId="06EB11B0" w14:textId="77777777" w:rsidR="0024581D" w:rsidRPr="0024581D" w:rsidRDefault="0024581D" w:rsidP="00AF47CC">
      <w:pPr>
        <w:tabs>
          <w:tab w:val="left" w:pos="142"/>
          <w:tab w:val="left" w:pos="284"/>
        </w:tabs>
        <w:spacing w:after="0" w:line="276" w:lineRule="auto"/>
        <w:jc w:val="both"/>
        <w:rPr>
          <w:rFonts w:ascii="Verdana" w:eastAsia="Century Gothic" w:hAnsi="Verdana" w:cs="Century Gothic"/>
          <w:b/>
          <w:lang w:val="es-ES" w:eastAsia="es-ES_tradnl"/>
        </w:rPr>
      </w:pPr>
    </w:p>
    <w:p w14:paraId="031242BD" w14:textId="1D404E7F" w:rsidR="0024581D" w:rsidRPr="00AF47CC" w:rsidRDefault="00AF47CC" w:rsidP="00AF47CC">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3.</w:t>
      </w:r>
      <w:r w:rsidR="0024581D" w:rsidRPr="00AF47CC">
        <w:rPr>
          <w:rFonts w:ascii="Verdana" w:eastAsia="Century Gothic" w:hAnsi="Verdana" w:cs="Century Gothic"/>
          <w:b/>
          <w:bCs/>
        </w:rPr>
        <w:t>Razones de la respuesta:</w:t>
      </w:r>
    </w:p>
    <w:p w14:paraId="6E97102B" w14:textId="77777777" w:rsidR="0024581D" w:rsidRPr="0024581D" w:rsidRDefault="0024581D" w:rsidP="0024581D">
      <w:pPr>
        <w:spacing w:after="0" w:line="276" w:lineRule="auto"/>
        <w:jc w:val="both"/>
        <w:rPr>
          <w:rFonts w:ascii="Verdana" w:eastAsia="Calibri" w:hAnsi="Verdana" w:cs="Arial"/>
          <w:color w:val="7030A0"/>
          <w:lang w:val="es-ES" w:eastAsia="es-ES_tradnl"/>
        </w:rPr>
      </w:pPr>
    </w:p>
    <w:p w14:paraId="345434B7" w14:textId="77777777" w:rsidR="0024581D" w:rsidRPr="0024581D" w:rsidRDefault="0024581D" w:rsidP="0024581D">
      <w:pPr>
        <w:spacing w:after="0" w:line="276" w:lineRule="auto"/>
        <w:jc w:val="both"/>
        <w:rPr>
          <w:rFonts w:ascii="Verdana" w:eastAsia="Calibri" w:hAnsi="Verdana" w:cs="Arial"/>
          <w:lang w:val="es-ES" w:eastAsia="es-ES_tradnl"/>
        </w:rPr>
      </w:pPr>
      <w:r w:rsidRPr="0024581D">
        <w:rPr>
          <w:rFonts w:ascii="Verdana" w:eastAsia="Calibri" w:hAnsi="Verdana" w:cs="Arial"/>
          <w:lang w:val="es-ES" w:eastAsia="es-ES_tradnl"/>
        </w:rPr>
        <w:t xml:space="preserve">Lo anterior se sustenta en las siguientes consideraciones: </w:t>
      </w:r>
    </w:p>
    <w:p w14:paraId="1D771B09" w14:textId="77777777" w:rsidR="0024581D" w:rsidRPr="0024581D" w:rsidRDefault="0024581D" w:rsidP="0024581D">
      <w:pPr>
        <w:spacing w:after="0" w:line="276" w:lineRule="auto"/>
        <w:jc w:val="both"/>
        <w:rPr>
          <w:rFonts w:ascii="Verdana" w:eastAsia="Calibri" w:hAnsi="Verdana" w:cs="Arial"/>
          <w:color w:val="7030A0"/>
          <w:lang w:val="es-ES" w:eastAsia="es-ES_tradnl"/>
        </w:rPr>
      </w:pPr>
    </w:p>
    <w:p w14:paraId="7D54F7D7" w14:textId="77777777" w:rsidR="0024581D" w:rsidRPr="0024581D" w:rsidRDefault="0024581D" w:rsidP="0024581D">
      <w:pPr>
        <w:spacing w:after="120" w:line="276" w:lineRule="auto"/>
        <w:jc w:val="both"/>
        <w:rPr>
          <w:rFonts w:ascii="Verdana" w:eastAsia="Calibri" w:hAnsi="Verdana" w:cs="Arial"/>
          <w:color w:val="000000"/>
          <w:kern w:val="2"/>
          <w:lang w:eastAsia="es-ES_tradnl"/>
          <w14:ligatures w14:val="standardContextual"/>
        </w:rPr>
      </w:pPr>
      <w:r w:rsidRPr="0024581D">
        <w:rPr>
          <w:rFonts w:ascii="Verdana" w:eastAsia="Calibri" w:hAnsi="Verdana" w:cs="Arial"/>
          <w:kern w:val="2"/>
          <w:lang w:eastAsia="es-ES_tradnl"/>
          <w14:ligatures w14:val="standardContextual"/>
        </w:rPr>
        <w:t>i) En primer lugar, es pertinente mencionar que el Libro Segundo del Código de Comercio no incluye dentro de la enumeración de las sociedades comerciales a las corporaciones, asociaciones o fundaciones, es decir, a las entidades sin ánimo de lucro – en adelante ESAL–. La razón de esta exclusión, a juicio de esta Agencia, es evidente: dichas organizaciones no tienen fines comerciales, es decir, carecen de ánimo de lucro, razón por la cual no pueden considerarse un tipo o clase de sociedad comercial</w:t>
      </w:r>
      <w:r w:rsidRPr="0024581D">
        <w:rPr>
          <w:rFonts w:ascii="Verdana" w:eastAsia="Calibri" w:hAnsi="Verdana" w:cs="Arial"/>
          <w:color w:val="000000"/>
          <w:kern w:val="2"/>
          <w:vertAlign w:val="superscript"/>
          <w:lang w:eastAsia="es-ES_tradnl"/>
          <w14:ligatures w14:val="standardContextual"/>
        </w:rPr>
        <w:footnoteReference w:id="2"/>
      </w:r>
      <w:r w:rsidRPr="0024581D">
        <w:rPr>
          <w:rFonts w:ascii="Verdana" w:eastAsia="Calibri" w:hAnsi="Verdana" w:cs="Arial"/>
          <w:color w:val="000000"/>
          <w:kern w:val="2"/>
          <w:lang w:eastAsia="es-ES_tradnl"/>
          <w14:ligatures w14:val="standardContextual"/>
        </w:rPr>
        <w:t>. La norma que regula este tipo de corporaciones o asociaciones es el Código Civil –entre otras normas que se armonizan con este – de lo que se sigue que no constituyen formas de sociedad comercial, sino formas de organización civil con fines esencialmente altruistas o de interés general, creadas por personas que buscan contribuir, con su esfuerzo y hasta con sus bienes, al bienestar de la comunidad</w:t>
      </w:r>
      <w:r w:rsidRPr="0024581D">
        <w:rPr>
          <w:rFonts w:ascii="Verdana" w:eastAsia="Calibri" w:hAnsi="Verdana" w:cs="Arial"/>
          <w:color w:val="000000"/>
          <w:kern w:val="2"/>
          <w:vertAlign w:val="superscript"/>
          <w:lang w:eastAsia="es-ES_tradnl"/>
          <w14:ligatures w14:val="standardContextual"/>
        </w:rPr>
        <w:footnoteReference w:id="3"/>
      </w:r>
      <w:r w:rsidRPr="0024581D">
        <w:rPr>
          <w:rFonts w:ascii="Verdana" w:eastAsia="Calibri" w:hAnsi="Verdana" w:cs="Arial"/>
          <w:color w:val="000000"/>
          <w:kern w:val="2"/>
          <w:lang w:eastAsia="es-ES_tradnl"/>
          <w14:ligatures w14:val="standardContextual"/>
        </w:rPr>
        <w:t xml:space="preserve">. La ausencia de ánimo de lucro es, entonces, la característica determinante de estas corporaciones u </w:t>
      </w:r>
      <w:r w:rsidRPr="0024581D">
        <w:rPr>
          <w:rFonts w:ascii="Verdana" w:eastAsia="Calibri" w:hAnsi="Verdana" w:cs="Arial"/>
          <w:color w:val="000000"/>
          <w:kern w:val="2"/>
          <w:lang w:eastAsia="es-ES_tradnl"/>
          <w14:ligatures w14:val="standardContextual"/>
        </w:rPr>
        <w:lastRenderedPageBreak/>
        <w:t>organizaciones, lo que explica su nombre y la diferencia fundamental con las sociedades comerciales.</w:t>
      </w:r>
    </w:p>
    <w:p w14:paraId="3FB4EF90" w14:textId="77777777" w:rsidR="0024581D" w:rsidRPr="0024581D" w:rsidRDefault="0024581D" w:rsidP="0024581D">
      <w:pPr>
        <w:spacing w:after="120" w:line="276" w:lineRule="auto"/>
        <w:jc w:val="both"/>
        <w:rPr>
          <w:rFonts w:ascii="Verdana" w:eastAsia="Calibri" w:hAnsi="Verdana" w:cs="Arial"/>
          <w:color w:val="000000"/>
          <w:kern w:val="2"/>
          <w:lang w:eastAsia="es-ES_tradnl"/>
          <w14:ligatures w14:val="standardContextual"/>
        </w:rPr>
      </w:pPr>
      <w:r w:rsidRPr="0024581D">
        <w:rPr>
          <w:rFonts w:ascii="Verdana" w:eastAsia="Calibri" w:hAnsi="Verdana" w:cs="Arial"/>
          <w:color w:val="000000"/>
          <w:kern w:val="2"/>
          <w:lang w:eastAsia="es-ES_tradnl"/>
          <w14:ligatures w14:val="standardContextual"/>
        </w:rPr>
        <w:tab/>
        <w:t xml:space="preserve">En efecto, el inciso primero del artículo 98 del Código de Comercio dispone que mediante el contrato de sociedad “dos o más personas se obligan a hacer un aporte en dinero, en trabajo o en otros bienes apreciables en dinero, </w:t>
      </w:r>
      <w:r w:rsidRPr="0024581D">
        <w:rPr>
          <w:rFonts w:ascii="Verdana" w:eastAsia="Calibri" w:hAnsi="Verdana" w:cs="Arial"/>
          <w:i/>
          <w:color w:val="000000"/>
          <w:kern w:val="2"/>
          <w:lang w:eastAsia="es-ES_tradnl"/>
          <w14:ligatures w14:val="standardContextual"/>
        </w:rPr>
        <w:t>con el fin de repartirse entre sí las utilidades obtenidas en la empresa o actividad social”</w:t>
      </w:r>
      <w:r w:rsidRPr="0024581D">
        <w:rPr>
          <w:rFonts w:ascii="Verdana" w:eastAsia="Calibri" w:hAnsi="Verdana" w:cs="Arial"/>
          <w:color w:val="000000"/>
          <w:kern w:val="2"/>
          <w:lang w:eastAsia="es-ES_tradnl"/>
          <w14:ligatures w14:val="standardContextual"/>
        </w:rPr>
        <w:t xml:space="preserve"> [Énfasis fuera de texto]. Ello pone de presente que el reparto de utilidades es un elemento esencial del contrato de sociedad, lo cual no es admisible en el caso de las ESAL, ni durante su existencia ni cuando se extinga. Este es, quizá, el elemento distintivo más relevante entre unas y otras organizaciones, aun cuando ambas se crean en ejercicio del derecho fundamental de asociación, previsto en el artículo 38 de la Constitución Política y otras normas contenidas en tratados internacionales suscritos por Colombia.</w:t>
      </w:r>
    </w:p>
    <w:p w14:paraId="1B5735EA" w14:textId="77777777" w:rsidR="0024581D" w:rsidRPr="0024581D" w:rsidRDefault="0024581D" w:rsidP="0024581D">
      <w:pPr>
        <w:spacing w:after="120" w:line="276" w:lineRule="auto"/>
        <w:jc w:val="both"/>
        <w:rPr>
          <w:rFonts w:ascii="Verdana" w:eastAsia="Calibri" w:hAnsi="Verdana" w:cs="Arial"/>
          <w:color w:val="000000"/>
          <w:kern w:val="2"/>
          <w:lang w:eastAsia="es-ES_tradnl"/>
          <w14:ligatures w14:val="standardContextual"/>
        </w:rPr>
      </w:pPr>
      <w:r w:rsidRPr="0024581D">
        <w:rPr>
          <w:rFonts w:ascii="Verdana" w:eastAsia="Calibri" w:hAnsi="Verdana" w:cs="Arial"/>
          <w:color w:val="000000"/>
          <w:kern w:val="2"/>
          <w:lang w:eastAsia="es-ES_tradnl"/>
          <w14:ligatures w14:val="standardContextual"/>
        </w:rPr>
        <w:tab/>
        <w:t>Dentro del conjunto de asociaciones que conforman las ESAL están incluidas las Cajas de Compensación Familiar, a las que se refiere en su consulta. Esto en razón a que, el artículo 39 de la Ley 21 de 1982 las define como “</w:t>
      </w:r>
      <w:r w:rsidRPr="0024581D">
        <w:rPr>
          <w:rFonts w:ascii="Verdana" w:eastAsia="Calibri" w:hAnsi="Verdana" w:cs="Arial"/>
          <w:i/>
          <w:color w:val="000000"/>
          <w:kern w:val="2"/>
          <w:lang w:eastAsia="es-ES_tradnl"/>
          <w14:ligatures w14:val="standardContextual"/>
        </w:rPr>
        <w:t>personas jurídicas de derecho privado sin ánimo de lucro, organizadas como corporaciones en la forma prevista en el Código Civil,</w:t>
      </w:r>
      <w:r w:rsidRPr="0024581D">
        <w:rPr>
          <w:rFonts w:ascii="Verdana" w:eastAsia="Calibri" w:hAnsi="Verdana" w:cs="Arial"/>
          <w:color w:val="000000"/>
          <w:kern w:val="2"/>
          <w:lang w:eastAsia="es-ES_tradnl"/>
          <w14:ligatures w14:val="standardContextual"/>
        </w:rPr>
        <w:t xml:space="preserve"> cumplen funciones de seguridad social y se hallan sometidas al control y vigilancia del Estado en la forma establecida por la ley”. [Énfasis fuera de texto]</w:t>
      </w:r>
    </w:p>
    <w:p w14:paraId="7BBC1A3C" w14:textId="77777777" w:rsidR="0024581D" w:rsidRPr="0024581D" w:rsidRDefault="0024581D" w:rsidP="0024581D">
      <w:pPr>
        <w:spacing w:after="120" w:line="276" w:lineRule="auto"/>
        <w:jc w:val="both"/>
        <w:rPr>
          <w:rFonts w:ascii="Verdana" w:eastAsia="Calibri" w:hAnsi="Verdana" w:cs="Arial"/>
          <w:color w:val="000000"/>
          <w:kern w:val="2"/>
          <w:lang w:eastAsia="es-ES_tradnl"/>
          <w14:ligatures w14:val="standardContextual"/>
        </w:rPr>
      </w:pPr>
      <w:r w:rsidRPr="0024581D">
        <w:rPr>
          <w:rFonts w:ascii="Verdana" w:eastAsia="Calibri" w:hAnsi="Verdana" w:cs="Arial"/>
          <w:color w:val="000000"/>
          <w:kern w:val="2"/>
          <w:lang w:eastAsia="es-ES_tradnl"/>
          <w14:ligatures w14:val="standardContextual"/>
        </w:rPr>
        <w:tab/>
        <w:t xml:space="preserve">La Corte Constitucional, en Sentencia C-429 de 2019, señaló que “las Cajas de Compensación Familiar son entes jurídicos de naturaleza especialísima que </w:t>
      </w:r>
      <w:r w:rsidRPr="0024581D">
        <w:rPr>
          <w:rFonts w:ascii="Verdana" w:eastAsia="Calibri" w:hAnsi="Verdana" w:cs="Arial"/>
          <w:i/>
          <w:kern w:val="2"/>
          <w:u w:val="single"/>
          <w:lang w:eastAsia="es-ES_tradnl"/>
          <w14:ligatures w14:val="standardContextual"/>
        </w:rPr>
        <w:t>no ejercen funciones públicas</w:t>
      </w:r>
      <w:r w:rsidRPr="0024581D">
        <w:rPr>
          <w:rFonts w:ascii="Verdana" w:eastAsia="Calibri" w:hAnsi="Verdana" w:cs="Arial"/>
          <w:color w:val="000000"/>
          <w:kern w:val="2"/>
          <w:lang w:eastAsia="es-ES_tradnl"/>
          <w14:ligatures w14:val="standardContextual"/>
        </w:rPr>
        <w:t xml:space="preserve">, sino que </w:t>
      </w:r>
      <w:r w:rsidRPr="0024581D">
        <w:rPr>
          <w:rFonts w:ascii="Verdana" w:eastAsia="Calibri" w:hAnsi="Verdana" w:cs="Arial"/>
          <w:i/>
          <w:kern w:val="2"/>
          <w:u w:val="single"/>
          <w:lang w:eastAsia="es-ES_tradnl"/>
          <w14:ligatures w14:val="standardContextual"/>
        </w:rPr>
        <w:t>desarrollan una función social</w:t>
      </w:r>
      <w:r w:rsidRPr="0024581D">
        <w:rPr>
          <w:rFonts w:ascii="Verdana" w:eastAsia="Calibri" w:hAnsi="Verdana" w:cs="Arial"/>
          <w:color w:val="000000"/>
          <w:kern w:val="2"/>
          <w:lang w:eastAsia="es-ES_tradnl"/>
          <w14:ligatures w14:val="standardContextual"/>
        </w:rPr>
        <w:t>, pues se trata de actores privados que participan en la economía e intervienen en el servicio público de seguridad social e incluso, en algunos casos, pueden participar en su prestación, como ocurre con la participación que tienen en el sector salud”. [Énfasis fuera de texto]</w:t>
      </w:r>
    </w:p>
    <w:p w14:paraId="7A4773E4" w14:textId="77777777" w:rsidR="0024581D" w:rsidRPr="0024581D" w:rsidRDefault="0024581D" w:rsidP="0024581D">
      <w:pPr>
        <w:spacing w:after="120" w:line="276" w:lineRule="auto"/>
        <w:jc w:val="both"/>
        <w:rPr>
          <w:rFonts w:ascii="Verdana" w:eastAsia="Calibri" w:hAnsi="Verdana" w:cs="Arial"/>
          <w:color w:val="000000"/>
          <w:kern w:val="2"/>
          <w:lang w:eastAsia="es-ES_tradnl"/>
          <w14:ligatures w14:val="standardContextual"/>
        </w:rPr>
      </w:pPr>
      <w:r w:rsidRPr="0024581D">
        <w:rPr>
          <w:rFonts w:ascii="Verdana" w:eastAsia="Calibri" w:hAnsi="Verdana" w:cs="Arial"/>
          <w:color w:val="000000"/>
          <w:kern w:val="2"/>
          <w:lang w:eastAsia="es-ES_tradnl"/>
          <w14:ligatures w14:val="standardContextual"/>
        </w:rPr>
        <w:tab/>
        <w:t xml:space="preserve">En concordancia con lo anterior, el artículo 15 de la Ley 21 de 1982 establece que el objeto principal de las Cajas de Compensación Familiar es el de recaudar y gestionar la aplicación de los aportes al </w:t>
      </w:r>
      <w:r w:rsidRPr="0024581D">
        <w:rPr>
          <w:rFonts w:ascii="Verdana" w:eastAsia="Calibri" w:hAnsi="Verdana" w:cs="Arial"/>
          <w:i/>
          <w:color w:val="000000"/>
          <w:kern w:val="2"/>
          <w:lang w:eastAsia="es-ES_tradnl"/>
          <w14:ligatures w14:val="standardContextual"/>
        </w:rPr>
        <w:t>subsidio familiar</w:t>
      </w:r>
      <w:r w:rsidRPr="0024581D">
        <w:rPr>
          <w:rFonts w:ascii="Verdana" w:eastAsia="Calibri" w:hAnsi="Verdana" w:cs="Arial"/>
          <w:color w:val="000000"/>
          <w:kern w:val="2"/>
          <w:lang w:eastAsia="es-ES_tradnl"/>
          <w14:ligatures w14:val="standardContextual"/>
        </w:rPr>
        <w:t xml:space="preserve"> que debe pagar todo empleador. Esta definición reafirma su carácter de instituciones privadas sin ánimo de lucro que cumplen una función social dentro del Sistema de Seguridad Social, sin que ello las convierta en entidades estatales ni les atribuya el ejercicio de potestades públicas.  </w:t>
      </w:r>
    </w:p>
    <w:p w14:paraId="2235FB06" w14:textId="77777777" w:rsidR="0024581D" w:rsidRPr="0024581D" w:rsidRDefault="0024581D" w:rsidP="0024581D">
      <w:pPr>
        <w:spacing w:before="120" w:after="0" w:line="276" w:lineRule="auto"/>
        <w:ind w:firstLine="708"/>
        <w:jc w:val="both"/>
        <w:rPr>
          <w:rFonts w:ascii="Verdana" w:eastAsia="Calibri" w:hAnsi="Verdana" w:cs="Arial"/>
          <w:color w:val="000000"/>
          <w:kern w:val="2"/>
          <w:lang w:eastAsia="es-ES_tradnl"/>
          <w14:ligatures w14:val="standardContextual"/>
        </w:rPr>
      </w:pPr>
      <w:r w:rsidRPr="0024581D">
        <w:rPr>
          <w:rFonts w:ascii="Verdana" w:eastAsia="Calibri" w:hAnsi="Verdana" w:cs="Arial"/>
          <w:color w:val="000000"/>
          <w:kern w:val="2"/>
          <w:lang w:eastAsia="es-ES_tradnl"/>
          <w14:ligatures w14:val="standardContextual"/>
        </w:rPr>
        <w:lastRenderedPageBreak/>
        <w:t xml:space="preserve">La Sala de Consulta y Servicio Civil del Consejo de Estado, mediante Concepto 1763 del 15 de agosto de 2006, realizó las siguientes precisiones sobre las Cajas de Compensación Familiar: </w:t>
      </w:r>
    </w:p>
    <w:p w14:paraId="0BEBDF23" w14:textId="77777777" w:rsidR="0024581D" w:rsidRPr="0024581D" w:rsidRDefault="0024581D" w:rsidP="0024581D">
      <w:pPr>
        <w:spacing w:after="0" w:line="276" w:lineRule="auto"/>
        <w:jc w:val="both"/>
        <w:rPr>
          <w:rFonts w:ascii="Verdana" w:eastAsia="Calibri" w:hAnsi="Verdana" w:cs="Arial"/>
          <w:color w:val="000000"/>
          <w:kern w:val="2"/>
          <w:lang w:eastAsia="es-ES_tradnl"/>
          <w14:ligatures w14:val="standardContextual"/>
        </w:rPr>
      </w:pPr>
    </w:p>
    <w:p w14:paraId="72DBFFE7" w14:textId="77777777" w:rsidR="0024581D" w:rsidRPr="0024581D" w:rsidRDefault="0024581D" w:rsidP="0024581D">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24581D">
        <w:rPr>
          <w:rFonts w:ascii="Verdana" w:eastAsia="Calibri" w:hAnsi="Verdana" w:cs="Arial"/>
          <w:color w:val="000000"/>
          <w:kern w:val="2"/>
          <w:sz w:val="20"/>
          <w:szCs w:val="20"/>
          <w:lang w:eastAsia="es-ES_tradnl"/>
          <w14:ligatures w14:val="standardContextual"/>
        </w:rPr>
        <w:t>“Las Cajas de Compensación Familiar nacen paralelamente con el sistema de subsidio familiar, que en un principio se concibió como fruto de la libertad de los patronos o del acuerdo entre éstos y sus trabajadores.</w:t>
      </w:r>
    </w:p>
    <w:p w14:paraId="7CF537FA" w14:textId="77777777" w:rsidR="0024581D" w:rsidRPr="0024581D" w:rsidRDefault="0024581D" w:rsidP="0024581D">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p>
    <w:p w14:paraId="667163C9" w14:textId="77777777" w:rsidR="0024581D" w:rsidRPr="0024581D" w:rsidRDefault="0024581D" w:rsidP="0024581D">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24581D">
        <w:rPr>
          <w:rFonts w:ascii="Verdana" w:eastAsia="Calibri" w:hAnsi="Verdana" w:cs="Arial"/>
          <w:color w:val="000000"/>
          <w:kern w:val="2"/>
          <w:sz w:val="20"/>
          <w:szCs w:val="20"/>
          <w:lang w:eastAsia="es-ES_tradnl"/>
          <w14:ligatures w14:val="standardContextual"/>
        </w:rPr>
        <w:t>[…]</w:t>
      </w:r>
    </w:p>
    <w:p w14:paraId="270DFA80" w14:textId="77777777" w:rsidR="0024581D" w:rsidRPr="0024581D" w:rsidRDefault="0024581D" w:rsidP="0024581D">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p>
    <w:p w14:paraId="5E4FCA3A" w14:textId="77777777" w:rsidR="0024581D" w:rsidRPr="0024581D" w:rsidRDefault="0024581D" w:rsidP="0024581D">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24581D">
        <w:rPr>
          <w:rFonts w:ascii="Verdana" w:eastAsia="Calibri" w:hAnsi="Verdana" w:cs="Arial"/>
          <w:color w:val="000000"/>
          <w:kern w:val="2"/>
          <w:sz w:val="20"/>
          <w:szCs w:val="20"/>
          <w:lang w:eastAsia="es-ES_tradnl"/>
          <w14:ligatures w14:val="standardContextual"/>
        </w:rPr>
        <w:t>[…] a partir del decreto 118 de 1957, las Cajas de Compensación Familiar se conformaron como corporaciones de acuerdo con lo dispuesto en el Código Civil, con personería jurídica, cuya creación dependía de la voluntad de asociación de los empleadores.</w:t>
      </w:r>
    </w:p>
    <w:p w14:paraId="360E0915" w14:textId="77777777" w:rsidR="0024581D" w:rsidRPr="0024581D" w:rsidRDefault="0024581D" w:rsidP="0024581D">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p>
    <w:p w14:paraId="537F47B0" w14:textId="77777777" w:rsidR="0024581D" w:rsidRPr="0024581D" w:rsidRDefault="0024581D" w:rsidP="0024581D">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24581D">
        <w:rPr>
          <w:rFonts w:ascii="Verdana" w:eastAsia="Calibri" w:hAnsi="Verdana" w:cs="Arial"/>
          <w:color w:val="000000"/>
          <w:kern w:val="2"/>
          <w:sz w:val="20"/>
          <w:szCs w:val="20"/>
          <w:lang w:eastAsia="es-ES_tradnl"/>
          <w14:ligatures w14:val="standardContextual"/>
        </w:rPr>
        <w:t>Sin embargo, fue mediante la ley 21 de 1982, por la cual se modificó el régimen del subsidio familiar, que el legislador definió el subsidio familiar como una prestación social de obligatorio pago a través de las Cajas de Compensación Familiar, por parte de todos los empleadores del sector público o privado que tuvieran uno o más trabajadores de carácter permanente […].</w:t>
      </w:r>
    </w:p>
    <w:p w14:paraId="54EE1BB4" w14:textId="77777777" w:rsidR="0024581D" w:rsidRPr="0024581D" w:rsidRDefault="0024581D" w:rsidP="0024581D">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p>
    <w:p w14:paraId="4DA9B064" w14:textId="77777777" w:rsidR="0024581D" w:rsidRPr="0024581D" w:rsidRDefault="0024581D" w:rsidP="0024581D">
      <w:pPr>
        <w:spacing w:after="0" w:line="240" w:lineRule="auto"/>
        <w:ind w:left="709" w:right="709"/>
        <w:jc w:val="both"/>
        <w:rPr>
          <w:rFonts w:ascii="Verdana" w:eastAsia="Calibri" w:hAnsi="Verdana" w:cs="Arial"/>
          <w:color w:val="000000"/>
          <w:kern w:val="2"/>
          <w:sz w:val="20"/>
          <w:szCs w:val="20"/>
          <w:lang w:eastAsia="es-ES_tradnl"/>
          <w14:ligatures w14:val="standardContextual"/>
        </w:rPr>
      </w:pPr>
      <w:r w:rsidRPr="0024581D">
        <w:rPr>
          <w:rFonts w:ascii="Verdana" w:eastAsia="Calibri" w:hAnsi="Verdana" w:cs="Arial"/>
          <w:color w:val="000000"/>
          <w:kern w:val="2"/>
          <w:sz w:val="20"/>
          <w:szCs w:val="20"/>
          <w:lang w:eastAsia="es-ES_tradnl"/>
          <w14:ligatures w14:val="standardContextual"/>
        </w:rPr>
        <w:t>[…]</w:t>
      </w:r>
    </w:p>
    <w:p w14:paraId="01E0CAAB" w14:textId="77777777" w:rsidR="0024581D" w:rsidRPr="0024581D" w:rsidRDefault="0024581D" w:rsidP="0024581D">
      <w:pPr>
        <w:spacing w:after="0" w:line="240" w:lineRule="auto"/>
        <w:ind w:left="709" w:right="709"/>
        <w:jc w:val="both"/>
        <w:rPr>
          <w:rFonts w:ascii="Verdana" w:eastAsia="Calibri" w:hAnsi="Verdana" w:cs="Arial"/>
          <w:kern w:val="2"/>
          <w:sz w:val="20"/>
          <w:szCs w:val="20"/>
          <w:lang w:eastAsia="es-ES_tradnl"/>
          <w14:ligatures w14:val="standardContextual"/>
        </w:rPr>
      </w:pPr>
    </w:p>
    <w:p w14:paraId="27CBA989" w14:textId="77777777" w:rsidR="0024581D" w:rsidRPr="0024581D" w:rsidRDefault="0024581D" w:rsidP="0024581D">
      <w:pPr>
        <w:spacing w:after="0" w:line="240" w:lineRule="auto"/>
        <w:ind w:left="709" w:right="709"/>
        <w:jc w:val="both"/>
        <w:rPr>
          <w:rFonts w:ascii="Verdana" w:eastAsia="Calibri" w:hAnsi="Verdana" w:cs="Arial"/>
          <w:b/>
          <w:kern w:val="2"/>
          <w:sz w:val="20"/>
          <w:szCs w:val="20"/>
          <w:lang w:eastAsia="es-ES_tradnl"/>
          <w14:ligatures w14:val="standardContextual"/>
        </w:rPr>
      </w:pPr>
      <w:r w:rsidRPr="0024581D">
        <w:rPr>
          <w:rFonts w:ascii="Verdana" w:eastAsia="Calibri" w:hAnsi="Verdana" w:cs="Arial"/>
          <w:kern w:val="2"/>
          <w:sz w:val="20"/>
          <w:szCs w:val="20"/>
          <w:lang w:eastAsia="es-ES_tradnl"/>
          <w14:ligatures w14:val="standardContextual"/>
        </w:rPr>
        <w:t xml:space="preserve">En cuanto al ámbito funcional de las Cajas, es importante señalar que el artículo 41 de la ley 21, les asignó atribuciones relativas al </w:t>
      </w:r>
      <w:r w:rsidRPr="0024581D">
        <w:rPr>
          <w:rFonts w:ascii="Verdana" w:eastAsia="Calibri" w:hAnsi="Verdana" w:cs="Arial"/>
          <w:b/>
          <w:kern w:val="2"/>
          <w:sz w:val="20"/>
          <w:szCs w:val="20"/>
          <w:lang w:eastAsia="es-ES_tradnl"/>
          <w14:ligatures w14:val="standardContextual"/>
        </w:rPr>
        <w:t xml:space="preserve">recaudo, distribución y pago </w:t>
      </w:r>
      <w:r w:rsidRPr="0024581D">
        <w:rPr>
          <w:rFonts w:ascii="Verdana" w:eastAsia="Calibri" w:hAnsi="Verdana" w:cs="Arial"/>
          <w:kern w:val="2"/>
          <w:sz w:val="20"/>
          <w:szCs w:val="20"/>
          <w:lang w:eastAsia="es-ES_tradnl"/>
          <w14:ligatures w14:val="standardContextual"/>
        </w:rPr>
        <w:t xml:space="preserve">de los aportes destinados al </w:t>
      </w:r>
      <w:r w:rsidRPr="0024581D">
        <w:rPr>
          <w:rFonts w:ascii="Verdana" w:eastAsia="Calibri" w:hAnsi="Verdana" w:cs="Arial"/>
          <w:b/>
          <w:kern w:val="2"/>
          <w:sz w:val="20"/>
          <w:szCs w:val="20"/>
          <w:lang w:eastAsia="es-ES_tradnl"/>
          <w14:ligatures w14:val="standardContextual"/>
        </w:rPr>
        <w:t xml:space="preserve">subsidio familiar, </w:t>
      </w:r>
      <w:r w:rsidRPr="0024581D">
        <w:rPr>
          <w:rFonts w:ascii="Verdana" w:eastAsia="Calibri" w:hAnsi="Verdana" w:cs="Arial"/>
          <w:kern w:val="2"/>
          <w:sz w:val="20"/>
          <w:szCs w:val="20"/>
          <w:lang w:eastAsia="es-ES_tradnl"/>
          <w14:ligatures w14:val="standardContextual"/>
        </w:rPr>
        <w:t xml:space="preserve">Servicio Nacional de Aprendizaje (SENA), Escuela Superior de Administración Pública (ESAP), escuelas industriales </w:t>
      </w:r>
      <w:proofErr w:type="spellStart"/>
      <w:r w:rsidRPr="0024581D">
        <w:rPr>
          <w:rFonts w:ascii="Verdana" w:eastAsia="Calibri" w:hAnsi="Verdana" w:cs="Arial"/>
          <w:kern w:val="2"/>
          <w:sz w:val="20"/>
          <w:szCs w:val="20"/>
          <w:lang w:eastAsia="es-ES_tradnl"/>
          <w14:ligatures w14:val="standardContextual"/>
        </w:rPr>
        <w:t>etc</w:t>
      </w:r>
      <w:proofErr w:type="spellEnd"/>
      <w:r w:rsidRPr="0024581D">
        <w:rPr>
          <w:rFonts w:ascii="Verdana" w:eastAsia="Calibri" w:hAnsi="Verdana" w:cs="Arial"/>
          <w:kern w:val="2"/>
          <w:sz w:val="20"/>
          <w:szCs w:val="20"/>
          <w:lang w:eastAsia="es-ES_tradnl"/>
          <w14:ligatures w14:val="standardContextual"/>
        </w:rPr>
        <w:t xml:space="preserve">, lo que significa que desde aquel entonces y actualmente en los términos del artículo 3° de la ley 610 de 2000, estos entes realizan </w:t>
      </w:r>
      <w:r w:rsidRPr="0024581D">
        <w:rPr>
          <w:rFonts w:ascii="Verdana" w:eastAsia="Calibri" w:hAnsi="Verdana" w:cs="Arial"/>
          <w:b/>
          <w:i/>
          <w:kern w:val="2"/>
          <w:sz w:val="20"/>
          <w:szCs w:val="20"/>
          <w:u w:val="single"/>
          <w:lang w:eastAsia="es-ES_tradnl"/>
          <w14:ligatures w14:val="standardContextual"/>
        </w:rPr>
        <w:t>gestión fiscal</w:t>
      </w:r>
      <w:r w:rsidRPr="0024581D">
        <w:rPr>
          <w:rFonts w:ascii="Verdana" w:eastAsia="Calibri" w:hAnsi="Verdana" w:cs="Arial"/>
          <w:i/>
          <w:kern w:val="2"/>
          <w:sz w:val="20"/>
          <w:szCs w:val="20"/>
          <w:lang w:eastAsia="es-ES_tradnl"/>
          <w14:ligatures w14:val="standardContextual"/>
        </w:rPr>
        <w:t xml:space="preserve"> </w:t>
      </w:r>
      <w:r w:rsidRPr="0024581D">
        <w:rPr>
          <w:rFonts w:ascii="Verdana" w:eastAsia="Calibri" w:hAnsi="Verdana" w:cs="Arial"/>
          <w:kern w:val="2"/>
          <w:sz w:val="20"/>
          <w:szCs w:val="20"/>
          <w:lang w:eastAsia="es-ES_tradnl"/>
          <w14:ligatures w14:val="standardContextual"/>
        </w:rPr>
        <w:t xml:space="preserve">sobre los recursos del </w:t>
      </w:r>
      <w:r w:rsidRPr="0024581D">
        <w:rPr>
          <w:rFonts w:ascii="Verdana" w:eastAsia="Calibri" w:hAnsi="Verdana" w:cs="Arial"/>
          <w:b/>
          <w:kern w:val="2"/>
          <w:sz w:val="20"/>
          <w:szCs w:val="20"/>
          <w:lang w:eastAsia="es-ES_tradnl"/>
          <w14:ligatures w14:val="standardContextual"/>
        </w:rPr>
        <w:t>subsidio familiar</w:t>
      </w:r>
      <w:r w:rsidRPr="0024581D">
        <w:rPr>
          <w:rFonts w:ascii="Verdana" w:eastAsia="Calibri" w:hAnsi="Verdana" w:cs="Arial"/>
          <w:kern w:val="2"/>
          <w:sz w:val="20"/>
          <w:szCs w:val="20"/>
          <w:lang w:eastAsia="es-ES_tradnl"/>
          <w14:ligatures w14:val="standardContextual"/>
        </w:rPr>
        <w:t>.” [Negrillas propias, cursiva y subraya fuera de texto]</w:t>
      </w:r>
    </w:p>
    <w:p w14:paraId="4B33B514" w14:textId="77777777" w:rsidR="0024581D" w:rsidRPr="0024581D" w:rsidRDefault="0024581D" w:rsidP="0024581D">
      <w:pPr>
        <w:spacing w:after="0" w:line="276" w:lineRule="auto"/>
        <w:jc w:val="both"/>
        <w:rPr>
          <w:rFonts w:ascii="Verdana" w:eastAsia="Calibri" w:hAnsi="Verdana" w:cs="Arial"/>
          <w:color w:val="000000"/>
          <w:kern w:val="2"/>
          <w:lang w:eastAsia="es-ES_tradnl"/>
          <w14:ligatures w14:val="standardContextual"/>
        </w:rPr>
      </w:pPr>
    </w:p>
    <w:p w14:paraId="19B6959D" w14:textId="77777777" w:rsidR="0024581D" w:rsidRPr="0024581D" w:rsidRDefault="0024581D" w:rsidP="0024581D">
      <w:pPr>
        <w:spacing w:after="0" w:line="276" w:lineRule="auto"/>
        <w:ind w:firstLine="708"/>
        <w:jc w:val="both"/>
        <w:rPr>
          <w:rFonts w:ascii="Verdana" w:eastAsia="Calibri" w:hAnsi="Verdana" w:cs="Arial"/>
          <w:kern w:val="2"/>
          <w:lang w:eastAsia="es-ES_tradnl"/>
          <w14:ligatures w14:val="standardContextual"/>
        </w:rPr>
      </w:pPr>
      <w:r w:rsidRPr="0024581D">
        <w:rPr>
          <w:rFonts w:ascii="Verdana" w:eastAsia="Calibri" w:hAnsi="Verdana" w:cs="Arial"/>
          <w:color w:val="000000"/>
          <w:kern w:val="2"/>
          <w:lang w:eastAsia="es-ES_tradnl"/>
          <w14:ligatures w14:val="standardContextual"/>
        </w:rPr>
        <w:t xml:space="preserve">Ahora bien, el Consejo de Estado sobre la naturaleza de los aportes que reciben dichas Cajas, en su calidad de administradoras del subsidio familiar, enfatizó que la legislación y la jurisprudencia le han otorgado la </w:t>
      </w:r>
      <w:r w:rsidRPr="0024581D">
        <w:rPr>
          <w:rFonts w:ascii="Verdana" w:eastAsia="Calibri" w:hAnsi="Verdana" w:cs="Arial"/>
          <w:kern w:val="2"/>
          <w:lang w:eastAsia="es-ES_tradnl"/>
          <w14:ligatures w14:val="standardContextual"/>
        </w:rPr>
        <w:t>calidad de recursos parafiscales</w:t>
      </w:r>
      <w:r w:rsidRPr="0024581D">
        <w:rPr>
          <w:rFonts w:ascii="Verdana" w:eastAsia="Calibri" w:hAnsi="Verdana" w:cs="Arial"/>
          <w:kern w:val="2"/>
          <w:vertAlign w:val="superscript"/>
          <w:lang w:eastAsia="es-ES_tradnl"/>
          <w14:ligatures w14:val="standardContextual"/>
        </w:rPr>
        <w:footnoteReference w:id="4"/>
      </w:r>
      <w:r w:rsidRPr="0024581D">
        <w:rPr>
          <w:rFonts w:ascii="Verdana" w:eastAsia="Calibri" w:hAnsi="Verdana" w:cs="Arial"/>
          <w:kern w:val="2"/>
          <w:lang w:eastAsia="es-ES_tradnl"/>
          <w14:ligatures w14:val="standardContextual"/>
        </w:rPr>
        <w:t>. Apreciación, que se confirma con lo dispuesto en el artículo 2.2.7.5.3.2 del Decreto 1072 de 2015 –Decreto Único Reglamentario del Sector Trabajo– que señaló:</w:t>
      </w:r>
    </w:p>
    <w:p w14:paraId="0C96573E" w14:textId="77777777" w:rsidR="0024581D" w:rsidRPr="0024581D" w:rsidRDefault="0024581D" w:rsidP="0024581D">
      <w:pPr>
        <w:spacing w:after="0" w:line="276" w:lineRule="auto"/>
        <w:jc w:val="both"/>
        <w:rPr>
          <w:rFonts w:ascii="Verdana" w:eastAsia="Calibri" w:hAnsi="Verdana" w:cs="Arial"/>
          <w:kern w:val="2"/>
          <w:lang w:eastAsia="es-ES_tradnl"/>
          <w14:ligatures w14:val="standardContextual"/>
        </w:rPr>
      </w:pPr>
    </w:p>
    <w:p w14:paraId="7E9DA9A1" w14:textId="77777777" w:rsidR="0024581D" w:rsidRPr="0024581D" w:rsidRDefault="0024581D" w:rsidP="0024581D">
      <w:pPr>
        <w:spacing w:after="0" w:line="240" w:lineRule="auto"/>
        <w:ind w:left="709" w:right="709"/>
        <w:jc w:val="both"/>
        <w:rPr>
          <w:rFonts w:ascii="Verdana" w:eastAsia="Calibri" w:hAnsi="Verdana" w:cs="Arial"/>
          <w:kern w:val="2"/>
          <w:sz w:val="20"/>
          <w:szCs w:val="20"/>
          <w:lang w:eastAsia="es-ES_tradnl"/>
          <w14:ligatures w14:val="standardContextual"/>
        </w:rPr>
      </w:pPr>
      <w:r w:rsidRPr="0024581D">
        <w:rPr>
          <w:rFonts w:ascii="Verdana" w:eastAsia="Calibri" w:hAnsi="Verdana" w:cs="Arial"/>
          <w:kern w:val="2"/>
          <w:sz w:val="20"/>
          <w:szCs w:val="20"/>
          <w:lang w:eastAsia="es-ES_tradnl"/>
          <w14:ligatures w14:val="standardContextual"/>
        </w:rPr>
        <w:t xml:space="preserve">“Artículo 2.2.7.5.3.2. Afectación de los recursos administrados por las cajas de compensación familiar. Los recursos que administran las Cajas de </w:t>
      </w:r>
      <w:r w:rsidRPr="0024581D">
        <w:rPr>
          <w:rFonts w:ascii="Verdana" w:eastAsia="Calibri" w:hAnsi="Verdana" w:cs="Arial"/>
          <w:kern w:val="2"/>
          <w:sz w:val="20"/>
          <w:szCs w:val="20"/>
          <w:lang w:eastAsia="es-ES_tradnl"/>
          <w14:ligatures w14:val="standardContextual"/>
        </w:rPr>
        <w:lastRenderedPageBreak/>
        <w:t>Compensación Familiar están destinados a la atención de las prestaciones y servicios de la seguridad social y demás finalidades que prevea la ley y no podrán comprometerse para fines diferentes.</w:t>
      </w:r>
    </w:p>
    <w:p w14:paraId="018189F7" w14:textId="77777777" w:rsidR="0024581D" w:rsidRPr="0024581D" w:rsidRDefault="0024581D" w:rsidP="0024581D">
      <w:pPr>
        <w:spacing w:after="0" w:line="240" w:lineRule="auto"/>
        <w:ind w:left="709" w:right="709"/>
        <w:jc w:val="both"/>
        <w:rPr>
          <w:rFonts w:ascii="Verdana" w:eastAsia="Calibri" w:hAnsi="Verdana" w:cs="Arial"/>
          <w:kern w:val="2"/>
          <w:sz w:val="20"/>
          <w:szCs w:val="20"/>
          <w:lang w:eastAsia="es-ES_tradnl"/>
          <w14:ligatures w14:val="standardContextual"/>
        </w:rPr>
      </w:pPr>
    </w:p>
    <w:p w14:paraId="61968199" w14:textId="77777777" w:rsidR="0024581D" w:rsidRPr="0024581D" w:rsidRDefault="0024581D" w:rsidP="0024581D">
      <w:pPr>
        <w:spacing w:after="0" w:line="240" w:lineRule="auto"/>
        <w:ind w:left="709" w:right="709"/>
        <w:jc w:val="both"/>
        <w:rPr>
          <w:rFonts w:ascii="Verdana" w:eastAsia="Calibri" w:hAnsi="Verdana" w:cs="Arial"/>
          <w:kern w:val="2"/>
          <w:sz w:val="20"/>
          <w:szCs w:val="20"/>
          <w:lang w:eastAsia="es-ES_tradnl"/>
          <w14:ligatures w14:val="standardContextual"/>
        </w:rPr>
      </w:pPr>
      <w:r w:rsidRPr="0024581D">
        <w:rPr>
          <w:rFonts w:ascii="Verdana" w:eastAsia="Calibri" w:hAnsi="Verdana" w:cs="Arial"/>
          <w:i/>
          <w:kern w:val="2"/>
          <w:sz w:val="20"/>
          <w:szCs w:val="20"/>
          <w:lang w:eastAsia="es-ES_tradnl"/>
          <w14:ligatures w14:val="standardContextual"/>
        </w:rPr>
        <w:t xml:space="preserve">Los que provengan de los aportes obligatorios pagados por los empleadores y por las cooperativas de trabajo asociado tienen la condición de </w:t>
      </w:r>
      <w:r w:rsidRPr="0024581D">
        <w:rPr>
          <w:rFonts w:ascii="Verdana" w:eastAsia="Calibri" w:hAnsi="Verdana" w:cs="Arial"/>
          <w:i/>
          <w:kern w:val="2"/>
          <w:sz w:val="20"/>
          <w:szCs w:val="20"/>
          <w:u w:val="single"/>
          <w:lang w:eastAsia="es-ES_tradnl"/>
          <w14:ligatures w14:val="standardContextual"/>
        </w:rPr>
        <w:t>recursos parafiscales</w:t>
      </w:r>
      <w:r w:rsidRPr="0024581D">
        <w:rPr>
          <w:rFonts w:ascii="Verdana" w:eastAsia="Calibri" w:hAnsi="Verdana" w:cs="Arial"/>
          <w:i/>
          <w:kern w:val="2"/>
          <w:sz w:val="20"/>
          <w:szCs w:val="20"/>
          <w:lang w:eastAsia="es-ES_tradnl"/>
          <w14:ligatures w14:val="standardContextual"/>
        </w:rPr>
        <w:t xml:space="preserve"> y como tales, su administración se rige por las disposiciones legales correspondientes.</w:t>
      </w:r>
      <w:r w:rsidRPr="0024581D">
        <w:rPr>
          <w:rFonts w:ascii="Verdana" w:eastAsia="Calibri" w:hAnsi="Verdana" w:cs="Arial"/>
          <w:b/>
          <w:i/>
          <w:kern w:val="2"/>
          <w:sz w:val="20"/>
          <w:szCs w:val="20"/>
          <w:lang w:eastAsia="es-ES_tradnl"/>
          <w14:ligatures w14:val="standardContextual"/>
        </w:rPr>
        <w:t xml:space="preserve"> </w:t>
      </w:r>
      <w:r w:rsidRPr="0024581D">
        <w:rPr>
          <w:rFonts w:ascii="Verdana" w:eastAsia="Calibri" w:hAnsi="Verdana" w:cs="Arial"/>
          <w:kern w:val="2"/>
          <w:sz w:val="20"/>
          <w:szCs w:val="20"/>
          <w:lang w:eastAsia="es-ES_tradnl"/>
          <w14:ligatures w14:val="standardContextual"/>
        </w:rPr>
        <w:t>[…]” [Énfasis fuera de texto]</w:t>
      </w:r>
    </w:p>
    <w:p w14:paraId="65F6C59D" w14:textId="77777777" w:rsidR="0024581D" w:rsidRPr="0024581D" w:rsidRDefault="0024581D" w:rsidP="0024581D">
      <w:pPr>
        <w:spacing w:after="0" w:line="276" w:lineRule="auto"/>
        <w:jc w:val="both"/>
        <w:rPr>
          <w:rFonts w:ascii="Verdana" w:eastAsia="Calibri" w:hAnsi="Verdana" w:cs="Arial"/>
          <w:kern w:val="2"/>
          <w:lang w:eastAsia="es-ES_tradnl"/>
          <w14:ligatures w14:val="standardContextual"/>
        </w:rPr>
      </w:pPr>
    </w:p>
    <w:p w14:paraId="47080714" w14:textId="77777777" w:rsidR="0024581D" w:rsidRPr="0024581D" w:rsidRDefault="0024581D" w:rsidP="0024581D">
      <w:pPr>
        <w:spacing w:after="120" w:line="276" w:lineRule="auto"/>
        <w:jc w:val="both"/>
        <w:rPr>
          <w:rFonts w:ascii="Verdana" w:eastAsia="Calibri" w:hAnsi="Verdana" w:cs="Arial"/>
          <w:kern w:val="2"/>
          <w:lang w:eastAsia="es-ES_tradnl"/>
          <w14:ligatures w14:val="standardContextual"/>
        </w:rPr>
      </w:pPr>
      <w:r w:rsidRPr="0024581D">
        <w:rPr>
          <w:rFonts w:ascii="Verdana" w:eastAsia="Calibri" w:hAnsi="Verdana" w:cs="Arial"/>
          <w:kern w:val="2"/>
          <w:lang w:eastAsia="es-ES_tradnl"/>
          <w14:ligatures w14:val="standardContextual"/>
        </w:rPr>
        <w:tab/>
        <w:t>En ese orden, para el Consejo de Estado, los recursos de carácter parafiscal que administran las Cajas de Compensación Familiar son de naturaleza pública, en tanto constituyen una fuente de financiación que el Estado consagra en beneficio de un sector, aunque desde la perspectiva presupuestal no integran el Presupuesto General de la Nación</w:t>
      </w:r>
      <w:r w:rsidRPr="0024581D">
        <w:rPr>
          <w:rFonts w:ascii="Verdana" w:eastAsia="Times New Roman" w:hAnsi="Verdana" w:cs="Arial"/>
          <w:i/>
          <w:vertAlign w:val="superscript"/>
          <w:lang w:val="es-ES" w:eastAsia="es-ES"/>
        </w:rPr>
        <w:footnoteReference w:id="5"/>
      </w:r>
      <w:r w:rsidRPr="0024581D">
        <w:rPr>
          <w:rFonts w:ascii="Verdana" w:eastAsia="Times New Roman" w:hAnsi="Verdana" w:cs="Arial"/>
          <w:i/>
          <w:lang w:val="es-ES" w:eastAsia="es-ES"/>
        </w:rPr>
        <w:t>.</w:t>
      </w:r>
    </w:p>
    <w:p w14:paraId="1A046B73" w14:textId="77777777" w:rsidR="0024581D" w:rsidRPr="0024581D" w:rsidRDefault="0024581D" w:rsidP="0024581D">
      <w:pPr>
        <w:spacing w:before="120" w:after="0" w:line="276" w:lineRule="auto"/>
        <w:jc w:val="both"/>
        <w:rPr>
          <w:rFonts w:ascii="Verdana" w:eastAsia="Calibri" w:hAnsi="Verdana" w:cs="Arial"/>
          <w:kern w:val="2"/>
          <w:lang w:eastAsia="es-ES_tradnl"/>
          <w14:ligatures w14:val="standardContextual"/>
        </w:rPr>
      </w:pPr>
      <w:r w:rsidRPr="0024581D">
        <w:rPr>
          <w:rFonts w:ascii="Verdana" w:eastAsia="Calibri" w:hAnsi="Verdana" w:cs="Arial"/>
          <w:kern w:val="2"/>
          <w:lang w:eastAsia="es-ES_tradnl"/>
          <w14:ligatures w14:val="standardContextual"/>
        </w:rPr>
        <w:tab/>
        <w:t>Teniendo en cuenta tanto la función principal que desempeñan las Cajas de Compensación Familiar como la naturaleza pública de los recursos parafiscales que administran, a continuación, se analizará si dichas entidades están o no en la obligación de publicitar su actividad contractual en la plataforma SECOP.</w:t>
      </w:r>
    </w:p>
    <w:p w14:paraId="369AE4CF" w14:textId="77777777" w:rsidR="0024581D" w:rsidRPr="0024581D" w:rsidRDefault="0024581D" w:rsidP="0024581D">
      <w:pPr>
        <w:spacing w:after="0" w:line="276" w:lineRule="auto"/>
        <w:jc w:val="both"/>
        <w:rPr>
          <w:rFonts w:ascii="Verdana" w:eastAsia="Times New Roman" w:hAnsi="Verdana" w:cs="Arial"/>
          <w:lang w:eastAsia="es-ES_tradnl"/>
          <w14:ligatures w14:val="standardContextual"/>
        </w:rPr>
      </w:pPr>
    </w:p>
    <w:p w14:paraId="6F489E5B" w14:textId="77777777" w:rsidR="0024581D" w:rsidRPr="0024581D" w:rsidRDefault="0024581D" w:rsidP="0024581D">
      <w:pPr>
        <w:spacing w:after="120" w:line="276" w:lineRule="auto"/>
        <w:jc w:val="both"/>
        <w:rPr>
          <w:rFonts w:ascii="Verdana" w:eastAsia="Calibri" w:hAnsi="Verdana" w:cs="Arial"/>
          <w:color w:val="000000"/>
          <w:lang w:val="es-ES_tradnl" w:eastAsia="es-ES_tradnl"/>
        </w:rPr>
      </w:pPr>
      <w:proofErr w:type="spellStart"/>
      <w:r w:rsidRPr="0024581D">
        <w:rPr>
          <w:rFonts w:ascii="Verdana" w:eastAsia="Times New Roman" w:hAnsi="Verdana" w:cs="Arial"/>
          <w:lang w:eastAsia="es-ES_tradnl"/>
          <w14:ligatures w14:val="standardContextual"/>
        </w:rPr>
        <w:t>ii</w:t>
      </w:r>
      <w:proofErr w:type="spellEnd"/>
      <w:r w:rsidRPr="0024581D">
        <w:rPr>
          <w:rFonts w:ascii="Verdana" w:eastAsia="Times New Roman" w:hAnsi="Verdana" w:cs="Arial"/>
          <w:lang w:eastAsia="es-ES_tradnl"/>
          <w14:ligatures w14:val="standardContextual"/>
        </w:rPr>
        <w:t>.</w:t>
      </w:r>
      <w:r w:rsidRPr="0024581D">
        <w:rPr>
          <w:rFonts w:ascii="Verdana" w:eastAsia="Times New Roman" w:hAnsi="Verdana" w:cs="Arial"/>
          <w:lang w:val="es-ES_tradnl" w:eastAsia="es-ES_tradnl"/>
          <w14:ligatures w14:val="standardContextual"/>
        </w:rPr>
        <w:t xml:space="preserve"> El principio de publicidad impone a las autoridades administrativas el deber de dar a conocer sus actos, contratos y decisiones, para que se divulguen y eventualmente se controlen. Así mismo, </w:t>
      </w:r>
      <w:r w:rsidRPr="0024581D">
        <w:rPr>
          <w:rFonts w:ascii="Verdana" w:eastAsia="Calibri" w:hAnsi="Verdana" w:cs="Arial"/>
          <w:color w:val="000000"/>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24581D">
        <w:rPr>
          <w:rFonts w:ascii="Verdana" w:eastAsia="Calibri" w:hAnsi="Verdana" w:cs="Times New Roman"/>
          <w:vertAlign w:val="superscript"/>
          <w:lang w:val="es-ES_tradnl" w:eastAsia="es-ES_tradnl"/>
        </w:rPr>
        <w:footnoteReference w:id="6"/>
      </w:r>
      <w:r w:rsidRPr="0024581D">
        <w:rPr>
          <w:rFonts w:ascii="Verdana" w:eastAsia="Calibri" w:hAnsi="Verdana" w:cs="Arial"/>
          <w:color w:val="000000"/>
          <w:lang w:val="es-ES_tradnl" w:eastAsia="es-ES_tradnl"/>
        </w:rPr>
        <w:t>.</w:t>
      </w:r>
    </w:p>
    <w:p w14:paraId="4FEFFBFF" w14:textId="77777777" w:rsidR="0024581D" w:rsidRPr="0024581D" w:rsidRDefault="0024581D" w:rsidP="0024581D">
      <w:pPr>
        <w:spacing w:after="120" w:line="276" w:lineRule="auto"/>
        <w:ind w:firstLine="708"/>
        <w:jc w:val="both"/>
        <w:rPr>
          <w:rFonts w:ascii="Verdana" w:eastAsia="Times New Roman" w:hAnsi="Verdana" w:cs="Arial"/>
          <w:lang w:val="es-ES" w:eastAsia="es-ES"/>
          <w14:ligatures w14:val="standardContextual"/>
        </w:rPr>
      </w:pPr>
      <w:r w:rsidRPr="0024581D">
        <w:rPr>
          <w:rFonts w:ascii="Verdana" w:eastAsia="Times New Roman" w:hAnsi="Verdana" w:cs="Arial"/>
          <w:lang w:val="es-ES" w:eastAsia="es-ES"/>
          <w14:ligatures w14:val="standardContextual"/>
        </w:rPr>
        <w:t xml:space="preserve">En armonía con lo anterior, la Constitución Política de 1991 consagra en varios artículos la publicidad como un principio rector del Estado colombiano. Entre los más destacados, puede mencionarse el 209, que establece la publicidad como uno de los principios que fundamentan el ejercicio de la función administrativa, y el 74, que consagra la garantía de acceso a los documentos públicos que no estén sometidos a reserva, la cual es excepcional y solo procede si existe causal constitucional o legal expresa. </w:t>
      </w:r>
    </w:p>
    <w:p w14:paraId="44A3580D" w14:textId="77777777" w:rsidR="0024581D" w:rsidRPr="0024581D" w:rsidRDefault="0024581D" w:rsidP="0024581D">
      <w:pPr>
        <w:spacing w:after="120" w:line="276" w:lineRule="auto"/>
        <w:ind w:firstLine="708"/>
        <w:jc w:val="both"/>
        <w:rPr>
          <w:rFonts w:ascii="Verdana" w:eastAsia="Times New Roman" w:hAnsi="Verdana" w:cs="Arial"/>
          <w:lang w:val="es-ES_tradnl" w:eastAsia="es-ES_tradnl"/>
          <w14:ligatures w14:val="standardContextual"/>
        </w:rPr>
      </w:pPr>
      <w:r w:rsidRPr="0024581D">
        <w:rPr>
          <w:rFonts w:ascii="Verdana" w:eastAsia="Times New Roman" w:hAnsi="Verdana" w:cs="Arial"/>
          <w:lang w:val="es-ES_tradnl" w:eastAsia="es-ES_tradnl"/>
          <w14:ligatures w14:val="standardContextual"/>
        </w:rPr>
        <w:t xml:space="preserve">En materia de contratación estatal, el literal c) del artículo 3 de la Ley 1150 de 2007 establece el Sistema Electrónico para la Contratación Pública – </w:t>
      </w:r>
      <w:r w:rsidRPr="0024581D">
        <w:rPr>
          <w:rFonts w:ascii="Verdana" w:eastAsia="Times New Roman" w:hAnsi="Verdana" w:cs="Arial"/>
          <w:lang w:val="es-ES_tradnl" w:eastAsia="es-ES_tradnl"/>
          <w14:ligatures w14:val="standardContextual"/>
        </w:rPr>
        <w:lastRenderedPageBreak/>
        <w:t>SECOP – como un mecanismo que “contará con la información oficial de la contratación realizada con dineros públicos, para lo cual establecerá los patrones a que haya lugar y se encargará de su difusión a través de canales electrónicos”</w:t>
      </w:r>
      <w:r w:rsidRPr="0024581D">
        <w:rPr>
          <w:rFonts w:ascii="Verdana" w:eastAsia="Times New Roman" w:hAnsi="Verdana" w:cs="Arial"/>
          <w:vertAlign w:val="superscript"/>
          <w:lang w:val="es-ES_tradnl" w:eastAsia="es-ES_tradnl"/>
          <w14:ligatures w14:val="standardContextual"/>
        </w:rPr>
        <w:footnoteReference w:id="7"/>
      </w:r>
      <w:r w:rsidRPr="0024581D">
        <w:rPr>
          <w:rFonts w:ascii="Verdana" w:eastAsia="Times New Roman" w:hAnsi="Verdana" w:cs="Arial"/>
          <w:lang w:val="es-ES_tradnl" w:eastAsia="es-ES_tradnl"/>
          <w14:ligatures w14:val="standardContextual"/>
        </w:rPr>
        <w:t>.</w:t>
      </w:r>
    </w:p>
    <w:p w14:paraId="4975D293" w14:textId="77777777" w:rsidR="0024581D" w:rsidRPr="0024581D" w:rsidRDefault="0024581D" w:rsidP="0024581D">
      <w:pPr>
        <w:spacing w:after="120" w:line="276" w:lineRule="auto"/>
        <w:ind w:firstLine="709"/>
        <w:jc w:val="both"/>
        <w:rPr>
          <w:rFonts w:ascii="Verdana" w:eastAsia="Calibri" w:hAnsi="Verdana" w:cs="Arial"/>
          <w:color w:val="000000"/>
          <w:lang w:val="es-ES_tradnl" w:eastAsia="es-ES_tradnl"/>
        </w:rPr>
      </w:pPr>
      <w:r w:rsidRPr="0024581D">
        <w:rPr>
          <w:rFonts w:ascii="Verdana" w:eastAsia="Calibri" w:hAnsi="Verdana" w:cs="Arial"/>
          <w:shd w:val="clear" w:color="auto" w:fill="FFFFFF"/>
          <w:lang w:eastAsia="es-ES_tradnl"/>
        </w:rPr>
        <w:t>De igual forma, la Ley 1712 de 2014 –Ley Estatutaria de Transparencia y del Derecho de Acceso a la Información Pública– identifica como principios que orientan el derecho de acceso a la información pública, el</w:t>
      </w:r>
      <w:r w:rsidRPr="0024581D">
        <w:rPr>
          <w:rFonts w:ascii="Verdana" w:eastAsia="Calibri" w:hAnsi="Verdana" w:cs="Arial"/>
          <w:color w:val="000000"/>
          <w:lang w:val="es-ES_tradnl" w:eastAsia="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24581D">
        <w:rPr>
          <w:rFonts w:ascii="Verdana" w:eastAsia="Aptos" w:hAnsi="Verdana" w:cs="Times New Roman"/>
          <w:color w:val="000000"/>
          <w:vertAlign w:val="superscript"/>
          <w:lang w:val="es-ES_tradnl" w:eastAsia="es-ES_tradnl"/>
        </w:rPr>
        <w:footnoteReference w:id="8"/>
      </w:r>
      <w:r w:rsidRPr="0024581D">
        <w:rPr>
          <w:rFonts w:ascii="Verdana" w:eastAsia="Calibri" w:hAnsi="Verdana" w:cs="Arial"/>
          <w:color w:val="000000"/>
          <w:lang w:val="es-ES_tradnl" w:eastAsia="es-ES_tradnl"/>
        </w:rPr>
        <w:t xml:space="preserve">. Por su parte, el principio de transparencia en la información alude al deber de los sujetos de proporcionar y facilitar el acceso a la misma en los términos más amplios posibles, y a través de los medios y procedimientos legales. </w:t>
      </w:r>
    </w:p>
    <w:p w14:paraId="481C21CD" w14:textId="77777777" w:rsidR="0024581D" w:rsidRPr="0024581D" w:rsidRDefault="0024581D" w:rsidP="0024581D">
      <w:pPr>
        <w:spacing w:after="0" w:line="276" w:lineRule="auto"/>
        <w:ind w:firstLine="709"/>
        <w:jc w:val="both"/>
        <w:rPr>
          <w:rFonts w:ascii="Verdana" w:eastAsia="Times New Roman" w:hAnsi="Verdana" w:cs="Arial"/>
          <w:lang w:val="es-ES_tradnl" w:eastAsia="es-ES_tradnl"/>
          <w14:ligatures w14:val="standardContextual"/>
        </w:rPr>
      </w:pPr>
      <w:r w:rsidRPr="0024581D">
        <w:rPr>
          <w:rFonts w:ascii="Verdana" w:eastAsia="Times New Roman" w:hAnsi="Verdana" w:cs="Arial"/>
          <w:lang w:val="es-ES_tradnl" w:eastAsia="es-ES_tradnl"/>
          <w14:ligatures w14:val="standardContextual"/>
        </w:rPr>
        <w:t>En este sentido, el artículo la Ley 1712 de 2014 determina el ámbito de aplicación, esto es, quienes son los sujetos obligados a publicar su información, lo cual resulta fundamental para establecer si una persona, como las Cajas de Compensación Familiar, debe o no divulgar su información. A tenor literal señala:</w:t>
      </w:r>
    </w:p>
    <w:p w14:paraId="7A498B7D" w14:textId="77777777" w:rsidR="0024581D" w:rsidRPr="0024581D" w:rsidRDefault="0024581D" w:rsidP="0024581D">
      <w:pPr>
        <w:spacing w:after="0" w:line="276" w:lineRule="auto"/>
        <w:ind w:firstLine="709"/>
        <w:jc w:val="both"/>
        <w:rPr>
          <w:rFonts w:ascii="Verdana" w:eastAsia="Times New Roman" w:hAnsi="Verdana" w:cs="Arial"/>
          <w:lang w:val="es-ES_tradnl" w:eastAsia="es-ES_tradnl"/>
          <w14:ligatures w14:val="standardContextual"/>
        </w:rPr>
      </w:pPr>
    </w:p>
    <w:p w14:paraId="72792854"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bookmarkStart w:id="0" w:name="5"/>
      <w:r w:rsidRPr="0024581D">
        <w:rPr>
          <w:rFonts w:ascii="Verdana" w:eastAsia="Times New Roman" w:hAnsi="Verdana" w:cs="Arial"/>
          <w:bCs/>
          <w:sz w:val="20"/>
          <w:szCs w:val="20"/>
          <w:lang w:eastAsia="es-ES_tradnl"/>
          <w14:ligatures w14:val="standardContextual"/>
        </w:rPr>
        <w:t>“</w:t>
      </w:r>
      <w:r w:rsidRPr="0024581D">
        <w:rPr>
          <w:rFonts w:ascii="Verdana" w:eastAsia="Times New Roman" w:hAnsi="Verdana" w:cs="Arial"/>
          <w:sz w:val="20"/>
          <w:szCs w:val="20"/>
          <w:lang w:eastAsia="es-ES_tradnl"/>
          <w14:ligatures w14:val="standardContextual"/>
        </w:rPr>
        <w:t>ARTÍCULO 5o. Ámbito de Aplicación</w:t>
      </w:r>
      <w:r w:rsidRPr="0024581D">
        <w:rPr>
          <w:rFonts w:ascii="Verdana" w:eastAsia="Times New Roman" w:hAnsi="Verdana" w:cs="Arial"/>
          <w:b/>
          <w:sz w:val="20"/>
          <w:szCs w:val="20"/>
          <w:lang w:eastAsia="es-ES_tradnl"/>
          <w14:ligatures w14:val="standardContextual"/>
        </w:rPr>
        <w:t>.</w:t>
      </w:r>
      <w:bookmarkEnd w:id="0"/>
      <w:r w:rsidRPr="0024581D">
        <w:rPr>
          <w:rFonts w:ascii="Verdana" w:eastAsia="Times New Roman" w:hAnsi="Verdana" w:cs="Arial"/>
          <w:sz w:val="20"/>
          <w:szCs w:val="20"/>
          <w:lang w:eastAsia="es-ES_tradnl"/>
          <w14:ligatures w14:val="standardContextual"/>
        </w:rPr>
        <w:t> &lt;Artículo corregido por el artículo </w:t>
      </w:r>
      <w:hyperlink r:id="rId11" w:anchor="1" w:history="1">
        <w:r w:rsidRPr="0024581D">
          <w:rPr>
            <w:rFonts w:ascii="Verdana" w:eastAsia="Times New Roman" w:hAnsi="Verdana" w:cs="Arial"/>
            <w:color w:val="0000FF"/>
            <w:sz w:val="20"/>
            <w:szCs w:val="20"/>
            <w:u w:val="single"/>
            <w:lang w:eastAsia="es-ES_tradnl"/>
            <w14:ligatures w14:val="standardContextual"/>
          </w:rPr>
          <w:t>1</w:t>
        </w:r>
      </w:hyperlink>
      <w:r w:rsidRPr="0024581D">
        <w:rPr>
          <w:rFonts w:ascii="Verdana" w:eastAsia="Times New Roman" w:hAnsi="Verdana" w:cs="Arial"/>
          <w:sz w:val="20"/>
          <w:szCs w:val="20"/>
          <w:lang w:eastAsia="es-ES_tradnl"/>
          <w14:ligatures w14:val="standardContextual"/>
        </w:rPr>
        <w:t> del Decreto 1494 de 2015. El nuevo texto es el siguiente:&gt; Las disposiciones de esta ley serán aplicables a las siguientes personas en calidad de sujetos obligados:</w:t>
      </w:r>
    </w:p>
    <w:p w14:paraId="2D0D0A57"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p>
    <w:p w14:paraId="68526DC4"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r w:rsidRPr="0024581D">
        <w:rPr>
          <w:rFonts w:ascii="Verdana" w:eastAsia="Times New Roman" w:hAnsi="Verdana" w:cs="Arial"/>
          <w:sz w:val="20"/>
          <w:szCs w:val="20"/>
          <w:lang w:eastAsia="es-ES_tradnl"/>
          <w14:ligatures w14:val="standardContextual"/>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D49E0F4"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p>
    <w:p w14:paraId="5647C7EE"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r w:rsidRPr="0024581D">
        <w:rPr>
          <w:rFonts w:ascii="Verdana" w:eastAsia="Times New Roman" w:hAnsi="Verdana" w:cs="Arial"/>
          <w:sz w:val="20"/>
          <w:szCs w:val="20"/>
          <w:lang w:eastAsia="es-ES_tradnl"/>
          <w14:ligatures w14:val="standardContextual"/>
        </w:rPr>
        <w:t>b) Los órganos, organismos y entidades estatales independientes o autónomos y de control.</w:t>
      </w:r>
    </w:p>
    <w:p w14:paraId="1ACDE6C1"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p>
    <w:p w14:paraId="681A462A"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r w:rsidRPr="0024581D">
        <w:rPr>
          <w:rFonts w:ascii="Verdana" w:eastAsia="Times New Roman" w:hAnsi="Verdana" w:cs="Arial"/>
          <w:sz w:val="20"/>
          <w:szCs w:val="20"/>
          <w:lang w:eastAsia="es-ES_tradnl"/>
          <w14:ligatures w14:val="standardContextual"/>
        </w:rPr>
        <w:lastRenderedPageBreak/>
        <w:t>c) Las personas naturales y jurídicas, públicas o privadas, que presten función pública, que presten servicios públicos respecto de la información directamente relacionada con la prestación del servicio público.</w:t>
      </w:r>
    </w:p>
    <w:p w14:paraId="5302A11C"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p>
    <w:p w14:paraId="26EB7F92"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r w:rsidRPr="0024581D">
        <w:rPr>
          <w:rFonts w:ascii="Verdana" w:eastAsia="Times New Roman" w:hAnsi="Verdana" w:cs="Arial"/>
          <w:sz w:val="20"/>
          <w:szCs w:val="20"/>
          <w:lang w:eastAsia="es-ES_tradnl"/>
          <w14:ligatures w14:val="standardContextual"/>
        </w:rPr>
        <w:t xml:space="preserve">d) Cualquier persona natural, jurídica o dependencia de persona jurídica que desempeñe función pública o de </w:t>
      </w:r>
      <w:proofErr w:type="gramStart"/>
      <w:r w:rsidRPr="0024581D">
        <w:rPr>
          <w:rFonts w:ascii="Verdana" w:eastAsia="Times New Roman" w:hAnsi="Verdana" w:cs="Arial"/>
          <w:sz w:val="20"/>
          <w:szCs w:val="20"/>
          <w:lang w:eastAsia="es-ES_tradnl"/>
          <w14:ligatures w14:val="standardContextual"/>
        </w:rPr>
        <w:t>autoridad pública</w:t>
      </w:r>
      <w:proofErr w:type="gramEnd"/>
      <w:r w:rsidRPr="0024581D">
        <w:rPr>
          <w:rFonts w:ascii="Verdana" w:eastAsia="Times New Roman" w:hAnsi="Verdana" w:cs="Arial"/>
          <w:sz w:val="20"/>
          <w:szCs w:val="20"/>
          <w:lang w:eastAsia="es-ES_tradnl"/>
          <w14:ligatures w14:val="standardContextual"/>
        </w:rPr>
        <w:t>, respecto de la información directamente relacionada con el desempeño de su función.</w:t>
      </w:r>
    </w:p>
    <w:p w14:paraId="3389DA0F"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p>
    <w:p w14:paraId="4A7F3901"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r w:rsidRPr="0024581D">
        <w:rPr>
          <w:rFonts w:ascii="Verdana" w:eastAsia="Times New Roman" w:hAnsi="Verdana" w:cs="Arial"/>
          <w:sz w:val="20"/>
          <w:szCs w:val="20"/>
          <w:lang w:eastAsia="es-ES_tradnl"/>
          <w14:ligatures w14:val="standardContextual"/>
        </w:rPr>
        <w:t>e) Las empresas públicas creadas por ley, las empresas del Estado y sociedades en que este tenga participación.</w:t>
      </w:r>
    </w:p>
    <w:p w14:paraId="0DBAC71D"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p>
    <w:p w14:paraId="51755EA7"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r w:rsidRPr="0024581D">
        <w:rPr>
          <w:rFonts w:ascii="Verdana" w:eastAsia="Times New Roman" w:hAnsi="Verdana" w:cs="Arial"/>
          <w:sz w:val="20"/>
          <w:szCs w:val="20"/>
          <w:lang w:eastAsia="es-ES_tradnl"/>
          <w14:ligatures w14:val="standardContextual"/>
        </w:rPr>
        <w:t>f) Los partidos o movimientos políticos y los grupos significativos de ciudadanos.</w:t>
      </w:r>
    </w:p>
    <w:p w14:paraId="1EBD1293" w14:textId="77777777" w:rsidR="0024581D" w:rsidRPr="0024581D" w:rsidRDefault="0024581D" w:rsidP="0024581D">
      <w:pPr>
        <w:spacing w:after="0" w:line="240" w:lineRule="auto"/>
        <w:ind w:left="709" w:right="709"/>
        <w:jc w:val="both"/>
        <w:rPr>
          <w:rFonts w:ascii="Verdana" w:eastAsia="Times New Roman" w:hAnsi="Verdana" w:cs="Arial"/>
          <w:i/>
          <w:iCs/>
          <w:sz w:val="20"/>
          <w:szCs w:val="20"/>
          <w:lang w:eastAsia="es-ES_tradnl"/>
          <w14:ligatures w14:val="standardContextual"/>
        </w:rPr>
      </w:pPr>
    </w:p>
    <w:p w14:paraId="567E4613" w14:textId="77777777" w:rsidR="0024581D" w:rsidRPr="0024581D" w:rsidRDefault="0024581D" w:rsidP="0024581D">
      <w:pPr>
        <w:spacing w:after="0" w:line="240" w:lineRule="auto"/>
        <w:ind w:left="709" w:right="709"/>
        <w:jc w:val="both"/>
        <w:rPr>
          <w:rFonts w:ascii="Verdana" w:eastAsia="Times New Roman" w:hAnsi="Verdana" w:cs="Arial"/>
          <w:i/>
          <w:sz w:val="20"/>
          <w:szCs w:val="20"/>
          <w:lang w:eastAsia="es-ES_tradnl"/>
          <w14:ligatures w14:val="standardContextual"/>
        </w:rPr>
      </w:pPr>
      <w:r w:rsidRPr="0024581D">
        <w:rPr>
          <w:rFonts w:ascii="Verdana" w:eastAsia="Times New Roman" w:hAnsi="Verdana" w:cs="Arial"/>
          <w:i/>
          <w:sz w:val="20"/>
          <w:szCs w:val="20"/>
          <w:lang w:eastAsia="es-ES_tradnl"/>
          <w14:ligatures w14:val="standardContextual"/>
        </w:rPr>
        <w:t xml:space="preserve">g) </w:t>
      </w:r>
      <w:r w:rsidRPr="0024581D">
        <w:rPr>
          <w:rFonts w:ascii="Verdana" w:eastAsia="Times New Roman" w:hAnsi="Verdana" w:cs="Arial"/>
          <w:i/>
          <w:sz w:val="20"/>
          <w:szCs w:val="20"/>
          <w:u w:val="single"/>
          <w:lang w:eastAsia="es-ES_tradnl"/>
          <w14:ligatures w14:val="standardContextual"/>
        </w:rPr>
        <w:t>Las entidades que administren instituciones parafiscales, fondos o recursos de naturaleza u origen público.</w:t>
      </w:r>
    </w:p>
    <w:p w14:paraId="45533B57" w14:textId="77777777" w:rsidR="0024581D" w:rsidRPr="0024581D" w:rsidRDefault="0024581D" w:rsidP="0024581D">
      <w:pPr>
        <w:spacing w:after="0" w:line="240" w:lineRule="auto"/>
        <w:ind w:left="709" w:right="709"/>
        <w:jc w:val="both"/>
        <w:rPr>
          <w:rFonts w:ascii="Verdana" w:eastAsia="Times New Roman" w:hAnsi="Verdana" w:cs="Arial"/>
          <w:i/>
          <w:iCs/>
          <w:sz w:val="20"/>
          <w:szCs w:val="20"/>
          <w:lang w:eastAsia="es-ES_tradnl"/>
          <w14:ligatures w14:val="standardContextual"/>
        </w:rPr>
      </w:pPr>
    </w:p>
    <w:p w14:paraId="25185CC9"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r w:rsidRPr="0024581D">
        <w:rPr>
          <w:rFonts w:ascii="Verdana" w:eastAsia="Times New Roman" w:hAnsi="Verdana" w:cs="Arial"/>
          <w:sz w:val="20"/>
          <w:szCs w:val="20"/>
          <w:lang w:eastAsia="es-ES_tradnl"/>
          <w14:ligatures w14:val="standardContextua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32AC5F3D"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p>
    <w:p w14:paraId="19CE874C"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ES_tradnl"/>
          <w14:ligatures w14:val="standardContextual"/>
        </w:rPr>
      </w:pPr>
      <w:r w:rsidRPr="0024581D">
        <w:rPr>
          <w:rFonts w:ascii="Verdana" w:eastAsia="Times New Roman" w:hAnsi="Verdana" w:cs="Arial"/>
          <w:sz w:val="20"/>
          <w:szCs w:val="20"/>
          <w:lang w:eastAsia="es-ES_tradnl"/>
          <w14:ligatures w14:val="standardContextual"/>
        </w:rPr>
        <w:t>PARÁGRAFO 1o</w:t>
      </w:r>
      <w:r w:rsidRPr="0024581D">
        <w:rPr>
          <w:rFonts w:ascii="Verdana" w:eastAsia="Times New Roman" w:hAnsi="Verdana" w:cs="Arial"/>
          <w:b/>
          <w:sz w:val="20"/>
          <w:szCs w:val="20"/>
          <w:lang w:eastAsia="es-ES_tradnl"/>
          <w14:ligatures w14:val="standardContextual"/>
        </w:rPr>
        <w:t>.</w:t>
      </w:r>
      <w:r w:rsidRPr="0024581D">
        <w:rPr>
          <w:rFonts w:ascii="Verdana" w:eastAsia="Times New Roman" w:hAnsi="Verdana" w:cs="Arial"/>
          <w:sz w:val="20"/>
          <w:szCs w:val="20"/>
          <w:lang w:eastAsia="es-ES_tradnl"/>
          <w14:ligatures w14:val="standardContextual"/>
        </w:rPr>
        <w:t> No serán sujetos obligados aquellas personas naturales o jurídicas de carácter privado que sean usuarios de información pública.</w:t>
      </w:r>
    </w:p>
    <w:p w14:paraId="232923D0" w14:textId="77777777" w:rsidR="0024581D" w:rsidRPr="0024581D" w:rsidRDefault="0024581D" w:rsidP="0024581D">
      <w:pPr>
        <w:spacing w:after="0" w:line="276" w:lineRule="auto"/>
        <w:ind w:firstLine="709"/>
        <w:jc w:val="both"/>
        <w:rPr>
          <w:rFonts w:ascii="Verdana" w:eastAsia="Calibri" w:hAnsi="Verdana" w:cs="Arial"/>
          <w:color w:val="000000"/>
          <w:lang w:eastAsia="es-ES_tradnl"/>
        </w:rPr>
      </w:pPr>
    </w:p>
    <w:p w14:paraId="7C4F94B0" w14:textId="77777777" w:rsidR="0024581D" w:rsidRPr="0024581D" w:rsidRDefault="0024581D" w:rsidP="0024581D">
      <w:pPr>
        <w:spacing w:after="120" w:line="276" w:lineRule="auto"/>
        <w:ind w:firstLine="709"/>
        <w:jc w:val="both"/>
        <w:rPr>
          <w:rFonts w:ascii="Verdana" w:eastAsia="Times New Roman" w:hAnsi="Verdana" w:cs="Arial"/>
          <w:color w:val="000000"/>
          <w:lang w:val="es-ES_tradnl" w:eastAsia="es-ES_tradnl"/>
        </w:rPr>
      </w:pPr>
      <w:r w:rsidRPr="0024581D">
        <w:rPr>
          <w:rFonts w:ascii="Verdana" w:eastAsia="Calibri" w:hAnsi="Verdana" w:cs="Arial"/>
          <w:color w:val="000000"/>
          <w:lang w:val="es-ES_tradnl" w:eastAsia="es-ES_tradnl"/>
        </w:rPr>
        <w:t>Conforme al artículo precedente, la citada Ley Estatutaria establece, en el literal e) del artículo 9, que los sujetos obligados deben publicar la información relativa a su contratación</w:t>
      </w:r>
      <w:r w:rsidRPr="0024581D">
        <w:rPr>
          <w:rFonts w:ascii="Verdana" w:eastAsia="Calibri" w:hAnsi="Verdana" w:cs="Arial"/>
          <w:color w:val="000000"/>
          <w:vertAlign w:val="superscript"/>
          <w:lang w:val="es-ES_tradnl" w:eastAsia="es-ES_tradnl"/>
        </w:rPr>
        <w:footnoteReference w:id="9"/>
      </w:r>
      <w:r w:rsidRPr="0024581D">
        <w:rPr>
          <w:rFonts w:ascii="Verdana" w:eastAsia="Calibri" w:hAnsi="Verdana" w:cs="Arial"/>
          <w:color w:val="000000"/>
          <w:lang w:val="es-ES_tradnl" w:eastAsia="es-ES_tradnl"/>
        </w:rPr>
        <w:t xml:space="preserve">. </w:t>
      </w:r>
      <w:r w:rsidRPr="0024581D">
        <w:rPr>
          <w:rFonts w:ascii="Verdana" w:eastAsia="Times New Roman" w:hAnsi="Verdana" w:cs="Arial"/>
          <w:color w:val="000000"/>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información que, además, debe estar en el SECOP. </w:t>
      </w:r>
    </w:p>
    <w:p w14:paraId="140811A3" w14:textId="77777777" w:rsidR="0024581D" w:rsidRPr="0024581D" w:rsidRDefault="0024581D" w:rsidP="0024581D">
      <w:pPr>
        <w:spacing w:after="0" w:line="276" w:lineRule="auto"/>
        <w:jc w:val="both"/>
        <w:rPr>
          <w:rFonts w:ascii="Verdana" w:eastAsia="Calibri" w:hAnsi="Verdana" w:cs="Arial"/>
          <w:shd w:val="clear" w:color="auto" w:fill="FFFFFF"/>
          <w:lang w:eastAsia="es-ES_tradnl"/>
        </w:rPr>
      </w:pPr>
      <w:r w:rsidRPr="0024581D">
        <w:rPr>
          <w:rFonts w:ascii="Verdana" w:eastAsia="Calibri" w:hAnsi="Verdana" w:cs="Arial"/>
          <w:shd w:val="clear" w:color="auto" w:fill="FFFFFF"/>
          <w:lang w:eastAsia="es-ES_tradnl"/>
        </w:rPr>
        <w:lastRenderedPageBreak/>
        <w:tab/>
      </w:r>
      <w:r w:rsidRPr="0024581D">
        <w:rPr>
          <w:rFonts w:ascii="Verdana" w:eastAsia="Calibri" w:hAnsi="Verdana" w:cs="Arial"/>
          <w:color w:val="000000"/>
          <w:lang w:val="es-ES_tradnl" w:eastAsia="es-ES_tradnl"/>
        </w:rPr>
        <w:t>Dicha obligación fue desarrollada por el Decreto Único Reglamentario 1082 de 2015</w:t>
      </w:r>
      <w:r w:rsidRPr="0024581D">
        <w:rPr>
          <w:rFonts w:ascii="Verdana" w:eastAsia="Aptos" w:hAnsi="Verdana" w:cs="Times New Roman"/>
          <w:color w:val="000000"/>
          <w:vertAlign w:val="superscript"/>
          <w:lang w:val="es-ES_tradnl" w:eastAsia="es-ES_tradnl"/>
        </w:rPr>
        <w:footnoteReference w:id="10"/>
      </w:r>
      <w:r w:rsidRPr="0024581D">
        <w:rPr>
          <w:rFonts w:ascii="Verdana" w:eastAsia="Calibri" w:hAnsi="Verdana" w:cs="Arial"/>
          <w:color w:val="000000"/>
          <w:lang w:val="es-ES_tradnl" w:eastAsia="es-ES_tradnl"/>
        </w:rPr>
        <w:t xml:space="preserve">, el cual dispuso que la publicación de la información contractual de los sujetos obligados que contratan con cargo a recursos públicos debe hacerse en el SECOP. </w:t>
      </w:r>
      <w:r w:rsidRPr="0024581D">
        <w:rPr>
          <w:rFonts w:ascii="Verdana" w:eastAsia="Calibri" w:hAnsi="Verdana" w:cs="Arial"/>
          <w:shd w:val="clear" w:color="auto" w:fill="FFFFFF"/>
          <w:lang w:eastAsia="es-ES_tradnl"/>
        </w:rPr>
        <w:t xml:space="preserve">En este mismo contexto, los sujetos obligados, conforme al artículo 2.2.1.1.1.7.1 del Decreto 1082 de 2015, tienen la obligación de publicar en el SECOP “[…] los Documentos del Proceso y los actos administrativos del Proceso de Contratación, dentro de los tres (3) días siguientes a su expedición […]”. </w:t>
      </w:r>
    </w:p>
    <w:p w14:paraId="14994AB2" w14:textId="77777777" w:rsidR="0024581D" w:rsidRPr="0024581D" w:rsidRDefault="0024581D" w:rsidP="0024581D">
      <w:pPr>
        <w:spacing w:after="0" w:line="276" w:lineRule="auto"/>
        <w:jc w:val="both"/>
        <w:rPr>
          <w:rFonts w:ascii="Verdana" w:eastAsia="Times New Roman" w:hAnsi="Verdana" w:cs="Arial"/>
          <w:lang w:val="es-ES_tradnl" w:eastAsia="es-ES_tradnl"/>
          <w14:ligatures w14:val="standardContextual"/>
        </w:rPr>
      </w:pPr>
    </w:p>
    <w:p w14:paraId="57D35625" w14:textId="77777777" w:rsidR="0024581D" w:rsidRPr="0024581D" w:rsidRDefault="0024581D" w:rsidP="0024581D">
      <w:pPr>
        <w:spacing w:after="120" w:line="276" w:lineRule="auto"/>
        <w:jc w:val="both"/>
        <w:rPr>
          <w:rFonts w:ascii="Verdana" w:eastAsia="Times New Roman" w:hAnsi="Verdana" w:cs="Arial"/>
          <w:lang w:val="es-ES_tradnl" w:eastAsia="es-ES_tradnl"/>
          <w14:ligatures w14:val="standardContextual"/>
        </w:rPr>
      </w:pPr>
      <w:proofErr w:type="spellStart"/>
      <w:r w:rsidRPr="0024581D">
        <w:rPr>
          <w:rFonts w:ascii="Verdana" w:eastAsia="Times New Roman" w:hAnsi="Verdana" w:cs="Arial"/>
          <w:lang w:val="es-ES_tradnl" w:eastAsia="es-ES_tradnl"/>
          <w14:ligatures w14:val="standardContextual"/>
        </w:rPr>
        <w:t>iii</w:t>
      </w:r>
      <w:proofErr w:type="spellEnd"/>
      <w:r w:rsidRPr="0024581D">
        <w:rPr>
          <w:rFonts w:ascii="Verdana" w:eastAsia="Times New Roman" w:hAnsi="Verdana" w:cs="Arial"/>
          <w:lang w:val="es-ES_tradnl" w:eastAsia="es-ES_tradnl"/>
          <w14:ligatures w14:val="standardContextual"/>
        </w:rPr>
        <w:t xml:space="preserve">) Teniendo en cuenta la naturaleza jurídica de las Cajas de Compensación Familiar y la identificación de los sujetos obligados a publicar la información contractual, resulta pertinente avanzar en el análisis del problema jurídico planteado, consistente en determinar si dichas entidades están obligadas a publicar </w:t>
      </w:r>
      <w:r w:rsidRPr="0024581D">
        <w:rPr>
          <w:rFonts w:ascii="Verdana" w:eastAsia="Century Gothic" w:hAnsi="Verdana" w:cs="Century Gothic"/>
          <w:lang w:eastAsia="es-ES_tradnl"/>
        </w:rPr>
        <w:t>su actividad contractual en el SECOP cuando ejecutan recursos del Sistema de Compensación Familiar u otros recursos con destinación pública.</w:t>
      </w:r>
    </w:p>
    <w:p w14:paraId="619CAE38" w14:textId="77777777" w:rsidR="0024581D" w:rsidRPr="0024581D" w:rsidRDefault="0024581D" w:rsidP="0024581D">
      <w:pPr>
        <w:spacing w:after="120" w:line="276" w:lineRule="auto"/>
        <w:ind w:firstLine="709"/>
        <w:jc w:val="both"/>
        <w:rPr>
          <w:rFonts w:ascii="Verdana" w:eastAsia="Times New Roman" w:hAnsi="Verdana" w:cs="Segoe UI"/>
          <w:lang w:eastAsia="es-ES_tradnl"/>
        </w:rPr>
      </w:pPr>
      <w:r w:rsidRPr="0024581D">
        <w:rPr>
          <w:rFonts w:ascii="Verdana" w:eastAsia="Times New Roman" w:hAnsi="Verdana" w:cs="Segoe UI"/>
          <w:lang w:eastAsia="es-ES_tradnl"/>
        </w:rPr>
        <w:t xml:space="preserve">De conformidad con lo previsto en el artículo 2.2.7.5.3.2 del Decreto 1072 de 2015, los recursos administrados por las Cajas de Compensación Familiar son de carácter parafiscal. Sobre estos, el Consejo de Estado ha señalado que poseen naturaleza pública, en tanto constituyen una fuente de financiación creada por el Estado en beneficio de un sector específico, aun cuando no integren el Presupuesto General de la Nación. Así mismo, el artículo 5 de la Ley 1712 de 2014 – Ley de Transparencia y Acceso a la Información Pública – establece que son sujetos obligados a las disposiciones de dicha Ley todo aquel que administre instituciones parafiscales, fondos o recursos de naturaleza u origen público. En virtud de esta disposición, las Cajas de Compensación Familiar, al administrar recursos parafiscales destinados al cumplimiento de fines sociales, encajan dentro de los sujetos obligados al régimen de transparencia. </w:t>
      </w:r>
    </w:p>
    <w:p w14:paraId="52D47FF2" w14:textId="77777777" w:rsidR="0024581D" w:rsidRPr="0024581D" w:rsidRDefault="0024581D" w:rsidP="0024581D">
      <w:pPr>
        <w:spacing w:after="120" w:line="276" w:lineRule="auto"/>
        <w:ind w:firstLine="709"/>
        <w:jc w:val="both"/>
        <w:rPr>
          <w:rFonts w:ascii="Verdana" w:eastAsia="Calibri" w:hAnsi="Verdana" w:cs="Segoe UI"/>
          <w:lang w:eastAsia="es-ES_tradnl"/>
        </w:rPr>
      </w:pPr>
      <w:r w:rsidRPr="0024581D">
        <w:rPr>
          <w:rFonts w:ascii="Verdana" w:eastAsia="Times New Roman" w:hAnsi="Verdana" w:cs="Segoe UI"/>
          <w:lang w:eastAsia="es-ES_tradnl"/>
        </w:rPr>
        <w:t>En consecuencia, dada la naturaleza pública de los recursos que administran y su calidad de sujetos obligados conforme a la Ley 1712 de 2014, se concluye que las Cajas de Compensación Familiar deben publicar la información relativa a su contratación cuando esta se realice con cargo a recursos parafiscales u otros fondos con destinación pública.</w:t>
      </w:r>
    </w:p>
    <w:p w14:paraId="3D3D4C71" w14:textId="77777777" w:rsidR="0024581D" w:rsidRPr="0024581D" w:rsidRDefault="0024581D" w:rsidP="0024581D">
      <w:pPr>
        <w:spacing w:after="0" w:line="276" w:lineRule="auto"/>
        <w:ind w:firstLine="708"/>
        <w:contextualSpacing/>
        <w:jc w:val="both"/>
        <w:rPr>
          <w:rFonts w:ascii="Verdana" w:eastAsia="Calibri" w:hAnsi="Verdana" w:cs="Arial"/>
          <w:lang w:eastAsia="es-ES_tradnl"/>
        </w:rPr>
      </w:pPr>
      <w:r w:rsidRPr="0024581D">
        <w:rPr>
          <w:rFonts w:ascii="Verdana" w:eastAsia="Calibri" w:hAnsi="Verdana" w:cs="Arial"/>
          <w:shd w:val="clear" w:color="auto" w:fill="FFFFFF"/>
          <w:lang w:eastAsia="es-ES_tradnl"/>
        </w:rPr>
        <w:lastRenderedPageBreak/>
        <w:t>Ahora bien</w:t>
      </w:r>
      <w:r w:rsidRPr="0024581D">
        <w:rPr>
          <w:rFonts w:ascii="Verdana" w:eastAsia="Calibri" w:hAnsi="Verdana" w:cs="Arial"/>
          <w:lang w:val="es-ES_tradnl" w:eastAsia="es-CO"/>
        </w:rPr>
        <w:t xml:space="preserve">, </w:t>
      </w:r>
      <w:r w:rsidRPr="0024581D">
        <w:rPr>
          <w:rFonts w:ascii="Verdana" w:eastAsia="Calibri" w:hAnsi="Verdana" w:cs="Arial"/>
          <w:lang w:eastAsia="es-ES_tradnl"/>
        </w:rPr>
        <w:t xml:space="preserve">el Decreto 103 de 2015, mediante el cual se reglamentó la Ley 1712 de 2014 – compilado </w:t>
      </w:r>
      <w:r w:rsidRPr="0024581D">
        <w:rPr>
          <w:rFonts w:ascii="Verdana" w:eastAsia="Calibri" w:hAnsi="Verdana" w:cs="Arial"/>
          <w:shd w:val="clear" w:color="auto" w:fill="FFFFFF"/>
          <w:lang w:eastAsia="es-ES_tradnl"/>
        </w:rPr>
        <w:t xml:space="preserve">en los artículos 2.1.1.1.1. al 2.1.1.6.1. del Decreto 1081 de 2015– desarrolló expresamente la obligación de publicidad contractual. En su artículo 7 </w:t>
      </w:r>
      <w:r w:rsidRPr="0024581D">
        <w:rPr>
          <w:rFonts w:ascii="Verdana" w:eastAsia="Calibri" w:hAnsi="Verdana" w:cs="Arial"/>
          <w:lang w:eastAsia="es-ES_tradnl"/>
        </w:rPr>
        <w:t>señala:</w:t>
      </w:r>
    </w:p>
    <w:p w14:paraId="73AA699C" w14:textId="77777777" w:rsidR="0024581D" w:rsidRPr="0024581D" w:rsidRDefault="0024581D" w:rsidP="0024581D">
      <w:pPr>
        <w:spacing w:after="0" w:line="276" w:lineRule="auto"/>
        <w:ind w:firstLine="784"/>
        <w:contextualSpacing/>
        <w:jc w:val="both"/>
        <w:rPr>
          <w:rFonts w:ascii="Verdana" w:eastAsia="Calibri" w:hAnsi="Verdana" w:cs="Arial"/>
          <w:lang w:eastAsia="es-ES_tradnl"/>
        </w:rPr>
      </w:pPr>
    </w:p>
    <w:p w14:paraId="6BA2685A"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CO"/>
        </w:rPr>
      </w:pPr>
      <w:r w:rsidRPr="0024581D">
        <w:rPr>
          <w:rFonts w:ascii="Verdana" w:eastAsia="Times New Roman" w:hAnsi="Verdana" w:cs="Arial"/>
          <w:sz w:val="20"/>
          <w:szCs w:val="20"/>
          <w:lang w:eastAsia="es-CO"/>
        </w:rPr>
        <w:t>“Artículo 7°.</w:t>
      </w:r>
      <w:r w:rsidRPr="0024581D">
        <w:rPr>
          <w:rFonts w:ascii="Verdana" w:eastAsia="Times New Roman" w:hAnsi="Verdana" w:cs="Arial"/>
          <w:i/>
          <w:sz w:val="20"/>
          <w:szCs w:val="20"/>
          <w:lang w:eastAsia="es-CO"/>
        </w:rPr>
        <w:t xml:space="preserve"> Publicación de la información contractual. </w:t>
      </w:r>
      <w:r w:rsidRPr="0024581D">
        <w:rPr>
          <w:rFonts w:ascii="Verdana" w:eastAsia="Times New Roman" w:hAnsi="Verdana" w:cs="Arial"/>
          <w:sz w:val="20"/>
          <w:szCs w:val="20"/>
          <w:lang w:eastAsia="es-CO"/>
        </w:rPr>
        <w:t xml:space="preserve">De conformidad con el literal (c) del artículo 3° de la Ley 1150 de 2007, el sistema de información del Estado en el cual los sujetos obligados que contratan </w:t>
      </w:r>
      <w:r w:rsidRPr="0024581D">
        <w:rPr>
          <w:rFonts w:ascii="Verdana" w:eastAsia="Times New Roman" w:hAnsi="Verdana" w:cs="Arial"/>
          <w:i/>
          <w:sz w:val="20"/>
          <w:szCs w:val="20"/>
          <w:lang w:eastAsia="es-CO"/>
        </w:rPr>
        <w:t xml:space="preserve">con cargo a </w:t>
      </w:r>
      <w:r w:rsidRPr="0024581D">
        <w:rPr>
          <w:rFonts w:ascii="Verdana" w:eastAsia="Times New Roman" w:hAnsi="Verdana" w:cs="Arial"/>
          <w:sz w:val="20"/>
          <w:szCs w:val="20"/>
          <w:lang w:eastAsia="es-CO"/>
        </w:rPr>
        <w:t>recursos públicos deben cumplir la obligación de publicar la información de su gestión contractual es el Sistema Electrónico para la Contratación Pública (</w:t>
      </w:r>
      <w:proofErr w:type="spellStart"/>
      <w:r w:rsidRPr="0024581D">
        <w:rPr>
          <w:rFonts w:ascii="Verdana" w:eastAsia="Times New Roman" w:hAnsi="Verdana" w:cs="Arial"/>
          <w:sz w:val="20"/>
          <w:szCs w:val="20"/>
          <w:lang w:eastAsia="es-CO"/>
        </w:rPr>
        <w:t>Secop</w:t>
      </w:r>
      <w:proofErr w:type="spellEnd"/>
      <w:r w:rsidRPr="0024581D">
        <w:rPr>
          <w:rFonts w:ascii="Verdana" w:eastAsia="Times New Roman" w:hAnsi="Verdana" w:cs="Arial"/>
          <w:sz w:val="20"/>
          <w:szCs w:val="20"/>
          <w:lang w:eastAsia="es-CO"/>
        </w:rPr>
        <w:t>). </w:t>
      </w:r>
    </w:p>
    <w:p w14:paraId="508A2713"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CO"/>
        </w:rPr>
      </w:pPr>
    </w:p>
    <w:p w14:paraId="5F09F0C6"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CO"/>
        </w:rPr>
      </w:pPr>
      <w:r w:rsidRPr="0024581D">
        <w:rPr>
          <w:rFonts w:ascii="Verdana" w:eastAsia="Times New Roman" w:hAnsi="Verdana" w:cs="Arial"/>
          <w:sz w:val="20"/>
          <w:szCs w:val="20"/>
          <w:lang w:eastAsia="es-CO"/>
        </w:rPr>
        <w:t xml:space="preserve">Los sujetos obligados que contratan </w:t>
      </w:r>
      <w:r w:rsidRPr="0024581D">
        <w:rPr>
          <w:rFonts w:ascii="Verdana" w:eastAsia="Times New Roman" w:hAnsi="Verdana" w:cs="Arial"/>
          <w:i/>
          <w:sz w:val="20"/>
          <w:szCs w:val="20"/>
          <w:lang w:eastAsia="es-CO"/>
        </w:rPr>
        <w:t>con cargo a recursos públicos</w:t>
      </w:r>
      <w:r w:rsidRPr="0024581D">
        <w:rPr>
          <w:rFonts w:ascii="Verdana" w:eastAsia="Times New Roman" w:hAnsi="Verdana" w:cs="Arial"/>
          <w:sz w:val="20"/>
          <w:szCs w:val="20"/>
          <w:lang w:eastAsia="es-CO"/>
        </w:rPr>
        <w:t xml:space="preserve"> deben publicar la información de su gestión contractual en el plazo previsto en el artículo 19 del Decreto 1510 de 2013, o el que lo modifique, sustituya o adicione. </w:t>
      </w:r>
    </w:p>
    <w:p w14:paraId="1B66B2D9"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CO"/>
        </w:rPr>
      </w:pPr>
    </w:p>
    <w:p w14:paraId="4DE7FD48" w14:textId="77777777" w:rsidR="0024581D" w:rsidRPr="0024581D" w:rsidRDefault="0024581D" w:rsidP="0024581D">
      <w:pPr>
        <w:spacing w:after="0" w:line="240" w:lineRule="auto"/>
        <w:ind w:left="709" w:right="709"/>
        <w:jc w:val="both"/>
        <w:rPr>
          <w:rFonts w:ascii="Verdana" w:eastAsia="Times New Roman" w:hAnsi="Verdana" w:cs="Arial"/>
          <w:sz w:val="20"/>
          <w:szCs w:val="20"/>
          <w:lang w:eastAsia="es-CO"/>
        </w:rPr>
      </w:pPr>
      <w:r w:rsidRPr="0024581D">
        <w:rPr>
          <w:rFonts w:ascii="Verdana" w:eastAsia="Times New Roman" w:hAnsi="Verdana" w:cs="Arial"/>
          <w:sz w:val="20"/>
          <w:szCs w:val="20"/>
          <w:lang w:eastAsia="es-CO"/>
        </w:rPr>
        <w:t xml:space="preserve">Los sujetos obligados que contratan con recursos públicos y recursos </w:t>
      </w:r>
      <w:proofErr w:type="gramStart"/>
      <w:r w:rsidRPr="0024581D">
        <w:rPr>
          <w:rFonts w:ascii="Verdana" w:eastAsia="Times New Roman" w:hAnsi="Verdana" w:cs="Arial"/>
          <w:sz w:val="20"/>
          <w:szCs w:val="20"/>
          <w:lang w:eastAsia="es-CO"/>
        </w:rPr>
        <w:t>privados,</w:t>
      </w:r>
      <w:proofErr w:type="gramEnd"/>
      <w:r w:rsidRPr="0024581D">
        <w:rPr>
          <w:rFonts w:ascii="Verdana" w:eastAsia="Times New Roman" w:hAnsi="Verdana" w:cs="Arial"/>
          <w:sz w:val="20"/>
          <w:szCs w:val="20"/>
          <w:lang w:eastAsia="es-CO"/>
        </w:rPr>
        <w:t xml:space="preserve"> deben publicar la información de su gestión contractual </w:t>
      </w:r>
      <w:r w:rsidRPr="0024581D">
        <w:rPr>
          <w:rFonts w:ascii="Verdana" w:eastAsia="Times New Roman" w:hAnsi="Verdana" w:cs="Arial"/>
          <w:i/>
          <w:sz w:val="20"/>
          <w:szCs w:val="20"/>
          <w:lang w:eastAsia="es-CO"/>
        </w:rPr>
        <w:t>con cargo a recursos</w:t>
      </w:r>
      <w:r w:rsidRPr="0024581D">
        <w:rPr>
          <w:rFonts w:ascii="Verdana" w:eastAsia="Times New Roman" w:hAnsi="Verdana" w:cs="Arial"/>
          <w:sz w:val="20"/>
          <w:szCs w:val="20"/>
          <w:lang w:eastAsia="es-CO"/>
        </w:rPr>
        <w:t xml:space="preserve"> públicos en el Sistema Electrónico para la Contratación Pública (</w:t>
      </w:r>
      <w:proofErr w:type="spellStart"/>
      <w:r w:rsidRPr="0024581D">
        <w:rPr>
          <w:rFonts w:ascii="Verdana" w:eastAsia="Times New Roman" w:hAnsi="Verdana" w:cs="Arial"/>
          <w:sz w:val="20"/>
          <w:szCs w:val="20"/>
          <w:lang w:eastAsia="es-CO"/>
        </w:rPr>
        <w:t>Secop</w:t>
      </w:r>
      <w:proofErr w:type="spellEnd"/>
      <w:r w:rsidRPr="0024581D">
        <w:rPr>
          <w:rFonts w:ascii="Verdana" w:eastAsia="Times New Roman" w:hAnsi="Verdana" w:cs="Arial"/>
          <w:sz w:val="20"/>
          <w:szCs w:val="20"/>
          <w:lang w:eastAsia="es-CO"/>
        </w:rPr>
        <w:t>)”. [Énfasis fuera del texto original]</w:t>
      </w:r>
    </w:p>
    <w:p w14:paraId="57EC93D0" w14:textId="77777777" w:rsidR="0024581D" w:rsidRPr="0024581D" w:rsidRDefault="0024581D" w:rsidP="0024581D">
      <w:pPr>
        <w:spacing w:after="0" w:line="276" w:lineRule="auto"/>
        <w:ind w:left="709" w:right="709" w:firstLine="147"/>
        <w:jc w:val="both"/>
        <w:rPr>
          <w:rFonts w:ascii="Verdana" w:eastAsia="Times New Roman" w:hAnsi="Verdana" w:cs="Arial"/>
          <w:lang w:eastAsia="es-CO"/>
        </w:rPr>
      </w:pPr>
    </w:p>
    <w:p w14:paraId="29EF788B" w14:textId="77777777" w:rsidR="0024581D" w:rsidRPr="0024581D" w:rsidRDefault="0024581D" w:rsidP="0024581D">
      <w:pPr>
        <w:spacing w:after="120" w:line="276" w:lineRule="auto"/>
        <w:ind w:firstLine="709"/>
        <w:jc w:val="both"/>
        <w:rPr>
          <w:rFonts w:ascii="Verdana" w:eastAsia="Calibri" w:hAnsi="Verdana" w:cs="Arial"/>
          <w:lang w:val="es-ES_tradnl" w:eastAsia="es-ES_tradnl"/>
        </w:rPr>
      </w:pPr>
      <w:bookmarkStart w:id="1" w:name="_Hlk110869205"/>
      <w:r w:rsidRPr="0024581D">
        <w:rPr>
          <w:rFonts w:ascii="Verdana" w:eastAsia="Calibri" w:hAnsi="Verdana" w:cs="Arial"/>
          <w:lang w:val="es-ES_tradnl" w:eastAsia="es-ES_tradnl"/>
        </w:rPr>
        <w:t xml:space="preserve">De la norma antes citada es posible establecer que la obligación de publicar la actividad contractual ha estado encaminada a que se publique aquella información relacionada con la ejecución de dineros públicos. Así las cosas, en SECOP deben publicarse los documentos vinculados a la contratación con cargo a recursos públicos. </w:t>
      </w:r>
    </w:p>
    <w:p w14:paraId="62F02823" w14:textId="77777777" w:rsidR="0024581D" w:rsidRPr="0024581D" w:rsidRDefault="0024581D" w:rsidP="0024581D">
      <w:pPr>
        <w:tabs>
          <w:tab w:val="left" w:pos="709"/>
        </w:tabs>
        <w:spacing w:after="120" w:line="276" w:lineRule="auto"/>
        <w:ind w:firstLine="709"/>
        <w:jc w:val="both"/>
        <w:rPr>
          <w:rFonts w:ascii="Verdana" w:eastAsia="Times New Roman" w:hAnsi="Verdana" w:cs="Arial"/>
          <w:shd w:val="clear" w:color="auto" w:fill="FFFFFF"/>
          <w:lang w:eastAsia="es-ES_tradnl"/>
        </w:rPr>
      </w:pPr>
      <w:r w:rsidRPr="0024581D">
        <w:rPr>
          <w:rFonts w:ascii="Verdana" w:eastAsia="Times New Roman" w:hAnsi="Verdana" w:cs="Arial"/>
          <w:shd w:val="clear" w:color="auto" w:fill="FFFFFF"/>
          <w:lang w:eastAsia="es-ES_tradnl"/>
        </w:rPr>
        <w:t xml:space="preserve">La referida obligación incluye todos los documentos generados durante las fases precontractual, contractual y </w:t>
      </w:r>
      <w:proofErr w:type="spellStart"/>
      <w:r w:rsidRPr="0024581D">
        <w:rPr>
          <w:rFonts w:ascii="Verdana" w:eastAsia="Times New Roman" w:hAnsi="Verdana" w:cs="Arial"/>
          <w:shd w:val="clear" w:color="auto" w:fill="FFFFFF"/>
          <w:lang w:eastAsia="es-ES_tradnl"/>
        </w:rPr>
        <w:t>postcontractual</w:t>
      </w:r>
      <w:proofErr w:type="spellEnd"/>
      <w:r w:rsidRPr="0024581D">
        <w:rPr>
          <w:rFonts w:ascii="Verdana" w:eastAsia="Times New Roman" w:hAnsi="Verdana" w:cs="Arial"/>
          <w:shd w:val="clear" w:color="auto" w:fill="FFFFFF"/>
          <w:lang w:eastAsia="es-ES_tradnl"/>
        </w:rPr>
        <w:t>,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w:t>
      </w:r>
    </w:p>
    <w:p w14:paraId="3240B709" w14:textId="77777777" w:rsidR="0024581D" w:rsidRPr="0024581D" w:rsidRDefault="0024581D" w:rsidP="0024581D">
      <w:pPr>
        <w:spacing w:after="120" w:line="276" w:lineRule="auto"/>
        <w:ind w:firstLine="709"/>
        <w:jc w:val="both"/>
        <w:rPr>
          <w:rFonts w:ascii="Verdana" w:eastAsia="Times New Roman" w:hAnsi="Verdana" w:cs="Arial"/>
          <w:bCs/>
          <w:lang w:eastAsia="es-ES_tradnl"/>
        </w:rPr>
      </w:pPr>
      <w:r w:rsidRPr="0024581D">
        <w:rPr>
          <w:rFonts w:ascii="Verdana" w:eastAsia="Calibri" w:hAnsi="Verdana" w:cs="Arial"/>
          <w:shd w:val="clear" w:color="auto" w:fill="FFFFFF"/>
          <w:lang w:val="es-ES" w:eastAsia="es-ES_tradnl"/>
        </w:rPr>
        <w:t xml:space="preserve">Si bien esta Agencia ha señalado en ocasiones pasadas, como en los conceptos C-294 de 2025, C-778 de 2025, C-866 de 2025 y C-908 de 2025, que las Cajas de Compensación Familiar debían publicar su actividad contractual en SECOP II con fundamento en </w:t>
      </w:r>
      <w:r w:rsidRPr="0024581D">
        <w:rPr>
          <w:rFonts w:ascii="Verdana" w:eastAsia="Calibri" w:hAnsi="Verdana" w:cs="Arial"/>
          <w:lang w:val="es-ES" w:eastAsia="es-ES"/>
        </w:rPr>
        <w:t xml:space="preserve">el artículo 53 de la Ley 2195 de 2022, </w:t>
      </w:r>
      <w:r w:rsidRPr="0024581D">
        <w:rPr>
          <w:rFonts w:ascii="Verdana" w:eastAsia="Times New Roman" w:hAnsi="Verdana" w:cs="Arial"/>
          <w:bCs/>
          <w:lang w:eastAsia="es-ES_tradnl"/>
        </w:rPr>
        <w:t xml:space="preserve">mediante el cual se adiciona el artículo 13 de la Ley 1150 de 2007, resulta necesario precisar que la obligación de publicidad para las Cajas no se sustenta en que estas se clasifiquen como “entidades de régimen exceptuado”, sino en los mandatos normativos de transparencia y acceso a la información pública que cobija a </w:t>
      </w:r>
      <w:r w:rsidRPr="0024581D">
        <w:rPr>
          <w:rFonts w:ascii="Verdana" w:eastAsia="Times New Roman" w:hAnsi="Verdana" w:cs="Arial"/>
          <w:bCs/>
          <w:lang w:eastAsia="es-ES_tradnl"/>
        </w:rPr>
        <w:lastRenderedPageBreak/>
        <w:t xml:space="preserve">quienes administran recursos parafiscales o de naturaleza pública, tal y como se ha expuesto a lo largo de este concepto.  </w:t>
      </w:r>
    </w:p>
    <w:p w14:paraId="77BA9275" w14:textId="77777777" w:rsidR="0024581D" w:rsidRPr="0024581D" w:rsidRDefault="0024581D" w:rsidP="0024581D">
      <w:pPr>
        <w:spacing w:after="120" w:line="276" w:lineRule="auto"/>
        <w:ind w:firstLine="709"/>
        <w:jc w:val="both"/>
        <w:rPr>
          <w:rFonts w:ascii="Verdana" w:eastAsia="Calibri" w:hAnsi="Verdana" w:cs="Arial"/>
          <w:color w:val="000000"/>
          <w:lang w:eastAsia="es-ES_tradnl"/>
        </w:rPr>
      </w:pPr>
      <w:r w:rsidRPr="0024581D">
        <w:rPr>
          <w:rFonts w:ascii="Verdana" w:eastAsia="Times New Roman" w:hAnsi="Verdana" w:cs="Arial"/>
          <w:bCs/>
          <w:lang w:eastAsia="es-ES_tradnl"/>
        </w:rPr>
        <w:t xml:space="preserve">Al respecto, </w:t>
      </w:r>
      <w:r w:rsidRPr="0024581D">
        <w:rPr>
          <w:rFonts w:ascii="Verdana" w:eastAsia="Calibri" w:hAnsi="Verdana" w:cs="Arial"/>
          <w:color w:val="000000"/>
          <w:lang w:eastAsia="es-ES_tradnl"/>
        </w:rPr>
        <w:t xml:space="preserve">el artículo 53 de la Ley 2195 de 2022 estableció la obligación de las entidades estatales exceptuadas del Estatuto General de Contratación de la Administración Pública de publicar en el SECOP II su actividad contractual. Esta regla se dirige a las entidades públicas que, por disposición legal, tienen un régimen contractual especial distinto a la Ley 80 de 1993. </w:t>
      </w:r>
    </w:p>
    <w:p w14:paraId="4B918991" w14:textId="77777777" w:rsidR="0024581D" w:rsidRPr="0024581D" w:rsidRDefault="0024581D" w:rsidP="0024581D">
      <w:pPr>
        <w:spacing w:after="120" w:line="276" w:lineRule="auto"/>
        <w:ind w:firstLine="709"/>
        <w:jc w:val="both"/>
        <w:rPr>
          <w:rFonts w:ascii="Verdana" w:eastAsia="Calibri" w:hAnsi="Verdana" w:cs="Arial"/>
          <w:color w:val="000000"/>
          <w:lang w:eastAsia="es-ES_tradnl"/>
        </w:rPr>
      </w:pPr>
      <w:r w:rsidRPr="0024581D">
        <w:rPr>
          <w:rFonts w:ascii="Verdana" w:eastAsia="Calibri" w:hAnsi="Verdana" w:cs="Arial"/>
          <w:color w:val="000000"/>
          <w:lang w:eastAsia="es-ES_tradnl"/>
        </w:rPr>
        <w:t xml:space="preserve">Ahora bien, esta obligatoriedad de publicar en SECOP II establecida en el artículo 53 de la Ley 2195 de 2022, así como las circulares que expidió la Agencia Nacional de Contratación Pública – Colombia Compra Eficiente sobre la materia, no son aplicables a las Cajas de Compensación Familiar, pues no integran la administración pública ni tienen la condición de entidades descentralizadas territorial o por servicios. Es decir, al no tener la calidad de ser entidades públicas de régimen especial de contratación, no puede extenderles la aplicación del artículo 53 de la Ley 2195 de 2022 que modifica el artículo 13 de la Ley 1150 de 2007 sobre la obligatoriedad del SECOP II. </w:t>
      </w:r>
    </w:p>
    <w:p w14:paraId="29574B48" w14:textId="77777777" w:rsidR="0024581D" w:rsidRPr="0024581D" w:rsidRDefault="0024581D" w:rsidP="0024581D">
      <w:pPr>
        <w:spacing w:after="120" w:line="276" w:lineRule="auto"/>
        <w:ind w:firstLine="709"/>
        <w:jc w:val="both"/>
        <w:rPr>
          <w:rFonts w:ascii="Verdana" w:eastAsia="Calibri" w:hAnsi="Verdana" w:cs="Arial"/>
          <w:color w:val="000000"/>
          <w:lang w:eastAsia="es-ES_tradnl"/>
        </w:rPr>
      </w:pPr>
      <w:r w:rsidRPr="0024581D">
        <w:rPr>
          <w:rFonts w:ascii="Verdana" w:eastAsia="Calibri" w:hAnsi="Verdana" w:cs="Arial"/>
          <w:color w:val="000000"/>
          <w:lang w:eastAsia="es-ES_tradnl"/>
        </w:rPr>
        <w:t xml:space="preserve">En el caso de las Cajas de Compensación Familiar, la exigibilidad de publicidad en el SECOP no proviene del artículo 53 </w:t>
      </w:r>
      <w:r w:rsidRPr="0024581D">
        <w:rPr>
          <w:rFonts w:ascii="Verdana" w:eastAsia="Calibri" w:hAnsi="Verdana" w:cs="Arial"/>
          <w:i/>
          <w:iCs/>
          <w:color w:val="000000"/>
          <w:lang w:eastAsia="es-ES_tradnl"/>
        </w:rPr>
        <w:t>ibidem</w:t>
      </w:r>
      <w:r w:rsidRPr="0024581D">
        <w:rPr>
          <w:rFonts w:ascii="Verdana" w:eastAsia="Calibri" w:hAnsi="Verdana" w:cs="Arial"/>
          <w:color w:val="000000"/>
          <w:lang w:eastAsia="es-ES_tradnl"/>
        </w:rPr>
        <w:t xml:space="preserve">, sino de la Ley 1712 de 2014 y reglamentación, que imponen publicar en SECOP la información contractual cuando se contrata con cargo a recursos públicos. Así, </w:t>
      </w:r>
      <w:r w:rsidRPr="0024581D">
        <w:rPr>
          <w:rFonts w:ascii="Verdana" w:eastAsia="Arial" w:hAnsi="Verdana" w:cs="Arial"/>
          <w:color w:val="000000"/>
          <w:lang w:eastAsia="es-ES_tradnl"/>
        </w:rPr>
        <w:t xml:space="preserve">aunque las Cajas de Compensación Familiar administran recursos parafiscales, ello no las convierte en entidades públicas y, por ende, tampoco en estatales sometidas o exceptuadas del Estatuto General de Contratación de la Administración Pública. </w:t>
      </w:r>
      <w:r w:rsidRPr="0024581D">
        <w:rPr>
          <w:rFonts w:ascii="Verdana" w:eastAsia="Times New Roman" w:hAnsi="Verdana" w:cs="Segoe UI"/>
          <w:lang w:eastAsia="es-ES_tradnl"/>
        </w:rPr>
        <w:t>Pese a que en ciertos escenarios pueden colaborar con el Estado y participar en la prestación de funciones sociales, su naturaleza jurídica permanece en el ámbito del derecho privado, por lo cual continúan siendo particulares que gestionan recursos públicos de carácter parafiscal y no órganos de la administración pública.</w:t>
      </w:r>
    </w:p>
    <w:bookmarkEnd w:id="1"/>
    <w:p w14:paraId="14EFC733" w14:textId="77777777" w:rsidR="0024581D" w:rsidRPr="0024581D" w:rsidRDefault="0024581D" w:rsidP="0024581D">
      <w:pPr>
        <w:spacing w:after="0" w:line="276" w:lineRule="auto"/>
        <w:ind w:firstLine="709"/>
        <w:jc w:val="both"/>
        <w:rPr>
          <w:rFonts w:ascii="Verdana" w:eastAsia="Aptos" w:hAnsi="Verdana" w:cs="Arial"/>
          <w:shd w:val="clear" w:color="auto" w:fill="FFFFFF"/>
          <w:lang w:eastAsia="es-ES_tradnl"/>
        </w:rPr>
      </w:pPr>
      <w:r w:rsidRPr="0024581D">
        <w:rPr>
          <w:rFonts w:ascii="Verdana" w:eastAsia="Calibri" w:hAnsi="Verdana" w:cs="Arial"/>
          <w:color w:val="000000" w:themeColor="text1"/>
          <w:lang w:eastAsia="es-ES_tradnl"/>
        </w:rPr>
        <w:t>Finalmente, se advierte que la Agencia Nacional de Contratación Pública – Colombia Compra Eficiente, por vía consultiva, no puede definir un criterio universal y absoluto sobre la materia que se aborda, sino que brinda elementos hermenéuticos de carácter general para que los partícipes del sistema de compras y contratación pública adopten la decisión que corresponda, lo cual es acorde con el principio de juridicidad. Por lo que, e</w:t>
      </w:r>
      <w:r w:rsidRPr="0024581D">
        <w:rPr>
          <w:rFonts w:ascii="Verdana" w:eastAsia="Aptos" w:hAnsi="Verdana" w:cs="Arial"/>
          <w:shd w:val="clear" w:color="auto" w:fill="FFFFFF"/>
          <w:lang w:eastAsia="es-ES_tradnl"/>
        </w:rPr>
        <w:t xml:space="preserve">n todo caso, corresponde a cada persona – natural o jurídica - dar cumplimiento al deber de publicación en relación con su actividad contractual en cumplimiento de las normas que lo rijan. </w:t>
      </w:r>
    </w:p>
    <w:p w14:paraId="4DB9B24A" w14:textId="77777777" w:rsidR="0024581D" w:rsidRDefault="0024581D" w:rsidP="0024581D">
      <w:pPr>
        <w:widowControl w:val="0"/>
        <w:autoSpaceDE w:val="0"/>
        <w:autoSpaceDN w:val="0"/>
        <w:spacing w:after="0" w:line="276" w:lineRule="auto"/>
        <w:jc w:val="both"/>
        <w:rPr>
          <w:rFonts w:ascii="Verdana" w:eastAsia="Times New Roman" w:hAnsi="Verdana" w:cs="Arial"/>
          <w:lang w:eastAsia="es-ES_tradnl"/>
        </w:rPr>
      </w:pPr>
    </w:p>
    <w:p w14:paraId="67F994A7" w14:textId="63B9F8B5" w:rsidR="002159A7" w:rsidRPr="00AF47CC" w:rsidRDefault="00AF47CC" w:rsidP="00AF47CC">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lastRenderedPageBreak/>
        <w:t>4.</w:t>
      </w:r>
      <w:r w:rsidR="002159A7" w:rsidRPr="00AF47CC">
        <w:rPr>
          <w:rFonts w:ascii="Verdana" w:eastAsia="Century Gothic" w:hAnsi="Verdana" w:cs="Century Gothic"/>
          <w:b/>
          <w:bCs/>
        </w:rPr>
        <w:t>Referencias normativas, jurisprudenciales y otras fuentes:</w:t>
      </w:r>
    </w:p>
    <w:p w14:paraId="6CC8A75A" w14:textId="77777777" w:rsidR="0024581D" w:rsidRPr="0024581D" w:rsidRDefault="0024581D" w:rsidP="0024581D">
      <w:pPr>
        <w:widowControl w:val="0"/>
        <w:autoSpaceDE w:val="0"/>
        <w:autoSpaceDN w:val="0"/>
        <w:spacing w:after="0" w:line="276" w:lineRule="auto"/>
        <w:jc w:val="both"/>
        <w:rPr>
          <w:rFonts w:ascii="Verdana" w:eastAsia="Times New Roman" w:hAnsi="Verdana" w:cs="Arial"/>
          <w:lang w:eastAsia="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581D" w:rsidRPr="0024581D" w14:paraId="5F31B097" w14:textId="77777777">
        <w:trPr>
          <w:trHeight w:val="870"/>
        </w:trPr>
        <w:tc>
          <w:tcPr>
            <w:tcW w:w="8647" w:type="dxa"/>
          </w:tcPr>
          <w:p w14:paraId="68C91BFB" w14:textId="77777777" w:rsidR="0024581D" w:rsidRPr="0024581D" w:rsidRDefault="0024581D" w:rsidP="0024581D">
            <w:pPr>
              <w:numPr>
                <w:ilvl w:val="0"/>
                <w:numId w:val="17"/>
              </w:numPr>
              <w:spacing w:after="160" w:line="276" w:lineRule="auto"/>
              <w:ind w:left="357" w:hanging="357"/>
              <w:jc w:val="both"/>
              <w:rPr>
                <w:rFonts w:ascii="Verdana" w:hAnsi="Verdana" w:cs="Arial"/>
                <w:color w:val="000000" w:themeColor="text1"/>
                <w:lang w:val="es-ES"/>
              </w:rPr>
            </w:pPr>
            <w:r w:rsidRPr="0024581D">
              <w:rPr>
                <w:rFonts w:ascii="Verdana" w:hAnsi="Verdana" w:cs="Arial"/>
                <w:color w:val="000000" w:themeColor="text1"/>
                <w:lang w:val="es-ES"/>
              </w:rPr>
              <w:t xml:space="preserve">Ley 1150 de 2007, artículo 3 y 13. </w:t>
            </w:r>
          </w:p>
          <w:p w14:paraId="064368CB" w14:textId="77777777" w:rsidR="0024581D" w:rsidRPr="0024581D" w:rsidRDefault="0024581D" w:rsidP="0024581D">
            <w:pPr>
              <w:numPr>
                <w:ilvl w:val="0"/>
                <w:numId w:val="17"/>
              </w:numPr>
              <w:spacing w:after="160" w:line="276" w:lineRule="auto"/>
              <w:ind w:left="357" w:hanging="357"/>
              <w:jc w:val="both"/>
              <w:rPr>
                <w:rFonts w:ascii="Verdana" w:hAnsi="Verdana" w:cs="Arial"/>
                <w:color w:val="000000" w:themeColor="text1"/>
                <w:lang w:val="es-ES"/>
              </w:rPr>
            </w:pPr>
            <w:r w:rsidRPr="0024581D">
              <w:rPr>
                <w:rFonts w:ascii="Verdana" w:hAnsi="Verdana" w:cs="Arial"/>
                <w:color w:val="000000" w:themeColor="text1"/>
                <w:lang w:val="es-ES"/>
              </w:rPr>
              <w:t>Ley 1712 de 2014, artículos 5, 9 y 11.</w:t>
            </w:r>
          </w:p>
          <w:p w14:paraId="6317E9D8" w14:textId="77777777" w:rsidR="0024581D" w:rsidRPr="0024581D" w:rsidRDefault="0024581D" w:rsidP="0024581D">
            <w:pPr>
              <w:numPr>
                <w:ilvl w:val="0"/>
                <w:numId w:val="17"/>
              </w:numPr>
              <w:spacing w:after="160" w:line="276" w:lineRule="auto"/>
              <w:ind w:left="357" w:hanging="357"/>
              <w:jc w:val="both"/>
              <w:rPr>
                <w:rFonts w:ascii="Verdana" w:hAnsi="Verdana" w:cs="Arial"/>
                <w:color w:val="000000" w:themeColor="text1"/>
                <w:lang w:val="es-ES"/>
              </w:rPr>
            </w:pPr>
            <w:r w:rsidRPr="0024581D">
              <w:rPr>
                <w:rFonts w:ascii="Verdana" w:hAnsi="Verdana" w:cs="Arial"/>
                <w:color w:val="000000" w:themeColor="text1"/>
                <w:lang w:val="es-ES"/>
              </w:rPr>
              <w:t>Ley 2195 de 2022, artículo 53.</w:t>
            </w:r>
          </w:p>
          <w:p w14:paraId="2772E2DB" w14:textId="77777777" w:rsidR="0024581D" w:rsidRPr="0024581D" w:rsidRDefault="0024581D" w:rsidP="0024581D">
            <w:pPr>
              <w:numPr>
                <w:ilvl w:val="0"/>
                <w:numId w:val="17"/>
              </w:numPr>
              <w:spacing w:after="160" w:line="276" w:lineRule="auto"/>
              <w:ind w:left="357" w:hanging="357"/>
              <w:jc w:val="both"/>
              <w:rPr>
                <w:rFonts w:ascii="Verdana" w:hAnsi="Verdana" w:cs="Arial"/>
                <w:color w:val="000000" w:themeColor="text1"/>
                <w:lang w:val="es-ES"/>
              </w:rPr>
            </w:pPr>
            <w:r w:rsidRPr="0024581D">
              <w:rPr>
                <w:rFonts w:ascii="Verdana" w:hAnsi="Verdana" w:cs="Arial"/>
                <w:color w:val="000000" w:themeColor="text1"/>
                <w:lang w:val="es-ES"/>
              </w:rPr>
              <w:t>Decreto 1082 de 2015, artículo 2.1.1.2.1.7. y 2.2.1.1.1.7.1</w:t>
            </w:r>
          </w:p>
          <w:p w14:paraId="7D75A7CC" w14:textId="77777777" w:rsidR="0024581D" w:rsidRPr="0024581D" w:rsidRDefault="0024581D" w:rsidP="0024581D">
            <w:pPr>
              <w:numPr>
                <w:ilvl w:val="0"/>
                <w:numId w:val="17"/>
              </w:numPr>
              <w:spacing w:after="160" w:line="276" w:lineRule="auto"/>
              <w:ind w:left="357" w:hanging="357"/>
              <w:jc w:val="both"/>
              <w:rPr>
                <w:rFonts w:ascii="Verdana" w:hAnsi="Verdana" w:cs="Arial"/>
                <w:color w:val="000000"/>
                <w:lang w:val="es-ES"/>
              </w:rPr>
            </w:pPr>
            <w:r w:rsidRPr="0024581D">
              <w:rPr>
                <w:rFonts w:ascii="Verdana" w:hAnsi="Verdana" w:cs="Arial"/>
                <w:color w:val="000000"/>
                <w:lang w:val="es-ES"/>
              </w:rPr>
              <w:t>C</w:t>
            </w:r>
            <w:r w:rsidRPr="0024581D">
              <w:rPr>
                <w:rFonts w:ascii="Verdana" w:hAnsi="Verdana" w:cs="Arial"/>
                <w:color w:val="000000"/>
                <w:lang w:val="es-ES" w:eastAsia="es-ES"/>
              </w:rPr>
              <w:t>orte Constitucional. Sentencia C‒274 de 9 de mayo de 2013. M.P. Mar</w:t>
            </w:r>
            <w:r w:rsidRPr="0024581D">
              <w:rPr>
                <w:rFonts w:ascii="Verdana" w:hAnsi="Verdana" w:cs="Century Gothic"/>
                <w:color w:val="000000"/>
                <w:lang w:val="es-ES" w:eastAsia="es-ES"/>
              </w:rPr>
              <w:t>í</w:t>
            </w:r>
            <w:r w:rsidRPr="0024581D">
              <w:rPr>
                <w:rFonts w:ascii="Verdana" w:hAnsi="Verdana" w:cs="Arial"/>
                <w:color w:val="000000"/>
                <w:lang w:val="es-ES" w:eastAsia="es-ES"/>
              </w:rPr>
              <w:t>a Victoria Calle Correa.</w:t>
            </w:r>
          </w:p>
          <w:p w14:paraId="25B33ED0" w14:textId="77777777" w:rsidR="0024581D" w:rsidRPr="0024581D" w:rsidRDefault="0024581D" w:rsidP="0024581D">
            <w:pPr>
              <w:numPr>
                <w:ilvl w:val="0"/>
                <w:numId w:val="17"/>
              </w:numPr>
              <w:spacing w:after="160" w:line="276" w:lineRule="auto"/>
              <w:ind w:left="357" w:hanging="357"/>
              <w:jc w:val="both"/>
              <w:rPr>
                <w:rFonts w:ascii="Verdana" w:hAnsi="Verdana" w:cs="Arial"/>
                <w:color w:val="000000"/>
                <w:lang w:val="es-ES"/>
              </w:rPr>
            </w:pPr>
            <w:r w:rsidRPr="0024581D">
              <w:rPr>
                <w:rFonts w:ascii="Verdana" w:hAnsi="Verdana" w:cs="Arial"/>
                <w:lang w:val="es-ES"/>
              </w:rPr>
              <w:t xml:space="preserve">Consejo de Estado, Sala de Consulta y Servicio Civil. Concepto del 15 de agosto de 2006, </w:t>
            </w:r>
            <w:r w:rsidRPr="0024581D">
              <w:rPr>
                <w:rFonts w:ascii="Verdana" w:hAnsi="Verdana" w:cs="Arial"/>
                <w:bCs/>
                <w:lang w:val="es-ES"/>
              </w:rPr>
              <w:t xml:space="preserve">Radicación número: </w:t>
            </w:r>
            <w:r w:rsidRPr="0024581D">
              <w:rPr>
                <w:rFonts w:ascii="Verdana" w:hAnsi="Verdana" w:cs="Arial"/>
                <w:lang w:val="es-ES"/>
              </w:rPr>
              <w:t>11001-03-06-000-2006-00073-00(1763)</w:t>
            </w:r>
          </w:p>
          <w:p w14:paraId="687D7538" w14:textId="77777777" w:rsidR="0024581D" w:rsidRPr="0024581D" w:rsidRDefault="0024581D" w:rsidP="0024581D">
            <w:pPr>
              <w:numPr>
                <w:ilvl w:val="0"/>
                <w:numId w:val="17"/>
              </w:numPr>
              <w:spacing w:after="160" w:line="276" w:lineRule="auto"/>
              <w:ind w:left="357" w:hanging="357"/>
              <w:jc w:val="both"/>
              <w:rPr>
                <w:rFonts w:ascii="Verdana" w:hAnsi="Verdana" w:cs="Arial"/>
                <w:color w:val="000000"/>
                <w:lang w:val="pt-BR"/>
              </w:rPr>
            </w:pPr>
            <w:r w:rsidRPr="0024581D">
              <w:rPr>
                <w:rFonts w:ascii="Verdana" w:hAnsi="Verdana" w:cs="Arial"/>
                <w:lang w:val="es-ES"/>
              </w:rPr>
              <w:t xml:space="preserve">Consejo de Estado. Sentencia del 02 de diciembre de 2015. </w:t>
            </w:r>
            <w:r w:rsidRPr="0024581D">
              <w:rPr>
                <w:rFonts w:ascii="Verdana" w:hAnsi="Verdana" w:cs="Arial"/>
                <w:lang w:val="pt-BR"/>
              </w:rPr>
              <w:t xml:space="preserve">Radicado No. 11001-03-06-000-2015-00144-00(2267). M.P. William Zambrano </w:t>
            </w:r>
            <w:proofErr w:type="spellStart"/>
            <w:r w:rsidRPr="0024581D">
              <w:rPr>
                <w:rFonts w:ascii="Verdana" w:hAnsi="Verdana" w:cs="Arial"/>
                <w:lang w:val="pt-BR"/>
              </w:rPr>
              <w:t>Centina</w:t>
            </w:r>
            <w:proofErr w:type="spellEnd"/>
            <w:r w:rsidRPr="0024581D">
              <w:rPr>
                <w:rFonts w:ascii="Verdana" w:hAnsi="Verdana" w:cs="Arial"/>
                <w:lang w:val="pt-BR"/>
              </w:rPr>
              <w:t>.</w:t>
            </w:r>
          </w:p>
          <w:p w14:paraId="3006E65F" w14:textId="77777777" w:rsidR="0024581D" w:rsidRPr="0024581D" w:rsidRDefault="0024581D" w:rsidP="0024581D">
            <w:pPr>
              <w:numPr>
                <w:ilvl w:val="0"/>
                <w:numId w:val="17"/>
              </w:numPr>
              <w:spacing w:after="160" w:line="276" w:lineRule="auto"/>
              <w:ind w:left="357" w:hanging="357"/>
              <w:jc w:val="both"/>
              <w:rPr>
                <w:rFonts w:ascii="Verdana" w:hAnsi="Verdana" w:cs="Arial"/>
                <w:color w:val="000000"/>
                <w:lang w:val="es-ES"/>
              </w:rPr>
            </w:pPr>
            <w:r w:rsidRPr="0024581D">
              <w:rPr>
                <w:rFonts w:ascii="Verdana" w:hAnsi="Verdana"/>
                <w:color w:val="000000"/>
                <w:lang w:val="es-ES"/>
              </w:rPr>
              <w:t xml:space="preserve">TORRENTE BAYONA, César y BUSTAMANTE, Luis Eduardo. Las entidades sin ánimo de lucro (3ª Ed.). Editado por la Cámara de Comercio de Bogotá.  Bogotá. 2000. </w:t>
            </w:r>
          </w:p>
          <w:p w14:paraId="13C09C1D" w14:textId="77777777" w:rsidR="0024581D" w:rsidRPr="0024581D" w:rsidRDefault="0024581D" w:rsidP="0024581D">
            <w:pPr>
              <w:numPr>
                <w:ilvl w:val="0"/>
                <w:numId w:val="17"/>
              </w:numPr>
              <w:spacing w:after="120" w:line="276" w:lineRule="auto"/>
              <w:ind w:left="357" w:hanging="357"/>
              <w:jc w:val="both"/>
              <w:rPr>
                <w:rFonts w:ascii="Verdana" w:hAnsi="Verdana" w:cs="Arial"/>
                <w:color w:val="000000"/>
                <w:lang w:val="es-ES"/>
              </w:rPr>
            </w:pPr>
            <w:r w:rsidRPr="0024581D">
              <w:rPr>
                <w:rFonts w:ascii="Verdana" w:hAnsi="Verdana" w:cs="Arial"/>
                <w:color w:val="000000"/>
                <w:lang w:val="es-ES"/>
              </w:rPr>
              <w:t xml:space="preserve">BARRERO BUITRAGO, Álvaro. Manual para el establecimiento de sociedades (4ta. ed.). Editorial Librería del Profesional. Bogotá. 2006. </w:t>
            </w:r>
          </w:p>
        </w:tc>
      </w:tr>
    </w:tbl>
    <w:p w14:paraId="10508991" w14:textId="77777777" w:rsidR="0024581D" w:rsidRPr="0024581D" w:rsidRDefault="0024581D" w:rsidP="0024581D">
      <w:pPr>
        <w:widowControl w:val="0"/>
        <w:autoSpaceDE w:val="0"/>
        <w:autoSpaceDN w:val="0"/>
        <w:spacing w:after="0" w:line="276" w:lineRule="auto"/>
        <w:jc w:val="both"/>
        <w:rPr>
          <w:rFonts w:ascii="Verdana" w:eastAsia="Times New Roman" w:hAnsi="Verdana" w:cs="Arial"/>
          <w:lang w:eastAsia="es-ES_tradnl"/>
        </w:rPr>
      </w:pPr>
    </w:p>
    <w:p w14:paraId="7CBA4B0D" w14:textId="3A4C4C2E" w:rsidR="0024581D" w:rsidRPr="0024581D" w:rsidRDefault="00B37999" w:rsidP="001E4BCB">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5.</w:t>
      </w:r>
      <w:r w:rsidR="0024581D" w:rsidRPr="0024581D">
        <w:rPr>
          <w:rFonts w:ascii="Verdana" w:eastAsia="Century Gothic" w:hAnsi="Verdana" w:cs="Century Gothic"/>
          <w:b/>
          <w:bCs/>
          <w:lang w:val="es-ES"/>
        </w:rPr>
        <w:t>Doctrina de la Agencia Nacional de Contratación Pública:</w:t>
      </w:r>
    </w:p>
    <w:p w14:paraId="2DC50FBE" w14:textId="40848538" w:rsidR="00B37999" w:rsidRDefault="00F742FD" w:rsidP="00F742FD">
      <w:pPr>
        <w:spacing w:after="0" w:line="276" w:lineRule="auto"/>
        <w:jc w:val="both"/>
      </w:pPr>
      <w:r w:rsidRPr="002D1E9E">
        <w:rPr>
          <w:rStyle w:val="normaltextrun"/>
          <w:rFonts w:ascii="Verdana" w:hAnsi="Verdana" w:cs="Arial"/>
          <w:shd w:val="clear" w:color="auto" w:fill="FFFFFF"/>
          <w:lang w:val="es-ES"/>
        </w:rPr>
        <w:t xml:space="preserve">Sobre el principio de publicidad, la obligatoriedad de publicación en la plataforma SECOP II y </w:t>
      </w:r>
      <w:r w:rsidRPr="002D1E9E">
        <w:rPr>
          <w:rFonts w:ascii="Verdana" w:hAnsi="Verdana"/>
        </w:rPr>
        <w:t>la interpretación del artículo 53 de la Ley 2195 de 2022, se pronunció esta Subdirección en los conceptos CU-367 del 23 de julio de 2020, C-049 del 7 de marzo de 2022, C-120 del 22 de marzo de 2022, C-124 del 22 de marzo de 2022, C-132 del 28 de marzo de 2022,</w:t>
      </w:r>
      <w:r w:rsidRPr="002D1E9E">
        <w:rPr>
          <w:rStyle w:val="normaltextrun"/>
          <w:rFonts w:ascii="Verdana" w:hAnsi="Verdana" w:cs="Arial"/>
          <w:shd w:val="clear" w:color="auto" w:fill="FFFFFF"/>
          <w:lang w:val="es-ES"/>
        </w:rPr>
        <w:t xml:space="preserve"> C-872 de 2024, C-941-2024, C-009 de 2025, C-073 de 2025, C-139 de 2025, C-402 de 2025, entre otros. Es</w:t>
      </w:r>
      <w:r w:rsidRPr="002D1E9E">
        <w:rPr>
          <w:rFonts w:ascii="Verdana" w:hAnsi="Verdana"/>
        </w:rPr>
        <w:t>tos y otros conceptos se encuentran disponibles para consulta en el Sistema de relatoría de la Agencia, al cual se puede acceder a través del siguiente enlace:</w:t>
      </w:r>
      <w:r w:rsidRPr="002D1E9E">
        <w:rPr>
          <w:rStyle w:val="normaltextrun"/>
          <w:rFonts w:ascii="Verdana" w:hAnsi="Verdana" w:cs="Arial"/>
          <w:shd w:val="clear" w:color="auto" w:fill="FFFFFF"/>
          <w:lang w:val="es-ES"/>
        </w:rPr>
        <w:t xml:space="preserve"> </w:t>
      </w:r>
      <w:hyperlink r:id="rId12" w:history="1">
        <w:r w:rsidRPr="002D1E9E">
          <w:rPr>
            <w:rStyle w:val="Hipervnculo"/>
            <w:rFonts w:ascii="Verdana" w:hAnsi="Verdana" w:cs="Arial"/>
            <w:shd w:val="clear" w:color="auto" w:fill="FFFFFF"/>
            <w:lang w:val="es-ES"/>
          </w:rPr>
          <w:t>https://relatoria.colombiacompra.gov.co/busqueda/conceptos</w:t>
        </w:r>
      </w:hyperlink>
    </w:p>
    <w:p w14:paraId="6FBD4B23" w14:textId="77777777" w:rsidR="00F742FD" w:rsidRDefault="00F742FD" w:rsidP="00F742FD">
      <w:pPr>
        <w:spacing w:after="0" w:line="276" w:lineRule="auto"/>
        <w:jc w:val="both"/>
        <w:rPr>
          <w:rFonts w:ascii="Verdana" w:eastAsia="Times New Roman" w:hAnsi="Verdana" w:cs="Arial"/>
          <w:shd w:val="clear" w:color="auto" w:fill="FFFFFF"/>
          <w:lang w:val="es-ES" w:eastAsia="es-ES_tradnl"/>
        </w:rPr>
      </w:pPr>
    </w:p>
    <w:p w14:paraId="70C6945B" w14:textId="5B292657" w:rsidR="00C75CBD" w:rsidRPr="00F74645" w:rsidRDefault="00C75CBD" w:rsidP="00F742FD">
      <w:pPr>
        <w:widowControl w:val="0"/>
        <w:autoSpaceDE w:val="0"/>
        <w:autoSpaceDN w:val="0"/>
        <w:spacing w:after="120" w:line="276" w:lineRule="auto"/>
        <w:jc w:val="both"/>
        <w:rPr>
          <w:rFonts w:ascii="Verdana" w:hAnsi="Verdana" w:cs="Arial"/>
          <w:color w:val="000000" w:themeColor="text1"/>
          <w:shd w:val="clear" w:color="auto" w:fill="FFFFFF"/>
        </w:rPr>
      </w:pPr>
      <w:r w:rsidRPr="00F74645">
        <w:rPr>
          <w:rFonts w:ascii="Verdana" w:eastAsia="Times New Roman" w:hAnsi="Verdana" w:cs="Times New Roman"/>
          <w:color w:val="000000"/>
          <w:lang w:eastAsia="es-CO"/>
        </w:rPr>
        <w:t xml:space="preserve">Las garantías no son un requisito formal: son el instrumento con el que se protege el patrimonio público frente a los riesgos del contrato. Por ello, la Agencia Nacional de Contratación Pública –Colombia Compra Eficiente– te invita </w:t>
      </w:r>
      <w:r w:rsidRPr="00F74645">
        <w:rPr>
          <w:rFonts w:ascii="Verdana" w:eastAsia="Times New Roman" w:hAnsi="Verdana" w:cs="Times New Roman"/>
          <w:color w:val="000000"/>
          <w:lang w:eastAsia="es-CO"/>
        </w:rPr>
        <w:lastRenderedPageBreak/>
        <w:t>a consultar la nueva versión de la </w:t>
      </w:r>
      <w:r w:rsidRPr="00F74645">
        <w:rPr>
          <w:rFonts w:ascii="Verdana" w:eastAsia="Times New Roman" w:hAnsi="Verdana" w:cs="Times New Roman"/>
          <w:b/>
          <w:bCs/>
          <w:color w:val="000000"/>
          <w:lang w:eastAsia="es-CO"/>
        </w:rPr>
        <w:t>Guía para la Exigencia y Constitución de Garantías en los Procesos de Contratación</w:t>
      </w:r>
      <w:r w:rsidRPr="00F74645">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tooltip="Dirección URL original: https://www.colombiacompra.gov.co/archivos/manual/guia-de-garantias-en-procesos-de-contratacion.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0D3665B1" w14:textId="77777777" w:rsidR="00C75CBD" w:rsidRPr="00F74645" w:rsidRDefault="00C75CBD" w:rsidP="00C75CBD">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F74645">
        <w:rPr>
          <w:rFonts w:ascii="Verdana" w:eastAsia="Times New Roman" w:hAnsi="Verdana" w:cs="Times New Roman"/>
          <w:b/>
          <w:bCs/>
          <w:color w:val="000000"/>
          <w:lang w:eastAsia="es-CO"/>
        </w:rPr>
        <w:t>Sistema Integral de Preferencias en favor de las personas con discapacidad</w:t>
      </w:r>
      <w:r w:rsidRPr="00F74645">
        <w:rPr>
          <w:rFonts w:ascii="Verdana" w:eastAsia="Times New Roman" w:hAnsi="Verdana" w:cs="Times New Roman"/>
          <w:color w:val="000000"/>
          <w:lang w:eastAsia="es-CO"/>
        </w:rPr>
        <w:t>, en cumplimiento del artículo 13 de la Ley Estatutaria 1618 de 2013. Para orientar su aplicación, esta Agencia expidió la </w:t>
      </w:r>
      <w:r w:rsidRPr="00F74645">
        <w:rPr>
          <w:rFonts w:ascii="Verdana" w:eastAsia="Times New Roman" w:hAnsi="Verdana" w:cs="Times New Roman"/>
          <w:b/>
          <w:bCs/>
          <w:color w:val="000000"/>
          <w:lang w:eastAsia="es-CO"/>
        </w:rPr>
        <w:t>Circular Externa 003 del 12 de mayo de 2026, </w:t>
      </w:r>
      <w:r w:rsidRPr="00F74645">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7AE7E9E0" w14:textId="77777777" w:rsidR="00C75CBD" w:rsidRPr="00F74645" w:rsidRDefault="00C75CBD" w:rsidP="00C75CBD">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Recuerda también que la</w:t>
      </w:r>
      <w:r w:rsidRPr="00F74645">
        <w:rPr>
          <w:rFonts w:ascii="Verdana" w:eastAsia="Times New Roman" w:hAnsi="Verdana" w:cs="Times New Roman"/>
          <w:b/>
          <w:bCs/>
          <w:color w:val="000000"/>
          <w:lang w:eastAsia="es-CO"/>
        </w:rPr>
        <w:t> información sobre sanciones e inhabilidades </w:t>
      </w:r>
      <w:r w:rsidRPr="00F74645">
        <w:rPr>
          <w:rFonts w:ascii="Verdana" w:eastAsia="Times New Roman" w:hAnsi="Verdana" w:cs="Times New Roman"/>
          <w:color w:val="000000"/>
          <w:lang w:eastAsia="es-CO"/>
        </w:rPr>
        <w:t>solo cumple su función preventiva si llega oportunamente a los registros públicos. Sobre este deber, esta Agencia expidió la </w:t>
      </w:r>
      <w:r w:rsidRPr="00F74645">
        <w:rPr>
          <w:rFonts w:ascii="Verdana" w:eastAsia="Times New Roman" w:hAnsi="Verdana" w:cs="Times New Roman"/>
          <w:b/>
          <w:bCs/>
          <w:color w:val="000000"/>
          <w:lang w:eastAsia="es-CO"/>
        </w:rPr>
        <w:t>Circular Externa 002 del 5 de mayo de 2026,</w:t>
      </w:r>
      <w:r w:rsidRPr="00F74645">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2E042785" w14:textId="77777777" w:rsidR="00C75CBD" w:rsidRPr="00F74645" w:rsidRDefault="00C75CBD" w:rsidP="00C75CBD">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Finalmente, si quieres seguir de cerca la actividad de la Agencia, la tercera edición de 2026 del</w:t>
      </w:r>
      <w:r w:rsidRPr="00F74645">
        <w:rPr>
          <w:rFonts w:ascii="Verdana" w:eastAsia="Times New Roman" w:hAnsi="Verdana" w:cs="Times New Roman"/>
          <w:b/>
          <w:bCs/>
          <w:color w:val="000000"/>
          <w:lang w:eastAsia="es-CO"/>
        </w:rPr>
        <w:t> Radar de la Compra Pública</w:t>
      </w:r>
      <w:r w:rsidRPr="00F74645">
        <w:rPr>
          <w:rFonts w:ascii="Verdana" w:eastAsia="Times New Roman" w:hAnsi="Verdana" w:cs="Times New Roman"/>
          <w:color w:val="000000"/>
          <w:lang w:eastAsia="es-CO"/>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w:t>
      </w:r>
      <w:r w:rsidRPr="00F74645">
        <w:rPr>
          <w:rFonts w:ascii="Verdana" w:eastAsia="Times New Roman" w:hAnsi="Verdana" w:cs="Times New Roman"/>
          <w:color w:val="000000"/>
          <w:lang w:eastAsia="es-CO"/>
        </w:rPr>
        <w:lastRenderedPageBreak/>
        <w:t>aquí: </w:t>
      </w:r>
      <w:hyperlink r:id="rId16" w:tgtFrame="_blank" w:tooltip="Dirección URL original: https://www.colombiacompra.gov.co/archivos/boletin/boletin-edicion-n-3-de-2026-radar-de-la-compra-publica.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F74645">
        <w:rPr>
          <w:rFonts w:ascii="Verdana" w:eastAsia="Times New Roman" w:hAnsi="Verdana" w:cs="Times New Roman"/>
          <w:color w:val="000000"/>
          <w:lang w:eastAsia="es-CO"/>
        </w:rPr>
        <w:t>"</w:t>
      </w:r>
    </w:p>
    <w:p w14:paraId="706CD794" w14:textId="77777777" w:rsidR="00C75CBD" w:rsidRPr="00F74645" w:rsidRDefault="00C75CBD" w:rsidP="00C75CBD">
      <w:pPr>
        <w:spacing w:after="0" w:line="276" w:lineRule="auto"/>
        <w:jc w:val="both"/>
        <w:rPr>
          <w:rFonts w:ascii="Verdana" w:hAnsi="Verdana"/>
          <w:lang w:val="es-ES"/>
        </w:rPr>
      </w:pPr>
      <w:r w:rsidRPr="00F74645">
        <w:rPr>
          <w:rFonts w:ascii="Verdana" w:hAnsi="Verdana"/>
          <w:lang w:val="es-ES"/>
        </w:rPr>
        <w:t xml:space="preserve">Por último, lo invitamos a seguirnos en las redes sociales en las cuales se difunde información institucional: </w:t>
      </w:r>
    </w:p>
    <w:p w14:paraId="1A9746CC" w14:textId="77777777" w:rsidR="00C75CBD" w:rsidRPr="00F74645" w:rsidRDefault="00C75CBD" w:rsidP="00C75CBD">
      <w:pPr>
        <w:spacing w:after="0" w:line="276" w:lineRule="auto"/>
        <w:jc w:val="both"/>
        <w:rPr>
          <w:rFonts w:ascii="Verdana" w:hAnsi="Verdana"/>
          <w:lang w:val="es-ES"/>
        </w:rPr>
      </w:pPr>
    </w:p>
    <w:p w14:paraId="3883C7AB" w14:textId="77777777" w:rsidR="00C75CBD" w:rsidRPr="00F74645" w:rsidRDefault="00C75CBD" w:rsidP="00C75CBD">
      <w:pPr>
        <w:spacing w:after="0" w:line="276" w:lineRule="auto"/>
        <w:jc w:val="both"/>
        <w:rPr>
          <w:rFonts w:ascii="Verdana" w:hAnsi="Verdana"/>
          <w:lang w:val="es-ES"/>
        </w:rPr>
      </w:pPr>
      <w:r w:rsidRPr="00F74645">
        <w:rPr>
          <w:rFonts w:ascii="Verdana" w:hAnsi="Verdana"/>
          <w:lang w:val="es-ES"/>
        </w:rPr>
        <w:t xml:space="preserve">Twitter: </w:t>
      </w:r>
      <w:r w:rsidRPr="00F74645">
        <w:rPr>
          <w:rFonts w:ascii="Verdana" w:hAnsi="Verdana" w:cs="Arial"/>
          <w:color w:val="0000FF"/>
          <w:u w:val="single"/>
          <w:shd w:val="clear" w:color="auto" w:fill="FFFFFF"/>
          <w:lang w:val="es-ES"/>
        </w:rPr>
        <w:t>@colombiacompra</w:t>
      </w:r>
      <w:r w:rsidRPr="00F74645">
        <w:rPr>
          <w:rFonts w:ascii="Verdana" w:hAnsi="Verdana"/>
          <w:color w:val="4472C4" w:themeColor="accent1"/>
          <w:lang w:val="es-ES"/>
        </w:rPr>
        <w:t xml:space="preserve"> </w:t>
      </w:r>
    </w:p>
    <w:p w14:paraId="328FB081" w14:textId="77777777" w:rsidR="00C75CBD" w:rsidRPr="00F74645" w:rsidRDefault="00C75CBD" w:rsidP="00C75CBD">
      <w:pPr>
        <w:spacing w:after="0" w:line="276" w:lineRule="auto"/>
        <w:jc w:val="both"/>
        <w:rPr>
          <w:rFonts w:ascii="Verdana" w:hAnsi="Verdana"/>
          <w:lang w:val="es-ES"/>
        </w:rPr>
      </w:pPr>
      <w:r w:rsidRPr="00F74645">
        <w:rPr>
          <w:rFonts w:ascii="Verdana" w:hAnsi="Verdana"/>
          <w:lang w:val="es-ES"/>
        </w:rPr>
        <w:t xml:space="preserve">Facebook: </w:t>
      </w:r>
      <w:proofErr w:type="spellStart"/>
      <w:r w:rsidRPr="00F74645">
        <w:rPr>
          <w:rFonts w:ascii="Verdana" w:hAnsi="Verdana" w:cs="Arial"/>
          <w:color w:val="0000FF"/>
          <w:u w:val="single"/>
          <w:shd w:val="clear" w:color="auto" w:fill="FFFFFF"/>
          <w:lang w:val="es-ES"/>
        </w:rPr>
        <w:t>ColombiaCompraEficiente</w:t>
      </w:r>
      <w:proofErr w:type="spellEnd"/>
    </w:p>
    <w:p w14:paraId="4D732658" w14:textId="77777777" w:rsidR="00C75CBD" w:rsidRPr="00F74645" w:rsidRDefault="00C75CBD" w:rsidP="00C75CBD">
      <w:pPr>
        <w:spacing w:after="0" w:line="276" w:lineRule="auto"/>
        <w:jc w:val="both"/>
        <w:rPr>
          <w:rFonts w:ascii="Verdana" w:hAnsi="Verdana"/>
          <w:lang w:val="es-ES"/>
        </w:rPr>
      </w:pPr>
      <w:r w:rsidRPr="00F74645">
        <w:rPr>
          <w:rFonts w:ascii="Verdana" w:hAnsi="Verdana"/>
          <w:lang w:val="es-ES"/>
        </w:rPr>
        <w:t xml:space="preserve">LinkedIn: </w:t>
      </w:r>
      <w:r w:rsidRPr="00F74645">
        <w:rPr>
          <w:rFonts w:ascii="Verdana" w:hAnsi="Verdana" w:cs="Arial"/>
          <w:color w:val="0000FF"/>
          <w:u w:val="single"/>
          <w:shd w:val="clear" w:color="auto" w:fill="FFFFFF"/>
          <w:lang w:val="es-ES"/>
        </w:rPr>
        <w:t xml:space="preserve">Agencia Nacional de Contratación Pública - Colombia Compra Eficiente </w:t>
      </w:r>
      <w:r w:rsidRPr="00F74645">
        <w:rPr>
          <w:rFonts w:ascii="Verdana" w:hAnsi="Verdana"/>
          <w:lang w:val="es-ES"/>
        </w:rPr>
        <w:t xml:space="preserve">Instagram: </w:t>
      </w:r>
      <w:r w:rsidRPr="00F74645">
        <w:rPr>
          <w:rFonts w:ascii="Verdana" w:hAnsi="Verdana" w:cs="Arial"/>
          <w:color w:val="0000FF"/>
          <w:u w:val="single"/>
          <w:shd w:val="clear" w:color="auto" w:fill="FFFFFF"/>
          <w:lang w:val="es-ES"/>
        </w:rPr>
        <w:t>@colombiacompraeficiente_cce</w:t>
      </w:r>
    </w:p>
    <w:p w14:paraId="5592E3DF" w14:textId="77777777" w:rsidR="00C75CBD" w:rsidRPr="00F74645" w:rsidRDefault="00C75CBD" w:rsidP="00C75CBD">
      <w:pPr>
        <w:spacing w:after="0" w:line="276" w:lineRule="auto"/>
        <w:jc w:val="both"/>
        <w:rPr>
          <w:rFonts w:ascii="Verdana" w:hAnsi="Verdana"/>
          <w:lang w:val="es-ES"/>
        </w:rPr>
      </w:pPr>
    </w:p>
    <w:p w14:paraId="083CC47B" w14:textId="0AF7846A" w:rsidR="00B37999" w:rsidRPr="00F742FD" w:rsidRDefault="00C75CBD" w:rsidP="00F742FD">
      <w:pPr>
        <w:spacing w:before="120" w:after="0" w:line="276" w:lineRule="auto"/>
        <w:jc w:val="both"/>
        <w:rPr>
          <w:rFonts w:ascii="Verdana" w:hAnsi="Verdana"/>
        </w:rPr>
      </w:pPr>
      <w:r w:rsidRPr="00F74645">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BB61A29" w14:textId="77777777" w:rsidR="00B37999" w:rsidRDefault="00B37999" w:rsidP="0024581D">
      <w:pPr>
        <w:spacing w:after="0" w:line="276" w:lineRule="auto"/>
        <w:rPr>
          <w:rFonts w:ascii="Verdana" w:eastAsia="Times New Roman" w:hAnsi="Verdana" w:cs="Arial"/>
          <w:shd w:val="clear" w:color="auto" w:fill="FFFFFF"/>
          <w:lang w:val="es-ES" w:eastAsia="es-ES_tradnl"/>
        </w:rPr>
      </w:pPr>
    </w:p>
    <w:p w14:paraId="3E2BB462" w14:textId="77777777" w:rsidR="00B37999" w:rsidRDefault="00B37999" w:rsidP="0024581D">
      <w:pPr>
        <w:spacing w:after="0" w:line="276" w:lineRule="auto"/>
        <w:rPr>
          <w:rFonts w:ascii="Verdana" w:eastAsia="Times New Roman" w:hAnsi="Verdana" w:cs="Arial"/>
          <w:shd w:val="clear" w:color="auto" w:fill="FFFFFF"/>
          <w:lang w:val="es-ES" w:eastAsia="es-ES_tradnl"/>
        </w:rPr>
      </w:pPr>
    </w:p>
    <w:p w14:paraId="02BDBB6B" w14:textId="77777777" w:rsidR="0024581D" w:rsidRPr="0024581D" w:rsidRDefault="0024581D" w:rsidP="0024581D">
      <w:pPr>
        <w:spacing w:after="0" w:line="276" w:lineRule="auto"/>
        <w:rPr>
          <w:rFonts w:ascii="Verdana" w:eastAsia="Times New Roman" w:hAnsi="Verdana" w:cs="Arial"/>
          <w:lang w:eastAsia="es-CO"/>
        </w:rPr>
      </w:pPr>
      <w:r w:rsidRPr="0024581D">
        <w:rPr>
          <w:rFonts w:ascii="Verdana" w:eastAsia="Times New Roman" w:hAnsi="Verdana" w:cs="Arial"/>
          <w:lang w:eastAsia="es-CO"/>
        </w:rPr>
        <w:t xml:space="preserve">Atentamente, </w:t>
      </w:r>
    </w:p>
    <w:p w14:paraId="43CBBC22" w14:textId="77777777" w:rsidR="0024581D" w:rsidRPr="0024581D" w:rsidRDefault="0024581D" w:rsidP="0024581D">
      <w:pPr>
        <w:spacing w:after="0" w:line="240" w:lineRule="auto"/>
        <w:rPr>
          <w:rFonts w:ascii="Verdana" w:eastAsia="Times New Roman" w:hAnsi="Verdana" w:cs="Times New Roman"/>
          <w:sz w:val="24"/>
          <w:szCs w:val="24"/>
          <w:lang w:eastAsia="es-ES_tradnl"/>
        </w:rPr>
      </w:pPr>
    </w:p>
    <w:p w14:paraId="103BBA10" w14:textId="032D1513" w:rsidR="0024581D" w:rsidRPr="00E43CA8" w:rsidRDefault="00E43CA8" w:rsidP="00E43CA8">
      <w:pPr>
        <w:spacing w:after="120" w:line="276" w:lineRule="auto"/>
        <w:contextualSpacing/>
        <w:jc w:val="center"/>
        <w:rPr>
          <w:rFonts w:ascii="Verdana" w:eastAsia="Aptos" w:hAnsi="Verdana" w:cs="Arial"/>
          <w:sz w:val="24"/>
          <w:szCs w:val="24"/>
          <w:shd w:val="clear" w:color="auto" w:fill="FFFFFF"/>
          <w:lang w:val="es-ES" w:eastAsia="es-ES_tradnl"/>
        </w:rPr>
      </w:pPr>
      <w:r>
        <w:rPr>
          <w:noProof/>
        </w:rPr>
        <w:drawing>
          <wp:inline distT="0" distB="0" distL="0" distR="0" wp14:anchorId="665868D6" wp14:editId="68BADA3E">
            <wp:extent cx="2959100" cy="1151890"/>
            <wp:effectExtent l="0" t="0" r="0" b="0"/>
            <wp:docPr id="97288563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85638" name="Imagen 2" descr="Texto&#10;&#10;Descripción generada automáticamente"/>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59100" cy="1151890"/>
                    </a:xfrm>
                    <a:prstGeom prst="rect">
                      <a:avLst/>
                    </a:prstGeom>
                    <a:noFill/>
                    <a:ln>
                      <a:noFill/>
                    </a:ln>
                  </pic:spPr>
                </pic:pic>
              </a:graphicData>
            </a:graphic>
          </wp:inline>
        </w:drawing>
      </w:r>
    </w:p>
    <w:p w14:paraId="5E5DAC09" w14:textId="77777777" w:rsidR="0024581D" w:rsidRPr="0024581D" w:rsidRDefault="0024581D" w:rsidP="0024581D">
      <w:pPr>
        <w:spacing w:after="0" w:line="276" w:lineRule="auto"/>
        <w:jc w:val="center"/>
        <w:rPr>
          <w:rFonts w:ascii="Verdana" w:eastAsia="Times New Roman" w:hAnsi="Verdana" w:cs="Arial"/>
          <w:sz w:val="24"/>
          <w:szCs w:val="24"/>
          <w:lang w:val="es-ES" w:eastAsia="es-CO"/>
        </w:rPr>
      </w:pP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4581D" w:rsidRPr="0024581D" w14:paraId="1B4055CE" w14:textId="77777777">
        <w:trPr>
          <w:trHeight w:val="315"/>
        </w:trPr>
        <w:tc>
          <w:tcPr>
            <w:tcW w:w="893" w:type="dxa"/>
            <w:vAlign w:val="center"/>
            <w:hideMark/>
          </w:tcPr>
          <w:p w14:paraId="4A9DC643" w14:textId="77777777" w:rsidR="0024581D" w:rsidRPr="0024581D" w:rsidRDefault="0024581D" w:rsidP="0024581D">
            <w:pPr>
              <w:contextualSpacing/>
              <w:rPr>
                <w:rFonts w:ascii="Verdana" w:eastAsia="Times New Roman" w:hAnsi="Verdana" w:cs="Arial"/>
                <w:sz w:val="16"/>
                <w:szCs w:val="16"/>
                <w:lang w:val="es-ES" w:eastAsia="es-ES"/>
              </w:rPr>
            </w:pPr>
            <w:r w:rsidRPr="0024581D">
              <w:rPr>
                <w:rFonts w:ascii="Verdana" w:eastAsia="Times New Roman"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1CBCEE2" w14:textId="77777777" w:rsidR="0024581D" w:rsidRPr="0024581D" w:rsidRDefault="0024581D" w:rsidP="0024581D">
            <w:pPr>
              <w:rPr>
                <w:rFonts w:ascii="Verdana" w:eastAsia="Times New Roman" w:hAnsi="Verdana" w:cs="Arial"/>
                <w:sz w:val="16"/>
                <w:szCs w:val="16"/>
                <w:lang w:eastAsia="es-ES"/>
              </w:rPr>
            </w:pPr>
            <w:r w:rsidRPr="0024581D">
              <w:rPr>
                <w:rFonts w:ascii="Verdana" w:eastAsia="Times New Roman" w:hAnsi="Verdana" w:cs="Arial"/>
                <w:sz w:val="16"/>
                <w:szCs w:val="16"/>
                <w:lang w:eastAsia="es-ES"/>
              </w:rPr>
              <w:t>Oscar David Morelo Pedrozo</w:t>
            </w:r>
          </w:p>
          <w:p w14:paraId="22CC8613" w14:textId="77777777" w:rsidR="0024581D" w:rsidRPr="0024581D" w:rsidRDefault="0024581D" w:rsidP="0024581D">
            <w:pPr>
              <w:rPr>
                <w:rFonts w:ascii="Verdana" w:eastAsia="Times New Roman" w:hAnsi="Verdana" w:cs="Arial"/>
                <w:sz w:val="16"/>
                <w:szCs w:val="16"/>
                <w:lang w:eastAsia="es-ES"/>
              </w:rPr>
            </w:pPr>
            <w:r w:rsidRPr="0024581D">
              <w:rPr>
                <w:rFonts w:ascii="Verdana" w:eastAsia="Times New Roman" w:hAnsi="Verdana" w:cs="Arial"/>
                <w:sz w:val="16"/>
                <w:szCs w:val="16"/>
                <w:lang w:eastAsia="es-ES"/>
              </w:rPr>
              <w:t>Analista T2 –02 de la Subdirección de Gestión Contractual</w:t>
            </w:r>
          </w:p>
        </w:tc>
      </w:tr>
      <w:tr w:rsidR="0024581D" w:rsidRPr="0024581D" w14:paraId="45D4E7F1" w14:textId="77777777">
        <w:trPr>
          <w:trHeight w:val="330"/>
        </w:trPr>
        <w:tc>
          <w:tcPr>
            <w:tcW w:w="893" w:type="dxa"/>
            <w:vAlign w:val="center"/>
            <w:hideMark/>
          </w:tcPr>
          <w:p w14:paraId="0E287D95" w14:textId="77777777" w:rsidR="0024581D" w:rsidRPr="0024581D" w:rsidRDefault="0024581D" w:rsidP="0024581D">
            <w:pPr>
              <w:contextualSpacing/>
              <w:rPr>
                <w:rFonts w:ascii="Verdana" w:eastAsia="Times New Roman" w:hAnsi="Verdana" w:cs="Arial"/>
                <w:color w:val="000000" w:themeColor="text1"/>
                <w:sz w:val="16"/>
                <w:szCs w:val="16"/>
                <w:lang w:val="es-ES" w:eastAsia="es-ES"/>
              </w:rPr>
            </w:pPr>
            <w:r w:rsidRPr="0024581D">
              <w:rPr>
                <w:rFonts w:ascii="Verdana" w:eastAsia="Times New Roman"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2666404" w14:textId="77777777" w:rsidR="0024581D" w:rsidRPr="0024581D" w:rsidRDefault="0024581D" w:rsidP="0024581D">
            <w:pPr>
              <w:rPr>
                <w:rFonts w:ascii="Verdana" w:eastAsia="Times New Roman" w:hAnsi="Verdana" w:cs="Arial"/>
                <w:color w:val="000000" w:themeColor="text1"/>
                <w:sz w:val="16"/>
                <w:szCs w:val="16"/>
                <w:lang w:eastAsia="es-ES"/>
              </w:rPr>
            </w:pPr>
            <w:r w:rsidRPr="0024581D">
              <w:rPr>
                <w:rFonts w:ascii="Verdana" w:eastAsia="Times New Roman" w:hAnsi="Verdana" w:cs="Arial"/>
                <w:color w:val="000000" w:themeColor="text1"/>
                <w:sz w:val="16"/>
                <w:szCs w:val="16"/>
                <w:lang w:eastAsia="es-ES"/>
              </w:rPr>
              <w:t xml:space="preserve">Adriana Katherine López </w:t>
            </w:r>
            <w:proofErr w:type="spellStart"/>
            <w:r w:rsidRPr="0024581D">
              <w:rPr>
                <w:rFonts w:ascii="Verdana" w:eastAsia="Times New Roman" w:hAnsi="Verdana" w:cs="Arial"/>
                <w:color w:val="000000" w:themeColor="text1"/>
                <w:sz w:val="16"/>
                <w:szCs w:val="16"/>
                <w:lang w:eastAsia="es-ES"/>
              </w:rPr>
              <w:t>Rodriguez</w:t>
            </w:r>
            <w:proofErr w:type="spellEnd"/>
            <w:r w:rsidRPr="0024581D">
              <w:rPr>
                <w:rFonts w:ascii="Verdana" w:eastAsia="Times New Roman" w:hAnsi="Verdana" w:cs="Arial"/>
                <w:color w:val="000000" w:themeColor="text1"/>
                <w:sz w:val="16"/>
                <w:szCs w:val="16"/>
                <w:lang w:eastAsia="es-ES"/>
              </w:rPr>
              <w:t xml:space="preserve"> </w:t>
            </w:r>
          </w:p>
          <w:p w14:paraId="6D17D1B4" w14:textId="77777777" w:rsidR="0024581D" w:rsidRPr="0024581D" w:rsidRDefault="0024581D" w:rsidP="0024581D">
            <w:pPr>
              <w:contextualSpacing/>
              <w:textAlignment w:val="baseline"/>
              <w:rPr>
                <w:rFonts w:ascii="Verdana" w:eastAsia="Times New Roman" w:hAnsi="Verdana" w:cs="Segoe UI"/>
                <w:color w:val="000000" w:themeColor="text1"/>
                <w:sz w:val="16"/>
                <w:szCs w:val="16"/>
                <w:lang w:val="es-ES" w:eastAsia="es-CO"/>
              </w:rPr>
            </w:pPr>
            <w:r w:rsidRPr="0024581D">
              <w:rPr>
                <w:rFonts w:ascii="Verdana" w:eastAsia="Times New Roman" w:hAnsi="Verdana" w:cs="Arial"/>
                <w:color w:val="000000" w:themeColor="text1"/>
                <w:sz w:val="16"/>
                <w:szCs w:val="16"/>
                <w:lang w:eastAsia="es-ES"/>
              </w:rPr>
              <w:t>Contratista de la Subdirección de Gestión Contractual</w:t>
            </w:r>
          </w:p>
        </w:tc>
      </w:tr>
      <w:tr w:rsidR="0024581D" w:rsidRPr="0024581D" w14:paraId="25872DA3" w14:textId="77777777">
        <w:trPr>
          <w:trHeight w:val="300"/>
        </w:trPr>
        <w:tc>
          <w:tcPr>
            <w:tcW w:w="893" w:type="dxa"/>
            <w:vAlign w:val="center"/>
          </w:tcPr>
          <w:p w14:paraId="13D2E4A4" w14:textId="77777777" w:rsidR="0024581D" w:rsidRPr="0024581D" w:rsidRDefault="0024581D" w:rsidP="0024581D">
            <w:pPr>
              <w:contextualSpacing/>
              <w:rPr>
                <w:rFonts w:ascii="Verdana" w:eastAsia="Times New Roman" w:hAnsi="Verdana" w:cs="Arial"/>
                <w:sz w:val="16"/>
                <w:szCs w:val="16"/>
                <w:lang w:val="es-ES" w:eastAsia="es-ES"/>
              </w:rPr>
            </w:pPr>
            <w:r w:rsidRPr="0024581D">
              <w:rPr>
                <w:rFonts w:ascii="Verdana" w:eastAsia="Times New Roman"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C9A241F" w14:textId="77777777" w:rsidR="0024581D" w:rsidRPr="0024581D" w:rsidRDefault="0024581D" w:rsidP="0024581D">
            <w:pPr>
              <w:contextualSpacing/>
              <w:rPr>
                <w:rFonts w:ascii="Verdana" w:eastAsia="Calibri" w:hAnsi="Verdana" w:cs="Arial"/>
                <w:sz w:val="16"/>
                <w:szCs w:val="16"/>
                <w:lang w:val="es-ES" w:eastAsia="es-ES"/>
              </w:rPr>
            </w:pPr>
            <w:r w:rsidRPr="0024581D">
              <w:rPr>
                <w:rFonts w:ascii="Verdana" w:eastAsia="Calibri" w:hAnsi="Verdana" w:cs="Arial"/>
                <w:sz w:val="16"/>
                <w:szCs w:val="16"/>
                <w:lang w:val="es-ES" w:eastAsia="es-ES"/>
              </w:rPr>
              <w:t>Carolina Quintero Gacharná</w:t>
            </w:r>
          </w:p>
          <w:p w14:paraId="60688A1C" w14:textId="77777777" w:rsidR="0024581D" w:rsidRPr="0024581D" w:rsidRDefault="0024581D" w:rsidP="0024581D">
            <w:pPr>
              <w:contextualSpacing/>
              <w:rPr>
                <w:rFonts w:ascii="Verdana" w:eastAsia="Calibri" w:hAnsi="Verdana" w:cs="Arial"/>
                <w:sz w:val="16"/>
                <w:szCs w:val="16"/>
                <w:lang w:val="es-ES" w:eastAsia="es-ES"/>
              </w:rPr>
            </w:pPr>
            <w:r w:rsidRPr="0024581D">
              <w:rPr>
                <w:rFonts w:ascii="Verdana" w:eastAsia="Calibri" w:hAnsi="Verdana" w:cs="Arial"/>
                <w:sz w:val="16"/>
                <w:szCs w:val="16"/>
                <w:lang w:val="es-ES" w:eastAsia="es-ES"/>
              </w:rPr>
              <w:t>Subdirectora de Gestión Contractual ANCP – CCE</w:t>
            </w:r>
          </w:p>
        </w:tc>
      </w:tr>
    </w:tbl>
    <w:p w14:paraId="4DEE9B68" w14:textId="2EDA6626" w:rsidR="0024581D" w:rsidRPr="0024581D" w:rsidRDefault="0024581D" w:rsidP="0024581D">
      <w:pPr>
        <w:tabs>
          <w:tab w:val="left" w:pos="7575"/>
        </w:tabs>
        <w:spacing w:after="0" w:line="240" w:lineRule="auto"/>
        <w:rPr>
          <w:rFonts w:ascii="Verdana" w:eastAsia="Times New Roman" w:hAnsi="Verdana" w:cs="Times New Roman"/>
          <w:sz w:val="24"/>
          <w:szCs w:val="24"/>
          <w:lang w:eastAsia="es-ES_tradnl"/>
        </w:rPr>
      </w:pPr>
    </w:p>
    <w:p w14:paraId="31F5CDFC" w14:textId="77777777" w:rsidR="00E518EB" w:rsidRPr="00A519D3" w:rsidRDefault="00E518EB" w:rsidP="00A519D3">
      <w:pPr>
        <w:spacing w:after="0"/>
        <w:rPr>
          <w:rFonts w:ascii="Verdana" w:eastAsia="Verdana" w:hAnsi="Verdana" w:cs="Verdana"/>
          <w:lang w:val="es-MX"/>
        </w:rPr>
      </w:pPr>
    </w:p>
    <w:sectPr w:rsidR="00E518EB" w:rsidRPr="00A519D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55051" w14:textId="77777777" w:rsidR="00D443F6" w:rsidRDefault="00D443F6" w:rsidP="004A1847">
      <w:pPr>
        <w:spacing w:after="0" w:line="240" w:lineRule="auto"/>
      </w:pPr>
      <w:r>
        <w:separator/>
      </w:r>
    </w:p>
  </w:endnote>
  <w:endnote w:type="continuationSeparator" w:id="0">
    <w:p w14:paraId="77F4DC7B" w14:textId="77777777" w:rsidR="00D443F6" w:rsidRDefault="00D443F6" w:rsidP="004A1847">
      <w:pPr>
        <w:spacing w:after="0" w:line="240" w:lineRule="auto"/>
      </w:pPr>
      <w:r>
        <w:continuationSeparator/>
      </w:r>
    </w:p>
  </w:endnote>
  <w:endnote w:type="continuationNotice" w:id="1">
    <w:p w14:paraId="36A98106" w14:textId="77777777" w:rsidR="00D443F6" w:rsidRDefault="00D443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IDFont+F1">
    <w:altName w:val="Calibri"/>
    <w:charset w:val="00"/>
    <w:family w:val="auto"/>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70C94" w14:textId="77777777" w:rsidR="00D443F6" w:rsidRDefault="00D443F6" w:rsidP="004A1847">
      <w:pPr>
        <w:spacing w:after="0" w:line="240" w:lineRule="auto"/>
      </w:pPr>
      <w:r>
        <w:separator/>
      </w:r>
    </w:p>
  </w:footnote>
  <w:footnote w:type="continuationSeparator" w:id="0">
    <w:p w14:paraId="4216CA05" w14:textId="77777777" w:rsidR="00D443F6" w:rsidRDefault="00D443F6" w:rsidP="004A1847">
      <w:pPr>
        <w:spacing w:after="0" w:line="240" w:lineRule="auto"/>
      </w:pPr>
      <w:r>
        <w:continuationSeparator/>
      </w:r>
    </w:p>
  </w:footnote>
  <w:footnote w:type="continuationNotice" w:id="1">
    <w:p w14:paraId="624BBCC2" w14:textId="77777777" w:rsidR="00D443F6" w:rsidRDefault="00D443F6">
      <w:pPr>
        <w:spacing w:after="0" w:line="240" w:lineRule="auto"/>
      </w:pPr>
    </w:p>
  </w:footnote>
  <w:footnote w:id="2">
    <w:p w14:paraId="0F9035C5" w14:textId="77777777" w:rsidR="0024581D" w:rsidRPr="00255158" w:rsidRDefault="0024581D" w:rsidP="0024581D">
      <w:pPr>
        <w:pStyle w:val="Textonotapie"/>
        <w:ind w:firstLine="709"/>
        <w:jc w:val="both"/>
        <w:rPr>
          <w:rFonts w:ascii="Verdana" w:hAnsi="Verdana" w:cs="Arial"/>
          <w:color w:val="000000"/>
          <w:sz w:val="12"/>
          <w:szCs w:val="12"/>
        </w:rPr>
      </w:pPr>
      <w:r w:rsidRPr="00255158">
        <w:rPr>
          <w:rStyle w:val="Refdenotaalpie"/>
          <w:rFonts w:ascii="Verdana" w:hAnsi="Verdana" w:cs="Arial"/>
          <w:color w:val="000000"/>
          <w:sz w:val="12"/>
          <w:szCs w:val="12"/>
        </w:rPr>
        <w:footnoteRef/>
      </w:r>
      <w:r w:rsidRPr="00255158">
        <w:rPr>
          <w:rFonts w:ascii="Verdana" w:hAnsi="Verdana" w:cs="Arial"/>
          <w:color w:val="000000"/>
          <w:sz w:val="12"/>
          <w:szCs w:val="12"/>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14:paraId="2A6B800A" w14:textId="77777777" w:rsidR="0024581D" w:rsidRPr="00255158" w:rsidRDefault="0024581D" w:rsidP="0024581D">
      <w:pPr>
        <w:pStyle w:val="Textonotapie"/>
        <w:ind w:firstLine="709"/>
        <w:jc w:val="both"/>
        <w:rPr>
          <w:rFonts w:ascii="Verdana" w:hAnsi="Verdana" w:cs="Arial"/>
          <w:color w:val="000000"/>
          <w:sz w:val="12"/>
          <w:szCs w:val="12"/>
        </w:rPr>
      </w:pPr>
    </w:p>
  </w:footnote>
  <w:footnote w:id="3">
    <w:p w14:paraId="791BCDB0" w14:textId="77777777" w:rsidR="0024581D" w:rsidRPr="00255158" w:rsidRDefault="0024581D" w:rsidP="0024581D">
      <w:pPr>
        <w:pStyle w:val="Textonotapie"/>
        <w:ind w:firstLine="709"/>
        <w:jc w:val="both"/>
        <w:rPr>
          <w:rFonts w:ascii="Verdana" w:hAnsi="Verdana" w:cs="Arial"/>
          <w:color w:val="000000"/>
          <w:sz w:val="12"/>
          <w:szCs w:val="12"/>
        </w:rPr>
      </w:pPr>
      <w:r w:rsidRPr="00255158">
        <w:rPr>
          <w:rStyle w:val="Refdenotaalpie"/>
          <w:rFonts w:ascii="Verdana" w:hAnsi="Verdana" w:cs="Arial"/>
          <w:color w:val="000000"/>
          <w:sz w:val="12"/>
          <w:szCs w:val="12"/>
        </w:rPr>
        <w:footnoteRef/>
      </w:r>
      <w:r w:rsidRPr="00255158">
        <w:rPr>
          <w:rFonts w:ascii="Verdana" w:hAnsi="Verdana" w:cs="Arial"/>
          <w:color w:val="000000"/>
          <w:sz w:val="12"/>
          <w:szCs w:val="12"/>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3AAEC4FC" w14:textId="77777777" w:rsidR="0024581D" w:rsidRPr="00255158" w:rsidRDefault="0024581D" w:rsidP="0024581D">
      <w:pPr>
        <w:pStyle w:val="Textonotapie"/>
        <w:ind w:firstLine="709"/>
        <w:jc w:val="both"/>
        <w:rPr>
          <w:rFonts w:ascii="Verdana" w:hAnsi="Verdana" w:cs="Arial"/>
          <w:color w:val="000000"/>
          <w:sz w:val="12"/>
          <w:szCs w:val="12"/>
        </w:rPr>
      </w:pPr>
    </w:p>
    <w:p w14:paraId="5DC7CEB0" w14:textId="77777777" w:rsidR="0024581D" w:rsidRPr="00255158" w:rsidRDefault="0024581D" w:rsidP="0024581D">
      <w:pPr>
        <w:pStyle w:val="Textonotapie"/>
        <w:ind w:firstLine="709"/>
        <w:jc w:val="both"/>
        <w:rPr>
          <w:rFonts w:ascii="Verdana" w:hAnsi="Verdana" w:cs="Arial"/>
          <w:color w:val="000000"/>
          <w:sz w:val="12"/>
          <w:szCs w:val="12"/>
        </w:rPr>
      </w:pPr>
      <w:r w:rsidRPr="00255158">
        <w:rPr>
          <w:rFonts w:ascii="Verdana" w:hAnsi="Verdana" w:cs="Arial"/>
          <w:color w:val="000000"/>
          <w:sz w:val="12"/>
          <w:szCs w:val="12"/>
        </w:rPr>
        <w:t>La ausencia de lucro es una de sus características fundamentales, lo cual significa que no existe el reparto de utilidades o remanentes generados en el desarrollo de sus objetivos, ni es viable el reembolso de los bienes o dineros aportados a la entidad […]”.</w:t>
      </w:r>
    </w:p>
    <w:p w14:paraId="5551194B" w14:textId="77777777" w:rsidR="0024581D" w:rsidRPr="00255158" w:rsidRDefault="0024581D" w:rsidP="0024581D">
      <w:pPr>
        <w:pStyle w:val="Textonotapie"/>
        <w:ind w:firstLine="709"/>
        <w:jc w:val="both"/>
        <w:rPr>
          <w:rFonts w:ascii="Verdana" w:hAnsi="Verdana" w:cs="Arial"/>
          <w:color w:val="000000"/>
          <w:sz w:val="12"/>
          <w:szCs w:val="12"/>
        </w:rPr>
      </w:pPr>
    </w:p>
  </w:footnote>
  <w:footnote w:id="4">
    <w:p w14:paraId="2344268B" w14:textId="77777777" w:rsidR="0024581D" w:rsidRPr="00255158" w:rsidRDefault="0024581D" w:rsidP="0024581D">
      <w:pPr>
        <w:pStyle w:val="Textonotapie"/>
        <w:ind w:firstLine="709"/>
        <w:jc w:val="both"/>
        <w:rPr>
          <w:rFonts w:ascii="Verdana" w:hAnsi="Verdana" w:cs="Arial"/>
          <w:sz w:val="12"/>
          <w:szCs w:val="12"/>
        </w:rPr>
      </w:pPr>
      <w:r w:rsidRPr="00255158">
        <w:rPr>
          <w:rStyle w:val="Refdenotaalpie"/>
          <w:rFonts w:ascii="Verdana" w:hAnsi="Verdana" w:cs="Arial"/>
          <w:sz w:val="12"/>
          <w:szCs w:val="12"/>
        </w:rPr>
        <w:footnoteRef/>
      </w:r>
      <w:r w:rsidRPr="00255158">
        <w:rPr>
          <w:rFonts w:ascii="Verdana" w:hAnsi="Verdana" w:cs="Arial"/>
          <w:sz w:val="12"/>
          <w:szCs w:val="12"/>
        </w:rPr>
        <w:t xml:space="preserve"> Consejo de Estado. Sentencia del 02 de diciembre de 2015. Radicado No. 11001-03-06-000-2015-00144-00(2267). M.P. William Zambrano Centina.</w:t>
      </w:r>
    </w:p>
  </w:footnote>
  <w:footnote w:id="5">
    <w:p w14:paraId="0887633D" w14:textId="77777777" w:rsidR="0024581D" w:rsidRPr="00255158" w:rsidRDefault="0024581D" w:rsidP="0024581D">
      <w:pPr>
        <w:pStyle w:val="Textonotapie"/>
        <w:ind w:firstLine="709"/>
        <w:jc w:val="both"/>
        <w:rPr>
          <w:rFonts w:ascii="Verdana" w:hAnsi="Verdana" w:cs="Arial"/>
          <w:sz w:val="12"/>
          <w:szCs w:val="12"/>
        </w:rPr>
      </w:pPr>
    </w:p>
    <w:p w14:paraId="4CF6CC3D" w14:textId="77777777" w:rsidR="0024581D" w:rsidRPr="00255158" w:rsidRDefault="0024581D" w:rsidP="0024581D">
      <w:pPr>
        <w:pStyle w:val="Textonotapie"/>
        <w:ind w:firstLine="709"/>
        <w:jc w:val="both"/>
        <w:rPr>
          <w:rFonts w:ascii="Verdana" w:hAnsi="Verdana" w:cs="Arial"/>
          <w:sz w:val="12"/>
          <w:szCs w:val="12"/>
        </w:rPr>
      </w:pPr>
      <w:r w:rsidRPr="00255158">
        <w:rPr>
          <w:rStyle w:val="Refdenotaalpie"/>
          <w:rFonts w:ascii="Verdana" w:hAnsi="Verdana" w:cs="Arial"/>
          <w:sz w:val="12"/>
          <w:szCs w:val="12"/>
        </w:rPr>
        <w:footnoteRef/>
      </w:r>
      <w:r w:rsidRPr="00255158">
        <w:rPr>
          <w:rFonts w:ascii="Verdana" w:hAnsi="Verdana" w:cs="Arial"/>
          <w:sz w:val="12"/>
          <w:szCs w:val="12"/>
        </w:rPr>
        <w:t xml:space="preserve"> Consejo de Estado, Sala de Consulta y Servicio Civil. Concepto del 15 de agosto de 2006, Radicación número: 11001-03-06-000-2006-00073-00(1763).</w:t>
      </w:r>
    </w:p>
    <w:p w14:paraId="33061907" w14:textId="77777777" w:rsidR="0024581D" w:rsidRPr="00255158" w:rsidRDefault="0024581D" w:rsidP="0024581D">
      <w:pPr>
        <w:pStyle w:val="Textonotapie"/>
        <w:ind w:firstLine="709"/>
        <w:jc w:val="both"/>
        <w:rPr>
          <w:rFonts w:ascii="Verdana" w:hAnsi="Verdana" w:cs="Arial"/>
          <w:sz w:val="12"/>
          <w:szCs w:val="12"/>
        </w:rPr>
      </w:pPr>
    </w:p>
  </w:footnote>
  <w:footnote w:id="6">
    <w:p w14:paraId="0BFAE55B" w14:textId="77777777" w:rsidR="0024581D" w:rsidRPr="00255158" w:rsidRDefault="0024581D" w:rsidP="0024581D">
      <w:pPr>
        <w:pStyle w:val="Textonotapie"/>
        <w:ind w:firstLine="709"/>
        <w:jc w:val="both"/>
        <w:rPr>
          <w:rFonts w:ascii="Verdana" w:hAnsi="Verdana" w:cs="Arial"/>
          <w:color w:val="000000"/>
          <w:sz w:val="12"/>
          <w:szCs w:val="12"/>
        </w:rPr>
      </w:pPr>
      <w:r w:rsidRPr="00255158">
        <w:rPr>
          <w:rStyle w:val="Refdenotaalpie"/>
          <w:rFonts w:ascii="Verdana" w:hAnsi="Verdana" w:cs="Arial"/>
          <w:color w:val="000000"/>
          <w:sz w:val="12"/>
          <w:szCs w:val="12"/>
        </w:rPr>
        <w:footnoteRef/>
      </w:r>
      <w:r w:rsidRPr="00255158">
        <w:rPr>
          <w:rFonts w:ascii="Verdana" w:hAnsi="Verdana" w:cs="Arial"/>
          <w:color w:val="000000"/>
          <w:sz w:val="12"/>
          <w:szCs w:val="12"/>
        </w:rPr>
        <w:t xml:space="preserve"> C</w:t>
      </w:r>
      <w:r w:rsidRPr="00255158">
        <w:rPr>
          <w:rFonts w:ascii="Verdana" w:eastAsia="Times New Roman" w:hAnsi="Verdana" w:cs="Arial"/>
          <w:color w:val="000000"/>
          <w:sz w:val="12"/>
          <w:szCs w:val="12"/>
          <w:lang w:val="es-ES" w:eastAsia="es-ES"/>
        </w:rPr>
        <w:t>orte Constitucional. Sentencia C‒274 de 9 de mayo de 2013. M.P. Mar</w:t>
      </w:r>
      <w:r w:rsidRPr="00255158">
        <w:rPr>
          <w:rFonts w:ascii="Verdana" w:eastAsia="Times New Roman" w:hAnsi="Verdana" w:cs="Century Gothic"/>
          <w:color w:val="000000"/>
          <w:sz w:val="12"/>
          <w:szCs w:val="12"/>
          <w:lang w:val="es-ES" w:eastAsia="es-ES"/>
        </w:rPr>
        <w:t>í</w:t>
      </w:r>
      <w:r w:rsidRPr="00255158">
        <w:rPr>
          <w:rFonts w:ascii="Verdana" w:eastAsia="Times New Roman" w:hAnsi="Verdana" w:cs="Arial"/>
          <w:color w:val="000000"/>
          <w:sz w:val="12"/>
          <w:szCs w:val="12"/>
          <w:lang w:val="es-ES" w:eastAsia="es-ES"/>
        </w:rPr>
        <w:t xml:space="preserve">a Victoria Calle Correa. </w:t>
      </w:r>
    </w:p>
    <w:p w14:paraId="333D964C" w14:textId="77777777" w:rsidR="0024581D" w:rsidRPr="00255158" w:rsidRDefault="0024581D" w:rsidP="0024581D">
      <w:pPr>
        <w:pStyle w:val="Textonotapie"/>
        <w:ind w:firstLine="709"/>
        <w:jc w:val="both"/>
        <w:rPr>
          <w:rFonts w:ascii="Verdana" w:hAnsi="Verdana" w:cs="Arial"/>
          <w:color w:val="000000"/>
          <w:sz w:val="12"/>
          <w:szCs w:val="12"/>
          <w:lang w:val="es-CO"/>
        </w:rPr>
      </w:pPr>
    </w:p>
  </w:footnote>
  <w:footnote w:id="7">
    <w:p w14:paraId="5CBBAAF6" w14:textId="77777777" w:rsidR="0024581D" w:rsidRPr="00255158" w:rsidRDefault="0024581D" w:rsidP="0024581D">
      <w:pPr>
        <w:pStyle w:val="Textonotapie"/>
        <w:ind w:firstLine="709"/>
        <w:jc w:val="both"/>
        <w:rPr>
          <w:rFonts w:ascii="Verdana" w:hAnsi="Verdana" w:cs="Arial"/>
          <w:color w:val="000000" w:themeColor="text1"/>
          <w:sz w:val="12"/>
          <w:szCs w:val="12"/>
        </w:rPr>
      </w:pPr>
      <w:r w:rsidRPr="00255158">
        <w:rPr>
          <w:rStyle w:val="Refdenotaalpie"/>
          <w:rFonts w:ascii="Verdana" w:hAnsi="Verdana" w:cs="Arial"/>
          <w:color w:val="000000" w:themeColor="text1"/>
          <w:sz w:val="12"/>
          <w:szCs w:val="12"/>
        </w:rPr>
        <w:footnoteRef/>
      </w:r>
      <w:r w:rsidRPr="00255158">
        <w:rPr>
          <w:rFonts w:ascii="Verdana" w:hAnsi="Verdana" w:cs="Arial"/>
          <w:color w:val="000000" w:themeColor="text1"/>
          <w:sz w:val="12"/>
          <w:szCs w:val="12"/>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69A98E7" w14:textId="77777777" w:rsidR="0024581D" w:rsidRPr="00255158" w:rsidRDefault="0024581D" w:rsidP="0024581D">
      <w:pPr>
        <w:pStyle w:val="Textonotapie"/>
        <w:ind w:firstLine="709"/>
        <w:jc w:val="both"/>
        <w:rPr>
          <w:rFonts w:ascii="Verdana" w:hAnsi="Verdana" w:cs="Arial"/>
          <w:color w:val="000000" w:themeColor="text1"/>
          <w:sz w:val="12"/>
          <w:szCs w:val="12"/>
        </w:rPr>
      </w:pPr>
      <w:r w:rsidRPr="00255158">
        <w:rPr>
          <w:rFonts w:ascii="Verdana" w:hAnsi="Verdana" w:cs="Arial"/>
          <w:color w:val="000000" w:themeColor="text1"/>
          <w:sz w:val="12"/>
          <w:szCs w:val="12"/>
        </w:rPr>
        <w:t>Lo anterior, sin perjuicio de las publicaciones previstas en el numeral 3 del artículo 30 de la Ley 80 de 1993.</w:t>
      </w:r>
    </w:p>
    <w:p w14:paraId="13E8A139" w14:textId="77777777" w:rsidR="0024581D" w:rsidRPr="00255158" w:rsidRDefault="0024581D" w:rsidP="0024581D">
      <w:pPr>
        <w:pStyle w:val="Textonotapie"/>
        <w:ind w:firstLine="709"/>
        <w:jc w:val="both"/>
        <w:rPr>
          <w:rFonts w:ascii="Verdana" w:hAnsi="Verdana" w:cs="Arial"/>
          <w:color w:val="000000" w:themeColor="text1"/>
          <w:sz w:val="12"/>
          <w:szCs w:val="12"/>
        </w:rPr>
      </w:pPr>
      <w:r w:rsidRPr="00255158">
        <w:rPr>
          <w:rFonts w:ascii="Verdana" w:hAnsi="Verdana" w:cs="Arial"/>
          <w:color w:val="000000" w:themeColor="text1"/>
          <w:sz w:val="12"/>
          <w:szCs w:val="12"/>
        </w:rPr>
        <w:t xml:space="preserve">Con el fin de materializar los objetivos a que se refiere el inciso anterior, el Gobierno Nacional desarrollará el Sistema Electrónico para la Contratación Pública, Secop, el cual: </w:t>
      </w:r>
    </w:p>
    <w:p w14:paraId="5E7DD03C" w14:textId="77777777" w:rsidR="0024581D" w:rsidRPr="00255158" w:rsidRDefault="0024581D" w:rsidP="0024581D">
      <w:pPr>
        <w:pStyle w:val="Textonotapie"/>
        <w:ind w:firstLine="709"/>
        <w:jc w:val="both"/>
        <w:rPr>
          <w:rFonts w:ascii="Verdana" w:hAnsi="Verdana" w:cs="Arial"/>
          <w:color w:val="000000" w:themeColor="text1"/>
          <w:sz w:val="12"/>
          <w:szCs w:val="12"/>
        </w:rPr>
      </w:pPr>
      <w:r w:rsidRPr="00255158">
        <w:rPr>
          <w:rFonts w:ascii="Verdana" w:hAnsi="Verdana" w:cs="Arial"/>
          <w:color w:val="000000" w:themeColor="text1"/>
          <w:sz w:val="12"/>
          <w:szCs w:val="12"/>
        </w:rPr>
        <w:t>[…]</w:t>
      </w:r>
    </w:p>
    <w:p w14:paraId="1BAA8768" w14:textId="77777777" w:rsidR="0024581D" w:rsidRPr="00255158" w:rsidRDefault="0024581D" w:rsidP="0024581D">
      <w:pPr>
        <w:pStyle w:val="Textonotapie"/>
        <w:ind w:firstLine="709"/>
        <w:jc w:val="both"/>
        <w:rPr>
          <w:rFonts w:ascii="Verdana" w:hAnsi="Verdana" w:cs="Arial"/>
          <w:color w:val="000000" w:themeColor="text1"/>
          <w:sz w:val="12"/>
          <w:szCs w:val="12"/>
        </w:rPr>
      </w:pPr>
      <w:r w:rsidRPr="00255158">
        <w:rPr>
          <w:rFonts w:ascii="Verdana" w:hAnsi="Verdana" w:cs="Arial"/>
          <w:color w:val="000000" w:themeColor="text1"/>
          <w:sz w:val="12"/>
          <w:szCs w:val="12"/>
        </w:rPr>
        <w:t xml:space="preserve">c) Contará con la información oficial de la contratación realizada con dineros públicos, para lo cual establecerá los patrones a que haya lugar y se encargará de su difusión a través de canales electrónico”. </w:t>
      </w:r>
    </w:p>
    <w:p w14:paraId="7819730D" w14:textId="77777777" w:rsidR="0024581D" w:rsidRPr="00255158" w:rsidRDefault="0024581D" w:rsidP="0024581D">
      <w:pPr>
        <w:pStyle w:val="Textonotapie"/>
        <w:ind w:firstLine="709"/>
        <w:jc w:val="both"/>
        <w:rPr>
          <w:rFonts w:ascii="Verdana" w:hAnsi="Verdana" w:cs="Arial"/>
          <w:color w:val="000000" w:themeColor="text1"/>
          <w:sz w:val="12"/>
          <w:szCs w:val="12"/>
          <w:lang w:val="es-CO"/>
        </w:rPr>
      </w:pPr>
    </w:p>
  </w:footnote>
  <w:footnote w:id="8">
    <w:p w14:paraId="035FA480" w14:textId="77777777" w:rsidR="0024581D" w:rsidRPr="00255158" w:rsidRDefault="0024581D" w:rsidP="0024581D">
      <w:pPr>
        <w:pStyle w:val="Textonotapie"/>
        <w:ind w:firstLine="709"/>
        <w:jc w:val="both"/>
        <w:rPr>
          <w:rFonts w:ascii="Verdana" w:hAnsi="Verdana" w:cs="Arial"/>
          <w:color w:val="000000"/>
          <w:sz w:val="12"/>
          <w:szCs w:val="12"/>
        </w:rPr>
      </w:pPr>
      <w:r w:rsidRPr="00255158">
        <w:rPr>
          <w:rStyle w:val="Refdenotaalpie"/>
          <w:rFonts w:ascii="Verdana" w:hAnsi="Verdana" w:cs="Arial"/>
          <w:color w:val="000000"/>
          <w:sz w:val="12"/>
          <w:szCs w:val="12"/>
        </w:rPr>
        <w:footnoteRef/>
      </w:r>
      <w:r w:rsidRPr="00255158">
        <w:rPr>
          <w:rFonts w:ascii="Verdana" w:hAnsi="Verdana" w:cs="Arial"/>
          <w:color w:val="000000"/>
          <w:sz w:val="12"/>
          <w:szCs w:val="12"/>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7366FD6" w14:textId="77777777" w:rsidR="0024581D" w:rsidRPr="00255158" w:rsidRDefault="0024581D" w:rsidP="0024581D">
      <w:pPr>
        <w:pStyle w:val="Textonotapie"/>
        <w:ind w:firstLine="709"/>
        <w:jc w:val="both"/>
        <w:rPr>
          <w:rFonts w:ascii="Verdana" w:hAnsi="Verdana" w:cs="Arial"/>
          <w:color w:val="000000"/>
          <w:sz w:val="12"/>
          <w:szCs w:val="12"/>
          <w:lang w:val="es-CO"/>
        </w:rPr>
      </w:pPr>
    </w:p>
  </w:footnote>
  <w:footnote w:id="9">
    <w:p w14:paraId="4E6D1419" w14:textId="77777777" w:rsidR="0024581D" w:rsidRPr="00255158" w:rsidRDefault="0024581D" w:rsidP="0024581D">
      <w:pPr>
        <w:ind w:firstLine="709"/>
        <w:jc w:val="both"/>
        <w:rPr>
          <w:rFonts w:ascii="Verdana" w:hAnsi="Verdana"/>
          <w:sz w:val="12"/>
          <w:szCs w:val="12"/>
        </w:rPr>
      </w:pPr>
      <w:r w:rsidRPr="00255158">
        <w:rPr>
          <w:rStyle w:val="Refdenotaalpie"/>
          <w:rFonts w:ascii="Verdana" w:hAnsi="Verdana"/>
          <w:sz w:val="12"/>
          <w:szCs w:val="12"/>
        </w:rPr>
        <w:footnoteRef/>
      </w:r>
      <w:r w:rsidRPr="00255158">
        <w:rPr>
          <w:rFonts w:ascii="Verdana" w:hAnsi="Verdana"/>
          <w:sz w:val="12"/>
          <w:szCs w:val="12"/>
        </w:rPr>
        <w:t xml:space="preserve"> </w:t>
      </w:r>
      <w:r w:rsidRPr="00255158">
        <w:rPr>
          <w:rFonts w:ascii="Verdana" w:hAnsi="Verdana" w:cs="Arial"/>
          <w:color w:val="000000" w:themeColor="text1"/>
          <w:sz w:val="12"/>
          <w:szCs w:val="12"/>
        </w:rPr>
        <w:t xml:space="preserve">Ley 1412 de 2014: “Artículo 9. </w:t>
      </w:r>
      <w:r w:rsidRPr="00255158">
        <w:rPr>
          <w:rStyle w:val="nfasis"/>
          <w:rFonts w:ascii="Verdana" w:hAnsi="Verdana"/>
          <w:b/>
          <w:bCs/>
          <w:color w:val="333333"/>
          <w:sz w:val="12"/>
          <w:szCs w:val="12"/>
          <w:shd w:val="clear" w:color="auto" w:fill="FFFFFF"/>
        </w:rPr>
        <w:t>Información mínima obligatoria respecto a la estructura del sujeto obligado. </w:t>
      </w:r>
      <w:r w:rsidRPr="00255158">
        <w:rPr>
          <w:rFonts w:ascii="Verdana" w:hAnsi="Verdana"/>
          <w:color w:val="333333"/>
          <w:sz w:val="12"/>
          <w:szCs w:val="12"/>
          <w:shd w:val="clear" w:color="auto" w:fill="FFFFFF"/>
        </w:rPr>
        <w:t>Todo sujeto obligado deberá publicar la siguiente información mínima obligatoria de manera proactiva en los sistemas de información del Estado o herramientas que lo sustituyan:</w:t>
      </w:r>
    </w:p>
    <w:p w14:paraId="49A8D521" w14:textId="77777777" w:rsidR="0024581D" w:rsidRPr="00255158" w:rsidRDefault="0024581D" w:rsidP="0024581D">
      <w:pPr>
        <w:pStyle w:val="Textonotapie"/>
        <w:ind w:firstLine="709"/>
        <w:jc w:val="both"/>
        <w:rPr>
          <w:rFonts w:ascii="Verdana" w:hAnsi="Verdana"/>
          <w:sz w:val="12"/>
          <w:szCs w:val="12"/>
          <w:lang w:val="es-ES"/>
        </w:rPr>
      </w:pPr>
      <w:r w:rsidRPr="00255158">
        <w:rPr>
          <w:rFonts w:ascii="Verdana" w:hAnsi="Verdana"/>
          <w:sz w:val="12"/>
          <w:szCs w:val="12"/>
          <w:lang w:val="es-ES"/>
        </w:rPr>
        <w:t>[…]</w:t>
      </w:r>
    </w:p>
    <w:p w14:paraId="6D0528DB" w14:textId="77777777" w:rsidR="0024581D" w:rsidRPr="00255158" w:rsidRDefault="0024581D" w:rsidP="0024581D">
      <w:pPr>
        <w:ind w:firstLine="709"/>
        <w:jc w:val="both"/>
        <w:rPr>
          <w:rFonts w:ascii="Verdana" w:hAnsi="Verdana"/>
          <w:sz w:val="12"/>
          <w:szCs w:val="12"/>
        </w:rPr>
      </w:pPr>
      <w:r w:rsidRPr="00255158">
        <w:rPr>
          <w:rFonts w:ascii="Verdana" w:hAnsi="Verdana"/>
          <w:color w:val="333333"/>
          <w:sz w:val="12"/>
          <w:szCs w:val="12"/>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w:t>
      </w:r>
      <w:hyperlink r:id="rId1" w:anchor="74" w:history="1">
        <w:r w:rsidRPr="00255158">
          <w:rPr>
            <w:rStyle w:val="Hipervnculo"/>
            <w:rFonts w:ascii="Verdana" w:hAnsi="Verdana"/>
            <w:color w:val="007BFF"/>
            <w:sz w:val="12"/>
            <w:szCs w:val="12"/>
            <w:shd w:val="clear" w:color="auto" w:fill="FFFFFF"/>
          </w:rPr>
          <w:t>74</w:t>
        </w:r>
      </w:hyperlink>
      <w:r w:rsidRPr="00255158">
        <w:rPr>
          <w:rFonts w:ascii="Verdana" w:hAnsi="Verdana"/>
          <w:color w:val="333333"/>
          <w:sz w:val="12"/>
          <w:szCs w:val="12"/>
          <w:shd w:val="clear" w:color="auto" w:fill="FFFFFF"/>
        </w:rPr>
        <w:t> de la Ley </w:t>
      </w:r>
      <w:hyperlink r:id="rId2" w:anchor="0" w:history="1">
        <w:r w:rsidRPr="00255158">
          <w:rPr>
            <w:rStyle w:val="Hipervnculo"/>
            <w:rFonts w:ascii="Verdana" w:hAnsi="Verdana"/>
            <w:color w:val="007BFF"/>
            <w:sz w:val="12"/>
            <w:szCs w:val="12"/>
            <w:shd w:val="clear" w:color="auto" w:fill="FFFFFF"/>
          </w:rPr>
          <w:t>1474</w:t>
        </w:r>
      </w:hyperlink>
      <w:r w:rsidRPr="00255158">
        <w:rPr>
          <w:rFonts w:ascii="Verdana" w:hAnsi="Verdana"/>
          <w:color w:val="333333"/>
          <w:sz w:val="12"/>
          <w:szCs w:val="12"/>
          <w:shd w:val="clear" w:color="auto" w:fill="FFFFFF"/>
        </w:rPr>
        <w:t>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p>
    <w:p w14:paraId="79FD398A" w14:textId="77777777" w:rsidR="0024581D" w:rsidRPr="00255158" w:rsidRDefault="0024581D" w:rsidP="0024581D">
      <w:pPr>
        <w:pStyle w:val="Textonotapie"/>
        <w:ind w:firstLine="709"/>
        <w:jc w:val="both"/>
        <w:rPr>
          <w:rFonts w:ascii="Verdana" w:hAnsi="Verdana"/>
          <w:sz w:val="12"/>
          <w:szCs w:val="12"/>
          <w:lang w:val="es-ES"/>
        </w:rPr>
      </w:pPr>
    </w:p>
  </w:footnote>
  <w:footnote w:id="10">
    <w:p w14:paraId="02955733" w14:textId="77777777" w:rsidR="0024581D" w:rsidRPr="00255158" w:rsidRDefault="0024581D" w:rsidP="0024581D">
      <w:pPr>
        <w:pStyle w:val="Textonotapie"/>
        <w:ind w:firstLine="709"/>
        <w:jc w:val="both"/>
        <w:rPr>
          <w:rFonts w:ascii="Verdana" w:hAnsi="Verdana" w:cs="Arial"/>
          <w:color w:val="000000"/>
          <w:sz w:val="12"/>
          <w:szCs w:val="12"/>
        </w:rPr>
      </w:pPr>
      <w:r w:rsidRPr="00255158">
        <w:rPr>
          <w:rFonts w:ascii="Verdana" w:eastAsia="Times New Roman" w:hAnsi="Verdana" w:cs="Arial"/>
          <w:color w:val="000000"/>
          <w:sz w:val="12"/>
          <w:szCs w:val="12"/>
          <w:vertAlign w:val="superscript"/>
          <w:lang w:val="es-ES" w:eastAsia="es-ES"/>
        </w:rPr>
        <w:footnoteRef/>
      </w:r>
      <w:r w:rsidRPr="00255158">
        <w:rPr>
          <w:rFonts w:ascii="Verdana" w:eastAsia="Times New Roman" w:hAnsi="Verdana" w:cs="Arial"/>
          <w:color w:val="000000"/>
          <w:sz w:val="12"/>
          <w:szCs w:val="12"/>
          <w:vertAlign w:val="superscript"/>
          <w:lang w:val="es-ES" w:eastAsia="es-ES"/>
        </w:rPr>
        <w:t xml:space="preserve"> </w:t>
      </w:r>
      <w:r w:rsidRPr="00255158">
        <w:rPr>
          <w:rFonts w:ascii="Verdana" w:eastAsia="Times New Roman" w:hAnsi="Verdana" w:cs="Arial"/>
          <w:color w:val="000000"/>
          <w:sz w:val="12"/>
          <w:szCs w:val="12"/>
          <w:lang w:val="es-ES" w:eastAsia="es-ES"/>
        </w:rPr>
        <w:t>“</w:t>
      </w:r>
      <w:r w:rsidRPr="00255158">
        <w:rPr>
          <w:rFonts w:ascii="Verdana" w:hAnsi="Verdana" w:cs="Arial"/>
          <w:color w:val="000000"/>
          <w:sz w:val="12"/>
          <w:szCs w:val="12"/>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63F00F1" w14:textId="77777777" w:rsidR="0024581D" w:rsidRPr="00255158" w:rsidRDefault="0024581D" w:rsidP="0024581D">
      <w:pPr>
        <w:pStyle w:val="Textonotapie"/>
        <w:ind w:firstLine="709"/>
        <w:jc w:val="both"/>
        <w:rPr>
          <w:rFonts w:ascii="Verdana" w:eastAsia="Times New Roman" w:hAnsi="Verdana" w:cs="Arial"/>
          <w:color w:val="000000"/>
          <w:sz w:val="12"/>
          <w:szCs w:val="12"/>
          <w:lang w:val="es-ES" w:eastAsia="es-ES"/>
        </w:rPr>
      </w:pPr>
      <w:r w:rsidRPr="00255158">
        <w:rPr>
          <w:rFonts w:ascii="Verdana" w:hAnsi="Verdana" w:cs="Arial"/>
          <w:color w:val="000000"/>
          <w:sz w:val="12"/>
          <w:szCs w:val="12"/>
        </w:rPr>
        <w:t>[…].</w:t>
      </w:r>
    </w:p>
    <w:p w14:paraId="2A13E6FC" w14:textId="77777777" w:rsidR="0024581D" w:rsidRPr="00255158" w:rsidRDefault="0024581D" w:rsidP="0024581D">
      <w:pPr>
        <w:pStyle w:val="Textonotapie"/>
        <w:ind w:firstLine="709"/>
        <w:jc w:val="both"/>
        <w:rPr>
          <w:rFonts w:ascii="Verdana" w:eastAsia="Times New Roman" w:hAnsi="Verdana" w:cs="Arial"/>
          <w:color w:val="000000"/>
          <w:sz w:val="12"/>
          <w:szCs w:val="12"/>
          <w:lang w:val="es-ES" w:eastAsia="es-ES"/>
        </w:rPr>
      </w:pPr>
      <w:r w:rsidRPr="00255158">
        <w:rPr>
          <w:rFonts w:ascii="Verdana" w:eastAsia="Times New Roman" w:hAnsi="Verdana" w:cs="Arial"/>
          <w:color w:val="000000"/>
          <w:sz w:val="12"/>
          <w:szCs w:val="12"/>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8911C53" w14:textId="77777777" w:rsidR="0024581D" w:rsidRPr="00255158" w:rsidRDefault="0024581D" w:rsidP="0024581D">
      <w:pPr>
        <w:pStyle w:val="Textonotapie"/>
        <w:ind w:firstLine="709"/>
        <w:jc w:val="both"/>
        <w:rPr>
          <w:rFonts w:ascii="Verdana" w:eastAsia="Times New Roman" w:hAnsi="Verdana" w:cs="Arial"/>
          <w:color w:val="000000"/>
          <w:sz w:val="12"/>
          <w:szCs w:val="12"/>
          <w:lang w:val="es-ES" w:eastAsia="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0E592498"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464479"/>
    <w:multiLevelType w:val="hybridMultilevel"/>
    <w:tmpl w:val="0520E6EC"/>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C569212"/>
    <w:lvl w:ilvl="0" w:tplc="5A46C10E">
      <w:start w:val="1"/>
      <w:numFmt w:val="bullet"/>
      <w:lvlText w:val=""/>
      <w:lvlJc w:val="left"/>
      <w:pPr>
        <w:ind w:left="360" w:hanging="360"/>
      </w:pPr>
      <w:rPr>
        <w:rFonts w:ascii="Symbol" w:hAnsi="Symbol" w:hint="default"/>
        <w:sz w:val="22"/>
        <w:szCs w:val="22"/>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9564333">
    <w:abstractNumId w:val="7"/>
  </w:num>
  <w:num w:numId="2" w16cid:durableId="1587959815">
    <w:abstractNumId w:val="2"/>
  </w:num>
  <w:num w:numId="3" w16cid:durableId="1026059730">
    <w:abstractNumId w:val="5"/>
  </w:num>
  <w:num w:numId="4" w16cid:durableId="16029503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7878141">
    <w:abstractNumId w:val="2"/>
  </w:num>
  <w:num w:numId="6" w16cid:durableId="644774970">
    <w:abstractNumId w:val="14"/>
  </w:num>
  <w:num w:numId="7" w16cid:durableId="469636584">
    <w:abstractNumId w:val="6"/>
  </w:num>
  <w:num w:numId="8" w16cid:durableId="377707444">
    <w:abstractNumId w:val="13"/>
  </w:num>
  <w:num w:numId="9" w16cid:durableId="1269583783">
    <w:abstractNumId w:val="8"/>
  </w:num>
  <w:num w:numId="10" w16cid:durableId="137648901">
    <w:abstractNumId w:val="12"/>
  </w:num>
  <w:num w:numId="11" w16cid:durableId="292255078">
    <w:abstractNumId w:val="9"/>
  </w:num>
  <w:num w:numId="12" w16cid:durableId="606815333">
    <w:abstractNumId w:val="1"/>
  </w:num>
  <w:num w:numId="13" w16cid:durableId="187372786">
    <w:abstractNumId w:val="3"/>
  </w:num>
  <w:num w:numId="14" w16cid:durableId="790637478">
    <w:abstractNumId w:val="15"/>
  </w:num>
  <w:num w:numId="15" w16cid:durableId="902955802">
    <w:abstractNumId w:val="11"/>
  </w:num>
  <w:num w:numId="16" w16cid:durableId="497770198">
    <w:abstractNumId w:val="0"/>
  </w:num>
  <w:num w:numId="17" w16cid:durableId="23799240">
    <w:abstractNumId w:val="10"/>
  </w:num>
  <w:num w:numId="18" w16cid:durableId="545143151">
    <w:abstractNumId w:val="0"/>
  </w:num>
  <w:num w:numId="19" w16cid:durableId="650407614">
    <w:abstractNumId w:val="4"/>
  </w:num>
  <w:num w:numId="20" w16cid:durableId="1227377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387"/>
    <w:rsid w:val="00061B2A"/>
    <w:rsid w:val="00080456"/>
    <w:rsid w:val="00081AB3"/>
    <w:rsid w:val="000821D9"/>
    <w:rsid w:val="00082362"/>
    <w:rsid w:val="000A683E"/>
    <w:rsid w:val="000B19B9"/>
    <w:rsid w:val="000D0334"/>
    <w:rsid w:val="000D5DA7"/>
    <w:rsid w:val="000F6486"/>
    <w:rsid w:val="00116940"/>
    <w:rsid w:val="001223DA"/>
    <w:rsid w:val="00125105"/>
    <w:rsid w:val="00127233"/>
    <w:rsid w:val="00153DC8"/>
    <w:rsid w:val="0015699B"/>
    <w:rsid w:val="001767A8"/>
    <w:rsid w:val="001767D2"/>
    <w:rsid w:val="001928DD"/>
    <w:rsid w:val="001A33BF"/>
    <w:rsid w:val="001A5B3A"/>
    <w:rsid w:val="001E4177"/>
    <w:rsid w:val="001E4BCB"/>
    <w:rsid w:val="001F0B24"/>
    <w:rsid w:val="001F7DC6"/>
    <w:rsid w:val="002159A7"/>
    <w:rsid w:val="00216097"/>
    <w:rsid w:val="0022400B"/>
    <w:rsid w:val="002421BB"/>
    <w:rsid w:val="0024581D"/>
    <w:rsid w:val="002513B5"/>
    <w:rsid w:val="0025796E"/>
    <w:rsid w:val="002707A2"/>
    <w:rsid w:val="002951A0"/>
    <w:rsid w:val="002962BC"/>
    <w:rsid w:val="002A093D"/>
    <w:rsid w:val="002A0DD0"/>
    <w:rsid w:val="002A49AC"/>
    <w:rsid w:val="002A64FD"/>
    <w:rsid w:val="002C7A84"/>
    <w:rsid w:val="002D13B3"/>
    <w:rsid w:val="002E2BF8"/>
    <w:rsid w:val="002E4FD9"/>
    <w:rsid w:val="002F2687"/>
    <w:rsid w:val="0030657A"/>
    <w:rsid w:val="00322A85"/>
    <w:rsid w:val="00324168"/>
    <w:rsid w:val="00330834"/>
    <w:rsid w:val="00343D98"/>
    <w:rsid w:val="003448F4"/>
    <w:rsid w:val="00374F5E"/>
    <w:rsid w:val="00377E3E"/>
    <w:rsid w:val="003A779E"/>
    <w:rsid w:val="003D0F4D"/>
    <w:rsid w:val="003D515C"/>
    <w:rsid w:val="003D5B0D"/>
    <w:rsid w:val="003E0499"/>
    <w:rsid w:val="003E4F80"/>
    <w:rsid w:val="003E6439"/>
    <w:rsid w:val="003F3941"/>
    <w:rsid w:val="00406575"/>
    <w:rsid w:val="00414C74"/>
    <w:rsid w:val="0042018E"/>
    <w:rsid w:val="0042722E"/>
    <w:rsid w:val="0044528D"/>
    <w:rsid w:val="00466E39"/>
    <w:rsid w:val="00474B8D"/>
    <w:rsid w:val="004A1847"/>
    <w:rsid w:val="004A305D"/>
    <w:rsid w:val="004B5866"/>
    <w:rsid w:val="004F21C4"/>
    <w:rsid w:val="004F3446"/>
    <w:rsid w:val="004F685F"/>
    <w:rsid w:val="00504606"/>
    <w:rsid w:val="005566E8"/>
    <w:rsid w:val="00574867"/>
    <w:rsid w:val="00590D87"/>
    <w:rsid w:val="00591460"/>
    <w:rsid w:val="005A33EC"/>
    <w:rsid w:val="005A6184"/>
    <w:rsid w:val="005A65E0"/>
    <w:rsid w:val="005C3777"/>
    <w:rsid w:val="005C5CDC"/>
    <w:rsid w:val="005D476C"/>
    <w:rsid w:val="006200BF"/>
    <w:rsid w:val="006219F8"/>
    <w:rsid w:val="00627743"/>
    <w:rsid w:val="006302F7"/>
    <w:rsid w:val="00646B9F"/>
    <w:rsid w:val="00665D70"/>
    <w:rsid w:val="006900D9"/>
    <w:rsid w:val="00696558"/>
    <w:rsid w:val="006A410C"/>
    <w:rsid w:val="00706C16"/>
    <w:rsid w:val="00716416"/>
    <w:rsid w:val="007340C3"/>
    <w:rsid w:val="00747FE2"/>
    <w:rsid w:val="0075235A"/>
    <w:rsid w:val="00756841"/>
    <w:rsid w:val="0076499F"/>
    <w:rsid w:val="007649AB"/>
    <w:rsid w:val="00771D0C"/>
    <w:rsid w:val="007833AC"/>
    <w:rsid w:val="007B268C"/>
    <w:rsid w:val="007B7171"/>
    <w:rsid w:val="007C0C0F"/>
    <w:rsid w:val="007C3DC2"/>
    <w:rsid w:val="007E5497"/>
    <w:rsid w:val="00806F5F"/>
    <w:rsid w:val="00813094"/>
    <w:rsid w:val="00820278"/>
    <w:rsid w:val="008258C9"/>
    <w:rsid w:val="00844AE9"/>
    <w:rsid w:val="00867F95"/>
    <w:rsid w:val="00880C47"/>
    <w:rsid w:val="008843B6"/>
    <w:rsid w:val="00891928"/>
    <w:rsid w:val="008A4316"/>
    <w:rsid w:val="008A446D"/>
    <w:rsid w:val="008B25F1"/>
    <w:rsid w:val="008D180B"/>
    <w:rsid w:val="008F0EA7"/>
    <w:rsid w:val="008F4FDA"/>
    <w:rsid w:val="00915755"/>
    <w:rsid w:val="00923EEF"/>
    <w:rsid w:val="009419F9"/>
    <w:rsid w:val="0095685E"/>
    <w:rsid w:val="00961B09"/>
    <w:rsid w:val="00965334"/>
    <w:rsid w:val="0097093E"/>
    <w:rsid w:val="0097219C"/>
    <w:rsid w:val="00982D6C"/>
    <w:rsid w:val="009A0DFA"/>
    <w:rsid w:val="009A1C6F"/>
    <w:rsid w:val="009B2D26"/>
    <w:rsid w:val="009C5ADD"/>
    <w:rsid w:val="009C71FA"/>
    <w:rsid w:val="009C72E7"/>
    <w:rsid w:val="009C7F7E"/>
    <w:rsid w:val="009D3058"/>
    <w:rsid w:val="009E68ED"/>
    <w:rsid w:val="009F3456"/>
    <w:rsid w:val="009F3A13"/>
    <w:rsid w:val="00A01559"/>
    <w:rsid w:val="00A122D3"/>
    <w:rsid w:val="00A14468"/>
    <w:rsid w:val="00A17F13"/>
    <w:rsid w:val="00A20739"/>
    <w:rsid w:val="00A20ADC"/>
    <w:rsid w:val="00A23AF9"/>
    <w:rsid w:val="00A33C78"/>
    <w:rsid w:val="00A4057C"/>
    <w:rsid w:val="00A519D3"/>
    <w:rsid w:val="00A51E10"/>
    <w:rsid w:val="00A95DE7"/>
    <w:rsid w:val="00AB0ADB"/>
    <w:rsid w:val="00AF47CC"/>
    <w:rsid w:val="00B00C0E"/>
    <w:rsid w:val="00B01B1A"/>
    <w:rsid w:val="00B0381D"/>
    <w:rsid w:val="00B37999"/>
    <w:rsid w:val="00B44A47"/>
    <w:rsid w:val="00B662CA"/>
    <w:rsid w:val="00B72CD3"/>
    <w:rsid w:val="00B72FFF"/>
    <w:rsid w:val="00B834A8"/>
    <w:rsid w:val="00BC3D36"/>
    <w:rsid w:val="00BD54A6"/>
    <w:rsid w:val="00BD7F72"/>
    <w:rsid w:val="00BE4E8E"/>
    <w:rsid w:val="00BF7425"/>
    <w:rsid w:val="00C04307"/>
    <w:rsid w:val="00C04FB3"/>
    <w:rsid w:val="00C11D8B"/>
    <w:rsid w:val="00C15139"/>
    <w:rsid w:val="00C330EB"/>
    <w:rsid w:val="00C50D69"/>
    <w:rsid w:val="00C5365C"/>
    <w:rsid w:val="00C54B3F"/>
    <w:rsid w:val="00C754BE"/>
    <w:rsid w:val="00C75CBD"/>
    <w:rsid w:val="00C76B1C"/>
    <w:rsid w:val="00C925AC"/>
    <w:rsid w:val="00CB6357"/>
    <w:rsid w:val="00CC1B26"/>
    <w:rsid w:val="00D35573"/>
    <w:rsid w:val="00D361FD"/>
    <w:rsid w:val="00D423A2"/>
    <w:rsid w:val="00D443F6"/>
    <w:rsid w:val="00D44E26"/>
    <w:rsid w:val="00D520D8"/>
    <w:rsid w:val="00D63AC2"/>
    <w:rsid w:val="00D71039"/>
    <w:rsid w:val="00D7383B"/>
    <w:rsid w:val="00D7788A"/>
    <w:rsid w:val="00DA231B"/>
    <w:rsid w:val="00DA3ED0"/>
    <w:rsid w:val="00DB6E6C"/>
    <w:rsid w:val="00DC39FC"/>
    <w:rsid w:val="00DE3E3A"/>
    <w:rsid w:val="00DE5A7C"/>
    <w:rsid w:val="00DF5254"/>
    <w:rsid w:val="00DF6269"/>
    <w:rsid w:val="00E02524"/>
    <w:rsid w:val="00E16408"/>
    <w:rsid w:val="00E20894"/>
    <w:rsid w:val="00E245AB"/>
    <w:rsid w:val="00E2764C"/>
    <w:rsid w:val="00E27F2E"/>
    <w:rsid w:val="00E43CA8"/>
    <w:rsid w:val="00E50AFE"/>
    <w:rsid w:val="00E518EB"/>
    <w:rsid w:val="00E75C92"/>
    <w:rsid w:val="00E771DC"/>
    <w:rsid w:val="00E8772A"/>
    <w:rsid w:val="00E90F6B"/>
    <w:rsid w:val="00E92C27"/>
    <w:rsid w:val="00EA0E3D"/>
    <w:rsid w:val="00EC38A7"/>
    <w:rsid w:val="00EE1AA8"/>
    <w:rsid w:val="00EF0709"/>
    <w:rsid w:val="00F23FEA"/>
    <w:rsid w:val="00F24C42"/>
    <w:rsid w:val="00F31EDC"/>
    <w:rsid w:val="00F462B3"/>
    <w:rsid w:val="00F5664F"/>
    <w:rsid w:val="00F666C4"/>
    <w:rsid w:val="00F742FD"/>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96149C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3777C99-4E3F-467C-A109-F1FB02D6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4581D"/>
    <w:pPr>
      <w:spacing w:line="240" w:lineRule="exact"/>
    </w:pPr>
    <w:rPr>
      <w:vertAlign w:val="superscript"/>
    </w:rPr>
  </w:style>
  <w:style w:type="character" w:styleId="nfasis">
    <w:name w:val="Emphasis"/>
    <w:basedOn w:val="Fuentedeprrafopredeter"/>
    <w:uiPriority w:val="20"/>
    <w:qFormat/>
    <w:rsid w:val="0024581D"/>
    <w:rPr>
      <w:i/>
      <w:iCs/>
    </w:rPr>
  </w:style>
  <w:style w:type="table" w:customStyle="1" w:styleId="Tablaconcuadrcula1">
    <w:name w:val="Tabla con cuadrícula1"/>
    <w:basedOn w:val="Tablanormal"/>
    <w:next w:val="Tablaconcuadrcula"/>
    <w:uiPriority w:val="39"/>
    <w:qFormat/>
    <w:rsid w:val="00245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159A7"/>
    <w:rPr>
      <w:rFonts w:ascii="Geomanist Light" w:hAnsi="Geomanist Light"/>
      <w:lang w:val="es-ES"/>
    </w:rPr>
  </w:style>
  <w:style w:type="character" w:customStyle="1" w:styleId="Textoennegrita">
    <w:name w:val="Texto en negrita"/>
    <w:basedOn w:val="Fuentedeprrafopredeter"/>
    <w:uiPriority w:val="22"/>
    <w:qFormat/>
    <w:rsid w:val="009157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278583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decreto_1494_2015.html"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43292" TargetMode="External"/><Relationship Id="rId1" Type="http://schemas.openxmlformats.org/officeDocument/2006/relationships/hyperlink" Target="https://www.funcionpublica.gov.co/eva/gestornormativo/norma.ph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30B77E9-BAEA-48CF-88DD-47F87BB3A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17</Pages>
  <Words>5822</Words>
  <Characters>32023</Characters>
  <Application>Microsoft Office Word</Application>
  <DocSecurity>0</DocSecurity>
  <Lines>266</Lines>
  <Paragraphs>75</Paragraphs>
  <ScaleCrop>false</ScaleCrop>
  <Company/>
  <LinksUpToDate>false</LinksUpToDate>
  <CharactersWithSpaces>37770</CharactersWithSpaces>
  <SharedDoc>false</SharedDoc>
  <HLinks>
    <vt:vector size="48" baseType="variant">
      <vt:variant>
        <vt:i4>3735602</vt:i4>
      </vt:variant>
      <vt:variant>
        <vt:i4>15</vt:i4>
      </vt:variant>
      <vt:variant>
        <vt:i4>0</vt:i4>
      </vt:variant>
      <vt:variant>
        <vt:i4>5</vt:i4>
      </vt:variant>
      <vt:variant>
        <vt:lpwstr>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vt:lpwstr>
      </vt:variant>
      <vt:variant>
        <vt:lpwstr/>
      </vt:variant>
      <vt:variant>
        <vt:i4>7340065</vt:i4>
      </vt:variant>
      <vt:variant>
        <vt:i4>12</vt:i4>
      </vt:variant>
      <vt:variant>
        <vt:i4>0</vt:i4>
      </vt:variant>
      <vt:variant>
        <vt:i4>5</vt:i4>
      </vt:variant>
      <vt:variant>
        <vt:lpwstr>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vt:lpwstr>
      </vt:variant>
      <vt:variant>
        <vt:lpwstr/>
      </vt:variant>
      <vt:variant>
        <vt:i4>7405601</vt:i4>
      </vt:variant>
      <vt:variant>
        <vt:i4>9</vt:i4>
      </vt:variant>
      <vt:variant>
        <vt:i4>0</vt:i4>
      </vt:variant>
      <vt:variant>
        <vt:i4>5</vt:i4>
      </vt:variant>
      <vt:variant>
        <vt:lpwstr>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vt:lpwstr>
      </vt:variant>
      <vt:variant>
        <vt:lpwstr/>
      </vt:variant>
      <vt:variant>
        <vt:i4>2424938</vt:i4>
      </vt:variant>
      <vt:variant>
        <vt:i4>6</vt:i4>
      </vt:variant>
      <vt:variant>
        <vt:i4>0</vt:i4>
      </vt:variant>
      <vt:variant>
        <vt:i4>5</vt:i4>
      </vt:variant>
      <vt:variant>
        <vt:lpwstr>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3407872</vt:i4>
      </vt:variant>
      <vt:variant>
        <vt:i4>0</vt:i4>
      </vt:variant>
      <vt:variant>
        <vt:i4>0</vt:i4>
      </vt:variant>
      <vt:variant>
        <vt:i4>5</vt:i4>
      </vt:variant>
      <vt:variant>
        <vt:lpwstr>http://www.secretariasenado.gov.co/senado/basedoc/decreto_1494_2015.html</vt:lpwstr>
      </vt:variant>
      <vt:variant>
        <vt:lpwstr>1</vt:lpwstr>
      </vt:variant>
      <vt:variant>
        <vt:i4>3080211</vt:i4>
      </vt:variant>
      <vt:variant>
        <vt:i4>3</vt:i4>
      </vt:variant>
      <vt:variant>
        <vt:i4>0</vt:i4>
      </vt:variant>
      <vt:variant>
        <vt:i4>5</vt:i4>
      </vt:variant>
      <vt:variant>
        <vt:lpwstr>https://www.funcionpublica.gov.co/eva/gestornormativo/norma.php?i=43292</vt:lpwstr>
      </vt:variant>
      <vt:variant>
        <vt:lpwstr>0</vt:lpwstr>
      </vt:variant>
      <vt:variant>
        <vt:i4>1769492</vt:i4>
      </vt:variant>
      <vt:variant>
        <vt:i4>0</vt:i4>
      </vt:variant>
      <vt:variant>
        <vt:i4>0</vt:i4>
      </vt:variant>
      <vt:variant>
        <vt:i4>5</vt:i4>
      </vt:variant>
      <vt:variant>
        <vt:lpwstr>https://www.funcionpublica.gov.co/eva/gestornormativo/norma.php?i=43292</vt:lpwstr>
      </vt:variant>
      <vt:variant>
        <vt:lpwstr>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2023-01-11T00:18:00Z</cp:lastPrinted>
  <dcterms:created xsi:type="dcterms:W3CDTF">2026-10-06T15:52:00Z</dcterms:created>
  <dcterms:modified xsi:type="dcterms:W3CDTF">2026-10-09T15:42:00Z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