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934C" w14:textId="77777777" w:rsidR="00AB1D65" w:rsidRPr="00AB1D65" w:rsidRDefault="003108F3" w:rsidP="00AB1D65">
      <w:pPr>
        <w:spacing w:line="240" w:lineRule="auto"/>
        <w:jc w:val="both"/>
        <w:rPr>
          <w:rFonts w:ascii="Verdana" w:eastAsia="Calibri" w:hAnsi="Verdana" w:cs="Arial"/>
          <w:b/>
          <w:bCs/>
          <w:sz w:val="20"/>
          <w:szCs w:val="20"/>
          <w:lang w:val="es-ES" w:eastAsia="es-ES"/>
        </w:rPr>
      </w:pPr>
      <w:bookmarkStart w:id="0" w:name="_Hlk143780582"/>
      <w:r w:rsidRPr="00AB1D65">
        <w:rPr>
          <w:rFonts w:ascii="Verdana" w:eastAsia="Calibri" w:hAnsi="Verdana" w:cs="Arial"/>
          <w:b/>
          <w:bCs/>
          <w:sz w:val="20"/>
          <w:szCs w:val="20"/>
          <w:lang w:val="es-ES" w:eastAsia="es-ES"/>
        </w:rPr>
        <w:t xml:space="preserve">CONTRATO DE PRESTACIÓN DE SERVICIOS – Noción – Características </w:t>
      </w:r>
    </w:p>
    <w:p w14:paraId="1C999E9A" w14:textId="65312751" w:rsidR="00AB1D65" w:rsidRPr="00963E4D" w:rsidRDefault="00AB1D65" w:rsidP="00AB1D65">
      <w:pPr>
        <w:spacing w:line="240" w:lineRule="auto"/>
        <w:jc w:val="both"/>
        <w:rPr>
          <w:rFonts w:ascii="Verdana" w:eastAsia="Calibri" w:hAnsi="Verdana" w:cs="Arial"/>
          <w:color w:val="000000"/>
          <w:sz w:val="20"/>
          <w:szCs w:val="20"/>
          <w:lang w:val="es-ES_tradnl"/>
        </w:rPr>
      </w:pPr>
      <w:r w:rsidRPr="00AB1D65">
        <w:rPr>
          <w:rFonts w:ascii="Verdana" w:eastAsia="Calibri" w:hAnsi="Verdana" w:cs="Arial"/>
          <w:color w:val="000000"/>
          <w:sz w:val="20"/>
          <w:szCs w:val="20"/>
          <w:lang w:val="es-ES_tradnl"/>
        </w:rPr>
        <w:t>El contrato de prestación de servicios es uno de los tipos contractuales consagrados en el Estatuto General de Contratación de la Administración Pública, que pueden celebrar las entidades estatales. Históricamente, dicha tipología se encontraba regulada en el artículo 138 del Decreto Ley 150 del 1976 y en el artículo 163 del Decreto Ley 222 de 1983. Se trata de un contrato típico, ya que se encuentra definido en la ley y, por tanto, en las condiciones descritas en los artículos 13, 32 y 40 del EGCAP, su regulación desplaza las reglas del arrendamiento de servicios inmateriales de que tratan los artículos 2063 y siguientes del Código Civil.</w:t>
      </w:r>
    </w:p>
    <w:p w14:paraId="7513BC8B" w14:textId="1DE9D920" w:rsidR="003108F3" w:rsidRDefault="003108F3" w:rsidP="00AB1D65">
      <w:pPr>
        <w:jc w:val="both"/>
        <w:rPr>
          <w:rFonts w:ascii="Verdana" w:eastAsia="Calibri" w:hAnsi="Verdana" w:cs="Arial"/>
          <w:b/>
          <w:bCs/>
          <w:lang w:val="es-ES" w:eastAsia="es-ES"/>
        </w:rPr>
      </w:pPr>
      <w:r w:rsidRPr="00AB1D65">
        <w:rPr>
          <w:rFonts w:ascii="Verdana" w:eastAsia="Calibri" w:hAnsi="Verdana" w:cs="Arial"/>
          <w:b/>
          <w:bCs/>
          <w:lang w:val="es-ES" w:eastAsia="es-ES"/>
        </w:rPr>
        <w:t>HONORARIOS – Autonomía de la voluntad – Tablas de honorarios – Carácter facultativo</w:t>
      </w:r>
    </w:p>
    <w:p w14:paraId="50301BDB" w14:textId="77777777" w:rsidR="00963E4D" w:rsidRPr="00963E4D" w:rsidRDefault="00963E4D" w:rsidP="00963E4D">
      <w:pPr>
        <w:spacing w:after="120" w:line="240" w:lineRule="auto"/>
        <w:jc w:val="both"/>
        <w:rPr>
          <w:rFonts w:ascii="Verdana" w:eastAsia="Calibri" w:hAnsi="Verdana" w:cs="Arial"/>
          <w:bCs/>
          <w:color w:val="000000"/>
          <w:kern w:val="2"/>
          <w:sz w:val="20"/>
          <w:szCs w:val="20"/>
          <w14:ligatures w14:val="standardContextual"/>
        </w:rPr>
      </w:pPr>
      <w:r w:rsidRPr="00963E4D">
        <w:rPr>
          <w:rFonts w:ascii="Verdana" w:eastAsia="Calibri" w:hAnsi="Verdana" w:cs="Arial"/>
          <w:bCs/>
          <w:color w:val="000000"/>
          <w:kern w:val="2"/>
          <w:sz w:val="20"/>
          <w:szCs w:val="20"/>
          <w14:ligatures w14:val="standardContextual"/>
        </w:rPr>
        <w:t>Ahora bien, e</w:t>
      </w:r>
      <w:r w:rsidRPr="00963E4D">
        <w:rPr>
          <w:rFonts w:ascii="Verdana" w:eastAsia="Times New Roman" w:hAnsi="Verdana" w:cs="Times New Roman"/>
          <w:sz w:val="20"/>
          <w:szCs w:val="20"/>
          <w:lang w:eastAsia="es-MX"/>
        </w:rPr>
        <w:t xml:space="preserve">l pago, denominado honorarios, constituye la retribución por una obligación de hacer, que se materializa en la ejecución de las obligaciones pactadas para satisfacer una necesidad de la entidad pública. </w:t>
      </w:r>
      <w:r w:rsidRPr="00963E4D">
        <w:rPr>
          <w:rFonts w:ascii="Verdana" w:eastAsia="Calibri" w:hAnsi="Verdana" w:cs="Arial"/>
          <w:bCs/>
          <w:color w:val="000000"/>
          <w:kern w:val="2"/>
          <w:sz w:val="20"/>
          <w:szCs w:val="20"/>
          <w14:ligatures w14:val="standardContextual"/>
        </w:rPr>
        <w:t>Cabe resaltar, que ni la Ley 80 de 1993, ni la Ley 1150 de 2007, ni el Decreto 1082 de 2015 establecen la obligatoriedad de implementar tablas de honorarios, estandarizar perfiles, ni fijar condiciones uniformes para el pago de los honorarios en los contratos de prestación de servicios. No obstante, ello no impide que las entidades, en ejercicio de su discrecionalidad, puedan adoptar tales medidas si lo consideran pertinente.</w:t>
      </w:r>
    </w:p>
    <w:p w14:paraId="60A97873" w14:textId="77777777" w:rsidR="00963E4D" w:rsidRPr="00963E4D" w:rsidRDefault="00963E4D" w:rsidP="00963E4D">
      <w:pPr>
        <w:spacing w:after="120" w:line="240" w:lineRule="auto"/>
        <w:jc w:val="both"/>
        <w:rPr>
          <w:rFonts w:ascii="Verdana" w:eastAsia="Calibri" w:hAnsi="Verdana" w:cs="Arial"/>
          <w:bCs/>
          <w:color w:val="000000"/>
          <w:kern w:val="2"/>
          <w:sz w:val="20"/>
          <w:szCs w:val="20"/>
          <w14:ligatures w14:val="standardContextual"/>
        </w:rPr>
      </w:pPr>
      <w:r w:rsidRPr="00963E4D">
        <w:rPr>
          <w:rFonts w:ascii="Verdana" w:eastAsia="Calibri" w:hAnsi="Verdana" w:cs="Arial"/>
          <w:bCs/>
          <w:color w:val="000000"/>
          <w:kern w:val="2"/>
          <w:sz w:val="20"/>
          <w:szCs w:val="20"/>
          <w14:ligatures w14:val="standardContextual"/>
        </w:rPr>
        <w:t xml:space="preserve">Dichas tablas se adoptan usualmente a través de resoluciones internas, actos administrativos de carácter general y con vocación de permanencia en el tiempo que regulan diferentes escalas de pago en función de criterios como la formación académica, la experiencia u otros factores relevantes para la remuneración. El establecimiento de las escalas de pago debe ser resultado de un análisis técnico y económico de las variables necesarias para fijar los honorarios; razón por la cual, este </w:t>
      </w:r>
      <w:r w:rsidRPr="00963E4D">
        <w:rPr>
          <w:rFonts w:ascii="Verdana" w:eastAsia="Calibri" w:hAnsi="Verdana" w:cs="Arial"/>
          <w:bCs/>
          <w:i/>
          <w:iCs/>
          <w:color w:val="000000"/>
          <w:kern w:val="2"/>
          <w:sz w:val="20"/>
          <w:szCs w:val="20"/>
          <w14:ligatures w14:val="standardContextual"/>
        </w:rPr>
        <w:t>estudio de mercado general previo</w:t>
      </w:r>
      <w:r w:rsidRPr="00963E4D">
        <w:rPr>
          <w:rFonts w:ascii="Verdana" w:eastAsia="Calibri" w:hAnsi="Verdana" w:cs="Arial"/>
          <w:bCs/>
          <w:color w:val="000000"/>
          <w:kern w:val="2"/>
          <w:sz w:val="20"/>
          <w:szCs w:val="20"/>
          <w14:ligatures w14:val="standardContextual"/>
        </w:rPr>
        <w:t xml:space="preserve"> debe tomarse en cuenta para el </w:t>
      </w:r>
      <w:r w:rsidRPr="00963E4D">
        <w:rPr>
          <w:rFonts w:ascii="Verdana" w:eastAsia="Calibri" w:hAnsi="Verdana" w:cs="Arial"/>
          <w:bCs/>
          <w:i/>
          <w:iCs/>
          <w:color w:val="000000"/>
          <w:kern w:val="2"/>
          <w:sz w:val="20"/>
          <w:szCs w:val="20"/>
          <w14:ligatures w14:val="standardContextual"/>
        </w:rPr>
        <w:t>análisis del sector</w:t>
      </w:r>
      <w:r w:rsidRPr="00963E4D">
        <w:rPr>
          <w:rFonts w:ascii="Verdana" w:eastAsia="Calibri" w:hAnsi="Verdana" w:cs="Arial"/>
          <w:bCs/>
          <w:color w:val="000000"/>
          <w:kern w:val="2"/>
          <w:sz w:val="20"/>
          <w:szCs w:val="20"/>
          <w14:ligatures w14:val="standardContextual"/>
        </w:rPr>
        <w:t xml:space="preserve"> que corresponde a cada contrato de prestación de servicios, pues a través del primero se justifica el valor del objeto contratado. En esta medida, la estandarización del </w:t>
      </w:r>
      <w:r w:rsidRPr="00963E4D">
        <w:rPr>
          <w:rFonts w:ascii="Verdana" w:eastAsia="Calibri" w:hAnsi="Verdana" w:cs="Arial"/>
          <w:bCs/>
          <w:i/>
          <w:iCs/>
          <w:color w:val="000000"/>
          <w:kern w:val="2"/>
          <w:sz w:val="20"/>
          <w:szCs w:val="20"/>
          <w14:ligatures w14:val="standardContextual"/>
        </w:rPr>
        <w:t>estudio de mercado general previo</w:t>
      </w:r>
      <w:r w:rsidRPr="00963E4D">
        <w:rPr>
          <w:rFonts w:ascii="Verdana" w:eastAsia="Calibri" w:hAnsi="Verdana" w:cs="Arial"/>
          <w:bCs/>
          <w:color w:val="000000"/>
          <w:kern w:val="2"/>
          <w:sz w:val="20"/>
          <w:szCs w:val="20"/>
          <w14:ligatures w14:val="standardContextual"/>
        </w:rPr>
        <w:t xml:space="preserve"> no suple los </w:t>
      </w:r>
      <w:r w:rsidRPr="00963E4D">
        <w:rPr>
          <w:rFonts w:ascii="Verdana" w:eastAsia="Calibri" w:hAnsi="Verdana" w:cs="Arial"/>
          <w:bCs/>
          <w:i/>
          <w:iCs/>
          <w:color w:val="000000"/>
          <w:kern w:val="2"/>
          <w:sz w:val="20"/>
          <w:szCs w:val="20"/>
          <w14:ligatures w14:val="standardContextual"/>
        </w:rPr>
        <w:t>análisis del sector en cada contrato específico</w:t>
      </w:r>
      <w:r w:rsidRPr="00963E4D">
        <w:rPr>
          <w:rFonts w:ascii="Verdana" w:eastAsia="Calibri" w:hAnsi="Verdana" w:cs="Arial"/>
          <w:bCs/>
          <w:color w:val="000000"/>
          <w:kern w:val="2"/>
          <w:sz w:val="20"/>
          <w:szCs w:val="20"/>
          <w14:ligatures w14:val="standardContextual"/>
        </w:rPr>
        <w:t>, pero es un punto de partida que facilita la elaboración de estos últimos.</w:t>
      </w:r>
    </w:p>
    <w:p w14:paraId="02D8BF50" w14:textId="77777777" w:rsidR="00963E4D" w:rsidRPr="00AB1D65" w:rsidRDefault="00963E4D" w:rsidP="00AB1D65">
      <w:pPr>
        <w:jc w:val="both"/>
        <w:rPr>
          <w:rFonts w:ascii="Verdana" w:eastAsia="Verdana" w:hAnsi="Verdana" w:cs="Verdana"/>
          <w:b/>
          <w:bCs/>
        </w:rPr>
      </w:pPr>
    </w:p>
    <w:p w14:paraId="5A687144" w14:textId="77777777" w:rsidR="003108F3" w:rsidRDefault="003108F3">
      <w:pPr>
        <w:rPr>
          <w:rFonts w:ascii="Verdana" w:eastAsia="Verdana" w:hAnsi="Verdana" w:cs="Verdana"/>
        </w:rPr>
      </w:pPr>
      <w:r>
        <w:rPr>
          <w:rFonts w:ascii="Verdana" w:eastAsia="Verdana" w:hAnsi="Verdana" w:cs="Verdana"/>
        </w:rPr>
        <w:br w:type="page"/>
      </w:r>
    </w:p>
    <w:p w14:paraId="1468C46D" w14:textId="4C8C1C60" w:rsidR="00C15139" w:rsidRPr="0024624F" w:rsidRDefault="00AB1D65" w:rsidP="30821638">
      <w:pPr>
        <w:spacing w:after="0"/>
        <w:rPr>
          <w:rFonts w:ascii="Verdana" w:eastAsia="Verdana" w:hAnsi="Verdana" w:cs="Verdana"/>
        </w:rPr>
      </w:pPr>
      <w:r w:rsidRPr="00AB1D65">
        <w:rPr>
          <w:rFonts w:ascii="Verdana" w:eastAsia="Verdana" w:hAnsi="Verdana" w:cs="Verdana"/>
        </w:rPr>
        <w:lastRenderedPageBreak/>
        <w:drawing>
          <wp:anchor distT="0" distB="0" distL="114300" distR="114300" simplePos="0" relativeHeight="251658240" behindDoc="1" locked="0" layoutInCell="1" allowOverlap="1" wp14:anchorId="64BB90EB" wp14:editId="64F3FC2B">
            <wp:simplePos x="0" y="0"/>
            <wp:positionH relativeFrom="margin">
              <wp:align>right</wp:align>
            </wp:positionH>
            <wp:positionV relativeFrom="paragraph">
              <wp:posOffset>4775</wp:posOffset>
            </wp:positionV>
            <wp:extent cx="2511552" cy="667131"/>
            <wp:effectExtent l="0" t="0" r="3175" b="0"/>
            <wp:wrapNone/>
            <wp:docPr id="160617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7353" name=""/>
                    <pic:cNvPicPr/>
                  </pic:nvPicPr>
                  <pic:blipFill>
                    <a:blip r:embed="rId10">
                      <a:extLst>
                        <a:ext uri="{28A0092B-C50C-407E-A947-70E740481C1C}">
                          <a14:useLocalDpi xmlns:a14="http://schemas.microsoft.com/office/drawing/2010/main" val="0"/>
                        </a:ext>
                      </a:extLst>
                    </a:blip>
                    <a:stretch>
                      <a:fillRect/>
                    </a:stretch>
                  </pic:blipFill>
                  <pic:spPr>
                    <a:xfrm>
                      <a:off x="0" y="0"/>
                      <a:ext cx="2511552" cy="667131"/>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Bogotá D.C.,</w:t>
      </w:r>
      <w:r>
        <w:rPr>
          <w:rFonts w:ascii="Verdana" w:eastAsia="Verdana" w:hAnsi="Verdana" w:cs="Verdana"/>
        </w:rPr>
        <w:t xml:space="preserve"> 06 Octubre 2026</w:t>
      </w:r>
      <w:r w:rsidR="00C15139">
        <w:tab/>
      </w:r>
      <w:r w:rsidR="00C15139">
        <w:br/>
      </w:r>
      <w:r w:rsidR="00C15139">
        <w:tab/>
      </w:r>
    </w:p>
    <w:p w14:paraId="4C984235" w14:textId="77777777" w:rsidR="002E0DBC" w:rsidRPr="00CB7B00" w:rsidRDefault="002E0DBC" w:rsidP="002E0DBC">
      <w:pPr>
        <w:spacing w:after="0" w:line="276" w:lineRule="auto"/>
        <w:jc w:val="both"/>
        <w:rPr>
          <w:rFonts w:ascii="Verdana" w:eastAsia="Calibri" w:hAnsi="Verdana" w:cs="Arial"/>
          <w:lang w:eastAsia="es-ES"/>
        </w:rPr>
      </w:pPr>
      <w:r w:rsidRPr="00CB7B00">
        <w:rPr>
          <w:rFonts w:ascii="Verdana" w:eastAsia="Calibri" w:hAnsi="Verdana" w:cs="Arial"/>
          <w:lang w:eastAsia="es-ES"/>
        </w:rPr>
        <w:t>Señor</w:t>
      </w:r>
      <w:r w:rsidRPr="00DA1A73">
        <w:rPr>
          <w:noProof/>
        </w:rPr>
        <w:t xml:space="preserve"> </w:t>
      </w:r>
    </w:p>
    <w:p w14:paraId="0830B7FC" w14:textId="079B1FC4" w:rsidR="002E0DBC" w:rsidRPr="00CB7B00" w:rsidRDefault="00DE516F" w:rsidP="002E0DBC">
      <w:pPr>
        <w:spacing w:after="0" w:line="276" w:lineRule="auto"/>
        <w:rPr>
          <w:rFonts w:ascii="Verdana" w:eastAsia="Calibri" w:hAnsi="Verdana" w:cs="Times New Roman"/>
          <w:b/>
          <w:bCs/>
        </w:rPr>
      </w:pPr>
      <w:r>
        <w:rPr>
          <w:rFonts w:ascii="Verdana" w:eastAsia="Calibri" w:hAnsi="Verdana" w:cs="Times New Roman"/>
          <w:b/>
          <w:bCs/>
        </w:rPr>
        <w:t>Andrés Felipe G</w:t>
      </w:r>
      <w:r w:rsidR="00441389">
        <w:rPr>
          <w:rFonts w:ascii="Verdana" w:eastAsia="Calibri" w:hAnsi="Verdana" w:cs="Times New Roman"/>
          <w:b/>
          <w:bCs/>
        </w:rPr>
        <w:t>uzm</w:t>
      </w:r>
      <w:r w:rsidR="00583F7C">
        <w:rPr>
          <w:rFonts w:ascii="Verdana" w:eastAsia="Calibri" w:hAnsi="Verdana" w:cs="Times New Roman"/>
          <w:b/>
          <w:bCs/>
        </w:rPr>
        <w:t>á</w:t>
      </w:r>
      <w:r w:rsidR="00441389">
        <w:rPr>
          <w:rFonts w:ascii="Verdana" w:eastAsia="Calibri" w:hAnsi="Verdana" w:cs="Times New Roman"/>
          <w:b/>
          <w:bCs/>
        </w:rPr>
        <w:t>n Rojas</w:t>
      </w:r>
    </w:p>
    <w:p w14:paraId="25B6037B" w14:textId="44F3C6EE" w:rsidR="00441389" w:rsidRPr="00441389" w:rsidRDefault="00441389" w:rsidP="002E0DBC">
      <w:pPr>
        <w:spacing w:after="0" w:line="276" w:lineRule="auto"/>
        <w:rPr>
          <w:rFonts w:ascii="Verdana" w:hAnsi="Verdana"/>
        </w:rPr>
      </w:pPr>
      <w:hyperlink r:id="rId11" w:history="1">
        <w:r w:rsidRPr="00441389">
          <w:rPr>
            <w:rStyle w:val="Hipervnculo"/>
            <w:rFonts w:ascii="Verdana" w:hAnsi="Verdana"/>
          </w:rPr>
          <w:t>andresabog@outlook.com</w:t>
        </w:r>
      </w:hyperlink>
    </w:p>
    <w:p w14:paraId="6867A1D9" w14:textId="64C99DC2" w:rsidR="002E0DBC" w:rsidRPr="00CB7B00" w:rsidRDefault="002E0DBC" w:rsidP="002E0DBC">
      <w:pPr>
        <w:spacing w:after="0" w:line="276" w:lineRule="auto"/>
        <w:rPr>
          <w:rFonts w:ascii="Verdana" w:hAnsi="Verdana"/>
        </w:rPr>
      </w:pPr>
      <w:r>
        <w:rPr>
          <w:rFonts w:ascii="Verdana" w:hAnsi="Verdana"/>
        </w:rPr>
        <w:t>Ciudad</w:t>
      </w:r>
    </w:p>
    <w:p w14:paraId="6AB90195" w14:textId="77777777" w:rsidR="002E0DBC" w:rsidRPr="00CB7B00" w:rsidRDefault="002E0DBC" w:rsidP="002E0DBC">
      <w:pPr>
        <w:spacing w:after="0" w:line="276" w:lineRule="auto"/>
        <w:rPr>
          <w:rFonts w:ascii="Verdana" w:hAnsi="Verdana"/>
        </w:rPr>
      </w:pPr>
    </w:p>
    <w:p w14:paraId="567EA5B7" w14:textId="76DFBAC7" w:rsidR="002E0DBC" w:rsidRPr="00CB7B00" w:rsidRDefault="002E0DBC" w:rsidP="002E0DBC">
      <w:pPr>
        <w:spacing w:line="276" w:lineRule="auto"/>
        <w:ind w:left="2124"/>
        <w:rPr>
          <w:rFonts w:ascii="Verdana" w:eastAsia="Calibri" w:hAnsi="Verdana" w:cs="Arial"/>
          <w:b/>
          <w:bCs/>
          <w:lang w:eastAsia="es-ES"/>
        </w:rPr>
      </w:pPr>
      <w:r w:rsidRPr="00CB7B00">
        <w:rPr>
          <w:rFonts w:ascii="Verdana" w:eastAsia="Calibri" w:hAnsi="Verdana" w:cs="Arial"/>
          <w:b/>
          <w:bCs/>
          <w:lang w:eastAsia="es-ES"/>
        </w:rPr>
        <w:t xml:space="preserve">        Concepto </w:t>
      </w:r>
      <w:r w:rsidR="00E170E3" w:rsidRPr="00E170E3">
        <w:rPr>
          <w:rFonts w:ascii="Verdana" w:eastAsia="Calibri" w:hAnsi="Verdana" w:cs="Arial"/>
          <w:b/>
          <w:bCs/>
          <w:lang w:eastAsia="es-ES"/>
        </w:rPr>
        <w:t>C-1546</w:t>
      </w:r>
      <w:r w:rsidR="00E170E3">
        <w:rPr>
          <w:rFonts w:ascii="Verdana" w:eastAsia="Calibri" w:hAnsi="Verdana" w:cs="Arial"/>
          <w:b/>
          <w:bCs/>
          <w:lang w:eastAsia="es-ES"/>
        </w:rPr>
        <w:t xml:space="preserve"> </w:t>
      </w:r>
      <w:r w:rsidRPr="00CB7B00">
        <w:rPr>
          <w:rFonts w:ascii="Verdana" w:eastAsia="Calibri" w:hAnsi="Verdana" w:cs="Arial"/>
          <w:b/>
          <w:bCs/>
          <w:lang w:eastAsia="es-ES"/>
        </w:rPr>
        <w:t>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E0DBC" w:rsidRPr="00CB7B00" w14:paraId="00D9E1FA" w14:textId="77777777" w:rsidTr="00CF0FFC">
        <w:trPr>
          <w:trHeight w:val="884"/>
        </w:trPr>
        <w:tc>
          <w:tcPr>
            <w:tcW w:w="2689" w:type="dxa"/>
          </w:tcPr>
          <w:p w14:paraId="53A84F98" w14:textId="77777777" w:rsidR="002E0DBC" w:rsidRPr="00CB7B00" w:rsidRDefault="002E0DBC" w:rsidP="00CF0FFC">
            <w:pPr>
              <w:spacing w:line="276" w:lineRule="auto"/>
              <w:jc w:val="both"/>
              <w:rPr>
                <w:rFonts w:ascii="Verdana" w:eastAsia="Calibri" w:hAnsi="Verdana" w:cs="Arial"/>
                <w:color w:val="000000"/>
                <w:lang w:eastAsia="es-ES_tradnl"/>
              </w:rPr>
            </w:pPr>
            <w:r w:rsidRPr="00CB7B00">
              <w:rPr>
                <w:rFonts w:ascii="Verdana" w:eastAsia="Calibri" w:hAnsi="Verdana" w:cs="Arial"/>
                <w:b/>
                <w:color w:val="000000"/>
                <w:lang w:eastAsia="es-ES_tradnl"/>
              </w:rPr>
              <w:t>Temas:</w:t>
            </w:r>
            <w:r w:rsidRPr="00CB7B00">
              <w:rPr>
                <w:rFonts w:ascii="Verdana" w:eastAsia="Calibri" w:hAnsi="Verdana" w:cs="Arial"/>
                <w:color w:val="000000"/>
                <w:lang w:eastAsia="es-ES_tradnl"/>
              </w:rPr>
              <w:t xml:space="preserve">                   </w:t>
            </w:r>
          </w:p>
        </w:tc>
        <w:tc>
          <w:tcPr>
            <w:tcW w:w="6100" w:type="dxa"/>
          </w:tcPr>
          <w:p w14:paraId="7E646838" w14:textId="743B508B" w:rsidR="000F7067" w:rsidRDefault="000F7067" w:rsidP="000F7067">
            <w:pPr>
              <w:spacing w:line="276" w:lineRule="auto"/>
              <w:jc w:val="both"/>
              <w:rPr>
                <w:rFonts w:ascii="Verdana" w:eastAsia="Calibri" w:hAnsi="Verdana" w:cs="Arial"/>
                <w:lang w:val="es-ES" w:eastAsia="es-ES"/>
              </w:rPr>
            </w:pPr>
            <w:r w:rsidRPr="000666BB">
              <w:rPr>
                <w:rFonts w:ascii="Verdana" w:eastAsia="Calibri" w:hAnsi="Verdana" w:cs="Arial"/>
                <w:lang w:val="es-ES" w:eastAsia="es-ES"/>
              </w:rPr>
              <w:t xml:space="preserve">CONTRATO DE PRESTACIÓN DE SERVICIOS – Noción – Características </w:t>
            </w:r>
            <w:r>
              <w:rPr>
                <w:rFonts w:ascii="Verdana" w:eastAsia="Calibri" w:hAnsi="Verdana" w:cs="Arial"/>
                <w:lang w:val="es-ES" w:eastAsia="es-ES"/>
              </w:rPr>
              <w:t xml:space="preserve">/ </w:t>
            </w:r>
            <w:r w:rsidRPr="002314D1">
              <w:rPr>
                <w:rFonts w:ascii="Verdana" w:eastAsia="Calibri" w:hAnsi="Verdana" w:cs="Arial"/>
                <w:lang w:val="es-ES" w:eastAsia="es-ES"/>
              </w:rPr>
              <w:t>HONORARIOS – Autonomía de la voluntad – Tablas de honorarios – Carácter facultativo</w:t>
            </w:r>
          </w:p>
          <w:p w14:paraId="270B8AD5" w14:textId="77777777" w:rsidR="002E0DBC" w:rsidRPr="00CB7B00" w:rsidRDefault="002E0DBC" w:rsidP="00CF0FFC">
            <w:pPr>
              <w:jc w:val="both"/>
              <w:rPr>
                <w:rFonts w:ascii="Verdana" w:eastAsia="Calibri" w:hAnsi="Verdana" w:cs="Arial"/>
                <w:lang w:eastAsia="es-ES"/>
              </w:rPr>
            </w:pPr>
          </w:p>
        </w:tc>
      </w:tr>
      <w:tr w:rsidR="002E0DBC" w:rsidRPr="00CB7B00" w14:paraId="635C9CF6" w14:textId="77777777" w:rsidTr="00CF0FFC">
        <w:tc>
          <w:tcPr>
            <w:tcW w:w="2689" w:type="dxa"/>
          </w:tcPr>
          <w:p w14:paraId="41BEEA12" w14:textId="77777777" w:rsidR="002E0DBC" w:rsidRPr="00CB7B00" w:rsidRDefault="002E0DBC" w:rsidP="00CF0FFC">
            <w:pPr>
              <w:spacing w:line="276" w:lineRule="auto"/>
              <w:jc w:val="both"/>
              <w:rPr>
                <w:rFonts w:ascii="Verdana" w:eastAsia="Calibri" w:hAnsi="Verdana" w:cs="Arial"/>
                <w:b/>
                <w:lang w:eastAsia="es-ES_tradnl"/>
              </w:rPr>
            </w:pPr>
            <w:r w:rsidRPr="00CB7B00">
              <w:rPr>
                <w:rFonts w:ascii="Verdana" w:eastAsia="Calibri" w:hAnsi="Verdana" w:cs="Arial"/>
                <w:b/>
                <w:lang w:eastAsia="es-ES_tradnl"/>
              </w:rPr>
              <w:t>Radicación:</w:t>
            </w:r>
            <w:r w:rsidRPr="00CB7B00">
              <w:rPr>
                <w:rFonts w:ascii="Verdana" w:eastAsia="Calibri" w:hAnsi="Verdana" w:cs="Arial"/>
                <w:lang w:eastAsia="es-ES_tradnl"/>
              </w:rPr>
              <w:t xml:space="preserve">               </w:t>
            </w:r>
          </w:p>
        </w:tc>
        <w:tc>
          <w:tcPr>
            <w:tcW w:w="6100" w:type="dxa"/>
          </w:tcPr>
          <w:p w14:paraId="54267B7F" w14:textId="62ED3955" w:rsidR="002E0DBC" w:rsidRPr="00CB7B00" w:rsidRDefault="002E0DBC" w:rsidP="00CF0FFC">
            <w:pPr>
              <w:spacing w:line="276" w:lineRule="auto"/>
              <w:jc w:val="both"/>
              <w:rPr>
                <w:rFonts w:ascii="Verdana" w:eastAsia="Calibri" w:hAnsi="Verdana" w:cs="Arial"/>
                <w:lang w:eastAsia="es-ES_tradnl"/>
              </w:rPr>
            </w:pPr>
            <w:r w:rsidRPr="00CB7B00">
              <w:rPr>
                <w:rFonts w:ascii="Verdana" w:eastAsia="Calibri" w:hAnsi="Verdana" w:cs="Arial"/>
                <w:lang w:eastAsia="es-ES_tradnl"/>
              </w:rPr>
              <w:t xml:space="preserve">Respuesta a consultas con radicado No. </w:t>
            </w:r>
            <w:r w:rsidR="007A4C6A" w:rsidRPr="007A4C6A">
              <w:rPr>
                <w:rFonts w:ascii="Verdana" w:eastAsia="Calibri" w:hAnsi="Verdana" w:cs="Arial"/>
                <w:lang w:eastAsia="es-ES_tradnl"/>
              </w:rPr>
              <w:t>1_2026_09_30_013170</w:t>
            </w:r>
          </w:p>
        </w:tc>
      </w:tr>
    </w:tbl>
    <w:p w14:paraId="72FE83CC" w14:textId="5614D98A" w:rsidR="002E0DBC" w:rsidRPr="00CB7B00" w:rsidRDefault="002E0DBC" w:rsidP="002E0DBC">
      <w:pPr>
        <w:spacing w:before="240" w:after="0" w:line="276" w:lineRule="auto"/>
        <w:jc w:val="both"/>
        <w:rPr>
          <w:rFonts w:ascii="Verdana" w:eastAsia="Calibri" w:hAnsi="Verdana" w:cs="Arial"/>
          <w:lang w:eastAsia="es-ES"/>
        </w:rPr>
      </w:pPr>
      <w:r w:rsidRPr="00CB7B00">
        <w:rPr>
          <w:rFonts w:ascii="Verdana" w:eastAsia="Calibri" w:hAnsi="Verdana" w:cs="Arial"/>
          <w:lang w:eastAsia="es-ES"/>
        </w:rPr>
        <w:t>Estimad</w:t>
      </w:r>
      <w:r>
        <w:rPr>
          <w:rFonts w:ascii="Verdana" w:eastAsia="Calibri" w:hAnsi="Verdana" w:cs="Arial"/>
          <w:lang w:eastAsia="es-ES"/>
        </w:rPr>
        <w:t>o</w:t>
      </w:r>
      <w:r w:rsidRPr="00CB7B00">
        <w:rPr>
          <w:rFonts w:ascii="Verdana" w:eastAsia="Calibri" w:hAnsi="Verdana" w:cs="Arial"/>
          <w:lang w:eastAsia="es-ES"/>
        </w:rPr>
        <w:t xml:space="preserve"> señor </w:t>
      </w:r>
      <w:r>
        <w:rPr>
          <w:rFonts w:ascii="Verdana" w:eastAsia="Calibri" w:hAnsi="Verdana" w:cs="Arial"/>
          <w:lang w:eastAsia="es-ES"/>
        </w:rPr>
        <w:t>G</w:t>
      </w:r>
      <w:r w:rsidR="007A4C6A">
        <w:rPr>
          <w:rFonts w:ascii="Verdana" w:eastAsia="Calibri" w:hAnsi="Verdana" w:cs="Arial"/>
          <w:lang w:eastAsia="es-ES"/>
        </w:rPr>
        <w:t>uzm</w:t>
      </w:r>
      <w:r w:rsidR="00583F7C">
        <w:rPr>
          <w:rFonts w:ascii="Verdana" w:eastAsia="Calibri" w:hAnsi="Verdana" w:cs="Arial"/>
          <w:lang w:eastAsia="es-ES"/>
        </w:rPr>
        <w:t>á</w:t>
      </w:r>
      <w:r w:rsidR="007A4C6A">
        <w:rPr>
          <w:rFonts w:ascii="Verdana" w:eastAsia="Calibri" w:hAnsi="Verdana" w:cs="Arial"/>
          <w:lang w:eastAsia="es-ES"/>
        </w:rPr>
        <w:t>n</w:t>
      </w:r>
      <w:r w:rsidRPr="00CB7B00">
        <w:rPr>
          <w:rFonts w:ascii="Verdana" w:eastAsia="Calibri" w:hAnsi="Verdana" w:cs="Arial"/>
          <w:lang w:eastAsia="es-ES"/>
        </w:rPr>
        <w:t>, cordial saludo:</w:t>
      </w:r>
    </w:p>
    <w:p w14:paraId="291321AC" w14:textId="568C70D4" w:rsidR="002E0DBC" w:rsidRPr="00CB7B00" w:rsidRDefault="002E0DBC" w:rsidP="002E0DBC">
      <w:pPr>
        <w:spacing w:before="240" w:after="0" w:line="276" w:lineRule="auto"/>
        <w:jc w:val="both"/>
        <w:rPr>
          <w:rFonts w:ascii="Verdana" w:eastAsia="Calibri" w:hAnsi="Verdana" w:cs="Arial"/>
          <w:i/>
          <w:iCs/>
          <w:lang w:eastAsia="es-ES"/>
        </w:rPr>
      </w:pPr>
      <w:r w:rsidRPr="00CB7B00">
        <w:rPr>
          <w:rFonts w:ascii="Verdana" w:eastAsia="Calibri" w:hAnsi="Verdana" w:cs="Arial"/>
          <w:color w:val="000000"/>
          <w:lang w:eastAsia="es-ES"/>
        </w:rPr>
        <w:t>En ejercicio de la competencia otorgada por los artículos 3, numeral 5º, y 11, numeral 8º, del Decreto Ley 4170 de 2011,</w:t>
      </w:r>
      <w:r w:rsidRPr="00CB7B00">
        <w:rPr>
          <w:rFonts w:ascii="Verdana" w:eastAsia="Arial MT" w:hAnsi="Verdana" w:cs="Arial MT"/>
          <w:lang w:eastAsia="es-ES"/>
        </w:rPr>
        <w:t xml:space="preserve"> </w:t>
      </w:r>
      <w:r w:rsidRPr="00CB7B00">
        <w:rPr>
          <w:rFonts w:ascii="Verdana" w:eastAsia="Calibri" w:hAnsi="Verdana" w:cs="Arial"/>
        </w:rPr>
        <w:t xml:space="preserve">así como lo establecido en el artículo 4 de la Resolución 1707 de 2018 expedida por esta Entidad, </w:t>
      </w:r>
      <w:r w:rsidRPr="00CB7B00">
        <w:rPr>
          <w:rFonts w:ascii="Verdana" w:eastAsia="Calibri" w:hAnsi="Verdana" w:cs="Arial"/>
          <w:color w:val="000000"/>
          <w:lang w:eastAsia="es-ES"/>
        </w:rPr>
        <w:t xml:space="preserve">la Agencia Nacional de Contratación Pública – Colombia Compra Eficiente responde su solicitud de concepto del </w:t>
      </w:r>
      <w:r w:rsidR="007A4C6A">
        <w:rPr>
          <w:rFonts w:ascii="Verdana" w:eastAsia="Calibri" w:hAnsi="Verdana" w:cs="Arial"/>
          <w:color w:val="000000"/>
          <w:lang w:eastAsia="es-ES"/>
        </w:rPr>
        <w:t>30</w:t>
      </w:r>
      <w:r w:rsidRPr="00CB7B00">
        <w:rPr>
          <w:rFonts w:ascii="Verdana" w:eastAsia="Calibri" w:hAnsi="Verdana" w:cs="Arial"/>
          <w:color w:val="000000"/>
          <w:lang w:eastAsia="es-ES"/>
        </w:rPr>
        <w:t xml:space="preserve"> de </w:t>
      </w:r>
      <w:r>
        <w:rPr>
          <w:rFonts w:ascii="Verdana" w:eastAsia="Calibri" w:hAnsi="Verdana" w:cs="Arial"/>
          <w:color w:val="000000"/>
          <w:lang w:eastAsia="es-ES"/>
        </w:rPr>
        <w:t>septiembre</w:t>
      </w:r>
      <w:r w:rsidRPr="00CB7B00">
        <w:rPr>
          <w:rFonts w:ascii="Verdana" w:eastAsia="Calibri" w:hAnsi="Verdana" w:cs="Arial"/>
          <w:color w:val="000000"/>
          <w:lang w:eastAsia="es-ES"/>
        </w:rPr>
        <w:t xml:space="preserve"> de 2026,</w:t>
      </w:r>
      <w:r w:rsidRPr="00CB7B00">
        <w:rPr>
          <w:rFonts w:ascii="Verdana" w:eastAsia="Calibri" w:hAnsi="Verdana" w:cs="Arial"/>
          <w:lang w:eastAsia="es-ES"/>
        </w:rPr>
        <w:t xml:space="preserve"> en la que manifiesta lo siguiente:</w:t>
      </w:r>
      <w:r w:rsidRPr="00CB7B00">
        <w:rPr>
          <w:rFonts w:ascii="Verdana" w:eastAsia="Calibri" w:hAnsi="Verdana" w:cs="Arial"/>
          <w:i/>
          <w:iCs/>
          <w:lang w:eastAsia="es-ES"/>
        </w:rPr>
        <w:t xml:space="preserve"> </w:t>
      </w:r>
      <w:bookmarkStart w:id="1" w:name="_Hlk95313578"/>
    </w:p>
    <w:p w14:paraId="5DFF8100" w14:textId="77777777" w:rsidR="002E0DBC" w:rsidRPr="00CB7B00" w:rsidRDefault="002E0DBC" w:rsidP="002E0DBC">
      <w:pPr>
        <w:spacing w:after="0" w:line="276" w:lineRule="auto"/>
        <w:jc w:val="both"/>
        <w:rPr>
          <w:rFonts w:ascii="Verdana" w:eastAsia="Calibri" w:hAnsi="Verdana" w:cs="Arial"/>
          <w:i/>
          <w:iCs/>
          <w:lang w:eastAsia="es-ES"/>
        </w:rPr>
      </w:pPr>
    </w:p>
    <w:p w14:paraId="2E04BBB6" w14:textId="77777777" w:rsidR="002E0DBC" w:rsidRPr="00CB7B00" w:rsidRDefault="002E0DBC" w:rsidP="002E0DBC">
      <w:pPr>
        <w:spacing w:after="0" w:line="276" w:lineRule="auto"/>
        <w:ind w:left="709" w:right="709"/>
        <w:jc w:val="both"/>
        <w:rPr>
          <w:rFonts w:ascii="Verdana" w:eastAsia="Arial" w:hAnsi="Verdana" w:cs="Arial"/>
          <w:i/>
          <w:iCs/>
          <w:color w:val="000000" w:themeColor="text1"/>
          <w:sz w:val="20"/>
          <w:szCs w:val="20"/>
        </w:rPr>
      </w:pPr>
      <w:r w:rsidRPr="00CB7B00">
        <w:rPr>
          <w:rFonts w:ascii="Verdana" w:eastAsia="Arial" w:hAnsi="Verdana" w:cs="Arial"/>
          <w:i/>
          <w:iCs/>
          <w:color w:val="000000" w:themeColor="text1"/>
          <w:sz w:val="20"/>
          <w:szCs w:val="20"/>
        </w:rPr>
        <w:t>“</w:t>
      </w:r>
      <w:bookmarkEnd w:id="1"/>
      <w:r w:rsidRPr="00CB7B00">
        <w:rPr>
          <w:rFonts w:ascii="Verdana" w:eastAsia="Arial" w:hAnsi="Verdana" w:cs="Arial"/>
          <w:i/>
          <w:iCs/>
          <w:color w:val="000000" w:themeColor="text1"/>
          <w:sz w:val="20"/>
          <w:szCs w:val="20"/>
        </w:rPr>
        <w:t xml:space="preserve">(…) </w:t>
      </w:r>
    </w:p>
    <w:p w14:paraId="06A1FF60" w14:textId="77777777" w:rsidR="002E0DBC" w:rsidRPr="00CB7B00" w:rsidRDefault="002E0DBC" w:rsidP="002E0DBC">
      <w:pPr>
        <w:spacing w:after="0" w:line="276" w:lineRule="auto"/>
        <w:ind w:left="709" w:right="709"/>
        <w:jc w:val="both"/>
        <w:rPr>
          <w:rFonts w:ascii="Verdana" w:eastAsia="Arial" w:hAnsi="Verdana" w:cs="Arial"/>
          <w:i/>
          <w:iCs/>
          <w:color w:val="000000" w:themeColor="text1"/>
          <w:sz w:val="20"/>
          <w:szCs w:val="20"/>
        </w:rPr>
      </w:pPr>
    </w:p>
    <w:p w14:paraId="0CCF8F6E" w14:textId="77777777" w:rsidR="006D5A54" w:rsidRPr="006D5A54" w:rsidRDefault="006D5A54" w:rsidP="006D5A54">
      <w:pPr>
        <w:numPr>
          <w:ilvl w:val="0"/>
          <w:numId w:val="19"/>
        </w:numPr>
        <w:spacing w:after="0" w:line="276" w:lineRule="auto"/>
        <w:ind w:right="709"/>
        <w:jc w:val="both"/>
        <w:rPr>
          <w:rFonts w:ascii="Verdana" w:hAnsi="Verdana" w:cs="Verdana"/>
          <w:i/>
          <w:iCs/>
          <w:sz w:val="20"/>
          <w:szCs w:val="20"/>
        </w:rPr>
      </w:pPr>
      <w:r w:rsidRPr="006D5A54">
        <w:rPr>
          <w:rFonts w:ascii="Verdana" w:hAnsi="Verdana" w:cs="Verdana"/>
          <w:i/>
          <w:iCs/>
          <w:sz w:val="20"/>
          <w:szCs w:val="20"/>
        </w:rPr>
        <w:t>¿Son los legales las “tablas de honorarios” en que una entidad estatal regula los honorarios que paga los contratistas de prestación de servicios?</w:t>
      </w:r>
    </w:p>
    <w:p w14:paraId="11BE3985" w14:textId="77777777" w:rsidR="006D5A54" w:rsidRPr="006D5A54" w:rsidRDefault="006D5A54" w:rsidP="006D5A54">
      <w:pPr>
        <w:spacing w:after="0" w:line="276" w:lineRule="auto"/>
        <w:ind w:left="709" w:right="709"/>
        <w:jc w:val="both"/>
        <w:rPr>
          <w:rFonts w:ascii="Verdana" w:hAnsi="Verdana" w:cs="Verdana"/>
          <w:i/>
          <w:iCs/>
          <w:sz w:val="20"/>
          <w:szCs w:val="20"/>
        </w:rPr>
      </w:pPr>
      <w:r w:rsidRPr="006D5A54">
        <w:rPr>
          <w:rFonts w:ascii="Verdana" w:hAnsi="Verdana" w:cs="Verdana"/>
          <w:i/>
          <w:iCs/>
          <w:sz w:val="20"/>
          <w:szCs w:val="20"/>
        </w:rPr>
        <w:br/>
      </w:r>
    </w:p>
    <w:p w14:paraId="49B14C87" w14:textId="77777777" w:rsidR="006D5A54" w:rsidRPr="006D5A54" w:rsidRDefault="006D5A54" w:rsidP="006D5A54">
      <w:pPr>
        <w:numPr>
          <w:ilvl w:val="0"/>
          <w:numId w:val="20"/>
        </w:numPr>
        <w:spacing w:after="0" w:line="276" w:lineRule="auto"/>
        <w:ind w:right="709"/>
        <w:jc w:val="both"/>
        <w:rPr>
          <w:rFonts w:ascii="Verdana" w:hAnsi="Verdana" w:cs="Verdana"/>
          <w:i/>
          <w:iCs/>
          <w:sz w:val="20"/>
          <w:szCs w:val="20"/>
        </w:rPr>
      </w:pPr>
      <w:r w:rsidRPr="006D5A54">
        <w:rPr>
          <w:rFonts w:ascii="Verdana" w:hAnsi="Verdana" w:cs="Verdana"/>
          <w:i/>
          <w:iCs/>
          <w:sz w:val="20"/>
          <w:szCs w:val="20"/>
        </w:rPr>
        <w:t>Si un contratista de prestación de servicios de una entidad pública no tiene subordinación, no cumple horario, sino que tiene que cumplir con unas obligaciones contractuales ¿es legal que haya una tabla de honorarios para pagos mensuales, cuando las obligaciones no corresponden a periodos de tiempo sino la ejecución de determinadas actividades'</w:t>
      </w:r>
    </w:p>
    <w:p w14:paraId="31D1AD23" w14:textId="77777777" w:rsidR="006D5A54" w:rsidRPr="006D5A54" w:rsidRDefault="006D5A54" w:rsidP="006D5A54">
      <w:pPr>
        <w:numPr>
          <w:ilvl w:val="0"/>
          <w:numId w:val="20"/>
        </w:numPr>
        <w:spacing w:after="0" w:line="276" w:lineRule="auto"/>
        <w:ind w:right="709"/>
        <w:jc w:val="both"/>
        <w:rPr>
          <w:rFonts w:ascii="Verdana" w:hAnsi="Verdana" w:cs="Verdana"/>
          <w:i/>
          <w:iCs/>
          <w:sz w:val="20"/>
          <w:szCs w:val="20"/>
        </w:rPr>
      </w:pPr>
      <w:r w:rsidRPr="006D5A54">
        <w:rPr>
          <w:rFonts w:ascii="Verdana" w:hAnsi="Verdana" w:cs="Verdana"/>
          <w:i/>
          <w:iCs/>
          <w:sz w:val="20"/>
          <w:szCs w:val="20"/>
        </w:rPr>
        <w:t>¿es legal tratar indiscriminadamente a los contratistas de prestación de servicios con regulaciones de honorarios mensuales, como si fueron funcionarios públicos?</w:t>
      </w:r>
    </w:p>
    <w:p w14:paraId="07B73F2F" w14:textId="499C6FAC" w:rsidR="002E0DBC" w:rsidRPr="00CB7B00" w:rsidRDefault="006D5A54">
      <w:pPr>
        <w:numPr>
          <w:ilvl w:val="0"/>
          <w:numId w:val="20"/>
        </w:numPr>
        <w:spacing w:after="0" w:line="276" w:lineRule="auto"/>
        <w:ind w:left="709" w:right="709"/>
        <w:jc w:val="both"/>
        <w:rPr>
          <w:rFonts w:ascii="Verdana" w:eastAsia="Calibri" w:hAnsi="Verdana" w:cs="Times New Roman"/>
          <w:i/>
          <w:iCs/>
          <w:sz w:val="20"/>
          <w:szCs w:val="20"/>
        </w:rPr>
      </w:pPr>
      <w:r w:rsidRPr="006D5A54">
        <w:rPr>
          <w:rFonts w:ascii="Verdana" w:hAnsi="Verdana" w:cs="Verdana"/>
          <w:i/>
          <w:iCs/>
          <w:sz w:val="20"/>
          <w:szCs w:val="20"/>
        </w:rPr>
        <w:lastRenderedPageBreak/>
        <w:t>Cómo debe aplicarse el parágrafo 3 del artículo 2.8.4.4.6 del Decreto 1068 de 2015, que habla de pactar remuneraciones mensuales con contratistas de prestación de servicios, si un contrato de prestación de servicios tiene un plazo, pero no se cumplen las obligaciones contractuales por tiempo sin por lo que corresponda a las obligaciones?</w:t>
      </w:r>
      <w:r w:rsidR="009E2C17">
        <w:rPr>
          <w:rFonts w:ascii="Verdana" w:hAnsi="Verdana" w:cs="Verdana"/>
          <w:i/>
          <w:iCs/>
          <w:sz w:val="20"/>
          <w:szCs w:val="20"/>
        </w:rPr>
        <w:t xml:space="preserve"> </w:t>
      </w:r>
      <w:r w:rsidR="002E0DBC" w:rsidRPr="00CB7B00">
        <w:rPr>
          <w:rFonts w:ascii="Verdana" w:eastAsia="Aptos" w:hAnsi="Verdana" w:cs="Times New Roman"/>
          <w:i/>
          <w:iCs/>
          <w:kern w:val="2"/>
          <w:sz w:val="20"/>
          <w:szCs w:val="20"/>
          <w14:ligatures w14:val="standardContextual"/>
        </w:rPr>
        <w:t>(…)</w:t>
      </w:r>
      <w:r w:rsidR="002E0DBC" w:rsidRPr="00CB7B00">
        <w:rPr>
          <w:rFonts w:ascii="Verdana" w:eastAsia="Calibri" w:hAnsi="Verdana" w:cs="Times New Roman"/>
          <w:i/>
          <w:iCs/>
          <w:sz w:val="20"/>
          <w:szCs w:val="20"/>
        </w:rPr>
        <w:t>”.</w:t>
      </w:r>
    </w:p>
    <w:p w14:paraId="3AC85A2B" w14:textId="77777777" w:rsidR="002E0DBC" w:rsidRPr="00CB7B00" w:rsidRDefault="002E0DBC" w:rsidP="0040413F">
      <w:pPr>
        <w:spacing w:before="240" w:after="120"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B7B00">
        <w:rPr>
          <w:rFonts w:ascii="Verdana" w:eastAsia="Calibri" w:hAnsi="Verdana" w:cs="Arial"/>
          <w:color w:val="000000"/>
          <w:lang w:eastAsia="es-ES_tradnl"/>
        </w:rPr>
        <w:tab/>
      </w:r>
    </w:p>
    <w:p w14:paraId="3337FB37" w14:textId="77777777" w:rsidR="002E0DBC" w:rsidRPr="00CB7B00" w:rsidRDefault="002E0DBC" w:rsidP="002E0DBC">
      <w:pPr>
        <w:spacing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problemas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jurídicos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 xml:space="preserve">de su consulta. </w:t>
      </w:r>
    </w:p>
    <w:p w14:paraId="05AD2D6C" w14:textId="77777777" w:rsidR="002E0DBC" w:rsidRPr="00CB7B00" w:rsidRDefault="002E0DBC" w:rsidP="002E0DBC">
      <w:pPr>
        <w:pStyle w:val="Prrafodelista"/>
        <w:numPr>
          <w:ilvl w:val="0"/>
          <w:numId w:val="16"/>
        </w:numPr>
        <w:rPr>
          <w:rFonts w:ascii="Verdana" w:hAnsi="Verdana"/>
          <w:b/>
          <w:bCs/>
          <w:lang w:val="es-CO"/>
        </w:rPr>
      </w:pPr>
      <w:r w:rsidRPr="00CB7B00">
        <w:rPr>
          <w:rFonts w:ascii="Verdana" w:hAnsi="Verdana"/>
          <w:b/>
          <w:bCs/>
          <w:lang w:val="es-CO"/>
        </w:rPr>
        <w:t>Problema planteado:</w:t>
      </w:r>
    </w:p>
    <w:p w14:paraId="29C88BFE" w14:textId="38EABBA7" w:rsidR="007A3499" w:rsidRPr="00593A5F" w:rsidRDefault="002E0DBC" w:rsidP="007A3499">
      <w:pPr>
        <w:spacing w:line="276" w:lineRule="auto"/>
        <w:jc w:val="both"/>
        <w:rPr>
          <w:rFonts w:ascii="Verdana" w:eastAsia="Century Gothic" w:hAnsi="Verdana" w:cs="Century Gothic"/>
        </w:rPr>
      </w:pPr>
      <w:r w:rsidRPr="00CB7B00">
        <w:rPr>
          <w:rFonts w:ascii="Verdana" w:eastAsia="Century Gothic" w:hAnsi="Verdana" w:cs="Century Gothic"/>
        </w:rPr>
        <w:t xml:space="preserve">De acuerdo con el contenido de su solicitud, esta Agencia resolverá los siguientes problemas jurídicos: </w:t>
      </w:r>
      <w:r w:rsidR="00A14799">
        <w:rPr>
          <w:rFonts w:ascii="Verdana" w:eastAsia="Century Gothic" w:hAnsi="Verdana" w:cs="Century Gothic"/>
        </w:rPr>
        <w:t xml:space="preserve">i. </w:t>
      </w:r>
      <w:r w:rsidR="00C769B0" w:rsidRPr="00C769B0">
        <w:rPr>
          <w:rFonts w:ascii="Verdana" w:eastAsia="Century Gothic" w:hAnsi="Verdana" w:cs="Century Gothic"/>
        </w:rPr>
        <w:t>¿Son legales las tablas de honorarios que las entidades estatales adoptan para los contratos de prestación de servicios y cuál es el marco normativo para la fijación de los honorarios? ¿La regulación de los honorarios por mensualidades o mediante tablas de honorarios altera la naturaleza del contrato de prestación de servicios o configura una relación laboral subordinada</w:t>
      </w:r>
      <w:r w:rsidR="00C769B0" w:rsidRPr="00C769B0">
        <w:rPr>
          <w:rFonts w:ascii="Verdana" w:eastAsia="Times New Roman" w:hAnsi="Verdana" w:cs="Arial"/>
          <w:kern w:val="2"/>
          <w:lang w:val="es-ES_tradnl" w:eastAsia="es-ES_tradnl"/>
          <w14:ligatures w14:val="standardContextual"/>
        </w:rPr>
        <w:t>?</w:t>
      </w:r>
      <w:r w:rsidR="00C769B0" w:rsidRPr="00C769B0">
        <w:rPr>
          <w:rFonts w:ascii="Verdana" w:eastAsia="Century Gothic" w:hAnsi="Verdana" w:cs="Century Gothic"/>
        </w:rPr>
        <w:t xml:space="preserve">     </w:t>
      </w:r>
      <w:proofErr w:type="spellStart"/>
      <w:r w:rsidR="00C769B0" w:rsidRPr="00C769B0">
        <w:rPr>
          <w:rFonts w:ascii="Verdana" w:eastAsia="Century Gothic" w:hAnsi="Verdana" w:cs="Century Gothic"/>
        </w:rPr>
        <w:t>ii</w:t>
      </w:r>
      <w:proofErr w:type="spellEnd"/>
      <w:r w:rsidR="00C769B0" w:rsidRPr="00C769B0">
        <w:rPr>
          <w:rFonts w:ascii="Verdana" w:eastAsia="Century Gothic" w:hAnsi="Verdana" w:cs="Century Gothic"/>
        </w:rPr>
        <w:t xml:space="preserve">. </w:t>
      </w:r>
      <w:r w:rsidR="00E105C2">
        <w:rPr>
          <w:rFonts w:ascii="Verdana" w:eastAsia="Century Gothic" w:hAnsi="Verdana" w:cs="Century Gothic"/>
        </w:rPr>
        <w:t xml:space="preserve">¿Cómo opera el </w:t>
      </w:r>
      <w:r w:rsidR="00E105C2" w:rsidRPr="00E105C2">
        <w:rPr>
          <w:rFonts w:ascii="Verdana" w:eastAsia="Century Gothic" w:hAnsi="Verdana" w:cs="Century Gothic"/>
        </w:rPr>
        <w:t>parágrafo 3 del artículo 2</w:t>
      </w:r>
      <w:r w:rsidR="00E105C2">
        <w:rPr>
          <w:rFonts w:ascii="Verdana" w:eastAsia="Century Gothic" w:hAnsi="Verdana" w:cs="Century Gothic"/>
        </w:rPr>
        <w:t>.</w:t>
      </w:r>
      <w:r w:rsidR="00E105C2" w:rsidRPr="00E105C2">
        <w:rPr>
          <w:rFonts w:ascii="Verdana" w:eastAsia="Century Gothic" w:hAnsi="Verdana" w:cs="Century Gothic"/>
        </w:rPr>
        <w:t xml:space="preserve">8.4.4.6 del Decreto 1068 de </w:t>
      </w:r>
      <w:r w:rsidR="00C769B0" w:rsidRPr="00C769B0">
        <w:rPr>
          <w:rFonts w:ascii="Verdana" w:eastAsia="Century Gothic" w:hAnsi="Verdana" w:cs="Century Gothic"/>
        </w:rPr>
        <w:t>2015 cuando las obligaciones del contrato se determinan por actividades, productos o resultados y no por el transcurso del tiempo?</w:t>
      </w:r>
      <w:r w:rsidR="007A3499" w:rsidRPr="00E105C2">
        <w:rPr>
          <w:rFonts w:ascii="Verdana" w:eastAsia="Century Gothic" w:hAnsi="Verdana" w:cs="Century Gothic"/>
        </w:rPr>
        <w:t xml:space="preserve">           </w:t>
      </w:r>
    </w:p>
    <w:p w14:paraId="2AEB78F7" w14:textId="77777777" w:rsidR="002E0DBC" w:rsidRPr="00CB7B00" w:rsidRDefault="002E0DBC" w:rsidP="002E0DBC">
      <w:pPr>
        <w:pStyle w:val="Prrafodelista"/>
        <w:numPr>
          <w:ilvl w:val="0"/>
          <w:numId w:val="16"/>
        </w:numPr>
        <w:tabs>
          <w:tab w:val="left" w:pos="142"/>
          <w:tab w:val="left" w:pos="284"/>
        </w:tabs>
        <w:spacing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Respuesta:</w:t>
      </w: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0DBC" w:rsidRPr="00CB7B00" w14:paraId="741A2422" w14:textId="77777777" w:rsidTr="00CF0FFC">
        <w:trPr>
          <w:jc w:val="center"/>
        </w:trPr>
        <w:tc>
          <w:tcPr>
            <w:tcW w:w="8828" w:type="dxa"/>
          </w:tcPr>
          <w:p w14:paraId="3ACEB69E" w14:textId="31BAFAFE" w:rsidR="00082CA4" w:rsidRPr="00CB1A97" w:rsidRDefault="00CB1A97" w:rsidP="00CB1A97">
            <w:pPr>
              <w:spacing w:before="120" w:after="120" w:line="276" w:lineRule="auto"/>
              <w:jc w:val="both"/>
              <w:rPr>
                <w:rFonts w:ascii="Verdana" w:hAnsi="Verdana" w:cs="Arial"/>
                <w:lang w:eastAsia="es-ES"/>
              </w:rPr>
            </w:pPr>
            <w:bookmarkStart w:id="2" w:name="_Hlk171694685"/>
            <w:r w:rsidRPr="00CB1A97">
              <w:rPr>
                <w:rFonts w:ascii="Verdana" w:hAnsi="Verdana" w:cs="Arial"/>
                <w:lang w:eastAsia="es-ES"/>
              </w:rPr>
              <w:lastRenderedPageBreak/>
              <w:t>i.</w:t>
            </w:r>
            <w:r>
              <w:rPr>
                <w:rFonts w:ascii="Verdana" w:hAnsi="Verdana" w:cs="Arial"/>
                <w:lang w:eastAsia="es-ES"/>
              </w:rPr>
              <w:t xml:space="preserve"> </w:t>
            </w:r>
            <w:r w:rsidR="00082CA4" w:rsidRPr="00CB1A97">
              <w:rPr>
                <w:rFonts w:ascii="Verdana" w:hAnsi="Verdana" w:cs="Arial"/>
                <w:lang w:eastAsia="es-ES"/>
              </w:rPr>
              <w:t>Conforme a la interpretación general de las normas del sistema de compras públicas, en relación con los honorarios en los contratos de prestación de servicios, es pertinente precisar que no existe una disposición que establezca la forma en la que deberían fijarse, pues en virtud del principio de autonomía de la voluntad, las partes pueden determinar el contenido de los contratos estatales e incluir las condiciones, cláusulas o estipulaciones que consideren necesarias para desarrollar el objeto contractual, siempre que no sean contrarias a la Constitución Política, la ley y el orden público. En ese sentido, las entidades públicas determinan el monto de los honorarios de los contratos de prestación de servicios profesionales, de apoyo a la gestión y trabajos artísticos de conformidad con lo establecido en el análisis del sector y en los documentos o estudios previos.</w:t>
            </w:r>
          </w:p>
          <w:p w14:paraId="2740AE4E" w14:textId="77777777" w:rsidR="00082CA4" w:rsidRPr="00082CA4" w:rsidRDefault="00082CA4" w:rsidP="00C769B0">
            <w:pPr>
              <w:spacing w:before="120" w:after="120" w:line="276" w:lineRule="auto"/>
              <w:ind w:firstLine="709"/>
              <w:jc w:val="both"/>
              <w:rPr>
                <w:rFonts w:ascii="Verdana" w:hAnsi="Verdana" w:cs="Arial"/>
                <w:lang w:eastAsia="es-ES"/>
              </w:rPr>
            </w:pPr>
            <w:r w:rsidRPr="00082CA4">
              <w:rPr>
                <w:rFonts w:ascii="Verdana" w:hAnsi="Verdana" w:cs="Arial"/>
                <w:lang w:eastAsia="es-ES"/>
              </w:rPr>
              <w:t>Ahora bien, el pago, denominado honorarios, constituye la retribución por una obligación de hacer, que se materializa en la ejecución de las obligaciones pactadas para satisfacer una necesidad de la entidad pública. Cabe resaltar, que ni la Ley 80 de 1993, ni la Ley 1150 de 2007, ni el Decreto 1082 de 2015 establecen la obligatoriedad de implementar tablas de honorarios, estandarizar perfiles, ni fijar condiciones uniformes para el pago de los honorarios en los contratos de prestación de servicios. No obstante, ello no impide que las entidades, en ejercicio de su discrecionalidad, puedan adoptar tales medidas si lo consideran pertinente.</w:t>
            </w:r>
          </w:p>
          <w:p w14:paraId="776BB72E" w14:textId="50AFC1B4" w:rsidR="00082CA4" w:rsidRPr="00082CA4" w:rsidRDefault="00082CA4" w:rsidP="001C398C">
            <w:pPr>
              <w:spacing w:before="120" w:after="120" w:line="276" w:lineRule="auto"/>
              <w:ind w:firstLine="709"/>
              <w:jc w:val="both"/>
              <w:rPr>
                <w:rFonts w:ascii="Verdana" w:hAnsi="Verdana" w:cs="Arial"/>
                <w:lang w:eastAsia="es-ES"/>
              </w:rPr>
            </w:pPr>
            <w:r w:rsidRPr="00082CA4">
              <w:rPr>
                <w:rFonts w:ascii="Verdana" w:hAnsi="Verdana" w:cs="Arial"/>
                <w:lang w:eastAsia="es-ES"/>
              </w:rPr>
              <w:t xml:space="preserve">Dichas tablas se adoptan usualmente a través de resoluciones internas, actos administrativos de carácter general y con vocación de permanencia en el tiempo que regulan diferentes escalas de pago en función de criterios como la formación académica, la experiencia u otros factores relevantes para la remuneración. El establecimiento de las escalas de pago debe ser resultado de un análisis técnico y económico de las variables necesarias para fijar los honorarios; razón por la cual, este estudio de mercado general previo debe tomarse en cuenta para el análisis del sector que corresponde </w:t>
            </w:r>
            <w:r w:rsidR="00E41C00">
              <w:rPr>
                <w:rFonts w:ascii="Verdana" w:hAnsi="Verdana" w:cs="Arial"/>
                <w:lang w:eastAsia="es-ES"/>
              </w:rPr>
              <w:t xml:space="preserve">a </w:t>
            </w:r>
            <w:r w:rsidRPr="00082CA4">
              <w:rPr>
                <w:rFonts w:ascii="Verdana" w:hAnsi="Verdana" w:cs="Arial"/>
                <w:lang w:eastAsia="es-ES"/>
              </w:rPr>
              <w:t>cada contrato de prestación de servicios, pues a través del primero se justifica el valor del objeto contratado. En esta medida, la estandarización del estudio de mercado general previo no suple los análisis del sector en cada contrato específico, pero es un punto de partida que facilita la elaboración de estos últimos.</w:t>
            </w:r>
          </w:p>
          <w:p w14:paraId="7A5F5F89" w14:textId="1A3C0BDB" w:rsidR="00082CA4" w:rsidRPr="00082CA4" w:rsidRDefault="00082CA4" w:rsidP="001C398C">
            <w:pPr>
              <w:spacing w:before="120" w:after="120" w:line="276" w:lineRule="auto"/>
              <w:ind w:firstLine="709"/>
              <w:jc w:val="both"/>
              <w:rPr>
                <w:rFonts w:ascii="Verdana" w:hAnsi="Verdana" w:cs="Arial"/>
                <w:lang w:eastAsia="es-ES"/>
              </w:rPr>
            </w:pPr>
            <w:r w:rsidRPr="00082CA4">
              <w:rPr>
                <w:rFonts w:ascii="Verdana" w:hAnsi="Verdana" w:cs="Arial"/>
                <w:lang w:eastAsia="es-ES"/>
              </w:rPr>
              <w:t xml:space="preserve">Para </w:t>
            </w:r>
            <w:r w:rsidR="00813E0F">
              <w:rPr>
                <w:rFonts w:ascii="Verdana" w:hAnsi="Verdana" w:cs="Arial"/>
                <w:lang w:eastAsia="es-ES"/>
              </w:rPr>
              <w:t xml:space="preserve">esta </w:t>
            </w:r>
            <w:r w:rsidRPr="00082CA4">
              <w:rPr>
                <w:rFonts w:ascii="Verdana" w:hAnsi="Verdana" w:cs="Arial"/>
                <w:lang w:eastAsia="es-ES"/>
              </w:rPr>
              <w:t xml:space="preserve">Agencia, la expedición de las tablas de honorarios para los contratos de prestación de servicios no </w:t>
            </w:r>
            <w:r w:rsidR="001C5EB0">
              <w:rPr>
                <w:rFonts w:ascii="Verdana" w:hAnsi="Verdana" w:cs="Arial"/>
                <w:lang w:eastAsia="es-ES"/>
              </w:rPr>
              <w:t>es</w:t>
            </w:r>
            <w:r w:rsidRPr="00082CA4">
              <w:rPr>
                <w:rFonts w:ascii="Verdana" w:hAnsi="Verdana" w:cs="Arial"/>
                <w:lang w:eastAsia="es-ES"/>
              </w:rPr>
              <w:t xml:space="preserve"> restrictiva de la libre competencia </w:t>
            </w:r>
            <w:r w:rsidRPr="00082CA4">
              <w:rPr>
                <w:rFonts w:ascii="Verdana" w:hAnsi="Verdana" w:cs="Arial"/>
                <w:lang w:eastAsia="es-ES"/>
              </w:rPr>
              <w:lastRenderedPageBreak/>
              <w:t xml:space="preserve">económica. Por un lado, la causal de contratación directa del literal h) del artículo 2.4 de la Ley 1150 de 2007 excluye la pluralidad de oferentes, por lo que no existe concurrencia entre los interesados. Por otra parte, tampoco constituye una vulneración del artículo 1 de la Ley 155 de 1959, pues no tiene por objeto “[…] limitar la producción, abastecimiento, distribución o consumo de materias primas, productos, mercancías o servicios nacionales o extranjeros […]” ni son resultado de “[…] prácticas, procedimientos o sistemas tendientes a limitar la libre competencia, con el propósito de determinar o mantener precios inequitativos en perjuicio de los consumidores y de los productores de materias primas”. </w:t>
            </w:r>
          </w:p>
          <w:p w14:paraId="37E1067A" w14:textId="77777777" w:rsidR="00082CA4" w:rsidRDefault="00082CA4" w:rsidP="001C398C">
            <w:pPr>
              <w:spacing w:before="120" w:after="120" w:line="276" w:lineRule="auto"/>
              <w:ind w:firstLine="709"/>
              <w:jc w:val="both"/>
              <w:rPr>
                <w:rFonts w:ascii="Verdana" w:hAnsi="Verdana" w:cs="Arial"/>
                <w:lang w:eastAsia="es-ES"/>
              </w:rPr>
            </w:pPr>
            <w:r w:rsidRPr="00082CA4">
              <w:rPr>
                <w:rFonts w:ascii="Verdana" w:hAnsi="Verdana" w:cs="Arial"/>
                <w:lang w:eastAsia="es-ES"/>
              </w:rPr>
              <w:t xml:space="preserve">Asimismo, tampoco vulneran el Estatuto General de Contratación de la Administración Pública. Si el numeral 4 del artículo 2.2.1.1.2.1.1 del Decreto 1082 de 2015, en congruencia con el artículo 25.13 del EGCAP, obliga a las entidades estatales a establecer el valor estimado de cada contrato y la justificación del mismo, ello no se opone a que cumplan este deber estandarizando condiciones generales respecto a la remuneración de una tipología contractual como la prevista en el artículo 32.3 de la Ley 80 de 1993. Es decir, su expedición no constituye una vulneración de la reserva de ley ni un desconocimiento de normas reglamentarias. Finalmente, sin perjuicio de la restricción del artículo 2.8.4.4.6 del Decreto 1068 de 2015, la Agencia tampoco ha establecido lineamientos sobre topes máximos ni metodologías para su cálculo.    </w:t>
            </w:r>
          </w:p>
          <w:p w14:paraId="0E7E9091" w14:textId="77777777" w:rsidR="0062061C" w:rsidRDefault="0062061C" w:rsidP="001C398C">
            <w:pPr>
              <w:spacing w:before="120" w:after="120" w:line="276" w:lineRule="auto"/>
              <w:ind w:firstLine="709"/>
              <w:jc w:val="both"/>
              <w:rPr>
                <w:rFonts w:ascii="Verdana" w:hAnsi="Verdana" w:cs="Arial"/>
                <w:lang w:eastAsia="es-ES"/>
              </w:rPr>
            </w:pPr>
            <w:r w:rsidRPr="001C398C">
              <w:rPr>
                <w:rFonts w:ascii="Verdana" w:hAnsi="Verdana" w:cs="Arial"/>
              </w:rPr>
              <w:t xml:space="preserve">La regulación de los honorarios por mensualidades, o su adopción mediante tablas de honorarios, es una modalidad de determinación y pago del valor del contrato que no altera la naturaleza del contrato de prestación de servicios ni configura, por sí sola, una relación laboral. El pago retribuye la ejecución de las obligaciones de hacer pactadas y no el mero transcurso del tiempo ni el cumplimiento de una jornada. Por ello, el uso de una unidad mensual para fijar o liquidar los honorarios no faculta a la entidad para introducir elementos propios del vínculo laboral —subordinación, dependencia, cumplimiento de horario o sujeción jerárquica— ni para asimilar el régimen de los contratistas al de los servidores públicos. El numeral 3º del artículo 32 de la Ley 80 de 1993 proscribe que estos contratos generen relación laboral; de acreditarse una relación subordinada operaría la primacía de la realidad sobre las formas —artículo 53 de la Constitución Política—, sin perjuicio de la falta </w:t>
            </w:r>
            <w:r w:rsidRPr="001C398C">
              <w:rPr>
                <w:rFonts w:ascii="Verdana" w:hAnsi="Verdana" w:cs="Arial"/>
              </w:rPr>
              <w:lastRenderedPageBreak/>
              <w:t>gravísima prevista en el numeral 1º del artículo 54 de la Ley 1952 de 2019. La remuneración mensual es, entonces, una forma de pago y no un indicio de subordinación, siempre que se preserve la autonomía e independencia del contratista en la ejecución de sus obligaciones.</w:t>
            </w:r>
          </w:p>
          <w:p w14:paraId="79C717E3" w14:textId="75AC0D46" w:rsidR="00CB1A97" w:rsidRPr="00CB1A97" w:rsidRDefault="00CB1A97" w:rsidP="00CB1A97">
            <w:pPr>
              <w:spacing w:before="120" w:after="120" w:line="276" w:lineRule="auto"/>
              <w:jc w:val="both"/>
              <w:rPr>
                <w:rFonts w:ascii="Verdana" w:hAnsi="Verdana" w:cs="Arial"/>
                <w:lang w:eastAsia="es-ES"/>
              </w:rPr>
            </w:pPr>
            <w:proofErr w:type="spellStart"/>
            <w:r>
              <w:rPr>
                <w:rFonts w:ascii="Verdana" w:hAnsi="Verdana" w:cs="Arial"/>
                <w:lang w:eastAsia="es-ES"/>
              </w:rPr>
              <w:t>ii</w:t>
            </w:r>
            <w:proofErr w:type="spellEnd"/>
            <w:r>
              <w:rPr>
                <w:rFonts w:ascii="Verdana" w:hAnsi="Verdana" w:cs="Arial"/>
                <w:lang w:eastAsia="es-ES"/>
              </w:rPr>
              <w:t xml:space="preserve">. </w:t>
            </w:r>
            <w:r w:rsidR="00C43D69" w:rsidRPr="00C43D69">
              <w:rPr>
                <w:rFonts w:ascii="Verdana" w:hAnsi="Verdana" w:cs="Arial"/>
                <w:lang w:eastAsia="es-ES"/>
              </w:rPr>
              <w:t>Frente al segundo problema jurídico planteado, resulta pertinente señalar</w:t>
            </w:r>
            <w:r w:rsidR="007E18D0">
              <w:rPr>
                <w:rFonts w:ascii="Verdana" w:hAnsi="Verdana" w:cs="Arial"/>
                <w:lang w:eastAsia="es-ES"/>
              </w:rPr>
              <w:t xml:space="preserve"> que </w:t>
            </w:r>
            <w:r w:rsidR="00990271">
              <w:rPr>
                <w:rFonts w:ascii="Verdana" w:hAnsi="Verdana" w:cs="Arial"/>
                <w:lang w:eastAsia="es-ES"/>
              </w:rPr>
              <w:t>el</w:t>
            </w:r>
            <w:r w:rsidRPr="00CB1A97">
              <w:rPr>
                <w:rFonts w:ascii="Verdana" w:hAnsi="Verdana" w:cs="Arial"/>
                <w:lang w:eastAsia="es-ES"/>
              </w:rPr>
              <w:t xml:space="preserve"> parágrafo 3 del artículo 2.8.4.4.6 del Decreto 1068 de 2015 debe interpretarse en concordancia con la regla general establecida en dicha disposición. El artículo prohíbe pactar, para los servicios personales calificados prestados de manera continua para atender asuntos propios de la respectiva entidad, una remuneración mensual superior a la remuneración total mensual establecida para el jefe de la entidad. A su vez, el parágrafo 3 establece una excepción a dicha prohibición, al permitir que, cuando se requieran servicios altamente calificados, se pacten honorarios superiores a la remuneración total mensual del jefe de la entidad, sin que estos puedan exceder el valor total mensual de dicha remuneración incluidos los factores prestacionales y las contribuciones inherentes a la nómina a cargo del empleador. Para la aplicación de esta excepción, el representante legal de la entidad debe certificar la justificación de la necesidad del servicio personal altamente calificado, las características y calidades específicas que reúne el contratista y las características de los productos o servicios que se espera obtener.</w:t>
            </w:r>
          </w:p>
          <w:p w14:paraId="65EC69DB" w14:textId="47A9872B" w:rsidR="00CB1A97" w:rsidRPr="00CB1A97" w:rsidRDefault="007372F7" w:rsidP="001C398C">
            <w:pPr>
              <w:spacing w:before="120" w:after="120" w:line="276" w:lineRule="auto"/>
              <w:ind w:firstLine="709"/>
              <w:jc w:val="both"/>
              <w:rPr>
                <w:rFonts w:ascii="Verdana" w:hAnsi="Verdana" w:cs="Arial"/>
                <w:lang w:eastAsia="es-ES"/>
              </w:rPr>
            </w:pPr>
            <w:r>
              <w:rPr>
                <w:rFonts w:ascii="Verdana" w:hAnsi="Verdana" w:cs="Arial"/>
                <w:lang w:eastAsia="es-ES"/>
              </w:rPr>
              <w:t>Es así como</w:t>
            </w:r>
            <w:r w:rsidR="00CB1A97" w:rsidRPr="00CB1A97">
              <w:rPr>
                <w:rFonts w:ascii="Verdana" w:hAnsi="Verdana" w:cs="Arial"/>
                <w:lang w:eastAsia="es-ES"/>
              </w:rPr>
              <w:t>, la expresión “mensual” contenida en el parágrafo 3 no establece una regla sobre la forma en que deben estructurarse las obligaciones contractuales ni significa que estas deban ejecutarse necesariamente por períodos mensuales. Su finalidad es establecer una unidad temporal de referencia para determinar el límite de los honorarios que excepcionalmente pueden pactarse en los eventos previstos en la norma. Por consiguiente, la disposición no establece que el valor de los contratos de prestación de servicios deba determinarse multiplicando un valor mensual por el número de meses de duración del contrato, ni que el transcurso del plazo contractual constituya, por sí mismo, la causa del pago.</w:t>
            </w:r>
          </w:p>
          <w:p w14:paraId="2C0D0A23" w14:textId="01A846DF" w:rsidR="00CB1A97" w:rsidRPr="00CB1A97" w:rsidRDefault="00CB1A97" w:rsidP="001C398C">
            <w:pPr>
              <w:spacing w:before="120" w:after="120" w:line="276" w:lineRule="auto"/>
              <w:ind w:firstLine="709"/>
              <w:jc w:val="both"/>
              <w:rPr>
                <w:rFonts w:ascii="Verdana" w:hAnsi="Verdana" w:cs="Arial"/>
                <w:lang w:eastAsia="es-ES"/>
              </w:rPr>
            </w:pPr>
            <w:r w:rsidRPr="00CB1A97">
              <w:rPr>
                <w:rFonts w:ascii="Verdana" w:hAnsi="Verdana" w:cs="Arial"/>
                <w:lang w:eastAsia="es-ES"/>
              </w:rPr>
              <w:t xml:space="preserve">En consecuencia, debe distinguirse entre el </w:t>
            </w:r>
            <w:r w:rsidRPr="002958EB">
              <w:rPr>
                <w:rFonts w:ascii="Verdana" w:hAnsi="Verdana" w:cs="Arial"/>
                <w:lang w:eastAsia="es-ES"/>
              </w:rPr>
              <w:t xml:space="preserve">plazo de ejecución del contrato, la forma en que se estructuran y ejecutan las obligaciones contractuales, la determinación del valor de los honorarios y la periodicidad de su pago. Estas categorías no son jurídicamente equivalentes. Un contrato puede tener un plazo determinado y contener obligaciones cuya ejecución se </w:t>
            </w:r>
            <w:r w:rsidRPr="002958EB">
              <w:rPr>
                <w:rFonts w:ascii="Verdana" w:hAnsi="Verdana" w:cs="Arial"/>
                <w:lang w:eastAsia="es-ES"/>
              </w:rPr>
              <w:lastRenderedPageBreak/>
              <w:t xml:space="preserve">distribuya durante dicho plazo, sin que ello implique que cada obligación deba corresponder a un período mensual o que la remuneración se cause exclusivamente por el transcurso del tiempo. </w:t>
            </w:r>
          </w:p>
          <w:p w14:paraId="4BF0676F" w14:textId="11AE2133" w:rsidR="00EB6BCC" w:rsidRPr="00082CA4" w:rsidRDefault="00CB1A97" w:rsidP="001C398C">
            <w:pPr>
              <w:spacing w:before="120" w:after="120" w:line="276" w:lineRule="auto"/>
              <w:ind w:firstLine="709"/>
              <w:jc w:val="both"/>
              <w:rPr>
                <w:rFonts w:ascii="Verdana" w:hAnsi="Verdana" w:cs="Arial"/>
                <w:lang w:eastAsia="es-ES"/>
              </w:rPr>
            </w:pPr>
            <w:r w:rsidRPr="00CB1A97">
              <w:rPr>
                <w:rFonts w:ascii="Verdana" w:hAnsi="Verdana" w:cs="Arial"/>
                <w:lang w:eastAsia="es-ES"/>
              </w:rPr>
              <w:t>Así las cosas, el parágrafo 3 del artículo 2.8.4.4.6 del Decreto 1068 de 2015 no regula la forma en que deben pagarse los honorarios en todos los contratos de prestación de servicios, sino que establece una excepción al límite de remuneración previsto en dicha disposición para aquellos eventos en los que se requiera la contratación de servicios altamente calificados. Por tanto, cuando el contrato comprenda obligaciones determinadas por actividades, productos o resultados, la aplicación de la norma no exige que tales obligaciones se fraccionen artificialmente en períodos mensuales ni que su remuneración se determine atendiendo exclusivamente al plazo contractual.</w:t>
            </w:r>
            <w:r w:rsidRPr="00171D90">
              <w:rPr>
                <w:rFonts w:ascii="Verdana" w:hAnsi="Verdana" w:cs="Arial"/>
                <w:lang w:eastAsia="es-ES"/>
              </w:rPr>
              <w:t xml:space="preserve"> </w:t>
            </w:r>
            <w:r w:rsidR="008050B7" w:rsidRPr="001C398C">
              <w:rPr>
                <w:rFonts w:ascii="Verdana" w:hAnsi="Verdana" w:cs="Arial"/>
                <w:lang w:eastAsia="es-ES"/>
              </w:rPr>
              <w:t>Con todo, el límite máximo que fija la norma conserva su carácter mensual, de manera que, cualquiera que sea la forma de estructurar las obligaciones o la periodicidad del pago, los honorarios no pueden superar, en su equivalente mensual, el tope allí previsto.</w:t>
            </w:r>
            <w:r w:rsidRPr="00CB1A97">
              <w:rPr>
                <w:rFonts w:ascii="Verdana" w:hAnsi="Verdana" w:cs="Arial"/>
                <w:lang w:eastAsia="es-ES"/>
              </w:rPr>
              <w:t xml:space="preserve"> </w:t>
            </w:r>
          </w:p>
          <w:p w14:paraId="268C6C0E" w14:textId="795D2A83" w:rsidR="002E0DBC" w:rsidRPr="00CB7B00" w:rsidRDefault="002E0DBC" w:rsidP="001C398C">
            <w:pPr>
              <w:spacing w:before="120" w:after="120" w:line="276" w:lineRule="auto"/>
              <w:ind w:firstLine="709"/>
              <w:jc w:val="both"/>
              <w:rPr>
                <w:rFonts w:ascii="Verdana" w:eastAsia="Times New Roman" w:hAnsi="Verdana" w:cs="Times New Roman"/>
              </w:rPr>
            </w:pPr>
            <w:r w:rsidRPr="00CB7B00">
              <w:rPr>
                <w:rFonts w:ascii="Verdana" w:hAnsi="Verdana" w:cs="Arial"/>
                <w:lang w:eastAsia="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w:t>
            </w:r>
            <w:r w:rsidR="0089125E">
              <w:rPr>
                <w:rFonts w:ascii="Verdana" w:hAnsi="Verdana" w:cs="Arial"/>
                <w:lang w:eastAsia="es-ES"/>
              </w:rPr>
              <w:t>en</w:t>
            </w:r>
            <w:r w:rsidRPr="00CB7B00">
              <w:rPr>
                <w:rFonts w:ascii="Verdana" w:hAnsi="Verdana" w:cs="Arial"/>
                <w:lang w:eastAsia="es-ES"/>
              </w:rPr>
              <w:t xml:space="preserve">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2"/>
    </w:tbl>
    <w:p w14:paraId="29E91E65" w14:textId="77777777" w:rsidR="002E0DBC" w:rsidRPr="00CB7B00" w:rsidRDefault="002E0DBC" w:rsidP="002E0DBC">
      <w:pPr>
        <w:pStyle w:val="Prrafodelista"/>
        <w:tabs>
          <w:tab w:val="left" w:pos="142"/>
          <w:tab w:val="left" w:pos="284"/>
        </w:tabs>
        <w:spacing w:after="0" w:line="276" w:lineRule="auto"/>
        <w:ind w:left="0"/>
        <w:contextualSpacing w:val="0"/>
        <w:rPr>
          <w:rFonts w:ascii="Verdana" w:eastAsia="Century Gothic" w:hAnsi="Verdana" w:cs="Century Gothic"/>
          <w:b/>
          <w:bCs/>
          <w:lang w:val="es-CO"/>
        </w:rPr>
      </w:pPr>
    </w:p>
    <w:p w14:paraId="6F3FCDD9" w14:textId="77777777" w:rsidR="002E0DBC" w:rsidRPr="00CB7B00" w:rsidRDefault="002E0DBC" w:rsidP="002E0DBC">
      <w:pPr>
        <w:pStyle w:val="Prrafodelista"/>
        <w:numPr>
          <w:ilvl w:val="0"/>
          <w:numId w:val="16"/>
        </w:numPr>
        <w:tabs>
          <w:tab w:val="left" w:pos="142"/>
          <w:tab w:val="left" w:pos="284"/>
        </w:tabs>
        <w:spacing w:after="0" w:line="276" w:lineRule="auto"/>
        <w:contextualSpacing w:val="0"/>
        <w:rPr>
          <w:rFonts w:ascii="Verdana" w:eastAsia="Century Gothic" w:hAnsi="Verdana" w:cs="Century Gothic"/>
          <w:b/>
          <w:bCs/>
          <w:lang w:val="es-CO"/>
        </w:rPr>
      </w:pPr>
      <w:r w:rsidRPr="00CB7B00">
        <w:rPr>
          <w:rFonts w:ascii="Verdana" w:eastAsia="Century Gothic" w:hAnsi="Verdana" w:cs="Century Gothic"/>
          <w:b/>
          <w:bCs/>
          <w:lang w:val="es-CO"/>
        </w:rPr>
        <w:t>Razones de la respuesta:</w:t>
      </w:r>
    </w:p>
    <w:p w14:paraId="7DC8F0C5" w14:textId="77777777" w:rsidR="002E0DBC" w:rsidRDefault="002E0DBC" w:rsidP="002E0DBC">
      <w:pPr>
        <w:tabs>
          <w:tab w:val="left" w:pos="426"/>
        </w:tabs>
        <w:spacing w:before="240" w:after="120" w:line="276" w:lineRule="auto"/>
        <w:ind w:firstLine="425"/>
        <w:jc w:val="both"/>
        <w:rPr>
          <w:rFonts w:ascii="Verdana" w:eastAsia="Calibri" w:hAnsi="Verdana" w:cs="Arial"/>
        </w:rPr>
      </w:pPr>
      <w:r w:rsidRPr="00CB7B00">
        <w:rPr>
          <w:rFonts w:ascii="Verdana" w:eastAsia="Calibri" w:hAnsi="Verdana" w:cs="Arial"/>
        </w:rPr>
        <w:t>Lo anterior se sustenta en las siguientes consideraciones:</w:t>
      </w:r>
    </w:p>
    <w:p w14:paraId="60F5EC33" w14:textId="54ACA692" w:rsidR="008D6130" w:rsidRPr="00884819" w:rsidRDefault="008D6130" w:rsidP="008D6130">
      <w:pPr>
        <w:spacing w:after="0" w:line="276" w:lineRule="auto"/>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El contrato de prestación de servicios es uno de los tipos contractuales consagrados en el Estatuto General de Contratación de la Administración Pública, que pueden celebrar las entidades estatales. Históricamente, dicha tipología se encontraba regulada en el artículo 138 del Decreto Ley 150 del 1976 y en el artículo 163 del Decreto Ley 222 de 1983. Se trata de un contrato típico, ya que se encuentra definido en la ley y, por tanto, en las condiciones descritas en los </w:t>
      </w:r>
      <w:r w:rsidRPr="00884819">
        <w:rPr>
          <w:rFonts w:ascii="Verdana" w:eastAsia="Calibri" w:hAnsi="Verdana" w:cs="Arial"/>
          <w:color w:val="000000"/>
          <w:lang w:val="es-ES_tradnl"/>
        </w:rPr>
        <w:lastRenderedPageBreak/>
        <w:t>artículos 13, 32 y 40 del EGCAP, su regulación desplaza las reglas del arrendamiento de servicios inmateriales de que tratan los artículos 2063 y siguientes del Código Civil. Actualmente, el artículo 32, numeral 3º, de la Ley 80 de 1993, establece:</w:t>
      </w:r>
    </w:p>
    <w:p w14:paraId="55734CB9" w14:textId="77777777" w:rsidR="008D6130" w:rsidRPr="00884819" w:rsidRDefault="008D6130" w:rsidP="008D6130">
      <w:pPr>
        <w:spacing w:after="0" w:line="276" w:lineRule="auto"/>
        <w:jc w:val="both"/>
        <w:rPr>
          <w:rFonts w:ascii="Verdana" w:eastAsia="Calibri" w:hAnsi="Verdana" w:cs="Arial"/>
          <w:color w:val="000000"/>
          <w:lang w:val="es-ES_tradnl"/>
        </w:rPr>
      </w:pPr>
    </w:p>
    <w:p w14:paraId="43533A23" w14:textId="77777777" w:rsidR="008D6130" w:rsidRPr="00692C00" w:rsidRDefault="008D6130" w:rsidP="008D6130">
      <w:pPr>
        <w:spacing w:after="12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AEA1DE4" w14:textId="77777777" w:rsidR="008D6130" w:rsidRPr="00884819" w:rsidRDefault="008D6130" w:rsidP="008D6130">
      <w:pPr>
        <w:spacing w:after="0" w:line="240" w:lineRule="auto"/>
        <w:ind w:left="709" w:right="709"/>
        <w:jc w:val="both"/>
        <w:rPr>
          <w:rFonts w:ascii="Verdana" w:eastAsia="Calibri" w:hAnsi="Verdana" w:cs="Arial"/>
          <w:color w:val="000000"/>
          <w:sz w:val="21"/>
          <w:szCs w:val="21"/>
          <w:lang w:val="es-ES_tradnl"/>
        </w:rPr>
      </w:pPr>
      <w:r w:rsidRPr="00692C00">
        <w:rPr>
          <w:rFonts w:ascii="Verdana" w:eastAsia="Calibri" w:hAnsi="Verdana" w:cs="Arial"/>
          <w:color w:val="000000"/>
          <w:sz w:val="20"/>
          <w:szCs w:val="20"/>
          <w:lang w:val="es-ES_tradnl"/>
        </w:rPr>
        <w:t>En ningún caso estos contratos generan relación laboral ni prestaciones sociales y se celebrarán por el término estrictamente indispensable”.</w:t>
      </w:r>
    </w:p>
    <w:p w14:paraId="3289911D" w14:textId="77777777" w:rsidR="008D6130" w:rsidRPr="00884819" w:rsidRDefault="008D6130" w:rsidP="008D6130">
      <w:pPr>
        <w:tabs>
          <w:tab w:val="left" w:pos="284"/>
        </w:tabs>
        <w:spacing w:after="0" w:line="276" w:lineRule="auto"/>
        <w:contextualSpacing/>
        <w:jc w:val="both"/>
        <w:rPr>
          <w:rFonts w:ascii="Verdana" w:eastAsia="Calibri" w:hAnsi="Verdana" w:cs="Arial"/>
          <w:b/>
          <w:color w:val="000000"/>
          <w:lang w:val="es-ES_tradnl"/>
        </w:rPr>
      </w:pPr>
    </w:p>
    <w:p w14:paraId="6290E4EB" w14:textId="77777777" w:rsidR="008D6130" w:rsidRPr="00884819" w:rsidRDefault="008D6130" w:rsidP="008D6130">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 pesar de la derogatoria del literal d) del artículo 24.1 del Estatuto General, la celebración de dicho contrato se realiza a través de la modalidad de la contratación directa. Así lo prevé el artículo 2, numeral 4º, literal h), de la Ley 1150 de 2007, que dispone:</w:t>
      </w:r>
    </w:p>
    <w:p w14:paraId="6BAAEDF9" w14:textId="77777777" w:rsidR="008D6130" w:rsidRPr="00884819" w:rsidRDefault="008D6130" w:rsidP="008D6130">
      <w:pPr>
        <w:spacing w:after="0" w:line="276" w:lineRule="auto"/>
        <w:jc w:val="both"/>
        <w:rPr>
          <w:rFonts w:ascii="Verdana" w:eastAsia="Calibri" w:hAnsi="Verdana" w:cs="Arial"/>
          <w:color w:val="000000"/>
          <w:lang w:val="es-ES_tradnl"/>
        </w:rPr>
      </w:pPr>
    </w:p>
    <w:p w14:paraId="17786B29" w14:textId="77777777" w:rsidR="008D6130" w:rsidRPr="00692C00" w:rsidRDefault="008D6130" w:rsidP="008D6130">
      <w:pPr>
        <w:spacing w:after="12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w:t>
      </w:r>
    </w:p>
    <w:p w14:paraId="01B3C78F" w14:textId="77777777" w:rsidR="008D6130" w:rsidRPr="00692C00" w:rsidRDefault="008D6130" w:rsidP="008D6130">
      <w:pPr>
        <w:spacing w:line="240" w:lineRule="auto"/>
        <w:ind w:left="709" w:right="709"/>
        <w:jc w:val="both"/>
        <w:rPr>
          <w:rFonts w:ascii="Verdana" w:eastAsia="Calibri" w:hAnsi="Verdana" w:cs="Arial"/>
          <w:color w:val="000000"/>
          <w:sz w:val="20"/>
          <w:szCs w:val="20"/>
          <w:lang w:val="es-ES"/>
        </w:rPr>
      </w:pPr>
      <w:r w:rsidRPr="00692C00">
        <w:rPr>
          <w:rFonts w:ascii="Verdana" w:eastAsia="Calibri" w:hAnsi="Verdana" w:cs="Arial"/>
          <w:color w:val="000000" w:themeColor="text1"/>
          <w:sz w:val="20"/>
          <w:szCs w:val="20"/>
          <w:lang w:val="es-ES"/>
        </w:rPr>
        <w:t>Contratación directa. La modalidad de selección de contratación directa solamente procederá en los siguientes casos:</w:t>
      </w:r>
    </w:p>
    <w:p w14:paraId="68FB6D3F" w14:textId="77777777" w:rsidR="008D6130" w:rsidRPr="00692C00" w:rsidRDefault="008D6130" w:rsidP="008D6130">
      <w:pPr>
        <w:spacing w:after="12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w:t>
      </w:r>
    </w:p>
    <w:p w14:paraId="109B01DA" w14:textId="77777777" w:rsidR="008D6130" w:rsidRPr="00692C00" w:rsidRDefault="008D6130" w:rsidP="008D6130">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h) Para la prestación de servicios profesionales y de apoyo a la gestión, o para la ejecución de trabajos artísticos que sólo puedan encomendarse a determinadas personas naturales”.</w:t>
      </w:r>
    </w:p>
    <w:p w14:paraId="25A2CB42" w14:textId="77777777" w:rsidR="008D6130" w:rsidRPr="00884819" w:rsidRDefault="008D6130" w:rsidP="008D6130">
      <w:pPr>
        <w:spacing w:after="0"/>
        <w:ind w:right="709"/>
        <w:jc w:val="both"/>
        <w:rPr>
          <w:rFonts w:ascii="Verdana" w:eastAsia="Calibri" w:hAnsi="Verdana" w:cs="Arial"/>
          <w:color w:val="000000"/>
          <w:lang w:val="es-ES_tradnl"/>
        </w:rPr>
      </w:pPr>
    </w:p>
    <w:p w14:paraId="715C6C41" w14:textId="77777777" w:rsidR="008D6130" w:rsidRPr="00884819" w:rsidRDefault="008D6130" w:rsidP="008D6130">
      <w:pPr>
        <w:spacing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1B1EC2F"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a</w:t>
      </w:r>
      <w:r w:rsidRPr="00884819">
        <w:rPr>
          <w:rFonts w:ascii="Verdana" w:eastAsia="Calibri" w:hAnsi="Verdana" w:cs="Arial"/>
          <w:color w:val="000000"/>
          <w:lang w:val="es-ES_tradnl"/>
        </w:rPr>
        <w:t>) Solo puede celebrarse para realizar “actividades relacionadas con la administración o funcionamiento de la entidad”, es decir, que hagan parte de su giro ordinario o quehacer cotidiano.</w:t>
      </w:r>
    </w:p>
    <w:p w14:paraId="21BE7036"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b</w:t>
      </w:r>
      <w:r w:rsidRPr="00884819">
        <w:rPr>
          <w:rFonts w:ascii="Verdana" w:eastAsia="Calibri" w:hAnsi="Verdana" w:cs="Arial"/>
          <w:color w:val="000000"/>
          <w:lang w:val="es-ES_tradnl"/>
        </w:rPr>
        <w:t xml:space="preserve">) Admite que se suscriba tanto con personas naturales como con personas jurídicas. Y requiere que la entidad estatal justifique en los estudios previos que las actividades que buscan encomendarse a aquella “no puedan </w:t>
      </w:r>
      <w:r w:rsidRPr="00884819">
        <w:rPr>
          <w:rFonts w:ascii="Verdana" w:eastAsia="Calibri" w:hAnsi="Verdana" w:cs="Arial"/>
          <w:color w:val="000000"/>
          <w:lang w:val="es-ES_tradnl"/>
        </w:rPr>
        <w:lastRenderedPageBreak/>
        <w:t>realizarse con personal de planta o requieran conocimientos especializados”.</w:t>
      </w:r>
      <w:r w:rsidRPr="00884819">
        <w:rPr>
          <w:rStyle w:val="Refdenotaalpie"/>
          <w:rFonts w:ascii="Verdana" w:eastAsia="Calibri" w:hAnsi="Verdana" w:cs="Arial"/>
          <w:color w:val="000000"/>
          <w:lang w:val="es-ES_tradnl"/>
        </w:rPr>
        <w:footnoteReference w:id="1"/>
      </w:r>
      <w:r w:rsidRPr="00884819">
        <w:rPr>
          <w:rFonts w:ascii="Verdana" w:eastAsia="Calibri" w:hAnsi="Verdana"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1E396BF"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c</w:t>
      </w:r>
      <w:r w:rsidRPr="00884819">
        <w:rPr>
          <w:rFonts w:ascii="Verdana" w:eastAsia="Calibri" w:hAnsi="Verdana" w:cs="Arial"/>
          <w:color w:val="000000"/>
          <w:lang w:val="es-ES_tradnl"/>
        </w:rPr>
        <w:t>) Si bien se celebran para obtener la prestación personal de un servicio, se diferencian del contrato de trabajo</w:t>
      </w:r>
      <w:r w:rsidRPr="00884819">
        <w:rPr>
          <w:rStyle w:val="Refdenotaalpie"/>
          <w:rFonts w:ascii="Verdana" w:hAnsi="Verdana" w:cs="Arial"/>
        </w:rPr>
        <w:footnoteReference w:id="2"/>
      </w:r>
      <w:r w:rsidRPr="00884819">
        <w:rPr>
          <w:rFonts w:ascii="Verdana" w:eastAsia="Calibri" w:hAnsi="Verdana" w:cs="Arial"/>
          <w:color w:val="000000"/>
          <w:lang w:val="es-ES_tradnl"/>
        </w:rPr>
        <w:t xml:space="preserve"> en que quien celebra el contrato de prestación de servicios debe mantener autonomía e independencia en la ejecución de la labor, lo que significa que no puede existir la </w:t>
      </w:r>
      <w:r w:rsidRPr="00884819">
        <w:rPr>
          <w:rFonts w:ascii="Verdana" w:eastAsia="Calibri" w:hAnsi="Verdana" w:cs="Arial"/>
          <w:i/>
          <w:color w:val="000000"/>
          <w:lang w:val="es-ES_tradnl"/>
        </w:rPr>
        <w:t>subordinación y dependencia</w:t>
      </w:r>
      <w:r w:rsidRPr="00884819">
        <w:rPr>
          <w:rFonts w:ascii="Verdana" w:eastAsia="Calibri" w:hAnsi="Verdana" w:cs="Arial"/>
          <w:iCs/>
          <w:color w:val="000000"/>
          <w:lang w:val="es-ES_tradnl"/>
        </w:rPr>
        <w:t>,</w:t>
      </w:r>
      <w:r w:rsidRPr="00884819">
        <w:rPr>
          <w:rFonts w:ascii="Verdana" w:eastAsia="Calibri" w:hAnsi="Verdana" w:cs="Arial"/>
          <w:color w:val="00000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884819">
        <w:rPr>
          <w:rFonts w:ascii="Verdana" w:eastAsia="Calibri" w:hAnsi="Verdana" w:cs="Arial"/>
          <w:i/>
          <w:color w:val="000000"/>
          <w:lang w:val="es-ES_tradnl"/>
        </w:rPr>
        <w:t>no pueden</w:t>
      </w:r>
      <w:r w:rsidRPr="00884819">
        <w:rPr>
          <w:rFonts w:ascii="Verdana" w:eastAsia="Calibri" w:hAnsi="Verdana" w:cs="Arial"/>
          <w:color w:val="000000"/>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331AE0AC"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lastRenderedPageBreak/>
        <w:t xml:space="preserve">Pero es posible que, a pesar de este mandato deontológico, en la práctica surja la relación laboral, pues, como se sabe, el contrato de trabajo es un </w:t>
      </w:r>
      <w:r w:rsidRPr="00884819">
        <w:rPr>
          <w:rFonts w:ascii="Verdana" w:eastAsia="Calibri" w:hAnsi="Verdana" w:cs="Arial"/>
          <w:i/>
          <w:color w:val="000000"/>
          <w:lang w:val="es-ES_tradnl"/>
        </w:rPr>
        <w:t>contrato realidad</w:t>
      </w:r>
      <w:r w:rsidRPr="00884819">
        <w:rPr>
          <w:rFonts w:ascii="Verdana" w:eastAsia="Calibri" w:hAnsi="Verdana" w:cs="Arial"/>
          <w:color w:val="000000"/>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884819">
        <w:rPr>
          <w:rStyle w:val="Refdenotaalpie"/>
          <w:rFonts w:ascii="Verdana" w:hAnsi="Verdana" w:cs="Arial"/>
        </w:rPr>
        <w:footnoteReference w:id="3"/>
      </w:r>
      <w:r w:rsidRPr="00884819">
        <w:rPr>
          <w:rFonts w:ascii="Verdana" w:eastAsia="Calibri" w:hAnsi="Verdana" w:cs="Arial"/>
          <w:color w:val="000000"/>
          <w:lang w:val="es-ES_tradnl"/>
        </w:rPr>
        <w:t xml:space="preserve">. </w:t>
      </w:r>
    </w:p>
    <w:p w14:paraId="292A04AC"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En todo caso, conforme al artículo 54.1 de la Ley 1952 de 2019, “Por medio de la cual se expide el código general disciplinario se derogan la ley 734 de 2002 y algunas disposiciones de la ley 1474 de 2011, relacionadas con el derecho disciplinario”, constituye falta gravísima “Celebrar contrato de prestación de servicios cuyo objeto sea el cumplimiento de funciones públicas o administrativas que requieran dedicación de tiempo completo e impliquen subordinación y ausencia de autonomía respecto del contratista […]”</w:t>
      </w:r>
      <w:r w:rsidRPr="00884819">
        <w:rPr>
          <w:rStyle w:val="Refdenotaalpie"/>
          <w:rFonts w:ascii="Verdana" w:eastAsia="Calibri" w:hAnsi="Verdana" w:cs="Arial"/>
          <w:color w:val="000000"/>
          <w:lang w:val="es-ES_tradnl"/>
        </w:rPr>
        <w:footnoteReference w:id="4"/>
      </w:r>
      <w:r w:rsidRPr="00884819">
        <w:rPr>
          <w:rFonts w:ascii="Verdana" w:eastAsia="Calibri" w:hAnsi="Verdana" w:cs="Arial"/>
          <w:color w:val="000000"/>
          <w:lang w:val="es-ES_tradnl"/>
        </w:rPr>
        <w:t>.</w:t>
      </w:r>
    </w:p>
    <w:p w14:paraId="4C01FA53" w14:textId="77777777" w:rsidR="008D6130" w:rsidRPr="00884819" w:rsidRDefault="008D6130" w:rsidP="008D6130">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d</w:t>
      </w:r>
      <w:r w:rsidRPr="00884819">
        <w:rPr>
          <w:rFonts w:ascii="Verdana" w:eastAsia="Calibri" w:hAnsi="Verdana" w:cs="Arial"/>
          <w:color w:val="000000"/>
          <w:lang w:val="es-ES_tradnl"/>
        </w:rPr>
        <w:t>) Deben ser temporales. Así lo señaló la Corte Constitucional en la misma providencia a la que se aludió previamente,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84819">
        <w:rPr>
          <w:rStyle w:val="Refdenotaalpie"/>
          <w:rFonts w:ascii="Verdana" w:hAnsi="Verdana" w:cs="Arial"/>
        </w:rPr>
        <w:footnoteReference w:id="5"/>
      </w:r>
      <w:r w:rsidRPr="00884819">
        <w:rPr>
          <w:rFonts w:ascii="Verdana" w:eastAsia="Calibri" w:hAnsi="Verdana" w:cs="Arial"/>
          <w:color w:val="000000"/>
          <w:lang w:val="es-ES_tradnl"/>
        </w:rPr>
        <w:t>.</w:t>
      </w:r>
    </w:p>
    <w:p w14:paraId="02ED12B4" w14:textId="77777777" w:rsidR="008D6130" w:rsidRPr="00884819" w:rsidRDefault="008D6130" w:rsidP="008D6130">
      <w:pPr>
        <w:spacing w:after="0" w:line="276" w:lineRule="auto"/>
        <w:ind w:firstLine="709"/>
        <w:jc w:val="both"/>
        <w:rPr>
          <w:rFonts w:ascii="Verdana" w:eastAsia="Calibri" w:hAnsi="Verdana" w:cs="Arial"/>
          <w:color w:val="000000"/>
          <w:lang w:val="es-ES"/>
        </w:rPr>
      </w:pPr>
      <w:r>
        <w:rPr>
          <w:rFonts w:ascii="Verdana" w:eastAsia="Calibri" w:hAnsi="Verdana" w:cs="Arial"/>
          <w:color w:val="000000"/>
          <w:lang w:val="es-ES"/>
        </w:rPr>
        <w:t>e</w:t>
      </w:r>
      <w:r w:rsidRPr="00884819">
        <w:rPr>
          <w:rFonts w:ascii="Verdana" w:eastAsia="Calibri" w:hAnsi="Verdana" w:cs="Arial"/>
          <w:color w:val="000000"/>
          <w:lang w:val="es-ES"/>
        </w:rPr>
        <w:t xml:space="preserve">) Los contratos de prestación de servicios constituyen un </w:t>
      </w:r>
      <w:r w:rsidRPr="00884819">
        <w:rPr>
          <w:rFonts w:ascii="Verdana" w:eastAsia="Calibri" w:hAnsi="Verdana" w:cs="Arial"/>
          <w:i/>
          <w:color w:val="000000"/>
          <w:lang w:val="es-ES"/>
        </w:rPr>
        <w:t>género</w:t>
      </w:r>
      <w:r w:rsidRPr="00884819">
        <w:rPr>
          <w:rFonts w:ascii="Verdana" w:eastAsia="Calibri" w:hAnsi="Verdana" w:cs="Arial"/>
          <w:color w:val="000000"/>
          <w:lang w:val="es-ES"/>
        </w:rPr>
        <w:t xml:space="preserve"> que incluye, como </w:t>
      </w:r>
      <w:r w:rsidRPr="00884819">
        <w:rPr>
          <w:rFonts w:ascii="Verdana" w:eastAsia="Calibri" w:hAnsi="Verdana" w:cs="Arial"/>
          <w:i/>
          <w:color w:val="000000"/>
          <w:lang w:val="es-ES"/>
        </w:rPr>
        <w:t>especies</w:t>
      </w:r>
      <w:r w:rsidRPr="00884819">
        <w:rPr>
          <w:rFonts w:ascii="Verdana" w:eastAsia="Calibri" w:hAnsi="Verdana" w:cs="Arial"/>
          <w:color w:val="000000"/>
          <w:lang w:val="es-ES"/>
        </w:rPr>
        <w:t xml:space="preserve">, los contratos de prestación de servicios profesionales, los contratos de prestación de servicios de apoyo a la gestión y los contratos de </w:t>
      </w:r>
      <w:r w:rsidRPr="00884819">
        <w:rPr>
          <w:rFonts w:ascii="Verdana" w:eastAsia="Calibri" w:hAnsi="Verdana" w:cs="Arial"/>
          <w:color w:val="000000"/>
          <w:lang w:val="es-ES"/>
        </w:rPr>
        <w:lastRenderedPageBreak/>
        <w:t>prestación de servicios artísticos que solo pueden encomendarse a determinadas personas naturales</w:t>
      </w:r>
      <w:r w:rsidRPr="00884819">
        <w:rPr>
          <w:rStyle w:val="Refdenotaalpie"/>
          <w:rFonts w:ascii="Verdana" w:hAnsi="Verdana" w:cs="Arial"/>
        </w:rPr>
        <w:footnoteReference w:id="6"/>
      </w:r>
      <w:r w:rsidRPr="00884819">
        <w:rPr>
          <w:rFonts w:ascii="Verdana" w:eastAsia="Calibri" w:hAnsi="Verdana" w:cs="Arial"/>
          <w:color w:val="000000"/>
          <w:lang w:val="es-ES"/>
        </w:rPr>
        <w:t xml:space="preserve">. La diferencia entre el contrato de prestación de servicios </w:t>
      </w:r>
      <w:r w:rsidRPr="00884819">
        <w:rPr>
          <w:rFonts w:ascii="Verdana" w:eastAsia="Calibri" w:hAnsi="Verdana" w:cs="Arial"/>
          <w:i/>
          <w:color w:val="000000"/>
          <w:lang w:val="es-ES"/>
        </w:rPr>
        <w:t>profesionales</w:t>
      </w:r>
      <w:r w:rsidRPr="00884819">
        <w:rPr>
          <w:rFonts w:ascii="Verdana" w:eastAsia="Calibri" w:hAnsi="Verdana"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5BF340FB" w14:textId="77777777" w:rsidR="008D6130" w:rsidRPr="00884819" w:rsidRDefault="008D6130" w:rsidP="008D6130">
      <w:pPr>
        <w:spacing w:after="0" w:line="276" w:lineRule="auto"/>
        <w:ind w:firstLine="709"/>
        <w:jc w:val="both"/>
        <w:rPr>
          <w:rFonts w:ascii="Verdana" w:eastAsia="Calibri" w:hAnsi="Verdana" w:cs="Arial"/>
          <w:color w:val="000000"/>
          <w:lang w:val="es-ES_tradnl"/>
        </w:rPr>
      </w:pPr>
    </w:p>
    <w:p w14:paraId="1E10C2DE" w14:textId="77777777" w:rsidR="008D6130" w:rsidRPr="00692C00" w:rsidRDefault="008D6130" w:rsidP="008D6130">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692C00">
        <w:rPr>
          <w:rStyle w:val="Refdenotaalpie"/>
          <w:rFonts w:ascii="Verdana" w:hAnsi="Verdana" w:cs="Arial"/>
          <w:sz w:val="20"/>
          <w:szCs w:val="20"/>
        </w:rPr>
        <w:footnoteReference w:id="7"/>
      </w:r>
      <w:r w:rsidRPr="00692C00">
        <w:rPr>
          <w:rFonts w:ascii="Verdana" w:eastAsia="Calibri" w:hAnsi="Verdana" w:cs="Arial"/>
          <w:color w:val="000000"/>
          <w:sz w:val="20"/>
          <w:szCs w:val="20"/>
          <w:lang w:val="es-ES_tradnl"/>
        </w:rPr>
        <w:t>.</w:t>
      </w:r>
    </w:p>
    <w:p w14:paraId="0410756D" w14:textId="77777777" w:rsidR="008D6130" w:rsidRPr="00884819" w:rsidRDefault="008D6130" w:rsidP="008D6130">
      <w:pPr>
        <w:spacing w:after="0" w:line="276" w:lineRule="auto"/>
        <w:ind w:firstLine="709"/>
        <w:jc w:val="both"/>
        <w:rPr>
          <w:rFonts w:ascii="Verdana" w:eastAsia="Calibri" w:hAnsi="Verdana" w:cs="Arial"/>
          <w:color w:val="000000"/>
          <w:lang w:val="es-ES_tradnl"/>
        </w:rPr>
      </w:pPr>
    </w:p>
    <w:p w14:paraId="0675819C" w14:textId="77777777" w:rsidR="008D6130" w:rsidRPr="00884819" w:rsidRDefault="008D6130" w:rsidP="008D6130">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Objeto que, según la sentencia que se cita, se diferencia del objeto del contrato de prestación de servicios de apoyo a la gestión, porque en este:</w:t>
      </w:r>
    </w:p>
    <w:p w14:paraId="64F9FB30" w14:textId="77777777" w:rsidR="008D6130" w:rsidRPr="00884819" w:rsidRDefault="008D6130" w:rsidP="008D6130">
      <w:pPr>
        <w:spacing w:after="0" w:line="276" w:lineRule="auto"/>
        <w:ind w:firstLine="709"/>
        <w:jc w:val="both"/>
        <w:rPr>
          <w:rFonts w:ascii="Verdana" w:eastAsia="Calibri" w:hAnsi="Verdana" w:cs="Arial"/>
          <w:color w:val="000000"/>
          <w:lang w:val="es-ES_tradnl"/>
        </w:rPr>
      </w:pPr>
    </w:p>
    <w:p w14:paraId="65263F25" w14:textId="77777777" w:rsidR="008D6130" w:rsidRPr="00692C00" w:rsidRDefault="008D6130" w:rsidP="008D6130">
      <w:pPr>
        <w:spacing w:after="12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7515F10" w14:textId="77777777" w:rsidR="008D6130" w:rsidRPr="00692C00" w:rsidRDefault="008D6130" w:rsidP="008D6130">
      <w:pPr>
        <w:spacing w:after="120" w:line="240" w:lineRule="auto"/>
        <w:ind w:left="709" w:right="709"/>
        <w:jc w:val="both"/>
        <w:rPr>
          <w:rFonts w:ascii="Verdana" w:eastAsia="Calibri" w:hAnsi="Verdana" w:cs="Arial"/>
          <w:color w:val="000000"/>
          <w:sz w:val="20"/>
          <w:szCs w:val="20"/>
          <w:lang w:val="es-ES"/>
        </w:rPr>
      </w:pPr>
      <w:r w:rsidRPr="08E9AED9">
        <w:rPr>
          <w:rFonts w:ascii="Verdana" w:eastAsia="Calibri" w:hAnsi="Verdana" w:cs="Arial"/>
          <w:color w:val="000000" w:themeColor="text1"/>
          <w:sz w:val="20"/>
          <w:szCs w:val="20"/>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7B89C83" w14:textId="77777777" w:rsidR="008D6130" w:rsidRPr="00692C00" w:rsidRDefault="008D6130" w:rsidP="008D6130">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 xml:space="preserve">Dentro de su objeto contractual pueden tener lugar actividades operativas, logísticas o asistenciales, siempre que satisfaga los requisitos antes </w:t>
      </w:r>
      <w:r w:rsidRPr="00692C00">
        <w:rPr>
          <w:rFonts w:ascii="Verdana" w:eastAsia="Calibri" w:hAnsi="Verdana" w:cs="Arial"/>
          <w:color w:val="000000"/>
          <w:sz w:val="20"/>
          <w:szCs w:val="20"/>
          <w:lang w:val="es-ES_tradnl"/>
        </w:rPr>
        <w:lastRenderedPageBreak/>
        <w:t>mencionados y sea acorde con las necesidades de la Administración y el principio de planeación”</w:t>
      </w:r>
      <w:r w:rsidRPr="00692C00">
        <w:rPr>
          <w:rStyle w:val="Refdenotaalpie"/>
          <w:rFonts w:ascii="Verdana" w:hAnsi="Verdana" w:cs="Arial"/>
          <w:sz w:val="20"/>
          <w:szCs w:val="20"/>
        </w:rPr>
        <w:footnoteReference w:id="8"/>
      </w:r>
      <w:r w:rsidRPr="00692C00">
        <w:rPr>
          <w:rFonts w:ascii="Verdana" w:eastAsia="Calibri" w:hAnsi="Verdana" w:cs="Arial"/>
          <w:color w:val="000000"/>
          <w:sz w:val="20"/>
          <w:szCs w:val="20"/>
          <w:lang w:val="es-ES_tradnl"/>
        </w:rPr>
        <w:t>.</w:t>
      </w:r>
    </w:p>
    <w:p w14:paraId="6059342A" w14:textId="77777777" w:rsidR="008D6130" w:rsidRPr="00884819" w:rsidRDefault="008D6130" w:rsidP="008D6130">
      <w:pPr>
        <w:spacing w:after="0" w:line="276" w:lineRule="auto"/>
        <w:ind w:firstLine="709"/>
        <w:jc w:val="both"/>
        <w:rPr>
          <w:rFonts w:ascii="Verdana" w:eastAsia="Calibri" w:hAnsi="Verdana" w:cs="Arial"/>
          <w:color w:val="000000"/>
          <w:lang w:val="es-ES_tradnl"/>
        </w:rPr>
      </w:pPr>
    </w:p>
    <w:p w14:paraId="593322A5" w14:textId="77777777" w:rsidR="008D6130" w:rsidRPr="00884819" w:rsidRDefault="008D6130" w:rsidP="008D6130">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En relación con el contrato de prestación de servicios artísticos que solo pueden encomendarse a determinadas personas naturales, señala el mencionado fallo que:</w:t>
      </w:r>
    </w:p>
    <w:p w14:paraId="19C509A8" w14:textId="77777777" w:rsidR="008D6130" w:rsidRPr="00884819" w:rsidRDefault="008D6130" w:rsidP="008D6130">
      <w:pPr>
        <w:spacing w:after="0"/>
        <w:ind w:left="709" w:right="709"/>
        <w:jc w:val="both"/>
        <w:rPr>
          <w:rFonts w:ascii="Verdana" w:eastAsia="Calibri" w:hAnsi="Verdana" w:cs="Arial"/>
          <w:color w:val="000000"/>
          <w:lang w:val="es-ES_tradnl"/>
        </w:rPr>
      </w:pPr>
    </w:p>
    <w:p w14:paraId="37103338" w14:textId="77777777" w:rsidR="008D6130" w:rsidRPr="00692C00" w:rsidRDefault="008D6130" w:rsidP="008D6130">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692C00">
        <w:rPr>
          <w:rStyle w:val="Refdenotaalpie"/>
          <w:rFonts w:ascii="Verdana" w:hAnsi="Verdana" w:cs="Arial"/>
          <w:sz w:val="20"/>
          <w:szCs w:val="20"/>
        </w:rPr>
        <w:footnoteReference w:id="9"/>
      </w:r>
      <w:r w:rsidRPr="00692C00">
        <w:rPr>
          <w:rFonts w:ascii="Verdana" w:eastAsia="Calibri" w:hAnsi="Verdana" w:cs="Arial"/>
          <w:color w:val="000000"/>
          <w:sz w:val="20"/>
          <w:szCs w:val="20"/>
          <w:lang w:val="es-ES_tradnl"/>
        </w:rPr>
        <w:t>.</w:t>
      </w:r>
    </w:p>
    <w:p w14:paraId="0389C63C" w14:textId="77777777" w:rsidR="008D6130" w:rsidRPr="00884819" w:rsidRDefault="008D6130" w:rsidP="008D6130">
      <w:pPr>
        <w:spacing w:after="0"/>
        <w:ind w:left="709" w:right="709"/>
        <w:jc w:val="both"/>
        <w:rPr>
          <w:rFonts w:ascii="Verdana" w:eastAsia="Calibri" w:hAnsi="Verdana" w:cs="Arial"/>
          <w:color w:val="000000"/>
          <w:lang w:val="es-ES_tradnl"/>
        </w:rPr>
      </w:pPr>
    </w:p>
    <w:p w14:paraId="5786ABEF" w14:textId="77777777" w:rsidR="008D6130" w:rsidRPr="00884819" w:rsidRDefault="008D6130" w:rsidP="008D6130">
      <w:pPr>
        <w:spacing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f</w:t>
      </w:r>
      <w:r w:rsidRPr="00884819">
        <w:rPr>
          <w:rFonts w:ascii="Verdana" w:eastAsia="Calibri" w:hAnsi="Verdana" w:cs="Arial"/>
          <w:color w:val="000000"/>
          <w:lang w:val="es-ES_tradnl"/>
        </w:rPr>
        <w:t>)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884819">
        <w:rPr>
          <w:rStyle w:val="Refdenotaalpie"/>
          <w:rFonts w:ascii="Verdana" w:hAnsi="Verdana" w:cs="Arial"/>
        </w:rPr>
        <w:footnoteReference w:id="10"/>
      </w:r>
      <w:r w:rsidRPr="00884819">
        <w:rPr>
          <w:rFonts w:ascii="Verdana" w:eastAsia="Calibri" w:hAnsi="Verdana" w:cs="Arial"/>
          <w:color w:val="000000"/>
          <w:lang w:val="es-ES_tradn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647EDC3E"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g</w:t>
      </w:r>
      <w:r w:rsidRPr="00884819">
        <w:rPr>
          <w:rFonts w:ascii="Verdana" w:eastAsia="Calibri" w:hAnsi="Verdana" w:cs="Arial"/>
          <w:color w:val="000000"/>
          <w:lang w:val="es-ES_tradnl"/>
        </w:rPr>
        <w:t>) Para su celebración no se requiere en algunos casos la expedición del acto administrativo de justificación de la contratación directa</w:t>
      </w:r>
      <w:r w:rsidRPr="00884819">
        <w:rPr>
          <w:rStyle w:val="Refdenotaalpie"/>
          <w:rFonts w:ascii="Verdana" w:hAnsi="Verdana" w:cs="Arial"/>
        </w:rPr>
        <w:footnoteReference w:id="11"/>
      </w:r>
      <w:r w:rsidRPr="00884819">
        <w:rPr>
          <w:rFonts w:ascii="Verdana" w:eastAsia="Calibri" w:hAnsi="Verdana" w:cs="Arial"/>
          <w:color w:val="000000"/>
          <w:lang w:val="es-ES_tradnl"/>
        </w:rPr>
        <w:t xml:space="preserve">. </w:t>
      </w:r>
    </w:p>
    <w:p w14:paraId="71D4305B"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lastRenderedPageBreak/>
        <w:t>h</w:t>
      </w:r>
      <w:r w:rsidRPr="00884819">
        <w:rPr>
          <w:rFonts w:ascii="Verdana" w:eastAsia="Calibri" w:hAnsi="Verdana"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884819">
        <w:rPr>
          <w:rStyle w:val="Refdenotaalpie"/>
          <w:rFonts w:ascii="Verdana" w:hAnsi="Verdana" w:cs="Arial"/>
        </w:rPr>
        <w:footnoteReference w:id="12"/>
      </w:r>
      <w:r w:rsidRPr="00884819">
        <w:rPr>
          <w:rFonts w:ascii="Verdana" w:eastAsia="Calibri" w:hAnsi="Verdana" w:cs="Arial"/>
          <w:color w:val="000000"/>
          <w:lang w:val="es-ES_tradnl"/>
        </w:rPr>
        <w:t>.</w:t>
      </w:r>
    </w:p>
    <w:p w14:paraId="744FFA3B"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i) En algunos casos no es obligatoria la liquidación, pues así lo estableció el artículo 217 del Decreto 019 de 2012, que modificó el artículo 60 de la Ley 80 de 1993</w:t>
      </w:r>
      <w:r w:rsidRPr="00884819">
        <w:rPr>
          <w:rStyle w:val="Refdenotaalpie"/>
          <w:rFonts w:ascii="Verdana" w:hAnsi="Verdana" w:cs="Arial"/>
        </w:rPr>
        <w:footnoteReference w:id="13"/>
      </w:r>
      <w:r w:rsidRPr="00884819">
        <w:rPr>
          <w:rFonts w:ascii="Verdana" w:eastAsia="Calibri" w:hAnsi="Verdana" w:cs="Arial"/>
          <w:color w:val="000000"/>
          <w:lang w:val="es-ES_tradnl"/>
        </w:rPr>
        <w:t>, refiriéndose a los contratos de prestación de servicios profesionales y de apoyo a la gestión.</w:t>
      </w:r>
    </w:p>
    <w:p w14:paraId="3B3FAE48" w14:textId="77777777" w:rsidR="008D6130" w:rsidRPr="00884819" w:rsidRDefault="008D6130" w:rsidP="008D6130">
      <w:pPr>
        <w:spacing w:before="120"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j</w:t>
      </w:r>
      <w:r w:rsidRPr="00884819">
        <w:rPr>
          <w:rFonts w:ascii="Verdana" w:eastAsia="Calibri" w:hAnsi="Verdana" w:cs="Arial"/>
          <w:color w:val="000000"/>
          <w:lang w:val="es-ES_tradnl"/>
        </w:rPr>
        <w:t>) Para su celebración no se requiere inscripción en el Registro Único de Proponentes (RUP), según lo prevé el artículo 6 de la Ley 1150 de 2007</w:t>
      </w:r>
      <w:r w:rsidRPr="00884819">
        <w:rPr>
          <w:rStyle w:val="Refdenotaalpie"/>
          <w:rFonts w:ascii="Verdana" w:hAnsi="Verdana" w:cs="Arial"/>
        </w:rPr>
        <w:footnoteReference w:id="14"/>
      </w:r>
      <w:r w:rsidRPr="00884819">
        <w:rPr>
          <w:rFonts w:ascii="Verdana" w:eastAsia="Calibri" w:hAnsi="Verdana" w:cs="Arial"/>
          <w:color w:val="000000"/>
          <w:lang w:val="es-ES_tradnl"/>
        </w:rPr>
        <w:t>.</w:t>
      </w:r>
    </w:p>
    <w:p w14:paraId="150DDBF2" w14:textId="77777777" w:rsidR="008D6130" w:rsidRDefault="008D6130" w:rsidP="008D6130">
      <w:pPr>
        <w:spacing w:before="120" w:after="0"/>
        <w:ind w:firstLine="709"/>
        <w:jc w:val="both"/>
        <w:rPr>
          <w:rFonts w:ascii="Verdana" w:eastAsia="Calibri" w:hAnsi="Verdana" w:cs="Arial"/>
          <w:color w:val="000000"/>
          <w:lang w:val="es-ES_tradnl"/>
        </w:rPr>
      </w:pPr>
      <w:r>
        <w:rPr>
          <w:rFonts w:ascii="Verdana" w:eastAsia="Calibri" w:hAnsi="Verdana" w:cs="Arial"/>
          <w:color w:val="000000"/>
          <w:lang w:val="es-ES_tradnl"/>
        </w:rPr>
        <w:t>k</w:t>
      </w:r>
      <w:r w:rsidRPr="00884819">
        <w:rPr>
          <w:rFonts w:ascii="Verdana" w:eastAsia="Calibri" w:hAnsi="Verdana" w:cs="Arial"/>
          <w:color w:val="000000"/>
          <w:lang w:val="es-ES_tradnl"/>
        </w:rPr>
        <w:t>) En ellos no son necesarias las garantías</w:t>
      </w:r>
      <w:r w:rsidRPr="00884819">
        <w:rPr>
          <w:rStyle w:val="Refdenotaalpie"/>
          <w:rFonts w:ascii="Verdana" w:hAnsi="Verdana" w:cs="Arial"/>
        </w:rPr>
        <w:footnoteReference w:id="15"/>
      </w:r>
      <w:r w:rsidRPr="00884819">
        <w:rPr>
          <w:rFonts w:ascii="Verdana" w:eastAsia="Calibri" w:hAnsi="Verdana" w:cs="Arial"/>
          <w:color w:val="000000"/>
          <w:lang w:val="es-ES_tradnl"/>
        </w:rPr>
        <w:t>.</w:t>
      </w:r>
    </w:p>
    <w:p w14:paraId="4FBB99F2" w14:textId="77777777" w:rsidR="008D6130" w:rsidRPr="00884819" w:rsidRDefault="008D6130" w:rsidP="008D6130">
      <w:pPr>
        <w:spacing w:after="0"/>
        <w:ind w:firstLine="709"/>
        <w:jc w:val="both"/>
        <w:rPr>
          <w:rFonts w:ascii="Verdana" w:eastAsia="Calibri" w:hAnsi="Verdana" w:cs="Arial"/>
          <w:color w:val="000000"/>
          <w:lang w:val="es-ES_tradnl"/>
        </w:rPr>
      </w:pPr>
    </w:p>
    <w:p w14:paraId="6B0DBA3E" w14:textId="20E37BC1" w:rsidR="008D6130" w:rsidRPr="003755E1" w:rsidRDefault="008D6130" w:rsidP="008E04DF">
      <w:pPr>
        <w:widowControl w:val="0"/>
        <w:autoSpaceDE w:val="0"/>
        <w:autoSpaceDN w:val="0"/>
        <w:spacing w:after="120" w:line="276" w:lineRule="auto"/>
        <w:ind w:firstLine="709"/>
        <w:jc w:val="both"/>
        <w:rPr>
          <w:rFonts w:ascii="Verdana" w:eastAsia="Arial" w:hAnsi="Verdana" w:cs="Arial"/>
          <w:iCs/>
          <w:lang w:val="es-ES"/>
        </w:rPr>
      </w:pPr>
      <w:r w:rsidRPr="00282ED1">
        <w:rPr>
          <w:rFonts w:ascii="Verdana" w:eastAsia="Arial" w:hAnsi="Verdana" w:cs="Arial"/>
          <w:iCs/>
          <w:lang w:val="es-ES"/>
        </w:rPr>
        <w:t xml:space="preserve">En relación con los honorarios </w:t>
      </w:r>
      <w:r>
        <w:rPr>
          <w:rFonts w:ascii="Verdana" w:eastAsia="Arial" w:hAnsi="Verdana" w:cs="Arial"/>
          <w:iCs/>
          <w:lang w:val="es-ES"/>
        </w:rPr>
        <w:t>en</w:t>
      </w:r>
      <w:r w:rsidRPr="00282ED1">
        <w:rPr>
          <w:rFonts w:ascii="Verdana" w:eastAsia="Arial" w:hAnsi="Verdana" w:cs="Arial"/>
          <w:iCs/>
          <w:lang w:val="es-ES"/>
        </w:rPr>
        <w:t xml:space="preserve"> los contratos de prestación de servicios,</w:t>
      </w:r>
      <w:r>
        <w:rPr>
          <w:rFonts w:ascii="Verdana" w:eastAsia="Arial" w:hAnsi="Verdana" w:cs="Arial"/>
          <w:iCs/>
          <w:lang w:val="es-ES"/>
        </w:rPr>
        <w:t xml:space="preserve"> </w:t>
      </w:r>
      <w:r w:rsidRPr="00F31A35">
        <w:rPr>
          <w:rFonts w:ascii="Verdana" w:eastAsia="Calibri" w:hAnsi="Verdana" w:cs="Arial"/>
          <w:bCs/>
          <w:color w:val="000000"/>
          <w:kern w:val="2"/>
          <w14:ligatures w14:val="standardContextual"/>
        </w:rPr>
        <w:t xml:space="preserve">es pertinente precisar que no </w:t>
      </w:r>
      <w:r w:rsidR="008E04DF">
        <w:rPr>
          <w:rFonts w:ascii="Verdana" w:eastAsia="Calibri" w:hAnsi="Verdana" w:cs="Arial"/>
          <w:bCs/>
          <w:color w:val="000000"/>
          <w:kern w:val="2"/>
          <w14:ligatures w14:val="standardContextual"/>
        </w:rPr>
        <w:t xml:space="preserve">existe </w:t>
      </w:r>
      <w:r w:rsidRPr="00F31A35">
        <w:rPr>
          <w:rFonts w:ascii="Verdana" w:eastAsia="Calibri" w:hAnsi="Verdana" w:cs="Arial"/>
          <w:bCs/>
          <w:color w:val="000000"/>
          <w:kern w:val="2"/>
          <w14:ligatures w14:val="standardContextual"/>
        </w:rPr>
        <w:t xml:space="preserve">una disposición que establezca la forma en la que deberían fijarse, pues en virtud del principio de autonomía de la voluntad, </w:t>
      </w:r>
      <w:r w:rsidRPr="00F31A35">
        <w:rPr>
          <w:rFonts w:ascii="Verdana" w:eastAsia="Calibri" w:hAnsi="Verdana" w:cs="Arial"/>
          <w:bCs/>
          <w:color w:val="000000"/>
          <w:kern w:val="2"/>
          <w14:ligatures w14:val="standardContextual"/>
        </w:rPr>
        <w:lastRenderedPageBreak/>
        <w:t>las partes pueden determinar el contenido de los contratos estatales e incluir las condiciones, cláusulas o estipulaciones que consideren necesarias para desarrollar el objeto contractual, siempre que no sean contrarias a la Constitución Política, la ley y el orden público.</w:t>
      </w:r>
    </w:p>
    <w:p w14:paraId="08AEDADB" w14:textId="77777777" w:rsidR="008D6130" w:rsidRPr="00F31A35" w:rsidRDefault="008D6130" w:rsidP="008D6130">
      <w:pPr>
        <w:spacing w:before="120"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370EC0A0" w14:textId="77777777" w:rsidR="008D6130" w:rsidRPr="00F31A35" w:rsidRDefault="008D6130" w:rsidP="008D6130">
      <w:pPr>
        <w:spacing w:after="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Lo anterior, en razón a que el Estatuto General de Contratación de la Administración Pública –EGCAP– contiene disposiciones que exigen a las Entidades Estatales del deber de realizar planeación en la etapa precontractual, para que los Procesos de Contratación satisfagan las necesidades de la Administración, cumplan sus fines, logren la continua y eficiente prestación de los servicios y permitan la efectividad de los derechos e intereses de los administrados que colaboraran en la consecución. En relación con el valor del futuro contrato y su correlativo respaldo presupuestal, se tienen, por ejemplo, las siguientes reglas derivadas de la aplicación del principio de economía previsto en el artículo 25 de la Ley 80 de 1993:</w:t>
      </w:r>
    </w:p>
    <w:p w14:paraId="4C009563" w14:textId="77777777" w:rsidR="008D6130" w:rsidRPr="00F31A35" w:rsidRDefault="008D6130" w:rsidP="008D6130">
      <w:pPr>
        <w:spacing w:after="0" w:line="276" w:lineRule="auto"/>
        <w:ind w:firstLine="709"/>
        <w:jc w:val="both"/>
        <w:rPr>
          <w:rFonts w:ascii="Verdana" w:eastAsia="Calibri" w:hAnsi="Verdana" w:cs="Arial"/>
          <w:bCs/>
          <w:color w:val="000000"/>
          <w:kern w:val="2"/>
          <w14:ligatures w14:val="standardContextual"/>
        </w:rPr>
      </w:pPr>
    </w:p>
    <w:p w14:paraId="4D6FD9F2" w14:textId="77777777" w:rsidR="008D6130" w:rsidRPr="00F31A35" w:rsidRDefault="008D6130" w:rsidP="008D6130">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r w:rsidRPr="00F31A35">
        <w:rPr>
          <w:rStyle w:val="eop"/>
          <w:rFonts w:ascii="Verdana" w:eastAsiaTheme="majorEastAsia" w:hAnsi="Verdana" w:cs="Arial"/>
          <w:sz w:val="20"/>
          <w:szCs w:val="20"/>
        </w:rPr>
        <w:t> </w:t>
      </w:r>
    </w:p>
    <w:p w14:paraId="5708F0BB" w14:textId="77777777" w:rsidR="008D6130" w:rsidRPr="00F31A35" w:rsidRDefault="008D6130" w:rsidP="008D6130">
      <w:pPr>
        <w:pStyle w:val="paragraph"/>
        <w:spacing w:before="0" w:beforeAutospacing="0" w:after="12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w:t>
      </w:r>
      <w:r w:rsidRPr="00F31A35">
        <w:rPr>
          <w:rStyle w:val="eop"/>
          <w:rFonts w:ascii="Verdana" w:eastAsiaTheme="majorEastAsia" w:hAnsi="Verdana" w:cs="Arial"/>
          <w:sz w:val="20"/>
          <w:szCs w:val="20"/>
        </w:rPr>
        <w:t> </w:t>
      </w:r>
    </w:p>
    <w:p w14:paraId="0D080B48" w14:textId="77777777" w:rsidR="008D6130" w:rsidRPr="00F31A35" w:rsidRDefault="008D6130" w:rsidP="008D6130">
      <w:pPr>
        <w:pStyle w:val="paragraph"/>
        <w:spacing w:before="0" w:beforeAutospacing="0" w:after="12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r w:rsidRPr="00F31A35">
        <w:rPr>
          <w:rStyle w:val="eop"/>
          <w:rFonts w:ascii="Verdana" w:eastAsiaTheme="majorEastAsia" w:hAnsi="Verdana" w:cs="Arial"/>
          <w:sz w:val="20"/>
          <w:szCs w:val="20"/>
        </w:rPr>
        <w:t> </w:t>
      </w:r>
    </w:p>
    <w:p w14:paraId="08A5785D" w14:textId="77777777" w:rsidR="008D6130" w:rsidRPr="00F31A35" w:rsidRDefault="008D6130" w:rsidP="008D6130">
      <w:pPr>
        <w:pStyle w:val="paragraph"/>
        <w:spacing w:before="0" w:beforeAutospacing="0" w:after="12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 xml:space="preserve">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w:t>
      </w:r>
      <w:r w:rsidRPr="00F31A35">
        <w:rPr>
          <w:rStyle w:val="normaltextrun"/>
          <w:rFonts w:ascii="Verdana" w:hAnsi="Verdana" w:cs="Arial"/>
          <w:sz w:val="20"/>
          <w:szCs w:val="20"/>
          <w:lang w:val="es-MX"/>
        </w:rPr>
        <w:lastRenderedPageBreak/>
        <w:t>condición será aplicable incluso para los contratos que incluyan dentro del objeto el diseño.</w:t>
      </w:r>
      <w:r w:rsidRPr="00F31A35">
        <w:rPr>
          <w:rStyle w:val="eop"/>
          <w:rFonts w:ascii="Verdana" w:eastAsiaTheme="majorEastAsia" w:hAnsi="Verdana" w:cs="Arial"/>
          <w:sz w:val="20"/>
          <w:szCs w:val="20"/>
        </w:rPr>
        <w:t> </w:t>
      </w:r>
    </w:p>
    <w:p w14:paraId="4F074BE5" w14:textId="77777777" w:rsidR="008D6130" w:rsidRPr="00F31A35" w:rsidRDefault="008D6130" w:rsidP="008D6130">
      <w:pPr>
        <w:pStyle w:val="paragraph"/>
        <w:spacing w:before="0" w:beforeAutospacing="0" w:after="12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ES"/>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r w:rsidRPr="00F31A35">
        <w:rPr>
          <w:rStyle w:val="eop"/>
          <w:rFonts w:ascii="Verdana" w:eastAsiaTheme="majorEastAsia" w:hAnsi="Verdana" w:cs="Arial"/>
          <w:sz w:val="20"/>
          <w:szCs w:val="20"/>
        </w:rPr>
        <w:t> </w:t>
      </w:r>
    </w:p>
    <w:p w14:paraId="65F76E4D" w14:textId="77777777" w:rsidR="008D6130" w:rsidRPr="00F31A35" w:rsidRDefault="008D6130" w:rsidP="008D6130">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ES"/>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00F31A35">
        <w:rPr>
          <w:rStyle w:val="eop"/>
          <w:rFonts w:ascii="Verdana" w:eastAsiaTheme="majorEastAsia" w:hAnsi="Verdana" w:cs="Arial"/>
          <w:sz w:val="20"/>
          <w:szCs w:val="20"/>
        </w:rPr>
        <w:t> </w:t>
      </w:r>
    </w:p>
    <w:p w14:paraId="604F5F34" w14:textId="77777777" w:rsidR="008D6130" w:rsidRPr="00F31A35" w:rsidRDefault="008D6130" w:rsidP="008D6130">
      <w:pPr>
        <w:spacing w:after="0" w:line="276" w:lineRule="auto"/>
        <w:ind w:firstLine="709"/>
        <w:jc w:val="both"/>
        <w:rPr>
          <w:rFonts w:ascii="Verdana" w:eastAsia="Calibri" w:hAnsi="Verdana" w:cs="Arial"/>
          <w:bCs/>
          <w:color w:val="000000"/>
          <w:kern w:val="2"/>
          <w14:ligatures w14:val="standardContextual"/>
        </w:rPr>
      </w:pPr>
    </w:p>
    <w:p w14:paraId="600448EC" w14:textId="77777777" w:rsidR="008D6130" w:rsidRPr="00F31A35" w:rsidRDefault="008D6130" w:rsidP="008D6130">
      <w:pPr>
        <w:spacing w:after="120" w:line="276" w:lineRule="auto"/>
        <w:ind w:firstLine="709"/>
        <w:jc w:val="both"/>
        <w:rPr>
          <w:rFonts w:ascii="Verdana" w:eastAsia="Times New Roman" w:hAnsi="Verdana" w:cs="Arial"/>
          <w:lang w:val="es-ES_tradnl" w:eastAsia="es-MX"/>
        </w:rPr>
      </w:pPr>
      <w:r w:rsidRPr="00F31A35">
        <w:rPr>
          <w:rFonts w:ascii="Verdana" w:eastAsia="Times New Roman" w:hAnsi="Verdana" w:cs="Arial"/>
          <w:lang w:val="es-ES_tradnl"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F31A35">
        <w:rPr>
          <w:rFonts w:ascii="Verdana" w:eastAsia="Times New Roman" w:hAnsi="Verdana" w:cs="Arial"/>
          <w:vertAlign w:val="superscript"/>
          <w:lang w:val="es-ES_tradnl" w:eastAsia="es-MX"/>
        </w:rPr>
        <w:footnoteReference w:id="16"/>
      </w:r>
      <w:r w:rsidRPr="00F31A35">
        <w:rPr>
          <w:rFonts w:ascii="Verdana" w:eastAsia="Times New Roman" w:hAnsi="Verdana" w:cs="Arial"/>
          <w:lang w:val="es-ES_tradnl" w:eastAsia="es-MX"/>
        </w:rPr>
        <w:t>.</w:t>
      </w:r>
    </w:p>
    <w:p w14:paraId="1F6E6951" w14:textId="77777777" w:rsidR="008D6130" w:rsidRPr="00F31A35" w:rsidRDefault="008D6130" w:rsidP="008D6130">
      <w:pPr>
        <w:spacing w:after="0" w:line="276" w:lineRule="auto"/>
        <w:ind w:firstLine="709"/>
        <w:jc w:val="both"/>
        <w:rPr>
          <w:rFonts w:ascii="Verdana" w:eastAsia="Times New Roman" w:hAnsi="Verdana" w:cs="Arial"/>
          <w:lang w:val="es-ES_tradnl" w:eastAsia="es-MX"/>
        </w:rPr>
      </w:pPr>
      <w:r w:rsidRPr="00F31A35">
        <w:rPr>
          <w:rFonts w:ascii="Verdana" w:eastAsia="Times New Roman" w:hAnsi="Verdana" w:cs="Arial"/>
          <w:lang w:val="es-ES_tradnl" w:eastAsia="es-MX"/>
        </w:rPr>
        <w:t xml:space="preserve">En congruencia con el artículo 25 de la Ley 80 de 1993, el Decreto Único Reglamentario del Sector Administrativo de Planeación Nacional –Decreto 1082 de 2015–, dispone en el artículo 2.2.1.1.2.1.1 el contenido mínimo de los estudios y documentos previos: </w:t>
      </w:r>
    </w:p>
    <w:p w14:paraId="69CB0B42" w14:textId="77777777" w:rsidR="008D6130" w:rsidRPr="00F31A35" w:rsidRDefault="008D6130" w:rsidP="008D6130">
      <w:pPr>
        <w:spacing w:after="0" w:line="276" w:lineRule="auto"/>
        <w:ind w:firstLine="709"/>
        <w:jc w:val="both"/>
        <w:rPr>
          <w:rFonts w:ascii="Verdana" w:eastAsia="Times New Roman" w:hAnsi="Verdana" w:cs="Arial"/>
          <w:lang w:val="es-ES_tradnl" w:eastAsia="es-MX"/>
        </w:rPr>
      </w:pPr>
    </w:p>
    <w:p w14:paraId="2D7BE414"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w:t>
      </w:r>
    </w:p>
    <w:p w14:paraId="04E9ABD6"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1. La descripción de la necesidad que la Entidad Estatal pretende satisfacer con el Proceso de Contratación.</w:t>
      </w:r>
    </w:p>
    <w:p w14:paraId="1371D8AF"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lastRenderedPageBreak/>
        <w:t>2. El objeto a contratar, con sus especificaciones, las autorizaciones, permisos y licencias requeridos para su ejecución, y cuando el contrato incluye diseño y construcción, los documentos técnicos para el desarrollo del proyecto.</w:t>
      </w:r>
    </w:p>
    <w:p w14:paraId="11925DEF"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3. La modalidad de selección del contratista y su justificación, incluyendo los fundamentos jurídicos.</w:t>
      </w:r>
    </w:p>
    <w:p w14:paraId="372A61AE"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 w:eastAsia="es-MX"/>
        </w:rPr>
      </w:pPr>
      <w:r w:rsidRPr="7E0867B5">
        <w:rPr>
          <w:rFonts w:ascii="Verdana" w:eastAsia="Times New Roman" w:hAnsi="Verdana" w:cs="Arial"/>
          <w:sz w:val="20"/>
          <w:szCs w:val="20"/>
          <w:lang w:val="es-ES" w:eastAsia="es-MX"/>
        </w:rPr>
        <w:t xml:space="preserve">4. </w:t>
      </w:r>
      <w:r w:rsidRPr="00724D43">
        <w:rPr>
          <w:rFonts w:ascii="Verdana" w:eastAsia="Times New Roman" w:hAnsi="Verdana" w:cs="Arial"/>
          <w:sz w:val="20"/>
          <w:szCs w:val="20"/>
          <w:lang w:val="es-ES" w:eastAsia="es-MX"/>
        </w:rPr>
        <w:t>El valor estimado del contrato y la justificación del mismo.</w:t>
      </w:r>
      <w:r w:rsidRPr="7E0867B5">
        <w:rPr>
          <w:rFonts w:ascii="Verdana" w:eastAsia="Times New Roman" w:hAnsi="Verdana" w:cs="Arial"/>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w:t>
      </w:r>
    </w:p>
    <w:p w14:paraId="6FF23177"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5. Los criterios para seleccionar la oferta más favorable.</w:t>
      </w:r>
    </w:p>
    <w:p w14:paraId="39609998"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6. El análisis de Riesgo y la forma de mitigarlo.</w:t>
      </w:r>
    </w:p>
    <w:p w14:paraId="49F11D55"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7. Las garantías que la Entidad Estatal contempla exigir en el proceso de contratación.</w:t>
      </w:r>
    </w:p>
    <w:p w14:paraId="41FF19CC" w14:textId="77777777" w:rsidR="008D6130" w:rsidRPr="00F31A35" w:rsidRDefault="008D6130" w:rsidP="008D6130">
      <w:pPr>
        <w:spacing w:after="12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8. La indicación de si el proceso de contratación está cobijado por un acuerdo comercial.</w:t>
      </w:r>
    </w:p>
    <w:p w14:paraId="728D91BB" w14:textId="77777777" w:rsidR="008D6130" w:rsidRPr="00F31A35" w:rsidRDefault="008D6130" w:rsidP="008D6130">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El presente artículo no es aplicable a la contratación por mínima cuantía”</w:t>
      </w:r>
      <w:r>
        <w:rPr>
          <w:rFonts w:ascii="Verdana" w:eastAsia="Times New Roman" w:hAnsi="Verdana" w:cs="Arial"/>
          <w:sz w:val="20"/>
          <w:szCs w:val="20"/>
          <w:lang w:val="es-ES_tradnl" w:eastAsia="es-MX"/>
        </w:rPr>
        <w:t xml:space="preserve">. </w:t>
      </w:r>
    </w:p>
    <w:p w14:paraId="3C1C9EFB" w14:textId="77777777" w:rsidR="008D6130" w:rsidRDefault="008D6130" w:rsidP="008D6130">
      <w:pPr>
        <w:spacing w:after="0" w:line="276" w:lineRule="auto"/>
        <w:ind w:firstLine="709"/>
        <w:jc w:val="both"/>
        <w:rPr>
          <w:rFonts w:ascii="Verdana" w:eastAsia="Times New Roman" w:hAnsi="Verdana" w:cs="Arial"/>
          <w:lang w:val="es-ES_tradnl" w:eastAsia="es-MX"/>
        </w:rPr>
      </w:pPr>
    </w:p>
    <w:p w14:paraId="310BDA54" w14:textId="77777777" w:rsidR="008D6130" w:rsidRPr="00F31A35" w:rsidRDefault="008D6130" w:rsidP="008D6130">
      <w:pPr>
        <w:spacing w:after="0" w:line="276" w:lineRule="auto"/>
        <w:ind w:firstLine="709"/>
        <w:jc w:val="both"/>
        <w:rPr>
          <w:rFonts w:ascii="Verdana" w:hAnsi="Verdana" w:cs="Arial"/>
        </w:rPr>
      </w:pPr>
      <w:r w:rsidRPr="00F31A35">
        <w:rPr>
          <w:rFonts w:ascii="Verdana" w:eastAsia="Times New Roman" w:hAnsi="Verdana" w:cs="Arial"/>
          <w:lang w:val="es-ES_tradnl" w:eastAsia="es-MX"/>
        </w:rPr>
        <w:t xml:space="preserve">De esta </w:t>
      </w:r>
      <w:r w:rsidRPr="00F31A35">
        <w:rPr>
          <w:rFonts w:ascii="Verdana" w:hAnsi="Verdana" w:cs="Arial"/>
        </w:rPr>
        <w:t xml:space="preserve">manera, antes de iniciar un procedimiento de selección, la Entidad Estatal podrá determinar con los estudios previos: i) la verdadera necesidad de la celebración del contrato; </w:t>
      </w:r>
      <w:proofErr w:type="spellStart"/>
      <w:r w:rsidRPr="00F31A35">
        <w:rPr>
          <w:rFonts w:ascii="Verdana" w:hAnsi="Verdana" w:cs="Arial"/>
        </w:rPr>
        <w:t>ii</w:t>
      </w:r>
      <w:proofErr w:type="spellEnd"/>
      <w:r w:rsidRPr="00F31A35">
        <w:rPr>
          <w:rFonts w:ascii="Verdana" w:hAnsi="Verdana" w:cs="Arial"/>
        </w:rPr>
        <w:t xml:space="preserve">) las modalidades existentes para satisfacer esa necesidad y las razones que justifiquen la modalidad o tipo contractual que se escoja; </w:t>
      </w:r>
      <w:proofErr w:type="spellStart"/>
      <w:r w:rsidRPr="00F31A35">
        <w:rPr>
          <w:rFonts w:ascii="Verdana" w:hAnsi="Verdana" w:cs="Arial"/>
        </w:rPr>
        <w:t>iii</w:t>
      </w:r>
      <w:proofErr w:type="spellEnd"/>
      <w:r w:rsidRPr="00F31A35">
        <w:rPr>
          <w:rFonts w:ascii="Verdana" w:hAnsi="Verdana" w:cs="Arial"/>
        </w:rPr>
        <w:t xml:space="preserve">) las calidades, especificaciones, cantidades y demás características que puedan o deban reunir los bienes, las obras o los servicios cuya contratación se haya determinado necesaria, </w:t>
      </w:r>
      <w:proofErr w:type="spellStart"/>
      <w:r w:rsidRPr="00F31A35">
        <w:rPr>
          <w:rFonts w:ascii="Verdana" w:hAnsi="Verdana" w:cs="Arial"/>
        </w:rPr>
        <w:t>iv</w:t>
      </w:r>
      <w:proofErr w:type="spellEnd"/>
      <w:r w:rsidRPr="00F31A35">
        <w:rPr>
          <w:rFonts w:ascii="Verdana"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F31A35">
        <w:rPr>
          <w:rFonts w:ascii="Verdana" w:hAnsi="Verdana" w:cs="Arial"/>
        </w:rPr>
        <w:t>vii</w:t>
      </w:r>
      <w:proofErr w:type="spellEnd"/>
      <w:r w:rsidRPr="00F31A35">
        <w:rPr>
          <w:rFonts w:ascii="Verdana" w:hAnsi="Verdana" w:cs="Arial"/>
        </w:rPr>
        <w:t xml:space="preserve">)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w:t>
      </w:r>
      <w:r w:rsidRPr="00F31A35">
        <w:rPr>
          <w:rFonts w:ascii="Verdana" w:hAnsi="Verdana" w:cs="Arial"/>
        </w:rPr>
        <w:lastRenderedPageBreak/>
        <w:t>con el sustento técnico, económico y jurídico que incidirá en una adecuada ejecución.</w:t>
      </w:r>
    </w:p>
    <w:p w14:paraId="2EC38582" w14:textId="77777777" w:rsidR="008D6130" w:rsidRPr="00F31A35" w:rsidRDefault="008D6130" w:rsidP="008D6130">
      <w:pPr>
        <w:spacing w:before="120" w:after="0" w:line="276" w:lineRule="auto"/>
        <w:ind w:firstLine="709"/>
        <w:jc w:val="both"/>
        <w:rPr>
          <w:rFonts w:ascii="Verdana" w:hAnsi="Verdana" w:cs="Arial"/>
        </w:rPr>
      </w:pPr>
      <w:r w:rsidRPr="00F31A35">
        <w:rPr>
          <w:rFonts w:ascii="Verdana" w:hAnsi="Verdana" w:cs="Arial"/>
        </w:rPr>
        <w:t>Mas allá del incumplimiento de la normativa, los estudios y documentos previos son el soporte para elaborar el proyecto de pliegos, los pliegos de condiciones, y el contrato,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r w:rsidRPr="00F31A35">
        <w:rPr>
          <w:rStyle w:val="Refdenotaalpie"/>
          <w:rFonts w:ascii="Verdana" w:hAnsi="Verdana" w:cs="Arial"/>
        </w:rPr>
        <w:footnoteReference w:id="17"/>
      </w:r>
      <w:r w:rsidRPr="00F31A35">
        <w:rPr>
          <w:rFonts w:ascii="Verdana" w:hAnsi="Verdana" w:cs="Arial"/>
        </w:rPr>
        <w:t>.</w:t>
      </w:r>
    </w:p>
    <w:p w14:paraId="1DE5A086" w14:textId="77777777" w:rsidR="008D6130" w:rsidRPr="00F31A35" w:rsidRDefault="008D6130" w:rsidP="008D6130">
      <w:pPr>
        <w:spacing w:before="120" w:after="0" w:line="276" w:lineRule="auto"/>
        <w:ind w:firstLine="709"/>
        <w:jc w:val="both"/>
        <w:rPr>
          <w:rFonts w:ascii="Verdana" w:eastAsia="Times New Roman" w:hAnsi="Verdana" w:cs="Arial"/>
          <w:lang w:val="es-ES_tradnl" w:eastAsia="es-MX"/>
        </w:rPr>
      </w:pPr>
      <w:r w:rsidRPr="00F31A35">
        <w:rPr>
          <w:rFonts w:ascii="Verdana" w:hAnsi="Verdana" w:cs="Arial"/>
        </w:rPr>
        <w:t xml:space="preserve">En ese contexto,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Para estos efectos resulta relevante la información recolectada en el marco del estudio del mercado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2.2.1.1.1.6.1 del Decreto 1082 de 2015, constituye un insumo importante para determinar </w:t>
      </w:r>
      <w:r w:rsidRPr="00FF1940">
        <w:rPr>
          <w:rFonts w:ascii="Verdana" w:hAnsi="Verdana" w:cs="Arial"/>
        </w:rPr>
        <w:t>factores que pudieran determinar el valor del contrato</w:t>
      </w:r>
      <w:r w:rsidRPr="00F31A35">
        <w:rPr>
          <w:rFonts w:ascii="Verdana" w:hAnsi="Verdana" w:cs="Arial"/>
        </w:rPr>
        <w:t xml:space="preserve"> y orientar a la entidad en torno al monto de la disponibilidad presupuestal que requiere a realizar la contratación</w:t>
      </w:r>
      <w:r w:rsidRPr="00F31A35">
        <w:rPr>
          <w:rStyle w:val="Refdenotaalpie"/>
          <w:rFonts w:ascii="Verdana" w:hAnsi="Verdana" w:cs="Arial"/>
        </w:rPr>
        <w:footnoteReference w:id="18"/>
      </w:r>
      <w:r w:rsidRPr="00F31A35">
        <w:rPr>
          <w:rFonts w:ascii="Verdana" w:hAnsi="Verdana" w:cs="Arial"/>
        </w:rPr>
        <w:t>.</w:t>
      </w:r>
    </w:p>
    <w:p w14:paraId="0D4BF56C" w14:textId="77777777" w:rsidR="008D6130" w:rsidRPr="00FF1940" w:rsidRDefault="008D6130" w:rsidP="008D6130">
      <w:pPr>
        <w:spacing w:before="120" w:after="0" w:line="276" w:lineRule="auto"/>
        <w:ind w:firstLine="709"/>
        <w:jc w:val="both"/>
        <w:rPr>
          <w:rFonts w:ascii="Verdana" w:hAnsi="Verdana" w:cs="Arial"/>
        </w:rPr>
      </w:pPr>
      <w:r w:rsidRPr="00F31A35">
        <w:rPr>
          <w:rFonts w:ascii="Verdana" w:hAnsi="Verdana" w:cs="Arial"/>
        </w:rPr>
        <w:t xml:space="preserve">Ahora bien, pese a que la normativa en materia de contratación estatal establece la obligatoriedad de realizar el análisis necesario para conocer el sector </w:t>
      </w:r>
      <w:r w:rsidRPr="00F31A35">
        <w:rPr>
          <w:rFonts w:ascii="Verdana" w:hAnsi="Verdana" w:cs="Arial"/>
        </w:rPr>
        <w:lastRenderedPageBreak/>
        <w:t>relativo al objeto del Proceso de Contratación, no determinan un procedimiento específico para efectuar dicho análisis por lo que las entidades son autónomas para estructurarlo, para lo cual deberán cumplir lo dispuesto en el artículo 2.2.1.1.1.6.1 del Decreto 1082 de 2015 y realizar un análisis integral de planeación que sirva de sustento a la decisión de realizar un Proceso de Contratación. En línea con lo anterior, la Agencia Nacional de Contratación Pública – Colombia Compra Eficiente elaboró la “Guía para la Elaboración de Estudios del Sector”</w:t>
      </w:r>
      <w:r w:rsidRPr="00F31A35">
        <w:rPr>
          <w:rStyle w:val="Refdenotaalpie"/>
          <w:rFonts w:ascii="Verdana" w:hAnsi="Verdana" w:cs="Arial"/>
        </w:rPr>
        <w:footnoteReference w:id="19"/>
      </w:r>
      <w:r w:rsidRPr="00F31A35">
        <w:rPr>
          <w:rFonts w:ascii="Verdana" w:hAnsi="Verdana" w:cs="Arial"/>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w:t>
      </w:r>
      <w:r>
        <w:rPr>
          <w:rFonts w:ascii="Verdana" w:hAnsi="Verdana" w:cs="Arial"/>
        </w:rPr>
        <w:t xml:space="preserve"> </w:t>
      </w:r>
      <w:r w:rsidRPr="00F252D7">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3612E150" w14:textId="77777777" w:rsidR="008D6130" w:rsidRPr="00F252D7" w:rsidRDefault="008D6130" w:rsidP="008D6130">
      <w:pPr>
        <w:ind w:left="720"/>
        <w:contextualSpacing/>
        <w:rPr>
          <w:rFonts w:ascii="Verdana" w:eastAsia="Calibri" w:hAnsi="Verdana" w:cs="Arial"/>
          <w:szCs w:val="24"/>
          <w:lang w:val="es-ES" w:eastAsia="es-ES_tradnl"/>
        </w:rPr>
      </w:pPr>
    </w:p>
    <w:p w14:paraId="0D5A92EE" w14:textId="77777777" w:rsidR="008D6130" w:rsidRDefault="008D6130" w:rsidP="008D6130">
      <w:pPr>
        <w:spacing w:after="0" w:line="240" w:lineRule="auto"/>
        <w:ind w:left="709" w:right="709"/>
        <w:contextualSpacing/>
        <w:jc w:val="both"/>
        <w:rPr>
          <w:rFonts w:ascii="Verdana" w:eastAsia="Times New Roman" w:hAnsi="Verdana" w:cs="Arial"/>
          <w:sz w:val="20"/>
          <w:szCs w:val="20"/>
          <w:lang w:val="es-MX" w:eastAsia="es-ES_tradnl"/>
        </w:rPr>
      </w:pPr>
      <w:r w:rsidRPr="00FF1940">
        <w:rPr>
          <w:rFonts w:ascii="Verdana" w:eastAsia="Times New Roman" w:hAnsi="Verdana" w:cs="Arial"/>
          <w:sz w:val="20"/>
          <w:szCs w:val="20"/>
          <w:lang w:val="es-ES" w:eastAsia="es-ES_tradnl"/>
        </w:rPr>
        <w:t>“</w:t>
      </w:r>
      <w:r w:rsidRPr="00FF1940">
        <w:rPr>
          <w:rFonts w:ascii="Verdana" w:eastAsia="Times New Roman" w:hAnsi="Verdana" w:cs="Arial"/>
          <w:sz w:val="20"/>
          <w:szCs w:val="20"/>
          <w:lang w:val="es-MX" w:eastAsia="es-ES_tradnl"/>
        </w:rPr>
        <w:t xml:space="preserve">[…] </w:t>
      </w:r>
      <w:r w:rsidRPr="003445E0">
        <w:rPr>
          <w:rFonts w:ascii="Verdana" w:eastAsia="Times New Roman" w:hAnsi="Verdana" w:cs="Arial"/>
          <w:sz w:val="20"/>
          <w:szCs w:val="20"/>
          <w:lang w:val="es-MX" w:eastAsia="es-ES_tradnl"/>
        </w:rPr>
        <w:t>el Estudio del Sector debe tener en cuenta el objeto del Proceso de Contratación, y particularmente condiciones del contrato, como los plazos, formas de entrega y de pago. El Estudio del Sector debe permitir a la Entidad Estatal sustentar su decisión de optar por esta modalidad de selección, así como también la elección del proveedor y la forma en que se pacta el contrato desde el punto de vista de la eficiencia, eficacia y economía.</w:t>
      </w:r>
    </w:p>
    <w:p w14:paraId="66C37845" w14:textId="77777777" w:rsidR="008D6130" w:rsidRPr="00FF1940" w:rsidRDefault="008D6130" w:rsidP="008D6130">
      <w:pPr>
        <w:spacing w:after="0" w:line="240" w:lineRule="auto"/>
        <w:ind w:left="709" w:right="709"/>
        <w:contextualSpacing/>
        <w:jc w:val="both"/>
        <w:rPr>
          <w:rFonts w:ascii="Verdana" w:eastAsia="Times New Roman" w:hAnsi="Verdana" w:cs="Arial"/>
          <w:sz w:val="12"/>
          <w:szCs w:val="12"/>
          <w:lang w:val="es-MX" w:eastAsia="es-ES_tradnl"/>
        </w:rPr>
      </w:pPr>
    </w:p>
    <w:p w14:paraId="73E9D7AA" w14:textId="77777777" w:rsidR="008D6130" w:rsidRPr="00FF1940" w:rsidRDefault="008D6130" w:rsidP="008D6130">
      <w:pPr>
        <w:spacing w:after="0" w:line="240" w:lineRule="auto"/>
        <w:ind w:left="709" w:right="709"/>
        <w:contextualSpacing/>
        <w:jc w:val="both"/>
        <w:rPr>
          <w:rFonts w:ascii="Verdana" w:eastAsia="Times New Roman" w:hAnsi="Verdana" w:cs="Arial"/>
          <w:sz w:val="20"/>
          <w:szCs w:val="20"/>
          <w:lang w:val="es-MX" w:eastAsia="es-ES_tradnl"/>
        </w:rPr>
      </w:pPr>
      <w:r w:rsidRPr="003445E0">
        <w:rPr>
          <w:rFonts w:ascii="Verdana" w:eastAsia="Times New Roman" w:hAnsi="Verdana" w:cs="Arial"/>
          <w:sz w:val="20"/>
          <w:szCs w:val="20"/>
          <w:lang w:val="es-MX" w:eastAsia="es-ES_tradnl"/>
        </w:rPr>
        <w:t xml:space="preserve">La Entidad debe consignar en los Documentos del Proceso, bien sea en los estudios previos o en la información de soporte de estos, los aspectos referenciados por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w:t>
      </w:r>
      <w:r w:rsidRPr="003445E0">
        <w:rPr>
          <w:rFonts w:ascii="Verdana" w:eastAsia="Times New Roman" w:hAnsi="Verdana" w:cs="Arial"/>
          <w:sz w:val="20"/>
          <w:szCs w:val="20"/>
          <w:lang w:val="es-MX" w:eastAsia="es-ES_tradnl"/>
        </w:rPr>
        <w:lastRenderedPageBreak/>
        <w:t>de desarrollar dicho objeto, por lo cual, el precio no debe ser el factor exclusivo de análisis; pues se debe analizar elementos como la idoneidad y la eficiencia del servicio</w:t>
      </w:r>
      <w:r w:rsidRPr="00FF1940">
        <w:rPr>
          <w:rFonts w:ascii="Verdana" w:eastAsia="Times New Roman" w:hAnsi="Verdana" w:cs="Arial"/>
          <w:sz w:val="20"/>
          <w:szCs w:val="20"/>
          <w:lang w:val="es-MX" w:eastAsia="es-ES_tradnl"/>
        </w:rPr>
        <w:t>”.</w:t>
      </w:r>
    </w:p>
    <w:p w14:paraId="6D038479" w14:textId="77777777" w:rsidR="008D6130" w:rsidRDefault="008D6130" w:rsidP="008D6130">
      <w:pPr>
        <w:spacing w:after="0" w:line="276" w:lineRule="auto"/>
        <w:jc w:val="both"/>
        <w:rPr>
          <w:rFonts w:ascii="Verdana" w:eastAsia="Calibri" w:hAnsi="Verdana" w:cs="Arial"/>
          <w:bCs/>
          <w:color w:val="000000"/>
          <w:kern w:val="2"/>
          <w14:ligatures w14:val="standardContextual"/>
        </w:rPr>
      </w:pPr>
    </w:p>
    <w:p w14:paraId="3AFE0F91" w14:textId="77777777" w:rsidR="008D6130" w:rsidRDefault="008D6130" w:rsidP="008D6130">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En ese sentido, las entidades públicas determinan el monto de los honorarios de los contratos de prestación de servicios profesionales, de apoyo a la gestión y trabajos artísticos de conformidad con lo establecido en el análisis del sector y en los documentos o estudios previos.</w:t>
      </w:r>
      <w:r>
        <w:rPr>
          <w:rFonts w:ascii="Verdana" w:eastAsia="Calibri" w:hAnsi="Verdana" w:cs="Arial"/>
          <w:bCs/>
          <w:color w:val="000000"/>
          <w:kern w:val="2"/>
          <w14:ligatures w14:val="standardContextual"/>
        </w:rPr>
        <w:t xml:space="preserve"> </w:t>
      </w:r>
      <w:r w:rsidRPr="00DD244A">
        <w:rPr>
          <w:rFonts w:ascii="Verdana" w:eastAsia="Calibri" w:hAnsi="Verdana" w:cs="Arial"/>
          <w:bCs/>
          <w:color w:val="000000"/>
          <w:kern w:val="2"/>
          <w14:ligatures w14:val="standardContextual"/>
        </w:rPr>
        <w:t xml:space="preserve">Para determinar el objeto a contratar y su valor estimado de las obras, bienes o servicios, el numeral </w:t>
      </w:r>
      <w:r w:rsidRPr="003445E0">
        <w:rPr>
          <w:rFonts w:ascii="Verdana" w:eastAsia="Calibri" w:hAnsi="Verdana" w:cs="Arial"/>
          <w:bCs/>
          <w:color w:val="000000"/>
          <w:kern w:val="2"/>
          <w14:ligatures w14:val="standardContextual"/>
        </w:rPr>
        <w:t xml:space="preserve">5.2.5 </w:t>
      </w:r>
      <w:r w:rsidRPr="00DD244A">
        <w:rPr>
          <w:rFonts w:ascii="Verdana" w:eastAsia="Calibri" w:hAnsi="Verdana" w:cs="Arial"/>
          <w:bCs/>
          <w:color w:val="000000"/>
          <w:kern w:val="2"/>
          <w14:ligatures w14:val="standardContextual"/>
        </w:rPr>
        <w:t>de la guía recomienda hacer un estudio de mercado, para lo cual la entidad puede apoyarse en la solicitud de cotizaciones, la consulta de bases de datos especializadas o el análisis de precios históricos.</w:t>
      </w:r>
    </w:p>
    <w:p w14:paraId="3FA80006" w14:textId="77777777" w:rsidR="008D6130" w:rsidRDefault="008D6130" w:rsidP="008D6130">
      <w:pPr>
        <w:spacing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Ahora bien, e</w:t>
      </w:r>
      <w:r w:rsidRPr="000C27C3">
        <w:rPr>
          <w:rFonts w:ascii="Verdana" w:eastAsia="Times New Roman" w:hAnsi="Verdana" w:cs="Times New Roman"/>
          <w:lang w:eastAsia="es-MX"/>
        </w:rPr>
        <w:t xml:space="preserve">l pago, denominado honorarios, </w:t>
      </w:r>
      <w:r>
        <w:rPr>
          <w:rFonts w:ascii="Verdana" w:eastAsia="Times New Roman" w:hAnsi="Verdana" w:cs="Times New Roman"/>
          <w:lang w:eastAsia="es-MX"/>
        </w:rPr>
        <w:t xml:space="preserve">constituye la </w:t>
      </w:r>
      <w:r w:rsidRPr="000C27C3">
        <w:rPr>
          <w:rFonts w:ascii="Verdana" w:eastAsia="Times New Roman" w:hAnsi="Verdana" w:cs="Times New Roman"/>
          <w:lang w:eastAsia="es-MX"/>
        </w:rPr>
        <w:t>retribu</w:t>
      </w:r>
      <w:r>
        <w:rPr>
          <w:rFonts w:ascii="Verdana" w:eastAsia="Times New Roman" w:hAnsi="Verdana" w:cs="Times New Roman"/>
          <w:lang w:eastAsia="es-MX"/>
        </w:rPr>
        <w:t>ción por</w:t>
      </w:r>
      <w:r w:rsidRPr="000C27C3">
        <w:rPr>
          <w:rFonts w:ascii="Verdana" w:eastAsia="Times New Roman" w:hAnsi="Verdana" w:cs="Times New Roman"/>
          <w:lang w:eastAsia="es-MX"/>
        </w:rPr>
        <w:t xml:space="preserve"> una obligación de hacer</w:t>
      </w:r>
      <w:r>
        <w:rPr>
          <w:rFonts w:ascii="Verdana" w:eastAsia="Times New Roman" w:hAnsi="Verdana" w:cs="Times New Roman"/>
          <w:lang w:eastAsia="es-MX"/>
        </w:rPr>
        <w:t>,</w:t>
      </w:r>
      <w:r w:rsidRPr="000C27C3">
        <w:rPr>
          <w:rFonts w:ascii="Verdana" w:eastAsia="Times New Roman" w:hAnsi="Verdana" w:cs="Times New Roman"/>
          <w:lang w:eastAsia="es-MX"/>
        </w:rPr>
        <w:t xml:space="preserve"> que se materializa en la ejecución de las obligaciones pactadas para satisfacer una necesidad de la entidad pública. </w:t>
      </w:r>
      <w:r>
        <w:rPr>
          <w:rFonts w:ascii="Verdana" w:eastAsia="Calibri" w:hAnsi="Verdana" w:cs="Arial"/>
          <w:bCs/>
          <w:color w:val="000000"/>
          <w:kern w:val="2"/>
          <w14:ligatures w14:val="standardContextual"/>
        </w:rPr>
        <w:t>C</w:t>
      </w:r>
      <w:r w:rsidRPr="000C27C3">
        <w:rPr>
          <w:rFonts w:ascii="Verdana" w:eastAsia="Calibri" w:hAnsi="Verdana" w:cs="Arial"/>
          <w:bCs/>
          <w:color w:val="000000"/>
          <w:kern w:val="2"/>
          <w14:ligatures w14:val="standardContextual"/>
        </w:rPr>
        <w:t>abe resaltar, que n</w:t>
      </w:r>
      <w:r>
        <w:rPr>
          <w:rFonts w:ascii="Verdana" w:eastAsia="Calibri" w:hAnsi="Verdana" w:cs="Arial"/>
          <w:bCs/>
          <w:color w:val="000000"/>
          <w:kern w:val="2"/>
          <w14:ligatures w14:val="standardContextual"/>
        </w:rPr>
        <w:t>i</w:t>
      </w:r>
      <w:r w:rsidRPr="000C27C3">
        <w:rPr>
          <w:rFonts w:ascii="Verdana" w:eastAsia="Calibri" w:hAnsi="Verdana" w:cs="Arial"/>
          <w:bCs/>
          <w:color w:val="000000"/>
          <w:kern w:val="2"/>
          <w14:ligatures w14:val="standardContextual"/>
        </w:rPr>
        <w:t xml:space="preserve"> la Ley 80 de 1993, </w:t>
      </w:r>
      <w:r>
        <w:rPr>
          <w:rFonts w:ascii="Verdana" w:eastAsia="Calibri" w:hAnsi="Verdana" w:cs="Arial"/>
          <w:bCs/>
          <w:color w:val="000000"/>
          <w:kern w:val="2"/>
          <w14:ligatures w14:val="standardContextual"/>
        </w:rPr>
        <w:t xml:space="preserve">ni la </w:t>
      </w:r>
      <w:r w:rsidRPr="000C27C3">
        <w:rPr>
          <w:rFonts w:ascii="Verdana" w:eastAsia="Calibri" w:hAnsi="Verdana" w:cs="Arial"/>
          <w:bCs/>
          <w:color w:val="000000"/>
          <w:kern w:val="2"/>
          <w14:ligatures w14:val="standardContextual"/>
        </w:rPr>
        <w:t>Ley 1150 de 2007</w:t>
      </w:r>
      <w:r>
        <w:rPr>
          <w:rFonts w:ascii="Verdana" w:eastAsia="Calibri" w:hAnsi="Verdana" w:cs="Arial"/>
          <w:bCs/>
          <w:color w:val="000000"/>
          <w:kern w:val="2"/>
          <w14:ligatures w14:val="standardContextual"/>
        </w:rPr>
        <w:t>, ni</w:t>
      </w:r>
      <w:r w:rsidRPr="000C27C3">
        <w:rPr>
          <w:rFonts w:ascii="Verdana" w:eastAsia="Calibri" w:hAnsi="Verdana" w:cs="Arial"/>
          <w:bCs/>
          <w:color w:val="000000"/>
          <w:kern w:val="2"/>
          <w14:ligatures w14:val="standardContextual"/>
        </w:rPr>
        <w:t xml:space="preserve"> el Decreto 1082 de 2015 </w:t>
      </w:r>
      <w:r>
        <w:rPr>
          <w:rFonts w:ascii="Verdana" w:eastAsia="Calibri" w:hAnsi="Verdana" w:cs="Arial"/>
          <w:bCs/>
          <w:color w:val="000000"/>
          <w:kern w:val="2"/>
          <w14:ligatures w14:val="standardContextual"/>
        </w:rPr>
        <w:t>establecen</w:t>
      </w:r>
      <w:r w:rsidRPr="000C27C3">
        <w:rPr>
          <w:rFonts w:ascii="Verdana" w:eastAsia="Calibri" w:hAnsi="Verdana" w:cs="Arial"/>
          <w:bCs/>
          <w:color w:val="000000"/>
          <w:kern w:val="2"/>
          <w14:ligatures w14:val="standardContextual"/>
        </w:rPr>
        <w:t xml:space="preserve"> la obligatoriedad de implementar </w:t>
      </w:r>
      <w:r w:rsidRPr="008508BE">
        <w:rPr>
          <w:rFonts w:ascii="Verdana" w:eastAsia="Calibri" w:hAnsi="Verdana" w:cs="Arial"/>
          <w:bCs/>
          <w:color w:val="000000"/>
          <w:kern w:val="2"/>
          <w14:ligatures w14:val="standardContextual"/>
        </w:rPr>
        <w:t xml:space="preserve">tablas de honorarios, estandarizar perfiles, ni fijar condiciones uniformes para el pago de los honorarios en los contratos de prestación de servicios. No obstante, ello no impide que las entidades, en ejercicio de su </w:t>
      </w:r>
      <w:r>
        <w:rPr>
          <w:rFonts w:ascii="Verdana" w:eastAsia="Calibri" w:hAnsi="Verdana" w:cs="Arial"/>
          <w:bCs/>
          <w:color w:val="000000"/>
          <w:kern w:val="2"/>
          <w14:ligatures w14:val="standardContextual"/>
        </w:rPr>
        <w:t>discrecionalidad</w:t>
      </w:r>
      <w:r w:rsidRPr="008508BE">
        <w:rPr>
          <w:rFonts w:ascii="Verdana" w:eastAsia="Calibri" w:hAnsi="Verdana" w:cs="Arial"/>
          <w:bCs/>
          <w:color w:val="000000"/>
          <w:kern w:val="2"/>
          <w14:ligatures w14:val="standardContextual"/>
        </w:rPr>
        <w:t>, puedan adoptar tales medidas si lo consideran pertinente.</w:t>
      </w:r>
    </w:p>
    <w:p w14:paraId="2B15B18F" w14:textId="081F03D7" w:rsidR="008D6130" w:rsidRDefault="008D6130" w:rsidP="008D6130">
      <w:pPr>
        <w:spacing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 xml:space="preserve">Dichas tablas se adoptan usualmente a través de resoluciones internas, actos administrativos de carácter general y con vocación de permanencia en el tiempo que regulan diferentes escalas de pago en función de criterios como la formación académica, la experiencia u otros factores relevantes para la remuneración. El establecimiento de las escalas de pago debe ser resultado de un análisis técnico y económico de las variables necesarias para fijar los honorarios; razón por la cual, este </w:t>
      </w:r>
      <w:r w:rsidRPr="002E03F8">
        <w:rPr>
          <w:rFonts w:ascii="Verdana" w:eastAsia="Calibri" w:hAnsi="Verdana" w:cs="Arial"/>
          <w:bCs/>
          <w:i/>
          <w:iCs/>
          <w:color w:val="000000"/>
          <w:kern w:val="2"/>
          <w14:ligatures w14:val="standardContextual"/>
        </w:rPr>
        <w:t>estudio de mercado general previo</w:t>
      </w:r>
      <w:r>
        <w:rPr>
          <w:rFonts w:ascii="Verdana" w:eastAsia="Calibri" w:hAnsi="Verdana" w:cs="Arial"/>
          <w:bCs/>
          <w:color w:val="000000"/>
          <w:kern w:val="2"/>
          <w14:ligatures w14:val="standardContextual"/>
        </w:rPr>
        <w:t xml:space="preserve"> debe tomarse en cuenta para el </w:t>
      </w:r>
      <w:r w:rsidRPr="002E03F8">
        <w:rPr>
          <w:rFonts w:ascii="Verdana" w:eastAsia="Calibri" w:hAnsi="Verdana" w:cs="Arial"/>
          <w:bCs/>
          <w:i/>
          <w:iCs/>
          <w:color w:val="000000"/>
          <w:kern w:val="2"/>
          <w14:ligatures w14:val="standardContextual"/>
        </w:rPr>
        <w:t>análisis del sector</w:t>
      </w:r>
      <w:r>
        <w:rPr>
          <w:rFonts w:ascii="Verdana" w:eastAsia="Calibri" w:hAnsi="Verdana" w:cs="Arial"/>
          <w:bCs/>
          <w:color w:val="000000"/>
          <w:kern w:val="2"/>
          <w14:ligatures w14:val="standardContextual"/>
        </w:rPr>
        <w:t xml:space="preserve"> que corresponde </w:t>
      </w:r>
      <w:r w:rsidR="003A0D15">
        <w:rPr>
          <w:rFonts w:ascii="Verdana" w:eastAsia="Calibri" w:hAnsi="Verdana" w:cs="Arial"/>
          <w:bCs/>
          <w:color w:val="000000"/>
          <w:kern w:val="2"/>
          <w14:ligatures w14:val="standardContextual"/>
        </w:rPr>
        <w:t xml:space="preserve">a </w:t>
      </w:r>
      <w:r>
        <w:rPr>
          <w:rFonts w:ascii="Verdana" w:eastAsia="Calibri" w:hAnsi="Verdana" w:cs="Arial"/>
          <w:bCs/>
          <w:color w:val="000000"/>
          <w:kern w:val="2"/>
          <w14:ligatures w14:val="standardContextual"/>
        </w:rPr>
        <w:t xml:space="preserve">cada contrato de prestación de servicios, pues a través del primero se justifica el valor del objeto contratado. En </w:t>
      </w:r>
      <w:r w:rsidR="00241068">
        <w:rPr>
          <w:rFonts w:ascii="Verdana" w:eastAsia="Calibri" w:hAnsi="Verdana" w:cs="Arial"/>
          <w:bCs/>
          <w:color w:val="000000"/>
          <w:kern w:val="2"/>
          <w14:ligatures w14:val="standardContextual"/>
        </w:rPr>
        <w:t>esta medida</w:t>
      </w:r>
      <w:r>
        <w:rPr>
          <w:rFonts w:ascii="Verdana" w:eastAsia="Calibri" w:hAnsi="Verdana" w:cs="Arial"/>
          <w:bCs/>
          <w:color w:val="000000"/>
          <w:kern w:val="2"/>
          <w14:ligatures w14:val="standardContextual"/>
        </w:rPr>
        <w:t xml:space="preserve">, la estandarización del </w:t>
      </w:r>
      <w:r w:rsidRPr="002E03F8">
        <w:rPr>
          <w:rFonts w:ascii="Verdana" w:eastAsia="Calibri" w:hAnsi="Verdana" w:cs="Arial"/>
          <w:bCs/>
          <w:i/>
          <w:iCs/>
          <w:color w:val="000000"/>
          <w:kern w:val="2"/>
          <w14:ligatures w14:val="standardContextual"/>
        </w:rPr>
        <w:t>estudio de mercado general previo</w:t>
      </w:r>
      <w:r>
        <w:rPr>
          <w:rFonts w:ascii="Verdana" w:eastAsia="Calibri" w:hAnsi="Verdana" w:cs="Arial"/>
          <w:bCs/>
          <w:color w:val="000000"/>
          <w:kern w:val="2"/>
          <w14:ligatures w14:val="standardContextual"/>
        </w:rPr>
        <w:t xml:space="preserve"> no suple los </w:t>
      </w:r>
      <w:r w:rsidRPr="00112645">
        <w:rPr>
          <w:rFonts w:ascii="Verdana" w:eastAsia="Calibri" w:hAnsi="Verdana" w:cs="Arial"/>
          <w:bCs/>
          <w:i/>
          <w:iCs/>
          <w:color w:val="000000"/>
          <w:kern w:val="2"/>
          <w14:ligatures w14:val="standardContextual"/>
        </w:rPr>
        <w:t>análisis del sector en cada contrato específico</w:t>
      </w:r>
      <w:r>
        <w:rPr>
          <w:rFonts w:ascii="Verdana" w:eastAsia="Calibri" w:hAnsi="Verdana" w:cs="Arial"/>
          <w:bCs/>
          <w:color w:val="000000"/>
          <w:kern w:val="2"/>
          <w14:ligatures w14:val="standardContextual"/>
        </w:rPr>
        <w:t>, pero es un punto de partida que facilita la elaboración de estos últimos.</w:t>
      </w:r>
    </w:p>
    <w:p w14:paraId="7A498A72" w14:textId="2E6F0ADB" w:rsidR="008D6130" w:rsidRDefault="008D6130" w:rsidP="008D6130">
      <w:pPr>
        <w:spacing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 xml:space="preserve">Para </w:t>
      </w:r>
      <w:r w:rsidR="003A0D15">
        <w:rPr>
          <w:rFonts w:ascii="Verdana" w:eastAsia="Calibri" w:hAnsi="Verdana" w:cs="Arial"/>
          <w:bCs/>
          <w:color w:val="000000"/>
          <w:kern w:val="2"/>
          <w14:ligatures w14:val="standardContextual"/>
        </w:rPr>
        <w:t>esta</w:t>
      </w:r>
      <w:r>
        <w:rPr>
          <w:rFonts w:ascii="Verdana" w:eastAsia="Calibri" w:hAnsi="Verdana" w:cs="Arial"/>
          <w:bCs/>
          <w:color w:val="000000"/>
          <w:kern w:val="2"/>
          <w14:ligatures w14:val="standardContextual"/>
        </w:rPr>
        <w:t xml:space="preserve"> Agencia, la expedición de las tablas de honorarios para los contratos de prestación de servicios no </w:t>
      </w:r>
      <w:r w:rsidR="003A0D15">
        <w:rPr>
          <w:rFonts w:ascii="Verdana" w:eastAsia="Calibri" w:hAnsi="Verdana" w:cs="Arial"/>
          <w:bCs/>
          <w:color w:val="000000"/>
          <w:kern w:val="2"/>
          <w14:ligatures w14:val="standardContextual"/>
        </w:rPr>
        <w:t>es</w:t>
      </w:r>
      <w:r>
        <w:rPr>
          <w:rFonts w:ascii="Verdana" w:eastAsia="Calibri" w:hAnsi="Verdana" w:cs="Arial"/>
          <w:bCs/>
          <w:color w:val="000000"/>
          <w:kern w:val="2"/>
          <w14:ligatures w14:val="standardContextual"/>
        </w:rPr>
        <w:t xml:space="preserve"> restrictiva de la libre competencia económica. Por un lado, la causal de contratación directa del literal h) del artículo </w:t>
      </w:r>
      <w:r>
        <w:rPr>
          <w:rFonts w:ascii="Verdana" w:eastAsia="Calibri" w:hAnsi="Verdana" w:cs="Arial"/>
          <w:bCs/>
          <w:color w:val="000000"/>
          <w:kern w:val="2"/>
          <w14:ligatures w14:val="standardContextual"/>
        </w:rPr>
        <w:lastRenderedPageBreak/>
        <w:t>2.4 de la Ley 1150 de 2007 excluye la pluralidad de oferentes, por lo que no existe concurrencia entre los interesados. Por otra parte, tampoco constituye una vulneración del artículo 1 de la Ley 155 de 1959, pues no tiene por objeto “[…] l</w:t>
      </w:r>
      <w:r w:rsidRPr="006A68F7">
        <w:rPr>
          <w:rFonts w:ascii="Verdana" w:eastAsia="Calibri" w:hAnsi="Verdana" w:cs="Arial"/>
          <w:bCs/>
          <w:color w:val="000000"/>
          <w:kern w:val="2"/>
          <w14:ligatures w14:val="standardContextual"/>
        </w:rPr>
        <w:t>imitar la producción, abastecimiento, distribución o consumo de materias primas, productos, mercancías o servicios nacionales o extranjeros</w:t>
      </w:r>
      <w:r>
        <w:rPr>
          <w:rFonts w:ascii="Verdana" w:eastAsia="Calibri" w:hAnsi="Verdana" w:cs="Arial"/>
          <w:bCs/>
          <w:color w:val="000000"/>
          <w:kern w:val="2"/>
          <w14:ligatures w14:val="standardContextual"/>
        </w:rPr>
        <w:t xml:space="preserve"> […]” ni son resultado de “[…] </w:t>
      </w:r>
      <w:r w:rsidRPr="006A68F7">
        <w:rPr>
          <w:rFonts w:ascii="Verdana" w:eastAsia="Calibri" w:hAnsi="Verdana" w:cs="Arial"/>
          <w:bCs/>
          <w:color w:val="000000"/>
          <w:kern w:val="2"/>
          <w14:ligatures w14:val="standardContextual"/>
        </w:rPr>
        <w:t>prácticas, procedimientos o sistemas tendientes a limitar la libre competencia, con el propósito de determinar o mantener precios inequitativos en perjuicio de los consumidores y de los productores de materias primas</w:t>
      </w:r>
      <w:r>
        <w:rPr>
          <w:rFonts w:ascii="Verdana" w:eastAsia="Calibri" w:hAnsi="Verdana" w:cs="Arial"/>
          <w:bCs/>
          <w:color w:val="000000"/>
          <w:kern w:val="2"/>
          <w14:ligatures w14:val="standardContextual"/>
        </w:rPr>
        <w:t xml:space="preserve">”. </w:t>
      </w:r>
    </w:p>
    <w:p w14:paraId="72512CE6" w14:textId="7E7677B3" w:rsidR="008D6130" w:rsidRDefault="008D6130" w:rsidP="00EA7EC0">
      <w:pPr>
        <w:spacing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 xml:space="preserve">Asimismo, tampoco vulneran el Estatuto General de Contratación de la Administración Pública. Si el numeral 4 del artículo </w:t>
      </w:r>
      <w:r w:rsidRPr="006A68F7">
        <w:rPr>
          <w:rFonts w:ascii="Verdana" w:eastAsia="Calibri" w:hAnsi="Verdana" w:cs="Arial"/>
          <w:bCs/>
          <w:color w:val="000000"/>
          <w:kern w:val="2"/>
          <w14:ligatures w14:val="standardContextual"/>
        </w:rPr>
        <w:t>2.2.1.1.2.1.1</w:t>
      </w:r>
      <w:r>
        <w:rPr>
          <w:rFonts w:ascii="Verdana" w:eastAsia="Calibri" w:hAnsi="Verdana" w:cs="Arial"/>
          <w:bCs/>
          <w:color w:val="000000"/>
          <w:kern w:val="2"/>
          <w14:ligatures w14:val="standardContextual"/>
        </w:rPr>
        <w:t xml:space="preserve"> del Decreto 1082 de 2015, en congruencia con el artículo 25.13 del EGCAP, obliga a las entidades estatales a establecer e</w:t>
      </w:r>
      <w:r w:rsidRPr="006A68F7">
        <w:rPr>
          <w:rFonts w:ascii="Verdana" w:eastAsia="Calibri" w:hAnsi="Verdana" w:cs="Arial"/>
          <w:bCs/>
          <w:color w:val="000000"/>
          <w:kern w:val="2"/>
          <w14:ligatures w14:val="standardContextual"/>
        </w:rPr>
        <w:t>l valor estimado de</w:t>
      </w:r>
      <w:r>
        <w:rPr>
          <w:rFonts w:ascii="Verdana" w:eastAsia="Calibri" w:hAnsi="Verdana" w:cs="Arial"/>
          <w:bCs/>
          <w:color w:val="000000"/>
          <w:kern w:val="2"/>
          <w14:ligatures w14:val="standardContextual"/>
        </w:rPr>
        <w:t xml:space="preserve"> cada</w:t>
      </w:r>
      <w:r w:rsidRPr="006A68F7">
        <w:rPr>
          <w:rFonts w:ascii="Verdana" w:eastAsia="Calibri" w:hAnsi="Verdana" w:cs="Arial"/>
          <w:bCs/>
          <w:color w:val="000000"/>
          <w:kern w:val="2"/>
          <w14:ligatures w14:val="standardContextual"/>
        </w:rPr>
        <w:t xml:space="preserve"> contrato y la justificación </w:t>
      </w:r>
      <w:r w:rsidR="00EA7EC0" w:rsidRPr="006A68F7">
        <w:rPr>
          <w:rFonts w:ascii="Verdana" w:eastAsia="Calibri" w:hAnsi="Verdana" w:cs="Arial"/>
          <w:bCs/>
          <w:color w:val="000000"/>
          <w:kern w:val="2"/>
          <w14:ligatures w14:val="standardContextual"/>
        </w:rPr>
        <w:t>de este</w:t>
      </w:r>
      <w:r>
        <w:rPr>
          <w:rFonts w:ascii="Verdana" w:eastAsia="Calibri" w:hAnsi="Verdana" w:cs="Arial"/>
          <w:bCs/>
          <w:color w:val="000000"/>
          <w:kern w:val="2"/>
          <w14:ligatures w14:val="standardContextual"/>
        </w:rPr>
        <w:t>, ello no se opone a que cumplan este deber estandariza</w:t>
      </w:r>
      <w:r w:rsidR="00DD6A6B">
        <w:rPr>
          <w:rFonts w:ascii="Verdana" w:eastAsia="Calibri" w:hAnsi="Verdana" w:cs="Arial"/>
          <w:bCs/>
          <w:color w:val="000000"/>
          <w:kern w:val="2"/>
          <w14:ligatures w14:val="standardContextual"/>
        </w:rPr>
        <w:t>n</w:t>
      </w:r>
      <w:r>
        <w:rPr>
          <w:rFonts w:ascii="Verdana" w:eastAsia="Calibri" w:hAnsi="Verdana" w:cs="Arial"/>
          <w:bCs/>
          <w:color w:val="000000"/>
          <w:kern w:val="2"/>
          <w14:ligatures w14:val="standardContextual"/>
        </w:rPr>
        <w:t xml:space="preserve">do condiciones generales respecto a la remuneración de una tipología contractual como la prevista en el artículo 32.3 de la Ley 80 de 1993. Es decir, su expedición no constituye una vulneración de la reserva de ley ni un desconocimiento de normas reglamentarias. Finalmente, sin perjuicio de la restricción del artículo </w:t>
      </w:r>
      <w:r w:rsidRPr="00EC59D4">
        <w:rPr>
          <w:rFonts w:ascii="Verdana" w:eastAsia="Calibri" w:hAnsi="Verdana" w:cs="Arial"/>
          <w:bCs/>
          <w:color w:val="000000"/>
          <w:kern w:val="2"/>
          <w14:ligatures w14:val="standardContextual"/>
        </w:rPr>
        <w:t>2.8.4.4.6</w:t>
      </w:r>
      <w:r>
        <w:rPr>
          <w:rFonts w:ascii="Verdana" w:eastAsia="Calibri" w:hAnsi="Verdana" w:cs="Arial"/>
          <w:bCs/>
          <w:color w:val="000000"/>
          <w:kern w:val="2"/>
          <w14:ligatures w14:val="standardContextual"/>
        </w:rPr>
        <w:t xml:space="preserve"> del Decreto 1068 de 2015, la Agencia tampoco ha establecido lineamientos sobre topes máximos ni metodologías para su cálculo</w:t>
      </w:r>
      <w:r w:rsidRPr="00EA7EC0">
        <w:rPr>
          <w:vertAlign w:val="superscript"/>
        </w:rPr>
        <w:footnoteReference w:id="20"/>
      </w:r>
      <w:r w:rsidRPr="00EA7EC0">
        <w:rPr>
          <w:rFonts w:ascii="Verdana" w:eastAsia="Calibri" w:hAnsi="Verdana" w:cs="Arial"/>
          <w:bCs/>
          <w:color w:val="000000"/>
          <w:kern w:val="2"/>
          <w:vertAlign w:val="superscript"/>
          <w14:ligatures w14:val="standardContextual"/>
        </w:rPr>
        <w:t>.</w:t>
      </w:r>
      <w:r>
        <w:rPr>
          <w:rFonts w:ascii="Verdana" w:eastAsia="Calibri" w:hAnsi="Verdana" w:cs="Arial"/>
          <w:bCs/>
          <w:color w:val="000000"/>
          <w:kern w:val="2"/>
          <w14:ligatures w14:val="standardContextual"/>
        </w:rPr>
        <w:t xml:space="preserve">    </w:t>
      </w:r>
    </w:p>
    <w:p w14:paraId="67CA5628" w14:textId="77777777" w:rsidR="00830C21" w:rsidRDefault="00830C21" w:rsidP="00830C21">
      <w:pPr>
        <w:spacing w:after="120" w:line="276" w:lineRule="auto"/>
        <w:ind w:firstLine="709"/>
        <w:jc w:val="both"/>
        <w:rPr>
          <w:rFonts w:ascii="Verdana" w:hAnsi="Verdana" w:cs="Arial"/>
          <w:lang w:eastAsia="es-ES"/>
        </w:rPr>
      </w:pPr>
      <w:r w:rsidRPr="001C398C">
        <w:rPr>
          <w:rFonts w:ascii="Verdana" w:hAnsi="Verdana" w:cs="Arial"/>
        </w:rPr>
        <w:t xml:space="preserve">Conviene añadir que la regulación de los honorarios por mensualidades o mediante tablas no modifica la naturaleza del contrato de prestación de servicios ni habilita a la entidad para asimilar al contratista a un servidor público. Según se expuso al describir las características de esta tipología, el pago de honorarios </w:t>
      </w:r>
      <w:r w:rsidRPr="001C398C">
        <w:rPr>
          <w:rFonts w:ascii="Verdana" w:hAnsi="Verdana" w:cs="Arial"/>
        </w:rPr>
        <w:lastRenderedPageBreak/>
        <w:t>retribuye la ejecución de obligaciones de hacer y no el transcurso del tiempo o el cumplimiento de una jornada, de modo que el empleo de una unidad mensual para fijar o liquidar la remuneración atañe a la forma de pago y a la planeación presupuestal, y no a los elementos configurativos del contrato de trabajo. La entidad no puede, con fundamento en la periodicidad mensual del pago, imponer subordinación, dependencia o sujeción horaria, pues el numeral 3º del artículo 32 de la Ley 80 de 1993 proscribe que estos contratos generen relación laboral y, de acreditarse una relación laboral subordinada, operaría la primacía de la realidad sobre las formalidades —artículo 53 de la Constitución Política—, en los términos de la Sentencia C-154 de 1997. La autonomía e independencia del contratista en la ejecución de sus obligaciones es, así, el criterio que distingue el pago mensual de honorarios de la remuneración propia del empleo público.</w:t>
      </w:r>
    </w:p>
    <w:p w14:paraId="0935B7A4" w14:textId="63E54722" w:rsidR="008D6130" w:rsidRDefault="008D6130" w:rsidP="00EA7EC0">
      <w:pPr>
        <w:spacing w:after="120" w:line="276" w:lineRule="auto"/>
        <w:ind w:firstLine="709"/>
        <w:jc w:val="both"/>
        <w:rPr>
          <w:rFonts w:ascii="Verdana" w:hAnsi="Verdana" w:cs="Arial"/>
          <w:lang w:eastAsia="es-ES"/>
        </w:rPr>
      </w:pPr>
      <w:r w:rsidRPr="00EA7EC0">
        <w:rPr>
          <w:rFonts w:ascii="Verdana" w:eastAsia="Calibri" w:hAnsi="Verdana" w:cs="Arial"/>
          <w:bCs/>
          <w:color w:val="000000"/>
          <w:kern w:val="2"/>
          <w14:ligatures w14:val="standardContextual"/>
        </w:rPr>
        <w:t>Al margen de la explicación precedente debe advertirse que el análisis requerido</w:t>
      </w:r>
      <w:r w:rsidRPr="006539F8">
        <w:rPr>
          <w:rFonts w:ascii="Verdana" w:hAnsi="Verdana" w:cs="Arial"/>
          <w:lang w:eastAsia="es-ES"/>
        </w:rPr>
        <w:t xml:space="preserve"> para resolver problemas específicos en torno a la gestión contractual de las entidades públicas debe ser realizado por quienes tengan interés en ello, de acuerdo con lo explicado </w:t>
      </w:r>
      <w:r w:rsidR="006F6C1F">
        <w:rPr>
          <w:rFonts w:ascii="Verdana" w:hAnsi="Verdana" w:cs="Arial"/>
          <w:lang w:eastAsia="es-ES"/>
        </w:rPr>
        <w:t>en</w:t>
      </w:r>
      <w:r w:rsidRPr="006539F8">
        <w:rPr>
          <w:rFonts w:ascii="Verdana" w:hAnsi="Verdana" w:cs="Arial"/>
          <w:lang w:eastAsia="es-ES"/>
        </w:rPr>
        <w:t xml:space="preserve">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CD2D48F" w14:textId="77777777" w:rsidR="008D6130" w:rsidRPr="00301910" w:rsidRDefault="008D6130" w:rsidP="008D6130">
      <w:pPr>
        <w:widowControl w:val="0"/>
        <w:autoSpaceDE w:val="0"/>
        <w:autoSpaceDN w:val="0"/>
        <w:spacing w:after="0" w:line="276" w:lineRule="auto"/>
        <w:ind w:firstLine="708"/>
        <w:jc w:val="both"/>
        <w:rPr>
          <w:rFonts w:ascii="Verdana" w:hAnsi="Verdana" w:cs="Arial"/>
          <w:lang w:eastAsia="es-ES"/>
        </w:rPr>
      </w:pPr>
      <w:r w:rsidRPr="006539F8">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301910">
        <w:rPr>
          <w:rFonts w:ascii="Verdana" w:hAnsi="Verdana" w:cs="Arial"/>
          <w:lang w:eastAsia="es-ES"/>
        </w:rPr>
        <w:t>.</w:t>
      </w:r>
    </w:p>
    <w:p w14:paraId="7D1D1EC6" w14:textId="5FE25CCA" w:rsidR="00851722" w:rsidRDefault="002E0DBC" w:rsidP="00851722">
      <w:pPr>
        <w:pStyle w:val="Prrafodelista"/>
        <w:numPr>
          <w:ilvl w:val="0"/>
          <w:numId w:val="16"/>
        </w:numPr>
        <w:tabs>
          <w:tab w:val="left" w:pos="426"/>
        </w:tabs>
        <w:spacing w:before="240" w:after="120"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Referencias normativas:</w:t>
      </w:r>
    </w:p>
    <w:p w14:paraId="6F38AAC0" w14:textId="77777777" w:rsidR="00851722" w:rsidRPr="00851722" w:rsidRDefault="00851722" w:rsidP="00851722">
      <w:pPr>
        <w:pStyle w:val="Prrafodelista"/>
        <w:tabs>
          <w:tab w:val="left" w:pos="426"/>
        </w:tabs>
        <w:spacing w:before="240" w:after="120" w:line="276" w:lineRule="auto"/>
        <w:ind w:left="1080"/>
        <w:jc w:val="both"/>
        <w:rPr>
          <w:rFonts w:ascii="Verdana" w:eastAsia="Century Gothic" w:hAnsi="Verdana" w:cs="Century Gothic"/>
          <w:b/>
          <w:bCs/>
          <w:lang w:val="es-CO"/>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E0DBC" w:rsidRPr="00CB7B00" w14:paraId="2CEB752E" w14:textId="77777777" w:rsidTr="00CF0FFC">
        <w:trPr>
          <w:trHeight w:val="453"/>
          <w:jc w:val="center"/>
        </w:trPr>
        <w:tc>
          <w:tcPr>
            <w:tcW w:w="8647" w:type="dxa"/>
          </w:tcPr>
          <w:p w14:paraId="111EDF04" w14:textId="65D71EFE" w:rsidR="007B4AE2" w:rsidRDefault="007B4AE2" w:rsidP="00AD77E5">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1C398C">
              <w:rPr>
                <w:rFonts w:ascii="Verdana" w:hAnsi="Verdana" w:cs="Arial"/>
              </w:rPr>
              <w:t>Constitución Política, artículos 53 y 122.</w:t>
            </w:r>
          </w:p>
          <w:p w14:paraId="23DB7B87" w14:textId="77777777" w:rsidR="00851722" w:rsidRDefault="00851722" w:rsidP="00AD77E5">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5F77A9">
              <w:rPr>
                <w:rFonts w:ascii="Verdana" w:hAnsi="Verdana" w:cs="Arial"/>
              </w:rPr>
              <w:lastRenderedPageBreak/>
              <w:t>Ley 155 de 1959</w:t>
            </w:r>
            <w:r>
              <w:rPr>
                <w:rFonts w:ascii="Verdana" w:hAnsi="Verdana" w:cs="Arial"/>
              </w:rPr>
              <w:t xml:space="preserve">, </w:t>
            </w:r>
            <w:r w:rsidRPr="005F77A9">
              <w:rPr>
                <w:rFonts w:ascii="Verdana" w:hAnsi="Verdana" w:cs="Arial"/>
              </w:rPr>
              <w:t>artículo 1</w:t>
            </w:r>
            <w:r>
              <w:rPr>
                <w:rFonts w:ascii="Verdana" w:hAnsi="Verdana" w:cs="Arial"/>
              </w:rPr>
              <w:t>.</w:t>
            </w:r>
          </w:p>
          <w:p w14:paraId="361EBD24" w14:textId="77777777" w:rsidR="00851722" w:rsidRDefault="00851722" w:rsidP="00AD77E5">
            <w:pPr>
              <w:pStyle w:val="Prrafodelista"/>
              <w:widowControl w:val="0"/>
              <w:numPr>
                <w:ilvl w:val="0"/>
                <w:numId w:val="17"/>
              </w:numPr>
              <w:autoSpaceDE w:val="0"/>
              <w:autoSpaceDN w:val="0"/>
              <w:spacing w:after="120"/>
              <w:ind w:left="714" w:hanging="357"/>
              <w:contextualSpacing w:val="0"/>
              <w:jc w:val="both"/>
              <w:rPr>
                <w:rFonts w:ascii="Verdana" w:hAnsi="Verdana" w:cs="Arial"/>
              </w:rPr>
            </w:pPr>
            <w:r>
              <w:rPr>
                <w:rFonts w:ascii="Verdana" w:hAnsi="Verdana" w:cs="Arial"/>
              </w:rPr>
              <w:t>Ley 80 de 1993, artículos 13, 14, 24, 25, 32, 40 y 60.</w:t>
            </w:r>
          </w:p>
          <w:p w14:paraId="544AD269" w14:textId="77777777" w:rsidR="00851722" w:rsidRDefault="00851722" w:rsidP="00AD77E5">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5F77A9">
              <w:rPr>
                <w:rFonts w:ascii="Verdana" w:hAnsi="Verdana" w:cs="Arial"/>
              </w:rPr>
              <w:t>Ley 1150 de 2007</w:t>
            </w:r>
            <w:r>
              <w:rPr>
                <w:rFonts w:ascii="Verdana" w:hAnsi="Verdana" w:cs="Arial"/>
              </w:rPr>
              <w:t>, artículos 2 y 6.</w:t>
            </w:r>
          </w:p>
          <w:p w14:paraId="5576F929" w14:textId="77777777" w:rsidR="00851722" w:rsidRPr="00171D90" w:rsidRDefault="00851722" w:rsidP="00AD77E5">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884819">
              <w:rPr>
                <w:rFonts w:ascii="Verdana" w:eastAsia="Calibri" w:hAnsi="Verdana" w:cs="Arial"/>
                <w:color w:val="000000"/>
                <w:lang w:val="es-ES_tradnl"/>
              </w:rPr>
              <w:t>Ley 1952 de 2019</w:t>
            </w:r>
            <w:r>
              <w:rPr>
                <w:rFonts w:ascii="Verdana" w:eastAsia="Calibri" w:hAnsi="Verdana" w:cs="Arial"/>
                <w:color w:val="000000"/>
                <w:lang w:val="es-ES_tradnl"/>
              </w:rPr>
              <w:t xml:space="preserve">, </w:t>
            </w:r>
            <w:r w:rsidRPr="005F77A9">
              <w:rPr>
                <w:rFonts w:ascii="Verdana" w:eastAsia="Calibri" w:hAnsi="Verdana" w:cs="Arial"/>
                <w:color w:val="000000"/>
                <w:lang w:val="es-ES_tradnl"/>
              </w:rPr>
              <w:t>artículo 54</w:t>
            </w:r>
            <w:r>
              <w:rPr>
                <w:rFonts w:ascii="Verdana" w:eastAsia="Calibri" w:hAnsi="Verdana" w:cs="Arial"/>
                <w:color w:val="000000"/>
                <w:lang w:val="es-ES_tradnl"/>
              </w:rPr>
              <w:t>.</w:t>
            </w:r>
          </w:p>
          <w:p w14:paraId="7B482B92" w14:textId="77777777" w:rsidR="0015009C" w:rsidRDefault="0015009C" w:rsidP="0015009C">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1C398C">
              <w:rPr>
                <w:rFonts w:ascii="Verdana" w:hAnsi="Verdana" w:cs="Arial"/>
              </w:rPr>
              <w:t>Código Civil, artículos 2063 y siguientes.</w:t>
            </w:r>
          </w:p>
          <w:p w14:paraId="1ABC7F7F" w14:textId="77777777" w:rsidR="0015009C" w:rsidRDefault="0015009C" w:rsidP="0015009C">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1C398C">
              <w:rPr>
                <w:rFonts w:ascii="Verdana" w:hAnsi="Verdana" w:cs="Arial"/>
              </w:rPr>
              <w:t>Código Sustantivo del Trabajo, artículo 22.</w:t>
            </w:r>
          </w:p>
          <w:p w14:paraId="4C73DD90" w14:textId="77777777" w:rsidR="0015009C" w:rsidRDefault="0015009C" w:rsidP="0015009C">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1C398C">
              <w:rPr>
                <w:rFonts w:ascii="Verdana" w:hAnsi="Verdana" w:cs="Arial"/>
              </w:rPr>
              <w:t>Decreto 019 de 2012, artículo 217.</w:t>
            </w:r>
          </w:p>
          <w:p w14:paraId="50416CC4" w14:textId="746117EB" w:rsidR="00851722" w:rsidRPr="005F77A9" w:rsidRDefault="00851722" w:rsidP="00AD77E5">
            <w:pPr>
              <w:pStyle w:val="Prrafodelista"/>
              <w:widowControl w:val="0"/>
              <w:numPr>
                <w:ilvl w:val="0"/>
                <w:numId w:val="17"/>
              </w:numPr>
              <w:autoSpaceDE w:val="0"/>
              <w:autoSpaceDN w:val="0"/>
              <w:spacing w:after="120"/>
              <w:ind w:left="714" w:hanging="357"/>
              <w:contextualSpacing w:val="0"/>
              <w:jc w:val="both"/>
              <w:rPr>
                <w:rFonts w:ascii="Verdana" w:hAnsi="Verdana" w:cs="Arial"/>
              </w:rPr>
            </w:pPr>
            <w:r w:rsidRPr="005F77A9">
              <w:rPr>
                <w:rFonts w:ascii="Verdana" w:hAnsi="Verdana" w:cs="Arial"/>
              </w:rPr>
              <w:t>Decreto 1068 de 2015</w:t>
            </w:r>
            <w:r>
              <w:rPr>
                <w:rFonts w:ascii="Verdana" w:hAnsi="Verdana" w:cs="Arial"/>
              </w:rPr>
              <w:t xml:space="preserve">, </w:t>
            </w:r>
            <w:r>
              <w:rPr>
                <w:rFonts w:ascii="Verdana" w:eastAsia="Calibri" w:hAnsi="Verdana" w:cs="Arial"/>
                <w:bCs/>
                <w:color w:val="000000"/>
                <w:kern w:val="2"/>
                <w14:ligatures w14:val="standardContextual"/>
              </w:rPr>
              <w:t>artículo</w:t>
            </w:r>
            <w:r w:rsidR="00870F39">
              <w:rPr>
                <w:rFonts w:ascii="Verdana" w:eastAsia="Calibri" w:hAnsi="Verdana" w:cs="Arial"/>
                <w:bCs/>
                <w:color w:val="000000"/>
                <w:kern w:val="2"/>
                <w14:ligatures w14:val="standardContextual"/>
              </w:rPr>
              <w:t>s</w:t>
            </w:r>
            <w:r>
              <w:rPr>
                <w:rFonts w:ascii="Verdana" w:eastAsia="Calibri" w:hAnsi="Verdana" w:cs="Arial"/>
                <w:bCs/>
                <w:color w:val="000000"/>
                <w:kern w:val="2"/>
                <w14:ligatures w14:val="standardContextual"/>
              </w:rPr>
              <w:t xml:space="preserve"> </w:t>
            </w:r>
            <w:r w:rsidR="00870F39" w:rsidRPr="001C398C">
              <w:rPr>
                <w:rFonts w:ascii="Verdana" w:eastAsia="Calibri" w:hAnsi="Verdana" w:cs="Arial"/>
                <w:color w:val="000000"/>
                <w:kern w:val="2"/>
                <w14:ligatures w14:val="standardContextual"/>
              </w:rPr>
              <w:t>2.8.4.4.5</w:t>
            </w:r>
            <w:r w:rsidR="00870F39">
              <w:rPr>
                <w:rFonts w:ascii="Verdana" w:eastAsia="Calibri" w:hAnsi="Verdana" w:cs="Arial"/>
                <w:bCs/>
                <w:color w:val="000000"/>
                <w:kern w:val="2"/>
                <w14:ligatures w14:val="standardContextual"/>
              </w:rPr>
              <w:t>,</w:t>
            </w:r>
            <w:r>
              <w:rPr>
                <w:rFonts w:ascii="Verdana" w:eastAsia="Calibri" w:hAnsi="Verdana" w:cs="Arial"/>
                <w:bCs/>
                <w:color w:val="000000"/>
                <w:kern w:val="2"/>
                <w14:ligatures w14:val="standardContextual"/>
              </w:rPr>
              <w:t xml:space="preserve"> </w:t>
            </w:r>
            <w:r w:rsidRPr="00EC59D4">
              <w:rPr>
                <w:rFonts w:ascii="Verdana" w:eastAsia="Calibri" w:hAnsi="Verdana" w:cs="Arial"/>
                <w:bCs/>
                <w:color w:val="000000"/>
                <w:kern w:val="2"/>
                <w14:ligatures w14:val="standardContextual"/>
              </w:rPr>
              <w:t>2.8.4.4.6</w:t>
            </w:r>
            <w:r w:rsidR="00870F39">
              <w:rPr>
                <w:rFonts w:ascii="Verdana" w:eastAsia="Calibri" w:hAnsi="Verdana" w:cs="Arial"/>
                <w:bCs/>
                <w:color w:val="000000"/>
                <w:kern w:val="2"/>
                <w14:ligatures w14:val="standardContextual"/>
              </w:rPr>
              <w:t xml:space="preserve">, </w:t>
            </w:r>
            <w:r w:rsidR="00870F39" w:rsidRPr="001C398C">
              <w:rPr>
                <w:rFonts w:ascii="Verdana" w:eastAsia="Calibri" w:hAnsi="Verdana" w:cs="Arial"/>
                <w:color w:val="000000"/>
                <w:kern w:val="2"/>
                <w14:ligatures w14:val="standardContextual"/>
              </w:rPr>
              <w:t>y 2.8.4.4.6.</w:t>
            </w:r>
          </w:p>
          <w:p w14:paraId="5E94121C" w14:textId="66588E2F" w:rsidR="002E0DBC" w:rsidRPr="001C398C" w:rsidRDefault="00851722" w:rsidP="00AD77E5">
            <w:pPr>
              <w:pStyle w:val="Prrafodelista"/>
              <w:widowControl w:val="0"/>
              <w:numPr>
                <w:ilvl w:val="0"/>
                <w:numId w:val="17"/>
              </w:numPr>
              <w:tabs>
                <w:tab w:val="left" w:pos="8419"/>
              </w:tabs>
              <w:autoSpaceDE w:val="0"/>
              <w:autoSpaceDN w:val="0"/>
              <w:jc w:val="both"/>
              <w:rPr>
                <w:rFonts w:ascii="Verdana" w:hAnsi="Verdana" w:cs="Arial"/>
                <w:lang w:val="es-CO"/>
              </w:rPr>
            </w:pPr>
            <w:r>
              <w:rPr>
                <w:rFonts w:ascii="Verdana" w:eastAsia="Calibri" w:hAnsi="Verdana" w:cs="Arial"/>
                <w:color w:val="000000"/>
                <w:lang w:val="es-ES_tradnl"/>
              </w:rPr>
              <w:t>Decreto 1082 de 2015, a</w:t>
            </w:r>
            <w:r w:rsidRPr="005F77A9">
              <w:rPr>
                <w:rFonts w:ascii="Verdana" w:eastAsia="Calibri" w:hAnsi="Verdana" w:cs="Arial"/>
                <w:color w:val="000000"/>
                <w:lang w:val="es-ES_tradnl"/>
              </w:rPr>
              <w:t>rtículo</w:t>
            </w:r>
            <w:r>
              <w:rPr>
                <w:rFonts w:ascii="Verdana" w:eastAsia="Calibri" w:hAnsi="Verdana" w:cs="Arial"/>
                <w:color w:val="000000"/>
                <w:lang w:val="es-ES_tradnl"/>
              </w:rPr>
              <w:t>s</w:t>
            </w:r>
            <w:r w:rsidRPr="005F77A9">
              <w:rPr>
                <w:rFonts w:ascii="Verdana" w:eastAsia="Calibri" w:hAnsi="Verdana" w:cs="Arial"/>
                <w:color w:val="000000"/>
                <w:lang w:val="es-ES_tradnl"/>
              </w:rPr>
              <w:t xml:space="preserve"> 2.2.1.1.1.6.1</w:t>
            </w:r>
            <w:r>
              <w:rPr>
                <w:rFonts w:ascii="Verdana" w:eastAsia="Calibri" w:hAnsi="Verdana" w:cs="Arial"/>
                <w:color w:val="000000"/>
                <w:lang w:val="es-ES_tradnl"/>
              </w:rPr>
              <w:t xml:space="preserve">, </w:t>
            </w:r>
            <w:r w:rsidR="008E49C4" w:rsidRPr="001C398C">
              <w:rPr>
                <w:rFonts w:ascii="Verdana" w:eastAsia="Calibri" w:hAnsi="Verdana" w:cs="Arial"/>
                <w:color w:val="000000"/>
                <w:lang w:val="es-ES_tradnl"/>
              </w:rPr>
              <w:t>2.2.1.1.2.1.1, 2.2.1.2.1.4.1, 2.2.1.2.1.4.5 y 2.2.1.2.1.4.9.</w:t>
            </w:r>
          </w:p>
          <w:p w14:paraId="33C8798A" w14:textId="0DB2FE11" w:rsidR="002E0DBC" w:rsidRPr="00306BCD" w:rsidRDefault="002E0DBC" w:rsidP="006D01F2">
            <w:pPr>
              <w:pStyle w:val="Prrafodelista"/>
              <w:widowControl w:val="0"/>
              <w:tabs>
                <w:tab w:val="left" w:pos="8419"/>
              </w:tabs>
              <w:autoSpaceDE w:val="0"/>
              <w:autoSpaceDN w:val="0"/>
              <w:jc w:val="both"/>
              <w:rPr>
                <w:rFonts w:ascii="Verdana" w:hAnsi="Verdana" w:cs="Arial"/>
                <w:lang w:val="es-CO"/>
              </w:rPr>
            </w:pPr>
          </w:p>
        </w:tc>
      </w:tr>
    </w:tbl>
    <w:p w14:paraId="5FFB3B94" w14:textId="77777777" w:rsidR="002E0DBC" w:rsidRPr="00CB7B00" w:rsidRDefault="002E0DBC" w:rsidP="002E0DBC">
      <w:pPr>
        <w:pStyle w:val="Prrafodelista"/>
        <w:numPr>
          <w:ilvl w:val="0"/>
          <w:numId w:val="16"/>
        </w:numPr>
        <w:tabs>
          <w:tab w:val="left" w:pos="142"/>
          <w:tab w:val="left" w:pos="284"/>
        </w:tabs>
        <w:spacing w:before="240" w:line="276" w:lineRule="auto"/>
        <w:jc w:val="both"/>
        <w:rPr>
          <w:rStyle w:val="normaltextrun"/>
          <w:rFonts w:ascii="Verdana" w:eastAsia="Century Gothic" w:hAnsi="Verdana" w:cs="Century Gothic"/>
          <w:b/>
          <w:bCs/>
          <w:lang w:val="es-CO"/>
        </w:rPr>
      </w:pPr>
      <w:r w:rsidRPr="00CB7B00">
        <w:rPr>
          <w:rFonts w:ascii="Verdana" w:eastAsia="Century Gothic" w:hAnsi="Verdana" w:cs="Century Gothic"/>
          <w:b/>
          <w:bCs/>
          <w:lang w:val="es-CO"/>
        </w:rPr>
        <w:lastRenderedPageBreak/>
        <w:t>Doctrina de la Agencia Nacional de Contratación Pública:</w:t>
      </w:r>
    </w:p>
    <w:p w14:paraId="618E21CC" w14:textId="1E399C46" w:rsidR="00643018" w:rsidRPr="00643018" w:rsidRDefault="00643018" w:rsidP="00643018">
      <w:pPr>
        <w:widowControl w:val="0"/>
        <w:autoSpaceDE w:val="0"/>
        <w:autoSpaceDN w:val="0"/>
        <w:spacing w:after="0" w:line="276" w:lineRule="auto"/>
        <w:jc w:val="both"/>
        <w:rPr>
          <w:rStyle w:val="normaltextrun"/>
          <w:rFonts w:ascii="Verdana" w:hAnsi="Verdana"/>
        </w:rPr>
      </w:pPr>
      <w:r w:rsidRPr="00643018">
        <w:rPr>
          <w:rFonts w:ascii="Verdana" w:eastAsia="Calibri" w:hAnsi="Verdana" w:cs="Arial"/>
          <w:shd w:val="clear" w:color="auto" w:fill="FFFFFF"/>
        </w:rPr>
        <w:t xml:space="preserve">Esta Subdirección se ha pronunciado sobre las tablas de honorarios en los contratos de prestación de servicios en los Conceptos 2201913000008315 del 7 de noviembre de 2019, C-102 del 4 de mayo de 2023, C-920 del 30 de diciembre de 2024, C-798 del 30 de julio </w:t>
      </w:r>
      <w:r w:rsidR="004B139B" w:rsidRPr="001C398C">
        <w:rPr>
          <w:rFonts w:ascii="Verdana" w:eastAsia="Calibri" w:hAnsi="Verdana" w:cs="Arial"/>
          <w:shd w:val="clear" w:color="auto" w:fill="FFFFFF"/>
        </w:rPr>
        <w:t>de 2025, C-1173 del 2 de octubre de 2025 y C-115</w:t>
      </w:r>
      <w:r w:rsidR="004B139B" w:rsidRPr="004B139B">
        <w:rPr>
          <w:rFonts w:ascii="Verdana" w:eastAsia="Calibri" w:hAnsi="Verdana" w:cs="Arial"/>
          <w:shd w:val="clear" w:color="auto" w:fill="FFFFFF"/>
        </w:rPr>
        <w:t xml:space="preserve"> de febrero de 2026. </w:t>
      </w:r>
      <w:r w:rsidRPr="00643018">
        <w:rPr>
          <w:rFonts w:ascii="Verdana" w:hAnsi="Verdana" w:cs="Arial"/>
          <w:shd w:val="clear" w:color="auto" w:fill="FFFFFF"/>
        </w:rPr>
        <w:t>Estos y otros </w:t>
      </w:r>
      <w:r w:rsidRPr="00643018">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643018">
          <w:rPr>
            <w:rStyle w:val="Hipervnculo"/>
            <w:rFonts w:ascii="Verdana" w:hAnsi="Verdana" w:cs="Arial"/>
            <w:shd w:val="clear" w:color="auto" w:fill="FFFFFF"/>
          </w:rPr>
          <w:t>https://relatoria.colombiacompra.gov.co/busqueda/conceptos</w:t>
        </w:r>
      </w:hyperlink>
      <w:r w:rsidRPr="00643018">
        <w:rPr>
          <w:rStyle w:val="normaltextrun"/>
          <w:rFonts w:ascii="Verdana" w:hAnsi="Verdana" w:cs="Arial"/>
          <w:shd w:val="clear" w:color="auto" w:fill="FFFFFF"/>
        </w:rPr>
        <w:t xml:space="preserve">. </w:t>
      </w:r>
      <w:r w:rsidRPr="00643018">
        <w:rPr>
          <w:rStyle w:val="normaltextrun"/>
          <w:rFonts w:ascii="Verdana" w:hAnsi="Verdana" w:cs="Arial"/>
          <w:color w:val="FF0000"/>
          <w:shd w:val="clear" w:color="auto" w:fill="FFFFFF"/>
          <w:lang w:val="es-ES"/>
        </w:rPr>
        <w:t xml:space="preserve"> </w:t>
      </w:r>
    </w:p>
    <w:p w14:paraId="06A39F61" w14:textId="77777777" w:rsidR="002E0DBC" w:rsidRPr="00CB7B00" w:rsidRDefault="002E0DBC" w:rsidP="002E0DBC">
      <w:pPr>
        <w:spacing w:before="240" w:after="0" w:line="276" w:lineRule="auto"/>
        <w:jc w:val="both"/>
        <w:rPr>
          <w:rStyle w:val="Hipervnculo"/>
          <w:rFonts w:ascii="Verdana" w:hAnsi="Verdana"/>
        </w:rPr>
      </w:pPr>
      <w:r w:rsidRPr="00CB7B00">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B7B00">
        <w:rPr>
          <w:rFonts w:ascii="Verdana" w:hAnsi="Verdana"/>
          <w:b/>
          <w:bCs/>
        </w:rPr>
        <w:t>Guía para la Exigencia y Constitución de Garantías en los Procesos de Contratación</w:t>
      </w:r>
      <w:r w:rsidRPr="00CB7B00">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Dirección URL original: https://www.colombiacompra.gov.co/archivos/manual/guia-de-garantias-en-procesos-de-contratacion. Haga clic o pulse si confía en este vínculo." w:history="1">
        <w:r w:rsidRPr="00CB7B00">
          <w:rPr>
            <w:rStyle w:val="Hipervnculo"/>
            <w:rFonts w:ascii="Verdana" w:hAnsi="Verdana"/>
          </w:rPr>
          <w:t>https://www.colombiacompra.gov.co/archivos/manual/guia-de-garantias-en-procesos-de-contratacion</w:t>
        </w:r>
      </w:hyperlink>
    </w:p>
    <w:p w14:paraId="4E26069B" w14:textId="77777777" w:rsidR="002E0DBC" w:rsidRPr="00E57649" w:rsidRDefault="002E0DBC" w:rsidP="002E0DBC">
      <w:pPr>
        <w:spacing w:before="240" w:after="0" w:line="276" w:lineRule="auto"/>
        <w:jc w:val="both"/>
        <w:rPr>
          <w:rFonts w:ascii="Verdana" w:hAnsi="Verdana"/>
          <w:color w:val="0000FF"/>
          <w:u w:val="single"/>
        </w:rPr>
      </w:pPr>
      <w:r w:rsidRPr="00CB7B00">
        <w:rPr>
          <w:rFonts w:ascii="Verdana" w:hAnsi="Verdana"/>
        </w:rPr>
        <w:lastRenderedPageBreak/>
        <w:t>De otro lado, te contamos que el Decreto 287 del 19 de marzo de 2026 sustituyó los artículos 2.2.1.2.4.2.6., 2.2.1.2.4.2.7. y 2.2.1.2.4.2.8. del Decreto 1082 de 2015 y estructuró el </w:t>
      </w:r>
      <w:r w:rsidRPr="00CB7B00">
        <w:rPr>
          <w:rFonts w:ascii="Verdana" w:hAnsi="Verdana"/>
          <w:b/>
          <w:bCs/>
        </w:rPr>
        <w:t>Sistema Integral de Preferencias en favor de las personas con discapacidad</w:t>
      </w:r>
      <w:r w:rsidRPr="00CB7B00">
        <w:rPr>
          <w:rFonts w:ascii="Verdana" w:hAnsi="Verdana"/>
        </w:rPr>
        <w:t>, en cumplimiento del artículo 13 de la Ley Estatutaria 1618 de 2013. Para orientar su aplicación, esta Agencia expidió la </w:t>
      </w:r>
      <w:r w:rsidRPr="00CB7B00">
        <w:rPr>
          <w:rFonts w:ascii="Verdana" w:hAnsi="Verdana"/>
          <w:b/>
          <w:bCs/>
        </w:rPr>
        <w:t>Circular Externa 003 del 12 de mayo de 2026, </w:t>
      </w:r>
      <w:r w:rsidRPr="00CB7B00">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4" w:tooltip="Dirección URL original: https://www.colombiacompra.gov.co/archivos/circular/circular-externa-003-de-2026. Haga clic o pulse si confía en este vínculo." w:history="1">
        <w:r w:rsidRPr="00CB7B00">
          <w:rPr>
            <w:rStyle w:val="Hipervnculo"/>
            <w:rFonts w:ascii="Verdana" w:hAnsi="Verdana"/>
          </w:rPr>
          <w:t>https://www.colombiacompra.gov.co/archivos/circular/circular-externa-003-de-2026</w:t>
        </w:r>
      </w:hyperlink>
    </w:p>
    <w:p w14:paraId="23D85542" w14:textId="77777777" w:rsidR="002E0DBC" w:rsidRPr="00CB7B00" w:rsidRDefault="002E0DBC" w:rsidP="002E0DBC">
      <w:pPr>
        <w:spacing w:before="240" w:after="0" w:line="276" w:lineRule="auto"/>
        <w:jc w:val="both"/>
        <w:rPr>
          <w:rStyle w:val="Hipervnculo"/>
          <w:rFonts w:ascii="Verdana" w:hAnsi="Verdana"/>
        </w:rPr>
      </w:pPr>
      <w:r w:rsidRPr="00CB7B00">
        <w:rPr>
          <w:rFonts w:ascii="Verdana" w:hAnsi="Verdana"/>
        </w:rPr>
        <w:t>Recuerda también que la</w:t>
      </w:r>
      <w:r w:rsidRPr="00CB7B00">
        <w:rPr>
          <w:rFonts w:ascii="Verdana" w:hAnsi="Verdana"/>
          <w:b/>
          <w:bCs/>
        </w:rPr>
        <w:t> información sobre sanciones e inhabilidades </w:t>
      </w:r>
      <w:r w:rsidRPr="00CB7B00">
        <w:rPr>
          <w:rFonts w:ascii="Verdana" w:hAnsi="Verdana"/>
        </w:rPr>
        <w:t>solo cumple su función preventiva si llega oportunamente a los registros públicos. Sobre este deber, esta Agencia expidió la </w:t>
      </w:r>
      <w:r w:rsidRPr="00CB7B00">
        <w:rPr>
          <w:rFonts w:ascii="Verdana" w:hAnsi="Verdana"/>
          <w:b/>
          <w:bCs/>
        </w:rPr>
        <w:t>Circular Externa 002 del 5 de mayo de 2026,</w:t>
      </w:r>
      <w:r w:rsidRPr="00CB7B00">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Dirección URL original: https://www.colombiacompra.gov.co/archivos/circular/circular-externa-002-de-2026. Haga clic o pulse si confía en este vínculo." w:history="1">
        <w:r w:rsidRPr="00CB7B00">
          <w:rPr>
            <w:rStyle w:val="Hipervnculo"/>
            <w:rFonts w:ascii="Verdana" w:hAnsi="Verdana"/>
          </w:rPr>
          <w:t>https://www.colombiacompra.gov.co/archivos/circular/circular-externa-002-de-2026</w:t>
        </w:r>
      </w:hyperlink>
    </w:p>
    <w:p w14:paraId="3D4B7C80" w14:textId="77777777" w:rsidR="002E0DBC" w:rsidRPr="00CB7B00" w:rsidRDefault="002E0DBC" w:rsidP="002E0DBC">
      <w:pPr>
        <w:spacing w:before="240" w:after="0" w:line="276" w:lineRule="auto"/>
        <w:jc w:val="both"/>
        <w:rPr>
          <w:rStyle w:val="Hipervnculo"/>
          <w:rFonts w:ascii="Verdana" w:hAnsi="Verdana"/>
        </w:rPr>
      </w:pPr>
      <w:r w:rsidRPr="00CB7B00">
        <w:rPr>
          <w:rFonts w:ascii="Verdana" w:hAnsi="Verdana"/>
        </w:rPr>
        <w:t>Finalmente, si quieres seguir de cerca la actividad de la Agencia, la tercera edición de 2026 del</w:t>
      </w:r>
      <w:r w:rsidRPr="00CB7B00">
        <w:rPr>
          <w:rFonts w:ascii="Verdana" w:hAnsi="Verdana"/>
          <w:b/>
          <w:bCs/>
        </w:rPr>
        <w:t> Radar de la Compra Pública</w:t>
      </w:r>
      <w:r w:rsidRPr="00CB7B00">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Dirección URL original: https://www.colombiacompra.gov.co/archivos/boletin/boletin-edicion-n-3-de-2026-radar-de-la-compra-publica. Haga clic o pulse si confía en este vínculo." w:history="1">
        <w:r w:rsidRPr="00CB7B00">
          <w:rPr>
            <w:rStyle w:val="Hipervnculo"/>
            <w:rFonts w:ascii="Verdana" w:hAnsi="Verdana"/>
          </w:rPr>
          <w:t>https://www.colombiacompra.gov.co/archivos/boletin/boletin-edicion-n-3-de-2026-radar-de-la-compra-publica</w:t>
        </w:r>
      </w:hyperlink>
    </w:p>
    <w:p w14:paraId="13F404D5" w14:textId="77777777" w:rsidR="002E0DBC" w:rsidRPr="00CB7B00" w:rsidRDefault="002E0DBC" w:rsidP="002E0DBC">
      <w:pPr>
        <w:widowControl w:val="0"/>
        <w:autoSpaceDE w:val="0"/>
        <w:autoSpaceDN w:val="0"/>
        <w:spacing w:after="0" w:line="276" w:lineRule="auto"/>
        <w:jc w:val="both"/>
        <w:rPr>
          <w:rStyle w:val="normaltextrun"/>
          <w:rFonts w:ascii="Verdana" w:hAnsi="Verdana" w:cs="Arial"/>
          <w:shd w:val="clear" w:color="auto" w:fill="FFFFFF"/>
        </w:rPr>
      </w:pPr>
    </w:p>
    <w:p w14:paraId="136A1A0D" w14:textId="77777777" w:rsidR="002E0DBC" w:rsidRPr="00CB7B00" w:rsidRDefault="002E0DBC" w:rsidP="002E0DBC">
      <w:pPr>
        <w:spacing w:after="120" w:line="276" w:lineRule="auto"/>
        <w:jc w:val="both"/>
        <w:rPr>
          <w:rFonts w:ascii="Verdana" w:hAnsi="Verdana"/>
        </w:rPr>
      </w:pPr>
      <w:r w:rsidRPr="00CB7B00">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w:t>
      </w:r>
      <w:r w:rsidRPr="00CB7B00">
        <w:rPr>
          <w:rFonts w:ascii="Verdana" w:hAnsi="Verdana"/>
        </w:rPr>
        <w:lastRenderedPageBreak/>
        <w:t xml:space="preserve">requiera en el marco de nuestras funciones a través de nuestros diferentes canales de atención: </w:t>
      </w:r>
    </w:p>
    <w:p w14:paraId="687620D0" w14:textId="77777777" w:rsidR="002E0DBC" w:rsidRPr="00CB7B00" w:rsidRDefault="002E0DBC" w:rsidP="002E0DBC">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nacional gratuita o servicio a la ciudadanía: 01800 0520808</w:t>
      </w:r>
    </w:p>
    <w:p w14:paraId="16D5BF54" w14:textId="77777777" w:rsidR="002E0DBC" w:rsidRPr="00CB7B00" w:rsidRDefault="002E0DBC" w:rsidP="002E0DBC">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en Bogotá (Mesa de servicio): +57 601 7456788</w:t>
      </w:r>
    </w:p>
    <w:p w14:paraId="2119C558" w14:textId="77777777" w:rsidR="002E0DBC" w:rsidRPr="00CB7B00" w:rsidRDefault="002E0DBC" w:rsidP="002E0DBC">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de servicio y atención al ciudadano: +57 601 7956600</w:t>
      </w:r>
    </w:p>
    <w:p w14:paraId="74B493E9" w14:textId="77777777" w:rsidR="002E0DBC" w:rsidRPr="00CB7B00" w:rsidRDefault="002E0DBC" w:rsidP="002E0DBC">
      <w:pPr>
        <w:pStyle w:val="Prrafodelista"/>
        <w:numPr>
          <w:ilvl w:val="0"/>
          <w:numId w:val="15"/>
        </w:numPr>
        <w:spacing w:line="276" w:lineRule="auto"/>
        <w:contextualSpacing w:val="0"/>
        <w:jc w:val="both"/>
        <w:rPr>
          <w:rFonts w:ascii="Verdana" w:hAnsi="Verdana"/>
          <w:lang w:val="es-CO"/>
        </w:rPr>
      </w:pPr>
      <w:r w:rsidRPr="00CB7B00">
        <w:rPr>
          <w:rFonts w:ascii="Verdana" w:hAnsi="Verdana"/>
          <w:lang w:val="es-CO"/>
        </w:rPr>
        <w:t xml:space="preserve">Página web: </w:t>
      </w:r>
      <w:hyperlink r:id="rId17" w:history="1">
        <w:r w:rsidRPr="00CB7B00">
          <w:rPr>
            <w:rStyle w:val="Hipervnculo"/>
            <w:rFonts w:ascii="Verdana" w:hAnsi="Verdana"/>
            <w:lang w:val="es-CO"/>
          </w:rPr>
          <w:t>www.colombiacompra.gov.co</w:t>
        </w:r>
      </w:hyperlink>
    </w:p>
    <w:p w14:paraId="4E9B54C5" w14:textId="77777777" w:rsidR="002E0DBC" w:rsidRDefault="002E0DBC" w:rsidP="002E0DBC">
      <w:pPr>
        <w:spacing w:after="0" w:line="276" w:lineRule="auto"/>
        <w:jc w:val="both"/>
        <w:rPr>
          <w:rFonts w:ascii="Verdana" w:hAnsi="Verdana"/>
        </w:rPr>
      </w:pPr>
      <w:r w:rsidRPr="00CB7B00">
        <w:rPr>
          <w:rFonts w:ascii="Verdana" w:hAnsi="Verdana"/>
        </w:rPr>
        <w:t>Por último, lo invitamos a seguirnos en las redes sociales en las cuales se difunde información institucional:</w:t>
      </w:r>
    </w:p>
    <w:p w14:paraId="380FDE9C" w14:textId="77777777" w:rsidR="002E0DBC" w:rsidRPr="00CB7B00" w:rsidRDefault="002E0DBC" w:rsidP="002E0DBC">
      <w:pPr>
        <w:spacing w:before="240" w:after="0" w:line="276" w:lineRule="auto"/>
        <w:jc w:val="both"/>
        <w:rPr>
          <w:rFonts w:ascii="Verdana" w:hAnsi="Verdana"/>
        </w:rPr>
      </w:pPr>
      <w:r w:rsidRPr="00CB7B00">
        <w:rPr>
          <w:rFonts w:ascii="Verdana" w:hAnsi="Verdana"/>
        </w:rPr>
        <w:t xml:space="preserve">Twitter: </w:t>
      </w:r>
      <w:r w:rsidRPr="00CB7B00">
        <w:rPr>
          <w:rStyle w:val="Hipervnculo"/>
          <w:rFonts w:ascii="Verdana" w:hAnsi="Verdana"/>
        </w:rPr>
        <w:t>@colombiacompra</w:t>
      </w:r>
      <w:r w:rsidRPr="00CB7B00">
        <w:rPr>
          <w:rFonts w:ascii="Verdana" w:hAnsi="Verdana"/>
        </w:rPr>
        <w:t xml:space="preserve"> </w:t>
      </w:r>
    </w:p>
    <w:p w14:paraId="53DBE6BB" w14:textId="77777777" w:rsidR="002E0DBC" w:rsidRPr="00CB7B00" w:rsidRDefault="002E0DBC" w:rsidP="002E0DBC">
      <w:pPr>
        <w:spacing w:after="0" w:line="276" w:lineRule="auto"/>
        <w:jc w:val="both"/>
        <w:rPr>
          <w:rFonts w:ascii="Verdana" w:hAnsi="Verdana"/>
        </w:rPr>
      </w:pPr>
      <w:r w:rsidRPr="00CB7B00">
        <w:rPr>
          <w:rFonts w:ascii="Verdana" w:hAnsi="Verdana"/>
        </w:rPr>
        <w:t xml:space="preserve">Facebook: </w:t>
      </w:r>
      <w:proofErr w:type="spellStart"/>
      <w:r w:rsidRPr="00CB7B00">
        <w:rPr>
          <w:rStyle w:val="Hipervnculo"/>
          <w:rFonts w:ascii="Verdana" w:hAnsi="Verdana"/>
        </w:rPr>
        <w:t>ColombiaCompraEficiente</w:t>
      </w:r>
      <w:proofErr w:type="spellEnd"/>
    </w:p>
    <w:p w14:paraId="362F6887" w14:textId="77777777" w:rsidR="002E0DBC" w:rsidRPr="00CB7B00" w:rsidRDefault="002E0DBC" w:rsidP="002E0DBC">
      <w:pPr>
        <w:spacing w:after="0" w:line="276" w:lineRule="auto"/>
        <w:jc w:val="both"/>
        <w:rPr>
          <w:rStyle w:val="Hipervnculo"/>
          <w:rFonts w:ascii="Verdana" w:hAnsi="Verdana"/>
        </w:rPr>
      </w:pPr>
      <w:r w:rsidRPr="00CB7B00">
        <w:rPr>
          <w:rFonts w:ascii="Verdana" w:hAnsi="Verdana"/>
        </w:rPr>
        <w:t xml:space="preserve">LinkedIn: </w:t>
      </w:r>
      <w:r w:rsidRPr="00CB7B00">
        <w:rPr>
          <w:rStyle w:val="Hipervnculo"/>
          <w:rFonts w:ascii="Verdana" w:hAnsi="Verdana"/>
        </w:rPr>
        <w:t>Agencia Nacional de Contratación Pública - Colombia Compra Eficiente</w:t>
      </w:r>
    </w:p>
    <w:p w14:paraId="53C9DFA7" w14:textId="77777777" w:rsidR="002E0DBC" w:rsidRPr="00CB7B00" w:rsidRDefault="002E0DBC" w:rsidP="002E0DBC">
      <w:pPr>
        <w:spacing w:line="276" w:lineRule="auto"/>
        <w:jc w:val="both"/>
        <w:rPr>
          <w:rFonts w:ascii="Verdana" w:hAnsi="Verdana"/>
          <w:color w:val="0000FF"/>
          <w:u w:val="single"/>
        </w:rPr>
      </w:pPr>
      <w:r w:rsidRPr="00CB7B00">
        <w:rPr>
          <w:rFonts w:ascii="Verdana" w:hAnsi="Verdana"/>
        </w:rPr>
        <w:t xml:space="preserve">Instagram: </w:t>
      </w:r>
      <w:r w:rsidRPr="00CB7B00">
        <w:rPr>
          <w:rStyle w:val="Hipervnculo"/>
          <w:rFonts w:ascii="Verdana" w:hAnsi="Verdana"/>
        </w:rPr>
        <w:t>@colombiacompraeficiente_cce</w:t>
      </w:r>
    </w:p>
    <w:p w14:paraId="0295F6FE" w14:textId="77777777" w:rsidR="002E0DBC" w:rsidRPr="00CB7B00" w:rsidRDefault="002E0DBC" w:rsidP="002E0DBC">
      <w:pPr>
        <w:spacing w:after="0" w:line="276" w:lineRule="auto"/>
        <w:jc w:val="both"/>
        <w:rPr>
          <w:rFonts w:ascii="Verdana" w:eastAsia="Calibri" w:hAnsi="Verdana" w:cs="Times New Roman"/>
          <w:bCs/>
        </w:rPr>
      </w:pPr>
      <w:r w:rsidRPr="00CB7B00">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E312246" w14:textId="77777777" w:rsidR="002E0DBC" w:rsidRPr="00CB7B00" w:rsidRDefault="002E0DBC" w:rsidP="002E0DBC">
      <w:pPr>
        <w:spacing w:after="0" w:line="276" w:lineRule="auto"/>
        <w:jc w:val="both"/>
        <w:rPr>
          <w:rFonts w:ascii="Verdana" w:eastAsia="Calibri" w:hAnsi="Verdana" w:cs="Times New Roman"/>
        </w:rPr>
      </w:pPr>
    </w:p>
    <w:p w14:paraId="4DFCB385" w14:textId="77777777" w:rsidR="002E0DBC" w:rsidRPr="00CB7B00" w:rsidRDefault="002E0DBC" w:rsidP="002E0DBC">
      <w:pPr>
        <w:widowControl w:val="0"/>
        <w:autoSpaceDE w:val="0"/>
        <w:autoSpaceDN w:val="0"/>
        <w:spacing w:line="276" w:lineRule="auto"/>
        <w:jc w:val="both"/>
        <w:rPr>
          <w:rStyle w:val="normaltextrun"/>
          <w:rFonts w:ascii="Verdana" w:hAnsi="Verdana" w:cs="Arial"/>
          <w:color w:val="FF0000"/>
          <w:shd w:val="clear" w:color="auto" w:fill="FFFFFF"/>
        </w:rPr>
      </w:pPr>
      <w:r w:rsidRPr="00CB7B00">
        <w:rPr>
          <w:rFonts w:ascii="Verdana" w:eastAsia="Calibri" w:hAnsi="Verdana" w:cs="Times New Roman"/>
        </w:rPr>
        <w:t>Atentamente,</w:t>
      </w:r>
    </w:p>
    <w:p w14:paraId="4BD9B7BA" w14:textId="7B6E21DF" w:rsidR="00126588" w:rsidRPr="00126588" w:rsidRDefault="00126588" w:rsidP="00126588">
      <w:pPr>
        <w:spacing w:after="0" w:line="276" w:lineRule="auto"/>
        <w:jc w:val="center"/>
        <w:rPr>
          <w:rFonts w:ascii="Verdana" w:eastAsia="Times New Roman" w:hAnsi="Verdana" w:cs="Arial"/>
          <w:lang w:eastAsia="es-CO"/>
        </w:rPr>
      </w:pPr>
      <w:r w:rsidRPr="00126588">
        <w:rPr>
          <w:rFonts w:ascii="Verdana" w:eastAsia="Times New Roman" w:hAnsi="Verdana" w:cs="Arial"/>
          <w:lang w:eastAsia="es-CO"/>
        </w:rPr>
        <w:drawing>
          <wp:inline distT="0" distB="0" distL="0" distR="0" wp14:anchorId="028BE4EB" wp14:editId="67B73B63">
            <wp:extent cx="3771900" cy="1400175"/>
            <wp:effectExtent l="0" t="0" r="0" b="9525"/>
            <wp:docPr id="6831807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2B498E11" w14:textId="77777777" w:rsidR="002E0DBC" w:rsidRDefault="002E0DBC" w:rsidP="002E0DBC">
      <w:pPr>
        <w:spacing w:after="0"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0DBC" w:rsidRPr="00CB7B00" w14:paraId="740AC95F" w14:textId="77777777" w:rsidTr="00CF0FFC">
        <w:trPr>
          <w:trHeight w:val="315"/>
        </w:trPr>
        <w:tc>
          <w:tcPr>
            <w:tcW w:w="893" w:type="dxa"/>
            <w:vAlign w:val="center"/>
            <w:hideMark/>
          </w:tcPr>
          <w:p w14:paraId="3FDBFC9D" w14:textId="77777777" w:rsidR="002E0DBC" w:rsidRPr="00CB7B00" w:rsidRDefault="002E0DBC" w:rsidP="00CF0FFC">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7576F616" w14:textId="77777777" w:rsidR="002E0DBC" w:rsidRPr="00CB7B00" w:rsidRDefault="002E0DBC" w:rsidP="00CF0FFC">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Ángela María Olmos Andrade</w:t>
            </w:r>
          </w:p>
          <w:p w14:paraId="6FCBAF23" w14:textId="77777777" w:rsidR="002E0DBC" w:rsidRPr="00CB7B00" w:rsidRDefault="002E0DBC" w:rsidP="00CF0FFC">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Analista T2 - 02 de la Subdirección de Gestión Contractual</w:t>
            </w:r>
          </w:p>
        </w:tc>
      </w:tr>
      <w:tr w:rsidR="002E0DBC" w:rsidRPr="00CB7B00" w14:paraId="70720E94" w14:textId="77777777" w:rsidTr="00CF0FFC">
        <w:trPr>
          <w:trHeight w:val="330"/>
        </w:trPr>
        <w:tc>
          <w:tcPr>
            <w:tcW w:w="893" w:type="dxa"/>
            <w:vAlign w:val="center"/>
            <w:hideMark/>
          </w:tcPr>
          <w:p w14:paraId="5CDC44DC" w14:textId="77777777" w:rsidR="002E0DBC" w:rsidRPr="00CB7B00" w:rsidRDefault="002E0DBC" w:rsidP="00CF0FFC">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94A95CD" w14:textId="01A58D16" w:rsidR="002E0DBC" w:rsidRPr="00CB7B00" w:rsidRDefault="00D17499" w:rsidP="00CF0FFC">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 xml:space="preserve">Alejandro Raúl Sarmiento Cantillo </w:t>
            </w:r>
          </w:p>
          <w:p w14:paraId="0D617FD7" w14:textId="77777777" w:rsidR="002E0DBC" w:rsidRPr="00CB7B00" w:rsidRDefault="002E0DBC" w:rsidP="00CF0FFC">
            <w:pPr>
              <w:spacing w:line="276" w:lineRule="auto"/>
              <w:textAlignment w:val="baseline"/>
              <w:rPr>
                <w:rFonts w:ascii="Verdana" w:eastAsia="Times New Roman" w:hAnsi="Verdana" w:cs="Arial"/>
                <w:color w:val="000000"/>
                <w:sz w:val="16"/>
                <w:szCs w:val="16"/>
              </w:rPr>
            </w:pPr>
            <w:r w:rsidRPr="00CB7B00">
              <w:rPr>
                <w:rFonts w:ascii="Verdana" w:eastAsia="Times New Roman" w:hAnsi="Verdana" w:cs="Arial"/>
                <w:color w:val="000000"/>
                <w:sz w:val="16"/>
                <w:szCs w:val="16"/>
              </w:rPr>
              <w:t>Contratista de la Subdirección de Gestión Contractual</w:t>
            </w:r>
          </w:p>
        </w:tc>
      </w:tr>
      <w:tr w:rsidR="002E0DBC" w:rsidRPr="00CB7B00" w14:paraId="42FCFD20" w14:textId="77777777" w:rsidTr="00CF0FFC">
        <w:trPr>
          <w:trHeight w:val="300"/>
        </w:trPr>
        <w:tc>
          <w:tcPr>
            <w:tcW w:w="893" w:type="dxa"/>
            <w:vAlign w:val="center"/>
            <w:hideMark/>
          </w:tcPr>
          <w:p w14:paraId="62A63BCD" w14:textId="77777777" w:rsidR="002E0DBC" w:rsidRPr="00CB7B00" w:rsidRDefault="002E0DBC" w:rsidP="00CF0FFC">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1E510104" w14:textId="77777777" w:rsidR="002E0DBC" w:rsidRPr="00CB7B00" w:rsidRDefault="002E0DBC" w:rsidP="00CF0FFC">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Carolina Quintero Gacharná</w:t>
            </w:r>
          </w:p>
          <w:p w14:paraId="24A0AC41" w14:textId="77777777" w:rsidR="002E0DBC" w:rsidRPr="00CB7B00" w:rsidRDefault="002E0DBC" w:rsidP="00CF0FFC">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0F293BF4" w14:textId="5CA3CBC5" w:rsidR="00127233" w:rsidRPr="00467A9F" w:rsidRDefault="00C15139" w:rsidP="00467A9F">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467A9F"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91B0C" w14:textId="77777777" w:rsidR="00494CEB" w:rsidRDefault="00494CEB" w:rsidP="004A1847">
      <w:pPr>
        <w:spacing w:after="0" w:line="240" w:lineRule="auto"/>
      </w:pPr>
      <w:r>
        <w:separator/>
      </w:r>
    </w:p>
  </w:endnote>
  <w:endnote w:type="continuationSeparator" w:id="0">
    <w:p w14:paraId="4EFF59B6" w14:textId="77777777" w:rsidR="00494CEB" w:rsidRDefault="00494C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F7307" w14:textId="77777777" w:rsidR="00494CEB" w:rsidRDefault="00494CEB" w:rsidP="004A1847">
      <w:pPr>
        <w:spacing w:after="0" w:line="240" w:lineRule="auto"/>
      </w:pPr>
      <w:r>
        <w:separator/>
      </w:r>
    </w:p>
  </w:footnote>
  <w:footnote w:type="continuationSeparator" w:id="0">
    <w:p w14:paraId="41A066B0" w14:textId="77777777" w:rsidR="00494CEB" w:rsidRDefault="00494CEB" w:rsidP="004A1847">
      <w:pPr>
        <w:spacing w:after="0" w:line="240" w:lineRule="auto"/>
      </w:pPr>
      <w:r>
        <w:continuationSeparator/>
      </w:r>
    </w:p>
  </w:footnote>
  <w:footnote w:id="1">
    <w:p w14:paraId="6F3164D0" w14:textId="77777777" w:rsidR="008D6130" w:rsidRPr="00AD77E5" w:rsidRDefault="008D6130" w:rsidP="008D6130">
      <w:pPr>
        <w:pStyle w:val="Textonotapie"/>
        <w:ind w:firstLine="709"/>
        <w:jc w:val="both"/>
        <w:rPr>
          <w:rFonts w:ascii="Verdana" w:hAnsi="Verdana" w:cs="Arial"/>
          <w:color w:val="000000" w:themeColor="text1"/>
          <w:sz w:val="14"/>
          <w:szCs w:val="14"/>
        </w:rPr>
      </w:pPr>
      <w:r w:rsidRPr="00AD77E5">
        <w:rPr>
          <w:rStyle w:val="Refdenotaalpie"/>
          <w:rFonts w:ascii="Verdana" w:hAnsi="Verdana" w:cs="Arial"/>
          <w:sz w:val="14"/>
          <w:szCs w:val="14"/>
        </w:rPr>
        <w:footnoteRef/>
      </w:r>
      <w:r w:rsidRPr="00AD77E5">
        <w:rPr>
          <w:rFonts w:ascii="Verdana" w:hAnsi="Verdana" w:cs="Arial"/>
          <w:sz w:val="14"/>
          <w:szCs w:val="14"/>
        </w:rPr>
        <w:t xml:space="preserve"> Decreto 1068 de 2015: “</w:t>
      </w:r>
      <w:r w:rsidRPr="00AD77E5">
        <w:rPr>
          <w:rFonts w:ascii="Verdana" w:hAnsi="Verdana" w:cs="Arial"/>
          <w:color w:val="000000" w:themeColor="text1"/>
          <w:sz w:val="14"/>
          <w:szCs w:val="14"/>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54F56AEF" w14:textId="77777777" w:rsidR="008D6130" w:rsidRPr="00AD77E5" w:rsidRDefault="008D6130" w:rsidP="008D6130">
      <w:pPr>
        <w:pStyle w:val="Textonotapie"/>
        <w:ind w:firstLine="709"/>
        <w:jc w:val="both"/>
        <w:rPr>
          <w:rFonts w:ascii="Verdana" w:hAnsi="Verdana" w:cs="Arial"/>
          <w:color w:val="000000" w:themeColor="text1"/>
          <w:sz w:val="14"/>
          <w:szCs w:val="14"/>
        </w:rPr>
      </w:pPr>
      <w:r w:rsidRPr="00AD77E5">
        <w:rPr>
          <w:rFonts w:ascii="Verdana" w:hAnsi="Verdana" w:cs="Arial"/>
          <w:color w:val="000000" w:themeColor="text1"/>
          <w:sz w:val="14"/>
          <w:szCs w:val="14"/>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661437E7" w14:textId="77777777" w:rsidR="008D6130" w:rsidRPr="00AD77E5" w:rsidRDefault="008D6130" w:rsidP="008D6130">
      <w:pPr>
        <w:pStyle w:val="Textonotapie"/>
        <w:ind w:firstLine="708"/>
        <w:jc w:val="both"/>
        <w:rPr>
          <w:rFonts w:ascii="Verdana" w:hAnsi="Verdana" w:cs="Arial"/>
          <w:sz w:val="14"/>
          <w:szCs w:val="14"/>
        </w:rPr>
      </w:pPr>
      <w:r w:rsidRPr="00AD77E5">
        <w:rPr>
          <w:rFonts w:ascii="Verdana" w:hAnsi="Verdana" w:cs="Arial"/>
          <w:color w:val="000000" w:themeColor="text1"/>
          <w:sz w:val="14"/>
          <w:szCs w:val="14"/>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footnote>
  <w:footnote w:id="2">
    <w:p w14:paraId="22BD2BF4"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r w:rsidRPr="00AD77E5">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E4BE956"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2. Quien presta el servicio se denomina trabajador, quien lo recibe y remunera, empleador, y la remuneración, cualquiera que sea su forma, salario”.</w:t>
      </w:r>
    </w:p>
  </w:footnote>
  <w:footnote w:id="3">
    <w:p w14:paraId="51435CD6"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lang w:val="pt-BR"/>
        </w:rPr>
        <w:t xml:space="preserve"> Corte Constitucional. Sentencia C-154 de 1997. </w:t>
      </w:r>
      <w:r w:rsidRPr="00AD77E5">
        <w:rPr>
          <w:rFonts w:ascii="Verdana" w:hAnsi="Verdana" w:cs="Arial"/>
          <w:color w:val="000000"/>
          <w:sz w:val="14"/>
          <w:szCs w:val="14"/>
          <w:lang w:val="es-ES"/>
        </w:rPr>
        <w:t>Magistrado Ponente: Hernando Herrera Vergara.</w:t>
      </w:r>
    </w:p>
  </w:footnote>
  <w:footnote w:id="4">
    <w:p w14:paraId="204D5A5B" w14:textId="77777777" w:rsidR="008D6130" w:rsidRPr="00AD77E5" w:rsidRDefault="008D6130" w:rsidP="008D6130">
      <w:pPr>
        <w:pStyle w:val="Textonotapie"/>
        <w:ind w:firstLine="708"/>
        <w:jc w:val="both"/>
        <w:rPr>
          <w:rFonts w:ascii="Verdana" w:hAnsi="Verdana" w:cs="Arial"/>
          <w:sz w:val="14"/>
          <w:szCs w:val="14"/>
        </w:rPr>
      </w:pPr>
      <w:r w:rsidRPr="00AD77E5">
        <w:rPr>
          <w:rStyle w:val="Refdenotaalpie"/>
          <w:rFonts w:ascii="Verdana" w:hAnsi="Verdana" w:cs="Arial"/>
          <w:sz w:val="14"/>
          <w:szCs w:val="14"/>
        </w:rPr>
        <w:footnoteRef/>
      </w:r>
      <w:r w:rsidRPr="00AD77E5">
        <w:rPr>
          <w:rFonts w:ascii="Verdana" w:hAnsi="Verdana" w:cs="Arial"/>
          <w:sz w:val="14"/>
          <w:szCs w:val="14"/>
        </w:rPr>
        <w:t xml:space="preserve"> Para la doctrina, “En el esquema constitucional vigente, la realización de actividades que impliquen el ejercicio permanente de función pública sólo puede estar radicada en servidores públicos y excepcionalmente, en los casos previstos por la ley, en particulares que cuenten con autorización expresa para ello. No es pues un contrato de prestación de servicios el instrumento para tolerar o encausar el desempeño de tales tareas, las cuales, en principio, sólo deben ser desplegadas por personas que estén vinculadas al Estado a través de una relación laboral administrativa […]” (Cfr. RODRÍGUEZ TAMAYO. Mauricio. Derecho disciplinario de la contratación estatal. Bogotá: Legis, 2020. p. 171).  </w:t>
      </w:r>
    </w:p>
  </w:footnote>
  <w:footnote w:id="5">
    <w:p w14:paraId="52901C04"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Corte Constitucional. Sentencia C-154 de 1997. Magistrado Ponente: Hernando Herrera Vergara</w:t>
      </w:r>
      <w:r w:rsidRPr="00AD77E5">
        <w:rPr>
          <w:rFonts w:ascii="Verdana" w:hAnsi="Verdana" w:cs="Arial"/>
          <w:color w:val="000000"/>
          <w:sz w:val="14"/>
          <w:szCs w:val="14"/>
          <w:lang w:val="es-ES"/>
        </w:rPr>
        <w:t>.</w:t>
      </w:r>
    </w:p>
  </w:footnote>
  <w:footnote w:id="6">
    <w:p w14:paraId="7D8F9FD0"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r w:rsidRPr="00AD77E5">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9F2F104"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814E312"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La Entidad Estatal, para la contratación de trabajos artísticos que solamente puedan en­comendarse a determinadas personas naturales, debe justificar esta situación en los estudios y documentos previos”.</w:t>
      </w:r>
    </w:p>
  </w:footnote>
  <w:footnote w:id="7">
    <w:p w14:paraId="6458015A"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r w:rsidRPr="00AD77E5">
        <w:rPr>
          <w:rFonts w:ascii="Verdana" w:hAnsi="Verdana" w:cs="Arial"/>
          <w:color w:val="000000"/>
          <w:sz w:val="14"/>
          <w:szCs w:val="14"/>
          <w:lang w:val="es-ES"/>
        </w:rPr>
        <w:t xml:space="preserve">Consejo de Estado. Sección Tercera. Subsección C. Sentencia del 2 de diciembre de 2013. </w:t>
      </w:r>
      <w:proofErr w:type="spellStart"/>
      <w:r w:rsidRPr="00AD77E5">
        <w:rPr>
          <w:rFonts w:ascii="Verdana" w:hAnsi="Verdana" w:cs="Arial"/>
          <w:color w:val="000000"/>
          <w:sz w:val="14"/>
          <w:szCs w:val="14"/>
          <w:lang w:val="es-ES"/>
        </w:rPr>
        <w:t>Exp</w:t>
      </w:r>
      <w:proofErr w:type="spellEnd"/>
      <w:r w:rsidRPr="00AD77E5">
        <w:rPr>
          <w:rFonts w:ascii="Verdana" w:hAnsi="Verdana" w:cs="Arial"/>
          <w:color w:val="000000"/>
          <w:sz w:val="14"/>
          <w:szCs w:val="14"/>
          <w:lang w:val="es-ES"/>
        </w:rPr>
        <w:t>. 41719. Consejero Ponente: Jaime Orlando Santofimio Gamboa.</w:t>
      </w:r>
    </w:p>
  </w:footnote>
  <w:footnote w:id="8">
    <w:p w14:paraId="1F38D567"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proofErr w:type="spellStart"/>
      <w:r w:rsidRPr="00AD77E5">
        <w:rPr>
          <w:rFonts w:ascii="Verdana" w:hAnsi="Verdana" w:cs="Arial"/>
          <w:color w:val="000000"/>
          <w:sz w:val="14"/>
          <w:szCs w:val="14"/>
          <w:lang w:val="es-ES"/>
        </w:rPr>
        <w:t>Ibíd</w:t>
      </w:r>
      <w:proofErr w:type="spellEnd"/>
      <w:r w:rsidRPr="00AD77E5">
        <w:rPr>
          <w:rFonts w:ascii="Verdana" w:hAnsi="Verdana" w:cs="Arial"/>
          <w:color w:val="000000"/>
          <w:sz w:val="14"/>
          <w:szCs w:val="14"/>
          <w:lang w:val="es-ES"/>
        </w:rPr>
        <w:t>.</w:t>
      </w:r>
    </w:p>
  </w:footnote>
  <w:footnote w:id="9">
    <w:p w14:paraId="625FA5FC"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proofErr w:type="spellStart"/>
      <w:r w:rsidRPr="00AD77E5">
        <w:rPr>
          <w:rFonts w:ascii="Verdana" w:hAnsi="Verdana" w:cs="Arial"/>
          <w:color w:val="000000"/>
          <w:sz w:val="14"/>
          <w:szCs w:val="14"/>
          <w:lang w:val="es-ES"/>
        </w:rPr>
        <w:t>Ibíd</w:t>
      </w:r>
      <w:proofErr w:type="spellEnd"/>
      <w:r w:rsidRPr="00AD77E5">
        <w:rPr>
          <w:rFonts w:ascii="Verdana" w:hAnsi="Verdana" w:cs="Arial"/>
          <w:color w:val="000000"/>
          <w:sz w:val="14"/>
          <w:szCs w:val="14"/>
          <w:lang w:val="es-ES"/>
        </w:rPr>
        <w:t>.</w:t>
      </w:r>
    </w:p>
  </w:footnote>
  <w:footnote w:id="10">
    <w:p w14:paraId="0A6F9F06"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proofErr w:type="spellStart"/>
      <w:r w:rsidRPr="00AD77E5">
        <w:rPr>
          <w:rFonts w:ascii="Verdana" w:hAnsi="Verdana" w:cs="Arial"/>
          <w:color w:val="000000"/>
          <w:sz w:val="14"/>
          <w:szCs w:val="14"/>
          <w:lang w:val="es-ES"/>
        </w:rPr>
        <w:t>Ibíd</w:t>
      </w:r>
      <w:proofErr w:type="spellEnd"/>
      <w:r w:rsidRPr="00AD77E5">
        <w:rPr>
          <w:rFonts w:ascii="Verdana" w:hAnsi="Verdana" w:cs="Arial"/>
          <w:color w:val="000000"/>
          <w:sz w:val="14"/>
          <w:szCs w:val="14"/>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73460EC"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Son también contratos de consultoría los que tienen por objeto la interventoría, asesoría, gerencia de obra o de proyectos, dirección, programación y la ejecución de diseños, planos, anteproyectos y proyectos.</w:t>
      </w:r>
    </w:p>
    <w:p w14:paraId="2F774355"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11">
    <w:p w14:paraId="0D5EE8A0"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r w:rsidRPr="00AD77E5">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0D0F0650"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1. La causal que invoca para contratar directamente.</w:t>
      </w:r>
    </w:p>
    <w:p w14:paraId="1471E9C8"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2. El objeto del contrato.</w:t>
      </w:r>
    </w:p>
    <w:p w14:paraId="71225267"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3. El presupuesto para la contratación y las condiciones que exigirá al contratista.</w:t>
      </w:r>
    </w:p>
    <w:p w14:paraId="4CC034D3"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4. El lugar en el cual los interesados pueden consultar los estudios y documentos previos.</w:t>
      </w:r>
    </w:p>
    <w:p w14:paraId="04B762CA"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0A559496"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r w:rsidRPr="00AD77E5">
        <w:rPr>
          <w:rFonts w:ascii="Verdana" w:hAnsi="Verdana" w:cs="Arial"/>
          <w:color w:val="000000"/>
          <w:sz w:val="14"/>
          <w:szCs w:val="14"/>
          <w:lang w:val="es-ES"/>
        </w:rPr>
        <w:t>Esta norma expresa: “</w:t>
      </w:r>
      <w:r w:rsidRPr="00AD77E5">
        <w:rPr>
          <w:rFonts w:ascii="Verdana" w:hAnsi="Verdana" w:cs="Arial"/>
          <w:color w:val="000000"/>
          <w:sz w:val="14"/>
          <w:szCs w:val="14"/>
        </w:rPr>
        <w:t>P</w:t>
      </w:r>
      <w:r w:rsidRPr="00AD77E5">
        <w:rPr>
          <w:rFonts w:ascii="Verdana" w:hAnsi="Verdana" w:cs="Arial"/>
          <w:color w:val="000000"/>
          <w:sz w:val="14"/>
          <w:szCs w:val="14"/>
          <w:lang w:val="es-ES"/>
        </w:rPr>
        <w:t>ara el cumplimiento de los fines de la contratación, las entidades estatales al celebrar un contrato:</w:t>
      </w:r>
    </w:p>
    <w:p w14:paraId="1031F09F"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w:t>
      </w:r>
    </w:p>
    <w:p w14:paraId="66E8CB17"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0BC42E90"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Las entidades estatales podrán pactar estas cláusulas en los contratos de suministro y de prestación de servicios.</w:t>
      </w:r>
    </w:p>
    <w:p w14:paraId="003B11CC"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lang w:val="es-ES"/>
        </w:rPr>
        <w:t>[…]”.</w:t>
      </w:r>
    </w:p>
  </w:footnote>
  <w:footnote w:id="13">
    <w:p w14:paraId="75267D86"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r w:rsidRPr="00AD77E5">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footnote>
  <w:footnote w:id="14">
    <w:p w14:paraId="60AA6348" w14:textId="77777777" w:rsidR="008D6130" w:rsidRPr="00AD77E5" w:rsidRDefault="008D6130" w:rsidP="008D6130">
      <w:pPr>
        <w:pStyle w:val="Textonotapie"/>
        <w:snapToGrid w:val="0"/>
        <w:ind w:firstLine="709"/>
        <w:jc w:val="both"/>
        <w:rPr>
          <w:rFonts w:ascii="Verdana" w:hAnsi="Verdana" w:cs="Arial"/>
          <w:color w:val="000000"/>
          <w:sz w:val="14"/>
          <w:szCs w:val="14"/>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3AFB513" w14:textId="77777777" w:rsidR="008D6130" w:rsidRPr="00AD77E5" w:rsidRDefault="008D6130" w:rsidP="008D6130">
      <w:pPr>
        <w:pStyle w:val="Textonotapie"/>
        <w:snapToGrid w:val="0"/>
        <w:ind w:firstLine="709"/>
        <w:jc w:val="both"/>
        <w:rPr>
          <w:rFonts w:ascii="Verdana" w:hAnsi="Verdana" w:cs="Arial"/>
          <w:color w:val="000000"/>
          <w:sz w:val="14"/>
          <w:szCs w:val="14"/>
        </w:rPr>
      </w:pPr>
      <w:r w:rsidRPr="00AD77E5">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6C24D4F"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Fonts w:ascii="Verdana" w:hAnsi="Verdana" w:cs="Arial"/>
          <w:color w:val="000000"/>
          <w:sz w:val="14"/>
          <w:szCs w:val="14"/>
        </w:rPr>
        <w:t>[…]”.</w:t>
      </w:r>
    </w:p>
  </w:footnote>
  <w:footnote w:id="15">
    <w:p w14:paraId="671C740A" w14:textId="77777777" w:rsidR="008D6130" w:rsidRPr="00AD77E5" w:rsidRDefault="008D6130" w:rsidP="008D6130">
      <w:pPr>
        <w:pStyle w:val="Textonotapie"/>
        <w:snapToGrid w:val="0"/>
        <w:ind w:firstLine="709"/>
        <w:jc w:val="both"/>
        <w:rPr>
          <w:rFonts w:ascii="Verdana" w:hAnsi="Verdana" w:cs="Arial"/>
          <w:color w:val="000000"/>
          <w:sz w:val="14"/>
          <w:szCs w:val="14"/>
          <w:lang w:val="es-ES"/>
        </w:rPr>
      </w:pPr>
      <w:r w:rsidRPr="00AD77E5">
        <w:rPr>
          <w:rStyle w:val="Refdenotaalpie"/>
          <w:rFonts w:ascii="Verdana" w:hAnsi="Verdana" w:cs="Arial"/>
          <w:sz w:val="14"/>
          <w:szCs w:val="14"/>
        </w:rPr>
        <w:footnoteRef/>
      </w:r>
      <w:r w:rsidRPr="00AD77E5">
        <w:rPr>
          <w:rFonts w:ascii="Verdana" w:hAnsi="Verdana" w:cs="Arial"/>
          <w:color w:val="000000"/>
          <w:sz w:val="14"/>
          <w:szCs w:val="14"/>
        </w:rPr>
        <w:t xml:space="preserve"> </w:t>
      </w:r>
      <w:r w:rsidRPr="00AD77E5">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6">
    <w:p w14:paraId="499C8125" w14:textId="77777777" w:rsidR="008D6130" w:rsidRPr="00AD77E5" w:rsidRDefault="008D6130" w:rsidP="008D6130">
      <w:pPr>
        <w:spacing w:after="0" w:line="240" w:lineRule="auto"/>
        <w:ind w:firstLine="707"/>
        <w:contextualSpacing/>
        <w:jc w:val="both"/>
        <w:rPr>
          <w:rFonts w:ascii="Verdana" w:hAnsi="Verdana" w:cs="Arial"/>
          <w:sz w:val="14"/>
          <w:szCs w:val="14"/>
        </w:rPr>
      </w:pPr>
      <w:r w:rsidRPr="00AD77E5">
        <w:rPr>
          <w:rStyle w:val="Refdenotaalpie"/>
          <w:rFonts w:ascii="Verdana" w:hAnsi="Verdana" w:cs="Arial"/>
          <w:sz w:val="14"/>
          <w:szCs w:val="14"/>
        </w:rPr>
        <w:footnoteRef/>
      </w:r>
      <w:r w:rsidRPr="00AD77E5">
        <w:rPr>
          <w:rFonts w:ascii="Verdana" w:hAnsi="Verdana" w:cs="Arial"/>
          <w:position w:val="6"/>
          <w:sz w:val="14"/>
          <w:szCs w:val="14"/>
        </w:rPr>
        <w:t xml:space="preserve"> </w:t>
      </w:r>
      <w:r w:rsidRPr="00AD77E5">
        <w:rPr>
          <w:rFonts w:ascii="Verdana" w:hAnsi="Verdana" w:cs="Arial"/>
          <w:sz w:val="14"/>
          <w:szCs w:val="14"/>
        </w:rPr>
        <w:t>DEIK ACOSTAMADIEDO, Carolina, Guía de Contratación Estatal: Deber de planeación y modalidades de selección, Buenos Aires, 2015, p. 59.</w:t>
      </w:r>
    </w:p>
    <w:p w14:paraId="1413364B" w14:textId="77777777" w:rsidR="008D6130" w:rsidRPr="00FF1940" w:rsidRDefault="008D6130" w:rsidP="008D6130">
      <w:pPr>
        <w:pStyle w:val="Textonotapie"/>
        <w:contextualSpacing/>
        <w:jc w:val="both"/>
        <w:rPr>
          <w:rFonts w:ascii="Verdana" w:hAnsi="Verdana" w:cs="Arial"/>
          <w:sz w:val="16"/>
          <w:szCs w:val="16"/>
        </w:rPr>
      </w:pPr>
    </w:p>
  </w:footnote>
  <w:footnote w:id="17">
    <w:p w14:paraId="4016AA85" w14:textId="77777777" w:rsidR="008D6130" w:rsidRPr="00AD77E5" w:rsidRDefault="008D6130" w:rsidP="008D6130">
      <w:pPr>
        <w:pStyle w:val="Textonotapie"/>
        <w:ind w:firstLine="708"/>
        <w:jc w:val="both"/>
        <w:rPr>
          <w:rFonts w:ascii="Verdana" w:hAnsi="Verdana" w:cs="Arial"/>
          <w:sz w:val="14"/>
          <w:szCs w:val="14"/>
        </w:rPr>
      </w:pPr>
      <w:r w:rsidRPr="00AD77E5">
        <w:rPr>
          <w:rStyle w:val="Refdenotaalpie"/>
          <w:rFonts w:ascii="Verdana" w:hAnsi="Verdana" w:cs="Arial"/>
          <w:sz w:val="14"/>
          <w:szCs w:val="14"/>
        </w:rPr>
        <w:footnoteRef/>
      </w:r>
      <w:r w:rsidRPr="00AD77E5">
        <w:rPr>
          <w:rFonts w:ascii="Verdana" w:hAnsi="Verdana" w:cs="Arial"/>
          <w:sz w:val="14"/>
          <w:szCs w:val="14"/>
        </w:rPr>
        <w:t xml:space="preserve"> Consejo de Estado. Sección Tercera. Subsección B. Sentencia del 31 de agosto de 2011. </w:t>
      </w:r>
      <w:proofErr w:type="spellStart"/>
      <w:r w:rsidRPr="00AD77E5">
        <w:rPr>
          <w:rFonts w:ascii="Verdana" w:hAnsi="Verdana" w:cs="Arial"/>
          <w:sz w:val="14"/>
          <w:szCs w:val="14"/>
        </w:rPr>
        <w:t>Exp</w:t>
      </w:r>
      <w:proofErr w:type="spellEnd"/>
      <w:r w:rsidRPr="00AD77E5">
        <w:rPr>
          <w:rFonts w:ascii="Verdana" w:hAnsi="Verdana" w:cs="Arial"/>
          <w:sz w:val="14"/>
          <w:szCs w:val="14"/>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18">
    <w:p w14:paraId="409890E6" w14:textId="77777777" w:rsidR="008D6130" w:rsidRPr="00AD77E5" w:rsidRDefault="008D6130" w:rsidP="008D6130">
      <w:pPr>
        <w:pStyle w:val="Textonotapie"/>
        <w:ind w:firstLine="708"/>
        <w:jc w:val="both"/>
        <w:rPr>
          <w:rFonts w:ascii="Verdana" w:hAnsi="Verdana" w:cs="Arial"/>
          <w:sz w:val="14"/>
          <w:szCs w:val="14"/>
        </w:rPr>
      </w:pPr>
      <w:r w:rsidRPr="00AD77E5">
        <w:rPr>
          <w:rStyle w:val="Refdenotaalpie"/>
          <w:rFonts w:ascii="Verdana" w:hAnsi="Verdana" w:cs="Arial"/>
          <w:sz w:val="14"/>
          <w:szCs w:val="14"/>
        </w:rPr>
        <w:footnoteRef/>
      </w:r>
      <w:r w:rsidRPr="00AD77E5">
        <w:rPr>
          <w:rFonts w:ascii="Verdana" w:hAnsi="Verdana"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19">
    <w:p w14:paraId="37FBA691" w14:textId="77777777" w:rsidR="008D6130" w:rsidRPr="00FF1940" w:rsidRDefault="008D6130" w:rsidP="008D6130">
      <w:pPr>
        <w:pStyle w:val="Textonotapie"/>
        <w:ind w:firstLine="708"/>
        <w:jc w:val="both"/>
        <w:rPr>
          <w:rFonts w:ascii="Verdana" w:hAnsi="Verdana" w:cs="Arial"/>
          <w:sz w:val="16"/>
          <w:szCs w:val="16"/>
          <w:lang w:val="es-CO"/>
        </w:rPr>
      </w:pPr>
      <w:r w:rsidRPr="00AD77E5">
        <w:rPr>
          <w:rStyle w:val="Refdenotaalpie"/>
          <w:rFonts w:ascii="Verdana" w:hAnsi="Verdana" w:cs="Arial"/>
          <w:sz w:val="14"/>
          <w:szCs w:val="14"/>
        </w:rPr>
        <w:footnoteRef/>
      </w:r>
      <w:r w:rsidRPr="00AD77E5">
        <w:rPr>
          <w:rFonts w:ascii="Verdana" w:hAnsi="Verdana" w:cs="Arial"/>
          <w:sz w:val="14"/>
          <w:szCs w:val="14"/>
        </w:rPr>
        <w:t xml:space="preserve"> Agencia Nacional de Contratación Pública – Colombia Compra Eficiente. Guía de Elaboración de Estudios del Sector. Disponible en: </w:t>
      </w:r>
      <w:hyperlink r:id="rId1" w:history="1">
        <w:r w:rsidRPr="00AD77E5">
          <w:rPr>
            <w:rStyle w:val="Hipervnculo"/>
            <w:rFonts w:ascii="Verdana" w:hAnsi="Verdana" w:cs="Arial"/>
            <w:sz w:val="14"/>
            <w:szCs w:val="14"/>
          </w:rPr>
          <w:t>https://www.colombiacompra.gov.co/manualesguias-y-pliegos-tipo/manuales-y-guias</w:t>
        </w:r>
      </w:hyperlink>
      <w:r w:rsidRPr="00AD77E5">
        <w:rPr>
          <w:rFonts w:ascii="Verdana" w:hAnsi="Verdana" w:cs="Arial"/>
          <w:sz w:val="14"/>
          <w:szCs w:val="14"/>
        </w:rPr>
        <w:t>.</w:t>
      </w:r>
      <w:r w:rsidRPr="00FF1940">
        <w:rPr>
          <w:rFonts w:ascii="Verdana" w:hAnsi="Verdana" w:cs="Arial"/>
          <w:sz w:val="16"/>
          <w:szCs w:val="16"/>
        </w:rPr>
        <w:t xml:space="preserve"> </w:t>
      </w:r>
    </w:p>
  </w:footnote>
  <w:footnote w:id="20">
    <w:p w14:paraId="4C31C870" w14:textId="77777777" w:rsidR="008D6130" w:rsidRPr="00AD77E5" w:rsidRDefault="008D6130" w:rsidP="008D6130">
      <w:pPr>
        <w:pStyle w:val="Textonotapie"/>
        <w:ind w:firstLine="708"/>
        <w:jc w:val="both"/>
        <w:rPr>
          <w:rFonts w:ascii="Verdana" w:hAnsi="Verdana"/>
          <w:sz w:val="14"/>
          <w:szCs w:val="14"/>
        </w:rPr>
      </w:pPr>
      <w:r w:rsidRPr="00AD77E5">
        <w:rPr>
          <w:rStyle w:val="Refdenotaalpie"/>
          <w:rFonts w:ascii="Verdana" w:hAnsi="Verdana"/>
          <w:sz w:val="14"/>
          <w:szCs w:val="14"/>
        </w:rPr>
        <w:footnoteRef/>
      </w:r>
      <w:r w:rsidRPr="00AD77E5">
        <w:rPr>
          <w:rFonts w:ascii="Verdana" w:hAnsi="Verdana"/>
          <w:sz w:val="14"/>
          <w:szCs w:val="14"/>
        </w:rPr>
        <w:t xml:space="preserve"> El artículo 2.8.4.4.6 del Decreto 1068 de 2015 dispone lo siguiente: “Está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2CE360A2" w14:textId="77777777" w:rsidR="008D6130" w:rsidRPr="00AD77E5" w:rsidRDefault="008D6130" w:rsidP="008D6130">
      <w:pPr>
        <w:pStyle w:val="Textonotapie"/>
        <w:ind w:firstLine="708"/>
        <w:jc w:val="both"/>
        <w:rPr>
          <w:rFonts w:ascii="Verdana" w:hAnsi="Verdana"/>
          <w:sz w:val="14"/>
          <w:szCs w:val="14"/>
        </w:rPr>
      </w:pPr>
      <w:r w:rsidRPr="00AD77E5">
        <w:rPr>
          <w:rFonts w:ascii="Verdana" w:hAnsi="Verdana"/>
          <w:sz w:val="14"/>
          <w:szCs w:val="14"/>
        </w:rPr>
        <w:t>Parágrafo 1°. Se entiende por remuneración total mensual del jefe de la entidad, la que corresponda a este en cada uno de dichos períodos, sin que en ningún caso puedan tenerse en consideración los factores prestacionales.</w:t>
      </w:r>
    </w:p>
    <w:p w14:paraId="29FEE891" w14:textId="77777777" w:rsidR="008D6130" w:rsidRPr="00AD77E5" w:rsidRDefault="008D6130" w:rsidP="008D6130">
      <w:pPr>
        <w:pStyle w:val="Textonotapie"/>
        <w:ind w:firstLine="708"/>
        <w:jc w:val="both"/>
        <w:rPr>
          <w:rFonts w:ascii="Verdana" w:hAnsi="Verdana"/>
          <w:sz w:val="14"/>
          <w:szCs w:val="14"/>
        </w:rPr>
      </w:pPr>
      <w:r w:rsidRPr="00AD77E5">
        <w:rPr>
          <w:rFonts w:ascii="Verdana" w:hAnsi="Verdana"/>
          <w:sz w:val="14"/>
          <w:szCs w:val="14"/>
        </w:rPr>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w:t>
      </w:r>
    </w:p>
    <w:p w14:paraId="332CC19E" w14:textId="77777777" w:rsidR="008D6130" w:rsidRPr="00AD77E5" w:rsidRDefault="008D6130" w:rsidP="008D6130">
      <w:pPr>
        <w:pStyle w:val="Textonotapie"/>
        <w:ind w:firstLine="708"/>
        <w:jc w:val="both"/>
        <w:rPr>
          <w:rFonts w:ascii="Verdana" w:hAnsi="Verdana"/>
          <w:sz w:val="14"/>
          <w:szCs w:val="14"/>
        </w:rPr>
      </w:pPr>
      <w:r w:rsidRPr="00AD77E5">
        <w:rPr>
          <w:rFonts w:ascii="Verdana" w:hAnsi="Verdana"/>
          <w:sz w:val="14"/>
          <w:szCs w:val="14"/>
        </w:rPr>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w:t>
      </w:r>
      <w:proofErr w:type="spellStart"/>
      <w:r w:rsidRPr="00AD77E5">
        <w:rPr>
          <w:rFonts w:ascii="Verdana" w:hAnsi="Verdana"/>
          <w:sz w:val="14"/>
          <w:szCs w:val="14"/>
        </w:rPr>
        <w:t>tacionales</w:t>
      </w:r>
      <w:proofErr w:type="spellEnd"/>
      <w:r w:rsidRPr="00AD77E5">
        <w:rPr>
          <w:rFonts w:ascii="Verdana" w:hAnsi="Verdana"/>
          <w:sz w:val="14"/>
          <w:szCs w:val="14"/>
        </w:rPr>
        <w:t xml:space="preserve"> y las contribuciones inherentes a la nómina, relacionadas con seguridad social y parafiscales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14:paraId="570C940D" w14:textId="77777777" w:rsidR="008D6130" w:rsidRPr="00EC59D4" w:rsidRDefault="008D6130" w:rsidP="008D6130">
      <w:pPr>
        <w:pStyle w:val="Textonotapie"/>
        <w:ind w:firstLine="708"/>
        <w:jc w:val="both"/>
        <w:rPr>
          <w:rFonts w:ascii="Verdana" w:hAnsi="Verdana"/>
          <w:sz w:val="16"/>
          <w:szCs w:val="16"/>
          <w:lang w:val="es-CO"/>
        </w:rPr>
      </w:pPr>
      <w:r w:rsidRPr="00AD77E5">
        <w:rPr>
          <w:rFonts w:ascii="Verdana" w:hAnsi="Verdana"/>
          <w:sz w:val="14"/>
          <w:szCs w:val="14"/>
        </w:rPr>
        <w:t>Parágrafo 4°. Se entiende por servicios altamente calificados aquellos requeridos en situaciones de alto nivel de especialidad, complejidad y detalle”.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961064"/>
    <w:multiLevelType w:val="multilevel"/>
    <w:tmpl w:val="E536F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1F442BB"/>
    <w:multiLevelType w:val="multilevel"/>
    <w:tmpl w:val="A9F22D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33494F"/>
    <w:multiLevelType w:val="hybridMultilevel"/>
    <w:tmpl w:val="1BBECC32"/>
    <w:lvl w:ilvl="0" w:tplc="9C5E6B1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D454CE"/>
    <w:multiLevelType w:val="hybridMultilevel"/>
    <w:tmpl w:val="5EA2C236"/>
    <w:lvl w:ilvl="0" w:tplc="1682CB5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C6C326F"/>
    <w:multiLevelType w:val="hybridMultilevel"/>
    <w:tmpl w:val="23A835FC"/>
    <w:lvl w:ilvl="0" w:tplc="12F8FFB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1819809630">
    <w:abstractNumId w:val="13"/>
  </w:num>
  <w:num w:numId="17" w16cid:durableId="679089576">
    <w:abstractNumId w:val="12"/>
  </w:num>
  <w:num w:numId="18" w16cid:durableId="900143390">
    <w:abstractNumId w:val="4"/>
  </w:num>
  <w:num w:numId="19" w16cid:durableId="197471151">
    <w:abstractNumId w:val="0"/>
  </w:num>
  <w:num w:numId="20" w16cid:durableId="483666910">
    <w:abstractNumId w:val="3"/>
  </w:num>
  <w:num w:numId="21" w16cid:durableId="17890815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889"/>
    <w:rsid w:val="000157BA"/>
    <w:rsid w:val="00016F78"/>
    <w:rsid w:val="00046945"/>
    <w:rsid w:val="00061B2A"/>
    <w:rsid w:val="00082362"/>
    <w:rsid w:val="00082CA4"/>
    <w:rsid w:val="00084BAC"/>
    <w:rsid w:val="000A683E"/>
    <w:rsid w:val="000B0ED1"/>
    <w:rsid w:val="000B19B9"/>
    <w:rsid w:val="000D0334"/>
    <w:rsid w:val="000D5DA7"/>
    <w:rsid w:val="000E2D59"/>
    <w:rsid w:val="000F6486"/>
    <w:rsid w:val="000F6826"/>
    <w:rsid w:val="000F7067"/>
    <w:rsid w:val="00116940"/>
    <w:rsid w:val="00125105"/>
    <w:rsid w:val="00126588"/>
    <w:rsid w:val="00127233"/>
    <w:rsid w:val="00136A4C"/>
    <w:rsid w:val="00140C10"/>
    <w:rsid w:val="00143EC6"/>
    <w:rsid w:val="0015009C"/>
    <w:rsid w:val="0015699B"/>
    <w:rsid w:val="00171D90"/>
    <w:rsid w:val="001751E6"/>
    <w:rsid w:val="001A33BF"/>
    <w:rsid w:val="001C1FB9"/>
    <w:rsid w:val="001C398C"/>
    <w:rsid w:val="001C5EB0"/>
    <w:rsid w:val="001E4177"/>
    <w:rsid w:val="001F0B24"/>
    <w:rsid w:val="001F7177"/>
    <w:rsid w:val="001F7DC6"/>
    <w:rsid w:val="0022400B"/>
    <w:rsid w:val="00241068"/>
    <w:rsid w:val="002421BB"/>
    <w:rsid w:val="0025796E"/>
    <w:rsid w:val="002611D7"/>
    <w:rsid w:val="002707A2"/>
    <w:rsid w:val="0027602B"/>
    <w:rsid w:val="002951A0"/>
    <w:rsid w:val="002958EB"/>
    <w:rsid w:val="002962BC"/>
    <w:rsid w:val="00297A47"/>
    <w:rsid w:val="002A093D"/>
    <w:rsid w:val="002A0DD0"/>
    <w:rsid w:val="002A49AC"/>
    <w:rsid w:val="002A52E5"/>
    <w:rsid w:val="002A64FD"/>
    <w:rsid w:val="002B2C8A"/>
    <w:rsid w:val="002C7A84"/>
    <w:rsid w:val="002D579E"/>
    <w:rsid w:val="002E0DBC"/>
    <w:rsid w:val="002E2BF8"/>
    <w:rsid w:val="002E4FD9"/>
    <w:rsid w:val="0030657A"/>
    <w:rsid w:val="00307B33"/>
    <w:rsid w:val="0031084C"/>
    <w:rsid w:val="003108F3"/>
    <w:rsid w:val="00322A85"/>
    <w:rsid w:val="00324168"/>
    <w:rsid w:val="00324830"/>
    <w:rsid w:val="00330834"/>
    <w:rsid w:val="00336C5D"/>
    <w:rsid w:val="003448F4"/>
    <w:rsid w:val="00364977"/>
    <w:rsid w:val="00374F5E"/>
    <w:rsid w:val="00377E3E"/>
    <w:rsid w:val="003A0D15"/>
    <w:rsid w:val="003A779E"/>
    <w:rsid w:val="003D0F4D"/>
    <w:rsid w:val="003D5B0D"/>
    <w:rsid w:val="003E0499"/>
    <w:rsid w:val="003E4F80"/>
    <w:rsid w:val="003E6439"/>
    <w:rsid w:val="003F3941"/>
    <w:rsid w:val="0040413F"/>
    <w:rsid w:val="00406575"/>
    <w:rsid w:val="00414C74"/>
    <w:rsid w:val="0042722E"/>
    <w:rsid w:val="00441389"/>
    <w:rsid w:val="0044528D"/>
    <w:rsid w:val="00466E39"/>
    <w:rsid w:val="00467A9F"/>
    <w:rsid w:val="00494CEB"/>
    <w:rsid w:val="004A1847"/>
    <w:rsid w:val="004A305D"/>
    <w:rsid w:val="004A3DD0"/>
    <w:rsid w:val="004B139B"/>
    <w:rsid w:val="004C0713"/>
    <w:rsid w:val="004E290C"/>
    <w:rsid w:val="004E644B"/>
    <w:rsid w:val="004F21C4"/>
    <w:rsid w:val="004F685F"/>
    <w:rsid w:val="005566E8"/>
    <w:rsid w:val="00574867"/>
    <w:rsid w:val="00583F7C"/>
    <w:rsid w:val="00591460"/>
    <w:rsid w:val="005A65E0"/>
    <w:rsid w:val="005C3777"/>
    <w:rsid w:val="005C5CDC"/>
    <w:rsid w:val="005D476C"/>
    <w:rsid w:val="005E0CE6"/>
    <w:rsid w:val="00615E4A"/>
    <w:rsid w:val="006200BF"/>
    <w:rsid w:val="0062061C"/>
    <w:rsid w:val="006219F8"/>
    <w:rsid w:val="006302F7"/>
    <w:rsid w:val="00643018"/>
    <w:rsid w:val="00646B9F"/>
    <w:rsid w:val="00665D70"/>
    <w:rsid w:val="00680FA1"/>
    <w:rsid w:val="006900D9"/>
    <w:rsid w:val="006D01F2"/>
    <w:rsid w:val="006D5A54"/>
    <w:rsid w:val="006F6C1F"/>
    <w:rsid w:val="00706C16"/>
    <w:rsid w:val="007340C3"/>
    <w:rsid w:val="007372F7"/>
    <w:rsid w:val="0075235A"/>
    <w:rsid w:val="00755C21"/>
    <w:rsid w:val="00756841"/>
    <w:rsid w:val="007649AB"/>
    <w:rsid w:val="00771D0C"/>
    <w:rsid w:val="007833AC"/>
    <w:rsid w:val="007A3499"/>
    <w:rsid w:val="007A4C6A"/>
    <w:rsid w:val="007B268C"/>
    <w:rsid w:val="007B4AE2"/>
    <w:rsid w:val="007B7171"/>
    <w:rsid w:val="007C0C0F"/>
    <w:rsid w:val="007C3DC2"/>
    <w:rsid w:val="007E18D0"/>
    <w:rsid w:val="007E5497"/>
    <w:rsid w:val="007F0FC2"/>
    <w:rsid w:val="007F2B58"/>
    <w:rsid w:val="008050B7"/>
    <w:rsid w:val="00806F5F"/>
    <w:rsid w:val="00807C96"/>
    <w:rsid w:val="00813E0F"/>
    <w:rsid w:val="00820278"/>
    <w:rsid w:val="008258C9"/>
    <w:rsid w:val="00830C21"/>
    <w:rsid w:val="00844AE9"/>
    <w:rsid w:val="008513CD"/>
    <w:rsid w:val="00851722"/>
    <w:rsid w:val="00867F95"/>
    <w:rsid w:val="00870F39"/>
    <w:rsid w:val="008843B6"/>
    <w:rsid w:val="0089125E"/>
    <w:rsid w:val="00891928"/>
    <w:rsid w:val="008A446D"/>
    <w:rsid w:val="008B25F1"/>
    <w:rsid w:val="008D180B"/>
    <w:rsid w:val="008D6130"/>
    <w:rsid w:val="008E04DF"/>
    <w:rsid w:val="008E49C4"/>
    <w:rsid w:val="008F0EA7"/>
    <w:rsid w:val="00923EEF"/>
    <w:rsid w:val="009419F9"/>
    <w:rsid w:val="00955DC3"/>
    <w:rsid w:val="0095685E"/>
    <w:rsid w:val="00961B09"/>
    <w:rsid w:val="00963E4D"/>
    <w:rsid w:val="00965334"/>
    <w:rsid w:val="0097093E"/>
    <w:rsid w:val="00990271"/>
    <w:rsid w:val="009A0DFA"/>
    <w:rsid w:val="009A1C6F"/>
    <w:rsid w:val="009A7E76"/>
    <w:rsid w:val="009B2D26"/>
    <w:rsid w:val="009C71FA"/>
    <w:rsid w:val="009C72E7"/>
    <w:rsid w:val="009C7F7E"/>
    <w:rsid w:val="009D3058"/>
    <w:rsid w:val="009E2C17"/>
    <w:rsid w:val="009F3A13"/>
    <w:rsid w:val="00A122D3"/>
    <w:rsid w:val="00A14468"/>
    <w:rsid w:val="00A14799"/>
    <w:rsid w:val="00A17F13"/>
    <w:rsid w:val="00A20739"/>
    <w:rsid w:val="00A23AF9"/>
    <w:rsid w:val="00A27A39"/>
    <w:rsid w:val="00A33C78"/>
    <w:rsid w:val="00A957B8"/>
    <w:rsid w:val="00AA742A"/>
    <w:rsid w:val="00AB0ADB"/>
    <w:rsid w:val="00AB1D65"/>
    <w:rsid w:val="00AD0332"/>
    <w:rsid w:val="00AD77E5"/>
    <w:rsid w:val="00B00C0E"/>
    <w:rsid w:val="00B01B1A"/>
    <w:rsid w:val="00B0381D"/>
    <w:rsid w:val="00B37DDD"/>
    <w:rsid w:val="00B44A47"/>
    <w:rsid w:val="00B72CD3"/>
    <w:rsid w:val="00B72FFF"/>
    <w:rsid w:val="00BC3D36"/>
    <w:rsid w:val="00BD41BA"/>
    <w:rsid w:val="00BD54A6"/>
    <w:rsid w:val="00BD7F72"/>
    <w:rsid w:val="00BE2A95"/>
    <w:rsid w:val="00BF7425"/>
    <w:rsid w:val="00BF74AF"/>
    <w:rsid w:val="00C04FB3"/>
    <w:rsid w:val="00C11D8B"/>
    <w:rsid w:val="00C15139"/>
    <w:rsid w:val="00C330EB"/>
    <w:rsid w:val="00C43D69"/>
    <w:rsid w:val="00C50D69"/>
    <w:rsid w:val="00C5365C"/>
    <w:rsid w:val="00C754BE"/>
    <w:rsid w:val="00C769B0"/>
    <w:rsid w:val="00C76B1C"/>
    <w:rsid w:val="00C91ADD"/>
    <w:rsid w:val="00C925AC"/>
    <w:rsid w:val="00CA70AA"/>
    <w:rsid w:val="00CB1A97"/>
    <w:rsid w:val="00CB6357"/>
    <w:rsid w:val="00CC1B26"/>
    <w:rsid w:val="00D17499"/>
    <w:rsid w:val="00D361FD"/>
    <w:rsid w:val="00D423A2"/>
    <w:rsid w:val="00D44E26"/>
    <w:rsid w:val="00D520D8"/>
    <w:rsid w:val="00D63AC2"/>
    <w:rsid w:val="00D7383B"/>
    <w:rsid w:val="00D7788A"/>
    <w:rsid w:val="00D8248E"/>
    <w:rsid w:val="00D87305"/>
    <w:rsid w:val="00DA0237"/>
    <w:rsid w:val="00DA231B"/>
    <w:rsid w:val="00DA32D6"/>
    <w:rsid w:val="00DC39FC"/>
    <w:rsid w:val="00DD6A6B"/>
    <w:rsid w:val="00DE516F"/>
    <w:rsid w:val="00DE5632"/>
    <w:rsid w:val="00DF2680"/>
    <w:rsid w:val="00DF5254"/>
    <w:rsid w:val="00E02524"/>
    <w:rsid w:val="00E0543A"/>
    <w:rsid w:val="00E105C2"/>
    <w:rsid w:val="00E16408"/>
    <w:rsid w:val="00E170E3"/>
    <w:rsid w:val="00E20894"/>
    <w:rsid w:val="00E245AB"/>
    <w:rsid w:val="00E2764C"/>
    <w:rsid w:val="00E27F2E"/>
    <w:rsid w:val="00E35C50"/>
    <w:rsid w:val="00E41C00"/>
    <w:rsid w:val="00E50AFE"/>
    <w:rsid w:val="00E75C92"/>
    <w:rsid w:val="00E771DC"/>
    <w:rsid w:val="00E8581C"/>
    <w:rsid w:val="00E8772A"/>
    <w:rsid w:val="00E90F6B"/>
    <w:rsid w:val="00E92C27"/>
    <w:rsid w:val="00EA0E3D"/>
    <w:rsid w:val="00EA7EC0"/>
    <w:rsid w:val="00EB6BCC"/>
    <w:rsid w:val="00EC38A7"/>
    <w:rsid w:val="00ED5A74"/>
    <w:rsid w:val="00EE1AA8"/>
    <w:rsid w:val="00EF7EA8"/>
    <w:rsid w:val="00F23FEA"/>
    <w:rsid w:val="00F31EDC"/>
    <w:rsid w:val="00F462B3"/>
    <w:rsid w:val="00F5664F"/>
    <w:rsid w:val="00F666C4"/>
    <w:rsid w:val="00F76AFC"/>
    <w:rsid w:val="00F922B1"/>
    <w:rsid w:val="00FA47C0"/>
    <w:rsid w:val="00FB5DD1"/>
    <w:rsid w:val="00FC2B5D"/>
    <w:rsid w:val="00FD1B64"/>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0DBC"/>
    <w:rPr>
      <w:rFonts w:ascii="Geomanist Light" w:hAnsi="Geomanist Light"/>
      <w:lang w:val="es-ES"/>
    </w:rPr>
  </w:style>
  <w:style w:type="paragraph" w:customStyle="1" w:styleId="Appelnotedebasde">
    <w:name w:val="Appel note de bas de..."/>
    <w:basedOn w:val="Normal"/>
    <w:link w:val="Refdenotaalpie"/>
    <w:uiPriority w:val="99"/>
    <w:rsid w:val="008D613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abog@outlook.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F9F2B81-AF65-4C53-9299-E0E9B89A1D95}"/>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24</Pages>
  <Words>8303</Words>
  <Characters>45667</Characters>
  <Application>Microsoft Office Word</Application>
  <DocSecurity>0</DocSecurity>
  <Lines>380</Lines>
  <Paragraphs>107</Paragraphs>
  <ScaleCrop>false</ScaleCrop>
  <Company/>
  <LinksUpToDate>false</LinksUpToDate>
  <CharactersWithSpaces>53863</CharactersWithSpaces>
  <SharedDoc>false</SharedDoc>
  <HLinks>
    <vt:vector size="48" baseType="variant">
      <vt:variant>
        <vt:i4>6029407</vt:i4>
      </vt:variant>
      <vt:variant>
        <vt:i4>18</vt:i4>
      </vt:variant>
      <vt:variant>
        <vt:i4>0</vt:i4>
      </vt:variant>
      <vt:variant>
        <vt:i4>5</vt:i4>
      </vt:variant>
      <vt:variant>
        <vt:lpwstr>http://www.colombiacompra.gov.co/</vt:lpwstr>
      </vt:variant>
      <vt:variant>
        <vt:lpwstr/>
      </vt:variant>
      <vt:variant>
        <vt:i4>2752636</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12</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9</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6</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8061020</vt:i4>
      </vt:variant>
      <vt:variant>
        <vt:i4>0</vt:i4>
      </vt:variant>
      <vt:variant>
        <vt:i4>0</vt:i4>
      </vt:variant>
      <vt:variant>
        <vt:i4>5</vt:i4>
      </vt:variant>
      <vt:variant>
        <vt:lpwstr>mailto:andresabog@outlook.com</vt:lpwstr>
      </vt:variant>
      <vt:variant>
        <vt:lpwstr/>
      </vt:variant>
      <vt:variant>
        <vt:i4>2687086</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6</cp:revision>
  <cp:lastPrinted>2023-01-10T21:18:00Z</cp:lastPrinted>
  <dcterms:created xsi:type="dcterms:W3CDTF">2026-10-06T21:04:00Z</dcterms:created>
  <dcterms:modified xsi:type="dcterms:W3CDTF">2026-10-07T21:35:00Z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