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9A826" w14:textId="77777777" w:rsidR="004C5D63" w:rsidRPr="00ED7AD8" w:rsidRDefault="004C5D63" w:rsidP="004C5D63">
      <w:pPr>
        <w:spacing w:after="0" w:line="240" w:lineRule="auto"/>
        <w:jc w:val="both"/>
        <w:rPr>
          <w:rFonts w:ascii="Verdana" w:hAnsi="Verdana"/>
          <w:b/>
        </w:rPr>
      </w:pPr>
      <w:r w:rsidRPr="00ED7AD8">
        <w:rPr>
          <w:rFonts w:ascii="Verdana" w:hAnsi="Verdana" w:cs="Arial"/>
          <w:b/>
          <w:bCs/>
          <w:lang w:eastAsia="es-ES" w:bidi="es-ES"/>
        </w:rPr>
        <w:t>ADICIÓN – Concepto – Distintos supuestos – Prohibición – Adición en más del 50%</w:t>
      </w:r>
    </w:p>
    <w:p w14:paraId="55647D9D" w14:textId="77777777" w:rsidR="004C5D63" w:rsidRDefault="004C5D63" w:rsidP="004C5D63">
      <w:pPr>
        <w:spacing w:after="0" w:line="240" w:lineRule="auto"/>
        <w:rPr>
          <w:rFonts w:ascii="Verdana" w:hAnsi="Verdana"/>
        </w:rPr>
      </w:pPr>
    </w:p>
    <w:p w14:paraId="0B33D8A3" w14:textId="77777777" w:rsidR="004C5D63" w:rsidRPr="001631FE" w:rsidRDefault="004C5D63" w:rsidP="004C5D63">
      <w:pPr>
        <w:spacing w:after="0" w:line="240" w:lineRule="auto"/>
        <w:jc w:val="both"/>
        <w:rPr>
          <w:rFonts w:ascii="Verdana" w:eastAsia="Calibri" w:hAnsi="Verdana" w:cs="Arial"/>
          <w:color w:val="000000"/>
          <w:sz w:val="20"/>
          <w:szCs w:val="20"/>
          <w:lang w:eastAsia="es-ES_tradnl"/>
        </w:rPr>
      </w:pPr>
      <w:r w:rsidRPr="001631FE">
        <w:rPr>
          <w:rFonts w:ascii="Verdana" w:eastAsia="Calibri" w:hAnsi="Verdana"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631FE">
        <w:rPr>
          <w:rFonts w:ascii="Verdana" w:eastAsia="Calibri" w:hAnsi="Verdana" w:cs="Arial"/>
          <w:color w:val="000000"/>
          <w:sz w:val="20"/>
          <w:szCs w:val="20"/>
          <w:lang w:eastAsia="es-ES_tradnl"/>
        </w:rPr>
        <w:t>ii</w:t>
      </w:r>
      <w:proofErr w:type="spellEnd"/>
      <w:r w:rsidRPr="001631FE">
        <w:rPr>
          <w:rFonts w:ascii="Verdana" w:eastAsia="Calibri" w:hAnsi="Verdana"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5F0AAE91" w14:textId="77777777" w:rsidR="004C5D63" w:rsidRDefault="004C5D63" w:rsidP="004C5D63">
      <w:pPr>
        <w:spacing w:after="0" w:line="240" w:lineRule="auto"/>
        <w:rPr>
          <w:rFonts w:ascii="Verdana" w:hAnsi="Verdana"/>
        </w:rPr>
      </w:pPr>
    </w:p>
    <w:p w14:paraId="37D7EA36" w14:textId="77777777" w:rsidR="004C5D63" w:rsidRPr="00ED7AD8" w:rsidRDefault="004C5D63" w:rsidP="004C5D63">
      <w:pPr>
        <w:spacing w:after="0" w:line="240" w:lineRule="auto"/>
        <w:jc w:val="both"/>
        <w:rPr>
          <w:rFonts w:ascii="Verdana" w:hAnsi="Verdana" w:cs="Arial"/>
          <w:b/>
          <w:bCs/>
          <w:lang w:eastAsia="es-ES" w:bidi="es-ES"/>
        </w:rPr>
      </w:pPr>
      <w:r w:rsidRPr="00ED7AD8">
        <w:rPr>
          <w:rFonts w:ascii="Verdana" w:hAnsi="Verdana" w:cs="Arial"/>
          <w:b/>
          <w:bCs/>
          <w:lang w:eastAsia="es-ES" w:bidi="es-ES"/>
        </w:rPr>
        <w:t>ADICIÓN – Prohibición – Monto – Cálculo – Parágrafo artículo 40 – Ley 80 de 1993</w:t>
      </w:r>
    </w:p>
    <w:p w14:paraId="7140E4EB" w14:textId="77777777" w:rsidR="004C5D63" w:rsidRDefault="004C5D63" w:rsidP="004C5D63">
      <w:pPr>
        <w:spacing w:after="0" w:line="240" w:lineRule="auto"/>
        <w:jc w:val="both"/>
        <w:rPr>
          <w:rFonts w:ascii="Verdana" w:hAnsi="Verdana" w:cs="Arial"/>
          <w:b/>
          <w:bCs/>
          <w:lang w:eastAsia="es-ES" w:bidi="es-ES"/>
        </w:rPr>
      </w:pPr>
    </w:p>
    <w:p w14:paraId="619AFA43" w14:textId="77777777" w:rsidR="004C5D63" w:rsidRPr="00E45B7D" w:rsidRDefault="004C5D63" w:rsidP="004C5D63">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Lo importante es que, frente a cualquier incremento del valor inicial del contrato</w:t>
      </w:r>
      <w:r w:rsidRPr="00E45B7D">
        <w:rPr>
          <w:rFonts w:ascii="Verdana" w:eastAsia="Calibri" w:hAnsi="Verdana" w:cs="Arial"/>
          <w:i/>
          <w:iCs/>
          <w:color w:val="000000"/>
          <w:sz w:val="20"/>
          <w:szCs w:val="20"/>
          <w:lang w:eastAsia="es-ES_tradnl"/>
        </w:rPr>
        <w:t xml:space="preserve"> </w:t>
      </w:r>
      <w:r w:rsidRPr="00E45B7D">
        <w:rPr>
          <w:rFonts w:ascii="Verdana" w:eastAsia="Calibri" w:hAnsi="Verdana" w:cs="Arial"/>
          <w:color w:val="000000"/>
          <w:sz w:val="20"/>
          <w:szCs w:val="20"/>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117FD5F4" w14:textId="77777777" w:rsidR="004C5D63" w:rsidRDefault="004C5D63" w:rsidP="004C5D63">
      <w:pPr>
        <w:spacing w:after="0" w:line="240" w:lineRule="auto"/>
        <w:jc w:val="both"/>
        <w:rPr>
          <w:rFonts w:ascii="Verdana" w:eastAsia="Calibri" w:hAnsi="Verdana" w:cs="Arial"/>
          <w:color w:val="000000"/>
          <w:sz w:val="20"/>
          <w:szCs w:val="20"/>
          <w:lang w:eastAsia="es-ES_tradnl"/>
        </w:rPr>
      </w:pPr>
    </w:p>
    <w:p w14:paraId="703F9D8C" w14:textId="77777777" w:rsidR="004C5D63" w:rsidRDefault="004C5D63" w:rsidP="004C5D63">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538BEEA2" w14:textId="77777777" w:rsidR="004C5D63" w:rsidRPr="008E7B73" w:rsidRDefault="004C5D63" w:rsidP="004C5D63">
      <w:pPr>
        <w:spacing w:after="0" w:line="240" w:lineRule="auto"/>
        <w:jc w:val="both"/>
        <w:rPr>
          <w:rFonts w:ascii="Verdana" w:eastAsia="Calibri" w:hAnsi="Verdana" w:cs="Arial"/>
          <w:color w:val="000000"/>
          <w:sz w:val="20"/>
          <w:szCs w:val="20"/>
          <w:lang w:eastAsia="es-ES_tradnl"/>
        </w:rPr>
      </w:pPr>
    </w:p>
    <w:p w14:paraId="003C6FD2" w14:textId="1F527549" w:rsidR="004C5D63" w:rsidRPr="00313415" w:rsidRDefault="004C5D63" w:rsidP="00313415">
      <w:pPr>
        <w:spacing w:line="276" w:lineRule="auto"/>
        <w:jc w:val="both"/>
        <w:rPr>
          <w:rFonts w:ascii="Verdana" w:hAnsi="Verdana" w:cs="Arial"/>
          <w:b/>
          <w:bCs/>
          <w:lang w:val="es-ES" w:eastAsia="es-ES"/>
        </w:rPr>
      </w:pPr>
      <w:r w:rsidRPr="008E7B73">
        <w:rPr>
          <w:rFonts w:ascii="Verdana" w:hAnsi="Verdana" w:cs="Arial"/>
          <w:b/>
          <w:bCs/>
          <w:lang w:val="es-ES" w:eastAsia="es-ES"/>
        </w:rPr>
        <w:lastRenderedPageBreak/>
        <w:t>REAJUSTE Y REVISIÓN DE PRECIOS – Límite de adiciones –</w:t>
      </w:r>
      <w:r>
        <w:rPr>
          <w:rFonts w:ascii="Verdana" w:hAnsi="Verdana" w:cs="Arial"/>
          <w:b/>
          <w:bCs/>
          <w:lang w:val="es-ES" w:eastAsia="es-ES"/>
        </w:rPr>
        <w:t xml:space="preserve"> Cambio de vigencia</w:t>
      </w:r>
      <w:r w:rsidRPr="008E7B73">
        <w:rPr>
          <w:rFonts w:ascii="Verdana" w:hAnsi="Verdana" w:cs="Arial"/>
          <w:b/>
          <w:bCs/>
          <w:lang w:val="es-ES" w:eastAsia="es-ES"/>
        </w:rPr>
        <w:t xml:space="preserve"> </w:t>
      </w:r>
      <w:r w:rsidRPr="00A14630">
        <w:rPr>
          <w:rFonts w:ascii="Verdana" w:hAnsi="Verdana" w:cs="Arial"/>
          <w:lang w:val="es-ES" w:eastAsia="es-ES"/>
        </w:rPr>
        <w:t>–</w:t>
      </w:r>
      <w:r>
        <w:rPr>
          <w:rFonts w:ascii="Verdana" w:hAnsi="Verdana" w:cs="Arial"/>
          <w:lang w:val="es-ES" w:eastAsia="es-ES"/>
        </w:rPr>
        <w:t xml:space="preserve"> </w:t>
      </w:r>
      <w:r w:rsidRPr="008E7B73">
        <w:rPr>
          <w:rFonts w:ascii="Verdana" w:hAnsi="Verdana" w:cs="Arial"/>
          <w:b/>
          <w:bCs/>
          <w:lang w:val="es-ES" w:eastAsia="es-ES"/>
        </w:rPr>
        <w:t xml:space="preserve">Alcance </w:t>
      </w:r>
    </w:p>
    <w:p w14:paraId="352F6D39" w14:textId="3AD1BD03" w:rsidR="00313415" w:rsidRDefault="00313415" w:rsidP="00C15A5F">
      <w:pPr>
        <w:widowControl w:val="0"/>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E</w:t>
      </w:r>
      <w:r w:rsidRPr="00313415">
        <w:rPr>
          <w:rFonts w:ascii="Verdana" w:hAnsi="Verdana" w:cs="Arial"/>
          <w:color w:val="000000" w:themeColor="text1"/>
          <w:sz w:val="20"/>
          <w:szCs w:val="20"/>
        </w:rPr>
        <w:t>l cambio de vigencia contractual puede generar la aplicación de las fórmulas de reajuste o actualización de precios previstas en el contrato. El mayor valor que resulte de su aplicación no constituye, por sí mismo, una adición sometida al límite del 50 %, en la medida en que corresponda a ítems o prestaciones ya definidos y pactados. En este supuesto, el reajuste opera como un mecanismo de actualización del precio de las prestaciones originalmente convenidas y no como una adición de su contenido prestacional.</w:t>
      </w:r>
    </w:p>
    <w:p w14:paraId="4A8FD9AB" w14:textId="77777777" w:rsidR="00313415" w:rsidRPr="00313415" w:rsidRDefault="00313415" w:rsidP="00C15A5F">
      <w:pPr>
        <w:widowControl w:val="0"/>
        <w:spacing w:after="0" w:line="240" w:lineRule="auto"/>
        <w:jc w:val="both"/>
        <w:rPr>
          <w:rFonts w:ascii="Verdana" w:hAnsi="Verdana" w:cs="Arial"/>
          <w:color w:val="000000" w:themeColor="text1"/>
          <w:sz w:val="20"/>
          <w:szCs w:val="20"/>
        </w:rPr>
      </w:pPr>
    </w:p>
    <w:p w14:paraId="777DFBF8" w14:textId="77777777" w:rsidR="00313415" w:rsidRDefault="00313415" w:rsidP="00C15A5F">
      <w:pPr>
        <w:widowControl w:val="0"/>
        <w:spacing w:after="0" w:line="240" w:lineRule="auto"/>
        <w:jc w:val="both"/>
        <w:rPr>
          <w:rFonts w:ascii="Verdana" w:hAnsi="Verdana" w:cs="Arial"/>
          <w:color w:val="000000" w:themeColor="text1"/>
          <w:sz w:val="20"/>
          <w:szCs w:val="20"/>
        </w:rPr>
      </w:pPr>
      <w:r w:rsidRPr="00313415">
        <w:rPr>
          <w:rFonts w:ascii="Verdana" w:hAnsi="Verdana" w:cs="Arial"/>
          <w:color w:val="000000" w:themeColor="text1"/>
          <w:sz w:val="20"/>
          <w:szCs w:val="20"/>
        </w:rPr>
        <w:t xml:space="preserve">En consecuencia, si el reconocimiento económico corresponde exclusivamente a la actualización de los precios de prestaciones ya pactadas, no se computa dentro del 50 %; mientras que, si el mayor valor supone incorporar nuevas prestaciones, otras obligaciones o una ampliación del contenido contractual, estará sometido al límite legal, sin perjuicio de lo dispuesto respecto de las mayores cantidades de obra cuando resulte aplicable. </w:t>
      </w:r>
    </w:p>
    <w:p w14:paraId="54F451C5" w14:textId="77777777" w:rsidR="00313415" w:rsidRPr="00313415" w:rsidRDefault="00313415" w:rsidP="00C15A5F">
      <w:pPr>
        <w:widowControl w:val="0"/>
        <w:spacing w:after="0" w:line="240" w:lineRule="auto"/>
        <w:jc w:val="both"/>
        <w:rPr>
          <w:rFonts w:ascii="Verdana" w:hAnsi="Verdana" w:cs="Arial"/>
          <w:color w:val="000000" w:themeColor="text1"/>
          <w:sz w:val="20"/>
          <w:szCs w:val="20"/>
        </w:rPr>
      </w:pPr>
    </w:p>
    <w:p w14:paraId="3738583F" w14:textId="77777777" w:rsidR="00313415" w:rsidRDefault="00313415" w:rsidP="00C15A5F">
      <w:pPr>
        <w:widowControl w:val="0"/>
        <w:spacing w:after="0" w:line="240" w:lineRule="auto"/>
        <w:jc w:val="both"/>
        <w:rPr>
          <w:rFonts w:ascii="Verdana" w:hAnsi="Verdana" w:cs="Arial"/>
          <w:color w:val="000000" w:themeColor="text1"/>
          <w:sz w:val="20"/>
          <w:szCs w:val="20"/>
        </w:rPr>
      </w:pPr>
      <w:r w:rsidRPr="00313415">
        <w:rPr>
          <w:rFonts w:ascii="Verdana" w:hAnsi="Verdana" w:cs="Arial"/>
          <w:color w:val="000000" w:themeColor="text1"/>
          <w:sz w:val="20"/>
          <w:szCs w:val="20"/>
        </w:rPr>
        <w:t xml:space="preserve">Para establecer el límite del artículo 40 respecto de las adiciones que sí se encuentren sometidas a este, debe tomarse el valor inicial del contrato y expresarlo en SMLMV, para lo cual se divide el valor inicial en pesos entre el SMLMV vigente al momento de la celebración del contrato. El resultado corresponde al valor inicial expresado en SMLMV y sobre este se calcula el 50 %, que constituye el límite máximo de las adiciones. Las adiciones que se realicen durante la ejecución se expresan igualmente en SMLMV para efectos de verificar su acumulación frente a dicho límite. </w:t>
      </w:r>
    </w:p>
    <w:p w14:paraId="4621A49E" w14:textId="77777777" w:rsidR="00313415" w:rsidRPr="00313415" w:rsidRDefault="00313415" w:rsidP="00C15A5F">
      <w:pPr>
        <w:widowControl w:val="0"/>
        <w:spacing w:after="0" w:line="240" w:lineRule="auto"/>
        <w:jc w:val="both"/>
        <w:rPr>
          <w:rFonts w:ascii="Verdana" w:hAnsi="Verdana" w:cs="Arial"/>
          <w:color w:val="000000" w:themeColor="text1"/>
          <w:sz w:val="20"/>
          <w:szCs w:val="20"/>
        </w:rPr>
      </w:pPr>
    </w:p>
    <w:p w14:paraId="299A6E6F" w14:textId="079E4C2C" w:rsidR="004C5D63" w:rsidRDefault="00313415" w:rsidP="00C15A5F">
      <w:pPr>
        <w:widowControl w:val="0"/>
        <w:spacing w:after="0" w:line="240" w:lineRule="auto"/>
        <w:jc w:val="both"/>
        <w:rPr>
          <w:rFonts w:ascii="Verdana" w:hAnsi="Verdana" w:cs="Arial"/>
          <w:color w:val="000000" w:themeColor="text1"/>
          <w:sz w:val="20"/>
          <w:szCs w:val="20"/>
        </w:rPr>
      </w:pPr>
      <w:r w:rsidRPr="00313415">
        <w:rPr>
          <w:rFonts w:ascii="Verdana" w:hAnsi="Verdana" w:cs="Arial"/>
          <w:color w:val="000000" w:themeColor="text1"/>
          <w:sz w:val="20"/>
          <w:szCs w:val="20"/>
        </w:rPr>
        <w:t>Bajo estas consideraciones, frente a lo expuesto en la consulta, se precisa que la entidad debe establecer si el mayor valor resulta de aplicar una fórmula de actualización o una tarifa regulada que integra el mecanismo económico originalmente pactado, o si requiere modificar el precio contractual por fuera de las reglas de ajuste previstas. De este modo, cuando el contrato contempla determinadas actividades y condiciones de prestación ya definidos, y el incremento obedece exclusivamente a la actualización de la tarifa aplicable, en principio, podría tratarse de un reajuste económico y no como una adición. Sin embargo, esta conclusión exige verificar el clausulado, el régimen tarifario aplicable y la correspondencia entre el ajuste reconocido y las prestaciones contratadas. Por tanto, para sustentar que el ajuste tarifario no computa dentro del 50 %, conviene demostrar que se trata de la ejecución de un mecanismo de reajuste previamente pactado y no de una modificación autónoma del valor contractual.</w:t>
      </w:r>
    </w:p>
    <w:p w14:paraId="248B5312" w14:textId="77777777" w:rsidR="004C5D63" w:rsidRDefault="004C5D63" w:rsidP="004C5D63">
      <w:pPr>
        <w:widowControl w:val="0"/>
        <w:spacing w:after="0" w:line="276" w:lineRule="auto"/>
        <w:jc w:val="both"/>
        <w:rPr>
          <w:rFonts w:ascii="Verdana" w:hAnsi="Verdana" w:cs="Arial"/>
          <w:color w:val="000000" w:themeColor="text1"/>
          <w:sz w:val="20"/>
          <w:szCs w:val="20"/>
        </w:rPr>
      </w:pPr>
    </w:p>
    <w:p w14:paraId="401C2F0B" w14:textId="77777777" w:rsidR="00313415" w:rsidRDefault="00313415" w:rsidP="004C5D63">
      <w:pPr>
        <w:spacing w:after="0" w:line="240" w:lineRule="auto"/>
        <w:rPr>
          <w:rFonts w:ascii="Verdana" w:hAnsi="Verdana"/>
          <w:lang w:val="es-ES"/>
        </w:rPr>
      </w:pPr>
    </w:p>
    <w:p w14:paraId="5ED300A4" w14:textId="77777777" w:rsidR="00C15A5F" w:rsidRDefault="00C15A5F" w:rsidP="004C5D63">
      <w:pPr>
        <w:spacing w:after="0" w:line="240" w:lineRule="auto"/>
        <w:rPr>
          <w:rFonts w:ascii="Verdana" w:hAnsi="Verdana"/>
          <w:lang w:val="es-ES"/>
        </w:rPr>
      </w:pPr>
    </w:p>
    <w:p w14:paraId="426B9E13" w14:textId="77777777" w:rsidR="00C15A5F" w:rsidRDefault="00C15A5F" w:rsidP="004C5D63">
      <w:pPr>
        <w:spacing w:after="0" w:line="240" w:lineRule="auto"/>
        <w:rPr>
          <w:rFonts w:ascii="Verdana" w:hAnsi="Verdana"/>
          <w:lang w:val="es-ES"/>
        </w:rPr>
      </w:pPr>
    </w:p>
    <w:p w14:paraId="4153F859" w14:textId="77777777" w:rsidR="00C15A5F" w:rsidRDefault="00C15A5F" w:rsidP="004C5D63">
      <w:pPr>
        <w:spacing w:after="0" w:line="240" w:lineRule="auto"/>
        <w:rPr>
          <w:rFonts w:ascii="Verdana" w:hAnsi="Verdana"/>
          <w:lang w:val="es-ES"/>
        </w:rPr>
      </w:pPr>
    </w:p>
    <w:p w14:paraId="2A013789" w14:textId="77777777" w:rsidR="00C15A5F" w:rsidRDefault="00C15A5F" w:rsidP="004C5D63">
      <w:pPr>
        <w:spacing w:after="0" w:line="240" w:lineRule="auto"/>
        <w:rPr>
          <w:rFonts w:ascii="Verdana" w:hAnsi="Verdana"/>
          <w:lang w:val="es-ES"/>
        </w:rPr>
      </w:pPr>
    </w:p>
    <w:p w14:paraId="50234D6B" w14:textId="77777777" w:rsidR="00C15A5F" w:rsidRDefault="00C15A5F" w:rsidP="004C5D63">
      <w:pPr>
        <w:spacing w:after="0" w:line="240" w:lineRule="auto"/>
        <w:rPr>
          <w:rFonts w:ascii="Verdana" w:hAnsi="Verdana"/>
          <w:lang w:val="es-ES"/>
        </w:rPr>
      </w:pPr>
    </w:p>
    <w:p w14:paraId="6A5CD0E3" w14:textId="0BBC4157" w:rsidR="004C5D63" w:rsidRPr="00593A5F" w:rsidRDefault="004C5D63" w:rsidP="004C5D63">
      <w:pPr>
        <w:spacing w:after="0" w:line="240" w:lineRule="auto"/>
        <w:rPr>
          <w:rFonts w:ascii="Verdana" w:eastAsia="Geomanist Light" w:hAnsi="Verdana" w:cs="Arial"/>
          <w:color w:val="201F1E"/>
          <w:lang w:val="es-MX"/>
        </w:rPr>
      </w:pPr>
      <w:r w:rsidRPr="00F04F3B">
        <w:rPr>
          <w:rFonts w:ascii="Verdana" w:hAnsi="Verdana"/>
          <w:lang w:val="es-ES"/>
        </w:rPr>
        <w:lastRenderedPageBreak/>
        <w:t xml:space="preserve">Bogotá D.C., </w:t>
      </w:r>
      <w:r w:rsidR="009D79E3">
        <w:rPr>
          <w:rFonts w:ascii="Verdana" w:eastAsia="Geomanist Light" w:hAnsi="Verdana" w:cs="Arial"/>
          <w:color w:val="201F1E"/>
        </w:rPr>
        <w:t>26 de octubre de 2026</w:t>
      </w:r>
    </w:p>
    <w:p w14:paraId="05C672E1" w14:textId="77777777" w:rsidR="004C5D63" w:rsidRPr="00F04F3B" w:rsidRDefault="004C5D63" w:rsidP="004C5D63">
      <w:pPr>
        <w:widowControl w:val="0"/>
        <w:spacing w:after="0" w:line="276" w:lineRule="auto"/>
        <w:jc w:val="both"/>
        <w:rPr>
          <w:rFonts w:ascii="Verdana" w:hAnsi="Verdana"/>
          <w:lang w:val="es-ES"/>
        </w:rPr>
      </w:pPr>
    </w:p>
    <w:p w14:paraId="2931D01F" w14:textId="17C68AF9" w:rsidR="004C5D63" w:rsidRPr="00F04F3B" w:rsidRDefault="009D79E3" w:rsidP="009D79E3">
      <w:pPr>
        <w:spacing w:after="0"/>
        <w:jc w:val="right"/>
        <w:rPr>
          <w:rFonts w:ascii="Verdana" w:hAnsi="Verdana"/>
          <w:lang w:val="es-ES"/>
        </w:rPr>
      </w:pPr>
      <w:r w:rsidRPr="009D79E3">
        <w:rPr>
          <w:rFonts w:ascii="Verdana" w:hAnsi="Verdana"/>
          <w:noProof/>
          <w:lang w:val="es-ES"/>
        </w:rPr>
        <w:drawing>
          <wp:anchor distT="0" distB="0" distL="114300" distR="114300" simplePos="0" relativeHeight="251658240" behindDoc="0" locked="0" layoutInCell="1" allowOverlap="1" wp14:anchorId="7C8CB785" wp14:editId="0636EA1C">
            <wp:simplePos x="0" y="0"/>
            <wp:positionH relativeFrom="column">
              <wp:posOffset>3232785</wp:posOffset>
            </wp:positionH>
            <wp:positionV relativeFrom="paragraph">
              <wp:posOffset>3175</wp:posOffset>
            </wp:positionV>
            <wp:extent cx="2377440" cy="746760"/>
            <wp:effectExtent l="0" t="0" r="3810" b="0"/>
            <wp:wrapSquare wrapText="bothSides"/>
            <wp:docPr id="20561431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7440" cy="746760"/>
                    </a:xfrm>
                    <a:prstGeom prst="rect">
                      <a:avLst/>
                    </a:prstGeom>
                    <a:noFill/>
                    <a:ln>
                      <a:noFill/>
                    </a:ln>
                  </pic:spPr>
                </pic:pic>
              </a:graphicData>
            </a:graphic>
          </wp:anchor>
        </w:drawing>
      </w:r>
    </w:p>
    <w:p w14:paraId="7709F972" w14:textId="77777777" w:rsidR="004C5D63" w:rsidRPr="00A378EF" w:rsidRDefault="004C5D63" w:rsidP="004C5D63">
      <w:pPr>
        <w:spacing w:after="0" w:line="240" w:lineRule="auto"/>
        <w:rPr>
          <w:rFonts w:ascii="Verdana" w:eastAsia="Calibri" w:hAnsi="Verdana" w:cs="Arial"/>
          <w:color w:val="000000" w:themeColor="text1"/>
          <w:lang w:val="es-ES" w:eastAsia="es-ES"/>
        </w:rPr>
      </w:pPr>
      <w:r w:rsidRPr="00A378EF">
        <w:rPr>
          <w:rFonts w:ascii="Verdana" w:eastAsia="Calibri" w:hAnsi="Verdana" w:cs="Arial"/>
          <w:color w:val="000000" w:themeColor="text1"/>
          <w:lang w:val="es-ES" w:eastAsia="es-ES"/>
        </w:rPr>
        <w:t xml:space="preserve">Señor </w:t>
      </w:r>
    </w:p>
    <w:p w14:paraId="54B36F7E" w14:textId="77777777" w:rsidR="004C5D63" w:rsidRPr="00A378EF" w:rsidRDefault="004C5D63" w:rsidP="004C5D63">
      <w:pPr>
        <w:autoSpaceDE w:val="0"/>
        <w:autoSpaceDN w:val="0"/>
        <w:adjustRightInd w:val="0"/>
        <w:spacing w:after="0" w:line="240" w:lineRule="auto"/>
        <w:rPr>
          <w:rFonts w:ascii="Verdana" w:hAnsi="Verdana" w:cs="Verdana"/>
          <w:color w:val="000000"/>
        </w:rPr>
      </w:pPr>
      <w:r w:rsidRPr="00A378EF">
        <w:rPr>
          <w:rFonts w:ascii="Verdana" w:hAnsi="Verdana" w:cs="Verdana"/>
          <w:b/>
          <w:bCs/>
          <w:color w:val="000000"/>
        </w:rPr>
        <w:t xml:space="preserve">Diego Ferreira Nieto </w:t>
      </w:r>
    </w:p>
    <w:p w14:paraId="02C90FF7" w14:textId="77777777" w:rsidR="004C5D63" w:rsidRPr="00A378EF" w:rsidRDefault="004C5D63" w:rsidP="004C5D63">
      <w:pPr>
        <w:spacing w:after="0" w:line="240" w:lineRule="auto"/>
        <w:rPr>
          <w:rFonts w:ascii="Verdana" w:hAnsi="Verdana" w:cs="Verdana"/>
          <w:color w:val="000000"/>
        </w:rPr>
      </w:pPr>
      <w:r w:rsidRPr="00A378EF">
        <w:rPr>
          <w:rFonts w:ascii="Verdana" w:hAnsi="Verdana" w:cs="Verdana"/>
          <w:color w:val="000000"/>
        </w:rPr>
        <w:t xml:space="preserve">Coordinador Grupo Administrativa </w:t>
      </w:r>
    </w:p>
    <w:p w14:paraId="76762C60" w14:textId="77777777" w:rsidR="004C5D63" w:rsidRPr="00A378EF" w:rsidRDefault="004C5D63" w:rsidP="004C5D63">
      <w:pPr>
        <w:spacing w:after="0" w:line="240" w:lineRule="auto"/>
        <w:rPr>
          <w:rFonts w:ascii="Verdana" w:eastAsia="Calibri" w:hAnsi="Verdana" w:cs="Arial"/>
          <w:color w:val="000000" w:themeColor="text1"/>
          <w:lang w:val="es-ES" w:eastAsia="es-ES"/>
        </w:rPr>
      </w:pPr>
      <w:r w:rsidRPr="00A378EF">
        <w:rPr>
          <w:rFonts w:ascii="Verdana" w:eastAsia="Calibri" w:hAnsi="Verdana" w:cs="Arial"/>
          <w:color w:val="000000" w:themeColor="text1"/>
          <w:lang w:val="es-ES" w:eastAsia="es-ES"/>
        </w:rPr>
        <w:t>Ministerio de Comercio, Industria y Turismo</w:t>
      </w:r>
    </w:p>
    <w:p w14:paraId="2E91612E" w14:textId="77777777" w:rsidR="004C5D63" w:rsidRPr="00A378EF" w:rsidRDefault="004C5D63" w:rsidP="004C5D63">
      <w:pPr>
        <w:spacing w:after="0" w:line="240" w:lineRule="auto"/>
        <w:rPr>
          <w:rFonts w:ascii="Verdana" w:eastAsia="Calibri" w:hAnsi="Verdana" w:cs="Arial"/>
          <w:color w:val="000000" w:themeColor="text1"/>
          <w:lang w:val="es-ES" w:eastAsia="es-ES"/>
        </w:rPr>
      </w:pPr>
      <w:hyperlink r:id="rId12" w:history="1">
        <w:r w:rsidRPr="00A378EF">
          <w:rPr>
            <w:rStyle w:val="Hipervnculo"/>
            <w:rFonts w:ascii="Verdana" w:eastAsia="Calibri" w:hAnsi="Verdana" w:cs="Arial"/>
            <w:lang w:val="es-ES" w:eastAsia="es-ES"/>
          </w:rPr>
          <w:t>dferreira@mincit.gov.co</w:t>
        </w:r>
      </w:hyperlink>
      <w:r w:rsidRPr="00A378EF">
        <w:rPr>
          <w:rFonts w:ascii="Verdana" w:eastAsia="Calibri" w:hAnsi="Verdana" w:cs="Arial"/>
          <w:color w:val="000000" w:themeColor="text1"/>
          <w:lang w:val="es-ES" w:eastAsia="es-ES"/>
        </w:rPr>
        <w:t xml:space="preserve"> </w:t>
      </w:r>
    </w:p>
    <w:p w14:paraId="1A49E752" w14:textId="77777777" w:rsidR="004C5D63" w:rsidRPr="00A378EF" w:rsidRDefault="004C5D63" w:rsidP="004C5D63">
      <w:pPr>
        <w:spacing w:after="0" w:line="240" w:lineRule="auto"/>
        <w:rPr>
          <w:rFonts w:ascii="Verdana" w:eastAsia="Calibri" w:hAnsi="Verdana" w:cs="Arial"/>
          <w:color w:val="000000" w:themeColor="text1"/>
          <w:lang w:val="es-ES" w:eastAsia="es-ES"/>
        </w:rPr>
      </w:pPr>
      <w:r w:rsidRPr="00A378EF">
        <w:rPr>
          <w:rFonts w:ascii="Verdana" w:eastAsia="Calibri" w:hAnsi="Verdana" w:cs="Arial"/>
          <w:color w:val="000000" w:themeColor="text1"/>
          <w:lang w:val="es-ES" w:eastAsia="es-ES"/>
        </w:rPr>
        <w:t xml:space="preserve">Ciudad </w:t>
      </w:r>
    </w:p>
    <w:p w14:paraId="203C04D1" w14:textId="77777777" w:rsidR="004C5D63" w:rsidRPr="00F04F3B" w:rsidRDefault="004C5D63" w:rsidP="004C5D63">
      <w:pPr>
        <w:spacing w:after="0" w:line="240" w:lineRule="auto"/>
        <w:rPr>
          <w:rFonts w:ascii="Verdana" w:eastAsia="Calibri" w:hAnsi="Verdana" w:cs="Arial"/>
          <w:color w:val="000000" w:themeColor="tex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C5D63" w:rsidRPr="00F04F3B" w14:paraId="0799F1D0" w14:textId="77777777" w:rsidTr="002A053E">
        <w:trPr>
          <w:trHeight w:val="300"/>
        </w:trPr>
        <w:tc>
          <w:tcPr>
            <w:tcW w:w="2410" w:type="dxa"/>
          </w:tcPr>
          <w:p w14:paraId="3991791A" w14:textId="77777777" w:rsidR="004C5D63" w:rsidRPr="00F04F3B" w:rsidRDefault="004C5D63" w:rsidP="002A053E">
            <w:pPr>
              <w:ind w:left="-142"/>
              <w:jc w:val="both"/>
              <w:rPr>
                <w:rFonts w:ascii="Verdana" w:eastAsia="Calibri" w:hAnsi="Verdana" w:cs="Arial"/>
                <w:b/>
                <w:bCs/>
                <w:color w:val="000000" w:themeColor="text1"/>
                <w:lang w:val="es-ES" w:eastAsia="es-ES_tradnl"/>
              </w:rPr>
            </w:pPr>
          </w:p>
        </w:tc>
        <w:tc>
          <w:tcPr>
            <w:tcW w:w="6100" w:type="dxa"/>
          </w:tcPr>
          <w:p w14:paraId="1CDFB69C" w14:textId="77777777" w:rsidR="004C5D63" w:rsidRPr="00F04F3B" w:rsidRDefault="004C5D63" w:rsidP="002A053E">
            <w:pPr>
              <w:jc w:val="both"/>
              <w:rPr>
                <w:rFonts w:ascii="Verdana" w:eastAsia="Calibri" w:hAnsi="Verdana" w:cs="Arial"/>
                <w:b/>
                <w:bCs/>
                <w:color w:val="000000" w:themeColor="text1"/>
                <w:lang w:val="es-ES" w:eastAsia="es-ES"/>
              </w:rPr>
            </w:pPr>
          </w:p>
          <w:p w14:paraId="4D6D422F" w14:textId="77777777" w:rsidR="004C5D63" w:rsidRDefault="004C5D63" w:rsidP="002A053E">
            <w:pPr>
              <w:ind w:left="3"/>
              <w:jc w:val="both"/>
              <w:rPr>
                <w:rFonts w:ascii="Verdana" w:eastAsia="Calibri" w:hAnsi="Verdana" w:cs="Arial"/>
                <w:b/>
                <w:bCs/>
                <w:color w:val="000000" w:themeColor="text1"/>
                <w:lang w:val="es-ES" w:eastAsia="es-ES"/>
              </w:rPr>
            </w:pPr>
            <w:r w:rsidRPr="00F04F3B">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1557</w:t>
            </w:r>
            <w:r w:rsidRPr="00F04F3B">
              <w:rPr>
                <w:rFonts w:ascii="Verdana" w:eastAsia="Calibri" w:hAnsi="Verdana" w:cs="Arial"/>
                <w:b/>
                <w:bCs/>
                <w:color w:val="000000" w:themeColor="text1"/>
                <w:lang w:val="es-ES" w:eastAsia="es-ES"/>
              </w:rPr>
              <w:t xml:space="preserve"> de 2026</w:t>
            </w:r>
          </w:p>
          <w:p w14:paraId="7390D1CC" w14:textId="77777777" w:rsidR="004C5D63" w:rsidRPr="00F04F3B" w:rsidRDefault="004C5D63" w:rsidP="002A053E">
            <w:pPr>
              <w:ind w:left="3"/>
              <w:jc w:val="both"/>
              <w:rPr>
                <w:rFonts w:ascii="Verdana" w:eastAsia="Calibri" w:hAnsi="Verdana" w:cs="Arial"/>
                <w:b/>
                <w:bCs/>
                <w:color w:val="000000" w:themeColor="text1"/>
                <w:lang w:val="es-ES" w:eastAsia="es-ES"/>
              </w:rPr>
            </w:pPr>
          </w:p>
          <w:p w14:paraId="15CD7F51" w14:textId="77777777" w:rsidR="004C5D63" w:rsidRPr="00F04F3B" w:rsidRDefault="004C5D63" w:rsidP="002A053E">
            <w:pPr>
              <w:ind w:left="3"/>
              <w:jc w:val="both"/>
              <w:rPr>
                <w:rFonts w:ascii="Verdana" w:eastAsia="Calibri" w:hAnsi="Verdana" w:cs="Arial"/>
                <w:b/>
                <w:bCs/>
                <w:color w:val="000000" w:themeColor="text1"/>
                <w:lang w:val="es-ES" w:eastAsia="es-ES"/>
              </w:rPr>
            </w:pPr>
          </w:p>
        </w:tc>
      </w:tr>
      <w:tr w:rsidR="004C5D63" w:rsidRPr="00F04F3B" w14:paraId="551A696F" w14:textId="77777777" w:rsidTr="002A053E">
        <w:trPr>
          <w:trHeight w:val="300"/>
        </w:trPr>
        <w:tc>
          <w:tcPr>
            <w:tcW w:w="2410" w:type="dxa"/>
          </w:tcPr>
          <w:p w14:paraId="37DE728F" w14:textId="77777777" w:rsidR="004C5D63" w:rsidRPr="00F04F3B" w:rsidRDefault="004C5D63" w:rsidP="002A053E">
            <w:pPr>
              <w:ind w:left="424" w:firstLine="142"/>
              <w:jc w:val="both"/>
              <w:rPr>
                <w:rFonts w:ascii="Verdana" w:eastAsia="Calibri" w:hAnsi="Verdana" w:cs="Arial"/>
                <w:color w:val="000000" w:themeColor="text1"/>
                <w:lang w:val="es-ES" w:eastAsia="es-ES_tradnl"/>
              </w:rPr>
            </w:pPr>
            <w:r w:rsidRPr="00F04F3B">
              <w:rPr>
                <w:rFonts w:ascii="Verdana" w:eastAsia="Calibri" w:hAnsi="Verdana" w:cs="Arial"/>
                <w:b/>
                <w:color w:val="000000" w:themeColor="text1"/>
                <w:lang w:val="es-ES" w:eastAsia="es-ES_tradnl"/>
              </w:rPr>
              <w:t>Temas:</w:t>
            </w:r>
            <w:r w:rsidRPr="00F04F3B">
              <w:rPr>
                <w:rFonts w:ascii="Verdana" w:eastAsia="Calibri" w:hAnsi="Verdana" w:cs="Arial"/>
                <w:color w:val="000000" w:themeColor="text1"/>
                <w:lang w:val="es-ES" w:eastAsia="es-ES_tradnl"/>
              </w:rPr>
              <w:t xml:space="preserve">                  </w:t>
            </w:r>
          </w:p>
        </w:tc>
        <w:tc>
          <w:tcPr>
            <w:tcW w:w="6100" w:type="dxa"/>
          </w:tcPr>
          <w:p w14:paraId="6BDDA20D" w14:textId="77777777" w:rsidR="004C5D63" w:rsidRPr="00F04F3B" w:rsidRDefault="004C5D63" w:rsidP="002A053E">
            <w:pPr>
              <w:spacing w:line="276" w:lineRule="auto"/>
              <w:jc w:val="both"/>
              <w:rPr>
                <w:rFonts w:ascii="Verdana" w:hAnsi="Verdana" w:cs="Arial"/>
                <w:lang w:val="es-ES" w:eastAsia="es-ES"/>
              </w:rPr>
            </w:pPr>
            <w:r w:rsidRPr="00DD681C">
              <w:rPr>
                <w:rFonts w:ascii="Verdana" w:hAnsi="Verdana" w:cs="Arial"/>
                <w:bCs/>
                <w:lang w:eastAsia="es-ES" w:bidi="es-ES"/>
              </w:rPr>
              <w:t xml:space="preserve">ADICIÓN – Concepto – Distintos supuestos – Prohibición – Adición en más del 50% / ADICIÓN – Prohibición – Monto – Cálculo – Parágrafo artículo 40 – Ley 80 de 1993 </w:t>
            </w:r>
            <w:r w:rsidRPr="00F04F3B">
              <w:rPr>
                <w:rFonts w:ascii="Verdana" w:hAnsi="Verdana" w:cs="Arial"/>
                <w:lang w:val="es-ES" w:eastAsia="es-ES"/>
              </w:rPr>
              <w:t xml:space="preserve">/ </w:t>
            </w:r>
            <w:r>
              <w:rPr>
                <w:rFonts w:ascii="Verdana" w:hAnsi="Verdana" w:cs="Arial"/>
                <w:lang w:val="es-ES" w:eastAsia="es-ES"/>
              </w:rPr>
              <w:t>REAJUSTE Y REVISIÓN DE PRECIOS</w:t>
            </w:r>
            <w:r>
              <w:rPr>
                <w:rFonts w:ascii="Verdana" w:hAnsi="Verdana" w:cs="Arial"/>
                <w:highlight w:val="yellow"/>
                <w:lang w:val="es-ES" w:eastAsia="es-ES"/>
              </w:rPr>
              <w:t xml:space="preserve"> </w:t>
            </w:r>
            <w:r w:rsidRPr="00A14630">
              <w:rPr>
                <w:rFonts w:ascii="Verdana" w:hAnsi="Verdana" w:cs="Arial"/>
                <w:lang w:val="es-ES" w:eastAsia="es-ES"/>
              </w:rPr>
              <w:t>– Límite</w:t>
            </w:r>
            <w:r>
              <w:rPr>
                <w:rFonts w:ascii="Verdana" w:hAnsi="Verdana" w:cs="Arial"/>
                <w:lang w:val="es-ES" w:eastAsia="es-ES"/>
              </w:rPr>
              <w:t xml:space="preserve"> de adiciones </w:t>
            </w:r>
            <w:r w:rsidRPr="00A14630">
              <w:rPr>
                <w:rFonts w:ascii="Verdana" w:hAnsi="Verdana" w:cs="Arial"/>
                <w:lang w:val="es-ES" w:eastAsia="es-ES"/>
              </w:rPr>
              <w:t>–</w:t>
            </w:r>
            <w:r>
              <w:rPr>
                <w:rFonts w:ascii="Verdana" w:hAnsi="Verdana" w:cs="Arial"/>
                <w:lang w:val="es-ES" w:eastAsia="es-ES"/>
              </w:rPr>
              <w:t xml:space="preserve"> Cambio de vigencia </w:t>
            </w:r>
            <w:r w:rsidRPr="00A14630">
              <w:rPr>
                <w:rFonts w:ascii="Verdana" w:hAnsi="Verdana" w:cs="Arial"/>
                <w:lang w:val="es-ES" w:eastAsia="es-ES"/>
              </w:rPr>
              <w:t>–</w:t>
            </w:r>
            <w:r>
              <w:rPr>
                <w:rFonts w:ascii="Verdana" w:hAnsi="Verdana" w:cs="Arial"/>
                <w:lang w:val="es-ES" w:eastAsia="es-ES"/>
              </w:rPr>
              <w:t xml:space="preserve"> Alcance</w:t>
            </w:r>
          </w:p>
          <w:p w14:paraId="309EBF37" w14:textId="77777777" w:rsidR="004C5D63" w:rsidRPr="00F04F3B" w:rsidRDefault="004C5D63" w:rsidP="002A053E">
            <w:pPr>
              <w:spacing w:line="276" w:lineRule="auto"/>
              <w:jc w:val="both"/>
              <w:rPr>
                <w:rFonts w:ascii="Verdana" w:eastAsia="Calibri" w:hAnsi="Verdana" w:cs="Arial"/>
                <w:color w:val="000000" w:themeColor="text1"/>
                <w:lang w:val="es-ES" w:eastAsia="es-ES"/>
              </w:rPr>
            </w:pPr>
          </w:p>
        </w:tc>
      </w:tr>
      <w:tr w:rsidR="004C5D63" w:rsidRPr="00F04F3B" w14:paraId="459302BC" w14:textId="77777777" w:rsidTr="002A053E">
        <w:trPr>
          <w:trHeight w:val="300"/>
        </w:trPr>
        <w:tc>
          <w:tcPr>
            <w:tcW w:w="2410" w:type="dxa"/>
          </w:tcPr>
          <w:p w14:paraId="714BB9F6" w14:textId="77777777" w:rsidR="004C5D63" w:rsidRPr="00F04F3B" w:rsidRDefault="004C5D63" w:rsidP="002A053E">
            <w:pPr>
              <w:ind w:left="561"/>
              <w:jc w:val="both"/>
              <w:rPr>
                <w:rFonts w:ascii="Verdana" w:eastAsia="Calibri" w:hAnsi="Verdana" w:cs="Arial"/>
                <w:b/>
                <w:color w:val="000000" w:themeColor="text1"/>
                <w:lang w:val="es-ES" w:eastAsia="es-ES_tradnl"/>
              </w:rPr>
            </w:pPr>
            <w:r w:rsidRPr="00F04F3B">
              <w:rPr>
                <w:rFonts w:ascii="Verdana" w:eastAsia="Calibri" w:hAnsi="Verdana" w:cs="Arial"/>
                <w:b/>
                <w:color w:val="000000" w:themeColor="text1"/>
                <w:lang w:val="es-ES" w:eastAsia="es-ES_tradnl"/>
              </w:rPr>
              <w:t xml:space="preserve">Radicación:              </w:t>
            </w:r>
          </w:p>
        </w:tc>
        <w:tc>
          <w:tcPr>
            <w:tcW w:w="6100" w:type="dxa"/>
          </w:tcPr>
          <w:p w14:paraId="012A0F21" w14:textId="77777777" w:rsidR="004C5D63" w:rsidRPr="00F04F3B" w:rsidRDefault="004C5D63" w:rsidP="002A053E">
            <w:pPr>
              <w:ind w:left="3"/>
              <w:jc w:val="both"/>
              <w:rPr>
                <w:rFonts w:ascii="Verdana" w:hAnsi="Verdana"/>
                <w:bCs/>
                <w:color w:val="000000"/>
                <w:lang w:val="es-ES"/>
              </w:rPr>
            </w:pPr>
            <w:r w:rsidRPr="00F04F3B">
              <w:rPr>
                <w:rFonts w:ascii="Verdana" w:eastAsia="Calibri" w:hAnsi="Verdana" w:cs="Arial"/>
                <w:bCs/>
                <w:color w:val="000000" w:themeColor="text1"/>
                <w:lang w:val="es-ES" w:eastAsia="es-ES"/>
              </w:rPr>
              <w:t>Respuesta a consulta con radicado No.</w:t>
            </w:r>
            <w:r>
              <w:rPr>
                <w:rFonts w:ascii="Verdana" w:eastAsia="Calibri" w:hAnsi="Verdana" w:cs="Arial"/>
                <w:bCs/>
                <w:color w:val="000000" w:themeColor="text1"/>
                <w:lang w:val="es-ES" w:eastAsia="es-ES"/>
              </w:rPr>
              <w:t xml:space="preserve"> </w:t>
            </w:r>
            <w:r w:rsidRPr="004D5BE4">
              <w:rPr>
                <w:rFonts w:ascii="Verdana" w:eastAsia="Calibri" w:hAnsi="Verdana" w:cs="Arial"/>
                <w:bCs/>
                <w:color w:val="000000" w:themeColor="text1"/>
                <w:lang w:val="es-ES" w:eastAsia="es-ES"/>
              </w:rPr>
              <w:t>1_2026_10_02_013304</w:t>
            </w:r>
            <w:r w:rsidRPr="00F04F3B">
              <w:rPr>
                <w:rFonts w:ascii="Verdana" w:eastAsia="Calibri" w:hAnsi="Verdana" w:cs="Arial"/>
                <w:bCs/>
                <w:color w:val="000000" w:themeColor="text1"/>
                <w:lang w:val="es-ES" w:eastAsia="es-ES"/>
              </w:rPr>
              <w:t xml:space="preserve"> </w:t>
            </w:r>
          </w:p>
        </w:tc>
      </w:tr>
    </w:tbl>
    <w:p w14:paraId="33DCC469" w14:textId="77777777" w:rsidR="004C5D63" w:rsidRPr="00F04F3B" w:rsidRDefault="004C5D63" w:rsidP="004C5D63">
      <w:pPr>
        <w:spacing w:after="0" w:line="276" w:lineRule="auto"/>
        <w:jc w:val="both"/>
        <w:rPr>
          <w:rFonts w:ascii="Verdana" w:eastAsia="Calibri" w:hAnsi="Verdana" w:cs="Arial"/>
          <w:color w:val="000000" w:themeColor="text1"/>
          <w:lang w:val="es-ES" w:eastAsia="es-ES"/>
        </w:rPr>
      </w:pPr>
    </w:p>
    <w:p w14:paraId="3767B47B" w14:textId="77777777" w:rsidR="004C5D63" w:rsidRPr="00F04F3B" w:rsidRDefault="004C5D63" w:rsidP="004C5D63">
      <w:pPr>
        <w:spacing w:after="0" w:line="276" w:lineRule="auto"/>
        <w:jc w:val="both"/>
        <w:rPr>
          <w:rFonts w:ascii="Verdana" w:eastAsia="Calibri" w:hAnsi="Verdana" w:cs="Arial"/>
          <w:color w:val="000000" w:themeColor="text1"/>
          <w:lang w:val="es-ES" w:eastAsia="es-ES"/>
        </w:rPr>
      </w:pPr>
      <w:r w:rsidRPr="008F0391">
        <w:rPr>
          <w:rFonts w:ascii="Verdana" w:eastAsia="Calibri" w:hAnsi="Verdana" w:cs="Arial"/>
          <w:color w:val="000000" w:themeColor="text1"/>
          <w:lang w:val="es-ES" w:eastAsia="es-ES"/>
        </w:rPr>
        <w:t>Estimado señor Ferreira:</w:t>
      </w:r>
      <w:r w:rsidRPr="00F04F3B">
        <w:rPr>
          <w:rFonts w:ascii="Verdana" w:eastAsia="Calibri" w:hAnsi="Verdana" w:cs="Arial"/>
          <w:color w:val="000000" w:themeColor="text1"/>
          <w:lang w:val="es-ES" w:eastAsia="es-ES"/>
        </w:rPr>
        <w:t xml:space="preserve"> </w:t>
      </w:r>
    </w:p>
    <w:p w14:paraId="20839F56" w14:textId="77777777" w:rsidR="004C5D63" w:rsidRPr="00F04F3B" w:rsidRDefault="004C5D63" w:rsidP="004C5D63">
      <w:pPr>
        <w:tabs>
          <w:tab w:val="left" w:pos="3768"/>
        </w:tabs>
        <w:spacing w:after="0" w:line="276" w:lineRule="auto"/>
        <w:jc w:val="both"/>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ab/>
      </w:r>
    </w:p>
    <w:p w14:paraId="7484791C" w14:textId="77777777" w:rsidR="004C5D63" w:rsidRPr="00F04F3B" w:rsidRDefault="004C5D63" w:rsidP="004C5D63">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 xml:space="preserve">la Agencia Nacional de Contratación Pública – Colombia Compra Eficiente </w:t>
      </w:r>
      <w:r w:rsidRPr="00F04F3B">
        <w:rPr>
          <w:rFonts w:ascii="Verdana" w:eastAsia="Calibri" w:hAnsi="Verdana" w:cs="Arial"/>
          <w:color w:val="000000" w:themeColor="text1"/>
          <w:lang w:val="es-ES" w:eastAsia="es-ES"/>
        </w:rPr>
        <w:t xml:space="preserve">responde su solicitud de consulta del </w:t>
      </w:r>
      <w:r>
        <w:rPr>
          <w:rFonts w:ascii="Verdana" w:eastAsia="Calibri" w:hAnsi="Verdana" w:cs="Arial"/>
          <w:color w:val="000000" w:themeColor="text1"/>
          <w:lang w:val="es-ES" w:eastAsia="es-ES"/>
        </w:rPr>
        <w:t>2 de octubre</w:t>
      </w:r>
      <w:r w:rsidRPr="00F04F3B">
        <w:rPr>
          <w:rFonts w:ascii="Verdana" w:eastAsia="Calibri" w:hAnsi="Verdana" w:cs="Arial"/>
          <w:color w:val="000000" w:themeColor="text1"/>
          <w:lang w:val="es-ES" w:eastAsia="es-ES"/>
        </w:rPr>
        <w:t xml:space="preserve"> de 2026, en la cual manifiesta lo siguiente: </w:t>
      </w:r>
    </w:p>
    <w:p w14:paraId="19272355" w14:textId="77777777" w:rsidR="004C5D63" w:rsidRPr="00F04F3B" w:rsidRDefault="004C5D63" w:rsidP="004C5D63">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0D83269C" w14:textId="77777777" w:rsidR="004C5D63" w:rsidRPr="00C0090C" w:rsidRDefault="004C5D63" w:rsidP="004C5D63">
      <w:pPr>
        <w:spacing w:line="240" w:lineRule="auto"/>
        <w:ind w:left="709" w:right="709"/>
        <w:jc w:val="both"/>
        <w:rPr>
          <w:rFonts w:ascii="Verdana" w:eastAsia="Calibri" w:hAnsi="Verdana" w:cs="Arial"/>
          <w:i/>
          <w:iCs/>
          <w:sz w:val="20"/>
          <w:szCs w:val="20"/>
        </w:rPr>
      </w:pPr>
      <w:r w:rsidRPr="00F04F3B">
        <w:rPr>
          <w:rFonts w:ascii="Verdana" w:eastAsia="Calibri" w:hAnsi="Verdana" w:cs="Arial"/>
          <w:i/>
          <w:iCs/>
          <w:sz w:val="20"/>
          <w:szCs w:val="20"/>
          <w:lang w:val="es-ES"/>
        </w:rPr>
        <w:t>“</w:t>
      </w:r>
      <w:r>
        <w:rPr>
          <w:rFonts w:ascii="Verdana" w:eastAsia="Calibri" w:hAnsi="Verdana" w:cs="Arial"/>
          <w:i/>
          <w:iCs/>
          <w:sz w:val="20"/>
          <w:szCs w:val="20"/>
          <w:lang w:val="es-ES"/>
        </w:rPr>
        <w:t xml:space="preserve">1. </w:t>
      </w:r>
      <w:r w:rsidRPr="00C0090C">
        <w:rPr>
          <w:rFonts w:ascii="Verdana" w:eastAsia="Calibri" w:hAnsi="Verdana" w:cs="Arial"/>
          <w:i/>
          <w:iCs/>
          <w:sz w:val="20"/>
          <w:szCs w:val="20"/>
        </w:rPr>
        <w:t xml:space="preserve">¿El reconocimiento de mayores valores al contratista, con el fin de restablecer el equilibrio económico por hechos ajenos a las partes (incremento legal del SMLMV, reducción de la jornada máxima legal y aumentos de recargos por la Ley 2466 de 2025), constituye una "adición" en los términos del parágrafo del artículo 40 de la Ley 80 de 1993? ¿O se trata de un reajuste o restablecimiento del precio pactado que no computa dentro del límite del 50%? </w:t>
      </w:r>
    </w:p>
    <w:p w14:paraId="7B6CE105" w14:textId="77777777" w:rsidR="004C5D63" w:rsidRPr="00C0090C" w:rsidRDefault="004C5D63" w:rsidP="004C5D63">
      <w:pPr>
        <w:spacing w:line="240" w:lineRule="auto"/>
        <w:ind w:left="709" w:right="709"/>
        <w:jc w:val="both"/>
        <w:rPr>
          <w:rFonts w:ascii="Verdana" w:eastAsia="Calibri" w:hAnsi="Verdana" w:cs="Arial"/>
          <w:i/>
          <w:iCs/>
          <w:sz w:val="20"/>
          <w:szCs w:val="20"/>
        </w:rPr>
      </w:pPr>
      <w:r w:rsidRPr="00C0090C">
        <w:rPr>
          <w:rFonts w:ascii="Verdana" w:eastAsia="Calibri" w:hAnsi="Verdana" w:cs="Arial"/>
          <w:i/>
          <w:iCs/>
          <w:sz w:val="20"/>
          <w:szCs w:val="20"/>
        </w:rPr>
        <w:lastRenderedPageBreak/>
        <w:t xml:space="preserve">2. Si no computa dentro del límite, ¿qué instrumento contractual es el adecuado para formalizarlo (modificación contractual, acta de reconocimiento, acuerdo de restablecimiento del equilibrio u otro)? ¿Qué soportes técnicos, jurídicos y presupuestales deben integrar el expediente? </w:t>
      </w:r>
    </w:p>
    <w:p w14:paraId="1B017F6B" w14:textId="77777777" w:rsidR="004C5D63" w:rsidRPr="00C0090C" w:rsidRDefault="004C5D63" w:rsidP="004C5D63">
      <w:pPr>
        <w:spacing w:line="240" w:lineRule="auto"/>
        <w:ind w:left="709" w:right="709"/>
        <w:jc w:val="both"/>
        <w:rPr>
          <w:rFonts w:ascii="Verdana" w:eastAsia="Calibri" w:hAnsi="Verdana" w:cs="Arial"/>
          <w:i/>
          <w:iCs/>
          <w:sz w:val="20"/>
          <w:szCs w:val="20"/>
        </w:rPr>
      </w:pPr>
      <w:r w:rsidRPr="00C0090C">
        <w:rPr>
          <w:rFonts w:ascii="Verdana" w:eastAsia="Calibri" w:hAnsi="Verdana" w:cs="Arial"/>
          <w:i/>
          <w:iCs/>
          <w:sz w:val="20"/>
          <w:szCs w:val="20"/>
        </w:rPr>
        <w:t xml:space="preserve">3. Si computa dentro del límite, ¿cómo debe proceder la entidad cuando el solo cumplimiento de las tarifas mínimas obligatorias exige superar el 50%, sin incurrir en contratación sin el lleno de requisitos ni desconocer la obligación legal de pagar la tarifa regulada? </w:t>
      </w:r>
    </w:p>
    <w:p w14:paraId="2381F66D" w14:textId="77777777" w:rsidR="004C5D63" w:rsidRPr="00C0090C" w:rsidRDefault="004C5D63" w:rsidP="004C5D63">
      <w:pPr>
        <w:spacing w:line="240" w:lineRule="auto"/>
        <w:ind w:left="709" w:right="709"/>
        <w:jc w:val="both"/>
        <w:rPr>
          <w:rFonts w:ascii="Verdana" w:eastAsia="Calibri" w:hAnsi="Verdana" w:cs="Arial"/>
          <w:i/>
          <w:iCs/>
          <w:sz w:val="20"/>
          <w:szCs w:val="20"/>
        </w:rPr>
      </w:pPr>
      <w:r w:rsidRPr="00C0090C">
        <w:rPr>
          <w:rFonts w:ascii="Verdana" w:eastAsia="Calibri" w:hAnsi="Verdana" w:cs="Arial"/>
          <w:i/>
          <w:iCs/>
          <w:sz w:val="20"/>
          <w:szCs w:val="20"/>
        </w:rPr>
        <w:t xml:space="preserve">4. Para calcular el límite, ¿el valor inicial se expresa en SMLMV del año de suscripción y las adiciones en SMLMV del año en que se realizan? ¿Cuál es el efecto de esta metodología cuando el propio aumento del salario mínimo es la causa del mayor valor? </w:t>
      </w:r>
    </w:p>
    <w:p w14:paraId="4BD7832C" w14:textId="77777777" w:rsidR="004C5D63" w:rsidRPr="00C0090C" w:rsidRDefault="004C5D63" w:rsidP="004C5D63">
      <w:pPr>
        <w:spacing w:line="240" w:lineRule="auto"/>
        <w:ind w:left="709" w:right="709"/>
        <w:jc w:val="both"/>
        <w:rPr>
          <w:rFonts w:ascii="Verdana" w:eastAsia="Calibri" w:hAnsi="Verdana" w:cs="Arial"/>
          <w:i/>
          <w:iCs/>
          <w:sz w:val="20"/>
          <w:szCs w:val="20"/>
        </w:rPr>
      </w:pPr>
      <w:r w:rsidRPr="00C0090C">
        <w:rPr>
          <w:rFonts w:ascii="Verdana" w:eastAsia="Calibri" w:hAnsi="Verdana" w:cs="Arial"/>
          <w:i/>
          <w:iCs/>
          <w:sz w:val="20"/>
          <w:szCs w:val="20"/>
        </w:rPr>
        <w:t xml:space="preserve">5. ¿Incluir en los pliegos y en el contrato una cláusula de ajuste automático a las tarifas que fije la Supervigilancia permite que dichos ajustes se entiendan como ejecución del precio pactado y no como adiciones? </w:t>
      </w:r>
    </w:p>
    <w:p w14:paraId="25D00514" w14:textId="77777777" w:rsidR="004C5D63" w:rsidRPr="00C0090C" w:rsidRDefault="004C5D63" w:rsidP="004C5D63">
      <w:pPr>
        <w:spacing w:line="240" w:lineRule="auto"/>
        <w:ind w:left="709" w:right="709"/>
        <w:jc w:val="both"/>
        <w:rPr>
          <w:rFonts w:ascii="Verdana" w:eastAsia="Calibri" w:hAnsi="Verdana" w:cs="Arial"/>
          <w:i/>
          <w:iCs/>
          <w:sz w:val="20"/>
          <w:szCs w:val="20"/>
        </w:rPr>
      </w:pPr>
      <w:r w:rsidRPr="00C0090C">
        <w:rPr>
          <w:rFonts w:ascii="Verdana" w:eastAsia="Calibri" w:hAnsi="Verdana" w:cs="Arial"/>
          <w:i/>
          <w:iCs/>
          <w:sz w:val="20"/>
          <w:szCs w:val="20"/>
        </w:rPr>
        <w:t>6. Para contratos con vigencias futuras que se ejecutan en 2027, ¿qué recomendaciones existen para incorporar en la planeación y en el presupuesto los incrementos graduales ya previstos por la Ley 2466 de 2025?</w:t>
      </w:r>
      <w:r>
        <w:rPr>
          <w:rFonts w:ascii="Verdana" w:eastAsia="Calibri" w:hAnsi="Verdana" w:cs="Arial"/>
          <w:i/>
          <w:iCs/>
          <w:sz w:val="20"/>
          <w:szCs w:val="20"/>
        </w:rPr>
        <w:t>”</w:t>
      </w:r>
    </w:p>
    <w:p w14:paraId="385F9ECB" w14:textId="77777777" w:rsidR="004C5D63" w:rsidRPr="00F04F3B" w:rsidRDefault="004C5D63" w:rsidP="004C5D63">
      <w:pPr>
        <w:spacing w:after="0" w:line="276" w:lineRule="auto"/>
        <w:ind w:right="709"/>
        <w:jc w:val="both"/>
        <w:rPr>
          <w:rFonts w:ascii="Verdana" w:eastAsia="Calibri" w:hAnsi="Verdana" w:cs="Arial"/>
          <w:lang w:val="es-ES"/>
        </w:rPr>
      </w:pPr>
    </w:p>
    <w:p w14:paraId="475B9302" w14:textId="77777777" w:rsidR="004C5D63" w:rsidRPr="00F04F3B" w:rsidRDefault="004C5D63" w:rsidP="004C5D63">
      <w:pPr>
        <w:spacing w:after="120" w:line="276" w:lineRule="auto"/>
        <w:ind w:firstLine="708"/>
        <w:jc w:val="both"/>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04F3B">
        <w:rPr>
          <w:rFonts w:ascii="Verdana" w:hAnsi="Verdana"/>
          <w:lang w:val="es-ES"/>
        </w:rPr>
        <w:tab/>
      </w:r>
    </w:p>
    <w:p w14:paraId="1F239596" w14:textId="77777777" w:rsidR="004C5D63" w:rsidRPr="00F04F3B" w:rsidRDefault="004C5D63" w:rsidP="004C5D63">
      <w:pPr>
        <w:spacing w:after="0" w:line="276" w:lineRule="auto"/>
        <w:ind w:firstLine="709"/>
        <w:jc w:val="both"/>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w:t>
      </w:r>
      <w:r w:rsidRPr="00F04F3B">
        <w:rPr>
          <w:rFonts w:ascii="Verdana" w:eastAsia="Calibri" w:hAnsi="Verdana" w:cs="Arial"/>
          <w:color w:val="000000" w:themeColor="text1"/>
          <w:lang w:val="es-ES" w:eastAsia="es-ES"/>
        </w:rPr>
        <w:lastRenderedPageBreak/>
        <w:t xml:space="preserve">sobre las normas generales relacionadas con los problemas jurídicos de su consulta. </w:t>
      </w:r>
    </w:p>
    <w:p w14:paraId="332E5783" w14:textId="77777777" w:rsidR="004C5D63" w:rsidRPr="00F04F3B" w:rsidRDefault="004C5D63" w:rsidP="004C5D63">
      <w:pPr>
        <w:spacing w:after="0" w:line="276" w:lineRule="auto"/>
        <w:jc w:val="both"/>
        <w:rPr>
          <w:rFonts w:ascii="Verdana" w:eastAsia="Calibri" w:hAnsi="Verdana" w:cs="Arial"/>
          <w:color w:val="000000" w:themeColor="text1"/>
          <w:lang w:val="es-ES" w:eastAsia="es-ES"/>
        </w:rPr>
      </w:pPr>
    </w:p>
    <w:p w14:paraId="13E00307" w14:textId="77777777" w:rsidR="004C5D63" w:rsidRPr="00F04F3B" w:rsidRDefault="004C5D63" w:rsidP="004C5D63">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bCs/>
          <w:color w:val="000000" w:themeColor="text1"/>
        </w:rPr>
        <w:t>Problema planteado:</w:t>
      </w:r>
    </w:p>
    <w:p w14:paraId="13E0CD22" w14:textId="77777777" w:rsidR="004C5D63" w:rsidRPr="00F04F3B" w:rsidRDefault="004C5D63" w:rsidP="004C5D63">
      <w:pPr>
        <w:tabs>
          <w:tab w:val="left" w:pos="426"/>
        </w:tabs>
        <w:spacing w:after="0" w:line="276" w:lineRule="auto"/>
        <w:jc w:val="both"/>
        <w:rPr>
          <w:rFonts w:ascii="Verdana" w:eastAsia="Century Gothic" w:hAnsi="Verdana" w:cs="Century Gothic"/>
          <w:color w:val="000000" w:themeColor="text1"/>
          <w:lang w:val="es-ES"/>
        </w:rPr>
      </w:pPr>
    </w:p>
    <w:p w14:paraId="322A3D8F" w14:textId="77777777" w:rsidR="004C5D63" w:rsidRPr="00F04F3B" w:rsidRDefault="004C5D63" w:rsidP="004C5D63">
      <w:pPr>
        <w:spacing w:line="276" w:lineRule="auto"/>
        <w:jc w:val="both"/>
        <w:rPr>
          <w:rFonts w:ascii="Verdana" w:eastAsia="Century Gothic" w:hAnsi="Verdana" w:cs="Century Gothic"/>
          <w:color w:val="000000" w:themeColor="text1"/>
          <w:lang w:val="es-ES"/>
        </w:rPr>
      </w:pPr>
      <w:r w:rsidRPr="00F04F3B">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el</w:t>
      </w:r>
      <w:r w:rsidRPr="00F04F3B">
        <w:rPr>
          <w:rFonts w:ascii="Verdana" w:eastAsia="Century Gothic" w:hAnsi="Verdana" w:cs="Century Gothic"/>
          <w:color w:val="000000" w:themeColor="text1"/>
          <w:lang w:val="es-ES"/>
        </w:rPr>
        <w:t xml:space="preserve"> siguiente problema jurídico: </w:t>
      </w:r>
      <w:r>
        <w:rPr>
          <w:rFonts w:ascii="Verdana" w:eastAsia="Century Gothic" w:hAnsi="Verdana" w:cs="Century Gothic"/>
        </w:rPr>
        <w:t>¿Cuál es el alcance del límite establecido en el artículo 40 de la Ley 80 de 1993 con respecto a los reajustes de precios por cambio de vigencia y al restablecimiento del equilibrio económico?</w:t>
      </w:r>
    </w:p>
    <w:p w14:paraId="1988773C" w14:textId="77777777" w:rsidR="004C5D63" w:rsidRPr="00F04F3B" w:rsidRDefault="004C5D63" w:rsidP="004C5D63">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F04F3B">
        <w:rPr>
          <w:rFonts w:ascii="Verdana" w:eastAsia="Century Gothic" w:hAnsi="Verdana" w:cs="Century Gothic"/>
          <w:b/>
          <w:bCs/>
          <w:color w:val="000000" w:themeColor="text1"/>
        </w:rPr>
        <w:t>Respuesta:</w:t>
      </w:r>
    </w:p>
    <w:p w14:paraId="2352FBEF" w14:textId="77777777" w:rsidR="004C5D63" w:rsidRPr="00F04F3B" w:rsidRDefault="004C5D63" w:rsidP="004C5D63">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5D63" w:rsidRPr="00F04F3B" w14:paraId="1888BEF6" w14:textId="77777777" w:rsidTr="002A053E">
        <w:trPr>
          <w:trHeight w:val="300"/>
        </w:trPr>
        <w:tc>
          <w:tcPr>
            <w:tcW w:w="8828" w:type="dxa"/>
          </w:tcPr>
          <w:p w14:paraId="4197D013" w14:textId="77777777" w:rsidR="004C5D63" w:rsidRPr="00A85223" w:rsidRDefault="004C5D63" w:rsidP="002A053E">
            <w:pPr>
              <w:spacing w:before="120" w:after="120" w:line="276" w:lineRule="auto"/>
              <w:jc w:val="both"/>
              <w:rPr>
                <w:rFonts w:ascii="Verdana" w:eastAsia="Century Gothic" w:hAnsi="Verdana" w:cs="Century Gothic"/>
                <w:color w:val="000000" w:themeColor="text1"/>
                <w:lang w:val="es-ES"/>
              </w:rPr>
            </w:pPr>
            <w:r>
              <w:rPr>
                <w:rFonts w:ascii="Verdana" w:hAnsi="Verdana" w:cs="Arial"/>
                <w:color w:val="000000" w:themeColor="text1"/>
              </w:rPr>
              <w:t xml:space="preserve">El límite previsto en el parágrafo del artículo 40 de la Ley 80 de 1993 se refiere a las adiciones contractuales que impliquen una ampliación del contenido prestacional del contrato, de manera que el valor correspondiente a estas no puede superar el cincuenta por ciento (50 %) del valor inicial, expresado en salarios mínimos legales mensuales. Sin embargo, conforme lo señala la jurisprudencia del Consejo de Estado, de este límite </w:t>
            </w:r>
            <w:r>
              <w:rPr>
                <w:rFonts w:ascii="Verdana" w:eastAsia="Century Gothic" w:hAnsi="Verdana" w:cs="Century Gothic"/>
                <w:color w:val="000000" w:themeColor="text1"/>
                <w:lang w:val="es-ES"/>
              </w:rPr>
              <w:t>se han excluido las estipulaciones dirigidas a reajustar los precios pactados y aquellas con las que se busca restablecer el equilibrio económico del contrato. Esto se debe a que la adición supone agregar obligaciones al contrato y por ello incrementa su valor; en cambio, el reajuste actualiza el precio de prestaciones ya pactadas para conservar su valor intrínseco, y el restablecimiento restaura la ecuación económica rota, en cumplimiento de los deberes que el Estatuto impone a la entidad contratante.</w:t>
            </w:r>
          </w:p>
          <w:p w14:paraId="781630FB" w14:textId="77777777" w:rsidR="004C5D63" w:rsidRPr="00252E81" w:rsidRDefault="004C5D63" w:rsidP="002A053E">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En particular, el cambio de vigencia contractual puede generar la aplicación de las fórmulas de reajuste o actualización de precios previstas en el contrato. El mayor valor que resulte de su aplicación no constituye, por sí mismo, una adición sometida al límite del 50 %, en la medida en que corresponda a ítems o prestaciones ya definidos y pactados. En este supuesto, el reajuste opera como un mecanismo de actualización del precio de las prestaciones originalmente convenidas y no como una adición de su contenido prestacional.</w:t>
            </w:r>
          </w:p>
          <w:p w14:paraId="06620359" w14:textId="77777777" w:rsidR="004C5D63" w:rsidRPr="00252E81" w:rsidRDefault="004C5D63" w:rsidP="002A053E">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En consecuencia, si el reconocimiento económico corresponde exclusivamente a la actualización de los precios de prestaciones ya pactadas, </w:t>
            </w:r>
            <w:r>
              <w:rPr>
                <w:rFonts w:ascii="Verdana" w:eastAsia="Arial" w:hAnsi="Verdana" w:cs="Arial"/>
                <w:color w:val="000000" w:themeColor="text1"/>
                <w:lang w:val="es-ES" w:eastAsia="es-ES" w:bidi="es-ES"/>
              </w:rPr>
              <w:lastRenderedPageBreak/>
              <w:t xml:space="preserve">no se computa dentro del 50 %; mientras que, si el mayor valor supone incorporar nuevas prestaciones, otras obligaciones o una ampliación del contenido contractual, estará sometido al límite legal, sin perjuicio de lo dispuesto respecto de las mayores cantidades de obra cuando resulte aplicable. </w:t>
            </w:r>
          </w:p>
          <w:p w14:paraId="7927320A" w14:textId="77777777" w:rsidR="004C5D63" w:rsidRPr="00252E81" w:rsidRDefault="004C5D63" w:rsidP="002A053E">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Para establecer el límite del artículo 40 respecto de las adiciones que sí se encuentren sometidas a este, debe tomarse el valor inicial del contrato y </w:t>
            </w:r>
            <w:r w:rsidRPr="00BF5882">
              <w:rPr>
                <w:rFonts w:ascii="Verdana" w:eastAsia="Arial" w:hAnsi="Verdana" w:cs="Arial"/>
                <w:color w:val="000000" w:themeColor="text1"/>
                <w:lang w:val="es-ES" w:eastAsia="es-ES" w:bidi="es-ES"/>
              </w:rPr>
              <w:t xml:space="preserve">expresarlo en </w:t>
            </w:r>
            <w:r w:rsidRPr="008F0391">
              <w:rPr>
                <w:rFonts w:ascii="Verdana" w:eastAsia="Arial" w:hAnsi="Verdana" w:cs="Arial"/>
                <w:color w:val="000000" w:themeColor="text1"/>
                <w:lang w:val="es-ES" w:eastAsia="es-ES" w:bidi="es-ES"/>
              </w:rPr>
              <w:t>SMLMV</w:t>
            </w:r>
            <w:r w:rsidRPr="00BF5882">
              <w:rPr>
                <w:rFonts w:ascii="Verdana" w:eastAsia="Arial" w:hAnsi="Verdana" w:cs="Arial"/>
                <w:color w:val="000000" w:themeColor="text1"/>
                <w:lang w:val="es-ES" w:eastAsia="es-ES" w:bidi="es-ES"/>
              </w:rPr>
              <w:t xml:space="preserve">, para lo cual se divide el valor inicial en pesos entre el </w:t>
            </w:r>
            <w:r w:rsidRPr="008F0391">
              <w:rPr>
                <w:rFonts w:ascii="Verdana" w:eastAsia="Arial" w:hAnsi="Verdana" w:cs="Arial"/>
                <w:color w:val="000000" w:themeColor="text1"/>
                <w:lang w:val="es-ES" w:eastAsia="es-ES" w:bidi="es-ES"/>
              </w:rPr>
              <w:t>SMLMV</w:t>
            </w:r>
            <w:r w:rsidRPr="00BF5882">
              <w:rPr>
                <w:rFonts w:ascii="Verdana" w:eastAsia="Arial" w:hAnsi="Verdana" w:cs="Arial"/>
                <w:color w:val="000000" w:themeColor="text1"/>
                <w:lang w:val="es-ES" w:eastAsia="es-ES" w:bidi="es-ES"/>
              </w:rPr>
              <w:t xml:space="preserve"> vigente al momento de la celebración del contrato. El resultado corresponde al valor inicial expresado en </w:t>
            </w:r>
            <w:r w:rsidRPr="008F0391">
              <w:rPr>
                <w:rFonts w:ascii="Verdana" w:eastAsia="Arial" w:hAnsi="Verdana" w:cs="Arial"/>
                <w:color w:val="000000" w:themeColor="text1"/>
                <w:lang w:val="es-ES" w:eastAsia="es-ES" w:bidi="es-ES"/>
              </w:rPr>
              <w:t>SMLMV</w:t>
            </w:r>
            <w:r w:rsidRPr="00BF5882">
              <w:rPr>
                <w:rFonts w:ascii="Verdana" w:eastAsia="Arial" w:hAnsi="Verdana" w:cs="Arial"/>
                <w:color w:val="000000" w:themeColor="text1"/>
                <w:lang w:val="es-ES" w:eastAsia="es-ES" w:bidi="es-ES"/>
              </w:rPr>
              <w:t xml:space="preserve"> y sobre este se calcula el 50 %, que constituye el límite máximo de las adiciones. Las adiciones que se realicen durante la ejecución se expresan igualmente en </w:t>
            </w:r>
            <w:r w:rsidRPr="008F0391">
              <w:rPr>
                <w:rFonts w:ascii="Verdana" w:eastAsia="Arial" w:hAnsi="Verdana" w:cs="Arial"/>
                <w:color w:val="000000" w:themeColor="text1"/>
                <w:lang w:val="es-ES" w:eastAsia="es-ES" w:bidi="es-ES"/>
              </w:rPr>
              <w:t>SMLMV</w:t>
            </w:r>
            <w:r>
              <w:rPr>
                <w:rFonts w:ascii="Verdana" w:eastAsia="Arial" w:hAnsi="Verdana" w:cs="Arial"/>
                <w:color w:val="000000" w:themeColor="text1"/>
                <w:lang w:val="es-ES" w:eastAsia="es-ES" w:bidi="es-ES"/>
              </w:rPr>
              <w:t xml:space="preserve"> para efectos de verificar su acumulación frente a dicho límite. </w:t>
            </w:r>
          </w:p>
          <w:p w14:paraId="6FB79920" w14:textId="77777777" w:rsidR="004C5D63" w:rsidRDefault="004C5D63" w:rsidP="002A053E">
            <w:pPr>
              <w:widowControl w:val="0"/>
              <w:autoSpaceDE w:val="0"/>
              <w:autoSpaceDN w:val="0"/>
              <w:spacing w:before="12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Bajo estas consideraciones, frente a lo expuesto en la consulta, se precisa que la entidad debe establecer si el mayor valor resulta de aplicar una fórmula de actualización o una tarifa regulada que integra el mecanismo económico originalmente pactado, o si requiere modificar el precio contractual por fuera de las reglas de ajuste previstas.</w:t>
            </w:r>
            <w:r>
              <w:rPr>
                <w:rFonts w:ascii="Verdana" w:eastAsia="Arial" w:hAnsi="Verdana" w:cs="Arial"/>
                <w:color w:val="000000" w:themeColor="text1"/>
                <w:lang w:eastAsia="es-ES" w:bidi="es-ES"/>
              </w:rPr>
              <w:t xml:space="preserve"> De este modo, cuando el contrato contempla determinadas actividades y condiciones de prestación ya definidos, y el incremento obedece exclusivamente a la actualización de la tarifa aplicable, en principio, podría tratarse de un reajuste económico y no como una adición. Sin embargo, esta conclusión exige verificar el clausulado, el régimen tarifario aplicable y la correspondencia entre el ajuste reconocido y las prestaciones contratadas. Por tanto, para sustentar que el ajuste tarifario no computa dentro del 50 %, conviene demostrar que se trata de la ejecución de un mecanismo de reajuste previamente pactado y no de una modificación autónoma del valor contractual. </w:t>
            </w:r>
          </w:p>
          <w:p w14:paraId="717A4540" w14:textId="77777777" w:rsidR="004C5D63" w:rsidRDefault="004C5D63" w:rsidP="002A053E">
            <w:pPr>
              <w:widowControl w:val="0"/>
              <w:autoSpaceDE w:val="0"/>
              <w:autoSpaceDN w:val="0"/>
              <w:spacing w:before="12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En tal sentido, cuando el incremento corresponda a la aplicación de una cláusula de reajuste o actualización previamente pactada, la entidad podrá formalizar su reconocimiento mediante el instrumento previsto en el contrato y en sus procedimientos internos, por ejemplo, un acta de aplicación de la fórmula de reajuste o un acta de reconocimiento del valor actualizado. Para tales efectos, se recomienda que el instrumento que determine este reconocimiento incluya el </w:t>
            </w:r>
            <w:r>
              <w:rPr>
                <w:rFonts w:ascii="Verdana" w:eastAsia="Arial" w:hAnsi="Verdana" w:cs="Arial"/>
                <w:color w:val="000000" w:themeColor="text1"/>
                <w:lang w:eastAsia="es-ES" w:bidi="es-ES"/>
              </w:rPr>
              <w:t xml:space="preserve">análisis de la cláusula contractual de reajuste y justificación de la procedencia del reconocimiento, la explicación de la relación </w:t>
            </w:r>
            <w:r>
              <w:rPr>
                <w:rFonts w:ascii="Verdana" w:eastAsia="Arial" w:hAnsi="Verdana" w:cs="Arial"/>
                <w:color w:val="000000" w:themeColor="text1"/>
                <w:lang w:eastAsia="es-ES" w:bidi="es-ES"/>
              </w:rPr>
              <w:lastRenderedPageBreak/>
              <w:t>entre el mayor valor y las prestaciones inicialmente contratadas, la identificación de los recursos disponibles que respalden dicho reconocimiento y las reglas presupuestales aplicables.</w:t>
            </w:r>
          </w:p>
          <w:p w14:paraId="7ABFA65A" w14:textId="77777777" w:rsidR="004C5D63" w:rsidRDefault="004C5D63" w:rsidP="002A053E">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Por su parte, si del análisis se evidencia que el incremento constituye una verdadera adición y la inclusión de </w:t>
            </w:r>
            <w:r>
              <w:rPr>
                <w:rFonts w:ascii="Verdana" w:hAnsi="Verdana" w:cs="Arial"/>
                <w:color w:val="000000" w:themeColor="text1"/>
              </w:rPr>
              <w:t>nuevas prestaciones, otras obligaciones o una ampliación del contenido contractual</w:t>
            </w:r>
            <w:r>
              <w:rPr>
                <w:rFonts w:ascii="Verdana" w:eastAsia="Arial" w:hAnsi="Verdana" w:cs="Arial"/>
                <w:color w:val="000000" w:themeColor="text1"/>
                <w:lang w:val="es-ES" w:eastAsia="es-ES" w:bidi="es-ES"/>
              </w:rPr>
              <w:t>, el carácter obligatorio de las tarifas mínimas no crea, por sí mismo, una excepción al límite del parágrafo del artículo 40 de la Ley 80 de 1993. La entidad no puede superar el tope legal por el solo hecho de que el incremento derive de disposiciones normativas, ni puede formalizar una adición superior al límite mediante un acta de reconocimiento u otra denominación contractual.</w:t>
            </w:r>
          </w:p>
          <w:p w14:paraId="255DBF83" w14:textId="77777777" w:rsidR="004C5D63" w:rsidRPr="0081321C" w:rsidRDefault="004C5D63" w:rsidP="002A053E">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En conclusión, el mayor valor que corresponda a la actualización de precios de ítems ya definidos (reajuste) o al restablecimiento del equilibrio por </w:t>
            </w:r>
            <w:proofErr w:type="gramStart"/>
            <w:r>
              <w:rPr>
                <w:rFonts w:ascii="Verdana" w:eastAsia="Arial" w:hAnsi="Verdana" w:cs="Arial"/>
                <w:color w:val="000000" w:themeColor="text1"/>
                <w:lang w:val="es-ES" w:eastAsia="es-ES" w:bidi="es-ES"/>
              </w:rPr>
              <w:t>un alea extraordinaria</w:t>
            </w:r>
            <w:proofErr w:type="gramEnd"/>
            <w:r>
              <w:rPr>
                <w:rFonts w:ascii="Verdana" w:eastAsia="Arial" w:hAnsi="Verdana" w:cs="Arial"/>
                <w:color w:val="000000" w:themeColor="text1"/>
                <w:lang w:val="es-ES" w:eastAsia="es-ES" w:bidi="es-ES"/>
              </w:rPr>
              <w:t xml:space="preserve"> no se computa dentro del cincuenta por ciento (50 %). Con todo, esta calificación no puede convertirse en un argumento para eludir el tope: el reajuste presupone precios de prestaciones ya pactadas, y el restablecimiento exige acreditar una afectación grave, sobreviniente, imprevisible y no imputable a la parte afectada, en los términos del artículo 27 de la Ley 80 de 1993; de lo contrario, el incremento constituye una adición y queda sometido al límite del artículo 40.</w:t>
            </w:r>
          </w:p>
        </w:tc>
      </w:tr>
    </w:tbl>
    <w:p w14:paraId="5112A9F3" w14:textId="77777777" w:rsidR="004C5D63" w:rsidRPr="00F04F3B" w:rsidRDefault="004C5D63" w:rsidP="004C5D6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40EAD29" w14:textId="77777777" w:rsidR="004C5D63" w:rsidRPr="00F04F3B" w:rsidRDefault="004C5D63" w:rsidP="004C5D6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color w:val="000000" w:themeColor="text1"/>
        </w:rPr>
        <w:t>Razones de la respuesta:</w:t>
      </w:r>
    </w:p>
    <w:p w14:paraId="5215EE96" w14:textId="77777777" w:rsidR="004C5D63" w:rsidRPr="00F04F3B" w:rsidRDefault="004C5D63" w:rsidP="004C5D63">
      <w:pPr>
        <w:spacing w:after="0" w:line="276" w:lineRule="auto"/>
        <w:jc w:val="both"/>
        <w:rPr>
          <w:rFonts w:ascii="Verdana" w:eastAsia="Calibri" w:hAnsi="Verdana" w:cs="Arial"/>
          <w:color w:val="000000" w:themeColor="text1"/>
          <w:lang w:val="es-ES"/>
        </w:rPr>
      </w:pPr>
    </w:p>
    <w:p w14:paraId="2E6ED187" w14:textId="77777777" w:rsidR="004C5D63" w:rsidRDefault="004C5D63" w:rsidP="004C5D63">
      <w:pPr>
        <w:spacing w:after="0" w:line="276" w:lineRule="auto"/>
        <w:jc w:val="both"/>
        <w:rPr>
          <w:rFonts w:ascii="Verdana" w:eastAsia="Calibri" w:hAnsi="Verdana" w:cs="Arial"/>
          <w:color w:val="000000" w:themeColor="text1"/>
          <w:lang w:val="es-ES"/>
        </w:rPr>
      </w:pPr>
      <w:r w:rsidRPr="00F04F3B">
        <w:rPr>
          <w:rFonts w:ascii="Verdana" w:eastAsia="Calibri" w:hAnsi="Verdana" w:cs="Arial"/>
          <w:color w:val="000000" w:themeColor="text1"/>
          <w:lang w:val="es-ES"/>
        </w:rPr>
        <w:t xml:space="preserve">Lo anterior se sustenta en las siguientes consideraciones: </w:t>
      </w:r>
    </w:p>
    <w:p w14:paraId="6C68E422" w14:textId="77777777" w:rsidR="004C5D63" w:rsidRPr="00F04F3B" w:rsidRDefault="004C5D63" w:rsidP="004C5D63">
      <w:pPr>
        <w:spacing w:after="0" w:line="276" w:lineRule="auto"/>
        <w:jc w:val="both"/>
        <w:rPr>
          <w:rFonts w:ascii="Verdana" w:eastAsia="Calibri" w:hAnsi="Verdana" w:cs="Arial"/>
          <w:color w:val="000000" w:themeColor="text1"/>
          <w:lang w:val="es-ES"/>
        </w:rPr>
      </w:pPr>
    </w:p>
    <w:p w14:paraId="0F04E01E" w14:textId="77777777" w:rsidR="004C5D63" w:rsidRDefault="004C5D63" w:rsidP="004C5D63">
      <w:pPr>
        <w:tabs>
          <w:tab w:val="left" w:pos="284"/>
        </w:tabs>
        <w:spacing w:line="276" w:lineRule="auto"/>
        <w:jc w:val="both"/>
        <w:rPr>
          <w:rFonts w:ascii="Verdana" w:eastAsia="Arial" w:hAnsi="Verdana" w:cs="Arial"/>
          <w:color w:val="000000"/>
          <w:lang w:eastAsia="es-ES" w:bidi="es-ES"/>
        </w:rPr>
      </w:pPr>
      <w:r w:rsidRPr="00EC70DD">
        <w:rPr>
          <w:rFonts w:ascii="Verdana" w:eastAsia="Verdana" w:hAnsi="Verdana" w:cs="Verdana"/>
          <w:lang w:val="es-ES"/>
        </w:rPr>
        <w:t>i</w:t>
      </w:r>
      <w:r>
        <w:rPr>
          <w:rFonts w:ascii="Verdana" w:eastAsia="Verdana" w:hAnsi="Verdana" w:cs="Verdana"/>
          <w:lang w:val="es-ES"/>
        </w:rPr>
        <w:t xml:space="preserve">. </w:t>
      </w:r>
      <w:r>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Pr>
          <w:rFonts w:ascii="Verdana" w:eastAsia="Arial" w:hAnsi="Verdana" w:cs="Arial"/>
          <w:i/>
          <w:iCs/>
          <w:color w:val="000000"/>
          <w:lang w:eastAsia="es-ES" w:bidi="es-ES"/>
        </w:rPr>
        <w:t xml:space="preserve">adición </w:t>
      </w:r>
      <w:r>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4916AACD" w14:textId="77777777" w:rsidR="004C5D63" w:rsidRDefault="004C5D63" w:rsidP="004C5D63">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w:t>
      </w:r>
      <w:r>
        <w:rPr>
          <w:rFonts w:ascii="Verdana" w:eastAsia="Calibri" w:hAnsi="Verdana" w:cs="Arial"/>
          <w:color w:val="000000"/>
          <w:szCs w:val="24"/>
          <w:lang w:eastAsia="es-ES_tradnl"/>
        </w:rPr>
        <w:lastRenderedPageBreak/>
        <w:t xml:space="preserve">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Pr>
          <w:rFonts w:ascii="Verdana" w:eastAsia="Calibri" w:hAnsi="Verdana" w:cs="Arial"/>
          <w:color w:val="000000"/>
          <w:szCs w:val="24"/>
          <w:lang w:eastAsia="es-ES_tradnl"/>
        </w:rPr>
        <w:t>ii</w:t>
      </w:r>
      <w:proofErr w:type="spellEnd"/>
      <w:r>
        <w:rPr>
          <w:rFonts w:ascii="Verdana" w:eastAsia="Calibri" w:hAnsi="Verdana" w:cs="Arial"/>
          <w:color w:val="000000"/>
          <w:szCs w:val="24"/>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05A35464" w14:textId="77777777" w:rsidR="004C5D63" w:rsidRDefault="004C5D63" w:rsidP="004C5D63">
      <w:pPr>
        <w:spacing w:after="120" w:line="276" w:lineRule="auto"/>
        <w:ind w:firstLine="709"/>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Lo importante es que, frente a </w:t>
      </w:r>
      <w:r w:rsidRPr="007D366B">
        <w:rPr>
          <w:rFonts w:ascii="Verdana" w:eastAsia="Calibri" w:hAnsi="Verdana" w:cs="Arial"/>
          <w:color w:val="000000"/>
          <w:szCs w:val="24"/>
          <w:lang w:eastAsia="es-ES_tradnl"/>
        </w:rPr>
        <w:t>cualquier incremento del valor inicial</w:t>
      </w:r>
      <w:r>
        <w:rPr>
          <w:rFonts w:ascii="Verdana" w:eastAsia="Calibri" w:hAnsi="Verdana" w:cs="Arial"/>
          <w:color w:val="000000"/>
          <w:szCs w:val="24"/>
          <w:lang w:eastAsia="es-ES_tradnl"/>
        </w:rPr>
        <w:t xml:space="preserve"> del contrato</w:t>
      </w:r>
      <w:r>
        <w:rPr>
          <w:rFonts w:ascii="Verdana" w:eastAsia="Calibri" w:hAnsi="Verdana" w:cs="Arial"/>
          <w:i/>
          <w:iCs/>
          <w:color w:val="000000"/>
          <w:szCs w:val="24"/>
          <w:lang w:eastAsia="es-ES_tradnl"/>
        </w:rPr>
        <w:t xml:space="preserve"> </w:t>
      </w:r>
      <w:r>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r>
        <w:rPr>
          <w:rFonts w:ascii="Verdana" w:eastAsia="Calibri" w:hAnsi="Verdana" w:cs="Arial"/>
          <w:color w:val="000000"/>
          <w:szCs w:val="24"/>
          <w:vertAlign w:val="superscript"/>
          <w:lang w:eastAsia="es-ES_tradnl"/>
        </w:rPr>
        <w:footnoteReference w:id="2"/>
      </w:r>
      <w:r>
        <w:rPr>
          <w:rFonts w:ascii="Verdana" w:eastAsia="Calibri" w:hAnsi="Verdana" w:cs="Arial"/>
          <w:color w:val="000000"/>
          <w:szCs w:val="24"/>
          <w:lang w:eastAsia="es-ES_tradnl"/>
        </w:rPr>
        <w:t>.</w:t>
      </w:r>
    </w:p>
    <w:p w14:paraId="65E9329A" w14:textId="77777777" w:rsidR="004C5D63" w:rsidRDefault="004C5D63" w:rsidP="004C5D63">
      <w:pPr>
        <w:spacing w:after="120" w:line="276" w:lineRule="auto"/>
        <w:ind w:firstLine="709"/>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w:t>
      </w:r>
      <w:r>
        <w:rPr>
          <w:rFonts w:ascii="Verdana" w:eastAsia="Calibri" w:hAnsi="Verdana" w:cs="Arial"/>
          <w:color w:val="000000"/>
          <w:szCs w:val="24"/>
          <w:lang w:eastAsia="es-ES_tradnl"/>
        </w:rPr>
        <w:lastRenderedPageBreak/>
        <w:t xml:space="preserve">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E473994" w14:textId="77777777" w:rsidR="004C5D63" w:rsidRDefault="004C5D63" w:rsidP="004C5D63">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expresada en SMLMV, y valga la redundancia, el valor inicial es el contemplado en el contrato originario y cualquier alteración a ese valor constituirá, técnicamente, una adición, independientemente de cuál sea su causa. </w:t>
      </w:r>
    </w:p>
    <w:p w14:paraId="4D78B15D" w14:textId="77777777" w:rsidR="004C5D63" w:rsidRDefault="004C5D63" w:rsidP="004C5D63">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Sin perjuicio de lo anterior, actualmente existe una posibilidad para adicionar contratos en más del cincuenta por ciento (50%) del valor inicial del contrato expresado en SMLMV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2A392B62" w14:textId="77777777" w:rsidR="004C5D63" w:rsidRDefault="004C5D63" w:rsidP="004C5D63">
      <w:pPr>
        <w:spacing w:after="120" w:line="276" w:lineRule="auto"/>
        <w:ind w:firstLine="709"/>
        <w:jc w:val="both"/>
        <w:rPr>
          <w:rFonts w:ascii="Verdana" w:hAnsi="Verdana" w:cs="Arial"/>
          <w:lang w:eastAsia="es-ES_tradnl"/>
        </w:rPr>
      </w:pPr>
      <w:r>
        <w:rPr>
          <w:rFonts w:ascii="Verdana" w:eastAsia="Calibri" w:hAnsi="Verdana" w:cs="Arial"/>
          <w:color w:val="000000"/>
          <w:szCs w:val="24"/>
          <w:lang w:eastAsia="es-ES_tradnl"/>
        </w:rPr>
        <w:t xml:space="preserve">Igualmente, </w:t>
      </w:r>
      <w:r>
        <w:rPr>
          <w:rFonts w:ascii="Verdana" w:hAnsi="Verdana" w:cs="Arial"/>
          <w:szCs w:val="24"/>
          <w:lang w:eastAsia="es-ES_tradnl"/>
        </w:rPr>
        <w:t>conforme ha precisado esta Subdirección, en línea con lo dispuesto por la jurisprudencia del Consejo de Estado, el límite a la adición previsto en segundo inciso del parágrafo del artículo 40 de la Ley 80 de 1993, no resulta aplicable a</w:t>
      </w:r>
      <w:r>
        <w:rPr>
          <w:rFonts w:ascii="Verdana" w:hAnsi="Verdana" w:cs="Arial"/>
          <w:lang w:eastAsia="es-ES_tradnl"/>
        </w:rPr>
        <w:t xml:space="preserve"> las mayores cantidades que deban ejecutarse en el marco de contratos cuya contraprestación se haya pactado bajo la modalidad de precios </w:t>
      </w:r>
      <w:r>
        <w:rPr>
          <w:rFonts w:ascii="Verdana" w:hAnsi="Verdana" w:cs="Arial"/>
          <w:lang w:eastAsia="es-ES_tradnl"/>
        </w:rPr>
        <w:lastRenderedPageBreak/>
        <w:t>unitarios</w:t>
      </w:r>
      <w:r>
        <w:rPr>
          <w:rStyle w:val="Refdenotaalpie"/>
          <w:rFonts w:ascii="Verdana" w:hAnsi="Verdana" w:cs="Arial"/>
          <w:lang w:eastAsia="es-ES_tradnl"/>
        </w:rPr>
        <w:footnoteReference w:id="3"/>
      </w:r>
      <w:r>
        <w:rPr>
          <w:rFonts w:ascii="Verdana" w:hAnsi="Verdana" w:cs="Arial"/>
          <w:lang w:eastAsia="es-ES_tradnl"/>
        </w:rPr>
        <w:t xml:space="preserve">. </w:t>
      </w:r>
      <w:r>
        <w:rPr>
          <w:rFonts w:ascii="Verdana" w:eastAsia="Calibri" w:hAnsi="Verdana" w:cs="Arial"/>
        </w:rPr>
        <w:t xml:space="preserve">De acuerdo con la jurisprudencia reciente, esta limitación no es aplicable a dichos contratos, </w:t>
      </w:r>
      <w:r>
        <w:rPr>
          <w:rFonts w:ascii="Verdana" w:hAnsi="Verdana" w:cs="Arial"/>
          <w:lang w:eastAsia="es-ES_tradnl"/>
        </w:rPr>
        <w:t>por cuanto en estos contratos el valor estipulado es estimativo y está sujeto a multiplicar las cantidades de obra ejecutadas por el precio de cada una de ellas</w:t>
      </w:r>
      <w:r>
        <w:rPr>
          <w:rStyle w:val="Refdenotaalpie"/>
          <w:rFonts w:ascii="Verdana" w:hAnsi="Verdana" w:cs="Arial"/>
          <w:lang w:eastAsia="es-ES_tradnl"/>
        </w:rPr>
        <w:footnoteReference w:id="4"/>
      </w:r>
      <w:r>
        <w:rPr>
          <w:rFonts w:ascii="Verdana" w:hAnsi="Verdana" w:cs="Arial"/>
          <w:lang w:eastAsia="es-ES_tradnl"/>
        </w:rPr>
        <w:t>.</w:t>
      </w:r>
    </w:p>
    <w:p w14:paraId="6E4205F9" w14:textId="77777777" w:rsidR="004C5D63" w:rsidRDefault="004C5D63" w:rsidP="004C5D63">
      <w:pPr>
        <w:spacing w:after="120" w:line="276" w:lineRule="auto"/>
        <w:ind w:firstLine="708"/>
        <w:jc w:val="both"/>
        <w:rPr>
          <w:rFonts w:ascii="Verdana" w:hAnsi="Verdana"/>
        </w:rPr>
      </w:pPr>
      <w:r>
        <w:rPr>
          <w:rFonts w:ascii="Verdana" w:eastAsia="Calibri" w:hAnsi="Verdana" w:cs="Arial"/>
        </w:rPr>
        <w:t xml:space="preserve">Sin perjuicio de lo expuesto, </w:t>
      </w:r>
      <w:r>
        <w:rPr>
          <w:rFonts w:ascii="Verdana" w:hAnsi="Verdana"/>
        </w:rPr>
        <w:t xml:space="preserve">fuera de los límites cuantitativos establecidos en el parágrafo del artículo 40 de la Ley 80 de 1993 y de la cláusula excepcional de modificación de los contratos estatales, no existe un desarrollo legal o reglamentario sobre las reglas aplicables a la modificación del contrato estatales. </w:t>
      </w:r>
      <w:r>
        <w:rPr>
          <w:rFonts w:ascii="Verdana" w:eastAsia="Calibri" w:hAnsi="Verdana" w:cs="Arial"/>
          <w:lang w:val="es-MX" w:eastAsia="es-ES_tradnl"/>
        </w:rPr>
        <w:t>E</w:t>
      </w:r>
      <w:r>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Pr>
          <w:rFonts w:ascii="Verdana" w:eastAsia="Arial" w:hAnsi="Verdana" w:cs="Arial"/>
          <w:lang w:val="es-ES_tradnl" w:eastAsia="es-ES" w:bidi="es-ES"/>
        </w:rPr>
        <w:t>.</w:t>
      </w:r>
      <w:r>
        <w:rPr>
          <w:rFonts w:ascii="Verdana" w:eastAsia="Calibri" w:hAnsi="Verdana" w:cs="Arial"/>
          <w:bCs/>
          <w:lang w:val="es-ES_tradnl" w:eastAsia="es-ES_tradnl"/>
        </w:rPr>
        <w:t xml:space="preserve"> </w:t>
      </w:r>
    </w:p>
    <w:p w14:paraId="75EC0436" w14:textId="77777777" w:rsidR="004C5D63" w:rsidRDefault="004C5D63" w:rsidP="004C5D63">
      <w:pPr>
        <w:widowControl w:val="0"/>
        <w:tabs>
          <w:tab w:val="left" w:pos="709"/>
        </w:tabs>
        <w:autoSpaceDE w:val="0"/>
        <w:autoSpaceDN w:val="0"/>
        <w:spacing w:after="0" w:line="276" w:lineRule="auto"/>
        <w:jc w:val="both"/>
        <w:rPr>
          <w:rFonts w:ascii="Verdana" w:hAnsi="Verdana"/>
        </w:rPr>
      </w:pPr>
      <w:r>
        <w:rPr>
          <w:rFonts w:ascii="Verdana" w:eastAsia="Calibri" w:hAnsi="Verdana" w:cs="Arial"/>
          <w:bCs/>
          <w:lang w:eastAsia="es-ES_tradnl"/>
        </w:rPr>
        <w:tab/>
      </w:r>
      <w:r>
        <w:rPr>
          <w:rFonts w:ascii="Verdana" w:eastAsia="Calibri" w:hAnsi="Verdana" w:cs="Arial"/>
          <w:lang w:eastAsia="es-ES_tradnl"/>
        </w:rPr>
        <w:t>Sumado a lo anterior, la posibilidad de ejecutar por encima del valor inicialmente estimado un contrato estructurado en el marco del sistema precios unitarios no puede usarse para desconocer la modalidad de selección aplicable al caso, de acuerdo con la cuantía del Proceso de Contratación, con miras a garantizar la transparencia, la selección objetiva y el principio de planeación en la actividad contractual.</w:t>
      </w:r>
      <w:r>
        <w:rPr>
          <w:rFonts w:ascii="Verdana" w:eastAsia="Calibri" w:hAnsi="Verdana" w:cs="Arial"/>
        </w:rPr>
        <w:t xml:space="preserve"> Si bien en los contratos pactados en la </w:t>
      </w:r>
      <w:r>
        <w:rPr>
          <w:rFonts w:ascii="Verdana" w:hAnsi="Verdana"/>
        </w:rPr>
        <w:t>modalidad de precios unitarios el valor inicial es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w:t>
      </w:r>
    </w:p>
    <w:p w14:paraId="7A6A750A" w14:textId="77777777" w:rsidR="004C5D63" w:rsidRPr="0080748C" w:rsidRDefault="004C5D63" w:rsidP="004C5D63">
      <w:pPr>
        <w:widowControl w:val="0"/>
        <w:tabs>
          <w:tab w:val="left" w:pos="709"/>
        </w:tabs>
        <w:autoSpaceDE w:val="0"/>
        <w:autoSpaceDN w:val="0"/>
        <w:spacing w:after="0" w:line="276" w:lineRule="auto"/>
        <w:jc w:val="both"/>
        <w:rPr>
          <w:rFonts w:ascii="Verdana" w:hAnsi="Verdana"/>
        </w:rPr>
      </w:pPr>
    </w:p>
    <w:p w14:paraId="6118F059" w14:textId="77777777" w:rsidR="004C5D63" w:rsidRPr="003313B3" w:rsidRDefault="004C5D63" w:rsidP="004C5D63">
      <w:pPr>
        <w:spacing w:line="276" w:lineRule="auto"/>
        <w:jc w:val="both"/>
        <w:rPr>
          <w:rFonts w:ascii="Verdana" w:eastAsia="Century Gothic" w:hAnsi="Verdana" w:cs="Century Gothic"/>
          <w:color w:val="000000" w:themeColor="text1"/>
          <w:lang w:val="es-ES"/>
        </w:rPr>
      </w:pPr>
      <w:proofErr w:type="spellStart"/>
      <w:r w:rsidRPr="00B66367">
        <w:rPr>
          <w:rFonts w:ascii="Verdana" w:hAnsi="Verdana"/>
          <w:lang w:val="es-ES"/>
        </w:rPr>
        <w:lastRenderedPageBreak/>
        <w:t>ii</w:t>
      </w:r>
      <w:proofErr w:type="spellEnd"/>
      <w:r>
        <w:rPr>
          <w:rFonts w:ascii="Verdana" w:hAnsi="Verdana"/>
          <w:b/>
          <w:bCs/>
          <w:lang w:val="es-ES"/>
        </w:rPr>
        <w:t>.</w:t>
      </w:r>
      <w:r w:rsidRPr="00F04F3B">
        <w:rPr>
          <w:rFonts w:ascii="Verdana" w:hAnsi="Verdana"/>
          <w:lang w:val="es-ES"/>
        </w:rPr>
        <w:t xml:space="preserve"> </w:t>
      </w:r>
      <w:r>
        <w:rPr>
          <w:rFonts w:ascii="Verdana" w:hAnsi="Verdana"/>
          <w:lang w:val="es-ES"/>
        </w:rPr>
        <w:t xml:space="preserve">Ahora bien, frente a lo expuesto resulta pertinente hacer referencia a la aplicación del límite del parágrafo del artículo 40 de la Ley 80 de 1993 en relación con </w:t>
      </w:r>
      <w:r>
        <w:rPr>
          <w:rFonts w:ascii="Verdana" w:eastAsia="Century Gothic" w:hAnsi="Verdana" w:cs="Century Gothic"/>
          <w:color w:val="000000" w:themeColor="text1"/>
          <w:lang w:val="es-ES"/>
        </w:rPr>
        <w:t>los mecanismos de</w:t>
      </w:r>
      <w:r w:rsidRPr="00F04F3B">
        <w:rPr>
          <w:rFonts w:ascii="Verdana" w:eastAsia="Century Gothic" w:hAnsi="Verdana" w:cs="Century Gothic"/>
          <w:color w:val="000000" w:themeColor="text1"/>
          <w:lang w:val="es-ES"/>
        </w:rPr>
        <w:t xml:space="preserve"> reajuste </w:t>
      </w:r>
      <w:r>
        <w:rPr>
          <w:rFonts w:ascii="Verdana" w:eastAsia="Century Gothic" w:hAnsi="Verdana" w:cs="Century Gothic"/>
          <w:color w:val="000000" w:themeColor="text1"/>
          <w:lang w:val="es-ES"/>
        </w:rPr>
        <w:t xml:space="preserve">y de revisión </w:t>
      </w:r>
      <w:r w:rsidRPr="00F04F3B">
        <w:rPr>
          <w:rFonts w:ascii="Verdana" w:eastAsia="Century Gothic" w:hAnsi="Verdana" w:cs="Century Gothic"/>
          <w:color w:val="000000" w:themeColor="text1"/>
          <w:lang w:val="es-ES"/>
        </w:rPr>
        <w:t>de precios</w:t>
      </w:r>
      <w:r>
        <w:rPr>
          <w:rFonts w:ascii="Verdana" w:eastAsia="Century Gothic" w:hAnsi="Verdana" w:cs="Century Gothic"/>
          <w:color w:val="000000" w:themeColor="text1"/>
          <w:lang w:val="es-ES"/>
        </w:rPr>
        <w:t xml:space="preserve">. </w:t>
      </w:r>
      <w:r w:rsidRPr="00F04F3B">
        <w:rPr>
          <w:rFonts w:ascii="Verdana" w:eastAsia="Arial" w:hAnsi="Verdana" w:cs="Arial"/>
          <w:color w:val="000000" w:themeColor="text1"/>
          <w:lang w:val="es-ES" w:eastAsia="es-ES" w:bidi="es-ES"/>
        </w:rPr>
        <w:t xml:space="preserve">Por remisión de los artículos 13, 32 y 40 del EGCAP al derecho privado, el contrato es ley para las partes conforme al artículo 1602 del Código Civil. Sin embargo, aunque la </w:t>
      </w:r>
      <w:r w:rsidRPr="00F04F3B">
        <w:rPr>
          <w:rFonts w:ascii="Verdana" w:eastAsia="Arial" w:hAnsi="Verdana" w:cs="Arial"/>
          <w:i/>
          <w:iCs/>
          <w:color w:val="000000" w:themeColor="text1"/>
          <w:lang w:val="es-ES" w:eastAsia="es-ES" w:bidi="es-ES"/>
        </w:rPr>
        <w:t>regla general</w:t>
      </w:r>
      <w:r w:rsidRPr="00F04F3B">
        <w:rPr>
          <w:rFonts w:ascii="Verdana" w:eastAsia="Arial" w:hAnsi="Verdana" w:cs="Arial"/>
          <w:color w:val="000000" w:themeColor="text1"/>
          <w:lang w:val="es-ES" w:eastAsia="es-ES" w:bidi="es-ES"/>
        </w:rPr>
        <w:t xml:space="preserve"> es el cumplimiento de los precios pactados, </w:t>
      </w:r>
      <w:r w:rsidRPr="00F04F3B">
        <w:rPr>
          <w:rFonts w:ascii="Verdana" w:eastAsia="Arial" w:hAnsi="Verdana" w:cs="Arial"/>
          <w:i/>
          <w:iCs/>
          <w:color w:val="000000" w:themeColor="text1"/>
          <w:lang w:val="es-ES" w:eastAsia="es-ES" w:bidi="es-ES"/>
        </w:rPr>
        <w:t>de forma excepcional</w:t>
      </w:r>
      <w:r w:rsidRPr="00F04F3B">
        <w:rPr>
          <w:rFonts w:ascii="Verdana" w:eastAsia="Arial" w:hAnsi="Verdana" w:cs="Arial"/>
          <w:color w:val="000000" w:themeColor="text1"/>
          <w:lang w:val="es-ES" w:eastAsia="es-ES" w:bidi="es-ES"/>
        </w:rPr>
        <w:t xml:space="preserve"> pueden surgir circunstancias imprevistas que hagan la ejecución excesivamente gravosa, por lo que se han creado mecanismos para mantener la equidad y el equilibrio entre las obligaciones. De esta manera, los contratos estatales deben pactarse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14C97FF2" w14:textId="77777777" w:rsidR="004C5D63" w:rsidRPr="00F04F3B" w:rsidRDefault="004C5D63" w:rsidP="004C5D6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113E12D3" w14:textId="77777777" w:rsidR="004C5D63" w:rsidRPr="00F04F3B" w:rsidRDefault="004C5D63" w:rsidP="004C5D63">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3" w:anchor="25" w:history="1">
        <w:r w:rsidRPr="00F04F3B">
          <w:rPr>
            <w:rFonts w:ascii="Verdana" w:hAnsi="Verdana" w:cs="Arial"/>
            <w:sz w:val="20"/>
            <w:szCs w:val="20"/>
            <w:lang w:val="es-ES" w:eastAsia="es-ES" w:bidi="es-ES"/>
          </w:rPr>
          <w:t>25</w:t>
        </w:r>
      </w:hyperlink>
      <w:r w:rsidRPr="00F04F3B">
        <w:rPr>
          <w:rFonts w:ascii="Verdana" w:eastAsia="Arial" w:hAnsi="Verdana" w:cs="Arial"/>
          <w:color w:val="000000" w:themeColor="text1"/>
          <w:sz w:val="20"/>
          <w:szCs w:val="20"/>
          <w:lang w:val="es-ES" w:eastAsia="es-ES" w:bidi="es-ES"/>
        </w:rPr>
        <w:t>. En todo caso, las entidades deberán adoptar las medidas necesarias que aseguren la efectividad de estos pagos y reconocimientos al contratista en la misma o en la siguiente vigencia de que se trate”.</w:t>
      </w:r>
    </w:p>
    <w:p w14:paraId="1564ED11" w14:textId="77777777" w:rsidR="004C5D63" w:rsidRPr="00F04F3B" w:rsidRDefault="004C5D63" w:rsidP="004C5D6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5BE7526E" w14:textId="77777777" w:rsidR="004C5D63" w:rsidRPr="00F04F3B" w:rsidRDefault="004C5D63" w:rsidP="004C5D63">
      <w:pPr>
        <w:autoSpaceDE w:val="0"/>
        <w:autoSpaceDN w:val="0"/>
        <w:adjustRightInd w:val="0"/>
        <w:spacing w:after="0" w:line="276" w:lineRule="auto"/>
        <w:ind w:firstLine="709"/>
        <w:jc w:val="both"/>
        <w:rPr>
          <w:rFonts w:ascii="Verdana" w:hAnsi="Verdana" w:cs="Arial"/>
          <w:lang w:val="es-ES"/>
        </w:rPr>
      </w:pPr>
      <w:r w:rsidRPr="00F04F3B">
        <w:rPr>
          <w:rFonts w:ascii="Verdana" w:eastAsia="Arial" w:hAnsi="Verdana" w:cs="Arial"/>
          <w:color w:val="000000" w:themeColor="text1"/>
          <w:lang w:val="es-ES" w:eastAsia="es-ES" w:bidi="es-ES"/>
        </w:rPr>
        <w:t xml:space="preserve">Sobre el principio del equilibrio financiero del contrato, el Consejo de Estado ha señalado que consiste “en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w:t>
      </w:r>
      <w:r w:rsidRPr="00F04F3B">
        <w:rPr>
          <w:rFonts w:ascii="Verdana" w:eastAsia="Arial" w:hAnsi="Verdana" w:cs="Arial"/>
          <w:color w:val="000000" w:themeColor="text1"/>
          <w:lang w:val="es-ES" w:eastAsia="es-ES" w:bidi="es-ES"/>
        </w:rPr>
        <w:lastRenderedPageBreak/>
        <w:t>incurrir en una responsabilidad contractual tendiente a restituir tal equilibrio”</w:t>
      </w:r>
      <w:r w:rsidRPr="00F04F3B">
        <w:rPr>
          <w:rStyle w:val="Refdenotaalpie"/>
          <w:rFonts w:ascii="Verdana" w:eastAsia="Arial" w:hAnsi="Verdana" w:cs="Arial"/>
          <w:color w:val="000000" w:themeColor="text1"/>
          <w:lang w:val="es-ES" w:eastAsia="es-ES" w:bidi="es-ES"/>
        </w:rPr>
        <w:footnoteReference w:id="5"/>
      </w:r>
      <w:r w:rsidRPr="00F04F3B">
        <w:rPr>
          <w:rFonts w:ascii="Verdana" w:eastAsia="Arial" w:hAnsi="Verdana" w:cs="Arial"/>
          <w:color w:val="000000" w:themeColor="text1"/>
          <w:lang w:val="es-ES" w:eastAsia="es-ES" w:bidi="es-ES"/>
        </w:rPr>
        <w:t>. En concordancia, la doctrina ha indicado que con este</w:t>
      </w:r>
      <w:r w:rsidRPr="00F04F3B">
        <w:rPr>
          <w:rFonts w:ascii="Verdana" w:hAnsi="Verdana" w:cs="Arial"/>
          <w:lang w:val="es-ES"/>
        </w:rPr>
        <w:t xml:space="preserve"> principio, también denominado </w:t>
      </w:r>
      <w:r w:rsidRPr="00F04F3B">
        <w:rPr>
          <w:rFonts w:ascii="Verdana" w:eastAsia="Arial" w:hAnsi="Verdana" w:cs="Arial"/>
          <w:color w:val="000000" w:themeColor="text1"/>
          <w:lang w:val="es-ES" w:eastAsia="es-ES" w:bidi="es-ES"/>
        </w:rPr>
        <w:t>“</w:t>
      </w:r>
      <w:r w:rsidRPr="00F04F3B">
        <w:rPr>
          <w:rFonts w:ascii="Verdana" w:hAnsi="Verdana" w:cs="Arial"/>
          <w:lang w:val="es-ES"/>
        </w:rPr>
        <w:t>el de la honesta equivalencia de prestaciones</w:t>
      </w:r>
      <w:r w:rsidRPr="00F04F3B">
        <w:rPr>
          <w:rFonts w:ascii="Verdana" w:eastAsia="Arial" w:hAnsi="Verdana" w:cs="Arial"/>
          <w:color w:val="000000" w:themeColor="text1"/>
          <w:lang w:val="es-ES" w:eastAsia="es-ES" w:bidi="es-ES"/>
        </w:rPr>
        <w:t>”</w:t>
      </w:r>
      <w:r w:rsidRPr="00F04F3B">
        <w:rPr>
          <w:rFonts w:ascii="Verdana" w:hAnsi="Verdana" w:cs="Arial"/>
          <w:lang w:val="es-ES"/>
        </w:rPr>
        <w:t xml:space="preserve">, se privilegia el carácter conmutativo o sinalagmático que, por regla general, tiene el contrato estatal, </w:t>
      </w:r>
      <w:r w:rsidRPr="00F04F3B">
        <w:rPr>
          <w:rFonts w:ascii="Verdana" w:eastAsia="Arial" w:hAnsi="Verdana" w:cs="Arial"/>
          <w:color w:val="000000" w:themeColor="text1"/>
          <w:lang w:val="es-ES" w:eastAsia="es-ES" w:bidi="es-ES"/>
        </w:rPr>
        <w:t>“</w:t>
      </w:r>
      <w:r w:rsidRPr="00F04F3B">
        <w:rPr>
          <w:rFonts w:ascii="Verdana" w:hAnsi="Verdana" w:cs="Arial"/>
          <w:lang w:val="es-ES"/>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F04F3B">
        <w:rPr>
          <w:rFonts w:ascii="Verdana" w:eastAsia="Arial" w:hAnsi="Verdana" w:cs="Arial"/>
          <w:color w:val="000000" w:themeColor="text1"/>
          <w:lang w:val="es-ES" w:eastAsia="es-ES" w:bidi="es-ES"/>
        </w:rPr>
        <w:t>”</w:t>
      </w:r>
      <w:r w:rsidRPr="00F04F3B">
        <w:rPr>
          <w:rStyle w:val="Refdenotaalpie"/>
          <w:rFonts w:ascii="Verdana" w:eastAsia="Arial" w:hAnsi="Verdana" w:cs="Arial"/>
          <w:color w:val="000000" w:themeColor="text1"/>
          <w:lang w:val="es-ES" w:eastAsia="es-ES" w:bidi="es-ES"/>
        </w:rPr>
        <w:footnoteReference w:id="6"/>
      </w:r>
      <w:r w:rsidRPr="00F04F3B">
        <w:rPr>
          <w:rFonts w:ascii="Verdana" w:hAnsi="Verdana" w:cs="Arial"/>
          <w:lang w:val="es-ES"/>
        </w:rPr>
        <w:t xml:space="preserve">.  </w:t>
      </w:r>
    </w:p>
    <w:p w14:paraId="54523B13" w14:textId="77777777" w:rsidR="004C5D63" w:rsidRPr="00F04F3B"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Conforme a lo anterior el equilibrio financiero del contrato se constituye en un principio medular de la contratación estatal que busca, precisamente, mantener las mismas condiciones 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71B11E11" w14:textId="77777777" w:rsidR="004C5D63" w:rsidRPr="00F04F3B"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F04F3B">
        <w:rPr>
          <w:rFonts w:ascii="Verdana" w:eastAsia="Arial" w:hAnsi="Verdana" w:cs="Arial"/>
          <w:i/>
          <w:iCs/>
          <w:color w:val="000000" w:themeColor="text1"/>
          <w:lang w:val="es-ES" w:eastAsia="es-ES" w:bidi="es-ES"/>
        </w:rPr>
        <w:t>ibidem</w:t>
      </w:r>
      <w:r w:rsidRPr="00F04F3B">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F04F3B">
        <w:rPr>
          <w:rFonts w:ascii="Verdana" w:eastAsia="Arial" w:hAnsi="Verdana" w:cs="Arial"/>
          <w:i/>
          <w:iCs/>
          <w:color w:val="000000" w:themeColor="text1"/>
          <w:lang w:val="es-ES" w:eastAsia="es-ES" w:bidi="es-ES"/>
        </w:rPr>
        <w:t>el equilibrio económico o financiero</w:t>
      </w:r>
      <w:r w:rsidRPr="00F04F3B">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De acuerdo con la jurisprudencia:</w:t>
      </w:r>
    </w:p>
    <w:p w14:paraId="32DB6E09" w14:textId="77777777" w:rsidR="004C5D63" w:rsidRPr="00F04F3B" w:rsidRDefault="004C5D63" w:rsidP="004C5D63">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27190C7D" w14:textId="77777777" w:rsidR="004C5D63" w:rsidRPr="00F04F3B" w:rsidRDefault="004C5D63" w:rsidP="004C5D63">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 la cláusula de estabilización o ajuste de precios resulta ser una medida preventiva frente a una situación previsible que puede afectar el resultado económico final del contrato en contra de cualquiera de las partes, y que se resuelve mediante la inclusión de la respectiva estipulación, normalmente expresada en una fórmula matemática concebida en función de los factores que inciden en los costos de ejecución del contrato. Por tanto, es un mecanismo que tiende a preservar la naturaleza conmutativa de los contratos y a garantizar que la equivalencia inicialmente acordada entre las prestaciones recíprocas se mantenga a lo largo de la ejecución del negocio jurídico, en tal forma que la remuneración recibida finalmente por el contratista corresponda a la que contempló al momento de presentar su propuesta y celebrar el contrato.</w:t>
      </w:r>
    </w:p>
    <w:p w14:paraId="0700DA40" w14:textId="77777777" w:rsidR="004C5D63" w:rsidRPr="00F04F3B" w:rsidRDefault="004C5D63" w:rsidP="004C5D63">
      <w:pPr>
        <w:widowControl w:val="0"/>
        <w:autoSpaceDE w:val="0"/>
        <w:autoSpaceDN w:val="0"/>
        <w:spacing w:before="120" w:after="0" w:line="240" w:lineRule="auto"/>
        <w:ind w:left="709" w:right="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sz w:val="20"/>
          <w:szCs w:val="20"/>
          <w:lang w:val="es-ES" w:eastAsia="es-ES" w:bidi="es-ES"/>
        </w:rPr>
        <w:t>De igual modo, paralelamente con la actualización de precios la Ley 80 de 1993 también contempla la figura de la revisión de precios, la cual opera cuando sobrevengan hechos económicos que hagan ineficaz o insuficiente la fórmula de reajuste o cuando las partes no han pactado un sistema de ajuste o actualización de los precios y estos sufren alteración como resultado de los fenómenos económicos mencionados, como la inflación o el alza de precios, eventos estos en los cuales puede solicitarse al juez la corrección de la cláusula de ajuste pactada y la revisión de los precios”</w:t>
      </w:r>
      <w:r w:rsidRPr="00F04F3B">
        <w:rPr>
          <w:rStyle w:val="Refdenotaalpie"/>
          <w:rFonts w:ascii="Verdana" w:eastAsia="Arial" w:hAnsi="Verdana" w:cs="Arial"/>
          <w:color w:val="000000" w:themeColor="text1"/>
          <w:sz w:val="20"/>
          <w:szCs w:val="20"/>
          <w:lang w:val="es-ES" w:eastAsia="es-ES" w:bidi="es-ES"/>
        </w:rPr>
        <w:footnoteReference w:id="7"/>
      </w:r>
      <w:r w:rsidRPr="00F04F3B">
        <w:rPr>
          <w:rFonts w:ascii="Verdana" w:eastAsia="Arial" w:hAnsi="Verdana" w:cs="Arial"/>
          <w:color w:val="000000" w:themeColor="text1"/>
          <w:sz w:val="20"/>
          <w:szCs w:val="20"/>
          <w:lang w:val="es-ES" w:eastAsia="es-ES" w:bidi="es-ES"/>
        </w:rPr>
        <w:t>.</w:t>
      </w:r>
    </w:p>
    <w:p w14:paraId="46C17DA0" w14:textId="77777777" w:rsidR="004C5D63" w:rsidRPr="00F04F3B" w:rsidRDefault="004C5D63" w:rsidP="004C5D63">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07FD3BB2" w14:textId="77777777" w:rsidR="004C5D63" w:rsidRDefault="004C5D63" w:rsidP="004C5D63">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F04F3B">
        <w:rPr>
          <w:rFonts w:ascii="Verdana" w:eastAsia="Arial" w:hAnsi="Verdana" w:cs="Arial"/>
          <w:i/>
          <w:iCs/>
          <w:color w:val="000000" w:themeColor="text1"/>
          <w:lang w:val="es-ES" w:eastAsia="es-ES" w:bidi="es-ES"/>
        </w:rPr>
        <w:t>el equilibrio de la ecuación económica</w:t>
      </w:r>
      <w:r w:rsidRPr="00F04F3B">
        <w:rPr>
          <w:rFonts w:ascii="Verdana" w:eastAsia="Arial" w:hAnsi="Verdana" w:cs="Arial"/>
          <w:color w:val="000000" w:themeColor="text1"/>
          <w:lang w:val="es-ES" w:eastAsia="es-ES" w:bidi="es-ES"/>
        </w:rPr>
        <w:t xml:space="preserve"> del contrato por la ocurrencia de situaciones </w:t>
      </w:r>
      <w:r w:rsidRPr="00F04F3B">
        <w:rPr>
          <w:rFonts w:ascii="Verdana" w:eastAsia="Arial" w:hAnsi="Verdana" w:cs="Arial"/>
          <w:color w:val="000000" w:themeColor="text1"/>
          <w:u w:val="single"/>
          <w:lang w:val="es-ES" w:eastAsia="es-ES" w:bidi="es-ES"/>
        </w:rPr>
        <w:t>imprevistas</w:t>
      </w:r>
      <w:r w:rsidRPr="00F04F3B">
        <w:rPr>
          <w:rFonts w:ascii="Verdana" w:eastAsia="Arial" w:hAnsi="Verdana" w:cs="Arial"/>
          <w:color w:val="000000" w:themeColor="text1"/>
          <w:lang w:val="es-ES" w:eastAsia="es-ES" w:bidi="es-ES"/>
        </w:rPr>
        <w:t xml:space="preserve"> que no sean imputables a los contratistas. Si dicho equilibrio se rompe por incumplimiento de la entidad estatal contratante, tendrá que restablecerse la ecuación surgida al momento del nacimiento del contrato. </w:t>
      </w:r>
    </w:p>
    <w:p w14:paraId="18E7C39B" w14:textId="77777777" w:rsidR="004C5D63" w:rsidRPr="00F04F3B"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w:t>
      </w:r>
      <w:r w:rsidRPr="00F04F3B">
        <w:rPr>
          <w:rFonts w:ascii="Verdana" w:eastAsia="Arial" w:hAnsi="Verdana" w:cs="Arial"/>
          <w:color w:val="000000" w:themeColor="text1"/>
          <w:lang w:val="es-ES" w:eastAsia="es-ES" w:bidi="es-ES"/>
        </w:rPr>
        <w:lastRenderedPageBreak/>
        <w:t>correspondientes de manera que se pueda precaver las diferencias que se lleguen a presentar como consecuencia de la vulneración del principio del equilibrio económico del contrato y evitar una mayor onerosidad.</w:t>
      </w:r>
    </w:p>
    <w:p w14:paraId="0E47BDAB" w14:textId="77777777" w:rsidR="004C5D63" w:rsidRPr="00F04F3B" w:rsidRDefault="004C5D63" w:rsidP="004C5D63">
      <w:pPr>
        <w:widowControl w:val="0"/>
        <w:autoSpaceDE w:val="0"/>
        <w:autoSpaceDN w:val="0"/>
        <w:spacing w:before="120" w:after="0" w:line="276" w:lineRule="auto"/>
        <w:ind w:firstLine="708"/>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714410FA" w14:textId="77777777" w:rsidR="004C5D63" w:rsidRPr="00F04F3B" w:rsidRDefault="004C5D63" w:rsidP="004C5D6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5B4C2813" w14:textId="77777777" w:rsidR="004C5D63" w:rsidRPr="00F04F3B" w:rsidRDefault="004C5D63" w:rsidP="004C5D63">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13AA586A" w14:textId="77777777" w:rsidR="004C5D63" w:rsidRPr="00F04F3B" w:rsidRDefault="004C5D63" w:rsidP="004C5D63">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090EA97C" w14:textId="77777777" w:rsidR="004C5D63" w:rsidRPr="00F04F3B" w:rsidRDefault="004C5D63" w:rsidP="004C5D63">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1288BEC2" w14:textId="77777777" w:rsidR="004C5D63" w:rsidRPr="00F04F3B" w:rsidRDefault="004C5D63" w:rsidP="004C5D63">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eastAsia="es-ES" w:bidi="es-ES"/>
        </w:rPr>
      </w:pPr>
      <w:r w:rsidRPr="00F04F3B">
        <w:rPr>
          <w:rFonts w:ascii="Verdana" w:eastAsia="Arial" w:hAnsi="Verdana" w:cs="Arial"/>
          <w:color w:val="000000" w:themeColor="text1"/>
          <w:sz w:val="20"/>
          <w:szCs w:val="20"/>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Pr="00F04F3B">
        <w:rPr>
          <w:rStyle w:val="Refdenotaalpie"/>
          <w:rFonts w:ascii="Verdana" w:eastAsia="Arial" w:hAnsi="Verdana" w:cs="Arial"/>
          <w:color w:val="000000" w:themeColor="text1"/>
          <w:sz w:val="20"/>
          <w:szCs w:val="20"/>
          <w:lang w:val="es-ES" w:eastAsia="es-ES" w:bidi="es-ES"/>
        </w:rPr>
        <w:footnoteReference w:id="8"/>
      </w:r>
      <w:r w:rsidRPr="00F04F3B">
        <w:rPr>
          <w:rFonts w:ascii="Verdana" w:eastAsia="Arial" w:hAnsi="Verdana" w:cs="Arial"/>
          <w:color w:val="000000" w:themeColor="text1"/>
          <w:sz w:val="20"/>
          <w:szCs w:val="20"/>
          <w:lang w:val="es-ES" w:eastAsia="es-ES" w:bidi="es-ES"/>
        </w:rPr>
        <w:t>.</w:t>
      </w:r>
    </w:p>
    <w:p w14:paraId="230AE19C" w14:textId="77777777" w:rsidR="004C5D63" w:rsidRPr="00F04F3B" w:rsidRDefault="004C5D63" w:rsidP="004C5D6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737DDBEF" w14:textId="77777777" w:rsidR="004C5D63" w:rsidRPr="00F04F3B" w:rsidRDefault="004C5D63" w:rsidP="004C5D63">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F04F3B">
        <w:rPr>
          <w:rStyle w:val="Refdenotaalpie"/>
          <w:rFonts w:ascii="Verdana" w:eastAsia="Arial" w:hAnsi="Verdana" w:cs="Arial"/>
          <w:color w:val="000000" w:themeColor="text1"/>
          <w:lang w:val="es-ES" w:eastAsia="es-ES" w:bidi="es-ES"/>
        </w:rPr>
        <w:footnoteReference w:id="9"/>
      </w:r>
      <w:r w:rsidRPr="00F04F3B">
        <w:rPr>
          <w:rFonts w:ascii="Verdana" w:eastAsia="Arial" w:hAnsi="Verdana" w:cs="Arial"/>
          <w:color w:val="000000" w:themeColor="text1"/>
          <w:lang w:val="es-ES" w:eastAsia="es-ES" w:bidi="es-ES"/>
        </w:rPr>
        <w:t xml:space="preserve">. </w:t>
      </w:r>
    </w:p>
    <w:p w14:paraId="3E6B5DDB" w14:textId="77777777" w:rsidR="004C5D63" w:rsidRDefault="004C5D63" w:rsidP="004C5D63">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8F0391">
        <w:rPr>
          <w:rFonts w:ascii="Verdana" w:eastAsia="Arial" w:hAnsi="Verdana" w:cs="Arial"/>
          <w:color w:val="000000" w:themeColor="text1"/>
          <w:lang w:val="es-ES" w:eastAsia="es-ES" w:bidi="es-ES"/>
        </w:rPr>
        <w:t xml:space="preserve">Trasladadas estas categorías a las situaciones que plantea la consulta —el incremento legal del salario mínimo, la variación de la jornada máxima y el </w:t>
      </w:r>
      <w:r w:rsidRPr="008F0391">
        <w:rPr>
          <w:rFonts w:ascii="Verdana" w:eastAsia="Arial" w:hAnsi="Verdana" w:cs="Arial"/>
          <w:color w:val="000000" w:themeColor="text1"/>
          <w:lang w:val="es-ES" w:eastAsia="es-ES" w:bidi="es-ES"/>
        </w:rPr>
        <w:lastRenderedPageBreak/>
        <w:t xml:space="preserve">aumento de los recargos—, conviene distinguir según su previsibilidad. El incremento anual del salario mínimo constituye, por regla general, un </w:t>
      </w:r>
      <w:proofErr w:type="spellStart"/>
      <w:r w:rsidRPr="008F0391">
        <w:rPr>
          <w:rFonts w:ascii="Verdana" w:eastAsia="Arial" w:hAnsi="Verdana" w:cs="Arial"/>
          <w:color w:val="000000" w:themeColor="text1"/>
          <w:lang w:val="es-ES" w:eastAsia="es-ES" w:bidi="es-ES"/>
        </w:rPr>
        <w:t>álea</w:t>
      </w:r>
      <w:proofErr w:type="spellEnd"/>
      <w:r w:rsidRPr="008F0391">
        <w:rPr>
          <w:rFonts w:ascii="Verdana" w:eastAsia="Arial" w:hAnsi="Verdana" w:cs="Arial"/>
          <w:color w:val="000000" w:themeColor="text1"/>
          <w:lang w:val="es-ES" w:eastAsia="es-ES" w:bidi="es-ES"/>
        </w:rPr>
        <w:t xml:space="preserve"> ordinaria y un riesgo previsible del contrato, en los términos del Documento CONPES 3714 de 2011 y del Manual para la Identificación y Cobertura del Riesgo de esta Agencia. Por tratarse de una variación periódica y </w:t>
      </w:r>
      <w:proofErr w:type="spellStart"/>
      <w:r w:rsidRPr="008F0391">
        <w:rPr>
          <w:rFonts w:ascii="Verdana" w:eastAsia="Arial" w:hAnsi="Verdana" w:cs="Arial"/>
          <w:color w:val="000000" w:themeColor="text1"/>
          <w:lang w:val="es-ES" w:eastAsia="es-ES" w:bidi="es-ES"/>
        </w:rPr>
        <w:t>anticipable</w:t>
      </w:r>
      <w:proofErr w:type="spellEnd"/>
      <w:r w:rsidRPr="008F0391">
        <w:rPr>
          <w:rFonts w:ascii="Verdana" w:eastAsia="Arial" w:hAnsi="Verdana" w:cs="Arial"/>
          <w:color w:val="000000" w:themeColor="text1"/>
          <w:lang w:val="es-ES" w:eastAsia="es-ES" w:bidi="es-ES"/>
        </w:rPr>
        <w:t xml:space="preserve">, su tratamiento natural es el mecanismo de reajuste o actualización del precio, y no el restablecimiento del equilibrio, cuya procedencia exige una afectación grave, sobreviniente, imprevisible y no imputable a la parte afectada. En cambio, las modificaciones introducidas por una reforma de alcance general que incidan en la estructura de costos del contrato pueden analizarse bajo la teoría del hecho del príncipe o la de la imprevisión, según su origen y sus efectos. En uno y otro caso, la calificación depende de la previsibilidad de la medida al momento de contratar. Si al celebrarse el contrato la reforma y su </w:t>
      </w:r>
      <w:proofErr w:type="gramStart"/>
      <w:r w:rsidRPr="008F0391">
        <w:rPr>
          <w:rFonts w:ascii="Verdana" w:eastAsia="Arial" w:hAnsi="Verdana" w:cs="Arial"/>
          <w:color w:val="000000" w:themeColor="text1"/>
          <w:lang w:val="es-ES" w:eastAsia="es-ES" w:bidi="es-ES"/>
        </w:rPr>
        <w:t>entrada en vigencia</w:t>
      </w:r>
      <w:proofErr w:type="gramEnd"/>
      <w:r w:rsidRPr="008F0391">
        <w:rPr>
          <w:rFonts w:ascii="Verdana" w:eastAsia="Arial" w:hAnsi="Verdana" w:cs="Arial"/>
          <w:color w:val="000000" w:themeColor="text1"/>
          <w:lang w:val="es-ES" w:eastAsia="es-ES" w:bidi="es-ES"/>
        </w:rPr>
        <w:t xml:space="preserve"> escalonada ya eran conocidas, los mayores costos derivados de su aplicación constituyen un riesgo previsible que debe gestionarse mediante las fórmulas de reajuste o la planeación presupuestal, y no fundan, por sí solos, un restablecimiento del equilibrio. La verificación de estos elementos corresponde a la entidad a partir de las condiciones particulares del contrato.</w:t>
      </w:r>
    </w:p>
    <w:p w14:paraId="37FC621E" w14:textId="77777777" w:rsidR="004C5D63" w:rsidRPr="00F04F3B"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p>
    <w:p w14:paraId="684CDE48" w14:textId="77777777" w:rsidR="004C5D63" w:rsidRPr="00F04F3B"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w:t>
      </w:r>
      <w:r w:rsidRPr="00F04F3B">
        <w:rPr>
          <w:rFonts w:ascii="Verdana" w:eastAsia="Arial" w:hAnsi="Verdana" w:cs="Arial"/>
          <w:color w:val="000000" w:themeColor="text1"/>
          <w:lang w:val="es-ES" w:eastAsia="es-ES" w:bidi="es-ES"/>
        </w:rPr>
        <w:lastRenderedPageBreak/>
        <w:t>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p>
    <w:p w14:paraId="67F851A3" w14:textId="77777777" w:rsidR="004C5D63" w:rsidRPr="00F04F3B"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Aunado a lo expuesto,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F04F3B">
        <w:rPr>
          <w:rFonts w:ascii="Verdana" w:eastAsia="Arial" w:hAnsi="Verdana" w:cs="Arial"/>
          <w:lang w:val="es-ES" w:eastAsia="es-ES" w:bidi="es-ES"/>
        </w:rPr>
        <w:t xml:space="preserve"> es </w:t>
      </w:r>
      <w:r w:rsidRPr="00F04F3B">
        <w:rPr>
          <w:rFonts w:ascii="Verdana" w:eastAsia="Arial" w:hAnsi="Verdana" w:cs="Arial"/>
          <w:color w:val="000000" w:themeColor="text1"/>
          <w:lang w:val="es-ES" w:eastAsia="es-ES" w:bidi="es-ES"/>
        </w:rPr>
        <w:t>“</w:t>
      </w:r>
      <w:r w:rsidRPr="00F04F3B">
        <w:rPr>
          <w:rFonts w:ascii="Verdana" w:eastAsia="Arial" w:hAnsi="Verdana" w:cs="Arial"/>
          <w:lang w:val="es-ES" w:eastAsia="es-ES" w:bidi="es-ES"/>
        </w:rPr>
        <w:t>preciso entonces el diseño de reglas que permitan la adaptación y la resolución pacífica de las controversias para evitar el fracaso</w:t>
      </w:r>
      <w:r w:rsidRPr="00F04F3B">
        <w:rPr>
          <w:rFonts w:ascii="Verdana" w:eastAsia="Arial" w:hAnsi="Verdana" w:cs="Arial"/>
          <w:color w:val="000000" w:themeColor="text1"/>
          <w:lang w:val="es-ES" w:eastAsia="es-ES" w:bidi="es-ES"/>
        </w:rPr>
        <w:t>”</w:t>
      </w:r>
      <w:r w:rsidRPr="00F04F3B">
        <w:rPr>
          <w:rStyle w:val="Refdenotaalpie"/>
          <w:rFonts w:ascii="Verdana" w:eastAsia="Arial" w:hAnsi="Verdana" w:cs="Arial"/>
          <w:color w:val="000000" w:themeColor="text1"/>
          <w:lang w:val="es-ES" w:eastAsia="es-ES" w:bidi="es-ES"/>
        </w:rPr>
        <w:footnoteReference w:id="10"/>
      </w:r>
      <w:r w:rsidRPr="00F04F3B">
        <w:rPr>
          <w:rFonts w:ascii="Verdana" w:eastAsia="Arial" w:hAnsi="Verdana" w:cs="Arial"/>
          <w:lang w:val="es-ES" w:eastAsia="es-ES" w:bidi="es-ES"/>
        </w:rPr>
        <w:t>.</w:t>
      </w:r>
      <w:r w:rsidRPr="00F04F3B">
        <w:rPr>
          <w:rFonts w:ascii="Verdana" w:eastAsia="Arial" w:hAnsi="Verdana" w:cs="Arial"/>
          <w:sz w:val="21"/>
          <w:szCs w:val="21"/>
          <w:lang w:val="es-ES" w:eastAsia="es-ES" w:bidi="es-ES"/>
        </w:rPr>
        <w:t xml:space="preserve"> </w:t>
      </w:r>
    </w:p>
    <w:p w14:paraId="3C60C01E" w14:textId="77777777" w:rsidR="004C5D63" w:rsidRPr="00F04F3B"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En armonía con lo anterior, la doctrina ha señalado que “durante la vigencia del contrato, esto es, el periodo que comprende el interregno que va desde el perfeccionamiento del contrato (acuerdo sobre el objeto y la contraprestación elevado a escrito al tenor del art. 41 </w:t>
      </w:r>
      <w:proofErr w:type="spellStart"/>
      <w:r w:rsidRPr="00F04F3B">
        <w:rPr>
          <w:rFonts w:ascii="Verdana" w:eastAsia="Arial" w:hAnsi="Verdana" w:cs="Arial"/>
          <w:color w:val="000000" w:themeColor="text1"/>
          <w:lang w:val="es-ES" w:eastAsia="es-ES" w:bidi="es-ES"/>
        </w:rPr>
        <w:t>inc</w:t>
      </w:r>
      <w:proofErr w:type="spellEnd"/>
      <w:r w:rsidRPr="00F04F3B">
        <w:rPr>
          <w:rFonts w:ascii="Verdana" w:eastAsia="Arial" w:hAnsi="Verdana" w:cs="Arial"/>
          <w:color w:val="000000" w:themeColor="text1"/>
          <w:lang w:val="es-ES" w:eastAsia="es-ES" w:bidi="es-ES"/>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sidRPr="00F04F3B">
        <w:rPr>
          <w:rStyle w:val="Refdenotaalpie"/>
          <w:rFonts w:ascii="Verdana" w:eastAsia="Arial" w:hAnsi="Verdana" w:cs="Arial"/>
          <w:color w:val="000000" w:themeColor="text1"/>
          <w:lang w:val="es-ES" w:eastAsia="es-ES" w:bidi="es-ES"/>
        </w:rPr>
        <w:footnoteReference w:id="11"/>
      </w:r>
      <w:r w:rsidRPr="00F04F3B">
        <w:rPr>
          <w:rFonts w:ascii="Verdana" w:eastAsia="Arial" w:hAnsi="Verdana" w:cs="Arial"/>
          <w:color w:val="000000" w:themeColor="text1"/>
          <w:lang w:val="es-ES" w:eastAsia="es-ES" w:bidi="es-ES"/>
        </w:rPr>
        <w:t xml:space="preserve">. </w:t>
      </w:r>
    </w:p>
    <w:p w14:paraId="66B719EF" w14:textId="77777777" w:rsidR="004C5D63" w:rsidRDefault="004C5D63" w:rsidP="004C5D63">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Así la cosas, con fundamento en el EGCAP, en la jurisprudencia y en la doctrina puede concluirse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p>
    <w:p w14:paraId="196ADA44" w14:textId="77777777" w:rsidR="004C5D63" w:rsidRDefault="004C5D63" w:rsidP="004C5D63">
      <w:pPr>
        <w:widowControl w:val="0"/>
        <w:autoSpaceDE w:val="0"/>
        <w:autoSpaceDN w:val="0"/>
        <w:spacing w:before="120" w:after="120" w:line="276" w:lineRule="auto"/>
        <w:ind w:firstLine="709"/>
        <w:jc w:val="both"/>
        <w:rPr>
          <w:rFonts w:ascii="Verdana" w:eastAsia="Century Gothic" w:hAnsi="Verdana" w:cs="Century Gothic"/>
          <w:color w:val="000000" w:themeColor="text1"/>
          <w:lang w:val="es-ES"/>
        </w:rPr>
      </w:pPr>
      <w:r w:rsidRPr="00F04F3B">
        <w:rPr>
          <w:rFonts w:ascii="Verdana" w:eastAsia="Arial" w:hAnsi="Verdana" w:cs="Arial"/>
          <w:color w:val="000000" w:themeColor="text1"/>
          <w:lang w:val="es-ES" w:eastAsia="es-ES" w:bidi="es-ES"/>
        </w:rPr>
        <w:t xml:space="preserve">Frente </w:t>
      </w:r>
      <w:r>
        <w:rPr>
          <w:rFonts w:ascii="Verdana" w:eastAsia="Arial" w:hAnsi="Verdana" w:cs="Arial"/>
          <w:color w:val="000000" w:themeColor="text1"/>
          <w:lang w:val="es-ES" w:eastAsia="es-ES" w:bidi="es-ES"/>
        </w:rPr>
        <w:t>a lo expuesto en la consulta</w:t>
      </w:r>
      <w:r w:rsidRPr="00F04F3B">
        <w:rPr>
          <w:rFonts w:ascii="Verdana" w:eastAsia="Arial" w:hAnsi="Verdana" w:cs="Arial"/>
          <w:color w:val="000000" w:themeColor="text1"/>
          <w:lang w:val="es-ES" w:eastAsia="es-ES" w:bidi="es-ES"/>
        </w:rPr>
        <w:t xml:space="preserve">, es relevante considerar que </w:t>
      </w:r>
      <w:r w:rsidRPr="00F04F3B">
        <w:rPr>
          <w:rFonts w:ascii="Verdana" w:eastAsia="Century Gothic" w:hAnsi="Verdana" w:cs="Century Gothic"/>
          <w:color w:val="000000" w:themeColor="text1"/>
          <w:lang w:val="es-ES"/>
        </w:rPr>
        <w:t xml:space="preserve">la jurisprudencia del Consejo de Estado ha precisado que, aunque el parágrafo del </w:t>
      </w:r>
      <w:r w:rsidRPr="00F04F3B">
        <w:rPr>
          <w:rFonts w:ascii="Verdana" w:eastAsia="Century Gothic" w:hAnsi="Verdana" w:cs="Century Gothic"/>
          <w:color w:val="000000" w:themeColor="text1"/>
          <w:lang w:val="es-ES"/>
        </w:rPr>
        <w:lastRenderedPageBreak/>
        <w:t>artículo 40 comporta una prohibición de adicionar en precio los contratos, de las adiciones proscritas se han excluido las estipulaciones dirigidas a reajustar los precios pactados y aquellas con las que se busca restablecer el equilibrio económico del contrato</w:t>
      </w:r>
      <w:r w:rsidRPr="00F04F3B">
        <w:rPr>
          <w:rStyle w:val="Refdenotaalpie"/>
          <w:rFonts w:ascii="Verdana" w:eastAsia="Century Gothic" w:hAnsi="Verdana" w:cs="Century Gothic"/>
          <w:color w:val="000000" w:themeColor="text1"/>
          <w:lang w:val="es-ES"/>
        </w:rPr>
        <w:footnoteReference w:id="12"/>
      </w:r>
      <w:r w:rsidRPr="00F04F3B">
        <w:rPr>
          <w:rFonts w:ascii="Verdana" w:eastAsia="Century Gothic" w:hAnsi="Verdana" w:cs="Century Gothic"/>
          <w:color w:val="000000" w:themeColor="text1"/>
          <w:lang w:val="es-ES"/>
        </w:rPr>
        <w:t xml:space="preserve">. Esto se debe a que la adición supone agregar obligaciones al contrato y por ello incrementa su valor; en cambio, el reajuste actualiza el precio de prestaciones ya pactadas para conservar su valor intrínseco, y el restablecimiento restaura la ecuación económica rota, en cumplimiento de los deberes que el Estatuto impone a la entidad contratante. </w:t>
      </w:r>
    </w:p>
    <w:p w14:paraId="33442085" w14:textId="77777777" w:rsidR="004C5D63" w:rsidRPr="003E527C" w:rsidRDefault="004C5D63" w:rsidP="004C5D63">
      <w:pPr>
        <w:spacing w:before="120" w:after="0" w:line="276" w:lineRule="auto"/>
        <w:ind w:firstLine="709"/>
        <w:jc w:val="both"/>
        <w:rPr>
          <w:rFonts w:ascii="Verdana" w:hAnsi="Verdana" w:cs="Arial"/>
          <w:szCs w:val="24"/>
          <w:lang w:val="es-MX" w:eastAsia="es-ES_tradnl"/>
        </w:rPr>
      </w:pPr>
      <w:r>
        <w:rPr>
          <w:rFonts w:ascii="Verdana" w:hAnsi="Verdana" w:cs="Arial"/>
          <w:szCs w:val="24"/>
          <w:lang w:val="es-MX" w:eastAsia="es-ES_tradnl"/>
        </w:rPr>
        <w:t>En este mismo sentido, se destaca que l</w:t>
      </w:r>
      <w:r w:rsidRPr="003E527C">
        <w:rPr>
          <w:rFonts w:ascii="Verdana" w:hAnsi="Verdana" w:cs="Arial"/>
          <w:szCs w:val="24"/>
          <w:lang w:val="es-MX" w:eastAsia="es-ES_tradnl"/>
        </w:rPr>
        <w:t>a Sala de Consulta y Servicio Civil</w:t>
      </w:r>
      <w:r w:rsidRPr="003E527C">
        <w:rPr>
          <w:rFonts w:ascii="Verdana" w:hAnsi="Verdana" w:cs="Arial"/>
        </w:rPr>
        <w:t xml:space="preserve"> del Consejo de Estado mediante concepto del </w:t>
      </w:r>
      <w:r w:rsidRPr="003E527C">
        <w:rPr>
          <w:rFonts w:ascii="Verdana" w:hAnsi="Verdana" w:cs="Arial"/>
          <w:szCs w:val="24"/>
          <w:lang w:val="es-MX" w:eastAsia="es-ES_tradnl"/>
        </w:rPr>
        <w:t xml:space="preserve">6 de junio de 2018 señaló que además de los contratos de interventoría, también podrán adicionarse en más del 50% en estos dos eventos: i) cuando en un contrato de obra se pacte el mecanismo de ajuste de precios y </w:t>
      </w:r>
      <w:proofErr w:type="spellStart"/>
      <w:r w:rsidRPr="003E527C">
        <w:rPr>
          <w:rFonts w:ascii="Verdana" w:hAnsi="Verdana" w:cs="Arial"/>
          <w:szCs w:val="24"/>
          <w:lang w:val="es-MX" w:eastAsia="es-ES_tradnl"/>
        </w:rPr>
        <w:t>ii</w:t>
      </w:r>
      <w:proofErr w:type="spellEnd"/>
      <w:r w:rsidRPr="003E527C">
        <w:rPr>
          <w:rFonts w:ascii="Verdana" w:hAnsi="Verdana" w:cs="Arial"/>
          <w:szCs w:val="24"/>
          <w:lang w:val="es-MX" w:eastAsia="es-ES_tradnl"/>
        </w:rPr>
        <w:t xml:space="preserve">) por el restablecimiento del equilibrio económico del contrato. Al respecto manifestó lo siguiente: </w:t>
      </w:r>
    </w:p>
    <w:p w14:paraId="57A06289" w14:textId="77777777" w:rsidR="004C5D63" w:rsidRPr="003E527C" w:rsidRDefault="004C5D63" w:rsidP="004C5D63">
      <w:pPr>
        <w:spacing w:after="0" w:line="276" w:lineRule="auto"/>
        <w:ind w:firstLine="709"/>
        <w:jc w:val="both"/>
        <w:rPr>
          <w:rFonts w:ascii="Verdana" w:hAnsi="Verdana" w:cs="Arial"/>
          <w:sz w:val="20"/>
          <w:szCs w:val="20"/>
          <w:lang w:val="es-MX" w:eastAsia="es-ES_tradnl"/>
        </w:rPr>
      </w:pPr>
    </w:p>
    <w:p w14:paraId="3EF101E7" w14:textId="77777777" w:rsidR="004C5D63" w:rsidRPr="003E527C" w:rsidRDefault="004C5D63" w:rsidP="004C5D63">
      <w:pPr>
        <w:widowControl w:val="0"/>
        <w:autoSpaceDE w:val="0"/>
        <w:autoSpaceDN w:val="0"/>
        <w:spacing w:after="0" w:line="240" w:lineRule="auto"/>
        <w:ind w:left="709" w:right="760"/>
        <w:jc w:val="both"/>
        <w:rPr>
          <w:rFonts w:ascii="Verdana" w:hAnsi="Verdana" w:cs="Arial"/>
          <w:sz w:val="20"/>
          <w:szCs w:val="20"/>
          <w:lang w:val="es-MX" w:eastAsia="es-ES_tradnl"/>
        </w:rPr>
      </w:pPr>
      <w:r w:rsidRPr="003E527C">
        <w:rPr>
          <w:rFonts w:ascii="Verdana" w:hAnsi="Verdana" w:cs="Arial"/>
          <w:sz w:val="20"/>
          <w:szCs w:val="20"/>
          <w:lang w:val="es-MX" w:eastAsia="es-ES_tradnl"/>
        </w:rPr>
        <w:t>Existen, además, otras situaciones jurídicas que se presenta en materia contractual y que afectan el valor del contrato, pero que de conformidad con la Ley y la jurisprudencia tampoco están sujetas al límite cuantitativo del 50% del valor inicial del contrato. Estas son: i</w:t>
      </w:r>
      <w:r w:rsidRPr="009432AC">
        <w:rPr>
          <w:rFonts w:ascii="Verdana" w:hAnsi="Verdana" w:cs="Arial"/>
          <w:i/>
          <w:iCs/>
          <w:sz w:val="20"/>
          <w:szCs w:val="20"/>
          <w:lang w:val="es-MX" w:eastAsia="es-ES_tradnl"/>
        </w:rPr>
        <w:t>) cuando en un contrato de obra pública se pactaron mecanismos de ajustes de precios,</w:t>
      </w:r>
      <w:r w:rsidRPr="003E527C">
        <w:rPr>
          <w:rFonts w:ascii="Verdana" w:hAnsi="Verdana" w:cs="Arial"/>
          <w:sz w:val="20"/>
          <w:szCs w:val="20"/>
          <w:lang w:val="es-MX" w:eastAsia="es-ES_tradnl"/>
        </w:rPr>
        <w:t xml:space="preserve"> (</w:t>
      </w:r>
      <w:proofErr w:type="spellStart"/>
      <w:r w:rsidRPr="003E527C">
        <w:rPr>
          <w:rFonts w:ascii="Verdana" w:hAnsi="Verdana" w:cs="Arial"/>
          <w:sz w:val="20"/>
          <w:szCs w:val="20"/>
          <w:lang w:val="es-MX" w:eastAsia="es-ES_tradnl"/>
        </w:rPr>
        <w:t>ii</w:t>
      </w:r>
      <w:proofErr w:type="spellEnd"/>
      <w:r w:rsidRPr="003E527C">
        <w:rPr>
          <w:rFonts w:ascii="Verdana" w:hAnsi="Verdana" w:cs="Arial"/>
          <w:sz w:val="20"/>
          <w:szCs w:val="20"/>
          <w:lang w:val="es-MX" w:eastAsia="es-ES_tradnl"/>
        </w:rPr>
        <w:t>) por restablecimiento del equilibrio económico del contrato, siempre y cuando exista plena prueba que acredite los requisitos para proceder al restablecimiento y (</w:t>
      </w:r>
      <w:proofErr w:type="spellStart"/>
      <w:r w:rsidRPr="003E527C">
        <w:rPr>
          <w:rFonts w:ascii="Verdana" w:hAnsi="Verdana" w:cs="Arial"/>
          <w:sz w:val="20"/>
          <w:szCs w:val="20"/>
          <w:lang w:val="es-MX" w:eastAsia="es-ES_tradnl"/>
        </w:rPr>
        <w:t>iii</w:t>
      </w:r>
      <w:proofErr w:type="spellEnd"/>
      <w:r w:rsidRPr="003E527C">
        <w:rPr>
          <w:rFonts w:ascii="Verdana" w:hAnsi="Verdana" w:cs="Arial"/>
          <w:sz w:val="20"/>
          <w:szCs w:val="20"/>
          <w:lang w:val="es-MX" w:eastAsia="es-ES_tradnl"/>
        </w:rPr>
        <w:t>) en los contratos de interventoría, cuando se den las situaciones previstas en la ley</w:t>
      </w:r>
      <w:r w:rsidRPr="003E527C">
        <w:rPr>
          <w:rStyle w:val="Refdenotaalpie"/>
          <w:rFonts w:ascii="Verdana" w:hAnsi="Verdana" w:cs="Arial"/>
          <w:sz w:val="20"/>
          <w:szCs w:val="20"/>
          <w:lang w:val="es-MX" w:eastAsia="es-ES_tradnl"/>
        </w:rPr>
        <w:footnoteReference w:id="13"/>
      </w:r>
      <w:r w:rsidRPr="003E527C">
        <w:rPr>
          <w:rFonts w:ascii="Verdana" w:hAnsi="Verdana" w:cs="Arial"/>
          <w:sz w:val="20"/>
          <w:szCs w:val="20"/>
          <w:lang w:val="es-MX" w:eastAsia="es-ES_tradnl"/>
        </w:rPr>
        <w:t xml:space="preserve">. </w:t>
      </w:r>
      <w:r>
        <w:rPr>
          <w:rFonts w:ascii="Verdana" w:hAnsi="Verdana" w:cs="Arial"/>
          <w:sz w:val="20"/>
          <w:szCs w:val="20"/>
          <w:lang w:val="es-MX" w:eastAsia="es-ES_tradnl"/>
        </w:rPr>
        <w:t>(Énfasis por fuera de texto)</w:t>
      </w:r>
    </w:p>
    <w:p w14:paraId="3EE2D67B" w14:textId="77777777" w:rsidR="004C5D63" w:rsidRPr="003E527C" w:rsidRDefault="004C5D63" w:rsidP="004C5D63">
      <w:pPr>
        <w:spacing w:after="0" w:line="276" w:lineRule="auto"/>
        <w:ind w:left="709" w:right="709"/>
        <w:jc w:val="both"/>
        <w:rPr>
          <w:rFonts w:ascii="Verdana" w:hAnsi="Verdana" w:cs="Arial"/>
          <w:sz w:val="21"/>
          <w:szCs w:val="21"/>
          <w:lang w:val="es-MX" w:eastAsia="es-ES_tradnl"/>
        </w:rPr>
      </w:pPr>
    </w:p>
    <w:p w14:paraId="1F4B052D" w14:textId="77777777" w:rsidR="004C5D63" w:rsidRDefault="004C5D63" w:rsidP="004C5D63">
      <w:pPr>
        <w:widowControl w:val="0"/>
        <w:autoSpaceDE w:val="0"/>
        <w:autoSpaceDN w:val="0"/>
        <w:spacing w:before="120" w:after="120" w:line="276" w:lineRule="auto"/>
        <w:ind w:firstLine="709"/>
        <w:jc w:val="both"/>
        <w:rPr>
          <w:rFonts w:ascii="Verdana" w:hAnsi="Verdana" w:cs="Arial"/>
        </w:rPr>
      </w:pPr>
      <w:r>
        <w:rPr>
          <w:rFonts w:ascii="Verdana" w:hAnsi="Verdana" w:cs="Arial"/>
        </w:rPr>
        <w:t>Reiterando lo anterior, en concepto del 6 de marzo de 2024, la Sala de Consulta y Servicio Civil señaló que en la adición del contrato no se incluye la simple actualización de precios estipulada por las partes:</w:t>
      </w:r>
    </w:p>
    <w:p w14:paraId="1C1256AF" w14:textId="77777777" w:rsidR="004C5D63" w:rsidRDefault="004C5D63" w:rsidP="004C5D63">
      <w:pPr>
        <w:widowControl w:val="0"/>
        <w:autoSpaceDE w:val="0"/>
        <w:autoSpaceDN w:val="0"/>
        <w:spacing w:after="0" w:line="240" w:lineRule="auto"/>
        <w:ind w:firstLine="709"/>
        <w:jc w:val="both"/>
        <w:rPr>
          <w:rFonts w:ascii="Verdana" w:hAnsi="Verdana" w:cs="Arial"/>
        </w:rPr>
      </w:pPr>
    </w:p>
    <w:p w14:paraId="0694280F" w14:textId="77777777" w:rsidR="004C5D63" w:rsidRPr="00D67641" w:rsidRDefault="004C5D63" w:rsidP="004C5D63">
      <w:pPr>
        <w:widowControl w:val="0"/>
        <w:autoSpaceDE w:val="0"/>
        <w:autoSpaceDN w:val="0"/>
        <w:spacing w:after="0" w:line="240" w:lineRule="auto"/>
        <w:ind w:left="709" w:right="760"/>
        <w:jc w:val="both"/>
        <w:rPr>
          <w:rFonts w:ascii="Verdana" w:hAnsi="Verdana" w:cs="Arial"/>
          <w:sz w:val="20"/>
          <w:szCs w:val="20"/>
          <w:lang w:val="es-MX" w:eastAsia="es-ES_tradnl"/>
        </w:rPr>
      </w:pPr>
      <w:r w:rsidRPr="00C86DC4">
        <w:rPr>
          <w:rFonts w:ascii="Verdana" w:hAnsi="Verdana" w:cs="Arial"/>
          <w:sz w:val="20"/>
          <w:szCs w:val="20"/>
          <w:lang w:val="es-MX" w:eastAsia="es-ES_tradnl"/>
        </w:rPr>
        <w:t xml:space="preserve">“la adición de los contratos estatales consiste en una modificación a los mismos, efectuada por las partes, de común acuerdo, o unilateralmente por la entidad estatal, para: (i) agregar al objeto inicial del contrato bienes, obras, servicios o actividades no previstas inicialmente en dicho objeto, pero que guardan una estrecha relación con el mismo y se </w:t>
      </w:r>
      <w:r w:rsidRPr="00C86DC4">
        <w:rPr>
          <w:rFonts w:ascii="Verdana" w:hAnsi="Verdana" w:cs="Arial"/>
          <w:sz w:val="20"/>
          <w:szCs w:val="20"/>
          <w:lang w:val="es-MX" w:eastAsia="es-ES_tradnl"/>
        </w:rPr>
        <w:lastRenderedPageBreak/>
        <w:t>requieren para su debida ejecución y, en últimas, para el logro de la finalidad perseguida con el contrato, y/o (</w:t>
      </w:r>
      <w:proofErr w:type="spellStart"/>
      <w:r w:rsidRPr="00C86DC4">
        <w:rPr>
          <w:rFonts w:ascii="Verdana" w:hAnsi="Verdana" w:cs="Arial"/>
          <w:sz w:val="20"/>
          <w:szCs w:val="20"/>
          <w:lang w:val="es-MX" w:eastAsia="es-ES_tradnl"/>
        </w:rPr>
        <w:t>ii</w:t>
      </w:r>
      <w:proofErr w:type="spellEnd"/>
      <w:r w:rsidRPr="00C86DC4">
        <w:rPr>
          <w:rFonts w:ascii="Verdana" w:hAnsi="Verdana" w:cs="Arial"/>
          <w:sz w:val="20"/>
          <w:szCs w:val="20"/>
          <w:lang w:val="es-MX" w:eastAsia="es-ES_tradnl"/>
        </w:rPr>
        <w:t xml:space="preserve">) modificar el precio del contrato, entendido éste como el precio global acordado, los precios unitarios, el valor de los honorarios reconocidos al contratista etc., según la modalidad de remuneración acordada, siempre que dicho ajuste tenga un fundamento legal, técnico y económico, </w:t>
      </w:r>
      <w:r w:rsidRPr="00774309">
        <w:rPr>
          <w:rFonts w:ascii="Verdana" w:hAnsi="Verdana" w:cs="Arial"/>
          <w:i/>
          <w:iCs/>
          <w:sz w:val="20"/>
          <w:szCs w:val="20"/>
          <w:lang w:val="es-MX" w:eastAsia="es-ES_tradnl"/>
        </w:rPr>
        <w:t>y no se trate de la simple actualización de los precios estipulada inicialmente por las partes (cláusulas de actualización o reajuste de valor) o de la revisión de los mismos por el acaecimiento de hechos sobrevinientes extraordinarios o imprevisibles (teoría de la imprevisión, hecho del príncipe etc.)</w:t>
      </w:r>
      <w:r w:rsidRPr="00774309">
        <w:rPr>
          <w:rStyle w:val="Refdenotaalpie"/>
          <w:rFonts w:ascii="Verdana" w:hAnsi="Verdana" w:cs="Arial"/>
          <w:i/>
          <w:iCs/>
          <w:sz w:val="20"/>
          <w:szCs w:val="20"/>
          <w:lang w:val="es-MX" w:eastAsia="es-ES_tradnl"/>
        </w:rPr>
        <w:footnoteReference w:id="14"/>
      </w:r>
      <w:r>
        <w:rPr>
          <w:rFonts w:ascii="Verdana" w:hAnsi="Verdana" w:cs="Arial"/>
          <w:i/>
          <w:iCs/>
          <w:sz w:val="20"/>
          <w:szCs w:val="20"/>
          <w:lang w:val="es-MX" w:eastAsia="es-ES_tradnl"/>
        </w:rPr>
        <w:t xml:space="preserve">. </w:t>
      </w:r>
      <w:r>
        <w:rPr>
          <w:rFonts w:ascii="Verdana" w:hAnsi="Verdana" w:cs="Arial"/>
          <w:sz w:val="20"/>
          <w:szCs w:val="20"/>
          <w:lang w:val="es-MX" w:eastAsia="es-ES_tradnl"/>
        </w:rPr>
        <w:t>(Énfasis por fuera de texto)</w:t>
      </w:r>
    </w:p>
    <w:p w14:paraId="7CD16890" w14:textId="77777777" w:rsidR="004C5D63" w:rsidRDefault="004C5D63" w:rsidP="004C5D63">
      <w:pPr>
        <w:widowControl w:val="0"/>
        <w:autoSpaceDE w:val="0"/>
        <w:autoSpaceDN w:val="0"/>
        <w:spacing w:before="120" w:after="120" w:line="276" w:lineRule="auto"/>
        <w:ind w:firstLine="709"/>
        <w:jc w:val="both"/>
        <w:rPr>
          <w:rFonts w:ascii="Verdana" w:hAnsi="Verdana" w:cs="Arial"/>
        </w:rPr>
      </w:pPr>
    </w:p>
    <w:p w14:paraId="08A56775" w14:textId="77777777" w:rsidR="004C5D63" w:rsidRPr="003E527C" w:rsidRDefault="004C5D63" w:rsidP="004C5D63">
      <w:pPr>
        <w:widowControl w:val="0"/>
        <w:autoSpaceDE w:val="0"/>
        <w:autoSpaceDN w:val="0"/>
        <w:spacing w:before="120" w:after="120" w:line="276" w:lineRule="auto"/>
        <w:ind w:firstLine="709"/>
        <w:jc w:val="both"/>
        <w:rPr>
          <w:rFonts w:ascii="Verdana" w:eastAsia="Century Gothic" w:hAnsi="Verdana" w:cs="Century Gothic"/>
          <w:color w:val="000000" w:themeColor="text1"/>
          <w:lang w:val="es-ES"/>
        </w:rPr>
      </w:pPr>
      <w:r w:rsidRPr="003E527C">
        <w:rPr>
          <w:rFonts w:ascii="Verdana" w:hAnsi="Verdana" w:cs="Arial"/>
        </w:rPr>
        <w:t xml:space="preserve">En línea con lo anterior, la doctrina ha indicado que el reajuste de precios no </w:t>
      </w:r>
      <w:r>
        <w:rPr>
          <w:rFonts w:ascii="Verdana" w:hAnsi="Verdana" w:cs="Arial"/>
          <w:lang w:val="es-ES_tradnl"/>
        </w:rPr>
        <w:t>“</w:t>
      </w:r>
      <w:r w:rsidRPr="003E527C">
        <w:rPr>
          <w:rFonts w:ascii="Verdana" w:hAnsi="Verdana" w:cs="Arial"/>
        </w:rPr>
        <w:t>busca una modificación del contrato, como es propio de los contratos adicionales, sino su preservación en las condiciones iniciales, frente a las fluctuaciones que pueden tener lo valores de los insumos del objeto contractual</w:t>
      </w:r>
      <w:r w:rsidRPr="003E527C">
        <w:rPr>
          <w:rStyle w:val="Refdenotaalpie"/>
          <w:rFonts w:ascii="Verdana" w:hAnsi="Verdana" w:cs="Arial"/>
          <w:lang w:val="es-ES_tradnl"/>
        </w:rPr>
        <w:footnoteReference w:id="15"/>
      </w:r>
      <w:r>
        <w:rPr>
          <w:rFonts w:ascii="Verdana" w:hAnsi="Verdana" w:cs="Arial"/>
        </w:rPr>
        <w:t>”.</w:t>
      </w:r>
    </w:p>
    <w:p w14:paraId="4C7EB2D1" w14:textId="77777777" w:rsidR="004C5D63" w:rsidRDefault="004C5D63" w:rsidP="004C5D63">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Por lo </w:t>
      </w:r>
      <w:r>
        <w:rPr>
          <w:rFonts w:ascii="Verdana" w:eastAsia="Arial" w:hAnsi="Verdana" w:cs="Arial"/>
          <w:color w:val="000000" w:themeColor="text1"/>
          <w:lang w:val="es-ES" w:eastAsia="es-ES" w:bidi="es-ES"/>
        </w:rPr>
        <w:t>expuesto</w:t>
      </w:r>
      <w:r w:rsidRPr="00F04F3B">
        <w:rPr>
          <w:rFonts w:ascii="Verdana" w:eastAsia="Arial" w:hAnsi="Verdana" w:cs="Arial"/>
          <w:color w:val="000000" w:themeColor="text1"/>
          <w:lang w:val="es-ES" w:eastAsia="es-ES" w:bidi="es-ES"/>
        </w:rPr>
        <w:t xml:space="preserve">, </w:t>
      </w:r>
      <w:r>
        <w:rPr>
          <w:rFonts w:ascii="Verdana" w:eastAsia="Arial" w:hAnsi="Verdana" w:cs="Arial"/>
          <w:color w:val="000000" w:themeColor="text1"/>
          <w:lang w:val="es-ES" w:eastAsia="es-ES" w:bidi="es-ES"/>
        </w:rPr>
        <w:t xml:space="preserve">el </w:t>
      </w:r>
      <w:r w:rsidRPr="00F04F3B">
        <w:rPr>
          <w:rFonts w:ascii="Verdana" w:eastAsia="Arial" w:hAnsi="Verdana" w:cs="Arial"/>
          <w:color w:val="000000" w:themeColor="text1"/>
          <w:lang w:val="es-ES" w:eastAsia="es-ES" w:bidi="es-ES"/>
        </w:rPr>
        <w:t>aumento de</w:t>
      </w:r>
      <w:r>
        <w:rPr>
          <w:rFonts w:ascii="Verdana" w:eastAsia="Arial" w:hAnsi="Verdana" w:cs="Arial"/>
          <w:color w:val="000000" w:themeColor="text1"/>
          <w:lang w:val="es-ES" w:eastAsia="es-ES" w:bidi="es-ES"/>
        </w:rPr>
        <w:t>l</w:t>
      </w:r>
      <w:r w:rsidRPr="00F04F3B">
        <w:rPr>
          <w:rFonts w:ascii="Verdana" w:eastAsia="Arial" w:hAnsi="Verdana" w:cs="Arial"/>
          <w:color w:val="000000" w:themeColor="text1"/>
          <w:lang w:val="es-ES" w:eastAsia="es-ES" w:bidi="es-ES"/>
        </w:rPr>
        <w:t xml:space="preserve"> valor derivado del </w:t>
      </w:r>
      <w:r>
        <w:rPr>
          <w:rFonts w:ascii="Verdana" w:eastAsia="Arial" w:hAnsi="Verdana" w:cs="Arial"/>
          <w:color w:val="000000" w:themeColor="text1"/>
          <w:lang w:val="es-ES" w:eastAsia="es-ES" w:bidi="es-ES"/>
        </w:rPr>
        <w:t xml:space="preserve">mecanismo de ajuste de precios o del </w:t>
      </w:r>
      <w:r w:rsidRPr="00F04F3B">
        <w:rPr>
          <w:rFonts w:ascii="Verdana" w:eastAsia="Arial" w:hAnsi="Verdana" w:cs="Arial"/>
          <w:color w:val="000000" w:themeColor="text1"/>
          <w:lang w:val="es-ES" w:eastAsia="es-ES" w:bidi="es-ES"/>
        </w:rPr>
        <w:t>restablecimiento del equilibrio no queda sujeto al tope del 50 %, mientras que sí rige plenamente cuando se trata de la celebración de una adición contractual. Frente a esta última, el límite opera frente a cualquier incremento del valor inicial del contrato, que es lo que implica una adición, e independientemente del nombre que se le dé al acuerdo. De este modo, el tope recae sobre lo que jurídicamente constituye una adición —la ampliación del contenido prestacional—, no sobre el reajuste ni sobre el restablecimiento</w:t>
      </w:r>
      <w:r>
        <w:rPr>
          <w:rFonts w:ascii="Verdana" w:eastAsia="Arial" w:hAnsi="Verdana" w:cs="Arial"/>
          <w:color w:val="000000" w:themeColor="text1"/>
          <w:lang w:val="es-ES" w:eastAsia="es-ES" w:bidi="es-ES"/>
        </w:rPr>
        <w:t>.</w:t>
      </w:r>
    </w:p>
    <w:p w14:paraId="339EE86C" w14:textId="77777777" w:rsidR="004C5D63" w:rsidRDefault="004C5D63" w:rsidP="004C5D63">
      <w:pPr>
        <w:spacing w:before="120" w:after="120" w:line="276" w:lineRule="auto"/>
        <w:ind w:firstLine="743"/>
        <w:jc w:val="both"/>
        <w:rPr>
          <w:rFonts w:ascii="Verdana" w:hAnsi="Verdana" w:cs="Arial"/>
          <w:color w:val="000000" w:themeColor="text1"/>
        </w:rPr>
      </w:pPr>
      <w:r w:rsidRPr="00A06C92">
        <w:rPr>
          <w:rFonts w:ascii="Verdana" w:hAnsi="Verdana" w:cs="Arial"/>
          <w:color w:val="000000" w:themeColor="text1"/>
        </w:rPr>
        <w:t>En particular, el cambio de vigencia contractual puede generar la aplicación de las fórmulas de reajuste o actualización de precios previstas en el contrato. Este mayor valor no constituye, por sí mismo, una adición sometida al límite del 50 %, en la medida en que corresponda a ítems o prestaciones ya definidos y pactados</w:t>
      </w:r>
      <w:r>
        <w:rPr>
          <w:rFonts w:ascii="Verdana" w:hAnsi="Verdana" w:cs="Arial"/>
          <w:color w:val="000000" w:themeColor="text1"/>
        </w:rPr>
        <w:t>, puesto que e</w:t>
      </w:r>
      <w:r w:rsidRPr="00A06C92">
        <w:rPr>
          <w:rFonts w:ascii="Verdana" w:hAnsi="Verdana" w:cs="Arial"/>
          <w:color w:val="000000" w:themeColor="text1"/>
        </w:rPr>
        <w:t xml:space="preserve">l reajuste opera precisamente como un mecanismo de preservación de las condiciones económicas del contrato frente a </w:t>
      </w:r>
      <w:r w:rsidRPr="00A06C92">
        <w:rPr>
          <w:rFonts w:ascii="Verdana" w:hAnsi="Verdana" w:cs="Arial"/>
          <w:color w:val="000000" w:themeColor="text1"/>
        </w:rPr>
        <w:lastRenderedPageBreak/>
        <w:t>las fluctuaciones de los costos y no como una modificación de su contenido prestacional.</w:t>
      </w:r>
    </w:p>
    <w:p w14:paraId="724751AC" w14:textId="77777777" w:rsidR="004C5D63" w:rsidRDefault="004C5D63" w:rsidP="004C5D63">
      <w:pPr>
        <w:widowControl w:val="0"/>
        <w:autoSpaceDE w:val="0"/>
        <w:autoSpaceDN w:val="0"/>
        <w:spacing w:before="120" w:after="120" w:line="276" w:lineRule="auto"/>
        <w:ind w:firstLine="709"/>
        <w:jc w:val="both"/>
        <w:rPr>
          <w:rFonts w:ascii="Verdana" w:hAnsi="Verdana" w:cs="Arial"/>
          <w:color w:val="000000" w:themeColor="text1"/>
        </w:rPr>
      </w:pPr>
      <w:r w:rsidRPr="00A06C92">
        <w:rPr>
          <w:rFonts w:ascii="Verdana" w:hAnsi="Verdana" w:cs="Arial"/>
          <w:color w:val="000000" w:themeColor="text1"/>
        </w:rPr>
        <w:t>En consecuencia,</w:t>
      </w:r>
      <w:r>
        <w:rPr>
          <w:rFonts w:ascii="Verdana" w:hAnsi="Verdana" w:cs="Arial"/>
          <w:color w:val="000000" w:themeColor="text1"/>
        </w:rPr>
        <w:t xml:space="preserve"> </w:t>
      </w:r>
      <w:r w:rsidRPr="00A06C92">
        <w:rPr>
          <w:rFonts w:ascii="Verdana" w:hAnsi="Verdana" w:cs="Arial"/>
          <w:color w:val="000000" w:themeColor="text1"/>
        </w:rPr>
        <w:t>si e</w:t>
      </w:r>
      <w:r>
        <w:rPr>
          <w:rFonts w:ascii="Verdana" w:hAnsi="Verdana" w:cs="Arial"/>
          <w:color w:val="000000" w:themeColor="text1"/>
        </w:rPr>
        <w:t>l reconocimiento económico</w:t>
      </w:r>
      <w:r w:rsidRPr="00A06C92">
        <w:rPr>
          <w:rFonts w:ascii="Verdana" w:hAnsi="Verdana" w:cs="Arial"/>
          <w:color w:val="000000" w:themeColor="text1"/>
        </w:rPr>
        <w:t xml:space="preserve"> corresponde exclusivamente a la actualización de los precios de prestaciones ya pactadas, no se computa dentro del 50 %</w:t>
      </w:r>
      <w:r>
        <w:rPr>
          <w:rFonts w:ascii="Verdana" w:hAnsi="Verdana" w:cs="Arial"/>
          <w:color w:val="000000" w:themeColor="text1"/>
        </w:rPr>
        <w:t xml:space="preserve">, mientras que </w:t>
      </w:r>
      <w:r w:rsidRPr="00A06C92">
        <w:rPr>
          <w:rFonts w:ascii="Verdana" w:hAnsi="Verdana" w:cs="Arial"/>
          <w:color w:val="000000" w:themeColor="text1"/>
        </w:rPr>
        <w:t>si</w:t>
      </w:r>
      <w:r>
        <w:rPr>
          <w:rFonts w:ascii="Verdana" w:hAnsi="Verdana" w:cs="Arial"/>
          <w:color w:val="000000" w:themeColor="text1"/>
        </w:rPr>
        <w:t xml:space="preserve"> </w:t>
      </w:r>
      <w:r w:rsidRPr="00A06C92">
        <w:rPr>
          <w:rFonts w:ascii="Verdana" w:hAnsi="Verdana" w:cs="Arial"/>
          <w:color w:val="000000" w:themeColor="text1"/>
        </w:rPr>
        <w:t xml:space="preserve">el mayor valor supone incorporar nuevas prestaciones, </w:t>
      </w:r>
      <w:r>
        <w:rPr>
          <w:rFonts w:ascii="Verdana" w:hAnsi="Verdana" w:cs="Arial"/>
          <w:color w:val="000000" w:themeColor="text1"/>
        </w:rPr>
        <w:t xml:space="preserve">otras </w:t>
      </w:r>
      <w:r w:rsidRPr="00A06C92">
        <w:rPr>
          <w:rFonts w:ascii="Verdana" w:hAnsi="Verdana" w:cs="Arial"/>
          <w:color w:val="000000" w:themeColor="text1"/>
        </w:rPr>
        <w:t>obligaciones o una ampliación del contenido contractual, estará sometido al límite legal</w:t>
      </w:r>
      <w:r>
        <w:rPr>
          <w:rFonts w:ascii="Verdana" w:hAnsi="Verdana" w:cs="Arial"/>
          <w:color w:val="000000" w:themeColor="text1"/>
        </w:rPr>
        <w:t xml:space="preserve">, </w:t>
      </w:r>
      <w:r w:rsidRPr="008F0391">
        <w:rPr>
          <w:rFonts w:ascii="Verdana" w:hAnsi="Verdana" w:cs="Arial"/>
          <w:color w:val="000000" w:themeColor="text1"/>
        </w:rPr>
        <w:t>sin perjuicio de lo dispuesto</w:t>
      </w:r>
      <w:r w:rsidRPr="00BF5882">
        <w:rPr>
          <w:rFonts w:ascii="Verdana" w:hAnsi="Verdana" w:cs="Arial"/>
          <w:color w:val="000000" w:themeColor="text1"/>
        </w:rPr>
        <w:t xml:space="preserve"> sobre</w:t>
      </w:r>
      <w:r>
        <w:rPr>
          <w:rFonts w:ascii="Verdana" w:hAnsi="Verdana" w:cs="Arial"/>
          <w:color w:val="000000" w:themeColor="text1"/>
        </w:rPr>
        <w:t xml:space="preserve"> el reconocimiento de las mayores cantidades de obra. </w:t>
      </w:r>
    </w:p>
    <w:p w14:paraId="3515168A" w14:textId="77777777" w:rsidR="004C5D63" w:rsidRPr="00F04F3B" w:rsidRDefault="004C5D63" w:rsidP="004C5D63">
      <w:pPr>
        <w:spacing w:before="120" w:after="120" w:line="276" w:lineRule="auto"/>
        <w:ind w:firstLine="743"/>
        <w:jc w:val="both"/>
        <w:rPr>
          <w:rFonts w:ascii="Verdana" w:eastAsia="Arial" w:hAnsi="Verdana" w:cs="Arial"/>
          <w:color w:val="000000" w:themeColor="text1"/>
          <w:lang w:val="es-ES" w:eastAsia="es-ES" w:bidi="es-ES"/>
        </w:rPr>
      </w:pPr>
      <w:r w:rsidRPr="00A06C92">
        <w:rPr>
          <w:rFonts w:ascii="Verdana" w:hAnsi="Verdana" w:cs="Arial"/>
          <w:color w:val="000000" w:themeColor="text1"/>
        </w:rPr>
        <w:t>Por tanto, los reajustes de precios derivados del cambio de vigencia no consumen el límite de adición del artículo 40 de la Ley 80 de 1993, siempre que correspondan a la aplicación del mecanismo de ajuste previsto para las prestaciones originalmente pactadas y no encubran una verdadera adición contractual. Esta conclusión debe distinguirse de los casos en que la entidad requiere ejecutar la obra con un presupuesto adicional por fuera de las prestaciones inicialmente previstas, supuesto en el cual sí deberá modificar el contrato y sujetarse al límite legal</w:t>
      </w:r>
      <w:r>
        <w:rPr>
          <w:rFonts w:ascii="Verdana" w:hAnsi="Verdana" w:cs="Arial"/>
          <w:color w:val="000000" w:themeColor="text1"/>
        </w:rPr>
        <w:t>.</w:t>
      </w:r>
    </w:p>
    <w:p w14:paraId="050E8B12" w14:textId="77777777" w:rsidR="004C5D63"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Bajo estas consideraciones, frente a lo expuesto en la consulta, se precisa que l</w:t>
      </w:r>
      <w:r w:rsidRPr="000025D0">
        <w:rPr>
          <w:rFonts w:ascii="Verdana" w:eastAsia="Arial" w:hAnsi="Verdana" w:cs="Arial"/>
          <w:color w:val="000000" w:themeColor="text1"/>
          <w:lang w:val="es-ES" w:eastAsia="es-ES" w:bidi="es-ES"/>
        </w:rPr>
        <w:t>a entidad debe establecer si el mayor valor resulta de aplicar una fórmula de actualización o una tarifa regulada que integra el mecanismo económico originalmente pactado</w:t>
      </w:r>
      <w:r w:rsidRPr="008F0391">
        <w:rPr>
          <w:rStyle w:val="Refdenotaalpie"/>
          <w:rFonts w:ascii="Verdana" w:eastAsia="Arial" w:hAnsi="Verdana" w:cs="Arial"/>
          <w:color w:val="000000" w:themeColor="text1"/>
        </w:rPr>
        <w:footnoteReference w:id="16"/>
      </w:r>
      <w:r w:rsidRPr="00BF5882">
        <w:rPr>
          <w:rFonts w:ascii="Verdana" w:eastAsia="Arial" w:hAnsi="Verdana" w:cs="Arial"/>
          <w:color w:val="000000" w:themeColor="text1"/>
          <w:lang w:val="es-ES" w:eastAsia="es-ES" w:bidi="es-ES"/>
        </w:rPr>
        <w:t>,</w:t>
      </w:r>
      <w:r>
        <w:rPr>
          <w:rFonts w:ascii="Verdana" w:eastAsia="Arial" w:hAnsi="Verdana" w:cs="Arial"/>
          <w:color w:val="000000" w:themeColor="text1"/>
          <w:lang w:val="es-ES" w:eastAsia="es-ES" w:bidi="es-ES"/>
        </w:rPr>
        <w:t xml:space="preserve"> o si requiere modificar el precio contractual por fuera de las reglas de ajuste previstas.</w:t>
      </w:r>
      <w:r>
        <w:rPr>
          <w:rFonts w:ascii="Verdana" w:eastAsia="Arial" w:hAnsi="Verdana" w:cs="Arial"/>
          <w:color w:val="000000" w:themeColor="text1"/>
          <w:lang w:eastAsia="es-ES" w:bidi="es-ES"/>
        </w:rPr>
        <w:t xml:space="preserve"> De este modo</w:t>
      </w:r>
      <w:r w:rsidRPr="008F7C11">
        <w:rPr>
          <w:rFonts w:ascii="Verdana" w:eastAsia="Arial" w:hAnsi="Verdana" w:cs="Arial"/>
          <w:color w:val="000000" w:themeColor="text1"/>
          <w:lang w:eastAsia="es-ES" w:bidi="es-ES"/>
        </w:rPr>
        <w:t>, cuando el contrato contempla</w:t>
      </w:r>
      <w:r>
        <w:rPr>
          <w:rFonts w:ascii="Verdana" w:eastAsia="Arial" w:hAnsi="Verdana" w:cs="Arial"/>
          <w:color w:val="000000" w:themeColor="text1"/>
          <w:lang w:eastAsia="es-ES" w:bidi="es-ES"/>
        </w:rPr>
        <w:t xml:space="preserve"> determinadas actividades </w:t>
      </w:r>
      <w:r w:rsidRPr="008F7C11">
        <w:rPr>
          <w:rFonts w:ascii="Verdana" w:eastAsia="Arial" w:hAnsi="Verdana" w:cs="Arial"/>
          <w:color w:val="000000" w:themeColor="text1"/>
          <w:lang w:eastAsia="es-ES" w:bidi="es-ES"/>
        </w:rPr>
        <w:t xml:space="preserve">y condiciones de prestación ya definidos, y el incremento obedece exclusivamente a la actualización de la tarifa aplicable, </w:t>
      </w:r>
      <w:r>
        <w:rPr>
          <w:rFonts w:ascii="Verdana" w:eastAsia="Arial" w:hAnsi="Verdana" w:cs="Arial"/>
          <w:color w:val="000000" w:themeColor="text1"/>
          <w:lang w:eastAsia="es-ES" w:bidi="es-ES"/>
        </w:rPr>
        <w:t xml:space="preserve">en principio, podría tratarse de </w:t>
      </w:r>
      <w:r w:rsidRPr="008F7C11">
        <w:rPr>
          <w:rFonts w:ascii="Verdana" w:eastAsia="Arial" w:hAnsi="Verdana" w:cs="Arial"/>
          <w:color w:val="000000" w:themeColor="text1"/>
          <w:lang w:eastAsia="es-ES" w:bidi="es-ES"/>
        </w:rPr>
        <w:t>un reajuste económico y no como una adición.</w:t>
      </w:r>
      <w:r>
        <w:rPr>
          <w:rFonts w:ascii="Verdana" w:eastAsia="Arial" w:hAnsi="Verdana" w:cs="Arial"/>
          <w:color w:val="000000" w:themeColor="text1"/>
          <w:lang w:eastAsia="es-ES" w:bidi="es-ES"/>
        </w:rPr>
        <w:t xml:space="preserve"> Sin embargo,</w:t>
      </w:r>
      <w:r w:rsidRPr="008F7C11">
        <w:rPr>
          <w:rFonts w:ascii="Verdana" w:eastAsia="Arial" w:hAnsi="Verdana" w:cs="Arial"/>
          <w:color w:val="000000" w:themeColor="text1"/>
          <w:lang w:eastAsia="es-ES" w:bidi="es-ES"/>
        </w:rPr>
        <w:t xml:space="preserve"> </w:t>
      </w:r>
      <w:r>
        <w:rPr>
          <w:rFonts w:ascii="Verdana" w:eastAsia="Arial" w:hAnsi="Verdana" w:cs="Arial"/>
          <w:color w:val="000000" w:themeColor="text1"/>
          <w:lang w:eastAsia="es-ES" w:bidi="es-ES"/>
        </w:rPr>
        <w:t>e</w:t>
      </w:r>
      <w:r w:rsidRPr="008F7C11">
        <w:rPr>
          <w:rFonts w:ascii="Verdana" w:eastAsia="Arial" w:hAnsi="Verdana" w:cs="Arial"/>
          <w:color w:val="000000" w:themeColor="text1"/>
          <w:lang w:eastAsia="es-ES" w:bidi="es-ES"/>
        </w:rPr>
        <w:t>sta conclusión exige verificar el clausulado, el régimen tarifario aplicable y la correspondencia entre el ajuste reconocido y las prestaciones contratadas</w:t>
      </w:r>
      <w:r>
        <w:rPr>
          <w:rFonts w:ascii="Verdana" w:eastAsia="Arial" w:hAnsi="Verdana" w:cs="Arial"/>
          <w:color w:val="000000" w:themeColor="text1"/>
          <w:lang w:eastAsia="es-ES" w:bidi="es-ES"/>
        </w:rPr>
        <w:t xml:space="preserve">. </w:t>
      </w:r>
      <w:r w:rsidRPr="00963244">
        <w:rPr>
          <w:rFonts w:ascii="Verdana" w:eastAsia="Arial" w:hAnsi="Verdana" w:cs="Arial"/>
          <w:color w:val="000000" w:themeColor="text1"/>
          <w:lang w:eastAsia="es-ES" w:bidi="es-ES"/>
        </w:rPr>
        <w:t>Por tanto, para sustentar que el ajuste tarifario no computa dentro del 50 %, conviene demostrar que se trata de la ejecución de un mecanismo de reajuste previamente pactado y no de una modificación autónoma del valor contractual</w:t>
      </w:r>
      <w:r>
        <w:rPr>
          <w:rFonts w:ascii="Verdana" w:eastAsia="Arial" w:hAnsi="Verdana" w:cs="Arial"/>
          <w:color w:val="000000" w:themeColor="text1"/>
          <w:lang w:eastAsia="es-ES" w:bidi="es-ES"/>
        </w:rPr>
        <w:t xml:space="preserve">. </w:t>
      </w:r>
    </w:p>
    <w:p w14:paraId="19F9EA56" w14:textId="77777777" w:rsidR="004C5D63"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BF5882">
        <w:rPr>
          <w:rFonts w:ascii="Verdana" w:eastAsia="Arial" w:hAnsi="Verdana" w:cs="Arial"/>
          <w:color w:val="000000" w:themeColor="text1"/>
          <w:lang w:val="es-ES" w:eastAsia="es-ES" w:bidi="es-ES"/>
        </w:rPr>
        <w:lastRenderedPageBreak/>
        <w:t xml:space="preserve">En tal sentido, cuando el incremento corresponda a la aplicación de una cláusula de reajuste o actualización previamente pactada, la entidad podrá formalizar su reconocimiento mediante el instrumento previsto en el contrato y en sus procedimientos internos, por ejemplo, un acta de aplicación de la fórmula de reajuste o un acta de reconocimiento del valor actualizado. </w:t>
      </w:r>
      <w:r w:rsidRPr="008F0391">
        <w:rPr>
          <w:rFonts w:ascii="Verdana" w:eastAsia="Arial" w:hAnsi="Verdana" w:cs="Arial"/>
          <w:color w:val="000000" w:themeColor="text1"/>
          <w:lang w:val="es-ES" w:eastAsia="es-ES" w:bidi="es-ES"/>
        </w:rPr>
        <w:t>El instrumento adecuado depende de la naturaleza del reconocimiento. Cuando el mayor valor corresponde a la aplicación de una cláusula de reajuste, basta un acta en la que se aplique la fórmula pactada y se liquide el valor actualizado. Cuando obedece a un restablecimiento del equilibrio, el reconocimiento se formaliza mediante el acuerdo modificatorio que corresponda —otrosí, acta o acuerdo de restablecimiento—, previa acreditación de sus requisitos. En ambos casos, el expediente debería integrar, cuando menos, el soporte técnico que cuantifique el mayor valor y su relación con las prestaciones contratadas, el soporte jurídico que justifique la procedencia del reconocimiento y su calificación como reajuste, restablecimiento o adición, y el soporte presupuestal que lo respalde, esto es, el certificado de disponibilidad y el registro presupuestal correspondientes y, tratándose de compromisos que afecten vigencias posteriores, el aval de vigencias futuras en los términos de la Ley 819 de 2003 y del Estatuto Orgánico del Presupuesto.</w:t>
      </w:r>
    </w:p>
    <w:p w14:paraId="239FB2F2" w14:textId="77777777" w:rsidR="004C5D63" w:rsidRDefault="004C5D63" w:rsidP="004C5D63">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Por su parte, si del análisis se evidencia que </w:t>
      </w:r>
      <w:r w:rsidRPr="00C02DFE">
        <w:rPr>
          <w:rFonts w:ascii="Verdana" w:eastAsia="Arial" w:hAnsi="Verdana" w:cs="Arial"/>
          <w:color w:val="000000" w:themeColor="text1"/>
          <w:lang w:val="es-ES" w:eastAsia="es-ES" w:bidi="es-ES"/>
        </w:rPr>
        <w:t>el incremento constituye una verdadera adición</w:t>
      </w:r>
      <w:r>
        <w:rPr>
          <w:rFonts w:ascii="Verdana" w:eastAsia="Arial" w:hAnsi="Verdana" w:cs="Arial"/>
          <w:color w:val="000000" w:themeColor="text1"/>
          <w:lang w:val="es-ES" w:eastAsia="es-ES" w:bidi="es-ES"/>
        </w:rPr>
        <w:t xml:space="preserve"> y la inclusión de </w:t>
      </w:r>
      <w:r w:rsidRPr="00A06C92">
        <w:rPr>
          <w:rFonts w:ascii="Verdana" w:hAnsi="Verdana" w:cs="Arial"/>
          <w:color w:val="000000" w:themeColor="text1"/>
        </w:rPr>
        <w:t xml:space="preserve">nuevas prestaciones, </w:t>
      </w:r>
      <w:r>
        <w:rPr>
          <w:rFonts w:ascii="Verdana" w:hAnsi="Verdana" w:cs="Arial"/>
          <w:color w:val="000000" w:themeColor="text1"/>
        </w:rPr>
        <w:t xml:space="preserve">otras </w:t>
      </w:r>
      <w:r w:rsidRPr="00A06C92">
        <w:rPr>
          <w:rFonts w:ascii="Verdana" w:hAnsi="Verdana" w:cs="Arial"/>
          <w:color w:val="000000" w:themeColor="text1"/>
        </w:rPr>
        <w:t>obligaciones o una ampliación del contenido contractual</w:t>
      </w:r>
      <w:r w:rsidRPr="00C02DFE">
        <w:rPr>
          <w:rFonts w:ascii="Verdana" w:eastAsia="Arial" w:hAnsi="Verdana" w:cs="Arial"/>
          <w:color w:val="000000" w:themeColor="text1"/>
          <w:lang w:val="es-ES" w:eastAsia="es-ES" w:bidi="es-ES"/>
        </w:rPr>
        <w:t xml:space="preserve">, el carácter obligatorio de las tarifas mínimas no crea, por sí mismo, una excepción al límite del parágrafo del artículo 40 de la Ley 80 de 1993. La entidad no puede superar el tope legal por el solo hecho de que el incremento derive de disposiciones </w:t>
      </w:r>
      <w:r>
        <w:rPr>
          <w:rFonts w:ascii="Verdana" w:eastAsia="Arial" w:hAnsi="Verdana" w:cs="Arial"/>
          <w:color w:val="000000" w:themeColor="text1"/>
          <w:lang w:val="es-ES" w:eastAsia="es-ES" w:bidi="es-ES"/>
        </w:rPr>
        <w:t>normativas</w:t>
      </w:r>
      <w:r w:rsidRPr="00C02DFE">
        <w:rPr>
          <w:rFonts w:ascii="Verdana" w:eastAsia="Arial" w:hAnsi="Verdana" w:cs="Arial"/>
          <w:color w:val="000000" w:themeColor="text1"/>
          <w:lang w:val="es-ES" w:eastAsia="es-ES" w:bidi="es-ES"/>
        </w:rPr>
        <w:t>, ni puede formalizar una adición superior al límite mediante un acta de reconocimiento u otra denominación contractual.</w:t>
      </w:r>
    </w:p>
    <w:p w14:paraId="40A0AF40" w14:textId="77777777" w:rsidR="004C5D63" w:rsidRDefault="004C5D63" w:rsidP="004C5D63">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8F0391">
        <w:rPr>
          <w:rFonts w:ascii="Verdana" w:eastAsia="Arial" w:hAnsi="Verdana" w:cs="Arial"/>
          <w:color w:val="000000" w:themeColor="text1"/>
          <w:lang w:val="es-ES" w:eastAsia="es-ES" w:bidi="es-ES"/>
        </w:rPr>
        <w:t xml:space="preserve">Cuando el mayor valor configure una adición y el margen del cincuenta por ciento (50 %) se encuentre agotado, la entidad no puede continuar ampliando el valor del contrato en ejecución. En ese evento, y en observancia de los principios de planeación, transparencia y selección objetiva, deberá atender la necesidad adicional mediante un nuevo Proceso de Contratación, con la modalidad de selección que corresponda según su cuantía y objeto. Antes de llegar a esa conclusión, la entidad debe verificar dos cuestiones previas. La primera, si el incremento corresponde realmente a una adición o si obedece a la actualización del precio de prestaciones ya pactadas, caso en el cual se trata de </w:t>
      </w:r>
      <w:r w:rsidRPr="008F0391">
        <w:rPr>
          <w:rFonts w:ascii="Verdana" w:eastAsia="Arial" w:hAnsi="Verdana" w:cs="Arial"/>
          <w:color w:val="000000" w:themeColor="text1"/>
          <w:lang w:val="es-ES" w:eastAsia="es-ES" w:bidi="es-ES"/>
        </w:rPr>
        <w:lastRenderedPageBreak/>
        <w:t>un reajuste que no consume el tope. La segunda, si el contrato se estructuró bajo la modalidad de precios unitarios, pues en ese supuesto la ejecución de mayores cantidades de las inicialmente estimadas no queda sometida al límite del parágrafo del artículo 40, conforme a la jurisprudencia del Consejo de Estado y a la doctrina reiterada de esta Agencia, sin que ello habilite para desconocer la modalidad de selección aplicable según la cuantía del Proceso de Contratación</w:t>
      </w:r>
      <w:r>
        <w:rPr>
          <w:rFonts w:ascii="Verdana" w:eastAsia="Arial" w:hAnsi="Verdana" w:cs="Arial"/>
          <w:color w:val="000000" w:themeColor="text1"/>
          <w:highlight w:val="yellow"/>
          <w:lang w:val="es-ES" w:eastAsia="es-ES" w:bidi="es-ES"/>
        </w:rPr>
        <w:t>.</w:t>
      </w:r>
    </w:p>
    <w:p w14:paraId="6F701312" w14:textId="77777777" w:rsidR="004C5D63" w:rsidRDefault="004C5D63" w:rsidP="004C5D63">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sidRPr="00A870CF">
        <w:rPr>
          <w:rFonts w:ascii="Verdana" w:eastAsia="Arial" w:hAnsi="Verdana" w:cs="Arial"/>
          <w:color w:val="000000" w:themeColor="text1"/>
          <w:lang w:val="es-ES" w:eastAsia="es-ES" w:bidi="es-ES"/>
        </w:rPr>
        <w:t xml:space="preserve">Asimismo, para determinar la procedencia del reconocimiento de mayores valores, resulta necesario examinar la distribución de riesgos prevista en el contrato, </w:t>
      </w:r>
      <w:r>
        <w:rPr>
          <w:rFonts w:ascii="Verdana" w:eastAsia="Arial" w:hAnsi="Verdana" w:cs="Arial"/>
          <w:color w:val="000000" w:themeColor="text1"/>
          <w:lang w:val="es-ES" w:eastAsia="es-ES" w:bidi="es-ES"/>
        </w:rPr>
        <w:t xml:space="preserve">puesto que </w:t>
      </w:r>
      <w:r w:rsidRPr="00A870CF">
        <w:rPr>
          <w:rFonts w:ascii="Verdana" w:eastAsia="Arial" w:hAnsi="Verdana" w:cs="Arial"/>
          <w:color w:val="000000" w:themeColor="text1"/>
          <w:lang w:val="es-ES" w:eastAsia="es-ES" w:bidi="es-ES"/>
        </w:rPr>
        <w:t xml:space="preserve">si en virtud de la matriz de riesgos o de las estipulaciones contractuales el contratista asumió el riesgo asociado al cambio de vigencia y a las </w:t>
      </w:r>
      <w:r w:rsidRPr="008F0391">
        <w:rPr>
          <w:rFonts w:ascii="Verdana" w:eastAsia="Arial" w:hAnsi="Verdana" w:cs="Arial"/>
          <w:color w:val="000000" w:themeColor="text1"/>
          <w:lang w:val="es-ES" w:eastAsia="es-ES" w:bidi="es-ES"/>
        </w:rPr>
        <w:t>variaciones ordinarias de los costos</w:t>
      </w:r>
      <w:r w:rsidRPr="00A870CF">
        <w:rPr>
          <w:rFonts w:ascii="Verdana" w:eastAsia="Arial" w:hAnsi="Verdana" w:cs="Arial"/>
          <w:color w:val="000000" w:themeColor="text1"/>
          <w:lang w:val="es-ES" w:eastAsia="es-ES" w:bidi="es-ES"/>
        </w:rPr>
        <w:t xml:space="preserve"> de prestación del servicio, deberá establecerse si los incrementos invocados corresponden a eventos comprendidos dentro de dicha asignación. De ser así, en principio, no habría lugar a reconocer valores adicionales con fundamento en la ocurrencia de un riesgo que fue expresamente asumido por el contratista, sin perjuicio de verificar el alcance de las obligaciones legales aplicables y de las cláusulas de reajuste pactadas.</w:t>
      </w:r>
    </w:p>
    <w:p w14:paraId="39989E2A" w14:textId="77777777" w:rsidR="004C5D63" w:rsidRDefault="004C5D63" w:rsidP="004C5D63">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sidRPr="00AA789A">
        <w:rPr>
          <w:rFonts w:ascii="Verdana" w:eastAsia="Arial" w:hAnsi="Verdana" w:cs="Arial"/>
          <w:color w:val="000000" w:themeColor="text1"/>
          <w:lang w:eastAsia="es-ES" w:bidi="es-ES"/>
        </w:rPr>
        <w:t>Si se trata de circunstancias no comprendidas en la asignación de riesgos o cuyos efectos exceden el alcance del riesgo asumido, corresponderá evaluar, a partir de las condiciones particulares del contrato y de las reglas aplicables al restablecimiento del equilibrio económico, si existe fundamento jurídico para reconocer los mayores valores reclamados. En todo caso, la sola ocurrencia de un cambio normativo o el incremento de los costos de ejecución no genera automáticamente el derecho a dicho reconocimiento.</w:t>
      </w:r>
    </w:p>
    <w:p w14:paraId="2EF87837" w14:textId="77777777" w:rsidR="004C5D63" w:rsidRDefault="004C5D63" w:rsidP="004C5D63">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En este contexto, p</w:t>
      </w:r>
      <w:r w:rsidRPr="00252E81">
        <w:rPr>
          <w:rFonts w:ascii="Verdana" w:eastAsia="Arial" w:hAnsi="Verdana" w:cs="Arial"/>
          <w:color w:val="000000" w:themeColor="text1"/>
          <w:lang w:val="es-ES" w:eastAsia="es-ES" w:bidi="es-ES"/>
        </w:rPr>
        <w:t xml:space="preserve">ara establecer el límite del artículo 40 respecto de las adiciones que sí se encuentren sometidas a este, debe tomarse el valor inicial del contrato y expresarlo en </w:t>
      </w:r>
      <w:r w:rsidRPr="008F0391">
        <w:rPr>
          <w:rFonts w:ascii="Verdana" w:eastAsia="Arial" w:hAnsi="Verdana" w:cs="Arial"/>
          <w:color w:val="000000" w:themeColor="text1"/>
          <w:lang w:val="es-ES" w:eastAsia="es-ES" w:bidi="es-ES"/>
        </w:rPr>
        <w:t>SMLMV</w:t>
      </w:r>
      <w:r w:rsidRPr="00BF5882">
        <w:rPr>
          <w:rFonts w:ascii="Verdana" w:eastAsia="Arial" w:hAnsi="Verdana" w:cs="Arial"/>
          <w:color w:val="000000" w:themeColor="text1"/>
          <w:lang w:val="es-ES" w:eastAsia="es-ES" w:bidi="es-ES"/>
        </w:rPr>
        <w:t xml:space="preserve">, para lo cual se divide el valor inicial en pesos entre el </w:t>
      </w:r>
      <w:r w:rsidRPr="008F0391">
        <w:rPr>
          <w:rFonts w:ascii="Verdana" w:eastAsia="Arial" w:hAnsi="Verdana" w:cs="Arial"/>
          <w:color w:val="000000" w:themeColor="text1"/>
          <w:lang w:val="es-ES" w:eastAsia="es-ES" w:bidi="es-ES"/>
        </w:rPr>
        <w:t>SMLMV</w:t>
      </w:r>
      <w:r w:rsidRPr="00BF5882">
        <w:rPr>
          <w:rFonts w:ascii="Verdana" w:eastAsia="Arial" w:hAnsi="Verdana" w:cs="Arial"/>
          <w:color w:val="000000" w:themeColor="text1"/>
          <w:lang w:val="es-ES" w:eastAsia="es-ES" w:bidi="es-ES"/>
        </w:rPr>
        <w:t xml:space="preserve"> vigente al momento de la celebración del contrato. El resultado corresponde al valor inicial expresado en </w:t>
      </w:r>
      <w:r w:rsidRPr="008F0391">
        <w:rPr>
          <w:rFonts w:ascii="Verdana" w:eastAsia="Arial" w:hAnsi="Verdana" w:cs="Arial"/>
          <w:color w:val="000000" w:themeColor="text1"/>
          <w:lang w:val="es-ES" w:eastAsia="es-ES" w:bidi="es-ES"/>
        </w:rPr>
        <w:t>SMLMV</w:t>
      </w:r>
      <w:r w:rsidRPr="00BF5882">
        <w:rPr>
          <w:rFonts w:ascii="Verdana" w:eastAsia="Arial" w:hAnsi="Verdana" w:cs="Arial"/>
          <w:color w:val="000000" w:themeColor="text1"/>
          <w:lang w:val="es-ES" w:eastAsia="es-ES" w:bidi="es-ES"/>
        </w:rPr>
        <w:t xml:space="preserve"> y sobre este se calcula el 50 %, que constituye el límite máximo de las adiciones. Las adiciones que se realicen durante la ejecución se expresan igualmente en </w:t>
      </w:r>
      <w:r w:rsidRPr="008F0391">
        <w:rPr>
          <w:rFonts w:ascii="Verdana" w:eastAsia="Arial" w:hAnsi="Verdana" w:cs="Arial"/>
          <w:color w:val="000000" w:themeColor="text1"/>
          <w:lang w:val="es-ES" w:eastAsia="es-ES" w:bidi="es-ES"/>
        </w:rPr>
        <w:t>SMLMV</w:t>
      </w:r>
      <w:r w:rsidRPr="00252E81">
        <w:rPr>
          <w:rFonts w:ascii="Verdana" w:eastAsia="Arial" w:hAnsi="Verdana" w:cs="Arial"/>
          <w:color w:val="000000" w:themeColor="text1"/>
          <w:lang w:val="es-ES" w:eastAsia="es-ES" w:bidi="es-ES"/>
        </w:rPr>
        <w:t xml:space="preserve"> para efectos de verificar su acumulación frente a dicho límite. </w:t>
      </w:r>
    </w:p>
    <w:p w14:paraId="0D28B059" w14:textId="77777777" w:rsidR="004C5D63" w:rsidRPr="00BF5882" w:rsidRDefault="004C5D63" w:rsidP="004C5D63">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8F0391">
        <w:rPr>
          <w:rFonts w:ascii="Verdana" w:eastAsia="Arial" w:hAnsi="Verdana" w:cs="Arial"/>
          <w:color w:val="000000" w:themeColor="text1"/>
          <w:lang w:val="es-ES" w:eastAsia="es-ES" w:bidi="es-ES"/>
        </w:rPr>
        <w:t xml:space="preserve">De esta metodología se sigue una consecuencia pertinente para la consulta. Como el tope se expresa en salarios mínimos, el mayor valor que obedezca exclusivamente al incremento del salario mínimo no erosiona de </w:t>
      </w:r>
      <w:r w:rsidRPr="008F0391">
        <w:rPr>
          <w:rFonts w:ascii="Verdana" w:eastAsia="Arial" w:hAnsi="Verdana" w:cs="Arial"/>
          <w:color w:val="000000" w:themeColor="text1"/>
          <w:lang w:val="es-ES" w:eastAsia="es-ES" w:bidi="es-ES"/>
        </w:rPr>
        <w:lastRenderedPageBreak/>
        <w:t>manera significativa el margen de adición, pues el valor inicial y el valor de la adición se actualizan con la misma unidad de referencia. La indexación del límite en SMLMV neutraliza, entonces, el efecto meramente nominal del alza del salario mínimo, que es justamente el propósito que persiguió el legislador al fijar el tope en esa unidad. El margen del cincuenta por ciento (50 %) se consume cuando se incorporan prestaciones o cantidades adicionales expresadas en SMLMV, no por la simple actualización del precio de las prestaciones ya pactadas.</w:t>
      </w:r>
    </w:p>
    <w:p w14:paraId="6D01FC0E" w14:textId="77777777" w:rsidR="004C5D63" w:rsidRPr="009D7587"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8F0391">
        <w:rPr>
          <w:rFonts w:ascii="Verdana" w:eastAsia="Arial" w:hAnsi="Verdana" w:cs="Arial"/>
          <w:color w:val="000000" w:themeColor="text1"/>
          <w:lang w:val="es-ES" w:eastAsia="es-ES" w:bidi="es-ES"/>
        </w:rPr>
        <w:t>Finalmente, conviene precisar el alcance de las cláusulas de ajuste frente a la consulta. Es jurídicamente admisible, y resulta recomendable, incorporar en los pliegos y en el contrato una cláusula de reajuste o actualización que opere sobre un parámetro objetivo, externo y predeterminado, como la tarifa regulada aplicable al servicio o el salario mínimo legal mensual vigente. La aplicación de una cláusula así concebida constituye ejecución del precio originalmente pactado y no una adición, pues se limita a actualizar el valor de prestaciones ya definidas conforme a una fórmula convenida de antemano. Cuestión distinta, y que sí resulta inconveniente, es establecer cláusulas de reconocimiento automático e indeterminado de cualquier mayor valor, pues la procedencia de reconocimientos que excedan la simple actualización del precio —en particular los que supongan nuevas prestaciones o la invocación de un restablecimiento del equilibrio— debe determinarse mediante un análisis particular y concreto de las circunstancias que originan la variación, las estipulaciones contractuales y la distribución de riesgos acordada por las partes.</w:t>
      </w:r>
      <w:r>
        <w:rPr>
          <w:rFonts w:ascii="Verdana" w:eastAsia="Arial" w:hAnsi="Verdana" w:cs="Arial"/>
          <w:color w:val="000000" w:themeColor="text1"/>
          <w:lang w:val="es-ES" w:eastAsia="es-ES" w:bidi="es-ES"/>
        </w:rPr>
        <w:t xml:space="preserve"> Para establecer su naturaleza jurídica, la entidad deberá examinar si el mayor valor corresponde a la aplicación de un mecanismo de reajuste previamente convenido o si, por el contrario, supone una modificación del valor contractual que deba tratarse como una adición. Asimismo, deberá verificar si el riesgo que origina el incremento fue asignado al contratista y si sus efectos se encuentran comprendidos en dicha asignación.</w:t>
      </w:r>
    </w:p>
    <w:p w14:paraId="002F87FF" w14:textId="77777777" w:rsidR="004C5D63"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Por consiguiente, las cláusulas contractuales podrán establecer mecanismos y metodologías para ajustar el precio cuando se presenten variaciones, pero su aplicación deberá estar sujeta a la verificación de las condiciones pactadas y al análisis jurídico, técnico y económico de cada caso. Lo anterior, en observancia de los principios de planeación, transparencia, responsabilidad y economía, de manera que el mecanismo de ajuste no se convierta en una autorización general para reconocer automáticamente mayores valores ni en un instrumento para eludir los límites legales aplicables a las adiciones contractuales.</w:t>
      </w:r>
    </w:p>
    <w:p w14:paraId="3A80EC1F" w14:textId="77777777" w:rsidR="004C5D63" w:rsidRPr="008E6004"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lastRenderedPageBreak/>
        <w:t>Así, en los contratos cuya ejecución se extienda por varias vigencias fiscales, resulta recomendable que las entidades estatales incorporen, desde la etapa de planeación, mecanismos de actualización de precios que permitan proyectar los costos asociados a la ejecución contractual, teniendo en cuenta las variaciones previsibles del salario mínimo legal mensual vigente</w:t>
      </w:r>
      <w:r w:rsidRPr="008F0391">
        <w:rPr>
          <w:rFonts w:ascii="Verdana" w:eastAsia="Arial" w:hAnsi="Verdana" w:cs="Arial"/>
          <w:color w:val="000000" w:themeColor="text1"/>
          <w:lang w:val="es-ES" w:eastAsia="es-ES" w:bidi="es-ES"/>
        </w:rPr>
        <w:t xml:space="preserve"> y los incrementos de costos laborales cuya entrada en vigencia escalonada ya es conocida, de manera que puedan preverse en la estructura de costos y en la programación presupuestal plurianual, incluido, cuando corresponda, el trámite de vigencias futuras conforme a la Ley 819 de 2003</w:t>
      </w:r>
      <w:r>
        <w:rPr>
          <w:rFonts w:ascii="Verdana" w:eastAsia="Arial" w:hAnsi="Verdana" w:cs="Arial"/>
          <w:color w:val="000000" w:themeColor="text1"/>
          <w:lang w:val="es-ES" w:eastAsia="es-ES" w:bidi="es-ES"/>
        </w:rPr>
        <w:t>.</w:t>
      </w:r>
      <w:r w:rsidRPr="008E6004">
        <w:rPr>
          <w:rFonts w:ascii="Verdana" w:eastAsia="Arial" w:hAnsi="Verdana" w:cs="Arial"/>
          <w:color w:val="000000" w:themeColor="text1"/>
          <w:lang w:val="es-ES" w:eastAsia="es-ES" w:bidi="es-ES"/>
        </w:rPr>
        <w:t xml:space="preserve"> Lo anterior contribuye a determinar de manera razonable el presupuesto requerido para cada vigencia y a adoptar medidas oportunas frente a las variaciones que puedan afectar la ejecución del contrato.</w:t>
      </w:r>
    </w:p>
    <w:p w14:paraId="7EEF3AB9" w14:textId="77777777" w:rsidR="004C5D63"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C</w:t>
      </w:r>
      <w:r w:rsidRPr="008E6004">
        <w:rPr>
          <w:rFonts w:ascii="Verdana" w:eastAsia="Arial" w:hAnsi="Verdana" w:cs="Arial"/>
          <w:color w:val="000000" w:themeColor="text1"/>
          <w:lang w:val="es-ES" w:eastAsia="es-ES" w:bidi="es-ES"/>
        </w:rPr>
        <w:t>uando los mecanismos de actualización previstos resulten insuficientes para atender las variaciones que incidan en los costos de ejecución y estas puedan comprometer el equilibrio económico del contrato, la entidad deberá analizar las circunstancias particulares, la distribución contractual de los riesgos y las estipulaciones pactadas, con el propósito de establecer las medidas jurídica y presupuestalmente procedentes. En todo caso, la ocurrencia de incrementos en los costos no determina automáticamente que estos deban tratarse como una adición contractual.</w:t>
      </w:r>
      <w:r>
        <w:rPr>
          <w:rFonts w:ascii="Verdana" w:eastAsia="Arial" w:hAnsi="Verdana" w:cs="Arial"/>
          <w:color w:val="000000" w:themeColor="text1"/>
          <w:lang w:val="es-ES" w:eastAsia="es-ES" w:bidi="es-ES"/>
        </w:rPr>
        <w:t xml:space="preserve"> </w:t>
      </w:r>
      <w:r w:rsidRPr="008E6004">
        <w:rPr>
          <w:rFonts w:ascii="Verdana" w:eastAsia="Arial" w:hAnsi="Verdana" w:cs="Arial"/>
          <w:color w:val="000000" w:themeColor="text1"/>
          <w:lang w:val="es-ES" w:eastAsia="es-ES" w:bidi="es-ES"/>
        </w:rPr>
        <w:t>Por consiguiente, corresponderá examinar en cada caso concreto la naturaleza del mayor valor que se pretenda reconocer, a efectos de establecer si corresponde a la aplicación de un mecanismo de reajuste o actualización del precio originalmente pactado, o si constituye una modificación del valor contractual que deba computarse dentro del límite previsto en el parágrafo del artículo 40 de la Ley 80 de 1993, de acuerdo con los criterios expuestos anteriormente.</w:t>
      </w:r>
    </w:p>
    <w:p w14:paraId="3AACD527" w14:textId="77777777" w:rsidR="004C5D63"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En co</w:t>
      </w:r>
      <w:r>
        <w:rPr>
          <w:rFonts w:ascii="Verdana" w:eastAsia="Arial" w:hAnsi="Verdana" w:cs="Arial"/>
          <w:color w:val="000000" w:themeColor="text1"/>
          <w:lang w:val="es-ES" w:eastAsia="es-ES" w:bidi="es-ES"/>
        </w:rPr>
        <w:t>nclusión</w:t>
      </w:r>
      <w:r w:rsidRPr="00F04F3B">
        <w:rPr>
          <w:rFonts w:ascii="Verdana" w:eastAsia="Arial" w:hAnsi="Verdana" w:cs="Arial"/>
          <w:color w:val="000000" w:themeColor="text1"/>
          <w:lang w:val="es-ES" w:eastAsia="es-ES" w:bidi="es-ES"/>
        </w:rPr>
        <w:t>, el mayor valor que corresponda a la actualización de precios de ítems ya definidos (reajuste) o al restablecimiento del equilibrio por</w:t>
      </w:r>
      <w:r>
        <w:rPr>
          <w:rFonts w:ascii="Verdana" w:eastAsia="Arial" w:hAnsi="Verdana" w:cs="Arial"/>
          <w:color w:val="000000" w:themeColor="text1"/>
          <w:lang w:val="es-ES" w:eastAsia="es-ES" w:bidi="es-ES"/>
        </w:rPr>
        <w:t xml:space="preserve"> </w:t>
      </w:r>
      <w:proofErr w:type="gramStart"/>
      <w:r w:rsidRPr="00F04F3B">
        <w:rPr>
          <w:rFonts w:ascii="Verdana" w:eastAsia="Arial" w:hAnsi="Verdana" w:cs="Arial"/>
          <w:color w:val="000000" w:themeColor="text1"/>
          <w:lang w:val="es-ES" w:eastAsia="es-ES" w:bidi="es-ES"/>
        </w:rPr>
        <w:t xml:space="preserve">un </w:t>
      </w:r>
      <w:r>
        <w:rPr>
          <w:rFonts w:ascii="Verdana" w:eastAsia="Arial" w:hAnsi="Verdana" w:cs="Arial"/>
          <w:color w:val="000000" w:themeColor="text1"/>
          <w:lang w:val="es-ES" w:eastAsia="es-ES" w:bidi="es-ES"/>
        </w:rPr>
        <w:t>a</w:t>
      </w:r>
      <w:r w:rsidRPr="00F04F3B">
        <w:rPr>
          <w:rFonts w:ascii="Verdana" w:eastAsia="Arial" w:hAnsi="Verdana" w:cs="Arial"/>
          <w:color w:val="000000" w:themeColor="text1"/>
          <w:lang w:val="es-ES" w:eastAsia="es-ES" w:bidi="es-ES"/>
        </w:rPr>
        <w:t>lea extraordinaria</w:t>
      </w:r>
      <w:proofErr w:type="gramEnd"/>
      <w:r w:rsidRPr="00F04F3B">
        <w:rPr>
          <w:rFonts w:ascii="Verdana" w:eastAsia="Arial" w:hAnsi="Verdana" w:cs="Arial"/>
          <w:color w:val="000000" w:themeColor="text1"/>
          <w:lang w:val="es-ES" w:eastAsia="es-ES" w:bidi="es-ES"/>
        </w:rPr>
        <w:t xml:space="preserve"> no se computa dentro del cincuenta por ciento (50 %)</w:t>
      </w:r>
      <w:r>
        <w:rPr>
          <w:rFonts w:ascii="Verdana" w:eastAsia="Arial" w:hAnsi="Verdana" w:cs="Arial"/>
          <w:color w:val="000000" w:themeColor="text1"/>
          <w:lang w:val="es-ES" w:eastAsia="es-ES" w:bidi="es-ES"/>
        </w:rPr>
        <w:t xml:space="preserve">. </w:t>
      </w:r>
      <w:r w:rsidRPr="00F04F3B">
        <w:rPr>
          <w:rFonts w:ascii="Verdana" w:eastAsia="Arial" w:hAnsi="Verdana" w:cs="Arial"/>
          <w:color w:val="000000" w:themeColor="text1"/>
          <w:lang w:val="es-ES" w:eastAsia="es-ES" w:bidi="es-ES"/>
        </w:rPr>
        <w:t>Con todo, esta calificación no puede convertirse en un argumento para eludir el tope: el reajuste presupone precios de prestaciones ya pactadas, y el restablecimiento exige acreditar una afectación grave, sobreviniente, imprevisible y no imputable a la parte afectada, en los términos del artículo 27 de la Ley 80 de 1993; de lo contrario, el incremento constituye una adición y queda sometido al límite del artículo 40</w:t>
      </w:r>
      <w:r>
        <w:rPr>
          <w:rFonts w:ascii="Verdana" w:eastAsia="Arial" w:hAnsi="Verdana" w:cs="Arial"/>
          <w:color w:val="000000" w:themeColor="text1"/>
          <w:lang w:val="es-ES" w:eastAsia="es-ES" w:bidi="es-ES"/>
        </w:rPr>
        <w:t>.</w:t>
      </w:r>
    </w:p>
    <w:p w14:paraId="1379FC15" w14:textId="77777777" w:rsidR="004C5D63"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hAnsi="Verdana" w:cs="Arial"/>
          <w:lang w:eastAsia="es-ES"/>
        </w:rPr>
        <w:lastRenderedPageBreak/>
        <w:t xml:space="preserve">Al margen de la explicación precedente debe advertirse que el análisis requerido para resolver problemas específicos en torno a los reconocimientos económicos debe ser realizado por quienes tengan interés en ello, </w:t>
      </w:r>
      <w:r w:rsidRPr="008F0391">
        <w:rPr>
          <w:rFonts w:ascii="Verdana" w:hAnsi="Verdana" w:cs="Arial"/>
          <w:lang w:eastAsia="es-ES"/>
        </w:rPr>
        <w:t>de acuerdo con lo explicado en la aclaración preliminar</w:t>
      </w:r>
      <w:r>
        <w:rPr>
          <w:rFonts w:ascii="Verdana" w:hAnsi="Verdana" w:cs="Arial"/>
          <w:lang w:eastAsia="es-ES"/>
        </w:rPr>
        <w:t xml:space="preserve"> del presente oficio. De esta manera, las afirmaciones aquí realizadas no pueden ser interpretadas como juicios de valor sobre circunstancias concretas relacionadas con los hechos que motivan la consulta. </w:t>
      </w:r>
      <w:r>
        <w:rPr>
          <w:rStyle w:val="s15"/>
          <w:rFonts w:ascii="Verdana" w:hAnsi="Verdana"/>
          <w:color w:val="000000"/>
        </w:rPr>
        <w:t>Por lo anterior, previo</w:t>
      </w:r>
      <w:r>
        <w:rPr>
          <w:rStyle w:val="apple-converted-space"/>
          <w:rFonts w:ascii="Verdana" w:hAnsi="Verdana"/>
          <w:color w:val="000000"/>
        </w:rPr>
        <w:t> </w:t>
      </w:r>
      <w:r>
        <w:rPr>
          <w:rStyle w:val="s15"/>
          <w:rFonts w:ascii="Verdana" w:hAnsi="Verdana"/>
          <w:color w:val="000000"/>
        </w:rPr>
        <w:t xml:space="preserve">concepto de sus </w:t>
      </w:r>
      <w:proofErr w:type="gramStart"/>
      <w:r>
        <w:rPr>
          <w:rStyle w:val="s15"/>
          <w:rFonts w:ascii="Verdana" w:hAnsi="Verdana"/>
          <w:color w:val="000000"/>
        </w:rPr>
        <w:t>asesores,</w:t>
      </w:r>
      <w:proofErr w:type="gramEnd"/>
      <w:r>
        <w:rPr>
          <w:rStyle w:val="s15"/>
          <w:rFonts w:ascii="Verdana" w:hAnsi="Verdana"/>
          <w:color w:val="000000"/>
        </w:rPr>
        <w:t xml:space="preserve"> corresponde a las partes del contrato definir los mecanismos adecuados para el restablecimiento del equilibrio económico del contrato, así como los límites legales y jurisprudenciales aplicables; motivo por el cual, en caso de conflicto, intervendrán las autoridades judiciales, fiscales y disciplinarias.</w:t>
      </w:r>
    </w:p>
    <w:p w14:paraId="49C86CF9" w14:textId="77777777" w:rsidR="004C5D63" w:rsidRDefault="004C5D63" w:rsidP="004C5D63">
      <w:pPr>
        <w:widowControl w:val="0"/>
        <w:autoSpaceDE w:val="0"/>
        <w:autoSpaceDN w:val="0"/>
        <w:spacing w:before="120" w:after="0" w:line="276" w:lineRule="auto"/>
        <w:ind w:firstLine="709"/>
        <w:jc w:val="both"/>
        <w:rPr>
          <w:rFonts w:ascii="Verdana" w:hAnsi="Verdana" w:cs="Arial"/>
          <w:lang w:eastAsia="es-ES"/>
        </w:rPr>
      </w:pPr>
      <w:r>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90960E7" w14:textId="77777777" w:rsidR="004C5D63" w:rsidRPr="00575A0E" w:rsidRDefault="004C5D63" w:rsidP="004C5D6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p>
    <w:p w14:paraId="67D74C97" w14:textId="77777777" w:rsidR="004C5D63" w:rsidRPr="00F04F3B" w:rsidRDefault="004C5D63" w:rsidP="004C5D6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color w:val="000000" w:themeColor="text1"/>
        </w:rPr>
        <w:t>Referencias normativas, jurisprudenciales y otras fuentes:</w:t>
      </w:r>
    </w:p>
    <w:p w14:paraId="49A2326B" w14:textId="77777777" w:rsidR="004C5D63" w:rsidRPr="00F04F3B" w:rsidRDefault="004C5D63" w:rsidP="004C5D63">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5D63" w:rsidRPr="00F04F3B" w14:paraId="18DBE8FC" w14:textId="77777777" w:rsidTr="002A053E">
        <w:trPr>
          <w:trHeight w:val="297"/>
        </w:trPr>
        <w:tc>
          <w:tcPr>
            <w:tcW w:w="8647" w:type="dxa"/>
          </w:tcPr>
          <w:p w14:paraId="6E750C7C" w14:textId="77777777" w:rsidR="004C5D63" w:rsidRPr="00CA06FB" w:rsidRDefault="004C5D63" w:rsidP="002A053E">
            <w:pPr>
              <w:widowControl w:val="0"/>
              <w:numPr>
                <w:ilvl w:val="0"/>
                <w:numId w:val="16"/>
              </w:numPr>
              <w:autoSpaceDE w:val="0"/>
              <w:autoSpaceDN w:val="0"/>
              <w:spacing w:after="120"/>
              <w:jc w:val="both"/>
              <w:rPr>
                <w:rFonts w:ascii="Verdana" w:hAnsi="Verdana" w:cs="Arial"/>
                <w:lang w:val="es-ES"/>
              </w:rPr>
            </w:pPr>
            <w:r w:rsidRPr="00CA06FB">
              <w:rPr>
                <w:rFonts w:ascii="Verdana" w:hAnsi="Verdana" w:cs="Arial"/>
                <w:lang w:val="es-ES"/>
              </w:rPr>
              <w:t>Ley 80 de 1993, artículos 5 (numeral 1</w:t>
            </w:r>
            <w:r>
              <w:rPr>
                <w:rFonts w:ascii="Verdana" w:hAnsi="Verdana" w:cs="Arial"/>
                <w:lang w:val="es-ES"/>
              </w:rPr>
              <w:t>),</w:t>
            </w:r>
            <w:r w:rsidRPr="00CA06FB">
              <w:rPr>
                <w:rFonts w:ascii="Verdana" w:hAnsi="Verdana" w:cs="Arial"/>
                <w:lang w:val="es-ES"/>
              </w:rPr>
              <w:t xml:space="preserve"> 27, </w:t>
            </w:r>
            <w:r>
              <w:rPr>
                <w:rFonts w:ascii="Verdana" w:hAnsi="Verdana" w:cs="Arial"/>
                <w:lang w:val="es-ES"/>
              </w:rPr>
              <w:t xml:space="preserve">y </w:t>
            </w:r>
            <w:r w:rsidRPr="00CA06FB">
              <w:rPr>
                <w:rFonts w:ascii="Verdana" w:hAnsi="Verdana" w:cs="Arial"/>
                <w:lang w:val="es-ES"/>
              </w:rPr>
              <w:t>40 (parágrafo)</w:t>
            </w:r>
          </w:p>
          <w:p w14:paraId="1B6CD42E" w14:textId="77777777" w:rsidR="004C5D63" w:rsidRPr="00CA06FB" w:rsidRDefault="004C5D63" w:rsidP="002A053E">
            <w:pPr>
              <w:widowControl w:val="0"/>
              <w:numPr>
                <w:ilvl w:val="0"/>
                <w:numId w:val="16"/>
              </w:numPr>
              <w:autoSpaceDE w:val="0"/>
              <w:autoSpaceDN w:val="0"/>
              <w:spacing w:after="120"/>
              <w:jc w:val="both"/>
              <w:rPr>
                <w:rFonts w:ascii="Verdana" w:hAnsi="Verdana" w:cs="Arial"/>
                <w:lang w:val="es-ES"/>
              </w:rPr>
            </w:pPr>
            <w:r w:rsidRPr="00CA06FB">
              <w:rPr>
                <w:rFonts w:ascii="Verdana" w:hAnsi="Verdana" w:cs="Arial"/>
                <w:lang w:val="es-ES"/>
              </w:rPr>
              <w:t>Ley 1474 de 2011, artículos 85 y 87.</w:t>
            </w:r>
          </w:p>
          <w:p w14:paraId="3914A82D" w14:textId="77777777" w:rsidR="004C5D63" w:rsidRPr="00CA06FB" w:rsidRDefault="004C5D63" w:rsidP="002A053E">
            <w:pPr>
              <w:widowControl w:val="0"/>
              <w:numPr>
                <w:ilvl w:val="0"/>
                <w:numId w:val="16"/>
              </w:numPr>
              <w:autoSpaceDE w:val="0"/>
              <w:autoSpaceDN w:val="0"/>
              <w:spacing w:after="120"/>
              <w:jc w:val="both"/>
              <w:rPr>
                <w:rFonts w:ascii="Verdana" w:hAnsi="Verdana" w:cs="Arial"/>
              </w:rPr>
            </w:pPr>
            <w:r w:rsidRPr="00CA06FB">
              <w:rPr>
                <w:rFonts w:ascii="Verdana" w:hAnsi="Verdana" w:cs="Arial"/>
              </w:rPr>
              <w:t>Consejo de Estado, Sección Tercera</w:t>
            </w:r>
            <w:r>
              <w:rPr>
                <w:rFonts w:ascii="Verdana" w:hAnsi="Verdana" w:cs="Arial"/>
              </w:rPr>
              <w:t>.</w:t>
            </w:r>
            <w:r>
              <w:t xml:space="preserve"> </w:t>
            </w:r>
            <w:r w:rsidRPr="00CA06FB">
              <w:rPr>
                <w:rFonts w:ascii="Verdana" w:hAnsi="Verdana" w:cs="Arial"/>
              </w:rPr>
              <w:t xml:space="preserve">Sentencia del 9 de mayo de 1996, </w:t>
            </w:r>
            <w:proofErr w:type="spellStart"/>
            <w:r w:rsidRPr="00CA06FB">
              <w:rPr>
                <w:rFonts w:ascii="Verdana" w:hAnsi="Verdana" w:cs="Arial"/>
              </w:rPr>
              <w:t>Exp</w:t>
            </w:r>
            <w:proofErr w:type="spellEnd"/>
            <w:r w:rsidRPr="00CA06FB">
              <w:rPr>
                <w:rFonts w:ascii="Verdana" w:hAnsi="Verdana" w:cs="Arial"/>
              </w:rPr>
              <w:t xml:space="preserve">. 10.151, reiterada en sentencias del 29 de abril y 21 de julio de 1999, </w:t>
            </w:r>
            <w:proofErr w:type="spellStart"/>
            <w:r w:rsidRPr="00CA06FB">
              <w:rPr>
                <w:rFonts w:ascii="Verdana" w:hAnsi="Verdana" w:cs="Arial"/>
              </w:rPr>
              <w:t>Exp</w:t>
            </w:r>
            <w:proofErr w:type="spellEnd"/>
            <w:r w:rsidRPr="00CA06FB">
              <w:rPr>
                <w:rFonts w:ascii="Verdana" w:hAnsi="Verdana" w:cs="Arial"/>
              </w:rPr>
              <w:t>. 14.885 y 14.943, C.P. Daniel Suárez Hernández.</w:t>
            </w:r>
          </w:p>
          <w:p w14:paraId="68849A6A" w14:textId="77777777" w:rsidR="004C5D63" w:rsidRPr="00CA06FB" w:rsidRDefault="004C5D63" w:rsidP="002A053E">
            <w:pPr>
              <w:widowControl w:val="0"/>
              <w:numPr>
                <w:ilvl w:val="0"/>
                <w:numId w:val="16"/>
              </w:numPr>
              <w:autoSpaceDE w:val="0"/>
              <w:autoSpaceDN w:val="0"/>
              <w:spacing w:after="120"/>
              <w:jc w:val="both"/>
              <w:rPr>
                <w:rFonts w:ascii="Verdana" w:hAnsi="Verdana" w:cs="Arial"/>
              </w:rPr>
            </w:pPr>
            <w:r w:rsidRPr="00CA06FB">
              <w:rPr>
                <w:rFonts w:ascii="Verdana" w:hAnsi="Verdana" w:cs="Arial"/>
              </w:rPr>
              <w:t>Consejo de Estado, Sección Tercera</w:t>
            </w:r>
            <w:r>
              <w:rPr>
                <w:rFonts w:ascii="Verdana" w:hAnsi="Verdana" w:cs="Arial"/>
              </w:rPr>
              <w:t>.</w:t>
            </w:r>
            <w:r>
              <w:t xml:space="preserve"> </w:t>
            </w:r>
            <w:r w:rsidRPr="00CA06FB">
              <w:rPr>
                <w:rFonts w:ascii="Verdana" w:hAnsi="Verdana" w:cs="Arial"/>
              </w:rPr>
              <w:t xml:space="preserve">Sentencia del 31 de agosto de 2011, </w:t>
            </w:r>
            <w:proofErr w:type="spellStart"/>
            <w:r w:rsidRPr="00CA06FB">
              <w:rPr>
                <w:rFonts w:ascii="Verdana" w:hAnsi="Verdana" w:cs="Arial"/>
              </w:rPr>
              <w:t>Exp</w:t>
            </w:r>
            <w:proofErr w:type="spellEnd"/>
            <w:r w:rsidRPr="00CA06FB">
              <w:rPr>
                <w:rFonts w:ascii="Verdana" w:hAnsi="Verdana" w:cs="Arial"/>
              </w:rPr>
              <w:t xml:space="preserve">. 18.080, C.P. Ruth Stella Correa Palacio (reiterada en sentencia del 8 de febrero de 2012, </w:t>
            </w:r>
            <w:proofErr w:type="spellStart"/>
            <w:r w:rsidRPr="00CA06FB">
              <w:rPr>
                <w:rFonts w:ascii="Verdana" w:hAnsi="Verdana" w:cs="Arial"/>
              </w:rPr>
              <w:t>Exp</w:t>
            </w:r>
            <w:proofErr w:type="spellEnd"/>
            <w:r w:rsidRPr="00CA06FB">
              <w:rPr>
                <w:rFonts w:ascii="Verdana" w:hAnsi="Verdana" w:cs="Arial"/>
              </w:rPr>
              <w:t>. 20344).</w:t>
            </w:r>
          </w:p>
          <w:p w14:paraId="4224CD11" w14:textId="77777777" w:rsidR="004C5D63" w:rsidRPr="008C0A54" w:rsidRDefault="004C5D63" w:rsidP="002A053E">
            <w:pPr>
              <w:widowControl w:val="0"/>
              <w:numPr>
                <w:ilvl w:val="0"/>
                <w:numId w:val="16"/>
              </w:numPr>
              <w:autoSpaceDE w:val="0"/>
              <w:autoSpaceDN w:val="0"/>
              <w:spacing w:after="120"/>
              <w:jc w:val="both"/>
              <w:rPr>
                <w:rFonts w:ascii="Verdana" w:hAnsi="Verdana" w:cs="Arial"/>
              </w:rPr>
            </w:pPr>
            <w:r w:rsidRPr="00CA06FB">
              <w:rPr>
                <w:rFonts w:ascii="Verdana" w:hAnsi="Verdana" w:cs="Arial"/>
              </w:rPr>
              <w:t>Consejo de Estado, Sección Tercera</w:t>
            </w:r>
            <w:r>
              <w:rPr>
                <w:rFonts w:ascii="Verdana" w:hAnsi="Verdana" w:cs="Arial"/>
              </w:rPr>
              <w:t>.</w:t>
            </w:r>
            <w:r>
              <w:t xml:space="preserve"> </w:t>
            </w:r>
            <w:r w:rsidRPr="00CA06FB">
              <w:rPr>
                <w:rFonts w:ascii="Verdana" w:hAnsi="Verdana" w:cs="Arial"/>
              </w:rPr>
              <w:t>Subsección C, sentencia del 19 de septiembre de 2022, Rad. 25000-23-36-000-2013-00211-01 (54714), C.P. Jaime Enrique Rodríguez Navas.</w:t>
            </w:r>
          </w:p>
        </w:tc>
      </w:tr>
    </w:tbl>
    <w:p w14:paraId="4785BCED" w14:textId="77777777" w:rsidR="004C5D63" w:rsidRPr="00F04F3B" w:rsidRDefault="004C5D63" w:rsidP="004C5D63">
      <w:pPr>
        <w:widowControl w:val="0"/>
        <w:autoSpaceDE w:val="0"/>
        <w:autoSpaceDN w:val="0"/>
        <w:spacing w:after="0" w:line="276" w:lineRule="auto"/>
        <w:jc w:val="both"/>
        <w:rPr>
          <w:rFonts w:ascii="Verdana" w:hAnsi="Verdana" w:cs="Arial"/>
          <w:color w:val="000000" w:themeColor="text1"/>
          <w:lang w:val="es-ES"/>
        </w:rPr>
      </w:pPr>
    </w:p>
    <w:p w14:paraId="70AD9E78" w14:textId="77777777" w:rsidR="004C5D63" w:rsidRPr="00F04F3B" w:rsidRDefault="004C5D63" w:rsidP="004C5D6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color w:val="000000" w:themeColor="text1"/>
        </w:rPr>
        <w:lastRenderedPageBreak/>
        <w:t>Doctrina de la Agencia Nacional de Contratación Pública:</w:t>
      </w:r>
    </w:p>
    <w:p w14:paraId="4FA561A5" w14:textId="77777777" w:rsidR="004C5D63" w:rsidRPr="00F04F3B" w:rsidRDefault="004C5D63" w:rsidP="004C5D63">
      <w:pPr>
        <w:widowControl w:val="0"/>
        <w:autoSpaceDE w:val="0"/>
        <w:autoSpaceDN w:val="0"/>
        <w:spacing w:after="0" w:line="276" w:lineRule="auto"/>
        <w:jc w:val="both"/>
        <w:rPr>
          <w:rFonts w:ascii="Verdana" w:hAnsi="Verdana" w:cs="Arial"/>
          <w:color w:val="000000" w:themeColor="text1"/>
          <w:lang w:val="es-ES"/>
        </w:rPr>
      </w:pPr>
    </w:p>
    <w:p w14:paraId="169FE11E" w14:textId="77777777" w:rsidR="004C5D63" w:rsidRPr="00986F73" w:rsidRDefault="004C5D63" w:rsidP="004C5D63">
      <w:pPr>
        <w:spacing w:after="0" w:line="276" w:lineRule="auto"/>
        <w:jc w:val="both"/>
        <w:rPr>
          <w:rFonts w:ascii="Verdana" w:hAnsi="Verdana" w:cs="Arial"/>
          <w:bCs/>
          <w:shd w:val="clear" w:color="auto" w:fill="FFFFFF"/>
        </w:rPr>
      </w:pPr>
      <w:r w:rsidRPr="007D0F53">
        <w:rPr>
          <w:rFonts w:ascii="Verdana" w:hAnsi="Verdana" w:cs="Arial"/>
          <w:bCs/>
          <w:shd w:val="clear" w:color="auto" w:fill="FFFFFF"/>
        </w:rPr>
        <w:t xml:space="preserve">La Agencia Nacional de Contratación Pública – Colombia Compra Eficiente, se ha pronunciado en diferentes conceptos sobre las </w:t>
      </w:r>
      <w:r w:rsidRPr="007D0F53">
        <w:rPr>
          <w:rFonts w:ascii="Verdana" w:hAnsi="Verdana" w:cs="Arial"/>
          <w:bCs/>
          <w:shd w:val="clear" w:color="auto" w:fill="FFFFFF"/>
          <w:lang w:val="es-ES_tradnl"/>
        </w:rPr>
        <w:t>modificaciones y adiciones en los contratos estatales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7D0F53">
        <w:rPr>
          <w:rFonts w:ascii="Verdana" w:hAnsi="Verdana" w:cs="Arial"/>
          <w:bCs/>
          <w:shd w:val="clear" w:color="auto" w:fill="FFFFFF"/>
          <w:lang w:val="es-ES"/>
        </w:rPr>
        <w:t>, C-308 del 28 de abril de 2025,</w:t>
      </w:r>
      <w:r>
        <w:rPr>
          <w:rFonts w:ascii="Verdana" w:hAnsi="Verdana" w:cs="Arial"/>
          <w:bCs/>
          <w:shd w:val="clear" w:color="auto" w:fill="FFFFFF"/>
          <w:lang w:val="es-ES"/>
        </w:rPr>
        <w:t xml:space="preserve"> C-451 del 19 de mayo de 2025, C-491 del 3 de junio de 2025,</w:t>
      </w:r>
      <w:r w:rsidRPr="007D0F53">
        <w:rPr>
          <w:rFonts w:ascii="Verdana" w:hAnsi="Verdana" w:cs="Arial"/>
          <w:bCs/>
          <w:shd w:val="clear" w:color="auto" w:fill="FFFFFF"/>
        </w:rPr>
        <w:t xml:space="preserve"> </w:t>
      </w:r>
      <w:r>
        <w:rPr>
          <w:rFonts w:ascii="Verdana" w:hAnsi="Verdana" w:cs="Arial"/>
          <w:bCs/>
          <w:shd w:val="clear" w:color="auto" w:fill="FFFFFF"/>
        </w:rPr>
        <w:t xml:space="preserve">C-165 del 26 de febrero de 2026, C-465 del 14 de abril de 2026, C-916 del 17 de julio de 2026, C-1120 de 2026, C-1411 de 2026, </w:t>
      </w:r>
      <w:r w:rsidRPr="007D0F53">
        <w:rPr>
          <w:rFonts w:ascii="Verdana" w:hAnsi="Verdana" w:cs="Arial"/>
          <w:bCs/>
          <w:shd w:val="clear" w:color="auto" w:fill="FFFFFF"/>
        </w:rPr>
        <w:t>entre otro</w:t>
      </w:r>
      <w:r>
        <w:rPr>
          <w:rFonts w:ascii="Verdana" w:hAnsi="Verdana" w:cs="Arial"/>
          <w:bCs/>
          <w:shd w:val="clear" w:color="auto" w:fill="FFFFFF"/>
        </w:rPr>
        <w:t xml:space="preserve">s. </w:t>
      </w:r>
      <w:r w:rsidRPr="00F04F3B">
        <w:rPr>
          <w:rFonts w:ascii="Verdana" w:eastAsia="Arial" w:hAnsi="Verdana" w:cs="Arial"/>
          <w:lang w:val="es-ES"/>
        </w:rPr>
        <w:t>Estos y</w:t>
      </w:r>
      <w:r w:rsidRPr="00F04F3B">
        <w:rPr>
          <w:rFonts w:ascii="Verdana" w:hAnsi="Verdana" w:cs="Arial"/>
          <w:shd w:val="clear" w:color="auto" w:fill="FFFFFF"/>
          <w:lang w:val="es-ES"/>
        </w:rPr>
        <w:t xml:space="preserve"> </w:t>
      </w:r>
      <w:r w:rsidRPr="00F04F3B">
        <w:rPr>
          <w:rFonts w:ascii="Verdana" w:hAnsi="Verdana"/>
          <w:lang w:val="es-ES"/>
        </w:rPr>
        <w:t>otros conceptos se encuentran disponibles para consulta en el Sistema de relatoría de la Agencia, al cual se puede acceder a través del siguiente enlace:</w:t>
      </w:r>
      <w:r w:rsidRPr="00F04F3B">
        <w:rPr>
          <w:rFonts w:ascii="Verdana" w:hAnsi="Verdana" w:cs="Arial"/>
          <w:shd w:val="clear" w:color="auto" w:fill="FFFFFF"/>
          <w:lang w:val="es-ES"/>
        </w:rPr>
        <w:t xml:space="preserve"> </w:t>
      </w:r>
      <w:hyperlink r:id="rId14" w:history="1">
        <w:r w:rsidRPr="00F04F3B">
          <w:rPr>
            <w:rStyle w:val="Hipervnculo"/>
            <w:rFonts w:ascii="Verdana" w:hAnsi="Verdana"/>
            <w:lang w:val="es-ES"/>
          </w:rPr>
          <w:t>https://relatoria.colombiacompra.gov.co/busqueda/conceptos</w:t>
        </w:r>
      </w:hyperlink>
      <w:r w:rsidRPr="00F04F3B">
        <w:rPr>
          <w:rFonts w:ascii="Verdana" w:hAnsi="Verdana" w:cs="Arial"/>
          <w:shd w:val="clear" w:color="auto" w:fill="FFFFFF"/>
          <w:lang w:val="es-ES"/>
        </w:rPr>
        <w:t>.</w:t>
      </w:r>
      <w:r w:rsidRPr="00F04F3B">
        <w:rPr>
          <w:rFonts w:ascii="Verdana" w:hAnsi="Verdana" w:cs="Arial"/>
          <w:color w:val="FF0000"/>
          <w:shd w:val="clear" w:color="auto" w:fill="FFFFFF"/>
          <w:lang w:val="es-ES"/>
        </w:rPr>
        <w:t xml:space="preserve"> </w:t>
      </w:r>
      <w:r w:rsidRPr="00F04F3B">
        <w:rPr>
          <w:rFonts w:ascii="Verdana" w:hAnsi="Verdana" w:cs="Arial"/>
          <w:color w:val="000000" w:themeColor="text1"/>
          <w:shd w:val="clear" w:color="auto" w:fill="FFFFFF"/>
          <w:lang w:val="es-ES"/>
        </w:rPr>
        <w:t>  </w:t>
      </w:r>
    </w:p>
    <w:p w14:paraId="0E8BFE23" w14:textId="77777777" w:rsidR="004C5D63" w:rsidRPr="00F04F3B" w:rsidRDefault="004C5D63" w:rsidP="004C5D63">
      <w:pPr>
        <w:spacing w:after="0" w:line="276" w:lineRule="auto"/>
        <w:jc w:val="both"/>
        <w:rPr>
          <w:rFonts w:ascii="Verdana" w:eastAsia="Calibri" w:hAnsi="Verdana" w:cs="Times New Roman"/>
          <w:b/>
          <w:bCs/>
          <w:lang w:val="es-ES"/>
        </w:rPr>
      </w:pPr>
    </w:p>
    <w:p w14:paraId="2BA14E12" w14:textId="77777777" w:rsidR="004C5D63" w:rsidRPr="00F42673" w:rsidRDefault="004C5D63" w:rsidP="004C5D6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663CDBB5" w14:textId="77777777" w:rsidR="004C5D63" w:rsidRPr="00F42673" w:rsidRDefault="004C5D63" w:rsidP="004C5D63">
      <w:pPr>
        <w:spacing w:after="0" w:line="276" w:lineRule="auto"/>
        <w:jc w:val="both"/>
        <w:rPr>
          <w:rFonts w:ascii="Verdana" w:eastAsia="Times New Roman" w:hAnsi="Verdana" w:cs="Times New Roman"/>
          <w:color w:val="000000"/>
          <w:lang w:eastAsia="es-MX"/>
        </w:rPr>
      </w:pPr>
    </w:p>
    <w:p w14:paraId="47C5A06C" w14:textId="77777777" w:rsidR="004C5D63" w:rsidRPr="00F42673" w:rsidRDefault="004C5D63" w:rsidP="004C5D6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42673">
        <w:rPr>
          <w:rFonts w:ascii="Verdana" w:eastAsia="Times New Roman" w:hAnsi="Verdana" w:cs="Times New Roman"/>
          <w:b/>
          <w:bCs/>
          <w:color w:val="000000"/>
          <w:lang w:eastAsia="es-MX"/>
        </w:rPr>
        <w:t>Sistema Integral de Preferencias en favor de las personas con discapacidad</w:t>
      </w:r>
      <w:r w:rsidRPr="00F42673">
        <w:rPr>
          <w:rFonts w:ascii="Verdana" w:eastAsia="Times New Roman" w:hAnsi="Verdana" w:cs="Times New Roman"/>
          <w:color w:val="000000"/>
          <w:lang w:eastAsia="es-MX"/>
        </w:rPr>
        <w:t xml:space="preserve">, en cumplimiento del artículo 13 de la Ley Estatutaria 1618 de 2013. Para orientar su aplicación, esta Agencia expidió </w:t>
      </w:r>
      <w:r w:rsidRPr="00F42673">
        <w:rPr>
          <w:rFonts w:ascii="Verdana" w:eastAsia="Times New Roman" w:hAnsi="Verdana" w:cs="Times New Roman"/>
          <w:color w:val="000000"/>
          <w:lang w:eastAsia="es-MX"/>
        </w:rPr>
        <w:lastRenderedPageBreak/>
        <w:t>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6"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03A817C5" w14:textId="77777777" w:rsidR="004C5D63" w:rsidRPr="00F42673" w:rsidRDefault="004C5D63" w:rsidP="004C5D63">
      <w:pPr>
        <w:spacing w:after="0" w:line="276" w:lineRule="auto"/>
        <w:jc w:val="both"/>
        <w:rPr>
          <w:rFonts w:ascii="Verdana" w:eastAsia="Times New Roman" w:hAnsi="Verdana" w:cs="Times New Roman"/>
          <w:color w:val="000000"/>
          <w:lang w:eastAsia="es-MX"/>
        </w:rPr>
      </w:pPr>
    </w:p>
    <w:p w14:paraId="62A48D72" w14:textId="77777777" w:rsidR="004C5D63" w:rsidRPr="00F42673" w:rsidRDefault="004C5D63" w:rsidP="004C5D6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 xml:space="preserve">Circular Externa 002 del 5 de mayo de </w:t>
      </w:r>
      <w:proofErr w:type="gramStart"/>
      <w:r w:rsidRPr="00F42673">
        <w:rPr>
          <w:rFonts w:ascii="Verdana" w:eastAsia="Times New Roman" w:hAnsi="Verdana" w:cs="Times New Roman"/>
          <w:b/>
          <w:bCs/>
          <w:color w:val="000000"/>
          <w:lang w:eastAsia="es-MX"/>
        </w:rPr>
        <w:t>2026,</w:t>
      </w:r>
      <w:r w:rsidRPr="00F42673">
        <w:rPr>
          <w:rFonts w:ascii="Verdana" w:eastAsia="Times New Roman" w:hAnsi="Verdana" w:cs="Times New Roman"/>
          <w:color w:val="000000"/>
          <w:lang w:eastAsia="es-MX"/>
        </w:rPr>
        <w:t>dirigida</w:t>
      </w:r>
      <w:proofErr w:type="gramEnd"/>
      <w:r w:rsidRPr="00F42673">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5DD3470C" w14:textId="77777777" w:rsidR="004C5D63" w:rsidRPr="00F42673" w:rsidRDefault="004C5D63" w:rsidP="004C5D63">
      <w:pPr>
        <w:spacing w:after="0" w:line="276" w:lineRule="auto"/>
        <w:jc w:val="both"/>
        <w:rPr>
          <w:rFonts w:ascii="Verdana" w:eastAsia="Times New Roman" w:hAnsi="Verdana" w:cs="Times New Roman"/>
          <w:color w:val="000000"/>
          <w:lang w:eastAsia="es-MX"/>
        </w:rPr>
      </w:pPr>
    </w:p>
    <w:p w14:paraId="0D598223" w14:textId="77777777" w:rsidR="004C5D63" w:rsidRPr="00797CA8" w:rsidRDefault="004C5D63" w:rsidP="004C5D63">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3DE225F9" w14:textId="77777777" w:rsidR="004C5D63" w:rsidRDefault="004C5D63" w:rsidP="004C5D63">
      <w:pPr>
        <w:shd w:val="clear" w:color="auto" w:fill="FFFFFF"/>
        <w:spacing w:after="0" w:line="276" w:lineRule="auto"/>
        <w:jc w:val="both"/>
        <w:rPr>
          <w:rFonts w:ascii="Verdana" w:hAnsi="Verdana"/>
          <w:color w:val="000000"/>
          <w:u w:val="single"/>
        </w:rPr>
      </w:pPr>
    </w:p>
    <w:p w14:paraId="27D79035" w14:textId="77777777" w:rsidR="004C5D63" w:rsidRPr="00116940" w:rsidRDefault="004C5D63" w:rsidP="004C5D63">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3C4176D" w14:textId="77777777" w:rsidR="004C5D63" w:rsidRPr="00116940" w:rsidRDefault="004C5D63" w:rsidP="004C5D63">
      <w:pPr>
        <w:spacing w:after="0"/>
        <w:jc w:val="both"/>
        <w:rPr>
          <w:rFonts w:ascii="Verdana" w:hAnsi="Verdana"/>
        </w:rPr>
      </w:pPr>
    </w:p>
    <w:p w14:paraId="64C35FBA" w14:textId="77777777" w:rsidR="004C5D63" w:rsidRPr="00116940" w:rsidRDefault="004C5D63" w:rsidP="004C5D63">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363C4613" w14:textId="77777777" w:rsidR="004C5D63" w:rsidRPr="00116940" w:rsidRDefault="004C5D63" w:rsidP="004C5D63">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41592922" w14:textId="77777777" w:rsidR="004C5D63" w:rsidRPr="00116940" w:rsidRDefault="004C5D63" w:rsidP="004C5D63">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lastRenderedPageBreak/>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148BDC37" w14:textId="77777777" w:rsidR="004C5D63" w:rsidRPr="00116940" w:rsidRDefault="004C5D63" w:rsidP="004C5D63">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548BDBCF" w14:textId="77777777" w:rsidR="004C5D63" w:rsidRPr="00116940" w:rsidRDefault="004C5D63" w:rsidP="004C5D63">
      <w:pPr>
        <w:spacing w:after="0" w:line="240" w:lineRule="auto"/>
        <w:ind w:left="720"/>
        <w:jc w:val="both"/>
        <w:rPr>
          <w:rFonts w:ascii="Verdana" w:hAnsi="Verdana"/>
        </w:rPr>
      </w:pPr>
    </w:p>
    <w:p w14:paraId="147C6606" w14:textId="77777777" w:rsidR="004C5D63" w:rsidRPr="00116940" w:rsidRDefault="004C5D63" w:rsidP="004C5D63">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r>
        <w:fldChar w:fldCharType="begin"/>
      </w:r>
      <w:r>
        <w:instrText>HYPERLINK "https://forms.office.com/r/pPHyWVs2SZ" \t "_blank" \o "https://forms.office.com/r/pphywvs2sz"</w:instrText>
      </w:r>
      <w:r>
        <w:fldChar w:fldCharType="separate"/>
      </w:r>
      <w:r w:rsidRPr="00116940">
        <w:rPr>
          <w:rStyle w:val="Hipervnculo"/>
          <w:rFonts w:ascii="Verdana" w:hAnsi="Verdana"/>
        </w:rPr>
        <w:t>https://forms.office.com/r/pPHyWVs2SZ</w:t>
      </w:r>
      <w:r>
        <w:fldChar w:fldCharType="end"/>
      </w:r>
      <w:r w:rsidRPr="00116940">
        <w:rPr>
          <w:rFonts w:ascii="Verdana" w:hAnsi="Verdana"/>
        </w:rPr>
        <w:t xml:space="preserve"> .¡Ayúdanos a mejorar porque el compromiso es de todos!</w:t>
      </w:r>
    </w:p>
    <w:p w14:paraId="0362B526" w14:textId="77777777" w:rsidR="004C5D63" w:rsidRPr="00116940" w:rsidRDefault="004C5D63" w:rsidP="004C5D63">
      <w:pPr>
        <w:spacing w:after="0" w:line="240" w:lineRule="auto"/>
        <w:rPr>
          <w:rFonts w:ascii="Verdana" w:hAnsi="Verdana"/>
        </w:rPr>
      </w:pPr>
    </w:p>
    <w:p w14:paraId="7CCC126C" w14:textId="77777777" w:rsidR="004C5D63" w:rsidRPr="00116940" w:rsidRDefault="004C5D63" w:rsidP="004C5D63">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BEBAC1A" w14:textId="77777777" w:rsidR="004C5D63" w:rsidRPr="00116940" w:rsidRDefault="004C5D63" w:rsidP="004C5D63">
      <w:pPr>
        <w:spacing w:after="0" w:line="240" w:lineRule="auto"/>
        <w:jc w:val="both"/>
        <w:rPr>
          <w:rFonts w:ascii="Verdana" w:hAnsi="Verdana"/>
        </w:rPr>
      </w:pPr>
    </w:p>
    <w:p w14:paraId="5B362674" w14:textId="77777777" w:rsidR="004C5D63" w:rsidRPr="00116940" w:rsidRDefault="004C5D63" w:rsidP="004C5D63">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76E1525" w14:textId="77777777" w:rsidR="004C5D63" w:rsidRPr="00116940" w:rsidRDefault="004C5D63" w:rsidP="004C5D63">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52E0095" w14:textId="77777777" w:rsidR="004C5D63" w:rsidRPr="00116940" w:rsidRDefault="004C5D63" w:rsidP="004C5D63">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0D953A8" w14:textId="77777777" w:rsidR="004C5D63" w:rsidRPr="009C4035" w:rsidRDefault="004C5D63" w:rsidP="004C5D63">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1C6B33B8" w14:textId="77777777" w:rsidR="004C5D63" w:rsidRPr="00593A5F" w:rsidRDefault="004C5D63" w:rsidP="004C5D6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7ABCB98" w14:textId="77777777" w:rsidR="004C5D63" w:rsidRPr="00593A5F" w:rsidRDefault="004C5D63" w:rsidP="004C5D63">
      <w:pPr>
        <w:widowControl w:val="0"/>
        <w:autoSpaceDE w:val="0"/>
        <w:autoSpaceDN w:val="0"/>
        <w:spacing w:after="0" w:line="276" w:lineRule="auto"/>
        <w:jc w:val="both"/>
        <w:rPr>
          <w:rFonts w:ascii="Verdana" w:hAnsi="Verdana" w:cs="Arial"/>
        </w:rPr>
      </w:pPr>
    </w:p>
    <w:p w14:paraId="74AE776F" w14:textId="77777777" w:rsidR="004C5D63" w:rsidRPr="00593A5F" w:rsidRDefault="004C5D63" w:rsidP="004C5D6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428C8C5" w14:textId="77777777" w:rsidR="004C5D63" w:rsidRPr="003A69E3" w:rsidRDefault="004C5D63" w:rsidP="004C5D63"/>
    <w:p w14:paraId="293D78A4" w14:textId="34CD595A" w:rsidR="004C5D63" w:rsidRPr="00A06931" w:rsidRDefault="00425F33" w:rsidP="00DC61E9">
      <w:pPr>
        <w:contextualSpacing/>
        <w:jc w:val="center"/>
        <w:rPr>
          <w:rFonts w:ascii="Verdana" w:hAnsi="Verdana" w:cs="Arial"/>
          <w:b/>
          <w:bCs/>
          <w:lang w:eastAsia="es-CO"/>
        </w:rPr>
      </w:pPr>
      <w:r w:rsidRPr="00603C5A">
        <w:rPr>
          <w:rFonts w:ascii="Verdana" w:eastAsia="Calibri" w:hAnsi="Verdana" w:cs="Arial"/>
          <w:b/>
          <w:bCs/>
          <w:noProof/>
          <w:lang w:val="pt-BR" w:eastAsia="es-ES"/>
        </w:rPr>
        <w:drawing>
          <wp:inline distT="0" distB="0" distL="0" distR="0" wp14:anchorId="44E994C2" wp14:editId="4FFC9FC1">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21"/>
                    <a:stretch>
                      <a:fillRect/>
                    </a:stretch>
                  </pic:blipFill>
                  <pic:spPr>
                    <a:xfrm>
                      <a:off x="0" y="0"/>
                      <a:ext cx="3322613" cy="1348859"/>
                    </a:xfrm>
                    <a:prstGeom prst="rect">
                      <a:avLst/>
                    </a:prstGeom>
                  </pic:spPr>
                </pic:pic>
              </a:graphicData>
            </a:graphic>
          </wp:inline>
        </w:drawing>
      </w:r>
    </w:p>
    <w:p w14:paraId="3649F575" w14:textId="77777777" w:rsidR="004C5D63" w:rsidRPr="00A06931" w:rsidRDefault="004C5D63" w:rsidP="004C5D63">
      <w:pPr>
        <w:spacing w:line="276" w:lineRule="auto"/>
        <w:jc w:val="center"/>
        <w:rPr>
          <w:rFonts w:ascii="Verdana" w:hAnsi="Verdana" w:cs="Arial"/>
          <w:color w:val="000000"/>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5D63" w:rsidRPr="00A06931" w14:paraId="21FD9689" w14:textId="77777777" w:rsidTr="002A053E">
        <w:trPr>
          <w:trHeight w:val="315"/>
        </w:trPr>
        <w:tc>
          <w:tcPr>
            <w:tcW w:w="893" w:type="dxa"/>
            <w:vAlign w:val="center"/>
            <w:hideMark/>
          </w:tcPr>
          <w:p w14:paraId="4E5A6717" w14:textId="77777777" w:rsidR="004C5D63" w:rsidRPr="00A06931" w:rsidRDefault="004C5D63" w:rsidP="002A053E">
            <w:pPr>
              <w:contextualSpacing/>
              <w:rPr>
                <w:rFonts w:ascii="Verdana" w:hAnsi="Verdana" w:cs="Arial"/>
                <w:sz w:val="16"/>
                <w:szCs w:val="16"/>
                <w:lang w:val="es-ES" w:eastAsia="es-ES"/>
              </w:rPr>
            </w:pPr>
            <w:r w:rsidRPr="00A0693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31B22C" w14:textId="77777777" w:rsidR="004C5D63" w:rsidRPr="00A06931" w:rsidRDefault="004C5D63" w:rsidP="002A053E">
            <w:pPr>
              <w:contextualSpacing/>
              <w:rPr>
                <w:rFonts w:ascii="Verdana" w:hAnsi="Verdana"/>
                <w:sz w:val="16"/>
                <w:szCs w:val="16"/>
              </w:rPr>
            </w:pPr>
            <w:r w:rsidRPr="00A06931">
              <w:rPr>
                <w:rFonts w:ascii="Verdana" w:hAnsi="Verdana"/>
                <w:sz w:val="16"/>
                <w:szCs w:val="16"/>
              </w:rPr>
              <w:t>Tatiana Baquero Iguarán</w:t>
            </w:r>
          </w:p>
          <w:p w14:paraId="768D337F" w14:textId="77777777" w:rsidR="004C5D63" w:rsidRPr="00A06931" w:rsidRDefault="004C5D63" w:rsidP="002A053E">
            <w:pPr>
              <w:contextualSpacing/>
              <w:rPr>
                <w:rFonts w:ascii="Verdana" w:eastAsia="Arial" w:hAnsi="Verdana" w:cs="Arial"/>
                <w:sz w:val="16"/>
                <w:szCs w:val="16"/>
              </w:rPr>
            </w:pPr>
            <w:r w:rsidRPr="00A06931">
              <w:rPr>
                <w:rFonts w:ascii="Verdana" w:hAnsi="Verdana"/>
                <w:sz w:val="16"/>
                <w:szCs w:val="16"/>
              </w:rPr>
              <w:t>Contratista de la Subdirección de Gestión Contractual</w:t>
            </w:r>
          </w:p>
        </w:tc>
      </w:tr>
      <w:tr w:rsidR="004C5D63" w:rsidRPr="00A06931" w14:paraId="22FF695B" w14:textId="77777777" w:rsidTr="002A053E">
        <w:trPr>
          <w:trHeight w:val="330"/>
        </w:trPr>
        <w:tc>
          <w:tcPr>
            <w:tcW w:w="893" w:type="dxa"/>
            <w:vAlign w:val="center"/>
            <w:hideMark/>
          </w:tcPr>
          <w:p w14:paraId="1884C1F1" w14:textId="77777777" w:rsidR="004C5D63" w:rsidRPr="00A06931" w:rsidRDefault="004C5D63" w:rsidP="002A053E">
            <w:pPr>
              <w:contextualSpacing/>
              <w:rPr>
                <w:rFonts w:ascii="Verdana" w:hAnsi="Verdana" w:cs="Arial"/>
                <w:sz w:val="16"/>
                <w:szCs w:val="16"/>
                <w:lang w:val="es-ES" w:eastAsia="es-ES"/>
              </w:rPr>
            </w:pPr>
            <w:r w:rsidRPr="00A0693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10E88F" w14:textId="77777777" w:rsidR="004C5D63" w:rsidRPr="00A06931" w:rsidRDefault="004C5D63" w:rsidP="002A053E">
            <w:pPr>
              <w:spacing w:before="100" w:beforeAutospacing="1" w:afterAutospacing="1"/>
              <w:contextualSpacing/>
              <w:textAlignment w:val="baseline"/>
              <w:rPr>
                <w:rFonts w:ascii="Verdana" w:eastAsia="Times New Roman" w:hAnsi="Verdana" w:cs="Arial"/>
                <w:sz w:val="16"/>
                <w:szCs w:val="16"/>
                <w:lang w:val="es-ES" w:eastAsia="es-ES_tradnl"/>
              </w:rPr>
            </w:pPr>
            <w:r w:rsidRPr="00A06931">
              <w:rPr>
                <w:rFonts w:ascii="Verdana" w:eastAsia="Times New Roman" w:hAnsi="Verdana" w:cs="Arial"/>
                <w:sz w:val="16"/>
                <w:szCs w:val="16"/>
                <w:lang w:val="es-ES" w:eastAsia="es-ES_tradnl"/>
              </w:rPr>
              <w:t>Alejandro Sarmiento Cantillo</w:t>
            </w:r>
          </w:p>
          <w:p w14:paraId="7BB67DA7" w14:textId="77777777" w:rsidR="004C5D63" w:rsidRPr="00A06931" w:rsidRDefault="004C5D63" w:rsidP="002A053E">
            <w:pPr>
              <w:contextualSpacing/>
              <w:textAlignment w:val="baseline"/>
              <w:rPr>
                <w:rFonts w:ascii="Verdana" w:eastAsia="Times New Roman" w:hAnsi="Verdana" w:cs="Segoe UI"/>
                <w:sz w:val="16"/>
                <w:szCs w:val="16"/>
                <w:lang w:eastAsia="es-ES_tradnl"/>
              </w:rPr>
            </w:pPr>
            <w:r w:rsidRPr="00A06931">
              <w:rPr>
                <w:rFonts w:ascii="Verdana" w:eastAsia="Times New Roman" w:hAnsi="Verdana" w:cs="Arial"/>
                <w:sz w:val="16"/>
                <w:szCs w:val="16"/>
                <w:lang w:val="es-ES" w:eastAsia="es-ES_tradnl"/>
              </w:rPr>
              <w:t>Gestor T1 ‒ 15 de la Subdirección de Gestión Contractual</w:t>
            </w:r>
            <w:r w:rsidRPr="00A06931">
              <w:rPr>
                <w:rFonts w:ascii="Verdana" w:eastAsia="Times New Roman" w:hAnsi="Verdana" w:cs="Arial"/>
                <w:sz w:val="16"/>
                <w:szCs w:val="16"/>
                <w:lang w:eastAsia="es-ES_tradnl"/>
              </w:rPr>
              <w:t> </w:t>
            </w:r>
          </w:p>
        </w:tc>
      </w:tr>
      <w:tr w:rsidR="004C5D63" w:rsidRPr="00A06931" w14:paraId="0B982BA8" w14:textId="77777777" w:rsidTr="002A053E">
        <w:trPr>
          <w:trHeight w:val="300"/>
        </w:trPr>
        <w:tc>
          <w:tcPr>
            <w:tcW w:w="893" w:type="dxa"/>
            <w:vAlign w:val="center"/>
          </w:tcPr>
          <w:p w14:paraId="3B797AEF" w14:textId="77777777" w:rsidR="004C5D63" w:rsidRPr="00A06931" w:rsidRDefault="004C5D63" w:rsidP="002A053E">
            <w:pPr>
              <w:contextualSpacing/>
              <w:rPr>
                <w:rFonts w:ascii="Verdana" w:hAnsi="Verdana" w:cs="Arial"/>
                <w:sz w:val="16"/>
                <w:szCs w:val="16"/>
                <w:lang w:val="es-ES" w:eastAsia="es-ES"/>
              </w:rPr>
            </w:pPr>
            <w:r w:rsidRPr="00A0693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6E097A" w14:textId="77777777" w:rsidR="004C5D63" w:rsidRPr="00A06931" w:rsidRDefault="004C5D63" w:rsidP="002A053E">
            <w:pPr>
              <w:contextualSpacing/>
              <w:rPr>
                <w:rFonts w:ascii="Verdana" w:eastAsia="Calibri" w:hAnsi="Verdana" w:cs="Arial"/>
                <w:sz w:val="16"/>
                <w:szCs w:val="16"/>
                <w:lang w:val="pt-BR" w:eastAsia="es-ES"/>
              </w:rPr>
            </w:pPr>
            <w:r w:rsidRPr="00A06931">
              <w:rPr>
                <w:rFonts w:ascii="Verdana" w:eastAsia="Calibri" w:hAnsi="Verdana" w:cs="Arial"/>
                <w:sz w:val="16"/>
                <w:szCs w:val="16"/>
                <w:lang w:val="pt-BR" w:eastAsia="es-ES"/>
              </w:rPr>
              <w:t xml:space="preserve">William Javier Murcia </w:t>
            </w:r>
            <w:proofErr w:type="spellStart"/>
            <w:r w:rsidRPr="00A06931">
              <w:rPr>
                <w:rFonts w:ascii="Verdana" w:eastAsia="Calibri" w:hAnsi="Verdana" w:cs="Arial"/>
                <w:sz w:val="16"/>
                <w:szCs w:val="16"/>
                <w:lang w:val="pt-BR" w:eastAsia="es-ES"/>
              </w:rPr>
              <w:t>Acevedo</w:t>
            </w:r>
            <w:proofErr w:type="spellEnd"/>
            <w:r w:rsidRPr="00A06931">
              <w:rPr>
                <w:rFonts w:ascii="Verdana" w:eastAsia="Calibri" w:hAnsi="Verdana" w:cs="Arial"/>
                <w:sz w:val="16"/>
                <w:szCs w:val="16"/>
                <w:lang w:val="pt-BR" w:eastAsia="es-ES"/>
              </w:rPr>
              <w:t xml:space="preserve"> </w:t>
            </w:r>
          </w:p>
          <w:p w14:paraId="1E6E6151" w14:textId="77777777" w:rsidR="004C5D63" w:rsidRPr="00A06931" w:rsidRDefault="004C5D63" w:rsidP="002A053E">
            <w:pPr>
              <w:contextualSpacing/>
              <w:rPr>
                <w:rFonts w:ascii="Verdana" w:eastAsia="Calibri" w:hAnsi="Verdana" w:cs="Arial"/>
                <w:sz w:val="16"/>
                <w:szCs w:val="16"/>
                <w:lang w:val="pt-BR" w:eastAsia="es-ES"/>
              </w:rPr>
            </w:pPr>
            <w:r w:rsidRPr="00A06931">
              <w:rPr>
                <w:rFonts w:ascii="Verdana" w:eastAsia="Calibri" w:hAnsi="Verdana" w:cs="Arial"/>
                <w:sz w:val="16"/>
                <w:szCs w:val="16"/>
                <w:lang w:eastAsia="es-ES"/>
              </w:rPr>
              <w:t>Subdirector</w:t>
            </w:r>
            <w:r w:rsidRPr="00A06931">
              <w:rPr>
                <w:rFonts w:ascii="Verdana" w:eastAsia="Calibri" w:hAnsi="Verdana" w:cs="Arial"/>
                <w:sz w:val="16"/>
                <w:szCs w:val="16"/>
                <w:lang w:val="pt-BR" w:eastAsia="es-ES"/>
              </w:rPr>
              <w:t xml:space="preserve"> de Gestión </w:t>
            </w:r>
            <w:proofErr w:type="spellStart"/>
            <w:proofErr w:type="gramStart"/>
            <w:r w:rsidRPr="00A06931">
              <w:rPr>
                <w:rFonts w:ascii="Verdana" w:eastAsia="Calibri" w:hAnsi="Verdana" w:cs="Arial"/>
                <w:sz w:val="16"/>
                <w:szCs w:val="16"/>
                <w:lang w:val="pt-BR" w:eastAsia="es-ES"/>
              </w:rPr>
              <w:t>Contractual</w:t>
            </w:r>
            <w:proofErr w:type="spellEnd"/>
            <w:r w:rsidRPr="00A06931">
              <w:rPr>
                <w:rFonts w:ascii="Verdana" w:eastAsia="Calibri" w:hAnsi="Verdana" w:cs="Arial"/>
                <w:sz w:val="16"/>
                <w:szCs w:val="16"/>
                <w:lang w:val="pt-BR" w:eastAsia="es-ES"/>
              </w:rPr>
              <w:t xml:space="preserve">  (</w:t>
            </w:r>
            <w:proofErr w:type="gramEnd"/>
            <w:r w:rsidRPr="00A06931">
              <w:rPr>
                <w:rFonts w:ascii="Verdana" w:eastAsia="Calibri" w:hAnsi="Verdana" w:cs="Arial"/>
                <w:sz w:val="16"/>
                <w:szCs w:val="16"/>
                <w:lang w:val="pt-BR" w:eastAsia="es-ES"/>
              </w:rPr>
              <w:t>E) ANCP – CCE</w:t>
            </w:r>
          </w:p>
        </w:tc>
      </w:tr>
    </w:tbl>
    <w:p w14:paraId="67CF8D97" w14:textId="77777777" w:rsidR="004C5D63" w:rsidRPr="00A06931" w:rsidRDefault="004C5D63" w:rsidP="004C5D63">
      <w:pPr>
        <w:spacing w:after="0" w:line="240" w:lineRule="auto"/>
        <w:jc w:val="both"/>
        <w:textAlignment w:val="baseline"/>
        <w:rPr>
          <w:rFonts w:ascii="Verdana" w:eastAsia="Verdana" w:hAnsi="Verdana" w:cs="Verdana"/>
          <w:lang w:eastAsia="es-CO"/>
        </w:rPr>
      </w:pPr>
    </w:p>
    <w:p w14:paraId="0F293BF4" w14:textId="6A8EE8F0" w:rsidR="00127233" w:rsidRPr="004C5D63" w:rsidRDefault="00127233" w:rsidP="004C5D63"/>
    <w:sectPr w:rsidR="00127233" w:rsidRPr="004C5D63"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4ABD6" w14:textId="77777777" w:rsidR="00CF52B2" w:rsidRDefault="00CF52B2" w:rsidP="004A1847">
      <w:pPr>
        <w:spacing w:after="0" w:line="240" w:lineRule="auto"/>
      </w:pPr>
      <w:r>
        <w:separator/>
      </w:r>
    </w:p>
  </w:endnote>
  <w:endnote w:type="continuationSeparator" w:id="0">
    <w:p w14:paraId="78419E5B" w14:textId="77777777" w:rsidR="00CF52B2" w:rsidRDefault="00CF52B2" w:rsidP="004A1847">
      <w:pPr>
        <w:spacing w:after="0" w:line="240" w:lineRule="auto"/>
      </w:pPr>
      <w:r>
        <w:continuationSeparator/>
      </w:r>
    </w:p>
  </w:endnote>
  <w:endnote w:type="continuationNotice" w:id="1">
    <w:p w14:paraId="27F8B777" w14:textId="77777777" w:rsidR="00CF52B2" w:rsidRDefault="00CF52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A0E9B" w14:textId="77777777" w:rsidR="00CF52B2" w:rsidRDefault="00CF52B2" w:rsidP="004A1847">
      <w:pPr>
        <w:spacing w:after="0" w:line="240" w:lineRule="auto"/>
      </w:pPr>
      <w:r>
        <w:separator/>
      </w:r>
    </w:p>
  </w:footnote>
  <w:footnote w:type="continuationSeparator" w:id="0">
    <w:p w14:paraId="58D5929C" w14:textId="77777777" w:rsidR="00CF52B2" w:rsidRDefault="00CF52B2" w:rsidP="004A1847">
      <w:pPr>
        <w:spacing w:after="0" w:line="240" w:lineRule="auto"/>
      </w:pPr>
      <w:r>
        <w:continuationSeparator/>
      </w:r>
    </w:p>
  </w:footnote>
  <w:footnote w:type="continuationNotice" w:id="1">
    <w:p w14:paraId="351F6794" w14:textId="77777777" w:rsidR="00CF52B2" w:rsidRDefault="00CF52B2">
      <w:pPr>
        <w:spacing w:after="0" w:line="240" w:lineRule="auto"/>
      </w:pPr>
    </w:p>
  </w:footnote>
  <w:footnote w:id="2">
    <w:p w14:paraId="318D9AC5" w14:textId="77777777" w:rsidR="004C5D63" w:rsidRPr="00774309" w:rsidRDefault="004C5D63" w:rsidP="004C5D63">
      <w:pPr>
        <w:pStyle w:val="Textonotapie"/>
        <w:snapToGrid w:val="0"/>
        <w:ind w:firstLine="708"/>
        <w:jc w:val="both"/>
        <w:rPr>
          <w:rFonts w:ascii="Verdana" w:hAnsi="Verdana" w:cs="Arial"/>
          <w:color w:val="000000" w:themeColor="text1"/>
          <w:sz w:val="16"/>
          <w:szCs w:val="16"/>
        </w:rPr>
      </w:pPr>
      <w:r w:rsidRPr="00774309">
        <w:rPr>
          <w:rStyle w:val="Refdenotaalpie"/>
          <w:rFonts w:ascii="Verdana" w:hAnsi="Verdana" w:cs="Arial"/>
          <w:color w:val="000000" w:themeColor="text1"/>
          <w:sz w:val="16"/>
          <w:szCs w:val="16"/>
        </w:rPr>
        <w:footnoteRef/>
      </w:r>
      <w:r w:rsidRPr="00774309">
        <w:rPr>
          <w:rFonts w:ascii="Verdana" w:hAnsi="Verdana" w:cs="Arial"/>
          <w:color w:val="000000" w:themeColor="text1"/>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207738FB" w14:textId="77777777" w:rsidR="004C5D63" w:rsidRPr="00774309" w:rsidRDefault="004C5D63" w:rsidP="004C5D63">
      <w:pPr>
        <w:pStyle w:val="Textonotapie"/>
        <w:snapToGrid w:val="0"/>
        <w:ind w:firstLine="708"/>
        <w:jc w:val="both"/>
        <w:rPr>
          <w:rFonts w:ascii="Verdana" w:hAnsi="Verdana" w:cs="Arial"/>
          <w:color w:val="000000" w:themeColor="text1"/>
          <w:sz w:val="16"/>
          <w:szCs w:val="16"/>
          <w:lang w:val="es-CO"/>
        </w:rPr>
      </w:pPr>
    </w:p>
  </w:footnote>
  <w:footnote w:id="3">
    <w:p w14:paraId="418A672D" w14:textId="77777777" w:rsidR="004C5D63" w:rsidRPr="00774309" w:rsidRDefault="004C5D63" w:rsidP="004C5D63">
      <w:pPr>
        <w:pStyle w:val="Textonotapie"/>
        <w:snapToGrid w:val="0"/>
        <w:ind w:firstLine="708"/>
        <w:jc w:val="both"/>
        <w:rPr>
          <w:rFonts w:ascii="Verdana" w:hAnsi="Verdana"/>
          <w:color w:val="000000" w:themeColor="text1"/>
          <w:sz w:val="16"/>
          <w:szCs w:val="16"/>
        </w:rPr>
      </w:pPr>
      <w:r w:rsidRPr="00774309">
        <w:rPr>
          <w:rStyle w:val="Refdenotaalpie"/>
          <w:rFonts w:ascii="Verdana" w:hAnsi="Verdana"/>
          <w:color w:val="000000" w:themeColor="text1"/>
          <w:sz w:val="16"/>
          <w:szCs w:val="16"/>
        </w:rPr>
        <w:footnoteRef/>
      </w:r>
      <w:r w:rsidRPr="00774309">
        <w:rPr>
          <w:rFonts w:ascii="Verdana" w:hAnsi="Verdana"/>
          <w:color w:val="000000" w:themeColor="text1"/>
          <w:sz w:val="16"/>
          <w:szCs w:val="16"/>
        </w:rPr>
        <w:t xml:space="preserve"> Agencia Nacional de Contratación Pública. Concepto C-466 de 23 de septiembre de 2024. Radicado de salida No. </w:t>
      </w:r>
      <w:r w:rsidRPr="00774309">
        <w:rPr>
          <w:rFonts w:ascii="Verdana" w:hAnsi="Verdana"/>
          <w:color w:val="000000" w:themeColor="text1"/>
          <w:sz w:val="16"/>
          <w:szCs w:val="16"/>
          <w:lang w:val="es-CO"/>
        </w:rPr>
        <w:t xml:space="preserve">RS20240923013372. Disponible en: </w:t>
      </w:r>
      <w:hyperlink r:id="rId1" w:history="1">
        <w:r w:rsidRPr="00774309">
          <w:rPr>
            <w:rStyle w:val="Hipervnculo"/>
            <w:rFonts w:ascii="Verdana" w:hAnsi="Verdana"/>
            <w:color w:val="000000" w:themeColor="text1"/>
            <w:sz w:val="16"/>
            <w:szCs w:val="16"/>
          </w:rPr>
          <w:t>https://relatoria.colombiacompra.gov.co/conceptos/c-466-de-2024/</w:t>
        </w:r>
      </w:hyperlink>
      <w:r w:rsidRPr="00774309">
        <w:rPr>
          <w:rFonts w:ascii="Verdana" w:hAnsi="Verdana"/>
          <w:color w:val="000000" w:themeColor="text1"/>
          <w:sz w:val="16"/>
          <w:szCs w:val="16"/>
        </w:rPr>
        <w:t xml:space="preserve"> </w:t>
      </w:r>
    </w:p>
  </w:footnote>
  <w:footnote w:id="4">
    <w:p w14:paraId="75A4F087" w14:textId="77777777" w:rsidR="004C5D63" w:rsidRPr="00774309" w:rsidRDefault="004C5D63" w:rsidP="004C5D63">
      <w:pPr>
        <w:pStyle w:val="Textonotapie"/>
        <w:snapToGrid w:val="0"/>
        <w:ind w:firstLine="708"/>
        <w:jc w:val="both"/>
        <w:rPr>
          <w:rFonts w:ascii="Verdana" w:hAnsi="Verdana"/>
          <w:color w:val="000000" w:themeColor="text1"/>
          <w:sz w:val="16"/>
          <w:szCs w:val="16"/>
          <w:lang w:val="es-CO"/>
        </w:rPr>
      </w:pPr>
      <w:r w:rsidRPr="00774309">
        <w:rPr>
          <w:rStyle w:val="Refdenotaalpie"/>
          <w:rFonts w:ascii="Verdana" w:hAnsi="Verdana"/>
          <w:color w:val="000000" w:themeColor="text1"/>
          <w:sz w:val="16"/>
          <w:szCs w:val="16"/>
        </w:rPr>
        <w:footnoteRef/>
      </w:r>
      <w:r w:rsidRPr="00774309">
        <w:rPr>
          <w:rFonts w:ascii="Verdana" w:hAnsi="Verdana"/>
          <w:color w:val="000000" w:themeColor="text1"/>
          <w:sz w:val="16"/>
          <w:szCs w:val="16"/>
        </w:rPr>
        <w:t xml:space="preserve"> CONSEJO DE ESTADO, Sección Tercera, Subsección A, Sentencia del 22 de agosto de 2023. </w:t>
      </w:r>
      <w:r w:rsidRPr="00774309">
        <w:rPr>
          <w:rFonts w:ascii="Verdana" w:hAnsi="Verdana"/>
          <w:color w:val="000000" w:themeColor="text1"/>
          <w:sz w:val="16"/>
          <w:szCs w:val="16"/>
        </w:rPr>
        <w:t xml:space="preserve">Exp. No. 58634. </w:t>
      </w:r>
      <w:r w:rsidRPr="00774309">
        <w:rPr>
          <w:rFonts w:ascii="Verdana" w:hAnsi="Verdana"/>
          <w:color w:val="000000" w:themeColor="text1"/>
          <w:sz w:val="16"/>
          <w:szCs w:val="16"/>
          <w:lang w:val="es-CO"/>
        </w:rPr>
        <w:t>Consejero ponente: María Adriana Marín; Subsección C. Sentencia del 19 de septiembre de 2022. Exp. No. 54714. Consejero ponente: Jaime Enrique Rodríguez Navas;</w:t>
      </w:r>
      <w:r w:rsidRPr="00774309">
        <w:rPr>
          <w:rFonts w:ascii="Verdana" w:hAnsi="Verdana"/>
          <w:color w:val="000000" w:themeColor="text1"/>
          <w:sz w:val="16"/>
          <w:szCs w:val="16"/>
        </w:rPr>
        <w:t xml:space="preserve"> Subsección C</w:t>
      </w:r>
      <w:bookmarkStart w:id="0" w:name="_Hlk176969946"/>
      <w:r w:rsidRPr="00774309">
        <w:rPr>
          <w:rFonts w:ascii="Verdana" w:hAnsi="Verdana"/>
          <w:color w:val="000000" w:themeColor="text1"/>
          <w:sz w:val="16"/>
          <w:szCs w:val="16"/>
        </w:rPr>
        <w:t>, Sentencia del 24 de abril de 2024</w:t>
      </w:r>
      <w:bookmarkEnd w:id="0"/>
      <w:r w:rsidRPr="00774309">
        <w:rPr>
          <w:rFonts w:ascii="Verdana" w:hAnsi="Verdana"/>
          <w:color w:val="000000" w:themeColor="text1"/>
          <w:sz w:val="16"/>
          <w:szCs w:val="16"/>
        </w:rPr>
        <w:t xml:space="preserve">. Exp. No. 67095. </w:t>
      </w:r>
      <w:r w:rsidRPr="00774309">
        <w:rPr>
          <w:rFonts w:ascii="Verdana" w:hAnsi="Verdana"/>
          <w:color w:val="000000" w:themeColor="text1"/>
          <w:sz w:val="16"/>
          <w:szCs w:val="16"/>
          <w:lang w:val="es-CO"/>
        </w:rPr>
        <w:t>Consejero ponente: Nicolás Yepes Corrales.</w:t>
      </w:r>
      <w:r w:rsidRPr="00774309">
        <w:rPr>
          <w:rFonts w:ascii="Verdana" w:hAnsi="Verdana"/>
          <w:color w:val="000000" w:themeColor="text1"/>
          <w:sz w:val="16"/>
          <w:szCs w:val="16"/>
        </w:rPr>
        <w:t xml:space="preserve"> </w:t>
      </w:r>
    </w:p>
  </w:footnote>
  <w:footnote w:id="5">
    <w:p w14:paraId="53AC5A50" w14:textId="77777777" w:rsidR="004C5D63" w:rsidRPr="008F0391" w:rsidRDefault="004C5D63" w:rsidP="004C5D63">
      <w:pPr>
        <w:pStyle w:val="Textonotapie"/>
        <w:snapToGrid w:val="0"/>
        <w:spacing w:before="120" w:after="120"/>
        <w:ind w:firstLine="709"/>
        <w:jc w:val="both"/>
        <w:rPr>
          <w:rFonts w:ascii="Verdana" w:hAnsi="Verdana" w:cs="Arial"/>
          <w:color w:val="000000" w:themeColor="text1"/>
          <w:sz w:val="16"/>
          <w:szCs w:val="16"/>
          <w:lang w:val="it-CH"/>
        </w:rPr>
      </w:pPr>
      <w:r w:rsidRPr="00774309">
        <w:rPr>
          <w:rStyle w:val="Refdenotaalpie"/>
          <w:rFonts w:ascii="Verdana" w:hAnsi="Verdana" w:cs="Arial"/>
          <w:sz w:val="16"/>
          <w:szCs w:val="16"/>
        </w:rPr>
        <w:footnoteRef/>
      </w:r>
      <w:r w:rsidRPr="00774309">
        <w:rPr>
          <w:rFonts w:ascii="Verdana" w:hAnsi="Verdana" w:cs="Arial"/>
          <w:sz w:val="16"/>
          <w:szCs w:val="16"/>
        </w:rPr>
        <w:t xml:space="preserve"> </w:t>
      </w:r>
      <w:r w:rsidRPr="00774309">
        <w:rPr>
          <w:rFonts w:ascii="Verdana" w:hAnsi="Verdana" w:cs="Arial"/>
          <w:color w:val="000000" w:themeColor="text1"/>
          <w:sz w:val="16"/>
          <w:szCs w:val="16"/>
        </w:rPr>
        <w:t xml:space="preserve">Consejo de Estado. Sentencia del 28 de junio de 2012. </w:t>
      </w:r>
      <w:r w:rsidRPr="008F0391">
        <w:rPr>
          <w:rFonts w:ascii="Verdana" w:hAnsi="Verdana" w:cs="Arial"/>
          <w:color w:val="000000" w:themeColor="text1"/>
          <w:sz w:val="16"/>
          <w:szCs w:val="16"/>
          <w:lang w:val="it-CH"/>
        </w:rPr>
        <w:t xml:space="preserve">Rad. Nro. 21990. C.P: Ruth Stella Correa Palacio. </w:t>
      </w:r>
    </w:p>
  </w:footnote>
  <w:footnote w:id="6">
    <w:p w14:paraId="16117EDD" w14:textId="77777777" w:rsidR="004C5D63" w:rsidRPr="00774309" w:rsidRDefault="004C5D63" w:rsidP="004C5D63">
      <w:pPr>
        <w:pStyle w:val="Textonotapie"/>
        <w:snapToGrid w:val="0"/>
        <w:spacing w:before="120" w:after="120"/>
        <w:ind w:firstLine="709"/>
        <w:jc w:val="both"/>
        <w:rPr>
          <w:rFonts w:ascii="Verdana" w:hAnsi="Verdana" w:cs="Arial"/>
          <w:iCs/>
          <w:sz w:val="16"/>
          <w:szCs w:val="16"/>
        </w:rPr>
      </w:pPr>
      <w:r w:rsidRPr="00774309">
        <w:rPr>
          <w:rStyle w:val="Refdenotaalpie"/>
          <w:rFonts w:ascii="Verdana" w:hAnsi="Verdana" w:cs="Arial"/>
          <w:sz w:val="16"/>
          <w:szCs w:val="16"/>
        </w:rPr>
        <w:footnoteRef/>
      </w:r>
      <w:r w:rsidRPr="00774309">
        <w:rPr>
          <w:rFonts w:ascii="Verdana" w:hAnsi="Verdana" w:cs="Arial"/>
          <w:sz w:val="16"/>
          <w:szCs w:val="16"/>
        </w:rPr>
        <w:t xml:space="preserve"> </w:t>
      </w:r>
      <w:r w:rsidRPr="00774309">
        <w:rPr>
          <w:rFonts w:ascii="Verdana" w:hAnsi="Verdana" w:cs="Arial"/>
          <w:iCs/>
          <w:sz w:val="16"/>
          <w:szCs w:val="16"/>
          <w:lang w:val="es-CO"/>
        </w:rPr>
        <w:t xml:space="preserve">IBAÑEZ NAJAR, Jorge Enrique. </w:t>
      </w:r>
      <w:r w:rsidRPr="00774309">
        <w:rPr>
          <w:rFonts w:ascii="Verdana" w:hAnsi="Verdana" w:cs="Arial"/>
          <w:iCs/>
          <w:sz w:val="16"/>
          <w:szCs w:val="16"/>
        </w:rPr>
        <w:t xml:space="preserve">La conmutatividad del contrato estatal y su equilibrio económico y financiero. La obligación de conservarlo, su ruptura y la obligación de restablecerlo según la ley </w:t>
      </w:r>
      <w:r w:rsidRPr="00774309">
        <w:rPr>
          <w:rFonts w:ascii="Verdana" w:hAnsi="Verdana" w:cs="Arial"/>
          <w:iCs/>
          <w:sz w:val="16"/>
          <w:szCs w:val="16"/>
          <w:lang w:val="es-CO"/>
        </w:rPr>
        <w:t>y la jurisprudencia. En: PALACIO JARAMILLO, María Teresa (editora académica). Contratos Estatales. Tomo II. 2022. Bogotá: Universidad del Rosario. P. 630</w:t>
      </w:r>
    </w:p>
  </w:footnote>
  <w:footnote w:id="7">
    <w:p w14:paraId="383CA8EC" w14:textId="77777777" w:rsidR="004C5D63" w:rsidRPr="00774309" w:rsidRDefault="004C5D63" w:rsidP="004C5D63">
      <w:pPr>
        <w:pStyle w:val="Textonotapie"/>
        <w:snapToGrid w:val="0"/>
        <w:spacing w:before="120" w:after="120"/>
        <w:ind w:firstLine="708"/>
        <w:jc w:val="both"/>
        <w:rPr>
          <w:rFonts w:ascii="Verdana" w:hAnsi="Verdana"/>
          <w:sz w:val="16"/>
          <w:szCs w:val="16"/>
          <w:lang w:val="es-CO"/>
        </w:rPr>
      </w:pPr>
      <w:r w:rsidRPr="00774309">
        <w:rPr>
          <w:rStyle w:val="Refdenotaalpie"/>
          <w:rFonts w:ascii="Verdana" w:hAnsi="Verdana"/>
          <w:sz w:val="16"/>
          <w:szCs w:val="16"/>
        </w:rPr>
        <w:footnoteRef/>
      </w:r>
      <w:r w:rsidRPr="00774309">
        <w:rPr>
          <w:rFonts w:ascii="Verdana" w:hAnsi="Verdana"/>
          <w:sz w:val="16"/>
          <w:szCs w:val="16"/>
        </w:rPr>
        <w:t xml:space="preserve"> CONSEJO DE ESTADO. Sección Tercera. Subsección C. Sentencia del 20 de abril de 2022. </w:t>
      </w:r>
      <w:r w:rsidRPr="00774309">
        <w:rPr>
          <w:rFonts w:ascii="Verdana" w:hAnsi="Verdana"/>
          <w:sz w:val="16"/>
          <w:szCs w:val="16"/>
        </w:rPr>
        <w:t>Exp. 56508. C.P. Nicolás Yepes Corrales.</w:t>
      </w:r>
    </w:p>
  </w:footnote>
  <w:footnote w:id="8">
    <w:p w14:paraId="0A2927E6" w14:textId="77777777" w:rsidR="004C5D63" w:rsidRPr="00774309" w:rsidRDefault="004C5D63" w:rsidP="004C5D63">
      <w:pPr>
        <w:pStyle w:val="Textonotapie"/>
        <w:snapToGrid w:val="0"/>
        <w:spacing w:before="120" w:after="120"/>
        <w:ind w:firstLine="709"/>
        <w:jc w:val="both"/>
        <w:rPr>
          <w:rFonts w:ascii="Verdana" w:hAnsi="Verdana" w:cs="Arial"/>
          <w:sz w:val="16"/>
          <w:szCs w:val="16"/>
          <w:lang w:val="es-CO"/>
        </w:rPr>
      </w:pPr>
      <w:r w:rsidRPr="00774309">
        <w:rPr>
          <w:rStyle w:val="Refdenotaalpie"/>
          <w:rFonts w:ascii="Verdana" w:hAnsi="Verdana" w:cs="Arial"/>
          <w:sz w:val="16"/>
          <w:szCs w:val="16"/>
        </w:rPr>
        <w:footnoteRef/>
      </w:r>
      <w:r w:rsidRPr="00774309">
        <w:rPr>
          <w:rFonts w:ascii="Verdana" w:hAnsi="Verdana" w:cs="Arial"/>
          <w:sz w:val="16"/>
          <w:szCs w:val="16"/>
        </w:rPr>
        <w:t xml:space="preserve">  Consejo de Estado. Sección Tercera. Sentencia del 31 de agosto de 2011. </w:t>
      </w:r>
      <w:r w:rsidRPr="00774309">
        <w:rPr>
          <w:rFonts w:ascii="Verdana" w:hAnsi="Verdana" w:cs="Arial"/>
          <w:sz w:val="16"/>
          <w:szCs w:val="16"/>
        </w:rPr>
        <w:t xml:space="preserve">Exp. 18.080. CP.: Ruth Stella Correa Palacio. Reiterada en </w:t>
      </w:r>
      <w:r w:rsidRPr="00774309">
        <w:rPr>
          <w:rFonts w:ascii="Verdana" w:hAnsi="Verdana" w:cs="Arial"/>
          <w:sz w:val="16"/>
          <w:szCs w:val="16"/>
          <w:lang w:val="es-CO"/>
        </w:rPr>
        <w:t xml:space="preserve">Sentencia del 8 de febrero de 2012. Exp. 20344. </w:t>
      </w:r>
      <w:r w:rsidRPr="00774309">
        <w:rPr>
          <w:rFonts w:ascii="Verdana" w:hAnsi="Verdana" w:cs="Arial"/>
          <w:sz w:val="16"/>
          <w:szCs w:val="16"/>
        </w:rPr>
        <w:t>También ver: Consejo de Estado, Sección Tercera, sentencia de 9 de mayo de 1996, exp. 10.151, reiterada en sentencias de 29 de abril y 21 de julio de 1999, exp. 14.885 y exp. 14.943, C.P. Daniel Suárez Hernández.</w:t>
      </w:r>
    </w:p>
  </w:footnote>
  <w:footnote w:id="9">
    <w:p w14:paraId="67EC64F0" w14:textId="77777777" w:rsidR="004C5D63" w:rsidRPr="00774309" w:rsidRDefault="004C5D63" w:rsidP="004C5D63">
      <w:pPr>
        <w:pStyle w:val="Textonotapie"/>
        <w:snapToGrid w:val="0"/>
        <w:spacing w:before="120" w:after="120"/>
        <w:ind w:firstLine="708"/>
        <w:jc w:val="both"/>
        <w:rPr>
          <w:rFonts w:ascii="Verdana" w:hAnsi="Verdana" w:cs="Arial"/>
          <w:sz w:val="16"/>
          <w:szCs w:val="16"/>
          <w:lang w:val="es-CO"/>
        </w:rPr>
      </w:pPr>
      <w:r w:rsidRPr="00774309">
        <w:rPr>
          <w:rStyle w:val="Refdenotaalpie"/>
          <w:rFonts w:ascii="Verdana" w:hAnsi="Verdana" w:cs="Arial"/>
          <w:sz w:val="16"/>
          <w:szCs w:val="16"/>
        </w:rPr>
        <w:footnoteRef/>
      </w:r>
      <w:r w:rsidRPr="00774309">
        <w:rPr>
          <w:rFonts w:ascii="Verdana" w:hAnsi="Verdana" w:cs="Arial"/>
          <w:sz w:val="16"/>
          <w:szCs w:val="16"/>
        </w:rPr>
        <w:t xml:space="preserve"> Consejo de Estado. Sección Tercera. Sentencia del 29 de enero de 2018. </w:t>
      </w:r>
      <w:r w:rsidRPr="00774309">
        <w:rPr>
          <w:rFonts w:ascii="Verdana" w:hAnsi="Verdana" w:cs="Arial"/>
          <w:sz w:val="16"/>
          <w:szCs w:val="16"/>
        </w:rPr>
        <w:t>Exp. 52.666 CP.: Jaime Orlando Santofimio Gamboa.</w:t>
      </w:r>
    </w:p>
  </w:footnote>
  <w:footnote w:id="10">
    <w:p w14:paraId="72E948D7" w14:textId="77777777" w:rsidR="004C5D63" w:rsidRPr="00774309" w:rsidRDefault="004C5D63" w:rsidP="004C5D63">
      <w:pPr>
        <w:pStyle w:val="Textonotapie"/>
        <w:snapToGrid w:val="0"/>
        <w:spacing w:before="120" w:after="120"/>
        <w:ind w:firstLine="709"/>
        <w:jc w:val="both"/>
        <w:rPr>
          <w:rFonts w:ascii="Verdana" w:hAnsi="Verdana" w:cs="Arial"/>
          <w:sz w:val="16"/>
          <w:szCs w:val="16"/>
          <w:lang w:bidi="es-ES"/>
        </w:rPr>
      </w:pPr>
      <w:r w:rsidRPr="00774309">
        <w:rPr>
          <w:rStyle w:val="Refdenotaalpie"/>
          <w:rFonts w:ascii="Verdana" w:hAnsi="Verdana" w:cs="Arial"/>
          <w:sz w:val="16"/>
          <w:szCs w:val="16"/>
        </w:rPr>
        <w:footnoteRef/>
      </w:r>
      <w:r w:rsidRPr="00774309">
        <w:rPr>
          <w:rFonts w:ascii="Verdana" w:hAnsi="Verdana" w:cs="Arial"/>
          <w:sz w:val="16"/>
          <w:szCs w:val="16"/>
        </w:rPr>
        <w:t xml:space="preserve"> </w:t>
      </w:r>
      <w:r w:rsidRPr="00774309">
        <w:rPr>
          <w:rFonts w:ascii="Verdana" w:hAnsi="Verdana" w:cs="Arial"/>
          <w:sz w:val="16"/>
          <w:szCs w:val="16"/>
          <w:lang w:bidi="es-ES"/>
        </w:rPr>
        <w:t xml:space="preserve">Corte Constitucional. Sentencia C-416 de 2012. </w:t>
      </w:r>
    </w:p>
  </w:footnote>
  <w:footnote w:id="11">
    <w:p w14:paraId="7A9C5165" w14:textId="77777777" w:rsidR="004C5D63" w:rsidRPr="00774309" w:rsidRDefault="004C5D63" w:rsidP="004C5D63">
      <w:pPr>
        <w:pStyle w:val="Textonotapie"/>
        <w:snapToGrid w:val="0"/>
        <w:spacing w:before="120" w:after="120"/>
        <w:ind w:firstLine="709"/>
        <w:jc w:val="both"/>
        <w:rPr>
          <w:rFonts w:ascii="Verdana" w:hAnsi="Verdana" w:cs="Arial"/>
          <w:sz w:val="16"/>
          <w:szCs w:val="16"/>
          <w:lang w:val="es-CO"/>
        </w:rPr>
      </w:pPr>
      <w:r w:rsidRPr="00774309">
        <w:rPr>
          <w:rStyle w:val="Refdenotaalpie"/>
          <w:rFonts w:ascii="Verdana" w:hAnsi="Verdana" w:cs="Arial"/>
          <w:sz w:val="16"/>
          <w:szCs w:val="16"/>
        </w:rPr>
        <w:footnoteRef/>
      </w:r>
      <w:r w:rsidRPr="00774309">
        <w:rPr>
          <w:rFonts w:ascii="Verdana" w:hAnsi="Verdana" w:cs="Arial"/>
          <w:sz w:val="16"/>
          <w:szCs w:val="16"/>
        </w:rPr>
        <w:t xml:space="preserve"> EXPÓSITO VÉLEZ, Juan Carlos. </w:t>
      </w:r>
      <w:r w:rsidRPr="00774309">
        <w:rPr>
          <w:rFonts w:ascii="Verdana" w:hAnsi="Verdana" w:cs="Arial"/>
          <w:sz w:val="16"/>
          <w:szCs w:val="16"/>
          <w:lang w:val="es-CO"/>
        </w:rPr>
        <w:t xml:space="preserve">Formas, formalidades y contenido del contrato estatal. Serie de derecho administrativo Nro. 34. Universidad Externado de Colombia. 2020. </w:t>
      </w:r>
    </w:p>
  </w:footnote>
  <w:footnote w:id="12">
    <w:p w14:paraId="59EB821B" w14:textId="77777777" w:rsidR="004C5D63" w:rsidRPr="00774309" w:rsidRDefault="004C5D63" w:rsidP="004C5D63">
      <w:pPr>
        <w:pStyle w:val="Textonotapie"/>
        <w:snapToGrid w:val="0"/>
        <w:spacing w:before="120" w:after="120"/>
        <w:ind w:firstLine="708"/>
        <w:jc w:val="both"/>
        <w:rPr>
          <w:rFonts w:ascii="Verdana" w:hAnsi="Verdana"/>
          <w:sz w:val="16"/>
          <w:szCs w:val="16"/>
          <w:lang w:val="es-ES"/>
        </w:rPr>
      </w:pPr>
      <w:r w:rsidRPr="00774309">
        <w:rPr>
          <w:rStyle w:val="Refdenotaalpie"/>
          <w:rFonts w:ascii="Verdana" w:hAnsi="Verdana"/>
          <w:sz w:val="16"/>
          <w:szCs w:val="16"/>
        </w:rPr>
        <w:footnoteRef/>
      </w:r>
      <w:r w:rsidRPr="00774309">
        <w:rPr>
          <w:rFonts w:ascii="Verdana" w:hAnsi="Verdana"/>
          <w:sz w:val="16"/>
          <w:szCs w:val="16"/>
        </w:rPr>
        <w:t xml:space="preserve"> </w:t>
      </w:r>
      <w:r w:rsidRPr="00774309">
        <w:rPr>
          <w:rFonts w:ascii="Verdana" w:hAnsi="Verdana"/>
          <w:sz w:val="16"/>
          <w:szCs w:val="16"/>
          <w:lang w:val="es-CO"/>
        </w:rPr>
        <w:t>CONSEJO DE ESTADO. Sala de lo Contencioso Administrativo. Sección Tercera. Subsección C. C.P.: Jaime Enrique Rodríguez Navas. Sentencia del 19 de septiembre de 2022. Radicación número: 25000-23-36-000-2013-00211-01 (54714).</w:t>
      </w:r>
    </w:p>
  </w:footnote>
  <w:footnote w:id="13">
    <w:p w14:paraId="3AEB2DBC" w14:textId="77777777" w:rsidR="004C5D63" w:rsidRPr="00774309" w:rsidRDefault="004C5D63" w:rsidP="004C5D63">
      <w:pPr>
        <w:pStyle w:val="Textonotapie"/>
        <w:ind w:firstLine="709"/>
        <w:jc w:val="both"/>
        <w:rPr>
          <w:rFonts w:ascii="Verdana" w:hAnsi="Verdana" w:cs="Arial"/>
          <w:color w:val="000000" w:themeColor="text1"/>
          <w:sz w:val="16"/>
          <w:szCs w:val="16"/>
        </w:rPr>
      </w:pPr>
      <w:r w:rsidRPr="00774309">
        <w:rPr>
          <w:rStyle w:val="Refdenotaalpie"/>
          <w:rFonts w:ascii="Verdana" w:hAnsi="Verdana"/>
          <w:sz w:val="16"/>
          <w:szCs w:val="16"/>
        </w:rPr>
        <w:footnoteRef/>
      </w:r>
      <w:r w:rsidRPr="00774309">
        <w:rPr>
          <w:rFonts w:ascii="Verdana" w:hAnsi="Verdana"/>
          <w:sz w:val="16"/>
          <w:szCs w:val="16"/>
        </w:rPr>
        <w:t xml:space="preserve"> CONSEJO DE ESTADO. Sala de consulta y Servicio </w:t>
      </w:r>
      <w:r w:rsidRPr="00BF5882">
        <w:rPr>
          <w:rFonts w:ascii="Verdana" w:hAnsi="Verdana"/>
          <w:sz w:val="16"/>
          <w:szCs w:val="16"/>
        </w:rPr>
        <w:t xml:space="preserve">Civil. </w:t>
      </w:r>
      <w:r w:rsidRPr="008F0391">
        <w:rPr>
          <w:rFonts w:ascii="Verdana" w:hAnsi="Verdana" w:cs="Arial"/>
          <w:color w:val="000000" w:themeColor="text1"/>
          <w:sz w:val="16"/>
          <w:szCs w:val="16"/>
        </w:rPr>
        <w:t>Concepto del 6 de junio de 2018. Radicación Nro. 2369. C.P.: Óscar Darío Amaya Navas.</w:t>
      </w:r>
    </w:p>
  </w:footnote>
  <w:footnote w:id="14">
    <w:p w14:paraId="6B465CA9" w14:textId="77777777" w:rsidR="004C5D63" w:rsidRPr="00774309" w:rsidRDefault="004C5D63" w:rsidP="004C5D63">
      <w:pPr>
        <w:pStyle w:val="Textonotapie"/>
        <w:ind w:firstLine="709"/>
        <w:jc w:val="both"/>
        <w:rPr>
          <w:rFonts w:ascii="Verdana" w:hAnsi="Verdana"/>
          <w:sz w:val="16"/>
          <w:szCs w:val="16"/>
          <w:lang w:val="es-CO"/>
        </w:rPr>
      </w:pPr>
      <w:r w:rsidRPr="00774309">
        <w:rPr>
          <w:rStyle w:val="Refdenotaalpie"/>
          <w:rFonts w:ascii="Verdana" w:hAnsi="Verdana"/>
          <w:sz w:val="16"/>
          <w:szCs w:val="16"/>
        </w:rPr>
        <w:footnoteRef/>
      </w:r>
      <w:r w:rsidRPr="00774309">
        <w:rPr>
          <w:rFonts w:ascii="Verdana" w:hAnsi="Verdana"/>
          <w:sz w:val="16"/>
          <w:szCs w:val="16"/>
        </w:rPr>
        <w:t xml:space="preserve"> CONSEJO DE ESTADO. Sala de consulta y Servicio Civil. </w:t>
      </w:r>
      <w:r>
        <w:rPr>
          <w:rFonts w:ascii="Verdana" w:hAnsi="Verdana" w:cs="Arial"/>
          <w:color w:val="000000" w:themeColor="text1"/>
          <w:sz w:val="16"/>
          <w:szCs w:val="16"/>
        </w:rPr>
        <w:t xml:space="preserve">Concepto del 6 de marzo de 2024. Radicación interna Nro. 2512. </w:t>
      </w:r>
      <w:r w:rsidRPr="00BF5882">
        <w:rPr>
          <w:rFonts w:ascii="Verdana" w:hAnsi="Verdana" w:cs="Arial"/>
          <w:color w:val="000000" w:themeColor="text1"/>
          <w:sz w:val="16"/>
          <w:szCs w:val="16"/>
        </w:rPr>
        <w:t xml:space="preserve">C.P.: </w:t>
      </w:r>
      <w:r w:rsidRPr="008F0391">
        <w:rPr>
          <w:rFonts w:ascii="Verdana" w:hAnsi="Verdana" w:cs="Arial"/>
          <w:color w:val="000000" w:themeColor="text1"/>
          <w:sz w:val="16"/>
          <w:szCs w:val="16"/>
        </w:rPr>
        <w:t>Óscar Darío Amaya Navas</w:t>
      </w:r>
      <w:r w:rsidRPr="00BF5882">
        <w:rPr>
          <w:rFonts w:ascii="Verdana" w:hAnsi="Verdana" w:cs="Arial"/>
          <w:color w:val="000000" w:themeColor="text1"/>
          <w:sz w:val="16"/>
          <w:szCs w:val="16"/>
        </w:rPr>
        <w:t>.</w:t>
      </w:r>
    </w:p>
  </w:footnote>
  <w:footnote w:id="15">
    <w:p w14:paraId="055DB7A9" w14:textId="77777777" w:rsidR="004C5D63" w:rsidRPr="00774309" w:rsidRDefault="004C5D63" w:rsidP="004C5D63">
      <w:pPr>
        <w:pStyle w:val="Textonotapie"/>
        <w:ind w:firstLine="709"/>
        <w:jc w:val="both"/>
        <w:rPr>
          <w:rFonts w:ascii="Verdana" w:hAnsi="Verdana" w:cs="Arial"/>
          <w:color w:val="000000" w:themeColor="text1"/>
          <w:sz w:val="16"/>
          <w:szCs w:val="16"/>
        </w:rPr>
      </w:pPr>
      <w:r w:rsidRPr="00774309">
        <w:rPr>
          <w:rStyle w:val="Refdenotaalpie"/>
          <w:rFonts w:ascii="Verdana" w:hAnsi="Verdana"/>
          <w:sz w:val="16"/>
          <w:szCs w:val="16"/>
        </w:rPr>
        <w:footnoteRef/>
      </w:r>
      <w:r w:rsidRPr="00774309">
        <w:rPr>
          <w:rFonts w:ascii="Verdana" w:hAnsi="Verdana"/>
          <w:sz w:val="16"/>
          <w:szCs w:val="16"/>
        </w:rPr>
        <w:t xml:space="preserve"> </w:t>
      </w:r>
      <w:r w:rsidRPr="00774309">
        <w:rPr>
          <w:rFonts w:ascii="Verdana" w:hAnsi="Verdana" w:cs="Arial"/>
          <w:color w:val="000000" w:themeColor="text1"/>
          <w:sz w:val="16"/>
          <w:szCs w:val="16"/>
        </w:rPr>
        <w:t>BENAVIDES, José Luis. Contratos Públicos: Estudios. Primera edición. Bogotá: Universidad Externado de Colombia, 2014. p. 362</w:t>
      </w:r>
    </w:p>
    <w:p w14:paraId="775B7009" w14:textId="77777777" w:rsidR="004C5D63" w:rsidRPr="00774309" w:rsidRDefault="004C5D63" w:rsidP="004C5D63">
      <w:pPr>
        <w:pStyle w:val="Textonotapie"/>
        <w:ind w:firstLine="709"/>
        <w:jc w:val="both"/>
        <w:rPr>
          <w:rFonts w:ascii="Verdana" w:hAnsi="Verdana"/>
          <w:sz w:val="16"/>
          <w:szCs w:val="16"/>
          <w:lang w:val="es-CO"/>
        </w:rPr>
      </w:pPr>
    </w:p>
  </w:footnote>
  <w:footnote w:id="16">
    <w:p w14:paraId="09E5F877" w14:textId="77777777" w:rsidR="004C5D63" w:rsidRDefault="004C5D63" w:rsidP="004C5D63">
      <w:pPr>
        <w:pStyle w:val="Textonotapie"/>
        <w:snapToGrid w:val="0"/>
        <w:spacing w:before="120" w:after="120"/>
        <w:ind w:firstLine="708"/>
        <w:jc w:val="both"/>
        <w:rPr>
          <w:rFonts w:ascii="Verdana" w:hAnsi="Verdana"/>
          <w:sz w:val="16"/>
          <w:szCs w:val="16"/>
          <w:lang w:val="es-ES"/>
        </w:rPr>
      </w:pPr>
      <w:r w:rsidRPr="00BF5882">
        <w:rPr>
          <w:rStyle w:val="Refdenotaalpie"/>
          <w:rFonts w:ascii="Verdana" w:hAnsi="Verdana"/>
          <w:sz w:val="16"/>
          <w:szCs w:val="16"/>
        </w:rPr>
        <w:footnoteRef/>
      </w:r>
      <w:r w:rsidRPr="008F0391">
        <w:rPr>
          <w:rFonts w:ascii="Verdana" w:hAnsi="Verdana" w:cs="Arial"/>
          <w:color w:val="000000" w:themeColor="text1"/>
          <w:sz w:val="16"/>
          <w:szCs w:val="16"/>
          <w:lang w:val="es-CO"/>
        </w:rPr>
        <w:t xml:space="preserve"> A modo de ejemplo, en sectores con tarifas reguladas de obligatoria observancia —como ocurre con las tarifas mínimas para el cobro de los servicios de vigilancia y seguridad privada, fijadas con fundamento en el artículo 92 del Decreto-ley 356 de 1994 y en el Decreto 4950 de 2007, compilado en el Decreto 1070 de 2015—, la actualización periódica de la tarifa, en cuanto integra el mecanismo económico predeterminado del contrato, se aproxima a un reajuste y no, por sí sola, a una adición. Esta Agencia no se pronuncia sobre la aplicación de dicho régimen al caso concreto, cuyo análisis corresponde a la entidad contratante.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1F"/>
    <w:rsid w:val="000018FC"/>
    <w:rsid w:val="000025D0"/>
    <w:rsid w:val="00016F78"/>
    <w:rsid w:val="000214D8"/>
    <w:rsid w:val="000310E5"/>
    <w:rsid w:val="00046945"/>
    <w:rsid w:val="000471DB"/>
    <w:rsid w:val="00061B1A"/>
    <w:rsid w:val="00061B2A"/>
    <w:rsid w:val="00082362"/>
    <w:rsid w:val="000A683E"/>
    <w:rsid w:val="000B19B9"/>
    <w:rsid w:val="000B42F8"/>
    <w:rsid w:val="000C3101"/>
    <w:rsid w:val="000C31DF"/>
    <w:rsid w:val="000D0334"/>
    <w:rsid w:val="000D5DA7"/>
    <w:rsid w:val="000F6486"/>
    <w:rsid w:val="00106B93"/>
    <w:rsid w:val="00116940"/>
    <w:rsid w:val="00125105"/>
    <w:rsid w:val="00125886"/>
    <w:rsid w:val="00127233"/>
    <w:rsid w:val="00145C49"/>
    <w:rsid w:val="0015699B"/>
    <w:rsid w:val="00166220"/>
    <w:rsid w:val="001762A0"/>
    <w:rsid w:val="001A33BF"/>
    <w:rsid w:val="001B6251"/>
    <w:rsid w:val="001C1F52"/>
    <w:rsid w:val="001D5647"/>
    <w:rsid w:val="001E4177"/>
    <w:rsid w:val="001F0B24"/>
    <w:rsid w:val="001F5051"/>
    <w:rsid w:val="001F7DC6"/>
    <w:rsid w:val="0020003D"/>
    <w:rsid w:val="0022400B"/>
    <w:rsid w:val="002421BB"/>
    <w:rsid w:val="002455C6"/>
    <w:rsid w:val="00252E81"/>
    <w:rsid w:val="0025796E"/>
    <w:rsid w:val="002707A2"/>
    <w:rsid w:val="00282BBC"/>
    <w:rsid w:val="00285E59"/>
    <w:rsid w:val="00290AF7"/>
    <w:rsid w:val="002951A0"/>
    <w:rsid w:val="002962BC"/>
    <w:rsid w:val="002A093D"/>
    <w:rsid w:val="002A0DD0"/>
    <w:rsid w:val="002A49AC"/>
    <w:rsid w:val="002A64FD"/>
    <w:rsid w:val="002B4C87"/>
    <w:rsid w:val="002C154B"/>
    <w:rsid w:val="002C4028"/>
    <w:rsid w:val="002C7A84"/>
    <w:rsid w:val="002D0949"/>
    <w:rsid w:val="002D1F17"/>
    <w:rsid w:val="002E2BF8"/>
    <w:rsid w:val="002E4FD9"/>
    <w:rsid w:val="0030657A"/>
    <w:rsid w:val="00313415"/>
    <w:rsid w:val="00322A85"/>
    <w:rsid w:val="00324168"/>
    <w:rsid w:val="00330834"/>
    <w:rsid w:val="003313B3"/>
    <w:rsid w:val="00331AC2"/>
    <w:rsid w:val="003448F4"/>
    <w:rsid w:val="00344D13"/>
    <w:rsid w:val="003515DF"/>
    <w:rsid w:val="00360D72"/>
    <w:rsid w:val="00364AB4"/>
    <w:rsid w:val="00374F5E"/>
    <w:rsid w:val="00377E3E"/>
    <w:rsid w:val="00377E98"/>
    <w:rsid w:val="00382CD1"/>
    <w:rsid w:val="00386C96"/>
    <w:rsid w:val="0038719C"/>
    <w:rsid w:val="003919D9"/>
    <w:rsid w:val="00392178"/>
    <w:rsid w:val="003A779E"/>
    <w:rsid w:val="003C0C0C"/>
    <w:rsid w:val="003C1057"/>
    <w:rsid w:val="003D0F4D"/>
    <w:rsid w:val="003D5B0D"/>
    <w:rsid w:val="003E0499"/>
    <w:rsid w:val="003E4F80"/>
    <w:rsid w:val="003E527C"/>
    <w:rsid w:val="003E6439"/>
    <w:rsid w:val="003F3941"/>
    <w:rsid w:val="003F575A"/>
    <w:rsid w:val="00406575"/>
    <w:rsid w:val="00407CDB"/>
    <w:rsid w:val="00414657"/>
    <w:rsid w:val="00414C74"/>
    <w:rsid w:val="00423C36"/>
    <w:rsid w:val="00425F33"/>
    <w:rsid w:val="0042722E"/>
    <w:rsid w:val="004304B1"/>
    <w:rsid w:val="004406C0"/>
    <w:rsid w:val="0044528D"/>
    <w:rsid w:val="00466E39"/>
    <w:rsid w:val="004A0EC9"/>
    <w:rsid w:val="004A1847"/>
    <w:rsid w:val="004A305D"/>
    <w:rsid w:val="004C3EAC"/>
    <w:rsid w:val="004C5D63"/>
    <w:rsid w:val="004C6EFC"/>
    <w:rsid w:val="004D320B"/>
    <w:rsid w:val="004D4070"/>
    <w:rsid w:val="004D5BE4"/>
    <w:rsid w:val="004E30DA"/>
    <w:rsid w:val="004F21C4"/>
    <w:rsid w:val="004F685F"/>
    <w:rsid w:val="00501D2C"/>
    <w:rsid w:val="005522C2"/>
    <w:rsid w:val="00553F57"/>
    <w:rsid w:val="005566E8"/>
    <w:rsid w:val="00572A51"/>
    <w:rsid w:val="00574867"/>
    <w:rsid w:val="00575493"/>
    <w:rsid w:val="00575A0E"/>
    <w:rsid w:val="00591460"/>
    <w:rsid w:val="005A65E0"/>
    <w:rsid w:val="005B34B4"/>
    <w:rsid w:val="005C3777"/>
    <w:rsid w:val="005C5741"/>
    <w:rsid w:val="005C5CDC"/>
    <w:rsid w:val="005D476C"/>
    <w:rsid w:val="005E3919"/>
    <w:rsid w:val="005E5CE3"/>
    <w:rsid w:val="005F7757"/>
    <w:rsid w:val="0060751B"/>
    <w:rsid w:val="006200BF"/>
    <w:rsid w:val="006219F8"/>
    <w:rsid w:val="00627025"/>
    <w:rsid w:val="006302F7"/>
    <w:rsid w:val="00646B9F"/>
    <w:rsid w:val="00652AE3"/>
    <w:rsid w:val="00662495"/>
    <w:rsid w:val="006658C6"/>
    <w:rsid w:val="00665D70"/>
    <w:rsid w:val="006900D9"/>
    <w:rsid w:val="006919AF"/>
    <w:rsid w:val="006E072F"/>
    <w:rsid w:val="006E57E3"/>
    <w:rsid w:val="007047D0"/>
    <w:rsid w:val="00706C16"/>
    <w:rsid w:val="00711B0D"/>
    <w:rsid w:val="007340C3"/>
    <w:rsid w:val="00737BE3"/>
    <w:rsid w:val="0074489F"/>
    <w:rsid w:val="0075235A"/>
    <w:rsid w:val="00754FDB"/>
    <w:rsid w:val="00756841"/>
    <w:rsid w:val="00757719"/>
    <w:rsid w:val="00760AB1"/>
    <w:rsid w:val="007649AB"/>
    <w:rsid w:val="00766E40"/>
    <w:rsid w:val="00771D0C"/>
    <w:rsid w:val="00774309"/>
    <w:rsid w:val="007833AC"/>
    <w:rsid w:val="007944F9"/>
    <w:rsid w:val="007A25D6"/>
    <w:rsid w:val="007B197B"/>
    <w:rsid w:val="007B268C"/>
    <w:rsid w:val="007B7171"/>
    <w:rsid w:val="007C0C0F"/>
    <w:rsid w:val="007C3DC2"/>
    <w:rsid w:val="007C4504"/>
    <w:rsid w:val="007D366B"/>
    <w:rsid w:val="007D728C"/>
    <w:rsid w:val="007E5497"/>
    <w:rsid w:val="00806F5F"/>
    <w:rsid w:val="0080711D"/>
    <w:rsid w:val="0080748C"/>
    <w:rsid w:val="0081321C"/>
    <w:rsid w:val="00815194"/>
    <w:rsid w:val="00820278"/>
    <w:rsid w:val="008258C9"/>
    <w:rsid w:val="00834265"/>
    <w:rsid w:val="008441CE"/>
    <w:rsid w:val="00844AE9"/>
    <w:rsid w:val="00863607"/>
    <w:rsid w:val="00867F95"/>
    <w:rsid w:val="008804BB"/>
    <w:rsid w:val="008843B6"/>
    <w:rsid w:val="00891928"/>
    <w:rsid w:val="00894B27"/>
    <w:rsid w:val="008A446D"/>
    <w:rsid w:val="008B25F1"/>
    <w:rsid w:val="008C0A54"/>
    <w:rsid w:val="008D180B"/>
    <w:rsid w:val="008E0497"/>
    <w:rsid w:val="008E6004"/>
    <w:rsid w:val="008E7B73"/>
    <w:rsid w:val="008F0EA7"/>
    <w:rsid w:val="008F70E9"/>
    <w:rsid w:val="008F7C11"/>
    <w:rsid w:val="0090165E"/>
    <w:rsid w:val="00901F37"/>
    <w:rsid w:val="00906D42"/>
    <w:rsid w:val="00912A33"/>
    <w:rsid w:val="00914EA8"/>
    <w:rsid w:val="00923EEF"/>
    <w:rsid w:val="00934044"/>
    <w:rsid w:val="009347C6"/>
    <w:rsid w:val="00937CE7"/>
    <w:rsid w:val="009419F9"/>
    <w:rsid w:val="009432AC"/>
    <w:rsid w:val="009434E1"/>
    <w:rsid w:val="0095685E"/>
    <w:rsid w:val="00961B09"/>
    <w:rsid w:val="0096296A"/>
    <w:rsid w:val="00963244"/>
    <w:rsid w:val="00965334"/>
    <w:rsid w:val="0097093E"/>
    <w:rsid w:val="009745AE"/>
    <w:rsid w:val="00984949"/>
    <w:rsid w:val="00986829"/>
    <w:rsid w:val="00986F73"/>
    <w:rsid w:val="00996B64"/>
    <w:rsid w:val="009A0DFA"/>
    <w:rsid w:val="009A1C6F"/>
    <w:rsid w:val="009B2D26"/>
    <w:rsid w:val="009B43A3"/>
    <w:rsid w:val="009C71FA"/>
    <w:rsid w:val="009C72E7"/>
    <w:rsid w:val="009C7F7E"/>
    <w:rsid w:val="009D3058"/>
    <w:rsid w:val="009D7587"/>
    <w:rsid w:val="009D79E3"/>
    <w:rsid w:val="009F0FFE"/>
    <w:rsid w:val="009F3A13"/>
    <w:rsid w:val="00A06C92"/>
    <w:rsid w:val="00A117BD"/>
    <w:rsid w:val="00A122D3"/>
    <w:rsid w:val="00A14468"/>
    <w:rsid w:val="00A14630"/>
    <w:rsid w:val="00A158F9"/>
    <w:rsid w:val="00A17F13"/>
    <w:rsid w:val="00A20739"/>
    <w:rsid w:val="00A23AF9"/>
    <w:rsid w:val="00A30B16"/>
    <w:rsid w:val="00A33C78"/>
    <w:rsid w:val="00A36F26"/>
    <w:rsid w:val="00A378EF"/>
    <w:rsid w:val="00A56439"/>
    <w:rsid w:val="00A64F2D"/>
    <w:rsid w:val="00A83264"/>
    <w:rsid w:val="00A85223"/>
    <w:rsid w:val="00A85D2A"/>
    <w:rsid w:val="00A870CF"/>
    <w:rsid w:val="00A9291E"/>
    <w:rsid w:val="00A93FE6"/>
    <w:rsid w:val="00AA789A"/>
    <w:rsid w:val="00AB0ADB"/>
    <w:rsid w:val="00AD1FA3"/>
    <w:rsid w:val="00AE5FDD"/>
    <w:rsid w:val="00AE61DF"/>
    <w:rsid w:val="00B00C0E"/>
    <w:rsid w:val="00B01B1A"/>
    <w:rsid w:val="00B0381D"/>
    <w:rsid w:val="00B2021A"/>
    <w:rsid w:val="00B26CA3"/>
    <w:rsid w:val="00B4141C"/>
    <w:rsid w:val="00B44A47"/>
    <w:rsid w:val="00B461FB"/>
    <w:rsid w:val="00B47C90"/>
    <w:rsid w:val="00B66367"/>
    <w:rsid w:val="00B66C36"/>
    <w:rsid w:val="00B72CD3"/>
    <w:rsid w:val="00B72EBA"/>
    <w:rsid w:val="00B72FFF"/>
    <w:rsid w:val="00B92D51"/>
    <w:rsid w:val="00BA3CE8"/>
    <w:rsid w:val="00BB0FC7"/>
    <w:rsid w:val="00BC32E8"/>
    <w:rsid w:val="00BC3D36"/>
    <w:rsid w:val="00BD10E3"/>
    <w:rsid w:val="00BD54A6"/>
    <w:rsid w:val="00BD7F72"/>
    <w:rsid w:val="00BF1B08"/>
    <w:rsid w:val="00BF569C"/>
    <w:rsid w:val="00BF7425"/>
    <w:rsid w:val="00C0090C"/>
    <w:rsid w:val="00C02DFE"/>
    <w:rsid w:val="00C04FB3"/>
    <w:rsid w:val="00C11D8B"/>
    <w:rsid w:val="00C15139"/>
    <w:rsid w:val="00C15A5F"/>
    <w:rsid w:val="00C330EB"/>
    <w:rsid w:val="00C50D69"/>
    <w:rsid w:val="00C5365C"/>
    <w:rsid w:val="00C6646A"/>
    <w:rsid w:val="00C754BE"/>
    <w:rsid w:val="00C76B1C"/>
    <w:rsid w:val="00C85381"/>
    <w:rsid w:val="00C86DC4"/>
    <w:rsid w:val="00C925AC"/>
    <w:rsid w:val="00C96E65"/>
    <w:rsid w:val="00CB3B40"/>
    <w:rsid w:val="00CB5895"/>
    <w:rsid w:val="00CB6357"/>
    <w:rsid w:val="00CC1B26"/>
    <w:rsid w:val="00CD4335"/>
    <w:rsid w:val="00CE00B8"/>
    <w:rsid w:val="00CF221A"/>
    <w:rsid w:val="00CF52B2"/>
    <w:rsid w:val="00D00410"/>
    <w:rsid w:val="00D361FD"/>
    <w:rsid w:val="00D423A2"/>
    <w:rsid w:val="00D44E26"/>
    <w:rsid w:val="00D520D8"/>
    <w:rsid w:val="00D54921"/>
    <w:rsid w:val="00D57C85"/>
    <w:rsid w:val="00D63AC2"/>
    <w:rsid w:val="00D67641"/>
    <w:rsid w:val="00D7383B"/>
    <w:rsid w:val="00D7788A"/>
    <w:rsid w:val="00D842FC"/>
    <w:rsid w:val="00DA231B"/>
    <w:rsid w:val="00DB6238"/>
    <w:rsid w:val="00DC1751"/>
    <w:rsid w:val="00DC39FC"/>
    <w:rsid w:val="00DC49F1"/>
    <w:rsid w:val="00DC61E9"/>
    <w:rsid w:val="00DF0758"/>
    <w:rsid w:val="00DF099B"/>
    <w:rsid w:val="00DF4BE7"/>
    <w:rsid w:val="00DF5254"/>
    <w:rsid w:val="00E01404"/>
    <w:rsid w:val="00E02524"/>
    <w:rsid w:val="00E02BC8"/>
    <w:rsid w:val="00E0366E"/>
    <w:rsid w:val="00E16408"/>
    <w:rsid w:val="00E20894"/>
    <w:rsid w:val="00E245AB"/>
    <w:rsid w:val="00E2764C"/>
    <w:rsid w:val="00E27F2E"/>
    <w:rsid w:val="00E36CCB"/>
    <w:rsid w:val="00E37AC8"/>
    <w:rsid w:val="00E410A6"/>
    <w:rsid w:val="00E44EF6"/>
    <w:rsid w:val="00E50745"/>
    <w:rsid w:val="00E50AFE"/>
    <w:rsid w:val="00E56B83"/>
    <w:rsid w:val="00E60FAD"/>
    <w:rsid w:val="00E75C92"/>
    <w:rsid w:val="00E771DC"/>
    <w:rsid w:val="00E8151B"/>
    <w:rsid w:val="00E846E7"/>
    <w:rsid w:val="00E8772A"/>
    <w:rsid w:val="00E90F6B"/>
    <w:rsid w:val="00E91532"/>
    <w:rsid w:val="00E92C27"/>
    <w:rsid w:val="00EA0E3D"/>
    <w:rsid w:val="00EB2543"/>
    <w:rsid w:val="00EB7D0F"/>
    <w:rsid w:val="00EC044C"/>
    <w:rsid w:val="00EC38A7"/>
    <w:rsid w:val="00EC70DD"/>
    <w:rsid w:val="00EE1AA8"/>
    <w:rsid w:val="00EE4854"/>
    <w:rsid w:val="00EF35EF"/>
    <w:rsid w:val="00F23FEA"/>
    <w:rsid w:val="00F31EDC"/>
    <w:rsid w:val="00F3739F"/>
    <w:rsid w:val="00F462B3"/>
    <w:rsid w:val="00F47DB8"/>
    <w:rsid w:val="00F54D0D"/>
    <w:rsid w:val="00F5664F"/>
    <w:rsid w:val="00F666C4"/>
    <w:rsid w:val="00F76AFC"/>
    <w:rsid w:val="00FA26FC"/>
    <w:rsid w:val="00FA357D"/>
    <w:rsid w:val="00FA47C0"/>
    <w:rsid w:val="00FB5DD1"/>
    <w:rsid w:val="00FC2B5D"/>
    <w:rsid w:val="00FD1D80"/>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4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22C2"/>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2C2"/>
    <w:rPr>
      <w:rFonts w:ascii="Geomanist Light" w:hAnsi="Geomanist Light"/>
      <w:lang w:val="es-ES"/>
    </w:rPr>
  </w:style>
  <w:style w:type="paragraph" w:styleId="Textoindependiente">
    <w:name w:val="Body Text"/>
    <w:basedOn w:val="Normal"/>
    <w:link w:val="TextoindependienteCar"/>
    <w:uiPriority w:val="1"/>
    <w:qFormat/>
    <w:rsid w:val="005522C2"/>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522C2"/>
    <w:rPr>
      <w:rFonts w:ascii="Verdana" w:eastAsia="Verdana" w:hAnsi="Verdana" w:cs="Verdana"/>
      <w:lang w:val="es-ES"/>
    </w:rPr>
  </w:style>
  <w:style w:type="character" w:customStyle="1" w:styleId="s15">
    <w:name w:val="s15"/>
    <w:basedOn w:val="Fuentedeprrafopredeter"/>
    <w:rsid w:val="00575A0E"/>
  </w:style>
  <w:style w:type="character" w:customStyle="1" w:styleId="apple-converted-space">
    <w:name w:val="apple-converted-space"/>
    <w:basedOn w:val="Fuentedeprrafopredeter"/>
    <w:rsid w:val="00575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dferreira@mincit.gov.co" TargetMode="External"/><Relationship Id="rId17"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466-de-2024/%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6000C6-B698-9D40-800B-399D82F7C1E2}">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C42951F-FFA5-43E4-BF72-2D8FE4238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28</Pages>
  <Words>10086</Words>
  <Characters>55475</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2026-10-27T02:54:00Z</dcterms:created>
  <dcterms:modified xsi:type="dcterms:W3CDTF">2026-10-27T14:24:00Z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