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65BE6" w14:textId="77777777" w:rsidR="00902823" w:rsidRPr="00AD7FCC" w:rsidRDefault="00902823" w:rsidP="00902823">
      <w:pPr>
        <w:spacing w:after="0" w:line="240" w:lineRule="auto"/>
        <w:jc w:val="both"/>
        <w:rPr>
          <w:rFonts w:ascii="Verdana" w:eastAsia="Calibri" w:hAnsi="Verdana" w:cs="Arial"/>
          <w:b/>
        </w:rPr>
      </w:pPr>
      <w:r w:rsidRPr="00AD7FCC">
        <w:rPr>
          <w:rFonts w:ascii="Verdana" w:eastAsia="Calibri" w:hAnsi="Verdana" w:cs="Arial"/>
          <w:b/>
        </w:rPr>
        <w:t xml:space="preserve">FACTORES DE DESEMPATE – Características – Límites </w:t>
      </w:r>
    </w:p>
    <w:p w14:paraId="0A608EC7" w14:textId="77777777" w:rsidR="00902823" w:rsidRDefault="00902823" w:rsidP="00902823">
      <w:pPr>
        <w:spacing w:after="0" w:line="240" w:lineRule="auto"/>
        <w:jc w:val="both"/>
        <w:rPr>
          <w:rFonts w:ascii="Verdana" w:eastAsia="Calibri" w:hAnsi="Verdana" w:cs="Arial"/>
          <w:lang w:val="es-ES"/>
        </w:rPr>
      </w:pPr>
    </w:p>
    <w:p w14:paraId="35522476" w14:textId="77777777" w:rsidR="00902823" w:rsidRPr="002D67A4" w:rsidRDefault="00902823" w:rsidP="00902823">
      <w:pPr>
        <w:spacing w:after="0" w:line="240" w:lineRule="auto"/>
        <w:jc w:val="both"/>
        <w:rPr>
          <w:rFonts w:ascii="Verdana" w:eastAsia="Calibri" w:hAnsi="Verdana" w:cs="Arial"/>
          <w:sz w:val="20"/>
          <w:szCs w:val="20"/>
          <w:lang w:val="es-ES"/>
        </w:rPr>
      </w:pPr>
      <w:r w:rsidRPr="002D67A4">
        <w:rPr>
          <w:rFonts w:ascii="Verdana" w:eastAsia="Calibri" w:hAnsi="Verdana" w:cs="Arial"/>
          <w:sz w:val="20"/>
          <w:szCs w:val="20"/>
          <w:lang w:val="es-ES"/>
        </w:rPr>
        <w:t xml:space="preserve">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14:paraId="2B4D973D" w14:textId="77777777" w:rsidR="00902823" w:rsidRPr="002D67A4" w:rsidRDefault="00902823" w:rsidP="00902823">
      <w:pPr>
        <w:spacing w:after="0" w:line="240" w:lineRule="auto"/>
        <w:jc w:val="both"/>
        <w:rPr>
          <w:rFonts w:ascii="Verdana" w:eastAsia="Calibri" w:hAnsi="Verdana" w:cs="Arial"/>
          <w:sz w:val="20"/>
          <w:szCs w:val="20"/>
          <w:lang w:val="es-ES"/>
        </w:rPr>
      </w:pPr>
    </w:p>
    <w:p w14:paraId="5AAFC6DD" w14:textId="77777777" w:rsidR="00902823" w:rsidRPr="002D67A4" w:rsidRDefault="00902823" w:rsidP="00902823">
      <w:pPr>
        <w:spacing w:after="0" w:line="240" w:lineRule="auto"/>
        <w:jc w:val="both"/>
        <w:rPr>
          <w:rFonts w:ascii="Verdana" w:eastAsia="Calibri" w:hAnsi="Verdana" w:cs="Arial"/>
          <w:sz w:val="20"/>
          <w:szCs w:val="20"/>
          <w:lang w:val="es-ES_tradnl"/>
        </w:rPr>
      </w:pPr>
      <w:r w:rsidRPr="002D67A4">
        <w:rPr>
          <w:rFonts w:ascii="Verdana" w:eastAsia="Calibri" w:hAnsi="Verdana" w:cs="Arial"/>
          <w:sz w:val="20"/>
          <w:szCs w:val="20"/>
          <w:lang w:val="es-ES_tradnl"/>
        </w:rPr>
        <w:t xml:space="preserve">[…] La jurisprudencia comparte la idea de que los criterios de desempate deben estar establecidos de antemano y constituyen un límite a la discrecionalidad administrativa en los procedimientos de selección. </w:t>
      </w:r>
    </w:p>
    <w:p w14:paraId="246D05F9" w14:textId="77777777" w:rsidR="00902823" w:rsidRPr="002D67A4" w:rsidRDefault="00902823" w:rsidP="00902823">
      <w:pPr>
        <w:spacing w:after="0" w:line="240" w:lineRule="auto"/>
        <w:jc w:val="both"/>
        <w:rPr>
          <w:rFonts w:ascii="Verdana" w:eastAsia="Calibri" w:hAnsi="Verdana" w:cs="Arial"/>
          <w:sz w:val="20"/>
          <w:szCs w:val="20"/>
          <w:lang w:val="es-ES_tradnl"/>
        </w:rPr>
      </w:pPr>
    </w:p>
    <w:p w14:paraId="058AD456" w14:textId="77777777" w:rsidR="00902823" w:rsidRPr="002D67A4" w:rsidRDefault="00902823" w:rsidP="00902823">
      <w:pPr>
        <w:spacing w:after="0" w:line="240" w:lineRule="auto"/>
        <w:jc w:val="both"/>
        <w:rPr>
          <w:rFonts w:ascii="Verdana" w:eastAsia="Calibri" w:hAnsi="Verdana" w:cs="Arial"/>
          <w:sz w:val="20"/>
          <w:szCs w:val="20"/>
          <w:lang w:val="es-ES"/>
        </w:rPr>
      </w:pPr>
      <w:r w:rsidRPr="002D67A4">
        <w:rPr>
          <w:rFonts w:ascii="Verdana" w:eastAsia="Calibri" w:hAnsi="Verdana" w:cs="Arial"/>
          <w:sz w:val="20"/>
          <w:szCs w:val="20"/>
          <w:lang w:val="es-ES"/>
        </w:rPr>
        <w:t>En tal sentido, la Corte Constitucional explica que cuando la ley establece factores de desempate obligatorios, las entidades estatales no pueden </w:t>
      </w:r>
      <w:proofErr w:type="spellStart"/>
      <w:r w:rsidRPr="002D67A4">
        <w:rPr>
          <w:rFonts w:ascii="Verdana" w:eastAsia="Calibri" w:hAnsi="Verdana" w:cs="Arial"/>
          <w:sz w:val="20"/>
          <w:szCs w:val="20"/>
          <w:lang w:val="es-ES"/>
        </w:rPr>
        <w:t>inaplicarlos</w:t>
      </w:r>
      <w:proofErr w:type="spellEnd"/>
      <w:r w:rsidRPr="002D67A4">
        <w:rPr>
          <w:rFonts w:ascii="Verdana" w:eastAsia="Calibri" w:hAnsi="Verdana" w:cs="Arial"/>
          <w:sz w:val="20"/>
          <w:szCs w:val="20"/>
          <w:lang w:val="es-ES"/>
        </w:rPr>
        <w:t xml:space="preserve">, porque ello podría vulnerar el principio de igualdad, especialmente, cuando algunos de estos criterios surgen como acciones afirmativas para ciertos sectores de la población. </w:t>
      </w:r>
    </w:p>
    <w:p w14:paraId="3A00A788" w14:textId="77777777" w:rsidR="00902823" w:rsidRPr="002D67A4" w:rsidRDefault="00902823" w:rsidP="00902823">
      <w:pPr>
        <w:spacing w:after="0" w:line="240" w:lineRule="auto"/>
        <w:jc w:val="both"/>
        <w:rPr>
          <w:rFonts w:ascii="Verdana" w:eastAsia="Calibri" w:hAnsi="Verdana" w:cs="Arial"/>
          <w:sz w:val="20"/>
          <w:szCs w:val="20"/>
          <w:lang w:val="es-ES"/>
        </w:rPr>
      </w:pPr>
    </w:p>
    <w:p w14:paraId="4627E067" w14:textId="77777777" w:rsidR="00902823" w:rsidRPr="002D67A4" w:rsidRDefault="00902823" w:rsidP="00902823">
      <w:pPr>
        <w:spacing w:after="0" w:line="240" w:lineRule="auto"/>
        <w:jc w:val="both"/>
        <w:rPr>
          <w:rFonts w:ascii="Verdana" w:hAnsi="Verdana" w:cs="Arial"/>
          <w:sz w:val="20"/>
          <w:szCs w:val="20"/>
          <w:lang w:val="es-ES" w:eastAsia="es-CO"/>
        </w:rPr>
      </w:pPr>
      <w:r w:rsidRPr="002D67A4">
        <w:rPr>
          <w:rFonts w:ascii="Verdana" w:eastAsia="Calibri" w:hAnsi="Verdana" w:cs="Arial"/>
          <w:sz w:val="20"/>
          <w:szCs w:val="20"/>
          <w:lang w:val="es-ES_tradnl"/>
        </w:rPr>
        <w:t>Ahora bien, en cumplimiento de los principios de reciprocidad y de </w:t>
      </w:r>
      <w:r w:rsidRPr="002D67A4">
        <w:rPr>
          <w:rFonts w:ascii="Verdana" w:eastAsia="Calibri" w:hAnsi="Verdana" w:cs="Arial"/>
          <w:i/>
          <w:iCs/>
          <w:sz w:val="20"/>
          <w:szCs w:val="20"/>
          <w:lang w:val="es-ES_tradnl"/>
        </w:rPr>
        <w:t>pacta sunt </w:t>
      </w:r>
      <w:proofErr w:type="spellStart"/>
      <w:r w:rsidRPr="002D67A4">
        <w:rPr>
          <w:rFonts w:ascii="Verdana" w:eastAsia="Calibri" w:hAnsi="Verdana" w:cs="Arial"/>
          <w:i/>
          <w:iCs/>
          <w:sz w:val="20"/>
          <w:szCs w:val="20"/>
          <w:lang w:val="es-ES_tradnl"/>
        </w:rPr>
        <w:t>servanda</w:t>
      </w:r>
      <w:proofErr w:type="spellEnd"/>
      <w:r w:rsidRPr="002D67A4">
        <w:rPr>
          <w:rFonts w:ascii="Verdana" w:eastAsia="Calibri" w:hAnsi="Verdana" w:cs="Arial"/>
          <w:sz w:val="20"/>
          <w:szCs w:val="20"/>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2D67A4">
        <w:rPr>
          <w:rFonts w:ascii="Verdana" w:hAnsi="Verdana" w:cs="Arial"/>
          <w:sz w:val="20"/>
          <w:szCs w:val="20"/>
          <w:lang w:val="es-ES" w:eastAsia="es-CO"/>
        </w:rPr>
        <w:t>”.</w:t>
      </w:r>
    </w:p>
    <w:p w14:paraId="02D89AA6" w14:textId="77777777" w:rsidR="00902823" w:rsidRDefault="00902823" w:rsidP="00902823">
      <w:pPr>
        <w:jc w:val="both"/>
        <w:rPr>
          <w:rFonts w:ascii="Verdana" w:eastAsia="Calibri" w:hAnsi="Verdana" w:cs="Arial"/>
          <w:bCs/>
        </w:rPr>
      </w:pPr>
    </w:p>
    <w:p w14:paraId="4AB193DE" w14:textId="77777777" w:rsidR="00902823" w:rsidRPr="00033219" w:rsidRDefault="00902823" w:rsidP="00902823">
      <w:pPr>
        <w:spacing w:after="0" w:line="240" w:lineRule="auto"/>
        <w:jc w:val="both"/>
        <w:rPr>
          <w:rFonts w:ascii="Verdana" w:eastAsia="Calibri" w:hAnsi="Verdana" w:cs="Arial"/>
          <w:b/>
        </w:rPr>
      </w:pPr>
      <w:r w:rsidRPr="00033219">
        <w:rPr>
          <w:rFonts w:ascii="Verdana" w:eastAsia="Calibri" w:hAnsi="Verdana" w:cs="Arial"/>
          <w:b/>
        </w:rPr>
        <w:t>LEY DE EMPRENDIMIENTO – Ley 2069 de 2020 – Reglamentación – Decreto 1860 de 2021 – Vigencia</w:t>
      </w:r>
    </w:p>
    <w:p w14:paraId="19828305" w14:textId="77777777" w:rsidR="00902823" w:rsidRDefault="00902823" w:rsidP="00902823">
      <w:pPr>
        <w:spacing w:after="120" w:line="283" w:lineRule="auto"/>
        <w:jc w:val="both"/>
        <w:rPr>
          <w:rFonts w:ascii="Verdana" w:eastAsia="Calibri" w:hAnsi="Verdana" w:cs="Arial"/>
          <w:lang w:val="es-ES_tradnl"/>
        </w:rPr>
      </w:pPr>
    </w:p>
    <w:p w14:paraId="3EE9195A" w14:textId="77777777" w:rsidR="00902823" w:rsidRPr="001D0C4F" w:rsidRDefault="00902823" w:rsidP="00902823">
      <w:pPr>
        <w:spacing w:after="0" w:line="240" w:lineRule="auto"/>
        <w:jc w:val="both"/>
        <w:rPr>
          <w:rFonts w:ascii="Verdana" w:eastAsia="Calibri" w:hAnsi="Verdana" w:cs="Arial"/>
          <w:sz w:val="20"/>
          <w:szCs w:val="20"/>
          <w:lang w:val="es-ES_tradnl"/>
        </w:rPr>
      </w:pPr>
      <w:r w:rsidRPr="001D0C4F">
        <w:rPr>
          <w:rFonts w:ascii="Verdana" w:eastAsia="Calibri" w:hAnsi="Verdana" w:cs="Arial"/>
          <w:sz w:val="20"/>
          <w:szCs w:val="20"/>
          <w:lang w:val="es-ES_tradnl"/>
        </w:rPr>
        <w:t xml:space="preserve">[…] 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w:t>
      </w:r>
    </w:p>
    <w:p w14:paraId="0F7E76ED" w14:textId="77777777" w:rsidR="00902823" w:rsidRPr="001D0C4F" w:rsidRDefault="00902823" w:rsidP="00902823">
      <w:pPr>
        <w:spacing w:after="0" w:line="240" w:lineRule="auto"/>
        <w:jc w:val="both"/>
        <w:rPr>
          <w:rFonts w:ascii="Verdana" w:eastAsia="Calibri" w:hAnsi="Verdana" w:cs="Arial"/>
          <w:sz w:val="20"/>
          <w:szCs w:val="20"/>
          <w:lang w:val="es-ES_tradnl"/>
        </w:rPr>
      </w:pPr>
      <w:r w:rsidRPr="001D0C4F">
        <w:rPr>
          <w:rFonts w:ascii="Verdana" w:eastAsia="Calibri" w:hAnsi="Verdana" w:cs="Arial"/>
          <w:sz w:val="20"/>
          <w:szCs w:val="20"/>
          <w:lang w:val="es-ES"/>
        </w:rPr>
        <w:t>Parte de la Ley 2069 contiene normas que modifican algunos aspectos de la contratación estatal para promover el emprendimiento. Concretamente, aquellas se encuentran en el Capítulo III –artículos 30 al 36– entre ellas, un nuevo régimen de desempate, contenido en el artículo 35.</w:t>
      </w:r>
    </w:p>
    <w:p w14:paraId="01A524CA" w14:textId="77777777" w:rsidR="00902823" w:rsidRPr="001D0C4F" w:rsidRDefault="00902823" w:rsidP="00902823">
      <w:pPr>
        <w:spacing w:after="0" w:line="240" w:lineRule="auto"/>
        <w:jc w:val="both"/>
        <w:rPr>
          <w:rFonts w:ascii="Verdana" w:eastAsia="Calibri" w:hAnsi="Verdana" w:cs="Arial"/>
          <w:sz w:val="20"/>
          <w:szCs w:val="20"/>
          <w:lang w:val="es-ES_tradnl"/>
        </w:rPr>
      </w:pPr>
      <w:r w:rsidRPr="001D0C4F">
        <w:rPr>
          <w:rFonts w:ascii="Verdana" w:eastAsia="Calibri" w:hAnsi="Verdana" w:cs="Arial"/>
          <w:sz w:val="20"/>
          <w:szCs w:val="20"/>
          <w:lang w:val="es-ES_tradnl"/>
        </w:rPr>
        <w:t>Posteriormente, el Gobierno nacional expidió el Decreto 1860 de 2021,</w:t>
      </w:r>
      <w:r w:rsidRPr="001D0C4F">
        <w:rPr>
          <w:rFonts w:ascii="Verdana" w:hAnsi="Verdana"/>
          <w:sz w:val="20"/>
          <w:szCs w:val="20"/>
        </w:rPr>
        <w:t xml:space="preserve"> </w:t>
      </w:r>
      <w:r w:rsidRPr="001D0C4F">
        <w:rPr>
          <w:rFonts w:ascii="Verdana" w:eastAsia="Calibri" w:hAnsi="Verdana" w:cs="Arial"/>
          <w:sz w:val="20"/>
          <w:szCs w:val="20"/>
          <w:lang w:val="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w:t>
      </w:r>
    </w:p>
    <w:p w14:paraId="3780FFD2" w14:textId="77777777" w:rsidR="00902823" w:rsidRPr="001D0C4F" w:rsidRDefault="00902823" w:rsidP="00902823">
      <w:pPr>
        <w:spacing w:after="0" w:line="240" w:lineRule="auto"/>
        <w:jc w:val="both"/>
        <w:rPr>
          <w:rFonts w:ascii="Verdana" w:eastAsia="Calibri" w:hAnsi="Verdana" w:cs="Arial"/>
          <w:sz w:val="20"/>
          <w:szCs w:val="20"/>
          <w:lang w:val="es-ES_tradnl"/>
        </w:rPr>
      </w:pPr>
      <w:r w:rsidRPr="001D0C4F">
        <w:rPr>
          <w:rFonts w:ascii="Verdana" w:eastAsia="Calibri" w:hAnsi="Verdana" w:cs="Arial"/>
          <w:sz w:val="20"/>
          <w:szCs w:val="20"/>
          <w:lang w:val="es-ES_tradnl"/>
        </w:rPr>
        <w:t xml:space="preserve">[…] </w:t>
      </w:r>
    </w:p>
    <w:p w14:paraId="6AE2FC18" w14:textId="77777777" w:rsidR="00902823" w:rsidRDefault="00902823" w:rsidP="00902823">
      <w:pPr>
        <w:spacing w:after="0" w:line="240" w:lineRule="auto"/>
        <w:jc w:val="both"/>
        <w:rPr>
          <w:rFonts w:ascii="Verdana" w:hAnsi="Verdana" w:cs="Arial"/>
          <w:sz w:val="20"/>
          <w:szCs w:val="20"/>
        </w:rPr>
      </w:pPr>
      <w:r w:rsidRPr="001D0C4F">
        <w:rPr>
          <w:rFonts w:ascii="Verdana" w:eastAsia="Calibri" w:hAnsi="Verdana" w:cs="Arial"/>
          <w:sz w:val="20"/>
          <w:szCs w:val="20"/>
          <w:lang w:val="es-ES_tradnl"/>
        </w:rPr>
        <w:lastRenderedPageBreak/>
        <w:t>En lo relativo al artículo 35 de la Ley 2069 de 2020, el artículo 3 del Decreto 1860 de 2021 adiciona el artículo 2.2.1.2.4.2.17. a la Subsección 2 de la Sección 4 del Capítulo 2 del Título 1 de la Parte 2 del Libro 2 del Decreto 1082 de 2015</w:t>
      </w:r>
      <w:r w:rsidRPr="001D0C4F">
        <w:rPr>
          <w:rFonts w:ascii="Verdana" w:hAnsi="Verdana" w:cs="Arial"/>
          <w:sz w:val="20"/>
          <w:szCs w:val="20"/>
          <w:lang w:eastAsia="es-CO"/>
        </w:rPr>
        <w:t xml:space="preserve">, el cual reglamenta los factores de desempate del artículo 35 </w:t>
      </w:r>
      <w:proofErr w:type="spellStart"/>
      <w:r w:rsidRPr="001D0C4F">
        <w:rPr>
          <w:rFonts w:ascii="Verdana" w:hAnsi="Verdana" w:cs="Arial"/>
          <w:i/>
          <w:iCs/>
          <w:sz w:val="20"/>
          <w:szCs w:val="20"/>
          <w:lang w:eastAsia="es-CO"/>
        </w:rPr>
        <w:t>ibídem</w:t>
      </w:r>
      <w:proofErr w:type="spellEnd"/>
      <w:r w:rsidRPr="001D0C4F">
        <w:rPr>
          <w:rFonts w:ascii="Verdana" w:hAnsi="Verdana" w:cs="Arial"/>
          <w:sz w:val="20"/>
          <w:szCs w:val="20"/>
          <w:lang w:eastAsia="es-CO"/>
        </w:rPr>
        <w:t xml:space="preserve">, estableciendo los medios de acreditación de cada uno de los supuestos de hecho en función de los cuales operan. </w:t>
      </w:r>
    </w:p>
    <w:p w14:paraId="20EE2419" w14:textId="77777777" w:rsidR="00902823" w:rsidRDefault="00902823" w:rsidP="00902823">
      <w:pPr>
        <w:spacing w:after="0" w:line="240" w:lineRule="auto"/>
        <w:jc w:val="both"/>
        <w:rPr>
          <w:rFonts w:ascii="Verdana" w:hAnsi="Verdana" w:cs="Arial"/>
          <w:sz w:val="20"/>
          <w:szCs w:val="20"/>
        </w:rPr>
      </w:pPr>
    </w:p>
    <w:p w14:paraId="6AEBA4D4" w14:textId="610AC1FB" w:rsidR="00902823" w:rsidRPr="00A40A7E" w:rsidRDefault="00A40A7E" w:rsidP="00902823">
      <w:pPr>
        <w:spacing w:after="0" w:line="240" w:lineRule="auto"/>
        <w:jc w:val="both"/>
        <w:rPr>
          <w:rFonts w:ascii="Verdana" w:hAnsi="Verdana" w:cs="Arial"/>
          <w:b/>
          <w:bCs/>
          <w:sz w:val="20"/>
          <w:szCs w:val="20"/>
        </w:rPr>
      </w:pPr>
      <w:r w:rsidRPr="00A40A7E">
        <w:rPr>
          <w:rFonts w:ascii="Verdana" w:eastAsia="Calibri" w:hAnsi="Verdana" w:cs="Arial"/>
          <w:b/>
          <w:bCs/>
          <w:lang w:val="es-MX" w:eastAsia="es-ES_tradnl"/>
        </w:rPr>
        <w:t xml:space="preserve">FACTORES DE DESEMPATE – Personas mayores – Alcance – </w:t>
      </w:r>
      <w:proofErr w:type="spellStart"/>
      <w:r w:rsidRPr="00A40A7E">
        <w:rPr>
          <w:rFonts w:ascii="Verdana" w:eastAsia="Calibri" w:hAnsi="Verdana" w:cs="Arial"/>
          <w:b/>
          <w:bCs/>
          <w:lang w:val="es-MX" w:eastAsia="es-ES_tradnl"/>
        </w:rPr>
        <w:t>Prepensionados</w:t>
      </w:r>
      <w:proofErr w:type="spellEnd"/>
      <w:r w:rsidRPr="00A40A7E">
        <w:rPr>
          <w:rFonts w:ascii="Verdana" w:eastAsia="Calibri" w:hAnsi="Verdana" w:cs="Arial"/>
          <w:b/>
          <w:bCs/>
          <w:lang w:val="es-MX" w:eastAsia="es-ES_tradnl"/>
        </w:rPr>
        <w:t xml:space="preserve"> – Exclusión  </w:t>
      </w:r>
      <w:r w:rsidR="00902823" w:rsidRPr="00A40A7E">
        <w:rPr>
          <w:rFonts w:ascii="Verdana" w:eastAsia="Calibri" w:hAnsi="Verdana" w:cs="Arial"/>
          <w:b/>
          <w:bCs/>
        </w:rPr>
        <w:t xml:space="preserve"> </w:t>
      </w:r>
    </w:p>
    <w:p w14:paraId="6D1F395F" w14:textId="77777777" w:rsidR="00902823" w:rsidRDefault="00902823" w:rsidP="00902823">
      <w:pPr>
        <w:tabs>
          <w:tab w:val="left" w:pos="6551"/>
        </w:tabs>
        <w:spacing w:after="0" w:line="276" w:lineRule="auto"/>
        <w:jc w:val="both"/>
        <w:rPr>
          <w:rFonts w:ascii="Verdana" w:eastAsia="Calibri" w:hAnsi="Verdana" w:cs="Arial"/>
          <w:color w:val="000000" w:themeColor="text1"/>
          <w:lang w:val="es-ES"/>
        </w:rPr>
      </w:pPr>
    </w:p>
    <w:p w14:paraId="61E8E221" w14:textId="77777777" w:rsidR="00902823" w:rsidRPr="002B6BAB" w:rsidRDefault="00902823" w:rsidP="00902823">
      <w:pPr>
        <w:tabs>
          <w:tab w:val="left" w:pos="6551"/>
        </w:tabs>
        <w:spacing w:after="0" w:line="240" w:lineRule="auto"/>
        <w:jc w:val="both"/>
        <w:rPr>
          <w:rFonts w:ascii="Verdana" w:eastAsia="Calibri" w:hAnsi="Verdana" w:cs="Arial"/>
          <w:color w:val="000000" w:themeColor="text1"/>
          <w:sz w:val="20"/>
          <w:szCs w:val="20"/>
          <w:lang w:val="es-ES"/>
        </w:rPr>
      </w:pPr>
      <w:r w:rsidRPr="002B6BAB">
        <w:rPr>
          <w:rFonts w:ascii="Verdana" w:eastAsia="Calibri" w:hAnsi="Verdana" w:cs="Arial"/>
          <w:color w:val="000000" w:themeColor="text1"/>
          <w:sz w:val="20"/>
          <w:szCs w:val="20"/>
          <w:lang w:val="es-ES"/>
        </w:rPr>
        <w:t xml:space="preserve">En relación con lo previsto en el numeral </w:t>
      </w:r>
      <w:r w:rsidRPr="002B6BAB">
        <w:rPr>
          <w:rFonts w:ascii="Verdana" w:eastAsia="Calibri" w:hAnsi="Verdana" w:cs="Arial"/>
          <w:i/>
          <w:iCs/>
          <w:color w:val="000000" w:themeColor="text1"/>
          <w:sz w:val="20"/>
          <w:szCs w:val="20"/>
          <w:lang w:val="es-ES"/>
        </w:rPr>
        <w:t>ibidem</w:t>
      </w:r>
      <w:r w:rsidRPr="002B6BAB">
        <w:rPr>
          <w:rFonts w:ascii="Verdana" w:eastAsia="Calibri" w:hAnsi="Verdana" w:cs="Arial"/>
          <w:color w:val="000000" w:themeColor="text1"/>
          <w:sz w:val="20"/>
          <w:szCs w:val="20"/>
          <w:lang w:val="es-ES"/>
        </w:rPr>
        <w:t>, en el concepto 026 de 2021 la Agencia indicó lo siguiente: “Frente a lo previsto en el numeral 4 del artículo 35 de la Ley 2069 de 2020, cuando el legislador alude al concepto de «personas mayores» que no sean beneficiarias de la pensión de vejez, familiar o de sobrevivencia y que hayan cumplido la edad para obtenerla, la interpretación más razonable es entender que la norma se refiere al «adulto mayor». El concepto lo define el artículo 3 de la Ley 1251 de 2008 –«Por la cual se dictan normas tendientes a procurar la protección, promoción y defensa de los derechos de los adultos mayores»– como «</w:t>
      </w:r>
      <w:r w:rsidRPr="002B6BAB">
        <w:rPr>
          <w:rFonts w:ascii="Verdana" w:hAnsi="Verdana"/>
          <w:sz w:val="20"/>
          <w:szCs w:val="20"/>
          <w:lang w:val="es-ES"/>
        </w:rPr>
        <w:t xml:space="preserve">[…] </w:t>
      </w:r>
      <w:r w:rsidRPr="002B6BAB">
        <w:rPr>
          <w:rFonts w:ascii="Verdana" w:eastAsia="Calibri" w:hAnsi="Verdana" w:cs="Arial"/>
          <w:color w:val="000000" w:themeColor="text1"/>
          <w:sz w:val="20"/>
          <w:szCs w:val="20"/>
          <w:lang w:val="es-ES"/>
        </w:rPr>
        <w:t xml:space="preserve">aquella persona que cuenta con sesenta (60) </w:t>
      </w:r>
      <w:proofErr w:type="gramStart"/>
      <w:r w:rsidRPr="002B6BAB">
        <w:rPr>
          <w:rFonts w:ascii="Verdana" w:eastAsia="Calibri" w:hAnsi="Verdana" w:cs="Arial"/>
          <w:color w:val="000000" w:themeColor="text1"/>
          <w:sz w:val="20"/>
          <w:szCs w:val="20"/>
          <w:lang w:val="es-ES"/>
        </w:rPr>
        <w:t>años de edad</w:t>
      </w:r>
      <w:proofErr w:type="gramEnd"/>
      <w:r w:rsidRPr="002B6BAB">
        <w:rPr>
          <w:rFonts w:ascii="Verdana" w:eastAsia="Calibri" w:hAnsi="Verdana" w:cs="Arial"/>
          <w:color w:val="000000" w:themeColor="text1"/>
          <w:sz w:val="20"/>
          <w:szCs w:val="20"/>
          <w:lang w:val="es-ES"/>
        </w:rPr>
        <w:t xml:space="preserve"> o más», lo cual se puede acreditar con el documento de identidad correspondiente”.</w:t>
      </w:r>
    </w:p>
    <w:p w14:paraId="3E37E621" w14:textId="77777777" w:rsidR="00902823" w:rsidRPr="002B6BAB" w:rsidRDefault="00902823" w:rsidP="00902823">
      <w:pPr>
        <w:tabs>
          <w:tab w:val="left" w:pos="6551"/>
        </w:tabs>
        <w:spacing w:after="0" w:line="240" w:lineRule="auto"/>
        <w:jc w:val="both"/>
        <w:rPr>
          <w:rFonts w:ascii="Verdana" w:hAnsi="Verdana" w:cs="Arial"/>
          <w:color w:val="000000" w:themeColor="text1"/>
          <w:sz w:val="20"/>
          <w:szCs w:val="20"/>
          <w:lang w:val="es-ES"/>
        </w:rPr>
      </w:pPr>
    </w:p>
    <w:p w14:paraId="0184472D" w14:textId="77777777" w:rsidR="00902823" w:rsidRDefault="00902823" w:rsidP="00902823">
      <w:pPr>
        <w:tabs>
          <w:tab w:val="left" w:pos="6551"/>
        </w:tabs>
        <w:spacing w:after="0" w:line="240" w:lineRule="auto"/>
        <w:jc w:val="both"/>
        <w:rPr>
          <w:rFonts w:ascii="Verdana" w:hAnsi="Verdana" w:cs="Arial"/>
          <w:color w:val="000000" w:themeColor="text1"/>
          <w:sz w:val="20"/>
          <w:szCs w:val="20"/>
          <w:lang w:val="es-ES_tradnl"/>
        </w:rPr>
      </w:pPr>
      <w:r w:rsidRPr="002B6BAB">
        <w:rPr>
          <w:rFonts w:ascii="Verdana" w:hAnsi="Verdana" w:cs="Arial"/>
          <w:color w:val="000000" w:themeColor="text1"/>
          <w:sz w:val="20"/>
          <w:szCs w:val="20"/>
          <w:lang w:val="es-ES_tradnl"/>
        </w:rPr>
        <w:t xml:space="preserve">Sin embargo, en posteriores conceptos de esta Subdirección se ha sostenido, adicional a lo anterior, </w:t>
      </w:r>
      <w:proofErr w:type="gramStart"/>
      <w:r w:rsidRPr="002B6BAB">
        <w:rPr>
          <w:rFonts w:ascii="Verdana" w:hAnsi="Verdana" w:cs="Arial"/>
          <w:color w:val="000000" w:themeColor="text1"/>
          <w:sz w:val="20"/>
          <w:szCs w:val="20"/>
          <w:lang w:val="es-ES_tradnl"/>
        </w:rPr>
        <w:t>que</w:t>
      </w:r>
      <w:proofErr w:type="gramEnd"/>
      <w:r w:rsidRPr="002B6BAB">
        <w:rPr>
          <w:rFonts w:ascii="Verdana" w:hAnsi="Verdana" w:cs="Arial"/>
          <w:color w:val="000000" w:themeColor="text1"/>
          <w:sz w:val="20"/>
          <w:szCs w:val="20"/>
          <w:lang w:val="es-ES_tradnl"/>
        </w:rPr>
        <w:t xml:space="preserve"> en todo caso, también es posible entender que esta causal aplica a todas las personas que –en el rango de edad correspondiente a cada género– no han alcanzado la pensión, interpretación que está más ajustada al principio de favorabilidad y que, como se expresará, se acogió en la reglamentación realizada por el Decreto 1860 de 2021. Sin embargo, de la literalidad de la norma no se desprende la aplicación de este factor de desempate a los </w:t>
      </w:r>
      <w:proofErr w:type="spellStart"/>
      <w:r w:rsidRPr="002B6BAB">
        <w:rPr>
          <w:rFonts w:ascii="Verdana" w:hAnsi="Verdana" w:cs="Arial"/>
          <w:color w:val="000000" w:themeColor="text1"/>
          <w:sz w:val="20"/>
          <w:szCs w:val="20"/>
          <w:lang w:val="es-ES_tradnl"/>
        </w:rPr>
        <w:t>prepensionados</w:t>
      </w:r>
      <w:proofErr w:type="spellEnd"/>
      <w:r w:rsidRPr="002B6BAB">
        <w:rPr>
          <w:rFonts w:ascii="Verdana" w:hAnsi="Verdana" w:cs="Arial"/>
          <w:color w:val="000000" w:themeColor="text1"/>
          <w:sz w:val="20"/>
          <w:szCs w:val="20"/>
          <w:lang w:val="es-ES_tradnl"/>
        </w:rPr>
        <w:t>, por lo que no son destinatarios de este incentivo.</w:t>
      </w:r>
    </w:p>
    <w:p w14:paraId="4AAB2BE4" w14:textId="77777777" w:rsidR="00902823" w:rsidRDefault="00902823" w:rsidP="00902823">
      <w:pPr>
        <w:tabs>
          <w:tab w:val="left" w:pos="6551"/>
        </w:tabs>
        <w:spacing w:after="0" w:line="240" w:lineRule="auto"/>
        <w:jc w:val="both"/>
        <w:rPr>
          <w:rFonts w:ascii="Verdana" w:hAnsi="Verdana" w:cs="Arial"/>
          <w:color w:val="000000" w:themeColor="text1"/>
          <w:sz w:val="20"/>
          <w:szCs w:val="20"/>
          <w:lang w:val="es-ES"/>
        </w:rPr>
      </w:pPr>
    </w:p>
    <w:p w14:paraId="23BF998E" w14:textId="77777777" w:rsidR="00902823" w:rsidRPr="002B6BAB" w:rsidRDefault="00902823" w:rsidP="00902823">
      <w:pPr>
        <w:tabs>
          <w:tab w:val="left" w:pos="6551"/>
        </w:tabs>
        <w:spacing w:after="0" w:line="240" w:lineRule="auto"/>
        <w:jc w:val="both"/>
        <w:rPr>
          <w:rFonts w:ascii="Verdana" w:hAnsi="Verdana" w:cs="Arial"/>
          <w:color w:val="000000" w:themeColor="text1"/>
          <w:sz w:val="20"/>
          <w:szCs w:val="20"/>
          <w:lang w:val="es-ES"/>
        </w:rPr>
      </w:pPr>
      <w:r w:rsidRPr="002B6BAB">
        <w:rPr>
          <w:rFonts w:ascii="Verdana" w:hAnsi="Verdana" w:cs="Arial"/>
          <w:color w:val="000000" w:themeColor="text1"/>
          <w:sz w:val="20"/>
          <w:szCs w:val="20"/>
          <w:lang w:val="es-ES"/>
        </w:rPr>
        <w:t>Teniendo en cuenta que el numeral no distingue tipos de oferente, dicho criterio de desempate, a juicio de la Agencia, se debía aplicar también a proponentes plurales. En este caso el proponente plural debía acreditar la proporción de personas mayores vinculadas a aquel y que además “no sean beneficiarios de la pensión de vejez, familiar o de sobrevivencia y que hayan cumplido el requisito de edad de pensión establecido en la Ley”, para beneficiarse del factor de desempate y será acreditado en los términos definidos en el numeral 4 del artículo 35 del decreto.</w:t>
      </w:r>
    </w:p>
    <w:p w14:paraId="0872A5B8" w14:textId="77777777" w:rsidR="00902823" w:rsidRPr="002A37DA" w:rsidRDefault="00902823" w:rsidP="00902823">
      <w:pPr>
        <w:jc w:val="both"/>
        <w:rPr>
          <w:rFonts w:ascii="Verdana" w:eastAsia="Calibri" w:hAnsi="Verdana" w:cs="Arial"/>
          <w:b/>
          <w:lang w:val="es-ES_tradnl"/>
        </w:rPr>
      </w:pPr>
    </w:p>
    <w:p w14:paraId="7BF0E1E9" w14:textId="77777777" w:rsidR="00CD1407" w:rsidRPr="00902823" w:rsidRDefault="00CD1407" w:rsidP="007F3EED">
      <w:pPr>
        <w:spacing w:after="0" w:line="240" w:lineRule="auto"/>
        <w:contextualSpacing/>
        <w:rPr>
          <w:rFonts w:ascii="Verdana" w:eastAsia="Times New Roman" w:hAnsi="Verdana" w:cs="Arial"/>
          <w:lang w:val="es-ES_tradnl" w:eastAsia="es-ES"/>
        </w:rPr>
      </w:pPr>
    </w:p>
    <w:p w14:paraId="537F17CD" w14:textId="77777777" w:rsidR="00CD1407" w:rsidRDefault="00CD1407" w:rsidP="007F3EED">
      <w:pPr>
        <w:spacing w:after="0" w:line="240" w:lineRule="auto"/>
        <w:contextualSpacing/>
        <w:rPr>
          <w:rFonts w:ascii="Verdana" w:eastAsia="Times New Roman" w:hAnsi="Verdana" w:cs="Arial"/>
          <w:lang w:val="es-ES" w:eastAsia="es-ES"/>
        </w:rPr>
      </w:pPr>
    </w:p>
    <w:p w14:paraId="7D994504" w14:textId="77777777" w:rsidR="00CD1407" w:rsidRDefault="00CD1407" w:rsidP="007F3EED">
      <w:pPr>
        <w:spacing w:after="0" w:line="240" w:lineRule="auto"/>
        <w:contextualSpacing/>
        <w:rPr>
          <w:rFonts w:ascii="Verdana" w:eastAsia="Times New Roman" w:hAnsi="Verdana" w:cs="Arial"/>
          <w:lang w:val="es-ES" w:eastAsia="es-ES"/>
        </w:rPr>
      </w:pPr>
    </w:p>
    <w:p w14:paraId="328AF292" w14:textId="77777777" w:rsidR="00CD1407" w:rsidRDefault="00CD1407" w:rsidP="007F3EED">
      <w:pPr>
        <w:spacing w:after="0" w:line="240" w:lineRule="auto"/>
        <w:contextualSpacing/>
        <w:rPr>
          <w:rFonts w:ascii="Verdana" w:eastAsia="Times New Roman" w:hAnsi="Verdana" w:cs="Arial"/>
          <w:lang w:val="es-ES" w:eastAsia="es-ES"/>
        </w:rPr>
      </w:pPr>
    </w:p>
    <w:p w14:paraId="709198C0" w14:textId="77777777" w:rsidR="00CD1407" w:rsidRDefault="00CD1407" w:rsidP="007F3EED">
      <w:pPr>
        <w:spacing w:after="0" w:line="240" w:lineRule="auto"/>
        <w:contextualSpacing/>
        <w:rPr>
          <w:rFonts w:ascii="Verdana" w:eastAsia="Times New Roman" w:hAnsi="Verdana" w:cs="Arial"/>
          <w:lang w:val="es-ES" w:eastAsia="es-ES"/>
        </w:rPr>
      </w:pPr>
    </w:p>
    <w:p w14:paraId="74D6835E" w14:textId="77777777" w:rsidR="00CD1407" w:rsidRDefault="00CD1407" w:rsidP="007F3EED">
      <w:pPr>
        <w:spacing w:after="0" w:line="240" w:lineRule="auto"/>
        <w:contextualSpacing/>
        <w:rPr>
          <w:rFonts w:ascii="Verdana" w:eastAsia="Times New Roman" w:hAnsi="Verdana" w:cs="Arial"/>
          <w:lang w:val="es-ES" w:eastAsia="es-ES"/>
        </w:rPr>
      </w:pPr>
    </w:p>
    <w:p w14:paraId="3BD4BCA9" w14:textId="77777777" w:rsidR="00A40A7E" w:rsidRDefault="00A40A7E" w:rsidP="007F3EED">
      <w:pPr>
        <w:spacing w:after="0" w:line="240" w:lineRule="auto"/>
        <w:contextualSpacing/>
        <w:rPr>
          <w:rFonts w:ascii="Verdana" w:eastAsia="Times New Roman" w:hAnsi="Verdana" w:cs="Arial"/>
          <w:lang w:val="es-ES" w:eastAsia="es-ES"/>
        </w:rPr>
      </w:pPr>
    </w:p>
    <w:p w14:paraId="6FA95665" w14:textId="7107304C" w:rsidR="007F3EED" w:rsidRPr="002310F7" w:rsidRDefault="00A40A7E" w:rsidP="007F3EED">
      <w:pPr>
        <w:spacing w:after="0" w:line="240" w:lineRule="auto"/>
        <w:contextualSpacing/>
        <w:rPr>
          <w:rFonts w:ascii="Verdana" w:eastAsia="Calibri" w:hAnsi="Verdana" w:cs="Arial"/>
        </w:rPr>
      </w:pPr>
      <w:r w:rsidRPr="00A40A7E">
        <w:rPr>
          <w:rFonts w:ascii="Verdana" w:eastAsia="Calibri" w:hAnsi="Verdana" w:cs="Arial"/>
        </w:rPr>
        <w:lastRenderedPageBreak/>
        <w:t xml:space="preserve">Bogotá D.C, 30 </w:t>
      </w:r>
      <w:r w:rsidRPr="00A40A7E">
        <w:rPr>
          <w:rFonts w:ascii="Verdana" w:eastAsia="Calibri" w:hAnsi="Verdana" w:cs="Arial"/>
        </w:rPr>
        <w:t>octubre</w:t>
      </w:r>
      <w:r w:rsidRPr="00A40A7E">
        <w:rPr>
          <w:rFonts w:ascii="Verdana" w:eastAsia="Calibri" w:hAnsi="Verdana" w:cs="Arial"/>
        </w:rPr>
        <w:t xml:space="preserve"> 2026</w:t>
      </w:r>
      <w:r>
        <w:rPr>
          <w:rFonts w:ascii="Verdana" w:eastAsia="Calibri" w:hAnsi="Verdana" w:cs="Arial"/>
        </w:rPr>
        <w:t xml:space="preserve"> </w:t>
      </w:r>
    </w:p>
    <w:p w14:paraId="4E64428C" w14:textId="423799FC" w:rsidR="007F3EED" w:rsidRPr="008E4F36" w:rsidRDefault="0083215B" w:rsidP="007F3EED">
      <w:pPr>
        <w:spacing w:after="0" w:line="240" w:lineRule="auto"/>
        <w:jc w:val="both"/>
        <w:rPr>
          <w:rFonts w:ascii="Verdana" w:eastAsia="Calibri" w:hAnsi="Verdana" w:cs="Arial"/>
          <w:lang w:eastAsia="es-ES"/>
        </w:rPr>
      </w:pPr>
      <w:bookmarkStart w:id="0" w:name="_Hlk197462763"/>
      <w:bookmarkStart w:id="1" w:name="_Hlk197529996"/>
      <w:r w:rsidRPr="0083215B">
        <w:rPr>
          <w:rFonts w:ascii="Verdana" w:eastAsia="Calibri" w:hAnsi="Verdana" w:cs="Arial"/>
          <w:lang w:eastAsia="es-ES"/>
        </w:rPr>
        <w:drawing>
          <wp:anchor distT="0" distB="0" distL="114300" distR="114300" simplePos="0" relativeHeight="251658240" behindDoc="1" locked="0" layoutInCell="1" allowOverlap="1" wp14:anchorId="2122B185" wp14:editId="0342862F">
            <wp:simplePos x="0" y="0"/>
            <wp:positionH relativeFrom="column">
              <wp:posOffset>3771671</wp:posOffset>
            </wp:positionH>
            <wp:positionV relativeFrom="paragraph">
              <wp:posOffset>165735</wp:posOffset>
            </wp:positionV>
            <wp:extent cx="2533650" cy="733425"/>
            <wp:effectExtent l="0" t="0" r="0" b="9525"/>
            <wp:wrapTight wrapText="bothSides">
              <wp:wrapPolygon edited="0">
                <wp:start x="0" y="0"/>
                <wp:lineTo x="0" y="21319"/>
                <wp:lineTo x="21438" y="21319"/>
                <wp:lineTo x="21438" y="0"/>
                <wp:lineTo x="0" y="0"/>
              </wp:wrapPolygon>
            </wp:wrapTight>
            <wp:docPr id="9516230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23075" name=""/>
                    <pic:cNvPicPr/>
                  </pic:nvPicPr>
                  <pic:blipFill>
                    <a:blip r:embed="rId7">
                      <a:extLst>
                        <a:ext uri="{28A0092B-C50C-407E-A947-70E740481C1C}">
                          <a14:useLocalDpi xmlns:a14="http://schemas.microsoft.com/office/drawing/2010/main" val="0"/>
                        </a:ext>
                      </a:extLst>
                    </a:blip>
                    <a:stretch>
                      <a:fillRect/>
                    </a:stretch>
                  </pic:blipFill>
                  <pic:spPr>
                    <a:xfrm>
                      <a:off x="0" y="0"/>
                      <a:ext cx="2533650" cy="733425"/>
                    </a:xfrm>
                    <a:prstGeom prst="rect">
                      <a:avLst/>
                    </a:prstGeom>
                  </pic:spPr>
                </pic:pic>
              </a:graphicData>
            </a:graphic>
          </wp:anchor>
        </w:drawing>
      </w:r>
    </w:p>
    <w:p w14:paraId="7759D763" w14:textId="3AFE20A8" w:rsidR="007F3EED" w:rsidRDefault="007F3EED" w:rsidP="007F3EED">
      <w:pPr>
        <w:spacing w:after="0" w:line="240" w:lineRule="auto"/>
        <w:jc w:val="both"/>
        <w:rPr>
          <w:rFonts w:ascii="Verdana" w:eastAsia="Calibri" w:hAnsi="Verdana" w:cs="Arial"/>
          <w:lang w:eastAsia="es-ES"/>
        </w:rPr>
      </w:pPr>
    </w:p>
    <w:p w14:paraId="4CA8EBB2" w14:textId="3F463459" w:rsidR="007F3EED" w:rsidRPr="00D67E2F" w:rsidRDefault="007F3EED" w:rsidP="007F3EED">
      <w:pPr>
        <w:spacing w:after="0" w:line="240" w:lineRule="auto"/>
        <w:jc w:val="both"/>
        <w:rPr>
          <w:rFonts w:ascii="Verdana" w:eastAsia="Calibri" w:hAnsi="Verdana" w:cs="Arial"/>
          <w:lang w:eastAsia="es-ES"/>
        </w:rPr>
      </w:pPr>
      <w:r w:rsidRPr="00D67E2F">
        <w:rPr>
          <w:rFonts w:ascii="Verdana" w:eastAsia="Calibri" w:hAnsi="Verdana" w:cs="Arial"/>
          <w:lang w:eastAsia="es-ES"/>
        </w:rPr>
        <w:t>Señor</w:t>
      </w:r>
    </w:p>
    <w:p w14:paraId="0766F9E3" w14:textId="77777777" w:rsidR="007F3EED" w:rsidRPr="00D67E2F" w:rsidRDefault="007F3EED" w:rsidP="007F3EED">
      <w:pPr>
        <w:spacing w:after="0" w:line="240" w:lineRule="auto"/>
        <w:jc w:val="both"/>
        <w:rPr>
          <w:rFonts w:ascii="Verdana" w:eastAsia="Calibri" w:hAnsi="Verdana" w:cs="Arial"/>
          <w:b/>
          <w:lang w:eastAsia="es-ES_tradnl"/>
        </w:rPr>
      </w:pPr>
      <w:r w:rsidRPr="00D67E2F">
        <w:rPr>
          <w:rFonts w:ascii="Verdana" w:eastAsia="Calibri" w:hAnsi="Verdana" w:cs="Arial"/>
          <w:b/>
          <w:lang w:eastAsia="es-ES_tradnl"/>
        </w:rPr>
        <w:t xml:space="preserve">Nicolas Paternina </w:t>
      </w:r>
      <w:r>
        <w:rPr>
          <w:rFonts w:ascii="Verdana" w:eastAsia="Calibri" w:hAnsi="Verdana" w:cs="Arial"/>
          <w:b/>
          <w:lang w:eastAsia="es-ES_tradnl"/>
        </w:rPr>
        <w:t>Zapateiro</w:t>
      </w:r>
    </w:p>
    <w:p w14:paraId="148D345D" w14:textId="77777777" w:rsidR="007F3EED" w:rsidRPr="00D67E2F" w:rsidRDefault="007F3EED" w:rsidP="007F3EED">
      <w:pPr>
        <w:spacing w:after="0" w:line="240" w:lineRule="auto"/>
        <w:jc w:val="both"/>
        <w:rPr>
          <w:rFonts w:ascii="Verdana" w:eastAsia="Calibri" w:hAnsi="Verdana" w:cs="Arial"/>
          <w:b/>
          <w:highlight w:val="yellow"/>
          <w:lang w:eastAsia="es-ES_tradnl"/>
        </w:rPr>
      </w:pPr>
      <w:hyperlink r:id="rId8" w:history="1">
        <w:r w:rsidRPr="00D67E2F">
          <w:rPr>
            <w:rStyle w:val="Hipervnculo"/>
            <w:rFonts w:ascii="Verdana" w:eastAsia="Calibri" w:hAnsi="Verdana" w:cs="Arial"/>
            <w:b/>
            <w:lang w:eastAsia="es-ES_tradnl"/>
          </w:rPr>
          <w:t>acuerdomarcokapital25@gmail.com</w:t>
        </w:r>
      </w:hyperlink>
      <w:r w:rsidRPr="00D67E2F">
        <w:rPr>
          <w:rFonts w:ascii="Verdana" w:eastAsia="Calibri" w:hAnsi="Verdana" w:cs="Arial"/>
          <w:b/>
          <w:lang w:eastAsia="es-ES_tradnl"/>
        </w:rPr>
        <w:t xml:space="preserve"> </w:t>
      </w:r>
    </w:p>
    <w:p w14:paraId="081E7E6C" w14:textId="77777777" w:rsidR="007F3EED" w:rsidRPr="00D67E2F" w:rsidRDefault="007F3EED" w:rsidP="007F3EED">
      <w:pPr>
        <w:spacing w:after="0" w:line="240" w:lineRule="auto"/>
        <w:jc w:val="both"/>
        <w:rPr>
          <w:rFonts w:ascii="Verdana" w:eastAsia="Calibri" w:hAnsi="Verdana" w:cs="Arial"/>
          <w:bCs/>
          <w:lang w:eastAsia="es-ES_tradnl"/>
        </w:rPr>
      </w:pPr>
      <w:r w:rsidRPr="00D67E2F">
        <w:rPr>
          <w:rFonts w:ascii="Verdana" w:eastAsia="Calibri" w:hAnsi="Verdana" w:cs="Arial"/>
          <w:bCs/>
          <w:lang w:eastAsia="es-ES_tradnl"/>
        </w:rPr>
        <w:t xml:space="preserve">Ciudad </w:t>
      </w:r>
    </w:p>
    <w:p w14:paraId="14E4B646" w14:textId="77777777" w:rsidR="007F3EED" w:rsidRDefault="007F3EED" w:rsidP="007F3EED">
      <w:pPr>
        <w:spacing w:after="0" w:line="240" w:lineRule="auto"/>
        <w:jc w:val="both"/>
        <w:rPr>
          <w:rFonts w:ascii="Verdana" w:hAnsi="Verdana"/>
          <w:lang w:val="it-CH"/>
        </w:rPr>
      </w:pPr>
    </w:p>
    <w:p w14:paraId="25316862" w14:textId="77777777" w:rsidR="007F3EED" w:rsidRPr="005B4C57" w:rsidRDefault="007F3EED" w:rsidP="007F3EED">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7F3EED" w:rsidRPr="002842E0" w14:paraId="32F5FB6F" w14:textId="77777777" w:rsidTr="00BD16B2">
        <w:trPr>
          <w:trHeight w:val="162"/>
        </w:trPr>
        <w:tc>
          <w:tcPr>
            <w:tcW w:w="3119" w:type="dxa"/>
          </w:tcPr>
          <w:p w14:paraId="737E3FFB" w14:textId="77777777" w:rsidR="007F3EED" w:rsidRPr="005B4C57" w:rsidRDefault="007F3EED" w:rsidP="00BD16B2">
            <w:pPr>
              <w:jc w:val="both"/>
              <w:rPr>
                <w:rFonts w:ascii="Verdana" w:eastAsia="Calibri" w:hAnsi="Verdana" w:cs="Arial"/>
                <w:b/>
                <w:bCs/>
                <w:color w:val="7030A0"/>
                <w:lang w:val="it-CH" w:eastAsia="es-ES_tradnl"/>
              </w:rPr>
            </w:pPr>
          </w:p>
        </w:tc>
        <w:tc>
          <w:tcPr>
            <w:tcW w:w="5670" w:type="dxa"/>
          </w:tcPr>
          <w:p w14:paraId="4D696BDB" w14:textId="77777777" w:rsidR="007F3EED" w:rsidRPr="00801462" w:rsidRDefault="007F3EED" w:rsidP="00BD16B2">
            <w:pPr>
              <w:jc w:val="both"/>
              <w:rPr>
                <w:rFonts w:ascii="Verdana" w:eastAsia="Calibri" w:hAnsi="Verdana" w:cs="Arial"/>
                <w:b/>
                <w:bCs/>
                <w:lang w:eastAsia="es-ES"/>
              </w:rPr>
            </w:pPr>
            <w:r w:rsidRPr="00596158">
              <w:rPr>
                <w:rFonts w:ascii="Verdana" w:eastAsia="Calibri" w:hAnsi="Verdana" w:cs="Arial"/>
                <w:b/>
                <w:bCs/>
                <w:lang w:eastAsia="es-ES"/>
              </w:rPr>
              <w:t>Concepto C- 1</w:t>
            </w:r>
            <w:r>
              <w:rPr>
                <w:rFonts w:ascii="Verdana" w:eastAsia="Calibri" w:hAnsi="Verdana" w:cs="Arial"/>
                <w:b/>
                <w:bCs/>
                <w:lang w:eastAsia="es-ES"/>
              </w:rPr>
              <w:t>651</w:t>
            </w:r>
            <w:r w:rsidRPr="00596158">
              <w:rPr>
                <w:rFonts w:ascii="Verdana" w:eastAsia="Calibri" w:hAnsi="Verdana" w:cs="Arial"/>
                <w:b/>
                <w:bCs/>
                <w:lang w:eastAsia="es-ES"/>
              </w:rPr>
              <w:t xml:space="preserve"> de 202</w:t>
            </w:r>
            <w:r>
              <w:rPr>
                <w:rFonts w:ascii="Verdana" w:eastAsia="Calibri" w:hAnsi="Verdana" w:cs="Arial"/>
                <w:b/>
                <w:bCs/>
                <w:lang w:eastAsia="es-ES"/>
              </w:rPr>
              <w:t>6</w:t>
            </w:r>
          </w:p>
          <w:p w14:paraId="605B8B25" w14:textId="77777777" w:rsidR="007F3EED" w:rsidRPr="00801462" w:rsidRDefault="007F3EED" w:rsidP="00BD16B2">
            <w:pPr>
              <w:jc w:val="both"/>
              <w:rPr>
                <w:rFonts w:ascii="Verdana" w:eastAsia="Calibri" w:hAnsi="Verdana" w:cs="Arial"/>
                <w:b/>
                <w:bCs/>
                <w:color w:val="7030A0"/>
                <w:lang w:eastAsia="es-ES"/>
              </w:rPr>
            </w:pPr>
          </w:p>
        </w:tc>
      </w:tr>
      <w:tr w:rsidR="007F3EED" w:rsidRPr="002842E0" w14:paraId="7303EDC0" w14:textId="77777777" w:rsidTr="00BD16B2">
        <w:trPr>
          <w:trHeight w:val="884"/>
        </w:trPr>
        <w:tc>
          <w:tcPr>
            <w:tcW w:w="3119" w:type="dxa"/>
          </w:tcPr>
          <w:p w14:paraId="21BBA7DE" w14:textId="77777777" w:rsidR="007F3EED" w:rsidRPr="00D062C0" w:rsidRDefault="007F3EED" w:rsidP="00BD16B2">
            <w:pPr>
              <w:jc w:val="both"/>
              <w:rPr>
                <w:rFonts w:ascii="Verdana" w:eastAsia="Calibri" w:hAnsi="Verdana" w:cs="Arial"/>
                <w:color w:val="000000"/>
                <w:lang w:eastAsia="es-ES_tradnl"/>
              </w:rPr>
            </w:pPr>
            <w:r w:rsidRPr="00D062C0">
              <w:rPr>
                <w:rFonts w:ascii="Verdana" w:eastAsia="Calibri" w:hAnsi="Verdana" w:cs="Arial"/>
                <w:b/>
                <w:color w:val="000000"/>
                <w:lang w:eastAsia="es-ES_tradnl"/>
              </w:rPr>
              <w:t>Temas:</w:t>
            </w:r>
            <w:r w:rsidRPr="00D062C0">
              <w:rPr>
                <w:rFonts w:ascii="Verdana" w:eastAsia="Calibri" w:hAnsi="Verdana" w:cs="Arial"/>
                <w:color w:val="000000"/>
                <w:lang w:eastAsia="es-ES_tradnl"/>
              </w:rPr>
              <w:t xml:space="preserve">                   </w:t>
            </w:r>
          </w:p>
        </w:tc>
        <w:tc>
          <w:tcPr>
            <w:tcW w:w="5670" w:type="dxa"/>
          </w:tcPr>
          <w:p w14:paraId="3723C19F" w14:textId="77777777" w:rsidR="007F3EED" w:rsidRPr="00D062C0" w:rsidRDefault="007F3EED" w:rsidP="00BD16B2">
            <w:pPr>
              <w:jc w:val="both"/>
              <w:rPr>
                <w:rFonts w:ascii="Verdana" w:eastAsia="Times New Roman" w:hAnsi="Verdana" w:cs="Arial"/>
                <w:bCs/>
                <w:lang w:eastAsia="es-CO"/>
              </w:rPr>
            </w:pPr>
            <w:r w:rsidRPr="00D062C0">
              <w:rPr>
                <w:rFonts w:ascii="Verdana" w:eastAsia="Calibri" w:hAnsi="Verdana" w:cs="Arial"/>
                <w:lang w:val="es-MX" w:eastAsia="es-ES_tradnl"/>
              </w:rPr>
              <w:t xml:space="preserve">FACTORES DE DESEMPATE – Características – Límites / LEY DE EMPRENDIMIENTO – Ley 2069 de 2020 – Reglamentación – Decreto 1860 de 2021 – Vigencia / FACTORES DE DESEMPATE – Personas mayores – Alcance – </w:t>
            </w:r>
            <w:proofErr w:type="spellStart"/>
            <w:r w:rsidRPr="00D062C0">
              <w:rPr>
                <w:rFonts w:ascii="Verdana" w:eastAsia="Calibri" w:hAnsi="Verdana" w:cs="Arial"/>
                <w:lang w:val="es-MX" w:eastAsia="es-ES_tradnl"/>
              </w:rPr>
              <w:t>Prepensionados</w:t>
            </w:r>
            <w:proofErr w:type="spellEnd"/>
            <w:r w:rsidRPr="00D062C0">
              <w:rPr>
                <w:rFonts w:ascii="Verdana" w:eastAsia="Calibri" w:hAnsi="Verdana" w:cs="Arial"/>
                <w:lang w:val="es-MX" w:eastAsia="es-ES_tradnl"/>
              </w:rPr>
              <w:t xml:space="preserve"> – Exclusión    </w:t>
            </w:r>
          </w:p>
          <w:p w14:paraId="71C7BFA9" w14:textId="77777777" w:rsidR="007F3EED" w:rsidRPr="00D062C0" w:rsidRDefault="007F3EED" w:rsidP="00BD16B2">
            <w:pPr>
              <w:jc w:val="both"/>
              <w:rPr>
                <w:rFonts w:ascii="Verdana" w:eastAsiaTheme="minorEastAsia" w:hAnsi="Verdana" w:cs="Arial"/>
                <w:color w:val="000000" w:themeColor="text1"/>
              </w:rPr>
            </w:pPr>
          </w:p>
          <w:p w14:paraId="17109A80" w14:textId="77777777" w:rsidR="007F3EED" w:rsidRPr="00D062C0" w:rsidRDefault="007F3EED" w:rsidP="00BD16B2">
            <w:pPr>
              <w:jc w:val="both"/>
              <w:rPr>
                <w:rFonts w:ascii="Verdana" w:eastAsia="Calibri" w:hAnsi="Verdana" w:cs="Arial"/>
                <w:lang w:val="es-ES_tradnl" w:eastAsia="es-ES"/>
              </w:rPr>
            </w:pPr>
          </w:p>
        </w:tc>
      </w:tr>
      <w:tr w:rsidR="007F3EED" w:rsidRPr="00596158" w14:paraId="73C7BDB5" w14:textId="77777777" w:rsidTr="00BD16B2">
        <w:tc>
          <w:tcPr>
            <w:tcW w:w="3119" w:type="dxa"/>
          </w:tcPr>
          <w:p w14:paraId="78C4C300" w14:textId="77777777" w:rsidR="007F3EED" w:rsidRPr="00EB42FF" w:rsidRDefault="007F3EED" w:rsidP="00BD16B2">
            <w:pPr>
              <w:jc w:val="both"/>
              <w:rPr>
                <w:rFonts w:ascii="Verdana" w:eastAsia="Calibri" w:hAnsi="Verdana" w:cs="Arial"/>
                <w:b/>
                <w:lang w:eastAsia="es-ES_tradnl"/>
              </w:rPr>
            </w:pPr>
            <w:r w:rsidRPr="00EB42FF">
              <w:rPr>
                <w:rFonts w:ascii="Verdana" w:eastAsia="Calibri" w:hAnsi="Verdana" w:cs="Arial"/>
                <w:b/>
                <w:lang w:eastAsia="es-ES_tradnl"/>
              </w:rPr>
              <w:t>Radicación:</w:t>
            </w:r>
            <w:r w:rsidRPr="00EB42FF">
              <w:rPr>
                <w:rFonts w:ascii="Verdana" w:eastAsia="Calibri" w:hAnsi="Verdana" w:cs="Arial"/>
                <w:lang w:eastAsia="es-ES_tradnl"/>
              </w:rPr>
              <w:t xml:space="preserve">               </w:t>
            </w:r>
          </w:p>
        </w:tc>
        <w:tc>
          <w:tcPr>
            <w:tcW w:w="5670" w:type="dxa"/>
          </w:tcPr>
          <w:p w14:paraId="2F79D8B4" w14:textId="77777777" w:rsidR="007F3EED" w:rsidRPr="00D67E2F" w:rsidRDefault="007F3EED" w:rsidP="00BD16B2">
            <w:pPr>
              <w:jc w:val="both"/>
              <w:rPr>
                <w:rFonts w:ascii="Verdana" w:eastAsia="Calibri" w:hAnsi="Verdana" w:cs="Arial"/>
                <w:lang w:eastAsia="es-ES_tradnl"/>
              </w:rPr>
            </w:pPr>
            <w:r w:rsidRPr="00D67E2F">
              <w:rPr>
                <w:rFonts w:ascii="Verdana" w:eastAsia="Calibri" w:hAnsi="Verdana" w:cs="Arial"/>
                <w:lang w:eastAsia="es-ES_tradnl"/>
              </w:rPr>
              <w:t xml:space="preserve">Respuesta a consulta con radicado 1_2026_10_19_014107 </w:t>
            </w:r>
          </w:p>
          <w:p w14:paraId="707B350C" w14:textId="77777777" w:rsidR="007F3EED" w:rsidRPr="00EB42FF" w:rsidRDefault="007F3EED" w:rsidP="00BD16B2">
            <w:pPr>
              <w:jc w:val="both"/>
              <w:rPr>
                <w:rFonts w:ascii="Verdana" w:eastAsia="Calibri" w:hAnsi="Verdana" w:cs="Arial"/>
                <w:lang w:eastAsia="es-ES_tradnl"/>
              </w:rPr>
            </w:pPr>
          </w:p>
          <w:p w14:paraId="41AF0E63" w14:textId="77777777" w:rsidR="007F3EED" w:rsidRPr="00EB42FF" w:rsidRDefault="007F3EED" w:rsidP="00BD16B2">
            <w:pPr>
              <w:jc w:val="both"/>
              <w:rPr>
                <w:rFonts w:ascii="Verdana" w:eastAsia="Calibri" w:hAnsi="Verdana" w:cs="Arial"/>
                <w:lang w:eastAsia="es-ES_tradnl"/>
              </w:rPr>
            </w:pPr>
          </w:p>
        </w:tc>
      </w:tr>
    </w:tbl>
    <w:p w14:paraId="50C5CF79" w14:textId="77777777" w:rsidR="007F3EED" w:rsidRPr="008E4F36" w:rsidRDefault="007F3EED" w:rsidP="007F3EED">
      <w:pPr>
        <w:spacing w:after="0" w:line="276" w:lineRule="auto"/>
        <w:jc w:val="both"/>
        <w:rPr>
          <w:rFonts w:ascii="Verdana" w:eastAsia="Calibri" w:hAnsi="Verdana" w:cs="Arial"/>
          <w:lang w:eastAsia="es-ES"/>
        </w:rPr>
      </w:pPr>
      <w:r w:rsidRPr="00596158">
        <w:rPr>
          <w:rFonts w:ascii="Verdana" w:eastAsia="Calibri" w:hAnsi="Verdana" w:cs="Arial"/>
          <w:lang w:eastAsia="es-ES"/>
        </w:rPr>
        <w:t>Estimad</w:t>
      </w:r>
      <w:r>
        <w:rPr>
          <w:rFonts w:ascii="Verdana" w:eastAsia="Calibri" w:hAnsi="Verdana" w:cs="Arial"/>
          <w:lang w:eastAsia="es-ES"/>
        </w:rPr>
        <w:t>o Señor Paternina</w:t>
      </w:r>
      <w:r w:rsidRPr="00596158">
        <w:rPr>
          <w:rFonts w:ascii="Verdana" w:eastAsia="Calibri" w:hAnsi="Verdana" w:cs="Arial"/>
          <w:lang w:eastAsia="es-ES"/>
        </w:rPr>
        <w:t>:</w:t>
      </w:r>
      <w:r w:rsidRPr="008E4F36">
        <w:rPr>
          <w:rFonts w:ascii="Verdana" w:eastAsia="Calibri" w:hAnsi="Verdana" w:cs="Arial"/>
          <w:lang w:eastAsia="es-ES"/>
        </w:rPr>
        <w:t xml:space="preserve"> </w:t>
      </w:r>
    </w:p>
    <w:p w14:paraId="4FB54593" w14:textId="77777777" w:rsidR="007F3EED" w:rsidRDefault="007F3EED" w:rsidP="007F3EED">
      <w:pPr>
        <w:tabs>
          <w:tab w:val="left" w:pos="3768"/>
        </w:tabs>
        <w:spacing w:after="0" w:line="240" w:lineRule="auto"/>
        <w:jc w:val="both"/>
        <w:rPr>
          <w:rFonts w:ascii="Verdana" w:eastAsia="Calibri" w:hAnsi="Verdana" w:cs="Arial"/>
          <w:lang w:eastAsia="es-ES"/>
        </w:rPr>
      </w:pPr>
    </w:p>
    <w:p w14:paraId="783AF277" w14:textId="77777777" w:rsidR="007F3EED" w:rsidRPr="008E4F36" w:rsidRDefault="007F3EED" w:rsidP="007F3EED">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Pr>
          <w:rFonts w:ascii="Verdana" w:eastAsia="Calibri" w:hAnsi="Verdana" w:cs="Arial"/>
          <w:lang w:eastAsia="es-ES"/>
        </w:rPr>
        <w:t xml:space="preserve">19 </w:t>
      </w:r>
      <w:r w:rsidRPr="00596158">
        <w:rPr>
          <w:rFonts w:ascii="Verdana" w:eastAsia="Calibri" w:hAnsi="Verdana" w:cs="Arial"/>
          <w:lang w:eastAsia="es-ES"/>
        </w:rPr>
        <w:t>de</w:t>
      </w:r>
      <w:r>
        <w:rPr>
          <w:rFonts w:ascii="Verdana" w:eastAsia="Calibri" w:hAnsi="Verdana" w:cs="Arial"/>
          <w:lang w:eastAsia="es-ES"/>
        </w:rPr>
        <w:t xml:space="preserve"> octubre </w:t>
      </w:r>
      <w:r w:rsidRPr="00596158">
        <w:rPr>
          <w:rFonts w:ascii="Verdana" w:eastAsia="Calibri" w:hAnsi="Verdana" w:cs="Arial"/>
          <w:lang w:eastAsia="es-ES"/>
        </w:rPr>
        <w:t>de 202</w:t>
      </w:r>
      <w:r>
        <w:rPr>
          <w:rFonts w:ascii="Verdana" w:eastAsia="Calibri" w:hAnsi="Verdana" w:cs="Arial"/>
          <w:lang w:eastAsia="es-ES"/>
        </w:rPr>
        <w:t>6</w:t>
      </w:r>
      <w:r w:rsidRPr="005961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0874A5D0" w14:textId="77777777" w:rsidR="007F3EED" w:rsidRPr="008E4F36" w:rsidRDefault="007F3EED" w:rsidP="007F3EED">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E09C34C" w14:textId="77777777" w:rsidR="007F3EED" w:rsidRDefault="007F3EED" w:rsidP="007F3EED">
      <w:pPr>
        <w:spacing w:after="0" w:line="240" w:lineRule="auto"/>
        <w:ind w:left="709" w:right="709"/>
        <w:jc w:val="both"/>
        <w:rPr>
          <w:rFonts w:ascii="Verdana" w:eastAsia="Century Gothic" w:hAnsi="Verdana" w:cs="Century Gothic"/>
          <w:sz w:val="20"/>
          <w:szCs w:val="20"/>
        </w:rPr>
      </w:pPr>
      <w:bookmarkStart w:id="2" w:name="_Hlk192699624"/>
      <w:bookmarkStart w:id="3" w:name="_Hlk199394899"/>
      <w:r>
        <w:rPr>
          <w:rFonts w:ascii="Verdana" w:eastAsia="Century Gothic" w:hAnsi="Verdana" w:cs="Century Gothic"/>
          <w:sz w:val="20"/>
          <w:szCs w:val="20"/>
        </w:rPr>
        <w:t>“</w:t>
      </w:r>
      <w:bookmarkEnd w:id="2"/>
      <w:bookmarkEnd w:id="3"/>
      <w:r w:rsidRPr="00D97285">
        <w:rPr>
          <w:rFonts w:ascii="Verdana" w:eastAsia="Century Gothic" w:hAnsi="Verdana" w:cs="Century Gothic"/>
          <w:sz w:val="20"/>
          <w:szCs w:val="20"/>
        </w:rPr>
        <w:t xml:space="preserve">Por favor absuelva consulta a este solicitante e informe, en el caso en que un proponente plural, sea este consorcio o unión temporal y desee acreditar el factor de desempate contenido en el numeral 4 del artículo 35 de la ley 2069 de 2020 y en el numeral 4 del </w:t>
      </w:r>
      <w:proofErr w:type="spellStart"/>
      <w:r w:rsidRPr="00D97285">
        <w:rPr>
          <w:rFonts w:ascii="Verdana" w:eastAsia="Century Gothic" w:hAnsi="Verdana" w:cs="Century Gothic"/>
          <w:sz w:val="20"/>
          <w:szCs w:val="20"/>
        </w:rPr>
        <w:t>articulo</w:t>
      </w:r>
      <w:proofErr w:type="spellEnd"/>
      <w:r w:rsidRPr="00D97285">
        <w:rPr>
          <w:rFonts w:ascii="Verdana" w:eastAsia="Century Gothic" w:hAnsi="Verdana" w:cs="Century Gothic"/>
          <w:sz w:val="20"/>
          <w:szCs w:val="20"/>
        </w:rPr>
        <w:t xml:space="preserve"> 2.2.1.2.4.2.17. del decreto Reglamentario 1082 de 2015 relacionado a mayor proporción de vinculación laboral de personas mayores que no sean beneficiarios de la pensión de vejez, familiar o de sobrevivencia:</w:t>
      </w:r>
    </w:p>
    <w:p w14:paraId="5796374A" w14:textId="77777777" w:rsidR="007F3EED" w:rsidRPr="00D97285" w:rsidRDefault="007F3EED" w:rsidP="007F3EED">
      <w:pPr>
        <w:spacing w:after="0" w:line="240" w:lineRule="auto"/>
        <w:ind w:left="709" w:right="709"/>
        <w:jc w:val="both"/>
        <w:rPr>
          <w:rFonts w:ascii="Verdana" w:eastAsia="Century Gothic" w:hAnsi="Verdana" w:cs="Century Gothic"/>
          <w:sz w:val="20"/>
          <w:szCs w:val="20"/>
        </w:rPr>
      </w:pPr>
    </w:p>
    <w:p w14:paraId="38D3F550" w14:textId="77777777" w:rsidR="007F3EED" w:rsidRPr="00D97285" w:rsidRDefault="007F3EED" w:rsidP="007F3EED">
      <w:pPr>
        <w:spacing w:after="0" w:line="240" w:lineRule="auto"/>
        <w:ind w:left="709" w:right="709"/>
        <w:jc w:val="both"/>
        <w:rPr>
          <w:rFonts w:ascii="Verdana" w:eastAsia="Century Gothic" w:hAnsi="Verdana" w:cs="Century Gothic"/>
          <w:sz w:val="20"/>
          <w:szCs w:val="20"/>
        </w:rPr>
      </w:pPr>
      <w:r w:rsidRPr="00D97285">
        <w:rPr>
          <w:rFonts w:ascii="Verdana" w:eastAsia="Century Gothic" w:hAnsi="Verdana" w:cs="Century Gothic"/>
          <w:sz w:val="20"/>
          <w:szCs w:val="20"/>
        </w:rPr>
        <w:t xml:space="preserve">1. ¿El factor de desempate señalado se encontraría acreditado </w:t>
      </w:r>
      <w:r w:rsidRPr="00D97285">
        <w:rPr>
          <w:rFonts w:ascii="Verdana" w:eastAsia="Century Gothic" w:hAnsi="Verdana" w:cs="Century Gothic"/>
          <w:b/>
          <w:bCs/>
          <w:sz w:val="20"/>
          <w:szCs w:val="20"/>
        </w:rPr>
        <w:t xml:space="preserve">si uno de los integrantes </w:t>
      </w:r>
      <w:r w:rsidRPr="00D97285">
        <w:rPr>
          <w:rFonts w:ascii="Verdana" w:eastAsia="Century Gothic" w:hAnsi="Verdana" w:cs="Century Gothic"/>
          <w:sz w:val="20"/>
          <w:szCs w:val="20"/>
        </w:rPr>
        <w:t xml:space="preserve">de la unión temporal o consorcio </w:t>
      </w:r>
      <w:r w:rsidRPr="00D97285">
        <w:rPr>
          <w:rFonts w:ascii="Verdana" w:eastAsia="Century Gothic" w:hAnsi="Verdana" w:cs="Century Gothic"/>
          <w:b/>
          <w:bCs/>
          <w:sz w:val="20"/>
          <w:szCs w:val="20"/>
        </w:rPr>
        <w:t xml:space="preserve">omite suministrar </w:t>
      </w:r>
      <w:r w:rsidRPr="00D97285">
        <w:rPr>
          <w:rFonts w:ascii="Verdana" w:eastAsia="Century Gothic" w:hAnsi="Verdana" w:cs="Century Gothic"/>
          <w:sz w:val="20"/>
          <w:szCs w:val="20"/>
        </w:rPr>
        <w:t xml:space="preserve">el </w:t>
      </w:r>
      <w:proofErr w:type="spellStart"/>
      <w:r w:rsidRPr="00D97285">
        <w:rPr>
          <w:rFonts w:ascii="Verdana" w:eastAsia="Century Gothic" w:hAnsi="Verdana" w:cs="Century Gothic"/>
          <w:sz w:val="20"/>
          <w:szCs w:val="20"/>
        </w:rPr>
        <w:t>numero</w:t>
      </w:r>
      <w:proofErr w:type="spellEnd"/>
      <w:r w:rsidRPr="00D97285">
        <w:rPr>
          <w:rFonts w:ascii="Verdana" w:eastAsia="Century Gothic" w:hAnsi="Verdana" w:cs="Century Gothic"/>
          <w:sz w:val="20"/>
          <w:szCs w:val="20"/>
        </w:rPr>
        <w:t xml:space="preserve"> total de trabajadores que tiene, esto para saber la proporción que </w:t>
      </w:r>
      <w:r w:rsidRPr="00D97285">
        <w:rPr>
          <w:rFonts w:ascii="Verdana" w:eastAsia="Century Gothic" w:hAnsi="Verdana" w:cs="Century Gothic"/>
          <w:sz w:val="20"/>
          <w:szCs w:val="20"/>
        </w:rPr>
        <w:lastRenderedPageBreak/>
        <w:t xml:space="preserve">representan en la nómina o planta de personal las personas mayores que no son beneficiarios de la pensión? </w:t>
      </w:r>
    </w:p>
    <w:p w14:paraId="3676D953" w14:textId="77777777" w:rsidR="007F3EED" w:rsidRPr="00D97285" w:rsidRDefault="007F3EED" w:rsidP="007F3EED">
      <w:pPr>
        <w:spacing w:after="0" w:line="240" w:lineRule="auto"/>
        <w:ind w:left="709" w:right="709"/>
        <w:jc w:val="both"/>
        <w:rPr>
          <w:rFonts w:ascii="Verdana" w:eastAsia="Century Gothic" w:hAnsi="Verdana" w:cs="Century Gothic"/>
          <w:sz w:val="20"/>
          <w:szCs w:val="20"/>
        </w:rPr>
      </w:pPr>
    </w:p>
    <w:p w14:paraId="087C2823" w14:textId="77777777" w:rsidR="007F3EED" w:rsidRPr="00D97285" w:rsidRDefault="007F3EED" w:rsidP="007F3EED">
      <w:pPr>
        <w:spacing w:after="0" w:line="240" w:lineRule="auto"/>
        <w:ind w:left="709" w:right="709"/>
        <w:jc w:val="both"/>
        <w:rPr>
          <w:rFonts w:ascii="Verdana" w:eastAsia="Century Gothic" w:hAnsi="Verdana" w:cs="Century Gothic"/>
          <w:sz w:val="20"/>
          <w:szCs w:val="20"/>
        </w:rPr>
      </w:pPr>
      <w:r w:rsidRPr="00D97285">
        <w:rPr>
          <w:rFonts w:ascii="Verdana" w:eastAsia="Century Gothic" w:hAnsi="Verdana" w:cs="Century Gothic"/>
          <w:sz w:val="20"/>
          <w:szCs w:val="20"/>
        </w:rPr>
        <w:t xml:space="preserve">2. ¿El factor de desempate señalado se encontraría acreditado </w:t>
      </w:r>
      <w:r w:rsidRPr="00D97285">
        <w:rPr>
          <w:rFonts w:ascii="Verdana" w:eastAsia="Century Gothic" w:hAnsi="Verdana" w:cs="Century Gothic"/>
          <w:b/>
          <w:bCs/>
          <w:sz w:val="20"/>
          <w:szCs w:val="20"/>
        </w:rPr>
        <w:t xml:space="preserve">si uno de los integrantes </w:t>
      </w:r>
      <w:r w:rsidRPr="00D97285">
        <w:rPr>
          <w:rFonts w:ascii="Verdana" w:eastAsia="Century Gothic" w:hAnsi="Verdana" w:cs="Century Gothic"/>
          <w:sz w:val="20"/>
          <w:szCs w:val="20"/>
        </w:rPr>
        <w:t xml:space="preserve">de la unión temporal o consorcio </w:t>
      </w:r>
      <w:r w:rsidRPr="00D97285">
        <w:rPr>
          <w:rFonts w:ascii="Verdana" w:eastAsia="Century Gothic" w:hAnsi="Verdana" w:cs="Century Gothic"/>
          <w:b/>
          <w:bCs/>
          <w:sz w:val="20"/>
          <w:szCs w:val="20"/>
        </w:rPr>
        <w:t xml:space="preserve">omite suministrar </w:t>
      </w:r>
      <w:r w:rsidRPr="00D97285">
        <w:rPr>
          <w:rFonts w:ascii="Verdana" w:eastAsia="Century Gothic" w:hAnsi="Verdana" w:cs="Century Gothic"/>
          <w:sz w:val="20"/>
          <w:szCs w:val="20"/>
        </w:rPr>
        <w:t xml:space="preserve">algún </w:t>
      </w:r>
      <w:proofErr w:type="spellStart"/>
      <w:r w:rsidRPr="00D97285">
        <w:rPr>
          <w:rFonts w:ascii="Verdana" w:eastAsia="Century Gothic" w:hAnsi="Verdana" w:cs="Century Gothic"/>
          <w:sz w:val="20"/>
          <w:szCs w:val="20"/>
        </w:rPr>
        <w:t>numero</w:t>
      </w:r>
      <w:proofErr w:type="spellEnd"/>
      <w:r w:rsidRPr="00D97285">
        <w:rPr>
          <w:rFonts w:ascii="Verdana" w:eastAsia="Century Gothic" w:hAnsi="Verdana" w:cs="Century Gothic"/>
          <w:sz w:val="20"/>
          <w:szCs w:val="20"/>
        </w:rPr>
        <w:t xml:space="preserve">, proporción o porcentaje de trabajadores mayores sin pensión o, expresamente manifiesta que no tiene trabajadores vinculados con dicha </w:t>
      </w:r>
      <w:proofErr w:type="gramStart"/>
      <w:r w:rsidRPr="00D97285">
        <w:rPr>
          <w:rFonts w:ascii="Verdana" w:eastAsia="Century Gothic" w:hAnsi="Verdana" w:cs="Century Gothic"/>
          <w:sz w:val="20"/>
          <w:szCs w:val="20"/>
        </w:rPr>
        <w:t>condición?</w:t>
      </w:r>
      <w:r>
        <w:rPr>
          <w:rFonts w:ascii="Verdana" w:eastAsia="Century Gothic" w:hAnsi="Verdana" w:cs="Century Gothic"/>
          <w:sz w:val="20"/>
          <w:szCs w:val="20"/>
        </w:rPr>
        <w:t>.</w:t>
      </w:r>
      <w:proofErr w:type="gramEnd"/>
      <w:r>
        <w:rPr>
          <w:rFonts w:ascii="Verdana" w:eastAsia="Century Gothic" w:hAnsi="Verdana" w:cs="Century Gothic"/>
          <w:sz w:val="20"/>
          <w:szCs w:val="20"/>
        </w:rPr>
        <w:t>”</w:t>
      </w:r>
      <w:r w:rsidRPr="00D97285">
        <w:rPr>
          <w:rFonts w:ascii="Verdana" w:eastAsia="Century Gothic" w:hAnsi="Verdana" w:cs="Century Gothic"/>
          <w:sz w:val="20"/>
          <w:szCs w:val="20"/>
        </w:rPr>
        <w:t xml:space="preserve"> </w:t>
      </w:r>
    </w:p>
    <w:p w14:paraId="1E1C782B" w14:textId="77777777" w:rsidR="007F3EED" w:rsidRDefault="007F3EED" w:rsidP="007F3EED">
      <w:pPr>
        <w:spacing w:after="0" w:line="240" w:lineRule="auto"/>
        <w:ind w:left="709" w:right="709"/>
        <w:jc w:val="both"/>
        <w:rPr>
          <w:rFonts w:ascii="Verdana" w:eastAsia="Century Gothic" w:hAnsi="Verdana" w:cs="Century Gothic"/>
          <w:sz w:val="20"/>
          <w:szCs w:val="20"/>
        </w:rPr>
      </w:pPr>
    </w:p>
    <w:p w14:paraId="453ADEF7" w14:textId="77777777" w:rsidR="007F3EED" w:rsidRPr="009B4725" w:rsidRDefault="007F3EED" w:rsidP="007F3EED">
      <w:pPr>
        <w:spacing w:after="0" w:line="240" w:lineRule="auto"/>
        <w:ind w:left="709" w:right="709"/>
        <w:jc w:val="both"/>
        <w:rPr>
          <w:rFonts w:ascii="Verdana" w:eastAsia="Century Gothic" w:hAnsi="Verdana" w:cs="Century Gothic"/>
          <w:sz w:val="20"/>
          <w:szCs w:val="20"/>
        </w:rPr>
      </w:pPr>
      <w:r w:rsidRPr="00D97285">
        <w:rPr>
          <w:rFonts w:ascii="Verdana" w:eastAsia="Century Gothic" w:hAnsi="Verdana" w:cs="Century Gothic"/>
          <w:sz w:val="20"/>
          <w:szCs w:val="20"/>
        </w:rPr>
        <w:t>En caso de ser radicada esta petición en dependencia no competente, dese aplicación al 21 de la ley 1437 de 2011 modificada por la ley 1755 de 2012 y, por lo tanto, remítase a la dependencia competente.</w:t>
      </w:r>
      <w:r>
        <w:rPr>
          <w:rFonts w:ascii="Verdana" w:eastAsia="Century Gothic" w:hAnsi="Verdana" w:cs="Century Gothic"/>
          <w:sz w:val="20"/>
          <w:szCs w:val="20"/>
        </w:rPr>
        <w:t xml:space="preserve"> </w:t>
      </w:r>
    </w:p>
    <w:p w14:paraId="7E887F4C" w14:textId="77777777" w:rsidR="007F3EED" w:rsidRPr="008E4F36" w:rsidRDefault="007F3EED" w:rsidP="007F3EED">
      <w:pPr>
        <w:spacing w:after="0" w:line="276" w:lineRule="auto"/>
        <w:ind w:right="709"/>
        <w:jc w:val="both"/>
        <w:rPr>
          <w:rFonts w:ascii="Verdana" w:hAnsi="Verdana"/>
          <w:sz w:val="20"/>
          <w:szCs w:val="20"/>
        </w:rPr>
      </w:pPr>
    </w:p>
    <w:p w14:paraId="55887115" w14:textId="77777777" w:rsidR="007F3EED" w:rsidRDefault="007F3EED" w:rsidP="007F3EED">
      <w:pPr>
        <w:spacing w:after="12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E6710D0" w14:textId="77777777" w:rsidR="007F3EED" w:rsidRPr="00054383" w:rsidRDefault="007F3EED" w:rsidP="007F3EED">
      <w:pPr>
        <w:spacing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2FCE1C5" w14:textId="77777777" w:rsidR="007F3EED" w:rsidRPr="008E4F36" w:rsidRDefault="007F3EED" w:rsidP="007F3EED">
      <w:pPr>
        <w:spacing w:after="0" w:line="276" w:lineRule="auto"/>
        <w:ind w:firstLine="709"/>
        <w:jc w:val="both"/>
        <w:rPr>
          <w:rFonts w:ascii="Verdana" w:eastAsia="Calibri" w:hAnsi="Verdana" w:cs="Arial"/>
          <w:color w:val="000000"/>
          <w:lang w:eastAsia="es-ES"/>
        </w:rPr>
      </w:pPr>
    </w:p>
    <w:p w14:paraId="3A6DECC0" w14:textId="77777777" w:rsidR="007F3EED" w:rsidRDefault="007F3EED" w:rsidP="007F3EED">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262065B5" w14:textId="77777777" w:rsidR="007F3EED" w:rsidRDefault="007F3EED" w:rsidP="007F3EED">
      <w:pPr>
        <w:pStyle w:val="NormalWeb"/>
        <w:spacing w:before="0" w:beforeAutospacing="0" w:after="0" w:afterAutospacing="0" w:line="276" w:lineRule="auto"/>
        <w:jc w:val="both"/>
        <w:rPr>
          <w:rFonts w:ascii="Verdana" w:eastAsia="Calibri" w:hAnsi="Verdana" w:cs="Arial"/>
          <w:color w:val="000000"/>
          <w:sz w:val="22"/>
          <w:szCs w:val="22"/>
          <w:lang w:eastAsia="es-ES"/>
        </w:rPr>
      </w:pPr>
    </w:p>
    <w:p w14:paraId="43EAA712" w14:textId="7A5139DF" w:rsidR="007F3EED" w:rsidRDefault="007F3EED" w:rsidP="007F3EED">
      <w:pPr>
        <w:pStyle w:val="NormalWeb"/>
        <w:spacing w:before="0" w:beforeAutospacing="0" w:after="0" w:afterAutospacing="0" w:line="276" w:lineRule="auto"/>
        <w:jc w:val="both"/>
        <w:rPr>
          <w:rFonts w:ascii="Verdana" w:eastAsia="Calibri" w:hAnsi="Verdana" w:cs="Arial"/>
          <w:color w:val="000000"/>
          <w:sz w:val="22"/>
          <w:szCs w:val="22"/>
          <w:lang w:eastAsia="es-ES"/>
        </w:rPr>
      </w:pPr>
      <w:r w:rsidRPr="007E330B">
        <w:rPr>
          <w:rFonts w:ascii="Verdana" w:eastAsia="Calibri" w:hAnsi="Verdana" w:cs="Arial"/>
          <w:color w:val="000000"/>
          <w:sz w:val="22"/>
          <w:szCs w:val="22"/>
          <w:lang w:eastAsia="es-ES"/>
        </w:rPr>
        <w:t>De acuerdo con el contenido de su solicitud, esta Agencia resolverá el siguiente problema jurídico</w:t>
      </w:r>
      <w:r w:rsidR="00A40A7E">
        <w:rPr>
          <w:rFonts w:ascii="Verdana" w:eastAsia="Calibri" w:hAnsi="Verdana" w:cs="Arial"/>
          <w:color w:val="000000"/>
          <w:sz w:val="22"/>
          <w:szCs w:val="22"/>
          <w:lang w:eastAsia="es-ES"/>
        </w:rPr>
        <w:t xml:space="preserve"> </w:t>
      </w:r>
      <w:r w:rsidRPr="007E330B">
        <w:rPr>
          <w:rFonts w:ascii="Verdana" w:eastAsia="Calibri" w:hAnsi="Verdana" w:cs="Arial"/>
          <w:color w:val="000000"/>
          <w:sz w:val="22"/>
          <w:szCs w:val="22"/>
          <w:lang w:eastAsia="es-ES"/>
        </w:rPr>
        <w:t>:</w:t>
      </w:r>
      <w:r>
        <w:rPr>
          <w:rFonts w:ascii="Verdana" w:eastAsia="Calibri" w:hAnsi="Verdana" w:cs="Arial"/>
          <w:color w:val="000000"/>
          <w:sz w:val="22"/>
          <w:szCs w:val="22"/>
          <w:lang w:eastAsia="es-ES"/>
        </w:rPr>
        <w:t>i)</w:t>
      </w:r>
      <w:r w:rsidRPr="00F53770">
        <w:rPr>
          <w:rFonts w:asciiTheme="minorHAnsi" w:eastAsiaTheme="minorHAnsi" w:hAnsiTheme="minorHAnsi" w:cstheme="minorBidi"/>
          <w:sz w:val="22"/>
          <w:szCs w:val="22"/>
          <w:lang w:eastAsia="en-US"/>
        </w:rPr>
        <w:t xml:space="preserve"> </w:t>
      </w:r>
      <w:r w:rsidRPr="00F53770">
        <w:rPr>
          <w:rFonts w:ascii="Verdana" w:eastAsia="Calibri" w:hAnsi="Verdana" w:cs="Arial"/>
          <w:color w:val="000000"/>
          <w:sz w:val="22"/>
          <w:szCs w:val="22"/>
          <w:lang w:eastAsia="es-ES"/>
        </w:rPr>
        <w:t xml:space="preserve">¿Es procedente acreditar el factor de desempate previsto en el numeral 4 del artículo 35 de la Ley 2069 de 2020 y en el numeral 4 del artículo 2.2.1.2.4.2.17 del Decreto 1082 de 2015, cuando uno de los integrantes de un consorcio o unión temporal omite informar el número total de trabajadores </w:t>
      </w:r>
      <w:r w:rsidRPr="00F53770">
        <w:rPr>
          <w:rFonts w:ascii="Verdana" w:eastAsia="Calibri" w:hAnsi="Verdana" w:cs="Arial"/>
          <w:color w:val="000000"/>
          <w:sz w:val="22"/>
          <w:szCs w:val="22"/>
          <w:lang w:eastAsia="es-ES"/>
        </w:rPr>
        <w:lastRenderedPageBreak/>
        <w:t>vinculados, necesario para determinar la proporción de personas mayores que no son beneficiarias de la pensión de vejez, familiar o de sobrevivencia?</w:t>
      </w:r>
      <w:r>
        <w:rPr>
          <w:rFonts w:ascii="Verdana" w:eastAsia="Calibri" w:hAnsi="Verdana" w:cs="Arial"/>
          <w:color w:val="000000"/>
          <w:sz w:val="22"/>
          <w:szCs w:val="22"/>
          <w:lang w:eastAsia="es-ES"/>
        </w:rPr>
        <w:t xml:space="preserve"> </w:t>
      </w:r>
      <w:proofErr w:type="spellStart"/>
      <w:r>
        <w:rPr>
          <w:rFonts w:ascii="Verdana" w:eastAsia="Calibri" w:hAnsi="Verdana" w:cs="Arial"/>
          <w:color w:val="000000"/>
          <w:sz w:val="22"/>
          <w:szCs w:val="22"/>
          <w:lang w:eastAsia="es-ES"/>
        </w:rPr>
        <w:t>ii</w:t>
      </w:r>
      <w:proofErr w:type="spellEnd"/>
      <w:r>
        <w:rPr>
          <w:rFonts w:ascii="Verdana" w:eastAsia="Calibri" w:hAnsi="Verdana" w:cs="Arial"/>
          <w:color w:val="000000"/>
          <w:sz w:val="22"/>
          <w:szCs w:val="22"/>
          <w:lang w:eastAsia="es-ES"/>
        </w:rPr>
        <w:t>)</w:t>
      </w:r>
      <w:r w:rsidRPr="000F6CB2">
        <w:rPr>
          <w:rFonts w:asciiTheme="minorHAnsi" w:eastAsiaTheme="minorHAnsi" w:hAnsiTheme="minorHAnsi" w:cstheme="minorBidi"/>
          <w:sz w:val="22"/>
          <w:szCs w:val="22"/>
          <w:lang w:eastAsia="en-US"/>
        </w:rPr>
        <w:t xml:space="preserve"> </w:t>
      </w:r>
      <w:r w:rsidRPr="000F6CB2">
        <w:rPr>
          <w:rFonts w:ascii="Verdana" w:eastAsia="Calibri" w:hAnsi="Verdana" w:cs="Arial"/>
          <w:color w:val="000000"/>
          <w:sz w:val="22"/>
          <w:szCs w:val="22"/>
          <w:lang w:eastAsia="es-ES"/>
        </w:rPr>
        <w:t>¿Cómo debe evaluarse la acreditación del factor de desempate cuando uno de los integrantes de un consorcio o unión temporal omite informar el número, la proporción o el porcentaje de trabajadores mayores que no son beneficiarios de las pensiones señaladas, o manifiesta expresamente que no cuenta con trabajadores que cumplan dicha condición?</w:t>
      </w:r>
      <w:r>
        <w:rPr>
          <w:rFonts w:ascii="Verdana" w:eastAsia="Calibri" w:hAnsi="Verdana" w:cs="Arial"/>
          <w:color w:val="000000"/>
          <w:sz w:val="22"/>
          <w:szCs w:val="22"/>
          <w:lang w:eastAsia="es-ES"/>
        </w:rPr>
        <w:t xml:space="preserve"> </w:t>
      </w:r>
    </w:p>
    <w:p w14:paraId="1C1840F9" w14:textId="77777777" w:rsidR="007F3EED" w:rsidRPr="00772009" w:rsidRDefault="007F3EED" w:rsidP="007F3EED">
      <w:pPr>
        <w:pStyle w:val="NormalWeb"/>
        <w:spacing w:before="0" w:beforeAutospacing="0" w:after="0" w:afterAutospacing="0" w:line="276" w:lineRule="auto"/>
        <w:jc w:val="both"/>
        <w:rPr>
          <w:sz w:val="22"/>
          <w:szCs w:val="22"/>
        </w:rPr>
      </w:pPr>
    </w:p>
    <w:p w14:paraId="6981455B" w14:textId="77777777" w:rsidR="007F3EED" w:rsidRPr="008E4F36" w:rsidRDefault="007F3EED" w:rsidP="007F3EED">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1F4E970B" w14:textId="77777777" w:rsidR="007F3EED" w:rsidRPr="008E4F36" w:rsidRDefault="007F3EED" w:rsidP="007F3EE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7F3EED" w:rsidRPr="008E4F36" w14:paraId="2081E9D5" w14:textId="77777777" w:rsidTr="00BD16B2">
        <w:tc>
          <w:tcPr>
            <w:tcW w:w="8828" w:type="dxa"/>
          </w:tcPr>
          <w:p w14:paraId="25053273" w14:textId="77777777" w:rsidR="007F3EED" w:rsidRDefault="007F3EED" w:rsidP="00BD16B2">
            <w:pPr>
              <w:spacing w:after="120" w:line="276" w:lineRule="auto"/>
              <w:jc w:val="both"/>
              <w:rPr>
                <w:rFonts w:ascii="Verdana" w:eastAsia="Arial" w:hAnsi="Verdana" w:cs="Arial"/>
              </w:rPr>
            </w:pPr>
            <w:r w:rsidRPr="00AD217C">
              <w:rPr>
                <w:rFonts w:ascii="Verdana" w:eastAsia="Arial" w:hAnsi="Verdana" w:cs="Arial"/>
                <w:b/>
                <w:bCs/>
              </w:rPr>
              <w:t>i.</w:t>
            </w:r>
            <w:r>
              <w:rPr>
                <w:rFonts w:ascii="Verdana" w:eastAsia="Arial" w:hAnsi="Verdana" w:cs="Arial"/>
                <w:b/>
                <w:bCs/>
              </w:rPr>
              <w:t xml:space="preserve"> </w:t>
            </w:r>
            <w:r w:rsidRPr="00EA261D">
              <w:rPr>
                <w:rFonts w:ascii="Verdana" w:eastAsia="Arial" w:hAnsi="Verdana" w:cs="Arial"/>
              </w:rPr>
              <w:t xml:space="preserve">De conformidad con el numeral 4 del artículo 35 de la Ley 2069 de 2020 y el numeral 4 del artículo 2.2.1.2.4.2.17 del Decreto 1082 de 2015, la acreditación del factor de desempate exige determinar la proporción de personas mayores que no son beneficiarias de la pensión de vejez, familiar o de sobrevivencia, en relación con el número total de trabajadores vinculados a la planta de personal. En el caso de los proponentes plurales, el representante legal deberá acreditar el número de trabajadores que cumplen dichas condiciones respecto de todos sus integrantes, y la mayor proporción se determinará mediante la sumatoria de los trabajadores vinculados a la planta de personal de cada uno de ellos. En consecuencia, la omisión del número total de trabajadores por parte de uno de los integrantes impide establecer integralmente la proporción exigida por la norma y, por tanto, verificar si el proponente plural cumple el supuesto previsto para la aplicación de este criterio de desempate. Lo anterior, sin perjuicio de que la entidad contratante deba evaluar la documentación aportada conforme a las reglas del proceso de selección y las disposiciones aplicables en materia de </w:t>
            </w:r>
            <w:proofErr w:type="spellStart"/>
            <w:r w:rsidRPr="00EA261D">
              <w:rPr>
                <w:rFonts w:ascii="Verdana" w:eastAsia="Arial" w:hAnsi="Verdana" w:cs="Arial"/>
              </w:rPr>
              <w:t>subsanabilidad</w:t>
            </w:r>
            <w:proofErr w:type="spellEnd"/>
            <w:r w:rsidRPr="00EA261D">
              <w:rPr>
                <w:rFonts w:ascii="Verdana" w:eastAsia="Arial" w:hAnsi="Verdana" w:cs="Arial"/>
              </w:rPr>
              <w:t>.</w:t>
            </w:r>
          </w:p>
          <w:p w14:paraId="536D3B1F" w14:textId="77777777" w:rsidR="007F3EED" w:rsidRPr="00533F12" w:rsidRDefault="007F3EED" w:rsidP="00BD16B2">
            <w:pPr>
              <w:spacing w:after="120" w:line="276" w:lineRule="auto"/>
              <w:jc w:val="both"/>
              <w:rPr>
                <w:rFonts w:ascii="Verdana" w:eastAsia="Arial" w:hAnsi="Verdana" w:cs="Arial"/>
              </w:rPr>
            </w:pPr>
            <w:proofErr w:type="spellStart"/>
            <w:r w:rsidRPr="00533F12">
              <w:rPr>
                <w:rFonts w:ascii="Verdana" w:eastAsia="Arial" w:hAnsi="Verdana" w:cs="Arial"/>
                <w:b/>
                <w:bCs/>
              </w:rPr>
              <w:t>ii</w:t>
            </w:r>
            <w:proofErr w:type="spellEnd"/>
            <w:r w:rsidRPr="00533F12">
              <w:rPr>
                <w:rFonts w:ascii="Verdana" w:eastAsia="Arial" w:hAnsi="Verdana" w:cs="Arial"/>
                <w:b/>
                <w:bCs/>
              </w:rPr>
              <w:t>.</w:t>
            </w:r>
            <w:r w:rsidRPr="00533F12">
              <w:rPr>
                <w:rFonts w:ascii="Verdana" w:eastAsia="Times New Roman" w:hAnsi="Verdana" w:cs="Times New Roman"/>
                <w:lang w:eastAsia="es-CO"/>
              </w:rPr>
              <w:t xml:space="preserve"> De acuerdo con el numeral 4 del artículo 2.2.1.2.4.2.17 del Decreto 1082 de 2015, la aplicación del factor de desempate requiere acreditar, mediante certificación bajo la gravedad de juramento, el número de trabajadores vinculados que son personas mayores, no beneficiarias de las pensiones señaladas y que cumplen el requisito de edad de pensión establecido en la ley. En el caso de los proponentes plurales, esta información debe comprender a todos sus integrantes, y la proporción se determina a partir de la sumatoria del número de trabajadores de sus respectivas plantas de personal. Por consiguiente, si uno de los integrantes omite informar el número, la proporción </w:t>
            </w:r>
            <w:r w:rsidRPr="00533F12">
              <w:rPr>
                <w:rFonts w:ascii="Verdana" w:eastAsia="Times New Roman" w:hAnsi="Verdana" w:cs="Times New Roman"/>
                <w:lang w:eastAsia="es-CO"/>
              </w:rPr>
              <w:lastRenderedPageBreak/>
              <w:t xml:space="preserve">o el porcentaje de trabajadores que reúnen dichas condiciones, no será posible verificar integralmente la información requerida para establecer la proporción del proponente plural; por su parte, si manifiesta expresamente que no cuenta con trabajadores que cumplan tales condiciones, esa circunstancia deberá reflejarse en la información consolidada del proponente, sin que ello implique, por sí solo, que este quede excluido de la aplicación del criterio, pues la proporción debe calcularse respecto del total de trabajadores de todos los integrantes. En todo caso, corresponderá a la entidad contratante verificar el cumplimiento de los requisitos documentales y determinar, conforme a las reglas del proceso de selección y al régimen de </w:t>
            </w:r>
            <w:proofErr w:type="spellStart"/>
            <w:r w:rsidRPr="00533F12">
              <w:rPr>
                <w:rFonts w:ascii="Verdana" w:eastAsia="Times New Roman" w:hAnsi="Verdana" w:cs="Times New Roman"/>
                <w:lang w:eastAsia="es-CO"/>
              </w:rPr>
              <w:t>subsanabilidad</w:t>
            </w:r>
            <w:proofErr w:type="spellEnd"/>
            <w:r w:rsidRPr="00533F12">
              <w:rPr>
                <w:rFonts w:ascii="Verdana" w:eastAsia="Times New Roman" w:hAnsi="Verdana" w:cs="Times New Roman"/>
                <w:lang w:eastAsia="es-CO"/>
              </w:rPr>
              <w:t xml:space="preserve"> aplicable, si procede reconocer el factor de desempate.</w:t>
            </w:r>
          </w:p>
        </w:tc>
      </w:tr>
    </w:tbl>
    <w:p w14:paraId="32F4547D" w14:textId="77777777" w:rsidR="007F3EED" w:rsidRDefault="007F3EED" w:rsidP="007F3EED">
      <w:pPr>
        <w:tabs>
          <w:tab w:val="left" w:pos="142"/>
          <w:tab w:val="left" w:pos="284"/>
        </w:tabs>
        <w:spacing w:after="0" w:line="276" w:lineRule="auto"/>
        <w:jc w:val="both"/>
        <w:rPr>
          <w:rFonts w:ascii="Verdana" w:eastAsia="Century Gothic" w:hAnsi="Verdana" w:cs="Century Gothic"/>
          <w:b/>
          <w:bCs/>
        </w:rPr>
      </w:pPr>
    </w:p>
    <w:p w14:paraId="625A1D85" w14:textId="77777777" w:rsidR="007F3EED" w:rsidRPr="008E4F36" w:rsidRDefault="007F3EED" w:rsidP="007F3EED">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362B568D" w14:textId="77777777" w:rsidR="007F3EED" w:rsidRDefault="007F3EED" w:rsidP="007F3EED">
      <w:pPr>
        <w:pStyle w:val="Prrafodelista"/>
        <w:tabs>
          <w:tab w:val="left" w:pos="142"/>
          <w:tab w:val="left" w:pos="284"/>
        </w:tabs>
        <w:spacing w:after="0" w:line="276" w:lineRule="auto"/>
        <w:ind w:left="0"/>
        <w:contextualSpacing w:val="0"/>
        <w:jc w:val="both"/>
        <w:rPr>
          <w:rFonts w:ascii="Verdana" w:eastAsia="Calibri" w:hAnsi="Verdana" w:cs="Arial"/>
        </w:rPr>
      </w:pPr>
    </w:p>
    <w:p w14:paraId="37A433E4" w14:textId="77777777" w:rsidR="007F3EED" w:rsidRPr="00F54450" w:rsidRDefault="007F3EED" w:rsidP="007F3EED">
      <w:pPr>
        <w:tabs>
          <w:tab w:val="left" w:pos="142"/>
          <w:tab w:val="left" w:pos="284"/>
        </w:tabs>
        <w:spacing w:after="0" w:line="276" w:lineRule="auto"/>
        <w:jc w:val="both"/>
        <w:rPr>
          <w:rFonts w:ascii="Verdana" w:eastAsia="Calibri" w:hAnsi="Verdana" w:cs="Arial"/>
        </w:rPr>
      </w:pPr>
      <w:r w:rsidRPr="00F54450">
        <w:rPr>
          <w:rFonts w:ascii="Verdana" w:eastAsia="Calibri" w:hAnsi="Verdana" w:cs="Arial"/>
        </w:rPr>
        <w:t xml:space="preserve">Lo anterior se sustenta en las siguientes consideraciones: </w:t>
      </w:r>
    </w:p>
    <w:p w14:paraId="31679569" w14:textId="77777777" w:rsidR="007F3EED" w:rsidRDefault="007F3EED" w:rsidP="007F3EED">
      <w:pPr>
        <w:tabs>
          <w:tab w:val="left" w:pos="426"/>
        </w:tabs>
        <w:spacing w:after="0" w:line="276" w:lineRule="auto"/>
        <w:jc w:val="both"/>
        <w:rPr>
          <w:rFonts w:ascii="Verdana" w:eastAsia="Aptos" w:hAnsi="Verdana" w:cs="Arial"/>
          <w:bCs/>
          <w:color w:val="000000"/>
        </w:rPr>
      </w:pPr>
      <w:bookmarkStart w:id="4" w:name="_Hlk204856061"/>
      <w:bookmarkStart w:id="5" w:name="_Hlk78820161"/>
      <w:bookmarkStart w:id="6" w:name="_Hlk204854194"/>
    </w:p>
    <w:p w14:paraId="6DDB9FFA" w14:textId="77777777" w:rsidR="007F3EED" w:rsidRPr="00FB662C" w:rsidRDefault="007F3EED" w:rsidP="007F3EED">
      <w:pPr>
        <w:spacing w:after="120" w:line="276" w:lineRule="auto"/>
        <w:jc w:val="both"/>
        <w:rPr>
          <w:rFonts w:ascii="Verdana" w:eastAsia="Calibri" w:hAnsi="Verdana" w:cs="Arial"/>
          <w:lang w:val="es-ES_tradnl"/>
        </w:rPr>
      </w:pPr>
      <w:r w:rsidRPr="00FB662C">
        <w:rPr>
          <w:rFonts w:ascii="Verdana" w:eastAsia="Aptos" w:hAnsi="Verdana" w:cs="Arial"/>
          <w:bCs/>
          <w:color w:val="000000"/>
        </w:rPr>
        <w:t xml:space="preserve">i. </w:t>
      </w:r>
      <w:r w:rsidRPr="00FB662C">
        <w:rPr>
          <w:rFonts w:ascii="Verdana" w:eastAsia="Calibri" w:hAnsi="Verdana" w:cs="Arial"/>
          <w:lang w:val="es-ES_tradnl"/>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1D953AED" w14:textId="77777777" w:rsidR="007F3EED" w:rsidRPr="00FB662C" w:rsidRDefault="007F3EED" w:rsidP="007F3EED">
      <w:pPr>
        <w:spacing w:after="120" w:line="276" w:lineRule="auto"/>
        <w:ind w:firstLine="709"/>
        <w:jc w:val="both"/>
        <w:rPr>
          <w:rFonts w:ascii="Verdana" w:eastAsia="Calibri" w:hAnsi="Verdana" w:cs="Arial"/>
          <w:lang w:val="es-ES"/>
        </w:rPr>
      </w:pPr>
      <w:r w:rsidRPr="00FB662C">
        <w:rPr>
          <w:rFonts w:ascii="Verdana" w:eastAsia="Calibri" w:hAnsi="Verdana" w:cs="Arial"/>
          <w:lang w:val="es-ES"/>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los mismos. Como lo ha indicado la Agencia Nacional de Contratación Pública – Colombia Compra </w:t>
      </w:r>
      <w:r w:rsidRPr="00FB662C">
        <w:rPr>
          <w:rFonts w:ascii="Verdana" w:eastAsia="Calibri" w:hAnsi="Verdana" w:cs="Arial"/>
          <w:lang w:val="es-ES"/>
        </w:rPr>
        <w:lastRenderedPageBreak/>
        <w:t xml:space="preserve">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contractual. </w:t>
      </w:r>
    </w:p>
    <w:p w14:paraId="01024861" w14:textId="77777777" w:rsidR="007F3EED" w:rsidRPr="00FB662C" w:rsidRDefault="007F3EED" w:rsidP="007F3EED">
      <w:pPr>
        <w:spacing w:after="120" w:line="276" w:lineRule="auto"/>
        <w:ind w:firstLine="709"/>
        <w:jc w:val="both"/>
        <w:rPr>
          <w:rFonts w:ascii="Verdana" w:eastAsia="Calibri" w:hAnsi="Verdana" w:cs="Arial"/>
          <w:lang w:val="es-ES"/>
        </w:rPr>
      </w:pPr>
      <w:bookmarkStart w:id="7" w:name="_Hlk81487365"/>
      <w:r w:rsidRPr="46CF003B">
        <w:rPr>
          <w:rFonts w:ascii="Verdana" w:eastAsia="Calibri" w:hAnsi="Verdana" w:cs="Arial"/>
          <w:lang w:val="es-ES"/>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entre los que se encuentra el artículo 35 de la Ley 2069 de 2020. La jurisprudencia comparte la idea de que los criterios de desempate deben estar establecidos de antemano y constituyen un límite a la discrecionalidad administrativa en los procedimientos de selección</w:t>
      </w:r>
      <w:r w:rsidRPr="46CF003B">
        <w:rPr>
          <w:rStyle w:val="Refdenotaalpie"/>
          <w:rFonts w:ascii="Verdana" w:eastAsia="Calibri" w:hAnsi="Verdana" w:cs="Arial"/>
          <w:lang w:val="es-ES"/>
        </w:rPr>
        <w:footnoteReference w:id="1"/>
      </w:r>
      <w:r w:rsidRPr="46CF003B">
        <w:rPr>
          <w:rFonts w:ascii="Verdana" w:eastAsia="Calibri" w:hAnsi="Verdana" w:cs="Arial"/>
          <w:lang w:val="es-ES"/>
        </w:rPr>
        <w:t xml:space="preserve">. </w:t>
      </w:r>
    </w:p>
    <w:p w14:paraId="4F9F6025" w14:textId="77777777" w:rsidR="007F3EED" w:rsidRDefault="007F3EED" w:rsidP="007F3EED">
      <w:pPr>
        <w:spacing w:after="0" w:line="276" w:lineRule="auto"/>
        <w:ind w:firstLine="709"/>
        <w:jc w:val="both"/>
        <w:rPr>
          <w:rFonts w:ascii="Verdana" w:hAnsi="Verdana" w:cs="Arial"/>
          <w:lang w:val="es-ES" w:eastAsia="es-CO"/>
        </w:rPr>
      </w:pPr>
      <w:r w:rsidRPr="00FB662C">
        <w:rPr>
          <w:rFonts w:ascii="Verdana" w:eastAsia="Calibri" w:hAnsi="Verdana" w:cs="Arial"/>
          <w:lang w:val="es-ES_tradnl"/>
        </w:rPr>
        <w:t>En tal sentido, la Corte Constitucional explica que cuando la ley establece factores de desempate obligatorios, las entidades estatales no pueden </w:t>
      </w:r>
      <w:proofErr w:type="spellStart"/>
      <w:r w:rsidRPr="00FB662C">
        <w:rPr>
          <w:rFonts w:ascii="Verdana" w:eastAsia="Calibri" w:hAnsi="Verdana" w:cs="Arial"/>
          <w:lang w:val="es-ES_tradnl"/>
        </w:rPr>
        <w:t>inaplicarlos</w:t>
      </w:r>
      <w:proofErr w:type="spellEnd"/>
      <w:r w:rsidRPr="00FB662C">
        <w:rPr>
          <w:rFonts w:ascii="Verdana" w:eastAsia="Calibri" w:hAnsi="Verdana" w:cs="Arial"/>
          <w:lang w:val="es-ES_tradnl"/>
        </w:rPr>
        <w:t>, porque ello podría vulnerar el principio de igualdad, especialmente, cuando algunos de estos criterios surgen como acciones afirmativas para ciertos sectores de la población</w:t>
      </w:r>
      <w:r w:rsidRPr="00FB662C">
        <w:rPr>
          <w:rStyle w:val="Refdenotaalpie"/>
          <w:rFonts w:ascii="Verdana" w:eastAsia="Calibri" w:hAnsi="Verdana" w:cs="Arial"/>
          <w:lang w:val="es-ES_tradnl"/>
        </w:rPr>
        <w:footnoteReference w:id="2"/>
      </w:r>
      <w:r w:rsidRPr="00FB662C">
        <w:rPr>
          <w:rFonts w:ascii="Verdana" w:eastAsia="Calibri" w:hAnsi="Verdana" w:cs="Arial"/>
          <w:lang w:val="es-ES_tradnl"/>
        </w:rPr>
        <w:t xml:space="preserve">. </w:t>
      </w:r>
      <w:bookmarkEnd w:id="7"/>
      <w:r w:rsidRPr="00FB662C">
        <w:rPr>
          <w:rFonts w:ascii="Verdana" w:eastAsia="Calibri" w:hAnsi="Verdana" w:cs="Arial"/>
          <w:lang w:val="es-ES_tradnl"/>
        </w:rPr>
        <w:t>Ahora bien, en cumplimiento de los principios de reciprocidad y de </w:t>
      </w:r>
      <w:r w:rsidRPr="00FB662C">
        <w:rPr>
          <w:rFonts w:ascii="Verdana" w:eastAsia="Calibri" w:hAnsi="Verdana" w:cs="Arial"/>
          <w:i/>
          <w:iCs/>
          <w:lang w:val="es-ES_tradnl"/>
        </w:rPr>
        <w:t>pacta sunt </w:t>
      </w:r>
      <w:proofErr w:type="spellStart"/>
      <w:r w:rsidRPr="00FB662C">
        <w:rPr>
          <w:rFonts w:ascii="Verdana" w:eastAsia="Calibri" w:hAnsi="Verdana" w:cs="Arial"/>
          <w:i/>
          <w:iCs/>
          <w:lang w:val="es-ES_tradnl"/>
        </w:rPr>
        <w:t>servanda</w:t>
      </w:r>
      <w:proofErr w:type="spellEnd"/>
      <w:r w:rsidRPr="00FB662C">
        <w:rPr>
          <w:rFonts w:ascii="Verdana" w:eastAsia="Calibri" w:hAnsi="Verdana" w:cs="Arial"/>
          <w:lang w:val="es-ES_tradnl"/>
        </w:rPr>
        <w:t>,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w:t>
      </w:r>
      <w:r w:rsidRPr="00FB662C">
        <w:rPr>
          <w:rFonts w:ascii="Verdana" w:hAnsi="Verdana" w:cs="Arial"/>
          <w:lang w:val="es-ES" w:eastAsia="es-CO"/>
        </w:rPr>
        <w:t>”.</w:t>
      </w:r>
    </w:p>
    <w:p w14:paraId="30383A0B" w14:textId="77777777" w:rsidR="007F3EED" w:rsidRDefault="007F3EED" w:rsidP="007F3EED">
      <w:pPr>
        <w:spacing w:after="0" w:line="276" w:lineRule="auto"/>
        <w:ind w:firstLine="709"/>
        <w:jc w:val="both"/>
        <w:rPr>
          <w:rFonts w:ascii="Verdana" w:hAnsi="Verdana" w:cs="Arial"/>
          <w:lang w:val="es-ES" w:eastAsia="es-CO"/>
        </w:rPr>
      </w:pPr>
    </w:p>
    <w:p w14:paraId="78178BB0" w14:textId="77777777" w:rsidR="007F3EED" w:rsidRPr="00113A19" w:rsidRDefault="007F3EED" w:rsidP="007F3EED">
      <w:pPr>
        <w:spacing w:after="120" w:line="276" w:lineRule="auto"/>
        <w:jc w:val="both"/>
        <w:rPr>
          <w:rFonts w:ascii="Verdana" w:eastAsia="Calibri" w:hAnsi="Verdana" w:cs="Arial"/>
          <w:lang w:val="es-ES_tradnl"/>
        </w:rPr>
      </w:pPr>
      <w:proofErr w:type="spellStart"/>
      <w:r w:rsidRPr="00113A19">
        <w:rPr>
          <w:rFonts w:ascii="Verdana" w:hAnsi="Verdana" w:cs="Arial"/>
          <w:lang w:val="es-ES" w:eastAsia="es-CO"/>
        </w:rPr>
        <w:t>ii</w:t>
      </w:r>
      <w:proofErr w:type="spellEnd"/>
      <w:r w:rsidRPr="00113A19">
        <w:rPr>
          <w:rFonts w:ascii="Verdana" w:hAnsi="Verdana" w:cs="Arial"/>
          <w:lang w:val="es-ES" w:eastAsia="es-CO"/>
        </w:rPr>
        <w:t xml:space="preserve">. </w:t>
      </w:r>
      <w:r w:rsidRPr="00113A19">
        <w:rPr>
          <w:rFonts w:ascii="Verdana" w:eastAsia="Calibri" w:hAnsi="Verdana" w:cs="Arial"/>
          <w:lang w:val="es-ES_tradnl"/>
        </w:rPr>
        <w:t xml:space="preserve">El 31 de diciembre de 2020 se promulgó la Ley 2069, “Por medio de la cual se impulsa el emprendimiento en Colombia”. De acuerdo con el artículo 84, “La </w:t>
      </w:r>
      <w:r w:rsidRPr="00113A19">
        <w:rPr>
          <w:rFonts w:ascii="Verdana" w:eastAsia="Calibri" w:hAnsi="Verdana" w:cs="Arial"/>
          <w:lang w:val="es-ES_tradnl"/>
        </w:rPr>
        <w:lastRenderedPageBreak/>
        <w:t>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expidiera el decreto correspondiente que permitiera la cumplida ejecución de esta Ley, tal como aconteció con el Decreto 1860 de 2021, al cual se hará referencia más adelante.</w:t>
      </w:r>
    </w:p>
    <w:p w14:paraId="3A56DB05" w14:textId="77777777" w:rsidR="007F3EED" w:rsidRPr="00113A19" w:rsidRDefault="007F3EED" w:rsidP="007F3EED">
      <w:pPr>
        <w:spacing w:after="120" w:line="276" w:lineRule="auto"/>
        <w:ind w:firstLine="709"/>
        <w:jc w:val="both"/>
        <w:rPr>
          <w:rFonts w:ascii="Verdana" w:eastAsia="Calibri" w:hAnsi="Verdana" w:cs="Arial"/>
          <w:lang w:val="es-ES"/>
        </w:rPr>
      </w:pPr>
      <w:r w:rsidRPr="00113A19">
        <w:rPr>
          <w:rFonts w:ascii="Verdana" w:eastAsia="Calibri" w:hAnsi="Verdana" w:cs="Arial"/>
          <w:lang w:val="es-ES"/>
        </w:rPr>
        <w:t xml:space="preserve">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113A19">
        <w:rPr>
          <w:rFonts w:ascii="Verdana" w:eastAsia="Calibri" w:hAnsi="Verdana" w:cs="Arial"/>
          <w:lang w:val="es-ES"/>
        </w:rPr>
        <w:t>de acuerdo a</w:t>
      </w:r>
      <w:proofErr w:type="gramEnd"/>
      <w:r w:rsidRPr="00113A19">
        <w:rPr>
          <w:rFonts w:ascii="Verdana" w:eastAsia="Calibri" w:hAnsi="Verdana" w:cs="Arial"/>
          <w:lang w:val="es-ES"/>
        </w:rPr>
        <w:t xml:space="preserve"> las realidades socioeconómicas de cada región”. En desarrollo de esta finalidad, se establecen medidas de apoyo para las micro, pequeñas y medianas empresas –</w:t>
      </w:r>
      <w:proofErr w:type="spellStart"/>
      <w:r w:rsidRPr="00113A19">
        <w:rPr>
          <w:rFonts w:ascii="Verdana" w:eastAsia="Calibri" w:hAnsi="Verdana" w:cs="Arial"/>
          <w:lang w:val="es-ES"/>
        </w:rPr>
        <w:t>mipymes</w:t>
      </w:r>
      <w:proofErr w:type="spellEnd"/>
      <w:r w:rsidRPr="00113A19">
        <w:rPr>
          <w:rFonts w:ascii="Verdana" w:eastAsia="Calibri" w:hAnsi="Verdana" w:cs="Arial"/>
          <w:lang w:val="es-ES"/>
        </w:rPr>
        <w:t>–, mediante la racionalización y simplificación de los trámites y tarifas</w:t>
      </w:r>
      <w:r w:rsidRPr="00113A19">
        <w:rPr>
          <w:rStyle w:val="Refdenotaalpie"/>
          <w:rFonts w:ascii="Verdana" w:eastAsia="Calibri" w:hAnsi="Verdana" w:cs="Arial"/>
          <w:lang w:val="es-ES"/>
        </w:rPr>
        <w:footnoteReference w:id="3"/>
      </w:r>
      <w:r w:rsidRPr="00113A19">
        <w:rPr>
          <w:rFonts w:ascii="Verdana" w:eastAsia="Calibri" w:hAnsi="Verdana" w:cs="Arial"/>
          <w:lang w:val="es-ES"/>
        </w:rPr>
        <w:t>, así como incentivos a favor de aquellas dentro del sistema de compras y contratación pública</w:t>
      </w:r>
      <w:r w:rsidRPr="00113A19">
        <w:rPr>
          <w:rStyle w:val="Refdenotaalpie"/>
          <w:rFonts w:ascii="Verdana" w:eastAsia="Calibri" w:hAnsi="Verdana" w:cs="Arial"/>
          <w:lang w:val="es-ES"/>
        </w:rPr>
        <w:footnoteReference w:id="4"/>
      </w:r>
      <w:r w:rsidRPr="00113A19">
        <w:rPr>
          <w:rFonts w:ascii="Verdana" w:eastAsia="Calibri" w:hAnsi="Verdana" w:cs="Arial"/>
          <w:lang w:val="es-ES"/>
        </w:rPr>
        <w:t>. También se consagran mecanismos de acceso al financiamiento</w:t>
      </w:r>
      <w:r w:rsidRPr="00113A19">
        <w:rPr>
          <w:rStyle w:val="Refdenotaalpie"/>
          <w:rFonts w:ascii="Verdana" w:eastAsia="Calibri" w:hAnsi="Verdana" w:cs="Arial"/>
          <w:lang w:val="es-ES"/>
        </w:rPr>
        <w:footnoteReference w:id="5"/>
      </w:r>
      <w:r w:rsidRPr="00113A19">
        <w:rPr>
          <w:rFonts w:ascii="Verdana" w:eastAsia="Calibri" w:hAnsi="Verdana" w:cs="Arial"/>
          <w:lang w:val="es-ES"/>
        </w:rPr>
        <w:t>, se unifican las fuentes de emprendimiento y de desarrollo empresarial, para fortalecer y promover los distintos sectores de la economía</w:t>
      </w:r>
      <w:r w:rsidRPr="00113A19">
        <w:rPr>
          <w:rStyle w:val="Refdenotaalpie"/>
          <w:rFonts w:ascii="Verdana" w:eastAsia="Calibri" w:hAnsi="Verdana" w:cs="Arial"/>
          <w:lang w:val="es-ES"/>
        </w:rPr>
        <w:footnoteReference w:id="6"/>
      </w:r>
      <w:r w:rsidRPr="00113A19">
        <w:rPr>
          <w:rFonts w:ascii="Verdana" w:eastAsia="Calibri" w:hAnsi="Verdana" w:cs="Arial"/>
          <w:lang w:val="es-ES"/>
        </w:rPr>
        <w:t xml:space="preserve"> y se prevén medidas de educación para el emprendimiento y la innovación</w:t>
      </w:r>
      <w:r w:rsidRPr="00113A19">
        <w:rPr>
          <w:rStyle w:val="Refdenotaalpie"/>
          <w:rFonts w:ascii="Verdana" w:eastAsia="Calibri" w:hAnsi="Verdana" w:cs="Arial"/>
          <w:lang w:val="es-ES"/>
        </w:rPr>
        <w:footnoteReference w:id="7"/>
      </w:r>
      <w:r w:rsidRPr="00113A19">
        <w:rPr>
          <w:rFonts w:ascii="Verdana" w:eastAsia="Calibri" w:hAnsi="Verdana" w:cs="Arial"/>
          <w:lang w:val="es-ES"/>
        </w:rPr>
        <w:t>.</w:t>
      </w:r>
    </w:p>
    <w:p w14:paraId="311D20DD" w14:textId="77777777" w:rsidR="007F3EED" w:rsidRPr="00113A19" w:rsidRDefault="007F3EED" w:rsidP="007F3EED">
      <w:pPr>
        <w:spacing w:after="120" w:line="276" w:lineRule="auto"/>
        <w:ind w:firstLine="709"/>
        <w:jc w:val="both"/>
        <w:rPr>
          <w:rFonts w:ascii="Verdana" w:eastAsia="Calibri" w:hAnsi="Verdana" w:cs="Arial"/>
          <w:lang w:val="es-ES"/>
        </w:rPr>
      </w:pPr>
      <w:r w:rsidRPr="00113A19">
        <w:rPr>
          <w:rFonts w:ascii="Verdana" w:eastAsia="Calibri" w:hAnsi="Verdana" w:cs="Arial"/>
          <w:lang w:val="es-ES"/>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113A19">
        <w:rPr>
          <w:rFonts w:ascii="Verdana" w:eastAsia="Calibri" w:hAnsi="Verdana" w:cs="Arial"/>
          <w:lang w:val="es-ES"/>
        </w:rPr>
        <w:t>mipymes</w:t>
      </w:r>
      <w:proofErr w:type="spellEnd"/>
      <w:r w:rsidRPr="00113A19">
        <w:rPr>
          <w:rFonts w:ascii="Verdana" w:eastAsia="Calibri" w:hAnsi="Verdana" w:cs="Arial"/>
          <w:lang w:val="es-ES"/>
        </w:rPr>
        <w:t xml:space="preserve"> en el procedimiento de mínima cuantía, </w:t>
      </w:r>
      <w:proofErr w:type="spellStart"/>
      <w:r w:rsidRPr="00113A19">
        <w:rPr>
          <w:rFonts w:ascii="Verdana" w:eastAsia="Calibri" w:hAnsi="Verdana" w:cs="Arial"/>
          <w:lang w:val="es-ES"/>
        </w:rPr>
        <w:t>ii</w:t>
      </w:r>
      <w:proofErr w:type="spellEnd"/>
      <w:r w:rsidRPr="00113A19">
        <w:rPr>
          <w:rFonts w:ascii="Verdana" w:eastAsia="Calibri" w:hAnsi="Verdana" w:cs="Arial"/>
          <w:lang w:val="es-ES"/>
        </w:rPr>
        <w:t xml:space="preserve">) criterios diferenciales para </w:t>
      </w:r>
      <w:proofErr w:type="spellStart"/>
      <w:r w:rsidRPr="00113A19">
        <w:rPr>
          <w:rFonts w:ascii="Verdana" w:eastAsia="Calibri" w:hAnsi="Verdana" w:cs="Arial"/>
          <w:lang w:val="es-ES"/>
        </w:rPr>
        <w:t>mipymes</w:t>
      </w:r>
      <w:proofErr w:type="spellEnd"/>
      <w:r w:rsidRPr="00113A19">
        <w:rPr>
          <w:rFonts w:ascii="Verdana" w:eastAsia="Calibri" w:hAnsi="Verdana" w:cs="Arial"/>
          <w:lang w:val="es-ES"/>
        </w:rPr>
        <w:t xml:space="preserve"> en el sistema de compras públicas, </w:t>
      </w:r>
      <w:proofErr w:type="spellStart"/>
      <w:r w:rsidRPr="00113A19">
        <w:rPr>
          <w:rFonts w:ascii="Verdana" w:eastAsia="Calibri" w:hAnsi="Verdana" w:cs="Arial"/>
          <w:lang w:val="es-ES"/>
        </w:rPr>
        <w:t>iii</w:t>
      </w:r>
      <w:proofErr w:type="spellEnd"/>
      <w:r w:rsidRPr="00113A19">
        <w:rPr>
          <w:rFonts w:ascii="Verdana" w:eastAsia="Calibri" w:hAnsi="Verdana" w:cs="Arial"/>
          <w:lang w:val="es-ES"/>
        </w:rPr>
        <w:t xml:space="preserve">) criterios diferenciales para emprendimientos y empresas de mujeres en el sistema de compras públicas, </w:t>
      </w:r>
      <w:proofErr w:type="spellStart"/>
      <w:r w:rsidRPr="00113A19">
        <w:rPr>
          <w:rFonts w:ascii="Verdana" w:eastAsia="Calibri" w:hAnsi="Verdana" w:cs="Arial"/>
          <w:lang w:val="es-ES"/>
        </w:rPr>
        <w:t>iv</w:t>
      </w:r>
      <w:proofErr w:type="spellEnd"/>
      <w:r w:rsidRPr="00113A19">
        <w:rPr>
          <w:rFonts w:ascii="Verdana" w:eastAsia="Calibri" w:hAnsi="Verdana" w:cs="Arial"/>
          <w:lang w:val="es-ES"/>
        </w:rPr>
        <w:t xml:space="preserve">) promoción del acceso de las </w:t>
      </w:r>
      <w:proofErr w:type="spellStart"/>
      <w:r w:rsidRPr="00113A19">
        <w:rPr>
          <w:rFonts w:ascii="Verdana" w:eastAsia="Calibri" w:hAnsi="Verdana" w:cs="Arial"/>
          <w:lang w:val="es-ES"/>
        </w:rPr>
        <w:t>mipymes</w:t>
      </w:r>
      <w:proofErr w:type="spellEnd"/>
      <w:r w:rsidRPr="00113A19">
        <w:rPr>
          <w:rFonts w:ascii="Verdana" w:eastAsia="Calibri" w:hAnsi="Verdana" w:cs="Arial"/>
          <w:lang w:val="es-ES"/>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r w:rsidRPr="00113A19">
        <w:rPr>
          <w:rFonts w:ascii="Verdana" w:eastAsia="Calibri" w:hAnsi="Verdana" w:cs="Arial"/>
          <w:lang w:val="es-ES"/>
        </w:rPr>
        <w:lastRenderedPageBreak/>
        <w:t xml:space="preserve">Teniendo en cuenta que la consulta está relacionada con la interpretación del artículo 35 de la referida ley, a continuación, se estudiará el contenido y alcance de dicha norma.  </w:t>
      </w:r>
    </w:p>
    <w:p w14:paraId="45829427" w14:textId="77777777" w:rsidR="007F3EED" w:rsidRPr="00113A19" w:rsidRDefault="007F3EED" w:rsidP="007F3EED">
      <w:pPr>
        <w:spacing w:after="120" w:line="276" w:lineRule="auto"/>
        <w:jc w:val="both"/>
        <w:rPr>
          <w:rFonts w:ascii="Verdana" w:eastAsia="Calibri" w:hAnsi="Verdana" w:cs="Arial"/>
          <w:lang w:val="es-ES"/>
        </w:rPr>
      </w:pPr>
      <w:r w:rsidRPr="00113A19">
        <w:rPr>
          <w:rFonts w:ascii="Verdana" w:eastAsia="Calibri" w:hAnsi="Verdana" w:cs="Arial"/>
          <w:lang w:val="es-ES_tradnl"/>
        </w:rPr>
        <w:tab/>
      </w:r>
      <w:r w:rsidRPr="00113A19">
        <w:rPr>
          <w:rFonts w:ascii="Verdana" w:eastAsia="Calibri" w:hAnsi="Verdana" w:cs="Arial"/>
          <w:lang w:val="es-ES"/>
        </w:rPr>
        <w:t xml:space="preserve">El artículo 35 de la Ley 2069 de 2020 modifica la regulación de los factores de desempate en la contratación estatal. 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requería de una reglamentación previa como presupuesto para su eficacia. Esta precisión reviste de importancia, porque algunos enunciados normativos de la ley bajo análisis establecen un mandato de reglamentación, dirigido al gobierno nacional, como condición para aplicar lo dispuesto en ella. </w:t>
      </w:r>
    </w:p>
    <w:p w14:paraId="3D7A7C27" w14:textId="77777777" w:rsidR="007F3EED" w:rsidRPr="00113A19" w:rsidRDefault="007F3EED" w:rsidP="007F3EED">
      <w:pPr>
        <w:spacing w:after="120" w:line="276" w:lineRule="auto"/>
        <w:ind w:firstLine="709"/>
        <w:jc w:val="both"/>
        <w:rPr>
          <w:rFonts w:ascii="Verdana" w:eastAsia="Calibri" w:hAnsi="Verdana" w:cs="Arial"/>
          <w:lang w:val="es-ES"/>
        </w:rPr>
      </w:pPr>
      <w:r w:rsidRPr="00113A19">
        <w:rPr>
          <w:rFonts w:ascii="Verdana" w:eastAsia="Calibri" w:hAnsi="Verdana" w:cs="Arial"/>
          <w:lang w:val="es-ES"/>
        </w:rPr>
        <w:t xml:space="preserve">Por ejemplo, en lo que a las compras públicas se refiere, el parágrafo primero del artículo 30, que alude a la participación de </w:t>
      </w:r>
      <w:proofErr w:type="spellStart"/>
      <w:r w:rsidRPr="00113A19">
        <w:rPr>
          <w:rFonts w:ascii="Verdana" w:eastAsia="Calibri" w:hAnsi="Verdana" w:cs="Arial"/>
          <w:lang w:val="es-ES"/>
        </w:rPr>
        <w:t>mipymes</w:t>
      </w:r>
      <w:proofErr w:type="spellEnd"/>
      <w:r w:rsidRPr="00113A19">
        <w:rPr>
          <w:rFonts w:ascii="Verdana" w:eastAsia="Calibri" w:hAnsi="Verdana" w:cs="Arial"/>
          <w:lang w:val="es-ES"/>
        </w:rPr>
        <w:t xml:space="preserve"> en procedimientos de mínima cuantía, establece que “Las particularidades del procedimiento aquí previsto, así como la posibilidad que tengan las entidades de realizar estas adquisiciones a </w:t>
      </w:r>
      <w:proofErr w:type="spellStart"/>
      <w:r w:rsidRPr="00113A19">
        <w:rPr>
          <w:rFonts w:ascii="Verdana" w:eastAsia="Calibri" w:hAnsi="Verdana" w:cs="Arial"/>
          <w:lang w:val="es-ES"/>
        </w:rPr>
        <w:t>Mipymes</w:t>
      </w:r>
      <w:proofErr w:type="spellEnd"/>
      <w:r w:rsidRPr="00113A19">
        <w:rPr>
          <w:rFonts w:ascii="Verdana" w:eastAsia="Calibri" w:hAnsi="Verdana" w:cs="Arial"/>
          <w:lang w:val="es-ES"/>
        </w:rPr>
        <w:t xml:space="preserve">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1EF9B1CC" w14:textId="77777777" w:rsidR="007F3EED" w:rsidRPr="00113A19" w:rsidRDefault="007F3EED" w:rsidP="007F3EED">
      <w:pPr>
        <w:spacing w:after="120" w:line="276" w:lineRule="auto"/>
        <w:ind w:firstLine="709"/>
        <w:jc w:val="both"/>
        <w:rPr>
          <w:rFonts w:ascii="Verdana" w:eastAsia="Calibri" w:hAnsi="Verdana" w:cs="Arial"/>
          <w:lang w:val="es-ES"/>
        </w:rPr>
      </w:pPr>
      <w:r w:rsidRPr="00113A19">
        <w:rPr>
          <w:rFonts w:ascii="Verdana" w:eastAsia="Calibri" w:hAnsi="Verdana" w:cs="Arial"/>
          <w:lang w:val="es-ES"/>
        </w:rPr>
        <w:t xml:space="preserve">Lo mismo no sucede con el artículo 35. En efecto, </w:t>
      </w:r>
      <w:r w:rsidRPr="00113A19">
        <w:rPr>
          <w:rFonts w:ascii="Verdana" w:hAnsi="Verdana" w:cs="Arial"/>
          <w:lang w:val="es-ES"/>
        </w:rPr>
        <w:t xml:space="preserve">si bien los factores de desempate regulados en el artículo 35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sin perjuicio de la competencia general prevista en el artículo 189.11 de Constitución Política de 1991, este parágrafo le asigna potestad reglamentaria al gobierno nacional para definir factores que permitan desempatar las ofertas en aquellos casos en que varios oferentes reúnan al tiempo dos o más de los factores previstos en el artículo 35. </w:t>
      </w:r>
      <w:r w:rsidRPr="00113A19">
        <w:rPr>
          <w:rFonts w:ascii="Verdana" w:eastAsia="Calibri" w:hAnsi="Verdana" w:cs="Arial"/>
          <w:lang w:val="es-ES"/>
        </w:rPr>
        <w:t xml:space="preserve">  </w:t>
      </w:r>
    </w:p>
    <w:p w14:paraId="6C26997A" w14:textId="77777777" w:rsidR="007F3EED" w:rsidRPr="00113A19" w:rsidRDefault="007F3EED" w:rsidP="007F3EED">
      <w:pPr>
        <w:spacing w:after="120" w:line="276" w:lineRule="auto"/>
        <w:jc w:val="both"/>
        <w:rPr>
          <w:rFonts w:ascii="Verdana" w:eastAsia="Calibri" w:hAnsi="Verdana" w:cs="Arial"/>
          <w:lang w:val="es-ES_tradnl"/>
        </w:rPr>
      </w:pPr>
      <w:r w:rsidRPr="00113A19">
        <w:rPr>
          <w:rFonts w:ascii="Verdana" w:eastAsia="Calibri" w:hAnsi="Verdana" w:cs="Arial"/>
          <w:b/>
          <w:bCs/>
          <w:lang w:val="es-ES_tradnl"/>
        </w:rPr>
        <w:lastRenderedPageBreak/>
        <w:tab/>
      </w:r>
      <w:r w:rsidRPr="00113A19">
        <w:rPr>
          <w:rFonts w:ascii="Verdana" w:eastAsia="Calibri" w:hAnsi="Verdana" w:cs="Arial"/>
          <w:lang w:val="es-ES_tradnl"/>
        </w:rPr>
        <w:t>Lo explicado en los párrafos precedentes es importante, porque el 24 de diciembre de 2021, el gobierno nacional expidió el Decreto 1860,</w:t>
      </w:r>
      <w:r w:rsidRPr="00113A19">
        <w:rPr>
          <w:rFonts w:ascii="Verdana" w:hAnsi="Verdana"/>
        </w:rPr>
        <w:t xml:space="preserve"> </w:t>
      </w:r>
      <w:r w:rsidRPr="00113A19">
        <w:rPr>
          <w:rFonts w:ascii="Verdana" w:eastAsia="Calibri" w:hAnsi="Verdana" w:cs="Arial"/>
          <w:lang w:val="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113A19">
        <w:rPr>
          <w:rStyle w:val="Refdenotaalpie"/>
          <w:rFonts w:ascii="Verdana" w:eastAsia="Calibri" w:hAnsi="Verdana" w:cs="Arial"/>
          <w:lang w:val="es-ES_tradnl"/>
        </w:rPr>
        <w:footnoteReference w:id="8"/>
      </w:r>
      <w:r w:rsidRPr="00113A19">
        <w:rPr>
          <w:rFonts w:ascii="Verdana" w:eastAsia="Calibri" w:hAnsi="Verdana" w:cs="Arial"/>
          <w:lang w:val="es-ES_tradnl"/>
        </w:rPr>
        <w:t xml:space="preserve">.  </w:t>
      </w:r>
    </w:p>
    <w:p w14:paraId="1FDACA45" w14:textId="77777777" w:rsidR="007F3EED" w:rsidRPr="00113A19" w:rsidRDefault="007F3EED" w:rsidP="007F3EED">
      <w:pPr>
        <w:spacing w:after="120" w:line="276" w:lineRule="auto"/>
        <w:jc w:val="both"/>
        <w:rPr>
          <w:rFonts w:ascii="Verdana" w:hAnsi="Verdana" w:cs="Arial"/>
        </w:rPr>
      </w:pPr>
      <w:r w:rsidRPr="00113A19">
        <w:rPr>
          <w:rFonts w:ascii="Verdana" w:eastAsia="Calibri" w:hAnsi="Verdana" w:cs="Arial"/>
          <w:lang w:val="es-ES_tradnl"/>
        </w:rPr>
        <w:tab/>
        <w:t>En lo relativo al artículo 35 de la Ley 2069 de 2020, el artículo 3 del Decreto 1860 de 2021 adiciona el artículo 2.2.1.2.4.2.17. a la Subsección 2 de la Sección 4 del Capítulo 2 del Título 1 de la Parte 2 del Libro 2 del Decreto 1082 de 2015</w:t>
      </w:r>
      <w:r w:rsidRPr="00113A19">
        <w:rPr>
          <w:rFonts w:ascii="Verdana" w:hAnsi="Verdana" w:cs="Arial"/>
          <w:lang w:eastAsia="es-CO"/>
        </w:rPr>
        <w:t xml:space="preserve">, el cual reglamenta los factores de desempate del artículo 35 </w:t>
      </w:r>
      <w:proofErr w:type="spellStart"/>
      <w:r w:rsidRPr="00113A19">
        <w:rPr>
          <w:rFonts w:ascii="Verdana" w:hAnsi="Verdana" w:cs="Arial"/>
          <w:i/>
          <w:iCs/>
          <w:lang w:eastAsia="es-CO"/>
        </w:rPr>
        <w:t>ibídem</w:t>
      </w:r>
      <w:proofErr w:type="spellEnd"/>
      <w:r w:rsidRPr="00113A19">
        <w:rPr>
          <w:rFonts w:ascii="Verdana" w:hAnsi="Verdana" w:cs="Arial"/>
          <w:lang w:eastAsia="es-CO"/>
        </w:rPr>
        <w:t xml:space="preserve">, estableciendo los medios de acreditación de cada uno de los supuestos de hecho en función de los cuales operan. </w:t>
      </w:r>
      <w:r w:rsidRPr="00113A19">
        <w:rPr>
          <w:rFonts w:ascii="Verdana" w:hAnsi="Verdana" w:cs="Arial"/>
        </w:rPr>
        <w:t xml:space="preserve">De otra parte, el artículo 7 del Decreto recientemente expedido modificó el contenido del artículo 2.2.1.2.4.2.8 </w:t>
      </w:r>
      <w:r w:rsidRPr="00113A19">
        <w:rPr>
          <w:rFonts w:ascii="Verdana" w:hAnsi="Verdana" w:cs="Arial"/>
          <w:shd w:val="clear" w:color="auto" w:fill="FFFFFF"/>
        </w:rPr>
        <w:t xml:space="preserve">de la Subsección 2 de la Sección 4 del Capítulo 2 del Título 1 de la Parte 2 del Libro 2 del Decreto 1082 de 2015, alusivo al sistema de preferencias en favor de las personas con discapacidad. </w:t>
      </w:r>
      <w:r w:rsidRPr="00113A19">
        <w:rPr>
          <w:rFonts w:ascii="Verdana" w:hAnsi="Verdana" w:cs="Arial"/>
        </w:rPr>
        <w:t>La modificación realizada reemplazó la 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278E70BD" w14:textId="77777777" w:rsidR="007F3EED" w:rsidRDefault="007F3EED" w:rsidP="007F3EED">
      <w:pPr>
        <w:spacing w:after="0" w:line="276" w:lineRule="auto"/>
        <w:jc w:val="both"/>
        <w:rPr>
          <w:rFonts w:ascii="Verdana" w:hAnsi="Verdana" w:cs="Arial"/>
          <w:lang w:eastAsia="es-CO"/>
        </w:rPr>
      </w:pPr>
      <w:r w:rsidRPr="00113A19">
        <w:rPr>
          <w:rFonts w:ascii="Verdana" w:hAnsi="Verdana" w:cs="Arial"/>
          <w:lang w:eastAsia="es-CO"/>
        </w:rPr>
        <w:tab/>
        <w:t xml:space="preserve">Por último, debe precisarse que la vigencia del Decreto 1860 de 2021 es regulada por su artículo 8, el cual establece que “Las disposiciones contenidas en el presente Decreto se aplicarán a los procedimientos de selección cuya invitación, aviso de convocatoria o documento equivalente se publique a los tres </w:t>
      </w:r>
      <w:r w:rsidRPr="00113A19">
        <w:rPr>
          <w:rFonts w:ascii="Verdana" w:hAnsi="Verdana" w:cs="Arial"/>
          <w:lang w:eastAsia="es-CO"/>
        </w:rPr>
        <w:lastRenderedPageBreak/>
        <w:t>(3) meses contados a partir de su expedición”. De acuerdo con esto, habiéndose expedido el referido decreto el 24 de diciembre de 2021, la aplicación de su contenido deberá comenzar una vez transcurridos tres (3) meses contados a partir de entonces, en los procesos cuyos avisos de convocatorias, invitaciones o documentos equivalentes se publiquen con posterioridad a dicho término</w:t>
      </w:r>
      <w:r w:rsidRPr="00113A19">
        <w:rPr>
          <w:rStyle w:val="Refdenotaalpie"/>
          <w:rFonts w:ascii="Verdana" w:hAnsi="Verdana" w:cs="Arial"/>
          <w:lang w:eastAsia="es-CO"/>
        </w:rPr>
        <w:footnoteReference w:id="9"/>
      </w:r>
      <w:r w:rsidRPr="00113A19">
        <w:rPr>
          <w:rFonts w:ascii="Verdana" w:hAnsi="Verdana" w:cs="Arial"/>
          <w:lang w:eastAsia="es-CO"/>
        </w:rPr>
        <w:t xml:space="preserve">. </w:t>
      </w:r>
    </w:p>
    <w:p w14:paraId="1E87DAEE" w14:textId="77777777" w:rsidR="007F3EED" w:rsidRDefault="007F3EED" w:rsidP="007F3EED">
      <w:pPr>
        <w:spacing w:after="0" w:line="276" w:lineRule="auto"/>
        <w:jc w:val="both"/>
        <w:rPr>
          <w:rFonts w:ascii="Verdana" w:hAnsi="Verdana" w:cs="Arial"/>
          <w:lang w:eastAsia="es-CO"/>
        </w:rPr>
      </w:pPr>
    </w:p>
    <w:p w14:paraId="5CE68EE3" w14:textId="77777777" w:rsidR="007F3EED" w:rsidRPr="002837AB" w:rsidRDefault="007F3EED" w:rsidP="007F3EED">
      <w:pPr>
        <w:tabs>
          <w:tab w:val="left" w:pos="6551"/>
        </w:tabs>
        <w:spacing w:after="120" w:line="276" w:lineRule="auto"/>
        <w:jc w:val="both"/>
        <w:rPr>
          <w:rFonts w:ascii="Verdana" w:eastAsia="Calibri" w:hAnsi="Verdana" w:cs="Arial"/>
          <w:color w:val="000000" w:themeColor="text1"/>
          <w:lang w:val="es-ES_tradnl"/>
        </w:rPr>
      </w:pPr>
      <w:proofErr w:type="spellStart"/>
      <w:r w:rsidRPr="002837AB">
        <w:rPr>
          <w:rFonts w:ascii="Verdana" w:hAnsi="Verdana" w:cs="Arial"/>
          <w:lang w:eastAsia="es-CO"/>
        </w:rPr>
        <w:t>iii</w:t>
      </w:r>
      <w:proofErr w:type="spellEnd"/>
      <w:r w:rsidRPr="002837AB">
        <w:rPr>
          <w:rFonts w:ascii="Verdana" w:hAnsi="Verdana" w:cs="Arial"/>
          <w:lang w:eastAsia="es-CO"/>
        </w:rPr>
        <w:t xml:space="preserve">. </w:t>
      </w:r>
      <w:r w:rsidRPr="002837AB">
        <w:rPr>
          <w:rFonts w:ascii="Verdana" w:eastAsia="Calibri" w:hAnsi="Verdana" w:cs="Arial"/>
          <w:bCs/>
          <w:lang w:val="es-ES_tradnl"/>
        </w:rPr>
        <w:t xml:space="preserve">Con respecto al numeral 4 del artículo </w:t>
      </w:r>
      <w:r w:rsidRPr="002837AB">
        <w:rPr>
          <w:rFonts w:ascii="Verdana" w:eastAsia="Calibri" w:hAnsi="Verdana" w:cs="Arial"/>
          <w:color w:val="000000" w:themeColor="text1"/>
          <w:lang w:val="es-ES_tradnl"/>
        </w:rPr>
        <w:t>2.2.1.2.4.2.17 del Decreto 1082 de 2015 adicionado por el</w:t>
      </w:r>
      <w:r w:rsidRPr="002837AB">
        <w:rPr>
          <w:rFonts w:ascii="Verdana" w:eastAsia="Calibri" w:hAnsi="Verdana" w:cs="Arial"/>
          <w:bCs/>
          <w:color w:val="000000" w:themeColor="text1"/>
          <w:lang w:val="es-ES_tradnl"/>
        </w:rPr>
        <w:t xml:space="preserve"> artículo 3 del Decreto 1860 de 2021 </w:t>
      </w:r>
      <w:r w:rsidRPr="002837AB">
        <w:rPr>
          <w:rFonts w:ascii="Verdana" w:eastAsia="Calibri" w:hAnsi="Verdana" w:cs="Arial"/>
          <w:color w:val="000000" w:themeColor="text1"/>
          <w:lang w:val="es-ES_tradnl"/>
        </w:rPr>
        <w:t xml:space="preserve">que reglamenta el numeral 4 </w:t>
      </w:r>
      <w:r w:rsidRPr="002837AB">
        <w:rPr>
          <w:rFonts w:ascii="Verdana" w:eastAsia="Calibri" w:hAnsi="Verdana" w:cs="Arial"/>
          <w:bCs/>
          <w:lang w:val="es-ES_tradnl"/>
        </w:rPr>
        <w:t>del artículo 35 de la Ley 2069 de 2020, se</w:t>
      </w:r>
      <w:r w:rsidRPr="002837AB">
        <w:rPr>
          <w:rFonts w:ascii="Verdana" w:eastAsia="Calibri" w:hAnsi="Verdana" w:cs="Arial"/>
          <w:bCs/>
          <w:color w:val="000000" w:themeColor="text1"/>
          <w:lang w:val="es-ES_tradnl"/>
        </w:rPr>
        <w:t xml:space="preserve"> señalarán las consideraciones que esta Agencia en su momento expresó, en relación con la acreditación de este factor de desempate, previo a la expedición del Decreto 1860 de 2021, para, posteriormente, indicar cuál es el alcance que la norma reglamentaria brinda al referido factor de desempate. </w:t>
      </w:r>
    </w:p>
    <w:p w14:paraId="14047DAC" w14:textId="77777777" w:rsidR="007F3EED" w:rsidRPr="002837AB" w:rsidRDefault="007F3EED" w:rsidP="007F3EED">
      <w:pPr>
        <w:tabs>
          <w:tab w:val="left" w:pos="6551"/>
        </w:tabs>
        <w:spacing w:after="120" w:line="276" w:lineRule="auto"/>
        <w:ind w:firstLine="709"/>
        <w:jc w:val="both"/>
        <w:rPr>
          <w:rFonts w:ascii="Verdana" w:eastAsia="Calibri" w:hAnsi="Verdana" w:cs="Arial"/>
          <w:color w:val="000000" w:themeColor="text1"/>
          <w:lang w:val="es-ES"/>
        </w:rPr>
      </w:pPr>
      <w:bookmarkStart w:id="8" w:name="_Hlk93049677"/>
      <w:r w:rsidRPr="002837AB">
        <w:rPr>
          <w:rFonts w:ascii="Verdana" w:eastAsia="Calibri" w:hAnsi="Verdana" w:cs="Arial"/>
          <w:color w:val="000000" w:themeColor="text1"/>
          <w:lang w:val="es-ES"/>
        </w:rPr>
        <w:t xml:space="preserve">En relación con lo previsto en el numeral </w:t>
      </w:r>
      <w:r w:rsidRPr="002837AB">
        <w:rPr>
          <w:rFonts w:ascii="Verdana" w:eastAsia="Calibri" w:hAnsi="Verdana" w:cs="Arial"/>
          <w:i/>
          <w:iCs/>
          <w:color w:val="000000" w:themeColor="text1"/>
          <w:lang w:val="es-ES"/>
        </w:rPr>
        <w:t>ibidem</w:t>
      </w:r>
      <w:r w:rsidRPr="002837AB">
        <w:rPr>
          <w:rFonts w:ascii="Verdana" w:eastAsia="Calibri" w:hAnsi="Verdana" w:cs="Arial"/>
          <w:color w:val="000000" w:themeColor="text1"/>
          <w:lang w:val="es-ES"/>
        </w:rPr>
        <w:t xml:space="preserve">,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w:t>
      </w:r>
      <w:proofErr w:type="gramStart"/>
      <w:r w:rsidRPr="002837AB">
        <w:rPr>
          <w:rFonts w:ascii="Verdana" w:eastAsia="Calibri" w:hAnsi="Verdana" w:cs="Arial"/>
          <w:color w:val="000000" w:themeColor="text1"/>
          <w:lang w:val="es-ES"/>
        </w:rPr>
        <w:t>años de edad</w:t>
      </w:r>
      <w:proofErr w:type="gramEnd"/>
      <w:r w:rsidRPr="002837AB">
        <w:rPr>
          <w:rFonts w:ascii="Verdana" w:eastAsia="Calibri" w:hAnsi="Verdana" w:cs="Arial"/>
          <w:color w:val="000000" w:themeColor="text1"/>
          <w:lang w:val="es-ES"/>
        </w:rPr>
        <w:t xml:space="preserve"> o más”, lo cual se puede acreditar con el documento de identidad correspondiente. En todo caso, también es posible entender que esta causal aplica a todas las personas que –en el rango de edad correspondiente a cada género– no han alcanzado la pensión, </w:t>
      </w:r>
      <w:r w:rsidRPr="002837AB">
        <w:rPr>
          <w:rFonts w:ascii="Verdana" w:eastAsia="Calibri" w:hAnsi="Verdana" w:cs="Arial"/>
          <w:color w:val="000000" w:themeColor="text1"/>
          <w:lang w:val="es-ES"/>
        </w:rPr>
        <w:lastRenderedPageBreak/>
        <w:t xml:space="preserve">interpretación que está más ajustada al principio de favorabilidad y que, como se expresará, se acogió en la reglamentación realizada por el Decreto 1860 de 2021. Sin embargo, de la literalidad de la norma no se desprende la aplicación de este factor de desempate a los </w:t>
      </w:r>
      <w:proofErr w:type="spellStart"/>
      <w:r w:rsidRPr="002837AB">
        <w:rPr>
          <w:rFonts w:ascii="Verdana" w:eastAsia="Calibri" w:hAnsi="Verdana" w:cs="Arial"/>
          <w:color w:val="000000" w:themeColor="text1"/>
          <w:lang w:val="es-ES"/>
        </w:rPr>
        <w:t>prepensionados</w:t>
      </w:r>
      <w:proofErr w:type="spellEnd"/>
      <w:r w:rsidRPr="002837AB">
        <w:rPr>
          <w:rFonts w:ascii="Verdana" w:eastAsia="Calibri" w:hAnsi="Verdana" w:cs="Arial"/>
          <w:color w:val="000000" w:themeColor="text1"/>
          <w:lang w:val="es-ES"/>
        </w:rPr>
        <w:t>, por lo que no son destinatarios de este incentivo.</w:t>
      </w:r>
    </w:p>
    <w:p w14:paraId="0B55F5D8" w14:textId="77777777" w:rsidR="007F3EED" w:rsidRPr="002837AB" w:rsidRDefault="007F3EED" w:rsidP="007F3EED">
      <w:pPr>
        <w:tabs>
          <w:tab w:val="left" w:pos="6551"/>
        </w:tabs>
        <w:spacing w:after="120" w:line="276" w:lineRule="auto"/>
        <w:ind w:firstLine="709"/>
        <w:jc w:val="both"/>
        <w:rPr>
          <w:rFonts w:ascii="Verdana" w:hAnsi="Verdana" w:cs="Arial"/>
          <w:color w:val="000000" w:themeColor="text1"/>
          <w:lang w:val="es-ES_tradnl"/>
        </w:rPr>
      </w:pPr>
      <w:r w:rsidRPr="002837AB">
        <w:rPr>
          <w:rFonts w:ascii="Verdana" w:hAnsi="Verdana" w:cs="Arial"/>
          <w:color w:val="000000" w:themeColor="text1"/>
          <w:lang w:val="es-ES_tradnl"/>
        </w:rPr>
        <w:t xml:space="preserve">El numeral dice que en dicho evento la regla de desempate se aplica a favor del “[…] oferente que acredite la vinculación en </w:t>
      </w:r>
      <w:r w:rsidRPr="002837AB">
        <w:rPr>
          <w:rFonts w:ascii="Verdana" w:hAnsi="Verdana" w:cs="Arial"/>
          <w:i/>
          <w:iCs/>
          <w:color w:val="000000" w:themeColor="text1"/>
          <w:lang w:val="es-ES_tradnl"/>
        </w:rPr>
        <w:t>mayor proporción</w:t>
      </w:r>
      <w:r w:rsidRPr="002837AB">
        <w:rPr>
          <w:rFonts w:ascii="Verdana" w:hAnsi="Verdana" w:cs="Arial"/>
          <w:color w:val="000000" w:themeColor="text1"/>
          <w:lang w:val="es-ES_tradnl"/>
        </w:rPr>
        <w:t xml:space="preserve"> de personas mayores que no sean beneficiarios de la pensión de vejez, familiar o de sobrevivencia y que hayan cumplido el requisito de edad de pensión establecido en la Ley” (Énfasis fuera de texto).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8"/>
      <w:r w:rsidRPr="002837AB">
        <w:rPr>
          <w:rFonts w:ascii="Verdana" w:hAnsi="Verdana" w:cs="Arial"/>
          <w:color w:val="000000" w:themeColor="text1"/>
          <w:lang w:val="es-ES_tradnl"/>
        </w:rPr>
        <w:t xml:space="preserve">”. </w:t>
      </w:r>
    </w:p>
    <w:p w14:paraId="7BC52872" w14:textId="77777777" w:rsidR="007F3EED" w:rsidRPr="002837AB" w:rsidRDefault="007F3EED" w:rsidP="007F3EED">
      <w:pPr>
        <w:tabs>
          <w:tab w:val="left" w:pos="6551"/>
        </w:tabs>
        <w:spacing w:after="120" w:line="276" w:lineRule="auto"/>
        <w:ind w:firstLine="709"/>
        <w:jc w:val="both"/>
        <w:rPr>
          <w:rFonts w:ascii="Verdana" w:hAnsi="Verdana" w:cs="Arial"/>
          <w:color w:val="000000" w:themeColor="text1"/>
          <w:lang w:val="es-ES"/>
        </w:rPr>
      </w:pPr>
      <w:r w:rsidRPr="002837AB">
        <w:rPr>
          <w:rFonts w:ascii="Verdana" w:hAnsi="Verdana" w:cs="Arial"/>
          <w:color w:val="000000" w:themeColor="text1"/>
          <w:lang w:val="es-ES"/>
        </w:rPr>
        <w:t xml:space="preserve">Teniendo en cuenta que el numeral no distingue tipos de oferente, dicho criterio de desempate, a juicio de la Agencia, se debía aplicar también a proponentes plurales. En este caso el proponente plural debía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consideraba que, mientras el Decreto 1860 de 2021 no </w:t>
      </w:r>
      <w:proofErr w:type="gramStart"/>
      <w:r w:rsidRPr="002837AB">
        <w:rPr>
          <w:rFonts w:ascii="Verdana" w:hAnsi="Verdana" w:cs="Arial"/>
          <w:color w:val="000000" w:themeColor="text1"/>
          <w:lang w:val="es-ES"/>
        </w:rPr>
        <w:t>entrara en vigencia</w:t>
      </w:r>
      <w:proofErr w:type="gramEnd"/>
      <w:r w:rsidRPr="002837AB">
        <w:rPr>
          <w:rFonts w:ascii="Verdana" w:hAnsi="Verdana" w:cs="Arial"/>
          <w:color w:val="000000" w:themeColor="text1"/>
          <w:lang w:val="es-ES"/>
        </w:rPr>
        <w:t>, existía libertad probatoria sobre el tema. En consecuencia, la entidad contratante podía determinar en el pliego de condiciones o documento equivalente cuál sería el medio para evidenciar la vinculación de las personas mayores por parte del oferente.</w:t>
      </w:r>
    </w:p>
    <w:p w14:paraId="55AD9A78" w14:textId="77777777" w:rsidR="007F3EED" w:rsidRPr="002837AB" w:rsidRDefault="007F3EED" w:rsidP="007F3EED">
      <w:pPr>
        <w:tabs>
          <w:tab w:val="left" w:pos="6551"/>
        </w:tabs>
        <w:spacing w:after="120" w:line="276" w:lineRule="auto"/>
        <w:ind w:firstLine="709"/>
        <w:jc w:val="both"/>
        <w:rPr>
          <w:rFonts w:ascii="Verdana" w:hAnsi="Verdana" w:cs="Arial"/>
          <w:color w:val="000000" w:themeColor="text1"/>
          <w:lang w:val="es-ES"/>
        </w:rPr>
      </w:pPr>
      <w:r w:rsidRPr="002837AB">
        <w:rPr>
          <w:rFonts w:ascii="Verdana" w:hAnsi="Verdana" w:cs="Arial"/>
          <w:color w:val="000000" w:themeColor="text1"/>
          <w:lang w:val="es-ES"/>
        </w:rPr>
        <w:t xml:space="preserve">Paralelamente, como lo indicó la Agencia en los conceptos </w:t>
      </w:r>
      <w:r w:rsidRPr="002837AB">
        <w:rPr>
          <w:rFonts w:ascii="Verdana" w:eastAsia="Calibri" w:hAnsi="Verdana" w:cs="Arial"/>
          <w:color w:val="000000" w:themeColor="text1"/>
          <w:lang w:val="es-ES"/>
        </w:rPr>
        <w:t xml:space="preserve">C-206 del 3 de mayo de 2021 y C-487 del 3 de agosto de 2021, </w:t>
      </w:r>
      <w:r w:rsidRPr="002837AB">
        <w:rPr>
          <w:rFonts w:ascii="Verdana" w:hAnsi="Verdana" w:cs="Arial"/>
          <w:color w:val="000000" w:themeColor="text1"/>
          <w:lang w:val="es-ES"/>
        </w:rPr>
        <w:t xml:space="preserve">el numeral 4 del artículo 35 de la Ley 2069 de 2020 exige que la vinculación de personas mayores sea de carácter laboral –es decir, a través de un contrato de trabajo–, por lo cual Colombia Compra Eficiente consideraba que no resultaría procedente, para efectos de acreditar el factor de desempate, la vinculación de dichas personas a través de otros tipos contractuales, como, por ejemplo, el contrato de prestación de servicios. Para estos efectos, la palabra “vinculación” debía entenderse en </w:t>
      </w:r>
      <w:r w:rsidRPr="002837AB">
        <w:rPr>
          <w:rFonts w:ascii="Verdana" w:hAnsi="Verdana" w:cs="Arial"/>
          <w:color w:val="000000" w:themeColor="text1"/>
          <w:lang w:val="es-ES"/>
        </w:rPr>
        <w:lastRenderedPageBreak/>
        <w:t xml:space="preserve">concordancia con el parágrafo 2 de la norma en comento, el cual dispone que “Para los criterios enunciados que involucren la </w:t>
      </w:r>
      <w:r w:rsidRPr="002837AB">
        <w:rPr>
          <w:rFonts w:ascii="Verdana" w:hAnsi="Verdana" w:cs="Arial"/>
          <w:i/>
          <w:iCs/>
          <w:color w:val="000000" w:themeColor="text1"/>
          <w:lang w:val="es-ES"/>
        </w:rPr>
        <w:t>vinculación de capital humano</w:t>
      </w:r>
      <w:r w:rsidRPr="002837AB">
        <w:rPr>
          <w:rFonts w:ascii="Verdana" w:hAnsi="Verdana" w:cs="Arial"/>
          <w:color w:val="000000" w:themeColor="text1"/>
          <w:lang w:val="es-ES"/>
        </w:rPr>
        <w:t xml:space="preserve">, el oferente deberá acreditar una antigüedad igual o mayor a un año. Para los casos de constitución inferior a un año </w:t>
      </w:r>
      <w:r w:rsidRPr="002837AB">
        <w:rPr>
          <w:rFonts w:ascii="Verdana" w:hAnsi="Verdana" w:cs="Arial"/>
          <w:i/>
          <w:iCs/>
          <w:color w:val="000000" w:themeColor="text1"/>
          <w:lang w:val="es-ES"/>
        </w:rPr>
        <w:t>se tendrá en cuenta a aquellos trabajadores</w:t>
      </w:r>
      <w:r w:rsidRPr="002837AB">
        <w:rPr>
          <w:rFonts w:ascii="Verdana" w:hAnsi="Verdana" w:cs="Arial"/>
          <w:color w:val="000000" w:themeColor="text1"/>
          <w:lang w:val="es-ES"/>
        </w:rPr>
        <w:t xml:space="preserve"> que hayan estado vinculados desde el momento de constitución de </w:t>
      </w:r>
      <w:proofErr w:type="gramStart"/>
      <w:r w:rsidRPr="002837AB">
        <w:rPr>
          <w:rFonts w:ascii="Verdana" w:hAnsi="Verdana" w:cs="Arial"/>
          <w:color w:val="000000" w:themeColor="text1"/>
          <w:lang w:val="es-ES"/>
        </w:rPr>
        <w:t>la misma</w:t>
      </w:r>
      <w:proofErr w:type="gramEnd"/>
      <w:r w:rsidRPr="002837AB">
        <w:rPr>
          <w:rFonts w:ascii="Verdana" w:hAnsi="Verdana" w:cs="Arial"/>
          <w:color w:val="000000" w:themeColor="text1"/>
          <w:lang w:val="es-ES"/>
        </w:rPr>
        <w:t xml:space="preserve">” (Énfasis fuera de texto). Como se observa, la norma se refiere a la vinculación de trabajadores, lo cual excluye la posibilidad de acreditar el factor de desempate mediante contratistas de prestación de servicios.  </w:t>
      </w:r>
    </w:p>
    <w:p w14:paraId="000BCD95" w14:textId="77777777" w:rsidR="007F3EED" w:rsidRPr="002837AB" w:rsidRDefault="007F3EED" w:rsidP="007F3EED">
      <w:pPr>
        <w:tabs>
          <w:tab w:val="left" w:pos="6551"/>
        </w:tabs>
        <w:spacing w:after="120" w:line="276" w:lineRule="auto"/>
        <w:ind w:firstLine="709"/>
        <w:jc w:val="both"/>
        <w:rPr>
          <w:rFonts w:ascii="Verdana" w:hAnsi="Verdana" w:cs="Arial"/>
          <w:color w:val="000000" w:themeColor="text1"/>
          <w:lang w:val="es-ES_tradnl"/>
        </w:rPr>
      </w:pPr>
      <w:r w:rsidRPr="002837AB">
        <w:rPr>
          <w:rFonts w:ascii="Verdana" w:hAnsi="Verdana" w:cs="Arial"/>
          <w:color w:val="000000" w:themeColor="text1"/>
          <w:lang w:val="es-ES_tradnl"/>
        </w:rPr>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14:paraId="5FDA7464" w14:textId="77777777" w:rsidR="007F3EED" w:rsidRPr="002837AB" w:rsidRDefault="007F3EED" w:rsidP="007F3EED">
      <w:pPr>
        <w:spacing w:after="120" w:line="276" w:lineRule="auto"/>
        <w:ind w:firstLine="709"/>
        <w:jc w:val="both"/>
        <w:rPr>
          <w:rFonts w:ascii="Verdana" w:hAnsi="Verdana" w:cs="Arial"/>
          <w:lang w:val="es-ES_tradnl"/>
        </w:rPr>
      </w:pPr>
      <w:r w:rsidRPr="002837AB">
        <w:rPr>
          <w:rFonts w:ascii="Verdana" w:hAnsi="Verdana" w:cs="Arial"/>
          <w:color w:val="000000" w:themeColor="text1"/>
          <w:lang w:val="es-ES_tradnl"/>
        </w:rPr>
        <w:t xml:space="preserve">Además, como se señaló en el concepto C-390 de 2021, </w:t>
      </w:r>
      <w:r w:rsidRPr="002837AB">
        <w:rPr>
          <w:rFonts w:ascii="Verdana" w:hAnsi="Verdana" w:cs="Arial"/>
          <w:lang w:val="es-ES_tradnl"/>
        </w:rPr>
        <w:t>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5AB00110" w14:textId="77777777" w:rsidR="007F3EED" w:rsidRPr="002837AB" w:rsidRDefault="007F3EED" w:rsidP="007F3EED">
      <w:pPr>
        <w:spacing w:after="120" w:line="276" w:lineRule="auto"/>
        <w:ind w:firstLine="709"/>
        <w:jc w:val="both"/>
        <w:rPr>
          <w:rFonts w:ascii="Verdana" w:hAnsi="Verdana" w:cs="Arial"/>
          <w:lang w:val="es-ES_tradnl"/>
        </w:rPr>
      </w:pPr>
      <w:r w:rsidRPr="002837AB">
        <w:rPr>
          <w:rFonts w:ascii="Verdana" w:hAnsi="Verdana" w:cs="Arial"/>
          <w:lang w:val="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2D259709" w14:textId="77777777" w:rsidR="007F3EED" w:rsidRPr="002837AB" w:rsidRDefault="007F3EED" w:rsidP="007F3EED">
      <w:pPr>
        <w:spacing w:after="0" w:line="276" w:lineRule="auto"/>
        <w:ind w:firstLine="709"/>
        <w:jc w:val="both"/>
        <w:rPr>
          <w:rFonts w:ascii="Verdana" w:hAnsi="Verdana" w:cs="Arial"/>
          <w:lang w:val="es-ES_tradnl"/>
        </w:rPr>
      </w:pPr>
      <w:r w:rsidRPr="002837AB">
        <w:rPr>
          <w:rFonts w:ascii="Verdana" w:hAnsi="Verdana" w:cs="Arial"/>
          <w:lang w:val="es-ES_tradnl"/>
        </w:rPr>
        <w:t xml:space="preserve">El factor de desempate del artículo 35.4 de la Ley 2069 de 2020 </w:t>
      </w:r>
      <w:r w:rsidRPr="002837AB">
        <w:rPr>
          <w:rFonts w:ascii="Verdana" w:hAnsi="Verdana" w:cs="Arial"/>
          <w:i/>
          <w:iCs/>
          <w:lang w:val="es-ES_tradnl"/>
        </w:rPr>
        <w:t>no</w:t>
      </w:r>
      <w:r w:rsidRPr="002837AB">
        <w:rPr>
          <w:rFonts w:ascii="Verdana" w:hAnsi="Verdana" w:cs="Arial"/>
          <w:lang w:val="es-ES_tradnl"/>
        </w:rPr>
        <w:t xml:space="preserve"> se refiere a la vinculación en </w:t>
      </w:r>
      <w:r w:rsidRPr="002837AB">
        <w:rPr>
          <w:rFonts w:ascii="Verdana" w:hAnsi="Verdana" w:cs="Arial"/>
          <w:i/>
          <w:iCs/>
          <w:lang w:val="es-ES_tradnl"/>
        </w:rPr>
        <w:t>mayor cantidad</w:t>
      </w:r>
      <w:r w:rsidRPr="002837AB">
        <w:rPr>
          <w:rFonts w:ascii="Verdana" w:hAnsi="Verdana" w:cs="Arial"/>
          <w:lang w:val="es-ES_tradnl"/>
        </w:rPr>
        <w:t xml:space="preserve"> de personas mayores. En este caso, bastaría comparar el número de personas vinculadas entre cada uno de los proponentes empatados, adjudicando el contrato a aquel que más tenga. Sin embargo, esta interpretación no es posible en la medida que la norma se refiere a la </w:t>
      </w:r>
      <w:bookmarkStart w:id="9" w:name="_Hlk72758821"/>
      <w:r w:rsidRPr="002837AB">
        <w:rPr>
          <w:rFonts w:ascii="Verdana" w:hAnsi="Verdana" w:cs="Arial"/>
          <w:lang w:val="es-ES_tradnl"/>
        </w:rPr>
        <w:t>“vinculación en mayor proporción”</w:t>
      </w:r>
      <w:bookmarkEnd w:id="9"/>
      <w:r w:rsidRPr="002837AB">
        <w:rPr>
          <w:rFonts w:ascii="Verdana" w:hAnsi="Verdana" w:cs="Arial"/>
          <w:lang w:val="es-ES_tradnl"/>
        </w:rPr>
        <w:t xml:space="preserve">, es decir el número de personas </w:t>
      </w:r>
      <w:r w:rsidRPr="002837AB">
        <w:rPr>
          <w:rFonts w:ascii="Verdana" w:hAnsi="Verdana" w:cs="Arial"/>
          <w:lang w:val="es-ES_tradnl"/>
        </w:rPr>
        <w:lastRenderedPageBreak/>
        <w:t xml:space="preserve">vinculadas en relación con la planta de personal de los oferentes. </w:t>
      </w:r>
      <w:r w:rsidRPr="002837AB">
        <w:rPr>
          <w:rFonts w:ascii="Verdana" w:eastAsia="Calibri" w:hAnsi="Verdana" w:cs="Arial"/>
          <w:bCs/>
          <w:color w:val="000000" w:themeColor="text1"/>
          <w:lang w:val="es-ES_tradnl"/>
        </w:rPr>
        <w:t xml:space="preserve">Lo expuesto se ratifica en el artículo 3 del Decreto reglamentario 1860 de 2021, que adicionó el artículo </w:t>
      </w:r>
      <w:r w:rsidRPr="002837AB">
        <w:rPr>
          <w:rFonts w:ascii="Verdana" w:eastAsia="Calibri" w:hAnsi="Verdana" w:cs="Arial"/>
          <w:color w:val="000000" w:themeColor="text1"/>
          <w:lang w:val="es-ES_tradnl"/>
        </w:rPr>
        <w:t xml:space="preserve">2.2.1.2.4.2.17 al Decreto 1082 de 2015, cuyo numeral 4 desarrolla el factor de desempate que se está analizando: </w:t>
      </w:r>
    </w:p>
    <w:p w14:paraId="161FEE0B" w14:textId="77777777" w:rsidR="007F3EED" w:rsidRPr="002837AB" w:rsidRDefault="007F3EED" w:rsidP="007F3EED">
      <w:pPr>
        <w:tabs>
          <w:tab w:val="left" w:pos="0"/>
        </w:tabs>
        <w:spacing w:after="0" w:line="276" w:lineRule="auto"/>
        <w:ind w:firstLine="709"/>
        <w:jc w:val="both"/>
        <w:rPr>
          <w:rFonts w:ascii="Verdana" w:eastAsia="Calibri" w:hAnsi="Verdana" w:cs="Arial"/>
          <w:bCs/>
          <w:lang w:val="es-ES_tradnl"/>
        </w:rPr>
      </w:pPr>
    </w:p>
    <w:p w14:paraId="61FBD132" w14:textId="77777777" w:rsidR="007F3EED" w:rsidRPr="002837AB" w:rsidRDefault="007F3EED" w:rsidP="007F3EED">
      <w:pPr>
        <w:pStyle w:val="NormalWeb"/>
        <w:shd w:val="clear" w:color="auto" w:fill="FFFFFF"/>
        <w:spacing w:before="0" w:beforeAutospacing="0" w:after="120" w:afterAutospacing="0"/>
        <w:ind w:left="709" w:right="709"/>
        <w:jc w:val="both"/>
        <w:rPr>
          <w:rFonts w:ascii="Verdana" w:hAnsi="Verdana" w:cs="Arial"/>
          <w:sz w:val="21"/>
          <w:szCs w:val="21"/>
        </w:rPr>
      </w:pPr>
      <w:r w:rsidRPr="002837AB">
        <w:rPr>
          <w:rFonts w:ascii="Verdana" w:hAnsi="Verdana" w:cs="Arial"/>
          <w:sz w:val="21"/>
          <w:szCs w:val="21"/>
        </w:rPr>
        <w:t>“4.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p>
    <w:p w14:paraId="149543A8" w14:textId="77777777" w:rsidR="007F3EED" w:rsidRPr="002837AB" w:rsidRDefault="007F3EED" w:rsidP="007F3EED">
      <w:pPr>
        <w:pStyle w:val="NormalWeb"/>
        <w:shd w:val="clear" w:color="auto" w:fill="FFFFFF"/>
        <w:spacing w:before="0" w:beforeAutospacing="0" w:after="120" w:afterAutospacing="0"/>
        <w:ind w:left="709" w:right="709"/>
        <w:jc w:val="both"/>
        <w:rPr>
          <w:rFonts w:ascii="Verdana" w:hAnsi="Verdana" w:cs="Arial"/>
          <w:sz w:val="21"/>
          <w:szCs w:val="21"/>
        </w:rPr>
      </w:pPr>
      <w:r w:rsidRPr="002837AB">
        <w:rPr>
          <w:rFonts w:ascii="Verdana" w:hAnsi="Verdana" w:cs="Arial"/>
          <w:sz w:val="21"/>
          <w:szCs w:val="21"/>
        </w:rPr>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w:t>
      </w:r>
    </w:p>
    <w:p w14:paraId="3D514B5D" w14:textId="77777777" w:rsidR="007F3EED" w:rsidRPr="002837AB" w:rsidRDefault="007F3EED" w:rsidP="007F3EED">
      <w:pPr>
        <w:pStyle w:val="NormalWeb"/>
        <w:shd w:val="clear" w:color="auto" w:fill="FFFFFF"/>
        <w:spacing w:before="0" w:beforeAutospacing="0" w:after="120" w:afterAutospacing="0"/>
        <w:ind w:left="709" w:right="709"/>
        <w:jc w:val="both"/>
        <w:rPr>
          <w:rFonts w:ascii="Verdana" w:hAnsi="Verdana" w:cs="Arial"/>
          <w:sz w:val="21"/>
          <w:szCs w:val="21"/>
        </w:rPr>
      </w:pPr>
      <w:r w:rsidRPr="002837AB">
        <w:rPr>
          <w:rFonts w:ascii="Verdana" w:hAnsi="Verdana" w:cs="Arial"/>
          <w:sz w:val="21"/>
          <w:szCs w:val="21"/>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14:paraId="72C505A0" w14:textId="77777777" w:rsidR="007F3EED" w:rsidRPr="002837AB" w:rsidRDefault="007F3EED" w:rsidP="007F3EED">
      <w:pPr>
        <w:pStyle w:val="NormalWeb"/>
        <w:shd w:val="clear" w:color="auto" w:fill="FFFFFF"/>
        <w:spacing w:before="0" w:beforeAutospacing="0" w:after="120" w:afterAutospacing="0"/>
        <w:ind w:left="709" w:right="709"/>
        <w:jc w:val="both"/>
        <w:rPr>
          <w:rFonts w:ascii="Verdana" w:hAnsi="Verdana" w:cs="Arial"/>
          <w:sz w:val="21"/>
          <w:szCs w:val="21"/>
        </w:rPr>
      </w:pPr>
      <w:r w:rsidRPr="002837AB">
        <w:rPr>
          <w:rFonts w:ascii="Verdana" w:hAnsi="Verdana" w:cs="Arial"/>
          <w:sz w:val="21"/>
          <w:szCs w:val="21"/>
        </w:rPr>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0B75B8F9" w14:textId="77777777" w:rsidR="007F3EED" w:rsidRPr="002837AB" w:rsidRDefault="007F3EED" w:rsidP="007F3EED">
      <w:pPr>
        <w:shd w:val="clear" w:color="auto" w:fill="FFFFFF"/>
        <w:spacing w:after="0" w:line="240" w:lineRule="auto"/>
        <w:ind w:left="709" w:right="709"/>
        <w:jc w:val="both"/>
        <w:rPr>
          <w:rFonts w:ascii="Verdana" w:eastAsia="Calibri" w:hAnsi="Verdana" w:cs="Arial"/>
          <w:lang w:val="es-ES_tradnl"/>
        </w:rPr>
      </w:pPr>
      <w:r w:rsidRPr="002837AB">
        <w:rPr>
          <w:rFonts w:ascii="Verdana" w:hAnsi="Verdana" w:cs="Arial"/>
          <w:i/>
          <w:iCs/>
          <w:sz w:val="21"/>
          <w:szCs w:val="21"/>
        </w:rPr>
        <w:lastRenderedPageBreak/>
        <w:t xml:space="preserve">La mayor proporción </w:t>
      </w:r>
      <w:bookmarkStart w:id="10" w:name="_Hlk102656704"/>
      <w:r w:rsidRPr="002837AB">
        <w:rPr>
          <w:rFonts w:ascii="Verdana" w:hAnsi="Verdana" w:cs="Arial"/>
          <w:i/>
          <w:iCs/>
          <w:sz w:val="21"/>
          <w:szCs w:val="21"/>
        </w:rPr>
        <w:t>se definirá en relación con el número total de trabajadores vinculados en la planta de personal, por lo que se preferirá al oferente que acredite un porcentaje mayor</w:t>
      </w:r>
      <w:bookmarkEnd w:id="10"/>
      <w:r w:rsidRPr="002837AB">
        <w:rPr>
          <w:rFonts w:ascii="Verdana" w:hAnsi="Verdana" w:cs="Arial"/>
          <w:i/>
          <w:iCs/>
          <w:sz w:val="21"/>
          <w:szCs w:val="21"/>
        </w:rPr>
        <w:t>. En el caso de proponentes plurales, la mayor proporción se definirá con la sumatoria de trabajadores vinculados en la planta de personal de cada uno de sus integrantes</w:t>
      </w:r>
      <w:r w:rsidRPr="002837AB">
        <w:rPr>
          <w:rFonts w:ascii="Verdana" w:hAnsi="Verdana" w:cs="Arial"/>
          <w:sz w:val="21"/>
          <w:szCs w:val="21"/>
        </w:rPr>
        <w:t>”.</w:t>
      </w:r>
      <w:r w:rsidRPr="002837AB">
        <w:rPr>
          <w:rFonts w:ascii="Verdana" w:eastAsia="Calibri" w:hAnsi="Verdana" w:cs="Arial"/>
          <w:lang w:val="es-ES_tradnl"/>
        </w:rPr>
        <w:t xml:space="preserve"> (Énfasis fuera de texto)</w:t>
      </w:r>
    </w:p>
    <w:p w14:paraId="3E45E706" w14:textId="77777777" w:rsidR="007F3EED" w:rsidRPr="002837AB" w:rsidRDefault="007F3EED" w:rsidP="007F3EED">
      <w:pPr>
        <w:tabs>
          <w:tab w:val="left" w:pos="0"/>
        </w:tabs>
        <w:spacing w:after="0" w:line="276" w:lineRule="auto"/>
        <w:ind w:firstLine="709"/>
        <w:jc w:val="both"/>
        <w:rPr>
          <w:rFonts w:ascii="Verdana" w:eastAsia="Calibri" w:hAnsi="Verdana" w:cs="Arial"/>
          <w:bCs/>
          <w:lang w:val="es-ES_tradnl"/>
        </w:rPr>
      </w:pPr>
    </w:p>
    <w:p w14:paraId="1ABC9E5C" w14:textId="77777777" w:rsidR="007F3EED" w:rsidRPr="002837AB" w:rsidRDefault="007F3EED" w:rsidP="007F3EED">
      <w:pPr>
        <w:spacing w:after="120" w:line="276" w:lineRule="auto"/>
        <w:ind w:firstLine="709"/>
        <w:jc w:val="both"/>
        <w:rPr>
          <w:rFonts w:ascii="Verdana" w:eastAsia="Calibri" w:hAnsi="Verdana" w:cs="Arial"/>
          <w:lang w:val="es-ES"/>
        </w:rPr>
      </w:pPr>
      <w:r w:rsidRPr="002837AB">
        <w:rPr>
          <w:rFonts w:ascii="Verdana" w:eastAsia="Calibri" w:hAnsi="Verdana" w:cs="Arial"/>
          <w:lang w:val="es-ES"/>
        </w:rPr>
        <w:t xml:space="preserve">Como se observa, tampoco se refiere a los </w:t>
      </w:r>
      <w:proofErr w:type="spellStart"/>
      <w:r w:rsidRPr="002837AB">
        <w:rPr>
          <w:rFonts w:ascii="Verdana" w:eastAsia="Calibri" w:hAnsi="Verdana" w:cs="Arial"/>
          <w:lang w:val="es-ES"/>
        </w:rPr>
        <w:t>prepensionados</w:t>
      </w:r>
      <w:proofErr w:type="spellEnd"/>
      <w:r w:rsidRPr="002837AB">
        <w:rPr>
          <w:rFonts w:ascii="Verdana" w:eastAsia="Calibri" w:hAnsi="Verdana" w:cs="Arial"/>
          <w:lang w:val="es-ES"/>
        </w:rPr>
        <w:t xml:space="preserve"> como sujetos del criterio de desempate. De conformidad con lo anterior, la reglamentación actual, expresamente, 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w:t>
      </w:r>
      <w:proofErr w:type="spellStart"/>
      <w:r w:rsidRPr="002837AB">
        <w:rPr>
          <w:rFonts w:ascii="Verdana" w:eastAsia="Calibri" w:hAnsi="Verdana" w:cs="Arial"/>
          <w:lang w:val="es-ES"/>
        </w:rPr>
        <w:t>ii</w:t>
      </w:r>
      <w:proofErr w:type="spellEnd"/>
      <w:r w:rsidRPr="002837AB">
        <w:rPr>
          <w:rFonts w:ascii="Verdana" w:eastAsia="Calibri" w:hAnsi="Verdana" w:cs="Arial"/>
          <w:lang w:val="es-ES"/>
        </w:rPr>
        <w:t xml:space="preserve">) un certificado mediante el cual, cada uno de los trabajadores sujetos a la condición prevista en el numeral, acredite bajo gravedad de juramento que no es beneficiario de pensión de vejez, familiar o sobrevivencia, y que cumple la edad de pensión; y </w:t>
      </w:r>
      <w:proofErr w:type="spellStart"/>
      <w:r w:rsidRPr="002837AB">
        <w:rPr>
          <w:rFonts w:ascii="Verdana" w:eastAsia="Calibri" w:hAnsi="Verdana" w:cs="Arial"/>
          <w:lang w:val="es-ES"/>
        </w:rPr>
        <w:t>iii</w:t>
      </w:r>
      <w:proofErr w:type="spellEnd"/>
      <w:r w:rsidRPr="002837AB">
        <w:rPr>
          <w:rFonts w:ascii="Verdana" w:eastAsia="Calibri" w:hAnsi="Verdana" w:cs="Arial"/>
          <w:lang w:val="es-ES"/>
        </w:rPr>
        <w:t>) además, el documento de identificación del trabajador que lo firma.</w:t>
      </w:r>
    </w:p>
    <w:p w14:paraId="5113E658" w14:textId="77777777" w:rsidR="007F3EED" w:rsidRPr="002837AB" w:rsidRDefault="007F3EED" w:rsidP="007F3EED">
      <w:pPr>
        <w:tabs>
          <w:tab w:val="left" w:pos="0"/>
        </w:tabs>
        <w:spacing w:after="120" w:line="276" w:lineRule="auto"/>
        <w:ind w:firstLine="709"/>
        <w:jc w:val="both"/>
        <w:rPr>
          <w:rFonts w:ascii="Verdana" w:eastAsia="Calibri" w:hAnsi="Verdana" w:cs="Arial"/>
          <w:lang w:val="es-ES"/>
        </w:rPr>
      </w:pPr>
      <w:r w:rsidRPr="46CF003B">
        <w:rPr>
          <w:rFonts w:ascii="Verdana" w:eastAsia="Calibri" w:hAnsi="Verdana" w:cs="Arial"/>
          <w:lang w:val="es-ES"/>
        </w:rPr>
        <w:t xml:space="preserve">Según la norma citada, se estipula que la vinculación de estas personas se tendrá en cuenta si han estado vinculadas con anterioridad a un año desde la fecha de cierre del proceso y que para el caso de las personas jurídicas nuevas o con constitución inferior a un año, se tendrá en cuenta que hayan estado vinculadas desde el momento de constitución de la persona jurídica. De otro lado, para el caso de los proponentes plurales, se establece que las personas referenciadas podrán estar vinculadas a cualquiera de los integrantes de la estructura plural. </w:t>
      </w:r>
    </w:p>
    <w:p w14:paraId="03789D48" w14:textId="77777777" w:rsidR="007F3EED" w:rsidRPr="00305EE0" w:rsidRDefault="007F3EED" w:rsidP="007F3EED">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Finalmente, se precisa que esta Agencia </w:t>
      </w:r>
      <w:r w:rsidRPr="00554A4D">
        <w:rPr>
          <w:rFonts w:ascii="Verdana" w:eastAsia="Calibri" w:hAnsi="Verdana" w:cs="Arial"/>
          <w:color w:val="000000" w:themeColor="text1"/>
        </w:rPr>
        <w:t>no puede definir un</w:t>
      </w:r>
      <w:r w:rsidRPr="00554A4D">
        <w:t xml:space="preserve"> </w:t>
      </w:r>
      <w:r w:rsidRPr="00554A4D">
        <w:rPr>
          <w:rFonts w:ascii="Verdana" w:eastAsia="Calibri" w:hAnsi="Verdana" w:cs="Arial"/>
          <w:color w:val="000000" w:themeColor="text1"/>
        </w:rPr>
        <w:t xml:space="preserve">criterio universal y absoluto por vía consultiva, sino que brinda elementos hermenéuticos de carácter general para que los partícipes del sistema de compras y contratación pública adopten la decisión que corresponda, lo cual es acorde con el principio de juridicidad. Por lo anterior, previo concepto de sus órganos asesores, la solución de estos temas corresponde a la entidad de </w:t>
      </w:r>
      <w:r w:rsidRPr="00554A4D">
        <w:rPr>
          <w:rFonts w:ascii="Verdana" w:eastAsia="Calibri" w:hAnsi="Verdana" w:cs="Arial"/>
          <w:color w:val="000000" w:themeColor="text1"/>
        </w:rPr>
        <w:lastRenderedPageBreak/>
        <w:t xml:space="preserve">adoptar la decisión correspondiente y, en caso de conflicto, a las autoridades judiciales, fiscales y disciplinarias. De esta manera, corresponderá a cada contratante definir la viabilidad técnica, jurídica y financiera de </w:t>
      </w:r>
      <w:r>
        <w:rPr>
          <w:rFonts w:ascii="Verdana" w:eastAsia="Calibri" w:hAnsi="Verdana" w:cs="Arial"/>
          <w:color w:val="000000" w:themeColor="text1"/>
        </w:rPr>
        <w:t xml:space="preserve">establecer un proceso de contratación por lotes, así como determinar la forma en la que estos grupos se estructuran atendiendo a las normas que regulan el sector objeto del contrato. </w:t>
      </w:r>
    </w:p>
    <w:bookmarkEnd w:id="4"/>
    <w:bookmarkEnd w:id="5"/>
    <w:p w14:paraId="4536886E" w14:textId="77777777" w:rsidR="007F3EED" w:rsidRPr="001F283D" w:rsidRDefault="007F3EED" w:rsidP="007F3EED">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6"/>
    <w:p w14:paraId="581CC36B" w14:textId="77777777" w:rsidR="007F3EED" w:rsidRPr="00593A5F" w:rsidRDefault="007F3EED" w:rsidP="007F3EE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3EED" w:rsidRPr="002407CE" w14:paraId="276D6CDA" w14:textId="77777777" w:rsidTr="00BD16B2">
        <w:trPr>
          <w:trHeight w:val="870"/>
          <w:jc w:val="center"/>
        </w:trPr>
        <w:tc>
          <w:tcPr>
            <w:tcW w:w="8647" w:type="dxa"/>
          </w:tcPr>
          <w:p w14:paraId="6281C971" w14:textId="77777777" w:rsidR="007F3EED" w:rsidRPr="00E4641D" w:rsidRDefault="007F3EED" w:rsidP="00BD16B2">
            <w:pPr>
              <w:pStyle w:val="Prrafodelista"/>
              <w:numPr>
                <w:ilvl w:val="0"/>
                <w:numId w:val="3"/>
              </w:numPr>
              <w:spacing w:line="276" w:lineRule="auto"/>
              <w:contextualSpacing w:val="0"/>
              <w:jc w:val="both"/>
              <w:rPr>
                <w:rFonts w:ascii="Verdana" w:hAnsi="Verdana"/>
              </w:rPr>
            </w:pPr>
            <w:r w:rsidRPr="00E4641D">
              <w:rPr>
                <w:rFonts w:ascii="Verdana" w:eastAsia="Calibri" w:hAnsi="Verdana" w:cs="Arial"/>
                <w:lang w:val="es-ES_tradnl"/>
              </w:rPr>
              <w:t xml:space="preserve">Ley 2069 de 2020: Numeral 6 del artículo 35. </w:t>
            </w:r>
          </w:p>
          <w:p w14:paraId="2819F1A2" w14:textId="77777777" w:rsidR="007F3EED" w:rsidRPr="00B50D62" w:rsidRDefault="007F3EED" w:rsidP="00BD16B2">
            <w:pPr>
              <w:pStyle w:val="Prrafodelista"/>
              <w:numPr>
                <w:ilvl w:val="0"/>
                <w:numId w:val="3"/>
              </w:numPr>
              <w:spacing w:line="276" w:lineRule="auto"/>
              <w:jc w:val="both"/>
              <w:rPr>
                <w:rFonts w:ascii="Verdana" w:hAnsi="Verdana" w:cs="Arial"/>
                <w:bCs/>
              </w:rPr>
            </w:pPr>
            <w:r w:rsidRPr="00B50D62">
              <w:rPr>
                <w:rFonts w:ascii="Verdana" w:hAnsi="Verdana" w:cs="Arial"/>
                <w:bCs/>
              </w:rPr>
              <w:t>Ley 1251 de 2008: artículo 3.</w:t>
            </w:r>
          </w:p>
          <w:p w14:paraId="065797D1" w14:textId="77777777" w:rsidR="007F3EED" w:rsidRPr="00B50D62" w:rsidRDefault="007F3EED" w:rsidP="00BD16B2">
            <w:pPr>
              <w:pStyle w:val="Prrafodelista"/>
              <w:numPr>
                <w:ilvl w:val="0"/>
                <w:numId w:val="3"/>
              </w:numPr>
              <w:spacing w:line="276" w:lineRule="auto"/>
              <w:jc w:val="both"/>
              <w:rPr>
                <w:rFonts w:ascii="Verdana" w:hAnsi="Verdana" w:cs="Arial"/>
                <w:bCs/>
              </w:rPr>
            </w:pPr>
            <w:r w:rsidRPr="00B50D62">
              <w:rPr>
                <w:rFonts w:ascii="Verdana" w:hAnsi="Verdana" w:cs="Arial"/>
                <w:bCs/>
              </w:rPr>
              <w:t>Decreto Ley 4170 de 2011: artículos 3, 11, 12 y 13.</w:t>
            </w:r>
          </w:p>
          <w:p w14:paraId="6967D6BC" w14:textId="77777777" w:rsidR="007F3EED" w:rsidRPr="00B50D62" w:rsidRDefault="007F3EED" w:rsidP="00BD16B2">
            <w:pPr>
              <w:pStyle w:val="Prrafodelista"/>
              <w:numPr>
                <w:ilvl w:val="0"/>
                <w:numId w:val="3"/>
              </w:numPr>
              <w:spacing w:line="276" w:lineRule="auto"/>
              <w:contextualSpacing w:val="0"/>
              <w:jc w:val="both"/>
              <w:rPr>
                <w:rFonts w:ascii="Verdana" w:hAnsi="Verdana" w:cs="Arial"/>
                <w:bCs/>
                <w:lang w:val="es-ES_tradnl"/>
              </w:rPr>
            </w:pPr>
            <w:r w:rsidRPr="00B50D62">
              <w:rPr>
                <w:rFonts w:ascii="Verdana" w:hAnsi="Verdana" w:cs="Arial"/>
                <w:bCs/>
              </w:rPr>
              <w:t>Decreto 1082 de 2015: artículo 2.2.1.2.4.2.17.</w:t>
            </w:r>
          </w:p>
          <w:p w14:paraId="4FA5D1C6" w14:textId="77777777" w:rsidR="007F3EED" w:rsidRPr="00432FDA" w:rsidRDefault="007F3EED" w:rsidP="00BD16B2">
            <w:pPr>
              <w:pStyle w:val="Prrafodelista"/>
              <w:numPr>
                <w:ilvl w:val="0"/>
                <w:numId w:val="3"/>
              </w:numPr>
              <w:spacing w:line="276" w:lineRule="auto"/>
              <w:contextualSpacing w:val="0"/>
              <w:jc w:val="both"/>
              <w:rPr>
                <w:rFonts w:ascii="Verdana" w:hAnsi="Verdana" w:cs="Arial"/>
                <w:bCs/>
                <w:lang w:val="es-ES_tradnl"/>
              </w:rPr>
            </w:pPr>
            <w:r w:rsidRPr="00B50D62">
              <w:rPr>
                <w:rFonts w:ascii="Verdana" w:hAnsi="Verdana" w:cs="Arial"/>
                <w:bCs/>
              </w:rPr>
              <w:t>Decreto 1860 de 2021: artículos 3 y 8.</w:t>
            </w:r>
            <w:r>
              <w:rPr>
                <w:rFonts w:ascii="Verdana" w:hAnsi="Verdana" w:cs="Arial"/>
                <w:bCs/>
              </w:rPr>
              <w:t xml:space="preserve"> </w:t>
            </w:r>
          </w:p>
        </w:tc>
      </w:tr>
    </w:tbl>
    <w:p w14:paraId="2BF5AB75" w14:textId="77777777" w:rsidR="007F3EED" w:rsidRPr="00277E26" w:rsidRDefault="007F3EED" w:rsidP="007F3EED">
      <w:pPr>
        <w:widowControl w:val="0"/>
        <w:autoSpaceDE w:val="0"/>
        <w:autoSpaceDN w:val="0"/>
        <w:spacing w:after="0" w:line="276" w:lineRule="auto"/>
        <w:jc w:val="both"/>
        <w:rPr>
          <w:rFonts w:ascii="Verdana" w:hAnsi="Verdana" w:cs="Arial"/>
        </w:rPr>
      </w:pPr>
    </w:p>
    <w:p w14:paraId="0ABF6D31" w14:textId="77777777" w:rsidR="007F3EED" w:rsidRPr="001F283D" w:rsidRDefault="007F3EED" w:rsidP="007F3EED">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6CCCA16D" w14:textId="77777777" w:rsidR="007F3EED" w:rsidRDefault="007F3EED" w:rsidP="007F3EED">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0159CE62" w14:textId="77777777" w:rsidR="007F3EED" w:rsidRPr="00316377" w:rsidRDefault="007F3EED" w:rsidP="007F3EED">
      <w:pPr>
        <w:widowControl w:val="0"/>
        <w:autoSpaceDE w:val="0"/>
        <w:autoSpaceDN w:val="0"/>
        <w:spacing w:after="0" w:line="276" w:lineRule="auto"/>
        <w:jc w:val="both"/>
        <w:rPr>
          <w:rStyle w:val="normaltextrun"/>
          <w:rFonts w:ascii="Verdana" w:hAnsi="Verdana" w:cs="Arial"/>
          <w:shd w:val="clear" w:color="auto" w:fill="FFFFFF"/>
        </w:rPr>
      </w:pPr>
      <w:r w:rsidRPr="00316377">
        <w:rPr>
          <w:rFonts w:ascii="Verdana" w:eastAsia="Calibri" w:hAnsi="Verdana" w:cs="Arial"/>
          <w:lang w:val="es-ES_tradnl"/>
        </w:rPr>
        <w:t>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C-026 del 4 de febrero de 2021,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C-199 del 13 de abril de 2022, C-317 del 16 de mayo de 2022, C-541 del 26 de agosto de 2022,C-117 del 02 de agosto de 2024, entre otros</w:t>
      </w:r>
      <w:r w:rsidRPr="00316377">
        <w:rPr>
          <w:rStyle w:val="normaltextrun"/>
          <w:rFonts w:ascii="Verdana" w:hAnsi="Verdana" w:cs="Arial"/>
          <w:shd w:val="clear" w:color="auto" w:fill="FFFFFF"/>
          <w:lang w:val="es-ES"/>
        </w:rPr>
        <w:t>. Es</w:t>
      </w:r>
      <w:r w:rsidRPr="00316377">
        <w:rPr>
          <w:rFonts w:ascii="Verdana" w:hAnsi="Verdana"/>
        </w:rPr>
        <w:t>tos y otros conceptos se encuentran disponibles para consulta en el Sistema de relatoría de la Agencia, al cual se puede acceder a través del siguiente enlace:</w:t>
      </w:r>
      <w:r w:rsidRPr="00316377">
        <w:rPr>
          <w:rStyle w:val="normaltextrun"/>
          <w:rFonts w:ascii="Verdana" w:hAnsi="Verdana" w:cs="Arial"/>
          <w:shd w:val="clear" w:color="auto" w:fill="FFFFFF"/>
          <w:lang w:val="es-ES"/>
        </w:rPr>
        <w:t xml:space="preserve"> </w:t>
      </w:r>
      <w:hyperlink r:id="rId9" w:history="1">
        <w:r w:rsidRPr="00316377">
          <w:rPr>
            <w:rStyle w:val="Hipervnculo"/>
            <w:rFonts w:ascii="Verdana" w:hAnsi="Verdana" w:cs="Arial"/>
            <w:color w:val="auto"/>
            <w:shd w:val="clear" w:color="auto" w:fill="FFFFFF"/>
            <w:lang w:val="es-ES"/>
          </w:rPr>
          <w:t>https://relatoria.colombiacompra.gov.co/busqueda/conceptos</w:t>
        </w:r>
      </w:hyperlink>
    </w:p>
    <w:p w14:paraId="6D4F3BC6" w14:textId="77777777" w:rsidR="007F3EED" w:rsidRPr="00900D7D" w:rsidRDefault="007F3EED" w:rsidP="007F3EED">
      <w:pPr>
        <w:widowControl w:val="0"/>
        <w:autoSpaceDE w:val="0"/>
        <w:autoSpaceDN w:val="0"/>
        <w:spacing w:after="0" w:line="276" w:lineRule="auto"/>
        <w:jc w:val="both"/>
        <w:rPr>
          <w:rFonts w:ascii="Verdana" w:eastAsia="Calibri" w:hAnsi="Verdana" w:cs="Arial"/>
          <w:color w:val="000000" w:themeColor="text1"/>
          <w:lang w:eastAsia="es-ES_tradnl"/>
        </w:rPr>
      </w:pPr>
    </w:p>
    <w:p w14:paraId="13B50149" w14:textId="77777777" w:rsidR="007F3EED" w:rsidRPr="00237766" w:rsidRDefault="007F3EED" w:rsidP="007F3EED">
      <w:pPr>
        <w:spacing w:after="0" w:line="276" w:lineRule="auto"/>
        <w:jc w:val="both"/>
        <w:rPr>
          <w:rFonts w:ascii="Verdana" w:eastAsia="Calibri" w:hAnsi="Verdana" w:cs="Times New Roman"/>
        </w:rPr>
      </w:pPr>
      <w:r w:rsidRPr="008E4F36">
        <w:rPr>
          <w:rFonts w:ascii="Verdana" w:hAnsi="Verdana"/>
        </w:rPr>
        <w:lastRenderedPageBreak/>
        <w:t xml:space="preserve">Aprovechamos la oportunidad para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1FF112F" w14:textId="77777777" w:rsidR="007F3EED" w:rsidRPr="008E4F36" w:rsidRDefault="007F3EED" w:rsidP="007F3EED">
      <w:pPr>
        <w:pStyle w:val="Prrafodelista"/>
        <w:numPr>
          <w:ilvl w:val="0"/>
          <w:numId w:val="1"/>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5142EC60" w14:textId="77777777" w:rsidR="007F3EED" w:rsidRPr="008E4F36" w:rsidRDefault="007F3EED" w:rsidP="007F3EED">
      <w:pPr>
        <w:pStyle w:val="Prrafodelista"/>
        <w:numPr>
          <w:ilvl w:val="0"/>
          <w:numId w:val="1"/>
        </w:numPr>
        <w:spacing w:after="0" w:line="276" w:lineRule="auto"/>
        <w:contextualSpacing w:val="0"/>
        <w:jc w:val="both"/>
        <w:rPr>
          <w:rFonts w:ascii="Verdana" w:hAnsi="Verdana"/>
        </w:rPr>
      </w:pPr>
      <w:r w:rsidRPr="008E4F36">
        <w:rPr>
          <w:rFonts w:ascii="Verdana" w:hAnsi="Verdana"/>
        </w:rPr>
        <w:t>Línea en Bogotá (Mesa de servicio): +57 601 7456788</w:t>
      </w:r>
    </w:p>
    <w:p w14:paraId="0F72F07A" w14:textId="77777777" w:rsidR="007F3EED" w:rsidRPr="008E4F36" w:rsidRDefault="007F3EED" w:rsidP="007F3EED">
      <w:pPr>
        <w:pStyle w:val="Prrafodelista"/>
        <w:numPr>
          <w:ilvl w:val="0"/>
          <w:numId w:val="1"/>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47802461" w14:textId="77777777" w:rsidR="007F3EED" w:rsidRPr="008E4F36" w:rsidRDefault="007F3EED" w:rsidP="007F3EED">
      <w:pPr>
        <w:pStyle w:val="Prrafodelista"/>
        <w:numPr>
          <w:ilvl w:val="0"/>
          <w:numId w:val="1"/>
        </w:numPr>
        <w:spacing w:after="0" w:line="276" w:lineRule="auto"/>
        <w:contextualSpacing w:val="0"/>
        <w:jc w:val="both"/>
        <w:rPr>
          <w:rFonts w:ascii="Verdana" w:hAnsi="Verdana"/>
        </w:rPr>
      </w:pPr>
      <w:r w:rsidRPr="008E4F36">
        <w:rPr>
          <w:rFonts w:ascii="Verdana" w:hAnsi="Verdana"/>
        </w:rPr>
        <w:t xml:space="preserve">Página web: </w:t>
      </w:r>
      <w:hyperlink r:id="rId10" w:history="1">
        <w:r w:rsidRPr="008E4F36">
          <w:rPr>
            <w:rStyle w:val="Hipervnculo"/>
            <w:rFonts w:ascii="Verdana" w:hAnsi="Verdana"/>
          </w:rPr>
          <w:t>www.colombiacompra.gov.co</w:t>
        </w:r>
      </w:hyperlink>
    </w:p>
    <w:p w14:paraId="1A006F96" w14:textId="77777777" w:rsidR="007F3EED" w:rsidRPr="008E4F36" w:rsidRDefault="007F3EED" w:rsidP="007F3EED">
      <w:pPr>
        <w:spacing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1DC598DF" w14:textId="77777777" w:rsidR="007F3EED" w:rsidRPr="008E4F36" w:rsidRDefault="007F3EED" w:rsidP="007F3EED">
      <w:pPr>
        <w:spacing w:after="0" w:line="276" w:lineRule="auto"/>
        <w:jc w:val="both"/>
        <w:rPr>
          <w:rFonts w:ascii="Verdana" w:hAnsi="Verdana"/>
        </w:rPr>
      </w:pPr>
    </w:p>
    <w:p w14:paraId="40867283" w14:textId="77777777" w:rsidR="007F3EED" w:rsidRPr="008E4F36" w:rsidRDefault="007F3EED" w:rsidP="007F3EED">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00E3DAB8" w14:textId="77777777" w:rsidR="007F3EED" w:rsidRPr="008E4F36" w:rsidRDefault="007F3EED" w:rsidP="007F3EED">
      <w:pPr>
        <w:spacing w:after="0" w:line="276" w:lineRule="auto"/>
        <w:jc w:val="both"/>
        <w:rPr>
          <w:rFonts w:ascii="Verdana" w:hAnsi="Verdana"/>
        </w:rPr>
      </w:pPr>
      <w:r w:rsidRPr="008E4F36">
        <w:rPr>
          <w:rFonts w:ascii="Verdana" w:hAnsi="Verdana"/>
        </w:rPr>
        <w:t xml:space="preserve">Facebook: </w:t>
      </w:r>
      <w:proofErr w:type="spellStart"/>
      <w:r w:rsidRPr="008E4F36">
        <w:rPr>
          <w:rStyle w:val="Hipervnculo"/>
          <w:rFonts w:ascii="Verdana" w:hAnsi="Verdana"/>
        </w:rPr>
        <w:t>ColombiaCompraEficiente</w:t>
      </w:r>
      <w:proofErr w:type="spellEnd"/>
    </w:p>
    <w:p w14:paraId="404A7120" w14:textId="77777777" w:rsidR="007F3EED" w:rsidRPr="008E4F36" w:rsidRDefault="007F3EED" w:rsidP="007F3EED">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02E2BFE2" w14:textId="77777777" w:rsidR="007F3EED" w:rsidRDefault="007F3EED" w:rsidP="007F3EED">
      <w:pPr>
        <w:spacing w:after="0" w:line="276" w:lineRule="auto"/>
        <w:jc w:val="both"/>
        <w:rPr>
          <w:rFonts w:ascii="Verdana" w:hAnsi="Verdana"/>
        </w:rPr>
      </w:pPr>
    </w:p>
    <w:p w14:paraId="4FE7E537" w14:textId="77777777" w:rsidR="007F3EED" w:rsidRPr="00FB6C33" w:rsidRDefault="007F3EED" w:rsidP="007F3EED">
      <w:pPr>
        <w:spacing w:after="0" w:line="276" w:lineRule="auto"/>
        <w:jc w:val="both"/>
        <w:rPr>
          <w:rFonts w:ascii="Verdana" w:hAnsi="Verdana"/>
        </w:rPr>
      </w:pPr>
      <w:r w:rsidRPr="00FB6C33">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E515DF4" w14:textId="77777777" w:rsidR="007F3EED" w:rsidRPr="008E4F36" w:rsidRDefault="007F3EED" w:rsidP="007F3EED">
      <w:pPr>
        <w:spacing w:after="0" w:line="276" w:lineRule="auto"/>
        <w:jc w:val="both"/>
        <w:rPr>
          <w:rFonts w:ascii="Verdana" w:eastAsia="Calibri" w:hAnsi="Verdana" w:cs="Times New Roman"/>
        </w:rPr>
      </w:pPr>
    </w:p>
    <w:p w14:paraId="628E247E" w14:textId="77777777" w:rsidR="007F3EED" w:rsidRDefault="007F3EED" w:rsidP="007F3EED">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021AE13A" w14:textId="5D59753F" w:rsidR="007F3EED" w:rsidRDefault="00585E97" w:rsidP="007F3EED">
      <w:pPr>
        <w:spacing w:after="0" w:line="256" w:lineRule="auto"/>
        <w:jc w:val="both"/>
        <w:rPr>
          <w:rFonts w:ascii="Verdana" w:eastAsia="Calibri" w:hAnsi="Verdana" w:cs="Times New Roman"/>
        </w:rPr>
      </w:pPr>
      <w:r>
        <w:rPr>
          <w:rFonts w:ascii="Verdana" w:hAnsi="Verdana"/>
          <w:noProof/>
          <w14:ligatures w14:val="standardContextual"/>
        </w:rPr>
        <w:drawing>
          <wp:anchor distT="0" distB="0" distL="114300" distR="114300" simplePos="0" relativeHeight="251659264" behindDoc="1" locked="0" layoutInCell="1" allowOverlap="1" wp14:anchorId="2DAFCCBA" wp14:editId="09908B98">
            <wp:simplePos x="0" y="0"/>
            <wp:positionH relativeFrom="column">
              <wp:posOffset>1624519</wp:posOffset>
            </wp:positionH>
            <wp:positionV relativeFrom="paragraph">
              <wp:posOffset>99303</wp:posOffset>
            </wp:positionV>
            <wp:extent cx="2944623" cy="1097375"/>
            <wp:effectExtent l="0" t="0" r="8255" b="7620"/>
            <wp:wrapTight wrapText="bothSides">
              <wp:wrapPolygon edited="0">
                <wp:start x="0" y="0"/>
                <wp:lineTo x="0" y="21375"/>
                <wp:lineTo x="21521" y="21375"/>
                <wp:lineTo x="21521" y="0"/>
                <wp:lineTo x="0" y="0"/>
              </wp:wrapPolygon>
            </wp:wrapTight>
            <wp:docPr id="377194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94689" name="Imagen 377194689"/>
                    <pic:cNvPicPr/>
                  </pic:nvPicPr>
                  <pic:blipFill>
                    <a:blip r:embed="rId11">
                      <a:extLst>
                        <a:ext uri="{28A0092B-C50C-407E-A947-70E740481C1C}">
                          <a14:useLocalDpi xmlns:a14="http://schemas.microsoft.com/office/drawing/2010/main" val="0"/>
                        </a:ext>
                      </a:extLst>
                    </a:blip>
                    <a:stretch>
                      <a:fillRect/>
                    </a:stretch>
                  </pic:blipFill>
                  <pic:spPr>
                    <a:xfrm>
                      <a:off x="0" y="0"/>
                      <a:ext cx="2944623" cy="1097375"/>
                    </a:xfrm>
                    <a:prstGeom prst="rect">
                      <a:avLst/>
                    </a:prstGeom>
                  </pic:spPr>
                </pic:pic>
              </a:graphicData>
            </a:graphic>
          </wp:anchor>
        </w:drawing>
      </w:r>
    </w:p>
    <w:p w14:paraId="5C3F0D50" w14:textId="547A3162" w:rsidR="007F3EED" w:rsidRDefault="007F3EED" w:rsidP="007F3EED">
      <w:pPr>
        <w:spacing w:after="0"/>
        <w:rPr>
          <w:rFonts w:ascii="Verdana" w:hAnsi="Verdana"/>
        </w:rPr>
      </w:pPr>
    </w:p>
    <w:p w14:paraId="79EEAC73" w14:textId="3935BB26" w:rsidR="007F3EED" w:rsidRDefault="007F3EED" w:rsidP="007F3EED">
      <w:pPr>
        <w:spacing w:after="0"/>
        <w:rPr>
          <w:rFonts w:ascii="Verdana" w:hAnsi="Verdana"/>
        </w:rPr>
      </w:pPr>
    </w:p>
    <w:bookmarkEnd w:id="0"/>
    <w:bookmarkEnd w:id="1"/>
    <w:p w14:paraId="20934BE7" w14:textId="77777777" w:rsidR="007F3EED" w:rsidRDefault="007F3EED" w:rsidP="007F3EED">
      <w:pPr>
        <w:spacing w:after="0"/>
        <w:rPr>
          <w:rFonts w:ascii="Verdana" w:hAnsi="Verdana"/>
        </w:rPr>
      </w:pPr>
    </w:p>
    <w:p w14:paraId="4DD3ABAB" w14:textId="77777777" w:rsidR="007F3EED" w:rsidRDefault="007F3EED" w:rsidP="007F3EED">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F3EED" w:rsidRPr="002423D6" w14:paraId="6CF80E78" w14:textId="77777777" w:rsidTr="00BD16B2">
        <w:trPr>
          <w:trHeight w:val="315"/>
        </w:trPr>
        <w:tc>
          <w:tcPr>
            <w:tcW w:w="893" w:type="dxa"/>
            <w:vAlign w:val="center"/>
            <w:hideMark/>
          </w:tcPr>
          <w:p w14:paraId="4C6D954A" w14:textId="77777777" w:rsidR="007F3EED" w:rsidRPr="002423D6" w:rsidRDefault="007F3EED" w:rsidP="00BD16B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3050D61" w14:textId="77777777" w:rsidR="007F3EED" w:rsidRPr="002423D6" w:rsidRDefault="007F3EED" w:rsidP="00BD16B2">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r w:rsidRPr="002423D6">
              <w:rPr>
                <w:rFonts w:ascii="Verdana" w:eastAsia="Arial" w:hAnsi="Verdana" w:cs="Arial"/>
                <w:color w:val="000000" w:themeColor="text1"/>
                <w:sz w:val="16"/>
                <w:szCs w:val="16"/>
              </w:rPr>
              <w:t xml:space="preserve"> </w:t>
            </w:r>
          </w:p>
          <w:p w14:paraId="13DEFF62" w14:textId="77777777" w:rsidR="007F3EED" w:rsidRPr="002423D6" w:rsidRDefault="007F3EED" w:rsidP="00BD16B2">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7F3EED" w:rsidRPr="002423D6" w14:paraId="50AE7523" w14:textId="77777777" w:rsidTr="00BD16B2">
        <w:trPr>
          <w:trHeight w:val="330"/>
        </w:trPr>
        <w:tc>
          <w:tcPr>
            <w:tcW w:w="893" w:type="dxa"/>
            <w:vAlign w:val="center"/>
            <w:hideMark/>
          </w:tcPr>
          <w:p w14:paraId="034FF075" w14:textId="77777777" w:rsidR="007F3EED" w:rsidRPr="002423D6" w:rsidRDefault="007F3EED" w:rsidP="00BD16B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CC86A7C" w14:textId="77777777" w:rsidR="007F3EED" w:rsidRPr="002423D6" w:rsidRDefault="007F3EED" w:rsidP="00BD16B2">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Adriana Katherine López Rodríguez </w:t>
            </w:r>
          </w:p>
          <w:p w14:paraId="1FA9D072" w14:textId="77777777" w:rsidR="007F3EED" w:rsidRPr="002423D6" w:rsidRDefault="007F3EED" w:rsidP="00BD16B2">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7F3EED" w:rsidRPr="002423D6" w14:paraId="55CBC6F3" w14:textId="77777777" w:rsidTr="00BD16B2">
        <w:trPr>
          <w:trHeight w:val="300"/>
        </w:trPr>
        <w:tc>
          <w:tcPr>
            <w:tcW w:w="893" w:type="dxa"/>
            <w:vAlign w:val="center"/>
          </w:tcPr>
          <w:p w14:paraId="4FD0A3BE" w14:textId="77777777" w:rsidR="007F3EED" w:rsidRPr="002423D6" w:rsidRDefault="007F3EED" w:rsidP="00BD16B2">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2269CAC" w14:textId="77777777" w:rsidR="007F3EED" w:rsidRPr="002423D6" w:rsidRDefault="007F3EED" w:rsidP="00BD16B2">
            <w:pPr>
              <w:contextualSpacing/>
              <w:rPr>
                <w:rFonts w:ascii="Verdana" w:eastAsia="Calibri" w:hAnsi="Verdana" w:cs="Arial"/>
                <w:color w:val="000000" w:themeColor="text1"/>
                <w:sz w:val="16"/>
                <w:szCs w:val="16"/>
                <w:lang w:val="pt-BR" w:eastAsia="es-ES"/>
              </w:rPr>
            </w:pPr>
            <w:r>
              <w:rPr>
                <w:rFonts w:ascii="Verdana" w:eastAsia="Calibri" w:hAnsi="Verdana" w:cs="Arial"/>
                <w:color w:val="000000" w:themeColor="text1"/>
                <w:sz w:val="16"/>
                <w:szCs w:val="16"/>
                <w:lang w:val="pt-BR" w:eastAsia="es-ES"/>
              </w:rPr>
              <w:t xml:space="preserve">William Javier Murcia </w:t>
            </w:r>
            <w:proofErr w:type="spellStart"/>
            <w:r>
              <w:rPr>
                <w:rFonts w:ascii="Verdana" w:eastAsia="Calibri" w:hAnsi="Verdana" w:cs="Arial"/>
                <w:color w:val="000000" w:themeColor="text1"/>
                <w:sz w:val="16"/>
                <w:szCs w:val="16"/>
                <w:lang w:val="pt-BR" w:eastAsia="es-ES"/>
              </w:rPr>
              <w:t>Acevedo</w:t>
            </w:r>
            <w:proofErr w:type="spellEnd"/>
          </w:p>
          <w:p w14:paraId="6E55347E" w14:textId="77777777" w:rsidR="007F3EED" w:rsidRPr="002423D6" w:rsidRDefault="007F3EED" w:rsidP="00BD16B2">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w:t>
            </w:r>
            <w:proofErr w:type="spellStart"/>
            <w:r w:rsidRPr="002423D6">
              <w:rPr>
                <w:rFonts w:ascii="Verdana" w:eastAsia="Calibri" w:hAnsi="Verdana" w:cs="Arial"/>
                <w:color w:val="000000" w:themeColor="text1"/>
                <w:sz w:val="16"/>
                <w:szCs w:val="16"/>
                <w:lang w:val="pt-BR" w:eastAsia="es-ES"/>
              </w:rPr>
              <w:t>Contractual</w:t>
            </w:r>
            <w:proofErr w:type="spellEnd"/>
            <w:r w:rsidRPr="002423D6">
              <w:rPr>
                <w:rFonts w:ascii="Verdana" w:eastAsia="Calibri" w:hAnsi="Verdana" w:cs="Arial"/>
                <w:color w:val="000000" w:themeColor="text1"/>
                <w:sz w:val="16"/>
                <w:szCs w:val="16"/>
                <w:lang w:val="pt-BR" w:eastAsia="es-ES"/>
              </w:rPr>
              <w:t xml:space="preserve"> </w:t>
            </w:r>
            <w:r>
              <w:rPr>
                <w:rFonts w:ascii="Verdana" w:eastAsia="Calibri" w:hAnsi="Verdana" w:cs="Arial"/>
                <w:color w:val="000000" w:themeColor="text1"/>
                <w:sz w:val="16"/>
                <w:szCs w:val="16"/>
                <w:lang w:val="pt-BR" w:eastAsia="es-ES"/>
              </w:rPr>
              <w:t>(E)</w:t>
            </w:r>
            <w:r w:rsidRPr="002423D6">
              <w:rPr>
                <w:rFonts w:ascii="Verdana" w:eastAsia="Calibri" w:hAnsi="Verdana" w:cs="Arial"/>
                <w:color w:val="000000" w:themeColor="text1"/>
                <w:sz w:val="16"/>
                <w:szCs w:val="16"/>
                <w:lang w:val="pt-BR" w:eastAsia="es-ES"/>
              </w:rPr>
              <w:t>ANCP – CCE</w:t>
            </w:r>
          </w:p>
        </w:tc>
      </w:tr>
    </w:tbl>
    <w:p w14:paraId="7F3A9E59" w14:textId="77777777" w:rsidR="000F5A42" w:rsidRPr="007F3EED" w:rsidRDefault="000F5A42" w:rsidP="007F3EED"/>
    <w:sectPr w:rsidR="000F5A42" w:rsidRPr="007F3EED" w:rsidSect="00D67E2F">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DCE51" w14:textId="77777777" w:rsidR="00B4671C" w:rsidRDefault="00B4671C" w:rsidP="00D67E2F">
      <w:pPr>
        <w:spacing w:after="0" w:line="240" w:lineRule="auto"/>
      </w:pPr>
      <w:r>
        <w:separator/>
      </w:r>
    </w:p>
  </w:endnote>
  <w:endnote w:type="continuationSeparator" w:id="0">
    <w:p w14:paraId="2838A875" w14:textId="77777777" w:rsidR="00B4671C" w:rsidRDefault="00B4671C" w:rsidP="00D67E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D1D19" w14:textId="77777777" w:rsidR="00D67E2F" w:rsidRDefault="00D67E2F">
    <w:pPr>
      <w:pStyle w:val="Piedepgina"/>
    </w:pPr>
  </w:p>
  <w:p w14:paraId="4EC205D3" w14:textId="77777777" w:rsidR="00D67E2F" w:rsidRPr="00174B77" w:rsidRDefault="00D67E2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4663CE8" w14:textId="77777777" w:rsidR="00D67E2F" w:rsidRDefault="00D67E2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613B4E2C" w14:textId="77777777" w:rsidR="00D67E2F" w:rsidRPr="00E41027" w:rsidRDefault="00D67E2F" w:rsidP="00D520D8">
    <w:pPr>
      <w:spacing w:after="0"/>
      <w:jc w:val="both"/>
      <w:rPr>
        <w:rFonts w:ascii="Verdana" w:hAnsi="Verdana"/>
        <w:sz w:val="18"/>
        <w:szCs w:val="18"/>
      </w:rPr>
    </w:pPr>
    <w:r w:rsidRPr="00E41027">
      <w:rPr>
        <w:rFonts w:ascii="Verdana" w:hAnsi="Verdana"/>
        <w:sz w:val="18"/>
        <w:szCs w:val="18"/>
      </w:rPr>
      <w:t>Mesa de servicio: (+57) 601 7456788</w:t>
    </w:r>
  </w:p>
  <w:p w14:paraId="3B32C92C" w14:textId="77777777" w:rsidR="00D67E2F" w:rsidRDefault="00D67E2F"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4D138" w14:textId="77777777" w:rsidR="00B4671C" w:rsidRDefault="00B4671C" w:rsidP="00D67E2F">
      <w:pPr>
        <w:spacing w:after="0" w:line="240" w:lineRule="auto"/>
      </w:pPr>
      <w:r>
        <w:separator/>
      </w:r>
    </w:p>
  </w:footnote>
  <w:footnote w:type="continuationSeparator" w:id="0">
    <w:p w14:paraId="0A4C26DB" w14:textId="77777777" w:rsidR="00B4671C" w:rsidRDefault="00B4671C" w:rsidP="00D67E2F">
      <w:pPr>
        <w:spacing w:after="0" w:line="240" w:lineRule="auto"/>
      </w:pPr>
      <w:r>
        <w:continuationSeparator/>
      </w:r>
    </w:p>
  </w:footnote>
  <w:footnote w:id="1">
    <w:p w14:paraId="2AC37599" w14:textId="77777777" w:rsidR="007F3EED" w:rsidRPr="00C96FA1" w:rsidRDefault="007F3EED" w:rsidP="007F3EED">
      <w:pPr>
        <w:pStyle w:val="Textonotapie"/>
        <w:ind w:firstLine="709"/>
        <w:jc w:val="both"/>
        <w:rPr>
          <w:rFonts w:ascii="Century Gothic" w:hAnsi="Century Gothic" w:cs="Arial"/>
          <w:sz w:val="16"/>
          <w:szCs w:val="16"/>
        </w:rPr>
      </w:pPr>
      <w:r w:rsidRPr="00C96FA1">
        <w:rPr>
          <w:rStyle w:val="Refdenotaalpie"/>
          <w:rFonts w:ascii="Century Gothic" w:hAnsi="Century Gothic" w:cs="Arial"/>
          <w:sz w:val="16"/>
          <w:szCs w:val="16"/>
        </w:rPr>
        <w:footnoteRef/>
      </w:r>
      <w:r w:rsidRPr="00C96FA1">
        <w:rPr>
          <w:rFonts w:ascii="Century Gothic" w:hAnsi="Century Gothic" w:cs="Arial"/>
          <w:sz w:val="16"/>
          <w:szCs w:val="16"/>
        </w:rPr>
        <w:t xml:space="preserve"> </w:t>
      </w:r>
      <w:r w:rsidRPr="00C96FA1">
        <w:rPr>
          <w:rFonts w:ascii="Century Gothic" w:hAnsi="Century Gothic" w:cs="Arial"/>
          <w:sz w:val="16"/>
          <w:szCs w:val="16"/>
          <w:lang w:val="es-ES"/>
        </w:rPr>
        <w:t>Consejo de Estado. Sección Tercera. Sentencia del 29 de octubre de 2.015. Consejera Ponente: Stella Conto Díaz Del Castillo. Expediente: 31.918.</w:t>
      </w:r>
    </w:p>
  </w:footnote>
  <w:footnote w:id="2">
    <w:p w14:paraId="70843FAA" w14:textId="77777777" w:rsidR="007F3EED" w:rsidRPr="002E3364" w:rsidRDefault="007F3EED" w:rsidP="007F3EED">
      <w:pPr>
        <w:pStyle w:val="Textonotapie"/>
        <w:ind w:firstLine="709"/>
        <w:jc w:val="both"/>
        <w:rPr>
          <w:rFonts w:ascii="Verdana" w:hAnsi="Verdana"/>
          <w:sz w:val="16"/>
          <w:szCs w:val="16"/>
        </w:rPr>
      </w:pPr>
      <w:r w:rsidRPr="002E3364">
        <w:rPr>
          <w:rStyle w:val="Refdenotaalpie"/>
          <w:rFonts w:ascii="Verdana" w:hAnsi="Verdana"/>
          <w:sz w:val="16"/>
          <w:szCs w:val="16"/>
        </w:rPr>
        <w:footnoteRef/>
      </w:r>
      <w:r w:rsidRPr="002E3364">
        <w:rPr>
          <w:rFonts w:ascii="Verdana" w:hAnsi="Verdana"/>
          <w:sz w:val="16"/>
          <w:szCs w:val="16"/>
        </w:rPr>
        <w:t xml:space="preserve"> </w:t>
      </w:r>
      <w:r w:rsidRPr="002E3364">
        <w:rPr>
          <w:rFonts w:ascii="Verdana" w:hAnsi="Verdana" w:cs="Arial"/>
          <w:sz w:val="16"/>
          <w:szCs w:val="16"/>
          <w:lang w:val="es-ES"/>
        </w:rPr>
        <w:t>Corte Constitucional. Sentencia T-684A del 14 de septiembre de 2011. Magistrado Ponente: Mauricio González Cuervo.</w:t>
      </w:r>
    </w:p>
  </w:footnote>
  <w:footnote w:id="3">
    <w:p w14:paraId="1C8B58EB" w14:textId="77777777" w:rsidR="007F3EED" w:rsidRPr="002E3364" w:rsidRDefault="007F3EED" w:rsidP="007F3EED">
      <w:pPr>
        <w:pStyle w:val="Textonotapie"/>
        <w:ind w:firstLine="709"/>
        <w:jc w:val="both"/>
        <w:rPr>
          <w:rFonts w:ascii="Verdana" w:hAnsi="Verdana" w:cs="Arial"/>
          <w:sz w:val="16"/>
          <w:szCs w:val="16"/>
          <w:lang w:val="es-ES"/>
        </w:rPr>
      </w:pPr>
      <w:r w:rsidRPr="002E3364">
        <w:rPr>
          <w:rStyle w:val="Refdenotaalpie"/>
          <w:rFonts w:ascii="Verdana" w:hAnsi="Verdana" w:cs="Arial"/>
          <w:sz w:val="16"/>
          <w:szCs w:val="16"/>
        </w:rPr>
        <w:footnoteRef/>
      </w:r>
      <w:r w:rsidRPr="002E3364">
        <w:rPr>
          <w:rFonts w:ascii="Verdana" w:hAnsi="Verdana" w:cs="Arial"/>
          <w:sz w:val="16"/>
          <w:szCs w:val="16"/>
        </w:rPr>
        <w:t xml:space="preserve"> </w:t>
      </w:r>
      <w:r w:rsidRPr="002E3364">
        <w:rPr>
          <w:rFonts w:ascii="Verdana" w:hAnsi="Verdana" w:cs="Arial"/>
          <w:sz w:val="16"/>
          <w:szCs w:val="16"/>
          <w:lang w:val="es-ES"/>
        </w:rPr>
        <w:t>Artículos 2 al 29.</w:t>
      </w:r>
    </w:p>
  </w:footnote>
  <w:footnote w:id="4">
    <w:p w14:paraId="28DEE219" w14:textId="77777777" w:rsidR="007F3EED" w:rsidRPr="002E3364" w:rsidRDefault="007F3EED" w:rsidP="007F3EED">
      <w:pPr>
        <w:pStyle w:val="Textonotapie"/>
        <w:ind w:firstLine="709"/>
        <w:jc w:val="both"/>
        <w:rPr>
          <w:rFonts w:ascii="Verdana" w:hAnsi="Verdana" w:cs="Arial"/>
          <w:sz w:val="16"/>
          <w:szCs w:val="16"/>
          <w:lang w:val="es-ES"/>
        </w:rPr>
      </w:pPr>
      <w:r w:rsidRPr="002E3364">
        <w:rPr>
          <w:rStyle w:val="Refdenotaalpie"/>
          <w:rFonts w:ascii="Verdana" w:hAnsi="Verdana" w:cs="Arial"/>
          <w:sz w:val="16"/>
          <w:szCs w:val="16"/>
        </w:rPr>
        <w:footnoteRef/>
      </w:r>
      <w:r w:rsidRPr="002E3364">
        <w:rPr>
          <w:rFonts w:ascii="Verdana" w:hAnsi="Verdana" w:cs="Arial"/>
          <w:sz w:val="16"/>
          <w:szCs w:val="16"/>
        </w:rPr>
        <w:t xml:space="preserve"> </w:t>
      </w:r>
      <w:r w:rsidRPr="002E3364">
        <w:rPr>
          <w:rFonts w:ascii="Verdana" w:hAnsi="Verdana" w:cs="Arial"/>
          <w:sz w:val="16"/>
          <w:szCs w:val="16"/>
          <w:lang w:val="es-ES"/>
        </w:rPr>
        <w:t>Artículos 30 al 36.</w:t>
      </w:r>
    </w:p>
  </w:footnote>
  <w:footnote w:id="5">
    <w:p w14:paraId="0994B1CD" w14:textId="77777777" w:rsidR="007F3EED" w:rsidRPr="00C96FA1" w:rsidRDefault="007F3EED" w:rsidP="007F3EED">
      <w:pPr>
        <w:pStyle w:val="Textonotapie"/>
        <w:ind w:firstLine="709"/>
        <w:jc w:val="both"/>
        <w:rPr>
          <w:rFonts w:ascii="Century Gothic" w:hAnsi="Century Gothic" w:cs="Arial"/>
          <w:sz w:val="16"/>
          <w:szCs w:val="16"/>
          <w:lang w:val="es-ES"/>
        </w:rPr>
      </w:pPr>
      <w:r w:rsidRPr="002E3364">
        <w:rPr>
          <w:rStyle w:val="Refdenotaalpie"/>
          <w:rFonts w:ascii="Verdana" w:hAnsi="Verdana" w:cs="Arial"/>
          <w:sz w:val="16"/>
          <w:szCs w:val="16"/>
        </w:rPr>
        <w:footnoteRef/>
      </w:r>
      <w:r w:rsidRPr="002E3364">
        <w:rPr>
          <w:rFonts w:ascii="Verdana" w:hAnsi="Verdana" w:cs="Arial"/>
          <w:sz w:val="16"/>
          <w:szCs w:val="16"/>
        </w:rPr>
        <w:t xml:space="preserve"> </w:t>
      </w:r>
      <w:r w:rsidRPr="002E3364">
        <w:rPr>
          <w:rFonts w:ascii="Verdana" w:hAnsi="Verdana" w:cs="Arial"/>
          <w:sz w:val="16"/>
          <w:szCs w:val="16"/>
          <w:lang w:val="es-ES"/>
        </w:rPr>
        <w:t>Artículos 37 al 45.</w:t>
      </w:r>
    </w:p>
  </w:footnote>
  <w:footnote w:id="6">
    <w:p w14:paraId="2875BB59" w14:textId="77777777" w:rsidR="007F3EED" w:rsidRPr="002E3364" w:rsidRDefault="007F3EED" w:rsidP="007F3EED">
      <w:pPr>
        <w:pStyle w:val="Textonotapie"/>
        <w:ind w:firstLine="709"/>
        <w:jc w:val="both"/>
        <w:rPr>
          <w:rFonts w:ascii="Verdana" w:hAnsi="Verdana" w:cs="Arial"/>
          <w:sz w:val="16"/>
          <w:szCs w:val="16"/>
          <w:lang w:val="es-ES"/>
        </w:rPr>
      </w:pPr>
      <w:r w:rsidRPr="002E3364">
        <w:rPr>
          <w:rStyle w:val="Refdenotaalpie"/>
          <w:rFonts w:ascii="Verdana" w:hAnsi="Verdana" w:cs="Arial"/>
          <w:sz w:val="16"/>
          <w:szCs w:val="16"/>
        </w:rPr>
        <w:footnoteRef/>
      </w:r>
      <w:r w:rsidRPr="002E3364">
        <w:rPr>
          <w:rFonts w:ascii="Verdana" w:hAnsi="Verdana" w:cs="Arial"/>
          <w:sz w:val="16"/>
          <w:szCs w:val="16"/>
        </w:rPr>
        <w:t xml:space="preserve"> </w:t>
      </w:r>
      <w:r w:rsidRPr="002E3364">
        <w:rPr>
          <w:rFonts w:ascii="Verdana" w:hAnsi="Verdana" w:cs="Arial"/>
          <w:sz w:val="16"/>
          <w:szCs w:val="16"/>
          <w:lang w:val="es-ES"/>
        </w:rPr>
        <w:t>Artículos 46 al 73.</w:t>
      </w:r>
    </w:p>
  </w:footnote>
  <w:footnote w:id="7">
    <w:p w14:paraId="47A10FD0" w14:textId="77777777" w:rsidR="007F3EED" w:rsidRPr="00C96FA1" w:rsidRDefault="007F3EED" w:rsidP="007F3EED">
      <w:pPr>
        <w:pStyle w:val="Textonotapie"/>
        <w:ind w:firstLine="709"/>
        <w:jc w:val="both"/>
        <w:rPr>
          <w:rFonts w:ascii="Century Gothic" w:hAnsi="Century Gothic" w:cs="Arial"/>
          <w:sz w:val="16"/>
          <w:szCs w:val="16"/>
          <w:lang w:val="es-ES"/>
        </w:rPr>
      </w:pPr>
      <w:r w:rsidRPr="002E3364">
        <w:rPr>
          <w:rStyle w:val="Refdenotaalpie"/>
          <w:rFonts w:ascii="Verdana" w:hAnsi="Verdana" w:cs="Arial"/>
          <w:sz w:val="16"/>
          <w:szCs w:val="16"/>
        </w:rPr>
        <w:footnoteRef/>
      </w:r>
      <w:r w:rsidRPr="002E3364">
        <w:rPr>
          <w:rFonts w:ascii="Verdana" w:hAnsi="Verdana" w:cs="Arial"/>
          <w:sz w:val="16"/>
          <w:szCs w:val="16"/>
        </w:rPr>
        <w:t xml:space="preserve"> </w:t>
      </w:r>
      <w:r w:rsidRPr="002E3364">
        <w:rPr>
          <w:rFonts w:ascii="Verdana" w:hAnsi="Verdana" w:cs="Arial"/>
          <w:sz w:val="16"/>
          <w:szCs w:val="16"/>
          <w:lang w:val="es-ES"/>
        </w:rPr>
        <w:t>Artículos 74 al 83.</w:t>
      </w:r>
    </w:p>
  </w:footnote>
  <w:footnote w:id="8">
    <w:p w14:paraId="08E8672C" w14:textId="77777777" w:rsidR="007F3EED" w:rsidRPr="00316377" w:rsidRDefault="007F3EED" w:rsidP="007F3EED">
      <w:pPr>
        <w:pStyle w:val="Textonotapie"/>
        <w:ind w:firstLine="708"/>
        <w:jc w:val="both"/>
        <w:rPr>
          <w:rFonts w:ascii="Verdana" w:hAnsi="Verdana" w:cs="Arial"/>
          <w:sz w:val="16"/>
          <w:szCs w:val="16"/>
        </w:rPr>
      </w:pPr>
      <w:r w:rsidRPr="00316377">
        <w:rPr>
          <w:rStyle w:val="Refdenotaalpie"/>
          <w:rFonts w:ascii="Verdana" w:hAnsi="Verdana" w:cs="Arial"/>
          <w:sz w:val="16"/>
          <w:szCs w:val="16"/>
        </w:rPr>
        <w:footnoteRef/>
      </w:r>
      <w:r w:rsidRPr="00316377">
        <w:rPr>
          <w:rFonts w:ascii="Verdana" w:hAnsi="Verdana"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w:t>
      </w:r>
      <w:proofErr w:type="spellStart"/>
      <w:r w:rsidRPr="00316377">
        <w:rPr>
          <w:rFonts w:ascii="Verdana" w:hAnsi="Verdana" w:cs="Arial"/>
          <w:sz w:val="16"/>
          <w:szCs w:val="16"/>
        </w:rPr>
        <w:t>Mipyme</w:t>
      </w:r>
      <w:proofErr w:type="spellEnd"/>
      <w:r w:rsidRPr="00316377">
        <w:rPr>
          <w:rFonts w:ascii="Verdana" w:hAnsi="Verdana" w:cs="Arial"/>
          <w:sz w:val="16"/>
          <w:szCs w:val="16"/>
        </w:rPr>
        <w:t xml:space="preserve"> y grandes almacenes; los criterios diferenciales para </w:t>
      </w:r>
      <w:proofErr w:type="spellStart"/>
      <w:r w:rsidRPr="00316377">
        <w:rPr>
          <w:rFonts w:ascii="Verdana" w:hAnsi="Verdana" w:cs="Arial"/>
          <w:sz w:val="16"/>
          <w:szCs w:val="16"/>
        </w:rPr>
        <w:t>Mipyme</w:t>
      </w:r>
      <w:proofErr w:type="spellEnd"/>
      <w:r w:rsidRPr="00316377">
        <w:rPr>
          <w:rFonts w:ascii="Verdana" w:hAnsi="Verdana" w:cs="Arial"/>
          <w:sz w:val="16"/>
          <w:szCs w:val="16"/>
        </w:rPr>
        <w:t xml:space="preserve">, y la definición y los criterios diferenciales para los emprendimientos y empresas de mujeres; las convocatorias limitadas a </w:t>
      </w:r>
      <w:proofErr w:type="spellStart"/>
      <w:r w:rsidRPr="00316377">
        <w:rPr>
          <w:rFonts w:ascii="Verdana" w:hAnsi="Verdana" w:cs="Arial"/>
          <w:sz w:val="16"/>
          <w:szCs w:val="16"/>
        </w:rPr>
        <w:t>Mipyme</w:t>
      </w:r>
      <w:proofErr w:type="spellEnd"/>
      <w:r w:rsidRPr="00316377">
        <w:rPr>
          <w:rFonts w:ascii="Verdana" w:hAnsi="Verdana" w:cs="Arial"/>
          <w:sz w:val="16"/>
          <w:szCs w:val="16"/>
        </w:rPr>
        <w:t>;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9">
    <w:p w14:paraId="56CAB6D5" w14:textId="77777777" w:rsidR="007F3EED" w:rsidRPr="006921FF" w:rsidRDefault="007F3EED" w:rsidP="007F3EED">
      <w:pPr>
        <w:pStyle w:val="NormalWeb"/>
        <w:shd w:val="clear" w:color="auto" w:fill="FFFFFF"/>
        <w:spacing w:before="0" w:beforeAutospacing="0" w:after="0" w:afterAutospacing="0"/>
        <w:ind w:firstLine="709"/>
        <w:jc w:val="both"/>
        <w:rPr>
          <w:rFonts w:ascii="Verdana" w:hAnsi="Verdana" w:cs="Arial"/>
          <w:sz w:val="16"/>
          <w:szCs w:val="16"/>
        </w:rPr>
      </w:pPr>
      <w:r w:rsidRPr="006921FF">
        <w:rPr>
          <w:rStyle w:val="Refdenotaalpie"/>
          <w:rFonts w:ascii="Verdana" w:hAnsi="Verdana" w:cs="Arial"/>
          <w:sz w:val="16"/>
          <w:szCs w:val="16"/>
        </w:rPr>
        <w:footnoteRef/>
      </w:r>
      <w:r w:rsidRPr="006921FF">
        <w:rPr>
          <w:rFonts w:ascii="Verdana" w:hAnsi="Verdana"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r w:rsidRPr="006921FF">
        <w:rPr>
          <w:rFonts w:ascii="Verdana" w:eastAsiaTheme="majorEastAsia" w:hAnsi="Verdana" w:cs="Arial"/>
          <w:sz w:val="16"/>
          <w:szCs w:val="16"/>
        </w:rPr>
        <w:t>5 </w:t>
      </w:r>
      <w:r w:rsidRPr="006921FF">
        <w:rPr>
          <w:rFonts w:ascii="Verdana" w:hAnsi="Verdana" w:cs="Arial"/>
          <w:sz w:val="16"/>
          <w:szCs w:val="16"/>
        </w:rPr>
        <w:t>de la Sección 1 del Capítulo 2 del Título 1 de la Parte 2 del Libro 2, así como los artículos </w:t>
      </w:r>
      <w:r w:rsidRPr="006921FF">
        <w:rPr>
          <w:rFonts w:ascii="Verdana" w:eastAsiaTheme="majorEastAsia" w:hAnsi="Verdana" w:cs="Arial"/>
          <w:sz w:val="16"/>
          <w:szCs w:val="16"/>
        </w:rPr>
        <w:t>2.2.1.2.4.2.2</w:t>
      </w:r>
      <w:r w:rsidRPr="006921FF">
        <w:rPr>
          <w:rFonts w:ascii="Verdana" w:hAnsi="Verdana" w:cs="Arial"/>
          <w:sz w:val="16"/>
          <w:szCs w:val="16"/>
        </w:rPr>
        <w:t>., </w:t>
      </w:r>
      <w:r w:rsidRPr="006921FF">
        <w:rPr>
          <w:rFonts w:ascii="Verdana" w:eastAsiaTheme="majorEastAsia" w:hAnsi="Verdana" w:cs="Arial"/>
          <w:sz w:val="16"/>
          <w:szCs w:val="16"/>
        </w:rPr>
        <w:t>2.2.1.2.4.2.3</w:t>
      </w:r>
      <w:r w:rsidRPr="006921FF">
        <w:rPr>
          <w:rFonts w:ascii="Verdana" w:hAnsi="Verdana" w:cs="Arial"/>
          <w:sz w:val="16"/>
          <w:szCs w:val="16"/>
        </w:rPr>
        <w:t>., </w:t>
      </w:r>
      <w:r w:rsidRPr="006921FF">
        <w:rPr>
          <w:rFonts w:ascii="Verdana" w:eastAsiaTheme="majorEastAsia" w:hAnsi="Verdana" w:cs="Arial"/>
          <w:sz w:val="16"/>
          <w:szCs w:val="16"/>
        </w:rPr>
        <w:t>2.2.1.2.4.2.4</w:t>
      </w:r>
      <w:r w:rsidRPr="006921FF">
        <w:rPr>
          <w:rFonts w:ascii="Verdana" w:hAnsi="Verdana" w:cs="Arial"/>
          <w:sz w:val="16"/>
          <w:szCs w:val="16"/>
        </w:rPr>
        <w:t>., </w:t>
      </w:r>
      <w:r w:rsidRPr="006921FF">
        <w:rPr>
          <w:rFonts w:ascii="Verdana" w:eastAsiaTheme="majorEastAsia" w:hAnsi="Verdana" w:cs="Arial"/>
          <w:sz w:val="16"/>
          <w:szCs w:val="16"/>
        </w:rPr>
        <w:t>2.2.1.2.1.2.2</w:t>
      </w:r>
      <w:r w:rsidRPr="006921FF">
        <w:rPr>
          <w:rFonts w:ascii="Verdana" w:hAnsi="Verdana" w:cs="Arial"/>
          <w:sz w:val="16"/>
          <w:szCs w:val="16"/>
        </w:rPr>
        <w:t xml:space="preserve"> y </w:t>
      </w:r>
      <w:r w:rsidRPr="006921FF">
        <w:rPr>
          <w:rFonts w:ascii="Verdana" w:eastAsiaTheme="majorEastAsia" w:hAnsi="Verdana" w:cs="Arial"/>
          <w:sz w:val="16"/>
          <w:szCs w:val="16"/>
        </w:rPr>
        <w:t>2.2.1.2.4.2.8</w:t>
      </w:r>
      <w:r w:rsidRPr="006921FF">
        <w:rPr>
          <w:rFonts w:ascii="Verdana" w:hAnsi="Verdana" w:cs="Arial"/>
          <w:sz w:val="16"/>
          <w:szCs w:val="16"/>
        </w:rPr>
        <w:t>.; adiciona los artículos </w:t>
      </w:r>
      <w:r w:rsidRPr="006921FF">
        <w:rPr>
          <w:rFonts w:ascii="Verdana" w:eastAsiaTheme="majorEastAsia" w:hAnsi="Verdana" w:cs="Arial"/>
          <w:sz w:val="16"/>
          <w:szCs w:val="16"/>
        </w:rPr>
        <w:t>2.2.1.2.4.2.14</w:t>
      </w:r>
      <w:r w:rsidRPr="006921FF">
        <w:rPr>
          <w:rFonts w:ascii="Verdana" w:hAnsi="Verdana" w:cs="Arial"/>
          <w:sz w:val="16"/>
          <w:szCs w:val="16"/>
        </w:rPr>
        <w:t>., </w:t>
      </w:r>
      <w:r w:rsidRPr="006921FF">
        <w:rPr>
          <w:rFonts w:ascii="Verdana" w:eastAsiaTheme="majorEastAsia" w:hAnsi="Verdana" w:cs="Arial"/>
          <w:sz w:val="16"/>
          <w:szCs w:val="16"/>
        </w:rPr>
        <w:t>2.2.1.2.4.2.15</w:t>
      </w:r>
      <w:r w:rsidRPr="006921FF">
        <w:rPr>
          <w:rFonts w:ascii="Verdana" w:hAnsi="Verdana" w:cs="Arial"/>
          <w:sz w:val="16"/>
          <w:szCs w:val="16"/>
        </w:rPr>
        <w:t>., </w:t>
      </w:r>
      <w:r w:rsidRPr="006921FF">
        <w:rPr>
          <w:rFonts w:ascii="Verdana" w:eastAsiaTheme="majorEastAsia" w:hAnsi="Verdana" w:cs="Arial"/>
          <w:sz w:val="16"/>
          <w:szCs w:val="16"/>
        </w:rPr>
        <w:t>2.2.1.2.4.2.16</w:t>
      </w:r>
      <w:r w:rsidRPr="006921FF">
        <w:rPr>
          <w:rFonts w:ascii="Verdana" w:hAnsi="Verdana" w:cs="Arial"/>
          <w:sz w:val="16"/>
          <w:szCs w:val="16"/>
        </w:rPr>
        <w:t>., </w:t>
      </w:r>
      <w:r w:rsidRPr="006921FF">
        <w:rPr>
          <w:rFonts w:ascii="Verdana" w:eastAsiaTheme="majorEastAsia" w:hAnsi="Verdana" w:cs="Arial"/>
          <w:sz w:val="16"/>
          <w:szCs w:val="16"/>
        </w:rPr>
        <w:t xml:space="preserve">2.2.1.2.4.2.17. </w:t>
      </w:r>
      <w:r w:rsidRPr="006921FF">
        <w:rPr>
          <w:rFonts w:ascii="Verdana" w:hAnsi="Verdana" w:cs="Arial"/>
          <w:sz w:val="16"/>
          <w:szCs w:val="16"/>
        </w:rPr>
        <w:t>y </w:t>
      </w:r>
      <w:r w:rsidRPr="006921FF">
        <w:rPr>
          <w:rFonts w:ascii="Verdana" w:eastAsiaTheme="majorEastAsia" w:hAnsi="Verdana" w:cs="Arial"/>
          <w:sz w:val="16"/>
          <w:szCs w:val="16"/>
        </w:rPr>
        <w:t>2.2.1.2.4.2.18</w:t>
      </w:r>
      <w:r w:rsidRPr="006921FF">
        <w:rPr>
          <w:rFonts w:ascii="Verdana" w:hAnsi="Verdana" w:cs="Arial"/>
          <w:sz w:val="16"/>
          <w:szCs w:val="16"/>
        </w:rPr>
        <w:t>.; adiciona un </w:t>
      </w:r>
      <w:r w:rsidRPr="006921FF">
        <w:rPr>
          <w:rFonts w:ascii="Verdana" w:eastAsiaTheme="majorEastAsia" w:hAnsi="Verdana" w:cs="Arial"/>
          <w:sz w:val="16"/>
          <w:szCs w:val="16"/>
        </w:rPr>
        <w:t>parágrafo </w:t>
      </w:r>
      <w:r w:rsidRPr="006921FF">
        <w:rPr>
          <w:rFonts w:ascii="Verdana" w:hAnsi="Verdana" w:cs="Arial"/>
          <w:sz w:val="16"/>
          <w:szCs w:val="16"/>
        </w:rPr>
        <w:t>al artículo </w:t>
      </w:r>
      <w:r w:rsidRPr="006921FF">
        <w:rPr>
          <w:rFonts w:ascii="Verdana" w:eastAsiaTheme="majorEastAsia" w:hAnsi="Verdana" w:cs="Arial"/>
          <w:sz w:val="16"/>
          <w:szCs w:val="16"/>
        </w:rPr>
        <w:t>2.2.1.2.3.1.9</w:t>
      </w:r>
      <w:r w:rsidRPr="006921FF">
        <w:rPr>
          <w:rFonts w:ascii="Verdana" w:hAnsi="Verdana" w:cs="Arial"/>
          <w:sz w:val="16"/>
          <w:szCs w:val="16"/>
        </w:rPr>
        <w:t>; y deroga el artículo </w:t>
      </w:r>
      <w:r w:rsidRPr="006921FF">
        <w:rPr>
          <w:rFonts w:ascii="Verdana" w:eastAsiaTheme="majorEastAsia" w:hAnsi="Verdana" w:cs="Arial"/>
          <w:sz w:val="16"/>
          <w:szCs w:val="16"/>
        </w:rPr>
        <w:t>2.2.1.1.2.2.9</w:t>
      </w:r>
      <w:r w:rsidRPr="006921FF">
        <w:rPr>
          <w:rFonts w:ascii="Verdana" w:hAnsi="Verdana" w:cs="Arial"/>
          <w:sz w:val="16"/>
          <w:szCs w:val="16"/>
        </w:rPr>
        <w:t>. del Decreto 1082 de 2015, Único Reglamentario del Sector Administrativo de Planeación Nacional.</w:t>
      </w:r>
    </w:p>
    <w:p w14:paraId="39D4FDE5" w14:textId="77777777" w:rsidR="007F3EED" w:rsidRPr="006921FF" w:rsidRDefault="007F3EED" w:rsidP="007F3EED">
      <w:pPr>
        <w:pStyle w:val="NormalWeb"/>
        <w:shd w:val="clear" w:color="auto" w:fill="FFFFFF"/>
        <w:spacing w:before="0" w:beforeAutospacing="0" w:after="0" w:afterAutospacing="0"/>
        <w:jc w:val="both"/>
        <w:rPr>
          <w:rFonts w:ascii="Verdana" w:hAnsi="Verdana" w:cs="Arial"/>
          <w:sz w:val="16"/>
          <w:szCs w:val="16"/>
        </w:rPr>
      </w:pPr>
      <w:r w:rsidRPr="006921FF">
        <w:rPr>
          <w:rFonts w:ascii="Verdana" w:hAnsi="Verdana" w:cs="Arial"/>
          <w:b/>
          <w:bCs/>
          <w:sz w:val="16"/>
          <w:szCs w:val="16"/>
        </w:rPr>
        <w:t> </w:t>
      </w:r>
      <w:r w:rsidRPr="006921FF">
        <w:rPr>
          <w:rFonts w:ascii="Verdana" w:hAnsi="Verdana" w:cs="Arial"/>
          <w:b/>
          <w:bCs/>
          <w:sz w:val="16"/>
          <w:szCs w:val="16"/>
        </w:rPr>
        <w:tab/>
      </w:r>
      <w:r w:rsidRPr="006921FF">
        <w:rPr>
          <w:rFonts w:ascii="Verdana" w:hAnsi="Verdana"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3B1CFEFA" w14:textId="77777777" w:rsidR="007F3EED" w:rsidRPr="00C96FA1" w:rsidRDefault="007F3EED" w:rsidP="007F3EED">
      <w:pPr>
        <w:pStyle w:val="NormalWeb"/>
        <w:shd w:val="clear" w:color="auto" w:fill="FFFFFF"/>
        <w:spacing w:before="0" w:beforeAutospacing="0" w:after="0" w:afterAutospacing="0"/>
        <w:jc w:val="both"/>
        <w:rPr>
          <w:rFonts w:ascii="Century Gothic" w:hAnsi="Century Gothic" w:cs="Arial"/>
          <w:sz w:val="16"/>
          <w:szCs w:val="16"/>
        </w:rPr>
      </w:pPr>
      <w:r w:rsidRPr="006921FF">
        <w:rPr>
          <w:rFonts w:ascii="Verdana" w:hAnsi="Verdana" w:cs="Arial"/>
          <w:sz w:val="16"/>
          <w:szCs w:val="16"/>
        </w:rPr>
        <w:t> </w:t>
      </w:r>
      <w:r w:rsidRPr="006921FF">
        <w:rPr>
          <w:rFonts w:ascii="Verdana" w:hAnsi="Verdana"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1960F" w14:textId="77777777" w:rsidR="00D67E2F" w:rsidRDefault="00D67E2F"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09F8C64" wp14:editId="13D9C953">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50D2555" wp14:editId="045DFFD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B167D49" w14:textId="77777777" w:rsidR="00D67E2F" w:rsidRDefault="00D67E2F">
    <w:pPr>
      <w:pStyle w:val="Encabezado"/>
    </w:pPr>
  </w:p>
  <w:p w14:paraId="28D1506F" w14:textId="77777777" w:rsidR="00D67E2F" w:rsidRPr="004A305D" w:rsidRDefault="00D67E2F" w:rsidP="00B01B1A">
    <w:pPr>
      <w:spacing w:after="0" w:line="120" w:lineRule="auto"/>
      <w:rPr>
        <w:rFonts w:ascii="Century Gothic" w:eastAsia="Geo" w:hAnsi="Century Gothic" w:cs="Geo"/>
        <w:sz w:val="16"/>
        <w:szCs w:val="16"/>
        <w:lang w:eastAsia="es-CO"/>
      </w:rPr>
    </w:pPr>
  </w:p>
  <w:p w14:paraId="01076FFF" w14:textId="77777777" w:rsidR="00D67E2F" w:rsidRDefault="00D67E2F" w:rsidP="00844AE9">
    <w:pPr>
      <w:spacing w:after="0" w:line="240" w:lineRule="auto"/>
      <w:rPr>
        <w:rFonts w:ascii="Verdana" w:hAnsi="Verdana"/>
        <w:sz w:val="24"/>
        <w:szCs w:val="24"/>
      </w:rPr>
    </w:pPr>
  </w:p>
  <w:p w14:paraId="1560298F" w14:textId="77777777" w:rsidR="00D67E2F" w:rsidRPr="00C925AC" w:rsidRDefault="00D67E2F" w:rsidP="00844AE9">
    <w:pPr>
      <w:spacing w:after="0" w:line="240" w:lineRule="auto"/>
      <w:rPr>
        <w:rFonts w:ascii="Verdana" w:hAnsi="Verdana"/>
        <w:sz w:val="24"/>
        <w:szCs w:val="24"/>
      </w:rPr>
    </w:pPr>
  </w:p>
  <w:p w14:paraId="252714F7" w14:textId="77777777" w:rsidR="00D67E2F" w:rsidRPr="00C925AC" w:rsidRDefault="00D67E2F"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1021395840">
    <w:abstractNumId w:val="2"/>
  </w:num>
  <w:num w:numId="2" w16cid:durableId="1178156914">
    <w:abstractNumId w:val="0"/>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E2F"/>
    <w:rsid w:val="00025935"/>
    <w:rsid w:val="000B5676"/>
    <w:rsid w:val="000F5A42"/>
    <w:rsid w:val="000F6CB2"/>
    <w:rsid w:val="00125271"/>
    <w:rsid w:val="004A6FDA"/>
    <w:rsid w:val="00533F12"/>
    <w:rsid w:val="00585E97"/>
    <w:rsid w:val="006111A8"/>
    <w:rsid w:val="007F3EED"/>
    <w:rsid w:val="0083215B"/>
    <w:rsid w:val="00902823"/>
    <w:rsid w:val="00937C36"/>
    <w:rsid w:val="009A51F2"/>
    <w:rsid w:val="00A12218"/>
    <w:rsid w:val="00A312AA"/>
    <w:rsid w:val="00A40A7E"/>
    <w:rsid w:val="00A90678"/>
    <w:rsid w:val="00B4671C"/>
    <w:rsid w:val="00B51D93"/>
    <w:rsid w:val="00B640FA"/>
    <w:rsid w:val="00CD1407"/>
    <w:rsid w:val="00CE2FF1"/>
    <w:rsid w:val="00D67E2F"/>
    <w:rsid w:val="00D97285"/>
    <w:rsid w:val="00EA261D"/>
    <w:rsid w:val="00F537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23931"/>
  <w15:chartTrackingRefBased/>
  <w15:docId w15:val="{1B002DF0-6168-42B3-8FCF-C78252765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7E2F"/>
    <w:rPr>
      <w:kern w:val="0"/>
      <w14:ligatures w14:val="none"/>
    </w:rPr>
  </w:style>
  <w:style w:type="paragraph" w:styleId="Ttulo1">
    <w:name w:val="heading 1"/>
    <w:basedOn w:val="Normal"/>
    <w:next w:val="Normal"/>
    <w:link w:val="Ttulo1Car"/>
    <w:uiPriority w:val="9"/>
    <w:qFormat/>
    <w:rsid w:val="00D67E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67E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67E2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67E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67E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67E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67E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67E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67E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67E2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67E2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67E2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67E2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67E2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67E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67E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67E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67E2F"/>
    <w:rPr>
      <w:rFonts w:eastAsiaTheme="majorEastAsia" w:cstheme="majorBidi"/>
      <w:color w:val="272727" w:themeColor="text1" w:themeTint="D8"/>
    </w:rPr>
  </w:style>
  <w:style w:type="paragraph" w:styleId="Ttulo">
    <w:name w:val="Title"/>
    <w:basedOn w:val="Normal"/>
    <w:next w:val="Normal"/>
    <w:link w:val="TtuloCar"/>
    <w:uiPriority w:val="10"/>
    <w:qFormat/>
    <w:rsid w:val="00D67E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67E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67E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67E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67E2F"/>
    <w:pPr>
      <w:spacing w:before="160"/>
      <w:jc w:val="center"/>
    </w:pPr>
    <w:rPr>
      <w:i/>
      <w:iCs/>
      <w:color w:val="404040" w:themeColor="text1" w:themeTint="BF"/>
    </w:rPr>
  </w:style>
  <w:style w:type="character" w:customStyle="1" w:styleId="CitaCar">
    <w:name w:val="Cita Car"/>
    <w:basedOn w:val="Fuentedeprrafopredeter"/>
    <w:link w:val="Cita"/>
    <w:uiPriority w:val="29"/>
    <w:rsid w:val="00D67E2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D67E2F"/>
    <w:pPr>
      <w:ind w:left="720"/>
      <w:contextualSpacing/>
    </w:pPr>
  </w:style>
  <w:style w:type="character" w:styleId="nfasisintenso">
    <w:name w:val="Intense Emphasis"/>
    <w:basedOn w:val="Fuentedeprrafopredeter"/>
    <w:uiPriority w:val="21"/>
    <w:qFormat/>
    <w:rsid w:val="00D67E2F"/>
    <w:rPr>
      <w:i/>
      <w:iCs/>
      <w:color w:val="0F4761" w:themeColor="accent1" w:themeShade="BF"/>
    </w:rPr>
  </w:style>
  <w:style w:type="paragraph" w:styleId="Citadestacada">
    <w:name w:val="Intense Quote"/>
    <w:basedOn w:val="Normal"/>
    <w:next w:val="Normal"/>
    <w:link w:val="CitadestacadaCar"/>
    <w:uiPriority w:val="30"/>
    <w:qFormat/>
    <w:rsid w:val="00D67E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67E2F"/>
    <w:rPr>
      <w:i/>
      <w:iCs/>
      <w:color w:val="0F4761" w:themeColor="accent1" w:themeShade="BF"/>
    </w:rPr>
  </w:style>
  <w:style w:type="character" w:styleId="Referenciaintensa">
    <w:name w:val="Intense Reference"/>
    <w:basedOn w:val="Fuentedeprrafopredeter"/>
    <w:uiPriority w:val="32"/>
    <w:qFormat/>
    <w:rsid w:val="00D67E2F"/>
    <w:rPr>
      <w:b/>
      <w:bCs/>
      <w:smallCaps/>
      <w:color w:val="0F4761" w:themeColor="accent1" w:themeShade="BF"/>
      <w:spacing w:val="5"/>
    </w:rPr>
  </w:style>
  <w:style w:type="paragraph" w:styleId="Encabezado">
    <w:name w:val="header"/>
    <w:basedOn w:val="Normal"/>
    <w:link w:val="EncabezadoCar"/>
    <w:uiPriority w:val="99"/>
    <w:unhideWhenUsed/>
    <w:rsid w:val="00D67E2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67E2F"/>
    <w:rPr>
      <w:kern w:val="0"/>
      <w14:ligatures w14:val="none"/>
    </w:rPr>
  </w:style>
  <w:style w:type="paragraph" w:styleId="Piedepgina">
    <w:name w:val="footer"/>
    <w:basedOn w:val="Normal"/>
    <w:link w:val="PiedepginaCar"/>
    <w:uiPriority w:val="99"/>
    <w:unhideWhenUsed/>
    <w:rsid w:val="00D67E2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67E2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67E2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67E2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67E2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67E2F"/>
    <w:rPr>
      <w:vertAlign w:val="superscript"/>
    </w:rPr>
  </w:style>
  <w:style w:type="character" w:customStyle="1" w:styleId="normaltextrun">
    <w:name w:val="normaltextrun"/>
    <w:basedOn w:val="Fuentedeprrafopredeter"/>
    <w:rsid w:val="00D67E2F"/>
  </w:style>
  <w:style w:type="table" w:styleId="Tablaconcuadrcula">
    <w:name w:val="Table Grid"/>
    <w:basedOn w:val="Tablanormal"/>
    <w:uiPriority w:val="39"/>
    <w:qFormat/>
    <w:rsid w:val="00D67E2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67E2F"/>
    <w:rPr>
      <w:color w:val="0000FF"/>
      <w:u w:val="single"/>
    </w:rPr>
  </w:style>
  <w:style w:type="paragraph" w:customStyle="1" w:styleId="paragraph">
    <w:name w:val="paragraph"/>
    <w:basedOn w:val="Normal"/>
    <w:rsid w:val="00D67E2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D67E2F"/>
  </w:style>
  <w:style w:type="paragraph" w:styleId="NormalWeb">
    <w:name w:val="Normal (Web)"/>
    <w:basedOn w:val="Normal"/>
    <w:link w:val="NormalWebCar"/>
    <w:uiPriority w:val="99"/>
    <w:unhideWhenUsed/>
    <w:rsid w:val="00D67E2F"/>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D67E2F"/>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67E2F"/>
  </w:style>
  <w:style w:type="character" w:customStyle="1" w:styleId="NormalWebCar">
    <w:name w:val="Normal (Web) Car"/>
    <w:link w:val="NormalWeb"/>
    <w:uiPriority w:val="99"/>
    <w:locked/>
    <w:rsid w:val="00D67E2F"/>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uerdomarcokapital25@g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5AAEDB-7C36-4B0E-9D6F-0C6982B06249}"/>
</file>

<file path=customXml/itemProps2.xml><?xml version="1.0" encoding="utf-8"?>
<ds:datastoreItem xmlns:ds="http://schemas.openxmlformats.org/officeDocument/2006/customXml" ds:itemID="{BE7B7BD4-C473-4078-BA54-47636B51C30B}"/>
</file>

<file path=customXml/itemProps3.xml><?xml version="1.0" encoding="utf-8"?>
<ds:datastoreItem xmlns:ds="http://schemas.openxmlformats.org/officeDocument/2006/customXml" ds:itemID="{757BBF66-677D-494D-AA21-51B3D5066658}"/>
</file>

<file path=docProps/app.xml><?xml version="1.0" encoding="utf-8"?>
<Properties xmlns="http://schemas.openxmlformats.org/officeDocument/2006/extended-properties" xmlns:vt="http://schemas.openxmlformats.org/officeDocument/2006/docPropsVTypes">
  <Template>Normal</Template>
  <TotalTime>59</TotalTime>
  <Pages>17</Pages>
  <Words>5984</Words>
  <Characters>32918</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15</cp:revision>
  <dcterms:created xsi:type="dcterms:W3CDTF">2026-10-22T22:10:00Z</dcterms:created>
  <dcterms:modified xsi:type="dcterms:W3CDTF">2026-10-30T20:19:00Z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