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3AD9E" w14:textId="77777777" w:rsidR="00A53CD6" w:rsidRPr="00A53CD6" w:rsidRDefault="00A53CD6" w:rsidP="00A53CD6">
      <w:pPr>
        <w:suppressAutoHyphens/>
        <w:spacing w:after="0" w:line="240" w:lineRule="auto"/>
        <w:jc w:val="both"/>
        <w:rPr>
          <w:rFonts w:ascii="Verdana" w:eastAsia="Calibri" w:hAnsi="Verdana" w:cs="Arial"/>
          <w:b/>
          <w:bCs/>
          <w:lang w:val="es-ES_tradnl"/>
        </w:rPr>
      </w:pPr>
      <w:bookmarkStart w:id="0" w:name="_Hlk143780582"/>
      <w:r w:rsidRPr="00A53CD6">
        <w:rPr>
          <w:rFonts w:ascii="Verdana" w:eastAsia="Calibri" w:hAnsi="Verdana" w:cs="Arial"/>
          <w:b/>
          <w:bCs/>
          <w:lang w:val="es-ES_tradnl"/>
        </w:rPr>
        <w:t xml:space="preserve">DOCUMENTOS TIPO – Fundamento normativo – Obligatoriedad </w:t>
      </w:r>
    </w:p>
    <w:p w14:paraId="19A84078" w14:textId="77777777" w:rsidR="00A53CD6" w:rsidRPr="00A53CD6" w:rsidRDefault="00A53CD6" w:rsidP="00A53CD6">
      <w:pPr>
        <w:suppressAutoHyphens/>
        <w:spacing w:after="0" w:line="240" w:lineRule="auto"/>
        <w:jc w:val="both"/>
        <w:rPr>
          <w:rFonts w:ascii="Verdana" w:eastAsia="Calibri" w:hAnsi="Verdana" w:cs="Arial"/>
          <w:b/>
          <w:bCs/>
          <w:sz w:val="20"/>
          <w:szCs w:val="20"/>
          <w:lang w:val="es-ES_tradnl"/>
        </w:rPr>
      </w:pPr>
    </w:p>
    <w:p w14:paraId="66BE0CAA" w14:textId="77777777" w:rsidR="00A53CD6" w:rsidRPr="00A53CD6" w:rsidRDefault="00A53CD6" w:rsidP="00A53CD6">
      <w:pPr>
        <w:suppressAutoHyphens/>
        <w:spacing w:after="0" w:line="240" w:lineRule="auto"/>
        <w:jc w:val="both"/>
        <w:rPr>
          <w:rFonts w:ascii="Verdana" w:eastAsia="Aptos" w:hAnsi="Verdana" w:cs="Times New Roman"/>
          <w:kern w:val="2"/>
          <w:sz w:val="20"/>
          <w:szCs w:val="20"/>
          <w:lang w:val="es-MX"/>
          <w14:ligatures w14:val="standardContextual"/>
        </w:rPr>
      </w:pPr>
      <w:r w:rsidRPr="00A53CD6">
        <w:rPr>
          <w:rFonts w:ascii="Verdana" w:eastAsia="Aptos" w:hAnsi="Verdana" w:cs="Times New Roman"/>
          <w:kern w:val="2"/>
          <w:sz w:val="20"/>
          <w:szCs w:val="20"/>
          <w:lang w:val="es-MX"/>
          <w14:ligatures w14:val="standardContextual"/>
        </w:rPr>
        <w:t>El 22 de julio de 2020 se sancionó la Ley 2022, por medio de la cual se modificó el artículo 4 de la Ley 1882 de 2018.</w:t>
      </w:r>
    </w:p>
    <w:p w14:paraId="23F8C421" w14:textId="77777777" w:rsidR="00A53CD6" w:rsidRPr="00A53CD6" w:rsidRDefault="00A53CD6" w:rsidP="00A53CD6">
      <w:pPr>
        <w:suppressAutoHyphens/>
        <w:spacing w:after="0" w:line="240" w:lineRule="auto"/>
        <w:jc w:val="both"/>
        <w:rPr>
          <w:rFonts w:ascii="Verdana" w:eastAsia="Aptos" w:hAnsi="Verdana" w:cs="Times New Roman"/>
          <w:kern w:val="2"/>
          <w:sz w:val="20"/>
          <w:szCs w:val="20"/>
          <w:lang w:val="es-MX"/>
          <w14:ligatures w14:val="standardContextual"/>
        </w:rPr>
      </w:pPr>
    </w:p>
    <w:p w14:paraId="1988EED2" w14:textId="77777777" w:rsidR="00A53CD6" w:rsidRPr="00A53CD6" w:rsidRDefault="00A53CD6" w:rsidP="00A53CD6">
      <w:pPr>
        <w:suppressAutoHyphens/>
        <w:spacing w:after="0" w:line="240" w:lineRule="auto"/>
        <w:jc w:val="both"/>
        <w:rPr>
          <w:rFonts w:ascii="Verdana" w:eastAsia="Aptos" w:hAnsi="Verdana" w:cs="Times New Roman"/>
          <w:kern w:val="2"/>
          <w:sz w:val="20"/>
          <w:szCs w:val="20"/>
          <w:lang w:val="es-MX"/>
          <w14:ligatures w14:val="standardContextual"/>
        </w:rPr>
      </w:pPr>
      <w:r w:rsidRPr="00A53CD6">
        <w:rPr>
          <w:rFonts w:ascii="Verdana" w:eastAsia="Aptos" w:hAnsi="Verdana" w:cs="Times New Roman"/>
          <w:kern w:val="2"/>
          <w:sz w:val="20"/>
          <w:szCs w:val="20"/>
          <w:lang w:val="es-MX"/>
          <w14:ligatures w14:val="standardContextual"/>
        </w:rPr>
        <w:t>(…)</w:t>
      </w:r>
    </w:p>
    <w:p w14:paraId="353EB70C" w14:textId="77777777" w:rsidR="00A53CD6" w:rsidRPr="00A53CD6" w:rsidRDefault="00A53CD6" w:rsidP="00A53CD6">
      <w:pPr>
        <w:suppressAutoHyphens/>
        <w:spacing w:after="0" w:line="240" w:lineRule="auto"/>
        <w:jc w:val="both"/>
        <w:rPr>
          <w:rFonts w:ascii="Verdana" w:eastAsia="Aptos" w:hAnsi="Verdana" w:cs="Times New Roman"/>
          <w:kern w:val="2"/>
          <w:sz w:val="20"/>
          <w:szCs w:val="20"/>
          <w:lang w:val="es-MX"/>
          <w14:ligatures w14:val="standardContextual"/>
        </w:rPr>
      </w:pPr>
    </w:p>
    <w:p w14:paraId="42010926" w14:textId="77777777" w:rsidR="00A53CD6" w:rsidRPr="00A53CD6" w:rsidRDefault="00A53CD6" w:rsidP="00A53CD6">
      <w:pPr>
        <w:suppressAutoHyphens/>
        <w:spacing w:after="0" w:line="240" w:lineRule="auto"/>
        <w:jc w:val="both"/>
        <w:rPr>
          <w:rFonts w:ascii="Verdana" w:eastAsia="Calibri" w:hAnsi="Verdana" w:cs="Arial"/>
          <w:color w:val="000000"/>
          <w:kern w:val="2"/>
          <w:sz w:val="20"/>
          <w:szCs w:val="20"/>
          <w:lang w:val="es-MX"/>
          <w14:ligatures w14:val="standardContextual"/>
        </w:rPr>
      </w:pPr>
      <w:r w:rsidRPr="00A53CD6">
        <w:rPr>
          <w:rFonts w:ascii="Verdana" w:eastAsia="Aptos" w:hAnsi="Verdana" w:cs="Times New Roman"/>
          <w:kern w:val="2"/>
          <w:sz w:val="20"/>
          <w:szCs w:val="20"/>
          <w:lang w:val="es-ES"/>
          <w14:ligatures w14:val="standardContextual"/>
        </w:rPr>
        <w:t xml:space="preserve">La norma </w:t>
      </w:r>
      <w:r w:rsidRPr="00A53CD6">
        <w:rPr>
          <w:rFonts w:ascii="Verdana" w:eastAsia="Calibri" w:hAnsi="Verdana" w:cs="Arial"/>
          <w:color w:val="000000"/>
          <w:sz w:val="20"/>
          <w:szCs w:val="2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3CC8BCB7" w14:textId="77777777" w:rsidR="00A53CD6" w:rsidRPr="00A53CD6" w:rsidRDefault="00A53CD6" w:rsidP="00A53CD6">
      <w:pPr>
        <w:suppressAutoHyphens/>
        <w:spacing w:after="0" w:line="240" w:lineRule="auto"/>
        <w:jc w:val="both"/>
        <w:rPr>
          <w:rFonts w:ascii="Aptos" w:eastAsia="Aptos" w:hAnsi="Aptos" w:cs="Times New Roman"/>
          <w:sz w:val="20"/>
          <w:szCs w:val="20"/>
          <w:lang w:val="es-MX"/>
        </w:rPr>
      </w:pPr>
    </w:p>
    <w:p w14:paraId="7BFC7E03" w14:textId="77777777" w:rsidR="00A53CD6" w:rsidRPr="00A53CD6" w:rsidRDefault="00A53CD6" w:rsidP="00A53CD6">
      <w:pPr>
        <w:suppressAutoHyphens/>
        <w:spacing w:after="0" w:line="240" w:lineRule="auto"/>
        <w:jc w:val="both"/>
        <w:rPr>
          <w:rFonts w:ascii="Verdana" w:eastAsia="Calibri" w:hAnsi="Verdana" w:cs="Arial"/>
          <w:b/>
          <w:bCs/>
          <w:kern w:val="2"/>
          <w:sz w:val="24"/>
          <w:szCs w:val="24"/>
          <w:lang w:val="es-ES_tradnl"/>
          <w14:ligatures w14:val="standardContextual"/>
        </w:rPr>
      </w:pPr>
      <w:r w:rsidRPr="00A53CD6">
        <w:rPr>
          <w:rFonts w:ascii="Verdana" w:eastAsia="Calibri" w:hAnsi="Verdana" w:cs="Arial"/>
          <w:b/>
          <w:bCs/>
          <w:lang w:val="es-ES_tradnl"/>
        </w:rPr>
        <w:t>DOCUMENTOS TIPO – Adopción – Implementación</w:t>
      </w:r>
    </w:p>
    <w:p w14:paraId="207B2883" w14:textId="77777777" w:rsidR="00A53CD6" w:rsidRPr="00A53CD6" w:rsidRDefault="00A53CD6" w:rsidP="00A53CD6">
      <w:pPr>
        <w:suppressAutoHyphens/>
        <w:spacing w:after="0" w:line="240" w:lineRule="auto"/>
        <w:jc w:val="both"/>
        <w:rPr>
          <w:rFonts w:ascii="Verdana" w:eastAsia="Calibri" w:hAnsi="Verdana" w:cs="Arial"/>
          <w:color w:val="000000"/>
          <w:kern w:val="2"/>
          <w:sz w:val="20"/>
          <w:szCs w:val="20"/>
          <w:lang w:val="es-MX"/>
          <w14:ligatures w14:val="standardContextual"/>
        </w:rPr>
      </w:pPr>
    </w:p>
    <w:p w14:paraId="2FCDE0F7" w14:textId="77777777" w:rsidR="00A53CD6" w:rsidRPr="00A53CD6" w:rsidRDefault="00A53CD6" w:rsidP="00A53CD6">
      <w:pPr>
        <w:suppressAutoHyphens/>
        <w:spacing w:after="0" w:line="240" w:lineRule="auto"/>
        <w:jc w:val="both"/>
        <w:rPr>
          <w:rFonts w:ascii="Verdana" w:eastAsia="Calibri" w:hAnsi="Verdana" w:cs="Arial"/>
          <w:color w:val="000000"/>
          <w:kern w:val="2"/>
          <w:sz w:val="20"/>
          <w:szCs w:val="20"/>
          <w:lang w:val="es-MX"/>
          <w14:ligatures w14:val="standardContextual"/>
        </w:rPr>
      </w:pPr>
      <w:r w:rsidRPr="00A53CD6">
        <w:rPr>
          <w:rFonts w:ascii="Verdana" w:eastAsia="Calibri" w:hAnsi="Verdana" w:cs="Arial"/>
          <w:color w:val="000000"/>
          <w:sz w:val="20"/>
          <w:szCs w:val="20"/>
          <w:lang w:val="es-MX"/>
        </w:rPr>
        <w:t xml:space="preserve">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083C2020" w14:textId="77777777" w:rsidR="00A53CD6" w:rsidRPr="00A53CD6" w:rsidRDefault="00A53CD6" w:rsidP="00A53CD6">
      <w:pPr>
        <w:suppressAutoHyphens/>
        <w:spacing w:after="0" w:line="240" w:lineRule="auto"/>
        <w:jc w:val="both"/>
        <w:rPr>
          <w:rFonts w:ascii="Verdana" w:eastAsia="Calibri" w:hAnsi="Verdana" w:cs="Arial"/>
          <w:color w:val="000000"/>
          <w:sz w:val="20"/>
          <w:szCs w:val="20"/>
          <w:lang w:val="es-MX"/>
        </w:rPr>
      </w:pPr>
    </w:p>
    <w:p w14:paraId="05A92E8A"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r w:rsidRPr="00A53CD6">
        <w:rPr>
          <w:rFonts w:ascii="Verdana" w:eastAsia="Calibri" w:hAnsi="Verdana" w:cs="Arial"/>
          <w:b/>
          <w:bCs/>
          <w:lang w:val="es-ES_tradnl"/>
        </w:rPr>
        <w:t>DOCUMENTOS TIPO – Sectores – Vigentes</w:t>
      </w:r>
    </w:p>
    <w:p w14:paraId="466B1F7A" w14:textId="77777777" w:rsidR="00A53CD6" w:rsidRPr="00A53CD6" w:rsidRDefault="00A53CD6" w:rsidP="00A53CD6">
      <w:pPr>
        <w:suppressAutoHyphens/>
        <w:spacing w:after="0" w:line="276" w:lineRule="auto"/>
        <w:jc w:val="both"/>
        <w:rPr>
          <w:rFonts w:ascii="Verdana" w:eastAsia="Calibri" w:hAnsi="Verdana" w:cs="Arial"/>
          <w:b/>
          <w:bCs/>
          <w:color w:val="000000"/>
          <w:lang w:eastAsia="es-ES_tradnl"/>
        </w:rPr>
      </w:pPr>
    </w:p>
    <w:p w14:paraId="16A35FC4" w14:textId="77777777" w:rsidR="00A53CD6" w:rsidRPr="00A53CD6" w:rsidRDefault="00A53CD6" w:rsidP="00A53CD6">
      <w:pPr>
        <w:tabs>
          <w:tab w:val="left" w:pos="709"/>
        </w:tabs>
        <w:suppressAutoHyphens/>
        <w:spacing w:after="0" w:line="240" w:lineRule="auto"/>
        <w:jc w:val="both"/>
        <w:rPr>
          <w:rFonts w:ascii="Verdana" w:eastAsia="Calibri" w:hAnsi="Verdana" w:cs="Arial"/>
          <w:sz w:val="20"/>
          <w:szCs w:val="20"/>
          <w:lang w:val="es-ES"/>
        </w:rPr>
      </w:pPr>
      <w:r w:rsidRPr="00A53CD6">
        <w:rPr>
          <w:rFonts w:ascii="Verdana" w:eastAsia="Calibri" w:hAnsi="Verdana" w:cs="Arial"/>
          <w:sz w:val="20"/>
          <w:szCs w:val="20"/>
          <w:lang w:val="es-ES"/>
        </w:rPr>
        <w:t>(…)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149DB0E1" w14:textId="77777777" w:rsidR="00A53CD6" w:rsidRPr="00A53CD6" w:rsidRDefault="00A53CD6" w:rsidP="00A53CD6">
      <w:pPr>
        <w:suppressAutoHyphens/>
        <w:spacing w:after="0" w:line="240" w:lineRule="auto"/>
        <w:jc w:val="both"/>
        <w:rPr>
          <w:rFonts w:ascii="Verdana" w:eastAsia="Calibri" w:hAnsi="Verdana" w:cs="Arial"/>
          <w:b/>
          <w:kern w:val="2"/>
          <w:lang w:val="es-ES_tradnl"/>
          <w14:ligatures w14:val="standardContextual"/>
        </w:rPr>
      </w:pPr>
    </w:p>
    <w:p w14:paraId="009776F1"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r w:rsidRPr="00A53CD6">
        <w:rPr>
          <w:rFonts w:ascii="Verdana" w:eastAsia="Calibri" w:hAnsi="Verdana" w:cs="Arial"/>
          <w:b/>
          <w:bCs/>
          <w:lang w:val="es-ES_tradnl"/>
        </w:rPr>
        <w:t>DOCUMENTOS TIPO – Inalterabilidad – Apartes entre corchetes y resaltados en gris</w:t>
      </w:r>
    </w:p>
    <w:p w14:paraId="4DBAAECD"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0DD0D19B" w14:textId="77777777" w:rsidR="00A53CD6" w:rsidRPr="00A53CD6" w:rsidRDefault="00A53CD6" w:rsidP="00A53CD6">
      <w:pPr>
        <w:tabs>
          <w:tab w:val="left" w:pos="709"/>
        </w:tabs>
        <w:suppressAutoHyphens/>
        <w:spacing w:after="0" w:line="240" w:lineRule="auto"/>
        <w:jc w:val="both"/>
        <w:rPr>
          <w:rFonts w:ascii="Verdana" w:eastAsia="Calibri" w:hAnsi="Verdana" w:cs="Arial"/>
          <w:sz w:val="20"/>
          <w:szCs w:val="20"/>
          <w:lang w:val="es-ES"/>
        </w:rPr>
      </w:pPr>
      <w:r w:rsidRPr="00A53CD6">
        <w:rPr>
          <w:rFonts w:ascii="Verdana" w:eastAsia="Calibri" w:hAnsi="Verdana" w:cs="Arial"/>
          <w:sz w:val="20"/>
          <w:szCs w:val="20"/>
          <w:lang w:val="es-ES"/>
        </w:rPr>
        <w:lastRenderedPageBreak/>
        <w:t>Es importante resaltar que, en virtud de la regla de inalterabilidad, los documentos tipo solo pueden ser modificados en los aspectos en que estos lo permitan. Esto corresponde a aquellos aspectos que se encuentran entre corchetes y resaltados en gris –[texto]–, para lo cual deberán observarse las instrucciones contenidas en los mismos para su diligenciamiento.</w:t>
      </w:r>
    </w:p>
    <w:p w14:paraId="1F05F22A"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4227FA58"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r w:rsidRPr="00A53CD6">
        <w:rPr>
          <w:rFonts w:ascii="Verdana" w:eastAsia="Calibri" w:hAnsi="Verdana" w:cs="Arial"/>
          <w:b/>
          <w:bCs/>
          <w:lang w:val="es-ES_tradnl"/>
        </w:rPr>
        <w:t>DOCUMENTOS TIPO – Aplicación – Matriz de Experiencia</w:t>
      </w:r>
    </w:p>
    <w:p w14:paraId="12BBC795"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48E448CA" w14:textId="77777777" w:rsidR="00A53CD6" w:rsidRPr="00A53CD6" w:rsidRDefault="00A53CD6" w:rsidP="00A53CD6">
      <w:pPr>
        <w:tabs>
          <w:tab w:val="left" w:pos="709"/>
        </w:tabs>
        <w:suppressAutoHyphens/>
        <w:spacing w:after="0" w:line="240" w:lineRule="auto"/>
        <w:jc w:val="both"/>
        <w:rPr>
          <w:rFonts w:ascii="Verdana" w:eastAsia="Calibri" w:hAnsi="Verdana" w:cs="Arial"/>
          <w:sz w:val="20"/>
          <w:szCs w:val="20"/>
          <w:lang w:val="es-ES"/>
        </w:rPr>
      </w:pPr>
      <w:r w:rsidRPr="00A53CD6">
        <w:rPr>
          <w:rFonts w:ascii="Verdana" w:eastAsia="Calibri" w:hAnsi="Verdana" w:cs="Arial"/>
          <w:sz w:val="20"/>
          <w:szCs w:val="20"/>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w:t>
      </w:r>
    </w:p>
    <w:p w14:paraId="78C946EB"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5CB2A7E5"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r w:rsidRPr="00A53CD6">
        <w:rPr>
          <w:rFonts w:ascii="Verdana" w:eastAsia="Calibri" w:hAnsi="Verdana" w:cs="Arial"/>
          <w:b/>
          <w:bCs/>
          <w:lang w:val="es-ES_tradnl"/>
        </w:rPr>
        <w:t>DOCUMENTOS TIPO – Revisión – Repositorio de observaciones</w:t>
      </w:r>
    </w:p>
    <w:p w14:paraId="4CDFE611"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4489E6E7" w14:textId="77777777" w:rsidR="00A53CD6" w:rsidRPr="00A53CD6" w:rsidRDefault="00A53CD6" w:rsidP="00A53CD6">
      <w:pPr>
        <w:tabs>
          <w:tab w:val="left" w:pos="709"/>
        </w:tabs>
        <w:suppressAutoHyphens/>
        <w:spacing w:after="0" w:line="240" w:lineRule="auto"/>
        <w:jc w:val="both"/>
        <w:rPr>
          <w:rFonts w:ascii="Verdana" w:eastAsia="Calibri" w:hAnsi="Verdana" w:cs="Arial"/>
          <w:sz w:val="20"/>
          <w:szCs w:val="20"/>
          <w:lang w:val="es-ES"/>
        </w:rPr>
      </w:pPr>
      <w:r w:rsidRPr="00A53CD6">
        <w:rPr>
          <w:rFonts w:ascii="Verdana" w:eastAsia="Calibri" w:hAnsi="Verdana" w:cs="Arial"/>
          <w:sz w:val="20"/>
          <w:szCs w:val="20"/>
          <w:lang w:val="es-ES"/>
        </w:rPr>
        <w:t>(…) las observaciones formuladas a los documentos tipo serán incorporadas al repositorio de observaciones recibidas sobre dichos documentos, con el fin de que sean consideradas en futuras revisiones de estos.</w:t>
      </w:r>
    </w:p>
    <w:p w14:paraId="796C05C1"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4025B526"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r w:rsidRPr="00A53CD6">
        <w:rPr>
          <w:rFonts w:ascii="Verdana" w:eastAsia="Calibri" w:hAnsi="Verdana" w:cs="Arial"/>
          <w:b/>
          <w:bCs/>
          <w:lang w:val="es-ES_tradnl"/>
        </w:rPr>
        <w:t>DOCUMENTOS TIPO – Anexo 2 – Cronograma – Publicidad – Modificación</w:t>
      </w:r>
    </w:p>
    <w:p w14:paraId="01A34C33"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70AEE863" w14:textId="77777777" w:rsidR="00A53CD6" w:rsidRPr="00A53CD6" w:rsidRDefault="00A53CD6" w:rsidP="00A53CD6">
      <w:pPr>
        <w:tabs>
          <w:tab w:val="left" w:pos="709"/>
        </w:tabs>
        <w:suppressAutoHyphens/>
        <w:spacing w:after="0" w:line="240" w:lineRule="auto"/>
        <w:jc w:val="both"/>
        <w:rPr>
          <w:rFonts w:ascii="Verdana" w:eastAsia="Calibri" w:hAnsi="Verdana" w:cs="Arial"/>
          <w:sz w:val="20"/>
          <w:szCs w:val="20"/>
          <w:lang w:val="es-ES"/>
        </w:rPr>
      </w:pPr>
      <w:r w:rsidRPr="00A53CD6">
        <w:rPr>
          <w:rFonts w:ascii="Verdana" w:eastAsia="Calibri" w:hAnsi="Verdana" w:cs="Arial"/>
          <w:sz w:val="20"/>
          <w:szCs w:val="20"/>
          <w:lang w:val="es-ES"/>
        </w:rPr>
        <w:t>El Anexo 2 es el cronograma oficial del proceso. (…) Como el Anexo 2 hace parte del pliego de condiciones, sus cambios se hacen mediante adenda justificada, que también debe verse reflejada en el SECOP II.</w:t>
      </w:r>
    </w:p>
    <w:p w14:paraId="01161016"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4673CD12"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r w:rsidRPr="00A53CD6">
        <w:rPr>
          <w:rFonts w:ascii="Verdana" w:eastAsia="Calibri" w:hAnsi="Verdana" w:cs="Arial"/>
          <w:b/>
          <w:bCs/>
          <w:lang w:val="es-ES_tradnl"/>
        </w:rPr>
        <w:t>ADENDAS – Modificación del cronograma – Etapas no vencidas</w:t>
      </w:r>
    </w:p>
    <w:p w14:paraId="638F0467"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00A8D90F" w14:textId="77777777" w:rsidR="00A53CD6" w:rsidRPr="00A53CD6" w:rsidRDefault="00A53CD6" w:rsidP="00A53CD6">
      <w:pPr>
        <w:tabs>
          <w:tab w:val="left" w:pos="709"/>
        </w:tabs>
        <w:suppressAutoHyphens/>
        <w:spacing w:after="0" w:line="240" w:lineRule="auto"/>
        <w:jc w:val="both"/>
        <w:rPr>
          <w:rFonts w:ascii="Verdana" w:eastAsia="Calibri" w:hAnsi="Verdana" w:cs="Arial"/>
          <w:sz w:val="20"/>
          <w:szCs w:val="20"/>
          <w:lang w:val="es-ES"/>
        </w:rPr>
      </w:pPr>
      <w:r w:rsidRPr="00A53CD6">
        <w:rPr>
          <w:rFonts w:ascii="Verdana" w:eastAsia="Calibri" w:hAnsi="Verdana" w:cs="Arial"/>
          <w:sz w:val="20"/>
          <w:szCs w:val="20"/>
          <w:lang w:val="es-ES"/>
        </w:rPr>
        <w:t>Esas adendas, sin embargo, solo pueden modificar los plazos de las etapas que no hayan vencido, porque el numeral 1 del artículo 25 de la Ley 80 de 1993 exige señalar términos preclusivos y perentorios para las diferentes etapas de la selección, y la entidad no puede volver sobre una fase ya agotada.</w:t>
      </w:r>
    </w:p>
    <w:p w14:paraId="689BCEAB"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3C545522"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r w:rsidRPr="00A53CD6">
        <w:rPr>
          <w:rFonts w:ascii="Verdana" w:eastAsia="Calibri" w:hAnsi="Verdana" w:cs="Arial"/>
          <w:b/>
          <w:bCs/>
          <w:lang w:val="es-ES_tradnl"/>
        </w:rPr>
        <w:t>AUDIENCIA EFECTIVA DE ADJUDICACIÓN – Medios electrónicos – SECOP I y SECOP II</w:t>
      </w:r>
    </w:p>
    <w:p w14:paraId="0A52C495"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244C49B1" w14:textId="77777777" w:rsidR="00A53CD6" w:rsidRPr="00A53CD6" w:rsidRDefault="00A53CD6" w:rsidP="00A53CD6">
      <w:pPr>
        <w:tabs>
          <w:tab w:val="left" w:pos="709"/>
        </w:tabs>
        <w:suppressAutoHyphens/>
        <w:spacing w:after="0" w:line="240" w:lineRule="auto"/>
        <w:jc w:val="both"/>
        <w:rPr>
          <w:rFonts w:ascii="Verdana" w:eastAsia="Calibri" w:hAnsi="Verdana" w:cs="Arial"/>
          <w:sz w:val="20"/>
          <w:szCs w:val="20"/>
          <w:lang w:val="es-ES"/>
        </w:rPr>
      </w:pPr>
      <w:r w:rsidRPr="00A53CD6">
        <w:rPr>
          <w:rFonts w:ascii="Verdana" w:eastAsia="Calibri" w:hAnsi="Verdana" w:cs="Arial"/>
          <w:sz w:val="20"/>
          <w:szCs w:val="20"/>
          <w:lang w:val="es-ES"/>
        </w:rPr>
        <w:t>Esta Agencia ya definió el alcance de la expresión “sin perjuicio de la utilización de los medios virtuales” del numeral 2.6, y al respecto manifestó que la entidad puede realizar la audiencia efectiva de adjudicación por medios electrónicos que permitan la interacción simultánea entre los interesados y la entidad, y puede hacerlo tanto si el proceso se tramita en el SECOP I como en el SECOP II.</w:t>
      </w:r>
    </w:p>
    <w:p w14:paraId="1DB3E2AB"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190B8C05"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r w:rsidRPr="00A53CD6">
        <w:rPr>
          <w:rFonts w:ascii="Verdana" w:eastAsia="Calibri" w:hAnsi="Verdana" w:cs="Arial"/>
          <w:b/>
          <w:bCs/>
          <w:lang w:val="es-ES_tradnl"/>
        </w:rPr>
        <w:lastRenderedPageBreak/>
        <w:t>AUDIENCIAS – Modalidad – Publicidad – Debido proceso</w:t>
      </w:r>
    </w:p>
    <w:p w14:paraId="6B0763BF"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158A7E9D" w14:textId="77777777" w:rsidR="00A53CD6" w:rsidRPr="00A53CD6" w:rsidRDefault="00A53CD6" w:rsidP="00A53CD6">
      <w:pPr>
        <w:tabs>
          <w:tab w:val="left" w:pos="709"/>
        </w:tabs>
        <w:suppressAutoHyphens/>
        <w:spacing w:after="0" w:line="240" w:lineRule="auto"/>
        <w:jc w:val="both"/>
        <w:rPr>
          <w:rFonts w:ascii="Verdana" w:eastAsia="Calibri" w:hAnsi="Verdana" w:cs="Arial"/>
          <w:sz w:val="20"/>
          <w:szCs w:val="20"/>
          <w:lang w:val="es-ES"/>
        </w:rPr>
      </w:pPr>
      <w:r w:rsidRPr="00A53CD6">
        <w:rPr>
          <w:rFonts w:ascii="Verdana" w:eastAsia="Calibri" w:hAnsi="Verdana" w:cs="Arial"/>
          <w:sz w:val="20"/>
          <w:szCs w:val="20"/>
          <w:lang w:val="es-ES"/>
        </w:rPr>
        <w:t>La audiencia que se realiza por medios electrónicos conserva las garantías de la presencial (…). Por eso, como el Anexo 2 señala la fecha y el lugar de cada actuación, la modalidad de cada audiencia debe constar en los documentos del proceso y su cambio debe hacerse por adenda publicada con oportunidad.</w:t>
      </w:r>
    </w:p>
    <w:p w14:paraId="7D2819FC"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0679C74B"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r w:rsidRPr="00A53CD6">
        <w:rPr>
          <w:rFonts w:ascii="Verdana" w:eastAsia="Calibri" w:hAnsi="Verdana" w:cs="Arial"/>
          <w:b/>
          <w:bCs/>
          <w:lang w:val="es-ES_tradnl"/>
        </w:rPr>
        <w:t>OFERTAS – Publicidad – SECOP II – Información reservada</w:t>
      </w:r>
    </w:p>
    <w:p w14:paraId="08DF4D8F"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79AF1B19" w14:textId="77777777" w:rsidR="00A53CD6" w:rsidRPr="00A53CD6" w:rsidRDefault="00A53CD6" w:rsidP="00A53CD6">
      <w:pPr>
        <w:tabs>
          <w:tab w:val="left" w:pos="709"/>
        </w:tabs>
        <w:suppressAutoHyphens/>
        <w:spacing w:after="0" w:line="240" w:lineRule="auto"/>
        <w:jc w:val="both"/>
        <w:rPr>
          <w:rFonts w:ascii="Verdana" w:eastAsia="Calibri" w:hAnsi="Verdana" w:cs="Arial"/>
          <w:sz w:val="20"/>
          <w:szCs w:val="20"/>
          <w:lang w:val="es-ES"/>
        </w:rPr>
      </w:pPr>
      <w:r w:rsidRPr="00A53CD6">
        <w:rPr>
          <w:rFonts w:ascii="Verdana" w:eastAsia="Calibri" w:hAnsi="Verdana" w:cs="Arial"/>
          <w:sz w:val="20"/>
          <w:szCs w:val="20"/>
          <w:lang w:val="es-ES"/>
        </w:rPr>
        <w:t>Realizada la apertura, las ofertas son públicas y la entidad debe publicarlas en el SECOP II. (…) Los Documentos Tipo no señalan un plazo en días para esta actuación, y no tendrían por qué hacerlo, pues la publicación es consecuencia inmediata de la apertura.</w:t>
      </w:r>
    </w:p>
    <w:p w14:paraId="4DAF781B"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5F9F7E8C"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r w:rsidRPr="00A53CD6">
        <w:rPr>
          <w:rFonts w:ascii="Verdana" w:eastAsia="Calibri" w:hAnsi="Verdana" w:cs="Arial"/>
          <w:b/>
          <w:bCs/>
          <w:lang w:val="es-ES_tradnl"/>
        </w:rPr>
        <w:t>INFORME DE EVALUACIÓN – Plazo para evaluar – Prórroga – Límites</w:t>
      </w:r>
    </w:p>
    <w:p w14:paraId="04C6996E"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51F8B8E6" w14:textId="77777777" w:rsidR="00A53CD6" w:rsidRPr="00A53CD6" w:rsidRDefault="00A53CD6" w:rsidP="00A53CD6">
      <w:pPr>
        <w:tabs>
          <w:tab w:val="left" w:pos="709"/>
        </w:tabs>
        <w:suppressAutoHyphens/>
        <w:spacing w:after="0" w:line="240" w:lineRule="auto"/>
        <w:jc w:val="both"/>
        <w:rPr>
          <w:rFonts w:ascii="Verdana" w:eastAsia="Calibri" w:hAnsi="Verdana" w:cs="Arial"/>
          <w:sz w:val="20"/>
          <w:szCs w:val="20"/>
          <w:lang w:val="es-ES"/>
        </w:rPr>
      </w:pPr>
      <w:r w:rsidRPr="00A53CD6">
        <w:rPr>
          <w:rFonts w:ascii="Verdana" w:eastAsia="Calibri" w:hAnsi="Verdana" w:cs="Arial"/>
          <w:sz w:val="20"/>
          <w:szCs w:val="20"/>
          <w:lang w:val="es-ES"/>
        </w:rPr>
        <w:t>Los Documentos Tipo regulan el término de traslado del informe de evaluación, pero no fijan el plazo para evaluar ni un límite de prórrogas. (…) Esto no significa que la entidad pueda prolongar la evaluación sin límite, porque los límites vienen de la ley.</w:t>
      </w:r>
    </w:p>
    <w:p w14:paraId="4DDA2246"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4461C5A6"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r w:rsidRPr="00A53CD6">
        <w:rPr>
          <w:rFonts w:ascii="Verdana" w:eastAsia="Calibri" w:hAnsi="Verdana" w:cs="Arial"/>
          <w:b/>
          <w:bCs/>
          <w:lang w:val="es-ES_tradnl"/>
        </w:rPr>
        <w:t>INFORME DE EVALUACIÓN – Motivación – Requisitos habilitantes y factores de puntaje – Subsanabilidad</w:t>
      </w:r>
    </w:p>
    <w:p w14:paraId="75E8528F"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6CB42F4F" w14:textId="77777777" w:rsidR="00A53CD6" w:rsidRPr="00A53CD6" w:rsidRDefault="00A53CD6" w:rsidP="00A53CD6">
      <w:pPr>
        <w:tabs>
          <w:tab w:val="left" w:pos="709"/>
        </w:tabs>
        <w:suppressAutoHyphens/>
        <w:spacing w:after="0" w:line="240" w:lineRule="auto"/>
        <w:jc w:val="both"/>
        <w:rPr>
          <w:rFonts w:ascii="Verdana" w:eastAsia="Calibri" w:hAnsi="Verdana" w:cs="Arial"/>
          <w:sz w:val="20"/>
          <w:szCs w:val="20"/>
          <w:lang w:val="es-ES"/>
        </w:rPr>
      </w:pPr>
      <w:r w:rsidRPr="00A53CD6">
        <w:rPr>
          <w:rFonts w:ascii="Verdana" w:eastAsia="Calibri" w:hAnsi="Verdana" w:cs="Arial"/>
          <w:sz w:val="20"/>
          <w:szCs w:val="20"/>
          <w:lang w:val="es-ES"/>
        </w:rPr>
        <w:t>Los Documentos Tipo exigen un informe de evaluación motivado de forma detallada, que indique qué debe subsanarse y que evalúe desde el inicio tanto los requisitos habilitantes como los documentos que otorgan puntaje.</w:t>
      </w:r>
    </w:p>
    <w:p w14:paraId="5787D12D"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10707F58"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r w:rsidRPr="00A53CD6">
        <w:rPr>
          <w:rFonts w:ascii="Verdana" w:eastAsia="Calibri" w:hAnsi="Verdana" w:cs="Arial"/>
          <w:b/>
          <w:bCs/>
          <w:lang w:val="es-ES_tradnl"/>
        </w:rPr>
        <w:t>DOCUMENTOS TIPO – Requisitos habilitantes – Capacidad jurídica – Literal F – Alcance</w:t>
      </w:r>
    </w:p>
    <w:p w14:paraId="46D21E32"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05DD4C18" w14:textId="77777777" w:rsidR="00A53CD6" w:rsidRPr="00A53CD6" w:rsidRDefault="00A53CD6" w:rsidP="00A53CD6">
      <w:pPr>
        <w:tabs>
          <w:tab w:val="left" w:pos="709"/>
        </w:tabs>
        <w:suppressAutoHyphens/>
        <w:spacing w:after="0" w:line="240" w:lineRule="auto"/>
        <w:jc w:val="both"/>
        <w:rPr>
          <w:rFonts w:ascii="Verdana" w:eastAsia="Calibri" w:hAnsi="Verdana" w:cs="Arial"/>
          <w:sz w:val="20"/>
          <w:szCs w:val="20"/>
          <w:lang w:val="es-ES"/>
        </w:rPr>
      </w:pPr>
      <w:r w:rsidRPr="00A53CD6">
        <w:rPr>
          <w:rFonts w:ascii="Verdana" w:eastAsia="Calibri" w:hAnsi="Verdana" w:cs="Arial"/>
          <w:sz w:val="20"/>
          <w:szCs w:val="20"/>
          <w:lang w:val="es-ES"/>
        </w:rPr>
        <w:t>(…) el literal F permite verificar lo que una norma ya exige, pero no crear requisitos ni ampliar los existentes.</w:t>
      </w:r>
    </w:p>
    <w:p w14:paraId="15BCE5BA"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0AC5BC1B"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r w:rsidRPr="00A53CD6">
        <w:rPr>
          <w:rFonts w:ascii="Verdana" w:eastAsia="Calibri" w:hAnsi="Verdana" w:cs="Arial"/>
          <w:b/>
          <w:bCs/>
          <w:lang w:val="es-ES_tradnl"/>
        </w:rPr>
        <w:t>DOCUMENTOS TIPO – Requisitos habilitantes – Artículo 17 de la Ley 842 de 2003</w:t>
      </w:r>
    </w:p>
    <w:p w14:paraId="5ECE1FBD"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24A47DE3" w14:textId="77777777" w:rsidR="00A53CD6" w:rsidRPr="00A53CD6" w:rsidRDefault="00A53CD6" w:rsidP="00A53CD6">
      <w:pPr>
        <w:tabs>
          <w:tab w:val="left" w:pos="709"/>
        </w:tabs>
        <w:suppressAutoHyphens/>
        <w:spacing w:after="0" w:line="240" w:lineRule="auto"/>
        <w:jc w:val="both"/>
        <w:rPr>
          <w:rFonts w:ascii="Verdana" w:eastAsia="Calibri" w:hAnsi="Verdana" w:cs="Arial"/>
          <w:sz w:val="20"/>
          <w:szCs w:val="20"/>
          <w:lang w:val="es-ES"/>
        </w:rPr>
      </w:pPr>
      <w:r w:rsidRPr="00A53CD6">
        <w:rPr>
          <w:rFonts w:ascii="Verdana" w:eastAsia="Calibri" w:hAnsi="Verdana" w:cs="Arial"/>
          <w:sz w:val="20"/>
          <w:szCs w:val="20"/>
          <w:lang w:val="es-ES"/>
        </w:rPr>
        <w:t>Los Documentos Tipo de licitación de obra pública no incluyen el deber del artículo 17 como requisito habilitante ni exigen acreditarlo en ninguna etapa del procedimiento de selección (…). Por eso, la entidad no puede darle carácter habilitante ni fijar por su cuenta la forma de acreditarlo. La obligación, sin embargo, sigue vigente, porque aplica por ministerio de la ley (…).</w:t>
      </w:r>
    </w:p>
    <w:p w14:paraId="557E3A57"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66910361"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r w:rsidRPr="00A53CD6">
        <w:rPr>
          <w:rFonts w:ascii="Verdana" w:eastAsia="Calibri" w:hAnsi="Verdana" w:cs="Arial"/>
          <w:b/>
          <w:bCs/>
          <w:lang w:val="es-ES_tradnl"/>
        </w:rPr>
        <w:t>DOCUMENTOS TIPO – Infraestructura social – Experiencia – Área construida</w:t>
      </w:r>
    </w:p>
    <w:p w14:paraId="643B9008"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5C115D0B" w14:textId="77777777" w:rsidR="00A53CD6" w:rsidRPr="00A53CD6" w:rsidRDefault="00A53CD6" w:rsidP="00A53CD6">
      <w:pPr>
        <w:tabs>
          <w:tab w:val="left" w:pos="709"/>
        </w:tabs>
        <w:suppressAutoHyphens/>
        <w:spacing w:after="0" w:line="240" w:lineRule="auto"/>
        <w:jc w:val="both"/>
        <w:rPr>
          <w:rFonts w:ascii="Verdana" w:eastAsia="Calibri" w:hAnsi="Verdana" w:cs="Arial"/>
          <w:sz w:val="20"/>
          <w:szCs w:val="20"/>
          <w:lang w:val="es-ES"/>
        </w:rPr>
      </w:pPr>
      <w:r w:rsidRPr="00A53CD6">
        <w:rPr>
          <w:rFonts w:ascii="Verdana" w:eastAsia="Calibri" w:hAnsi="Verdana" w:cs="Arial"/>
          <w:sz w:val="20"/>
          <w:szCs w:val="20"/>
          <w:lang w:val="es-ES"/>
        </w:rPr>
        <w:t>(…) si el Documento Tipo exige acreditar el área diseñada o construida del proyecto bajo cubierta, la experiencia mínima debe fijarse con esa misma magnitud, entendida como la define el Glosario.</w:t>
      </w:r>
    </w:p>
    <w:p w14:paraId="212B5C8B"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178A0967"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r w:rsidRPr="00A53CD6">
        <w:rPr>
          <w:rFonts w:ascii="Verdana" w:eastAsia="Calibri" w:hAnsi="Verdana" w:cs="Arial"/>
          <w:b/>
          <w:bCs/>
          <w:lang w:val="es-ES_tradnl"/>
        </w:rPr>
        <w:t>ANÁLISIS DEL SECTOR – Documentos tipo – Precios artificialmente bajos – Referente</w:t>
      </w:r>
    </w:p>
    <w:p w14:paraId="25978425"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40B53D1C" w14:textId="77777777" w:rsidR="00A53CD6" w:rsidRPr="00A53CD6" w:rsidRDefault="00A53CD6" w:rsidP="00A53CD6">
      <w:pPr>
        <w:tabs>
          <w:tab w:val="left" w:pos="709"/>
        </w:tabs>
        <w:suppressAutoHyphens/>
        <w:spacing w:after="0" w:line="240" w:lineRule="auto"/>
        <w:jc w:val="both"/>
        <w:rPr>
          <w:rFonts w:ascii="Verdana" w:eastAsia="Calibri" w:hAnsi="Verdana" w:cs="Arial"/>
          <w:sz w:val="20"/>
          <w:szCs w:val="20"/>
          <w:lang w:val="es-ES"/>
        </w:rPr>
      </w:pPr>
      <w:r w:rsidRPr="00A53CD6">
        <w:rPr>
          <w:rFonts w:ascii="Verdana" w:eastAsia="Calibri" w:hAnsi="Verdana" w:cs="Arial"/>
          <w:sz w:val="20"/>
          <w:szCs w:val="20"/>
          <w:lang w:val="es-ES"/>
        </w:rPr>
        <w:t>Ese referente se fija en el análisis del sector, que no está estandarizado por los Documentos Tipo y que cada entidad elabora conforme al artículo 2.2.1.1.1.6.1 del Decreto 1082 de 2015. (…) Ese referente solo sirve para identificar las ofertas que deben requerirse. No es una regla de evaluación ni una causal de rechazo, y una oferta no puede considerarse artificialmente baja por el solo hecho de ubicarse por debajo de él.</w:t>
      </w:r>
    </w:p>
    <w:p w14:paraId="03F62175"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146E4785"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r w:rsidRPr="00A53CD6">
        <w:rPr>
          <w:rFonts w:ascii="Verdana" w:eastAsia="Calibri" w:hAnsi="Verdana" w:cs="Arial"/>
          <w:b/>
          <w:bCs/>
          <w:lang w:val="es-ES_tradnl"/>
        </w:rPr>
        <w:t>PRECIOS ARTIFICIALMENTE BAJOS – Procedimiento – Requerimiento – Motivación y publicidad</w:t>
      </w:r>
    </w:p>
    <w:p w14:paraId="65BA6DC4"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3C11D7BD" w14:textId="77777777" w:rsidR="00A53CD6" w:rsidRPr="00A53CD6" w:rsidRDefault="00A53CD6" w:rsidP="00A53CD6">
      <w:pPr>
        <w:tabs>
          <w:tab w:val="left" w:pos="709"/>
        </w:tabs>
        <w:suppressAutoHyphens/>
        <w:spacing w:after="0" w:line="240" w:lineRule="auto"/>
        <w:jc w:val="both"/>
        <w:rPr>
          <w:rFonts w:ascii="Verdana" w:eastAsia="Calibri" w:hAnsi="Verdana" w:cs="Arial"/>
          <w:sz w:val="20"/>
          <w:szCs w:val="20"/>
          <w:lang w:val="es-ES"/>
        </w:rPr>
      </w:pPr>
      <w:r w:rsidRPr="00A53CD6">
        <w:rPr>
          <w:rFonts w:ascii="Verdana" w:eastAsia="Calibri" w:hAnsi="Verdana" w:cs="Arial"/>
          <w:sz w:val="20"/>
          <w:szCs w:val="20"/>
          <w:lang w:val="es-ES"/>
        </w:rPr>
        <w:t>(…) la entidad no puede rechazar una oferta sin haber hecho antes el requerimiento, y el rechazo procede cuando las explicaciones del proponente son insuficientes o insatisfactorias. (…) Un “se acepta” o “no se acepta”, sin más, no cumple esos criterios.</w:t>
      </w:r>
    </w:p>
    <w:p w14:paraId="138E37D8"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52010633"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r w:rsidRPr="00A53CD6">
        <w:rPr>
          <w:rFonts w:ascii="Verdana" w:eastAsia="Calibri" w:hAnsi="Verdana" w:cs="Arial"/>
          <w:b/>
          <w:bCs/>
          <w:lang w:val="es-ES_tradnl"/>
        </w:rPr>
        <w:t>MÉTODO DE PONDERACIÓN ECONÓMICA – TRM – Documentos tipo – Momento de determinación</w:t>
      </w:r>
    </w:p>
    <w:p w14:paraId="0C57BD3B"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1D0326B9" w14:textId="77777777" w:rsidR="00A53CD6" w:rsidRPr="00A53CD6" w:rsidRDefault="00A53CD6" w:rsidP="00A53CD6">
      <w:pPr>
        <w:tabs>
          <w:tab w:val="left" w:pos="709"/>
        </w:tabs>
        <w:suppressAutoHyphens/>
        <w:spacing w:after="0" w:line="240" w:lineRule="auto"/>
        <w:jc w:val="both"/>
        <w:rPr>
          <w:rFonts w:ascii="Verdana" w:eastAsia="Calibri" w:hAnsi="Verdana" w:cs="Arial"/>
          <w:sz w:val="20"/>
          <w:szCs w:val="20"/>
          <w:lang w:val="es-ES"/>
        </w:rPr>
      </w:pPr>
      <w:r w:rsidRPr="00A53CD6">
        <w:rPr>
          <w:rFonts w:ascii="Verdana" w:eastAsia="Calibri" w:hAnsi="Verdana" w:cs="Arial"/>
          <w:sz w:val="20"/>
          <w:szCs w:val="20"/>
          <w:lang w:val="es-ES"/>
        </w:rPr>
        <w:t>Los Documentos Tipo vigentes no toman en un mismo momento la TRM que define el método de ponderación de la oferta económica. (…) Esa diferencia determina si el método se conoce antes o después de depurar las ofertas.</w:t>
      </w:r>
    </w:p>
    <w:p w14:paraId="1CF15A15"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7219870E"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r w:rsidRPr="00A53CD6">
        <w:rPr>
          <w:rFonts w:ascii="Verdana" w:eastAsia="Calibri" w:hAnsi="Verdana" w:cs="Arial"/>
          <w:b/>
          <w:bCs/>
          <w:lang w:val="es-ES_tradnl"/>
        </w:rPr>
        <w:t>DOCUMENTOS TIPO – Infraestructura social – Formatos 12A y 12B – Configuración por la entidad</w:t>
      </w:r>
    </w:p>
    <w:p w14:paraId="585F2376"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54E05DFA" w14:textId="77777777" w:rsidR="00A53CD6" w:rsidRPr="00A53CD6" w:rsidRDefault="00A53CD6" w:rsidP="00A53CD6">
      <w:pPr>
        <w:tabs>
          <w:tab w:val="left" w:pos="709"/>
        </w:tabs>
        <w:suppressAutoHyphens/>
        <w:spacing w:after="0" w:line="240" w:lineRule="auto"/>
        <w:jc w:val="both"/>
        <w:rPr>
          <w:rFonts w:ascii="Verdana" w:eastAsia="Calibri" w:hAnsi="Verdana" w:cs="Arial"/>
          <w:sz w:val="20"/>
          <w:szCs w:val="20"/>
          <w:lang w:val="es-ES"/>
        </w:rPr>
      </w:pPr>
      <w:r w:rsidRPr="00A53CD6">
        <w:rPr>
          <w:rFonts w:ascii="Verdana" w:eastAsia="Calibri" w:hAnsi="Verdana" w:cs="Arial"/>
          <w:sz w:val="20"/>
          <w:szCs w:val="20"/>
          <w:lang w:val="es-ES"/>
        </w:rPr>
        <w:t>La selección de la opción corresponde exclusivamente a la entidad, que debe incorporar la misma opción en el Documento Base y en el formato, de manera que haya plena correspondencia entre ambos, sin agregar criterios o condiciones distintos. (…) Por eso, la carga de configurar los formatos es de la entidad y no puede trasladarse al proponente.</w:t>
      </w:r>
    </w:p>
    <w:p w14:paraId="3E82202E"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21194ED1"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r w:rsidRPr="00A53CD6">
        <w:rPr>
          <w:rFonts w:ascii="Verdana" w:eastAsia="Calibri" w:hAnsi="Verdana" w:cs="Arial"/>
          <w:b/>
          <w:bCs/>
          <w:lang w:val="es-ES_tradnl"/>
        </w:rPr>
        <w:lastRenderedPageBreak/>
        <w:t>DOCUMENTOS TIPO – Formato 8 – Suscripción – Decreto 287 de 2026</w:t>
      </w:r>
    </w:p>
    <w:p w14:paraId="62F1740D" w14:textId="77777777" w:rsidR="00A53CD6" w:rsidRPr="00A53CD6" w:rsidRDefault="00A53CD6" w:rsidP="00A53CD6">
      <w:pPr>
        <w:suppressAutoHyphens/>
        <w:spacing w:after="0" w:line="240" w:lineRule="auto"/>
        <w:jc w:val="both"/>
        <w:rPr>
          <w:rFonts w:ascii="Verdana" w:eastAsia="Calibri" w:hAnsi="Verdana" w:cs="Arial"/>
          <w:b/>
          <w:bCs/>
          <w:kern w:val="2"/>
          <w:lang w:val="es-ES_tradnl"/>
          <w14:ligatures w14:val="standardContextual"/>
        </w:rPr>
      </w:pPr>
    </w:p>
    <w:p w14:paraId="63FE058A" w14:textId="77777777" w:rsidR="00A53CD6" w:rsidRPr="00A53CD6" w:rsidRDefault="00A53CD6" w:rsidP="00A53CD6">
      <w:pPr>
        <w:tabs>
          <w:tab w:val="left" w:pos="709"/>
        </w:tabs>
        <w:suppressAutoHyphens/>
        <w:spacing w:after="0" w:line="240" w:lineRule="auto"/>
        <w:jc w:val="both"/>
        <w:rPr>
          <w:rFonts w:ascii="Verdana" w:eastAsia="Calibri" w:hAnsi="Verdana" w:cs="Arial"/>
          <w:sz w:val="20"/>
          <w:szCs w:val="20"/>
          <w:lang w:val="es-ES"/>
        </w:rPr>
      </w:pPr>
      <w:r w:rsidRPr="00A53CD6">
        <w:rPr>
          <w:rFonts w:ascii="Verdana" w:eastAsia="Calibri" w:hAnsi="Verdana" w:cs="Arial"/>
          <w:sz w:val="20"/>
          <w:szCs w:val="20"/>
          <w:lang w:val="es-ES"/>
        </w:rPr>
        <w:t>(…) El Decreto 287 de 2026 modificó ese artículo, y ahora la certificación la suscriben el representante legal y el revisor fiscal, cuando exista, o el contador.</w:t>
      </w:r>
    </w:p>
    <w:p w14:paraId="232771C6" w14:textId="77777777" w:rsidR="00A53CD6" w:rsidRPr="00A53CD6" w:rsidRDefault="00A53CD6" w:rsidP="00A53CD6">
      <w:pPr>
        <w:suppressAutoHyphens/>
        <w:spacing w:after="0" w:line="240" w:lineRule="auto"/>
        <w:rPr>
          <w:rFonts w:ascii="Verdana" w:eastAsia="Calibri" w:hAnsi="Verdana" w:cs="Times New Roman"/>
          <w:b/>
          <w:bCs/>
          <w:lang w:val="es-ES"/>
        </w:rPr>
      </w:pPr>
    </w:p>
    <w:p w14:paraId="3B448F53" w14:textId="77777777" w:rsidR="00A53CD6" w:rsidRPr="00A53CD6" w:rsidRDefault="00A53CD6" w:rsidP="00A53CD6">
      <w:pPr>
        <w:suppressAutoHyphens/>
        <w:spacing w:after="0" w:line="240" w:lineRule="auto"/>
        <w:rPr>
          <w:rFonts w:ascii="Verdana" w:eastAsia="Calibri" w:hAnsi="Verdana" w:cs="Times New Roman"/>
          <w:b/>
          <w:bCs/>
          <w:lang w:val="es-ES"/>
        </w:rPr>
      </w:pPr>
    </w:p>
    <w:p w14:paraId="503B2730" w14:textId="77777777" w:rsidR="00A53CD6" w:rsidRPr="00A53CD6" w:rsidRDefault="00A53CD6" w:rsidP="00A53CD6">
      <w:pPr>
        <w:suppressAutoHyphens/>
        <w:spacing w:after="0" w:line="240" w:lineRule="auto"/>
        <w:rPr>
          <w:rFonts w:ascii="Verdana" w:eastAsia="Calibri" w:hAnsi="Verdana" w:cs="Times New Roman"/>
          <w:b/>
          <w:bCs/>
          <w:lang w:val="es-ES"/>
        </w:rPr>
      </w:pPr>
    </w:p>
    <w:p w14:paraId="085B3395" w14:textId="77777777" w:rsidR="00A53CD6" w:rsidRPr="00A53CD6" w:rsidRDefault="00A53CD6" w:rsidP="00A53CD6">
      <w:pPr>
        <w:suppressAutoHyphens/>
        <w:spacing w:after="0" w:line="240" w:lineRule="auto"/>
        <w:rPr>
          <w:rFonts w:ascii="Verdana" w:eastAsia="Calibri" w:hAnsi="Verdana" w:cs="Times New Roman"/>
          <w:b/>
          <w:bCs/>
          <w:lang w:val="es-ES"/>
        </w:rPr>
      </w:pPr>
    </w:p>
    <w:p w14:paraId="2DD6981F" w14:textId="77777777" w:rsidR="00A53CD6" w:rsidRPr="00A53CD6" w:rsidRDefault="00A53CD6" w:rsidP="00A53CD6">
      <w:pPr>
        <w:suppressAutoHyphens/>
        <w:spacing w:after="0" w:line="240" w:lineRule="auto"/>
        <w:rPr>
          <w:rFonts w:ascii="Verdana" w:eastAsia="Calibri" w:hAnsi="Verdana" w:cs="Times New Roman"/>
          <w:b/>
          <w:bCs/>
          <w:lang w:val="es-ES"/>
        </w:rPr>
      </w:pPr>
    </w:p>
    <w:p w14:paraId="1C96B18F" w14:textId="77777777" w:rsidR="00A53CD6" w:rsidRPr="00A53CD6" w:rsidRDefault="00A53CD6" w:rsidP="00A53CD6">
      <w:pPr>
        <w:suppressAutoHyphens/>
        <w:spacing w:after="0" w:line="240" w:lineRule="auto"/>
        <w:rPr>
          <w:rFonts w:ascii="Verdana" w:eastAsia="Calibri" w:hAnsi="Verdana" w:cs="Times New Roman"/>
          <w:b/>
          <w:bCs/>
          <w:lang w:val="es-ES"/>
        </w:rPr>
      </w:pPr>
    </w:p>
    <w:p w14:paraId="5C267BB0" w14:textId="77777777" w:rsidR="00A53CD6" w:rsidRPr="00A53CD6" w:rsidRDefault="00A53CD6" w:rsidP="00A53CD6">
      <w:pPr>
        <w:suppressAutoHyphens/>
        <w:rPr>
          <w:rFonts w:ascii="Verdana" w:eastAsia="Calibri" w:hAnsi="Verdana" w:cs="Times New Roman"/>
          <w:b/>
          <w:bCs/>
          <w:lang w:val="es-ES"/>
        </w:rPr>
      </w:pPr>
      <w:r w:rsidRPr="00A53CD6">
        <w:rPr>
          <w:rFonts w:ascii="Aptos" w:eastAsia="Aptos" w:hAnsi="Aptos" w:cs="Aptos"/>
          <w:kern w:val="2"/>
          <w:sz w:val="24"/>
          <w:szCs w:val="24"/>
          <w14:ligatures w14:val="standardContextual"/>
        </w:rPr>
        <w:br w:type="page"/>
      </w:r>
    </w:p>
    <w:p w14:paraId="4B63E661" w14:textId="688FD918" w:rsidR="00A53CD6" w:rsidRDefault="00A53CD6" w:rsidP="00A53CD6">
      <w:pPr>
        <w:suppressAutoHyphens/>
        <w:spacing w:after="0" w:line="240" w:lineRule="auto"/>
        <w:rPr>
          <w:rFonts w:ascii="Verdana" w:eastAsia="Verdana" w:hAnsi="Verdana" w:cs="Verdana"/>
          <w:kern w:val="2"/>
          <w14:ligatures w14:val="standardContextual"/>
        </w:rPr>
      </w:pPr>
      <w:r w:rsidRPr="00A53CD6">
        <w:rPr>
          <w:rFonts w:ascii="Verdana" w:eastAsia="Verdana" w:hAnsi="Verdana" w:cs="Verdana"/>
          <w:kern w:val="2"/>
          <w14:ligatures w14:val="standardContextual"/>
        </w:rPr>
        <w:lastRenderedPageBreak/>
        <w:t xml:space="preserve">Bogotá D.C., </w:t>
      </w:r>
      <w:r w:rsidR="00494F9E">
        <w:rPr>
          <w:rFonts w:ascii="Verdana" w:eastAsia="Verdana" w:hAnsi="Verdana" w:cs="Verdana"/>
          <w:kern w:val="2"/>
          <w14:ligatures w14:val="standardContextual"/>
        </w:rPr>
        <w:t>30 de octubre de 2026</w:t>
      </w:r>
    </w:p>
    <w:p w14:paraId="4FCF422F" w14:textId="6A3EEAC9" w:rsidR="00494F9E" w:rsidRDefault="00494F9E" w:rsidP="00A53CD6">
      <w:pPr>
        <w:suppressAutoHyphens/>
        <w:spacing w:after="0" w:line="240" w:lineRule="auto"/>
        <w:rPr>
          <w:rFonts w:ascii="Verdana" w:eastAsia="Verdana" w:hAnsi="Verdana" w:cs="Verdana"/>
          <w:kern w:val="2"/>
          <w14:ligatures w14:val="standardContextual"/>
        </w:rPr>
      </w:pPr>
    </w:p>
    <w:p w14:paraId="24B6BB7F" w14:textId="2AFF901F" w:rsidR="00F55D91" w:rsidRDefault="00F55D91" w:rsidP="00A53CD6">
      <w:pPr>
        <w:suppressAutoHyphens/>
        <w:spacing w:after="0" w:line="240" w:lineRule="auto"/>
        <w:rPr>
          <w:rFonts w:ascii="Verdana" w:eastAsia="Verdana" w:hAnsi="Verdana" w:cs="Verdana"/>
          <w:kern w:val="2"/>
          <w14:ligatures w14:val="standardContextual"/>
        </w:rPr>
      </w:pPr>
    </w:p>
    <w:p w14:paraId="6D1E9D52" w14:textId="71884A07" w:rsidR="00F55D91" w:rsidRDefault="00F55D91" w:rsidP="00A53CD6">
      <w:pPr>
        <w:suppressAutoHyphens/>
        <w:spacing w:after="0" w:line="240" w:lineRule="auto"/>
        <w:rPr>
          <w:rFonts w:ascii="Verdana" w:eastAsia="Verdana" w:hAnsi="Verdana" w:cs="Verdana"/>
          <w:kern w:val="2"/>
          <w14:ligatures w14:val="standardContextual"/>
        </w:rPr>
      </w:pPr>
      <w:r w:rsidRPr="00494F9E">
        <w:rPr>
          <w:rFonts w:ascii="Verdana" w:eastAsia="Verdana" w:hAnsi="Verdana" w:cs="Verdana"/>
          <w:noProof/>
          <w:kern w:val="2"/>
          <w14:ligatures w14:val="standardContextual"/>
        </w:rPr>
        <w:drawing>
          <wp:anchor distT="0" distB="0" distL="114300" distR="114300" simplePos="0" relativeHeight="251660288" behindDoc="0" locked="0" layoutInCell="1" allowOverlap="1" wp14:anchorId="2EA2FC65" wp14:editId="3B439057">
            <wp:simplePos x="0" y="0"/>
            <wp:positionH relativeFrom="column">
              <wp:posOffset>3235325</wp:posOffset>
            </wp:positionH>
            <wp:positionV relativeFrom="paragraph">
              <wp:posOffset>72967</wp:posOffset>
            </wp:positionV>
            <wp:extent cx="2974110" cy="873515"/>
            <wp:effectExtent l="0" t="0" r="0" b="3175"/>
            <wp:wrapNone/>
            <wp:docPr id="18789495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949526" name=""/>
                    <pic:cNvPicPr/>
                  </pic:nvPicPr>
                  <pic:blipFill>
                    <a:blip r:embed="rId10">
                      <a:extLst>
                        <a:ext uri="{28A0092B-C50C-407E-A947-70E740481C1C}">
                          <a14:useLocalDpi xmlns:a14="http://schemas.microsoft.com/office/drawing/2010/main" val="0"/>
                        </a:ext>
                      </a:extLst>
                    </a:blip>
                    <a:stretch>
                      <a:fillRect/>
                    </a:stretch>
                  </pic:blipFill>
                  <pic:spPr>
                    <a:xfrm>
                      <a:off x="0" y="0"/>
                      <a:ext cx="2974110" cy="873515"/>
                    </a:xfrm>
                    <a:prstGeom prst="rect">
                      <a:avLst/>
                    </a:prstGeom>
                  </pic:spPr>
                </pic:pic>
              </a:graphicData>
            </a:graphic>
            <wp14:sizeRelH relativeFrom="page">
              <wp14:pctWidth>0</wp14:pctWidth>
            </wp14:sizeRelH>
            <wp14:sizeRelV relativeFrom="page">
              <wp14:pctHeight>0</wp14:pctHeight>
            </wp14:sizeRelV>
          </wp:anchor>
        </w:drawing>
      </w:r>
    </w:p>
    <w:p w14:paraId="53378BD7" w14:textId="4D12CB31" w:rsidR="00494F9E" w:rsidRPr="00A53CD6" w:rsidRDefault="00494F9E" w:rsidP="00494F9E">
      <w:pPr>
        <w:suppressAutoHyphens/>
        <w:spacing w:after="0" w:line="240" w:lineRule="auto"/>
        <w:jc w:val="right"/>
        <w:rPr>
          <w:rFonts w:ascii="Verdana" w:eastAsia="Verdana" w:hAnsi="Verdana" w:cs="Verdana"/>
          <w:kern w:val="2"/>
          <w14:ligatures w14:val="standardContextual"/>
        </w:rPr>
      </w:pPr>
    </w:p>
    <w:p w14:paraId="10CCFF9F" w14:textId="77777777" w:rsidR="00A53CD6" w:rsidRPr="00A53CD6" w:rsidRDefault="00A53CD6" w:rsidP="00A53CD6">
      <w:pPr>
        <w:suppressAutoHyphens/>
        <w:spacing w:after="0" w:line="240" w:lineRule="auto"/>
        <w:rPr>
          <w:rFonts w:ascii="Verdana" w:eastAsia="Calibri" w:hAnsi="Verdana" w:cs="Arial"/>
          <w:kern w:val="2"/>
          <w:lang w:val="es-ES" w:eastAsia="es-ES"/>
          <w14:ligatures w14:val="standardContextual"/>
        </w:rPr>
      </w:pPr>
      <w:r w:rsidRPr="00A53CD6">
        <w:rPr>
          <w:rFonts w:ascii="Verdana" w:eastAsia="Calibri" w:hAnsi="Verdana" w:cs="Arial"/>
          <w:kern w:val="2"/>
          <w:lang w:val="es-ES" w:eastAsia="es-ES"/>
          <w14:ligatures w14:val="standardContextual"/>
        </w:rPr>
        <w:t>Señor</w:t>
      </w:r>
    </w:p>
    <w:p w14:paraId="23773900" w14:textId="77777777" w:rsidR="00A53CD6" w:rsidRPr="00A53CD6" w:rsidRDefault="00A53CD6" w:rsidP="00A53CD6">
      <w:pPr>
        <w:suppressAutoHyphens/>
        <w:spacing w:after="0" w:line="240" w:lineRule="auto"/>
        <w:rPr>
          <w:rFonts w:ascii="Verdana" w:eastAsia="Calibri" w:hAnsi="Verdana" w:cs="Arial"/>
          <w:b/>
          <w:bCs/>
          <w:kern w:val="2"/>
          <w:lang w:val="es-ES" w:eastAsia="es-ES"/>
          <w14:ligatures w14:val="standardContextual"/>
        </w:rPr>
      </w:pPr>
      <w:r w:rsidRPr="00A53CD6">
        <w:rPr>
          <w:rFonts w:ascii="Verdana" w:eastAsia="Calibri" w:hAnsi="Verdana" w:cs="Arial"/>
          <w:b/>
          <w:bCs/>
          <w:kern w:val="2"/>
          <w:lang w:val="es-ES" w:eastAsia="es-ES"/>
          <w14:ligatures w14:val="standardContextual"/>
        </w:rPr>
        <w:t>Juan Carlos Jacome Ropero</w:t>
      </w:r>
    </w:p>
    <w:p w14:paraId="2FD27E5B" w14:textId="77777777" w:rsidR="00A53CD6" w:rsidRPr="00A53CD6" w:rsidRDefault="00A53CD6" w:rsidP="00A53CD6">
      <w:pPr>
        <w:suppressAutoHyphens/>
        <w:spacing w:after="0" w:line="240" w:lineRule="auto"/>
        <w:rPr>
          <w:rFonts w:ascii="Verdana" w:eastAsia="Calibri" w:hAnsi="Verdana" w:cs="Arial"/>
          <w:lang w:val="es-ES_tradnl" w:eastAsia="es-ES_tradnl"/>
        </w:rPr>
      </w:pPr>
      <w:r w:rsidRPr="00A53CD6">
        <w:rPr>
          <w:rFonts w:ascii="Verdana" w:eastAsia="Calibri" w:hAnsi="Verdana" w:cs="Arial"/>
          <w:kern w:val="2"/>
          <w:lang w:val="es-ES" w:eastAsia="es-ES"/>
          <w14:ligatures w14:val="standardContextual"/>
        </w:rPr>
        <w:t>Ciudad</w:t>
      </w:r>
    </w:p>
    <w:p w14:paraId="39463C3B" w14:textId="77777777" w:rsidR="00A53CD6" w:rsidRDefault="00A53CD6" w:rsidP="00A53CD6">
      <w:pPr>
        <w:suppressAutoHyphens/>
        <w:spacing w:after="0" w:line="276" w:lineRule="auto"/>
        <w:rPr>
          <w:rFonts w:ascii="Verdana" w:eastAsia="Calibri" w:hAnsi="Verdana" w:cs="Arial"/>
          <w:b/>
          <w:bCs/>
          <w:lang w:val="es-ES_tradnl" w:eastAsia="es-ES_tradnl"/>
        </w:rPr>
      </w:pPr>
    </w:p>
    <w:p w14:paraId="1A8BA59E" w14:textId="77777777" w:rsidR="00F55D91" w:rsidRPr="00A53CD6" w:rsidRDefault="00F55D91" w:rsidP="00A53CD6">
      <w:pPr>
        <w:suppressAutoHyphens/>
        <w:spacing w:after="0" w:line="276" w:lineRule="auto"/>
        <w:rPr>
          <w:rFonts w:ascii="Verdana" w:eastAsia="Calibri" w:hAnsi="Verdana" w:cs="Arial"/>
          <w:b/>
          <w:bCs/>
          <w:lang w:val="es-ES_tradnl" w:eastAsia="es-ES_tradnl"/>
        </w:rPr>
      </w:pPr>
    </w:p>
    <w:tbl>
      <w:tblPr>
        <w:tblStyle w:val="Tablaconcuadrcula12"/>
        <w:tblW w:w="8368" w:type="dxa"/>
        <w:tblLayout w:type="fixed"/>
        <w:tblCellMar>
          <w:left w:w="0" w:type="dxa"/>
          <w:right w:w="0" w:type="dxa"/>
        </w:tblCellMar>
        <w:tblLook w:val="04A0" w:firstRow="1" w:lastRow="0" w:firstColumn="1" w:lastColumn="0" w:noHBand="0" w:noVBand="1"/>
      </w:tblPr>
      <w:tblGrid>
        <w:gridCol w:w="1984"/>
        <w:gridCol w:w="6384"/>
      </w:tblGrid>
      <w:tr w:rsidR="00A53CD6" w:rsidRPr="00A53CD6" w14:paraId="397096A2" w14:textId="77777777" w:rsidTr="00DF1FC7">
        <w:trPr>
          <w:trHeight w:val="229"/>
        </w:trPr>
        <w:tc>
          <w:tcPr>
            <w:tcW w:w="1984" w:type="dxa"/>
            <w:tcBorders>
              <w:top w:val="nil"/>
              <w:left w:val="nil"/>
              <w:bottom w:val="nil"/>
              <w:right w:val="nil"/>
            </w:tcBorders>
          </w:tcPr>
          <w:p w14:paraId="56816EBC" w14:textId="77777777" w:rsidR="00A53CD6" w:rsidRPr="00A53CD6" w:rsidRDefault="00A53CD6" w:rsidP="00A53CD6">
            <w:pPr>
              <w:spacing w:line="276" w:lineRule="auto"/>
              <w:jc w:val="both"/>
              <w:rPr>
                <w:rFonts w:ascii="Verdana" w:eastAsia="Calibri" w:hAnsi="Verdana" w:cs="Arial"/>
                <w:b/>
                <w:bCs/>
                <w:lang w:val="es-ES_tradnl" w:eastAsia="es-ES_tradnl"/>
              </w:rPr>
            </w:pPr>
          </w:p>
        </w:tc>
        <w:tc>
          <w:tcPr>
            <w:tcW w:w="6383" w:type="dxa"/>
            <w:tcBorders>
              <w:top w:val="nil"/>
              <w:left w:val="nil"/>
              <w:bottom w:val="nil"/>
              <w:right w:val="nil"/>
            </w:tcBorders>
          </w:tcPr>
          <w:p w14:paraId="3E821131" w14:textId="4BD852A3" w:rsidR="00A53CD6" w:rsidRPr="00A53CD6" w:rsidRDefault="00A53CD6" w:rsidP="00A53CD6">
            <w:pPr>
              <w:spacing w:line="276" w:lineRule="auto"/>
              <w:jc w:val="both"/>
              <w:rPr>
                <w:rFonts w:ascii="Verdana" w:eastAsia="Calibri" w:hAnsi="Verdana" w:cs="Arial"/>
                <w:b/>
                <w:bCs/>
                <w:lang w:val="es-ES" w:eastAsia="es-ES"/>
              </w:rPr>
            </w:pPr>
            <w:r w:rsidRPr="00A53CD6">
              <w:rPr>
                <w:rFonts w:ascii="Verdana" w:eastAsia="Calibri" w:hAnsi="Verdana" w:cs="Arial"/>
                <w:b/>
                <w:lang w:val="es-ES" w:eastAsia="es-ES"/>
              </w:rPr>
              <w:t>Concepto C</w:t>
            </w:r>
            <w:r w:rsidR="001D4658">
              <w:rPr>
                <w:rFonts w:ascii="Verdana" w:eastAsia="Calibri" w:hAnsi="Verdana" w:cs="Arial"/>
                <w:b/>
                <w:lang w:val="es-ES" w:eastAsia="es-ES"/>
              </w:rPr>
              <w:t>-</w:t>
            </w:r>
            <w:r w:rsidRPr="00A53CD6">
              <w:rPr>
                <w:rFonts w:ascii="Verdana" w:eastAsia="Calibri" w:hAnsi="Verdana" w:cs="Arial"/>
                <w:b/>
                <w:lang w:val="es-ES" w:eastAsia="es-ES"/>
              </w:rPr>
              <w:t>1485 de 2026</w:t>
            </w:r>
          </w:p>
          <w:p w14:paraId="1EDA580C" w14:textId="77777777" w:rsidR="00A53CD6" w:rsidRPr="00A53CD6" w:rsidRDefault="00A53CD6" w:rsidP="00A53CD6">
            <w:pPr>
              <w:spacing w:line="276" w:lineRule="auto"/>
              <w:jc w:val="both"/>
              <w:rPr>
                <w:rFonts w:ascii="Verdana" w:eastAsia="Calibri" w:hAnsi="Verdana" w:cs="Arial"/>
                <w:b/>
                <w:bCs/>
                <w:lang w:val="es-ES" w:eastAsia="es-ES"/>
              </w:rPr>
            </w:pPr>
          </w:p>
        </w:tc>
      </w:tr>
      <w:tr w:rsidR="00A53CD6" w:rsidRPr="00A53CD6" w14:paraId="5F570310" w14:textId="77777777" w:rsidTr="00DF1FC7">
        <w:trPr>
          <w:trHeight w:val="884"/>
        </w:trPr>
        <w:tc>
          <w:tcPr>
            <w:tcW w:w="1984" w:type="dxa"/>
            <w:tcBorders>
              <w:top w:val="nil"/>
              <w:left w:val="nil"/>
              <w:bottom w:val="nil"/>
              <w:right w:val="nil"/>
            </w:tcBorders>
          </w:tcPr>
          <w:p w14:paraId="2F4F8943" w14:textId="77777777" w:rsidR="00A53CD6" w:rsidRPr="00A53CD6" w:rsidRDefault="00A53CD6" w:rsidP="00A53CD6">
            <w:pPr>
              <w:spacing w:line="276" w:lineRule="auto"/>
              <w:jc w:val="both"/>
              <w:rPr>
                <w:rFonts w:ascii="Verdana" w:eastAsia="Calibri" w:hAnsi="Verdana" w:cs="Arial"/>
                <w:lang w:val="es-ES_tradnl" w:eastAsia="es-ES_tradnl"/>
              </w:rPr>
            </w:pPr>
            <w:r w:rsidRPr="00A53CD6">
              <w:rPr>
                <w:rFonts w:ascii="Verdana" w:eastAsia="Calibri" w:hAnsi="Verdana" w:cs="Arial"/>
                <w:b/>
                <w:lang w:val="es-ES_tradnl" w:eastAsia="es-ES_tradnl"/>
              </w:rPr>
              <w:t>Temas:</w:t>
            </w:r>
            <w:r w:rsidRPr="00A53CD6">
              <w:rPr>
                <w:rFonts w:ascii="Verdana" w:eastAsia="Calibri" w:hAnsi="Verdana" w:cs="Arial"/>
                <w:lang w:val="es-ES_tradnl" w:eastAsia="es-ES_tradnl"/>
              </w:rPr>
              <w:t xml:space="preserve">                   </w:t>
            </w:r>
          </w:p>
        </w:tc>
        <w:tc>
          <w:tcPr>
            <w:tcW w:w="6383" w:type="dxa"/>
            <w:tcBorders>
              <w:top w:val="nil"/>
              <w:left w:val="nil"/>
              <w:bottom w:val="nil"/>
              <w:right w:val="nil"/>
            </w:tcBorders>
          </w:tcPr>
          <w:p w14:paraId="1951A2F6" w14:textId="77777777" w:rsidR="00A53CD6" w:rsidRPr="00A53CD6" w:rsidRDefault="00A53CD6" w:rsidP="00A53CD6">
            <w:pPr>
              <w:widowControl w:val="0"/>
              <w:spacing w:line="276" w:lineRule="auto"/>
              <w:jc w:val="both"/>
              <w:rPr>
                <w:rFonts w:ascii="Verdana" w:eastAsia="Calibri" w:hAnsi="Verdana" w:cs="Times New Roman"/>
                <w:lang w:val="es-ES"/>
              </w:rPr>
            </w:pPr>
            <w:r w:rsidRPr="00A53CD6">
              <w:rPr>
                <w:rFonts w:ascii="Verdana" w:eastAsia="Calibri" w:hAnsi="Verdana" w:cs="Arial"/>
                <w:lang w:val="es-ES_tradnl"/>
              </w:rPr>
              <w:t xml:space="preserve">DOCUMENTOS TIPO – Fundamento normativo – Obligatoriedad / DOCUMENTOS TIPO – Adopción – Implementación / DOCUMENTOS TIPO – Sectores – Vigentes / DOCUMENTOS TIPO – Inalterabilidad – Apartes entre corchetes y resaltados en gris / DOCUMENTOS TIPO – Aplicación – Matriz de Experiencia / DOCUMENTOS TIPO – Revisión – Repositorio de observaciones / DOCUMENTOS TIPO – Anexo 2 – Cronograma – Publicidad – Modificación / ADENDAS – Modificación del cronograma – Etapas no vencidas / AUDIENCIA EFECTIVA DE ADJUDICACIÓN – Medios electrónicos – SECOP I y SECOP II / AUDIENCIAS – Modalidad – Publicidad – Debido proceso / OFERTAS – Publicidad – SECOP II – Información reservada / INFORME DE EVALUACIÓN – Plazo para evaluar – Prórroga – Límites / INFORME DE EVALUACIÓN – Motivación – Requisitos habilitantes y factores de puntaje – Subsanabilidad / DOCUMENTOS TIPO – Requisitos habilitantes – Capacidad jurídica – Literal F – Alcance / DOCUMENTOS TIPO – Requisitos habilitantes – Artículo 17 de la Ley 842 de 2003 / DOCUMENTOS TIPO – Infraestructura social – Experiencia – Área construida / ANÁLISIS DEL SECTOR – Documentos tipo – Precios artificialmente bajos – </w:t>
            </w:r>
            <w:r w:rsidRPr="00A53CD6">
              <w:rPr>
                <w:rFonts w:ascii="Verdana" w:eastAsia="Calibri" w:hAnsi="Verdana" w:cs="Arial"/>
                <w:lang w:val="es-ES_tradnl"/>
              </w:rPr>
              <w:lastRenderedPageBreak/>
              <w:t>Referente / PRECIOS ARTIFICIALMENTE BAJOS – Procedimiento – Requerimiento – Motivación y publicidad / MÉTODO DE PONDERACIÓN ECONÓMICA – TRM – Documentos tipo – Momento de determinación / DOCUMENTOS TIPO – Infraestructura social – Formatos 12A y 12B – Configuración por la entidad / DOCUMENTOS TIPO – Formato 8 – Suscripción – Decreto 287 de 2026</w:t>
            </w:r>
            <w:r w:rsidRPr="00A53CD6">
              <w:rPr>
                <w:rFonts w:ascii="Verdana" w:eastAsia="Calibri" w:hAnsi="Verdana" w:cs="Times New Roman"/>
                <w:lang w:val="es-ES"/>
              </w:rPr>
              <w:t xml:space="preserve"> </w:t>
            </w:r>
          </w:p>
          <w:p w14:paraId="6BE5861D" w14:textId="77777777" w:rsidR="00A53CD6" w:rsidRPr="00A53CD6" w:rsidRDefault="00A53CD6" w:rsidP="00A53CD6">
            <w:pPr>
              <w:widowControl w:val="0"/>
              <w:spacing w:line="276" w:lineRule="auto"/>
              <w:jc w:val="both"/>
              <w:rPr>
                <w:rFonts w:ascii="Verdana" w:eastAsia="Calibri" w:hAnsi="Verdana" w:cs="Times New Roman"/>
                <w:lang w:val="es-ES"/>
              </w:rPr>
            </w:pPr>
          </w:p>
        </w:tc>
      </w:tr>
      <w:tr w:rsidR="00A53CD6" w:rsidRPr="00A53CD6" w14:paraId="784FAB5A" w14:textId="77777777" w:rsidTr="00DF1FC7">
        <w:tc>
          <w:tcPr>
            <w:tcW w:w="1984" w:type="dxa"/>
            <w:tcBorders>
              <w:top w:val="nil"/>
              <w:left w:val="nil"/>
              <w:bottom w:val="nil"/>
              <w:right w:val="nil"/>
            </w:tcBorders>
          </w:tcPr>
          <w:p w14:paraId="281D78AC" w14:textId="77777777" w:rsidR="00A53CD6" w:rsidRPr="00A53CD6" w:rsidRDefault="00A53CD6" w:rsidP="00A53CD6">
            <w:pPr>
              <w:spacing w:line="276" w:lineRule="auto"/>
              <w:jc w:val="both"/>
              <w:rPr>
                <w:rFonts w:ascii="Verdana" w:eastAsia="Calibri" w:hAnsi="Verdana" w:cs="Arial"/>
                <w:b/>
                <w:lang w:val="es-ES_tradnl" w:eastAsia="es-ES_tradnl"/>
              </w:rPr>
            </w:pPr>
            <w:r w:rsidRPr="00A53CD6">
              <w:rPr>
                <w:rFonts w:ascii="Verdana" w:eastAsia="Calibri" w:hAnsi="Verdana" w:cs="Arial"/>
                <w:b/>
                <w:lang w:val="es-ES_tradnl" w:eastAsia="es-ES_tradnl"/>
              </w:rPr>
              <w:lastRenderedPageBreak/>
              <w:t>Radicación:</w:t>
            </w:r>
            <w:r w:rsidRPr="00A53CD6">
              <w:rPr>
                <w:rFonts w:ascii="Verdana" w:eastAsia="Calibri" w:hAnsi="Verdana" w:cs="Arial"/>
                <w:lang w:val="es-ES_tradnl" w:eastAsia="es-ES_tradnl"/>
              </w:rPr>
              <w:t xml:space="preserve">               </w:t>
            </w:r>
          </w:p>
        </w:tc>
        <w:tc>
          <w:tcPr>
            <w:tcW w:w="6383" w:type="dxa"/>
            <w:tcBorders>
              <w:top w:val="nil"/>
              <w:left w:val="nil"/>
              <w:bottom w:val="nil"/>
              <w:right w:val="nil"/>
            </w:tcBorders>
          </w:tcPr>
          <w:p w14:paraId="0DAB1BA1" w14:textId="77777777" w:rsidR="00A53CD6" w:rsidRPr="00A53CD6" w:rsidRDefault="00A53CD6" w:rsidP="00A53CD6">
            <w:pPr>
              <w:spacing w:line="276" w:lineRule="auto"/>
              <w:ind w:left="3" w:hanging="3"/>
              <w:jc w:val="both"/>
              <w:rPr>
                <w:rFonts w:ascii="Verdana" w:eastAsia="Calibri" w:hAnsi="Verdana" w:cs="Arial"/>
                <w:lang w:val="es-ES_tradnl" w:eastAsia="es-ES_tradnl"/>
              </w:rPr>
            </w:pPr>
            <w:r w:rsidRPr="00A53CD6">
              <w:rPr>
                <w:rFonts w:ascii="Verdana" w:eastAsia="Calibri" w:hAnsi="Verdana" w:cs="Arial"/>
                <w:lang w:val="es-ES_tradnl" w:eastAsia="es-ES_tradnl"/>
              </w:rPr>
              <w:t>Respuesta a consulta con radicado No. 1_2026_09_21_012613</w:t>
            </w:r>
          </w:p>
        </w:tc>
      </w:tr>
    </w:tbl>
    <w:p w14:paraId="236DA0EB" w14:textId="77777777" w:rsidR="00A53CD6" w:rsidRPr="00A53CD6" w:rsidRDefault="00A53CD6" w:rsidP="00A53CD6">
      <w:pPr>
        <w:suppressAutoHyphens/>
        <w:spacing w:after="0" w:line="240" w:lineRule="auto"/>
        <w:jc w:val="both"/>
        <w:rPr>
          <w:rFonts w:ascii="Verdana" w:eastAsia="Calibri" w:hAnsi="Verdana" w:cs="Arial"/>
          <w:lang w:val="es-ES_tradnl" w:eastAsia="es-ES_tradnl"/>
        </w:rPr>
      </w:pPr>
    </w:p>
    <w:p w14:paraId="3FC32F90" w14:textId="77777777" w:rsidR="00A53CD6" w:rsidRPr="00A53CD6" w:rsidRDefault="00A53CD6" w:rsidP="00A53CD6">
      <w:pPr>
        <w:suppressAutoHyphens/>
        <w:spacing w:after="0" w:line="276" w:lineRule="auto"/>
        <w:jc w:val="both"/>
        <w:rPr>
          <w:rFonts w:ascii="Verdana" w:eastAsia="Calibri" w:hAnsi="Verdana" w:cs="Arial"/>
          <w:lang w:val="es-ES" w:eastAsia="es-ES"/>
        </w:rPr>
      </w:pPr>
      <w:r w:rsidRPr="00A53CD6">
        <w:rPr>
          <w:rFonts w:ascii="Verdana" w:eastAsia="Calibri" w:hAnsi="Verdana" w:cs="Arial"/>
          <w:lang w:val="es-ES" w:eastAsia="es-ES"/>
        </w:rPr>
        <w:t xml:space="preserve">Estimado señor </w:t>
      </w:r>
      <w:r w:rsidRPr="00A53CD6">
        <w:rPr>
          <w:rFonts w:ascii="Verdana" w:eastAsia="Calibri" w:hAnsi="Verdana" w:cs="Arial"/>
          <w:kern w:val="2"/>
          <w:lang w:val="es-ES" w:eastAsia="es-ES"/>
          <w14:ligatures w14:val="standardContextual"/>
        </w:rPr>
        <w:t>Jacome Ropero</w:t>
      </w:r>
      <w:r w:rsidRPr="00A53CD6">
        <w:rPr>
          <w:rFonts w:ascii="Verdana" w:eastAsia="Calibri" w:hAnsi="Verdana" w:cs="Arial"/>
          <w:kern w:val="2"/>
          <w:lang w:eastAsia="es-ES_tradnl"/>
          <w14:ligatures w14:val="standardContextual"/>
        </w:rPr>
        <w:t>:</w:t>
      </w:r>
      <w:r w:rsidRPr="00A53CD6">
        <w:rPr>
          <w:rFonts w:ascii="Verdana" w:eastAsia="Calibri" w:hAnsi="Verdana" w:cs="Arial"/>
          <w:lang w:val="es-ES" w:eastAsia="es-ES"/>
        </w:rPr>
        <w:t xml:space="preserve"> </w:t>
      </w:r>
    </w:p>
    <w:p w14:paraId="3E047922" w14:textId="77777777" w:rsidR="00A53CD6" w:rsidRPr="00A53CD6" w:rsidRDefault="00A53CD6" w:rsidP="00A53CD6">
      <w:pPr>
        <w:tabs>
          <w:tab w:val="left" w:pos="3768"/>
        </w:tabs>
        <w:suppressAutoHyphens/>
        <w:spacing w:after="0" w:line="276" w:lineRule="auto"/>
        <w:jc w:val="both"/>
        <w:rPr>
          <w:rFonts w:ascii="Verdana" w:eastAsia="Calibri" w:hAnsi="Verdana" w:cs="Arial"/>
          <w:lang w:val="es-ES" w:eastAsia="es-ES"/>
        </w:rPr>
      </w:pPr>
      <w:r w:rsidRPr="00A53CD6">
        <w:rPr>
          <w:rFonts w:ascii="Verdana" w:eastAsia="Calibri" w:hAnsi="Verdana" w:cs="Arial"/>
          <w:lang w:val="es-ES" w:eastAsia="es-ES"/>
        </w:rPr>
        <w:t xml:space="preserve"> </w:t>
      </w:r>
    </w:p>
    <w:p w14:paraId="4CA7F4AD" w14:textId="2A79731C" w:rsidR="00A53CD6" w:rsidRPr="00A53CD6" w:rsidRDefault="00A53CD6" w:rsidP="00A53CD6">
      <w:pPr>
        <w:suppressAutoHyphens/>
        <w:snapToGrid w:val="0"/>
        <w:spacing w:after="0" w:line="240" w:lineRule="auto"/>
        <w:jc w:val="both"/>
        <w:rPr>
          <w:rFonts w:ascii="Verdana" w:eastAsia="Calibri" w:hAnsi="Verdana" w:cs="Arial"/>
          <w:lang w:val="es-ES" w:eastAsia="es-ES"/>
        </w:rPr>
      </w:pPr>
      <w:r w:rsidRPr="00A53CD6">
        <w:rPr>
          <w:rFonts w:ascii="Verdana" w:eastAsia="Calibri" w:hAnsi="Verdana" w:cs="Arial"/>
          <w:lang w:val="es-ES" w:eastAsia="es-ES"/>
        </w:rPr>
        <w:t>En ejercicio de la competencia otorgada por los artículos 3, numeral 5º, y 11, numeral 8º, del Decreto Ley 4170 de 2011,</w:t>
      </w:r>
      <w:r w:rsidRPr="00A53CD6">
        <w:rPr>
          <w:rFonts w:ascii="Verdana" w:eastAsia="Arial MT" w:hAnsi="Verdana" w:cs="Arial MT"/>
          <w:lang w:val="es-ES" w:eastAsia="es-ES"/>
        </w:rPr>
        <w:t xml:space="preserve"> </w:t>
      </w:r>
      <w:r w:rsidRPr="00A53CD6">
        <w:rPr>
          <w:rFonts w:ascii="Verdana" w:eastAsia="Calibri" w:hAnsi="Verdana" w:cs="Arial"/>
        </w:rPr>
        <w:t xml:space="preserve">así como lo establecido en la Resolución No. 469 del 2025 expedida por esta Entidad, </w:t>
      </w:r>
      <w:r w:rsidRPr="00A53CD6">
        <w:rPr>
          <w:rFonts w:ascii="Verdana" w:eastAsia="Calibri" w:hAnsi="Verdana" w:cs="Arial"/>
          <w:lang w:val="es-ES" w:eastAsia="es-ES"/>
        </w:rPr>
        <w:t>la Agencia Nacional de Contratación Pública –Colombia Compra Eficiente– responde su solicitud de consulta del 2</w:t>
      </w:r>
      <w:r w:rsidR="00557D9D">
        <w:rPr>
          <w:rFonts w:ascii="Verdana" w:eastAsia="Calibri" w:hAnsi="Verdana" w:cs="Arial"/>
          <w:lang w:val="es-ES" w:eastAsia="es-ES"/>
        </w:rPr>
        <w:t>1</w:t>
      </w:r>
      <w:r w:rsidRPr="00A53CD6">
        <w:rPr>
          <w:rFonts w:ascii="Verdana" w:eastAsia="Calibri" w:hAnsi="Verdana" w:cs="Arial"/>
          <w:lang w:val="es-ES" w:eastAsia="es-ES"/>
        </w:rPr>
        <w:t xml:space="preserve"> de </w:t>
      </w:r>
      <w:r w:rsidR="005A4161">
        <w:rPr>
          <w:rFonts w:ascii="Verdana" w:eastAsia="Calibri" w:hAnsi="Verdana" w:cs="Arial"/>
          <w:lang w:val="es-ES" w:eastAsia="es-ES"/>
        </w:rPr>
        <w:t>septiembre</w:t>
      </w:r>
      <w:r w:rsidRPr="00A53CD6">
        <w:rPr>
          <w:rFonts w:ascii="Verdana" w:eastAsia="Calibri" w:hAnsi="Verdana" w:cs="Arial"/>
          <w:lang w:val="es-ES" w:eastAsia="es-ES"/>
        </w:rPr>
        <w:t xml:space="preserve"> de 2026, en la cual manifiesta lo siguiente:</w:t>
      </w:r>
    </w:p>
    <w:p w14:paraId="62627D31" w14:textId="77777777" w:rsidR="00A53CD6" w:rsidRPr="00A53CD6" w:rsidRDefault="00A53CD6" w:rsidP="00A53CD6">
      <w:pPr>
        <w:suppressAutoHyphens/>
        <w:snapToGrid w:val="0"/>
        <w:spacing w:after="0" w:line="240" w:lineRule="auto"/>
        <w:jc w:val="both"/>
        <w:rPr>
          <w:rFonts w:ascii="Verdana" w:eastAsia="Calibri" w:hAnsi="Verdana" w:cs="Arial"/>
          <w:lang w:val="es-ES" w:eastAsia="es-ES"/>
        </w:rPr>
      </w:pPr>
    </w:p>
    <w:p w14:paraId="7769B3AA" w14:textId="77777777" w:rsidR="00A53CD6" w:rsidRPr="00A53CD6" w:rsidRDefault="00A53CD6" w:rsidP="00A53CD6">
      <w:pPr>
        <w:suppressAutoHyphens/>
        <w:snapToGrid w:val="0"/>
        <w:spacing w:after="0" w:line="240" w:lineRule="auto"/>
        <w:ind w:left="709" w:right="709"/>
        <w:jc w:val="both"/>
        <w:rPr>
          <w:rFonts w:ascii="Verdana" w:eastAsia="Aptos" w:hAnsi="Verdana" w:cs="Helvetica"/>
          <w:color w:val="000000"/>
          <w:sz w:val="20"/>
          <w:szCs w:val="20"/>
          <w14:ligatures w14:val="standardContextual"/>
        </w:rPr>
      </w:pPr>
      <w:r w:rsidRPr="00A53CD6">
        <w:rPr>
          <w:rFonts w:ascii="Verdana" w:eastAsia="Aptos" w:hAnsi="Verdana" w:cs="Helvetica"/>
          <w:color w:val="000000"/>
          <w:sz w:val="20"/>
          <w:szCs w:val="20"/>
          <w14:ligatures w14:val="standardContextual"/>
        </w:rPr>
        <w:t>“</w:t>
      </w:r>
      <w:r w:rsidRPr="00A53CD6">
        <w:rPr>
          <w:rFonts w:ascii="Verdana" w:eastAsia="Aptos" w:hAnsi="Verdana" w:cs="Helvetica"/>
          <w:b/>
          <w:bCs/>
          <w:color w:val="000000"/>
          <w:sz w:val="20"/>
          <w:szCs w:val="20"/>
          <w14:ligatures w14:val="standardContextual"/>
        </w:rPr>
        <w:t xml:space="preserve">1. </w:t>
      </w:r>
      <w:r w:rsidRPr="00A53CD6">
        <w:rPr>
          <w:rFonts w:ascii="Verdana" w:eastAsia="Aptos" w:hAnsi="Verdana" w:cs="Helvetica"/>
          <w:color w:val="000000"/>
          <w:sz w:val="20"/>
          <w:szCs w:val="20"/>
          <w14:ligatures w14:val="standardContextual"/>
        </w:rPr>
        <w:t>¿La Entidad Estatal sometida a Documentos Tipo está obligada a publicar debidamente diligenciado el Anexo 2 – Cronograma?</w:t>
      </w:r>
    </w:p>
    <w:p w14:paraId="2D1E6C0E" w14:textId="77777777" w:rsidR="00A53CD6" w:rsidRPr="00A53CD6" w:rsidRDefault="00A53CD6" w:rsidP="00A53CD6">
      <w:pPr>
        <w:suppressAutoHyphens/>
        <w:spacing w:after="0" w:line="240" w:lineRule="auto"/>
        <w:ind w:left="709" w:right="709"/>
        <w:jc w:val="both"/>
        <w:rPr>
          <w:rFonts w:ascii="Verdana" w:eastAsia="Aptos" w:hAnsi="Verdana" w:cs="Helvetica"/>
          <w:color w:val="000000"/>
          <w:sz w:val="20"/>
          <w:szCs w:val="20"/>
          <w14:ligatures w14:val="standardContextual"/>
        </w:rPr>
      </w:pPr>
      <w:r w:rsidRPr="00A53CD6">
        <w:rPr>
          <w:rFonts w:ascii="Verdana" w:eastAsia="Aptos" w:hAnsi="Verdana" w:cs="Helvetica"/>
          <w:b/>
          <w:bCs/>
          <w:color w:val="000000"/>
          <w:sz w:val="20"/>
          <w:szCs w:val="20"/>
          <w14:ligatures w14:val="standardContextual"/>
        </w:rPr>
        <w:t xml:space="preserve">2. </w:t>
      </w:r>
      <w:r w:rsidRPr="00A53CD6">
        <w:rPr>
          <w:rFonts w:ascii="Verdana" w:eastAsia="Aptos" w:hAnsi="Verdana" w:cs="Helvetica"/>
          <w:color w:val="000000"/>
          <w:sz w:val="20"/>
          <w:szCs w:val="20"/>
          <w14:ligatures w14:val="standardContextual"/>
        </w:rPr>
        <w:t>Cuando se modifiquen fechas, lugares o condiciones de las actuaciones del proceso, ¿es suficiente modificar únicamente el cronograma electrónico de SECOP II o debe modificarse igualmente el Anexo 2 – Cronograma y, cuando corresponda, expedirse la respectiva adenda?</w:t>
      </w:r>
    </w:p>
    <w:p w14:paraId="03243320" w14:textId="77777777" w:rsidR="00A53CD6" w:rsidRPr="00A53CD6" w:rsidRDefault="00A53CD6" w:rsidP="00A53CD6">
      <w:pPr>
        <w:suppressAutoHyphens/>
        <w:spacing w:after="0" w:line="240" w:lineRule="auto"/>
        <w:ind w:left="709" w:right="709"/>
        <w:jc w:val="both"/>
        <w:rPr>
          <w:rFonts w:ascii="Verdana" w:eastAsia="Aptos" w:hAnsi="Verdana" w:cs="Helvetica"/>
          <w:color w:val="000000"/>
          <w:sz w:val="20"/>
          <w:szCs w:val="20"/>
          <w14:ligatures w14:val="standardContextual"/>
        </w:rPr>
      </w:pPr>
      <w:r w:rsidRPr="00A53CD6">
        <w:rPr>
          <w:rFonts w:ascii="Verdana" w:eastAsia="Aptos" w:hAnsi="Verdana" w:cs="Helvetica"/>
          <w:b/>
          <w:bCs/>
          <w:color w:val="000000"/>
          <w:sz w:val="20"/>
          <w:szCs w:val="20"/>
          <w14:ligatures w14:val="standardContextual"/>
        </w:rPr>
        <w:t xml:space="preserve">3. </w:t>
      </w:r>
      <w:r w:rsidRPr="00A53CD6">
        <w:rPr>
          <w:rFonts w:ascii="Verdana" w:eastAsia="Aptos" w:hAnsi="Verdana" w:cs="Helvetica"/>
          <w:color w:val="000000"/>
          <w:sz w:val="20"/>
          <w:szCs w:val="20"/>
          <w14:ligatures w14:val="standardContextual"/>
        </w:rPr>
        <w:t>En caso de contradicción entre el cronograma electrónico de SECOP II y el Anexo 2 – Cronograma, ¿cuál debe prevalecer y qué actuación debe adelantar la entidad para eliminar oportunamente la contradicción?</w:t>
      </w:r>
    </w:p>
    <w:p w14:paraId="1ECA0488" w14:textId="77777777" w:rsidR="00A53CD6" w:rsidRPr="00A53CD6" w:rsidRDefault="00A53CD6" w:rsidP="00A53CD6">
      <w:pPr>
        <w:suppressAutoHyphens/>
        <w:spacing w:after="0" w:line="240" w:lineRule="auto"/>
        <w:ind w:left="709" w:right="709"/>
        <w:jc w:val="both"/>
        <w:rPr>
          <w:rFonts w:ascii="Verdana" w:eastAsia="Aptos" w:hAnsi="Verdana" w:cs="Helvetica"/>
          <w:color w:val="000000"/>
          <w:sz w:val="20"/>
          <w:szCs w:val="20"/>
          <w14:ligatures w14:val="standardContextual"/>
        </w:rPr>
      </w:pPr>
      <w:r w:rsidRPr="00A53CD6">
        <w:rPr>
          <w:rFonts w:ascii="Verdana" w:eastAsia="Aptos" w:hAnsi="Verdana" w:cs="Helvetica"/>
          <w:b/>
          <w:bCs/>
          <w:color w:val="000000"/>
          <w:sz w:val="20"/>
          <w:szCs w:val="20"/>
          <w14:ligatures w14:val="standardContextual"/>
        </w:rPr>
        <w:t xml:space="preserve">4. </w:t>
      </w:r>
      <w:r w:rsidRPr="00A53CD6">
        <w:rPr>
          <w:rFonts w:ascii="Verdana" w:eastAsia="Aptos" w:hAnsi="Verdana" w:cs="Helvetica"/>
          <w:color w:val="000000"/>
          <w:sz w:val="20"/>
          <w:szCs w:val="20"/>
          <w14:ligatures w14:val="standardContextual"/>
        </w:rPr>
        <w:t>¿Puede una Entidad exigir la asistencia presencial a una audiencia cuando el lugar, modalidad o modificación correspondiente no fue informado de manera clara y oportuna en los documentos y cronograma del proceso?</w:t>
      </w:r>
    </w:p>
    <w:p w14:paraId="471C87D6"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kern w:val="2"/>
          <w:sz w:val="20"/>
          <w:szCs w:val="20"/>
          <w14:ligatures w14:val="standardContextual"/>
        </w:rPr>
        <w:t>[…]</w:t>
      </w:r>
    </w:p>
    <w:p w14:paraId="2C93F097"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5. </w:t>
      </w:r>
      <w:r w:rsidRPr="00A53CD6">
        <w:rPr>
          <w:rFonts w:ascii="Verdana" w:eastAsia="Aptos" w:hAnsi="Verdana" w:cs="Times New Roman"/>
          <w:kern w:val="2"/>
          <w:sz w:val="20"/>
          <w:szCs w:val="20"/>
          <w14:ligatures w14:val="standardContextual"/>
        </w:rPr>
        <w:t>En un proceso adelantado en SECOP II, ¿puede la Entidad disponer que una audiencia sea exclusivamente presencial?</w:t>
      </w:r>
    </w:p>
    <w:p w14:paraId="42818E26"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6. </w:t>
      </w:r>
      <w:r w:rsidRPr="00A53CD6">
        <w:rPr>
          <w:rFonts w:ascii="Verdana" w:eastAsia="Aptos" w:hAnsi="Verdana" w:cs="Times New Roman"/>
          <w:kern w:val="2"/>
          <w:sz w:val="20"/>
          <w:szCs w:val="20"/>
          <w14:ligatures w14:val="standardContextual"/>
        </w:rPr>
        <w:t>¿Existe obligación de permitir participación virtual o híbrida, particularmente considerando la naturaleza transaccional de SECOP II?</w:t>
      </w:r>
    </w:p>
    <w:p w14:paraId="7F37119B"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lastRenderedPageBreak/>
        <w:t xml:space="preserve">7. </w:t>
      </w:r>
      <w:r w:rsidRPr="00A53CD6">
        <w:rPr>
          <w:rFonts w:ascii="Verdana" w:eastAsia="Aptos" w:hAnsi="Verdana" w:cs="Times New Roman"/>
          <w:kern w:val="2"/>
          <w:sz w:val="20"/>
          <w:szCs w:val="20"/>
          <w14:ligatures w14:val="standardContextual"/>
        </w:rPr>
        <w:t>En los procesos adelantados mediante SECOP I, ¿qué alternativas puede utilizar la Entidad para realizar las audiencias y garantizar participación, publicidad, transparencia y contradicción?</w:t>
      </w:r>
    </w:p>
    <w:p w14:paraId="7EAB6449"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8. </w:t>
      </w:r>
      <w:r w:rsidRPr="00A53CD6">
        <w:rPr>
          <w:rFonts w:ascii="Verdana" w:eastAsia="Aptos" w:hAnsi="Verdana" w:cs="Times New Roman"/>
          <w:kern w:val="2"/>
          <w:sz w:val="20"/>
          <w:szCs w:val="20"/>
          <w14:ligatures w14:val="standardContextual"/>
        </w:rPr>
        <w:t>En cualquiera de las plataformas, ¿la modalidad de la audiencia debe quedar determinada previamente en el cronograma y documentos del proceso?</w:t>
      </w:r>
    </w:p>
    <w:p w14:paraId="103343D3"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kern w:val="2"/>
          <w:sz w:val="20"/>
          <w:szCs w:val="20"/>
          <w14:ligatures w14:val="standardContextual"/>
        </w:rPr>
        <w:t>[…]</w:t>
      </w:r>
    </w:p>
    <w:p w14:paraId="19BDC082"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9. </w:t>
      </w:r>
      <w:r w:rsidRPr="00A53CD6">
        <w:rPr>
          <w:rFonts w:ascii="Verdana" w:eastAsia="Aptos" w:hAnsi="Verdana" w:cs="Times New Roman"/>
          <w:kern w:val="2"/>
          <w:sz w:val="20"/>
          <w:szCs w:val="20"/>
          <w14:ligatures w14:val="standardContextual"/>
        </w:rPr>
        <w:t>Una vez cerrado el proceso y realizada la apertura del Sobre No. 1 en SECOP II, ¿la Entidad debe hacer visibles las ofertas a los interesados inmediatamente después de su apertura, salvo aquella información sometida legalmente a reserva?</w:t>
      </w:r>
    </w:p>
    <w:p w14:paraId="1F8F0050"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10. </w:t>
      </w:r>
      <w:r w:rsidRPr="00A53CD6">
        <w:rPr>
          <w:rFonts w:ascii="Verdana" w:eastAsia="Aptos" w:hAnsi="Verdana" w:cs="Times New Roman"/>
          <w:kern w:val="2"/>
          <w:sz w:val="20"/>
          <w:szCs w:val="20"/>
          <w14:ligatures w14:val="standardContextual"/>
        </w:rPr>
        <w:t>¿Es jurídicamente admisible que la Entidad publique únicamente la lista de oferentes y espere hasta la publicación del informe preliminar de evaluación para hacer visibles las propuestas?</w:t>
      </w:r>
    </w:p>
    <w:p w14:paraId="4C0BC2AC"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11. </w:t>
      </w:r>
      <w:r w:rsidRPr="00A53CD6">
        <w:rPr>
          <w:rFonts w:ascii="Verdana" w:eastAsia="Aptos" w:hAnsi="Verdana" w:cs="Times New Roman"/>
          <w:kern w:val="2"/>
          <w:sz w:val="20"/>
          <w:szCs w:val="20"/>
          <w14:ligatures w14:val="standardContextual"/>
        </w:rPr>
        <w:t>¿Cuál es el término del que dispone la Entidad para ejecutar la funcionalidad de SECOP II que permite publicar las ofertas?</w:t>
      </w:r>
    </w:p>
    <w:p w14:paraId="7A381081"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12. </w:t>
      </w:r>
      <w:r w:rsidRPr="00A53CD6">
        <w:rPr>
          <w:rFonts w:ascii="Verdana" w:eastAsia="Aptos" w:hAnsi="Verdana" w:cs="Times New Roman"/>
          <w:kern w:val="2"/>
          <w:sz w:val="20"/>
          <w:szCs w:val="20"/>
          <w14:ligatures w14:val="standardContextual"/>
        </w:rPr>
        <w:t>¿La publicidad oportuna de las propuestas constituye una garantía necesaria para que los participantes puedan ejercer adecuadamente el derecho de contradicción y formular observaciones durante la evaluación?</w:t>
      </w:r>
    </w:p>
    <w:p w14:paraId="53DE24C4"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kern w:val="2"/>
          <w:sz w:val="20"/>
          <w:szCs w:val="20"/>
          <w14:ligatures w14:val="standardContextual"/>
        </w:rPr>
        <w:t>[…]</w:t>
      </w:r>
    </w:p>
    <w:p w14:paraId="0C354F71"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13. </w:t>
      </w:r>
      <w:r w:rsidRPr="00A53CD6">
        <w:rPr>
          <w:rFonts w:ascii="Verdana" w:eastAsia="Aptos" w:hAnsi="Verdana" w:cs="Times New Roman"/>
          <w:kern w:val="2"/>
          <w:sz w:val="20"/>
          <w:szCs w:val="20"/>
          <w14:ligatures w14:val="standardContextual"/>
        </w:rPr>
        <w:t>¿Qué límites jurídicos existen frente a las sucesivas modificaciones del cronograma destinadas a aplazar la publicación del informe preliminar?</w:t>
      </w:r>
    </w:p>
    <w:p w14:paraId="74356C87"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14. </w:t>
      </w:r>
      <w:r w:rsidRPr="00A53CD6">
        <w:rPr>
          <w:rFonts w:ascii="Verdana" w:eastAsia="Aptos" w:hAnsi="Verdana" w:cs="Times New Roman"/>
          <w:kern w:val="2"/>
          <w:sz w:val="20"/>
          <w:szCs w:val="20"/>
          <w14:ligatures w14:val="standardContextual"/>
        </w:rPr>
        <w:t>¿Los principios de economía, planeación, responsabilidad y selección objetiva imponen algún parámetro de razonabilidad temporal para la evaluación?</w:t>
      </w:r>
    </w:p>
    <w:p w14:paraId="40916603"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15. </w:t>
      </w:r>
      <w:r w:rsidRPr="00A53CD6">
        <w:rPr>
          <w:rFonts w:ascii="Verdana" w:eastAsia="Aptos" w:hAnsi="Verdana" w:cs="Times New Roman"/>
          <w:kern w:val="2"/>
          <w:sz w:val="20"/>
          <w:szCs w:val="20"/>
          <w14:ligatures w14:val="standardContextual"/>
        </w:rPr>
        <w:t>¿Considera la Agencia jurídicamente viable o conveniente establecer en los Documentos Tipo parámetros o términos de evaluación relacionados, por ejemplo, con el número de propuestas recibidas o con la complejidad del proceso?</w:t>
      </w:r>
    </w:p>
    <w:p w14:paraId="25035B61"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16. </w:t>
      </w:r>
      <w:r w:rsidRPr="00A53CD6">
        <w:rPr>
          <w:rFonts w:ascii="Verdana" w:eastAsia="Aptos" w:hAnsi="Verdana" w:cs="Times New Roman"/>
          <w:kern w:val="2"/>
          <w:sz w:val="20"/>
          <w:szCs w:val="20"/>
          <w14:ligatures w14:val="standardContextual"/>
        </w:rPr>
        <w:t>Cuando por la prolongación del procedimiento transcurren varios meses, cambia la vigencia fiscal o se producen modificaciones significativas de salarios y costos, ¿qué tratamiento jurídico corresponde frente a las condiciones económicas originalmente ofertadas?</w:t>
      </w:r>
    </w:p>
    <w:p w14:paraId="0CD56D5C"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kern w:val="2"/>
          <w:sz w:val="20"/>
          <w:szCs w:val="20"/>
          <w14:ligatures w14:val="standardContextual"/>
        </w:rPr>
        <w:t>[…]</w:t>
      </w:r>
    </w:p>
    <w:p w14:paraId="72D12315"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17. </w:t>
      </w:r>
      <w:r w:rsidRPr="00A53CD6">
        <w:rPr>
          <w:rFonts w:ascii="Verdana" w:eastAsia="Aptos" w:hAnsi="Verdana" w:cs="Times New Roman"/>
          <w:kern w:val="2"/>
          <w:sz w:val="20"/>
          <w:szCs w:val="20"/>
          <w14:ligatures w14:val="standardContextual"/>
        </w:rPr>
        <w:t>¿Debe el informe preliminar individualizar de manera concreta y suficiente cada requisito habilitante que se considere incumplido, indicando claramente qué debe subsanar o aclarar el proponente?</w:t>
      </w:r>
    </w:p>
    <w:p w14:paraId="5C3BD377"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18. </w:t>
      </w:r>
      <w:r w:rsidRPr="00A53CD6">
        <w:rPr>
          <w:rFonts w:ascii="Verdana" w:eastAsia="Aptos" w:hAnsi="Verdana" w:cs="Times New Roman"/>
          <w:kern w:val="2"/>
          <w:sz w:val="20"/>
          <w:szCs w:val="20"/>
          <w14:ligatures w14:val="standardContextual"/>
        </w:rPr>
        <w:t>¿Resulta compatible con los Documentos Tipo limitarse a expresiones genéricas que no permitan al proponente determinar exactamente qué debe subsanar?</w:t>
      </w:r>
    </w:p>
    <w:p w14:paraId="7E2C5937"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19. </w:t>
      </w:r>
      <w:r w:rsidRPr="00A53CD6">
        <w:rPr>
          <w:rFonts w:ascii="Verdana" w:eastAsia="Aptos" w:hAnsi="Verdana" w:cs="Times New Roman"/>
          <w:kern w:val="2"/>
          <w:sz w:val="20"/>
          <w:szCs w:val="20"/>
          <w14:ligatures w14:val="standardContextual"/>
        </w:rPr>
        <w:t xml:space="preserve">Cuando los Documentos Tipo ordenan publicar el informe de evaluación de los requisitos habilitantes y de los documentos a los cuales </w:t>
      </w:r>
      <w:r w:rsidRPr="00A53CD6">
        <w:rPr>
          <w:rFonts w:ascii="Verdana" w:eastAsia="Aptos" w:hAnsi="Verdana" w:cs="Times New Roman"/>
          <w:kern w:val="2"/>
          <w:sz w:val="20"/>
          <w:szCs w:val="20"/>
          <w14:ligatures w14:val="standardContextual"/>
        </w:rPr>
        <w:lastRenderedPageBreak/>
        <w:t>se les asigne puntaje diferentes de la oferta económica, ¿está obligada la entidad a evaluar ambos grupos de documentos desde el informe preliminar?</w:t>
      </w:r>
    </w:p>
    <w:p w14:paraId="06677CC8"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20. </w:t>
      </w:r>
      <w:r w:rsidRPr="00A53CD6">
        <w:rPr>
          <w:rFonts w:ascii="Verdana" w:eastAsia="Aptos" w:hAnsi="Verdana" w:cs="Times New Roman"/>
          <w:kern w:val="2"/>
          <w:sz w:val="20"/>
          <w:szCs w:val="20"/>
          <w14:ligatures w14:val="standardContextual"/>
        </w:rPr>
        <w:t>¿Puede la Entidad abstenerse de evaluar los factores de puntaje simplemente porque el proponente presenta inicialmente una condición de “no habilitado”?</w:t>
      </w:r>
    </w:p>
    <w:p w14:paraId="4B2ACA6A"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21. </w:t>
      </w:r>
      <w:r w:rsidRPr="00A53CD6">
        <w:rPr>
          <w:rFonts w:ascii="Verdana" w:eastAsia="Aptos" w:hAnsi="Verdana" w:cs="Times New Roman"/>
          <w:kern w:val="2"/>
          <w:sz w:val="20"/>
          <w:szCs w:val="20"/>
          <w14:ligatures w14:val="standardContextual"/>
        </w:rPr>
        <w:t>Aunque un documento que otorgue puntaje no pueda ser subsanado cuando ello implique mejorar la oferta, ¿puede el proponente presentar aclaraciones que no adicionen, modifiquen o mejoren el ofrecimiento originalmente presentado?</w:t>
      </w:r>
    </w:p>
    <w:p w14:paraId="43A42278"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kern w:val="2"/>
          <w:sz w:val="20"/>
          <w:szCs w:val="20"/>
          <w14:ligatures w14:val="standardContextual"/>
        </w:rPr>
        <w:t>[…]</w:t>
      </w:r>
    </w:p>
    <w:p w14:paraId="0ACB26E5"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22. </w:t>
      </w:r>
      <w:r w:rsidRPr="00A53CD6">
        <w:rPr>
          <w:rFonts w:ascii="Verdana" w:eastAsia="Aptos" w:hAnsi="Verdana" w:cs="Times New Roman"/>
          <w:kern w:val="2"/>
          <w:sz w:val="20"/>
          <w:szCs w:val="20"/>
          <w14:ligatures w14:val="standardContextual"/>
        </w:rPr>
        <w:t>¿Existen límites a la modificación reiterada del cronograma durante esta etapa?</w:t>
      </w:r>
    </w:p>
    <w:p w14:paraId="2E9FD5BE"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23. </w:t>
      </w:r>
      <w:r w:rsidRPr="00A53CD6">
        <w:rPr>
          <w:rFonts w:ascii="Verdana" w:eastAsia="Aptos" w:hAnsi="Verdana" w:cs="Times New Roman"/>
          <w:kern w:val="2"/>
          <w:sz w:val="20"/>
          <w:szCs w:val="20"/>
          <w14:ligatures w14:val="standardContextual"/>
        </w:rPr>
        <w:t>¿Sería jurídicamente procedente establecer en los Documentos Tipo términos o parámetros objetivos para consolidar el informe definitivo?</w:t>
      </w:r>
    </w:p>
    <w:p w14:paraId="44D7967E"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24. </w:t>
      </w:r>
      <w:r w:rsidRPr="00A53CD6">
        <w:rPr>
          <w:rFonts w:ascii="Verdana" w:eastAsia="Aptos" w:hAnsi="Verdana" w:cs="Times New Roman"/>
          <w:kern w:val="2"/>
          <w:sz w:val="20"/>
          <w:szCs w:val="20"/>
          <w14:ligatures w14:val="standardContextual"/>
        </w:rPr>
        <w:t>¿Qué consecuencias jurídicas deben analizarse cuando estas demoras producen cambio de vigencia, incremento del salario mínimo o alteraciones relevantes de los costos inicialmente considerados?</w:t>
      </w:r>
    </w:p>
    <w:p w14:paraId="1DB529A8"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kern w:val="2"/>
          <w:sz w:val="20"/>
          <w:szCs w:val="20"/>
          <w14:ligatures w14:val="standardContextual"/>
        </w:rPr>
        <w:t>[…]</w:t>
      </w:r>
    </w:p>
    <w:p w14:paraId="4A0BC941"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25. </w:t>
      </w:r>
      <w:r w:rsidRPr="00A53CD6">
        <w:rPr>
          <w:rFonts w:ascii="Verdana" w:eastAsia="Aptos" w:hAnsi="Verdana" w:cs="Times New Roman"/>
          <w:kern w:val="2"/>
          <w:sz w:val="20"/>
          <w:szCs w:val="20"/>
          <w14:ligatures w14:val="standardContextual"/>
        </w:rPr>
        <w:t>¿Permite el espacio de configuración de los Documentos Tipo incorporar todas estas exigencias como requisitos habilitantes?</w:t>
      </w:r>
    </w:p>
    <w:p w14:paraId="4134976F"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26. </w:t>
      </w:r>
      <w:r w:rsidRPr="00A53CD6">
        <w:rPr>
          <w:rFonts w:ascii="Verdana" w:eastAsia="Aptos" w:hAnsi="Verdana" w:cs="Times New Roman"/>
          <w:kern w:val="2"/>
          <w:sz w:val="20"/>
          <w:szCs w:val="20"/>
          <w14:ligatures w14:val="standardContextual"/>
        </w:rPr>
        <w:t>¿Puede la Entidad definir autónomamente que “nómina permanente” equivale a demostrar tres meses de vinculación laboral mediante planillas de seguridad social?</w:t>
      </w:r>
    </w:p>
    <w:p w14:paraId="19A2487B"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27. </w:t>
      </w:r>
      <w:r w:rsidRPr="00A53CD6">
        <w:rPr>
          <w:rFonts w:ascii="Verdana" w:eastAsia="Aptos" w:hAnsi="Verdana" w:cs="Times New Roman"/>
          <w:kern w:val="2"/>
          <w:sz w:val="20"/>
          <w:szCs w:val="20"/>
          <w14:ligatures w14:val="standardContextual"/>
        </w:rPr>
        <w:t>¿Puede exigir las planillas de seguridad social como condición de habilitación cuando los Documentos Tipo no las establecen expresamente?</w:t>
      </w:r>
    </w:p>
    <w:p w14:paraId="01C35148"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kern w:val="2"/>
          <w:sz w:val="20"/>
          <w:szCs w:val="20"/>
          <w14:ligatures w14:val="standardContextual"/>
        </w:rPr>
        <w:t>[…]</w:t>
      </w:r>
    </w:p>
    <w:p w14:paraId="3D11EC48"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28. </w:t>
      </w:r>
      <w:r w:rsidRPr="00A53CD6">
        <w:rPr>
          <w:rFonts w:ascii="Verdana" w:eastAsia="Aptos" w:hAnsi="Verdana" w:cs="Times New Roman"/>
          <w:kern w:val="2"/>
          <w:sz w:val="20"/>
          <w:szCs w:val="20"/>
          <w14:ligatures w14:val="standardContextual"/>
        </w:rPr>
        <w:t>¿Puede incorporarse ese porcentaje como requisito habilitante adicional dentro de un proceso sometido a Documentos Tipo?</w:t>
      </w:r>
    </w:p>
    <w:p w14:paraId="73A257AE"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29. </w:t>
      </w:r>
      <w:r w:rsidRPr="00A53CD6">
        <w:rPr>
          <w:rFonts w:ascii="Verdana" w:eastAsia="Aptos" w:hAnsi="Verdana" w:cs="Times New Roman"/>
          <w:kern w:val="2"/>
          <w:sz w:val="20"/>
          <w:szCs w:val="20"/>
          <w14:ligatures w14:val="standardContextual"/>
        </w:rPr>
        <w:t>Una cosa es que una empresa esté legalmente obligada a implementar el SG-SST y otra distinta es determinar si esa obligación debe convertirse en requisito habilitante del proceso. ¿Puede la entidad transformar una obligación legal general del empresario en un requisito habilitante adicional cuando los Documentos Tipo no lo establecen expresamente?</w:t>
      </w:r>
    </w:p>
    <w:p w14:paraId="360A90AB"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kern w:val="2"/>
          <w:sz w:val="20"/>
          <w:szCs w:val="20"/>
          <w14:ligatures w14:val="standardContextual"/>
        </w:rPr>
        <w:t>[…]</w:t>
      </w:r>
    </w:p>
    <w:p w14:paraId="4E5CBD85"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30. </w:t>
      </w:r>
      <w:r w:rsidRPr="00A53CD6">
        <w:rPr>
          <w:rFonts w:ascii="Verdana" w:eastAsia="Aptos" w:hAnsi="Verdana" w:cs="Times New Roman"/>
          <w:kern w:val="2"/>
          <w:sz w:val="20"/>
          <w:szCs w:val="20"/>
          <w14:ligatures w14:val="standardContextual"/>
        </w:rPr>
        <w:t>Sin cuestionar la importancia y obligatoriedad del cumplimiento del régimen de prevención correspondiente, ¿puede la entidad convertirlo en un documento habilitante adicional dentro de procesos sometidos a Documentos Tipo?</w:t>
      </w:r>
    </w:p>
    <w:p w14:paraId="56DF8982"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31. </w:t>
      </w:r>
      <w:r w:rsidRPr="00A53CD6">
        <w:rPr>
          <w:rFonts w:ascii="Verdana" w:eastAsia="Aptos" w:hAnsi="Verdana" w:cs="Times New Roman"/>
          <w:kern w:val="2"/>
          <w:sz w:val="20"/>
          <w:szCs w:val="20"/>
          <w14:ligatures w14:val="standardContextual"/>
        </w:rPr>
        <w:t xml:space="preserve">¿Dónde termina la facultad otorgada por el literal que permite incorporar documentos amparados en normas constitucionales, legales o </w:t>
      </w:r>
      <w:r w:rsidRPr="00A53CD6">
        <w:rPr>
          <w:rFonts w:ascii="Verdana" w:eastAsia="Aptos" w:hAnsi="Verdana" w:cs="Times New Roman"/>
          <w:kern w:val="2"/>
          <w:sz w:val="20"/>
          <w:szCs w:val="20"/>
          <w14:ligatures w14:val="standardContextual"/>
        </w:rPr>
        <w:lastRenderedPageBreak/>
        <w:t>reglamentarias y dónde comenzaría una modificación indebida de los requisitos habilitantes de los Documentos Tipo?</w:t>
      </w:r>
    </w:p>
    <w:p w14:paraId="58AB132C"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kern w:val="2"/>
          <w:sz w:val="20"/>
          <w:szCs w:val="20"/>
          <w14:ligatures w14:val="standardContextual"/>
        </w:rPr>
        <w:t>[…]</w:t>
      </w:r>
    </w:p>
    <w:p w14:paraId="360B5BBF"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32. </w:t>
      </w:r>
      <w:r w:rsidRPr="00A53CD6">
        <w:rPr>
          <w:rFonts w:ascii="Verdana" w:eastAsia="Aptos" w:hAnsi="Verdana" w:cs="Times New Roman"/>
          <w:kern w:val="2"/>
          <w:sz w:val="20"/>
          <w:szCs w:val="20"/>
          <w14:ligatures w14:val="standardContextual"/>
        </w:rPr>
        <w:t>Cuando el Documento Tipo exige acreditar “área diseñada o construida del proyecto (bajo cubierta) en metros cuadrados (m²)”, ¿puede la entidad fijar el área mínima exigida tomando como referencia la totalidad del área de localización y replanteo?</w:t>
      </w:r>
    </w:p>
    <w:p w14:paraId="6CCB8347"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33. </w:t>
      </w:r>
      <w:r w:rsidRPr="00A53CD6">
        <w:rPr>
          <w:rFonts w:ascii="Verdana" w:eastAsia="Aptos" w:hAnsi="Verdana" w:cs="Times New Roman"/>
          <w:kern w:val="2"/>
          <w:sz w:val="20"/>
          <w:szCs w:val="20"/>
          <w14:ligatures w14:val="standardContextual"/>
        </w:rPr>
        <w:t>¿Debe existir correspondencia metodológica entre la magnitud utilizada por la entidad para establecer la experiencia mínima y aquella que posteriormente se permite acreditar al proponente?</w:t>
      </w:r>
    </w:p>
    <w:p w14:paraId="56783347"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kern w:val="2"/>
          <w:sz w:val="20"/>
          <w:szCs w:val="20"/>
          <w14:ligatures w14:val="standardContextual"/>
        </w:rPr>
        <w:t>[…]</w:t>
      </w:r>
    </w:p>
    <w:p w14:paraId="5C5407A1"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34. </w:t>
      </w:r>
      <w:r w:rsidRPr="00A53CD6">
        <w:rPr>
          <w:rFonts w:ascii="Verdana" w:eastAsia="Aptos" w:hAnsi="Verdana" w:cs="Times New Roman"/>
          <w:kern w:val="2"/>
          <w:sz w:val="20"/>
          <w:szCs w:val="20"/>
          <w14:ligatures w14:val="standardContextual"/>
        </w:rPr>
        <w:t>¿Puede una regla objetiva que determina cuándo un oferente será requerido por posible precio artificialmente bajo estar contenida únicamente en el Estudio del Sector sin aparecer claramente incorporada en el Pliego de Condiciones Definitivo?</w:t>
      </w:r>
    </w:p>
    <w:p w14:paraId="1EB5875A"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35. </w:t>
      </w:r>
      <w:r w:rsidRPr="00A53CD6">
        <w:rPr>
          <w:rFonts w:ascii="Verdana" w:eastAsia="Aptos" w:hAnsi="Verdana" w:cs="Times New Roman"/>
          <w:kern w:val="2"/>
          <w:sz w:val="20"/>
          <w:szCs w:val="20"/>
          <w14:ligatures w14:val="standardContextual"/>
        </w:rPr>
        <w:t>Tratándose de una regla con consecuencias directas sobre la evaluación y eventual rechazo de la propuesta, ¿debería aparecer expresamente en el Pliego Definitivo?</w:t>
      </w:r>
    </w:p>
    <w:p w14:paraId="351655B2"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36. </w:t>
      </w:r>
      <w:r w:rsidRPr="00A53CD6">
        <w:rPr>
          <w:rFonts w:ascii="Verdana" w:eastAsia="Aptos" w:hAnsi="Verdana" w:cs="Times New Roman"/>
          <w:kern w:val="2"/>
          <w:sz w:val="20"/>
          <w:szCs w:val="20"/>
          <w14:ligatures w14:val="standardContextual"/>
        </w:rPr>
        <w:t>¿Puede el Estudio del Sector complementar los Documentos Tipo hasta el punto de crear una regla de evaluación no establecida expresamente en ellos?</w:t>
      </w:r>
    </w:p>
    <w:p w14:paraId="34E26AE0"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kern w:val="2"/>
          <w:sz w:val="20"/>
          <w:szCs w:val="20"/>
          <w14:ligatures w14:val="standardContextual"/>
        </w:rPr>
        <w:t>[…]</w:t>
      </w:r>
    </w:p>
    <w:p w14:paraId="6D2AEBB7"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37. </w:t>
      </w:r>
      <w:r w:rsidRPr="00A53CD6">
        <w:rPr>
          <w:rFonts w:ascii="Verdana" w:eastAsia="Aptos" w:hAnsi="Verdana" w:cs="Times New Roman"/>
          <w:kern w:val="2"/>
          <w:sz w:val="20"/>
          <w:szCs w:val="20"/>
          <w14:ligatures w14:val="standardContextual"/>
        </w:rPr>
        <w:t>¿Debe establecerse un término mínimo uniforme para que el oferente requerido explique sus precios?</w:t>
      </w:r>
    </w:p>
    <w:p w14:paraId="22A1AB3E"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38. </w:t>
      </w:r>
      <w:r w:rsidRPr="00A53CD6">
        <w:rPr>
          <w:rFonts w:ascii="Verdana" w:eastAsia="Aptos" w:hAnsi="Verdana" w:cs="Times New Roman"/>
          <w:kern w:val="2"/>
          <w:sz w:val="20"/>
          <w:szCs w:val="20"/>
          <w14:ligatures w14:val="standardContextual"/>
        </w:rPr>
        <w:t>¿Puede cada entidad otorgar libremente términos sustancialmente diferentes para esta actuación?</w:t>
      </w:r>
    </w:p>
    <w:p w14:paraId="2F33223F"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39. </w:t>
      </w:r>
      <w:r w:rsidRPr="00A53CD6">
        <w:rPr>
          <w:rFonts w:ascii="Verdana" w:eastAsia="Aptos" w:hAnsi="Verdana" w:cs="Times New Roman"/>
          <w:kern w:val="2"/>
          <w:sz w:val="20"/>
          <w:szCs w:val="20"/>
          <w14:ligatures w14:val="standardContextual"/>
        </w:rPr>
        <w:t>¿El requerimiento formulado al oferente, su respuesta y los documentos aportados para justificar los precios deben hacerse públicos, salvo información legalmente reservada?</w:t>
      </w:r>
    </w:p>
    <w:p w14:paraId="57B5919E"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40. </w:t>
      </w:r>
      <w:r w:rsidRPr="00A53CD6">
        <w:rPr>
          <w:rFonts w:ascii="Verdana" w:eastAsia="Aptos" w:hAnsi="Verdana" w:cs="Times New Roman"/>
          <w:kern w:val="2"/>
          <w:sz w:val="20"/>
          <w:szCs w:val="20"/>
          <w14:ligatures w14:val="standardContextual"/>
        </w:rPr>
        <w:t>¿Los demás proponentes tienen derecho a conocer qué oferentes fueron requeridos, quiénes contestaron oportunamente y cuáles fueron las explicaciones presentadas?</w:t>
      </w:r>
    </w:p>
    <w:p w14:paraId="6BA04638"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41. </w:t>
      </w:r>
      <w:r w:rsidRPr="00A53CD6">
        <w:rPr>
          <w:rFonts w:ascii="Verdana" w:eastAsia="Aptos" w:hAnsi="Verdana" w:cs="Times New Roman"/>
          <w:kern w:val="2"/>
          <w:sz w:val="20"/>
          <w:szCs w:val="20"/>
          <w14:ligatures w14:val="standardContextual"/>
        </w:rPr>
        <w:t>¿Debe quedar registrada la fecha y hora del requerimiento y de la respuesta para permitir verificar que esta última fue presentada oportunamente?</w:t>
      </w:r>
    </w:p>
    <w:p w14:paraId="7EB2BACA"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42. </w:t>
      </w:r>
      <w:r w:rsidRPr="00A53CD6">
        <w:rPr>
          <w:rFonts w:ascii="Verdana" w:eastAsia="Aptos" w:hAnsi="Verdana" w:cs="Times New Roman"/>
          <w:kern w:val="2"/>
          <w:sz w:val="20"/>
          <w:szCs w:val="20"/>
          <w14:ligatures w14:val="standardContextual"/>
        </w:rPr>
        <w:t>¿Es suficiente que la entidad manifieste simplemente “se acepta la explicación” o “no se acepta la explicación”?</w:t>
      </w:r>
    </w:p>
    <w:p w14:paraId="29B4DF87"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43. </w:t>
      </w:r>
      <w:r w:rsidRPr="00A53CD6">
        <w:rPr>
          <w:rFonts w:ascii="Verdana" w:eastAsia="Aptos" w:hAnsi="Verdana" w:cs="Times New Roman"/>
          <w:kern w:val="2"/>
          <w:sz w:val="20"/>
          <w:szCs w:val="20"/>
          <w14:ligatures w14:val="standardContextual"/>
        </w:rPr>
        <w:t>¿Debe el comité evaluador realizar un análisis individual y motivado de cada explicación, confrontándola con las circunstancias objetivas del oferente, su estructura de costos y el riesgo para la correcta ejecución contractual?</w:t>
      </w:r>
    </w:p>
    <w:p w14:paraId="1AF01988"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kern w:val="2"/>
          <w:sz w:val="20"/>
          <w:szCs w:val="20"/>
          <w14:ligatures w14:val="standardContextual"/>
        </w:rPr>
        <w:t>[…]</w:t>
      </w:r>
    </w:p>
    <w:p w14:paraId="081047EF"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lastRenderedPageBreak/>
        <w:t xml:space="preserve">44. </w:t>
      </w:r>
      <w:r w:rsidRPr="00A53CD6">
        <w:rPr>
          <w:rFonts w:ascii="Verdana" w:eastAsia="Aptos" w:hAnsi="Verdana" w:cs="Times New Roman"/>
          <w:kern w:val="2"/>
          <w:sz w:val="20"/>
          <w:szCs w:val="20"/>
          <w14:ligatures w14:val="standardContextual"/>
        </w:rPr>
        <w:t>¿Cuál debe ser exactamente la secuencia de actuaciones entre: i) apertura de sobres económicos; ii) correcciones aritméticas; iii) identificación de ofertas artificialmente bajas; iv) requerimientos; v) decisión respecto de las justificaciones; vi) determinación de las ofertas válidas; y vii) aplicación de la fórmula económica?</w:t>
      </w:r>
    </w:p>
    <w:p w14:paraId="73A440E9"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45. </w:t>
      </w:r>
      <w:r w:rsidRPr="00A53CD6">
        <w:rPr>
          <w:rFonts w:ascii="Verdana" w:eastAsia="Aptos" w:hAnsi="Verdana" w:cs="Times New Roman"/>
          <w:kern w:val="2"/>
          <w:sz w:val="20"/>
          <w:szCs w:val="20"/>
          <w14:ligatures w14:val="standardContextual"/>
        </w:rPr>
        <w:t>¿Las correcciones aritméticas y el procedimiento de precios artificialmente bajos deben quedar completamente resueltos antes de aplicar la fórmula de ponderación?</w:t>
      </w:r>
    </w:p>
    <w:p w14:paraId="7F5B2779"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46. </w:t>
      </w:r>
      <w:r w:rsidRPr="00A53CD6">
        <w:rPr>
          <w:rFonts w:ascii="Verdana" w:eastAsia="Aptos" w:hAnsi="Verdana" w:cs="Times New Roman"/>
          <w:kern w:val="2"/>
          <w:sz w:val="20"/>
          <w:szCs w:val="20"/>
          <w14:ligatures w14:val="standardContextual"/>
        </w:rPr>
        <w:t>Si la audiencia se suspende después de abrir las ofertas económicas, ¿cuál es exactamente la TRM que debe utilizarse?</w:t>
      </w:r>
    </w:p>
    <w:p w14:paraId="67063E52"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47. </w:t>
      </w:r>
      <w:r w:rsidRPr="00A53CD6">
        <w:rPr>
          <w:rFonts w:ascii="Verdana" w:eastAsia="Aptos" w:hAnsi="Verdana" w:cs="Times New Roman"/>
          <w:kern w:val="2"/>
          <w:sz w:val="20"/>
          <w:szCs w:val="20"/>
          <w14:ligatures w14:val="standardContextual"/>
        </w:rPr>
        <w:t>¿Puede cambiar la TRM por el simple hecho de suspender y reanudar la audiencia después de haberse realizado efectivamente la apertura económica?</w:t>
      </w:r>
    </w:p>
    <w:p w14:paraId="7591C93F"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48. </w:t>
      </w:r>
      <w:r w:rsidRPr="00A53CD6">
        <w:rPr>
          <w:rFonts w:ascii="Verdana" w:eastAsia="Aptos" w:hAnsi="Verdana" w:cs="Times New Roman"/>
          <w:kern w:val="2"/>
          <w:sz w:val="20"/>
          <w:szCs w:val="20"/>
          <w14:ligatures w14:val="standardContextual"/>
        </w:rPr>
        <w:t>¿Debe entenderse que, una vez determinado válidamente el método de ponderación conforme a la TRM correspondiente, este permanece invariable aunque posteriormente deba suspenderse la audiencia para analizar correcciones o precios artificialmente bajos?</w:t>
      </w:r>
    </w:p>
    <w:p w14:paraId="74E26095"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49. </w:t>
      </w:r>
      <w:r w:rsidRPr="00A53CD6">
        <w:rPr>
          <w:rFonts w:ascii="Verdana" w:eastAsia="Aptos" w:hAnsi="Verdana" w:cs="Times New Roman"/>
          <w:kern w:val="2"/>
          <w:sz w:val="20"/>
          <w:szCs w:val="20"/>
          <w14:ligatures w14:val="standardContextual"/>
        </w:rPr>
        <w:t>¿Considera la Agencia necesario armonizar expresamente esta regla en todos los Documentos Tipo para evitar interpretaciones diferentes entre sectores?</w:t>
      </w:r>
    </w:p>
    <w:p w14:paraId="2BA02725"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kern w:val="2"/>
          <w:sz w:val="20"/>
          <w:szCs w:val="20"/>
          <w14:ligatures w14:val="standardContextual"/>
        </w:rPr>
        <w:t>[…]</w:t>
      </w:r>
    </w:p>
    <w:p w14:paraId="3A0A8963"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50. </w:t>
      </w:r>
      <w:r w:rsidRPr="00A53CD6">
        <w:rPr>
          <w:rFonts w:ascii="Verdana" w:eastAsia="Aptos" w:hAnsi="Verdana" w:cs="Times New Roman"/>
          <w:kern w:val="2"/>
          <w:sz w:val="20"/>
          <w:szCs w:val="20"/>
          <w14:ligatures w14:val="standardContextual"/>
        </w:rPr>
        <w:t>¿La entidad está obligada a publicar los Formatos 12A y 12B previamente configurados para el proceso, eliminando o identificando claramente las alternativas que no resultan aplicables?</w:t>
      </w:r>
    </w:p>
    <w:p w14:paraId="414577BA"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51. </w:t>
      </w:r>
      <w:r w:rsidRPr="00A53CD6">
        <w:rPr>
          <w:rFonts w:ascii="Verdana" w:eastAsia="Aptos" w:hAnsi="Verdana" w:cs="Times New Roman"/>
          <w:kern w:val="2"/>
          <w:sz w:val="20"/>
          <w:szCs w:val="20"/>
          <w14:ligatures w14:val="standardContextual"/>
        </w:rPr>
        <w:t>¿Puede trasladarse al proponente la responsabilidad de determinar cuáles opciones debía eliminar o seleccionar previamente la entidad?</w:t>
      </w:r>
    </w:p>
    <w:p w14:paraId="210EEF77"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52. </w:t>
      </w:r>
      <w:r w:rsidRPr="00A53CD6">
        <w:rPr>
          <w:rFonts w:ascii="Verdana" w:eastAsia="Aptos" w:hAnsi="Verdana" w:cs="Times New Roman"/>
          <w:kern w:val="2"/>
          <w:sz w:val="20"/>
          <w:szCs w:val="20"/>
          <w14:ligatures w14:val="standardContextual"/>
        </w:rPr>
        <w:t>Cuando la falta de configuración del formato produce ambigüedad, ¿puede dicha ambigüedad posteriormente utilizarse en contra del proponente?</w:t>
      </w:r>
    </w:p>
    <w:p w14:paraId="55057A5A"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kern w:val="2"/>
          <w:sz w:val="20"/>
          <w:szCs w:val="20"/>
          <w14:ligatures w14:val="standardContextual"/>
        </w:rPr>
        <w:t>[…]</w:t>
      </w:r>
    </w:p>
    <w:p w14:paraId="4E33AB88"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53. </w:t>
      </w:r>
      <w:r w:rsidRPr="00A53CD6">
        <w:rPr>
          <w:rFonts w:ascii="Verdana" w:eastAsia="Aptos" w:hAnsi="Verdana" w:cs="Times New Roman"/>
          <w:kern w:val="2"/>
          <w:sz w:val="20"/>
          <w:szCs w:val="20"/>
          <w14:ligatures w14:val="standardContextual"/>
        </w:rPr>
        <w:t>Cuando una persona jurídica está legal o estatutariamente obligada a tener revisor fiscal y efectivamente cuenta con este, ¿quién debe suscribir la certificación correspondiente al Formato 8?</w:t>
      </w:r>
    </w:p>
    <w:p w14:paraId="2F485C45"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54. </w:t>
      </w:r>
      <w:r w:rsidRPr="00A53CD6">
        <w:rPr>
          <w:rFonts w:ascii="Verdana" w:eastAsia="Aptos" w:hAnsi="Verdana" w:cs="Times New Roman"/>
          <w:kern w:val="2"/>
          <w:sz w:val="20"/>
          <w:szCs w:val="20"/>
          <w14:ligatures w14:val="standardContextual"/>
        </w:rPr>
        <w:t>¿Puede considerarse válidamente acreditado el requisito mediante la sola firma del representante legal cuando existe revisor fiscal?</w:t>
      </w:r>
    </w:p>
    <w:p w14:paraId="06089112"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55. </w:t>
      </w:r>
      <w:r w:rsidRPr="00A53CD6">
        <w:rPr>
          <w:rFonts w:ascii="Verdana" w:eastAsia="Aptos" w:hAnsi="Verdana" w:cs="Times New Roman"/>
          <w:kern w:val="2"/>
          <w:sz w:val="20"/>
          <w:szCs w:val="20"/>
          <w14:ligatures w14:val="standardContextual"/>
        </w:rPr>
        <w:t>¿Cuál debe ser la interpretación de las expresiones alternativas contenidas en el Formato 8 y sería conveniente incorporarla expresamente dentro del propio formato?</w:t>
      </w:r>
    </w:p>
    <w:p w14:paraId="11B21664"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kern w:val="2"/>
          <w:sz w:val="20"/>
          <w:szCs w:val="20"/>
          <w14:ligatures w14:val="standardContextual"/>
        </w:rPr>
        <w:t>[…]</w:t>
      </w:r>
    </w:p>
    <w:p w14:paraId="7811AC4D"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56. </w:t>
      </w:r>
      <w:r w:rsidRPr="00A53CD6">
        <w:rPr>
          <w:rFonts w:ascii="Verdana" w:eastAsia="Aptos" w:hAnsi="Verdana" w:cs="Times New Roman"/>
          <w:kern w:val="2"/>
          <w:sz w:val="20"/>
          <w:szCs w:val="20"/>
          <w14:ligatures w14:val="standardContextual"/>
        </w:rPr>
        <w:t>¿Debe garantizarse la publicidad de esta actuación dentro de SECOP?</w:t>
      </w:r>
    </w:p>
    <w:p w14:paraId="590C0C18"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57. </w:t>
      </w:r>
      <w:r w:rsidRPr="00A53CD6">
        <w:rPr>
          <w:rFonts w:ascii="Verdana" w:eastAsia="Aptos" w:hAnsi="Verdana" w:cs="Times New Roman"/>
          <w:kern w:val="2"/>
          <w:sz w:val="20"/>
          <w:szCs w:val="20"/>
          <w14:ligatures w14:val="standardContextual"/>
        </w:rPr>
        <w:t>¿Las explicaciones y soportes del oferente requerido forman parte del expediente público del proceso, salvo las excepciones legales de reserva?</w:t>
      </w:r>
    </w:p>
    <w:p w14:paraId="3E38D3CE"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lastRenderedPageBreak/>
        <w:t xml:space="preserve">58. </w:t>
      </w:r>
      <w:r w:rsidRPr="00A53CD6">
        <w:rPr>
          <w:rFonts w:ascii="Verdana" w:eastAsia="Aptos" w:hAnsi="Verdana" w:cs="Times New Roman"/>
          <w:kern w:val="2"/>
          <w:sz w:val="20"/>
          <w:szCs w:val="20"/>
          <w14:ligatures w14:val="standardContextual"/>
        </w:rPr>
        <w:t>¿La decisión del comité debe contener motivación individual y verificable frente a cada oferente requerido?</w:t>
      </w:r>
    </w:p>
    <w:p w14:paraId="25224C92"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59. </w:t>
      </w:r>
      <w:r w:rsidRPr="00A53CD6">
        <w:rPr>
          <w:rFonts w:ascii="Verdana" w:eastAsia="Aptos" w:hAnsi="Verdana" w:cs="Times New Roman"/>
          <w:kern w:val="2"/>
          <w:sz w:val="20"/>
          <w:szCs w:val="20"/>
          <w14:ligatures w14:val="standardContextual"/>
        </w:rPr>
        <w:t>¿Debe permitirse a los demás participantes formular observaciones frente a dichas explicaciones antes de la decisión definitiva cuando la estructura y oportunidad del procedimiento lo permita?</w:t>
      </w:r>
    </w:p>
    <w:p w14:paraId="2FE04280"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60. </w:t>
      </w:r>
      <w:r w:rsidRPr="00A53CD6">
        <w:rPr>
          <w:rFonts w:ascii="Verdana" w:eastAsia="Aptos" w:hAnsi="Verdana" w:cs="Times New Roman"/>
          <w:kern w:val="2"/>
          <w:sz w:val="20"/>
          <w:szCs w:val="20"/>
          <w14:ligatures w14:val="standardContextual"/>
        </w:rPr>
        <w:t>¿Considera la Agencia necesario incorporar expresamente en los Documentos Tipo reglas de publicidad, término y motivación para esta etapa?</w:t>
      </w:r>
    </w:p>
    <w:p w14:paraId="4963EA96"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kern w:val="2"/>
          <w:sz w:val="20"/>
          <w:szCs w:val="20"/>
          <w14:ligatures w14:val="standardContextual"/>
        </w:rPr>
        <w:t>[…]</w:t>
      </w:r>
    </w:p>
    <w:p w14:paraId="192B5E47"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61. </w:t>
      </w:r>
      <w:r w:rsidRPr="00A53CD6">
        <w:rPr>
          <w:rFonts w:ascii="Verdana" w:eastAsia="Aptos" w:hAnsi="Verdana" w:cs="Times New Roman"/>
          <w:kern w:val="2"/>
          <w:sz w:val="20"/>
          <w:szCs w:val="20"/>
          <w14:ligatures w14:val="standardContextual"/>
        </w:rPr>
        <w:t>¿Cuál fue la finalidad técnica y jurídica de establecer como momento de referencia para determinar la TRM la finalización del período de traslado del informe de evaluación y no un momento posterior en el cual se encuentren consolidadas las ofertas que continúan válidas?</w:t>
      </w:r>
    </w:p>
    <w:p w14:paraId="2FCC7ED8"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62. </w:t>
      </w:r>
      <w:r w:rsidRPr="00A53CD6">
        <w:rPr>
          <w:rFonts w:ascii="Verdana" w:eastAsia="Aptos" w:hAnsi="Verdana" w:cs="Times New Roman"/>
          <w:kern w:val="2"/>
          <w:sz w:val="20"/>
          <w:szCs w:val="20"/>
          <w14:ligatures w14:val="standardContextual"/>
        </w:rPr>
        <w:t>¿La finalización del término de traslado del informe preliminar debe entenderse como el cierre definitivo de las actuaciones de subsanación y aclaración que puedan incidir en la habilitación de las ofertas?</w:t>
      </w:r>
    </w:p>
    <w:p w14:paraId="532AEF06"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63. </w:t>
      </w:r>
      <w:r w:rsidRPr="00A53CD6">
        <w:rPr>
          <w:rFonts w:ascii="Verdana" w:eastAsia="Aptos" w:hAnsi="Verdana" w:cs="Times New Roman"/>
          <w:kern w:val="2"/>
          <w:sz w:val="20"/>
          <w:szCs w:val="20"/>
          <w14:ligatures w14:val="standardContextual"/>
        </w:rPr>
        <w:t>Si terminado el traslado la Entidad continúa analizando subsanaciones, aclaraciones y observaciones y todavía no ha definido definitivamente cuáles propuestas son válidas, ¿resulta jurídicamente adecuado mantener como TRM aplicable la determinada con fundamento exclusivamente en la fecha de terminación del traslado?</w:t>
      </w:r>
    </w:p>
    <w:p w14:paraId="312088C1"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64. </w:t>
      </w:r>
      <w:r w:rsidRPr="00A53CD6">
        <w:rPr>
          <w:rFonts w:ascii="Verdana" w:eastAsia="Aptos" w:hAnsi="Verdana" w:cs="Times New Roman"/>
          <w:kern w:val="2"/>
          <w:sz w:val="20"/>
          <w:szCs w:val="20"/>
          <w14:ligatures w14:val="standardContextual"/>
        </w:rPr>
        <w:t>¿Qué sucede cuando, después de conocida la TRM y por consiguiente conocido el método de ponderación, la Entidad modifica la condición de uno o varios proponentes como consecuencia del análisis de subsanaciones, aclaraciones u observaciones?</w:t>
      </w:r>
    </w:p>
    <w:p w14:paraId="482B2A35"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65. </w:t>
      </w:r>
      <w:r w:rsidRPr="00A53CD6">
        <w:rPr>
          <w:rFonts w:ascii="Verdana" w:eastAsia="Aptos" w:hAnsi="Verdana" w:cs="Times New Roman"/>
          <w:kern w:val="2"/>
          <w:sz w:val="20"/>
          <w:szCs w:val="20"/>
          <w14:ligatures w14:val="standardContextual"/>
        </w:rPr>
        <w:t>¿Qué regla debe aplicarse cuando después de terminado el traslado la Entidad formula un nuevo requerimiento de subsanación o aclaración a uno o varios proponentes?</w:t>
      </w:r>
    </w:p>
    <w:p w14:paraId="3AFF01C8"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66. </w:t>
      </w:r>
      <w:r w:rsidRPr="00A53CD6">
        <w:rPr>
          <w:rFonts w:ascii="Verdana" w:eastAsia="Aptos" w:hAnsi="Verdana" w:cs="Times New Roman"/>
          <w:kern w:val="2"/>
          <w:sz w:val="20"/>
          <w:szCs w:val="20"/>
          <w14:ligatures w14:val="standardContextual"/>
        </w:rPr>
        <w:t>En ese supuesto, ¿debe desplazarse la fecha de determinación de la TRM hasta el segundo día hábil posterior al vencimiento del nuevo término concedido?</w:t>
      </w:r>
    </w:p>
    <w:p w14:paraId="63F416EB" w14:textId="77777777" w:rsidR="00A53CD6" w:rsidRPr="00A53CD6" w:rsidRDefault="00A53CD6" w:rsidP="00A53CD6">
      <w:pPr>
        <w:suppressAutoHyphens/>
        <w:spacing w:after="0" w:line="240" w:lineRule="auto"/>
        <w:ind w:left="709" w:right="709"/>
        <w:jc w:val="both"/>
        <w:rPr>
          <w:rFonts w:ascii="Verdana" w:eastAsia="Aptos" w:hAnsi="Verdana" w:cs="Times New Roman"/>
          <w:kern w:val="2"/>
          <w:sz w:val="20"/>
          <w:szCs w:val="20"/>
          <w14:ligatures w14:val="standardContextual"/>
        </w:rPr>
      </w:pPr>
      <w:r w:rsidRPr="00A53CD6">
        <w:rPr>
          <w:rFonts w:ascii="Verdana" w:eastAsia="Aptos" w:hAnsi="Verdana" w:cs="Times New Roman"/>
          <w:b/>
          <w:bCs/>
          <w:kern w:val="2"/>
          <w:sz w:val="20"/>
          <w:szCs w:val="20"/>
          <w14:ligatures w14:val="standardContextual"/>
        </w:rPr>
        <w:t xml:space="preserve">67. </w:t>
      </w:r>
      <w:r w:rsidRPr="00A53CD6">
        <w:rPr>
          <w:rFonts w:ascii="Verdana" w:eastAsia="Aptos" w:hAnsi="Verdana" w:cs="Times New Roman"/>
          <w:kern w:val="2"/>
          <w:sz w:val="20"/>
          <w:szCs w:val="20"/>
          <w14:ligatures w14:val="standardContextual"/>
        </w:rPr>
        <w:t>¿Debe aplicarse dicha regla solamente cuando existe un requerimiento formal posterior o también cuando, sin formular un nuevo requerimiento, la Entidad continúa estudiando las subsanaciones, aclaraciones y observaciones oportunamente presentadas y todavía no ha determinado definitivamente cuáles ofertas son válidas?”</w:t>
      </w:r>
    </w:p>
    <w:p w14:paraId="2620173B" w14:textId="77777777" w:rsidR="00A53CD6" w:rsidRPr="00A53CD6" w:rsidRDefault="00A53CD6" w:rsidP="00A53CD6">
      <w:pPr>
        <w:suppressAutoHyphens/>
        <w:spacing w:after="0" w:line="276" w:lineRule="auto"/>
        <w:jc w:val="both"/>
        <w:rPr>
          <w:rFonts w:ascii="Verdana" w:eastAsia="Calibri" w:hAnsi="Verdana" w:cs="Arial"/>
          <w:lang w:val="es-ES" w:eastAsia="es-ES"/>
        </w:rPr>
      </w:pPr>
    </w:p>
    <w:p w14:paraId="3827EE74" w14:textId="77777777" w:rsidR="00A53CD6" w:rsidRPr="00A53CD6" w:rsidRDefault="00A53CD6" w:rsidP="00A53CD6">
      <w:pPr>
        <w:suppressAutoHyphens/>
        <w:spacing w:after="120" w:line="276" w:lineRule="auto"/>
        <w:ind w:firstLine="709"/>
        <w:jc w:val="both"/>
        <w:rPr>
          <w:rFonts w:ascii="Verdana" w:eastAsia="Calibri" w:hAnsi="Verdana" w:cs="Arial"/>
          <w:color w:val="000000"/>
          <w:lang w:val="es-ES" w:eastAsia="es-ES"/>
        </w:rPr>
      </w:pPr>
      <w:r w:rsidRPr="00A53CD6">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w:t>
      </w:r>
      <w:r w:rsidRPr="00A53CD6">
        <w:rPr>
          <w:rFonts w:ascii="Verdana" w:eastAsia="Calibri" w:hAnsi="Verdana" w:cs="Arial"/>
          <w:color w:val="000000"/>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EF39E92" w14:textId="77777777" w:rsidR="00A53CD6" w:rsidRPr="00A53CD6" w:rsidRDefault="00A53CD6" w:rsidP="00A53CD6">
      <w:pPr>
        <w:suppressAutoHyphens/>
        <w:spacing w:after="0" w:line="276" w:lineRule="auto"/>
        <w:ind w:firstLine="709"/>
        <w:jc w:val="both"/>
        <w:rPr>
          <w:rFonts w:ascii="Verdana" w:eastAsia="Calibri" w:hAnsi="Verdana" w:cs="Arial"/>
          <w:color w:val="000000"/>
          <w:lang w:val="es-ES" w:eastAsia="es-ES"/>
        </w:rPr>
      </w:pPr>
      <w:r w:rsidRPr="00A53CD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A53CD6">
        <w:rPr>
          <w:rFonts w:ascii="Verdana" w:eastAsia="Calibri" w:hAnsi="Verdana" w:cs="Arial"/>
          <w:color w:val="7030A0"/>
          <w:lang w:val="es-ES" w:eastAsia="es-ES"/>
        </w:rPr>
        <w:t xml:space="preserve"> </w:t>
      </w:r>
      <w:r w:rsidRPr="00A53CD6">
        <w:rPr>
          <w:rFonts w:ascii="Verdana" w:eastAsia="Calibri" w:hAnsi="Verdana" w:cs="Arial"/>
          <w:color w:val="000000"/>
          <w:lang w:val="es-ES" w:eastAsia="es-ES"/>
        </w:rPr>
        <w:t>problema</w:t>
      </w:r>
      <w:r w:rsidRPr="00A53CD6">
        <w:rPr>
          <w:rFonts w:ascii="Verdana" w:eastAsia="Calibri" w:hAnsi="Verdana" w:cs="Arial"/>
          <w:color w:val="7030A0"/>
          <w:lang w:val="es-ES" w:eastAsia="es-ES"/>
        </w:rPr>
        <w:t xml:space="preserve"> </w:t>
      </w:r>
      <w:r w:rsidRPr="00A53CD6">
        <w:rPr>
          <w:rFonts w:ascii="Verdana" w:eastAsia="Calibri" w:hAnsi="Verdana" w:cs="Arial"/>
          <w:color w:val="000000"/>
          <w:lang w:val="es-ES" w:eastAsia="es-ES"/>
        </w:rPr>
        <w:t>jurídico</w:t>
      </w:r>
      <w:r w:rsidRPr="00A53CD6">
        <w:rPr>
          <w:rFonts w:ascii="Verdana" w:eastAsia="Calibri" w:hAnsi="Verdana" w:cs="Arial"/>
          <w:color w:val="7030A0"/>
          <w:lang w:val="es-ES" w:eastAsia="es-ES"/>
        </w:rPr>
        <w:t xml:space="preserve"> </w:t>
      </w:r>
      <w:r w:rsidRPr="00A53CD6">
        <w:rPr>
          <w:rFonts w:ascii="Verdana" w:eastAsia="Calibri" w:hAnsi="Verdana" w:cs="Arial"/>
          <w:color w:val="000000"/>
          <w:lang w:val="es-ES" w:eastAsia="es-ES"/>
        </w:rPr>
        <w:t xml:space="preserve">de su consulta. </w:t>
      </w:r>
    </w:p>
    <w:p w14:paraId="13173D5B" w14:textId="77777777" w:rsidR="00A53CD6" w:rsidRPr="00A53CD6" w:rsidRDefault="00A53CD6" w:rsidP="00A53CD6">
      <w:pPr>
        <w:tabs>
          <w:tab w:val="left" w:pos="142"/>
          <w:tab w:val="left" w:pos="284"/>
        </w:tabs>
        <w:suppressAutoHyphens/>
        <w:spacing w:after="0" w:line="276" w:lineRule="auto"/>
        <w:contextualSpacing/>
        <w:jc w:val="both"/>
        <w:rPr>
          <w:rFonts w:ascii="Verdana" w:eastAsia="Century Gothic" w:hAnsi="Verdana" w:cs="Century Gothic"/>
          <w:b/>
          <w:bCs/>
          <w:lang w:val="es-ES"/>
        </w:rPr>
      </w:pPr>
    </w:p>
    <w:p w14:paraId="7D997856" w14:textId="77777777" w:rsidR="00A53CD6" w:rsidRPr="00A53CD6" w:rsidRDefault="00A53CD6" w:rsidP="00A53CD6">
      <w:pPr>
        <w:tabs>
          <w:tab w:val="left" w:pos="142"/>
          <w:tab w:val="left" w:pos="284"/>
        </w:tabs>
        <w:suppressAutoHyphens/>
        <w:spacing w:after="0" w:line="276" w:lineRule="auto"/>
        <w:contextualSpacing/>
        <w:jc w:val="both"/>
        <w:rPr>
          <w:rFonts w:ascii="Verdana" w:eastAsia="Century Gothic" w:hAnsi="Verdana" w:cs="Century Gothic"/>
          <w:b/>
          <w:bCs/>
          <w:lang w:val="es-ES"/>
        </w:rPr>
      </w:pPr>
      <w:r w:rsidRPr="00A53CD6">
        <w:rPr>
          <w:rFonts w:ascii="Verdana" w:eastAsia="Century Gothic" w:hAnsi="Verdana" w:cs="Century Gothic"/>
          <w:b/>
          <w:bCs/>
          <w:lang w:val="es-ES"/>
        </w:rPr>
        <w:t>1. Problema planteado:</w:t>
      </w:r>
    </w:p>
    <w:p w14:paraId="03AA88DC" w14:textId="77777777" w:rsidR="00A53CD6" w:rsidRPr="00A53CD6" w:rsidRDefault="00A53CD6" w:rsidP="00A53CD6">
      <w:pPr>
        <w:tabs>
          <w:tab w:val="left" w:pos="426"/>
        </w:tabs>
        <w:suppressAutoHyphens/>
        <w:spacing w:after="0" w:line="276" w:lineRule="auto"/>
        <w:jc w:val="both"/>
        <w:rPr>
          <w:rFonts w:ascii="Verdana" w:eastAsia="Century Gothic" w:hAnsi="Verdana" w:cs="Century Gothic"/>
          <w:lang w:val="es-ES"/>
        </w:rPr>
      </w:pPr>
    </w:p>
    <w:p w14:paraId="40511EF0" w14:textId="77777777" w:rsidR="00A53CD6" w:rsidRPr="00A53CD6" w:rsidRDefault="00A53CD6" w:rsidP="00A53CD6">
      <w:pPr>
        <w:suppressAutoHyphens/>
        <w:spacing w:after="0" w:line="276" w:lineRule="auto"/>
        <w:jc w:val="both"/>
        <w:rPr>
          <w:rFonts w:ascii="Verdana" w:eastAsia="Calibri" w:hAnsi="Verdana" w:cs="Arial"/>
          <w:bCs/>
          <w:lang w:val="es-ES_tradnl" w:eastAsia="es-ES_tradnl"/>
        </w:rPr>
      </w:pPr>
      <w:r w:rsidRPr="00A53CD6">
        <w:rPr>
          <w:rFonts w:ascii="Verdana" w:eastAsia="Century Gothic" w:hAnsi="Verdana" w:cs="Century Gothic"/>
        </w:rPr>
        <w:t xml:space="preserve">De acuerdo con el contenido de su solicitud, esta Agencia resolverá los siguientes problemas jurídicos: i) ¿Cuál es el alcance de la obligatoriedad y de la regla de inalterabilidad de los Documentos Tipo, y qué margen tiene la entidad estatal para configurar los requisitos habilitantes, la experiencia y los formatos del proceso?; ii) ¿Qué reglas rigen el cronograma del proceso, su modificación, la modalidad de las audiencias y la publicación de las ofertas en los procesos adelantados con Documentos Tipo?; iii) ¿Qué reglas rigen la evaluación de las ofertas en cuanto a su plazo, el contenido del informe de evaluación y la posibilidad de subsanar o aclarar?, y iv) ¿Cómo deben identificarse y tramitarse las ofertas con precio artificialmente bajo, y en qué momento se determina el método de ponderación de la oferta económica? </w:t>
      </w:r>
      <w:r w:rsidRPr="00A53CD6">
        <w:rPr>
          <w:rFonts w:ascii="Verdana" w:eastAsia="Calibri" w:hAnsi="Verdana" w:cs="Arial"/>
          <w:bCs/>
          <w:lang w:val="es-ES_tradnl" w:eastAsia="es-ES_tradnl"/>
        </w:rPr>
        <w:t xml:space="preserve"> </w:t>
      </w:r>
    </w:p>
    <w:p w14:paraId="031CADD0" w14:textId="77777777" w:rsidR="00A53CD6" w:rsidRPr="00A53CD6" w:rsidRDefault="00A53CD6" w:rsidP="00A53CD6">
      <w:pPr>
        <w:suppressAutoHyphens/>
        <w:spacing w:after="0" w:line="276" w:lineRule="auto"/>
        <w:jc w:val="both"/>
        <w:rPr>
          <w:rFonts w:ascii="Verdana" w:eastAsia="Calibri" w:hAnsi="Verdana" w:cs="Arial"/>
          <w:bCs/>
          <w:lang w:val="es-ES_tradnl" w:eastAsia="es-ES_tradnl"/>
        </w:rPr>
      </w:pPr>
      <w:r w:rsidRPr="00A53CD6">
        <w:rPr>
          <w:rFonts w:ascii="Verdana" w:eastAsia="Century Gothic" w:hAnsi="Verdana" w:cs="Century Gothic"/>
        </w:rPr>
        <w:t xml:space="preserve"> </w:t>
      </w:r>
      <w:r w:rsidRPr="00A53CD6">
        <w:rPr>
          <w:rFonts w:ascii="Verdana" w:eastAsia="Calibri" w:hAnsi="Verdana" w:cs="Arial"/>
          <w:bCs/>
          <w:lang w:val="es-ES_tradnl" w:eastAsia="es-ES_tradnl"/>
        </w:rPr>
        <w:t xml:space="preserve"> </w:t>
      </w:r>
    </w:p>
    <w:p w14:paraId="7E44C91E" w14:textId="77777777" w:rsidR="00A53CD6" w:rsidRPr="00A53CD6" w:rsidRDefault="00A53CD6" w:rsidP="00A53CD6">
      <w:pPr>
        <w:tabs>
          <w:tab w:val="left" w:pos="142"/>
          <w:tab w:val="left" w:pos="284"/>
        </w:tabs>
        <w:suppressAutoHyphens/>
        <w:spacing w:after="0" w:line="276" w:lineRule="auto"/>
        <w:contextualSpacing/>
        <w:jc w:val="both"/>
        <w:rPr>
          <w:rFonts w:ascii="Verdana" w:eastAsia="Century Gothic" w:hAnsi="Verdana" w:cs="Century Gothic"/>
          <w:b/>
          <w:bCs/>
          <w:lang w:val="es-ES"/>
        </w:rPr>
      </w:pPr>
      <w:r w:rsidRPr="00A53CD6">
        <w:rPr>
          <w:rFonts w:ascii="Verdana" w:eastAsia="Century Gothic" w:hAnsi="Verdana" w:cs="Century Gothic"/>
          <w:b/>
          <w:bCs/>
          <w:lang w:val="es-ES"/>
        </w:rPr>
        <w:t>2. Respuestas:</w:t>
      </w:r>
    </w:p>
    <w:p w14:paraId="2FE48BD2" w14:textId="77777777" w:rsidR="00A53CD6" w:rsidRPr="00A53CD6" w:rsidRDefault="00A53CD6" w:rsidP="00A53CD6">
      <w:pPr>
        <w:tabs>
          <w:tab w:val="left" w:pos="142"/>
          <w:tab w:val="left" w:pos="284"/>
        </w:tabs>
        <w:suppressAutoHyphens/>
        <w:spacing w:after="0" w:line="276" w:lineRule="auto"/>
        <w:contextualSpacing/>
        <w:jc w:val="both"/>
        <w:rPr>
          <w:rFonts w:ascii="Verdana" w:eastAsia="Century Gothic" w:hAnsi="Verdana" w:cs="Century Gothic"/>
          <w:b/>
          <w:bCs/>
          <w:lang w:val="es-ES"/>
        </w:rPr>
      </w:pPr>
    </w:p>
    <w:tbl>
      <w:tblPr>
        <w:tblStyle w:val="Tablaconcuadrcula12"/>
        <w:tblW w:w="8828" w:type="dxa"/>
        <w:tblLayout w:type="fixed"/>
        <w:tblLook w:val="04A0" w:firstRow="1" w:lastRow="0" w:firstColumn="1" w:lastColumn="0" w:noHBand="0" w:noVBand="1"/>
      </w:tblPr>
      <w:tblGrid>
        <w:gridCol w:w="8828"/>
      </w:tblGrid>
      <w:tr w:rsidR="00A53CD6" w:rsidRPr="00A53CD6" w14:paraId="558F4BE2" w14:textId="77777777" w:rsidTr="00DF1FC7">
        <w:trPr>
          <w:trHeight w:val="40"/>
        </w:trPr>
        <w:tc>
          <w:tcPr>
            <w:tcW w:w="8828" w:type="dxa"/>
            <w:tcBorders>
              <w:top w:val="dotted" w:sz="4" w:space="0" w:color="000000"/>
              <w:left w:val="dotted" w:sz="4" w:space="0" w:color="000000"/>
              <w:bottom w:val="dotted" w:sz="4" w:space="0" w:color="000000"/>
              <w:right w:val="dotted" w:sz="4" w:space="0" w:color="000000"/>
            </w:tcBorders>
          </w:tcPr>
          <w:p w14:paraId="6DD4D4B9" w14:textId="77777777" w:rsidR="00A53CD6" w:rsidRPr="00A53CD6" w:rsidRDefault="00A53CD6" w:rsidP="00A53CD6">
            <w:pPr>
              <w:spacing w:after="120" w:line="276" w:lineRule="auto"/>
              <w:jc w:val="both"/>
              <w:rPr>
                <w:rFonts w:ascii="Verdana" w:eastAsia="Aptos" w:hAnsi="Verdana" w:cs="Times New Roman"/>
              </w:rPr>
            </w:pPr>
            <w:r w:rsidRPr="00A53CD6">
              <w:rPr>
                <w:rFonts w:ascii="Verdana" w:eastAsia="Calibri" w:hAnsi="Verdana" w:cs="Arial"/>
                <w:lang w:val="es-ES"/>
              </w:rPr>
              <w:t xml:space="preserve">i) Los Documentos Tipo son de obligatorio cumplimiento para las entidades sometidas al Estatuto General de Contratación de la Administración Pública </w:t>
            </w:r>
            <w:r w:rsidRPr="00A53CD6">
              <w:rPr>
                <w:rFonts w:ascii="Verdana" w:eastAsia="Calibri" w:hAnsi="Verdana" w:cs="Arial"/>
                <w:lang w:val="es-ES"/>
              </w:rPr>
              <w:lastRenderedPageBreak/>
              <w:t>cuando el objeto y la modalidad del proceso se encuentran dentro de su ámbito de aplicación, que se determina con las matrices de experiencia. En virtud de la regla de inalterabilidad, la entidad solo puede diligenciar o ajustar los aspectos que están entre corchetes y resaltados en gris, siguiendo las instrucciones de cada documento. Por esa razón, no puede exigir requisitos habilitantes distintos de los previstos, aunque correspondan a obligaciones legales del proponente, ni fijar la experiencia con magnitudes diferentes de las que el Documento Tipo establece. Cuando el Documento Tipo le encarga configurar un formato, como ocurre con los Formatos 12A y 12B, esa carga es de la entidad y no puede trasladarse al proponente; la suscripción del Formato 8, por su parte, debe leerse ahora junto con el Decreto 287 de 2026. Las sugerencias de ajuste a los Documentos Tipo que contiene la petición se incorporarán al repositorio de observaciones para su análisis en futuras revisiones. Estos asuntos se desarrollan en los numerales i, vi, vii y x de las consideraciones.</w:t>
            </w:r>
          </w:p>
          <w:p w14:paraId="18F1AA75" w14:textId="77777777" w:rsidR="00A53CD6" w:rsidRPr="00A53CD6" w:rsidRDefault="00A53CD6" w:rsidP="00A53CD6">
            <w:pPr>
              <w:spacing w:after="120" w:line="276" w:lineRule="auto"/>
              <w:jc w:val="both"/>
              <w:rPr>
                <w:rFonts w:ascii="Verdana" w:eastAsia="Aptos" w:hAnsi="Verdana" w:cs="Times New Roman"/>
              </w:rPr>
            </w:pPr>
            <w:r w:rsidRPr="00A53CD6">
              <w:rPr>
                <w:rFonts w:ascii="Verdana" w:eastAsia="Calibri" w:hAnsi="Verdana" w:cs="Arial"/>
                <w:lang w:val="es-ES"/>
              </w:rPr>
              <w:t>ii) El Anexo 2 – Cronograma es el cronograma del proceso, de modo que la entidad debe diligenciarlo y publicarlo con los demás documentos del proceso. Sus modificaciones se hacen mediante adenda, que también debe reflejarse en el SECOP II, y después del cierre solo pueden recaer sobre etapas que no hayan vencido. Las audiencias pueden realizarse por medios electrónicos, tanto en el SECOP I como en el SECOP II, siempre que permitan la participación de los interesados en tiempo real y respeten el debido proceso, y su modalidad debe definirse con anticipación en los documentos del proceso. Realizada la apertura, las ofertas son públicas y deben publicarse en el SECOP II, salvo la información amparada por reserva legal. El detalle se encuentra en los numerales ii y iii de las consideraciones.</w:t>
            </w:r>
          </w:p>
          <w:p w14:paraId="0A24F78A" w14:textId="77777777" w:rsidR="00A53CD6" w:rsidRPr="00A53CD6" w:rsidRDefault="00A53CD6" w:rsidP="00A53CD6">
            <w:pPr>
              <w:spacing w:after="120" w:line="276" w:lineRule="auto"/>
              <w:jc w:val="both"/>
              <w:rPr>
                <w:rFonts w:ascii="Verdana" w:eastAsia="Aptos" w:hAnsi="Verdana" w:cs="Times New Roman"/>
              </w:rPr>
            </w:pPr>
            <w:r w:rsidRPr="00A53CD6">
              <w:rPr>
                <w:rFonts w:ascii="Verdana" w:eastAsia="Calibri" w:hAnsi="Verdana" w:cs="Arial"/>
                <w:lang w:val="es-ES"/>
              </w:rPr>
              <w:t xml:space="preserve">iii) Los Documentos Tipo regulan el traslado del informe de evaluación, pero no el plazo para elaborarlo, que debe ser razonable y señalarse en el pliego de condiciones; la prórroga del plazo de adjudicación está sujeta a los límites del artículo 30 de la Ley 80 de 1993. El informe de evaluación debe motivarse de forma detallada y precisa, evaluar desde el inicio los requisitos habilitantes y los factores de puntaje distintos de la oferta económica, e indicar con claridad qué debe subsanarse. Los documentos que otorgan puntaje no pueden </w:t>
            </w:r>
            <w:r w:rsidRPr="00A53CD6">
              <w:rPr>
                <w:rFonts w:ascii="Verdana" w:eastAsia="Calibri" w:hAnsi="Verdana" w:cs="Arial"/>
                <w:lang w:val="es-ES"/>
              </w:rPr>
              <w:lastRenderedPageBreak/>
              <w:t>completarse ni mejorarse, pero sí aclararse. Mientras transcurre el procedimiento de selección, la demora se refleja en la vigencia de la oferta y de su garantía de seriedad, y las reglas sobre el mantenimiento de las condiciones económicas operan durante la ejecución del contrato. Estos aspectos se explican en los numerales iv y v de las consideraciones.</w:t>
            </w:r>
          </w:p>
          <w:p w14:paraId="473922FA" w14:textId="77777777" w:rsidR="00A53CD6" w:rsidRPr="00A53CD6" w:rsidRDefault="00A53CD6" w:rsidP="00A53CD6">
            <w:pPr>
              <w:spacing w:after="120" w:line="276" w:lineRule="auto"/>
              <w:jc w:val="both"/>
              <w:rPr>
                <w:rFonts w:ascii="Verdana" w:eastAsia="Calibri" w:hAnsi="Verdana" w:cs="Arial"/>
                <w:lang w:val="es-ES"/>
              </w:rPr>
            </w:pPr>
            <w:r w:rsidRPr="00A53CD6">
              <w:rPr>
                <w:rFonts w:ascii="Verdana" w:eastAsia="Calibri" w:hAnsi="Verdana" w:cs="Arial"/>
                <w:lang w:val="es-ES"/>
              </w:rPr>
              <w:t>iv) El referente para identificar las ofertas que parezcan artificialmente bajas se fija, de manera justificada, en el análisis del sector y no en el pliego de condiciones, y no constituye una regla de evaluación ni una causal de rechazo. Frente a esas ofertas, la entidad debe requerir al proponente, analizar sus explicaciones y rechazar la oferta solo si no justifican el valor ofrecido, mediante una decisión motivada que debe publicarse. Por su parte, la TRM que define el método de ponderación de la oferta económica se determina en el momento que señala el numeral 4.1.4 de cada Documento Tipo, que no es el mismo en todos ellos. El detalle se encuentra en los numerales viii y ix de las consideraciones.</w:t>
            </w:r>
          </w:p>
          <w:p w14:paraId="75FFB359" w14:textId="77777777" w:rsidR="00A53CD6" w:rsidRPr="00A53CD6" w:rsidRDefault="00A53CD6" w:rsidP="00A53CD6">
            <w:pPr>
              <w:spacing w:after="120" w:line="276" w:lineRule="auto"/>
              <w:jc w:val="both"/>
              <w:rPr>
                <w:rFonts w:ascii="Verdana" w:eastAsia="Calibri" w:hAnsi="Verdana" w:cs="Arial"/>
                <w:lang w:val="es-ES"/>
              </w:rPr>
            </w:pPr>
            <w:r w:rsidRPr="00A53CD6">
              <w:rPr>
                <w:rFonts w:ascii="Verdana" w:eastAsia="Aptos" w:hAnsi="Verdana" w:cs="Arial"/>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D905810" w14:textId="77777777" w:rsidR="00A53CD6" w:rsidRPr="00A53CD6" w:rsidRDefault="00A53CD6" w:rsidP="00A53CD6">
            <w:pPr>
              <w:spacing w:line="276" w:lineRule="auto"/>
              <w:ind w:firstLine="709"/>
              <w:jc w:val="both"/>
              <w:rPr>
                <w:rFonts w:ascii="Verdana" w:eastAsia="Aptos" w:hAnsi="Verdana" w:cs="Arial"/>
                <w:lang w:eastAsia="es-MX"/>
              </w:rPr>
            </w:pPr>
            <w:r w:rsidRPr="00A53CD6">
              <w:rPr>
                <w:rFonts w:ascii="Verdana" w:eastAsia="Aptos" w:hAnsi="Verdana" w:cs="Arial"/>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w:t>
            </w:r>
            <w:r w:rsidRPr="00A53CD6">
              <w:rPr>
                <w:rFonts w:ascii="Verdana" w:eastAsia="Aptos" w:hAnsi="Verdana" w:cs="Arial"/>
                <w:lang w:eastAsia="es-MX"/>
              </w:rPr>
              <w:lastRenderedPageBreak/>
              <w:t>definirá la forma de adelantar su gestión contractual, sin que sea atribución de Colombia Compra Eficiente validar sus actuaciones.</w:t>
            </w:r>
          </w:p>
        </w:tc>
      </w:tr>
    </w:tbl>
    <w:p w14:paraId="755EF07E" w14:textId="77777777" w:rsidR="00A53CD6" w:rsidRPr="00A53CD6" w:rsidRDefault="00A53CD6" w:rsidP="00A53CD6">
      <w:pPr>
        <w:tabs>
          <w:tab w:val="left" w:pos="142"/>
          <w:tab w:val="left" w:pos="284"/>
        </w:tabs>
        <w:suppressAutoHyphens/>
        <w:spacing w:after="0" w:line="276" w:lineRule="auto"/>
        <w:jc w:val="both"/>
        <w:rPr>
          <w:rFonts w:ascii="Verdana" w:eastAsia="Century Gothic" w:hAnsi="Verdana" w:cs="Century Gothic"/>
          <w:b/>
          <w:bCs/>
          <w:lang w:val="es-ES"/>
        </w:rPr>
      </w:pPr>
    </w:p>
    <w:p w14:paraId="563D1858" w14:textId="77777777" w:rsidR="00A53CD6" w:rsidRPr="00A53CD6" w:rsidRDefault="00A53CD6" w:rsidP="00A53CD6">
      <w:pPr>
        <w:tabs>
          <w:tab w:val="left" w:pos="142"/>
          <w:tab w:val="left" w:pos="284"/>
        </w:tabs>
        <w:suppressAutoHyphens/>
        <w:spacing w:after="0" w:line="276" w:lineRule="auto"/>
        <w:jc w:val="both"/>
        <w:rPr>
          <w:rFonts w:ascii="Verdana" w:eastAsia="Century Gothic" w:hAnsi="Verdana" w:cs="Century Gothic"/>
          <w:b/>
          <w:bCs/>
          <w:lang w:val="es-ES"/>
        </w:rPr>
      </w:pPr>
      <w:r w:rsidRPr="00A53CD6">
        <w:rPr>
          <w:rFonts w:ascii="Verdana" w:eastAsia="Century Gothic" w:hAnsi="Verdana" w:cs="Century Gothic"/>
          <w:b/>
          <w:bCs/>
          <w:lang w:val="es-ES"/>
        </w:rPr>
        <w:t>3. Razones de la respuesta:</w:t>
      </w:r>
    </w:p>
    <w:p w14:paraId="00DBCA81" w14:textId="77777777" w:rsidR="00A53CD6" w:rsidRPr="00A53CD6" w:rsidRDefault="00A53CD6" w:rsidP="00A53CD6">
      <w:pPr>
        <w:suppressAutoHyphens/>
        <w:spacing w:after="0" w:line="276" w:lineRule="auto"/>
        <w:jc w:val="both"/>
        <w:rPr>
          <w:rFonts w:ascii="Verdana" w:eastAsia="Calibri" w:hAnsi="Verdana" w:cs="Arial"/>
          <w:lang w:val="es-ES"/>
        </w:rPr>
      </w:pPr>
    </w:p>
    <w:p w14:paraId="0AF464DF" w14:textId="77777777" w:rsidR="00A53CD6" w:rsidRPr="00A53CD6" w:rsidRDefault="00A53CD6" w:rsidP="00A53CD6">
      <w:pPr>
        <w:suppressAutoHyphens/>
        <w:spacing w:after="0" w:line="276" w:lineRule="auto"/>
        <w:jc w:val="both"/>
        <w:rPr>
          <w:rFonts w:ascii="Verdana" w:eastAsia="Calibri" w:hAnsi="Verdana" w:cs="Arial"/>
          <w:lang w:val="es-ES"/>
        </w:rPr>
      </w:pPr>
      <w:r w:rsidRPr="00A53CD6">
        <w:rPr>
          <w:rFonts w:ascii="Verdana" w:eastAsia="Calibri" w:hAnsi="Verdana" w:cs="Arial"/>
          <w:lang w:val="es-ES"/>
        </w:rPr>
        <w:t xml:space="preserve">Lo anterior se sustenta en las siguientes consideraciones: </w:t>
      </w:r>
    </w:p>
    <w:p w14:paraId="5CCE86B8" w14:textId="77777777" w:rsidR="00A53CD6" w:rsidRPr="00A53CD6" w:rsidRDefault="00A53CD6" w:rsidP="00A53CD6">
      <w:pPr>
        <w:widowControl w:val="0"/>
        <w:suppressAutoHyphens/>
        <w:spacing w:after="0" w:line="276" w:lineRule="auto"/>
        <w:jc w:val="both"/>
        <w:rPr>
          <w:rFonts w:ascii="Verdana" w:eastAsia="Calibri" w:hAnsi="Verdana" w:cs="Times New Roman"/>
          <w:lang w:val="es-ES"/>
        </w:rPr>
      </w:pPr>
      <w:bookmarkStart w:id="1" w:name="_Hlk113022941"/>
    </w:p>
    <w:p w14:paraId="7A131FAA" w14:textId="77777777" w:rsidR="00A53CD6" w:rsidRPr="00A53CD6" w:rsidRDefault="00A53CD6" w:rsidP="00A53CD6">
      <w:pPr>
        <w:suppressAutoHyphens/>
        <w:spacing w:after="120" w:line="276" w:lineRule="auto"/>
        <w:jc w:val="both"/>
        <w:rPr>
          <w:rFonts w:ascii="Aptos" w:eastAsia="Aptos" w:hAnsi="Aptos" w:cs="Times New Roman"/>
          <w:kern w:val="2"/>
          <w:sz w:val="24"/>
          <w:szCs w:val="24"/>
          <w:lang w:val="es-MX"/>
          <w14:ligatures w14:val="standardContextual"/>
        </w:rPr>
      </w:pPr>
      <w:r w:rsidRPr="00A53CD6">
        <w:rPr>
          <w:rFonts w:ascii="Verdana" w:eastAsia="Aptos" w:hAnsi="Verdana" w:cs="Times New Roman"/>
          <w:kern w:val="2"/>
          <w:lang w:val="es-MX"/>
          <w14:ligatures w14:val="standardContextual"/>
        </w:rPr>
        <w:t>i. El 22 de julio de 2020 se sancionó la Ley 2022, por medio de la cual se modificó el artículo 4 de la Ley 1882 de 2018. El objetivo de la modificación consiste en que los documentos tipo sean un referente obligatorio en la elaboración de cualquier pliego de condiciones y no solo en los relacionados con procesos de obra pública. De igual manera, busca que el contrato estatal pueda ser utilizado racionalmente como instrumento de ejecución de los recursos públicos, para garantizar el cumplimiento de los fines del Estado y la satisfacción de las necesidades de la comunidad</w:t>
      </w:r>
      <w:r w:rsidRPr="00A53CD6">
        <w:rPr>
          <w:rFonts w:ascii="Verdana" w:eastAsia="Aptos" w:hAnsi="Verdana" w:cs="Times New Roman"/>
          <w:kern w:val="2"/>
          <w:vertAlign w:val="superscript"/>
          <w:lang w:val="es-MX"/>
          <w14:ligatures w14:val="standardContextual"/>
        </w:rPr>
        <w:footnoteReference w:id="1"/>
      </w:r>
      <w:r w:rsidRPr="00A53CD6">
        <w:rPr>
          <w:rFonts w:ascii="Verdana" w:eastAsia="Aptos" w:hAnsi="Verdana" w:cs="Times New Roman"/>
          <w:kern w:val="2"/>
          <w:lang w:val="es-MX"/>
          <w14:ligatures w14:val="standardContextual"/>
        </w:rPr>
        <w:t>.</w:t>
      </w:r>
      <w:r w:rsidRPr="00A53CD6">
        <w:rPr>
          <w:rFonts w:ascii="Aptos" w:eastAsia="Aptos" w:hAnsi="Aptos" w:cs="Times New Roman"/>
          <w:kern w:val="2"/>
          <w:sz w:val="24"/>
          <w:szCs w:val="24"/>
          <w:lang w:val="es-MX"/>
          <w14:ligatures w14:val="standardContextual"/>
        </w:rPr>
        <w:t xml:space="preserve"> </w:t>
      </w:r>
    </w:p>
    <w:p w14:paraId="4AB2A4AF" w14:textId="77777777" w:rsidR="00A53CD6" w:rsidRPr="00A53CD6" w:rsidRDefault="00A53CD6" w:rsidP="00A53CD6">
      <w:pPr>
        <w:tabs>
          <w:tab w:val="left" w:pos="709"/>
        </w:tabs>
        <w:suppressAutoHyphens/>
        <w:spacing w:after="120" w:line="276" w:lineRule="auto"/>
        <w:ind w:firstLine="642"/>
        <w:jc w:val="both"/>
        <w:rPr>
          <w:rFonts w:ascii="Verdana" w:eastAsia="Calibri" w:hAnsi="Verdana" w:cs="Arial"/>
          <w:color w:val="000000"/>
          <w:lang w:val="es-MX"/>
        </w:rPr>
      </w:pPr>
      <w:r w:rsidRPr="00A53CD6">
        <w:rPr>
          <w:rFonts w:ascii="Verdana" w:eastAsia="Calibri" w:hAnsi="Verdana" w:cs="Arial"/>
          <w:color w:val="000000"/>
          <w:lang w:val="es-MX"/>
        </w:rPr>
        <w:t>La norma 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w:t>
      </w:r>
      <w:r w:rsidRPr="00A53CD6">
        <w:rPr>
          <w:rFonts w:ascii="Verdana" w:eastAsia="Calibri" w:hAnsi="Verdana" w:cs="Arial"/>
          <w:color w:val="000000"/>
          <w:vertAlign w:val="superscript"/>
          <w:lang w:val="es-MX"/>
        </w:rPr>
        <w:footnoteReference w:id="2"/>
      </w:r>
      <w:r w:rsidRPr="00A53CD6">
        <w:rPr>
          <w:rFonts w:ascii="Verdana" w:eastAsia="Calibri" w:hAnsi="Verdana" w:cs="Arial"/>
          <w:color w:val="000000"/>
          <w:lang w:val="es-MX"/>
        </w:rPr>
        <w:t xml:space="preserve">. Así mismo, señala que, dentro de estos documentos tipo se </w:t>
      </w:r>
      <w:r w:rsidRPr="00A53CD6">
        <w:rPr>
          <w:rFonts w:ascii="Verdana" w:eastAsia="Calibri" w:hAnsi="Verdana" w:cs="Arial"/>
          <w:color w:val="000000"/>
          <w:lang w:val="es-MX"/>
        </w:rPr>
        <w:lastRenderedPageBreak/>
        <w:t>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264A504" w14:textId="77777777" w:rsidR="00A53CD6" w:rsidRPr="00A53CD6" w:rsidRDefault="00A53CD6" w:rsidP="00A53CD6">
      <w:pPr>
        <w:suppressAutoHyphens/>
        <w:spacing w:after="120" w:line="276" w:lineRule="auto"/>
        <w:ind w:firstLine="642"/>
        <w:jc w:val="both"/>
        <w:rPr>
          <w:rFonts w:ascii="Verdana" w:eastAsia="Calibri" w:hAnsi="Verdana" w:cs="Arial"/>
          <w:color w:val="000000"/>
          <w:lang w:val="es-MX"/>
        </w:rPr>
      </w:pPr>
      <w:r w:rsidRPr="00A53CD6">
        <w:rPr>
          <w:rFonts w:ascii="Verdana" w:eastAsia="Calibri" w:hAnsi="Verdana" w:cs="Arial"/>
          <w:color w:val="000000"/>
          <w:lang w:val="es-MX"/>
        </w:rPr>
        <w:t xml:space="preserve">Por su parte, indica que, con el ánimo de promover la descentralización, el empleo local, el desarrollo, los servicios e industria local, en la adopción de los documentos tipo, se tendrán en cuenta las características propias de las regiones, la cuantía, el fomento de la economía local y la naturaleza y especialidad de la contratación. Para tal efecto se deberá llevar a cabo un proceso de capacitación para los municipios. </w:t>
      </w:r>
    </w:p>
    <w:p w14:paraId="2A1B6352" w14:textId="77777777" w:rsidR="00A53CD6" w:rsidRPr="00A53CD6" w:rsidRDefault="00A53CD6" w:rsidP="00A53CD6">
      <w:pPr>
        <w:suppressAutoHyphens/>
        <w:spacing w:after="120" w:line="276" w:lineRule="auto"/>
        <w:ind w:firstLine="360"/>
        <w:jc w:val="both"/>
        <w:rPr>
          <w:rFonts w:ascii="Verdana" w:eastAsia="Calibri" w:hAnsi="Verdana" w:cs="Arial"/>
          <w:color w:val="000000"/>
          <w:lang w:val="es-MX"/>
        </w:rPr>
      </w:pPr>
      <w:r w:rsidRPr="00A53CD6">
        <w:rPr>
          <w:rFonts w:ascii="Verdana" w:eastAsia="Calibri" w:hAnsi="Verdana" w:cs="Arial"/>
          <w:color w:val="000000"/>
          <w:lang w:val="es-MX"/>
        </w:rPr>
        <w:t xml:space="preserve"> Además obliga a la Agencia Nacional de Contratación Pública –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77BE0499" w14:textId="77777777" w:rsidR="00A53CD6" w:rsidRPr="00A53CD6" w:rsidRDefault="00A53CD6" w:rsidP="00A53CD6">
      <w:pPr>
        <w:suppressAutoHyphens/>
        <w:spacing w:after="120" w:line="276" w:lineRule="auto"/>
        <w:ind w:firstLine="642"/>
        <w:jc w:val="both"/>
        <w:rPr>
          <w:rFonts w:ascii="Verdana" w:eastAsia="Calibri" w:hAnsi="Verdana" w:cs="Arial"/>
          <w:color w:val="000000"/>
          <w:lang w:val="es-MX"/>
        </w:rPr>
      </w:pPr>
      <w:r w:rsidRPr="00A53CD6">
        <w:rPr>
          <w:rFonts w:ascii="Verdana" w:eastAsia="Calibri" w:hAnsi="Verdana" w:cs="Arial"/>
          <w:color w:val="000000"/>
          <w:lang w:val="es-MX"/>
        </w:rPr>
        <w:lastRenderedPageBreak/>
        <w:t>La norma señala que, 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es decir, aquellas entidades estatales mencionadas en el artículo 2º de la Ley 80 de 1993</w:t>
      </w:r>
      <w:r w:rsidRPr="00A53CD6">
        <w:rPr>
          <w:rFonts w:ascii="Verdana" w:eastAsia="Calibri" w:hAnsi="Verdana" w:cs="Arial"/>
          <w:color w:val="000000"/>
          <w:vertAlign w:val="superscript"/>
          <w:lang w:val="es-MX"/>
        </w:rPr>
        <w:footnoteReference w:id="3"/>
      </w:r>
      <w:r w:rsidRPr="00A53CD6">
        <w:rPr>
          <w:rFonts w:ascii="Verdana" w:eastAsia="Calibri" w:hAnsi="Verdana" w:cs="Arial"/>
          <w:color w:val="000000"/>
          <w:lang w:val="es-MX"/>
        </w:rPr>
        <w:t>. Esto significa, de una parte, que dichos documentos tipo tienen como fin servir como fuente obligatoria para la elaboración de los pliegos de condiciones y, de otra, que los documentos tipo adoptados por la Agencia son obligatorios por expreso mandato del legislador para las entidades sometidas a la Ley 80 de 1993.</w:t>
      </w:r>
    </w:p>
    <w:p w14:paraId="4FC34A2E" w14:textId="77777777" w:rsidR="00A53CD6" w:rsidRPr="00A53CD6" w:rsidRDefault="00A53CD6" w:rsidP="00A53CD6">
      <w:pPr>
        <w:suppressAutoHyphens/>
        <w:spacing w:after="120" w:line="276" w:lineRule="auto"/>
        <w:ind w:firstLine="642"/>
        <w:jc w:val="both"/>
        <w:rPr>
          <w:rFonts w:ascii="Verdana" w:eastAsia="Aptos" w:hAnsi="Verdana" w:cs="Arial"/>
          <w:kern w:val="2"/>
          <w:lang w:val="es-ES"/>
          <w14:ligatures w14:val="standardContextual"/>
        </w:rPr>
      </w:pPr>
      <w:r w:rsidRPr="00A53CD6">
        <w:rPr>
          <w:rFonts w:ascii="Verdana" w:eastAsia="Calibri" w:hAnsi="Verdana" w:cs="Arial"/>
          <w:color w:val="000000"/>
          <w:lang w:val="es-MX"/>
        </w:rPr>
        <w:t xml:space="preserve">Con fundamento en dicha Ley, se </w:t>
      </w:r>
      <w:r w:rsidRPr="00A53CD6">
        <w:rPr>
          <w:rFonts w:ascii="Verdana" w:eastAsia="Aptos" w:hAnsi="Verdana" w:cs="Arial"/>
          <w:kern w:val="2"/>
          <w:lang w:val="es-ES"/>
          <w14:ligatures w14:val="standardContextual"/>
        </w:rPr>
        <w:t xml:space="preserve">expidieron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w:t>
      </w:r>
      <w:r w:rsidRPr="00A53CD6">
        <w:rPr>
          <w:rFonts w:ascii="Verdana" w:eastAsia="Aptos" w:hAnsi="Verdana" w:cs="Arial"/>
          <w:kern w:val="2"/>
          <w:lang w:val="es-ES"/>
          <w14:ligatures w14:val="standardContextual"/>
        </w:rPr>
        <w:lastRenderedPageBreak/>
        <w:t>2007, estos documentos tipo se han expedido para las modalidades de selección de licitación pública, selección abreviada de menor cuantía, mínima cuantía, concurso de méritos y contratación directa.</w:t>
      </w:r>
    </w:p>
    <w:p w14:paraId="1201B66F" w14:textId="77777777" w:rsidR="00A53CD6" w:rsidRPr="00A53CD6" w:rsidRDefault="00A53CD6" w:rsidP="00A53CD6">
      <w:pPr>
        <w:suppressAutoHyphens/>
        <w:spacing w:after="120" w:line="276" w:lineRule="auto"/>
        <w:ind w:firstLine="708"/>
        <w:jc w:val="both"/>
        <w:rPr>
          <w:rFonts w:ascii="Verdana" w:eastAsia="Calibri" w:hAnsi="Verdana" w:cs="Arial"/>
          <w:kern w:val="2"/>
          <w14:ligatures w14:val="standardContextual"/>
        </w:rPr>
      </w:pPr>
      <w:r w:rsidRPr="00A53CD6">
        <w:rPr>
          <w:rFonts w:ascii="Verdana" w:eastAsia="Aptos" w:hAnsi="Verdana" w:cs="Arial"/>
          <w:kern w:val="2"/>
          <w14:ligatures w14:val="standardContextual"/>
        </w:rPr>
        <w:t xml:space="preserve">Concretamente, con fundamento en el artículo 1 de la Ley 2022 de 2020, </w:t>
      </w:r>
      <w:r w:rsidRPr="00A53CD6">
        <w:rPr>
          <w:rFonts w:ascii="Verdana" w:eastAsia="Calibri" w:hAnsi="Verdana" w:cs="Arial"/>
          <w:kern w:val="2"/>
          <w:lang w:val="es-MX"/>
          <w14:ligatures w14:val="standardContextual"/>
        </w:rPr>
        <w:t xml:space="preserve">la Agencia Nacional de Contratación Pública – Colombia Compra </w:t>
      </w:r>
      <w:r w:rsidRPr="00A53CD6">
        <w:rPr>
          <w:rFonts w:ascii="Verdana" w:eastAsia="Calibri" w:hAnsi="Verdana" w:cs="Arial"/>
          <w:kern w:val="2"/>
          <w14:ligatures w14:val="standardContextual"/>
        </w:rPr>
        <w:t>Eficiente expidió los siguientes documentos tipo que se encuentran vigentes:</w:t>
      </w:r>
    </w:p>
    <w:p w14:paraId="66C06D21" w14:textId="77777777" w:rsidR="00A53CD6" w:rsidRPr="00A53CD6" w:rsidRDefault="00A53CD6" w:rsidP="00A53CD6">
      <w:pPr>
        <w:suppressAutoHyphens/>
        <w:spacing w:after="12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Sector de Infraestructura de Transporte:</w:t>
      </w:r>
    </w:p>
    <w:p w14:paraId="7F277CA7" w14:textId="77777777" w:rsidR="00A53CD6" w:rsidRPr="00A53CD6" w:rsidRDefault="00A53CD6" w:rsidP="00A53CD6">
      <w:pPr>
        <w:suppressAutoHyphens/>
        <w:spacing w:after="12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Resolución 465 del 10 de septiembre de 2024: “Por la cual se adopta la versión 4 de los documentos tipo para los procesos de selección de licitación de obra pública de infraestructura de transporte y se deroga la Resolución 240 de 2020”.</w:t>
      </w:r>
    </w:p>
    <w:p w14:paraId="28E60190" w14:textId="77777777" w:rsidR="00A53CD6" w:rsidRPr="00A53CD6" w:rsidRDefault="00A53CD6" w:rsidP="00A53CD6">
      <w:pPr>
        <w:suppressAutoHyphens/>
        <w:spacing w:after="12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1AD6C48F" w14:textId="77777777" w:rsidR="00A53CD6" w:rsidRPr="00A53CD6" w:rsidRDefault="00A53CD6" w:rsidP="00A53CD6">
      <w:pPr>
        <w:suppressAutoHyphens/>
        <w:spacing w:after="12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Resolución 464 del 10 de septiembre de 2024: “Por la cual se actualizan los documentos tipo para los procesos de obra pública de infraestructura de transporte adelantados bajo la modalidad de mínima cuantía”. </w:t>
      </w:r>
    </w:p>
    <w:p w14:paraId="3C3F7439" w14:textId="77777777" w:rsidR="00A53CD6" w:rsidRPr="00A53CD6" w:rsidRDefault="00A53CD6" w:rsidP="00A53CD6">
      <w:pPr>
        <w:suppressAutoHyphens/>
        <w:spacing w:after="12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695A731D" w14:textId="77777777" w:rsidR="00A53CD6" w:rsidRPr="00A53CD6" w:rsidRDefault="00A53CD6" w:rsidP="00A53CD6">
      <w:pPr>
        <w:suppressAutoHyphens/>
        <w:spacing w:after="12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4DFF1985" w14:textId="77777777" w:rsidR="00A53CD6" w:rsidRPr="00A53CD6" w:rsidRDefault="00A53CD6" w:rsidP="00A53CD6">
      <w:pPr>
        <w:suppressAutoHyphens/>
        <w:spacing w:after="12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Sector de Infraestructura de Agua Potable y Saneamiento Básico:</w:t>
      </w:r>
    </w:p>
    <w:p w14:paraId="4E82D211" w14:textId="77777777" w:rsidR="00A53CD6" w:rsidRPr="00A53CD6" w:rsidRDefault="00A53CD6" w:rsidP="00A53CD6">
      <w:pPr>
        <w:suppressAutoHyphens/>
        <w:spacing w:after="12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Resolución 248 del 1 de diciembre de 2020: "Por la cual se adoptan los documentos tipo para los procesos de licitación pública para obras de infraestructura de agua potable y saneamiento básico"</w:t>
      </w:r>
    </w:p>
    <w:p w14:paraId="0BC1AC59" w14:textId="77777777" w:rsidR="00A53CD6" w:rsidRPr="00A53CD6" w:rsidRDefault="00A53CD6" w:rsidP="00A53CD6">
      <w:pPr>
        <w:suppressAutoHyphens/>
        <w:spacing w:after="12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lastRenderedPageBreak/>
        <w:t xml:space="preserve"> Resolución 249 del 1 de diciembre de 2020: “"Por la cual se adoptan los documentos tipo para los procesos de licitación pública para obras de infraestructura de agua potable y saneamiento básico en la modalidad de llave en mano".</w:t>
      </w:r>
    </w:p>
    <w:p w14:paraId="1FFD8177" w14:textId="77777777" w:rsidR="00A53CD6" w:rsidRPr="00A53CD6" w:rsidRDefault="00A53CD6" w:rsidP="00A53CD6">
      <w:pPr>
        <w:suppressAutoHyphens/>
        <w:spacing w:after="12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Resolución 333 del 27 de julio de 2022: “Por la cual se adoptan los documentos tipo para los procesos de selección de concurso de méritos para contratar la interventoría de obras públicas de infraestructura de agua potable y saneamiento básico”.  </w:t>
      </w:r>
    </w:p>
    <w:p w14:paraId="5B5C6F5F" w14:textId="77777777" w:rsidR="00A53CD6" w:rsidRPr="00A53CD6" w:rsidRDefault="00A53CD6" w:rsidP="00A53CD6">
      <w:pPr>
        <w:suppressAutoHyphens/>
        <w:spacing w:after="12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La Agencia Nacional de Contratación Pública – Colombia Compra Eficiente mediante la Resolución 546 del 14 de septiembre de 2026, adoptó la versión 2 de los de los documentos tipo para los procesos de contratación de infraestructura de agua, saneamiento básico y estructuras hidráulicas que se adelantan por la modalidad de licitación pública o licitación pública bajo el esquema llave en mano. De acuerdo con el artículo 8 “vigencia” de la citada Resolución, estos rigen “(…) </w:t>
      </w:r>
      <w:r w:rsidRPr="00A53CD6">
        <w:rPr>
          <w:rFonts w:ascii="Verdana" w:eastAsia="Aptos" w:hAnsi="Verdana" w:cs="Times New Roman"/>
          <w:kern w:val="2"/>
          <w14:ligatures w14:val="standardContextual"/>
        </w:rPr>
        <w:t>a partir de su publicación y aplicará a los procedimientos de selección de infraestructura de agua, saneamiento básico y estructuras hidráulicas que se adelantan por la modalidad de licitación pública o licitación pública bajo el esquema llave en mano, cuyo aviso de convocatoria sea publicado a partir del 01 de marzo de 2027.</w:t>
      </w:r>
      <w:r w:rsidRPr="00A53CD6">
        <w:rPr>
          <w:rFonts w:ascii="Aptos" w:eastAsia="Aptos" w:hAnsi="Aptos" w:cs="Times New Roman"/>
          <w:kern w:val="2"/>
          <w14:ligatures w14:val="standardContextual"/>
        </w:rPr>
        <w:t xml:space="preserve"> </w:t>
      </w:r>
    </w:p>
    <w:p w14:paraId="042971BF" w14:textId="77777777" w:rsidR="00A53CD6" w:rsidRPr="00A53CD6" w:rsidRDefault="00A53CD6" w:rsidP="00A53CD6">
      <w:pPr>
        <w:suppressAutoHyphens/>
        <w:spacing w:after="12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Sector de Infraestructura Social: </w:t>
      </w:r>
    </w:p>
    <w:p w14:paraId="44FD64E2" w14:textId="77777777" w:rsidR="00A53CD6" w:rsidRPr="00A53CD6" w:rsidRDefault="00A53CD6" w:rsidP="00A53CD6">
      <w:pPr>
        <w:suppressAutoHyphens/>
        <w:spacing w:after="12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Resolución 539 del 21 de agosto de 2025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48140A4B" w14:textId="77777777" w:rsidR="00A53CD6" w:rsidRPr="00A53CD6" w:rsidRDefault="00A53CD6" w:rsidP="00A53CD6">
      <w:pPr>
        <w:suppressAutoHyphens/>
        <w:spacing w:after="12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 Resolución 540 del 21 de agosto de 2025 “Por la cual se adoptan los documentos tipo para los procesos de selección abreviada de menor cuantía de obra pública de infraestructura social; y los documentos tipo complementarios </w:t>
      </w:r>
      <w:r w:rsidRPr="00A53CD6">
        <w:rPr>
          <w:rFonts w:ascii="Verdana" w:eastAsia="Aptos" w:hAnsi="Verdana" w:cs="Arial"/>
          <w:kern w:val="2"/>
          <w14:ligatures w14:val="standardContextual"/>
        </w:rPr>
        <w:lastRenderedPageBreak/>
        <w:t>para los procesos de selección abreviada de menor cuantía de obra pública de infraestructura social relacionados con los sectores educación, salud, cultura, recreación y deporte, institucional y vivienda”.</w:t>
      </w:r>
    </w:p>
    <w:p w14:paraId="43DBB111" w14:textId="77777777" w:rsidR="00A53CD6" w:rsidRPr="00A53CD6" w:rsidRDefault="00A53CD6" w:rsidP="00A53CD6">
      <w:pPr>
        <w:suppressAutoHyphens/>
        <w:spacing w:after="12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5E24C080" w14:textId="77777777" w:rsidR="00A53CD6" w:rsidRPr="00A53CD6" w:rsidRDefault="00A53CD6" w:rsidP="00A53CD6">
      <w:pPr>
        <w:suppressAutoHyphens/>
        <w:spacing w:after="12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42F9DAD9" w14:textId="77777777" w:rsidR="00A53CD6" w:rsidRPr="00A53CD6" w:rsidRDefault="00A53CD6" w:rsidP="00A53CD6">
      <w:pPr>
        <w:suppressAutoHyphens/>
        <w:spacing w:after="12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 </w:t>
      </w:r>
    </w:p>
    <w:p w14:paraId="064D8356" w14:textId="77777777" w:rsidR="00A53CD6" w:rsidRPr="00A53CD6" w:rsidRDefault="00A53CD6" w:rsidP="00A53CD6">
      <w:pPr>
        <w:suppressAutoHyphens/>
        <w:spacing w:after="12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Documentos tipo para la contratación directa de convenios solidarios:</w:t>
      </w:r>
    </w:p>
    <w:p w14:paraId="66B43F2D" w14:textId="77777777" w:rsidR="00A53CD6" w:rsidRPr="00A53CD6" w:rsidRDefault="00A53CD6" w:rsidP="00A53CD6">
      <w:pPr>
        <w:suppressAutoHyphens/>
        <w:spacing w:after="120" w:line="276" w:lineRule="auto"/>
        <w:ind w:firstLine="708"/>
        <w:jc w:val="both"/>
        <w:rPr>
          <w:rFonts w:ascii="Verdana" w:eastAsia="Aptos" w:hAnsi="Verdana" w:cs="Times New Roman"/>
          <w:kern w:val="2"/>
          <w14:ligatures w14:val="standardContextual"/>
        </w:rPr>
      </w:pPr>
      <w:r w:rsidRPr="00A53CD6">
        <w:rPr>
          <w:rFonts w:ascii="Verdana" w:eastAsia="Aptos" w:hAnsi="Verdana" w:cs="Arial"/>
          <w:kern w:val="2"/>
          <w14:ligatures w14:val="standardContextual"/>
        </w:rPr>
        <w:t>Resolución 358 del 30 de junio de 2023 “</w:t>
      </w:r>
      <w:r w:rsidRPr="00A53CD6">
        <w:rPr>
          <w:rFonts w:ascii="Verdana" w:eastAsia="Aptos" w:hAnsi="Verdana" w:cs="Times New Roman"/>
          <w:kern w:val="2"/>
          <w14:ligatures w14:val="standardContextual"/>
        </w:rPr>
        <w:t xml:space="preserve">Por la cual se adopta el documento tipo para la contratación directa de convenios solidarios para la ejecución de obras hasta la menor cuantía con organismos de acción comunal”. </w:t>
      </w:r>
    </w:p>
    <w:p w14:paraId="2BE87F62" w14:textId="77777777" w:rsidR="00A53CD6" w:rsidRPr="00A53CD6" w:rsidRDefault="00A53CD6" w:rsidP="00A53CD6">
      <w:pPr>
        <w:suppressAutoHyphens/>
        <w:spacing w:after="120" w:line="276" w:lineRule="auto"/>
        <w:ind w:firstLine="708"/>
        <w:jc w:val="both"/>
        <w:rPr>
          <w:rFonts w:ascii="Verdana" w:eastAsia="Aptos" w:hAnsi="Verdana" w:cs="Times New Roman"/>
          <w:kern w:val="2"/>
          <w14:ligatures w14:val="standardContextual"/>
        </w:rPr>
      </w:pPr>
      <w:r w:rsidRPr="00A53CD6">
        <w:rPr>
          <w:rFonts w:ascii="Verdana" w:eastAsia="Aptos" w:hAnsi="Verdana" w:cs="Times New Roman"/>
          <w:kern w:val="2"/>
          <w14:ligatures w14:val="standardContextual"/>
        </w:rPr>
        <w:t xml:space="preserve">Documentos tipo de gestión catastral: </w:t>
      </w:r>
    </w:p>
    <w:p w14:paraId="116BAADF" w14:textId="77777777" w:rsidR="00A53CD6" w:rsidRPr="00A53CD6" w:rsidRDefault="00A53CD6" w:rsidP="00A53CD6">
      <w:pPr>
        <w:suppressAutoHyphens/>
        <w:spacing w:after="12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Resolución 269 del 16 de diciembre de 2020 “Por la cual se adopta el documento tipo para los procesos de gestión catastral con enfoque multipropósito que se celebren a través de contratos interadministrativos”. </w:t>
      </w:r>
    </w:p>
    <w:p w14:paraId="6A86DF70" w14:textId="77777777" w:rsidR="00A53CD6" w:rsidRPr="00A53CD6" w:rsidRDefault="00A53CD6" w:rsidP="00A53CD6">
      <w:pPr>
        <w:widowControl w:val="0"/>
        <w:suppressAutoHyphens/>
        <w:spacing w:after="120" w:line="276" w:lineRule="auto"/>
        <w:ind w:firstLine="708"/>
        <w:jc w:val="both"/>
        <w:rPr>
          <w:rFonts w:ascii="Verdana" w:eastAsia="Calibri" w:hAnsi="Verdana" w:cs="Times New Roman"/>
          <w:kern w:val="2"/>
          <w:lang w:val="es-ES"/>
          <w14:ligatures w14:val="standardContextual"/>
        </w:rPr>
      </w:pPr>
      <w:r w:rsidRPr="00A53CD6">
        <w:rPr>
          <w:rFonts w:ascii="Verdana" w:eastAsia="Calibri" w:hAnsi="Verdana" w:cs="Times New Roman"/>
          <w:kern w:val="2"/>
          <w:lang w:val="es-ES"/>
          <w14:ligatures w14:val="standardContextual"/>
        </w:rPr>
        <w:lastRenderedPageBreak/>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A53CD6">
        <w:rPr>
          <w:rFonts w:ascii="Verdana" w:eastAsia="Calibri" w:hAnsi="Verdana" w:cs="Times New Roman"/>
          <w:kern w:val="2"/>
          <w:shd w:val="clear" w:color="auto" w:fill="E8E8E8"/>
          <w:lang w:val="es-ES"/>
          <w14:ligatures w14:val="standardContextual"/>
        </w:rPr>
        <w:t>–[texto]–,</w:t>
      </w:r>
      <w:r w:rsidRPr="00A53CD6">
        <w:rPr>
          <w:rFonts w:ascii="Verdana" w:eastAsia="Calibri" w:hAnsi="Verdana" w:cs="Times New Roman"/>
          <w:kern w:val="2"/>
          <w:lang w:val="es-ES"/>
          <w14:ligatures w14:val="standardContextual"/>
        </w:rPr>
        <w:t xml:space="preserve"> para lo cual deberán observarse las instrucciones contenidas en los mismos para su diligenciamiento.</w:t>
      </w:r>
    </w:p>
    <w:p w14:paraId="5336AEE4" w14:textId="77777777" w:rsidR="00A53CD6" w:rsidRPr="00A53CD6" w:rsidRDefault="00A53CD6" w:rsidP="00A53CD6">
      <w:pPr>
        <w:widowControl w:val="0"/>
        <w:suppressAutoHyphens/>
        <w:spacing w:after="0" w:line="276" w:lineRule="auto"/>
        <w:ind w:firstLine="708"/>
        <w:jc w:val="both"/>
        <w:rPr>
          <w:rFonts w:ascii="Verdana" w:eastAsia="Calibri" w:hAnsi="Verdana" w:cs="Times New Roman"/>
          <w:kern w:val="2"/>
          <w:lang w:val="es-ES"/>
          <w14:ligatures w14:val="standardContextual"/>
        </w:rPr>
      </w:pPr>
      <w:r w:rsidRPr="00A53CD6">
        <w:rPr>
          <w:rFonts w:ascii="Verdana" w:eastAsia="Calibri" w:hAnsi="Verdana" w:cs="Times New Roman"/>
          <w:kern w:val="2"/>
          <w:lang w:val="es-ES"/>
          <w14:ligatures w14:val="standardContextual"/>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73E04D8C" w14:textId="77777777" w:rsidR="00A53CD6" w:rsidRPr="00A53CD6" w:rsidRDefault="00A53CD6" w:rsidP="00A53CD6">
      <w:pPr>
        <w:widowControl w:val="0"/>
        <w:suppressAutoHyphens/>
        <w:spacing w:after="120" w:line="276" w:lineRule="auto"/>
        <w:ind w:firstLine="708"/>
        <w:jc w:val="both"/>
        <w:rPr>
          <w:rFonts w:ascii="Verdana" w:eastAsia="Calibri" w:hAnsi="Verdana" w:cs="Times New Roman"/>
          <w:kern w:val="2"/>
          <w:lang w:val="es-ES"/>
          <w14:ligatures w14:val="standardContextual"/>
        </w:rPr>
      </w:pPr>
      <w:r w:rsidRPr="00A53CD6">
        <w:rPr>
          <w:rFonts w:ascii="Verdana" w:eastAsia="Calibri" w:hAnsi="Verdana" w:cs="Times New Roman"/>
          <w:kern w:val="2"/>
          <w:lang w:val="es-ES"/>
          <w14:ligatures w14:val="standardContextual"/>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7F0BE333" w14:textId="77777777" w:rsidR="00A53CD6" w:rsidRPr="00A53CD6" w:rsidRDefault="00A53CD6" w:rsidP="00A53CD6">
      <w:pPr>
        <w:widowControl w:val="0"/>
        <w:suppressAutoHyphens/>
        <w:spacing w:after="120" w:line="276" w:lineRule="auto"/>
        <w:ind w:firstLine="708"/>
        <w:jc w:val="both"/>
        <w:rPr>
          <w:rFonts w:ascii="Verdana" w:eastAsia="Calibri" w:hAnsi="Verdana" w:cs="Times New Roman"/>
          <w:kern w:val="2"/>
          <w:lang w:val="es-ES"/>
          <w14:ligatures w14:val="standardContextual"/>
        </w:rPr>
      </w:pPr>
      <w:r w:rsidRPr="00A53CD6">
        <w:rPr>
          <w:rFonts w:ascii="Verdana" w:eastAsia="Calibri" w:hAnsi="Verdana" w:cs="Times New Roman"/>
          <w:kern w:val="2"/>
          <w:lang w:val="es-ES"/>
          <w14:ligatures w14:val="standardContextual"/>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06181896" w14:textId="77777777" w:rsidR="00A53CD6" w:rsidRPr="00A53CD6" w:rsidRDefault="00A53CD6" w:rsidP="00A53CD6">
      <w:pPr>
        <w:widowControl w:val="0"/>
        <w:suppressAutoHyphens/>
        <w:spacing w:after="120" w:line="276" w:lineRule="auto"/>
        <w:ind w:firstLine="708"/>
        <w:jc w:val="both"/>
        <w:rPr>
          <w:rFonts w:ascii="Verdana" w:eastAsia="Calibri" w:hAnsi="Verdana" w:cs="Times New Roman"/>
          <w:kern w:val="2"/>
          <w:lang w:val="es-ES"/>
          <w14:ligatures w14:val="standardContextual"/>
        </w:rPr>
      </w:pPr>
      <w:r w:rsidRPr="00A53CD6">
        <w:rPr>
          <w:rFonts w:ascii="Verdana" w:eastAsia="Calibri" w:hAnsi="Verdana" w:cs="Times New Roman"/>
          <w:kern w:val="2"/>
          <w:lang w:val="es-ES"/>
          <w14:ligatures w14:val="standardContextual"/>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6573EC1C" w14:textId="77777777" w:rsidR="00A53CD6" w:rsidRPr="00A53CD6" w:rsidRDefault="00A53CD6" w:rsidP="00A53CD6">
      <w:pPr>
        <w:widowControl w:val="0"/>
        <w:suppressAutoHyphens/>
        <w:spacing w:after="120" w:line="276" w:lineRule="auto"/>
        <w:ind w:firstLine="708"/>
        <w:jc w:val="both"/>
        <w:rPr>
          <w:rFonts w:ascii="Verdana" w:eastAsia="Calibri" w:hAnsi="Verdana" w:cs="Times New Roman"/>
          <w:kern w:val="2"/>
          <w:lang w:val="es-ES"/>
          <w14:ligatures w14:val="standardContextual"/>
        </w:rPr>
      </w:pPr>
      <w:r w:rsidRPr="00A53CD6">
        <w:rPr>
          <w:rFonts w:ascii="Verdana" w:eastAsia="Calibri" w:hAnsi="Verdana" w:cs="Times New Roman"/>
          <w:kern w:val="2"/>
          <w:lang w:val="es-ES"/>
          <w14:ligatures w14:val="standardContextual"/>
        </w:rPr>
        <w:lastRenderedPageBreak/>
        <w:t>De esta manera, para saber a qué actividades deben aplicarse los documentos tipo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2B35E22A" w14:textId="77777777" w:rsidR="00A53CD6" w:rsidRPr="00A53CD6" w:rsidRDefault="00A53CD6" w:rsidP="00A53CD6">
      <w:pPr>
        <w:suppressAutoHyphens/>
        <w:spacing w:after="120" w:line="276" w:lineRule="auto"/>
        <w:ind w:firstLine="708"/>
        <w:jc w:val="both"/>
        <w:rPr>
          <w:rFonts w:ascii="Verdana" w:eastAsia="Aptos" w:hAnsi="Verdana" w:cs="ArialMT"/>
          <w:kern w:val="2"/>
          <w:lang w:eastAsia="es-MX"/>
          <w14:ligatures w14:val="standardContextual"/>
        </w:rPr>
      </w:pPr>
      <w:r w:rsidRPr="00A53CD6">
        <w:rPr>
          <w:rFonts w:ascii="Verdana" w:eastAsia="Aptos" w:hAnsi="Verdana" w:cs="Arial"/>
          <w:kern w:val="2"/>
          <w14:ligatures w14:val="standardContextual"/>
        </w:rPr>
        <w:t xml:space="preserve">Tal como se indicó con anterioridad, </w:t>
      </w:r>
      <w:r w:rsidRPr="00A53CD6">
        <w:rPr>
          <w:rFonts w:ascii="Verdana" w:eastAsia="Aptos" w:hAnsi="Verdana" w:cs="ArialMT"/>
          <w:kern w:val="2"/>
          <w:lang w:eastAsia="es-MX"/>
          <w14:ligatures w14:val="standardContextual"/>
        </w:rPr>
        <w:t xml:space="preserve">la Ley 2022 de 2020 indicó que la Agencia Nacional de Contratación Pública – Colombia Compra Eficiente, deberá establecer el procedimiento para recibir y revisar comentarios de los interesados a los documentos tipo, así como un sistema para la revisión constante de los que expida. </w:t>
      </w:r>
    </w:p>
    <w:p w14:paraId="4D321FA0" w14:textId="77777777" w:rsidR="00A53CD6" w:rsidRPr="00A53CD6" w:rsidRDefault="00A53CD6" w:rsidP="00A53CD6">
      <w:pPr>
        <w:suppressAutoHyphens/>
        <w:spacing w:after="120" w:line="276" w:lineRule="auto"/>
        <w:ind w:firstLine="709"/>
        <w:jc w:val="both"/>
        <w:rPr>
          <w:rFonts w:ascii="Verdana" w:eastAsia="Aptos" w:hAnsi="Verdana" w:cs="ArialMT"/>
          <w:kern w:val="2"/>
          <w:lang w:eastAsia="es-MX"/>
          <w14:ligatures w14:val="standardContextual"/>
        </w:rPr>
      </w:pPr>
      <w:r w:rsidRPr="00A53CD6">
        <w:rPr>
          <w:rFonts w:ascii="Verdana" w:eastAsia="Aptos" w:hAnsi="Verdana" w:cs="ArialMT"/>
          <w:kern w:val="2"/>
          <w:lang w:eastAsia="es-MX"/>
          <w14:ligatures w14:val="standardContextual"/>
        </w:rPr>
        <w:t xml:space="preserve">En este sentido, mediante la Resolución 160 del 15 de septiembre de 2020 se estableció el procedimiento para implementar los documentos tipo y se definió el sistema para su revisión. De acuerdo con el segundo inciso del artículo 9 de la citada disposición </w:t>
      </w:r>
      <w:r w:rsidRPr="00A53CD6">
        <w:rPr>
          <w:rFonts w:ascii="Verdana" w:eastAsia="Aptos" w:hAnsi="Verdana" w:cs="ArialMT"/>
          <w:i/>
          <w:iCs/>
          <w:kern w:val="2"/>
          <w:lang w:eastAsia="es-MX"/>
          <w14:ligatures w14:val="standardContextual"/>
        </w:rPr>
        <w:t xml:space="preserve">“(…) si con posterioridad al cierre del plazo para las observaciones a los documentos tipo se presentan comentarios y opiniones por parte de las personas y grupos de interés, la entidad mantendrá un repositorio de los mismos, el cual servirá como insumo para la revisión de los documentos tipo que sean implementados por la entidad”. </w:t>
      </w:r>
    </w:p>
    <w:p w14:paraId="16F42A13" w14:textId="77777777" w:rsidR="00A53CD6" w:rsidRPr="00A53CD6" w:rsidRDefault="00A53CD6" w:rsidP="00A53CD6">
      <w:pPr>
        <w:suppressAutoHyphens/>
        <w:spacing w:after="120" w:line="276" w:lineRule="auto"/>
        <w:ind w:firstLine="709"/>
        <w:jc w:val="both"/>
        <w:rPr>
          <w:rFonts w:ascii="Verdana" w:eastAsia="Aptos" w:hAnsi="Verdana" w:cs="ArialMT"/>
          <w:kern w:val="2"/>
          <w:lang w:eastAsia="es-MX"/>
          <w14:ligatures w14:val="standardContextual"/>
        </w:rPr>
      </w:pPr>
      <w:r w:rsidRPr="00A53CD6">
        <w:rPr>
          <w:rFonts w:ascii="Verdana" w:eastAsia="Aptos" w:hAnsi="Verdana" w:cs="ArialMT"/>
          <w:kern w:val="2"/>
          <w:lang w:eastAsia="es-MX"/>
          <w14:ligatures w14:val="standardContextual"/>
        </w:rPr>
        <w:t>Precisamente, algunas de sus solicitudes se enmarca en el supuesto señalado en el párrafo precedente. En consecuencia, las observaciones formuladas a los documentos tipo serán incorporadas al repositorio de observaciones recibidas sobre dichos documentos, con el fin de que sean consideradas en futuras revisiones de estos</w:t>
      </w:r>
      <w:r w:rsidRPr="00A53CD6">
        <w:rPr>
          <w:rFonts w:ascii="Verdana" w:eastAsia="Aptos" w:hAnsi="Verdana" w:cs="ArialMT"/>
          <w:kern w:val="2"/>
          <w:vertAlign w:val="superscript"/>
          <w:lang w:eastAsia="es-MX"/>
          <w14:ligatures w14:val="standardContextual"/>
        </w:rPr>
        <w:footnoteReference w:id="4"/>
      </w:r>
      <w:r w:rsidRPr="00A53CD6">
        <w:rPr>
          <w:rFonts w:ascii="Verdana" w:eastAsia="Aptos" w:hAnsi="Verdana" w:cs="ArialMT"/>
          <w:kern w:val="2"/>
          <w:lang w:eastAsia="es-MX"/>
          <w14:ligatures w14:val="standardContextual"/>
        </w:rPr>
        <w:t xml:space="preserve">. </w:t>
      </w:r>
    </w:p>
    <w:p w14:paraId="2FFED26D" w14:textId="77777777" w:rsidR="00A53CD6" w:rsidRPr="00A53CD6" w:rsidRDefault="00A53CD6" w:rsidP="00A53CD6">
      <w:pPr>
        <w:suppressAutoHyphens/>
        <w:spacing w:after="0" w:line="276" w:lineRule="auto"/>
        <w:ind w:firstLine="709"/>
        <w:jc w:val="both"/>
        <w:rPr>
          <w:rFonts w:ascii="Verdana" w:eastAsia="Aptos" w:hAnsi="Verdana" w:cs="ArialMT"/>
          <w:kern w:val="2"/>
          <w:lang w:eastAsia="es-MX"/>
          <w14:ligatures w14:val="standardContextual"/>
        </w:rPr>
      </w:pPr>
      <w:r w:rsidRPr="00A53CD6">
        <w:rPr>
          <w:rFonts w:ascii="Verdana" w:eastAsia="Aptos" w:hAnsi="Verdana" w:cs="ArialMT"/>
          <w:kern w:val="2"/>
          <w:lang w:eastAsia="es-MX"/>
          <w14:ligatures w14:val="standardContextual"/>
        </w:rPr>
        <w:lastRenderedPageBreak/>
        <w:t>Sin perjuicio de lo anterior, le indicamos que, tal como lo establece el artículo 8 de la Resolución 160 de 2020, “</w:t>
      </w:r>
      <w:r w:rsidRPr="00A53CD6">
        <w:rPr>
          <w:rFonts w:ascii="Verdana" w:eastAsia="Aptos" w:hAnsi="Verdana" w:cs="ArialMT"/>
          <w:i/>
          <w:iCs/>
          <w:kern w:val="2"/>
          <w:lang w:eastAsia="es-MX"/>
          <w14:ligatures w14:val="standardContextual"/>
        </w:rPr>
        <w:t>una vez recibidos y analizados los comentarios y observaciones al proyecto de documentos tipo, se realizarán los ajustes pertinentes, siempre que la Agencia Nacional de Contratación Pública – Colombia Compra Eficiente los considere convenientes</w:t>
      </w:r>
      <w:r w:rsidRPr="00A53CD6">
        <w:rPr>
          <w:rFonts w:ascii="Verdana" w:eastAsia="Aptos" w:hAnsi="Verdana" w:cs="ArialMT"/>
          <w:kern w:val="2"/>
          <w:lang w:eastAsia="es-MX"/>
          <w14:ligatures w14:val="standardContextual"/>
        </w:rPr>
        <w:t>”. Por lo anterior, se aclara que el hecho de que las observaciones por usted allegadas hagan parte del repositorio de observaciones recibidas respecto de los documentos tipo no implica que esta Agencia las haya aceptado. En efecto, cuando se adelante un proceso de modificación de dichos documentos, las observaciones deberán ser objeto de revisión y análisis, con el fin de determinar su viabilidad y, de ser procedente, incorporarlas en los correspondientes documentos tipo.</w:t>
      </w:r>
    </w:p>
    <w:p w14:paraId="5DDB69ED" w14:textId="77777777" w:rsidR="00A53CD6" w:rsidRPr="00A53CD6" w:rsidRDefault="00A53CD6" w:rsidP="00A53CD6">
      <w:pPr>
        <w:suppressAutoHyphens/>
        <w:spacing w:after="0" w:line="276" w:lineRule="auto"/>
        <w:jc w:val="both"/>
        <w:rPr>
          <w:rFonts w:ascii="Verdana" w:eastAsia="Aptos" w:hAnsi="Verdana" w:cs="Arial"/>
          <w:kern w:val="2"/>
          <w14:ligatures w14:val="standardContextual"/>
        </w:rPr>
      </w:pPr>
    </w:p>
    <w:p w14:paraId="457B8A21" w14:textId="77777777" w:rsidR="00A53CD6" w:rsidRPr="00A53CD6" w:rsidRDefault="00A53CD6" w:rsidP="00A53CD6">
      <w:pPr>
        <w:suppressAutoHyphens/>
        <w:snapToGrid w:val="0"/>
        <w:spacing w:after="120" w:line="276" w:lineRule="auto"/>
        <w:ind w:firstLine="708"/>
        <w:jc w:val="both"/>
        <w:rPr>
          <w:rFonts w:ascii="Verdana" w:eastAsia="Aptos" w:hAnsi="Verdana" w:cs="Aptos"/>
          <w:kern w:val="2"/>
          <w:lang w:val="es-ES"/>
          <w14:ligatures w14:val="standardContextual"/>
        </w:rPr>
      </w:pPr>
      <w:r w:rsidRPr="00A53CD6">
        <w:rPr>
          <w:rFonts w:ascii="Verdana" w:eastAsia="Calibri" w:hAnsi="Verdana" w:cs="Arial"/>
          <w:color w:val="000000"/>
          <w:kern w:val="2"/>
          <w:lang w:val="es-ES" w:eastAsia="es-MX"/>
          <w14:ligatures w14:val="standardContextual"/>
        </w:rPr>
        <w:t>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2F6EF672" w14:textId="77777777" w:rsidR="00A53CD6" w:rsidRPr="00A53CD6" w:rsidRDefault="00A53CD6" w:rsidP="00A53CD6">
      <w:pPr>
        <w:suppressAutoHyphens/>
        <w:spacing w:after="120" w:line="276" w:lineRule="auto"/>
        <w:ind w:firstLine="709"/>
        <w:jc w:val="both"/>
        <w:rPr>
          <w:rFonts w:ascii="Verdana" w:eastAsia="Calibri" w:hAnsi="Verdana" w:cs="Arial"/>
          <w:bCs/>
          <w:color w:val="000000"/>
          <w:kern w:val="2"/>
          <w:lang w:val="es-ES_tradnl" w:eastAsia="es-MX"/>
          <w14:ligatures w14:val="standardContextual"/>
        </w:rPr>
      </w:pPr>
      <w:r w:rsidRPr="00A53CD6">
        <w:rPr>
          <w:rFonts w:ascii="Verdana" w:eastAsia="Calibri" w:hAnsi="Verdana" w:cs="Arial"/>
          <w:bCs/>
          <w:color w:val="000000"/>
          <w:kern w:val="2"/>
          <w:lang w:val="es-ES_tradnl" w:eastAsia="es-MX"/>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4EF140D0" w14:textId="77777777" w:rsidR="00A53CD6" w:rsidRPr="00A53CD6" w:rsidRDefault="00A53CD6" w:rsidP="00A53CD6">
      <w:pPr>
        <w:suppressAutoHyphens/>
        <w:spacing w:after="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Sin perjuicio de lo anterior, esta Subdirección responderá sus inquietudes en el marco de sus competencias, haciendo abstracción de los casos concretos, los cuales corresponden a las entidades públicas y a los particulares abordar, con </w:t>
      </w:r>
      <w:r w:rsidRPr="00A53CD6">
        <w:rPr>
          <w:rFonts w:ascii="Verdana" w:eastAsia="Aptos" w:hAnsi="Verdana" w:cs="Arial"/>
          <w:kern w:val="2"/>
          <w14:ligatures w14:val="standardContextual"/>
        </w:rPr>
        <w:lastRenderedPageBreak/>
        <w:t>sus equipos jurídicos y técnicos, de acuerdo con las particularidades de los procesos de contratación y en el marco de su autonomía:</w:t>
      </w:r>
    </w:p>
    <w:p w14:paraId="18505DC2" w14:textId="77777777" w:rsidR="00A53CD6" w:rsidRPr="00A53CD6" w:rsidRDefault="00A53CD6" w:rsidP="00A53CD6">
      <w:pPr>
        <w:suppressAutoHyphens/>
        <w:spacing w:after="0" w:line="276" w:lineRule="auto"/>
        <w:ind w:firstLine="708"/>
        <w:jc w:val="both"/>
        <w:rPr>
          <w:rFonts w:ascii="Verdana" w:eastAsia="Aptos" w:hAnsi="Verdana" w:cs="Arial"/>
          <w:kern w:val="2"/>
          <w14:ligatures w14:val="standardContextual"/>
        </w:rPr>
      </w:pPr>
    </w:p>
    <w:p w14:paraId="5E29880F" w14:textId="77777777" w:rsidR="00A53CD6" w:rsidRPr="00A53CD6" w:rsidRDefault="00A53CD6" w:rsidP="00A53CD6">
      <w:pPr>
        <w:suppressAutoHyphens/>
        <w:spacing w:after="0" w:line="276" w:lineRule="auto"/>
        <w:jc w:val="both"/>
        <w:rPr>
          <w:rFonts w:ascii="Verdana" w:eastAsia="Aptos" w:hAnsi="Verdana" w:cs="Arial"/>
          <w:b/>
          <w:bCs/>
          <w:kern w:val="2"/>
          <w14:ligatures w14:val="standardContextual"/>
        </w:rPr>
      </w:pPr>
      <w:r w:rsidRPr="00A53CD6">
        <w:rPr>
          <w:rFonts w:ascii="Verdana" w:eastAsia="Aptos" w:hAnsi="Verdana" w:cs="Arial"/>
          <w:b/>
          <w:bCs/>
          <w:kern w:val="2"/>
          <w14:ligatures w14:val="standardContextual"/>
        </w:rPr>
        <w:t>ii. Cronograma (preguntas 1-8):</w:t>
      </w:r>
    </w:p>
    <w:p w14:paraId="7A558435" w14:textId="77777777" w:rsidR="00A53CD6" w:rsidRPr="00A53CD6" w:rsidRDefault="00A53CD6" w:rsidP="00A53CD6">
      <w:pPr>
        <w:suppressAutoHyphens/>
        <w:spacing w:after="0" w:line="276" w:lineRule="auto"/>
        <w:jc w:val="both"/>
        <w:rPr>
          <w:rFonts w:ascii="Verdana" w:eastAsia="Aptos" w:hAnsi="Verdana" w:cs="Arial"/>
          <w:kern w:val="2"/>
          <w14:ligatures w14:val="standardContextual"/>
        </w:rPr>
      </w:pPr>
    </w:p>
    <w:p w14:paraId="3DBDE083" w14:textId="77777777" w:rsidR="00A53CD6" w:rsidRPr="00A53CD6" w:rsidRDefault="00A53CD6" w:rsidP="00A53CD6">
      <w:pPr>
        <w:suppressAutoHyphens/>
        <w:spacing w:after="120" w:line="276" w:lineRule="auto"/>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El Anexo 2 es el cronograma oficial del proceso. Así lo establece el numeral 1.7 del Documento Base de todos los Documentos Tipo citados, según el cual “el cronograma del proceso es el contenido en el Anexo 2 – Cronograma”, y en el que se instruye a la entidad para que lo elabore “teniendo en cuenta los términos legales para cada una de las etapas del proceso” y lo adapte “al formato del SECOP II cuando contrate por medio de esta plataforma”. En el Anexo 2 la entidad indica, para cada actividad, la fecha, el lugar y la norma que la sustenta. Como los Documentos Tipo son obligatorios para todas las Entidades Estatales sometidas al Estatuto General de Contratación de la Administración Pública, el Anexo 2 debe diligenciarse y publicarse con los demás documentos del proceso, que, de acuerdo con el artículo 2.2.1.1.1.7.1 del Decreto 1082 de 2015, se publican en el SECOP dentro de los tres días siguientes a su expedición. En el SECOP II la publicidad se surte a medida que se desarrolla cada etapa, salvo para los documentos elaborados por fuera de la plataforma, a los que se sigue aplicando el plazo de tres días.</w:t>
      </w:r>
    </w:p>
    <w:p w14:paraId="385AD3C9" w14:textId="77777777" w:rsidR="00A53CD6" w:rsidRPr="00A53CD6" w:rsidRDefault="00A53CD6" w:rsidP="00A53CD6">
      <w:pPr>
        <w:suppressAutoHyphens/>
        <w:spacing w:after="12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Ahora bien, el Decreto 1082 de 2015 exige incluir el cronograma en el aviso de convocatoria, en el pliego de condiciones y en el acto de apertura. Ese deber no se cumple con solo configurar las fechas en la sección de información general del SECOP II, porque publicar el cronograma y darle el contenido que exige la norma son obligaciones distintas, aunque los formularios electrónicos que diligencia la entidad también hacen parte de los documentos del proceso.</w:t>
      </w:r>
    </w:p>
    <w:p w14:paraId="0F7BA9D4" w14:textId="77777777" w:rsidR="00A53CD6" w:rsidRPr="00A53CD6" w:rsidRDefault="00A53CD6" w:rsidP="00A53CD6">
      <w:pPr>
        <w:suppressAutoHyphens/>
        <w:spacing w:after="120" w:line="276" w:lineRule="auto"/>
        <w:ind w:firstLine="709"/>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Como el Anexo 2 hace parte del pliego de condiciones, sus cambios se hacen mediante adenda justificada, que también debe verse reflejada en el SECOP II. Antes del cierre, la adenda debe publicarse con tres días hábiles de anticipación en la licitación pública y con un día hábil en las demás modalidades, según lo dispuesto en el numeral 5 del artículo 30 de la Ley 80 de 1993, modificado por el artículo 89 de la Ley 1474 de 2011, y en el artículo 2.2.1.1.2.2.1 del Decreto 1082 de 2015. Esa última norma también permite </w:t>
      </w:r>
      <w:r w:rsidRPr="00A53CD6">
        <w:rPr>
          <w:rFonts w:ascii="Verdana" w:eastAsia="Aptos" w:hAnsi="Verdana" w:cs="Arial"/>
          <w:kern w:val="2"/>
          <w14:ligatures w14:val="standardContextual"/>
        </w:rPr>
        <w:lastRenderedPageBreak/>
        <w:t>expedir adendas que modifiquen el cronograma después de vencido el término para presentar ofertas y antes de la adjudicación, en cualquier modalidad de selección. Esas adendas, sin embargo, solo pueden modificar los plazos de las etapas que no hayan vencido, porque el numeral 1 del artículo 25 de la Ley 80 de 1993 exige señalar términos preclusivos y perentorios para las diferentes etapas de la selección, y la entidad no puede volver sobre una fase ya agotada</w:t>
      </w:r>
      <w:r w:rsidRPr="00A53CD6">
        <w:rPr>
          <w:rFonts w:ascii="Verdana" w:eastAsia="Aptos" w:hAnsi="Verdana" w:cs="Arial"/>
          <w:kern w:val="2"/>
          <w:vertAlign w:val="superscript"/>
          <w14:ligatures w14:val="standardContextual"/>
        </w:rPr>
        <w:footnoteReference w:id="5"/>
      </w:r>
      <w:r w:rsidRPr="00A53CD6">
        <w:rPr>
          <w:rFonts w:ascii="Verdana" w:eastAsia="Aptos" w:hAnsi="Verdana" w:cs="Arial"/>
          <w:kern w:val="2"/>
          <w14:ligatures w14:val="standardContextual"/>
        </w:rPr>
        <w:t>.</w:t>
      </w:r>
    </w:p>
    <w:p w14:paraId="162EDB65" w14:textId="77777777" w:rsidR="00A53CD6" w:rsidRPr="00A53CD6" w:rsidRDefault="00A53CD6" w:rsidP="00A53CD6">
      <w:pPr>
        <w:suppressAutoHyphens/>
        <w:spacing w:after="120" w:line="276" w:lineRule="auto"/>
        <w:ind w:firstLine="709"/>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Ni las normas citadas ni los Documentos Tipo contienen una regla de prevalencia entre el cronograma configurado en el SECOP II y el Anexo 2. Los Documentos Tipo de infraestructura social, por ejemplo, regulan qué prevalece cuando hay discrepancias entre el Formulario 1 – Presupuesto Oficial y el cuestionario del SECOP II, pero no prevén nada semejante para el cronograma. Ambos documentos integran los documentos del proceso y deben coincidir, de modo que, si la entidad advierte una contradicción entre ellos, le corresponde eliminarla mediante adenda antes de que venza la etapa afectada.</w:t>
      </w:r>
    </w:p>
    <w:p w14:paraId="1EA38012" w14:textId="77777777" w:rsidR="00A53CD6" w:rsidRPr="00A53CD6" w:rsidRDefault="00A53CD6" w:rsidP="00A53CD6">
      <w:pPr>
        <w:suppressAutoHyphens/>
        <w:spacing w:after="120" w:line="276" w:lineRule="auto"/>
        <w:ind w:firstLine="709"/>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En cuanto a las audiencias, nada impide que se realicen de manera virtual. El numeral 2.6 del Documento Base de los Documentos Tipo de licitación de infraestructura de transporte, de los Documentos Tipo de licitación de agua potable y saneamiento básico y de los Documentos Tipo de licitación de infraestructura social dispone que, en la fecha establecida en el Anexo 2, la entidad instalará y desarrollará la audiencia efectiva de adjudicación “sin perjuicio de la utilización de los medios virtuales que garanticen la participación y la interacción de los interesados con la entidad contratante”, regla que armoniza con el artículo 3 de la Ley 1150 de 2007, que autoriza adelantar las actuaciones contractuales por medios electrónicos. En la menor cuantía la audiencia de adjudicación es opcional, y si la entidad decide realizarla debe fijarla en el Anexo 2, como lo prevé el numeral 2.9 del Documento Base de los Documentos Tipo de menor cuantía de infraestructura de transporte. Cuando el proceso se tramita en el SECOP I, el numeral 2.7 de ese mismo documento ordena abrir las ofertas “en presencia de los proponentes o veedores que deseen </w:t>
      </w:r>
      <w:r w:rsidRPr="00A53CD6">
        <w:rPr>
          <w:rFonts w:ascii="Verdana" w:eastAsia="Aptos" w:hAnsi="Verdana" w:cs="Arial"/>
          <w:kern w:val="2"/>
          <w14:ligatures w14:val="standardContextual"/>
        </w:rPr>
        <w:lastRenderedPageBreak/>
        <w:t>asistir” y elaborar un acta de cierre, conforme al artículo 2.2.1.1.2.2.5 del Decreto 1082 de 2015. En la licitación de infraestructura de transporte, el numeral 2.4 prevé reglas semejantes para los procesos que se adelantan en el SECOP I, como la firma del Sobre No. 2 por los asistentes al cierre y su custodia hasta la audiencia efectiva de adjudicación, pero esas reglas solo se aplican a las licitaciones que se tramitan por completo en medio físico</w:t>
      </w:r>
      <w:r w:rsidRPr="00A53CD6">
        <w:rPr>
          <w:rFonts w:ascii="Verdana" w:eastAsia="Aptos" w:hAnsi="Verdana" w:cs="Arial"/>
          <w:kern w:val="2"/>
          <w:vertAlign w:val="superscript"/>
          <w14:ligatures w14:val="standardContextual"/>
        </w:rPr>
        <w:footnoteReference w:id="6"/>
      </w:r>
      <w:r w:rsidRPr="00A53CD6">
        <w:rPr>
          <w:rFonts w:ascii="Verdana" w:eastAsia="Aptos" w:hAnsi="Verdana" w:cs="Arial"/>
          <w:kern w:val="2"/>
          <w14:ligatures w14:val="standardContextual"/>
        </w:rPr>
        <w:t>. Ninguna de estas reglas prohíbe la audiencia presencial, ni tampoco obliga a que sea híbrida.</w:t>
      </w:r>
    </w:p>
    <w:p w14:paraId="0174E5DE" w14:textId="77777777" w:rsidR="00A53CD6" w:rsidRPr="00A53CD6" w:rsidRDefault="00A53CD6" w:rsidP="00A53CD6">
      <w:pPr>
        <w:suppressAutoHyphens/>
        <w:spacing w:after="120" w:line="276" w:lineRule="auto"/>
        <w:ind w:firstLine="709"/>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Esta Agencia ya definió el alcance de la expresión “sin perjuicio de la utilización de los medios virtuales” del numeral 2.6, y al respecto manifestó que la entidad puede realizar la audiencia efectiva de adjudicación por medios electrónicos que permitan la interacción simultánea entre los interesados y la entidad, y puede hacerlo tanto si el proceso se tramita en el SECOP I como en el SECOP II</w:t>
      </w:r>
      <w:r w:rsidRPr="00A53CD6">
        <w:rPr>
          <w:rFonts w:ascii="Verdana" w:eastAsia="Aptos" w:hAnsi="Verdana" w:cs="Arial"/>
          <w:kern w:val="2"/>
          <w:vertAlign w:val="superscript"/>
          <w14:ligatures w14:val="standardContextual"/>
        </w:rPr>
        <w:footnoteReference w:id="7"/>
      </w:r>
      <w:r w:rsidRPr="00A53CD6">
        <w:rPr>
          <w:rFonts w:ascii="Verdana" w:eastAsia="Aptos" w:hAnsi="Verdana" w:cs="Arial"/>
          <w:kern w:val="2"/>
          <w14:ligatures w14:val="standardContextual"/>
        </w:rPr>
        <w:t>. Esa conclusión se apoya en el artículo 3 de la Ley 1150 de 2007 y en la Ley 527 de 1999, y exige que las herramientas que use la entidad permitan un intercambio de mensajes de datos en tiempo real, de modo que los asistentes puedan seguir la audiencia e intervenir en ella</w:t>
      </w:r>
      <w:r w:rsidRPr="00A53CD6">
        <w:rPr>
          <w:rFonts w:ascii="Verdana" w:eastAsia="Aptos" w:hAnsi="Verdana" w:cs="Arial"/>
          <w:kern w:val="2"/>
          <w:vertAlign w:val="superscript"/>
          <w14:ligatures w14:val="standardContextual"/>
        </w:rPr>
        <w:footnoteReference w:id="8"/>
      </w:r>
      <w:r w:rsidRPr="00A53CD6">
        <w:rPr>
          <w:rFonts w:ascii="Verdana" w:eastAsia="Aptos" w:hAnsi="Verdana" w:cs="Arial"/>
          <w:kern w:val="2"/>
          <w14:ligatures w14:val="standardContextual"/>
        </w:rPr>
        <w:t>.</w:t>
      </w:r>
    </w:p>
    <w:p w14:paraId="7CA33961" w14:textId="77777777" w:rsidR="00A53CD6" w:rsidRPr="00A53CD6" w:rsidRDefault="00A53CD6" w:rsidP="00A53CD6">
      <w:pPr>
        <w:suppressAutoHyphens/>
        <w:spacing w:after="0" w:line="276" w:lineRule="auto"/>
        <w:ind w:firstLine="709"/>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La audiencia que se realiza por medios electrónicos conserva las garantías de la presencial: en ella deben respetarse los principios de la función </w:t>
      </w:r>
      <w:r w:rsidRPr="00A53CD6">
        <w:rPr>
          <w:rFonts w:ascii="Verdana" w:eastAsia="Aptos" w:hAnsi="Verdana" w:cs="Arial"/>
          <w:kern w:val="2"/>
          <w14:ligatures w14:val="standardContextual"/>
        </w:rPr>
        <w:lastRenderedPageBreak/>
        <w:t>administrativa del artículo 209 de la Constitución y el debido proceso del artículo 29, que incluye el derecho de contradicción y la publicidad. Por eso, como el Anexo 2 señala la fecha y el lugar de cada actuación, la modalidad de cada audiencia debe constar en los documentos del proceso y su cambio debe hacerse por adenda publicada con oportunidad. Exigir a los interesados una forma de asistencia que no se les informó de esa manera no se concilia con los numerales 2 y 3 del artículo 24 de la Ley 80 de 1993, que garantizan a los interesados la oportunidad de conocer las actuaciones del proceso y disponen que estas son públicas.</w:t>
      </w:r>
    </w:p>
    <w:p w14:paraId="1CDD463D" w14:textId="77777777" w:rsidR="00A53CD6" w:rsidRPr="00A53CD6" w:rsidRDefault="00A53CD6" w:rsidP="00A53CD6">
      <w:pPr>
        <w:suppressAutoHyphens/>
        <w:spacing w:after="0" w:line="276" w:lineRule="auto"/>
        <w:jc w:val="both"/>
        <w:rPr>
          <w:rFonts w:ascii="Verdana" w:eastAsia="Aptos" w:hAnsi="Verdana" w:cs="Arial"/>
          <w:kern w:val="2"/>
          <w14:ligatures w14:val="standardContextual"/>
        </w:rPr>
      </w:pPr>
    </w:p>
    <w:p w14:paraId="6FDC44BC" w14:textId="77777777" w:rsidR="00A53CD6" w:rsidRPr="00A53CD6" w:rsidRDefault="00A53CD6" w:rsidP="00A53CD6">
      <w:pPr>
        <w:suppressAutoHyphens/>
        <w:spacing w:after="0" w:line="276" w:lineRule="auto"/>
        <w:jc w:val="both"/>
        <w:rPr>
          <w:rFonts w:ascii="Verdana" w:eastAsia="Aptos" w:hAnsi="Verdana" w:cs="Arial"/>
          <w:b/>
          <w:bCs/>
          <w:kern w:val="2"/>
          <w14:ligatures w14:val="standardContextual"/>
        </w:rPr>
      </w:pPr>
      <w:r w:rsidRPr="00A53CD6">
        <w:rPr>
          <w:rFonts w:ascii="Verdana" w:eastAsia="Aptos" w:hAnsi="Verdana" w:cs="Arial"/>
          <w:b/>
          <w:bCs/>
          <w:kern w:val="2"/>
          <w14:ligatures w14:val="standardContextual"/>
        </w:rPr>
        <w:t>iii. Publicidad de las ofertas (preguntas 9-12):</w:t>
      </w:r>
    </w:p>
    <w:p w14:paraId="7045D170" w14:textId="77777777" w:rsidR="00A53CD6" w:rsidRPr="00A53CD6" w:rsidRDefault="00A53CD6" w:rsidP="00A53CD6">
      <w:pPr>
        <w:suppressAutoHyphens/>
        <w:spacing w:after="0" w:line="276" w:lineRule="auto"/>
        <w:jc w:val="both"/>
        <w:rPr>
          <w:rFonts w:ascii="Verdana" w:eastAsia="Aptos" w:hAnsi="Verdana" w:cs="Arial"/>
          <w:kern w:val="2"/>
          <w14:ligatures w14:val="standardContextual"/>
        </w:rPr>
      </w:pPr>
    </w:p>
    <w:p w14:paraId="41809A2B" w14:textId="77777777" w:rsidR="00A53CD6" w:rsidRPr="00A53CD6" w:rsidRDefault="00A53CD6" w:rsidP="00A53CD6">
      <w:pPr>
        <w:suppressAutoHyphens/>
        <w:spacing w:after="120" w:line="276" w:lineRule="auto"/>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Realizada la apertura, las ofertas son públicas y la entidad debe publicarlas en el SECOP II. El numeral 2.7 del Documento Base de los Documentos Tipo de menor cuantía de infraestructura de transporte dispone que, una vez vencido el término para presentar ofertas, la entidad “</w:t>
      </w:r>
      <w:r w:rsidRPr="00A53CD6">
        <w:rPr>
          <w:rFonts w:ascii="Verdana" w:eastAsia="Aptos" w:hAnsi="Verdana" w:cs="Arial"/>
          <w:i/>
          <w:iCs/>
          <w:kern w:val="2"/>
          <w14:ligatures w14:val="standardContextual"/>
        </w:rPr>
        <w:t>debe realizar su apertura y publicar la lista de oferentes. Realizada la apertura, las propuestas son públicas y cualquier persona podrá consultarlas</w:t>
      </w:r>
      <w:r w:rsidRPr="00A53CD6">
        <w:rPr>
          <w:rFonts w:ascii="Verdana" w:eastAsia="Aptos" w:hAnsi="Verdana" w:cs="Arial"/>
          <w:kern w:val="2"/>
          <w14:ligatures w14:val="standardContextual"/>
        </w:rPr>
        <w:t>”, y que las dará a conocer “haciendo clic en la opción “publicar ofertas”, para que sean visibles a todos los proponentes”. La misma regla se encuentra en el numeral 2.7 del Documento Base de los Documentos Tipo de menor cuantía de infraestructura social y, para la apertura del Sobre No. 1, en el numeral 2.4 del Documento Base de los Documentos Tipo de licitación de infraestructura de transporte, de los Documentos Tipo de licitación de agua potable y saneamiento básico y de los Documentos Tipo de licitación de infraestructura social.</w:t>
      </w:r>
    </w:p>
    <w:p w14:paraId="7DA72D6C" w14:textId="77777777" w:rsidR="00A53CD6" w:rsidRPr="00A53CD6" w:rsidRDefault="00A53CD6" w:rsidP="00A53CD6">
      <w:pPr>
        <w:suppressAutoHyphens/>
        <w:spacing w:after="120" w:line="276" w:lineRule="auto"/>
        <w:ind w:firstLine="709"/>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Los Documentos Tipo no señalan un plazo en días para esta actuación, y no tendrían por qué hacerlo, pues la publicación es consecuencia inmediata de la apertura. Lo que sí protegen es la información que el proponente identifique como reservada, quien, según el numeral 1.12 del Documento Base de los Documentos Tipo de menor cuantía de infraestructura de transporte, debe manifestarlo “con absoluta claridad y precisión en el Formato 1”, “citando expresamente la disposición legal que lo ampara”. A su vez, el numeral 1.20 del mismo documento obliga a la entidad a validar la información antes de cargarla </w:t>
      </w:r>
      <w:r w:rsidRPr="00A53CD6">
        <w:rPr>
          <w:rFonts w:ascii="Verdana" w:eastAsia="Aptos" w:hAnsi="Verdana" w:cs="Arial"/>
          <w:kern w:val="2"/>
          <w14:ligatures w14:val="standardContextual"/>
        </w:rPr>
        <w:lastRenderedPageBreak/>
        <w:t>en el SECOP, para no publicar los datos sensibles aportados para acreditar los factores de desempate. En todo caso, que un documento contenga información reservada no hace reservado todo el documento</w:t>
      </w:r>
      <w:r w:rsidRPr="00A53CD6">
        <w:rPr>
          <w:rFonts w:ascii="Verdana" w:eastAsia="Aptos" w:hAnsi="Verdana" w:cs="Arial"/>
          <w:kern w:val="2"/>
          <w:vertAlign w:val="superscript"/>
          <w14:ligatures w14:val="standardContextual"/>
        </w:rPr>
        <w:footnoteReference w:id="9"/>
      </w:r>
      <w:r w:rsidRPr="00A53CD6">
        <w:rPr>
          <w:rFonts w:ascii="Verdana" w:eastAsia="Aptos" w:hAnsi="Verdana" w:cs="Arial"/>
          <w:kern w:val="2"/>
          <w14:ligatures w14:val="standardContextual"/>
        </w:rPr>
        <w:t>, y la publicidad de las ofertas es la que permite a los interesados controvertirlas mediante observaciones.</w:t>
      </w:r>
    </w:p>
    <w:p w14:paraId="11868538" w14:textId="77777777" w:rsidR="00A53CD6" w:rsidRPr="00A53CD6" w:rsidRDefault="00A53CD6" w:rsidP="00A53CD6">
      <w:pPr>
        <w:suppressAutoHyphens/>
        <w:spacing w:after="0" w:line="276" w:lineRule="auto"/>
        <w:ind w:firstLine="709"/>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En la práctica, cuando una oferta contiene información reservada o datos sensibles, el SECOP II permite a la entidad calificarla como confidencial antes de publicar las ofertas, y así esos documentos no se publican</w:t>
      </w:r>
      <w:r w:rsidRPr="00A53CD6">
        <w:rPr>
          <w:rFonts w:ascii="Verdana" w:eastAsia="Aptos" w:hAnsi="Verdana" w:cs="Arial"/>
          <w:kern w:val="2"/>
          <w:vertAlign w:val="superscript"/>
          <w14:ligatures w14:val="standardContextual"/>
        </w:rPr>
        <w:footnoteReference w:id="10"/>
      </w:r>
      <w:r w:rsidRPr="00A53CD6">
        <w:rPr>
          <w:rFonts w:ascii="Verdana" w:eastAsia="Aptos" w:hAnsi="Verdana" w:cs="Arial"/>
          <w:kern w:val="2"/>
          <w14:ligatures w14:val="standardContextual"/>
        </w:rPr>
        <w:t>. Cuando solo una parte del documento está protegida, lo procedente es preparar una versión pública que mantenga la reserva únicamente sobre la parte indispensable, como lo prevé el artículo 21 de la Ley 1712 de 2014. Todo esto desarrolla el numeral 2 del artículo 24 de la Ley 80 de 1993, que reconoce a los interesados la oportunidad de conocer y controvertir los informes, conceptos y decisiones que se rindan o adopten en el proceso, derecho que difícilmente puede ejercerse frente al informe de evaluación si no se tiene acceso a las ofertas.</w:t>
      </w:r>
    </w:p>
    <w:p w14:paraId="70B167EB" w14:textId="77777777" w:rsidR="00A53CD6" w:rsidRPr="00A53CD6" w:rsidRDefault="00A53CD6" w:rsidP="00A53CD6">
      <w:pPr>
        <w:suppressAutoHyphens/>
        <w:spacing w:after="0" w:line="276" w:lineRule="auto"/>
        <w:jc w:val="both"/>
        <w:rPr>
          <w:rFonts w:ascii="Verdana" w:eastAsia="Aptos" w:hAnsi="Verdana" w:cs="Arial"/>
          <w:kern w:val="2"/>
          <w14:ligatures w14:val="standardContextual"/>
        </w:rPr>
      </w:pPr>
    </w:p>
    <w:p w14:paraId="60EC9383" w14:textId="77777777" w:rsidR="00A53CD6" w:rsidRPr="00A53CD6" w:rsidRDefault="00A53CD6" w:rsidP="00A53CD6">
      <w:pPr>
        <w:suppressAutoHyphens/>
        <w:spacing w:after="0" w:line="276" w:lineRule="auto"/>
        <w:jc w:val="both"/>
        <w:rPr>
          <w:rFonts w:ascii="Verdana" w:eastAsia="Aptos" w:hAnsi="Verdana" w:cs="Arial"/>
          <w:b/>
          <w:bCs/>
          <w:kern w:val="2"/>
          <w14:ligatures w14:val="standardContextual"/>
        </w:rPr>
      </w:pPr>
      <w:r w:rsidRPr="00A53CD6">
        <w:rPr>
          <w:rFonts w:ascii="Verdana" w:eastAsia="Aptos" w:hAnsi="Verdana" w:cs="Arial"/>
          <w:b/>
          <w:bCs/>
          <w:kern w:val="2"/>
          <w14:ligatures w14:val="standardContextual"/>
        </w:rPr>
        <w:t>iv. Tiempos de evaluación y demoras (preguntas 13-16 y 22-24):</w:t>
      </w:r>
    </w:p>
    <w:p w14:paraId="6EE3ED11" w14:textId="77777777" w:rsidR="00A53CD6" w:rsidRPr="00A53CD6" w:rsidRDefault="00A53CD6" w:rsidP="00A53CD6">
      <w:pPr>
        <w:suppressAutoHyphens/>
        <w:spacing w:after="0" w:line="276" w:lineRule="auto"/>
        <w:jc w:val="both"/>
        <w:rPr>
          <w:rFonts w:ascii="Verdana" w:eastAsia="Aptos" w:hAnsi="Verdana" w:cs="Arial"/>
          <w:b/>
          <w:bCs/>
          <w:kern w:val="2"/>
          <w14:ligatures w14:val="standardContextual"/>
        </w:rPr>
      </w:pPr>
    </w:p>
    <w:p w14:paraId="390A9545" w14:textId="77777777" w:rsidR="00A53CD6" w:rsidRPr="00A53CD6" w:rsidRDefault="00A53CD6" w:rsidP="00A53CD6">
      <w:pPr>
        <w:suppressAutoHyphens/>
        <w:spacing w:after="120" w:line="276" w:lineRule="auto"/>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Los Documentos Tipo regulan el término de traslado del informe de evaluación, pero no fijan el plazo para evaluar ni un límite de prórrogas. Según el numeral 2.8 del Documento Base de los Documentos Tipo de menor cuantía de infraestructura de transporte, el informe permanece publicado durante tres (3) días hábiles, y según el numeral 2.5 del Documento Base de los Documentos Tipo de licitación de infraestructura de transporte, durante cinco (5) días hábiles. En ambos casos, si el informe inicial sufrió variaciones, el informe final debe publicarse a más tardar el día anterior a la adjudicación o, en la licitación, a la audiencia efectiva de adjudicación, hasta las 11:59 p. m. La fecha del informe </w:t>
      </w:r>
      <w:r w:rsidRPr="00A53CD6">
        <w:rPr>
          <w:rFonts w:ascii="Verdana" w:eastAsia="Aptos" w:hAnsi="Verdana" w:cs="Arial"/>
          <w:kern w:val="2"/>
          <w14:ligatures w14:val="standardContextual"/>
        </w:rPr>
        <w:lastRenderedPageBreak/>
        <w:t>preliminar, en cambio, aparece en el Anexo 2 como una “fecha definida por la Entidad”, y el numeral 1.6 del Documento Base de todos los Documentos Tipo citados prevé que la entidad “ajustará el Cronograma” “en caso de que sea necesario”, como ocurre cuando requiere a un proponente después de no haber advertido a tiempo la falta de un documento.</w:t>
      </w:r>
    </w:p>
    <w:p w14:paraId="660D47B7" w14:textId="77777777" w:rsidR="00A53CD6" w:rsidRPr="00A53CD6" w:rsidRDefault="00A53CD6" w:rsidP="00A53CD6">
      <w:pPr>
        <w:suppressAutoHyphens/>
        <w:spacing w:after="120" w:line="276" w:lineRule="auto"/>
        <w:ind w:firstLine="709"/>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Esto no significa que la entidad pueda prolongar la evaluación sin límite, porque los límites vienen de la ley. En la licitación, el numeral 7</w:t>
      </w:r>
      <w:r w:rsidRPr="00A53CD6">
        <w:rPr>
          <w:rFonts w:ascii="Verdana" w:eastAsia="Aptos" w:hAnsi="Verdana" w:cs="Arial"/>
          <w:kern w:val="2"/>
          <w:vertAlign w:val="superscript"/>
          <w14:ligatures w14:val="standardContextual"/>
        </w:rPr>
        <w:footnoteReference w:id="11"/>
      </w:r>
      <w:r w:rsidRPr="00A53CD6">
        <w:rPr>
          <w:rFonts w:ascii="Verdana" w:eastAsia="Aptos" w:hAnsi="Verdana" w:cs="Arial"/>
          <w:kern w:val="2"/>
          <w14:ligatures w14:val="standardContextual"/>
        </w:rPr>
        <w:t xml:space="preserve"> del artículo 30 de la Ley 80 de 1993 exige que el pliego señale “el plazo razonable” para la evaluación, y el numeral 9</w:t>
      </w:r>
      <w:r w:rsidRPr="00A53CD6">
        <w:rPr>
          <w:rFonts w:ascii="Verdana" w:eastAsia="Aptos" w:hAnsi="Verdana" w:cs="Arial"/>
          <w:kern w:val="2"/>
          <w:vertAlign w:val="superscript"/>
          <w14:ligatures w14:val="standardContextual"/>
        </w:rPr>
        <w:footnoteReference w:id="12"/>
      </w:r>
      <w:r w:rsidRPr="00A53CD6">
        <w:rPr>
          <w:rFonts w:ascii="Verdana" w:eastAsia="Aptos" w:hAnsi="Verdana" w:cs="Arial"/>
          <w:kern w:val="2"/>
          <w14:ligatures w14:val="standardContextual"/>
        </w:rPr>
        <w:t xml:space="preserve"> del mismo artículo solo permite al jefe o representante de la entidad prorrogar el plazo de adjudicación antes de su vencimiento, por un término total no mayor a la mitad del inicialmente fijado y siempre que las necesidades de la administración lo exijan. Por su parte, como se indicó con anterioridad, las adendas expedidas después del cierre solo pueden modificar los plazos de etapas no vencidas, deben estar justificadas y deben respetar los principios de economía y transparencia.</w:t>
      </w:r>
    </w:p>
    <w:p w14:paraId="2685148B" w14:textId="77777777" w:rsidR="00A53CD6" w:rsidRPr="00A53CD6" w:rsidRDefault="00A53CD6" w:rsidP="00A53CD6">
      <w:pPr>
        <w:suppressAutoHyphens/>
        <w:spacing w:after="120" w:line="276" w:lineRule="auto"/>
        <w:ind w:firstLine="709"/>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Ahora bien, en ejercicio de la competencia para adoptar y revisar los Documentos Tipo que le otorga el artículo 1 de la Ley 2022 de 2020, esta Agencia puede fijar en ellos los términos y condiciones que considere necesarios para la evaluación y para la consolidación del informe definitivo –siempre y cuando esto lo permita la Ley–. De esta forma, la sugerencia que usted formula se </w:t>
      </w:r>
      <w:r w:rsidRPr="00A53CD6">
        <w:rPr>
          <w:rFonts w:ascii="Verdana" w:eastAsia="Aptos" w:hAnsi="Verdana" w:cs="Arial"/>
          <w:kern w:val="2"/>
          <w14:ligatures w14:val="standardContextual"/>
        </w:rPr>
        <w:lastRenderedPageBreak/>
        <w:t>incorporará al repositorio de observaciones al que se hizo referencia para analizarla al momento de una eventual modificación a los documentos tipo.</w:t>
      </w:r>
    </w:p>
    <w:p w14:paraId="5A71E2E6" w14:textId="77777777" w:rsidR="00A53CD6" w:rsidRPr="00A53CD6" w:rsidRDefault="00A53CD6" w:rsidP="00A53CD6">
      <w:pPr>
        <w:suppressAutoHyphens/>
        <w:spacing w:after="120" w:line="276" w:lineRule="auto"/>
        <w:ind w:firstLine="709"/>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En relación con los efectos económicos de la demora, como el cambio de vigencia fiscal o el incremento del salario mínimo y de los costos, debe recordarse que el numeral 8</w:t>
      </w:r>
      <w:r w:rsidRPr="00A53CD6">
        <w:rPr>
          <w:rFonts w:ascii="Verdana" w:eastAsia="Aptos" w:hAnsi="Verdana" w:cs="Arial"/>
          <w:kern w:val="2"/>
          <w:vertAlign w:val="superscript"/>
          <w14:ligatures w14:val="standardContextual"/>
        </w:rPr>
        <w:footnoteReference w:id="13"/>
      </w:r>
      <w:r w:rsidRPr="00A53CD6">
        <w:rPr>
          <w:rFonts w:ascii="Verdana" w:eastAsia="Aptos" w:hAnsi="Verdana" w:cs="Arial"/>
          <w:kern w:val="2"/>
          <w14:ligatures w14:val="standardContextual"/>
        </w:rPr>
        <w:t xml:space="preserve"> del artículo 4 de la Ley 80 de 1993 obliga a las entidades a adoptar las medidas necesarias para mantener las condiciones “existentes al momento de proponer”, y que el artículo 27</w:t>
      </w:r>
      <w:r w:rsidRPr="00A53CD6">
        <w:rPr>
          <w:rFonts w:ascii="Verdana" w:eastAsia="Aptos" w:hAnsi="Verdana" w:cs="Arial"/>
          <w:kern w:val="2"/>
          <w:vertAlign w:val="superscript"/>
          <w14:ligatures w14:val="standardContextual"/>
        </w:rPr>
        <w:footnoteReference w:id="14"/>
      </w:r>
      <w:r w:rsidRPr="00A53CD6">
        <w:rPr>
          <w:rFonts w:ascii="Verdana" w:eastAsia="Aptos" w:hAnsi="Verdana" w:cs="Arial"/>
          <w:kern w:val="2"/>
          <w14:ligatures w14:val="standardContextual"/>
        </w:rPr>
        <w:t xml:space="preserve"> de esa misma ley ordena restablecer la ecuación contractual cuando se rompe por causas no imputables a quien resulte afectado.</w:t>
      </w:r>
    </w:p>
    <w:p w14:paraId="5E1A798E" w14:textId="77777777" w:rsidR="00A53CD6" w:rsidRPr="00A53CD6" w:rsidRDefault="00A53CD6" w:rsidP="00A53CD6">
      <w:pPr>
        <w:suppressAutoHyphens/>
        <w:spacing w:after="0" w:line="276" w:lineRule="auto"/>
        <w:ind w:firstLine="709"/>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Estas reglas, sin embargo, se aplican durante la ejecución del contrato. Mientras dura el procedimiento de selección, la prolongación de los plazos se refleja más bien en la vigencia de la oferta y de su garantía de seriedad, que, según el artículo 2.2.1.2.3.1.6 del Decreto 1082 de 2015, cubre, entre otros </w:t>
      </w:r>
      <w:r w:rsidRPr="00A53CD6">
        <w:rPr>
          <w:rFonts w:ascii="Verdana" w:eastAsia="Aptos" w:hAnsi="Verdana" w:cs="Arial"/>
          <w:kern w:val="2"/>
          <w14:ligatures w14:val="standardContextual"/>
        </w:rPr>
        <w:lastRenderedPageBreak/>
        <w:t>riesgos, la no ampliación de su vigencia cuando se prorroga el término previsto para la adjudicación o para la suscripción del contrato.</w:t>
      </w:r>
    </w:p>
    <w:p w14:paraId="38B61AEC" w14:textId="77777777" w:rsidR="00A53CD6" w:rsidRPr="00A53CD6" w:rsidRDefault="00A53CD6" w:rsidP="00A53CD6">
      <w:pPr>
        <w:suppressAutoHyphens/>
        <w:spacing w:after="0" w:line="276" w:lineRule="auto"/>
        <w:jc w:val="both"/>
        <w:rPr>
          <w:rFonts w:ascii="Verdana" w:eastAsia="Aptos" w:hAnsi="Verdana" w:cs="Arial"/>
          <w:kern w:val="2"/>
          <w14:ligatures w14:val="standardContextual"/>
        </w:rPr>
      </w:pPr>
    </w:p>
    <w:p w14:paraId="3D339D83" w14:textId="77777777" w:rsidR="00A53CD6" w:rsidRPr="00A53CD6" w:rsidRDefault="00A53CD6" w:rsidP="00A53CD6">
      <w:pPr>
        <w:suppressAutoHyphens/>
        <w:spacing w:after="0" w:line="276" w:lineRule="auto"/>
        <w:jc w:val="both"/>
        <w:rPr>
          <w:rFonts w:ascii="Verdana" w:eastAsia="Aptos" w:hAnsi="Verdana" w:cs="Arial"/>
          <w:b/>
          <w:bCs/>
          <w:kern w:val="2"/>
          <w14:ligatures w14:val="standardContextual"/>
        </w:rPr>
      </w:pPr>
      <w:r w:rsidRPr="00A53CD6">
        <w:rPr>
          <w:rFonts w:ascii="Verdana" w:eastAsia="Aptos" w:hAnsi="Verdana" w:cs="Arial"/>
          <w:b/>
          <w:bCs/>
          <w:kern w:val="2"/>
          <w14:ligatures w14:val="standardContextual"/>
        </w:rPr>
        <w:t>v. Informe de evaluación (preguntas 17-21):</w:t>
      </w:r>
    </w:p>
    <w:p w14:paraId="002E72E6" w14:textId="77777777" w:rsidR="00A53CD6" w:rsidRPr="00A53CD6" w:rsidRDefault="00A53CD6" w:rsidP="00A53CD6">
      <w:pPr>
        <w:suppressAutoHyphens/>
        <w:spacing w:after="0" w:line="276" w:lineRule="auto"/>
        <w:jc w:val="both"/>
        <w:rPr>
          <w:rFonts w:ascii="Verdana" w:eastAsia="Aptos" w:hAnsi="Verdana" w:cs="Arial"/>
          <w:kern w:val="2"/>
          <w14:ligatures w14:val="standardContextual"/>
        </w:rPr>
      </w:pPr>
    </w:p>
    <w:p w14:paraId="10FA9FE6" w14:textId="77777777" w:rsidR="00A53CD6" w:rsidRPr="00A53CD6" w:rsidRDefault="00A53CD6" w:rsidP="00A53CD6">
      <w:pPr>
        <w:suppressAutoHyphens/>
        <w:spacing w:after="120" w:line="276" w:lineRule="auto"/>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Los Documentos Tipo exigen un informe de evaluación motivado de forma detallada, que indique qué debe subsanarse y que evalúe desde el inicio tanto los requisitos habilitantes como los documentos que otorgan puntaje</w:t>
      </w:r>
      <w:r w:rsidRPr="00A53CD6">
        <w:rPr>
          <w:rFonts w:ascii="Verdana" w:eastAsia="Aptos" w:hAnsi="Verdana" w:cs="Arial"/>
          <w:kern w:val="2"/>
          <w:vertAlign w:val="superscript"/>
          <w14:ligatures w14:val="standardContextual"/>
        </w:rPr>
        <w:footnoteReference w:id="15"/>
      </w:r>
      <w:r w:rsidRPr="00A53CD6">
        <w:rPr>
          <w:rFonts w:ascii="Verdana" w:eastAsia="Aptos" w:hAnsi="Verdana" w:cs="Arial"/>
          <w:kern w:val="2"/>
          <w14:ligatures w14:val="standardContextual"/>
        </w:rPr>
        <w:t>. El numeral 2.8 del Documento Base de los Documentos Tipo de menor cuantía de infraestructura de transporte y de los Documentos Tipo de menor cuantía de infraestructura social, al igual que el numeral 2.5 de los Documentos Tipo de licitación, dispone que “las entidades motivarán de forma detallada y precisa el informe de evaluación explicando el rechazo de las ofertas y los documentos que se necesitan subsanar en caso de que no se hayan subsanado durante la etapa de evaluación”. Por esa razón, expresiones genéricas como “NO CUMPLE”, sin indicar el documento al que se refieren, no satisfacen la exigencia, más aún cuando el numeral 1.6 obliga a la entidad a solicitar las aclaraciones y los documentos subsanables “durante el proceso de evaluación y a más tardar en el informe de evaluación”.</w:t>
      </w:r>
    </w:p>
    <w:p w14:paraId="79D4F2D3" w14:textId="77777777" w:rsidR="00A53CD6" w:rsidRPr="00A53CD6" w:rsidRDefault="00A53CD6" w:rsidP="00A53CD6">
      <w:pPr>
        <w:suppressAutoHyphens/>
        <w:spacing w:after="12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Esta regla desarrolla el numeral 7 del artículo 24 de la Ley 80 de 1993, según el cual los actos que se expidan en la actividad contractual, salvo los de mero trámite, se motivan en forma detallada y precisa, “e igualmente lo serán los informes de evaluación, el acto de adjudicación y la declaratoria de desierto del proceso de escogencia”. Se relaciona también con el parágrafo 1 del artículo 5 de la Ley 1150 de 2007, que obliga a las entidades a solicitar los requisitos que no afecten la asignación de puntaje y a los proponentes a entregarlos hasta el término de traslado del informe de evaluación de cada modalidad, salvo en la mínima cuantía y en la subasta. En consecuencia, puede subsanarse todo lo que no afecte la asignación de puntaje, hasta el término de traslado del informe de </w:t>
      </w:r>
      <w:r w:rsidRPr="00A53CD6">
        <w:rPr>
          <w:rFonts w:ascii="Verdana" w:eastAsia="Aptos" w:hAnsi="Verdana" w:cs="Arial"/>
          <w:kern w:val="2"/>
          <w14:ligatures w14:val="standardContextual"/>
        </w:rPr>
        <w:lastRenderedPageBreak/>
        <w:t>evaluación de cada modalidad, sin que el proponente pueda acreditar circunstancias ocurridas después del cierre</w:t>
      </w:r>
      <w:r w:rsidRPr="00A53CD6">
        <w:rPr>
          <w:rFonts w:ascii="Verdana" w:eastAsia="Aptos" w:hAnsi="Verdana" w:cs="Arial"/>
          <w:kern w:val="2"/>
          <w:vertAlign w:val="superscript"/>
          <w14:ligatures w14:val="standardContextual"/>
        </w:rPr>
        <w:footnoteReference w:id="16"/>
      </w:r>
      <w:r w:rsidRPr="00A53CD6">
        <w:rPr>
          <w:rFonts w:ascii="Verdana" w:eastAsia="Aptos" w:hAnsi="Verdana" w:cs="Arial"/>
          <w:kern w:val="2"/>
          <w14:ligatures w14:val="standardContextual"/>
        </w:rPr>
        <w:t>.</w:t>
      </w:r>
    </w:p>
    <w:p w14:paraId="797480AA" w14:textId="77777777" w:rsidR="00A53CD6" w:rsidRPr="00A53CD6" w:rsidRDefault="00A53CD6" w:rsidP="00A53CD6">
      <w:pPr>
        <w:suppressAutoHyphens/>
        <w:spacing w:after="0" w:line="276" w:lineRule="auto"/>
        <w:ind w:firstLine="709"/>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En cuanto a los documentos que otorgan puntaje, el numeral 1.6 del Documento Base de todos los Documentos Tipo citados dispone que los proponentes no podrán completar, adicionar, modificar o mejorar sus propuestas en esos aspectos, “los cuales podrán ser objeto de aclaraciones y explicaciones”, siempre que con ello no se altere o mejore la oferta</w:t>
      </w:r>
      <w:r w:rsidRPr="00A53CD6">
        <w:rPr>
          <w:rFonts w:ascii="Verdana" w:eastAsia="Aptos" w:hAnsi="Verdana" w:cs="Arial"/>
          <w:kern w:val="2"/>
          <w:vertAlign w:val="superscript"/>
          <w14:ligatures w14:val="standardContextual"/>
        </w:rPr>
        <w:footnoteReference w:id="17"/>
      </w:r>
      <w:r w:rsidRPr="00A53CD6">
        <w:rPr>
          <w:rFonts w:ascii="Verdana" w:eastAsia="Aptos" w:hAnsi="Verdana" w:cs="Arial"/>
          <w:kern w:val="2"/>
          <w14:ligatures w14:val="standardContextual"/>
        </w:rPr>
        <w:t>. En los Documentos Tipo de licitación de infraestructura social y los Documentos Tipo de menor cuantía de infraestructura social la misma posibilidad se extiende expresamente a los factores de desempate.</w:t>
      </w:r>
    </w:p>
    <w:p w14:paraId="0579014F" w14:textId="77777777" w:rsidR="00A53CD6" w:rsidRPr="00A53CD6" w:rsidRDefault="00A53CD6" w:rsidP="00A53CD6">
      <w:pPr>
        <w:suppressAutoHyphens/>
        <w:spacing w:after="0" w:line="276" w:lineRule="auto"/>
        <w:jc w:val="both"/>
        <w:rPr>
          <w:rFonts w:ascii="Verdana" w:eastAsia="Aptos" w:hAnsi="Verdana" w:cs="Arial"/>
          <w:kern w:val="2"/>
          <w14:ligatures w14:val="standardContextual"/>
        </w:rPr>
      </w:pPr>
    </w:p>
    <w:p w14:paraId="0E33D772" w14:textId="77777777" w:rsidR="00A53CD6" w:rsidRPr="00A53CD6" w:rsidRDefault="00A53CD6" w:rsidP="00A53CD6">
      <w:pPr>
        <w:suppressAutoHyphens/>
        <w:spacing w:after="0" w:line="276" w:lineRule="auto"/>
        <w:jc w:val="both"/>
        <w:rPr>
          <w:rFonts w:ascii="Verdana" w:eastAsia="Aptos" w:hAnsi="Verdana" w:cs="Arial"/>
          <w:b/>
          <w:bCs/>
          <w:kern w:val="2"/>
          <w14:ligatures w14:val="standardContextual"/>
        </w:rPr>
      </w:pPr>
      <w:r w:rsidRPr="00A53CD6">
        <w:rPr>
          <w:rFonts w:ascii="Verdana" w:eastAsia="Aptos" w:hAnsi="Verdana" w:cs="Arial"/>
          <w:b/>
          <w:bCs/>
          <w:kern w:val="2"/>
          <w14:ligatures w14:val="standardContextual"/>
        </w:rPr>
        <w:t>vi. Requisitos habilitantes adicionales (preguntas 25-31):</w:t>
      </w:r>
    </w:p>
    <w:p w14:paraId="75DCD62D" w14:textId="77777777" w:rsidR="00A53CD6" w:rsidRPr="00A53CD6" w:rsidRDefault="00A53CD6" w:rsidP="00A53CD6">
      <w:pPr>
        <w:suppressAutoHyphens/>
        <w:spacing w:after="0" w:line="276" w:lineRule="auto"/>
        <w:jc w:val="both"/>
        <w:rPr>
          <w:rFonts w:ascii="Verdana" w:eastAsia="Aptos" w:hAnsi="Verdana" w:cs="Arial"/>
          <w:kern w:val="2"/>
          <w14:ligatures w14:val="standardContextual"/>
        </w:rPr>
      </w:pPr>
    </w:p>
    <w:p w14:paraId="34116B2B" w14:textId="77777777" w:rsidR="00A53CD6" w:rsidRPr="00A53CD6" w:rsidRDefault="00A53CD6" w:rsidP="00A53CD6">
      <w:pPr>
        <w:suppressAutoHyphens/>
        <w:spacing w:after="120" w:line="276" w:lineRule="auto"/>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El numeral 3.2, literal F, del Documento Base de los Documentos Tipo de menor cuantía de infraestructura de transporte y de los Documentos Tipo de licitación de infraestructura de transporte permite a la entidad incluir en la capacidad jurídica </w:t>
      </w:r>
      <w:r w:rsidRPr="00A53CD6">
        <w:rPr>
          <w:rFonts w:ascii="Verdana" w:eastAsia="Aptos" w:hAnsi="Verdana" w:cs="Arial"/>
          <w:kern w:val="2"/>
          <w:highlight w:val="lightGray"/>
          <w14:ligatures w14:val="standardContextual"/>
        </w:rPr>
        <w:t>“[otros documentos que sean necesarios y/o obligatorios en la verificación de la capacidad jurídica de los proponentes, amparados en criterios normativos de tipo constitucional, legal o reglamentario]</w:t>
      </w:r>
      <w:r w:rsidRPr="00A53CD6">
        <w:rPr>
          <w:rFonts w:ascii="Verdana" w:eastAsia="Aptos" w:hAnsi="Verdana" w:cs="Arial"/>
          <w:kern w:val="2"/>
          <w14:ligatures w14:val="standardContextual"/>
        </w:rPr>
        <w:t xml:space="preserve">”. Esa facultad, sin embargo, está acotada por los mismos documentos. El capítulo III advierte que “la Entidad no podrá exigir requisitos habilitantes diferentes a los señalados en los Documentos Tipo”, y el literal I del numeral 1.17 dispone que no se podrán “exigir soportes o requisitos adicionales; salvo cuando se permita en forma expresa, es decir, en los aspectos incluidos en corchetes y resaltados en gris”. </w:t>
      </w:r>
      <w:r w:rsidRPr="00A53CD6">
        <w:rPr>
          <w:rFonts w:ascii="Verdana" w:eastAsia="Aptos" w:hAnsi="Verdana" w:cs="Arial"/>
          <w:kern w:val="2"/>
          <w14:ligatures w14:val="standardContextual"/>
        </w:rPr>
        <w:lastRenderedPageBreak/>
        <w:t>Así entendido, el literal F permite verificar lo que una norma ya exige, pero no crear requisitos ni ampliar los existentes</w:t>
      </w:r>
      <w:r w:rsidRPr="00A53CD6">
        <w:rPr>
          <w:rFonts w:ascii="Verdana" w:eastAsia="Aptos" w:hAnsi="Verdana" w:cs="Arial"/>
          <w:kern w:val="2"/>
          <w:vertAlign w:val="superscript"/>
          <w14:ligatures w14:val="standardContextual"/>
        </w:rPr>
        <w:footnoteReference w:id="18"/>
      </w:r>
      <w:r w:rsidRPr="00A53CD6">
        <w:rPr>
          <w:rFonts w:ascii="Verdana" w:eastAsia="Aptos" w:hAnsi="Verdana" w:cs="Arial"/>
          <w:kern w:val="2"/>
          <w14:ligatures w14:val="standardContextual"/>
        </w:rPr>
        <w:t>.</w:t>
      </w:r>
    </w:p>
    <w:p w14:paraId="1B491CFA" w14:textId="77777777" w:rsidR="00A53CD6" w:rsidRPr="00A53CD6" w:rsidRDefault="00A53CD6" w:rsidP="00A53CD6">
      <w:pPr>
        <w:suppressAutoHyphens/>
        <w:spacing w:after="120" w:line="276" w:lineRule="auto"/>
        <w:ind w:firstLine="709"/>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Con fundamento en lo dispuesto en el párrafo anterior, debe indicarse que: </w:t>
      </w:r>
    </w:p>
    <w:p w14:paraId="5EE959D1" w14:textId="77777777" w:rsidR="00A53CD6" w:rsidRPr="00A53CD6" w:rsidRDefault="00A53CD6" w:rsidP="00A53CD6">
      <w:pPr>
        <w:suppressAutoHyphens/>
        <w:spacing w:before="120" w:after="120" w:line="276" w:lineRule="auto"/>
        <w:ind w:firstLine="709"/>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Primero. Las planillas de seguridad social no pueden exigirse. El numeral 3.4.1 del Documento Base de los Documentos Tipo de menor cuantía de infraestructura de transporte dispone que “las entidades no podrán exigir las planillas de pago” y que “bastará el certificado suscrito por el revisor fiscal, en los casos requeridos por la ley, o por el representante legal que así lo acredite”, y el mismo numeral de los Documentos Tipo de licitación de infraestructura de transporte, de los Documentos Tipo de licitación de agua potable y saneamiento básico, de los Documentos Tipo de licitación de infraestructura social y de los Documentos Tipo de menor cuantía de infraestructura social establece que “la Entidad no exigirá las planillas de pago”.</w:t>
      </w:r>
    </w:p>
    <w:p w14:paraId="39278D34" w14:textId="77777777" w:rsidR="00A53CD6" w:rsidRPr="00A53CD6" w:rsidRDefault="00A53CD6" w:rsidP="00A53CD6">
      <w:pPr>
        <w:suppressAutoHyphens/>
        <w:spacing w:before="120" w:after="120" w:line="276" w:lineRule="auto"/>
        <w:ind w:firstLine="709"/>
        <w:jc w:val="both"/>
        <w:rPr>
          <w:rFonts w:ascii="Verdana" w:eastAsia="Times New Roman" w:hAnsi="Verdana" w:cs="Times New Roman"/>
          <w:lang w:eastAsia="es-CO"/>
        </w:rPr>
      </w:pPr>
      <w:r w:rsidRPr="00A53CD6">
        <w:rPr>
          <w:rFonts w:ascii="Verdana" w:eastAsia="Times New Roman" w:hAnsi="Verdana" w:cs="Times New Roman"/>
          <w:lang w:eastAsia="es-CO"/>
        </w:rPr>
        <w:t>Segundo. Los Documentos Tipo ya desarrollan la Ley 842 de 2003. El numeral 2.1 del Documento Base de los Documentos Tipo de menor cuantía de infraestructura de transporte exige a la persona natural que participe acreditar su título de ingeniero con el certificado de vigencia de la matrícula profesional, y dispone que, conforme al artículo 20 de esa ley, cuando el representante legal o el apoderado no tenga título en alguna de las profesiones catalogadas como ejercicio de la ingeniería, la oferta debe ser avalada por un ingeniero. En cambio, no exige un ingeniero en “nómina permanente” ni define ese término como tres meses de vinculación.</w:t>
      </w:r>
    </w:p>
    <w:p w14:paraId="3D60DB68" w14:textId="77777777" w:rsidR="00A53CD6" w:rsidRPr="00A53CD6" w:rsidRDefault="00A53CD6" w:rsidP="00A53CD6">
      <w:pPr>
        <w:suppressAutoHyphens/>
        <w:spacing w:before="120" w:after="120" w:line="276" w:lineRule="auto"/>
        <w:ind w:firstLine="709"/>
        <w:jc w:val="both"/>
        <w:rPr>
          <w:rFonts w:ascii="Verdana" w:eastAsia="Times New Roman" w:hAnsi="Verdana" w:cs="Times New Roman"/>
          <w:lang w:eastAsia="es-CO"/>
        </w:rPr>
      </w:pPr>
      <w:r w:rsidRPr="00A53CD6">
        <w:rPr>
          <w:rFonts w:ascii="Verdana" w:eastAsia="Times New Roman" w:hAnsi="Verdana" w:cs="Times New Roman"/>
          <w:lang w:eastAsia="es-CO"/>
        </w:rPr>
        <w:t>El artículo 17 de esa ley obliga a la sociedad, firma, empresa u organización profesional cuyas actividades comprendan el ejercicio de la ingeniería a incluir en su nómina permanente, como mínimo, a un profesional matriculado en la carrera correspondiente a su objeto social</w:t>
      </w:r>
      <w:r w:rsidRPr="00A53CD6">
        <w:rPr>
          <w:rFonts w:ascii="Verdana" w:eastAsia="Times New Roman" w:hAnsi="Verdana" w:cs="Times New Roman"/>
          <w:vertAlign w:val="superscript"/>
          <w:lang w:eastAsia="es-CO"/>
        </w:rPr>
        <w:footnoteReference w:id="19"/>
      </w:r>
      <w:r w:rsidRPr="00A53CD6">
        <w:rPr>
          <w:rFonts w:ascii="Verdana" w:eastAsia="Times New Roman" w:hAnsi="Verdana" w:cs="Times New Roman"/>
          <w:lang w:eastAsia="es-CO"/>
        </w:rPr>
        <w:t xml:space="preserve">. Esta Agencia ha </w:t>
      </w:r>
      <w:r w:rsidRPr="00A53CD6">
        <w:rPr>
          <w:rFonts w:ascii="Verdana" w:eastAsia="Times New Roman" w:hAnsi="Verdana" w:cs="Times New Roman"/>
          <w:lang w:eastAsia="es-CO"/>
        </w:rPr>
        <w:lastRenderedPageBreak/>
        <w:t>sostenido que, cuando la entidad tiene autonomía para configurar los requisitos habilitantes de su proceso, puede verificar el cumplimiento de ese deber, siempre que lo prevea de forma expresa en el pliego de condiciones. Esa autonomía no existe en los procesos regidos por Documentos Tipo, porque en ellos los requisitos habilitantes están definidos de manera imperativa y la entidad no puede adicionarlos ni modificarlos, en virtud de la regla de inalterabilidad que consagran todas las resoluciones por las cuales se adoptaron</w:t>
      </w:r>
      <w:r w:rsidRPr="00A53CD6">
        <w:rPr>
          <w:rFonts w:ascii="Verdana" w:eastAsia="Times New Roman" w:hAnsi="Verdana" w:cs="Times New Roman"/>
          <w:vertAlign w:val="superscript"/>
          <w:lang w:eastAsia="es-CO"/>
        </w:rPr>
        <w:footnoteReference w:id="20"/>
      </w:r>
      <w:r w:rsidRPr="00A53CD6">
        <w:rPr>
          <w:rFonts w:ascii="Verdana" w:eastAsia="Times New Roman" w:hAnsi="Verdana" w:cs="Times New Roman"/>
          <w:lang w:eastAsia="es-CO"/>
        </w:rPr>
        <w:t>.</w:t>
      </w:r>
    </w:p>
    <w:p w14:paraId="47CE049D" w14:textId="77777777" w:rsidR="00A53CD6" w:rsidRPr="00A53CD6" w:rsidRDefault="00A53CD6" w:rsidP="00A53CD6">
      <w:pPr>
        <w:suppressAutoHyphens/>
        <w:spacing w:before="120" w:after="120" w:line="276" w:lineRule="auto"/>
        <w:ind w:firstLine="709"/>
        <w:jc w:val="both"/>
        <w:rPr>
          <w:rFonts w:ascii="Verdana" w:eastAsia="Times New Roman" w:hAnsi="Verdana" w:cs="Times New Roman"/>
          <w:lang w:eastAsia="es-CO"/>
        </w:rPr>
      </w:pPr>
      <w:r w:rsidRPr="00A53CD6">
        <w:rPr>
          <w:rFonts w:ascii="Verdana" w:eastAsia="Times New Roman" w:hAnsi="Verdana" w:cs="Times New Roman"/>
          <w:lang w:eastAsia="es-CO"/>
        </w:rPr>
        <w:t>Los Documentos Tipo de licitación de obra pública no incluyen el deber del artículo 17 como requisito habilitante ni exigen acreditarlo en ninguna etapa del procedimiento de selección, y, como se vio, tampoco lo hace el numeral 2.1 de los Documentos Tipo de menor cuantía de infraestructura de transporte. Por eso, la entidad no puede darle carácter habilitante ni fijar por su cuenta la forma de acreditarlo. La obligación, sin embargo, sigue vigente, porque aplica por ministerio de la ley, y el parágrafo del mismo artículo prevé la consecuencia de incumplirla, que recae sobre el representante legal de la persona jurídica</w:t>
      </w:r>
      <w:r w:rsidRPr="00A53CD6">
        <w:rPr>
          <w:rFonts w:ascii="Verdana" w:eastAsia="Times New Roman" w:hAnsi="Verdana" w:cs="Times New Roman"/>
          <w:vertAlign w:val="superscript"/>
          <w:lang w:eastAsia="es-CO"/>
        </w:rPr>
        <w:footnoteReference w:id="21"/>
      </w:r>
      <w:r w:rsidRPr="00A53CD6">
        <w:rPr>
          <w:rFonts w:ascii="Verdana" w:eastAsia="Times New Roman" w:hAnsi="Verdana" w:cs="Times New Roman"/>
          <w:lang w:eastAsia="es-CO"/>
        </w:rPr>
        <w:t xml:space="preserve">. Cada Documento Tipo regula el aval del artículo 20 con sus propias particularidades, </w:t>
      </w:r>
      <w:r w:rsidRPr="00A53CD6">
        <w:rPr>
          <w:rFonts w:ascii="Verdana" w:eastAsia="Times New Roman" w:hAnsi="Verdana" w:cs="Times New Roman"/>
          <w:lang w:eastAsia="es-CO"/>
        </w:rPr>
        <w:lastRenderedPageBreak/>
        <w:t xml:space="preserve">y todos pueden consultarse en la página web de esta entidad, </w:t>
      </w:r>
      <w:hyperlink r:id="rId11">
        <w:r w:rsidRPr="00A53CD6">
          <w:rPr>
            <w:rFonts w:ascii="Verdana" w:eastAsia="Aptos Display" w:hAnsi="Verdana" w:cs="Times New Roman"/>
            <w:color w:val="0000FF"/>
            <w:u w:val="single"/>
            <w:lang w:eastAsia="es-CO"/>
          </w:rPr>
          <w:t>www.colombiacompra.gov.co</w:t>
        </w:r>
      </w:hyperlink>
      <w:r w:rsidRPr="00A53CD6">
        <w:rPr>
          <w:rFonts w:ascii="Verdana" w:eastAsia="Times New Roman" w:hAnsi="Verdana" w:cs="Times New Roman"/>
          <w:lang w:eastAsia="es-CO"/>
        </w:rPr>
        <w:t>.</w:t>
      </w:r>
    </w:p>
    <w:p w14:paraId="4593E116" w14:textId="77777777" w:rsidR="00A53CD6" w:rsidRPr="00A53CD6" w:rsidRDefault="00A53CD6" w:rsidP="00A53CD6">
      <w:pPr>
        <w:suppressAutoHyphens/>
        <w:spacing w:after="0" w:line="276" w:lineRule="auto"/>
        <w:ind w:firstLine="709"/>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Por último, el Sistema de Gestión de la Seguridad y Salud en el Trabajo (SG-SST) y los sistemas de prevención del lavado de activos, la financiación del terrorismo y la financiación de la proliferación de armas de destrucción masiva (LAFT/FPADM) no figuran entre los requisitos habilitantes de los Documentos Tipo vigentes, que solo mencionan el SG-SST a propósito de las condiciones de seguridad de la visita al sitio de la obra. Por fuera de los Documentos Tipo, la Agencia ha admitido la exigencia justificada del SG-SST</w:t>
      </w:r>
      <w:r w:rsidRPr="00A53CD6">
        <w:rPr>
          <w:rFonts w:ascii="Verdana" w:eastAsia="Aptos" w:hAnsi="Verdana" w:cs="Arial"/>
          <w:kern w:val="2"/>
          <w:vertAlign w:val="superscript"/>
          <w14:ligatures w14:val="standardContextual"/>
        </w:rPr>
        <w:footnoteReference w:id="22"/>
      </w:r>
      <w:r w:rsidRPr="00A53CD6">
        <w:rPr>
          <w:rFonts w:ascii="Verdana" w:eastAsia="Aptos" w:hAnsi="Verdana" w:cs="Arial"/>
          <w:kern w:val="2"/>
          <w14:ligatures w14:val="standardContextual"/>
        </w:rPr>
        <w:t>, y en todo caso las entidades no pueden crear causales de rechazo que la ley no prevé</w:t>
      </w:r>
      <w:r w:rsidRPr="00A53CD6">
        <w:rPr>
          <w:rFonts w:ascii="Verdana" w:eastAsia="Aptos" w:hAnsi="Verdana" w:cs="Arial"/>
          <w:kern w:val="2"/>
          <w:vertAlign w:val="superscript"/>
          <w14:ligatures w14:val="standardContextual"/>
        </w:rPr>
        <w:footnoteReference w:id="23"/>
      </w:r>
      <w:r w:rsidRPr="00A53CD6">
        <w:rPr>
          <w:rFonts w:ascii="Verdana" w:eastAsia="Aptos" w:hAnsi="Verdana" w:cs="Arial"/>
          <w:kern w:val="2"/>
          <w14:ligatures w14:val="standardContextual"/>
        </w:rPr>
        <w:t>, regla que el numeral 1.15 del Documento Base de los Documentos Tipo de menor cuantía de infraestructura de transporte recoge al advertir que “</w:t>
      </w:r>
      <w:r w:rsidRPr="00A53CD6">
        <w:rPr>
          <w:rFonts w:ascii="Verdana" w:eastAsia="Aptos" w:hAnsi="Verdana" w:cs="Arial"/>
          <w:i/>
          <w:iCs/>
          <w:kern w:val="2"/>
          <w14:ligatures w14:val="standardContextual"/>
        </w:rPr>
        <w:t>las entidades no podrán incluir causales de rechazo distintas a las señaladas en la presente sección</w:t>
      </w:r>
      <w:r w:rsidRPr="00A53CD6">
        <w:rPr>
          <w:rFonts w:ascii="Verdana" w:eastAsia="Aptos" w:hAnsi="Verdana" w:cs="Arial"/>
          <w:kern w:val="2"/>
          <w14:ligatures w14:val="standardContextual"/>
        </w:rPr>
        <w:t>”.</w:t>
      </w:r>
    </w:p>
    <w:p w14:paraId="552EF1F7" w14:textId="77777777" w:rsidR="00A53CD6" w:rsidRPr="00A53CD6" w:rsidRDefault="00A53CD6" w:rsidP="00A53CD6">
      <w:pPr>
        <w:suppressAutoHyphens/>
        <w:spacing w:after="0" w:line="276" w:lineRule="auto"/>
        <w:ind w:firstLine="709"/>
        <w:jc w:val="both"/>
        <w:rPr>
          <w:rFonts w:ascii="Verdana" w:eastAsia="Aptos" w:hAnsi="Verdana" w:cs="Arial"/>
          <w:kern w:val="2"/>
          <w14:ligatures w14:val="standardContextual"/>
        </w:rPr>
      </w:pPr>
    </w:p>
    <w:p w14:paraId="05057CEE" w14:textId="77777777" w:rsidR="00A53CD6" w:rsidRPr="00A53CD6" w:rsidRDefault="00A53CD6" w:rsidP="00A53CD6">
      <w:pPr>
        <w:suppressAutoHyphens/>
        <w:spacing w:after="0" w:line="276" w:lineRule="auto"/>
        <w:jc w:val="both"/>
        <w:rPr>
          <w:rFonts w:ascii="Verdana" w:eastAsia="Aptos" w:hAnsi="Verdana" w:cs="Arial"/>
          <w:b/>
          <w:bCs/>
          <w:kern w:val="2"/>
          <w14:ligatures w14:val="standardContextual"/>
        </w:rPr>
      </w:pPr>
      <w:r w:rsidRPr="00A53CD6">
        <w:rPr>
          <w:rFonts w:ascii="Verdana" w:eastAsia="Aptos" w:hAnsi="Verdana" w:cs="Arial"/>
          <w:b/>
          <w:bCs/>
          <w:kern w:val="2"/>
          <w14:ligatures w14:val="standardContextual"/>
        </w:rPr>
        <w:t>vii. Experiencia en área construida (preguntas 32-33):</w:t>
      </w:r>
    </w:p>
    <w:p w14:paraId="3E967507" w14:textId="77777777" w:rsidR="00A53CD6" w:rsidRPr="00A53CD6" w:rsidRDefault="00A53CD6" w:rsidP="00A53CD6">
      <w:pPr>
        <w:suppressAutoHyphens/>
        <w:spacing w:after="0" w:line="276" w:lineRule="auto"/>
        <w:jc w:val="both"/>
        <w:rPr>
          <w:rFonts w:ascii="Verdana" w:eastAsia="Aptos" w:hAnsi="Verdana" w:cs="Arial"/>
          <w:kern w:val="2"/>
          <w14:ligatures w14:val="standardContextual"/>
        </w:rPr>
      </w:pPr>
    </w:p>
    <w:p w14:paraId="2D145AB8" w14:textId="77777777" w:rsidR="00A53CD6" w:rsidRPr="00A53CD6" w:rsidRDefault="00A53CD6" w:rsidP="00A53CD6">
      <w:pPr>
        <w:suppressAutoHyphens/>
        <w:spacing w:after="120" w:line="276" w:lineRule="auto"/>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Los Documentos Tipo de licitación de infraestructura social y los Documentos Tipo de menor cuantía de infraestructura social usan una misma magnitud para exigir y para acreditar la experiencia: el área construida en metros cuadrados. El numeral 3.5 del Documento Base de ambos documentos dispone que la entidad indicará el “Área para construir/intervenir” y advierte que “no podrá adicionar volúmenes o magnitudes diferentes a los enunciados”, mientras que el literal E del numeral 3.5.4 permite al proponente acreditar el “Área diseñada o construida del proyecto (bajo cubierta) en metros cuadrados (m²)”, precisando que “esto aplica para el caso de edificaciones”. El Glosario de esos Documentos Tipo, al definir la ampliación, entiende por área construida “la parte edificada que corresponde a la suma de las superficies de los pisos, excluyendo azoteas y </w:t>
      </w:r>
      <w:r w:rsidRPr="00A53CD6">
        <w:rPr>
          <w:rFonts w:ascii="Verdana" w:eastAsia="Aptos" w:hAnsi="Verdana" w:cs="Arial"/>
          <w:kern w:val="2"/>
          <w14:ligatures w14:val="standardContextual"/>
        </w:rPr>
        <w:lastRenderedPageBreak/>
        <w:t>áreas sin cubrir o techar”, y sus definiciones deben armonizarse con las Matrices de Experiencia para determinar la experiencia requerida.</w:t>
      </w:r>
    </w:p>
    <w:p w14:paraId="00E92222" w14:textId="77777777" w:rsidR="00A53CD6" w:rsidRPr="00A53CD6" w:rsidRDefault="00A53CD6" w:rsidP="00A53CD6">
      <w:pPr>
        <w:suppressAutoHyphens/>
        <w:spacing w:after="120" w:line="276" w:lineRule="auto"/>
        <w:ind w:firstLine="709"/>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Cada Matriz de Experiencia señala de forma expresa la experiencia general y específica que debe acreditarse, y esta debe entenderse conforme a las definiciones de los Glosarios. Por lo tanto, la determinación de la experiencia es una tarea que corresponde a cada Entidad Estatal, de acuerdo con las particularidades del proceso de contratación, sin que pueda exigir más de lo establecido en cada pliego tipo ni acudir a magnitudes distintas de las que este prevé. </w:t>
      </w:r>
    </w:p>
    <w:p w14:paraId="0ACF2B4D" w14:textId="77777777" w:rsidR="00A53CD6" w:rsidRPr="00A53CD6" w:rsidRDefault="00A53CD6" w:rsidP="00A53CD6">
      <w:pPr>
        <w:suppressAutoHyphens/>
        <w:spacing w:after="0" w:line="276" w:lineRule="auto"/>
        <w:ind w:firstLine="709"/>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En consecuencia, si el Documento Tipo exige acreditar el área diseñada o construida del proyecto bajo cubierta, la experiencia mínima debe fijarse con esa misma magnitud, entendida como la define el Glosario. De lo contrario, el proponente tendría que acreditar en unos términos una exigencia calculada en otros, y la entidad estaría adicionando una magnitud que el numeral 3.5 no permite.</w:t>
      </w:r>
    </w:p>
    <w:p w14:paraId="48BCDE3F" w14:textId="77777777" w:rsidR="00A53CD6" w:rsidRPr="00A53CD6" w:rsidRDefault="00A53CD6" w:rsidP="00A53CD6">
      <w:pPr>
        <w:suppressAutoHyphens/>
        <w:spacing w:after="0" w:line="276" w:lineRule="auto"/>
        <w:ind w:firstLine="709"/>
        <w:jc w:val="both"/>
        <w:rPr>
          <w:rFonts w:ascii="Verdana" w:eastAsia="Aptos" w:hAnsi="Verdana" w:cs="Arial"/>
          <w:kern w:val="2"/>
          <w14:ligatures w14:val="standardContextual"/>
        </w:rPr>
      </w:pPr>
    </w:p>
    <w:p w14:paraId="10A701DA" w14:textId="77777777" w:rsidR="00A53CD6" w:rsidRPr="00A53CD6" w:rsidRDefault="00A53CD6" w:rsidP="00A53CD6">
      <w:pPr>
        <w:suppressAutoHyphens/>
        <w:spacing w:after="0" w:line="276" w:lineRule="auto"/>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 </w:t>
      </w:r>
      <w:r w:rsidRPr="00A53CD6">
        <w:rPr>
          <w:rFonts w:ascii="Verdana" w:eastAsia="Aptos" w:hAnsi="Verdana" w:cs="Arial"/>
          <w:b/>
          <w:bCs/>
          <w:kern w:val="2"/>
          <w14:ligatures w14:val="standardContextual"/>
        </w:rPr>
        <w:t>viii. Precios artificialmente bajos (preguntas 34-43 y 56-60):</w:t>
      </w:r>
    </w:p>
    <w:p w14:paraId="71FEB3BA" w14:textId="77777777" w:rsidR="00A53CD6" w:rsidRPr="00A53CD6" w:rsidRDefault="00A53CD6" w:rsidP="00A53CD6">
      <w:pPr>
        <w:suppressAutoHyphens/>
        <w:spacing w:after="0" w:line="276" w:lineRule="auto"/>
        <w:jc w:val="both"/>
        <w:rPr>
          <w:rFonts w:ascii="Verdana" w:eastAsia="Aptos" w:hAnsi="Verdana" w:cs="Arial"/>
          <w:kern w:val="2"/>
          <w14:ligatures w14:val="standardContextual"/>
        </w:rPr>
      </w:pPr>
    </w:p>
    <w:p w14:paraId="5341D4DD" w14:textId="77777777" w:rsidR="00A53CD6" w:rsidRPr="00A53CD6" w:rsidRDefault="00A53CD6" w:rsidP="00A53CD6">
      <w:pPr>
        <w:suppressAutoHyphens/>
        <w:spacing w:after="0" w:line="276" w:lineRule="auto"/>
        <w:jc w:val="both"/>
        <w:rPr>
          <w:rFonts w:ascii="Verdana" w:eastAsia="Times New Roman" w:hAnsi="Verdana" w:cs="Times New Roman"/>
          <w:lang w:eastAsia="es-CO"/>
        </w:rPr>
      </w:pPr>
      <w:r w:rsidRPr="00A53CD6">
        <w:rPr>
          <w:rFonts w:ascii="Verdana" w:eastAsia="Times New Roman" w:hAnsi="Verdana" w:cs="Times New Roman"/>
          <w:lang w:eastAsia="es-CO"/>
        </w:rPr>
        <w:t xml:space="preserve">El numeral 4.1.3 del Documento Base de todos los Documentos Tipo citados dispone que, cuando el precio de una oferta no parezca suficiente para garantizar la correcta ejecución del contrato, “de acuerdo con la información recogida durante la etapa de planeación y particularmente durante el estudio del sector”, la entidad aplicará el procedimiento del artículo 2.2.1.1.2.2.4 del Decreto 1082 de 2015, y que podrá acudir a los parámetros de la Guía “como un criterio metodológico”. Ese numeral no tiene apartes entre corchetes, de modo que la entidad no puede modificarlo para incluir en el pliego la metodología, el porcentaje o el valor mínimo con el que identificará las ofertas artificialmente bajas. Ese referente se fija en el análisis del sector, que no está estandarizado por los Documentos Tipo y que cada entidad elabora conforme al artículo 2.2.1.1.1.6.1 del Decreto 1082 de 2015. Allí la entidad puede establecer, de manera justificada y con base en la información del mercado, por ejemplo, un porcentaje respecto del presupuesto oficial o del costo estimado del contrato, y </w:t>
      </w:r>
      <w:r w:rsidRPr="00A53CD6">
        <w:rPr>
          <w:rFonts w:ascii="Verdana" w:eastAsia="Times New Roman" w:hAnsi="Verdana" w:cs="Times New Roman"/>
          <w:lang w:eastAsia="es-CO"/>
        </w:rPr>
        <w:lastRenderedPageBreak/>
        <w:t>puede acudir a los criterios de la Guía o a otros métodos razonables, siempre que justifique el resultado.</w:t>
      </w:r>
    </w:p>
    <w:p w14:paraId="1F900A83" w14:textId="77777777" w:rsidR="00A53CD6" w:rsidRPr="00A53CD6" w:rsidRDefault="00A53CD6" w:rsidP="00A53CD6">
      <w:pPr>
        <w:suppressAutoHyphens/>
        <w:spacing w:before="120" w:after="120" w:line="276" w:lineRule="auto"/>
        <w:ind w:firstLine="709"/>
        <w:jc w:val="both"/>
        <w:rPr>
          <w:rFonts w:ascii="Verdana" w:eastAsia="Times New Roman" w:hAnsi="Verdana" w:cs="Times New Roman"/>
          <w:lang w:eastAsia="es-CO"/>
        </w:rPr>
      </w:pPr>
      <w:r w:rsidRPr="00A53CD6">
        <w:rPr>
          <w:rFonts w:ascii="Verdana" w:eastAsia="Times New Roman" w:hAnsi="Verdana" w:cs="Times New Roman"/>
          <w:lang w:eastAsia="es-CO"/>
        </w:rPr>
        <w:t>Ese referente solo sirve para identificar las ofertas que deben requerirse. No es una regla de evaluación ni una causal de rechazo, y una oferta no puede considerarse artificialmente baja por el solo hecho de ubicarse por debajo de él. La causal de rechazo por precio artificialmente bajo ya consta en el numeral 1.15 del pliego, como lo exige el numeral 7 del artículo 2.2.1.1.2.1.3 del Decreto 1082 de 2015, y solo opera después de agotar el procedimiento reglamentario. Como el análisis del sector hace parte de los Documentos del Proceso, tampoco puede usarse para introducir lo que el Documento Tipo no permite incluir en el pliego. Si allí se dispusiera que las ofertas inferiores a cierto porcentaje serán consideradas artificialmente bajas y se rechazaran sin agotar ese procedimiento, la entidad estaría creando una causal de rechazo distinta de las del numeral 1.15 y modificando los factores económicos de escogencia, en contra de la regla de inalterabilidad y del artículo 1 de la Ley 2022 de 2020. En el mismo sentido, el literal F del numeral 1.17 impide incluir o modificar “las condiciones habilitantes, factores técnicos y económicos de escogencia y sistemas de ponderación distintos a los señalados en los Documentos Tipo”.</w:t>
      </w:r>
    </w:p>
    <w:p w14:paraId="73F01077" w14:textId="77777777" w:rsidR="00A53CD6" w:rsidRPr="00A53CD6" w:rsidRDefault="00A53CD6" w:rsidP="00A53CD6">
      <w:pPr>
        <w:suppressAutoHyphens/>
        <w:spacing w:before="120" w:after="120" w:line="276" w:lineRule="auto"/>
        <w:ind w:firstLine="709"/>
        <w:jc w:val="both"/>
        <w:rPr>
          <w:rFonts w:ascii="Verdana" w:eastAsia="Times New Roman" w:hAnsi="Verdana" w:cs="Times New Roman"/>
          <w:lang w:eastAsia="es-CO"/>
        </w:rPr>
      </w:pPr>
      <w:r w:rsidRPr="00A53CD6">
        <w:rPr>
          <w:rFonts w:ascii="Verdana" w:eastAsia="Times New Roman" w:hAnsi="Verdana" w:cs="Times New Roman"/>
          <w:lang w:eastAsia="es-CO"/>
        </w:rPr>
        <w:t xml:space="preserve">Los Documentos Tipo no fijan un término uniforme para que el oferente explique su precio, y la ley y el reglamento tampoco determinan la forma ni el momento del requerimiento. En la licitación, el numeral 4.1.3 del Documento Base de los Documentos Tipo de licitación de infraestructura de transporte y de los Documentos Tipo de licitación de infraestructura social dispone que la solicitud de justificación se hará después de la apertura del Sobre No. 2 y antes de determinar el método de ponderación, y que “la entidad deberá determinar el tiempo de traslado que otorgará a los oferentes requeridos para que alleguen sus justificaciones”. En la menor cuantía, la nota del numeral 4.1.3 de los Documentos Tipo de menor cuantía de infraestructura de transporte y de los Documentos Tipo de menor cuantía de infraestructura social ordena que la solicitud se surta una vez abierto el sobre económico y antes de definir el orden de elegibilidad. El término queda a criterio de la entidad, pero debe ser acorde con el interés general y con los principios de proporcionalidad y razonabilidad. El requerimiento puede dirigirse a todos los proponentes cuyas ofertas parezcan </w:t>
      </w:r>
      <w:r w:rsidRPr="00A53CD6">
        <w:rPr>
          <w:rFonts w:ascii="Verdana" w:eastAsia="Times New Roman" w:hAnsi="Verdana" w:cs="Times New Roman"/>
          <w:lang w:eastAsia="es-CO"/>
        </w:rPr>
        <w:lastRenderedPageBreak/>
        <w:t>artificialmente bajas, y no solo al que ocupa el primer lugar en el orden de elegibilidad. En la licitación, el mismo numeral 4.1.3 dispone que, cuando algún oferente no responda al requerimiento o la entidad determine que su oferta se encuentra inmersa en un precio artificialmente bajo, la oferta “se rechazará y, en consecuencia, no se considerará al proponente dentro del orden de elegibilidad del proceso”; en la menor cuantía la consecuencia es la misma, por remisión a la causal de rechazo del numeral 1.15. En todo caso, la entidad no puede rechazar una oferta sin haber hecho antes el requerimiento, y el rechazo procede cuando las explicaciones del proponente son insuficientes o insatisfactorias.</w:t>
      </w:r>
    </w:p>
    <w:p w14:paraId="5BB48D01" w14:textId="77777777" w:rsidR="00A53CD6" w:rsidRPr="00A53CD6" w:rsidRDefault="00A53CD6" w:rsidP="00A53CD6">
      <w:pPr>
        <w:suppressAutoHyphens/>
        <w:spacing w:before="120" w:after="120" w:line="276" w:lineRule="auto"/>
        <w:ind w:firstLine="709"/>
        <w:jc w:val="both"/>
        <w:rPr>
          <w:rFonts w:ascii="Verdana" w:eastAsia="Times New Roman" w:hAnsi="Verdana" w:cs="Times New Roman"/>
          <w:lang w:eastAsia="es-CO"/>
        </w:rPr>
      </w:pPr>
      <w:r w:rsidRPr="00A53CD6">
        <w:rPr>
          <w:rFonts w:ascii="Verdana" w:eastAsia="Times New Roman" w:hAnsi="Verdana" w:cs="Times New Roman"/>
          <w:lang w:eastAsia="es-CO"/>
        </w:rPr>
        <w:t>De acuerdo con el artículo 2.2.1.1.2.2.4 del Decreto 1082 de 2015, la entidad “deberá requerir al oferente para que explique las razones que sustentan el valor ofrecido”, y, analizadas las explicaciones, el comité evaluador debe recomendar si se debe rechazar la oferta o continuar con su análisis. Si el valor responde a circunstancias objetivas del oferente y de su oferta que no ponen en riesgo el cumplimiento del contrato, la entidad debe continuar con su análisis. Por eso, las explicaciones del proponente deben ser lo bastante claras para desvirtuar las razones por las que la entidad consideró baja su oferta, y dar cuenta de las circunstancias objetivas que la hacen sostenible. El comité, además, actúa de manera objetiva y se ciñe a las reglas del pliego, y si la entidad no acoge su recomendación debe justificar su decisión, en los términos del artículo 2.2.1.1.2.2.3 del mismo decreto.</w:t>
      </w:r>
    </w:p>
    <w:p w14:paraId="38924F3B" w14:textId="77777777" w:rsidR="00A53CD6" w:rsidRPr="00A53CD6" w:rsidRDefault="00A53CD6" w:rsidP="00A53CD6">
      <w:pPr>
        <w:suppressAutoHyphens/>
        <w:spacing w:after="0" w:line="276" w:lineRule="auto"/>
        <w:ind w:firstLine="709"/>
        <w:jc w:val="both"/>
        <w:rPr>
          <w:rFonts w:ascii="Verdana" w:eastAsia="Times New Roman" w:hAnsi="Verdana" w:cs="Times New Roman"/>
          <w:lang w:eastAsia="es-CO"/>
        </w:rPr>
      </w:pPr>
      <w:r w:rsidRPr="00A53CD6">
        <w:rPr>
          <w:rFonts w:ascii="Verdana" w:eastAsia="Times New Roman" w:hAnsi="Verdana" w:cs="Times New Roman"/>
          <w:lang w:eastAsia="es-CO"/>
        </w:rPr>
        <w:t>Los Documentos Tipo no regulan la publicidad de esta actuación ni la forma de motivarla, pero ello no significa que pueda adelantarse en reserva. La información es pública, salvo la que el proponente haya identificado como reservada en los términos del numeral 1.12 del Documento Base. Además, la entidad debe explicar en el informe de evaluación o en la resolución de adjudicación la metodología que utilizó para identificar las posibles ofertas artificialmente bajas</w:t>
      </w:r>
      <w:r w:rsidRPr="00A53CD6">
        <w:rPr>
          <w:rFonts w:ascii="Verdana" w:eastAsia="Times New Roman" w:hAnsi="Verdana" w:cs="Times New Roman"/>
          <w:vertAlign w:val="superscript"/>
          <w:lang w:eastAsia="es-CO"/>
        </w:rPr>
        <w:footnoteReference w:id="24"/>
      </w:r>
      <w:r w:rsidRPr="00A53CD6">
        <w:rPr>
          <w:rFonts w:ascii="Verdana" w:eastAsia="Times New Roman" w:hAnsi="Verdana" w:cs="Times New Roman"/>
          <w:lang w:eastAsia="es-CO"/>
        </w:rPr>
        <w:t xml:space="preserve">, y la decisión sobre cada oferta requerida debe estar motivada, pues solo conociendo la motivación es posible controvertirla. Un “se </w:t>
      </w:r>
      <w:r w:rsidRPr="00A53CD6">
        <w:rPr>
          <w:rFonts w:ascii="Verdana" w:eastAsia="Times New Roman" w:hAnsi="Verdana" w:cs="Times New Roman"/>
          <w:lang w:eastAsia="es-CO"/>
        </w:rPr>
        <w:lastRenderedPageBreak/>
        <w:t>acepta” o “no se acepta”, sin más, no cumple esos criterios. El requerimiento, la respuesta del oferente y sus soportes son documentos del proceso que deben publicarse en el SECOP, conforme al artículo 2.2.1.1.1.7.1 del Decreto 1082 de 2015, y los demás interesados tienen derecho a conocerlos y controvertirlos, según el numeral 2 del artículo 24 de la Ley 80 de 1993. Y como la recomendación del comité hace parte de la evaluación, también debe motivarse en forma detallada y precisa, como lo exige el numeral 7 de ese mismo artículo.</w:t>
      </w:r>
    </w:p>
    <w:p w14:paraId="5FF66B8A" w14:textId="77777777" w:rsidR="00A53CD6" w:rsidRPr="00A53CD6" w:rsidRDefault="00A53CD6" w:rsidP="00A53CD6">
      <w:pPr>
        <w:suppressAutoHyphens/>
        <w:spacing w:after="0" w:line="276" w:lineRule="auto"/>
        <w:jc w:val="both"/>
        <w:rPr>
          <w:rFonts w:ascii="Verdana" w:eastAsia="Aptos" w:hAnsi="Verdana" w:cs="Arial"/>
          <w:kern w:val="2"/>
          <w14:ligatures w14:val="standardContextual"/>
        </w:rPr>
      </w:pPr>
    </w:p>
    <w:p w14:paraId="0B88768F" w14:textId="77777777" w:rsidR="00A53CD6" w:rsidRPr="00A53CD6" w:rsidRDefault="00A53CD6" w:rsidP="00A53CD6">
      <w:pPr>
        <w:suppressAutoHyphens/>
        <w:spacing w:after="0" w:line="240" w:lineRule="auto"/>
        <w:rPr>
          <w:rFonts w:ascii="Verdana" w:eastAsia="Times New Roman" w:hAnsi="Verdana" w:cs="Times New Roman"/>
          <w:b/>
          <w:lang w:eastAsia="es-CO"/>
        </w:rPr>
      </w:pPr>
      <w:r w:rsidRPr="00A53CD6">
        <w:rPr>
          <w:rFonts w:ascii="Verdana" w:eastAsia="Times New Roman" w:hAnsi="Verdana" w:cs="Times New Roman"/>
          <w:b/>
          <w:bCs/>
          <w:lang w:eastAsia="es-CO"/>
        </w:rPr>
        <w:t>ix.</w:t>
      </w:r>
      <w:r w:rsidRPr="00A53CD6">
        <w:rPr>
          <w:rFonts w:ascii="Verdana" w:eastAsia="Times New Roman" w:hAnsi="Verdana" w:cs="Times New Roman"/>
          <w:b/>
          <w:lang w:eastAsia="es-CO"/>
        </w:rPr>
        <w:t xml:space="preserve"> TRM y método de ponderación (preguntas 44-49 y 61-67):</w:t>
      </w:r>
    </w:p>
    <w:p w14:paraId="0D39153C" w14:textId="77777777" w:rsidR="00A53CD6" w:rsidRPr="00A53CD6" w:rsidRDefault="00A53CD6" w:rsidP="00A53CD6">
      <w:pPr>
        <w:suppressAutoHyphens/>
        <w:spacing w:after="0" w:line="276" w:lineRule="auto"/>
        <w:rPr>
          <w:rFonts w:ascii="Times New Roman" w:eastAsia="Times New Roman" w:hAnsi="Times New Roman" w:cs="Times New Roman"/>
          <w:sz w:val="24"/>
          <w:szCs w:val="24"/>
          <w:lang w:eastAsia="es-CO"/>
        </w:rPr>
      </w:pPr>
    </w:p>
    <w:p w14:paraId="61F044A2" w14:textId="77777777" w:rsidR="00A53CD6" w:rsidRPr="00A53CD6" w:rsidRDefault="00A53CD6" w:rsidP="00A53CD6">
      <w:pPr>
        <w:suppressAutoHyphens/>
        <w:spacing w:after="120" w:line="276" w:lineRule="auto"/>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Los Documentos Tipo vigentes no toman en un mismo momento la TRM que define el método de ponderación de la oferta económica. Según el numeral 4.1.4 del Documento Base de cada uno, en los Documentos Tipo de licitación de agua potable y saneamiento básico, adoptados mediante la Resolución 248 de 2020, se toma la TRM del día hábil siguiente a la apertura del sobre económico. En los Documentos Tipo de licitación de infraestructura de transporte, versión 4, y de licitación de infraestructura social, versión 2, se toma la del día hábil siguiente al pronunciamiento sobre las ofertas rechazadas y válidas, o la del segundo día hábil si ese pronunciamiento ocurre después de las 3:00 p. m. En los Documentos Tipo de menor cuantía de infraestructura de transporte, versión 3, y de menor cuantía de infraestructura social, se toma la del segundo día hábil después de finalizado el traslado del informe de evaluación. Esa diferencia determina si el método se conoce antes o después de depurar las ofertas. </w:t>
      </w:r>
    </w:p>
    <w:p w14:paraId="5985F0A3" w14:textId="77777777" w:rsidR="00A53CD6" w:rsidRPr="00A53CD6" w:rsidRDefault="00A53CD6" w:rsidP="00A53CD6">
      <w:pPr>
        <w:suppressAutoHyphens/>
        <w:spacing w:after="120" w:line="276" w:lineRule="auto"/>
        <w:ind w:firstLine="708"/>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En los de agua potable y saneamiento básico, la apertura de los sobres económicos y la definición del método se agotan el mismo día, antes de las 3:00 p. m., sin que el Documento Tipo exija resolver antes las correcciones aritméticas ni el análisis de precios artificialmente bajos. En los de licitación de infraestructura de transporte y de infraestructura social, la entidad resuelve ambos asuntos antes de pronunciarse sobre las ofertas rechazadas y válidas, de modo que la TRM se conoce después. En los de menor cuantía, en cambio, después del traslado todavía puede haber requerimientos y análisis de precios artificialmente bajos, conforme a los numerales 1.6 y 4.1.3.</w:t>
      </w:r>
    </w:p>
    <w:p w14:paraId="026D8BBD" w14:textId="77777777" w:rsidR="00A53CD6" w:rsidRPr="00A53CD6" w:rsidRDefault="00A53CD6" w:rsidP="00A53CD6">
      <w:pPr>
        <w:suppressAutoHyphens/>
        <w:spacing w:after="120" w:line="276" w:lineRule="auto"/>
        <w:ind w:firstLine="709"/>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lastRenderedPageBreak/>
        <w:t>En los Documentos Tipo de licitación de agua potable y saneamiento básico, el numeral 4.1.4 ordena que la entidad abra los sobres económicos y defina el método “en un mismo día hasta antes de las 3:00 pm”, con la TRM que rija al día hábil siguiente, de modo que no pueda abrir los sobres conociendo esa TRM. Si debe suspender la audiencia, el método será el que rija el día hábil siguiente a aquel en que efectivamente realice la apertura del segundo sobre, e “igualmente, el método definido el día de la apertura del sobre económico seguirá rigiendo aun cuando la entidad deba suspender la audiencia”. En los Documentos Tipo de licitación de infraestructura de transporte y en los Documentos Tipo de licitación de infraestructura social, la secuencia es distinta: en la audiencia efectiva de adjudicación la entidad resuelve las observaciones al informe, abre los sobres económicos, determina las correcciones aritméticas, solicita la justificación de los precios artificialmente bajos y se pronuncia sobre las ofertas rechazadas y válidas; solo entonces toma la TRM del día hábil siguiente, o la del segundo día hábil si el pronunciamiento ocurre después de las 3:00 p. m., y “una vez definido el método de ponderación de la oferta económica el mismo seguirá rigiendo aun cuando la entidad deba suspender la audiencia”. Cabe agregar que las correcciones aritméticas solo enmiendan errores de cálculo y que, según el numeral 4.1.2 del Documento Base de los Documentos Tipo de licitación de agua potable y saneamiento básico, el puntaje se asigna a partir del valor total corregido de las propuestas.</w:t>
      </w:r>
    </w:p>
    <w:p w14:paraId="3F968210" w14:textId="77777777" w:rsidR="00A53CD6" w:rsidRPr="00A53CD6" w:rsidRDefault="00A53CD6" w:rsidP="00A53CD6">
      <w:pPr>
        <w:suppressAutoHyphens/>
        <w:spacing w:after="120" w:line="276" w:lineRule="auto"/>
        <w:ind w:firstLine="709"/>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Debe tenerse en cuenta que, mediante la Resolución 546 del 14 de septiembre de 2026, esta Agencia adoptó la versión 2 de los Documentos Tipo para los procesos de infraestructura de agua, saneamiento básico y estructuras hidráulicas que se adelantan por licitación pública o licitación pública bajo el esquema llave en mano, y derogó las Resoluciones 248 y 249 de 2020. Esa versión se aplica a los procesos cuyo aviso de convocatoria se publique a partir del 1 de marzo de 2027</w:t>
      </w:r>
      <w:r w:rsidRPr="00A53CD6">
        <w:rPr>
          <w:rFonts w:ascii="Verdana" w:eastAsia="Aptos" w:hAnsi="Verdana" w:cs="Arial"/>
          <w:kern w:val="2"/>
          <w:vertAlign w:val="superscript"/>
          <w14:ligatures w14:val="standardContextual"/>
        </w:rPr>
        <w:footnoteReference w:id="25"/>
      </w:r>
      <w:r w:rsidRPr="00A53CD6">
        <w:rPr>
          <w:rFonts w:ascii="Verdana" w:eastAsia="Aptos" w:hAnsi="Verdana" w:cs="Arial"/>
          <w:kern w:val="2"/>
          <w14:ligatures w14:val="standardContextual"/>
        </w:rPr>
        <w:t xml:space="preserve">. En ella se ajustó esta regla para alinearla con las </w:t>
      </w:r>
      <w:r w:rsidRPr="00A53CD6">
        <w:rPr>
          <w:rFonts w:ascii="Verdana" w:eastAsia="Aptos" w:hAnsi="Verdana" w:cs="Arial"/>
          <w:kern w:val="2"/>
          <w14:ligatures w14:val="standardContextual"/>
        </w:rPr>
        <w:lastRenderedPageBreak/>
        <w:t>últimas modificaciones de los Documentos Tipo de otros sectores, que pueden consultarse en detalle en el Documento Base.</w:t>
      </w:r>
    </w:p>
    <w:p w14:paraId="0C0886B2" w14:textId="77777777" w:rsidR="00A53CD6" w:rsidRPr="00A53CD6" w:rsidRDefault="00A53CD6" w:rsidP="00A53CD6">
      <w:pPr>
        <w:suppressAutoHyphens/>
        <w:spacing w:after="120" w:line="276" w:lineRule="auto"/>
        <w:ind w:firstLine="709"/>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En la menor cuantía, la regla no está en el numeral 4.1.1 que cita la petición, que trata del AIU, sino en el numeral 4.1.4 del Documento Base de los Documentos Tipo de menor cuantía de infraestructura de transporte, según el cual la TRM aplicable es “la que rija el segundo día hábil después de finalizado el periodo de traslado del informe de evaluación”. Sin embargo, el traslado no cierra del todo las subsanaciones. El numeral 1.6 prevé que, si la entidad no advirtió durante la evaluación la ausencia de requisitos o la falta de documentos, “ya sea en relación con los requisitos habilitantes o para aclarar aspectos que otorgan puntaje o relativos a los factores de desempate”, puede requerir después al proponente, otorgándole un término igual al del traslado, y que en ese caso “la Entidad ajustará el Cronograma”; la misma regla se aplica cuando la observación proviene de otro proponente durante el traslado. Además, la nota del numeral 4.1.3 ordena que los precios artificialmente bajos se analicen antes de definir el orden de elegibilidad.</w:t>
      </w:r>
    </w:p>
    <w:p w14:paraId="3E240DD7" w14:textId="77777777" w:rsidR="00A53CD6" w:rsidRPr="00A53CD6" w:rsidRDefault="00A53CD6" w:rsidP="00A53CD6">
      <w:pPr>
        <w:suppressAutoHyphens/>
        <w:spacing w:after="120" w:line="276" w:lineRule="auto"/>
        <w:ind w:firstLine="709"/>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Este supuesto ya tiene una respuesta expresa en los Documentos Tipo de menor cuantía de infraestructura social. Su numeral 4.1.4 conserva la regla general del segundo día hábil después del traslado, pero agrega que, “en el evento excepcional establecido en el numeral 1.6”, cuando la entidad deba requerir a algún proponente por no haber advertido a tiempo la falta de requisitos o documentos, “la TRM que la Entidad utilizará para determinar el método de ponderación será la que rija el segundo día hábil después de finalizado el periodo concedido al Proponente requerido para allegar la subsanación y/o aclaración solicitada”. Los Documentos Tipo de menor cuantía de infraestructura de transporte, versión 3, no contienen esa precisión, de modo que en ellos rige la regla general del numeral 4.1.4, sin perjuicio de que la entidad ajuste el cronograma en los términos del numeral 1.6.</w:t>
      </w:r>
    </w:p>
    <w:p w14:paraId="0833CD45" w14:textId="77777777" w:rsidR="00A53CD6" w:rsidRPr="00A53CD6" w:rsidRDefault="00A53CD6" w:rsidP="00A53CD6">
      <w:pPr>
        <w:suppressAutoHyphens/>
        <w:spacing w:after="0" w:line="276" w:lineRule="auto"/>
        <w:ind w:firstLine="709"/>
        <w:jc w:val="both"/>
        <w:rPr>
          <w:rFonts w:ascii="Verdana" w:eastAsia="Aptos" w:hAnsi="Verdana" w:cs="Arial"/>
          <w:kern w:val="2"/>
          <w14:ligatures w14:val="standardContextual"/>
        </w:rPr>
      </w:pPr>
      <w:r w:rsidRPr="00A53CD6">
        <w:rPr>
          <w:rFonts w:ascii="Verdana" w:eastAsia="Aptos" w:hAnsi="Verdana" w:cs="Arial"/>
          <w:kern w:val="2"/>
          <w14:ligatures w14:val="standardContextual"/>
        </w:rPr>
        <w:t xml:space="preserve">En cuanto a la armonización, el propósito de la regla prevista en los Documentos Tipo de licitación de infraestructura de transporte es que la entidad </w:t>
      </w:r>
      <w:r w:rsidRPr="00A53CD6">
        <w:rPr>
          <w:rFonts w:ascii="Verdana" w:eastAsia="Aptos" w:hAnsi="Verdana" w:cs="Arial"/>
          <w:kern w:val="2"/>
          <w14:ligatures w14:val="standardContextual"/>
        </w:rPr>
        <w:lastRenderedPageBreak/>
        <w:t>no conozca de antemano la TRM. La Agencia ha procurado unificar, en lo pertinente, las reglas de los distintos Documentos Tipo, como lo muestra la precisión incorporada en los Documentos Tipo de menor cuantía de infraestructura social, pero ese resultado no se produce automáticamente cuando se ajusta uno de ellos: dependiendo del momento en que se modifique cada documento, de las observaciones de las entidades técnicas o especializadas del sector y de las particularidades de cada modalidad de selección, esta entidad puede incorporar o no en un Documento Tipo las reglas de otro.</w:t>
      </w:r>
    </w:p>
    <w:p w14:paraId="46569394" w14:textId="77777777" w:rsidR="00A53CD6" w:rsidRPr="00A53CD6" w:rsidRDefault="00A53CD6" w:rsidP="00A53CD6">
      <w:pPr>
        <w:suppressAutoHyphens/>
        <w:spacing w:after="0" w:line="276" w:lineRule="auto"/>
        <w:jc w:val="both"/>
        <w:rPr>
          <w:rFonts w:ascii="Verdana" w:eastAsia="Aptos" w:hAnsi="Verdana" w:cs="Arial"/>
          <w:kern w:val="2"/>
          <w14:ligatures w14:val="standardContextual"/>
        </w:rPr>
      </w:pPr>
    </w:p>
    <w:p w14:paraId="0268617F" w14:textId="77777777" w:rsidR="00A53CD6" w:rsidRPr="00A53CD6" w:rsidRDefault="00A53CD6" w:rsidP="00A53CD6">
      <w:pPr>
        <w:suppressAutoHyphens/>
        <w:spacing w:after="0" w:line="276" w:lineRule="auto"/>
        <w:jc w:val="both"/>
        <w:rPr>
          <w:rFonts w:ascii="Verdana" w:eastAsia="Aptos" w:hAnsi="Verdana" w:cs="Arial"/>
          <w:b/>
          <w:bCs/>
          <w:kern w:val="2"/>
          <w14:ligatures w14:val="standardContextual"/>
        </w:rPr>
      </w:pPr>
      <w:r w:rsidRPr="00A53CD6">
        <w:rPr>
          <w:rFonts w:ascii="Verdana" w:eastAsia="Aptos" w:hAnsi="Verdana" w:cs="Arial"/>
          <w:b/>
          <w:bCs/>
          <w:kern w:val="2"/>
          <w14:ligatures w14:val="standardContextual"/>
        </w:rPr>
        <w:t>x. Formatos 12A, 12B y 8 (preguntas 50-55):</w:t>
      </w:r>
    </w:p>
    <w:p w14:paraId="7970F89C" w14:textId="77777777" w:rsidR="00A53CD6" w:rsidRPr="00A53CD6" w:rsidRDefault="00A53CD6" w:rsidP="00A53CD6">
      <w:pPr>
        <w:suppressAutoHyphens/>
        <w:spacing w:after="0" w:line="276" w:lineRule="auto"/>
        <w:jc w:val="both"/>
        <w:rPr>
          <w:rFonts w:ascii="Verdana" w:eastAsia="Aptos" w:hAnsi="Verdana" w:cs="Arial"/>
          <w:kern w:val="2"/>
          <w14:ligatures w14:val="standardContextual"/>
        </w:rPr>
      </w:pPr>
    </w:p>
    <w:p w14:paraId="7DFE70B5" w14:textId="77777777" w:rsidR="00A53CD6" w:rsidRPr="00A53CD6" w:rsidRDefault="00A53CD6" w:rsidP="00A53CD6">
      <w:pPr>
        <w:suppressAutoHyphens/>
        <w:spacing w:after="120" w:line="276" w:lineRule="auto"/>
        <w:jc w:val="both"/>
        <w:rPr>
          <w:rFonts w:ascii="Verdana" w:eastAsia="Times New Roman" w:hAnsi="Verdana" w:cs="Times New Roman"/>
          <w:lang w:eastAsia="es-CO"/>
        </w:rPr>
      </w:pPr>
      <w:r w:rsidRPr="00A53CD6">
        <w:rPr>
          <w:rFonts w:ascii="Verdana" w:eastAsia="Times New Roman" w:hAnsi="Verdana" w:cs="Times New Roman"/>
          <w:lang w:eastAsia="es-CO"/>
        </w:rPr>
        <w:t>Los Formatos 12A y 12B son propios de los Documentos Tipo de licitación de infraestructura social y sirven para acreditar los compromisos de los criterios ambiental y social de los numerales 4.2.4.1 y 4.2.4.2 del Documento Base, que otorgan quince (15) y cinco (5) puntos, respectivamente. Ambos numerales, y los propios formatos, contienen la instrucción según la cual “la Entidad en este numeral según su presupuesto del proceso de selección deberá escoger una de las siguientes opciones, y eliminar las restantes”</w:t>
      </w:r>
      <w:r w:rsidRPr="00A53CD6">
        <w:rPr>
          <w:rFonts w:ascii="Verdana" w:eastAsia="Times New Roman" w:hAnsi="Verdana" w:cs="Times New Roman"/>
          <w:vertAlign w:val="superscript"/>
          <w:lang w:eastAsia="es-CO"/>
        </w:rPr>
        <w:footnoteReference w:id="26"/>
      </w:r>
      <w:r w:rsidRPr="00A53CD6">
        <w:rPr>
          <w:rFonts w:ascii="Verdana" w:eastAsia="Times New Roman" w:hAnsi="Verdana" w:cs="Times New Roman"/>
          <w:lang w:eastAsia="es-CO"/>
        </w:rPr>
        <w:t>. En el criterio social, además, la entidad debe incluir el número de personas que se vincularán “de acuerdo al cuadro que se encuentra en este numeral, según el presupuesto oficial”. La selección de la opción corresponde exclusivamente a la entidad, que debe incorporar la misma opción en el Documento Base y en el formato, de manera que haya plena correspondencia entre ambos, sin agregar criterios o condiciones distintos</w:t>
      </w:r>
      <w:r w:rsidRPr="00A53CD6">
        <w:rPr>
          <w:rFonts w:ascii="Verdana" w:eastAsia="Times New Roman" w:hAnsi="Verdana" w:cs="Times New Roman"/>
          <w:vertAlign w:val="superscript"/>
          <w:lang w:eastAsia="es-CO"/>
        </w:rPr>
        <w:footnoteReference w:id="27"/>
      </w:r>
      <w:r w:rsidRPr="00A53CD6">
        <w:rPr>
          <w:rFonts w:ascii="Verdana" w:eastAsia="Times New Roman" w:hAnsi="Verdana" w:cs="Times New Roman"/>
          <w:lang w:eastAsia="es-CO"/>
        </w:rPr>
        <w:t xml:space="preserve">. Su margen de decisión se agota en escoger la opción que </w:t>
      </w:r>
      <w:r w:rsidRPr="00A53CD6">
        <w:rPr>
          <w:rFonts w:ascii="Verdana" w:eastAsia="Times New Roman" w:hAnsi="Verdana" w:cs="Times New Roman"/>
          <w:lang w:eastAsia="es-CO"/>
        </w:rPr>
        <w:lastRenderedPageBreak/>
        <w:t>corresponda a la cuantía. Una vez escogida, debe exigir todos los criterios ambientales que la integran, con la sola salvedad que el propio Documento Base prevé para los cicloparqueaderos cuando no hay espacio técnicamente viable en el predio</w:t>
      </w:r>
      <w:r w:rsidRPr="00A53CD6">
        <w:rPr>
          <w:rFonts w:ascii="Verdana" w:eastAsia="Times New Roman" w:hAnsi="Verdana" w:cs="Times New Roman"/>
          <w:vertAlign w:val="superscript"/>
          <w:lang w:eastAsia="es-CO"/>
        </w:rPr>
        <w:footnoteReference w:id="28"/>
      </w:r>
      <w:r w:rsidRPr="00A53CD6">
        <w:rPr>
          <w:rFonts w:ascii="Verdana" w:eastAsia="Times New Roman" w:hAnsi="Verdana" w:cs="Times New Roman"/>
          <w:lang w:eastAsia="es-CO"/>
        </w:rPr>
        <w:t>.</w:t>
      </w:r>
    </w:p>
    <w:p w14:paraId="2536C013" w14:textId="77777777" w:rsidR="00A53CD6" w:rsidRPr="00A53CD6" w:rsidRDefault="00A53CD6" w:rsidP="00A53CD6">
      <w:pPr>
        <w:suppressAutoHyphens/>
        <w:spacing w:after="120" w:line="276" w:lineRule="auto"/>
        <w:ind w:firstLine="709"/>
        <w:jc w:val="both"/>
        <w:rPr>
          <w:rFonts w:ascii="Verdana" w:eastAsia="Times New Roman" w:hAnsi="Verdana" w:cs="Times New Roman"/>
          <w:lang w:eastAsia="es-CO"/>
        </w:rPr>
      </w:pPr>
      <w:r w:rsidRPr="00A53CD6">
        <w:rPr>
          <w:rFonts w:ascii="Verdana" w:eastAsia="Times New Roman" w:hAnsi="Verdana" w:cs="Times New Roman"/>
          <w:lang w:eastAsia="es-CO"/>
        </w:rPr>
        <w:t>Al proponente solo le corresponde manifestar si asume o no el compromiso. En el Formato 12A marca “Sí” o “No” en una casilla única, que cubre todos los criterios de la opción, de modo que no caben ofrecimientos ni puntajes parciales</w:t>
      </w:r>
      <w:r w:rsidRPr="00A53CD6">
        <w:rPr>
          <w:rFonts w:ascii="Verdana" w:eastAsia="Times New Roman" w:hAnsi="Verdana" w:cs="Times New Roman"/>
          <w:vertAlign w:val="superscript"/>
          <w:lang w:eastAsia="es-CO"/>
        </w:rPr>
        <w:footnoteReference w:id="29"/>
      </w:r>
      <w:r w:rsidRPr="00A53CD6">
        <w:rPr>
          <w:rFonts w:ascii="Verdana" w:eastAsia="Times New Roman" w:hAnsi="Verdana" w:cs="Times New Roman"/>
          <w:lang w:eastAsia="es-CO"/>
        </w:rPr>
        <w:t>. En el Formato 12B acepta vincular el número de personas y los grupos poblacionales que la entidad definió en el numeral 4.2.4.2, sin poder escoger entre las opciones ni modificar esas condiciones. Por eso, la carga de configurar los formatos es de la entidad y no puede trasladarse al proponente.</w:t>
      </w:r>
    </w:p>
    <w:p w14:paraId="4073572B" w14:textId="77777777" w:rsidR="00A53CD6" w:rsidRPr="00A53CD6" w:rsidRDefault="00A53CD6" w:rsidP="00A53CD6">
      <w:pPr>
        <w:suppressAutoHyphens/>
        <w:spacing w:after="120" w:line="276" w:lineRule="auto"/>
        <w:ind w:firstLine="709"/>
        <w:jc w:val="both"/>
        <w:rPr>
          <w:rFonts w:ascii="Verdana" w:eastAsia="Times New Roman" w:hAnsi="Verdana" w:cs="Times New Roman"/>
          <w:lang w:eastAsia="es-CO"/>
        </w:rPr>
      </w:pPr>
      <w:r w:rsidRPr="00A53CD6">
        <w:rPr>
          <w:rFonts w:ascii="Verdana" w:eastAsia="Times New Roman" w:hAnsi="Verdana" w:cs="Times New Roman"/>
          <w:lang w:eastAsia="es-CO"/>
        </w:rPr>
        <w:t xml:space="preserve">El formato es un instrumento de acreditación que debe reproducir el Documento Base, de modo que cualquier diferencia entre ambos se resuelve a favor de este último, y el compromiso que asume el proponente al marcar “Sí” recae sobre los criterios previstos en el numeral 4.2.4.1. La entidad puede corregir los errores materiales del formato, aun por fuera de los apartes entre </w:t>
      </w:r>
      <w:r w:rsidRPr="00A53CD6">
        <w:rPr>
          <w:rFonts w:ascii="Verdana" w:eastAsia="Times New Roman" w:hAnsi="Verdana" w:cs="Times New Roman"/>
          <w:lang w:eastAsia="es-CO"/>
        </w:rPr>
        <w:lastRenderedPageBreak/>
        <w:t>corchetes, para restablecer esa correspondencia</w:t>
      </w:r>
      <w:r w:rsidRPr="00A53CD6">
        <w:rPr>
          <w:rFonts w:ascii="Verdana" w:eastAsia="Times New Roman" w:hAnsi="Verdana" w:cs="Times New Roman"/>
          <w:vertAlign w:val="superscript"/>
          <w:lang w:eastAsia="es-CO"/>
        </w:rPr>
        <w:footnoteReference w:id="30"/>
      </w:r>
      <w:r w:rsidRPr="00A53CD6">
        <w:rPr>
          <w:rFonts w:ascii="Verdana" w:eastAsia="Times New Roman" w:hAnsi="Verdana" w:cs="Times New Roman"/>
          <w:lang w:eastAsia="es-CO"/>
        </w:rPr>
        <w:t>. Con ese mismo criterio, si la entidad no configuró el formato y queda alguna ambigüedad, debe atenderse lo sustancial y permitirse aclarar antes de rechazar. En virtud de la prevalencia del derecho sustancial sobre las formas, no cualquier error o inconsistencia formal puede afectar la evaluación de las ofertas ni dar lugar a su rechazo.</w:t>
      </w:r>
    </w:p>
    <w:p w14:paraId="23E3E44A" w14:textId="77777777" w:rsidR="00A53CD6" w:rsidRPr="00A53CD6" w:rsidRDefault="00A53CD6" w:rsidP="00A53CD6">
      <w:pPr>
        <w:suppressAutoHyphens/>
        <w:spacing w:after="120" w:line="276" w:lineRule="auto"/>
        <w:ind w:firstLine="709"/>
        <w:jc w:val="both"/>
        <w:rPr>
          <w:rFonts w:ascii="Verdana" w:eastAsia="Times New Roman" w:hAnsi="Verdana" w:cs="Times New Roman"/>
          <w:lang w:eastAsia="es-CO"/>
        </w:rPr>
      </w:pPr>
      <w:r w:rsidRPr="00A53CD6">
        <w:rPr>
          <w:rFonts w:ascii="Verdana" w:eastAsia="Times New Roman" w:hAnsi="Verdana" w:cs="Times New Roman"/>
          <w:lang w:eastAsia="es-CO"/>
        </w:rPr>
        <w:t>En cuanto al Formato 8 – Vinculación de personas con discapacidad, el formato de los Documentos Tipo de licitación de infraestructura de transporte, de los Documentos Tipo de licitación de agua potable y saneamiento básico y de los Documentos Tipo de licitación de infraestructura social indica que lo suscribe “la persona natural, el representante legal de la persona jurídica o el revisor fiscal, según corresponda”, y pide al firmante indicar si actúa como representante legal o como revisor fiscal. Esta Agencia ha repetido esa fórmula y se ha referido al revisor fiscal para el caso en que el proponente esté obligado a tenerlo. Para el Formato 6, en cambio, el numeral 3.4.1 del Documento Base de los Documentos Tipo de menor cuantía de infraestructura de transporte sí es expreso: debe suscribirlo “el revisor fiscal, de acuerdo con los requerimientos de ley o […] el representante legal, bajo la gravedad del juramento, cuando no se requiera revisor fiscal”. En los Documentos Tipo de menor cuantía, el Formato 8 corresponde a los factores de desempate y no a la vinculación de personas con discapacidad.</w:t>
      </w:r>
    </w:p>
    <w:p w14:paraId="78B9B249" w14:textId="77777777" w:rsidR="00A53CD6" w:rsidRPr="00A53CD6" w:rsidRDefault="00A53CD6" w:rsidP="00A53CD6">
      <w:pPr>
        <w:suppressAutoHyphens/>
        <w:spacing w:after="0" w:line="276" w:lineRule="auto"/>
        <w:ind w:firstLine="709"/>
        <w:jc w:val="both"/>
        <w:rPr>
          <w:rFonts w:ascii="Verdana" w:eastAsia="Times New Roman" w:hAnsi="Verdana" w:cs="Times New Roman"/>
          <w:lang w:eastAsia="es-CO"/>
        </w:rPr>
      </w:pPr>
      <w:r w:rsidRPr="00A53CD6">
        <w:rPr>
          <w:rFonts w:ascii="Verdana" w:eastAsia="Times New Roman" w:hAnsi="Verdana" w:cs="Times New Roman"/>
          <w:lang w:eastAsia="es-CO"/>
        </w:rPr>
        <w:t xml:space="preserve">El Formato 8 de los Documentos Tipo de licitación estandariza la forma de cumplir el requisito del numeral 1 del artículo 2.2.1.2.4.2.6 del Decreto 1082 de 2015, adicionado por el Decreto 392 de 2018. El Decreto 287 de 2026 modificó ese artículo, y ahora la certificación la suscriben el representante legal y el revisor fiscal, cuando exista, o el contador. Mientras esta Agencia no incorpore las nuevas medidas en los Documentos Tipo mediante resolución, las entidades </w:t>
      </w:r>
      <w:r w:rsidRPr="00A53CD6">
        <w:rPr>
          <w:rFonts w:ascii="Verdana" w:eastAsia="Times New Roman" w:hAnsi="Verdana" w:cs="Times New Roman"/>
          <w:lang w:eastAsia="es-CO"/>
        </w:rPr>
        <w:lastRenderedPageBreak/>
        <w:t>deben seguir aplicando la versión vigente y abstenerse de introducir cambios que la ley no autoriza, como lo indicó la Circular Externa 003 de 2026.</w:t>
      </w:r>
    </w:p>
    <w:p w14:paraId="06F99EB2" w14:textId="77777777" w:rsidR="00A53CD6" w:rsidRPr="00A53CD6" w:rsidRDefault="00A53CD6" w:rsidP="00A53CD6">
      <w:pPr>
        <w:suppressAutoHyphens/>
        <w:spacing w:after="120" w:line="276" w:lineRule="auto"/>
        <w:jc w:val="both"/>
        <w:rPr>
          <w:rFonts w:ascii="Verdana" w:eastAsia="Aptos" w:hAnsi="Verdana" w:cs="Arial"/>
          <w:lang w:eastAsia="es-MX"/>
        </w:rPr>
      </w:pPr>
    </w:p>
    <w:p w14:paraId="3149D607" w14:textId="77777777" w:rsidR="00A53CD6" w:rsidRPr="00A53CD6" w:rsidRDefault="00A53CD6" w:rsidP="00A53CD6">
      <w:pPr>
        <w:suppressAutoHyphens/>
        <w:spacing w:after="120" w:line="276" w:lineRule="auto"/>
        <w:jc w:val="both"/>
        <w:rPr>
          <w:rFonts w:ascii="Verdana" w:eastAsia="Aptos" w:hAnsi="Verdana" w:cs="Arial"/>
          <w:lang w:eastAsia="es-MX"/>
        </w:rPr>
      </w:pPr>
      <w:r w:rsidRPr="00A53CD6">
        <w:rPr>
          <w:rFonts w:ascii="Verdana" w:eastAsia="Aptos" w:hAnsi="Verdana" w:cs="Arial"/>
          <w:b/>
          <w:bCs/>
          <w:lang w:eastAsia="es-MX"/>
        </w:rPr>
        <w:t>xi.</w:t>
      </w:r>
      <w:r w:rsidRPr="00A53CD6">
        <w:rPr>
          <w:rFonts w:ascii="Verdana" w:eastAsia="Aptos" w:hAnsi="Verdana" w:cs="Arial"/>
          <w:lang w:eastAsia="es-MX"/>
        </w:rPr>
        <w:t xml:space="preserve"> 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8A48954" w14:textId="77777777" w:rsidR="00A53CD6" w:rsidRPr="00A53CD6" w:rsidRDefault="00A53CD6" w:rsidP="00A53CD6">
      <w:pPr>
        <w:suppressAutoHyphens/>
        <w:spacing w:after="0" w:line="276" w:lineRule="auto"/>
        <w:ind w:firstLine="709"/>
        <w:jc w:val="both"/>
        <w:rPr>
          <w:rFonts w:ascii="Verdana" w:eastAsia="Aptos" w:hAnsi="Verdana" w:cs="Arial"/>
          <w:lang w:eastAsia="es-MX"/>
        </w:rPr>
      </w:pPr>
      <w:r w:rsidRPr="00A53CD6">
        <w:rPr>
          <w:rFonts w:ascii="Verdana" w:eastAsia="Aptos" w:hAnsi="Verdana" w:cs="Arial"/>
          <w:lang w:eastAsia="es-MX"/>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bookmarkEnd w:id="1"/>
    <w:p w14:paraId="5B3563F5" w14:textId="77777777" w:rsidR="00A53CD6" w:rsidRPr="00A53CD6" w:rsidRDefault="00A53CD6" w:rsidP="00A53CD6">
      <w:pPr>
        <w:suppressAutoHyphens/>
        <w:spacing w:after="0" w:line="240" w:lineRule="auto"/>
        <w:jc w:val="both"/>
        <w:rPr>
          <w:rFonts w:ascii="Verdana" w:eastAsia="Times New Roman" w:hAnsi="Verdana" w:cs="Times New Roman"/>
          <w:lang w:eastAsia="es-CO"/>
        </w:rPr>
      </w:pPr>
    </w:p>
    <w:p w14:paraId="2A48A55E" w14:textId="77777777" w:rsidR="00A53CD6" w:rsidRPr="00A53CD6" w:rsidRDefault="00A53CD6" w:rsidP="00A53CD6">
      <w:pPr>
        <w:tabs>
          <w:tab w:val="left" w:pos="142"/>
          <w:tab w:val="left" w:pos="284"/>
        </w:tabs>
        <w:suppressAutoHyphens/>
        <w:spacing w:after="0" w:line="276" w:lineRule="auto"/>
        <w:jc w:val="both"/>
        <w:rPr>
          <w:rFonts w:ascii="Verdana" w:eastAsia="Century Gothic" w:hAnsi="Verdana" w:cs="Century Gothic"/>
          <w:b/>
          <w:bCs/>
          <w:lang w:val="es-ES_tradnl"/>
        </w:rPr>
      </w:pPr>
      <w:r w:rsidRPr="00A53CD6">
        <w:rPr>
          <w:rFonts w:ascii="Verdana" w:eastAsia="Century Gothic" w:hAnsi="Verdana" w:cs="Century Gothic"/>
          <w:b/>
          <w:bCs/>
          <w:lang w:val="es-ES_tradnl"/>
        </w:rPr>
        <w:t>4. Referencias normativas, jurisprudenciales y otras fuentes:</w:t>
      </w:r>
    </w:p>
    <w:p w14:paraId="3FFCC830" w14:textId="77777777" w:rsidR="00A53CD6" w:rsidRPr="00A53CD6" w:rsidRDefault="00A53CD6" w:rsidP="00A53CD6">
      <w:pPr>
        <w:suppressAutoHyphens/>
        <w:spacing w:after="0"/>
        <w:ind w:left="-15840"/>
        <w:jc w:val="both"/>
        <w:rPr>
          <w:rFonts w:ascii="Verdana" w:eastAsia="Calibri" w:hAnsi="Verdana" w:cs="Arial"/>
          <w:b/>
          <w:bCs/>
        </w:rPr>
      </w:pPr>
      <w:r w:rsidRPr="00A53CD6">
        <w:rPr>
          <w:rFonts w:ascii="Verdana" w:eastAsia="Calibri" w:hAnsi="Verdana" w:cs="Arial"/>
          <w:b/>
          <w:bCs/>
        </w:rPr>
        <w:t>4. Referencias normativas, jurisprudenciales y otras fuentes:</w:t>
      </w:r>
    </w:p>
    <w:tbl>
      <w:tblPr>
        <w:tblStyle w:val="Tablaconcuadrcula12"/>
        <w:tblW w:w="8640" w:type="dxa"/>
        <w:tblInd w:w="137" w:type="dxa"/>
        <w:tblLayout w:type="fixed"/>
        <w:tblLook w:val="04A0" w:firstRow="1" w:lastRow="0" w:firstColumn="1" w:lastColumn="0" w:noHBand="0" w:noVBand="1"/>
      </w:tblPr>
      <w:tblGrid>
        <w:gridCol w:w="8640"/>
      </w:tblGrid>
      <w:tr w:rsidR="00A53CD6" w:rsidRPr="00A53CD6" w14:paraId="3F83D4D7" w14:textId="77777777" w:rsidTr="00DF1FC7">
        <w:trPr>
          <w:trHeight w:val="870"/>
        </w:trPr>
        <w:tc>
          <w:tcPr>
            <w:tcW w:w="8640" w:type="dxa"/>
            <w:tcBorders>
              <w:top w:val="dotted" w:sz="4" w:space="0" w:color="000000"/>
              <w:left w:val="dotted" w:sz="4" w:space="0" w:color="000000"/>
              <w:bottom w:val="dotted" w:sz="4" w:space="0" w:color="000000"/>
              <w:right w:val="dotted" w:sz="4" w:space="0" w:color="000000"/>
            </w:tcBorders>
          </w:tcPr>
          <w:p w14:paraId="5F98A663" w14:textId="77777777" w:rsidR="00A53CD6" w:rsidRPr="00A53CD6" w:rsidRDefault="00A53CD6" w:rsidP="00A53CD6">
            <w:pPr>
              <w:widowControl w:val="0"/>
              <w:numPr>
                <w:ilvl w:val="0"/>
                <w:numId w:val="16"/>
              </w:numPr>
              <w:snapToGrid w:val="0"/>
              <w:spacing w:after="120" w:line="276" w:lineRule="auto"/>
              <w:ind w:left="714" w:hanging="357"/>
              <w:jc w:val="both"/>
              <w:rPr>
                <w:rFonts w:ascii="Verdana" w:eastAsia="Aptos" w:hAnsi="Verdana" w:cs="Arial"/>
              </w:rPr>
            </w:pPr>
            <w:r w:rsidRPr="00A53CD6">
              <w:rPr>
                <w:rFonts w:ascii="Verdana" w:eastAsia="Aptos" w:hAnsi="Verdana" w:cs="Arial"/>
              </w:rPr>
              <w:t>Ley 2022 de 2020, artículo 1.</w:t>
            </w:r>
          </w:p>
          <w:p w14:paraId="7E3412B5" w14:textId="77777777" w:rsidR="00A53CD6" w:rsidRPr="00A53CD6" w:rsidRDefault="00A53CD6" w:rsidP="00A53CD6">
            <w:pPr>
              <w:widowControl w:val="0"/>
              <w:numPr>
                <w:ilvl w:val="0"/>
                <w:numId w:val="16"/>
              </w:numPr>
              <w:snapToGrid w:val="0"/>
              <w:spacing w:after="120" w:line="276" w:lineRule="auto"/>
              <w:ind w:left="714" w:hanging="357"/>
              <w:jc w:val="both"/>
              <w:rPr>
                <w:rFonts w:ascii="Verdana" w:eastAsia="Aptos" w:hAnsi="Verdana" w:cs="Arial"/>
              </w:rPr>
            </w:pPr>
            <w:r w:rsidRPr="00A53CD6">
              <w:rPr>
                <w:rFonts w:ascii="Verdana" w:eastAsia="Aptos" w:hAnsi="Verdana" w:cs="Arial"/>
              </w:rPr>
              <w:t>Ley 80 de 1993, artículos 2, 4, 24, 25, 27 y 30.</w:t>
            </w:r>
          </w:p>
          <w:p w14:paraId="2EBE956D" w14:textId="77777777" w:rsidR="00A53CD6" w:rsidRPr="00A53CD6" w:rsidRDefault="00A53CD6" w:rsidP="00A53CD6">
            <w:pPr>
              <w:widowControl w:val="0"/>
              <w:numPr>
                <w:ilvl w:val="0"/>
                <w:numId w:val="16"/>
              </w:numPr>
              <w:snapToGrid w:val="0"/>
              <w:spacing w:after="120" w:line="276" w:lineRule="auto"/>
              <w:ind w:left="714" w:hanging="357"/>
              <w:jc w:val="both"/>
              <w:rPr>
                <w:rFonts w:ascii="Verdana" w:eastAsia="Aptos" w:hAnsi="Verdana" w:cs="Arial"/>
              </w:rPr>
            </w:pPr>
            <w:r w:rsidRPr="00A53CD6">
              <w:rPr>
                <w:rFonts w:ascii="Verdana" w:eastAsia="Aptos" w:hAnsi="Verdana" w:cs="Arial"/>
              </w:rPr>
              <w:t>Ley 1150 de 2007, artículos 2, 3 y 5.</w:t>
            </w:r>
          </w:p>
          <w:p w14:paraId="6077512F" w14:textId="77777777" w:rsidR="00A53CD6" w:rsidRPr="00A53CD6" w:rsidRDefault="00A53CD6" w:rsidP="00A53CD6">
            <w:pPr>
              <w:widowControl w:val="0"/>
              <w:numPr>
                <w:ilvl w:val="0"/>
                <w:numId w:val="16"/>
              </w:numPr>
              <w:snapToGrid w:val="0"/>
              <w:spacing w:after="120" w:line="276" w:lineRule="auto"/>
              <w:ind w:left="714" w:hanging="357"/>
              <w:jc w:val="both"/>
              <w:rPr>
                <w:rFonts w:ascii="Verdana" w:eastAsia="Aptos" w:hAnsi="Verdana" w:cs="Arial"/>
              </w:rPr>
            </w:pPr>
            <w:r w:rsidRPr="00A53CD6">
              <w:rPr>
                <w:rFonts w:ascii="Verdana" w:eastAsia="Aptos" w:hAnsi="Verdana" w:cs="Arial"/>
              </w:rPr>
              <w:t>Ley 842 de 2003, artículos 17 y 20.</w:t>
            </w:r>
          </w:p>
          <w:p w14:paraId="5C726911" w14:textId="77777777" w:rsidR="00A53CD6" w:rsidRPr="00A53CD6" w:rsidRDefault="00A53CD6" w:rsidP="00A53CD6">
            <w:pPr>
              <w:widowControl w:val="0"/>
              <w:numPr>
                <w:ilvl w:val="0"/>
                <w:numId w:val="16"/>
              </w:numPr>
              <w:snapToGrid w:val="0"/>
              <w:spacing w:after="120" w:line="276" w:lineRule="auto"/>
              <w:ind w:left="714" w:hanging="357"/>
              <w:jc w:val="both"/>
              <w:rPr>
                <w:rFonts w:ascii="Verdana" w:eastAsia="Aptos" w:hAnsi="Verdana" w:cs="Arial"/>
              </w:rPr>
            </w:pPr>
            <w:r w:rsidRPr="00A53CD6">
              <w:rPr>
                <w:rFonts w:ascii="Verdana" w:eastAsia="Aptos" w:hAnsi="Verdana" w:cs="Arial"/>
              </w:rPr>
              <w:t>Ley 1474 de 2011, artículo 89.</w:t>
            </w:r>
          </w:p>
          <w:p w14:paraId="2C3587B8" w14:textId="77777777" w:rsidR="00A53CD6" w:rsidRPr="00A53CD6" w:rsidRDefault="00A53CD6" w:rsidP="00A53CD6">
            <w:pPr>
              <w:widowControl w:val="0"/>
              <w:numPr>
                <w:ilvl w:val="0"/>
                <w:numId w:val="16"/>
              </w:numPr>
              <w:snapToGrid w:val="0"/>
              <w:spacing w:after="120" w:line="276" w:lineRule="auto"/>
              <w:ind w:left="714" w:hanging="357"/>
              <w:jc w:val="both"/>
              <w:rPr>
                <w:rFonts w:ascii="Verdana" w:eastAsia="Aptos" w:hAnsi="Verdana" w:cs="Arial"/>
              </w:rPr>
            </w:pPr>
            <w:r w:rsidRPr="00A53CD6">
              <w:rPr>
                <w:rFonts w:ascii="Verdana" w:eastAsia="Aptos" w:hAnsi="Verdana" w:cs="Arial"/>
              </w:rPr>
              <w:lastRenderedPageBreak/>
              <w:t>Ley 1712 de 2014, artículo 21.</w:t>
            </w:r>
          </w:p>
          <w:p w14:paraId="1CA46FD1" w14:textId="77777777" w:rsidR="00A53CD6" w:rsidRPr="00A53CD6" w:rsidRDefault="00A53CD6" w:rsidP="00A53CD6">
            <w:pPr>
              <w:widowControl w:val="0"/>
              <w:numPr>
                <w:ilvl w:val="0"/>
                <w:numId w:val="16"/>
              </w:numPr>
              <w:snapToGrid w:val="0"/>
              <w:spacing w:after="120" w:line="276" w:lineRule="auto"/>
              <w:ind w:left="714" w:hanging="357"/>
              <w:jc w:val="both"/>
              <w:rPr>
                <w:rFonts w:ascii="Verdana" w:eastAsia="Aptos" w:hAnsi="Verdana" w:cs="Arial"/>
              </w:rPr>
            </w:pPr>
            <w:r w:rsidRPr="00A53CD6">
              <w:rPr>
                <w:rFonts w:ascii="Verdana" w:eastAsia="Aptos" w:hAnsi="Verdana" w:cs="Arial"/>
              </w:rPr>
              <w:t>Decreto 1082 de 2015, artículos 2.2.1.1.1.7.1, 2.2.1.1.2.1.3, 2.2.1.1.2.2.1, 2.2.1.1.2.2.3, 2.2.1.1.2.2.4, 2.2.1.1.2.2.5, 2.2.1.2.3.1.6 y 2.2.1.2.4.2.6.</w:t>
            </w:r>
          </w:p>
          <w:p w14:paraId="6B6273D3" w14:textId="77777777" w:rsidR="00A53CD6" w:rsidRPr="00A53CD6" w:rsidRDefault="00A53CD6" w:rsidP="00A53CD6">
            <w:pPr>
              <w:widowControl w:val="0"/>
              <w:numPr>
                <w:ilvl w:val="0"/>
                <w:numId w:val="16"/>
              </w:numPr>
              <w:snapToGrid w:val="0"/>
              <w:spacing w:after="120" w:line="276" w:lineRule="auto"/>
              <w:ind w:left="714" w:hanging="357"/>
              <w:jc w:val="both"/>
              <w:rPr>
                <w:rFonts w:ascii="Verdana" w:eastAsia="Aptos" w:hAnsi="Verdana" w:cs="Arial"/>
              </w:rPr>
            </w:pPr>
            <w:r w:rsidRPr="00A53CD6">
              <w:rPr>
                <w:rFonts w:ascii="Verdana" w:eastAsia="Aptos" w:hAnsi="Verdana" w:cs="Arial"/>
              </w:rPr>
              <w:t>Decreto 287 de 2026.</w:t>
            </w:r>
          </w:p>
          <w:p w14:paraId="3B0249C2" w14:textId="77777777" w:rsidR="00A53CD6" w:rsidRPr="00A53CD6" w:rsidRDefault="00A53CD6" w:rsidP="00A53CD6">
            <w:pPr>
              <w:widowControl w:val="0"/>
              <w:numPr>
                <w:ilvl w:val="0"/>
                <w:numId w:val="16"/>
              </w:numPr>
              <w:snapToGrid w:val="0"/>
              <w:spacing w:after="120" w:line="276" w:lineRule="auto"/>
              <w:ind w:left="714" w:hanging="357"/>
              <w:jc w:val="both"/>
              <w:rPr>
                <w:rFonts w:ascii="Verdana" w:eastAsia="Aptos" w:hAnsi="Verdana" w:cs="Arial"/>
              </w:rPr>
            </w:pPr>
            <w:r w:rsidRPr="00A53CD6">
              <w:rPr>
                <w:rFonts w:ascii="Verdana" w:eastAsia="Aptos" w:hAnsi="Verdana" w:cs="Arial"/>
              </w:rPr>
              <w:t>Agencia Nacional de Contratación Pública – Colombia Compra Eficiente, Circular Externa 003 del 12 de mayo de 2026.</w:t>
            </w:r>
          </w:p>
          <w:p w14:paraId="61D464BA" w14:textId="77777777" w:rsidR="00A53CD6" w:rsidRPr="00A53CD6" w:rsidRDefault="00A53CD6" w:rsidP="00A53CD6">
            <w:pPr>
              <w:widowControl w:val="0"/>
              <w:numPr>
                <w:ilvl w:val="0"/>
                <w:numId w:val="16"/>
              </w:numPr>
              <w:snapToGrid w:val="0"/>
              <w:spacing w:after="120" w:line="276" w:lineRule="auto"/>
              <w:ind w:left="714" w:hanging="357"/>
              <w:jc w:val="both"/>
              <w:rPr>
                <w:rFonts w:ascii="Verdana" w:eastAsia="Aptos" w:hAnsi="Verdana" w:cs="Arial"/>
              </w:rPr>
            </w:pPr>
            <w:r w:rsidRPr="00A53CD6">
              <w:rPr>
                <w:rFonts w:ascii="Verdana" w:eastAsia="Aptos" w:hAnsi="Verdana" w:cs="Arial"/>
              </w:rPr>
              <w:t>Agencia Nacional de Contratación Pública – Colombia Compra Eficiente, Resoluciones 248 de 2020, 463 de 2024, 465 de 2024, 539 de 2025 y 540 de 2025, por las cuales se adoptan los Documentos Tipo citados.</w:t>
            </w:r>
          </w:p>
          <w:p w14:paraId="2C2917D3" w14:textId="77777777" w:rsidR="00A53CD6" w:rsidRPr="00A53CD6" w:rsidRDefault="00A53CD6" w:rsidP="00A53CD6">
            <w:pPr>
              <w:widowControl w:val="0"/>
              <w:snapToGrid w:val="0"/>
              <w:spacing w:after="120" w:line="276" w:lineRule="auto"/>
              <w:ind w:left="714"/>
              <w:jc w:val="both"/>
              <w:rPr>
                <w:rFonts w:ascii="Verdana" w:eastAsia="Aptos" w:hAnsi="Verdana" w:cs="Arial"/>
              </w:rPr>
            </w:pPr>
            <w:r w:rsidRPr="00A53CD6">
              <w:rPr>
                <w:rFonts w:ascii="Verdana" w:eastAsia="Calibri" w:hAnsi="Verdana" w:cs="Arial"/>
                <w:lang w:val="es-ES_tradnl"/>
              </w:rPr>
              <w:t xml:space="preserve">Documentos Tipo. Disponibles en: </w:t>
            </w:r>
            <w:hyperlink r:id="rId12">
              <w:r w:rsidRPr="00A53CD6">
                <w:rPr>
                  <w:rFonts w:ascii="Verdana" w:eastAsia="Calibri" w:hAnsi="Verdana" w:cs="Arial"/>
                  <w:color w:val="0000FF"/>
                  <w:u w:val="single"/>
                  <w:lang w:val="es-ES_tradnl"/>
                </w:rPr>
                <w:t>https://www.colombiacompra.gov.co/documentos-tipo/documentos-tipo</w:t>
              </w:r>
            </w:hyperlink>
          </w:p>
        </w:tc>
      </w:tr>
    </w:tbl>
    <w:p w14:paraId="3F89181E" w14:textId="77777777" w:rsidR="00A53CD6" w:rsidRPr="00A53CD6" w:rsidRDefault="00A53CD6" w:rsidP="00A53CD6">
      <w:pPr>
        <w:tabs>
          <w:tab w:val="left" w:pos="142"/>
          <w:tab w:val="left" w:pos="284"/>
        </w:tabs>
        <w:suppressAutoHyphens/>
        <w:spacing w:after="0" w:line="276" w:lineRule="auto"/>
        <w:jc w:val="both"/>
        <w:rPr>
          <w:rFonts w:ascii="Verdana" w:eastAsia="Calibri" w:hAnsi="Verdana" w:cs="Arial"/>
        </w:rPr>
      </w:pPr>
    </w:p>
    <w:p w14:paraId="096F12D7" w14:textId="77777777" w:rsidR="00A53CD6" w:rsidRPr="00A53CD6" w:rsidRDefault="00A53CD6" w:rsidP="00A53CD6">
      <w:pPr>
        <w:tabs>
          <w:tab w:val="left" w:pos="142"/>
          <w:tab w:val="left" w:pos="284"/>
        </w:tabs>
        <w:suppressAutoHyphens/>
        <w:spacing w:after="0" w:line="276" w:lineRule="auto"/>
        <w:jc w:val="both"/>
        <w:rPr>
          <w:rFonts w:ascii="Verdana" w:eastAsia="Century Gothic" w:hAnsi="Verdana" w:cs="Century Gothic"/>
          <w:b/>
          <w:bCs/>
          <w:lang w:val="es-ES"/>
        </w:rPr>
      </w:pPr>
      <w:r w:rsidRPr="00A53CD6">
        <w:rPr>
          <w:rFonts w:ascii="Verdana" w:eastAsia="Calibri" w:hAnsi="Verdana" w:cs="Arial"/>
          <w:b/>
          <w:bCs/>
        </w:rPr>
        <w:t>5</w:t>
      </w:r>
      <w:r w:rsidRPr="00A53CD6">
        <w:rPr>
          <w:rFonts w:ascii="Verdana" w:eastAsia="Calibri" w:hAnsi="Verdana" w:cs="Arial"/>
        </w:rPr>
        <w:t>.</w:t>
      </w:r>
      <w:r w:rsidRPr="00A53CD6">
        <w:rPr>
          <w:rFonts w:ascii="Verdana" w:eastAsia="Century Gothic" w:hAnsi="Verdana" w:cs="Century Gothic"/>
          <w:b/>
          <w:bCs/>
          <w:lang w:val="es-ES"/>
        </w:rPr>
        <w:t>Doctrina de la Agencia Nacional de Contratación Pública:</w:t>
      </w:r>
    </w:p>
    <w:p w14:paraId="053270B7" w14:textId="77777777" w:rsidR="00A53CD6" w:rsidRPr="00A53CD6" w:rsidRDefault="00A53CD6" w:rsidP="00A53CD6">
      <w:pPr>
        <w:widowControl w:val="0"/>
        <w:suppressAutoHyphens/>
        <w:spacing w:after="0" w:line="276" w:lineRule="auto"/>
        <w:jc w:val="both"/>
        <w:rPr>
          <w:rFonts w:ascii="Verdana" w:eastAsia="Calibri" w:hAnsi="Verdana" w:cs="Arial"/>
        </w:rPr>
      </w:pPr>
    </w:p>
    <w:p w14:paraId="7B1ACF34" w14:textId="77777777" w:rsidR="00A53CD6" w:rsidRPr="00A53CD6" w:rsidRDefault="00A53CD6" w:rsidP="00A53CD6">
      <w:pPr>
        <w:widowControl w:val="0"/>
        <w:suppressAutoHyphens/>
        <w:spacing w:after="0" w:line="276" w:lineRule="auto"/>
        <w:jc w:val="both"/>
        <w:rPr>
          <w:rFonts w:ascii="Verdana" w:eastAsia="Calibri" w:hAnsi="Verdana" w:cs="Arial"/>
          <w:kern w:val="2"/>
          <w:shd w:val="clear" w:color="auto" w:fill="FFFFFF"/>
          <w:lang w:val="es-ES" w:eastAsia="es-MX"/>
          <w14:ligatures w14:val="standardContextual"/>
        </w:rPr>
      </w:pPr>
      <w:r w:rsidRPr="00A53CD6">
        <w:rPr>
          <w:rFonts w:ascii="Verdana" w:eastAsia="Calibri" w:hAnsi="Verdana" w:cs="Arial"/>
          <w:kern w:val="2"/>
          <w:shd w:val="clear" w:color="auto" w:fill="FFFFFF"/>
          <w14:ligatures w14:val="standardContextual"/>
        </w:rPr>
        <w:t>L</w:t>
      </w:r>
      <w:r w:rsidRPr="00A53CD6">
        <w:rPr>
          <w:rFonts w:ascii="Verdana" w:eastAsia="Calibri" w:hAnsi="Verdana" w:cs="Arial"/>
          <w:kern w:val="2"/>
          <w:shd w:val="clear" w:color="auto" w:fill="FFFFFF"/>
          <w:lang w:val="es-ES"/>
          <w14:ligatures w14:val="standardContextual"/>
        </w:rPr>
        <w:t xml:space="preserve">a Agencia Nacional de Contratación Pública – Colombia Compra Eficiente </w:t>
      </w:r>
      <w:r w:rsidRPr="00A53CD6">
        <w:rPr>
          <w:rFonts w:ascii="Verdana" w:eastAsia="Calibri" w:hAnsi="Verdana" w:cs="Arial"/>
          <w:shd w:val="clear" w:color="auto" w:fill="FFFFFF"/>
          <w:lang w:val="es-ES"/>
        </w:rPr>
        <w:t xml:space="preserve">se </w:t>
      </w:r>
      <w:r w:rsidRPr="00A53CD6">
        <w:rPr>
          <w:rFonts w:ascii="Verdana" w:eastAsia="Aptos" w:hAnsi="Verdana" w:cs="Times New Roman"/>
          <w:kern w:val="2"/>
          <w14:ligatures w14:val="standardContextual"/>
        </w:rPr>
        <w:t xml:space="preserve">pronunció </w:t>
      </w:r>
      <w:r w:rsidRPr="00A53CD6">
        <w:rPr>
          <w:rFonts w:ascii="Verdana" w:eastAsia="Calibri" w:hAnsi="Verdana" w:cs="Arial"/>
          <w:color w:val="000000"/>
          <w:kern w:val="2"/>
          <w:shd w:val="clear" w:color="auto" w:fill="FFFFFF"/>
          <w:lang w:val="es-ES"/>
          <w14:ligatures w14:val="standardContextual"/>
        </w:rPr>
        <w:t xml:space="preserve">sobre el ámbito de aplicación de los documentos tipo en los conceptos C-448 del 11 de julio de 2022, C-672 del 27 de diciembre de 2021, C-018 del 22 de febrero de 2022, C-130 del 22 de marzo de 2022, C- 006 del 07 de marzo de 2022, C-159 del 5 de abril de 2022, C-200 del 18 de abril de 2022, C-417 del 30 de junio de 2022, C-430 del 30 de junio de 2022, C-678 del 18 de octubre de 2022, C-765 del 11 de noviembre de 2022, C-809 del 12 de diciembre de 2022, C-848 del 09 de diciembre de 2022, C-053 del 28 de marzo  de 2023, C-161 del 16 de julio de 2024, C-654 del 07 de noviembre de 2024, C-684 del 7 de julio de 2025, </w:t>
      </w:r>
      <w:r w:rsidRPr="00A53CD6">
        <w:rPr>
          <w:rFonts w:ascii="Verdana" w:eastAsia="Calibri" w:hAnsi="Verdana" w:cs="Arial"/>
          <w:kern w:val="2"/>
          <w:shd w:val="clear" w:color="auto" w:fill="FFFFFF"/>
          <w:lang w:val="es-ES" w:eastAsia="es-MX"/>
          <w14:ligatures w14:val="standardContextual"/>
        </w:rPr>
        <w:t>C-369 del 15 de abril de 2026, entre otros.</w:t>
      </w:r>
    </w:p>
    <w:p w14:paraId="4E8BFCF8" w14:textId="77777777" w:rsidR="00A53CD6" w:rsidRPr="00A53CD6" w:rsidRDefault="00A53CD6" w:rsidP="00A53CD6">
      <w:pPr>
        <w:widowControl w:val="0"/>
        <w:suppressAutoHyphens/>
        <w:spacing w:after="0" w:line="276" w:lineRule="auto"/>
        <w:jc w:val="both"/>
        <w:rPr>
          <w:rFonts w:ascii="Verdana" w:eastAsia="Times New Roman" w:hAnsi="Verdana" w:cs="Arial"/>
          <w:kern w:val="2"/>
          <w:shd w:val="clear" w:color="auto" w:fill="FFFFFF"/>
          <w:lang w:val="es-ES"/>
          <w14:ligatures w14:val="standardContextual"/>
        </w:rPr>
      </w:pPr>
    </w:p>
    <w:p w14:paraId="6B749254" w14:textId="77777777" w:rsidR="00A53CD6" w:rsidRPr="00A53CD6" w:rsidRDefault="00A53CD6" w:rsidP="00A53CD6">
      <w:pPr>
        <w:widowControl w:val="0"/>
        <w:suppressAutoHyphens/>
        <w:spacing w:after="0" w:line="276" w:lineRule="auto"/>
        <w:jc w:val="both"/>
        <w:rPr>
          <w:rFonts w:ascii="Verdana" w:eastAsia="Times New Roman" w:hAnsi="Verdana" w:cs="Arial"/>
          <w:kern w:val="2"/>
          <w:shd w:val="clear" w:color="auto" w:fill="FFFFFF"/>
          <w:lang w:val="es-ES"/>
          <w14:ligatures w14:val="standardContextual"/>
        </w:rPr>
      </w:pPr>
      <w:r w:rsidRPr="00A53CD6">
        <w:rPr>
          <w:rFonts w:ascii="Verdana" w:eastAsia="Calibri" w:hAnsi="Verdana" w:cs="Arial"/>
          <w:kern w:val="2"/>
          <w:shd w:val="clear" w:color="auto" w:fill="FFFFFF"/>
          <w14:ligatures w14:val="standardContextual"/>
        </w:rPr>
        <w:t xml:space="preserve">Sobre los demás asuntos tratados en este concepto, la Agencia se ha pronunciado, entre otros, en los conceptos C-041 de 2024, C-184 de 2024, C-354 de 2024, C-359 de 2024, C-520 de 2024, C-782 de 2024, C-104 de 2025, </w:t>
      </w:r>
      <w:r w:rsidRPr="00A53CD6">
        <w:rPr>
          <w:rFonts w:ascii="Verdana" w:eastAsia="Calibri" w:hAnsi="Verdana" w:cs="Arial"/>
          <w:kern w:val="2"/>
          <w:shd w:val="clear" w:color="auto" w:fill="FFFFFF"/>
          <w14:ligatures w14:val="standardContextual"/>
        </w:rPr>
        <w:lastRenderedPageBreak/>
        <w:t>C-113 de 2025, C-134 de 2025, C-232 de 2025, C-374 de 2025, C-453 de 2025, C-594 de 2025, C-654 de 2025, C-722 de 2025, C-763 de 2025, C-919 de 2025, C-1001 de 2025, C-1066 de 2025, C-1478 de 2025, C-1696 de 2025, C-1784 de 2025, C-012 de 2026, C-069 de 2026, C-581 de 2026, C-900 de 2026, C-902 de 2026, C-1012 de 2026 y C-1195 de 2026.</w:t>
      </w:r>
    </w:p>
    <w:p w14:paraId="721E915B" w14:textId="77777777" w:rsidR="00A53CD6" w:rsidRPr="00A53CD6" w:rsidRDefault="00A53CD6" w:rsidP="00A53CD6">
      <w:pPr>
        <w:widowControl w:val="0"/>
        <w:suppressAutoHyphens/>
        <w:spacing w:after="0" w:line="276" w:lineRule="auto"/>
        <w:jc w:val="both"/>
        <w:rPr>
          <w:rFonts w:ascii="Verdana" w:eastAsia="Times New Roman" w:hAnsi="Verdana" w:cs="Arial"/>
          <w:shd w:val="clear" w:color="auto" w:fill="FFFFFF"/>
          <w:lang w:val="es-ES"/>
        </w:rPr>
      </w:pPr>
    </w:p>
    <w:p w14:paraId="19BB3F08" w14:textId="77777777" w:rsidR="00A53CD6" w:rsidRPr="00A53CD6" w:rsidRDefault="00A53CD6" w:rsidP="00A53CD6">
      <w:pPr>
        <w:widowControl w:val="0"/>
        <w:suppressAutoHyphens/>
        <w:spacing w:after="0" w:line="276" w:lineRule="auto"/>
        <w:jc w:val="both"/>
        <w:rPr>
          <w:rFonts w:ascii="Verdana" w:eastAsia="Times New Roman" w:hAnsi="Verdana" w:cs="Arial"/>
          <w:shd w:val="clear" w:color="auto" w:fill="FFFFFF"/>
          <w:lang w:val="es-ES_tradnl"/>
        </w:rPr>
      </w:pPr>
      <w:r w:rsidRPr="00A53CD6">
        <w:rPr>
          <w:rFonts w:ascii="Verdana" w:eastAsia="Calibri" w:hAnsi="Verdana" w:cs="Arial"/>
          <w:color w:val="000000"/>
          <w:shd w:val="clear" w:color="auto" w:fill="FFFFFF"/>
          <w:lang w:val="es-ES_tradn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3">
        <w:r w:rsidRPr="00A53CD6">
          <w:rPr>
            <w:rFonts w:ascii="Verdana" w:eastAsia="Aptos" w:hAnsi="Verdana" w:cs="Arial"/>
            <w:color w:val="0000FF"/>
            <w:kern w:val="2"/>
            <w:u w:val="single"/>
            <w:shd w:val="clear" w:color="auto" w:fill="FFFFFF"/>
            <w:lang w:val="es-ES_tradnl"/>
            <w14:ligatures w14:val="standardContextual"/>
          </w:rPr>
          <w:t>https://relatoria.colombiacompra.gov.co/busqueda/conceptos</w:t>
        </w:r>
      </w:hyperlink>
      <w:r w:rsidRPr="00A53CD6">
        <w:rPr>
          <w:rFonts w:ascii="Verdana" w:eastAsia="Aptos" w:hAnsi="Verdana" w:cs="Arial"/>
          <w:kern w:val="2"/>
          <w:shd w:val="clear" w:color="auto" w:fill="FFFFFF"/>
          <w:lang w:val="es-ES_tradnl"/>
          <w14:ligatures w14:val="standardContextual"/>
        </w:rPr>
        <w:t xml:space="preserve">. </w:t>
      </w:r>
      <w:r w:rsidRPr="00A53CD6">
        <w:rPr>
          <w:rFonts w:ascii="Verdana" w:eastAsia="Aptos" w:hAnsi="Verdana" w:cs="Arial"/>
          <w:color w:val="FF0000"/>
          <w:kern w:val="2"/>
          <w:shd w:val="clear" w:color="auto" w:fill="FFFFFF"/>
          <w:lang w:val="es-ES_tradnl"/>
          <w14:ligatures w14:val="standardContextual"/>
        </w:rPr>
        <w:t xml:space="preserve">  </w:t>
      </w:r>
    </w:p>
    <w:p w14:paraId="3F6DC9D5" w14:textId="77777777" w:rsidR="00A53CD6" w:rsidRPr="00A53CD6" w:rsidRDefault="00A53CD6" w:rsidP="00A53CD6">
      <w:pPr>
        <w:suppressAutoHyphens/>
        <w:spacing w:after="0" w:line="240" w:lineRule="auto"/>
        <w:jc w:val="both"/>
        <w:rPr>
          <w:rFonts w:ascii="Verdana" w:eastAsia="Calibri" w:hAnsi="Verdana" w:cs="Arial"/>
          <w:color w:val="000000"/>
          <w:shd w:val="clear" w:color="auto" w:fill="FFFFFF"/>
          <w:lang w:val="es-ES_tradnl"/>
        </w:rPr>
      </w:pPr>
    </w:p>
    <w:p w14:paraId="71E4C57F" w14:textId="77777777" w:rsidR="00A53CD6" w:rsidRPr="00A53CD6" w:rsidRDefault="00A53CD6" w:rsidP="00A53CD6">
      <w:pPr>
        <w:suppressAutoHyphens/>
        <w:spacing w:after="0" w:line="276" w:lineRule="auto"/>
        <w:jc w:val="both"/>
        <w:rPr>
          <w:rFonts w:ascii="Verdana" w:eastAsia="Aptos" w:hAnsi="Verdana" w:cs="Times New Roman"/>
          <w:kern w:val="2"/>
          <w14:ligatures w14:val="standardContextual"/>
        </w:rPr>
      </w:pPr>
      <w:r w:rsidRPr="00A53CD6">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A53CD6">
        <w:rPr>
          <w:rFonts w:ascii="Verdana" w:eastAsia="Aptos" w:hAnsi="Verdana" w:cs="Times New Roman"/>
          <w:b/>
          <w:bCs/>
          <w:color w:val="000000"/>
          <w:kern w:val="2"/>
          <w14:ligatures w14:val="standardContextual"/>
        </w:rPr>
        <w:t>Guía para la Exigencia y Constitución de Garantías en los Procesos de Contratación</w:t>
      </w:r>
      <w:r w:rsidRPr="00A53CD6">
        <w:rPr>
          <w:rFonts w:ascii="Verdana" w:eastAsia="Aptos" w:hAnsi="Verdana" w:cs="Times New Roman"/>
          <w:color w:val="000000"/>
          <w:kern w:val="2"/>
          <w14:ligatures w14:val="standardContextu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https://nam02.safelinks.protection.outlook.com/?url=https%3A%2F%2Fwww.colombiacompra.gov.co%2Farchivos%2Fmanual%2Fguia-de-garantias-en-procesos-de-contratacion&amp;data=05%7C02%7Ccarlos.castrillon%40colombiacompra.gov.co%7C7128555136e04fa6887d08dee99e1b50%7C7">
        <w:r w:rsidRPr="00A53CD6">
          <w:rPr>
            <w:rFonts w:ascii="Verdana" w:eastAsia="Aptos" w:hAnsi="Verdana" w:cs="Times New Roman"/>
            <w:color w:val="0078D7"/>
            <w:kern w:val="2"/>
            <w:u w:val="single"/>
            <w14:ligatures w14:val="standardContextual"/>
          </w:rPr>
          <w:t>https://www.colombiacompra.gov.co/archivos/manual/guia-de-garantias-en-procesos-de-contratacion</w:t>
        </w:r>
      </w:hyperlink>
    </w:p>
    <w:p w14:paraId="70798029" w14:textId="77777777" w:rsidR="00A53CD6" w:rsidRPr="00A53CD6" w:rsidRDefault="00A53CD6" w:rsidP="00A53CD6">
      <w:pPr>
        <w:suppressAutoHyphens/>
        <w:spacing w:after="0" w:line="276" w:lineRule="auto"/>
        <w:jc w:val="both"/>
        <w:rPr>
          <w:rFonts w:ascii="Verdana" w:eastAsia="Aptos" w:hAnsi="Verdana" w:cs="Times New Roman"/>
          <w:kern w:val="2"/>
          <w14:ligatures w14:val="standardContextual"/>
        </w:rPr>
      </w:pPr>
    </w:p>
    <w:p w14:paraId="00369BCF" w14:textId="77777777" w:rsidR="00A53CD6" w:rsidRPr="00A53CD6" w:rsidRDefault="00A53CD6" w:rsidP="00A53CD6">
      <w:pPr>
        <w:suppressAutoHyphens/>
        <w:spacing w:after="0" w:line="276" w:lineRule="auto"/>
        <w:jc w:val="both"/>
        <w:rPr>
          <w:rFonts w:ascii="Verdana" w:eastAsia="Aptos" w:hAnsi="Verdana" w:cs="Times New Roman"/>
          <w:kern w:val="2"/>
          <w14:ligatures w14:val="standardContextual"/>
        </w:rPr>
      </w:pPr>
      <w:r w:rsidRPr="00A53CD6">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A53CD6">
        <w:rPr>
          <w:rFonts w:ascii="Verdana" w:eastAsia="Aptos" w:hAnsi="Verdana" w:cs="Times New Roman"/>
          <w:b/>
          <w:bCs/>
          <w:color w:val="000000"/>
          <w:kern w:val="2"/>
          <w14:ligatures w14:val="standardContextual"/>
        </w:rPr>
        <w:t>Sistema Integral de Preferencias en favor de las personas con discapacidad</w:t>
      </w:r>
      <w:r w:rsidRPr="00A53CD6">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A53CD6">
        <w:rPr>
          <w:rFonts w:ascii="Verdana" w:eastAsia="Aptos" w:hAnsi="Verdana" w:cs="Times New Roman"/>
          <w:b/>
          <w:bCs/>
          <w:color w:val="000000"/>
          <w:kern w:val="2"/>
          <w14:ligatures w14:val="standardContextual"/>
        </w:rPr>
        <w:t>Circular Externa 003 del 12 de mayo de 2026, </w:t>
      </w:r>
      <w:r w:rsidRPr="00A53CD6">
        <w:rPr>
          <w:rFonts w:ascii="Verdana" w:eastAsia="Aptos" w:hAnsi="Verdana" w:cs="Times New Roman"/>
          <w:color w:val="000000"/>
          <w:kern w:val="2"/>
          <w14:ligatures w14:val="standardContextual"/>
        </w:rPr>
        <w:t xml:space="preserve">en la que precisa quiénes son los beneficiarios, las cinco medidas que integran el sistema y su obligatoriedad según la modalidad de selección, y el régimen de transición aplicable a los procesos en curso. Consúltala </w:t>
      </w:r>
      <w:r w:rsidRPr="00A53CD6">
        <w:rPr>
          <w:rFonts w:ascii="Verdana" w:eastAsia="Aptos" w:hAnsi="Verdana" w:cs="Times New Roman"/>
          <w:color w:val="000000"/>
          <w:kern w:val="2"/>
          <w14:ligatures w14:val="standardContextual"/>
        </w:rPr>
        <w:lastRenderedPageBreak/>
        <w:t>aquí: </w:t>
      </w:r>
      <w:hyperlink r:id="rId15" w:tgtFrame="https://nam02.safelinks.protection.outlook.com/?url=https%3A%2F%2Fwww.colombiacompra.gov.co%2Farchivos%2Fcircular%2Fcircular-externa-003-de-2026&amp;data=05%7C02%7Ccarlos.castrillon%40colombiacompra.gov.co%7C7128555136e04fa6887d08dee99e1b50%7C7b09041e245149d0">
        <w:r w:rsidRPr="00A53CD6">
          <w:rPr>
            <w:rFonts w:ascii="Verdana" w:eastAsia="Aptos" w:hAnsi="Verdana" w:cs="Times New Roman"/>
            <w:color w:val="0078D7"/>
            <w:kern w:val="2"/>
            <w:u w:val="single"/>
            <w14:ligatures w14:val="standardContextual"/>
          </w:rPr>
          <w:t>https://www.colombiacompra.gov.co/archivos/circular/circular-externa-003-de-2026</w:t>
        </w:r>
      </w:hyperlink>
    </w:p>
    <w:p w14:paraId="4A0411DD" w14:textId="77777777" w:rsidR="00A53CD6" w:rsidRPr="00A53CD6" w:rsidRDefault="00A53CD6" w:rsidP="00A53CD6">
      <w:pPr>
        <w:suppressAutoHyphens/>
        <w:spacing w:after="0" w:line="276" w:lineRule="auto"/>
        <w:jc w:val="both"/>
        <w:rPr>
          <w:rFonts w:ascii="Verdana" w:eastAsia="Aptos" w:hAnsi="Verdana" w:cs="Times New Roman"/>
          <w:color w:val="000000"/>
          <w:kern w:val="2"/>
          <w14:ligatures w14:val="standardContextual"/>
        </w:rPr>
      </w:pPr>
    </w:p>
    <w:p w14:paraId="192E37EF" w14:textId="77777777" w:rsidR="00A53CD6" w:rsidRPr="00A53CD6" w:rsidRDefault="00A53CD6" w:rsidP="00A53CD6">
      <w:pPr>
        <w:suppressAutoHyphens/>
        <w:spacing w:after="0" w:line="276" w:lineRule="auto"/>
        <w:jc w:val="both"/>
        <w:rPr>
          <w:rFonts w:ascii="Verdana" w:eastAsia="Aptos" w:hAnsi="Verdana" w:cs="Times New Roman"/>
          <w:kern w:val="2"/>
          <w14:ligatures w14:val="standardContextual"/>
        </w:rPr>
      </w:pPr>
      <w:r w:rsidRPr="00A53CD6">
        <w:rPr>
          <w:rFonts w:ascii="Verdana" w:eastAsia="Aptos" w:hAnsi="Verdana" w:cs="Times New Roman"/>
          <w:color w:val="000000"/>
          <w:kern w:val="2"/>
          <w14:ligatures w14:val="standardContextual"/>
        </w:rPr>
        <w:t>Recuerda también que la</w:t>
      </w:r>
      <w:r w:rsidRPr="00A53CD6">
        <w:rPr>
          <w:rFonts w:ascii="Verdana" w:eastAsia="Aptos" w:hAnsi="Verdana" w:cs="Times New Roman"/>
          <w:b/>
          <w:bCs/>
          <w:color w:val="000000"/>
          <w:kern w:val="2"/>
          <w14:ligatures w14:val="standardContextual"/>
        </w:rPr>
        <w:t> información sobre sanciones e inhabilidades </w:t>
      </w:r>
      <w:r w:rsidRPr="00A53CD6">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A53CD6">
        <w:rPr>
          <w:rFonts w:ascii="Verdana" w:eastAsia="Aptos" w:hAnsi="Verdana" w:cs="Times New Roman"/>
          <w:b/>
          <w:bCs/>
          <w:color w:val="000000"/>
          <w:kern w:val="2"/>
          <w14:ligatures w14:val="standardContextual"/>
        </w:rPr>
        <w:t>Circular Externa 002 del 5 de mayo de 2026,</w:t>
      </w:r>
      <w:r w:rsidRPr="00A53CD6">
        <w:rPr>
          <w:rFonts w:ascii="Verdana" w:eastAsia="Aptos" w:hAnsi="Verdana" w:cs="Times New Roman"/>
          <w:color w:val="000000"/>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https://nam02.safelinks.protection.outlook.com/?url=https%3A%2F%2Fwww.colombiacompra.gov.co%2Farchivos%2Fcircular%2Fcircular-externa-002-de-2026&amp;data=05%7C02%7Ccarlos.castrillon%40colombiacompra.gov.co%7C7128555136e04fa6887d08dee99e1b50%7C7b09041e245149d0">
        <w:r w:rsidRPr="00A53CD6">
          <w:rPr>
            <w:rFonts w:ascii="Verdana" w:eastAsia="Aptos" w:hAnsi="Verdana" w:cs="Times New Roman"/>
            <w:color w:val="0078D7"/>
            <w:kern w:val="2"/>
            <w:u w:val="single"/>
            <w14:ligatures w14:val="standardContextual"/>
          </w:rPr>
          <w:t>https://www.colombiacompra.gov.co/archivos/circular/circular-externa-002-de-2026</w:t>
        </w:r>
      </w:hyperlink>
    </w:p>
    <w:p w14:paraId="1D249C3A" w14:textId="77777777" w:rsidR="00A53CD6" w:rsidRPr="00A53CD6" w:rsidRDefault="00A53CD6" w:rsidP="00A53CD6">
      <w:pPr>
        <w:suppressAutoHyphens/>
        <w:spacing w:after="0" w:line="276" w:lineRule="auto"/>
        <w:jc w:val="both"/>
        <w:rPr>
          <w:rFonts w:ascii="Verdana" w:eastAsia="Aptos" w:hAnsi="Verdana" w:cs="Times New Roman"/>
          <w:color w:val="000000"/>
          <w:kern w:val="2"/>
          <w14:ligatures w14:val="standardContextual"/>
        </w:rPr>
      </w:pPr>
    </w:p>
    <w:p w14:paraId="208A0CBA" w14:textId="77777777" w:rsidR="00A53CD6" w:rsidRPr="00A53CD6" w:rsidRDefault="00A53CD6" w:rsidP="00A53CD6">
      <w:pPr>
        <w:suppressAutoHyphens/>
        <w:spacing w:after="0" w:line="276" w:lineRule="auto"/>
        <w:jc w:val="both"/>
        <w:rPr>
          <w:rFonts w:ascii="Verdana" w:eastAsia="Aptos" w:hAnsi="Verdana" w:cs="Times New Roman"/>
          <w:color w:val="000000"/>
          <w:kern w:val="2"/>
          <w14:ligatures w14:val="standardContextual"/>
        </w:rPr>
      </w:pPr>
      <w:r w:rsidRPr="00A53CD6">
        <w:rPr>
          <w:rFonts w:ascii="Verdana" w:eastAsia="Aptos" w:hAnsi="Verdana" w:cs="Times New Roman"/>
          <w:color w:val="000000"/>
          <w:kern w:val="2"/>
          <w14:ligatures w14:val="standardContextual"/>
        </w:rPr>
        <w:t>Finalmente, si quieres seguir de cerca la actividad de la Agencia, la tercera edición de 2026 del</w:t>
      </w:r>
      <w:r w:rsidRPr="00A53CD6">
        <w:rPr>
          <w:rFonts w:ascii="Verdana" w:eastAsia="Aptos" w:hAnsi="Verdana" w:cs="Times New Roman"/>
          <w:b/>
          <w:bCs/>
          <w:color w:val="000000"/>
          <w:kern w:val="2"/>
          <w14:ligatures w14:val="standardContextual"/>
        </w:rPr>
        <w:t> Radar de la Compra Pública</w:t>
      </w:r>
      <w:r w:rsidRPr="00A53CD6">
        <w:rPr>
          <w:rFonts w:ascii="Verdana" w:eastAsia="Aptos" w:hAnsi="Verdana" w:cs="Times New Roman"/>
          <w:color w:val="000000"/>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gtFrame="https://nam02.safelinks.protection.outlook.com/?url=https%3A%2F%2Fwww.colombiacompra.gov.co%2Farchivos%2Fboletin%2Fboletin-edicion-n-3-de-2026-radar-de-la-compra-publica&amp;data=05%7C02%7Ccarlos.castrillon%40colombiacompra.gov.co%7C7128555136e04fa6887d08dee9">
        <w:r w:rsidRPr="00A53CD6">
          <w:rPr>
            <w:rFonts w:ascii="Verdana" w:eastAsia="Aptos" w:hAnsi="Verdana" w:cs="Times New Roman"/>
            <w:color w:val="0078D7"/>
            <w:kern w:val="2"/>
            <w:u w:val="single"/>
            <w14:ligatures w14:val="standardContextual"/>
          </w:rPr>
          <w:t>https://www.colombiacompra.gov.co/archivos/boletin/boletin-edicion-n-3-de-2026-radar-de-la-compra-publica</w:t>
        </w:r>
      </w:hyperlink>
      <w:r w:rsidRPr="00A53CD6">
        <w:rPr>
          <w:rFonts w:ascii="Verdana" w:eastAsia="Aptos" w:hAnsi="Verdana" w:cs="Times New Roman"/>
          <w:color w:val="000000"/>
          <w:kern w:val="2"/>
          <w14:ligatures w14:val="standardContextual"/>
        </w:rPr>
        <w:t>"</w:t>
      </w:r>
    </w:p>
    <w:p w14:paraId="6B170320" w14:textId="77777777" w:rsidR="00A53CD6" w:rsidRPr="00A53CD6" w:rsidRDefault="00A53CD6" w:rsidP="00A53CD6">
      <w:pPr>
        <w:suppressAutoHyphens/>
        <w:spacing w:after="0" w:line="276" w:lineRule="auto"/>
        <w:jc w:val="both"/>
        <w:rPr>
          <w:rFonts w:ascii="Verdana" w:eastAsia="Aptos" w:hAnsi="Verdana" w:cs="Times New Roman"/>
          <w:color w:val="000000"/>
          <w:kern w:val="2"/>
          <w14:ligatures w14:val="standardContextual"/>
        </w:rPr>
      </w:pPr>
    </w:p>
    <w:p w14:paraId="6CDFCE5F" w14:textId="77777777" w:rsidR="00A53CD6" w:rsidRPr="00A53CD6" w:rsidRDefault="00A53CD6" w:rsidP="00A53CD6">
      <w:pPr>
        <w:suppressAutoHyphens/>
        <w:spacing w:after="0" w:line="276" w:lineRule="auto"/>
        <w:jc w:val="both"/>
        <w:rPr>
          <w:rFonts w:ascii="Verdana" w:eastAsia="Aptos" w:hAnsi="Verdana" w:cs="Times New Roman"/>
          <w:kern w:val="2"/>
          <w:lang w:eastAsia="es-MX"/>
          <w14:ligatures w14:val="standardContextual"/>
        </w:rPr>
      </w:pPr>
      <w:r w:rsidRPr="00A53CD6">
        <w:rPr>
          <w:rFonts w:ascii="Verdana" w:eastAsia="Aptos" w:hAnsi="Verdana" w:cs="Times New Roman"/>
          <w:kern w:val="2"/>
          <w:lang w:eastAsia="es-MX"/>
          <w14:ligatures w14:val="standardContextual"/>
        </w:rPr>
        <w:t xml:space="preserve">Por último, lo invitamos a seguirnos en las redes sociales en las cuales se difunde información institucional: </w:t>
      </w:r>
    </w:p>
    <w:p w14:paraId="60FCF3FE" w14:textId="77777777" w:rsidR="00A53CD6" w:rsidRPr="00A53CD6" w:rsidRDefault="00A53CD6" w:rsidP="00A53CD6">
      <w:pPr>
        <w:suppressAutoHyphens/>
        <w:spacing w:after="0" w:line="276" w:lineRule="auto"/>
        <w:jc w:val="both"/>
        <w:rPr>
          <w:rFonts w:ascii="Verdana" w:eastAsia="Calibri" w:hAnsi="Verdana" w:cs="Times New Roman"/>
          <w:kern w:val="2"/>
          <w:lang w:eastAsia="es-MX"/>
          <w14:ligatures w14:val="standardContextual"/>
        </w:rPr>
      </w:pPr>
    </w:p>
    <w:p w14:paraId="63293D40" w14:textId="77777777" w:rsidR="00A53CD6" w:rsidRPr="00A53CD6" w:rsidRDefault="00A53CD6" w:rsidP="00A53CD6">
      <w:pPr>
        <w:suppressAutoHyphens/>
        <w:spacing w:after="0" w:line="276" w:lineRule="auto"/>
        <w:jc w:val="both"/>
        <w:rPr>
          <w:rFonts w:ascii="Verdana" w:eastAsia="Aptos" w:hAnsi="Verdana" w:cs="Times New Roman"/>
          <w:kern w:val="2"/>
          <w:lang w:eastAsia="es-MX"/>
          <w14:ligatures w14:val="standardContextual"/>
        </w:rPr>
      </w:pPr>
      <w:r w:rsidRPr="00A53CD6">
        <w:rPr>
          <w:rFonts w:ascii="Verdana" w:eastAsia="Aptos" w:hAnsi="Verdana" w:cs="Times New Roman"/>
          <w:kern w:val="2"/>
          <w:lang w:eastAsia="es-MX"/>
          <w14:ligatures w14:val="standardContextual"/>
        </w:rPr>
        <w:t xml:space="preserve">Twitter: </w:t>
      </w:r>
      <w:r w:rsidRPr="00A53CD6">
        <w:rPr>
          <w:rFonts w:ascii="Verdana" w:eastAsia="Calibri" w:hAnsi="Verdana" w:cs="Times New Roman"/>
          <w:color w:val="156082"/>
          <w:kern w:val="2"/>
          <w:u w:val="single"/>
          <w:lang w:eastAsia="es-MX"/>
          <w14:ligatures w14:val="standardContextual"/>
        </w:rPr>
        <w:t>@colombiacompra</w:t>
      </w:r>
      <w:r w:rsidRPr="00A53CD6">
        <w:rPr>
          <w:rFonts w:ascii="Verdana" w:eastAsia="Calibri" w:hAnsi="Verdana" w:cs="Times New Roman"/>
          <w:color w:val="156082"/>
          <w:kern w:val="2"/>
          <w:lang w:eastAsia="es-MX"/>
          <w14:ligatures w14:val="standardContextual"/>
        </w:rPr>
        <w:t xml:space="preserve"> </w:t>
      </w:r>
    </w:p>
    <w:p w14:paraId="401FA242" w14:textId="77777777" w:rsidR="00A53CD6" w:rsidRPr="00A53CD6" w:rsidRDefault="00A53CD6" w:rsidP="00A53CD6">
      <w:pPr>
        <w:suppressAutoHyphens/>
        <w:spacing w:after="0" w:line="276" w:lineRule="auto"/>
        <w:jc w:val="both"/>
        <w:rPr>
          <w:rFonts w:ascii="Verdana" w:eastAsia="Aptos" w:hAnsi="Verdana" w:cs="Times New Roman"/>
          <w:kern w:val="2"/>
          <w:lang w:eastAsia="es-MX"/>
          <w14:ligatures w14:val="standardContextual"/>
        </w:rPr>
      </w:pPr>
      <w:r w:rsidRPr="00A53CD6">
        <w:rPr>
          <w:rFonts w:ascii="Verdana" w:eastAsia="Aptos" w:hAnsi="Verdana" w:cs="Times New Roman"/>
          <w:kern w:val="2"/>
          <w:lang w:eastAsia="es-MX"/>
          <w14:ligatures w14:val="standardContextual"/>
        </w:rPr>
        <w:t xml:space="preserve">Facebook: </w:t>
      </w:r>
      <w:r w:rsidRPr="00A53CD6">
        <w:rPr>
          <w:rFonts w:ascii="Verdana" w:eastAsia="Calibri" w:hAnsi="Verdana" w:cs="Times New Roman"/>
          <w:color w:val="156082"/>
          <w:kern w:val="2"/>
          <w:u w:val="single"/>
          <w:lang w:eastAsia="es-MX"/>
          <w14:ligatures w14:val="standardContextual"/>
        </w:rPr>
        <w:t>ColombiaCompraEficiente</w:t>
      </w:r>
    </w:p>
    <w:p w14:paraId="18A087EF" w14:textId="77777777" w:rsidR="00A53CD6" w:rsidRPr="00A53CD6" w:rsidRDefault="00A53CD6" w:rsidP="00A53CD6">
      <w:pPr>
        <w:suppressAutoHyphens/>
        <w:spacing w:after="0" w:line="276" w:lineRule="auto"/>
        <w:jc w:val="both"/>
        <w:rPr>
          <w:rFonts w:ascii="Verdana" w:eastAsia="Aptos" w:hAnsi="Verdana" w:cs="Times New Roman"/>
          <w:kern w:val="2"/>
          <w:lang w:eastAsia="es-MX"/>
          <w14:ligatures w14:val="standardContextual"/>
        </w:rPr>
      </w:pPr>
      <w:r w:rsidRPr="00A53CD6">
        <w:rPr>
          <w:rFonts w:ascii="Verdana" w:eastAsia="Aptos" w:hAnsi="Verdana" w:cs="Times New Roman"/>
          <w:kern w:val="2"/>
          <w:lang w:eastAsia="es-MX"/>
          <w14:ligatures w14:val="standardContextual"/>
        </w:rPr>
        <w:t xml:space="preserve">LinkedIn: </w:t>
      </w:r>
      <w:r w:rsidRPr="00A53CD6">
        <w:rPr>
          <w:rFonts w:ascii="Verdana" w:eastAsia="Calibri" w:hAnsi="Verdana" w:cs="Times New Roman"/>
          <w:color w:val="156082"/>
          <w:kern w:val="2"/>
          <w:u w:val="single"/>
          <w:lang w:eastAsia="es-MX"/>
          <w14:ligatures w14:val="standardContextual"/>
        </w:rPr>
        <w:t>Agencia Nacional de Contratación Pública - Colombia Compra Eficiente</w:t>
      </w:r>
      <w:r w:rsidRPr="00A53CD6">
        <w:rPr>
          <w:rFonts w:ascii="Verdana" w:eastAsia="Calibri" w:hAnsi="Verdana" w:cs="Times New Roman"/>
          <w:color w:val="156082"/>
          <w:kern w:val="2"/>
          <w:lang w:eastAsia="es-MX"/>
          <w14:ligatures w14:val="standardContextual"/>
        </w:rPr>
        <w:t xml:space="preserve"> </w:t>
      </w:r>
      <w:r w:rsidRPr="00A53CD6">
        <w:rPr>
          <w:rFonts w:ascii="Verdana" w:eastAsia="Aptos" w:hAnsi="Verdana" w:cs="Times New Roman"/>
          <w:kern w:val="2"/>
          <w:lang w:eastAsia="es-MX"/>
          <w14:ligatures w14:val="standardContextual"/>
        </w:rPr>
        <w:t xml:space="preserve">Instagram: </w:t>
      </w:r>
      <w:r w:rsidRPr="00A53CD6">
        <w:rPr>
          <w:rFonts w:ascii="Verdana" w:eastAsia="Calibri" w:hAnsi="Verdana" w:cs="Times New Roman"/>
          <w:color w:val="156082"/>
          <w:kern w:val="2"/>
          <w:u w:val="single"/>
          <w:lang w:eastAsia="es-MX"/>
          <w14:ligatures w14:val="standardContextual"/>
        </w:rPr>
        <w:t>@colombiacompraeficiente_cce</w:t>
      </w:r>
    </w:p>
    <w:p w14:paraId="618B9A03" w14:textId="77777777" w:rsidR="00A53CD6" w:rsidRPr="00A53CD6" w:rsidRDefault="00A53CD6" w:rsidP="00A53CD6">
      <w:pPr>
        <w:suppressAutoHyphens/>
        <w:spacing w:after="0" w:line="276" w:lineRule="auto"/>
        <w:jc w:val="both"/>
        <w:rPr>
          <w:rFonts w:ascii="Verdana" w:eastAsia="Aptos" w:hAnsi="Verdana" w:cs="Times New Roman"/>
          <w:kern w:val="2"/>
          <w:lang w:eastAsia="es-MX"/>
          <w14:ligatures w14:val="standardContextual"/>
        </w:rPr>
      </w:pPr>
    </w:p>
    <w:p w14:paraId="43A05C27" w14:textId="77777777" w:rsidR="00A53CD6" w:rsidRPr="00A53CD6" w:rsidRDefault="00A53CD6" w:rsidP="00A53CD6">
      <w:pPr>
        <w:suppressAutoHyphens/>
        <w:spacing w:after="0" w:line="276" w:lineRule="auto"/>
        <w:jc w:val="both"/>
        <w:rPr>
          <w:rFonts w:ascii="Verdana" w:eastAsia="Calibri" w:hAnsi="Verdana" w:cs="Times New Roman"/>
          <w:kern w:val="2"/>
          <w:lang w:val="es-ES_tradnl" w:eastAsia="es-MX"/>
          <w14:ligatures w14:val="standardContextual"/>
        </w:rPr>
      </w:pPr>
      <w:r w:rsidRPr="00A53CD6">
        <w:rPr>
          <w:rFonts w:ascii="Verdana" w:eastAsia="Calibri" w:hAnsi="Verdana" w:cs="Times New Roman"/>
          <w:kern w:val="2"/>
          <w:lang w:val="es-ES_tradnl" w:eastAsia="es-MX"/>
          <w14:ligatures w14:val="standardContextual"/>
        </w:rPr>
        <w:t xml:space="preserve">Este concepto tiene el alcance previsto en el artículo 28 del Código de Procedimiento Administrativo y de lo Contencioso Administrativo y las </w:t>
      </w:r>
      <w:r w:rsidRPr="00A53CD6">
        <w:rPr>
          <w:rFonts w:ascii="Verdana" w:eastAsia="Calibri" w:hAnsi="Verdana" w:cs="Times New Roman"/>
          <w:kern w:val="2"/>
          <w:lang w:val="es-ES_tradnl" w:eastAsia="es-MX"/>
          <w14:ligatures w14:val="standardContextual"/>
        </w:rPr>
        <w:lastRenderedPageBreak/>
        <w:t>expresiones utilizadas con mayúscula inicial deben ser entendidas con el significado que les otorga el artículo 2.2.1.1.1.3.1 del Decreto 1082 de 2015.</w:t>
      </w:r>
    </w:p>
    <w:p w14:paraId="79FC0FB1" w14:textId="77777777" w:rsidR="00A53CD6" w:rsidRPr="00A53CD6" w:rsidRDefault="00A53CD6" w:rsidP="00A53CD6">
      <w:pPr>
        <w:suppressAutoHyphens/>
        <w:spacing w:after="0" w:line="276" w:lineRule="auto"/>
        <w:jc w:val="both"/>
        <w:rPr>
          <w:rFonts w:ascii="Verdana" w:eastAsia="Calibri" w:hAnsi="Verdana" w:cs="Times New Roman"/>
          <w:kern w:val="2"/>
          <w:lang w:eastAsia="es-MX"/>
          <w14:ligatures w14:val="standardContextual"/>
        </w:rPr>
      </w:pPr>
    </w:p>
    <w:p w14:paraId="55F2FD19" w14:textId="77777777" w:rsidR="00A53CD6" w:rsidRPr="00A53CD6" w:rsidRDefault="00A53CD6" w:rsidP="00A53CD6">
      <w:pPr>
        <w:suppressAutoHyphens/>
        <w:spacing w:after="0" w:line="276" w:lineRule="auto"/>
        <w:jc w:val="both"/>
        <w:rPr>
          <w:rFonts w:ascii="Verdana" w:eastAsia="Calibri" w:hAnsi="Verdana" w:cs="Times New Roman"/>
          <w:kern w:val="2"/>
          <w:lang w:eastAsia="es-MX"/>
          <w14:ligatures w14:val="standardContextual"/>
        </w:rPr>
      </w:pPr>
      <w:r w:rsidRPr="00A53CD6">
        <w:rPr>
          <w:rFonts w:ascii="Verdana" w:eastAsia="Calibri" w:hAnsi="Verdana" w:cs="Times New Roman"/>
          <w:kern w:val="2"/>
          <w:lang w:eastAsia="es-MX"/>
          <w14:ligatures w14:val="standardContextual"/>
        </w:rPr>
        <w:t>Atentamente,</w:t>
      </w:r>
    </w:p>
    <w:p w14:paraId="65E49567" w14:textId="18E6AECA" w:rsidR="00A53CD6" w:rsidRPr="00A53CD6" w:rsidRDefault="00FB40C5" w:rsidP="00A53CD6">
      <w:pPr>
        <w:tabs>
          <w:tab w:val="left" w:pos="1320"/>
        </w:tabs>
        <w:suppressAutoHyphens/>
        <w:spacing w:after="0" w:line="276" w:lineRule="auto"/>
        <w:jc w:val="center"/>
        <w:rPr>
          <w:rFonts w:ascii="Verdana" w:eastAsia="Calibri" w:hAnsi="Verdana" w:cs="Times New Roman"/>
          <w:kern w:val="2"/>
          <w:lang w:eastAsia="es-MX"/>
          <w14:ligatures w14:val="standardContextual"/>
        </w:rPr>
      </w:pPr>
      <w:r w:rsidRPr="004A2E53">
        <w:rPr>
          <w:noProof/>
        </w:rPr>
        <w:drawing>
          <wp:anchor distT="0" distB="0" distL="114300" distR="114300" simplePos="0" relativeHeight="251659264" behindDoc="1" locked="0" layoutInCell="1" allowOverlap="1" wp14:anchorId="4FC5C49E" wp14:editId="0A5EE6BF">
            <wp:simplePos x="0" y="0"/>
            <wp:positionH relativeFrom="column">
              <wp:posOffset>1364673</wp:posOffset>
            </wp:positionH>
            <wp:positionV relativeFrom="paragraph">
              <wp:posOffset>192752</wp:posOffset>
            </wp:positionV>
            <wp:extent cx="2107565" cy="793115"/>
            <wp:effectExtent l="0" t="0" r="635" b="0"/>
            <wp:wrapTight wrapText="bothSides">
              <wp:wrapPolygon edited="0">
                <wp:start x="0" y="0"/>
                <wp:lineTo x="0" y="21098"/>
                <wp:lineTo x="21476" y="21098"/>
                <wp:lineTo x="21476" y="0"/>
                <wp:lineTo x="0" y="0"/>
              </wp:wrapPolygon>
            </wp:wrapTight>
            <wp:docPr id="784911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07565" cy="793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446AC9" w14:textId="4AEA485B" w:rsidR="00A53CD6" w:rsidRPr="00A53CD6" w:rsidRDefault="00A53CD6" w:rsidP="00A53CD6">
      <w:pPr>
        <w:tabs>
          <w:tab w:val="left" w:pos="1320"/>
        </w:tabs>
        <w:suppressAutoHyphens/>
        <w:spacing w:after="0" w:line="276" w:lineRule="auto"/>
        <w:rPr>
          <w:rFonts w:ascii="Verdana" w:eastAsia="Calibri" w:hAnsi="Verdana" w:cs="Times New Roman"/>
          <w:kern w:val="2"/>
          <w:sz w:val="24"/>
          <w:szCs w:val="24"/>
          <w:lang w:eastAsia="es-MX"/>
          <w14:ligatures w14:val="standardContextual"/>
        </w:rPr>
      </w:pPr>
    </w:p>
    <w:p w14:paraId="4395802A" w14:textId="77777777" w:rsidR="00A53CD6" w:rsidRPr="00A53CD6" w:rsidRDefault="00A53CD6" w:rsidP="00A53CD6">
      <w:pPr>
        <w:tabs>
          <w:tab w:val="left" w:pos="1320"/>
        </w:tabs>
        <w:suppressAutoHyphens/>
        <w:spacing w:after="0"/>
        <w:rPr>
          <w:rFonts w:ascii="Verdana" w:eastAsia="Calibri" w:hAnsi="Verdana" w:cs="Times New Roman"/>
          <w:lang w:eastAsia="es-MX"/>
        </w:rPr>
      </w:pPr>
    </w:p>
    <w:tbl>
      <w:tblPr>
        <w:tblStyle w:val="Tablaconcuadrcula22"/>
        <w:tblW w:w="7602" w:type="dxa"/>
        <w:tblLayout w:type="fixed"/>
        <w:tblLook w:val="04A0" w:firstRow="1" w:lastRow="0" w:firstColumn="1" w:lastColumn="0" w:noHBand="0" w:noVBand="1"/>
      </w:tblPr>
      <w:tblGrid>
        <w:gridCol w:w="1040"/>
        <w:gridCol w:w="6562"/>
      </w:tblGrid>
      <w:tr w:rsidR="00A53CD6" w:rsidRPr="00A53CD6" w14:paraId="1626F4F4" w14:textId="77777777" w:rsidTr="00DF1FC7">
        <w:trPr>
          <w:trHeight w:val="323"/>
        </w:trPr>
        <w:tc>
          <w:tcPr>
            <w:tcW w:w="1040" w:type="dxa"/>
            <w:tcBorders>
              <w:top w:val="nil"/>
              <w:left w:val="nil"/>
              <w:bottom w:val="nil"/>
              <w:right w:val="nil"/>
            </w:tcBorders>
            <w:vAlign w:val="center"/>
          </w:tcPr>
          <w:p w14:paraId="5962A073" w14:textId="77777777" w:rsidR="00A53CD6" w:rsidRPr="00A53CD6" w:rsidRDefault="00A53CD6" w:rsidP="00A53CD6">
            <w:pPr>
              <w:rPr>
                <w:rFonts w:ascii="Verdana" w:eastAsia="Calibri" w:hAnsi="Verdana" w:cs="Arial"/>
                <w:sz w:val="16"/>
                <w:szCs w:val="16"/>
                <w:lang w:val="es-ES_tradnl" w:eastAsia="es-ES"/>
              </w:rPr>
            </w:pPr>
            <w:r w:rsidRPr="00A53CD6">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tcPr>
          <w:p w14:paraId="37B249C6" w14:textId="77777777" w:rsidR="00A53CD6" w:rsidRPr="00A53CD6" w:rsidRDefault="00A53CD6" w:rsidP="00A53CD6">
            <w:pPr>
              <w:rPr>
                <w:rFonts w:ascii="Verdana" w:eastAsia="Arial" w:hAnsi="Verdana" w:cs="Arial"/>
                <w:sz w:val="16"/>
                <w:szCs w:val="16"/>
                <w:lang w:val="es-ES" w:eastAsia="es-MX"/>
              </w:rPr>
            </w:pPr>
            <w:r w:rsidRPr="00A53CD6">
              <w:rPr>
                <w:rFonts w:ascii="Verdana" w:eastAsia="Arial" w:hAnsi="Verdana" w:cs="Arial"/>
                <w:sz w:val="16"/>
                <w:szCs w:val="16"/>
                <w:lang w:val="es-ES" w:eastAsia="es-MX"/>
              </w:rPr>
              <w:t xml:space="preserve">Carlos Mario Castrillón Endo </w:t>
            </w:r>
          </w:p>
          <w:p w14:paraId="4DC4FD48" w14:textId="77777777" w:rsidR="00A53CD6" w:rsidRPr="00A53CD6" w:rsidRDefault="00A53CD6" w:rsidP="00A53CD6">
            <w:pPr>
              <w:rPr>
                <w:rFonts w:ascii="Verdana" w:eastAsia="Arial" w:hAnsi="Verdana" w:cs="Arial"/>
                <w:sz w:val="16"/>
                <w:szCs w:val="16"/>
                <w:lang w:val="es-ES_tradnl" w:eastAsia="es-MX"/>
              </w:rPr>
            </w:pPr>
            <w:r w:rsidRPr="00A53CD6">
              <w:rPr>
                <w:rFonts w:ascii="Verdana" w:eastAsia="Arial" w:hAnsi="Verdana" w:cs="Arial"/>
                <w:sz w:val="16"/>
                <w:szCs w:val="16"/>
                <w:lang w:val="es-ES_tradnl" w:eastAsia="es-MX"/>
              </w:rPr>
              <w:t>Contratista de la Subdirección de Gestión Contractual</w:t>
            </w:r>
          </w:p>
          <w:p w14:paraId="19359085" w14:textId="77777777" w:rsidR="00A53CD6" w:rsidRPr="00A53CD6" w:rsidRDefault="00A53CD6" w:rsidP="00A53CD6">
            <w:pPr>
              <w:rPr>
                <w:rFonts w:ascii="Verdana" w:eastAsia="Arial" w:hAnsi="Verdana" w:cs="Arial"/>
                <w:sz w:val="16"/>
                <w:szCs w:val="16"/>
                <w:lang w:val="es-ES_tradnl" w:eastAsia="es-MX"/>
              </w:rPr>
            </w:pPr>
            <w:r w:rsidRPr="00A53CD6">
              <w:rPr>
                <w:rFonts w:ascii="Verdana" w:eastAsia="Arial" w:hAnsi="Verdana" w:cs="Arial"/>
                <w:sz w:val="16"/>
                <w:szCs w:val="16"/>
                <w:lang w:val="es-ES_tradnl" w:eastAsia="es-MX"/>
              </w:rPr>
              <w:t>Kevin Arlid Herrera Santa</w:t>
            </w:r>
          </w:p>
          <w:p w14:paraId="36F5FE3B" w14:textId="77777777" w:rsidR="00A53CD6" w:rsidRPr="00A53CD6" w:rsidRDefault="00A53CD6" w:rsidP="00A53CD6">
            <w:pPr>
              <w:rPr>
                <w:rFonts w:ascii="Verdana" w:eastAsia="Arial" w:hAnsi="Verdana" w:cs="Arial"/>
                <w:sz w:val="16"/>
                <w:szCs w:val="16"/>
                <w:lang w:val="es-ES_tradnl" w:eastAsia="es-MX"/>
              </w:rPr>
            </w:pPr>
            <w:r w:rsidRPr="00A53CD6">
              <w:rPr>
                <w:rFonts w:ascii="Verdana" w:eastAsia="Arial" w:hAnsi="Verdana" w:cs="Arial"/>
                <w:sz w:val="16"/>
                <w:szCs w:val="16"/>
                <w:lang w:val="es-ES_tradnl" w:eastAsia="es-MX"/>
              </w:rPr>
              <w:t>Contratista de la Subdirección de Gestión Contractual</w:t>
            </w:r>
          </w:p>
        </w:tc>
      </w:tr>
      <w:tr w:rsidR="00A53CD6" w:rsidRPr="00A53CD6" w14:paraId="31E7447C" w14:textId="77777777" w:rsidTr="00DF1FC7">
        <w:trPr>
          <w:trHeight w:val="338"/>
        </w:trPr>
        <w:tc>
          <w:tcPr>
            <w:tcW w:w="1040" w:type="dxa"/>
            <w:tcBorders>
              <w:top w:val="nil"/>
              <w:left w:val="nil"/>
              <w:bottom w:val="nil"/>
              <w:right w:val="nil"/>
            </w:tcBorders>
            <w:vAlign w:val="center"/>
          </w:tcPr>
          <w:p w14:paraId="6F8FEE1C" w14:textId="77777777" w:rsidR="00A53CD6" w:rsidRPr="00A53CD6" w:rsidRDefault="00A53CD6" w:rsidP="00A53CD6">
            <w:pPr>
              <w:rPr>
                <w:rFonts w:ascii="Verdana" w:eastAsia="Calibri" w:hAnsi="Verdana" w:cs="Arial"/>
                <w:sz w:val="16"/>
                <w:szCs w:val="16"/>
                <w:lang w:val="es-ES_tradnl" w:eastAsia="es-ES"/>
              </w:rPr>
            </w:pPr>
            <w:r w:rsidRPr="00A53CD6">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tcPr>
          <w:p w14:paraId="7FAE8E38" w14:textId="77777777" w:rsidR="00A53CD6" w:rsidRPr="00A53CD6" w:rsidRDefault="00A53CD6" w:rsidP="00A53CD6">
            <w:pPr>
              <w:rPr>
                <w:rFonts w:ascii="Verdana" w:eastAsia="Arial" w:hAnsi="Verdana" w:cs="Arial"/>
                <w:sz w:val="16"/>
                <w:szCs w:val="16"/>
                <w:lang w:val="es-ES" w:eastAsia="es-MX"/>
              </w:rPr>
            </w:pPr>
            <w:r w:rsidRPr="00A53CD6">
              <w:rPr>
                <w:rFonts w:ascii="Verdana" w:eastAsia="Arial" w:hAnsi="Verdana" w:cs="Arial"/>
                <w:sz w:val="16"/>
                <w:szCs w:val="16"/>
                <w:lang w:val="es-ES" w:eastAsia="es-MX"/>
              </w:rPr>
              <w:t>Juan David Cárdenas Cabeza</w:t>
            </w:r>
          </w:p>
          <w:p w14:paraId="669309AE" w14:textId="77777777" w:rsidR="00A53CD6" w:rsidRPr="00A53CD6" w:rsidRDefault="00A53CD6" w:rsidP="00A53CD6">
            <w:pPr>
              <w:rPr>
                <w:rFonts w:ascii="Verdana" w:eastAsia="Arial" w:hAnsi="Verdana" w:cs="Arial"/>
                <w:sz w:val="16"/>
                <w:szCs w:val="16"/>
                <w:lang w:val="es-ES_tradnl" w:eastAsia="es-MX"/>
              </w:rPr>
            </w:pPr>
            <w:r w:rsidRPr="00A53CD6">
              <w:rPr>
                <w:rFonts w:ascii="Verdana" w:eastAsia="Arial" w:hAnsi="Verdana" w:cs="Arial"/>
                <w:sz w:val="16"/>
                <w:szCs w:val="16"/>
                <w:lang w:val="es-ES_tradnl" w:eastAsia="es-MX"/>
              </w:rPr>
              <w:t>Contratista de la Subdirección de Gestión Contractual</w:t>
            </w:r>
          </w:p>
        </w:tc>
      </w:tr>
      <w:tr w:rsidR="00A53CD6" w:rsidRPr="00A53CD6" w14:paraId="41E65B16" w14:textId="77777777" w:rsidTr="00DF1FC7">
        <w:trPr>
          <w:trHeight w:val="308"/>
        </w:trPr>
        <w:tc>
          <w:tcPr>
            <w:tcW w:w="1040" w:type="dxa"/>
            <w:tcBorders>
              <w:top w:val="nil"/>
              <w:left w:val="nil"/>
              <w:bottom w:val="nil"/>
              <w:right w:val="nil"/>
            </w:tcBorders>
            <w:vAlign w:val="center"/>
          </w:tcPr>
          <w:p w14:paraId="103B0E95" w14:textId="77777777" w:rsidR="00A53CD6" w:rsidRPr="00A53CD6" w:rsidRDefault="00A53CD6" w:rsidP="00A53CD6">
            <w:pPr>
              <w:rPr>
                <w:rFonts w:ascii="Verdana" w:eastAsia="Calibri" w:hAnsi="Verdana" w:cs="Arial"/>
                <w:sz w:val="16"/>
                <w:szCs w:val="16"/>
                <w:lang w:val="es-ES_tradnl" w:eastAsia="es-ES"/>
              </w:rPr>
            </w:pPr>
            <w:r w:rsidRPr="00A53CD6">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44AB332F" w14:textId="77777777" w:rsidR="00A53CD6" w:rsidRPr="00A53CD6" w:rsidRDefault="00A53CD6" w:rsidP="00A53CD6">
            <w:pPr>
              <w:rPr>
                <w:rFonts w:ascii="Verdana" w:eastAsia="Calibri" w:hAnsi="Verdana" w:cs="Arial"/>
                <w:sz w:val="16"/>
                <w:szCs w:val="16"/>
                <w:lang w:val="es-ES" w:eastAsia="es-ES"/>
              </w:rPr>
            </w:pPr>
            <w:r w:rsidRPr="00A53CD6">
              <w:rPr>
                <w:rFonts w:ascii="Verdana" w:eastAsia="Calibri" w:hAnsi="Verdana" w:cs="Arial"/>
                <w:sz w:val="16"/>
                <w:szCs w:val="16"/>
                <w:lang w:val="es-ES" w:eastAsia="es-ES"/>
              </w:rPr>
              <w:t>William Javier Murcia Acevedo</w:t>
            </w:r>
          </w:p>
          <w:p w14:paraId="76D76FBB" w14:textId="77777777" w:rsidR="00A53CD6" w:rsidRPr="00A53CD6" w:rsidRDefault="00A53CD6" w:rsidP="00A53CD6">
            <w:pPr>
              <w:rPr>
                <w:rFonts w:ascii="Verdana" w:eastAsia="Calibri" w:hAnsi="Verdana" w:cs="Arial"/>
                <w:sz w:val="16"/>
                <w:szCs w:val="16"/>
                <w:lang w:val="es-ES_tradnl" w:eastAsia="es-ES"/>
              </w:rPr>
            </w:pPr>
            <w:r w:rsidRPr="00A53CD6">
              <w:rPr>
                <w:rFonts w:ascii="Verdana" w:eastAsia="Calibri" w:hAnsi="Verdana" w:cs="Arial"/>
                <w:sz w:val="16"/>
                <w:szCs w:val="16"/>
                <w:lang w:val="es-ES_tradnl" w:eastAsia="es-ES"/>
              </w:rPr>
              <w:t>Subdirector de Gestión Contractual (E) ANCP – CCE</w:t>
            </w:r>
          </w:p>
        </w:tc>
      </w:tr>
    </w:tbl>
    <w:p w14:paraId="3D41221A" w14:textId="77777777" w:rsidR="00A53CD6" w:rsidRPr="00A53CD6" w:rsidRDefault="00A53CD6" w:rsidP="00A53CD6">
      <w:pPr>
        <w:suppressAutoHyphens/>
        <w:spacing w:after="0" w:line="240" w:lineRule="auto"/>
        <w:jc w:val="both"/>
        <w:textAlignment w:val="baseline"/>
        <w:rPr>
          <w:rFonts w:ascii="Verdana" w:eastAsia="Verdana" w:hAnsi="Verdana" w:cs="Verdana"/>
          <w:lang w:eastAsia="es-CO"/>
        </w:rPr>
      </w:pPr>
    </w:p>
    <w:bookmarkEnd w:id="0"/>
    <w:p w14:paraId="06C60163" w14:textId="77777777" w:rsidR="00A53CD6" w:rsidRPr="00A53CD6" w:rsidRDefault="00A53CD6" w:rsidP="00A53CD6">
      <w:pPr>
        <w:suppressAutoHyphens/>
        <w:spacing w:after="0" w:line="240" w:lineRule="auto"/>
        <w:textAlignment w:val="baseline"/>
        <w:rPr>
          <w:rFonts w:ascii="Verdana" w:eastAsia="Verdana" w:hAnsi="Verdana" w:cs="Verdana"/>
          <w:lang w:eastAsia="es-CO"/>
        </w:rPr>
      </w:pPr>
    </w:p>
    <w:p w14:paraId="752FE072" w14:textId="77777777" w:rsidR="00A53CD6" w:rsidRPr="00A53CD6" w:rsidRDefault="00A53CD6" w:rsidP="00A53CD6">
      <w:pPr>
        <w:suppressAutoHyphens/>
        <w:spacing w:line="276" w:lineRule="auto"/>
        <w:rPr>
          <w:rFonts w:ascii="Aptos" w:eastAsia="Aptos" w:hAnsi="Aptos" w:cs="Aptos"/>
          <w:kern w:val="2"/>
          <w:sz w:val="24"/>
          <w:szCs w:val="24"/>
          <w14:ligatures w14:val="standardContextual"/>
        </w:rPr>
      </w:pPr>
    </w:p>
    <w:p w14:paraId="48C25912" w14:textId="77777777" w:rsidR="00A53CD6" w:rsidRPr="00A53CD6" w:rsidRDefault="00A53CD6" w:rsidP="00A53CD6">
      <w:pPr>
        <w:suppressAutoHyphens/>
        <w:spacing w:line="276" w:lineRule="auto"/>
        <w:rPr>
          <w:rFonts w:ascii="Aptos" w:eastAsia="Aptos" w:hAnsi="Aptos" w:cs="Aptos"/>
          <w:kern w:val="2"/>
          <w:sz w:val="24"/>
          <w:szCs w:val="24"/>
          <w14:ligatures w14:val="standardContextual"/>
        </w:rPr>
      </w:pPr>
    </w:p>
    <w:p w14:paraId="62DFD157" w14:textId="77777777" w:rsidR="00A53CD6" w:rsidRPr="00A53CD6" w:rsidRDefault="00A53CD6" w:rsidP="00A53CD6">
      <w:pPr>
        <w:spacing w:line="278" w:lineRule="auto"/>
        <w:rPr>
          <w:rFonts w:ascii="Aptos" w:eastAsia="Aptos" w:hAnsi="Aptos" w:cs="Times New Roman"/>
          <w:kern w:val="2"/>
          <w:sz w:val="24"/>
          <w:szCs w:val="24"/>
          <w14:ligatures w14:val="standardContextual"/>
        </w:rPr>
      </w:pPr>
    </w:p>
    <w:p w14:paraId="0F293BF4" w14:textId="2D448F39" w:rsidR="00127233" w:rsidRPr="00B15222" w:rsidRDefault="00127233" w:rsidP="00B15222"/>
    <w:sectPr w:rsidR="00127233" w:rsidRPr="00B15222"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8DE13" w14:textId="77777777" w:rsidR="000B11B5" w:rsidRDefault="000B11B5" w:rsidP="004A1847">
      <w:pPr>
        <w:spacing w:after="0" w:line="240" w:lineRule="auto"/>
      </w:pPr>
      <w:r>
        <w:separator/>
      </w:r>
    </w:p>
  </w:endnote>
  <w:endnote w:type="continuationSeparator" w:id="0">
    <w:p w14:paraId="4BA4A71C" w14:textId="77777777" w:rsidR="000B11B5" w:rsidRDefault="000B11B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Helvetica">
    <w:panose1 w:val="020B0604020202020204"/>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3CE2503C" w14:textId="77777777" w:rsidR="00F55D91" w:rsidRDefault="00F55D91">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A53CD6">
      <w:rPr>
        <w:rFonts w:ascii="Verdana" w:eastAsia="Verdana" w:hAnsi="Verdana" w:cs="Verdana"/>
        <w:b/>
        <w:bCs/>
        <w:color w:val="000000"/>
        <w:sz w:val="18"/>
        <w:szCs w:val="18"/>
        <w:lang w:eastAsia="es-CO"/>
      </w:rPr>
      <w:t xml:space="preserve">Código: </w:t>
    </w:r>
    <w:r w:rsidRPr="00A53CD6">
      <w:rPr>
        <w:rFonts w:ascii="Verdana" w:eastAsia="Verdana" w:hAnsi="Verdana" w:cs="Verdana"/>
        <w:color w:val="000000"/>
        <w:sz w:val="18"/>
        <w:szCs w:val="18"/>
        <w:lang w:eastAsia="es-CO"/>
      </w:rPr>
      <w:t xml:space="preserve">CCE-REC-FM-17 </w:t>
    </w:r>
    <w:r w:rsidRPr="00A53CD6">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4A5E3" w14:textId="77777777" w:rsidR="000B11B5" w:rsidRDefault="000B11B5" w:rsidP="004A1847">
      <w:pPr>
        <w:spacing w:after="0" w:line="240" w:lineRule="auto"/>
      </w:pPr>
      <w:r>
        <w:separator/>
      </w:r>
    </w:p>
  </w:footnote>
  <w:footnote w:type="continuationSeparator" w:id="0">
    <w:p w14:paraId="4DC2BA5E" w14:textId="77777777" w:rsidR="000B11B5" w:rsidRDefault="000B11B5" w:rsidP="004A1847">
      <w:pPr>
        <w:spacing w:after="0" w:line="240" w:lineRule="auto"/>
      </w:pPr>
      <w:r>
        <w:continuationSeparator/>
      </w:r>
    </w:p>
  </w:footnote>
  <w:footnote w:id="1">
    <w:p w14:paraId="39C85F1A" w14:textId="77777777" w:rsidR="00A53CD6" w:rsidRPr="00560DDC" w:rsidRDefault="00A53CD6" w:rsidP="00A53CD6">
      <w:pPr>
        <w:pStyle w:val="Textonotapie"/>
        <w:ind w:firstLine="708"/>
        <w:jc w:val="both"/>
        <w:rPr>
          <w:rFonts w:ascii="Verdana" w:hAnsi="Verdana"/>
          <w:color w:val="000000"/>
          <w:sz w:val="18"/>
          <w:szCs w:val="18"/>
        </w:rPr>
      </w:pPr>
      <w:r>
        <w:rPr>
          <w:rStyle w:val="FootnoteCharacters"/>
        </w:rPr>
        <w:footnoteRef/>
      </w:r>
      <w:r w:rsidRPr="00560DDC">
        <w:rPr>
          <w:rFonts w:ascii="Verdana" w:hAnsi="Verdana"/>
          <w:color w:val="000000"/>
          <w:sz w:val="18"/>
          <w:szCs w:val="18"/>
        </w:rPr>
        <w:t xml:space="preserve"> </w:t>
      </w:r>
      <w:r w:rsidRPr="00560DDC">
        <w:rPr>
          <w:rFonts w:ascii="Verdana" w:hAnsi="Verdana" w:cs="Arial"/>
          <w:color w:val="000000"/>
          <w:sz w:val="18"/>
          <w:szCs w:val="18"/>
        </w:rPr>
        <w:t>Gaceta del Congreso No. 733 del 2018. Pág. 19</w:t>
      </w:r>
    </w:p>
    <w:p w14:paraId="56F54CEC" w14:textId="77777777" w:rsidR="00A53CD6" w:rsidRPr="00560DDC" w:rsidRDefault="00A53CD6" w:rsidP="00A53CD6">
      <w:pPr>
        <w:pStyle w:val="Textonotapie"/>
        <w:jc w:val="both"/>
        <w:rPr>
          <w:rFonts w:ascii="Verdana" w:hAnsi="Verdana"/>
          <w:color w:val="000000"/>
          <w:sz w:val="18"/>
          <w:szCs w:val="18"/>
          <w:lang w:val="es-CO"/>
        </w:rPr>
      </w:pPr>
    </w:p>
  </w:footnote>
  <w:footnote w:id="2">
    <w:p w14:paraId="1B94E9D4" w14:textId="77777777" w:rsidR="00A53CD6" w:rsidRPr="00560DDC" w:rsidRDefault="00A53CD6" w:rsidP="00A53CD6">
      <w:pPr>
        <w:pStyle w:val="Textonotapie"/>
        <w:ind w:firstLine="708"/>
        <w:jc w:val="both"/>
        <w:rPr>
          <w:rFonts w:ascii="Verdana" w:hAnsi="Verdana" w:cs="Arial"/>
          <w:color w:val="000000"/>
          <w:sz w:val="18"/>
          <w:szCs w:val="18"/>
        </w:rPr>
      </w:pPr>
      <w:r>
        <w:rPr>
          <w:rStyle w:val="FootnoteCharacters"/>
        </w:rPr>
        <w:footnoteRef/>
      </w:r>
      <w:r w:rsidRPr="00560DDC">
        <w:rPr>
          <w:rFonts w:ascii="Verdana" w:hAnsi="Verdana"/>
          <w:color w:val="000000"/>
          <w:sz w:val="18"/>
          <w:szCs w:val="18"/>
        </w:rPr>
        <w:t xml:space="preserve"> </w:t>
      </w:r>
      <w:r w:rsidRPr="00560DDC">
        <w:rPr>
          <w:rFonts w:ascii="Verdana" w:hAnsi="Verdana" w:cs="Arial"/>
          <w:color w:val="000000"/>
          <w:sz w:val="18"/>
          <w:szCs w:val="18"/>
        </w:rPr>
        <w:t xml:space="preserve">Ley 2022 de 2020: “Artículo 1. Modifíquese el artículo </w:t>
      </w:r>
      <w:hyperlink r:id="rId1" w:anchor="4" w:history="1">
        <w:r w:rsidRPr="00560DDC">
          <w:rPr>
            <w:rStyle w:val="Hipervnculo"/>
            <w:rFonts w:ascii="Verdana" w:hAnsi="Verdana" w:cs="Arial"/>
            <w:color w:val="000000"/>
            <w:sz w:val="18"/>
            <w:szCs w:val="18"/>
          </w:rPr>
          <w:t>4</w:t>
        </w:r>
      </w:hyperlink>
      <w:r w:rsidRPr="00560DDC">
        <w:rPr>
          <w:rFonts w:ascii="Verdana" w:hAnsi="Verdana" w:cs="Arial"/>
          <w:color w:val="000000"/>
          <w:sz w:val="18"/>
          <w:szCs w:val="18"/>
        </w:rPr>
        <w:t xml:space="preserve">º de la Ley 1882 de 2018, el cual quedará así: </w:t>
      </w:r>
    </w:p>
    <w:p w14:paraId="3ADB39AA" w14:textId="77777777" w:rsidR="00A53CD6" w:rsidRPr="00560DDC" w:rsidRDefault="00A53CD6" w:rsidP="00A53CD6">
      <w:pPr>
        <w:pStyle w:val="Textonotapie"/>
        <w:ind w:firstLine="708"/>
        <w:jc w:val="both"/>
        <w:rPr>
          <w:rFonts w:ascii="Verdana" w:hAnsi="Verdana" w:cs="Arial"/>
          <w:color w:val="000000"/>
          <w:sz w:val="18"/>
          <w:szCs w:val="18"/>
        </w:rPr>
      </w:pPr>
    </w:p>
    <w:p w14:paraId="07400BD3" w14:textId="77777777" w:rsidR="00A53CD6" w:rsidRPr="00560DDC" w:rsidRDefault="00A53CD6" w:rsidP="00A53CD6">
      <w:pPr>
        <w:pStyle w:val="Textonotapie"/>
        <w:ind w:firstLine="708"/>
        <w:jc w:val="both"/>
        <w:rPr>
          <w:rFonts w:ascii="Verdana" w:hAnsi="Verdana" w:cs="Arial"/>
          <w:color w:val="000000"/>
          <w:sz w:val="18"/>
          <w:szCs w:val="18"/>
        </w:rPr>
      </w:pPr>
      <w:r w:rsidRPr="00560DDC">
        <w:rPr>
          <w:rFonts w:ascii="Verdana" w:hAnsi="Verdana" w:cs="Arial"/>
          <w:color w:val="000000"/>
          <w:sz w:val="18"/>
          <w:szCs w:val="18"/>
        </w:rPr>
        <w:t xml:space="preserve">“Artículo 4º. Adiciónese el siguiente </w:t>
      </w:r>
      <w:r w:rsidRPr="00560DDC">
        <w:rPr>
          <w:rFonts w:ascii="Verdana" w:hAnsi="Verdana"/>
          <w:color w:val="000000"/>
          <w:sz w:val="18"/>
          <w:szCs w:val="18"/>
        </w:rPr>
        <w:t xml:space="preserve"> </w:t>
      </w:r>
      <w:r w:rsidRPr="00560DDC">
        <w:rPr>
          <w:rFonts w:ascii="Verdana" w:hAnsi="Verdana" w:cs="Arial"/>
          <w:color w:val="000000"/>
          <w:sz w:val="18"/>
          <w:szCs w:val="18"/>
        </w:rPr>
        <w:t>al artículo 2º de la Ley 1150 de 2007.</w:t>
      </w:r>
    </w:p>
    <w:p w14:paraId="3F1241B1" w14:textId="77777777" w:rsidR="00A53CD6" w:rsidRPr="00560DDC" w:rsidRDefault="00A53CD6" w:rsidP="00A53CD6">
      <w:pPr>
        <w:pStyle w:val="Textonotapie"/>
        <w:ind w:firstLine="708"/>
        <w:jc w:val="both"/>
        <w:rPr>
          <w:rFonts w:ascii="Verdana" w:hAnsi="Verdana" w:cs="Arial"/>
          <w:color w:val="000000"/>
          <w:sz w:val="18"/>
          <w:szCs w:val="18"/>
        </w:rPr>
      </w:pPr>
    </w:p>
    <w:p w14:paraId="3A6F0B4D" w14:textId="77777777" w:rsidR="00A53CD6" w:rsidRPr="00560DDC" w:rsidRDefault="00A53CD6" w:rsidP="00A53CD6">
      <w:pPr>
        <w:pStyle w:val="Textonotapie"/>
        <w:ind w:firstLine="708"/>
        <w:jc w:val="both"/>
        <w:rPr>
          <w:rFonts w:ascii="Verdana" w:hAnsi="Verdana" w:cs="Arial"/>
          <w:color w:val="000000"/>
          <w:sz w:val="18"/>
          <w:szCs w:val="18"/>
        </w:rPr>
      </w:pPr>
      <w:r w:rsidRPr="00560DDC">
        <w:rPr>
          <w:rFonts w:ascii="Verdana" w:hAnsi="Verdana" w:cs="Arial"/>
          <w:color w:val="000000"/>
          <w:sz w:val="18"/>
          <w:szCs w:val="18"/>
        </w:rPr>
        <w:t>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111674F" w14:textId="77777777" w:rsidR="00A53CD6" w:rsidRPr="00560DDC" w:rsidRDefault="00A53CD6" w:rsidP="00A53CD6">
      <w:pPr>
        <w:pStyle w:val="Textonotapie"/>
        <w:ind w:firstLine="708"/>
        <w:jc w:val="both"/>
        <w:rPr>
          <w:rFonts w:ascii="Verdana" w:hAnsi="Verdana" w:cs="Arial"/>
          <w:color w:val="000000"/>
          <w:sz w:val="18"/>
          <w:szCs w:val="18"/>
        </w:rPr>
      </w:pPr>
    </w:p>
    <w:p w14:paraId="23B50F7A" w14:textId="77777777" w:rsidR="00A53CD6" w:rsidRPr="00560DDC" w:rsidRDefault="00A53CD6" w:rsidP="00A53CD6">
      <w:pPr>
        <w:pStyle w:val="Textonotapie"/>
        <w:ind w:firstLine="708"/>
        <w:jc w:val="both"/>
        <w:rPr>
          <w:rFonts w:ascii="Verdana" w:hAnsi="Verdana" w:cs="Arial"/>
          <w:color w:val="000000"/>
          <w:sz w:val="18"/>
          <w:szCs w:val="18"/>
        </w:rPr>
      </w:pPr>
      <w:r w:rsidRPr="00560DDC">
        <w:rPr>
          <w:rFonts w:ascii="Verdana" w:hAnsi="Verdana" w:cs="Arial"/>
          <w:color w:val="000000"/>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41F83A0" w14:textId="77777777" w:rsidR="00A53CD6" w:rsidRPr="00560DDC" w:rsidRDefault="00A53CD6" w:rsidP="00A53CD6">
      <w:pPr>
        <w:pStyle w:val="Textonotapie"/>
        <w:ind w:firstLine="708"/>
        <w:jc w:val="both"/>
        <w:rPr>
          <w:rFonts w:ascii="Verdana" w:hAnsi="Verdana" w:cs="Arial"/>
          <w:color w:val="000000"/>
          <w:sz w:val="18"/>
          <w:szCs w:val="18"/>
        </w:rPr>
      </w:pPr>
    </w:p>
    <w:p w14:paraId="780975D3" w14:textId="77777777" w:rsidR="00A53CD6" w:rsidRPr="00560DDC" w:rsidRDefault="00A53CD6" w:rsidP="00A53CD6">
      <w:pPr>
        <w:pStyle w:val="Textonotapie"/>
        <w:ind w:firstLine="708"/>
        <w:jc w:val="both"/>
        <w:rPr>
          <w:rFonts w:ascii="Verdana" w:hAnsi="Verdana" w:cs="Arial"/>
          <w:color w:val="000000"/>
          <w:sz w:val="18"/>
          <w:szCs w:val="18"/>
        </w:rPr>
      </w:pPr>
      <w:r w:rsidRPr="00560DDC">
        <w:rPr>
          <w:rFonts w:ascii="Verdana" w:hAnsi="Verdana" w:cs="Arial"/>
          <w:color w:val="000000"/>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1DFA24A7" w14:textId="77777777" w:rsidR="00A53CD6" w:rsidRPr="00560DDC" w:rsidRDefault="00A53CD6" w:rsidP="00A53CD6">
      <w:pPr>
        <w:pStyle w:val="Textonotapie"/>
        <w:ind w:firstLine="708"/>
        <w:jc w:val="both"/>
        <w:rPr>
          <w:rFonts w:ascii="Verdana" w:hAnsi="Verdana" w:cs="Arial"/>
          <w:color w:val="000000"/>
          <w:sz w:val="18"/>
          <w:szCs w:val="18"/>
        </w:rPr>
      </w:pPr>
    </w:p>
    <w:p w14:paraId="205CDE08" w14:textId="77777777" w:rsidR="00A53CD6" w:rsidRPr="00560DDC" w:rsidRDefault="00A53CD6" w:rsidP="00A53CD6">
      <w:pPr>
        <w:pStyle w:val="Textonotapie"/>
        <w:ind w:firstLine="708"/>
        <w:jc w:val="both"/>
        <w:rPr>
          <w:rFonts w:ascii="Verdana" w:hAnsi="Verdana" w:cs="Arial"/>
          <w:color w:val="000000"/>
          <w:sz w:val="18"/>
          <w:szCs w:val="18"/>
        </w:rPr>
      </w:pPr>
      <w:r w:rsidRPr="00560DDC">
        <w:rPr>
          <w:rFonts w:ascii="Verdana" w:hAnsi="Verdana" w:cs="Arial"/>
          <w:color w:val="000000"/>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25BE97B3" w14:textId="77777777" w:rsidR="00A53CD6" w:rsidRPr="00560DDC" w:rsidRDefault="00A53CD6" w:rsidP="00A53CD6">
      <w:pPr>
        <w:pStyle w:val="Textonotapie"/>
        <w:ind w:firstLine="708"/>
        <w:jc w:val="both"/>
        <w:rPr>
          <w:rFonts w:ascii="Verdana" w:hAnsi="Verdana" w:cs="Arial"/>
          <w:color w:val="000000"/>
          <w:sz w:val="18"/>
          <w:szCs w:val="18"/>
        </w:rPr>
      </w:pPr>
    </w:p>
    <w:p w14:paraId="1BCE69BF" w14:textId="77777777" w:rsidR="00A53CD6" w:rsidRPr="00560DDC" w:rsidRDefault="00A53CD6" w:rsidP="00A53CD6">
      <w:pPr>
        <w:pStyle w:val="Textonotapie"/>
        <w:ind w:firstLine="708"/>
        <w:jc w:val="both"/>
        <w:rPr>
          <w:rFonts w:ascii="Verdana" w:hAnsi="Verdana" w:cs="Arial"/>
          <w:color w:val="000000"/>
          <w:sz w:val="18"/>
          <w:szCs w:val="18"/>
        </w:rPr>
      </w:pPr>
      <w:r w:rsidRPr="00560DDC">
        <w:rPr>
          <w:rFonts w:ascii="Verdana" w:hAnsi="Verdana" w:cs="Arial"/>
          <w:color w:val="000000"/>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58BB954F" w14:textId="77777777" w:rsidR="00A53CD6" w:rsidRPr="00560DDC" w:rsidRDefault="00A53CD6" w:rsidP="00A53CD6">
      <w:pPr>
        <w:pStyle w:val="Textonotapie"/>
        <w:ind w:firstLine="708"/>
        <w:jc w:val="both"/>
        <w:rPr>
          <w:rFonts w:ascii="Verdana" w:hAnsi="Verdana" w:cs="Arial"/>
          <w:color w:val="000000"/>
          <w:sz w:val="18"/>
          <w:szCs w:val="18"/>
        </w:rPr>
      </w:pPr>
      <w:r w:rsidRPr="00560DDC">
        <w:rPr>
          <w:rFonts w:ascii="Verdana" w:hAnsi="Verdana" w:cs="Arial"/>
          <w:color w:val="000000"/>
          <w:sz w:val="18"/>
          <w:szCs w:val="18"/>
        </w:rPr>
        <w:t xml:space="preserve"> </w:t>
      </w:r>
    </w:p>
  </w:footnote>
  <w:footnote w:id="3">
    <w:p w14:paraId="2F5BD822" w14:textId="77777777" w:rsidR="00A53CD6" w:rsidRPr="00560DDC" w:rsidRDefault="00A53CD6" w:rsidP="00A53CD6">
      <w:pPr>
        <w:pStyle w:val="Textonotapie"/>
        <w:ind w:firstLine="708"/>
        <w:jc w:val="both"/>
        <w:rPr>
          <w:rFonts w:ascii="Verdana" w:hAnsi="Verdana" w:cs="Arial"/>
          <w:color w:val="000000"/>
          <w:sz w:val="18"/>
          <w:szCs w:val="18"/>
        </w:rPr>
      </w:pPr>
      <w:r>
        <w:rPr>
          <w:rStyle w:val="FootnoteCharacters"/>
        </w:rPr>
        <w:footnoteRef/>
      </w:r>
      <w:r w:rsidRPr="00560DDC">
        <w:rPr>
          <w:rFonts w:ascii="Verdana" w:hAnsi="Verdana" w:cs="Arial"/>
          <w:color w:val="000000"/>
          <w:sz w:val="18"/>
          <w:szCs w:val="18"/>
        </w:rPr>
        <w:t xml:space="preserve"> Ley 80 de 1993. “Artículo 2. De la definición de entidades, servidores y servicios públicos. Para los solos efectos de esta ley:</w:t>
      </w:r>
    </w:p>
    <w:p w14:paraId="717F616C" w14:textId="77777777" w:rsidR="00A53CD6" w:rsidRPr="00560DDC" w:rsidRDefault="00A53CD6" w:rsidP="00A53CD6">
      <w:pPr>
        <w:pStyle w:val="Textonotapie"/>
        <w:ind w:firstLine="708"/>
        <w:jc w:val="both"/>
        <w:rPr>
          <w:rFonts w:ascii="Verdana" w:hAnsi="Verdana" w:cs="Arial"/>
          <w:color w:val="000000"/>
          <w:sz w:val="18"/>
          <w:szCs w:val="18"/>
        </w:rPr>
      </w:pPr>
    </w:p>
    <w:p w14:paraId="3EC95A9B" w14:textId="77777777" w:rsidR="00A53CD6" w:rsidRPr="00560DDC" w:rsidRDefault="00A53CD6" w:rsidP="00A53CD6">
      <w:pPr>
        <w:pStyle w:val="Textonotapie"/>
        <w:ind w:firstLine="708"/>
        <w:jc w:val="both"/>
        <w:rPr>
          <w:rFonts w:ascii="Verdana" w:hAnsi="Verdana" w:cs="Arial"/>
          <w:color w:val="000000"/>
          <w:sz w:val="18"/>
          <w:szCs w:val="18"/>
        </w:rPr>
      </w:pPr>
      <w:r w:rsidRPr="00560DDC">
        <w:rPr>
          <w:rFonts w:ascii="Verdana" w:hAnsi="Verdana" w:cs="Arial"/>
          <w:color w:val="000000"/>
          <w:sz w:val="18"/>
          <w:szCs w:val="18"/>
        </w:rPr>
        <w:t>1o. Se denominan entidades estatales:</w:t>
      </w:r>
    </w:p>
    <w:p w14:paraId="4DA5B537" w14:textId="77777777" w:rsidR="00A53CD6" w:rsidRPr="00560DDC" w:rsidRDefault="00A53CD6" w:rsidP="00A53CD6">
      <w:pPr>
        <w:pStyle w:val="Textonotapie"/>
        <w:ind w:firstLine="708"/>
        <w:jc w:val="both"/>
        <w:rPr>
          <w:rFonts w:ascii="Verdana" w:hAnsi="Verdana" w:cs="Arial"/>
          <w:color w:val="000000"/>
          <w:sz w:val="18"/>
          <w:szCs w:val="18"/>
        </w:rPr>
      </w:pPr>
    </w:p>
    <w:p w14:paraId="6925CEB4" w14:textId="77777777" w:rsidR="00A53CD6" w:rsidRPr="00560DDC" w:rsidRDefault="00A53CD6" w:rsidP="00A53CD6">
      <w:pPr>
        <w:pStyle w:val="Textonotapie"/>
        <w:ind w:firstLine="708"/>
        <w:jc w:val="both"/>
        <w:rPr>
          <w:rFonts w:ascii="Verdana" w:hAnsi="Verdana" w:cs="Arial"/>
          <w:color w:val="000000"/>
          <w:sz w:val="18"/>
          <w:szCs w:val="18"/>
        </w:rPr>
      </w:pPr>
      <w:r w:rsidRPr="00560DDC">
        <w:rPr>
          <w:rFonts w:ascii="Verdana" w:hAnsi="Verdana" w:cs="Arial"/>
          <w:color w:val="000000"/>
          <w:sz w:val="18"/>
          <w:szCs w:val="18"/>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6A77B36B" w14:textId="77777777" w:rsidR="00A53CD6" w:rsidRPr="00560DDC" w:rsidRDefault="00A53CD6" w:rsidP="00A53CD6">
      <w:pPr>
        <w:pStyle w:val="Textonotapie"/>
        <w:ind w:firstLine="708"/>
        <w:jc w:val="both"/>
        <w:rPr>
          <w:rFonts w:ascii="Verdana" w:hAnsi="Verdana" w:cs="Arial"/>
          <w:color w:val="000000"/>
          <w:sz w:val="18"/>
          <w:szCs w:val="18"/>
        </w:rPr>
      </w:pPr>
    </w:p>
    <w:p w14:paraId="0D2AFC85" w14:textId="77777777" w:rsidR="00A53CD6" w:rsidRPr="00560DDC" w:rsidRDefault="00A53CD6" w:rsidP="00A53CD6">
      <w:pPr>
        <w:pStyle w:val="Textonotapie"/>
        <w:ind w:firstLine="708"/>
        <w:jc w:val="both"/>
        <w:rPr>
          <w:rFonts w:ascii="Verdana" w:hAnsi="Verdana" w:cs="Arial"/>
          <w:i/>
          <w:color w:val="000000"/>
          <w:sz w:val="18"/>
          <w:szCs w:val="18"/>
        </w:rPr>
      </w:pPr>
      <w:r w:rsidRPr="00560DDC">
        <w:rPr>
          <w:rFonts w:ascii="Verdana" w:hAnsi="Verdana" w:cs="Arial"/>
          <w:color w:val="000000"/>
          <w:sz w:val="18"/>
          <w:szCs w:val="18"/>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footnote>
  <w:footnote w:id="4">
    <w:p w14:paraId="45263C54" w14:textId="77777777" w:rsidR="00A53CD6" w:rsidRPr="00560DDC" w:rsidRDefault="00A53CD6" w:rsidP="00A53CD6">
      <w:pPr>
        <w:pStyle w:val="Textonotapie"/>
        <w:ind w:firstLine="708"/>
        <w:jc w:val="both"/>
        <w:rPr>
          <w:rFonts w:ascii="Verdana" w:hAnsi="Verdana"/>
          <w:color w:val="000000"/>
          <w:sz w:val="18"/>
          <w:szCs w:val="18"/>
          <w:lang w:val="es-ES_tradnl"/>
        </w:rPr>
      </w:pPr>
      <w:r>
        <w:rPr>
          <w:rStyle w:val="FootnoteCharacters"/>
        </w:rPr>
        <w:footnoteRef/>
      </w:r>
      <w:r w:rsidRPr="00560DDC">
        <w:rPr>
          <w:rFonts w:ascii="Verdana" w:hAnsi="Verdana"/>
          <w:color w:val="000000"/>
          <w:sz w:val="18"/>
          <w:szCs w:val="18"/>
        </w:rPr>
        <w:t xml:space="preserve"> El segundo inciso del artículo 9 de la Resolución 160 de 2020 dispone que “(….) Para el efecto, la Agencia acusará el recibido de los comentatios e informará al ciudadano de su recepción,manifestándole que hará parte del repositorio de observaciones, para ser tenidos en cuenta al momento de realizar la revisión de los documentos tipo”.</w:t>
      </w:r>
    </w:p>
  </w:footnote>
  <w:footnote w:id="5">
    <w:p w14:paraId="66E53D54" w14:textId="77777777" w:rsidR="00A53CD6" w:rsidRPr="00560DDC" w:rsidRDefault="00A53CD6" w:rsidP="00A53CD6">
      <w:pPr>
        <w:pStyle w:val="Textonotapie"/>
        <w:ind w:firstLine="708"/>
        <w:jc w:val="both"/>
        <w:rPr>
          <w:rFonts w:ascii="Verdana" w:hAnsi="Verdana" w:cs="Arial"/>
          <w:color w:val="000000"/>
          <w:sz w:val="18"/>
          <w:szCs w:val="18"/>
        </w:rPr>
      </w:pPr>
      <w:r>
        <w:rPr>
          <w:rStyle w:val="FootnoteCharacters"/>
        </w:rPr>
        <w:footnoteRef/>
      </w:r>
      <w:r w:rsidRPr="00560DDC">
        <w:rPr>
          <w:rFonts w:ascii="Verdana" w:hAnsi="Verdana" w:cs="Arial"/>
          <w:color w:val="000000"/>
          <w:sz w:val="18"/>
          <w:szCs w:val="18"/>
        </w:rPr>
        <w:t xml:space="preserve"> Agencia Nacional de Contratación Pública – Colombia Compra Eficiente. Concepto C-782 de 2024. En él se señaló que las adendas expedidas después del cierre “únicamente podrán modificar los plazos de las etapas establecidas antes de su vencimiento y no después de este”, pues “la entidad estatal no podría volver sobre la fase agotada”.</w:t>
      </w:r>
    </w:p>
  </w:footnote>
  <w:footnote w:id="6">
    <w:p w14:paraId="036E9F0E" w14:textId="77777777" w:rsidR="00A53CD6" w:rsidRPr="00560DDC" w:rsidRDefault="00A53CD6" w:rsidP="00A53CD6">
      <w:pPr>
        <w:pStyle w:val="Textonotapie"/>
        <w:ind w:firstLine="708"/>
        <w:jc w:val="both"/>
        <w:rPr>
          <w:rFonts w:ascii="Verdana" w:hAnsi="Verdana" w:cs="Arial"/>
          <w:color w:val="000000"/>
          <w:sz w:val="18"/>
          <w:szCs w:val="18"/>
        </w:rPr>
      </w:pPr>
      <w:r>
        <w:rPr>
          <w:rStyle w:val="FootnoteCharacters"/>
        </w:rPr>
        <w:footnoteRef/>
      </w:r>
      <w:r w:rsidRPr="00560DDC">
        <w:rPr>
          <w:rFonts w:ascii="Verdana" w:hAnsi="Verdana" w:cs="Arial"/>
          <w:color w:val="000000"/>
          <w:sz w:val="18"/>
          <w:szCs w:val="18"/>
        </w:rPr>
        <w:t xml:space="preserve"> Agencia Nacional de Contratación Pública – Colombia Compra Eficiente. Concepto C-374 del 22 de abril de 2025: “No obstante, lo dispuesto en los párrafos transcritos, tal como se enunció, solo es aplicable a las licitaciones públicas adelantadas enteramente en medio físico, cuya publicidad se surte a través de la plataforma SECOP I”.</w:t>
      </w:r>
    </w:p>
    <w:p w14:paraId="45D87FE7" w14:textId="77777777" w:rsidR="00A53CD6" w:rsidRPr="00560DDC" w:rsidRDefault="00A53CD6" w:rsidP="00A53CD6">
      <w:pPr>
        <w:pStyle w:val="Textonotapie"/>
        <w:ind w:firstLine="708"/>
        <w:jc w:val="both"/>
        <w:rPr>
          <w:rFonts w:ascii="Verdana" w:hAnsi="Verdana" w:cs="Arial"/>
          <w:color w:val="000000"/>
          <w:sz w:val="18"/>
          <w:szCs w:val="18"/>
        </w:rPr>
      </w:pPr>
    </w:p>
  </w:footnote>
  <w:footnote w:id="7">
    <w:p w14:paraId="1DAF9404" w14:textId="77777777" w:rsidR="00A53CD6" w:rsidRPr="00560DDC" w:rsidRDefault="00A53CD6" w:rsidP="00A53CD6">
      <w:pPr>
        <w:pStyle w:val="Textonotapie"/>
        <w:ind w:firstLine="708"/>
        <w:jc w:val="both"/>
        <w:rPr>
          <w:rFonts w:ascii="Verdana" w:hAnsi="Verdana" w:cs="Arial"/>
          <w:color w:val="000000"/>
          <w:sz w:val="18"/>
          <w:szCs w:val="18"/>
        </w:rPr>
      </w:pPr>
      <w:r>
        <w:rPr>
          <w:rStyle w:val="FootnoteCharacters"/>
        </w:rPr>
        <w:footnoteRef/>
      </w:r>
      <w:r w:rsidRPr="00560DDC">
        <w:rPr>
          <w:rFonts w:ascii="Verdana" w:hAnsi="Verdana" w:cs="Arial"/>
          <w:color w:val="000000"/>
          <w:sz w:val="18"/>
          <w:szCs w:val="18"/>
        </w:rPr>
        <w:t xml:space="preserve"> Agencia Nacional de Contratación Pública – Colombia Compra Eficiente. Concepto C-374 del 22 de abril de 2025: “Sobre este último aspecto a criterio de esta Agencia la expresión “sin perjuicio de la utilización de los medios virtuales” debe entenderse como la posibilidad para la entidad de realizar la audiencia efectiva de adjudicación por medios electrónicos, es decir, utilizando los sistemas de información digitales que favorecen la tele-presencia, de modo que se permita una interacción simultánea entre las personas que quieran estar presentes y las entidades estatales. Esta posibilidad, se encuentra abierta para la entidad independientemente que se encuentre adelantando el proceso de contratación por el SECOP I o II”.</w:t>
      </w:r>
    </w:p>
    <w:p w14:paraId="73CE21C9" w14:textId="77777777" w:rsidR="00A53CD6" w:rsidRPr="00560DDC" w:rsidRDefault="00A53CD6" w:rsidP="00A53CD6">
      <w:pPr>
        <w:pStyle w:val="Textonotapie"/>
        <w:ind w:firstLine="708"/>
        <w:jc w:val="both"/>
        <w:rPr>
          <w:rFonts w:ascii="Verdana" w:hAnsi="Verdana" w:cs="Arial"/>
          <w:color w:val="000000"/>
          <w:sz w:val="18"/>
          <w:szCs w:val="18"/>
        </w:rPr>
      </w:pPr>
    </w:p>
  </w:footnote>
  <w:footnote w:id="8">
    <w:p w14:paraId="45F30F09" w14:textId="77777777" w:rsidR="00A53CD6" w:rsidRPr="00560DDC" w:rsidRDefault="00A53CD6" w:rsidP="00A53CD6">
      <w:pPr>
        <w:pStyle w:val="Textonotapie"/>
        <w:ind w:firstLine="708"/>
        <w:jc w:val="both"/>
        <w:rPr>
          <w:rFonts w:ascii="Verdana" w:hAnsi="Verdana" w:cs="Arial"/>
          <w:color w:val="000000"/>
          <w:sz w:val="18"/>
          <w:szCs w:val="18"/>
        </w:rPr>
      </w:pPr>
      <w:r>
        <w:rPr>
          <w:rStyle w:val="FootnoteCharacters"/>
        </w:rPr>
        <w:footnoteRef/>
      </w:r>
      <w:r w:rsidRPr="00560DDC">
        <w:rPr>
          <w:rFonts w:ascii="Verdana" w:hAnsi="Verdana" w:cs="Arial"/>
          <w:color w:val="000000"/>
          <w:sz w:val="18"/>
          <w:szCs w:val="18"/>
        </w:rPr>
        <w:t xml:space="preserve"> Agencia Nacional de Contratación Pública – Colombia Compra Eficiente. Concepto C-113 del 17 de febrero de 2025, en el que se concluyó que “la audiencia de adjudicación en la licitación pública se puede realizar por medios electrónicos”, siempre que las tecnologías utilizadas permitan a las personas “ver y escuchar lo que pasa en la audiencia, pero también escribir o hablar”.</w:t>
      </w:r>
    </w:p>
    <w:p w14:paraId="18949F38" w14:textId="77777777" w:rsidR="00A53CD6" w:rsidRPr="00560DDC" w:rsidRDefault="00A53CD6" w:rsidP="00A53CD6">
      <w:pPr>
        <w:pStyle w:val="Textonotapie"/>
        <w:ind w:firstLine="708"/>
        <w:jc w:val="both"/>
        <w:rPr>
          <w:rFonts w:ascii="Verdana" w:hAnsi="Verdana" w:cs="Arial"/>
          <w:color w:val="000000"/>
          <w:sz w:val="18"/>
          <w:szCs w:val="18"/>
        </w:rPr>
      </w:pPr>
    </w:p>
  </w:footnote>
  <w:footnote w:id="9">
    <w:p w14:paraId="18ACDDBF" w14:textId="77777777" w:rsidR="00A53CD6" w:rsidRPr="00560DDC" w:rsidRDefault="00A53CD6" w:rsidP="00A53CD6">
      <w:pPr>
        <w:pStyle w:val="Textonotapie"/>
        <w:ind w:firstLine="708"/>
        <w:jc w:val="both"/>
        <w:rPr>
          <w:rFonts w:ascii="Verdana" w:hAnsi="Verdana" w:cs="Arial"/>
          <w:color w:val="000000"/>
          <w:sz w:val="18"/>
          <w:szCs w:val="18"/>
        </w:rPr>
      </w:pPr>
      <w:r>
        <w:rPr>
          <w:rStyle w:val="FootnoteCharacters"/>
        </w:rPr>
        <w:footnoteRef/>
      </w:r>
      <w:r w:rsidRPr="00560DDC">
        <w:rPr>
          <w:rFonts w:ascii="Verdana" w:hAnsi="Verdana" w:cs="Arial"/>
          <w:color w:val="000000"/>
          <w:sz w:val="18"/>
          <w:szCs w:val="18"/>
        </w:rPr>
        <w:t xml:space="preserve"> Agencia Nacional de Contratación Pública – Colombia Compra Eficiente. Concepto C-1784 de 2025, según el cual la existencia de información reservada “no necesariamente convierte el documento completo en reservado, </w:t>
      </w:r>
      <w:r w:rsidRPr="00560DDC">
        <w:rPr>
          <w:rFonts w:ascii="Verdana" w:eastAsia="Calibri" w:hAnsi="Verdana" w:cs="Arial"/>
          <w:color w:val="000000"/>
          <w:sz w:val="18"/>
          <w:szCs w:val="18"/>
        </w:rPr>
        <w:t>es decir, en un documento que no puede publicarse</w:t>
      </w:r>
      <w:r w:rsidRPr="00560DDC">
        <w:rPr>
          <w:rFonts w:ascii="Verdana" w:hAnsi="Verdana" w:cs="Arial"/>
          <w:color w:val="000000"/>
          <w:sz w:val="18"/>
          <w:szCs w:val="18"/>
        </w:rPr>
        <w:t>”.</w:t>
      </w:r>
    </w:p>
    <w:p w14:paraId="3AC396EB" w14:textId="77777777" w:rsidR="00A53CD6" w:rsidRPr="00560DDC" w:rsidRDefault="00A53CD6" w:rsidP="00A53CD6">
      <w:pPr>
        <w:pStyle w:val="Textonotapie"/>
        <w:ind w:firstLine="708"/>
        <w:jc w:val="both"/>
        <w:rPr>
          <w:rFonts w:ascii="Verdana" w:hAnsi="Verdana" w:cs="Arial"/>
          <w:color w:val="000000"/>
          <w:sz w:val="18"/>
          <w:szCs w:val="18"/>
        </w:rPr>
      </w:pPr>
    </w:p>
  </w:footnote>
  <w:footnote w:id="10">
    <w:p w14:paraId="7C81877D" w14:textId="77777777" w:rsidR="00A53CD6" w:rsidRPr="00560DDC" w:rsidRDefault="00A53CD6" w:rsidP="00A53CD6">
      <w:pPr>
        <w:pStyle w:val="Textonotapie"/>
        <w:ind w:firstLine="708"/>
        <w:jc w:val="both"/>
        <w:rPr>
          <w:rFonts w:ascii="Verdana" w:hAnsi="Verdana" w:cs="Arial"/>
          <w:color w:val="000000"/>
          <w:sz w:val="18"/>
          <w:szCs w:val="18"/>
        </w:rPr>
      </w:pPr>
      <w:r>
        <w:rPr>
          <w:rStyle w:val="FootnoteCharacters"/>
        </w:rPr>
        <w:footnoteRef/>
      </w:r>
      <w:r w:rsidRPr="00560DDC">
        <w:rPr>
          <w:rFonts w:ascii="Verdana" w:hAnsi="Verdana" w:cs="Arial"/>
          <w:color w:val="000000"/>
          <w:sz w:val="18"/>
          <w:szCs w:val="18"/>
        </w:rPr>
        <w:t xml:space="preserve"> Agencia Nacional de Contratación Pública – Colombia Compra Eficiente. Concepto C-453 de 2025. Allí se explicó que, “en los eventos en los que se presenten documentos con información con carácter reservado o datos sensibles”, el “SECOP II antes de publicar las ofertas, brinda a las entidades la opción de calificar dicha información como confidencial”, “lo cual impide que los documentos se publiquen”.</w:t>
      </w:r>
    </w:p>
  </w:footnote>
  <w:footnote w:id="11">
    <w:p w14:paraId="1037C99D" w14:textId="77777777" w:rsidR="00A53CD6" w:rsidRPr="00560DDC" w:rsidRDefault="00A53CD6" w:rsidP="00A53CD6">
      <w:pPr>
        <w:pStyle w:val="Textonotapie"/>
        <w:ind w:firstLine="708"/>
        <w:jc w:val="both"/>
        <w:rPr>
          <w:rFonts w:ascii="Verdana" w:hAnsi="Verdana" w:cs="Open Sans"/>
          <w:color w:val="000000"/>
          <w:sz w:val="18"/>
          <w:szCs w:val="18"/>
        </w:rPr>
      </w:pPr>
      <w:r>
        <w:rPr>
          <w:rStyle w:val="FootnoteCharacters"/>
        </w:rPr>
        <w:footnoteRef/>
      </w:r>
      <w:r w:rsidRPr="00560DDC">
        <w:rPr>
          <w:rFonts w:ascii="Verdana" w:hAnsi="Verdana"/>
          <w:color w:val="000000"/>
          <w:sz w:val="18"/>
          <w:szCs w:val="18"/>
        </w:rPr>
        <w:t xml:space="preserve"> “</w:t>
      </w:r>
      <w:r w:rsidRPr="00560DDC">
        <w:rPr>
          <w:rFonts w:ascii="Verdana" w:hAnsi="Verdana" w:cs="Open Sans"/>
          <w:color w:val="000000"/>
          <w:sz w:val="18"/>
          <w:szCs w:val="18"/>
        </w:rPr>
        <w:t xml:space="preserve">7o. &lt;Aparte tachado derogado por el artículo </w:t>
      </w:r>
      <w:hyperlink r:id="rId2" w:anchor="32" w:history="1">
        <w:r w:rsidRPr="00560DDC">
          <w:rPr>
            <w:rStyle w:val="Hipervnculo"/>
            <w:rFonts w:ascii="Verdana" w:hAnsi="Verdana" w:cs="Open Sans"/>
            <w:color w:val="000000"/>
            <w:sz w:val="18"/>
            <w:szCs w:val="18"/>
          </w:rPr>
          <w:t>32</w:t>
        </w:r>
      </w:hyperlink>
      <w:r w:rsidRPr="00560DDC">
        <w:rPr>
          <w:rFonts w:ascii="Verdana" w:hAnsi="Verdana" w:cs="Open Sans"/>
          <w:color w:val="000000"/>
          <w:sz w:val="18"/>
          <w:szCs w:val="18"/>
        </w:rPr>
        <w:t xml:space="preserve"> de la Ley 1150 de 2007&gt; De acuerdo con la naturaleza, objeto y cuantía del contrato, en los pliegos de condiciones </w:t>
      </w:r>
      <w:r w:rsidRPr="00560DDC">
        <w:rPr>
          <w:rStyle w:val="baj"/>
          <w:rFonts w:ascii="Verdana" w:hAnsi="Verdana" w:cs="Open Sans"/>
          <w:b/>
          <w:strike/>
          <w:color w:val="000000"/>
          <w:sz w:val="18"/>
          <w:szCs w:val="18"/>
        </w:rPr>
        <w:t>o términos de referencia</w:t>
      </w:r>
      <w:r w:rsidRPr="00560DDC">
        <w:rPr>
          <w:rFonts w:ascii="Verdana" w:hAnsi="Verdana" w:cs="Open Sans"/>
          <w:color w:val="000000"/>
          <w:sz w:val="18"/>
          <w:szCs w:val="18"/>
        </w:rPr>
        <w:t>, se señalará el plazo razonable dentro del cual la entidad deberá elaborar los estudios técnicos, económicos y jurídicos necesarios para la evaluación de las propuestas y para solicitar a los proponentes las aclaraciones y explicaciones que se estimen indispensables”.</w:t>
      </w:r>
    </w:p>
    <w:p w14:paraId="473E419C" w14:textId="77777777" w:rsidR="00A53CD6" w:rsidRDefault="00A53CD6" w:rsidP="00A53CD6">
      <w:pPr>
        <w:pStyle w:val="Textonotapie"/>
        <w:ind w:firstLine="708"/>
        <w:jc w:val="both"/>
        <w:rPr>
          <w:rFonts w:ascii="Verdana" w:hAnsi="Verdana"/>
          <w:color w:val="000000"/>
          <w:sz w:val="18"/>
          <w:szCs w:val="18"/>
          <w:lang w:val="es-ES_tradnl"/>
        </w:rPr>
      </w:pPr>
    </w:p>
    <w:p w14:paraId="3A67D2A4" w14:textId="77777777" w:rsidR="00A53CD6" w:rsidRDefault="00A53CD6" w:rsidP="00A53CD6">
      <w:pPr>
        <w:pStyle w:val="Textonotapie"/>
        <w:ind w:firstLine="708"/>
        <w:jc w:val="both"/>
        <w:rPr>
          <w:rFonts w:ascii="Verdana" w:hAnsi="Verdana"/>
          <w:color w:val="000000"/>
          <w:sz w:val="18"/>
          <w:szCs w:val="18"/>
          <w:lang w:val="es-ES_tradnl"/>
        </w:rPr>
      </w:pPr>
    </w:p>
  </w:footnote>
  <w:footnote w:id="12">
    <w:p w14:paraId="3C08B6AB" w14:textId="77777777" w:rsidR="00A53CD6" w:rsidRPr="00560DDC" w:rsidRDefault="00A53CD6" w:rsidP="00A53CD6">
      <w:pPr>
        <w:pStyle w:val="NormalWeb"/>
        <w:spacing w:beforeAutospacing="0" w:after="0" w:afterAutospacing="0"/>
        <w:ind w:firstLine="708"/>
        <w:jc w:val="both"/>
        <w:rPr>
          <w:rFonts w:ascii="Verdana" w:hAnsi="Verdana" w:cs="Open Sans"/>
          <w:color w:val="000000"/>
          <w:sz w:val="18"/>
          <w:szCs w:val="18"/>
        </w:rPr>
      </w:pPr>
      <w:r>
        <w:rPr>
          <w:rStyle w:val="FootnoteCharacters"/>
        </w:rPr>
        <w:footnoteRef/>
      </w:r>
      <w:r w:rsidRPr="00560DDC">
        <w:rPr>
          <w:rFonts w:ascii="Verdana" w:hAnsi="Verdana"/>
          <w:color w:val="000000"/>
          <w:sz w:val="18"/>
          <w:szCs w:val="18"/>
        </w:rPr>
        <w:t xml:space="preserve"> “</w:t>
      </w:r>
      <w:r w:rsidRPr="00560DDC">
        <w:rPr>
          <w:rFonts w:ascii="Verdana" w:hAnsi="Verdana" w:cs="Open Sans"/>
          <w:color w:val="000000"/>
          <w:sz w:val="18"/>
          <w:szCs w:val="18"/>
        </w:rPr>
        <w:t xml:space="preserve">9o. &lt;Apartes tachados derogados por el artículo </w:t>
      </w:r>
      <w:hyperlink r:id="rId3" w:anchor="32" w:history="1">
        <w:r w:rsidRPr="00560DDC">
          <w:rPr>
            <w:rStyle w:val="Hipervnculo"/>
            <w:rFonts w:ascii="Verdana" w:eastAsia="Aptos Display" w:hAnsi="Verdana" w:cs="Open Sans"/>
            <w:color w:val="000000"/>
            <w:sz w:val="18"/>
            <w:szCs w:val="18"/>
          </w:rPr>
          <w:t>32</w:t>
        </w:r>
      </w:hyperlink>
      <w:r w:rsidRPr="00560DDC">
        <w:rPr>
          <w:rFonts w:ascii="Verdana" w:hAnsi="Verdana" w:cs="Open Sans"/>
          <w:color w:val="000000"/>
          <w:sz w:val="18"/>
          <w:szCs w:val="18"/>
        </w:rPr>
        <w:t xml:space="preserve"> de la Ley 1150 de 2007&gt; Los plazos para efectuar la adjudicación y para la firma del contrato se señalarán en los pliegos de condiciones </w:t>
      </w:r>
      <w:r w:rsidRPr="00560DDC">
        <w:rPr>
          <w:rStyle w:val="baj"/>
          <w:rFonts w:ascii="Verdana" w:eastAsia="Aptos Display" w:hAnsi="Verdana" w:cs="Open Sans"/>
          <w:b/>
          <w:strike/>
          <w:color w:val="000000"/>
          <w:sz w:val="18"/>
          <w:szCs w:val="18"/>
        </w:rPr>
        <w:t>o términos de referencia</w:t>
      </w:r>
      <w:r w:rsidRPr="00560DDC">
        <w:rPr>
          <w:rFonts w:ascii="Verdana" w:hAnsi="Verdana" w:cs="Open Sans"/>
          <w:color w:val="000000"/>
          <w:sz w:val="18"/>
          <w:szCs w:val="18"/>
        </w:rPr>
        <w:t>, teniendo en cuenta su naturaleza, objeto y cuantía.</w:t>
      </w:r>
    </w:p>
    <w:p w14:paraId="355496D6" w14:textId="77777777" w:rsidR="00A53CD6" w:rsidRPr="00560DDC" w:rsidRDefault="00A53CD6" w:rsidP="00A53CD6">
      <w:pPr>
        <w:pStyle w:val="NormalWeb"/>
        <w:spacing w:beforeAutospacing="0" w:after="0" w:afterAutospacing="0"/>
        <w:ind w:firstLine="708"/>
        <w:jc w:val="both"/>
        <w:rPr>
          <w:rFonts w:ascii="Verdana" w:hAnsi="Verdana" w:cs="Open Sans"/>
          <w:color w:val="000000"/>
          <w:sz w:val="18"/>
          <w:szCs w:val="18"/>
        </w:rPr>
      </w:pPr>
    </w:p>
    <w:p w14:paraId="092B6BFC" w14:textId="77777777" w:rsidR="00A53CD6" w:rsidRPr="00560DDC" w:rsidRDefault="00A53CD6" w:rsidP="00A53CD6">
      <w:pPr>
        <w:pStyle w:val="NormalWeb"/>
        <w:spacing w:beforeAutospacing="0" w:after="0" w:afterAutospacing="0"/>
        <w:ind w:firstLine="708"/>
        <w:jc w:val="both"/>
        <w:rPr>
          <w:rFonts w:ascii="Verdana" w:hAnsi="Verdana" w:cs="Open Sans"/>
          <w:color w:val="000000"/>
          <w:sz w:val="18"/>
          <w:szCs w:val="18"/>
        </w:rPr>
      </w:pPr>
      <w:r w:rsidRPr="00560DDC">
        <w:rPr>
          <w:rFonts w:ascii="Verdana" w:hAnsi="Verdana" w:cs="Open Sans"/>
          <w:color w:val="000000"/>
          <w:sz w:val="18"/>
          <w:szCs w:val="18"/>
        </w:rPr>
        <w:t>El jefe o representante de la entidad podrá prorrogar dichos plazos antes de su vencimiento y por un término total no mayor a la mitad del inicialmente fijado, siempre que las necesidades de la administración así lo exijan”.</w:t>
      </w:r>
    </w:p>
    <w:p w14:paraId="61DA46A9" w14:textId="77777777" w:rsidR="00A53CD6" w:rsidRPr="00560DDC" w:rsidRDefault="00A53CD6" w:rsidP="00A53CD6">
      <w:pPr>
        <w:pStyle w:val="Textonotapie"/>
        <w:jc w:val="both"/>
        <w:rPr>
          <w:rFonts w:ascii="Verdana" w:hAnsi="Verdana"/>
          <w:color w:val="000000"/>
          <w:sz w:val="18"/>
          <w:szCs w:val="18"/>
          <w:lang w:val="es-ES_tradnl"/>
        </w:rPr>
      </w:pPr>
    </w:p>
  </w:footnote>
  <w:footnote w:id="13">
    <w:p w14:paraId="0DD5B05E" w14:textId="77777777" w:rsidR="00A53CD6" w:rsidRPr="00560DDC" w:rsidRDefault="00A53CD6" w:rsidP="00A53CD6">
      <w:pPr>
        <w:pStyle w:val="Textonotapie"/>
        <w:ind w:firstLine="708"/>
        <w:jc w:val="both"/>
        <w:rPr>
          <w:rFonts w:ascii="Verdana" w:hAnsi="Verdana" w:cs="Open Sans"/>
          <w:color w:val="000000"/>
          <w:sz w:val="18"/>
          <w:szCs w:val="18"/>
        </w:rPr>
      </w:pPr>
      <w:r>
        <w:rPr>
          <w:rStyle w:val="FootnoteCharacters"/>
        </w:rPr>
        <w:footnoteRef/>
      </w:r>
      <w:r w:rsidRPr="00560DDC">
        <w:rPr>
          <w:rFonts w:ascii="Verdana" w:hAnsi="Verdana"/>
          <w:color w:val="000000"/>
          <w:sz w:val="18"/>
          <w:szCs w:val="18"/>
        </w:rPr>
        <w:t xml:space="preserve"> “</w:t>
      </w:r>
      <w:r w:rsidRPr="00560DDC">
        <w:rPr>
          <w:rFonts w:ascii="Verdana" w:hAnsi="Verdana" w:cs="Open Sans"/>
          <w:color w:val="000000"/>
          <w:sz w:val="18"/>
          <w:szCs w:val="18"/>
        </w:rPr>
        <w:t xml:space="preserve">8o. &lt;Aparte tachado derogado por el artículo </w:t>
      </w:r>
      <w:hyperlink r:id="rId4" w:anchor="32" w:history="1">
        <w:r w:rsidRPr="00560DDC">
          <w:rPr>
            <w:rStyle w:val="Hipervnculo"/>
            <w:rFonts w:ascii="Verdana" w:hAnsi="Verdana" w:cs="Open Sans"/>
            <w:color w:val="000000"/>
            <w:sz w:val="18"/>
            <w:szCs w:val="18"/>
          </w:rPr>
          <w:t>32</w:t>
        </w:r>
      </w:hyperlink>
      <w:r w:rsidRPr="00560DDC">
        <w:rPr>
          <w:rFonts w:ascii="Verdana" w:hAnsi="Verdana" w:cs="Open Sans"/>
          <w:color w:val="000000"/>
          <w:sz w:val="18"/>
          <w:szCs w:val="18"/>
        </w:rPr>
        <w:t xml:space="preserve"> de la Ley 1150 de 2007&gt; Adoptarán las medidas necesarias para mantener durante el desarrollo y ejecución del contrato las condiciones técnicas, económicas y financieras </w:t>
      </w:r>
      <w:r w:rsidRPr="00560DDC">
        <w:rPr>
          <w:rStyle w:val="iaj"/>
          <w:rFonts w:ascii="Verdana" w:hAnsi="Verdana" w:cs="Open Sans"/>
          <w:i/>
          <w:color w:val="000000"/>
          <w:sz w:val="18"/>
          <w:szCs w:val="18"/>
        </w:rPr>
        <w:t xml:space="preserve">existentes al momento de proponer en los casos en que se hubiere realizado licitación </w:t>
      </w:r>
      <w:r w:rsidRPr="00560DDC">
        <w:rPr>
          <w:rStyle w:val="iaj"/>
          <w:rFonts w:ascii="Verdana" w:hAnsi="Verdana" w:cs="Arial"/>
          <w:b/>
          <w:i/>
          <w:strike/>
          <w:color w:val="000000"/>
          <w:sz w:val="18"/>
          <w:szCs w:val="18"/>
        </w:rPr>
        <w:t>o concurso</w:t>
      </w:r>
      <w:r w:rsidRPr="00560DDC">
        <w:rPr>
          <w:rStyle w:val="iaj"/>
          <w:rFonts w:ascii="Verdana" w:hAnsi="Verdana" w:cs="Open Sans"/>
          <w:i/>
          <w:color w:val="000000"/>
          <w:sz w:val="18"/>
          <w:szCs w:val="18"/>
        </w:rPr>
        <w:t>, o de contratar en los casos de contratación directa</w:t>
      </w:r>
      <w:r w:rsidRPr="00560DDC">
        <w:rPr>
          <w:rFonts w:ascii="Verdana" w:hAnsi="Verdana" w:cs="Open Sans"/>
          <w:color w:val="000000"/>
          <w:sz w:val="18"/>
          <w:szCs w:val="18"/>
        </w:rPr>
        <w:t xml:space="preserve">. Para ello utilizarán los mecanismos de ajuste y revisión de precios, acudirán a los procedimientos de revisión y corrección de tales mecanismos si fracasan los supuestos o hipótesis para la ejecución </w:t>
      </w:r>
      <w:r w:rsidRPr="00560DDC">
        <w:rPr>
          <w:rFonts w:ascii="Verdana" w:hAnsi="Verdana" w:cs="Open Sans"/>
          <w:color w:val="000000"/>
          <w:sz w:val="18"/>
          <w:szCs w:val="18"/>
          <w:u w:val="single"/>
        </w:rPr>
        <w:t>y pactarán intereses moratorios”</w:t>
      </w:r>
      <w:r w:rsidRPr="00560DDC">
        <w:rPr>
          <w:rFonts w:ascii="Verdana" w:hAnsi="Verdana" w:cs="Open Sans"/>
          <w:color w:val="000000"/>
          <w:sz w:val="18"/>
          <w:szCs w:val="18"/>
        </w:rPr>
        <w:t>.</w:t>
      </w:r>
    </w:p>
    <w:p w14:paraId="59DBB9FF" w14:textId="77777777" w:rsidR="00A53CD6" w:rsidRDefault="00A53CD6" w:rsidP="00A53CD6">
      <w:pPr>
        <w:pStyle w:val="Textonotapie"/>
        <w:ind w:firstLine="708"/>
        <w:jc w:val="both"/>
        <w:rPr>
          <w:rFonts w:ascii="Verdana" w:hAnsi="Verdana"/>
          <w:color w:val="000000"/>
          <w:sz w:val="18"/>
          <w:szCs w:val="18"/>
          <w:lang w:val="es-ES_tradnl"/>
        </w:rPr>
      </w:pPr>
    </w:p>
    <w:p w14:paraId="5D7B6026" w14:textId="77777777" w:rsidR="00A53CD6" w:rsidRDefault="00A53CD6" w:rsidP="00A53CD6">
      <w:pPr>
        <w:pStyle w:val="Textonotapie"/>
        <w:ind w:firstLine="708"/>
        <w:jc w:val="both"/>
        <w:rPr>
          <w:rFonts w:ascii="Verdana" w:hAnsi="Verdana"/>
          <w:color w:val="000000"/>
          <w:sz w:val="18"/>
          <w:szCs w:val="18"/>
          <w:lang w:val="es-ES_tradnl"/>
        </w:rPr>
      </w:pPr>
    </w:p>
  </w:footnote>
  <w:footnote w:id="14">
    <w:p w14:paraId="61247CF3" w14:textId="77777777" w:rsidR="00A53CD6" w:rsidRPr="00560DDC" w:rsidRDefault="00A53CD6" w:rsidP="00A53CD6">
      <w:pPr>
        <w:pStyle w:val="NormalWeb"/>
        <w:spacing w:beforeAutospacing="0" w:after="0" w:afterAutospacing="0"/>
        <w:ind w:firstLine="708"/>
        <w:jc w:val="both"/>
        <w:rPr>
          <w:rFonts w:ascii="Verdana" w:hAnsi="Verdana" w:cs="Open Sans"/>
          <w:color w:val="000000"/>
          <w:sz w:val="18"/>
          <w:szCs w:val="18"/>
        </w:rPr>
      </w:pPr>
      <w:r>
        <w:rPr>
          <w:rStyle w:val="FootnoteCharacters"/>
        </w:rPr>
        <w:footnoteRef/>
      </w:r>
      <w:r w:rsidRPr="00560DDC">
        <w:rPr>
          <w:rFonts w:ascii="Verdana" w:hAnsi="Verdana"/>
          <w:color w:val="000000"/>
          <w:sz w:val="18"/>
          <w:szCs w:val="18"/>
        </w:rPr>
        <w:t xml:space="preserve"> “A</w:t>
      </w:r>
      <w:r w:rsidRPr="00560DDC">
        <w:rPr>
          <w:rFonts w:ascii="Verdana" w:hAnsi="Verdana" w:cs="Open Sans"/>
          <w:b/>
          <w:color w:val="000000"/>
          <w:sz w:val="18"/>
          <w:szCs w:val="18"/>
        </w:rPr>
        <w:t>RTÍCULO 27. DE LA ECUACIÓN CONTRACTUAL.</w:t>
      </w:r>
      <w:r w:rsidRPr="00560DDC">
        <w:rPr>
          <w:rFonts w:ascii="Verdana" w:hAnsi="Verdana" w:cs="Open Sans"/>
          <w:color w:val="000000"/>
          <w:sz w:val="18"/>
          <w:szCs w:val="18"/>
        </w:rPr>
        <w:t xml:space="preserve"> En los contratos estatales se mantendrá la igualdad o equivalencia entre derechos y obligaciones </w:t>
      </w:r>
      <w:r w:rsidRPr="00560DDC">
        <w:rPr>
          <w:rFonts w:ascii="Verdana" w:hAnsi="Verdana" w:cs="Open Sans"/>
          <w:color w:val="000000"/>
          <w:sz w:val="18"/>
          <w:szCs w:val="18"/>
          <w:u w:val="single"/>
        </w:rPr>
        <w:t>surgidos al momento de proponer o de contratar</w:t>
      </w:r>
      <w:r w:rsidRPr="00560DDC">
        <w:rPr>
          <w:rFonts w:ascii="Verdana" w:hAnsi="Verdana" w:cs="Open Sans"/>
          <w:color w:val="000000"/>
          <w:sz w:val="18"/>
          <w:szCs w:val="18"/>
        </w:rPr>
        <w:t>, según el caso. Si dicha igualdad o equivalencia se rompe por causas no imputables a quien resulte afectado, las partes adoptarán en el menor tiempo posible las medidas necesarias para su restablecimiento.</w:t>
      </w:r>
    </w:p>
    <w:p w14:paraId="4FDA6CBD" w14:textId="77777777" w:rsidR="00A53CD6" w:rsidRPr="00560DDC" w:rsidRDefault="00A53CD6" w:rsidP="00A53CD6">
      <w:pPr>
        <w:pStyle w:val="NormalWeb"/>
        <w:spacing w:beforeAutospacing="0" w:after="0" w:afterAutospacing="0"/>
        <w:ind w:firstLine="708"/>
        <w:jc w:val="both"/>
        <w:rPr>
          <w:rFonts w:ascii="Verdana" w:hAnsi="Verdana" w:cs="Open Sans"/>
          <w:color w:val="000000"/>
          <w:sz w:val="18"/>
          <w:szCs w:val="18"/>
        </w:rPr>
      </w:pPr>
    </w:p>
    <w:p w14:paraId="098A6F2C" w14:textId="77777777" w:rsidR="00A53CD6" w:rsidRPr="00560DDC" w:rsidRDefault="00A53CD6" w:rsidP="00A53CD6">
      <w:pPr>
        <w:pStyle w:val="NormalWeb"/>
        <w:spacing w:beforeAutospacing="0" w:after="0" w:afterAutospacing="0"/>
        <w:ind w:firstLine="708"/>
        <w:jc w:val="both"/>
        <w:rPr>
          <w:rFonts w:ascii="Verdana" w:hAnsi="Verdana" w:cs="Open Sans"/>
          <w:color w:val="000000"/>
          <w:sz w:val="18"/>
          <w:szCs w:val="18"/>
        </w:rPr>
      </w:pPr>
      <w:r w:rsidRPr="00560DDC">
        <w:rPr>
          <w:rFonts w:ascii="Verdana" w:hAnsi="Verdana" w:cs="Open Sans"/>
          <w:color w:val="000000"/>
          <w:sz w:val="18"/>
          <w:szCs w:val="18"/>
        </w:rPr>
        <w:t xml:space="preserve">Para tales efectos, las partes suscribirán los acuerdos y pactos necesarios sobre cuantía, condiciones y forma de pago de gastos adicionales, </w:t>
      </w:r>
      <w:r w:rsidRPr="00560DDC">
        <w:rPr>
          <w:rFonts w:ascii="Verdana" w:hAnsi="Verdana" w:cs="Open Sans"/>
          <w:color w:val="000000"/>
          <w:sz w:val="18"/>
          <w:szCs w:val="18"/>
          <w:u w:val="single"/>
        </w:rPr>
        <w:t>reconocimiento de costos financieros e intereses</w:t>
      </w:r>
      <w:r w:rsidRPr="00560DDC">
        <w:rPr>
          <w:rFonts w:ascii="Verdana" w:hAnsi="Verdana" w:cs="Open Sans"/>
          <w:color w:val="000000"/>
          <w:sz w:val="18"/>
          <w:szCs w:val="18"/>
        </w:rPr>
        <w:t xml:space="preserve">, si a ello hubiere lugar, ajustando la cancelación a las disponibilidades de la apropiación de que trata el numeral 14 del artículo </w:t>
      </w:r>
      <w:hyperlink r:id="rId5" w:anchor="25" w:history="1">
        <w:r w:rsidRPr="00560DDC">
          <w:rPr>
            <w:rStyle w:val="Hipervnculo"/>
            <w:rFonts w:ascii="Verdana" w:eastAsia="Aptos Display" w:hAnsi="Verdana" w:cs="Open Sans"/>
            <w:color w:val="000000"/>
            <w:sz w:val="18"/>
            <w:szCs w:val="18"/>
          </w:rPr>
          <w:t>25</w:t>
        </w:r>
      </w:hyperlink>
      <w:r w:rsidRPr="00560DDC">
        <w:rPr>
          <w:rFonts w:ascii="Verdana" w:hAnsi="Verdana" w:cs="Open Sans"/>
          <w:color w:val="000000"/>
          <w:sz w:val="18"/>
          <w:szCs w:val="18"/>
        </w:rPr>
        <w:t>. En todo caso, las entidades deberán adoptar las medidas necesarias que aseguren la efectividad de estos pagos y reconocimientos al contratista en la misma o en la siguiente vigencia de que se trate”.</w:t>
      </w:r>
    </w:p>
    <w:p w14:paraId="1ED79CAA" w14:textId="77777777" w:rsidR="00A53CD6" w:rsidRPr="00560DDC" w:rsidRDefault="00A53CD6" w:rsidP="00A53CD6">
      <w:pPr>
        <w:spacing w:after="0" w:line="240" w:lineRule="auto"/>
        <w:jc w:val="both"/>
        <w:rPr>
          <w:rFonts w:ascii="Verdana" w:hAnsi="Verdana" w:cs="Times New Roman"/>
          <w:color w:val="000000"/>
          <w:sz w:val="18"/>
          <w:szCs w:val="18"/>
        </w:rPr>
      </w:pPr>
    </w:p>
    <w:p w14:paraId="50A1E9A4" w14:textId="77777777" w:rsidR="00A53CD6" w:rsidRPr="00560DDC" w:rsidRDefault="00A53CD6" w:rsidP="00A53CD6">
      <w:pPr>
        <w:pStyle w:val="Textonotapie"/>
        <w:jc w:val="both"/>
        <w:rPr>
          <w:rFonts w:ascii="Verdana" w:hAnsi="Verdana"/>
          <w:color w:val="000000"/>
          <w:sz w:val="18"/>
          <w:szCs w:val="18"/>
          <w:lang w:val="es-ES_tradnl"/>
        </w:rPr>
      </w:pPr>
    </w:p>
  </w:footnote>
  <w:footnote w:id="15">
    <w:p w14:paraId="6E8D2825" w14:textId="77777777" w:rsidR="00A53CD6" w:rsidRPr="001B73D8" w:rsidRDefault="00A53CD6" w:rsidP="00A53CD6">
      <w:pPr>
        <w:pStyle w:val="Textonotapie"/>
        <w:ind w:firstLine="708"/>
        <w:jc w:val="both"/>
        <w:rPr>
          <w:rFonts w:ascii="Verdana" w:hAnsi="Verdana"/>
          <w:sz w:val="18"/>
          <w:szCs w:val="18"/>
          <w:lang w:val="es-ES_tradnl"/>
        </w:rPr>
      </w:pPr>
      <w:r>
        <w:rPr>
          <w:rStyle w:val="FootnoteCharacters"/>
        </w:rPr>
        <w:footnoteRef/>
      </w:r>
      <w:r w:rsidRPr="001B73D8">
        <w:rPr>
          <w:rFonts w:ascii="Verdana" w:hAnsi="Verdana"/>
          <w:sz w:val="18"/>
          <w:szCs w:val="18"/>
        </w:rPr>
        <w:t xml:space="preserve"> Para el caso de la licitación pública los documentos disponen: “En la fecha establecida en el Anexo 2 - Cronograma, la Entidad publicará el informe de evaluación de los documentos e información de los requisitos habilitantes y los documentos a los que se les asigne puntaje, diferentes a la oferta económica, contenidos en el Sobre 1”.</w:t>
      </w:r>
    </w:p>
  </w:footnote>
  <w:footnote w:id="16">
    <w:p w14:paraId="3849FF0A" w14:textId="77777777" w:rsidR="00A53CD6" w:rsidRDefault="00A53CD6" w:rsidP="00A53CD6">
      <w:pPr>
        <w:pStyle w:val="Textonotapie"/>
        <w:ind w:firstLine="708"/>
        <w:jc w:val="both"/>
        <w:rPr>
          <w:rFonts w:ascii="Verdana" w:hAnsi="Verdana" w:cs="Arial"/>
          <w:sz w:val="18"/>
          <w:szCs w:val="18"/>
        </w:rPr>
      </w:pPr>
      <w:r>
        <w:rPr>
          <w:rStyle w:val="FootnoteCharacters"/>
        </w:rPr>
        <w:footnoteRef/>
      </w:r>
      <w:r w:rsidRPr="001B73D8">
        <w:rPr>
          <w:rFonts w:ascii="Verdana" w:hAnsi="Verdana" w:cs="Arial"/>
          <w:sz w:val="18"/>
          <w:szCs w:val="18"/>
        </w:rPr>
        <w:t xml:space="preserve"> Agencia Nacional de Contratación Pública – Colombia Compra Eficiente. Concepto C-1478 de 2025: “todo lo que no afecte la asignación de puntaje puede subsanarse”; el límite temporal “es hasta el término de traslado del informe de evaluación que corresponda a cada modalidad de selección”, y “los proponentes no podrán acreditar circunstancias ocurridas con posterioridad al cierre del proceso”.</w:t>
      </w:r>
    </w:p>
    <w:p w14:paraId="09C9F62E" w14:textId="77777777" w:rsidR="00A53CD6" w:rsidRPr="001B73D8" w:rsidRDefault="00A53CD6" w:rsidP="00A53CD6">
      <w:pPr>
        <w:pStyle w:val="Textonotapie"/>
        <w:ind w:firstLine="708"/>
        <w:jc w:val="both"/>
        <w:rPr>
          <w:rFonts w:ascii="Verdana" w:hAnsi="Verdana" w:cs="Arial"/>
          <w:sz w:val="18"/>
          <w:szCs w:val="18"/>
        </w:rPr>
      </w:pPr>
    </w:p>
  </w:footnote>
  <w:footnote w:id="17">
    <w:p w14:paraId="23F60A7F" w14:textId="77777777" w:rsidR="00A53CD6" w:rsidRDefault="00A53CD6" w:rsidP="00A53CD6">
      <w:pPr>
        <w:pStyle w:val="Textonotapie"/>
        <w:ind w:firstLine="708"/>
        <w:jc w:val="both"/>
        <w:rPr>
          <w:rFonts w:ascii="Verdana" w:hAnsi="Verdana" w:cs="Arial"/>
          <w:sz w:val="18"/>
          <w:szCs w:val="18"/>
        </w:rPr>
      </w:pPr>
      <w:r>
        <w:rPr>
          <w:rStyle w:val="FootnoteCharacters"/>
        </w:rPr>
        <w:footnoteRef/>
      </w:r>
      <w:r w:rsidRPr="001B73D8">
        <w:rPr>
          <w:rFonts w:ascii="Verdana" w:hAnsi="Verdana" w:cs="Arial"/>
          <w:sz w:val="18"/>
          <w:szCs w:val="18"/>
        </w:rPr>
        <w:t xml:space="preserve"> Agencia Nacional de Contratación Pública – Colombia Compra Eficiente. Conceptos C-1066 de 2025 y C-354 de 2024.</w:t>
      </w:r>
    </w:p>
    <w:p w14:paraId="30FD5E10" w14:textId="77777777" w:rsidR="00A53CD6" w:rsidRPr="001B73D8" w:rsidRDefault="00A53CD6" w:rsidP="00A53CD6">
      <w:pPr>
        <w:pStyle w:val="Textonotapie"/>
        <w:ind w:firstLine="708"/>
        <w:jc w:val="both"/>
        <w:rPr>
          <w:rFonts w:ascii="Verdana" w:hAnsi="Verdana" w:cs="Arial"/>
          <w:sz w:val="18"/>
          <w:szCs w:val="18"/>
        </w:rPr>
      </w:pPr>
    </w:p>
  </w:footnote>
  <w:footnote w:id="18">
    <w:p w14:paraId="030E60EF" w14:textId="77777777" w:rsidR="00A53CD6" w:rsidRPr="001B73D8" w:rsidRDefault="00A53CD6" w:rsidP="00A53CD6">
      <w:pPr>
        <w:pStyle w:val="Textonotapie"/>
        <w:ind w:firstLine="708"/>
        <w:jc w:val="both"/>
        <w:rPr>
          <w:rFonts w:ascii="Verdana" w:hAnsi="Verdana" w:cs="Arial"/>
          <w:sz w:val="18"/>
          <w:szCs w:val="18"/>
        </w:rPr>
      </w:pPr>
      <w:r>
        <w:rPr>
          <w:rStyle w:val="FootnoteCharacters"/>
        </w:rPr>
        <w:footnoteRef/>
      </w:r>
      <w:r w:rsidRPr="001B73D8">
        <w:rPr>
          <w:rFonts w:ascii="Verdana" w:hAnsi="Verdana" w:cs="Arial"/>
          <w:sz w:val="18"/>
          <w:szCs w:val="18"/>
        </w:rPr>
        <w:t xml:space="preserve"> Agencia Nacional de Contratación Pública – Colombia Compra Eficiente. Conceptos C-1066 de 2025 y C-581 de 2026.</w:t>
      </w:r>
    </w:p>
  </w:footnote>
  <w:footnote w:id="19">
    <w:p w14:paraId="59A9717C" w14:textId="77777777" w:rsidR="00A53CD6" w:rsidRPr="001B73D8" w:rsidRDefault="00A53CD6" w:rsidP="00A53CD6">
      <w:pPr>
        <w:pStyle w:val="Textonotapie"/>
        <w:ind w:firstLine="708"/>
        <w:jc w:val="both"/>
        <w:rPr>
          <w:rFonts w:ascii="Verdana" w:hAnsi="Verdana"/>
          <w:sz w:val="18"/>
          <w:szCs w:val="18"/>
        </w:rPr>
      </w:pPr>
      <w:r>
        <w:rPr>
          <w:rStyle w:val="FootnoteCharacters"/>
        </w:rPr>
        <w:footnoteRef/>
      </w:r>
      <w:r w:rsidRPr="001B73D8">
        <w:rPr>
          <w:rFonts w:ascii="Verdana" w:hAnsi="Verdana"/>
          <w:sz w:val="18"/>
          <w:szCs w:val="18"/>
        </w:rPr>
        <w:t xml:space="preserve"> Ley 842 de 2003: “Artículo 17. Responsabilidad de las personas jurídicas y de sus representantes. La sociedad, firma, empresa u organización profesional, cuyas actividades comprendan, en forma exclusiva o parcial, alguna o algunas de aquellas que correspondan al ejercicio de la ingeniería, de sus profesiones afines o de sus profesiones auxiliares, está obligada a incluir en su nómina permanente, como mínimo, a un profesional matriculado en la carrera correspondiente al objeto social de la respectiva persona jurídica. Parágrafo. Al representante legal de la persona jurídica que omita el cumplimiento de lo dispuesto en el presente artículo se le aplicarán las sanciones previstas para el ejercicio ilegal de profesión y oficio reglamentado, mediante la aplicación del procedimiento establecido para las contravenciones especiales de policía o aquel que lo sustituya”.</w:t>
      </w:r>
    </w:p>
  </w:footnote>
  <w:footnote w:id="20">
    <w:p w14:paraId="547398E2" w14:textId="77777777" w:rsidR="00A53CD6" w:rsidRDefault="00A53CD6" w:rsidP="00A53CD6">
      <w:pPr>
        <w:pStyle w:val="Textonotapie"/>
        <w:ind w:firstLine="708"/>
        <w:jc w:val="both"/>
        <w:rPr>
          <w:rFonts w:ascii="Verdana" w:hAnsi="Verdana"/>
          <w:sz w:val="18"/>
          <w:szCs w:val="18"/>
        </w:rPr>
      </w:pPr>
      <w:r>
        <w:rPr>
          <w:rStyle w:val="FootnoteCharacters"/>
        </w:rPr>
        <w:footnoteRef/>
      </w:r>
      <w:r w:rsidRPr="001B73D8">
        <w:rPr>
          <w:rFonts w:ascii="Verdana" w:hAnsi="Verdana"/>
          <w:sz w:val="18"/>
          <w:szCs w:val="18"/>
        </w:rPr>
        <w:t xml:space="preserve"> Agencia Nacional de Contratación Pública – Colombia Compra Eficiente. Concepto C-1344 del 5 de octubre de 2026: “No obstante, esta posibilidad parte de la facultad que tiene la entidad estatal para configurar los requisitos habilitantes de su proceso, facultad que no existe en los procesos regidos por documentos tipo, pues, como se indicó, en estos los requisitos habilitantes se encuentran definidos de manera imperativa en el pliego de condiciones tipo y la entidad no puede adicionarlos ni modificarlos”. En el mismo concepto se recordó que “Todas las resoluciones expedidas por la Agencia Nacional de Contratación Pública – Colombia Compra Eficiente, mediante las cuales se han adoptado los documentos tipo, consagran la regla de la inalterabilidad”.</w:t>
      </w:r>
    </w:p>
    <w:p w14:paraId="71BD0A16" w14:textId="77777777" w:rsidR="00A53CD6" w:rsidRPr="001B73D8" w:rsidRDefault="00A53CD6" w:rsidP="00A53CD6">
      <w:pPr>
        <w:pStyle w:val="Textonotapie"/>
        <w:ind w:firstLine="708"/>
        <w:jc w:val="both"/>
        <w:rPr>
          <w:rFonts w:ascii="Verdana" w:hAnsi="Verdana"/>
          <w:sz w:val="18"/>
          <w:szCs w:val="18"/>
        </w:rPr>
      </w:pPr>
    </w:p>
  </w:footnote>
  <w:footnote w:id="21">
    <w:p w14:paraId="7C38F516" w14:textId="77777777" w:rsidR="00A53CD6" w:rsidRPr="005C5D7F" w:rsidRDefault="00A53CD6" w:rsidP="00A53CD6">
      <w:pPr>
        <w:pStyle w:val="Textonotapie"/>
        <w:ind w:firstLine="708"/>
        <w:jc w:val="both"/>
        <w:rPr>
          <w:rFonts w:ascii="Verdana" w:hAnsi="Verdana"/>
          <w:sz w:val="18"/>
          <w:szCs w:val="18"/>
        </w:rPr>
      </w:pPr>
      <w:r>
        <w:rPr>
          <w:rStyle w:val="FootnoteCharacters"/>
        </w:rPr>
        <w:footnoteRef/>
      </w:r>
      <w:r w:rsidRPr="005C5D7F">
        <w:rPr>
          <w:rFonts w:ascii="Verdana" w:hAnsi="Verdana"/>
          <w:sz w:val="18"/>
          <w:szCs w:val="18"/>
        </w:rPr>
        <w:t xml:space="preserve"> </w:t>
      </w:r>
      <w:r w:rsidRPr="005C5D7F">
        <w:rPr>
          <w:rFonts w:ascii="Verdana" w:hAnsi="Verdana"/>
          <w:i/>
          <w:iCs/>
          <w:sz w:val="18"/>
          <w:szCs w:val="18"/>
        </w:rPr>
        <w:t>Ibidem:</w:t>
      </w:r>
      <w:r w:rsidRPr="005C5D7F">
        <w:rPr>
          <w:rFonts w:ascii="Verdana" w:hAnsi="Verdana"/>
          <w:sz w:val="18"/>
          <w:szCs w:val="18"/>
        </w:rPr>
        <w:t xml:space="preserve"> “la obligación contenida en el artículo 17 de la Ley 842 de 2003 no se estableció como un requisito habilitante en los documentos tipo de licitación de obra pública adoptados por esta Agencia, y tampoco se exigió la acreditación de este requisito durante el procedimiento de selección en ningún lugar de los documentos tipo señalados. Sin embargo, ello no quiere decir que esta obligación desaparezca o no se deba cumplir, pues esta aplica por ministerio de la ley, solo que no se vincula su contenido a alguna consecuencia jurídica frente a los procedimientos de selección que se rijan por los documentos tipo, sin perjuicio de las eventuales sanciones frente al representante legal de la sociedad que no acate su contenido”.</w:t>
      </w:r>
    </w:p>
    <w:p w14:paraId="301F3A04" w14:textId="77777777" w:rsidR="00A53CD6" w:rsidRPr="00333485" w:rsidRDefault="00A53CD6" w:rsidP="00A53CD6">
      <w:pPr>
        <w:pStyle w:val="Textonotapie"/>
        <w:ind w:firstLine="708"/>
        <w:jc w:val="both"/>
        <w:rPr>
          <w:rFonts w:ascii="Verdana" w:hAnsi="Verdana"/>
          <w:sz w:val="18"/>
          <w:szCs w:val="18"/>
          <w:lang w:val="es-ES_tradnl"/>
        </w:rPr>
      </w:pPr>
    </w:p>
  </w:footnote>
  <w:footnote w:id="22">
    <w:p w14:paraId="39016A05" w14:textId="77777777" w:rsidR="00A53CD6" w:rsidRDefault="00A53CD6" w:rsidP="00A53CD6">
      <w:pPr>
        <w:pStyle w:val="Textonotapie"/>
        <w:ind w:firstLine="708"/>
        <w:jc w:val="both"/>
        <w:rPr>
          <w:rFonts w:ascii="Verdana" w:hAnsi="Verdana" w:cs="Arial"/>
          <w:sz w:val="18"/>
          <w:szCs w:val="18"/>
        </w:rPr>
      </w:pPr>
      <w:r>
        <w:rPr>
          <w:rStyle w:val="FootnoteCharacters"/>
        </w:rPr>
        <w:footnoteRef/>
      </w:r>
      <w:r w:rsidRPr="001B73D8">
        <w:rPr>
          <w:rFonts w:ascii="Verdana" w:hAnsi="Verdana" w:cs="Arial"/>
          <w:sz w:val="18"/>
          <w:szCs w:val="18"/>
        </w:rPr>
        <w:t xml:space="preserve"> Agencia Nacional de Contratación Pública – Colombia Compra Eficiente. Concepto C-900 de 2026.</w:t>
      </w:r>
    </w:p>
    <w:p w14:paraId="064D0EFF" w14:textId="77777777" w:rsidR="00A53CD6" w:rsidRPr="001B73D8" w:rsidRDefault="00A53CD6" w:rsidP="00A53CD6">
      <w:pPr>
        <w:pStyle w:val="Textonotapie"/>
        <w:ind w:firstLine="708"/>
        <w:jc w:val="both"/>
        <w:rPr>
          <w:rFonts w:ascii="Verdana" w:hAnsi="Verdana" w:cs="Arial"/>
          <w:sz w:val="18"/>
          <w:szCs w:val="18"/>
        </w:rPr>
      </w:pPr>
    </w:p>
  </w:footnote>
  <w:footnote w:id="23">
    <w:p w14:paraId="5545038F" w14:textId="77777777" w:rsidR="00A53CD6" w:rsidRPr="001B73D8" w:rsidRDefault="00A53CD6" w:rsidP="00A53CD6">
      <w:pPr>
        <w:pStyle w:val="Textonotapie"/>
        <w:ind w:firstLine="708"/>
        <w:jc w:val="both"/>
        <w:rPr>
          <w:rFonts w:ascii="Verdana" w:hAnsi="Verdana" w:cs="Arial"/>
          <w:sz w:val="18"/>
          <w:szCs w:val="18"/>
        </w:rPr>
      </w:pPr>
      <w:r>
        <w:rPr>
          <w:rStyle w:val="FootnoteCharacters"/>
        </w:rPr>
        <w:footnoteRef/>
      </w:r>
      <w:r w:rsidRPr="001B73D8">
        <w:rPr>
          <w:rFonts w:ascii="Verdana" w:hAnsi="Verdana" w:cs="Arial"/>
          <w:sz w:val="18"/>
          <w:szCs w:val="18"/>
        </w:rPr>
        <w:t xml:space="preserve"> Agencia Nacional de Contratación Pública – Colombia Compra Eficiente. Concepto C-902 de 2026.</w:t>
      </w:r>
    </w:p>
  </w:footnote>
  <w:footnote w:id="24">
    <w:p w14:paraId="53A66442" w14:textId="77777777" w:rsidR="00A53CD6" w:rsidRPr="00333485" w:rsidRDefault="00A53CD6" w:rsidP="00A53CD6">
      <w:pPr>
        <w:pStyle w:val="Textonotapie"/>
        <w:ind w:firstLine="708"/>
        <w:jc w:val="both"/>
        <w:rPr>
          <w:rFonts w:ascii="Verdana" w:hAnsi="Verdana"/>
          <w:sz w:val="18"/>
          <w:szCs w:val="18"/>
          <w:lang w:val="es-ES_tradnl"/>
        </w:rPr>
      </w:pPr>
      <w:r>
        <w:rPr>
          <w:rStyle w:val="FootnoteCharacters"/>
        </w:rPr>
        <w:footnoteRef/>
      </w:r>
      <w:r w:rsidRPr="00333485">
        <w:rPr>
          <w:rFonts w:ascii="Verdana" w:hAnsi="Verdana"/>
          <w:sz w:val="18"/>
          <w:szCs w:val="18"/>
        </w:rPr>
        <w:t xml:space="preserve"> Concepto C-1340 del 5 de octubre de 2026: “En todo caso, la entidad debe incorporar en la resolución de adjudicación o en el informe de evaluación una explicación de la metodología que utilizó para identificar posibles ofertas artificialmente bajas en el proceso de contratación”.</w:t>
      </w:r>
    </w:p>
  </w:footnote>
  <w:footnote w:id="25">
    <w:p w14:paraId="3161139D" w14:textId="77777777" w:rsidR="00A53CD6" w:rsidRPr="00333485" w:rsidRDefault="00A53CD6" w:rsidP="00A53CD6">
      <w:pPr>
        <w:pStyle w:val="Textonotapie"/>
        <w:ind w:firstLine="708"/>
        <w:jc w:val="both"/>
        <w:rPr>
          <w:rFonts w:ascii="Verdana" w:hAnsi="Verdana"/>
          <w:sz w:val="18"/>
          <w:szCs w:val="18"/>
          <w:lang w:val="es-ES_tradnl"/>
        </w:rPr>
      </w:pPr>
      <w:r>
        <w:rPr>
          <w:rStyle w:val="FootnoteCharacters"/>
        </w:rPr>
        <w:footnoteRef/>
      </w:r>
      <w:r w:rsidRPr="00333485">
        <w:rPr>
          <w:rFonts w:ascii="Verdana" w:hAnsi="Verdana"/>
          <w:sz w:val="18"/>
          <w:szCs w:val="18"/>
        </w:rPr>
        <w:t xml:space="preserve"> Agencia Nacional de Contratación Pública – Colombia Compra Eficiente. Concepto C-1340 del 5 de octubre de 2026, en el que se transcribe el título de la Resolución 546 del 14 de septiembre de 2026, “Por la cual se adopta la versión -2- de los documentos tipo para los procesos de contratación de infraestructura de agua, saneamiento básico y estructuras hidráulicas que se adelantan por la modalidad de licitación pública o licitación pública bajo el esquema llave en mano; y se derogan las Resoluciones 248 de 2020 y 249 de 2020”, y se indica que, según su artículo 8, aplicará a los procedimientos de selección “cuyo aviso de convocatoria sea publicado a partir del 01 de marzo de 2027”. En el mismo sentido, Concepto C-1344 del 5 de octubre de 2026.</w:t>
      </w:r>
    </w:p>
  </w:footnote>
  <w:footnote w:id="26">
    <w:p w14:paraId="743A4D7E" w14:textId="77777777" w:rsidR="00A53CD6" w:rsidRPr="00333485" w:rsidRDefault="00A53CD6" w:rsidP="00A53CD6">
      <w:pPr>
        <w:pStyle w:val="Textonotapie"/>
        <w:ind w:firstLine="708"/>
        <w:jc w:val="both"/>
        <w:rPr>
          <w:rFonts w:ascii="Verdana" w:hAnsi="Verdana"/>
          <w:sz w:val="18"/>
          <w:szCs w:val="18"/>
          <w:lang w:val="es-ES_tradnl"/>
        </w:rPr>
      </w:pPr>
      <w:r>
        <w:rPr>
          <w:rStyle w:val="FootnoteCharacters"/>
        </w:rPr>
        <w:footnoteRef/>
      </w:r>
      <w:r w:rsidRPr="00333485">
        <w:rPr>
          <w:rFonts w:ascii="Verdana" w:hAnsi="Verdana"/>
          <w:sz w:val="18"/>
          <w:szCs w:val="18"/>
        </w:rPr>
        <w:t xml:space="preserve"> Agencia Nacional de Contratación Pública – Colombia Compra Eficiente. Concepto C-845 del 3 de julio de 2026: “es importante precisar que la selección de la opción aplicable corresponde exclusivamente a la entidad y no al oferente. En efecto, es la entidad quien, de acuerdo con el presupuesto oficial del proceso de selección, debe determinar la opción que resulte procedente e incorporarla tanto en el documento base como en el Formato 12B – Criterio social, eliminando las alternativas que no correspondan”. Frente al Formato 12A, el mismo concepto precisó que “la entidad no debe incorporar criterios o condiciones diferentes a los establecidos en el documento base. Por el contrario, deberá reproducir en el formato la opción previamente definida en el numeral 4.2.4.1, incluyendo los criterios ambientales que correspondan con la opción escogida y demás condiciones que resulten aplicables según la selección”.</w:t>
      </w:r>
    </w:p>
  </w:footnote>
  <w:footnote w:id="27">
    <w:p w14:paraId="7BBBC458" w14:textId="77777777" w:rsidR="00A53CD6" w:rsidRDefault="00A53CD6" w:rsidP="00A53CD6">
      <w:pPr>
        <w:pStyle w:val="Textonotapie"/>
        <w:ind w:firstLine="708"/>
        <w:jc w:val="both"/>
        <w:rPr>
          <w:rFonts w:ascii="Verdana" w:hAnsi="Verdana"/>
          <w:sz w:val="18"/>
          <w:szCs w:val="18"/>
        </w:rPr>
      </w:pPr>
      <w:r>
        <w:rPr>
          <w:rStyle w:val="FootnoteCharacters"/>
        </w:rPr>
        <w:footnoteRef/>
      </w:r>
      <w:r w:rsidRPr="00333485">
        <w:rPr>
          <w:rFonts w:ascii="Verdana" w:hAnsi="Verdana"/>
          <w:sz w:val="18"/>
          <w:szCs w:val="18"/>
        </w:rPr>
        <w:t xml:space="preserve"> Agencia Nacional de Contratación Pública – Colombia Compra Eficiente. Concepto C-1069 del 18 de agosto de 2026: “En otras palabras, la discrecionalidad de la entidad se agota en la selección de la opción –uno (1), dos (2) y tres (3)– que corresponda según la cuantía del proceso de contratación, mas no se extiende a decidir, dentro de la opción ya escogida, cuáles de los criterios ambientales que la componen incorpora o excluye del pliego de condiciones”. Sobre los cicloparqueaderos, el mismo concepto señaló que se trata de “una condición de viabilidad técnica y material incorporada por el propio documento base al criterio en cuestión, y no de una facultad discrecional de la entidad para omitirlo por razones de conveniencia o simple decisión administrativa”.</w:t>
      </w:r>
    </w:p>
    <w:p w14:paraId="6D68619F" w14:textId="77777777" w:rsidR="00A53CD6" w:rsidRPr="00333485" w:rsidRDefault="00A53CD6" w:rsidP="00A53CD6">
      <w:pPr>
        <w:pStyle w:val="Textonotapie"/>
        <w:ind w:firstLine="708"/>
        <w:jc w:val="both"/>
        <w:rPr>
          <w:rFonts w:ascii="Verdana" w:hAnsi="Verdana"/>
          <w:sz w:val="18"/>
          <w:szCs w:val="18"/>
          <w:lang w:val="es-ES_tradnl"/>
        </w:rPr>
      </w:pPr>
    </w:p>
  </w:footnote>
  <w:footnote w:id="28">
    <w:p w14:paraId="58760221" w14:textId="77777777" w:rsidR="00A53CD6" w:rsidRPr="00333485" w:rsidRDefault="00A53CD6" w:rsidP="00A53CD6">
      <w:pPr>
        <w:pStyle w:val="Textonotapie"/>
        <w:ind w:firstLine="708"/>
        <w:jc w:val="both"/>
        <w:rPr>
          <w:rFonts w:ascii="Verdana" w:hAnsi="Verdana"/>
          <w:sz w:val="18"/>
          <w:szCs w:val="18"/>
          <w:lang w:val="es-ES_tradnl"/>
        </w:rPr>
      </w:pPr>
      <w:r>
        <w:rPr>
          <w:rStyle w:val="FootnoteCharacters"/>
        </w:rPr>
        <w:footnoteRef/>
      </w:r>
      <w:r w:rsidRPr="00333485">
        <w:rPr>
          <w:rFonts w:ascii="Verdana" w:hAnsi="Verdana"/>
          <w:sz w:val="18"/>
          <w:szCs w:val="18"/>
        </w:rPr>
        <w:t xml:space="preserve"> </w:t>
      </w:r>
      <w:r w:rsidRPr="00333485">
        <w:rPr>
          <w:rFonts w:ascii="Verdana" w:hAnsi="Verdana"/>
          <w:sz w:val="18"/>
          <w:szCs w:val="18"/>
          <w:lang w:val="es-ES_tradnl"/>
        </w:rPr>
        <w:t xml:space="preserve">Ibidem: </w:t>
      </w:r>
      <w:r w:rsidRPr="00333485">
        <w:rPr>
          <w:rFonts w:ascii="Verdana" w:hAnsi="Verdana"/>
          <w:sz w:val="18"/>
          <w:szCs w:val="18"/>
        </w:rPr>
        <w:t>“se corrobora que el proponente únicamente cuenta con dos alternativas: comprometerse con la integridad de los cinco criterios que componen la opción dos (2), o abstenerse de realizar el ofrecimiento ambiental en su conjunto”. El concepto agregó que el documento base no contempla “la posibilidad de una asignación parcial o fraccionada del puntaje”.</w:t>
      </w:r>
    </w:p>
  </w:footnote>
  <w:footnote w:id="29">
    <w:p w14:paraId="423C7F15" w14:textId="77777777" w:rsidR="00A53CD6" w:rsidRPr="00333485" w:rsidRDefault="00A53CD6" w:rsidP="00A53CD6">
      <w:pPr>
        <w:pStyle w:val="Textonotapie"/>
        <w:jc w:val="both"/>
        <w:rPr>
          <w:rFonts w:ascii="Verdana" w:hAnsi="Verdana"/>
          <w:sz w:val="18"/>
          <w:szCs w:val="18"/>
          <w:lang w:val="es-ES_tradnl"/>
        </w:rPr>
      </w:pPr>
      <w:r>
        <w:rPr>
          <w:rStyle w:val="FootnoteCharacters"/>
        </w:rPr>
        <w:footnoteRef/>
      </w:r>
      <w:r w:rsidRPr="00333485">
        <w:rPr>
          <w:rFonts w:ascii="Verdana" w:hAnsi="Verdana"/>
          <w:sz w:val="18"/>
          <w:szCs w:val="18"/>
        </w:rPr>
        <w:t xml:space="preserve"> Agencia Nacional de Contratación Pública – Colombia Compra Eficiente. Concepto C-845 del 3 de julio de 2026: “el oferente no tiene la facultad de escoger entre las opciones previstas ni de modificar las condiciones definidas por la entidad. Su actuación se limita a diligenciar el formato en los términos establecidos y a manifestar, mediante su suscripción, que se compromete a cumplir el criterio social bajo las condiciones previamente definidas por la entidad”. Frente al Formato 12A, indicó que “una vez la entidad haya incorporado en el Formato 12A la información aplicable a cada criterio, el oferente únicamente deberá indicar si asume o no el compromiso correspondiente, para lo cual deberá marcar la opción ‘Sí’ o ‘No’, según corresponda”.</w:t>
      </w:r>
    </w:p>
  </w:footnote>
  <w:footnote w:id="30">
    <w:p w14:paraId="25E43354" w14:textId="77777777" w:rsidR="00A53CD6" w:rsidRPr="00333485" w:rsidRDefault="00A53CD6" w:rsidP="00A53CD6">
      <w:pPr>
        <w:pStyle w:val="Textonotapie"/>
        <w:ind w:firstLine="708"/>
        <w:jc w:val="both"/>
        <w:rPr>
          <w:rFonts w:ascii="Verdana" w:hAnsi="Verdana"/>
          <w:sz w:val="18"/>
          <w:szCs w:val="18"/>
          <w:lang w:val="es-ES_tradnl"/>
        </w:rPr>
      </w:pPr>
      <w:r>
        <w:rPr>
          <w:rStyle w:val="FootnoteCharacters"/>
        </w:rPr>
        <w:footnoteRef/>
      </w:r>
      <w:r w:rsidRPr="00333485">
        <w:rPr>
          <w:rFonts w:ascii="Verdana" w:hAnsi="Verdana"/>
          <w:sz w:val="18"/>
          <w:szCs w:val="18"/>
        </w:rPr>
        <w:t xml:space="preserve"> Agencia Nacional de Contratación Pública – Colombia Compra Eficiente. Concepto C-1069 del 18 de agosto de 2026: “la facultad de ajuste de la entidad no se limita a completar la información que el propio documento tipo habilita expresamente para ello (como ocurre, por ejemplo, con la selección de la opción aplicable según el presupuesto oficial), sino que se extiende también a la corrección de errores materiales o de transcripción que, de mantenerse, contrariarían la exigencia de plena correspondencia entre el formato y el documento base ya explicada”.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p w14:paraId="066261FB" w14:textId="77777777" w:rsidR="00F55D91" w:rsidRPr="00C925AC" w:rsidRDefault="00F55D91"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3A348F1"/>
    <w:multiLevelType w:val="multilevel"/>
    <w:tmpl w:val="19B203A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0210126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1B5"/>
    <w:rsid w:val="000B19B9"/>
    <w:rsid w:val="000D0334"/>
    <w:rsid w:val="000D5DA7"/>
    <w:rsid w:val="000F6486"/>
    <w:rsid w:val="00116940"/>
    <w:rsid w:val="00125105"/>
    <w:rsid w:val="00127233"/>
    <w:rsid w:val="0015699B"/>
    <w:rsid w:val="001A33BF"/>
    <w:rsid w:val="001D4658"/>
    <w:rsid w:val="001E4177"/>
    <w:rsid w:val="001F0B24"/>
    <w:rsid w:val="001F7DC6"/>
    <w:rsid w:val="0022400B"/>
    <w:rsid w:val="00241B31"/>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1FFC"/>
    <w:rsid w:val="0042722E"/>
    <w:rsid w:val="0044528D"/>
    <w:rsid w:val="00466E39"/>
    <w:rsid w:val="00494F9E"/>
    <w:rsid w:val="004A1847"/>
    <w:rsid w:val="004A305D"/>
    <w:rsid w:val="004F21C4"/>
    <w:rsid w:val="004F685F"/>
    <w:rsid w:val="005566E8"/>
    <w:rsid w:val="00557D9D"/>
    <w:rsid w:val="00574867"/>
    <w:rsid w:val="00591460"/>
    <w:rsid w:val="005A4161"/>
    <w:rsid w:val="005A65E0"/>
    <w:rsid w:val="005C3777"/>
    <w:rsid w:val="005C5CDC"/>
    <w:rsid w:val="005D476C"/>
    <w:rsid w:val="006200BF"/>
    <w:rsid w:val="006219F8"/>
    <w:rsid w:val="00626072"/>
    <w:rsid w:val="006302F7"/>
    <w:rsid w:val="00646B9F"/>
    <w:rsid w:val="00665D70"/>
    <w:rsid w:val="006900D9"/>
    <w:rsid w:val="006A11A8"/>
    <w:rsid w:val="00706C16"/>
    <w:rsid w:val="007340C3"/>
    <w:rsid w:val="0075235A"/>
    <w:rsid w:val="00756841"/>
    <w:rsid w:val="007649AB"/>
    <w:rsid w:val="00771D0C"/>
    <w:rsid w:val="007833AC"/>
    <w:rsid w:val="007B268C"/>
    <w:rsid w:val="007B7171"/>
    <w:rsid w:val="007C0C0F"/>
    <w:rsid w:val="007C3DC2"/>
    <w:rsid w:val="007E2452"/>
    <w:rsid w:val="007E5497"/>
    <w:rsid w:val="00806F5F"/>
    <w:rsid w:val="00820278"/>
    <w:rsid w:val="008258C9"/>
    <w:rsid w:val="00844AE9"/>
    <w:rsid w:val="00867F95"/>
    <w:rsid w:val="008843B6"/>
    <w:rsid w:val="00891928"/>
    <w:rsid w:val="008A446D"/>
    <w:rsid w:val="008B25F1"/>
    <w:rsid w:val="008D180B"/>
    <w:rsid w:val="008F0EA7"/>
    <w:rsid w:val="00904576"/>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53CD6"/>
    <w:rsid w:val="00AB0ADB"/>
    <w:rsid w:val="00B00C0E"/>
    <w:rsid w:val="00B01B1A"/>
    <w:rsid w:val="00B0381D"/>
    <w:rsid w:val="00B15222"/>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C213E"/>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5D91"/>
    <w:rsid w:val="00F5664F"/>
    <w:rsid w:val="00F666C4"/>
    <w:rsid w:val="00F76AFC"/>
    <w:rsid w:val="00FA47C0"/>
    <w:rsid w:val="00FB40C5"/>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baj">
    <w:name w:val="b_aj"/>
    <w:basedOn w:val="Fuentedeprrafopredeter"/>
    <w:qFormat/>
    <w:rsid w:val="00A53CD6"/>
  </w:style>
  <w:style w:type="character" w:customStyle="1" w:styleId="iaj">
    <w:name w:val="i_aj"/>
    <w:basedOn w:val="Fuentedeprrafopredeter"/>
    <w:qFormat/>
    <w:rsid w:val="00A53CD6"/>
  </w:style>
  <w:style w:type="character" w:customStyle="1" w:styleId="FootnoteCharacters">
    <w:name w:val="Footnote Characters"/>
    <w:basedOn w:val="Fuentedeprrafopredeter"/>
    <w:uiPriority w:val="99"/>
    <w:unhideWhenUsed/>
    <w:qFormat/>
    <w:rsid w:val="00A53CD6"/>
    <w:rPr>
      <w:vertAlign w:val="superscript"/>
    </w:rPr>
  </w:style>
  <w:style w:type="table" w:customStyle="1" w:styleId="Tablaconcuadrcula12">
    <w:name w:val="Tabla con cuadrícula12"/>
    <w:basedOn w:val="Tablanormal"/>
    <w:uiPriority w:val="39"/>
    <w:qFormat/>
    <w:rsid w:val="00A53CD6"/>
    <w:pPr>
      <w:suppressAutoHyphens/>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uiPriority w:val="39"/>
    <w:qFormat/>
    <w:rsid w:val="00A53CD6"/>
    <w:pPr>
      <w:suppressAutoHyphens/>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olombiacompra.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1150_2007.html" TargetMode="External"/><Relationship Id="rId2" Type="http://schemas.openxmlformats.org/officeDocument/2006/relationships/hyperlink" Target="http://www.secretariasenado.gov.co/senado/basedoc/ley_1150_2007.html" TargetMode="External"/><Relationship Id="rId1" Type="http://schemas.openxmlformats.org/officeDocument/2006/relationships/hyperlink" Target="https://www.funcionpublica.gov.co/eva/gestornormativo/norma.php?i=84899" TargetMode="External"/><Relationship Id="rId5" Type="http://schemas.openxmlformats.org/officeDocument/2006/relationships/hyperlink" Target="http://www.secretariasenado.gov.co/senado/basedoc/ley_0080_1993.html" TargetMode="External"/><Relationship Id="rId4" Type="http://schemas.openxmlformats.org/officeDocument/2006/relationships/hyperlink" Target="http://www.secretariasenado.gov.co/senado/basedoc/ley_1150_2007.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51F4DDA5-93A9-4240-9743-E37C40AEE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50</Pages>
  <Words>14967</Words>
  <Characters>82321</Characters>
  <Application>Microsoft Office Word</Application>
  <DocSecurity>0</DocSecurity>
  <Lines>686</Lines>
  <Paragraphs>194</Paragraphs>
  <ScaleCrop>false</ScaleCrop>
  <Company/>
  <LinksUpToDate>false</LinksUpToDate>
  <CharactersWithSpaces>97094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8</cp:revision>
  <cp:lastPrinted>2023-01-10T21:18:00Z</cp:lastPrinted>
  <dcterms:created xsi:type="dcterms:W3CDTF">2026-10-30T12:17:00Z</dcterms:created>
  <dcterms:modified xsi:type="dcterms:W3CDTF">2026-11-03T22:04:00Z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