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9C0F8" w14:textId="77777777" w:rsidR="00977DC9" w:rsidRPr="009F5AD6" w:rsidRDefault="00977DC9" w:rsidP="00977DC9">
      <w:pPr>
        <w:spacing w:after="0" w:line="240" w:lineRule="auto"/>
        <w:jc w:val="both"/>
        <w:rPr>
          <w:rFonts w:ascii="Verdana" w:hAnsi="Verdana"/>
          <w:b/>
        </w:rPr>
      </w:pPr>
      <w:bookmarkStart w:id="0" w:name="_Hlk143780582"/>
      <w:r w:rsidRPr="009F5AD6">
        <w:rPr>
          <w:rFonts w:ascii="Verdana" w:eastAsia="Arial" w:hAnsi="Verdana" w:cs="Arial"/>
          <w:b/>
          <w:lang w:val="es-ES"/>
        </w:rPr>
        <w:t>PRINCIPIO DE PUBLICIDAD – Concepto – Fundamento axiológico – Fundamento constitucional</w:t>
      </w:r>
    </w:p>
    <w:p w14:paraId="718CB0C0" w14:textId="77777777" w:rsidR="00977DC9" w:rsidRPr="009F5AD6" w:rsidRDefault="00977DC9" w:rsidP="00977DC9">
      <w:pPr>
        <w:tabs>
          <w:tab w:val="left" w:pos="3734"/>
        </w:tabs>
        <w:spacing w:after="0" w:line="240" w:lineRule="auto"/>
        <w:jc w:val="both"/>
        <w:rPr>
          <w:rFonts w:ascii="Verdana" w:hAnsi="Verdana"/>
          <w:sz w:val="20"/>
          <w:szCs w:val="20"/>
        </w:rPr>
      </w:pPr>
      <w:r>
        <w:rPr>
          <w:rFonts w:ascii="Verdana" w:hAnsi="Verdana"/>
          <w:sz w:val="20"/>
          <w:szCs w:val="20"/>
        </w:rPr>
        <w:tab/>
      </w:r>
    </w:p>
    <w:p w14:paraId="3D659A9B" w14:textId="77777777" w:rsidR="00977DC9" w:rsidRPr="009F5AD6" w:rsidRDefault="00977DC9" w:rsidP="00977DC9">
      <w:pPr>
        <w:spacing w:after="0" w:line="240" w:lineRule="auto"/>
        <w:jc w:val="both"/>
        <w:rPr>
          <w:rFonts w:ascii="Verdana" w:eastAsia="Times New Roman" w:hAnsi="Verdana" w:cs="Arial"/>
          <w:sz w:val="20"/>
          <w:szCs w:val="20"/>
          <w:lang w:val="es-ES" w:eastAsia="es-ES"/>
          <w14:ligatures w14:val="standardContextual"/>
        </w:rPr>
      </w:pPr>
      <w:r w:rsidRPr="009F5AD6">
        <w:rPr>
          <w:rFonts w:ascii="Verdana" w:eastAsia="Times New Roman" w:hAnsi="Verdana" w:cs="Arial"/>
          <w:sz w:val="20"/>
          <w:szCs w:val="20"/>
          <w:lang w:val="es-ES" w:eastAsia="es-ES"/>
          <w14:ligatures w14:val="standardContextual"/>
        </w:rPr>
        <w:t xml:space="preserve">Uno de los postulados más importantes de un Estado Social y Democrático de Derecho es el principio de </w:t>
      </w:r>
      <w:r w:rsidRPr="009F5AD6">
        <w:rPr>
          <w:rFonts w:ascii="Verdana" w:eastAsia="Times New Roman" w:hAnsi="Verdana" w:cs="Arial"/>
          <w:i/>
          <w:iCs/>
          <w:sz w:val="20"/>
          <w:szCs w:val="20"/>
          <w:lang w:val="es-ES" w:eastAsia="es-ES"/>
          <w14:ligatures w14:val="standardContextual"/>
        </w:rPr>
        <w:t>publicidad</w:t>
      </w:r>
      <w:r w:rsidRPr="009F5AD6">
        <w:rPr>
          <w:rFonts w:ascii="Verdana" w:eastAsia="Times New Roman" w:hAnsi="Verdana" w:cs="Arial"/>
          <w:sz w:val="20"/>
          <w:szCs w:val="20"/>
          <w:lang w:val="es-ES" w:eastAsia="es-ES"/>
          <w14:ligatures w14:val="standardContextual"/>
        </w:rPr>
        <w:t xml:space="preserve">,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7DE8F2AA" w14:textId="77777777" w:rsidR="00977DC9" w:rsidRPr="009F5AD6" w:rsidRDefault="00977DC9" w:rsidP="00977DC9">
      <w:pPr>
        <w:spacing w:after="0" w:line="240" w:lineRule="auto"/>
        <w:jc w:val="both"/>
        <w:rPr>
          <w:rFonts w:ascii="Verdana" w:eastAsia="Times New Roman" w:hAnsi="Verdana" w:cs="Arial"/>
          <w:sz w:val="20"/>
          <w:szCs w:val="20"/>
          <w:lang w:val="es-ES" w:eastAsia="es-ES"/>
          <w14:ligatures w14:val="standardContextual"/>
        </w:rPr>
      </w:pPr>
    </w:p>
    <w:p w14:paraId="6CB25319" w14:textId="77777777" w:rsidR="00977DC9" w:rsidRPr="009F5AD6" w:rsidRDefault="00977DC9" w:rsidP="00977DC9">
      <w:pPr>
        <w:spacing w:after="0" w:line="240" w:lineRule="auto"/>
        <w:jc w:val="both"/>
        <w:rPr>
          <w:rFonts w:ascii="Verdana" w:eastAsia="Times New Roman" w:hAnsi="Verdana" w:cs="Arial"/>
          <w:sz w:val="20"/>
          <w:szCs w:val="20"/>
          <w:lang w:val="es-ES" w:eastAsia="es-ES"/>
          <w14:ligatures w14:val="standardContextual"/>
        </w:rPr>
      </w:pPr>
      <w:r w:rsidRPr="009F5AD6">
        <w:rPr>
          <w:rFonts w:ascii="Verdana" w:eastAsia="Times New Roman" w:hAnsi="Verdana" w:cs="Arial"/>
          <w:sz w:val="20"/>
          <w:szCs w:val="20"/>
          <w:lang w:val="es-ES" w:eastAsia="es-ES"/>
          <w14:ligatures w14:val="standardContextua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w:t>
      </w:r>
    </w:p>
    <w:p w14:paraId="102AE34A" w14:textId="77777777" w:rsidR="00977DC9" w:rsidRPr="009F5AD6" w:rsidRDefault="00977DC9" w:rsidP="00977DC9">
      <w:pPr>
        <w:spacing w:after="0" w:line="240" w:lineRule="auto"/>
        <w:jc w:val="both"/>
        <w:rPr>
          <w:rFonts w:ascii="Verdana" w:hAnsi="Verdana"/>
          <w:sz w:val="20"/>
          <w:szCs w:val="20"/>
        </w:rPr>
      </w:pPr>
    </w:p>
    <w:p w14:paraId="585E5570" w14:textId="77777777" w:rsidR="00977DC9" w:rsidRPr="009F5AD6" w:rsidRDefault="00977DC9" w:rsidP="00977DC9">
      <w:pPr>
        <w:spacing w:after="0" w:line="240" w:lineRule="auto"/>
        <w:jc w:val="both"/>
        <w:rPr>
          <w:rFonts w:ascii="Verdana" w:hAnsi="Verdana"/>
          <w:b/>
          <w:bCs/>
          <w:lang w:val="es-ES_tradnl"/>
        </w:rPr>
      </w:pPr>
      <w:r w:rsidRPr="009F5AD6">
        <w:rPr>
          <w:rFonts w:ascii="Verdana" w:hAnsi="Verdana"/>
          <w:b/>
          <w:bCs/>
          <w:lang w:val="es-ES_tradnl"/>
        </w:rPr>
        <w:t>PRINCIPIO DE PUBLICIDAD – SECOP – Documentos del proceso – Deber de publicación</w:t>
      </w:r>
    </w:p>
    <w:p w14:paraId="3600956F" w14:textId="77777777" w:rsidR="00977DC9" w:rsidRPr="009F5AD6" w:rsidRDefault="00977DC9" w:rsidP="00977DC9">
      <w:pPr>
        <w:spacing w:after="0" w:line="240" w:lineRule="auto"/>
        <w:rPr>
          <w:rFonts w:ascii="Verdana" w:hAnsi="Verdana"/>
          <w:b/>
          <w:bCs/>
          <w:lang w:val="es-ES_tradnl"/>
        </w:rPr>
      </w:pPr>
    </w:p>
    <w:p w14:paraId="4F71A4CE" w14:textId="77777777" w:rsidR="00977DC9" w:rsidRPr="00071B1C" w:rsidRDefault="00977DC9" w:rsidP="00977DC9">
      <w:pPr>
        <w:spacing w:after="0" w:line="240" w:lineRule="auto"/>
        <w:jc w:val="both"/>
        <w:rPr>
          <w:rFonts w:ascii="Verdana" w:eastAsia="Times New Roman" w:hAnsi="Verdana" w:cs="Arial"/>
          <w:sz w:val="20"/>
          <w:szCs w:val="20"/>
          <w:lang w:val="es-ES_tradnl" w:eastAsia="es-ES_tradnl"/>
          <w14:ligatures w14:val="standardContextual"/>
        </w:rPr>
      </w:pPr>
      <w:r w:rsidRPr="00071B1C">
        <w:rPr>
          <w:rFonts w:ascii="Verdana" w:eastAsia="Times New Roman" w:hAnsi="Verdana" w:cs="Arial"/>
          <w:sz w:val="20"/>
          <w:szCs w:val="20"/>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55CC58BD" w14:textId="77777777" w:rsidR="00977DC9" w:rsidRPr="00071B1C" w:rsidRDefault="00977DC9" w:rsidP="00977DC9">
      <w:pPr>
        <w:tabs>
          <w:tab w:val="left" w:pos="709"/>
        </w:tabs>
        <w:spacing w:after="0" w:line="240" w:lineRule="auto"/>
        <w:jc w:val="both"/>
        <w:rPr>
          <w:rFonts w:ascii="Verdana" w:hAnsi="Verdana" w:cs="Arial"/>
          <w:sz w:val="20"/>
          <w:szCs w:val="20"/>
          <w:shd w:val="clear" w:color="auto" w:fill="FFFFFF"/>
        </w:rPr>
      </w:pPr>
    </w:p>
    <w:p w14:paraId="1B7525B3" w14:textId="77777777" w:rsidR="00977DC9" w:rsidRPr="00071B1C" w:rsidRDefault="00977DC9" w:rsidP="00977DC9">
      <w:pPr>
        <w:tabs>
          <w:tab w:val="left" w:pos="709"/>
        </w:tabs>
        <w:spacing w:after="0" w:line="240" w:lineRule="auto"/>
        <w:jc w:val="both"/>
        <w:rPr>
          <w:rFonts w:ascii="Verdana" w:hAnsi="Verdana" w:cs="Arial"/>
          <w:sz w:val="20"/>
          <w:szCs w:val="20"/>
          <w:shd w:val="clear" w:color="auto" w:fill="FFFFFF"/>
        </w:rPr>
      </w:pPr>
      <w:r w:rsidRPr="00071B1C">
        <w:rPr>
          <w:rFonts w:ascii="Verdana" w:hAnsi="Verdana" w:cs="Arial"/>
          <w:sz w:val="20"/>
          <w:szCs w:val="20"/>
          <w:shd w:val="clear" w:color="auto" w:fill="FFFFFF"/>
        </w:rPr>
        <w:t xml:space="preserve">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Ibidem recoge en la noción de Documentos del Proceso “cualquier otro documento expedido por la Entidad Estatal durante el Proceso de Contratación”. </w:t>
      </w:r>
    </w:p>
    <w:p w14:paraId="78341219" w14:textId="77777777" w:rsidR="00977DC9" w:rsidRPr="00071B1C" w:rsidRDefault="00977DC9" w:rsidP="00977DC9">
      <w:pPr>
        <w:tabs>
          <w:tab w:val="left" w:pos="709"/>
        </w:tabs>
        <w:spacing w:after="0" w:line="240" w:lineRule="auto"/>
        <w:jc w:val="both"/>
        <w:rPr>
          <w:rFonts w:ascii="Verdana" w:hAnsi="Verdana" w:cs="Arial"/>
          <w:sz w:val="20"/>
          <w:szCs w:val="20"/>
          <w:shd w:val="clear" w:color="auto" w:fill="FFFFFF"/>
        </w:rPr>
      </w:pPr>
    </w:p>
    <w:p w14:paraId="00A753A1" w14:textId="77777777" w:rsidR="00977DC9" w:rsidRPr="00071B1C" w:rsidRDefault="00977DC9" w:rsidP="00977DC9">
      <w:pPr>
        <w:tabs>
          <w:tab w:val="left" w:pos="709"/>
        </w:tabs>
        <w:spacing w:after="0" w:line="240" w:lineRule="auto"/>
        <w:jc w:val="both"/>
        <w:rPr>
          <w:rFonts w:ascii="Verdana" w:hAnsi="Verdana" w:cs="Arial"/>
          <w:sz w:val="20"/>
          <w:szCs w:val="20"/>
          <w:shd w:val="clear" w:color="auto" w:fill="FFFFFF"/>
        </w:rPr>
      </w:pPr>
      <w:r w:rsidRPr="00071B1C">
        <w:rPr>
          <w:rFonts w:ascii="Verdana" w:hAnsi="Verdana" w:cs="Arial"/>
          <w:sz w:val="20"/>
          <w:szCs w:val="20"/>
          <w:shd w:val="clear" w:color="auto" w:fill="FFFFFF"/>
        </w:rPr>
        <w:lastRenderedPageBreak/>
        <w:t xml:space="preserve">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r w:rsidRPr="00071B1C">
        <w:rPr>
          <w:rFonts w:ascii="Verdana" w:hAnsi="Verdana"/>
          <w:sz w:val="20"/>
          <w:szCs w:val="20"/>
        </w:rPr>
        <w:t>Nótese que la norma</w:t>
      </w:r>
      <w:r w:rsidRPr="00071B1C">
        <w:rPr>
          <w:rFonts w:ascii="Verdana" w:hAnsi="Verdana" w:cs="Arial"/>
          <w:sz w:val="20"/>
          <w:szCs w:val="20"/>
          <w:shd w:val="clear" w:color="auto" w:fill="FFFFFF"/>
        </w:rPr>
        <w:t xml:space="preserve"> se refiere a los documentos “expedidos por la entidad estatal” durante el Proceso de Contratación, excluyendo de la noción de Documentos del Proceso los expedidos por un sujeto distinto a la entidad, salvo la oferta, la cual se incluye expresamente en el referido artículo 2.2.1.1.1.3. 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071B1C">
        <w:rPr>
          <w:rFonts w:ascii="Verdana" w:hAnsi="Verdana" w:cs="Arial"/>
          <w:sz w:val="20"/>
          <w:szCs w:val="20"/>
          <w:shd w:val="clear" w:color="auto" w:fill="FFFFFF"/>
        </w:rPr>
        <w:t>postcontractual</w:t>
      </w:r>
      <w:proofErr w:type="spellEnd"/>
      <w:r w:rsidRPr="00071B1C">
        <w:rPr>
          <w:rFonts w:ascii="Verdana" w:hAnsi="Verdana" w:cs="Arial"/>
          <w:sz w:val="20"/>
          <w:szCs w:val="20"/>
          <w:shd w:val="clear" w:color="auto" w:fill="FFFFFF"/>
        </w:rPr>
        <w:t xml:space="preserve"> deberán publicarse en SECOP dentro de los tres (3) días siguientes a su expedición, para cumplir el deber de publicidad regulado por el artículo 2.2.1.1.1.7.1. del Decreto 1082 de 2015.</w:t>
      </w:r>
    </w:p>
    <w:p w14:paraId="2E3FF56C" w14:textId="77777777" w:rsidR="00977DC9" w:rsidRPr="00071B1C" w:rsidRDefault="00977DC9" w:rsidP="00977DC9">
      <w:pPr>
        <w:spacing w:after="0" w:line="240" w:lineRule="auto"/>
        <w:jc w:val="both"/>
        <w:rPr>
          <w:rFonts w:ascii="Verdana" w:hAnsi="Verdana"/>
          <w:b/>
          <w:bCs/>
          <w:sz w:val="20"/>
          <w:szCs w:val="20"/>
          <w:lang w:val="es-ES_tradnl"/>
        </w:rPr>
      </w:pPr>
    </w:p>
    <w:p w14:paraId="66B6F0F9" w14:textId="77777777" w:rsidR="00977DC9" w:rsidRPr="00816408" w:rsidRDefault="00977DC9" w:rsidP="00977DC9">
      <w:pPr>
        <w:spacing w:after="0" w:line="240" w:lineRule="auto"/>
        <w:rPr>
          <w:rFonts w:ascii="Verdana" w:hAnsi="Verdana" w:cs="Arial"/>
          <w:b/>
          <w:bCs/>
          <w:lang w:val="es-ES_tradnl" w:eastAsia="es-ES" w:bidi="es-ES"/>
        </w:rPr>
      </w:pPr>
    </w:p>
    <w:p w14:paraId="13476367" w14:textId="77777777" w:rsidR="00977DC9" w:rsidRPr="00816408" w:rsidRDefault="00977DC9" w:rsidP="00977DC9">
      <w:pPr>
        <w:spacing w:after="0" w:line="240" w:lineRule="auto"/>
        <w:rPr>
          <w:rFonts w:ascii="Verdana" w:hAnsi="Verdana" w:cs="Arial"/>
          <w:b/>
          <w:bCs/>
          <w:lang w:val="es-ES_tradnl" w:eastAsia="es-ES" w:bidi="es-ES"/>
        </w:rPr>
      </w:pPr>
    </w:p>
    <w:p w14:paraId="34BD279B" w14:textId="77777777" w:rsidR="00977DC9" w:rsidRPr="009F5AD6" w:rsidRDefault="00977DC9" w:rsidP="00977DC9">
      <w:pPr>
        <w:spacing w:after="0" w:line="240" w:lineRule="auto"/>
        <w:rPr>
          <w:rFonts w:ascii="Verdana" w:hAnsi="Verdana" w:cs="Arial"/>
          <w:b/>
          <w:bCs/>
          <w:lang w:val="es-ES_tradnl" w:eastAsia="es-ES" w:bidi="es-ES"/>
        </w:rPr>
      </w:pPr>
    </w:p>
    <w:p w14:paraId="57A54032" w14:textId="77777777" w:rsidR="00977DC9" w:rsidRPr="009F5AD6" w:rsidRDefault="00977DC9" w:rsidP="00977DC9">
      <w:pPr>
        <w:spacing w:after="0" w:line="240" w:lineRule="auto"/>
        <w:rPr>
          <w:rFonts w:ascii="Verdana" w:hAnsi="Verdana" w:cs="Arial"/>
          <w:b/>
          <w:bCs/>
          <w:lang w:val="es-ES_tradnl" w:eastAsia="es-ES" w:bidi="es-ES"/>
        </w:rPr>
      </w:pPr>
    </w:p>
    <w:p w14:paraId="799CA4AA" w14:textId="77777777" w:rsidR="00977DC9" w:rsidRPr="009F5AD6" w:rsidRDefault="00977DC9" w:rsidP="00977DC9">
      <w:pPr>
        <w:spacing w:after="0" w:line="240" w:lineRule="auto"/>
        <w:rPr>
          <w:rFonts w:ascii="Verdana" w:hAnsi="Verdana" w:cs="Arial"/>
          <w:b/>
          <w:bCs/>
          <w:lang w:val="es-ES_tradnl" w:eastAsia="es-ES" w:bidi="es-ES"/>
        </w:rPr>
      </w:pPr>
    </w:p>
    <w:p w14:paraId="0965FA2F" w14:textId="77777777" w:rsidR="00977DC9" w:rsidRPr="009F5AD6" w:rsidRDefault="00977DC9" w:rsidP="00977DC9">
      <w:pPr>
        <w:spacing w:after="0" w:line="240" w:lineRule="auto"/>
        <w:rPr>
          <w:rFonts w:ascii="Verdana" w:hAnsi="Verdana" w:cs="Arial"/>
          <w:b/>
          <w:bCs/>
          <w:lang w:val="es-ES_tradnl" w:eastAsia="es-ES" w:bidi="es-ES"/>
        </w:rPr>
      </w:pPr>
    </w:p>
    <w:p w14:paraId="283B8A42" w14:textId="77777777" w:rsidR="00977DC9" w:rsidRPr="009F5AD6" w:rsidRDefault="00977DC9" w:rsidP="00977DC9">
      <w:pPr>
        <w:spacing w:after="0" w:line="240" w:lineRule="auto"/>
        <w:rPr>
          <w:rFonts w:ascii="Verdana" w:hAnsi="Verdana" w:cs="Arial"/>
          <w:b/>
          <w:bCs/>
          <w:lang w:val="es-ES_tradnl" w:eastAsia="es-ES" w:bidi="es-ES"/>
        </w:rPr>
      </w:pPr>
    </w:p>
    <w:p w14:paraId="0F33CDC3" w14:textId="77777777" w:rsidR="00977DC9" w:rsidRPr="009F5AD6" w:rsidRDefault="00977DC9" w:rsidP="00977DC9">
      <w:pPr>
        <w:spacing w:after="0" w:line="240" w:lineRule="auto"/>
        <w:rPr>
          <w:rFonts w:ascii="Verdana" w:hAnsi="Verdana" w:cs="Arial"/>
          <w:b/>
          <w:bCs/>
          <w:lang w:val="es-ES_tradnl" w:eastAsia="es-ES" w:bidi="es-ES"/>
        </w:rPr>
      </w:pPr>
    </w:p>
    <w:p w14:paraId="516965C4" w14:textId="77777777" w:rsidR="00977DC9" w:rsidRPr="009F5AD6" w:rsidRDefault="00977DC9" w:rsidP="00977DC9">
      <w:pPr>
        <w:spacing w:after="0" w:line="240" w:lineRule="auto"/>
        <w:rPr>
          <w:rFonts w:ascii="Verdana" w:hAnsi="Verdana"/>
          <w:b/>
          <w:lang w:val="es-ES"/>
        </w:rPr>
      </w:pPr>
    </w:p>
    <w:p w14:paraId="5371E552" w14:textId="77777777" w:rsidR="00977DC9" w:rsidRPr="009F5AD6" w:rsidRDefault="00977DC9" w:rsidP="00977DC9">
      <w:pPr>
        <w:spacing w:after="0" w:line="240" w:lineRule="auto"/>
        <w:rPr>
          <w:rFonts w:ascii="Verdana" w:hAnsi="Verdana"/>
          <w:b/>
          <w:lang w:val="es-ES"/>
        </w:rPr>
      </w:pPr>
    </w:p>
    <w:p w14:paraId="537761D1" w14:textId="77777777" w:rsidR="00977DC9" w:rsidRPr="009F5AD6" w:rsidRDefault="00977DC9" w:rsidP="00977DC9">
      <w:pPr>
        <w:spacing w:after="0" w:line="240" w:lineRule="auto"/>
        <w:rPr>
          <w:rFonts w:ascii="Verdana" w:hAnsi="Verdana"/>
          <w:b/>
          <w:lang w:val="es-ES"/>
        </w:rPr>
      </w:pPr>
    </w:p>
    <w:p w14:paraId="25F05F67" w14:textId="77777777" w:rsidR="00977DC9" w:rsidRPr="009F5AD6" w:rsidRDefault="00977DC9" w:rsidP="00977DC9">
      <w:pPr>
        <w:spacing w:after="0" w:line="240" w:lineRule="auto"/>
        <w:rPr>
          <w:rFonts w:ascii="Verdana" w:hAnsi="Verdana"/>
          <w:b/>
          <w:lang w:val="es-ES"/>
        </w:rPr>
      </w:pPr>
    </w:p>
    <w:p w14:paraId="1188A90B" w14:textId="77777777" w:rsidR="00977DC9" w:rsidRPr="009F5AD6" w:rsidRDefault="00977DC9" w:rsidP="00977DC9">
      <w:pPr>
        <w:spacing w:after="0" w:line="240" w:lineRule="auto"/>
        <w:rPr>
          <w:rFonts w:ascii="Verdana" w:hAnsi="Verdana"/>
          <w:b/>
          <w:lang w:val="es-ES"/>
        </w:rPr>
      </w:pPr>
    </w:p>
    <w:p w14:paraId="42C9CE6F" w14:textId="77777777" w:rsidR="00977DC9" w:rsidRPr="009F5AD6" w:rsidRDefault="00977DC9" w:rsidP="00977DC9">
      <w:pPr>
        <w:spacing w:after="0" w:line="240" w:lineRule="auto"/>
        <w:rPr>
          <w:rFonts w:ascii="Verdana" w:hAnsi="Verdana"/>
          <w:b/>
          <w:lang w:val="es-ES"/>
        </w:rPr>
      </w:pPr>
    </w:p>
    <w:p w14:paraId="53013E15" w14:textId="77777777" w:rsidR="00977DC9" w:rsidRPr="009F5AD6" w:rsidRDefault="00977DC9" w:rsidP="00977DC9">
      <w:pPr>
        <w:spacing w:after="0" w:line="240" w:lineRule="auto"/>
        <w:rPr>
          <w:rFonts w:ascii="Verdana" w:hAnsi="Verdana"/>
          <w:b/>
          <w:lang w:val="es-ES"/>
        </w:rPr>
      </w:pPr>
    </w:p>
    <w:p w14:paraId="71B78996" w14:textId="77777777" w:rsidR="00977DC9" w:rsidRPr="009F5AD6" w:rsidRDefault="00977DC9" w:rsidP="00977DC9">
      <w:pPr>
        <w:spacing w:after="0" w:line="240" w:lineRule="auto"/>
        <w:rPr>
          <w:rFonts w:ascii="Verdana" w:hAnsi="Verdana"/>
          <w:b/>
          <w:lang w:val="es-ES"/>
        </w:rPr>
      </w:pPr>
    </w:p>
    <w:p w14:paraId="29263728" w14:textId="77777777" w:rsidR="00977DC9" w:rsidRPr="009F5AD6" w:rsidRDefault="00977DC9" w:rsidP="00977DC9">
      <w:pPr>
        <w:spacing w:after="0" w:line="240" w:lineRule="auto"/>
        <w:rPr>
          <w:rFonts w:ascii="Verdana" w:hAnsi="Verdana"/>
          <w:b/>
          <w:lang w:val="es-ES"/>
        </w:rPr>
      </w:pPr>
    </w:p>
    <w:p w14:paraId="3A1EB028" w14:textId="77777777" w:rsidR="00977DC9" w:rsidRPr="009F5AD6" w:rsidRDefault="00977DC9" w:rsidP="00977DC9">
      <w:pPr>
        <w:spacing w:after="0" w:line="240" w:lineRule="auto"/>
        <w:rPr>
          <w:rFonts w:ascii="Verdana" w:hAnsi="Verdana"/>
          <w:b/>
          <w:lang w:val="es-ES"/>
        </w:rPr>
      </w:pPr>
    </w:p>
    <w:p w14:paraId="4658B1F7" w14:textId="77777777" w:rsidR="00977DC9" w:rsidRPr="009F5AD6" w:rsidRDefault="00977DC9" w:rsidP="00977DC9">
      <w:pPr>
        <w:spacing w:after="0" w:line="240" w:lineRule="auto"/>
        <w:rPr>
          <w:rFonts w:ascii="Verdana" w:hAnsi="Verdana"/>
          <w:b/>
          <w:lang w:val="es-ES"/>
        </w:rPr>
      </w:pPr>
    </w:p>
    <w:p w14:paraId="53B03CDA" w14:textId="77777777" w:rsidR="00977DC9" w:rsidRPr="009F5AD6" w:rsidRDefault="00977DC9" w:rsidP="00977DC9">
      <w:pPr>
        <w:spacing w:after="0" w:line="240" w:lineRule="auto"/>
        <w:rPr>
          <w:rFonts w:ascii="Verdana" w:hAnsi="Verdana"/>
          <w:b/>
          <w:lang w:val="es-ES"/>
        </w:rPr>
      </w:pPr>
    </w:p>
    <w:p w14:paraId="2B1B5528" w14:textId="77777777" w:rsidR="00977DC9" w:rsidRPr="009F5AD6" w:rsidRDefault="00977DC9" w:rsidP="00977DC9">
      <w:pPr>
        <w:spacing w:after="0" w:line="240" w:lineRule="auto"/>
        <w:rPr>
          <w:rFonts w:ascii="Verdana" w:hAnsi="Verdana"/>
          <w:b/>
          <w:lang w:val="es-ES"/>
        </w:rPr>
      </w:pPr>
    </w:p>
    <w:p w14:paraId="529EB0D4" w14:textId="77777777" w:rsidR="00977DC9" w:rsidRPr="009F5AD6" w:rsidRDefault="00977DC9" w:rsidP="00977DC9">
      <w:pPr>
        <w:spacing w:after="0" w:line="240" w:lineRule="auto"/>
        <w:rPr>
          <w:rFonts w:ascii="Verdana" w:hAnsi="Verdana"/>
          <w:b/>
          <w:lang w:val="es-ES"/>
        </w:rPr>
      </w:pPr>
    </w:p>
    <w:p w14:paraId="2CF291EE" w14:textId="77777777" w:rsidR="00977DC9" w:rsidRPr="009F5AD6" w:rsidRDefault="00977DC9" w:rsidP="00977DC9">
      <w:pPr>
        <w:spacing w:after="0" w:line="240" w:lineRule="auto"/>
        <w:rPr>
          <w:rFonts w:ascii="Verdana" w:hAnsi="Verdana"/>
          <w:b/>
          <w:lang w:val="es-ES"/>
        </w:rPr>
      </w:pPr>
    </w:p>
    <w:p w14:paraId="70D513ED" w14:textId="77777777" w:rsidR="00977DC9" w:rsidRPr="009F5AD6" w:rsidRDefault="00977DC9" w:rsidP="00977DC9">
      <w:pPr>
        <w:spacing w:after="0" w:line="240" w:lineRule="auto"/>
        <w:rPr>
          <w:rFonts w:ascii="Verdana" w:hAnsi="Verdana"/>
          <w:b/>
          <w:lang w:val="es-ES"/>
        </w:rPr>
      </w:pPr>
    </w:p>
    <w:p w14:paraId="396A5B57" w14:textId="77777777" w:rsidR="00977DC9" w:rsidRPr="009F5AD6" w:rsidRDefault="00977DC9" w:rsidP="00977DC9">
      <w:pPr>
        <w:spacing w:after="0" w:line="240" w:lineRule="auto"/>
        <w:rPr>
          <w:rFonts w:ascii="Verdana" w:hAnsi="Verdana"/>
          <w:b/>
          <w:lang w:val="es-ES"/>
        </w:rPr>
      </w:pPr>
    </w:p>
    <w:p w14:paraId="403EF657" w14:textId="77777777" w:rsidR="00977DC9" w:rsidRDefault="00977DC9" w:rsidP="00977DC9">
      <w:pPr>
        <w:spacing w:after="0" w:line="240" w:lineRule="auto"/>
        <w:rPr>
          <w:rFonts w:ascii="Verdana" w:hAnsi="Verdana"/>
          <w:b/>
          <w:lang w:val="es-ES"/>
        </w:rPr>
      </w:pPr>
    </w:p>
    <w:p w14:paraId="4A7D4A5C" w14:textId="52B2754F" w:rsidR="00977DC9" w:rsidRPr="009F5AD6" w:rsidRDefault="000F4751" w:rsidP="00977DC9">
      <w:pPr>
        <w:spacing w:after="0" w:line="240" w:lineRule="auto"/>
        <w:contextualSpacing/>
        <w:rPr>
          <w:rFonts w:ascii="Verdana" w:eastAsia="Calibri" w:hAnsi="Verdana" w:cs="Arial"/>
        </w:rPr>
      </w:pPr>
      <w:r>
        <w:rPr>
          <w:noProof/>
        </w:rPr>
        <w:lastRenderedPageBreak/>
        <w:drawing>
          <wp:anchor distT="0" distB="0" distL="0" distR="0" simplePos="0" relativeHeight="251659264" behindDoc="0" locked="0" layoutInCell="1" allowOverlap="1" wp14:anchorId="6B5C6A5E" wp14:editId="656B9A51">
            <wp:simplePos x="0" y="0"/>
            <wp:positionH relativeFrom="page">
              <wp:posOffset>4871085</wp:posOffset>
            </wp:positionH>
            <wp:positionV relativeFrom="paragraph">
              <wp:posOffset>-412750</wp:posOffset>
            </wp:positionV>
            <wp:extent cx="2400300" cy="6159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2400300" cy="615950"/>
                    </a:xfrm>
                    <a:prstGeom prst="rect">
                      <a:avLst/>
                    </a:prstGeom>
                  </pic:spPr>
                </pic:pic>
              </a:graphicData>
            </a:graphic>
          </wp:anchor>
        </w:drawing>
      </w:r>
      <w:r w:rsidR="00977DC9" w:rsidRPr="009F5AD6">
        <w:rPr>
          <w:rFonts w:ascii="Verdana" w:eastAsia="Times New Roman" w:hAnsi="Verdana" w:cs="Arial"/>
          <w:lang w:val="es-ES" w:eastAsia="es-ES"/>
        </w:rPr>
        <w:t xml:space="preserve">Bogotá, </w:t>
      </w:r>
      <w:r>
        <w:rPr>
          <w:rFonts w:ascii="Verdana" w:eastAsia="Times New Roman" w:hAnsi="Verdana" w:cs="Arial"/>
          <w:lang w:val="es-ES" w:eastAsia="es-ES"/>
        </w:rPr>
        <w:t>29</w:t>
      </w:r>
      <w:r w:rsidR="00977DC9" w:rsidRPr="009F5AD6">
        <w:rPr>
          <w:rFonts w:ascii="Verdana" w:eastAsia="Times New Roman" w:hAnsi="Verdana" w:cs="Arial"/>
          <w:lang w:val="es-ES" w:eastAsia="es-ES"/>
        </w:rPr>
        <w:t xml:space="preserve"> </w:t>
      </w:r>
      <w:r>
        <w:rPr>
          <w:rFonts w:ascii="Verdana" w:eastAsia="Times New Roman" w:hAnsi="Verdana" w:cs="Arial"/>
          <w:lang w:val="es-ES" w:eastAsia="es-ES"/>
        </w:rPr>
        <w:t>octubre 2026</w:t>
      </w:r>
    </w:p>
    <w:p w14:paraId="439A94B2" w14:textId="1D56673C" w:rsidR="00977DC9" w:rsidRPr="009F5AD6" w:rsidRDefault="000F4751" w:rsidP="00977DC9">
      <w:pPr>
        <w:spacing w:after="0" w:line="240" w:lineRule="auto"/>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14:paraId="1C475260" w14:textId="77777777" w:rsidR="00977DC9" w:rsidRPr="009F5AD6" w:rsidRDefault="00977DC9" w:rsidP="00977DC9">
      <w:pPr>
        <w:spacing w:after="0" w:line="240" w:lineRule="auto"/>
        <w:jc w:val="both"/>
        <w:rPr>
          <w:rStyle w:val="Hipervnculo"/>
          <w:rFonts w:ascii="Verdana" w:hAnsi="Verdana"/>
          <w:color w:val="auto"/>
        </w:rPr>
      </w:pPr>
    </w:p>
    <w:p w14:paraId="772FDAF4" w14:textId="77777777" w:rsidR="00977DC9" w:rsidRPr="009F5AD6" w:rsidRDefault="00977DC9" w:rsidP="00977DC9">
      <w:pPr>
        <w:spacing w:after="0" w:line="240" w:lineRule="auto"/>
        <w:jc w:val="both"/>
        <w:rPr>
          <w:rFonts w:ascii="Verdana" w:hAnsi="Verdana" w:cs="Arial"/>
          <w:bCs/>
          <w:lang w:eastAsia="es-ES" w:bidi="es-ES"/>
        </w:rPr>
      </w:pPr>
      <w:r w:rsidRPr="009F5AD6">
        <w:rPr>
          <w:rFonts w:ascii="Verdana" w:hAnsi="Verdana" w:cs="Arial"/>
          <w:bCs/>
          <w:lang w:eastAsia="es-ES" w:bidi="es-ES"/>
        </w:rPr>
        <w:t>Señor</w:t>
      </w:r>
      <w:r>
        <w:rPr>
          <w:rFonts w:ascii="Verdana" w:hAnsi="Verdana" w:cs="Arial"/>
          <w:bCs/>
          <w:lang w:eastAsia="es-ES" w:bidi="es-ES"/>
        </w:rPr>
        <w:t>a</w:t>
      </w:r>
    </w:p>
    <w:p w14:paraId="01EFB7AF" w14:textId="77777777" w:rsidR="00977DC9" w:rsidRPr="009F5AD6" w:rsidRDefault="00977DC9" w:rsidP="00977DC9">
      <w:pPr>
        <w:spacing w:after="0" w:line="240" w:lineRule="auto"/>
        <w:jc w:val="both"/>
        <w:rPr>
          <w:rFonts w:ascii="Verdana" w:hAnsi="Verdana" w:cs="Arial"/>
          <w:b/>
          <w:bCs/>
          <w:lang w:eastAsia="es-ES" w:bidi="es-ES"/>
        </w:rPr>
      </w:pPr>
      <w:r>
        <w:rPr>
          <w:rFonts w:ascii="Verdana" w:hAnsi="Verdana" w:cs="Arial"/>
          <w:b/>
          <w:bCs/>
          <w:lang w:eastAsia="es-ES" w:bidi="es-ES"/>
        </w:rPr>
        <w:t>Danna Valentina Gamboa Castro</w:t>
      </w:r>
    </w:p>
    <w:p w14:paraId="64665D8F" w14:textId="77777777" w:rsidR="00977DC9" w:rsidRPr="002006C9" w:rsidRDefault="00977DC9" w:rsidP="00977DC9">
      <w:pPr>
        <w:spacing w:after="0" w:line="240" w:lineRule="auto"/>
        <w:jc w:val="both"/>
        <w:rPr>
          <w:rFonts w:ascii="Verdana" w:hAnsi="Verdana"/>
        </w:rPr>
      </w:pPr>
      <w:hyperlink r:id="rId8" w:history="1">
        <w:r w:rsidRPr="00A45DCA">
          <w:rPr>
            <w:rStyle w:val="Hipervnculo"/>
            <w:rFonts w:ascii="Verdana" w:hAnsi="Verdana"/>
          </w:rPr>
          <w:t>danna.gamboac@gmail.com</w:t>
        </w:r>
      </w:hyperlink>
      <w:r>
        <w:rPr>
          <w:rFonts w:ascii="Verdana" w:hAnsi="Verdana"/>
        </w:rPr>
        <w:t xml:space="preserve"> </w:t>
      </w:r>
    </w:p>
    <w:p w14:paraId="46201E81" w14:textId="77777777" w:rsidR="00977DC9" w:rsidRPr="009F5AD6" w:rsidRDefault="00977DC9" w:rsidP="00977DC9">
      <w:pPr>
        <w:spacing w:after="0" w:line="240" w:lineRule="auto"/>
        <w:jc w:val="both"/>
        <w:rPr>
          <w:rFonts w:ascii="Verdana" w:hAnsi="Verdana" w:cs="Arial"/>
          <w:bCs/>
          <w:lang w:val="es-MX" w:eastAsia="es-ES" w:bidi="es-ES"/>
        </w:rPr>
      </w:pPr>
      <w:r>
        <w:rPr>
          <w:rFonts w:ascii="Verdana" w:hAnsi="Verdana" w:cs="Arial"/>
          <w:bCs/>
          <w:lang w:val="es-MX" w:eastAsia="es-ES" w:bidi="es-ES"/>
        </w:rPr>
        <w:t>Ciudad</w:t>
      </w:r>
    </w:p>
    <w:p w14:paraId="593F0664" w14:textId="77777777" w:rsidR="00977DC9" w:rsidRPr="009F5AD6" w:rsidRDefault="00977DC9" w:rsidP="00977DC9">
      <w:pPr>
        <w:spacing w:after="0" w:line="240" w:lineRule="auto"/>
        <w:jc w:val="both"/>
        <w:rPr>
          <w:rFonts w:ascii="Verdana" w:hAnsi="Verdana" w:cs="Arial"/>
          <w:b/>
          <w:bCs/>
          <w:lang w:val="es-ES_tradnl" w:eastAsia="es-ES" w:bidi="es-ES"/>
        </w:rPr>
      </w:pPr>
    </w:p>
    <w:p w14:paraId="61E507C3" w14:textId="77777777" w:rsidR="00977DC9" w:rsidRPr="009F5AD6" w:rsidRDefault="00977DC9" w:rsidP="00977DC9">
      <w:pPr>
        <w:tabs>
          <w:tab w:val="left" w:pos="7184"/>
        </w:tabs>
        <w:spacing w:after="0" w:line="240" w:lineRule="auto"/>
        <w:jc w:val="both"/>
        <w:rPr>
          <w:rFonts w:ascii="Verdana" w:hAnsi="Verdana" w:cs="Arial"/>
          <w:b/>
          <w:bCs/>
          <w:lang w:val="es-ES_tradnl" w:eastAsia="es-ES" w:bidi="es-ES"/>
        </w:rPr>
      </w:pPr>
      <w:r w:rsidRPr="009F5AD6">
        <w:rPr>
          <w:rFonts w:ascii="Verdana" w:hAnsi="Verdana" w:cs="Arial"/>
          <w:b/>
          <w:bCs/>
          <w:lang w:val="es-ES_tradnl" w:eastAsia="es-ES" w:bidi="es-ES"/>
        </w:rPr>
        <w:tab/>
      </w: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977DC9" w:rsidRPr="009F5AD6" w14:paraId="12026485" w14:textId="77777777" w:rsidTr="00E7274F">
        <w:trPr>
          <w:trHeight w:val="312"/>
        </w:trPr>
        <w:tc>
          <w:tcPr>
            <w:tcW w:w="2689" w:type="dxa"/>
          </w:tcPr>
          <w:p w14:paraId="2A67B116" w14:textId="77777777" w:rsidR="00977DC9" w:rsidRPr="009F5AD6" w:rsidRDefault="00977DC9" w:rsidP="00E7274F">
            <w:pPr>
              <w:jc w:val="both"/>
              <w:rPr>
                <w:rFonts w:ascii="Verdana" w:hAnsi="Verdana" w:cs="Arial"/>
                <w:b/>
                <w:bCs/>
                <w:lang w:val="es-ES_tradnl" w:eastAsia="es-ES" w:bidi="es-ES"/>
              </w:rPr>
            </w:pPr>
          </w:p>
        </w:tc>
        <w:tc>
          <w:tcPr>
            <w:tcW w:w="6242" w:type="dxa"/>
          </w:tcPr>
          <w:p w14:paraId="67016C63" w14:textId="77777777" w:rsidR="00977DC9" w:rsidRPr="009F5AD6" w:rsidRDefault="00977DC9" w:rsidP="00E7274F">
            <w:pPr>
              <w:tabs>
                <w:tab w:val="right" w:pos="6242"/>
              </w:tabs>
              <w:jc w:val="both"/>
              <w:rPr>
                <w:rFonts w:ascii="Verdana" w:hAnsi="Verdana" w:cs="Arial"/>
                <w:b/>
                <w:bCs/>
                <w:lang w:val="es-MX" w:eastAsia="es-ES" w:bidi="es-ES"/>
              </w:rPr>
            </w:pPr>
            <w:r w:rsidRPr="009F5AD6">
              <w:rPr>
                <w:rFonts w:ascii="Verdana" w:hAnsi="Verdana" w:cs="Arial"/>
                <w:b/>
                <w:bCs/>
                <w:lang w:val="es-MX" w:eastAsia="es-ES" w:bidi="es-ES"/>
              </w:rPr>
              <w:t xml:space="preserve">Concepto C- </w:t>
            </w:r>
            <w:r>
              <w:rPr>
                <w:rFonts w:ascii="Verdana" w:hAnsi="Verdana" w:cs="Arial"/>
                <w:b/>
                <w:bCs/>
                <w:lang w:val="es-MX" w:eastAsia="es-ES" w:bidi="es-ES"/>
              </w:rPr>
              <w:t>1489</w:t>
            </w:r>
            <w:r w:rsidRPr="009F5AD6">
              <w:rPr>
                <w:rFonts w:ascii="Verdana" w:hAnsi="Verdana" w:cs="Arial"/>
                <w:b/>
                <w:bCs/>
                <w:lang w:val="es-MX" w:eastAsia="es-ES" w:bidi="es-ES"/>
              </w:rPr>
              <w:t xml:space="preserve"> de 2026</w:t>
            </w:r>
            <w:r w:rsidRPr="009F5AD6">
              <w:rPr>
                <w:rFonts w:ascii="Verdana" w:hAnsi="Verdana" w:cs="Arial"/>
                <w:b/>
                <w:bCs/>
                <w:lang w:val="es-MX" w:eastAsia="es-ES" w:bidi="es-ES"/>
              </w:rPr>
              <w:tab/>
            </w:r>
          </w:p>
          <w:p w14:paraId="3CA7F22C" w14:textId="77777777" w:rsidR="00977DC9" w:rsidRPr="009F5AD6" w:rsidRDefault="00977DC9" w:rsidP="00E7274F">
            <w:pPr>
              <w:jc w:val="both"/>
              <w:rPr>
                <w:rFonts w:ascii="Verdana" w:hAnsi="Verdana" w:cs="Arial"/>
                <w:b/>
                <w:bCs/>
                <w:lang w:val="es-MX" w:eastAsia="es-ES" w:bidi="es-ES"/>
              </w:rPr>
            </w:pPr>
          </w:p>
        </w:tc>
      </w:tr>
      <w:tr w:rsidR="00977DC9" w:rsidRPr="009F5AD6" w14:paraId="73F4CD39" w14:textId="77777777" w:rsidTr="00E7274F">
        <w:trPr>
          <w:trHeight w:val="884"/>
        </w:trPr>
        <w:tc>
          <w:tcPr>
            <w:tcW w:w="2689" w:type="dxa"/>
          </w:tcPr>
          <w:p w14:paraId="00D6F054" w14:textId="77777777" w:rsidR="00977DC9" w:rsidRPr="009F5AD6" w:rsidRDefault="00977DC9" w:rsidP="00E7274F">
            <w:pPr>
              <w:jc w:val="both"/>
              <w:rPr>
                <w:rFonts w:ascii="Verdana" w:hAnsi="Verdana" w:cs="Arial"/>
                <w:bCs/>
                <w:lang w:val="es-MX" w:eastAsia="es-ES" w:bidi="es-ES"/>
              </w:rPr>
            </w:pPr>
            <w:r w:rsidRPr="009F5AD6">
              <w:rPr>
                <w:rFonts w:ascii="Verdana" w:hAnsi="Verdana" w:cs="Arial"/>
                <w:bCs/>
                <w:lang w:val="es-MX" w:eastAsia="es-ES" w:bidi="es-ES"/>
              </w:rPr>
              <w:t xml:space="preserve">Temas:                   </w:t>
            </w:r>
          </w:p>
        </w:tc>
        <w:tc>
          <w:tcPr>
            <w:tcW w:w="6242" w:type="dxa"/>
          </w:tcPr>
          <w:p w14:paraId="50CE67DC" w14:textId="77777777" w:rsidR="00977DC9" w:rsidRPr="009F5AD6" w:rsidRDefault="00977DC9" w:rsidP="00E7274F">
            <w:pPr>
              <w:jc w:val="both"/>
              <w:rPr>
                <w:rFonts w:ascii="Verdana" w:hAnsi="Verdana" w:cs="Arial"/>
                <w:bCs/>
                <w:lang w:val="es-ES_tradnl" w:eastAsia="es-ES" w:bidi="es-ES"/>
              </w:rPr>
            </w:pPr>
            <w:r w:rsidRPr="009F5AD6">
              <w:rPr>
                <w:rFonts w:ascii="Verdana" w:eastAsia="Arial" w:hAnsi="Verdana" w:cs="Arial"/>
                <w:lang w:val="es-ES"/>
              </w:rPr>
              <w:t xml:space="preserve">PRINCIPIO DE PUBLICIDAD – Concepto – Fundamento axiológico – Fundamento constitucional </w:t>
            </w:r>
            <w:r w:rsidRPr="009F5AD6">
              <w:rPr>
                <w:rFonts w:ascii="Verdana" w:hAnsi="Verdana" w:cs="Arial"/>
                <w:bCs/>
                <w:lang w:val="es-ES_tradnl" w:eastAsia="es-ES" w:bidi="es-ES"/>
              </w:rPr>
              <w:t>/ PRINCIPIO DE PUBLICIDAD – SECOP – Documentos del proceso – Deber de publicación</w:t>
            </w:r>
          </w:p>
          <w:p w14:paraId="1973363F" w14:textId="77777777" w:rsidR="00977DC9" w:rsidRPr="009F5AD6" w:rsidRDefault="00977DC9" w:rsidP="00E7274F">
            <w:pPr>
              <w:jc w:val="both"/>
              <w:rPr>
                <w:rFonts w:ascii="Verdana" w:hAnsi="Verdana" w:cs="Arial"/>
                <w:bCs/>
                <w:lang w:val="es-MX" w:eastAsia="es-ES" w:bidi="es-ES"/>
              </w:rPr>
            </w:pPr>
          </w:p>
        </w:tc>
      </w:tr>
      <w:tr w:rsidR="00977DC9" w:rsidRPr="009F5AD6" w14:paraId="3EB0FCB0" w14:textId="77777777" w:rsidTr="00E7274F">
        <w:tc>
          <w:tcPr>
            <w:tcW w:w="2689" w:type="dxa"/>
          </w:tcPr>
          <w:p w14:paraId="117208B5" w14:textId="77777777" w:rsidR="00977DC9" w:rsidRPr="009F5AD6" w:rsidRDefault="00977DC9" w:rsidP="00E7274F">
            <w:pPr>
              <w:jc w:val="both"/>
              <w:rPr>
                <w:rFonts w:ascii="Verdana" w:hAnsi="Verdana" w:cs="Arial"/>
                <w:bCs/>
                <w:lang w:val="es-MX" w:eastAsia="es-ES" w:bidi="es-ES"/>
              </w:rPr>
            </w:pPr>
            <w:r w:rsidRPr="009F5AD6">
              <w:rPr>
                <w:rFonts w:ascii="Verdana" w:hAnsi="Verdana" w:cs="Arial"/>
                <w:bCs/>
                <w:lang w:val="es-MX" w:eastAsia="es-ES" w:bidi="es-ES"/>
              </w:rPr>
              <w:t xml:space="preserve">Radicación:               </w:t>
            </w:r>
          </w:p>
        </w:tc>
        <w:tc>
          <w:tcPr>
            <w:tcW w:w="6242" w:type="dxa"/>
          </w:tcPr>
          <w:p w14:paraId="5EC4CB1D" w14:textId="77777777" w:rsidR="00977DC9" w:rsidRPr="009F5AD6" w:rsidRDefault="00977DC9" w:rsidP="00E7274F">
            <w:pPr>
              <w:jc w:val="both"/>
              <w:rPr>
                <w:rFonts w:ascii="Verdana" w:hAnsi="Verdana" w:cs="Arial"/>
                <w:bCs/>
                <w:lang w:val="es-MX" w:eastAsia="es-ES" w:bidi="es-ES"/>
              </w:rPr>
            </w:pPr>
            <w:r w:rsidRPr="009F5AD6">
              <w:rPr>
                <w:rFonts w:ascii="Verdana" w:hAnsi="Verdana" w:cs="Arial"/>
                <w:bCs/>
                <w:lang w:val="es-MX" w:eastAsia="es-ES" w:bidi="es-ES"/>
              </w:rPr>
              <w:t xml:space="preserve">Respuesta a parcial a consulta con radicado No. </w:t>
            </w:r>
            <w:r w:rsidRPr="009C4E5B">
              <w:rPr>
                <w:rFonts w:ascii="Verdana" w:hAnsi="Verdana" w:cs="Arial"/>
                <w:bCs/>
                <w:lang w:eastAsia="es-ES" w:bidi="es-ES"/>
              </w:rPr>
              <w:t>1_2026_09_18_012562</w:t>
            </w:r>
          </w:p>
        </w:tc>
      </w:tr>
    </w:tbl>
    <w:p w14:paraId="26DACE05" w14:textId="77777777" w:rsidR="00977DC9" w:rsidRPr="009F5AD6" w:rsidRDefault="00977DC9" w:rsidP="00977DC9">
      <w:pPr>
        <w:spacing w:after="0" w:line="240" w:lineRule="auto"/>
        <w:jc w:val="both"/>
        <w:rPr>
          <w:rFonts w:ascii="Verdana" w:hAnsi="Verdana" w:cs="Arial"/>
          <w:bCs/>
          <w:lang w:val="es-ES_tradnl" w:eastAsia="es-ES" w:bidi="es-ES"/>
        </w:rPr>
      </w:pPr>
    </w:p>
    <w:p w14:paraId="331E66BD" w14:textId="77777777" w:rsidR="00977DC9" w:rsidRPr="009F5AD6" w:rsidRDefault="00977DC9" w:rsidP="00977DC9">
      <w:pPr>
        <w:spacing w:after="0" w:line="276" w:lineRule="auto"/>
        <w:jc w:val="both"/>
        <w:rPr>
          <w:rFonts w:ascii="Verdana" w:hAnsi="Verdana" w:cs="Arial"/>
          <w:bCs/>
          <w:lang w:val="es-MX" w:eastAsia="es-ES" w:bidi="es-ES"/>
        </w:rPr>
      </w:pPr>
      <w:r w:rsidRPr="009F5AD6">
        <w:rPr>
          <w:rFonts w:ascii="Verdana" w:hAnsi="Verdana" w:cs="Arial"/>
          <w:bCs/>
          <w:lang w:val="es-MX" w:eastAsia="es-ES" w:bidi="es-ES"/>
        </w:rPr>
        <w:t>Estimad</w:t>
      </w:r>
      <w:r>
        <w:rPr>
          <w:rFonts w:ascii="Verdana" w:hAnsi="Verdana" w:cs="Arial"/>
          <w:bCs/>
          <w:lang w:val="es-MX" w:eastAsia="es-ES" w:bidi="es-ES"/>
        </w:rPr>
        <w:t>a</w:t>
      </w:r>
      <w:r w:rsidRPr="009F5AD6">
        <w:rPr>
          <w:rFonts w:ascii="Verdana" w:hAnsi="Verdana" w:cs="Arial"/>
          <w:bCs/>
          <w:lang w:val="es-MX" w:eastAsia="es-ES" w:bidi="es-ES"/>
        </w:rPr>
        <w:t xml:space="preserve"> Señor</w:t>
      </w:r>
      <w:r>
        <w:rPr>
          <w:rFonts w:ascii="Verdana" w:hAnsi="Verdana" w:cs="Arial"/>
          <w:bCs/>
          <w:lang w:val="es-MX" w:eastAsia="es-ES" w:bidi="es-ES"/>
        </w:rPr>
        <w:t>a</w:t>
      </w:r>
      <w:r w:rsidRPr="009F5AD6">
        <w:rPr>
          <w:rFonts w:ascii="Verdana" w:hAnsi="Verdana" w:cs="Arial"/>
          <w:bCs/>
          <w:lang w:val="es-MX" w:eastAsia="es-ES" w:bidi="es-ES"/>
        </w:rPr>
        <w:t xml:space="preserve"> </w:t>
      </w:r>
      <w:r>
        <w:rPr>
          <w:rFonts w:ascii="Verdana" w:hAnsi="Verdana" w:cs="Arial"/>
          <w:bCs/>
          <w:lang w:val="es-MX" w:eastAsia="es-ES" w:bidi="es-ES"/>
        </w:rPr>
        <w:t>Gamboa</w:t>
      </w:r>
      <w:r w:rsidRPr="009F5AD6">
        <w:rPr>
          <w:rFonts w:ascii="Verdana" w:hAnsi="Verdana" w:cs="Arial"/>
          <w:bCs/>
          <w:lang w:val="es-MX" w:eastAsia="es-ES" w:bidi="es-ES"/>
        </w:rPr>
        <w:t>:</w:t>
      </w:r>
    </w:p>
    <w:p w14:paraId="30584118" w14:textId="77777777" w:rsidR="00977DC9" w:rsidRPr="009F5AD6" w:rsidRDefault="00977DC9" w:rsidP="00977DC9">
      <w:pPr>
        <w:spacing w:after="0" w:line="276" w:lineRule="auto"/>
        <w:jc w:val="both"/>
        <w:rPr>
          <w:rFonts w:ascii="Verdana" w:hAnsi="Verdana" w:cs="Arial"/>
          <w:bCs/>
          <w:lang w:val="es-ES" w:eastAsia="es-ES" w:bidi="es-ES"/>
        </w:rPr>
      </w:pPr>
    </w:p>
    <w:p w14:paraId="44C606CB" w14:textId="77777777" w:rsidR="00977DC9" w:rsidRPr="009F5AD6" w:rsidRDefault="00977DC9" w:rsidP="00977DC9">
      <w:pPr>
        <w:spacing w:after="0" w:line="276" w:lineRule="auto"/>
        <w:jc w:val="both"/>
        <w:rPr>
          <w:rFonts w:ascii="Verdana" w:hAnsi="Verdana" w:cs="Arial"/>
          <w:bCs/>
          <w:lang w:val="es-ES" w:eastAsia="es-ES" w:bidi="es-ES"/>
        </w:rPr>
      </w:pPr>
      <w:r w:rsidRPr="009F5AD6">
        <w:rPr>
          <w:rFonts w:ascii="Verdana" w:hAnsi="Verdana" w:cs="Arial"/>
          <w:bCs/>
          <w:lang w:val="es-ES" w:eastAsia="es-ES" w:bidi="es-ES"/>
        </w:rPr>
        <w:t xml:space="preserve">En ejercicio de la competencia otorgada por los artículos 3, numeral 5º, y 11, numeral 8º, del Decreto Ley 4170 de 2011, </w:t>
      </w:r>
      <w:r w:rsidRPr="009F5AD6">
        <w:rPr>
          <w:rFonts w:ascii="Verdana" w:hAnsi="Verdana" w:cs="Arial"/>
          <w:bCs/>
          <w:lang w:eastAsia="es-ES" w:bidi="es-ES"/>
        </w:rPr>
        <w:t xml:space="preserve">así como lo establecido en el artículo 4 de la Resolución 1707 de 2018 expedida por esta Entidad, </w:t>
      </w:r>
      <w:r w:rsidRPr="009F5AD6">
        <w:rPr>
          <w:rFonts w:ascii="Verdana" w:hAnsi="Verdana" w:cs="Arial"/>
          <w:bCs/>
          <w:lang w:val="es-ES" w:eastAsia="es-ES" w:bidi="es-ES"/>
        </w:rPr>
        <w:t xml:space="preserve">la Agencia Nacional de Contratación Pública – Colombia Compra Eficiente– responde su petición del </w:t>
      </w:r>
      <w:r>
        <w:rPr>
          <w:rFonts w:ascii="Verdana" w:hAnsi="Verdana" w:cs="Arial"/>
          <w:bCs/>
          <w:lang w:val="es-ES" w:eastAsia="es-ES" w:bidi="es-ES"/>
        </w:rPr>
        <w:t>18</w:t>
      </w:r>
      <w:r w:rsidRPr="009F5AD6">
        <w:rPr>
          <w:rFonts w:ascii="Verdana" w:hAnsi="Verdana" w:cs="Arial"/>
          <w:bCs/>
          <w:lang w:val="es-ES" w:eastAsia="es-ES" w:bidi="es-ES"/>
        </w:rPr>
        <w:t xml:space="preserve"> de septiembre de 2026, en la que solicita lo siguiente: </w:t>
      </w:r>
    </w:p>
    <w:p w14:paraId="7BFF61C0" w14:textId="77777777" w:rsidR="00977DC9" w:rsidRPr="009F5AD6" w:rsidRDefault="00977DC9" w:rsidP="00977DC9">
      <w:pPr>
        <w:spacing w:after="0" w:line="276" w:lineRule="auto"/>
        <w:jc w:val="both"/>
        <w:rPr>
          <w:rFonts w:ascii="Verdana" w:hAnsi="Verdana" w:cs="Arial"/>
          <w:b/>
          <w:bCs/>
          <w:lang w:val="es-ES" w:eastAsia="es-ES" w:bidi="es-ES"/>
        </w:rPr>
      </w:pPr>
    </w:p>
    <w:p w14:paraId="0F55F1F2" w14:textId="77777777" w:rsidR="00977DC9" w:rsidRDefault="00977DC9" w:rsidP="00977DC9">
      <w:pPr>
        <w:spacing w:after="0" w:line="240" w:lineRule="auto"/>
        <w:ind w:left="709" w:right="709"/>
        <w:jc w:val="both"/>
        <w:rPr>
          <w:rFonts w:ascii="Verdana" w:hAnsi="Verdana" w:cs="Arial"/>
          <w:bCs/>
          <w:sz w:val="20"/>
          <w:lang w:eastAsia="es-ES" w:bidi="es-ES"/>
        </w:rPr>
      </w:pPr>
      <w:r w:rsidRPr="009F5AD6">
        <w:rPr>
          <w:rFonts w:ascii="Verdana" w:hAnsi="Verdana" w:cs="Arial"/>
          <w:bCs/>
          <w:sz w:val="20"/>
          <w:lang w:eastAsia="es-ES" w:bidi="es-ES"/>
        </w:rPr>
        <w:t>“</w:t>
      </w:r>
      <w:r>
        <w:rPr>
          <w:rFonts w:ascii="Verdana" w:hAnsi="Verdana" w:cs="Arial"/>
          <w:bCs/>
          <w:sz w:val="20"/>
          <w:lang w:eastAsia="es-ES" w:bidi="es-ES"/>
        </w:rPr>
        <w:t>Normativa de obligatoriedad del SECOP II: Indicar disposiciones legales y circulares vigentes que establezcan la obligatoriedad de uso del SECOP II, y listado actualizado de entidades obligadas.</w:t>
      </w:r>
    </w:p>
    <w:p w14:paraId="6F2F99AB" w14:textId="77777777" w:rsidR="00977DC9" w:rsidRDefault="00977DC9" w:rsidP="00977DC9">
      <w:pPr>
        <w:spacing w:after="0" w:line="240" w:lineRule="auto"/>
        <w:ind w:left="709" w:right="709"/>
        <w:jc w:val="both"/>
        <w:rPr>
          <w:rFonts w:ascii="Verdana" w:hAnsi="Verdana" w:cs="Arial"/>
          <w:bCs/>
          <w:sz w:val="20"/>
          <w:lang w:eastAsia="es-ES" w:bidi="es-ES"/>
        </w:rPr>
      </w:pPr>
    </w:p>
    <w:p w14:paraId="10271D46" w14:textId="77777777" w:rsidR="00977DC9" w:rsidRDefault="00977DC9" w:rsidP="00977DC9">
      <w:pPr>
        <w:spacing w:after="0" w:line="240" w:lineRule="auto"/>
        <w:ind w:left="709" w:right="709"/>
        <w:jc w:val="both"/>
        <w:rPr>
          <w:rFonts w:ascii="Verdana" w:hAnsi="Verdana" w:cs="Arial"/>
          <w:bCs/>
          <w:sz w:val="20"/>
          <w:lang w:eastAsia="es-ES" w:bidi="es-ES"/>
        </w:rPr>
      </w:pPr>
      <w:r>
        <w:rPr>
          <w:rFonts w:ascii="Verdana" w:hAnsi="Verdana" w:cs="Arial"/>
          <w:bCs/>
          <w:sz w:val="20"/>
          <w:lang w:eastAsia="es-ES" w:bidi="es-ES"/>
        </w:rPr>
        <w:t>Justificación uso de SECOP I: Explicar por qué algunas entidades pueden seguir usando SECOP I, criterios de exclusión de obligatoriedad y si existe plan de migración a SECOP II.</w:t>
      </w:r>
    </w:p>
    <w:p w14:paraId="479ACC7D" w14:textId="77777777" w:rsidR="00977DC9" w:rsidRDefault="00977DC9" w:rsidP="00977DC9">
      <w:pPr>
        <w:spacing w:after="0" w:line="240" w:lineRule="auto"/>
        <w:ind w:left="709" w:right="709"/>
        <w:jc w:val="both"/>
        <w:rPr>
          <w:rFonts w:ascii="Verdana" w:hAnsi="Verdana" w:cs="Arial"/>
          <w:bCs/>
          <w:sz w:val="20"/>
          <w:lang w:eastAsia="es-ES" w:bidi="es-ES"/>
        </w:rPr>
      </w:pPr>
    </w:p>
    <w:p w14:paraId="18A3AAE2" w14:textId="77777777" w:rsidR="00977DC9" w:rsidRPr="009F5AD6" w:rsidRDefault="00977DC9" w:rsidP="00977DC9">
      <w:pPr>
        <w:spacing w:after="0" w:line="240" w:lineRule="auto"/>
        <w:ind w:left="709" w:right="709"/>
        <w:jc w:val="both"/>
        <w:rPr>
          <w:rFonts w:ascii="Verdana" w:hAnsi="Verdana" w:cs="Arial"/>
          <w:bCs/>
          <w:sz w:val="20"/>
          <w:lang w:eastAsia="es-ES" w:bidi="es-ES"/>
        </w:rPr>
      </w:pPr>
      <w:r>
        <w:rPr>
          <w:rFonts w:ascii="Verdana" w:hAnsi="Verdana" w:cs="Arial"/>
          <w:bCs/>
          <w:sz w:val="20"/>
          <w:lang w:eastAsia="es-ES" w:bidi="es-ES"/>
        </w:rPr>
        <w:t>Procedimiento por uso indebido: Informar qué hacer si una entidad usa SECIO I en contratos de mayo cuantía debiendo usar SECOP II, incluyendo autoridad de reporte y acciones correctivas. (</w:t>
      </w:r>
      <w:proofErr w:type="spellStart"/>
      <w:r>
        <w:rPr>
          <w:rFonts w:ascii="Verdana" w:hAnsi="Verdana" w:cs="Arial"/>
          <w:bCs/>
          <w:sz w:val="20"/>
          <w:lang w:eastAsia="es-ES" w:bidi="es-ES"/>
        </w:rPr>
        <w:t>iv</w:t>
      </w:r>
      <w:proofErr w:type="spellEnd"/>
      <w:r>
        <w:rPr>
          <w:rFonts w:ascii="Verdana" w:hAnsi="Verdana" w:cs="Arial"/>
          <w:bCs/>
          <w:sz w:val="20"/>
          <w:lang w:eastAsia="es-ES" w:bidi="es-ES"/>
        </w:rPr>
        <w:t xml:space="preserve">) Informar si Colombia Compra Eficiente ha emitido conceptos, respuestas a consultas o jurisprudencia relacionada sobre el uso indebido de SECOP I por entidades obligadas a usar SECOP II, y de ser posible, proporcionar acceso a dichos </w:t>
      </w:r>
      <w:r>
        <w:rPr>
          <w:rFonts w:ascii="Verdana" w:hAnsi="Verdana" w:cs="Arial"/>
          <w:bCs/>
          <w:sz w:val="20"/>
          <w:lang w:eastAsia="es-ES" w:bidi="es-ES"/>
        </w:rPr>
        <w:lastRenderedPageBreak/>
        <w:t>documentos o indicar dónde pueden consultarse. Señalar si existe alguna guía, manual o protocolo expedido por su entidad para los ciudadanos, sobre uso correcto de SECOP I Y II”</w:t>
      </w:r>
      <w:r w:rsidRPr="009F5AD6">
        <w:rPr>
          <w:rFonts w:ascii="Verdana" w:hAnsi="Verdana" w:cs="Arial"/>
          <w:bCs/>
          <w:sz w:val="20"/>
          <w:lang w:eastAsia="es-ES" w:bidi="es-ES"/>
        </w:rPr>
        <w:t xml:space="preserve">. [sic] </w:t>
      </w:r>
    </w:p>
    <w:p w14:paraId="59DF60EA" w14:textId="77777777" w:rsidR="00977DC9" w:rsidRPr="009F5AD6" w:rsidRDefault="00977DC9" w:rsidP="00977DC9">
      <w:pPr>
        <w:spacing w:after="0" w:line="240" w:lineRule="auto"/>
        <w:jc w:val="both"/>
        <w:rPr>
          <w:rFonts w:ascii="Verdana" w:hAnsi="Verdana" w:cs="Arial"/>
          <w:b/>
          <w:bCs/>
          <w:lang w:val="es-ES" w:eastAsia="es-ES" w:bidi="es-ES"/>
        </w:rPr>
      </w:pPr>
    </w:p>
    <w:p w14:paraId="6995CF6A" w14:textId="77777777" w:rsidR="00977DC9" w:rsidRPr="009F5AD6" w:rsidRDefault="00977DC9" w:rsidP="00977DC9">
      <w:pPr>
        <w:spacing w:after="120" w:line="276" w:lineRule="auto"/>
        <w:ind w:firstLine="709"/>
        <w:jc w:val="both"/>
        <w:rPr>
          <w:rFonts w:ascii="Verdana" w:eastAsia="Calibri" w:hAnsi="Verdana" w:cs="Times New Roman"/>
          <w:lang w:val="es-ES"/>
        </w:rPr>
      </w:pPr>
      <w:r w:rsidRPr="009F5AD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343109E" w14:textId="77777777" w:rsidR="00977DC9" w:rsidRPr="009F5AD6" w:rsidRDefault="00977DC9" w:rsidP="00977DC9">
      <w:pPr>
        <w:spacing w:after="0" w:line="276" w:lineRule="auto"/>
        <w:ind w:firstLine="708"/>
        <w:jc w:val="both"/>
        <w:rPr>
          <w:rFonts w:ascii="Verdana" w:eastAsia="Calibri" w:hAnsi="Verdana" w:cs="Times New Roman"/>
          <w:lang w:val="es-ES"/>
        </w:rPr>
      </w:pPr>
      <w:r w:rsidRPr="009F5AD6">
        <w:rPr>
          <w:rFonts w:ascii="Verdana" w:eastAsia="Calibri" w:hAnsi="Verdana" w:cs="Times New Roman"/>
          <w:lang w:val="es-ES"/>
        </w:rPr>
        <w:t xml:space="preserve">Conforme lo expuesto, en aras de satisfacer el derecho fundamental de petición, la </w:t>
      </w:r>
      <w:r>
        <w:rPr>
          <w:rFonts w:ascii="Verdana" w:eastAsia="Calibri" w:hAnsi="Verdana" w:cs="Times New Roman"/>
          <w:lang w:val="es-ES"/>
        </w:rPr>
        <w:t>S</w:t>
      </w:r>
      <w:r w:rsidRPr="009F5AD6">
        <w:rPr>
          <w:rFonts w:ascii="Verdana" w:eastAsia="Calibri" w:hAnsi="Verdana" w:cs="Times New Roman"/>
          <w:lang w:val="es-ES"/>
        </w:rPr>
        <w:t>ubdirección de Gestión contractual</w:t>
      </w:r>
      <w:r>
        <w:rPr>
          <w:rFonts w:ascii="Verdana" w:eastAsia="Calibri" w:hAnsi="Verdana" w:cs="Times New Roman"/>
          <w:lang w:val="es-ES"/>
        </w:rPr>
        <w:t xml:space="preserve"> de esta Agencia</w:t>
      </w:r>
      <w:r w:rsidRPr="009F5AD6">
        <w:rPr>
          <w:rFonts w:ascii="Verdana" w:eastAsia="Calibri" w:hAnsi="Verdana" w:cs="Times New Roman"/>
          <w:lang w:val="es-ES"/>
        </w:rPr>
        <w:t xml:space="preserve"> resolverá de manera parcial su consulta dentro de los límites de la referida competencia consultiva, esto es, haciendo unas consideraciones sobre </w:t>
      </w:r>
      <w:r>
        <w:rPr>
          <w:rFonts w:ascii="Verdana" w:eastAsia="Calibri" w:hAnsi="Verdana" w:cs="Times New Roman"/>
          <w:lang w:val="es-ES"/>
        </w:rPr>
        <w:t>la obligatoriedad de publicación y transacción de los procesos de contratación pública en el SECOP</w:t>
      </w:r>
      <w:r w:rsidRPr="009F5AD6">
        <w:rPr>
          <w:rFonts w:ascii="Verdana" w:eastAsia="Calibri" w:hAnsi="Verdana" w:cs="Times New Roman"/>
          <w:lang w:val="es-ES"/>
        </w:rPr>
        <w:t xml:space="preserve">. Adicionalmente le informamos que, </w:t>
      </w:r>
      <w:r>
        <w:rPr>
          <w:rFonts w:ascii="Verdana" w:eastAsia="Calibri" w:hAnsi="Verdana" w:cs="Times New Roman"/>
          <w:lang w:val="es-ES"/>
        </w:rPr>
        <w:t xml:space="preserve">las solicitudes </w:t>
      </w:r>
      <w:r w:rsidRPr="006F1061">
        <w:rPr>
          <w:rFonts w:ascii="Verdana" w:eastAsia="Calibri" w:hAnsi="Verdana" w:cs="Times New Roman"/>
          <w:i/>
          <w:iCs/>
          <w:lang w:val="es-ES"/>
        </w:rPr>
        <w:t>“[…]Indicar disposiciones legales y circulares vigentes que establezcan la obligatoriedad de uso del SECOP II, y listado actualizado de entidades obligadas. […] Explicar por qué algunas entidades pueden seguir usando SECOP I, criterios de exclusión de obligatoriedad y si existe plan de migración a SECOP II. […] Señalar si existe alguna guía, manual o protocolo expedido por su entidad para los ciudadanos, sobre uso correcto de SECOP I Y II”</w:t>
      </w:r>
      <w:r>
        <w:rPr>
          <w:rFonts w:ascii="Verdana" w:eastAsia="Calibri" w:hAnsi="Verdana" w:cs="Times New Roman"/>
          <w:lang w:val="es-ES"/>
        </w:rPr>
        <w:t>,</w:t>
      </w:r>
      <w:r w:rsidRPr="006F1061">
        <w:rPr>
          <w:rFonts w:ascii="Verdana" w:eastAsia="Calibri" w:hAnsi="Verdana" w:cs="Times New Roman"/>
          <w:lang w:val="es-ES"/>
        </w:rPr>
        <w:t xml:space="preserve"> </w:t>
      </w:r>
      <w:r w:rsidRPr="009F5AD6">
        <w:rPr>
          <w:rFonts w:ascii="Verdana" w:eastAsia="Calibri" w:hAnsi="Verdana" w:cs="Times New Roman"/>
          <w:lang w:val="es-ES"/>
        </w:rPr>
        <w:t>se</w:t>
      </w:r>
      <w:r>
        <w:rPr>
          <w:rFonts w:ascii="Verdana" w:eastAsia="Calibri" w:hAnsi="Verdana" w:cs="Times New Roman"/>
          <w:lang w:val="es-ES"/>
        </w:rPr>
        <w:t xml:space="preserve"> resolverán</w:t>
      </w:r>
      <w:r w:rsidRPr="009F5AD6">
        <w:rPr>
          <w:rFonts w:ascii="Verdana" w:eastAsia="Calibri" w:hAnsi="Verdana" w:cs="Times New Roman"/>
          <w:lang w:val="es-ES"/>
        </w:rPr>
        <w:t xml:space="preserve"> por la Subdirecci</w:t>
      </w:r>
      <w:r>
        <w:rPr>
          <w:rFonts w:ascii="Verdana" w:eastAsia="Calibri" w:hAnsi="Verdana" w:cs="Times New Roman"/>
          <w:lang w:val="es-ES"/>
        </w:rPr>
        <w:t xml:space="preserve">ón </w:t>
      </w:r>
      <w:r w:rsidRPr="009F5AD6">
        <w:rPr>
          <w:rFonts w:ascii="Verdana" w:eastAsia="Calibri" w:hAnsi="Verdana" w:cs="Times New Roman"/>
          <w:lang w:val="es-ES"/>
        </w:rPr>
        <w:t>de Información y Desarrollo Tecnológico de esta entidad</w:t>
      </w:r>
      <w:r>
        <w:rPr>
          <w:rFonts w:ascii="Verdana" w:eastAsia="Calibri" w:hAnsi="Verdana" w:cs="Times New Roman"/>
          <w:lang w:val="es-ES"/>
        </w:rPr>
        <w:t>. Dicha respuesta se adjuntará al presente concepto.</w:t>
      </w:r>
    </w:p>
    <w:p w14:paraId="2EE14196" w14:textId="77777777" w:rsidR="00977DC9" w:rsidRPr="009F5AD6" w:rsidRDefault="00977DC9" w:rsidP="00977DC9">
      <w:pPr>
        <w:spacing w:after="0" w:line="276" w:lineRule="auto"/>
        <w:rPr>
          <w:rFonts w:ascii="Verdana" w:eastAsia="Calibri" w:hAnsi="Verdana" w:cs="Times New Roman"/>
          <w:lang w:val="es-ES"/>
        </w:rPr>
      </w:pPr>
    </w:p>
    <w:p w14:paraId="129DD636" w14:textId="77777777" w:rsidR="00977DC9" w:rsidRPr="009F5AD6" w:rsidRDefault="00977DC9" w:rsidP="00977DC9">
      <w:pPr>
        <w:numPr>
          <w:ilvl w:val="0"/>
          <w:numId w:val="1"/>
        </w:numPr>
        <w:spacing w:after="0" w:line="276" w:lineRule="auto"/>
        <w:rPr>
          <w:rFonts w:ascii="Verdana" w:eastAsia="Calibri" w:hAnsi="Verdana" w:cs="Times New Roman"/>
          <w:b/>
          <w:bCs/>
          <w:lang w:val="es-ES"/>
        </w:rPr>
      </w:pPr>
      <w:r w:rsidRPr="009F5AD6">
        <w:rPr>
          <w:rFonts w:ascii="Verdana" w:eastAsia="Calibri" w:hAnsi="Verdana" w:cs="Times New Roman"/>
          <w:b/>
          <w:bCs/>
          <w:lang w:val="es-ES"/>
        </w:rPr>
        <w:t>Problema planteado:</w:t>
      </w:r>
    </w:p>
    <w:p w14:paraId="4C2F8A5E" w14:textId="77777777" w:rsidR="00977DC9" w:rsidRPr="009F5AD6" w:rsidRDefault="00977DC9" w:rsidP="00977DC9">
      <w:pPr>
        <w:spacing w:after="0" w:line="276" w:lineRule="auto"/>
        <w:rPr>
          <w:rFonts w:ascii="Verdana" w:eastAsia="Calibri" w:hAnsi="Verdana" w:cs="Times New Roman"/>
        </w:rPr>
      </w:pPr>
    </w:p>
    <w:p w14:paraId="56DC0D31" w14:textId="77777777" w:rsidR="00977DC9" w:rsidRPr="009F5AD6" w:rsidRDefault="00977DC9" w:rsidP="00977DC9">
      <w:pPr>
        <w:spacing w:after="0" w:line="276" w:lineRule="auto"/>
        <w:jc w:val="both"/>
        <w:rPr>
          <w:rFonts w:ascii="Verdana" w:eastAsia="Calibri" w:hAnsi="Verdana" w:cs="Times New Roman"/>
          <w:bCs/>
        </w:rPr>
      </w:pPr>
      <w:r w:rsidRPr="009F5AD6">
        <w:rPr>
          <w:rFonts w:ascii="Verdana" w:eastAsia="Calibri" w:hAnsi="Verdana" w:cs="Times New Roman"/>
        </w:rPr>
        <w:t xml:space="preserve">De acuerdo con el contenido de su solicitud, le informamos que la misma se resolverá desde los siguientes interrogantes: </w:t>
      </w:r>
      <w:r>
        <w:rPr>
          <w:rFonts w:ascii="Verdana" w:eastAsia="Calibri" w:hAnsi="Verdana" w:cs="Times New Roman"/>
        </w:rPr>
        <w:t xml:space="preserve">i) ¿Cuál es el alcance y la fuente </w:t>
      </w:r>
      <w:r>
        <w:rPr>
          <w:rFonts w:ascii="Verdana" w:eastAsia="Calibri" w:hAnsi="Verdana" w:cs="Times New Roman"/>
        </w:rPr>
        <w:lastRenderedPageBreak/>
        <w:t xml:space="preserve">normativa del deber de publicidad de la actividad contractual de las entidades estatales y mediante </w:t>
      </w:r>
      <w:proofErr w:type="spellStart"/>
      <w:r>
        <w:rPr>
          <w:rFonts w:ascii="Verdana" w:eastAsia="Calibri" w:hAnsi="Verdana" w:cs="Times New Roman"/>
        </w:rPr>
        <w:t>que</w:t>
      </w:r>
      <w:proofErr w:type="spellEnd"/>
      <w:r>
        <w:rPr>
          <w:rFonts w:ascii="Verdana" w:eastAsia="Calibri" w:hAnsi="Verdana" w:cs="Times New Roman"/>
        </w:rPr>
        <w:t xml:space="preserve"> sistema debe cumplirse dicha obligación?; </w:t>
      </w:r>
      <w:proofErr w:type="spellStart"/>
      <w:r w:rsidRPr="009F5AD6">
        <w:rPr>
          <w:rFonts w:ascii="Verdana" w:eastAsia="Calibri" w:hAnsi="Verdana" w:cs="Times New Roman"/>
        </w:rPr>
        <w:t>i</w:t>
      </w:r>
      <w:r>
        <w:rPr>
          <w:rFonts w:ascii="Verdana" w:eastAsia="Calibri" w:hAnsi="Verdana" w:cs="Times New Roman"/>
        </w:rPr>
        <w:t>i</w:t>
      </w:r>
      <w:proofErr w:type="spellEnd"/>
      <w:r w:rsidRPr="009F5AD6">
        <w:rPr>
          <w:rFonts w:ascii="Verdana" w:eastAsia="Calibri" w:hAnsi="Verdana" w:cs="Times New Roman"/>
        </w:rPr>
        <w:t xml:space="preserve">) </w:t>
      </w:r>
      <w:r>
        <w:rPr>
          <w:rFonts w:ascii="Verdana" w:eastAsia="Calibri" w:hAnsi="Verdana" w:cs="Times New Roman"/>
        </w:rPr>
        <w:t>¿</w:t>
      </w:r>
      <w:r w:rsidRPr="009F5AD6">
        <w:rPr>
          <w:rFonts w:ascii="Verdana" w:eastAsia="Calibri" w:hAnsi="Verdana" w:cs="Times New Roman"/>
          <w:bCs/>
        </w:rPr>
        <w:t>Qué consecuencias</w:t>
      </w:r>
      <w:r>
        <w:rPr>
          <w:rFonts w:ascii="Verdana" w:eastAsia="Calibri" w:hAnsi="Verdana" w:cs="Times New Roman"/>
          <w:bCs/>
        </w:rPr>
        <w:t xml:space="preserve"> jurídicas puede generar el incumplimiento de la obligación de </w:t>
      </w:r>
      <w:r w:rsidRPr="009F5AD6">
        <w:rPr>
          <w:rFonts w:ascii="Verdana" w:eastAsia="Calibri" w:hAnsi="Verdana" w:cs="Times New Roman"/>
          <w:bCs/>
        </w:rPr>
        <w:t>publica</w:t>
      </w:r>
      <w:r>
        <w:rPr>
          <w:rFonts w:ascii="Verdana" w:eastAsia="Calibri" w:hAnsi="Verdana" w:cs="Times New Roman"/>
          <w:bCs/>
        </w:rPr>
        <w:t xml:space="preserve">r </w:t>
      </w:r>
      <w:r w:rsidRPr="009F5AD6">
        <w:rPr>
          <w:rFonts w:ascii="Verdana" w:eastAsia="Calibri" w:hAnsi="Verdana" w:cs="Times New Roman"/>
          <w:bCs/>
        </w:rPr>
        <w:t>la documentación</w:t>
      </w:r>
      <w:r>
        <w:rPr>
          <w:rFonts w:ascii="Verdana" w:eastAsia="Calibri" w:hAnsi="Verdana" w:cs="Times New Roman"/>
          <w:bCs/>
        </w:rPr>
        <w:t xml:space="preserve"> e información contractual exigidos por el ordenamiento jurídico </w:t>
      </w:r>
      <w:r w:rsidRPr="009F5AD6">
        <w:rPr>
          <w:rFonts w:ascii="Verdana" w:eastAsia="Calibri" w:hAnsi="Verdana" w:cs="Times New Roman"/>
          <w:bCs/>
        </w:rPr>
        <w:t>en SECOP?</w:t>
      </w:r>
      <w:r>
        <w:rPr>
          <w:rFonts w:ascii="Verdana" w:eastAsia="Calibri" w:hAnsi="Verdana" w:cs="Times New Roman"/>
          <w:bCs/>
        </w:rPr>
        <w:t xml:space="preserve">; </w:t>
      </w:r>
      <w:proofErr w:type="spellStart"/>
      <w:r>
        <w:rPr>
          <w:rFonts w:ascii="Verdana" w:eastAsia="Calibri" w:hAnsi="Verdana" w:cs="Times New Roman"/>
          <w:bCs/>
        </w:rPr>
        <w:t>iii</w:t>
      </w:r>
      <w:proofErr w:type="spellEnd"/>
      <w:r>
        <w:rPr>
          <w:rFonts w:ascii="Verdana" w:eastAsia="Calibri" w:hAnsi="Verdana" w:cs="Times New Roman"/>
          <w:bCs/>
        </w:rPr>
        <w:t xml:space="preserve">) ¿Cuál es la fuente normativa de la obligación de utilizar el SECOP II y mediante qué instrumentos ha establecido Colombia Compra Eficiente la incorporación progresiva de las entidades estatales a dicha plataforma? y; </w:t>
      </w:r>
      <w:proofErr w:type="spellStart"/>
      <w:r>
        <w:rPr>
          <w:rFonts w:ascii="Verdana" w:eastAsia="Calibri" w:hAnsi="Verdana" w:cs="Times New Roman"/>
          <w:bCs/>
        </w:rPr>
        <w:t>iv</w:t>
      </w:r>
      <w:proofErr w:type="spellEnd"/>
      <w:r>
        <w:rPr>
          <w:rFonts w:ascii="Verdana" w:eastAsia="Calibri" w:hAnsi="Verdana" w:cs="Times New Roman"/>
          <w:bCs/>
        </w:rPr>
        <w:t>) ¡En qué condiciones determinadas entidades estatales pueden continuar gestionando sus proceso contractuales a través de SECOP I?</w:t>
      </w:r>
    </w:p>
    <w:p w14:paraId="52F2F0DC" w14:textId="77777777" w:rsidR="00977DC9" w:rsidRPr="009F5AD6" w:rsidRDefault="00977DC9" w:rsidP="00977DC9">
      <w:pPr>
        <w:spacing w:after="0" w:line="276" w:lineRule="auto"/>
        <w:jc w:val="both"/>
        <w:rPr>
          <w:rFonts w:ascii="Verdana" w:eastAsia="Calibri" w:hAnsi="Verdana" w:cs="Times New Roman"/>
          <w:bCs/>
        </w:rPr>
      </w:pPr>
    </w:p>
    <w:p w14:paraId="4D0EFC84" w14:textId="77777777" w:rsidR="00977DC9" w:rsidRPr="009F5AD6" w:rsidRDefault="00977DC9" w:rsidP="00977DC9">
      <w:pPr>
        <w:numPr>
          <w:ilvl w:val="0"/>
          <w:numId w:val="1"/>
        </w:numPr>
        <w:spacing w:after="0" w:line="276" w:lineRule="auto"/>
        <w:rPr>
          <w:rFonts w:ascii="Verdana" w:eastAsia="Calibri" w:hAnsi="Verdana" w:cs="Times New Roman"/>
          <w:b/>
          <w:bCs/>
          <w:lang w:val="es-ES"/>
        </w:rPr>
      </w:pPr>
      <w:r w:rsidRPr="009F5AD6">
        <w:rPr>
          <w:rFonts w:ascii="Verdana" w:eastAsia="Calibri" w:hAnsi="Verdana" w:cs="Times New Roman"/>
          <w:b/>
          <w:bCs/>
          <w:lang w:val="es-ES"/>
        </w:rPr>
        <w:t>Respuesta:</w:t>
      </w:r>
    </w:p>
    <w:p w14:paraId="52FA3090" w14:textId="77777777" w:rsidR="00977DC9" w:rsidRPr="009F5AD6" w:rsidRDefault="00977DC9" w:rsidP="00977DC9">
      <w:pPr>
        <w:spacing w:after="0" w:line="276" w:lineRule="auto"/>
        <w:jc w:val="both"/>
        <w:rPr>
          <w:rFonts w:ascii="Verdana" w:hAnsi="Verdana" w:cs="Arial"/>
          <w:bCs/>
          <w:lang w:val="es-ES" w:eastAsia="es-ES" w:bidi="es-ES"/>
        </w:rPr>
      </w:pPr>
    </w:p>
    <w:tbl>
      <w:tblPr>
        <w:tblStyle w:val="Tablaconcuadrcula"/>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77DC9" w:rsidRPr="00B824CD" w14:paraId="00312167" w14:textId="77777777" w:rsidTr="00E7274F">
        <w:trPr>
          <w:trHeight w:val="870"/>
        </w:trPr>
        <w:tc>
          <w:tcPr>
            <w:tcW w:w="8647" w:type="dxa"/>
          </w:tcPr>
          <w:p w14:paraId="6325F1A2" w14:textId="77777777" w:rsidR="00977DC9" w:rsidRPr="00235E30" w:rsidRDefault="00977DC9" w:rsidP="00E7274F">
            <w:pPr>
              <w:pStyle w:val="NormalWeb"/>
              <w:spacing w:before="0" w:beforeAutospacing="0" w:after="120" w:afterAutospacing="0" w:line="276" w:lineRule="auto"/>
              <w:jc w:val="both"/>
              <w:rPr>
                <w:rFonts w:ascii="Verdana" w:hAnsi="Verdana" w:cs="Segoe UI"/>
                <w:sz w:val="22"/>
                <w:szCs w:val="22"/>
              </w:rPr>
            </w:pPr>
            <w:r w:rsidRPr="00235E30">
              <w:rPr>
                <w:rFonts w:ascii="Verdana" w:eastAsia="Aptos" w:hAnsi="Verdana" w:cs="Arial"/>
                <w:kern w:val="2"/>
                <w:sz w:val="22"/>
                <w:szCs w:val="22"/>
                <w14:ligatures w14:val="standardContextual"/>
              </w:rPr>
              <w:t xml:space="preserve">i) </w:t>
            </w:r>
            <w:r w:rsidRPr="00235E30">
              <w:rPr>
                <w:rFonts w:ascii="Verdana" w:hAnsi="Verdana" w:cs="Segoe UI"/>
                <w:sz w:val="22"/>
                <w:szCs w:val="22"/>
              </w:rPr>
              <w:t>El deber de publicidad de la actividad contractual constituye una manifestación de los principios de publicidad, transparencia y acceso a la información pública consagrados en los artículos 74 y 209 de la Constitución Política y desarrollados, entre otras disposiciones, por la Ley 1150 de 2007, la Ley 1712 de 2014 y los Decretos 1081 y 1082 de 2015.</w:t>
            </w:r>
          </w:p>
          <w:p w14:paraId="41B3AE37" w14:textId="77777777" w:rsidR="00977DC9" w:rsidRPr="00235E30" w:rsidRDefault="00977DC9" w:rsidP="00E7274F">
            <w:pPr>
              <w:pStyle w:val="NormalWeb"/>
              <w:spacing w:before="0" w:beforeAutospacing="0" w:after="120" w:afterAutospacing="0" w:line="276" w:lineRule="auto"/>
              <w:ind w:firstLine="709"/>
              <w:jc w:val="both"/>
              <w:rPr>
                <w:rFonts w:ascii="Verdana" w:hAnsi="Verdana" w:cs="Segoe UI"/>
                <w:sz w:val="22"/>
                <w:szCs w:val="22"/>
              </w:rPr>
            </w:pPr>
            <w:r w:rsidRPr="00235E30">
              <w:rPr>
                <w:rFonts w:ascii="Verdana" w:hAnsi="Verdana" w:cs="Segoe UI"/>
                <w:sz w:val="22"/>
                <w:szCs w:val="22"/>
              </w:rPr>
              <w:t>En particular, el literal c) del artículo 3 de la Ley 1150 de 2007 estableció el Sistema Electrónico para la Contratación Pública – SECOP como el mecanismo oficial de difusión de la información contractual financiada con recursos públicos. A su vez, el artículo 2.1.1.2.1.7 del Decreto 1081 de 2015 dispone que los sujetos obligados que contratan con cargo a recursos públicos deben cumplir a través del SECOP la obligación de publicar la información de su gestión contractual.</w:t>
            </w:r>
          </w:p>
          <w:p w14:paraId="252F5012" w14:textId="77777777" w:rsidR="00977DC9" w:rsidRPr="00235E30" w:rsidRDefault="00977DC9" w:rsidP="00E7274F">
            <w:pPr>
              <w:pStyle w:val="NormalWeb"/>
              <w:spacing w:before="0" w:beforeAutospacing="0" w:after="120" w:afterAutospacing="0" w:line="276" w:lineRule="auto"/>
              <w:ind w:firstLine="709"/>
              <w:jc w:val="both"/>
              <w:rPr>
                <w:rFonts w:ascii="Verdana" w:hAnsi="Verdana" w:cs="Segoe UI"/>
                <w:sz w:val="22"/>
                <w:szCs w:val="22"/>
              </w:rPr>
            </w:pPr>
            <w:r w:rsidRPr="00235E30">
              <w:rPr>
                <w:rFonts w:ascii="Verdana" w:hAnsi="Verdana" w:cs="Segoe UI"/>
                <w:sz w:val="22"/>
                <w:szCs w:val="22"/>
              </w:rPr>
              <w:t xml:space="preserve">De manera concordante, el artículo 2.2.1.1.1.7.1 del Decreto 1082 de 2015 establece que las entidades estatales deben publicar en el SECOP los documentos del proceso y los actos administrativos expedidos con ocasión de la actividad contractual, obligación que comprende los documentos generados durante las etapas precontractual, contractual y </w:t>
            </w:r>
            <w:proofErr w:type="spellStart"/>
            <w:r w:rsidRPr="00235E30">
              <w:rPr>
                <w:rFonts w:ascii="Verdana" w:hAnsi="Verdana" w:cs="Segoe UI"/>
                <w:sz w:val="22"/>
                <w:szCs w:val="22"/>
              </w:rPr>
              <w:t>postcontractual</w:t>
            </w:r>
            <w:proofErr w:type="spellEnd"/>
            <w:r w:rsidRPr="00235E30">
              <w:rPr>
                <w:rFonts w:ascii="Verdana" w:hAnsi="Verdana" w:cs="Segoe UI"/>
                <w:sz w:val="22"/>
                <w:szCs w:val="22"/>
              </w:rPr>
              <w:t>.</w:t>
            </w:r>
          </w:p>
          <w:p w14:paraId="231F7F15" w14:textId="77777777" w:rsidR="00977DC9" w:rsidRPr="00235E30" w:rsidRDefault="00977DC9" w:rsidP="00E7274F">
            <w:pPr>
              <w:pStyle w:val="NormalWeb"/>
              <w:spacing w:before="0" w:beforeAutospacing="0" w:after="0" w:afterAutospacing="0" w:line="276" w:lineRule="auto"/>
              <w:ind w:firstLine="709"/>
              <w:jc w:val="both"/>
              <w:rPr>
                <w:rFonts w:ascii="Verdana" w:hAnsi="Verdana" w:cs="Segoe UI"/>
                <w:sz w:val="22"/>
                <w:szCs w:val="22"/>
              </w:rPr>
            </w:pPr>
            <w:r w:rsidRPr="00235E30">
              <w:rPr>
                <w:rFonts w:ascii="Verdana" w:hAnsi="Verdana" w:cs="Segoe UI"/>
                <w:sz w:val="22"/>
                <w:szCs w:val="22"/>
              </w:rPr>
              <w:t>En consecuencia, la fuente normativa del deber de publicidad de la actividad contractual se encuentra en la Constitución Política, la Ley 1150 de 2007, la Ley 1712 de 2014 y los Decretos 1081 y 1082 de 2015; y el sistema legalmente previsto para satisfacer dicha obligación es el SECOP, de conformidad con las reglas previstas por el ordenamiento jurídico.</w:t>
            </w:r>
          </w:p>
          <w:p w14:paraId="0A5B197B" w14:textId="77777777" w:rsidR="00977DC9" w:rsidRPr="00235E30" w:rsidRDefault="00977DC9" w:rsidP="00E7274F">
            <w:pPr>
              <w:pStyle w:val="NormalWeb"/>
              <w:spacing w:before="0" w:beforeAutospacing="0" w:after="0" w:afterAutospacing="0" w:line="276" w:lineRule="auto"/>
              <w:ind w:firstLine="709"/>
              <w:jc w:val="both"/>
              <w:rPr>
                <w:rFonts w:ascii="Verdana" w:hAnsi="Verdana" w:cs="Segoe UI"/>
                <w:sz w:val="22"/>
                <w:szCs w:val="22"/>
              </w:rPr>
            </w:pPr>
          </w:p>
          <w:p w14:paraId="63ED36C8" w14:textId="77777777" w:rsidR="00977DC9" w:rsidRPr="00235E30" w:rsidRDefault="00977DC9" w:rsidP="00E7274F">
            <w:pPr>
              <w:pStyle w:val="NormalWeb"/>
              <w:spacing w:before="0" w:beforeAutospacing="0" w:after="120" w:afterAutospacing="0" w:line="276" w:lineRule="auto"/>
              <w:jc w:val="both"/>
              <w:rPr>
                <w:rFonts w:ascii="Verdana" w:hAnsi="Verdana" w:cs="Segoe UI"/>
                <w:sz w:val="22"/>
                <w:szCs w:val="22"/>
              </w:rPr>
            </w:pPr>
            <w:proofErr w:type="spellStart"/>
            <w:r w:rsidRPr="00235E30">
              <w:rPr>
                <w:rFonts w:ascii="Verdana" w:hAnsi="Verdana" w:cs="Segoe UI"/>
                <w:sz w:val="22"/>
                <w:szCs w:val="22"/>
              </w:rPr>
              <w:lastRenderedPageBreak/>
              <w:t>ii</w:t>
            </w:r>
            <w:proofErr w:type="spellEnd"/>
            <w:r w:rsidRPr="00235E30">
              <w:rPr>
                <w:rFonts w:ascii="Verdana" w:hAnsi="Verdana" w:cs="Segoe UI"/>
                <w:sz w:val="22"/>
                <w:szCs w:val="22"/>
              </w:rPr>
              <w:t>) La publicación de los documentos e información contractual constituye una obligación legal derivada de los principios de publicidad, transparencia, acceso a la información pública y control social.</w:t>
            </w:r>
            <w:r>
              <w:rPr>
                <w:rFonts w:ascii="Verdana" w:hAnsi="Verdana" w:cs="Segoe UI"/>
                <w:sz w:val="22"/>
                <w:szCs w:val="22"/>
              </w:rPr>
              <w:t xml:space="preserve"> </w:t>
            </w:r>
            <w:r w:rsidRPr="00235E30">
              <w:rPr>
                <w:rFonts w:ascii="Verdana" w:hAnsi="Verdana" w:cs="Segoe UI"/>
                <w:sz w:val="22"/>
                <w:szCs w:val="22"/>
              </w:rPr>
              <w:t>Por consiguiente, la omisión en la publicación de los documentos exigidos por el ordenamiento jurídico implica el desconocimiento de los deberes previstos en la Ley 1150 de 2007, la Ley 1712 de 2014 y el Decreto 1082 de 2015.</w:t>
            </w:r>
            <w:r w:rsidRPr="00180208">
              <w:rPr>
                <w:rFonts w:ascii="Verdana" w:hAnsi="Verdana" w:cs="Segoe UI"/>
                <w:sz w:val="22"/>
                <w:szCs w:val="22"/>
              </w:rPr>
              <w:t xml:space="preserve"> </w:t>
            </w:r>
            <w:r>
              <w:rPr>
                <w:rFonts w:ascii="Verdana" w:hAnsi="Verdana" w:cs="Segoe UI"/>
                <w:sz w:val="22"/>
                <w:szCs w:val="22"/>
              </w:rPr>
              <w:t>Igualmente</w:t>
            </w:r>
            <w:r w:rsidRPr="00180208">
              <w:rPr>
                <w:rFonts w:ascii="Verdana" w:hAnsi="Verdana" w:cs="Segoe UI"/>
                <w:sz w:val="22"/>
                <w:szCs w:val="22"/>
              </w:rPr>
              <w:t>, la falta de publicación afecta la materialización de los principios de transparencia, publicidad y acceso a la información pública que justifican la existencia del SECOP como sistema oficial de publicidad de la contratación estatal.</w:t>
            </w:r>
          </w:p>
          <w:p w14:paraId="1E5B9237" w14:textId="77777777" w:rsidR="00977DC9" w:rsidRPr="00235E30" w:rsidRDefault="00977DC9" w:rsidP="00E7274F">
            <w:pPr>
              <w:pStyle w:val="NormalWeb"/>
              <w:spacing w:before="0" w:beforeAutospacing="0" w:after="0" w:afterAutospacing="0" w:line="276" w:lineRule="auto"/>
              <w:ind w:firstLine="709"/>
              <w:jc w:val="both"/>
              <w:rPr>
                <w:rFonts w:ascii="Verdana" w:hAnsi="Verdana" w:cs="Segoe UI"/>
                <w:sz w:val="22"/>
                <w:szCs w:val="22"/>
              </w:rPr>
            </w:pPr>
            <w:r w:rsidRPr="00235E30">
              <w:rPr>
                <w:rFonts w:ascii="Verdana" w:hAnsi="Verdana" w:cs="Segoe UI"/>
                <w:sz w:val="22"/>
                <w:szCs w:val="22"/>
              </w:rPr>
              <w:t>No obstante, la Agencia Nacional de Contratación Pública – Colombia Compra Eficiente no es competente para determinar en casos concretos la existencia de responsabilidades disciplinarias, fiscales, penales o administrativas derivadas de dicho incumplimiento. La valoración de las circunstancias particulares y la eventual imposición de consecuencias jurídicas corresponde a las autoridades judiciales y a los organismos de control competentes.</w:t>
            </w:r>
          </w:p>
          <w:p w14:paraId="3A050F9D" w14:textId="77777777" w:rsidR="00977DC9" w:rsidRPr="00235E30" w:rsidRDefault="00977DC9" w:rsidP="00E7274F">
            <w:pPr>
              <w:pStyle w:val="NormalWeb"/>
              <w:spacing w:before="0" w:beforeAutospacing="0" w:after="0" w:afterAutospacing="0" w:line="276" w:lineRule="auto"/>
              <w:ind w:firstLine="709"/>
              <w:jc w:val="both"/>
              <w:rPr>
                <w:rFonts w:ascii="Verdana" w:hAnsi="Verdana" w:cs="Segoe UI"/>
                <w:sz w:val="22"/>
                <w:szCs w:val="22"/>
              </w:rPr>
            </w:pPr>
          </w:p>
          <w:p w14:paraId="6F34C662" w14:textId="77777777" w:rsidR="00977DC9" w:rsidRPr="00B824CD" w:rsidRDefault="00977DC9" w:rsidP="00E7274F">
            <w:pPr>
              <w:tabs>
                <w:tab w:val="left" w:pos="709"/>
              </w:tabs>
              <w:spacing w:after="120" w:line="276" w:lineRule="auto"/>
              <w:jc w:val="both"/>
              <w:rPr>
                <w:rFonts w:ascii="Verdana" w:hAnsi="Verdana" w:cs="Arial"/>
                <w:shd w:val="clear" w:color="auto" w:fill="FFFFFF"/>
              </w:rPr>
            </w:pPr>
            <w:proofErr w:type="spellStart"/>
            <w:r w:rsidRPr="00B824CD">
              <w:rPr>
                <w:rFonts w:ascii="Verdana" w:eastAsia="Aptos" w:hAnsi="Verdana" w:cs="Arial"/>
                <w:kern w:val="2"/>
                <w14:ligatures w14:val="standardContextual"/>
              </w:rPr>
              <w:t>i</w:t>
            </w:r>
            <w:r w:rsidRPr="00B824CD">
              <w:rPr>
                <w:rFonts w:ascii="Verdana" w:hAnsi="Verdana" w:cs="Arial"/>
                <w:shd w:val="clear" w:color="auto" w:fill="FFFFFF"/>
              </w:rPr>
              <w:t>ii</w:t>
            </w:r>
            <w:proofErr w:type="spellEnd"/>
            <w:r w:rsidRPr="00B824CD">
              <w:rPr>
                <w:rFonts w:ascii="Verdana" w:hAnsi="Verdana" w:cs="Arial"/>
                <w:shd w:val="clear" w:color="auto" w:fill="FFFFFF"/>
              </w:rPr>
              <w:t>) Sobre el particular debe indicarse, que la Agencia Nacional de Contratación Pública – Colombia Eficiente, de acuerdo con lo dispuesto en el numeral 5 del artículo 3 del Decreto Ley 4170 de 2011, se encuentra facultada para expedir directivas en materia de compras y contratación pública, actos administrativos en los que se incorporan instrucciones dirigidas a las Entidades Estatales y demás partícipes del Sistema de Compras y Contrataciones Públicas que son de obligatorio cumplimiento. De igual forma, el numeral 8 ibidem, señala como función de esta entidad, el desarrollo y administración del SECOP o el que haga sus veces. Por ello, y en desarrollo de las anteriores competencias, ha emitido nueve (9) circulares externas, en las que dispuso los lineamientos para el uso obligatorio del SECOP II, a saber:</w:t>
            </w:r>
          </w:p>
          <w:tbl>
            <w:tblPr>
              <w:tblStyle w:val="Tablaconcuadrcula4-nfasis3"/>
              <w:tblW w:w="0" w:type="auto"/>
              <w:jc w:val="center"/>
              <w:tblLayout w:type="fixed"/>
              <w:tblLook w:val="04A0" w:firstRow="1" w:lastRow="0" w:firstColumn="1" w:lastColumn="0" w:noHBand="0" w:noVBand="1"/>
            </w:tblPr>
            <w:tblGrid>
              <w:gridCol w:w="704"/>
              <w:gridCol w:w="2243"/>
              <w:gridCol w:w="1862"/>
              <w:gridCol w:w="1545"/>
            </w:tblGrid>
            <w:tr w:rsidR="00977DC9" w:rsidRPr="00B824CD" w14:paraId="606E9E6F" w14:textId="77777777" w:rsidTr="00E7274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56ABA153"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b w:val="0"/>
                      <w:bCs w:val="0"/>
                      <w:sz w:val="16"/>
                      <w:szCs w:val="16"/>
                      <w:lang w:eastAsia="es-CO"/>
                    </w:rPr>
                  </w:pPr>
                </w:p>
                <w:p w14:paraId="1158D395"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sz w:val="16"/>
                      <w:szCs w:val="16"/>
                      <w:lang w:eastAsia="es-CO"/>
                    </w:rPr>
                  </w:pPr>
                  <w:r w:rsidRPr="00235E30">
                    <w:rPr>
                      <w:rFonts w:ascii="Verdana" w:eastAsia="Times New Roman" w:hAnsi="Verdana" w:cs="Arial"/>
                      <w:sz w:val="16"/>
                      <w:szCs w:val="16"/>
                      <w:lang w:eastAsia="es-CO"/>
                    </w:rPr>
                    <w:t>No.</w:t>
                  </w:r>
                </w:p>
              </w:tc>
              <w:tc>
                <w:tcPr>
                  <w:tcW w:w="2243" w:type="dxa"/>
                  <w:vAlign w:val="center"/>
                </w:tcPr>
                <w:p w14:paraId="17B9BA39"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Arial"/>
                      <w:b w:val="0"/>
                      <w:bCs w:val="0"/>
                      <w:sz w:val="16"/>
                      <w:szCs w:val="16"/>
                      <w:lang w:eastAsia="es-CO"/>
                    </w:rPr>
                  </w:pPr>
                </w:p>
                <w:p w14:paraId="4B29CDEF"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Arial"/>
                      <w:sz w:val="16"/>
                      <w:szCs w:val="16"/>
                      <w:lang w:eastAsia="es-CO"/>
                    </w:rPr>
                    <w:t>Nombre</w:t>
                  </w:r>
                </w:p>
              </w:tc>
              <w:tc>
                <w:tcPr>
                  <w:tcW w:w="1862" w:type="dxa"/>
                  <w:vAlign w:val="center"/>
                </w:tcPr>
                <w:p w14:paraId="1DCE30A1"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Arial"/>
                      <w:sz w:val="16"/>
                      <w:szCs w:val="16"/>
                      <w:lang w:eastAsia="es-CO"/>
                    </w:rPr>
                    <w:t>Fecha de emisión</w:t>
                  </w:r>
                </w:p>
              </w:tc>
              <w:tc>
                <w:tcPr>
                  <w:tcW w:w="1545" w:type="dxa"/>
                  <w:vAlign w:val="center"/>
                </w:tcPr>
                <w:p w14:paraId="0A2C4C0F"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Arial"/>
                      <w:sz w:val="16"/>
                      <w:szCs w:val="16"/>
                      <w:lang w:eastAsia="es-CO"/>
                    </w:rPr>
                    <w:t>Ubicación en página web</w:t>
                  </w:r>
                </w:p>
              </w:tc>
            </w:tr>
            <w:tr w:rsidR="00977DC9" w:rsidRPr="00B824CD" w14:paraId="31726C0D" w14:textId="77777777" w:rsidTr="00E727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0EC0F101"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sz w:val="16"/>
                      <w:szCs w:val="16"/>
                      <w:lang w:eastAsia="es-CO"/>
                    </w:rPr>
                  </w:pPr>
                  <w:r w:rsidRPr="00235E30">
                    <w:rPr>
                      <w:rFonts w:ascii="Verdana" w:eastAsia="Times New Roman" w:hAnsi="Verdana" w:cs="Arial"/>
                      <w:sz w:val="16"/>
                      <w:szCs w:val="16"/>
                      <w:lang w:eastAsia="es-CO"/>
                    </w:rPr>
                    <w:t>01</w:t>
                  </w:r>
                </w:p>
              </w:tc>
              <w:tc>
                <w:tcPr>
                  <w:tcW w:w="2243" w:type="dxa"/>
                  <w:vAlign w:val="center"/>
                </w:tcPr>
                <w:p w14:paraId="1AEA5D53"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Arial"/>
                      <w:sz w:val="16"/>
                      <w:szCs w:val="16"/>
                      <w:lang w:eastAsia="es-CO"/>
                    </w:rPr>
                    <w:t>Circular Externa No. 1</w:t>
                  </w:r>
                </w:p>
              </w:tc>
              <w:tc>
                <w:tcPr>
                  <w:tcW w:w="1862" w:type="dxa"/>
                  <w:vAlign w:val="center"/>
                </w:tcPr>
                <w:p w14:paraId="2C0B0834"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22 de agosto de 2019</w:t>
                  </w:r>
                </w:p>
              </w:tc>
              <w:tc>
                <w:tcPr>
                  <w:tcW w:w="1545" w:type="dxa"/>
                  <w:vAlign w:val="center"/>
                </w:tcPr>
                <w:p w14:paraId="3E467E92"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 xml:space="preserve">Disponible </w:t>
                  </w:r>
                  <w:hyperlink r:id="rId9" w:history="1">
                    <w:r w:rsidRPr="00235E30">
                      <w:rPr>
                        <w:rStyle w:val="Hipervnculo"/>
                        <w:rFonts w:ascii="Verdana" w:eastAsia="Times New Roman" w:hAnsi="Verdana" w:cs="Segoe UI"/>
                        <w:sz w:val="16"/>
                        <w:szCs w:val="16"/>
                        <w:lang w:eastAsia="es-CO"/>
                      </w:rPr>
                      <w:t>aquí</w:t>
                    </w:r>
                  </w:hyperlink>
                </w:p>
              </w:tc>
            </w:tr>
            <w:tr w:rsidR="00977DC9" w:rsidRPr="00B824CD" w14:paraId="55E99921" w14:textId="77777777" w:rsidTr="00E7274F">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0DA7ED5E"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sz w:val="16"/>
                      <w:szCs w:val="16"/>
                      <w:lang w:eastAsia="es-CO"/>
                    </w:rPr>
                  </w:pPr>
                  <w:r w:rsidRPr="00235E30">
                    <w:rPr>
                      <w:rFonts w:ascii="Verdana" w:eastAsia="Times New Roman" w:hAnsi="Verdana" w:cs="Arial"/>
                      <w:sz w:val="16"/>
                      <w:szCs w:val="16"/>
                      <w:lang w:eastAsia="es-CO"/>
                    </w:rPr>
                    <w:t>02</w:t>
                  </w:r>
                </w:p>
              </w:tc>
              <w:tc>
                <w:tcPr>
                  <w:tcW w:w="2243" w:type="dxa"/>
                  <w:vAlign w:val="center"/>
                </w:tcPr>
                <w:p w14:paraId="7E49DCED"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Arial"/>
                      <w:sz w:val="16"/>
                      <w:szCs w:val="16"/>
                      <w:lang w:eastAsia="es-CO"/>
                    </w:rPr>
                    <w:t>Circular Externa No. 2</w:t>
                  </w:r>
                </w:p>
              </w:tc>
              <w:tc>
                <w:tcPr>
                  <w:tcW w:w="1862" w:type="dxa"/>
                  <w:vAlign w:val="center"/>
                </w:tcPr>
                <w:p w14:paraId="72AD6F9F"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23 de diciembre de 2019</w:t>
                  </w:r>
                </w:p>
              </w:tc>
              <w:tc>
                <w:tcPr>
                  <w:tcW w:w="1545" w:type="dxa"/>
                  <w:vAlign w:val="center"/>
                </w:tcPr>
                <w:p w14:paraId="02A02CF6"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 xml:space="preserve">Disponible </w:t>
                  </w:r>
                  <w:hyperlink r:id="rId10" w:history="1">
                    <w:r w:rsidRPr="00235E30">
                      <w:rPr>
                        <w:rStyle w:val="Hipervnculo"/>
                        <w:rFonts w:ascii="Verdana" w:eastAsia="Times New Roman" w:hAnsi="Verdana" w:cs="Segoe UI"/>
                        <w:sz w:val="16"/>
                        <w:szCs w:val="16"/>
                        <w:lang w:eastAsia="es-CO"/>
                      </w:rPr>
                      <w:t>aquí</w:t>
                    </w:r>
                  </w:hyperlink>
                </w:p>
              </w:tc>
            </w:tr>
            <w:tr w:rsidR="00977DC9" w:rsidRPr="00B824CD" w14:paraId="52D903E1" w14:textId="77777777" w:rsidTr="00E727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7DA476EE"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sz w:val="16"/>
                      <w:szCs w:val="16"/>
                      <w:lang w:eastAsia="es-CO"/>
                    </w:rPr>
                  </w:pPr>
                  <w:r w:rsidRPr="00235E30">
                    <w:rPr>
                      <w:rFonts w:ascii="Verdana" w:eastAsia="Times New Roman" w:hAnsi="Verdana" w:cs="Arial"/>
                      <w:sz w:val="16"/>
                      <w:szCs w:val="16"/>
                      <w:lang w:eastAsia="es-CO"/>
                    </w:rPr>
                    <w:lastRenderedPageBreak/>
                    <w:t>03</w:t>
                  </w:r>
                </w:p>
              </w:tc>
              <w:tc>
                <w:tcPr>
                  <w:tcW w:w="2243" w:type="dxa"/>
                  <w:vAlign w:val="center"/>
                </w:tcPr>
                <w:p w14:paraId="2973878B"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Segoe UI"/>
                      <w:sz w:val="16"/>
                      <w:szCs w:val="16"/>
                      <w:lang w:eastAsia="es-CO"/>
                    </w:rPr>
                  </w:pPr>
                  <w:r w:rsidRPr="00235E30">
                    <w:rPr>
                      <w:rFonts w:ascii="Verdana" w:eastAsia="Times New Roman" w:hAnsi="Verdana" w:cs="Segoe UI"/>
                      <w:sz w:val="16"/>
                      <w:szCs w:val="16"/>
                      <w:lang w:eastAsia="es-CO"/>
                    </w:rPr>
                    <w:t>Circular Externa No. 3</w:t>
                  </w:r>
                </w:p>
              </w:tc>
              <w:tc>
                <w:tcPr>
                  <w:tcW w:w="1862" w:type="dxa"/>
                  <w:vAlign w:val="center"/>
                </w:tcPr>
                <w:p w14:paraId="5023955E"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Segoe UI"/>
                      <w:sz w:val="16"/>
                      <w:szCs w:val="16"/>
                      <w:lang w:eastAsia="es-CO"/>
                    </w:rPr>
                  </w:pPr>
                  <w:r w:rsidRPr="00235E30">
                    <w:rPr>
                      <w:rFonts w:ascii="Verdana" w:eastAsia="Times New Roman" w:hAnsi="Verdana" w:cs="Segoe UI"/>
                      <w:sz w:val="16"/>
                      <w:szCs w:val="16"/>
                      <w:lang w:eastAsia="es-CO"/>
                    </w:rPr>
                    <w:t>31 de marzo de 2020.</w:t>
                  </w:r>
                </w:p>
              </w:tc>
              <w:tc>
                <w:tcPr>
                  <w:tcW w:w="1545" w:type="dxa"/>
                  <w:vAlign w:val="center"/>
                </w:tcPr>
                <w:p w14:paraId="002627FF"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hAnsi="Verdana"/>
                      <w:sz w:val="16"/>
                      <w:szCs w:val="16"/>
                      <w:lang w:eastAsia="es-CO"/>
                    </w:rPr>
                  </w:pPr>
                  <w:r w:rsidRPr="00235E30">
                    <w:rPr>
                      <w:rFonts w:ascii="Verdana" w:eastAsia="Times New Roman" w:hAnsi="Verdana" w:cs="Segoe UI"/>
                      <w:sz w:val="16"/>
                      <w:szCs w:val="16"/>
                      <w:lang w:eastAsia="es-CO"/>
                    </w:rPr>
                    <w:t xml:space="preserve">Disponible </w:t>
                  </w:r>
                  <w:hyperlink r:id="rId11" w:history="1">
                    <w:r w:rsidRPr="00235E30">
                      <w:rPr>
                        <w:rStyle w:val="Hipervnculo"/>
                        <w:rFonts w:ascii="Verdana" w:eastAsia="Times New Roman" w:hAnsi="Verdana" w:cs="Segoe UI"/>
                        <w:sz w:val="16"/>
                        <w:szCs w:val="16"/>
                        <w:lang w:eastAsia="es-CO"/>
                      </w:rPr>
                      <w:t>aquí</w:t>
                    </w:r>
                  </w:hyperlink>
                </w:p>
              </w:tc>
            </w:tr>
            <w:tr w:rsidR="00977DC9" w:rsidRPr="00B824CD" w14:paraId="1C3B8B67" w14:textId="77777777" w:rsidTr="00E7274F">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6A76A8F3"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b w:val="0"/>
                      <w:bCs w:val="0"/>
                      <w:sz w:val="16"/>
                      <w:szCs w:val="16"/>
                      <w:lang w:eastAsia="es-CO"/>
                    </w:rPr>
                  </w:pPr>
                  <w:r w:rsidRPr="00235E30">
                    <w:rPr>
                      <w:rFonts w:ascii="Verdana" w:eastAsia="Times New Roman" w:hAnsi="Verdana" w:cs="Arial"/>
                      <w:sz w:val="16"/>
                      <w:szCs w:val="16"/>
                      <w:lang w:eastAsia="es-CO"/>
                    </w:rPr>
                    <w:t>04</w:t>
                  </w:r>
                </w:p>
                <w:p w14:paraId="653C752D"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sz w:val="16"/>
                      <w:szCs w:val="16"/>
                      <w:lang w:eastAsia="es-CO"/>
                    </w:rPr>
                  </w:pPr>
                </w:p>
              </w:tc>
              <w:tc>
                <w:tcPr>
                  <w:tcW w:w="2243" w:type="dxa"/>
                  <w:vAlign w:val="center"/>
                </w:tcPr>
                <w:p w14:paraId="5B6825B3"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Circular Externa No. 001</w:t>
                  </w:r>
                </w:p>
              </w:tc>
              <w:tc>
                <w:tcPr>
                  <w:tcW w:w="1862" w:type="dxa"/>
                  <w:vAlign w:val="center"/>
                </w:tcPr>
                <w:p w14:paraId="457B2283"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10 de febrero del 2021</w:t>
                  </w:r>
                </w:p>
              </w:tc>
              <w:tc>
                <w:tcPr>
                  <w:tcW w:w="1545" w:type="dxa"/>
                  <w:vAlign w:val="center"/>
                </w:tcPr>
                <w:p w14:paraId="1FE7D74E"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 xml:space="preserve">Disponible </w:t>
                  </w:r>
                  <w:hyperlink r:id="rId12" w:history="1">
                    <w:r w:rsidRPr="00235E30">
                      <w:rPr>
                        <w:rStyle w:val="Hipervnculo"/>
                        <w:rFonts w:ascii="Verdana" w:eastAsia="Times New Roman" w:hAnsi="Verdana" w:cs="Segoe UI"/>
                        <w:sz w:val="16"/>
                        <w:szCs w:val="16"/>
                        <w:lang w:eastAsia="es-CO"/>
                      </w:rPr>
                      <w:t>aquí</w:t>
                    </w:r>
                  </w:hyperlink>
                </w:p>
              </w:tc>
            </w:tr>
            <w:tr w:rsidR="00977DC9" w:rsidRPr="00B824CD" w14:paraId="360D03DA" w14:textId="77777777" w:rsidTr="00E727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335FAD82"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sz w:val="16"/>
                      <w:szCs w:val="16"/>
                      <w:lang w:eastAsia="es-CO"/>
                    </w:rPr>
                  </w:pPr>
                  <w:r w:rsidRPr="00235E30">
                    <w:rPr>
                      <w:rFonts w:ascii="Verdana" w:eastAsia="Times New Roman" w:hAnsi="Verdana" w:cs="Arial"/>
                      <w:sz w:val="16"/>
                      <w:szCs w:val="16"/>
                      <w:lang w:eastAsia="es-CO"/>
                    </w:rPr>
                    <w:t>05</w:t>
                  </w:r>
                </w:p>
              </w:tc>
              <w:tc>
                <w:tcPr>
                  <w:tcW w:w="2243" w:type="dxa"/>
                  <w:vAlign w:val="center"/>
                </w:tcPr>
                <w:p w14:paraId="78902BD1"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Circular Externa No. 002</w:t>
                  </w:r>
                </w:p>
              </w:tc>
              <w:tc>
                <w:tcPr>
                  <w:tcW w:w="1862" w:type="dxa"/>
                  <w:vAlign w:val="center"/>
                </w:tcPr>
                <w:p w14:paraId="4DEDD7BA"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17 de marzo de 2022</w:t>
                  </w:r>
                </w:p>
              </w:tc>
              <w:tc>
                <w:tcPr>
                  <w:tcW w:w="1545" w:type="dxa"/>
                  <w:vAlign w:val="center"/>
                </w:tcPr>
                <w:p w14:paraId="3879DC81" w14:textId="77777777" w:rsidR="00977DC9" w:rsidRPr="00235E30" w:rsidRDefault="00977DC9" w:rsidP="00E7274F">
                  <w:pPr>
                    <w:pStyle w:val="Prrafodelista"/>
                    <w:tabs>
                      <w:tab w:val="left" w:pos="1152"/>
                    </w:tabs>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 xml:space="preserve">Disponible </w:t>
                  </w:r>
                  <w:hyperlink r:id="rId13" w:history="1">
                    <w:r w:rsidRPr="00235E30">
                      <w:rPr>
                        <w:rStyle w:val="Hipervnculo"/>
                        <w:rFonts w:ascii="Verdana" w:eastAsia="Times New Roman" w:hAnsi="Verdana" w:cs="Segoe UI"/>
                        <w:sz w:val="16"/>
                        <w:szCs w:val="16"/>
                        <w:lang w:eastAsia="es-CO"/>
                      </w:rPr>
                      <w:t>aquí</w:t>
                    </w:r>
                  </w:hyperlink>
                </w:p>
              </w:tc>
            </w:tr>
            <w:tr w:rsidR="00977DC9" w:rsidRPr="00B824CD" w14:paraId="1F9C32AF" w14:textId="77777777" w:rsidTr="00E7274F">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2C598482"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sz w:val="16"/>
                      <w:szCs w:val="16"/>
                      <w:lang w:eastAsia="es-CO"/>
                    </w:rPr>
                  </w:pPr>
                  <w:r w:rsidRPr="00235E30">
                    <w:rPr>
                      <w:rFonts w:ascii="Verdana" w:eastAsia="Times New Roman" w:hAnsi="Verdana" w:cs="Arial"/>
                      <w:sz w:val="16"/>
                      <w:szCs w:val="16"/>
                      <w:lang w:eastAsia="es-CO"/>
                    </w:rPr>
                    <w:t>06</w:t>
                  </w:r>
                </w:p>
              </w:tc>
              <w:tc>
                <w:tcPr>
                  <w:tcW w:w="2243" w:type="dxa"/>
                  <w:vAlign w:val="center"/>
                </w:tcPr>
                <w:p w14:paraId="013D3F8E"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Circular Externa No. 005</w:t>
                  </w:r>
                </w:p>
              </w:tc>
              <w:tc>
                <w:tcPr>
                  <w:tcW w:w="1862" w:type="dxa"/>
                  <w:vAlign w:val="center"/>
                </w:tcPr>
                <w:p w14:paraId="25BBD346"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14 de julio de 2022</w:t>
                  </w:r>
                </w:p>
              </w:tc>
              <w:tc>
                <w:tcPr>
                  <w:tcW w:w="1545" w:type="dxa"/>
                  <w:vAlign w:val="center"/>
                </w:tcPr>
                <w:p w14:paraId="31A4F01C"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 xml:space="preserve">Disponible </w:t>
                  </w:r>
                  <w:hyperlink r:id="rId14" w:history="1">
                    <w:r w:rsidRPr="00235E30">
                      <w:rPr>
                        <w:rStyle w:val="Hipervnculo"/>
                        <w:rFonts w:ascii="Verdana" w:eastAsia="Times New Roman" w:hAnsi="Verdana" w:cs="Segoe UI"/>
                        <w:sz w:val="16"/>
                        <w:szCs w:val="16"/>
                        <w:lang w:eastAsia="es-CO"/>
                      </w:rPr>
                      <w:t>aquí</w:t>
                    </w:r>
                  </w:hyperlink>
                </w:p>
              </w:tc>
            </w:tr>
            <w:tr w:rsidR="00977DC9" w:rsidRPr="00B824CD" w14:paraId="6B8362E0" w14:textId="77777777" w:rsidTr="00E727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465130DD"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sz w:val="16"/>
                      <w:szCs w:val="16"/>
                      <w:lang w:eastAsia="es-CO"/>
                    </w:rPr>
                  </w:pPr>
                  <w:r w:rsidRPr="00235E30">
                    <w:rPr>
                      <w:rFonts w:ascii="Verdana" w:eastAsia="Times New Roman" w:hAnsi="Verdana" w:cs="Arial"/>
                      <w:sz w:val="16"/>
                      <w:szCs w:val="16"/>
                      <w:lang w:eastAsia="es-CO"/>
                    </w:rPr>
                    <w:t>07</w:t>
                  </w:r>
                </w:p>
              </w:tc>
              <w:tc>
                <w:tcPr>
                  <w:tcW w:w="2243" w:type="dxa"/>
                  <w:vAlign w:val="center"/>
                </w:tcPr>
                <w:p w14:paraId="33CC62D8"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Circular Externa No. 005</w:t>
                  </w:r>
                </w:p>
              </w:tc>
              <w:tc>
                <w:tcPr>
                  <w:tcW w:w="1862" w:type="dxa"/>
                  <w:vAlign w:val="center"/>
                </w:tcPr>
                <w:p w14:paraId="42F8BE74"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31 de agosto de 2023</w:t>
                  </w:r>
                </w:p>
              </w:tc>
              <w:tc>
                <w:tcPr>
                  <w:tcW w:w="1545" w:type="dxa"/>
                  <w:vAlign w:val="center"/>
                </w:tcPr>
                <w:p w14:paraId="5BAF34A4" w14:textId="77777777" w:rsidR="00977DC9" w:rsidRPr="00235E30" w:rsidRDefault="00977DC9" w:rsidP="00E7274F">
                  <w:pPr>
                    <w:tabs>
                      <w:tab w:val="left" w:pos="6845"/>
                    </w:tabs>
                    <w:spacing w:after="120"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cs="Segoe UI"/>
                      <w:sz w:val="16"/>
                      <w:szCs w:val="16"/>
                      <w:lang w:eastAsia="es-CO"/>
                    </w:rPr>
                  </w:pPr>
                  <w:r w:rsidRPr="00235E30">
                    <w:rPr>
                      <w:rFonts w:ascii="Verdana" w:eastAsia="Times New Roman" w:hAnsi="Verdana" w:cs="Segoe UI"/>
                      <w:sz w:val="16"/>
                      <w:szCs w:val="16"/>
                      <w:lang w:eastAsia="es-CO"/>
                    </w:rPr>
                    <w:t xml:space="preserve">Disponible </w:t>
                  </w:r>
                  <w:hyperlink r:id="rId15" w:history="1">
                    <w:r w:rsidRPr="00235E30">
                      <w:rPr>
                        <w:rStyle w:val="Hipervnculo"/>
                        <w:rFonts w:ascii="Verdana" w:eastAsia="Times New Roman" w:hAnsi="Verdana" w:cs="Segoe UI"/>
                        <w:sz w:val="16"/>
                        <w:szCs w:val="16"/>
                        <w:lang w:eastAsia="es-CO"/>
                      </w:rPr>
                      <w:t>aquí</w:t>
                    </w:r>
                  </w:hyperlink>
                </w:p>
              </w:tc>
            </w:tr>
            <w:tr w:rsidR="00977DC9" w:rsidRPr="00B824CD" w14:paraId="3FD21E78" w14:textId="77777777" w:rsidTr="00E7274F">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2A750969"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sz w:val="16"/>
                      <w:szCs w:val="16"/>
                      <w:lang w:eastAsia="es-CO"/>
                    </w:rPr>
                  </w:pPr>
                  <w:r w:rsidRPr="00235E30">
                    <w:rPr>
                      <w:rFonts w:ascii="Verdana" w:eastAsia="Times New Roman" w:hAnsi="Verdana" w:cs="Arial"/>
                      <w:sz w:val="16"/>
                      <w:szCs w:val="16"/>
                      <w:lang w:eastAsia="es-CO"/>
                    </w:rPr>
                    <w:t>08</w:t>
                  </w:r>
                </w:p>
              </w:tc>
              <w:tc>
                <w:tcPr>
                  <w:tcW w:w="2243" w:type="dxa"/>
                  <w:vAlign w:val="center"/>
                </w:tcPr>
                <w:p w14:paraId="66F6D97C"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Circular Externa No. 003</w:t>
                  </w:r>
                </w:p>
              </w:tc>
              <w:tc>
                <w:tcPr>
                  <w:tcW w:w="1862" w:type="dxa"/>
                  <w:vAlign w:val="center"/>
                </w:tcPr>
                <w:p w14:paraId="270249CF"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18 de septiembre de 2024</w:t>
                  </w:r>
                </w:p>
              </w:tc>
              <w:tc>
                <w:tcPr>
                  <w:tcW w:w="1545" w:type="dxa"/>
                  <w:vAlign w:val="center"/>
                </w:tcPr>
                <w:p w14:paraId="1DD642EC" w14:textId="77777777" w:rsidR="00977DC9" w:rsidRPr="00235E30" w:rsidRDefault="00977DC9" w:rsidP="00E7274F">
                  <w:pPr>
                    <w:tabs>
                      <w:tab w:val="left" w:pos="6845"/>
                    </w:tabs>
                    <w:spacing w:after="12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Verdana" w:eastAsia="Times New Roman" w:hAnsi="Verdana" w:cs="Segoe UI"/>
                      <w:sz w:val="16"/>
                      <w:szCs w:val="16"/>
                      <w:lang w:eastAsia="es-CO"/>
                    </w:rPr>
                  </w:pPr>
                  <w:r w:rsidRPr="00235E30">
                    <w:rPr>
                      <w:rFonts w:ascii="Verdana" w:eastAsia="Times New Roman" w:hAnsi="Verdana" w:cs="Segoe UI"/>
                      <w:sz w:val="16"/>
                      <w:szCs w:val="16"/>
                      <w:lang w:eastAsia="es-CO"/>
                    </w:rPr>
                    <w:t xml:space="preserve">Disponible </w:t>
                  </w:r>
                  <w:hyperlink r:id="rId16" w:history="1">
                    <w:r w:rsidRPr="00235E30">
                      <w:rPr>
                        <w:rStyle w:val="Hipervnculo"/>
                        <w:rFonts w:ascii="Verdana" w:eastAsia="Times New Roman" w:hAnsi="Verdana" w:cs="Segoe UI"/>
                        <w:sz w:val="16"/>
                        <w:szCs w:val="16"/>
                        <w:lang w:eastAsia="es-CO"/>
                      </w:rPr>
                      <w:t>aquí</w:t>
                    </w:r>
                  </w:hyperlink>
                </w:p>
              </w:tc>
            </w:tr>
            <w:tr w:rsidR="00977DC9" w:rsidRPr="00B824CD" w14:paraId="01ED88B3" w14:textId="77777777" w:rsidTr="00E727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7AE7A70D" w14:textId="77777777" w:rsidR="00977DC9" w:rsidRPr="00235E30" w:rsidRDefault="00977DC9" w:rsidP="00E7274F">
                  <w:pPr>
                    <w:pStyle w:val="Prrafodelista"/>
                    <w:autoSpaceDE w:val="0"/>
                    <w:autoSpaceDN w:val="0"/>
                    <w:adjustRightInd w:val="0"/>
                    <w:spacing w:after="120" w:line="276" w:lineRule="auto"/>
                    <w:ind w:left="0"/>
                    <w:contextualSpacing w:val="0"/>
                    <w:jc w:val="center"/>
                    <w:rPr>
                      <w:rFonts w:ascii="Verdana" w:eastAsia="Times New Roman" w:hAnsi="Verdana" w:cs="Arial"/>
                      <w:sz w:val="16"/>
                      <w:szCs w:val="16"/>
                      <w:lang w:eastAsia="es-CO"/>
                    </w:rPr>
                  </w:pPr>
                  <w:r w:rsidRPr="00235E30">
                    <w:rPr>
                      <w:rFonts w:ascii="Verdana" w:eastAsia="Times New Roman" w:hAnsi="Verdana" w:cs="Arial"/>
                      <w:sz w:val="16"/>
                      <w:szCs w:val="16"/>
                      <w:lang w:eastAsia="es-CO"/>
                    </w:rPr>
                    <w:t>09</w:t>
                  </w:r>
                </w:p>
              </w:tc>
              <w:tc>
                <w:tcPr>
                  <w:tcW w:w="2243" w:type="dxa"/>
                  <w:vAlign w:val="center"/>
                </w:tcPr>
                <w:p w14:paraId="2400862D"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Circular Externa No. 001</w:t>
                  </w:r>
                </w:p>
              </w:tc>
              <w:tc>
                <w:tcPr>
                  <w:tcW w:w="1862" w:type="dxa"/>
                  <w:vAlign w:val="center"/>
                </w:tcPr>
                <w:p w14:paraId="432827EA"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6"/>
                      <w:szCs w:val="16"/>
                      <w:lang w:eastAsia="es-CO"/>
                    </w:rPr>
                  </w:pPr>
                  <w:r w:rsidRPr="00235E30">
                    <w:rPr>
                      <w:rFonts w:ascii="Verdana" w:eastAsia="Times New Roman" w:hAnsi="Verdana" w:cs="Segoe UI"/>
                      <w:sz w:val="16"/>
                      <w:szCs w:val="16"/>
                      <w:lang w:eastAsia="es-CO"/>
                    </w:rPr>
                    <w:t>28 de febrero de 2025</w:t>
                  </w:r>
                </w:p>
              </w:tc>
              <w:tc>
                <w:tcPr>
                  <w:tcW w:w="1545" w:type="dxa"/>
                  <w:vAlign w:val="center"/>
                </w:tcPr>
                <w:p w14:paraId="7690255B" w14:textId="77777777" w:rsidR="00977DC9" w:rsidRPr="00235E30" w:rsidRDefault="00977DC9" w:rsidP="00E7274F">
                  <w:pPr>
                    <w:tabs>
                      <w:tab w:val="left" w:pos="6845"/>
                    </w:tabs>
                    <w:spacing w:after="120"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cs="Segoe UI"/>
                      <w:sz w:val="16"/>
                      <w:szCs w:val="16"/>
                      <w:lang w:eastAsia="es-CO"/>
                    </w:rPr>
                  </w:pPr>
                  <w:r w:rsidRPr="00235E30">
                    <w:rPr>
                      <w:rFonts w:ascii="Verdana" w:eastAsia="Times New Roman" w:hAnsi="Verdana" w:cs="Segoe UI"/>
                      <w:sz w:val="16"/>
                      <w:szCs w:val="16"/>
                      <w:lang w:eastAsia="es-CO"/>
                    </w:rPr>
                    <w:t xml:space="preserve">Disponible </w:t>
                  </w:r>
                  <w:hyperlink r:id="rId17" w:history="1">
                    <w:r w:rsidRPr="00235E30">
                      <w:rPr>
                        <w:rStyle w:val="Hipervnculo"/>
                        <w:rFonts w:ascii="Verdana" w:eastAsia="Times New Roman" w:hAnsi="Verdana" w:cs="Segoe UI"/>
                        <w:sz w:val="16"/>
                        <w:szCs w:val="16"/>
                        <w:lang w:eastAsia="es-CO"/>
                      </w:rPr>
                      <w:t>aquí</w:t>
                    </w:r>
                  </w:hyperlink>
                </w:p>
                <w:p w14:paraId="12F5FCBD" w14:textId="77777777" w:rsidR="00977DC9" w:rsidRPr="00235E30" w:rsidRDefault="00977DC9" w:rsidP="00E7274F">
                  <w:pPr>
                    <w:pStyle w:val="Prrafodelista"/>
                    <w:autoSpaceDE w:val="0"/>
                    <w:autoSpaceDN w:val="0"/>
                    <w:adjustRightInd w:val="0"/>
                    <w:spacing w:after="120" w:line="276" w:lineRule="auto"/>
                    <w:ind w:left="0"/>
                    <w:contextualSpacing w:val="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6"/>
                      <w:szCs w:val="16"/>
                      <w:lang w:eastAsia="es-CO"/>
                    </w:rPr>
                  </w:pPr>
                </w:p>
              </w:tc>
            </w:tr>
          </w:tbl>
          <w:p w14:paraId="10A1EAAF" w14:textId="77777777" w:rsidR="00977DC9" w:rsidRPr="00B824CD" w:rsidRDefault="00977DC9" w:rsidP="00E7274F">
            <w:pPr>
              <w:widowControl w:val="0"/>
              <w:autoSpaceDE w:val="0"/>
              <w:autoSpaceDN w:val="0"/>
              <w:spacing w:after="120" w:line="276" w:lineRule="auto"/>
              <w:ind w:firstLine="709"/>
              <w:jc w:val="both"/>
              <w:rPr>
                <w:rFonts w:ascii="Verdana" w:eastAsia="Calibri" w:hAnsi="Verdana" w:cs="Arial"/>
              </w:rPr>
            </w:pPr>
          </w:p>
          <w:p w14:paraId="2EB50322" w14:textId="77777777" w:rsidR="00977DC9" w:rsidRPr="00235E30" w:rsidRDefault="00977DC9" w:rsidP="00E7274F">
            <w:pPr>
              <w:pStyle w:val="NormalWeb"/>
              <w:spacing w:before="0" w:beforeAutospacing="0" w:after="120" w:afterAutospacing="0" w:line="276" w:lineRule="auto"/>
              <w:jc w:val="both"/>
              <w:rPr>
                <w:rFonts w:ascii="Verdana" w:hAnsi="Verdana" w:cs="Segoe UI"/>
                <w:sz w:val="22"/>
                <w:szCs w:val="22"/>
              </w:rPr>
            </w:pPr>
            <w:proofErr w:type="spellStart"/>
            <w:r w:rsidRPr="00235E30">
              <w:rPr>
                <w:rFonts w:ascii="Verdana" w:eastAsia="Calibri" w:hAnsi="Verdana" w:cs="Arial"/>
                <w:sz w:val="22"/>
                <w:szCs w:val="22"/>
              </w:rPr>
              <w:t>iv</w:t>
            </w:r>
            <w:proofErr w:type="spellEnd"/>
            <w:r w:rsidRPr="00235E30">
              <w:rPr>
                <w:rFonts w:ascii="Verdana" w:eastAsia="Calibri" w:hAnsi="Verdana" w:cs="Arial"/>
                <w:sz w:val="22"/>
                <w:szCs w:val="22"/>
              </w:rPr>
              <w:t xml:space="preserve">) </w:t>
            </w:r>
            <w:r w:rsidRPr="00235E30">
              <w:rPr>
                <w:rFonts w:ascii="Verdana" w:hAnsi="Verdana" w:cs="Segoe UI"/>
                <w:sz w:val="22"/>
                <w:szCs w:val="22"/>
              </w:rPr>
              <w:t>La implementación del SECOP II ha sido gradual y progresiva. Por esta razón, no todas las entidades estatales quedaron obligadas simultáneamente a gestionar sus procesos contractuales a través de dicha plataforma.</w:t>
            </w:r>
          </w:p>
          <w:p w14:paraId="71460BBC" w14:textId="77777777" w:rsidR="00977DC9" w:rsidRPr="00235E30" w:rsidRDefault="00977DC9" w:rsidP="00E7274F">
            <w:pPr>
              <w:pStyle w:val="NormalWeb"/>
              <w:spacing w:before="0" w:beforeAutospacing="0" w:after="120" w:afterAutospacing="0" w:line="276" w:lineRule="auto"/>
              <w:ind w:firstLine="709"/>
              <w:jc w:val="both"/>
              <w:rPr>
                <w:rFonts w:ascii="Verdana" w:hAnsi="Verdana" w:cs="Segoe UI"/>
                <w:sz w:val="22"/>
                <w:szCs w:val="22"/>
              </w:rPr>
            </w:pPr>
            <w:r w:rsidRPr="00235E30">
              <w:rPr>
                <w:rFonts w:ascii="Verdana" w:hAnsi="Verdana" w:cs="Segoe UI"/>
                <w:sz w:val="22"/>
                <w:szCs w:val="22"/>
              </w:rPr>
              <w:t>En consecuencia, las entidades sometidas al Estatuto General de Contratación de la Administración Pública que no se encuentren incorporadas dentro de los grupos, categorías o anexos definidos en las circulares de obligatoriedad expedidas por Colombia Compra Eficiente pueden continuar gestionando sus procesos contractuales a través de SECOP I, sin perjuicio de aquellos eventos particulares en los cuales una disposición normativa especial exija el uso de SECOP II.</w:t>
            </w:r>
          </w:p>
          <w:p w14:paraId="273D2A14" w14:textId="77777777" w:rsidR="00977DC9" w:rsidRPr="00235E30" w:rsidRDefault="00977DC9" w:rsidP="00E7274F">
            <w:pPr>
              <w:pStyle w:val="NormalWeb"/>
              <w:spacing w:before="0" w:beforeAutospacing="0" w:after="0" w:afterAutospacing="0" w:line="276" w:lineRule="auto"/>
              <w:ind w:firstLine="709"/>
              <w:jc w:val="both"/>
              <w:rPr>
                <w:rFonts w:ascii="Verdana" w:hAnsi="Verdana" w:cs="Segoe UI"/>
                <w:sz w:val="22"/>
                <w:szCs w:val="22"/>
              </w:rPr>
            </w:pPr>
            <w:r w:rsidRPr="00235E30">
              <w:rPr>
                <w:rFonts w:ascii="Verdana" w:hAnsi="Verdana" w:cs="Segoe UI"/>
                <w:sz w:val="22"/>
                <w:szCs w:val="22"/>
              </w:rPr>
              <w:t>Debe diferenciarse, además, entre la obligación de publicar la actividad contractual y la obligación de gestionar los procesos a través de una plataforma específica. Mientras el deber de publicidad contractual resulta exigible para las entidades obligadas en los términos previstos por la ley y los reglamentos, la obligación de utilizar SECOP II depende de las disposiciones particulares adoptadas por Colombia Compra Eficiente para la incorporación progresiva de las entidades estatales al sistema transaccional.</w:t>
            </w:r>
          </w:p>
          <w:p w14:paraId="708401A0" w14:textId="77777777" w:rsidR="00977DC9" w:rsidRPr="00B824CD" w:rsidRDefault="00977DC9" w:rsidP="00E7274F">
            <w:pPr>
              <w:widowControl w:val="0"/>
              <w:autoSpaceDE w:val="0"/>
              <w:autoSpaceDN w:val="0"/>
              <w:spacing w:line="276" w:lineRule="auto"/>
              <w:ind w:firstLine="709"/>
              <w:jc w:val="both"/>
              <w:rPr>
                <w:rFonts w:ascii="Verdana" w:eastAsia="Calibri" w:hAnsi="Verdana" w:cs="Arial"/>
              </w:rPr>
            </w:pPr>
          </w:p>
          <w:p w14:paraId="133F5874" w14:textId="77777777" w:rsidR="00977DC9" w:rsidRPr="00B824CD" w:rsidRDefault="00977DC9" w:rsidP="00E7274F">
            <w:pPr>
              <w:widowControl w:val="0"/>
              <w:autoSpaceDE w:val="0"/>
              <w:autoSpaceDN w:val="0"/>
              <w:spacing w:after="120" w:line="276" w:lineRule="auto"/>
              <w:jc w:val="both"/>
              <w:rPr>
                <w:rFonts w:ascii="Verdana" w:eastAsia="Calibri" w:hAnsi="Verdana" w:cs="Arial"/>
              </w:rPr>
            </w:pPr>
            <w:r w:rsidRPr="00B824CD">
              <w:rPr>
                <w:rFonts w:ascii="Verdana" w:eastAsia="Calibri" w:hAnsi="Verdana" w:cs="Arial"/>
              </w:rPr>
              <w:t xml:space="preserve">v) Finalmente se precisa, que Colombia Compra Eficiente no tiene dentro de sus facultades y/o competencias el realizar un seguimiento a la gestión contractual que adelantan las Entidades Estatales en SECOP. De ahí que, las </w:t>
            </w:r>
            <w:r w:rsidRPr="00B824CD">
              <w:rPr>
                <w:rFonts w:ascii="Verdana" w:eastAsia="Calibri" w:hAnsi="Verdana" w:cs="Arial"/>
              </w:rPr>
              <w:lastRenderedPageBreak/>
              <w:t xml:space="preserve">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tc>
      </w:tr>
    </w:tbl>
    <w:p w14:paraId="77DB15ED" w14:textId="77777777" w:rsidR="00977DC9" w:rsidRPr="009F5AD6" w:rsidRDefault="00977DC9" w:rsidP="00977DC9">
      <w:pPr>
        <w:spacing w:after="0" w:line="276" w:lineRule="auto"/>
        <w:jc w:val="both"/>
        <w:rPr>
          <w:rFonts w:ascii="Verdana" w:eastAsia="Calibri" w:hAnsi="Verdana" w:cs="Arial"/>
          <w:bCs/>
          <w:color w:val="000000" w:themeColor="text1"/>
        </w:rPr>
      </w:pPr>
    </w:p>
    <w:p w14:paraId="2AE51711" w14:textId="77777777" w:rsidR="00977DC9" w:rsidRPr="009F5AD6" w:rsidRDefault="00977DC9" w:rsidP="00977DC9">
      <w:pPr>
        <w:numPr>
          <w:ilvl w:val="0"/>
          <w:numId w:val="1"/>
        </w:numPr>
        <w:spacing w:after="0" w:line="276" w:lineRule="auto"/>
        <w:ind w:left="0" w:firstLine="0"/>
        <w:rPr>
          <w:rFonts w:ascii="Verdana" w:eastAsia="Calibri" w:hAnsi="Verdana" w:cs="Times New Roman"/>
          <w:b/>
          <w:bCs/>
          <w:lang w:val="es-ES"/>
        </w:rPr>
      </w:pPr>
      <w:r w:rsidRPr="009F5AD6">
        <w:rPr>
          <w:rFonts w:ascii="Verdana" w:eastAsia="Calibri" w:hAnsi="Verdana" w:cs="Times New Roman"/>
          <w:b/>
          <w:bCs/>
          <w:lang w:val="es-ES"/>
        </w:rPr>
        <w:t>Razones de la respuesta:</w:t>
      </w:r>
    </w:p>
    <w:p w14:paraId="31B2B3AE" w14:textId="77777777" w:rsidR="00977DC9" w:rsidRPr="009F5AD6" w:rsidRDefault="00977DC9" w:rsidP="00977DC9">
      <w:pPr>
        <w:spacing w:after="0" w:line="276" w:lineRule="auto"/>
        <w:rPr>
          <w:rFonts w:ascii="Verdana" w:eastAsia="Calibri" w:hAnsi="Verdana" w:cs="Times New Roman"/>
          <w:b/>
          <w:bCs/>
          <w:lang w:val="es-ES"/>
        </w:rPr>
      </w:pPr>
    </w:p>
    <w:p w14:paraId="2FA3DF25" w14:textId="77777777" w:rsidR="00977DC9" w:rsidRPr="009F5AD6" w:rsidRDefault="00977DC9" w:rsidP="00977DC9">
      <w:pPr>
        <w:spacing w:after="0" w:line="276" w:lineRule="auto"/>
        <w:jc w:val="both"/>
        <w:rPr>
          <w:rFonts w:ascii="Verdana" w:eastAsia="Calibri" w:hAnsi="Verdana" w:cs="Arial"/>
          <w:lang w:val="es-ES"/>
        </w:rPr>
      </w:pPr>
      <w:r w:rsidRPr="009F5AD6">
        <w:rPr>
          <w:rFonts w:ascii="Verdana" w:eastAsia="Calibri" w:hAnsi="Verdana" w:cs="Arial"/>
          <w:lang w:val="es-ES"/>
        </w:rPr>
        <w:t xml:space="preserve">Lo anterior se sustenta en las siguientes consideraciones: </w:t>
      </w:r>
    </w:p>
    <w:p w14:paraId="3CB46C7A" w14:textId="77777777" w:rsidR="00977DC9" w:rsidRPr="009F5AD6" w:rsidRDefault="00977DC9" w:rsidP="00977DC9">
      <w:pPr>
        <w:spacing w:after="0" w:line="276" w:lineRule="auto"/>
        <w:jc w:val="both"/>
        <w:rPr>
          <w:rFonts w:ascii="Verdana" w:hAnsi="Verdana" w:cs="Arial"/>
          <w:bCs/>
          <w:lang w:val="es-ES" w:eastAsia="es-ES" w:bidi="es-ES"/>
        </w:rPr>
      </w:pPr>
    </w:p>
    <w:p w14:paraId="70B25C95" w14:textId="77777777" w:rsidR="00977DC9" w:rsidRPr="009F5AD6" w:rsidRDefault="00977DC9" w:rsidP="00977DC9">
      <w:pPr>
        <w:spacing w:after="120" w:line="276" w:lineRule="auto"/>
        <w:jc w:val="both"/>
        <w:rPr>
          <w:rFonts w:ascii="Verdana" w:eastAsia="Times New Roman" w:hAnsi="Verdana" w:cs="Arial"/>
          <w:lang w:val="es-ES" w:eastAsia="es-ES"/>
          <w14:ligatures w14:val="standardContextual"/>
        </w:rPr>
      </w:pPr>
      <w:r>
        <w:rPr>
          <w:rFonts w:ascii="Verdana" w:eastAsia="Times New Roman" w:hAnsi="Verdana" w:cs="Arial"/>
          <w:lang w:val="es-ES" w:eastAsia="es-ES"/>
          <w14:ligatures w14:val="standardContextual"/>
        </w:rPr>
        <w:t xml:space="preserve">i) </w:t>
      </w:r>
      <w:r w:rsidRPr="009F5AD6">
        <w:rPr>
          <w:rFonts w:ascii="Verdana" w:eastAsia="Times New Roman" w:hAnsi="Verdana" w:cs="Arial"/>
          <w:lang w:val="es-ES" w:eastAsia="es-ES"/>
          <w14:ligatures w14:val="standardContextual"/>
        </w:rPr>
        <w:t xml:space="preserve">Uno de los postulados más importantes de un Estado Social y Democrático de Derecho es el principio de </w:t>
      </w:r>
      <w:r w:rsidRPr="009F5AD6">
        <w:rPr>
          <w:rFonts w:ascii="Verdana" w:eastAsia="Times New Roman" w:hAnsi="Verdana" w:cs="Arial"/>
          <w:i/>
          <w:iCs/>
          <w:lang w:val="es-ES" w:eastAsia="es-ES"/>
          <w14:ligatures w14:val="standardContextual"/>
        </w:rPr>
        <w:t>publicidad</w:t>
      </w:r>
      <w:r w:rsidRPr="009F5AD6">
        <w:rPr>
          <w:rFonts w:ascii="Verdana" w:eastAsia="Times New Roman" w:hAnsi="Verdana" w:cs="Arial"/>
          <w:lang w:val="es-ES" w:eastAsia="es-ES"/>
          <w14:ligatures w14:val="standardContextual"/>
        </w:rPr>
        <w:t>,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w:t>
      </w:r>
      <w:r w:rsidRPr="009F5AD6">
        <w:rPr>
          <w:rFonts w:ascii="Verdana" w:eastAsia="Times New Roman" w:hAnsi="Verdana" w:cs="Arial"/>
          <w:vertAlign w:val="superscript"/>
          <w:lang w:val="es-ES" w:eastAsia="es-ES"/>
          <w14:ligatures w14:val="standardContextual"/>
        </w:rPr>
        <w:footnoteReference w:id="1"/>
      </w:r>
      <w:r w:rsidRPr="009F5AD6">
        <w:rPr>
          <w:rFonts w:ascii="Verdana" w:eastAsia="Times New Roman" w:hAnsi="Verdana" w:cs="Arial"/>
          <w:lang w:val="es-ES" w:eastAsia="es-ES"/>
          <w14:ligatures w14:val="standardContextua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 </w:t>
      </w:r>
    </w:p>
    <w:p w14:paraId="0596BF49" w14:textId="77777777" w:rsidR="00977DC9" w:rsidRPr="009F5AD6" w:rsidRDefault="00977DC9" w:rsidP="00977DC9">
      <w:pPr>
        <w:spacing w:before="120" w:after="120" w:line="276" w:lineRule="auto"/>
        <w:ind w:firstLine="708"/>
        <w:jc w:val="both"/>
        <w:rPr>
          <w:rFonts w:ascii="Verdana" w:eastAsia="Times New Roman" w:hAnsi="Verdana" w:cs="Arial"/>
          <w:lang w:val="es-ES" w:eastAsia="es-ES"/>
          <w14:ligatures w14:val="standardContextual"/>
        </w:rPr>
      </w:pPr>
      <w:r w:rsidRPr="009F5AD6">
        <w:rPr>
          <w:rFonts w:ascii="Verdana" w:eastAsia="Times New Roman" w:hAnsi="Verdana" w:cs="Arial"/>
          <w:lang w:val="es-ES" w:eastAsia="es-ES"/>
          <w14:ligatures w14:val="standardContextual"/>
        </w:rPr>
        <w:t xml:space="preserve">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 </w:t>
      </w:r>
    </w:p>
    <w:p w14:paraId="03351071" w14:textId="77777777" w:rsidR="00977DC9" w:rsidRPr="009F5AD6" w:rsidRDefault="00977DC9" w:rsidP="00977DC9">
      <w:pPr>
        <w:spacing w:before="120" w:after="120" w:line="276" w:lineRule="auto"/>
        <w:ind w:firstLine="709"/>
        <w:jc w:val="both"/>
        <w:rPr>
          <w:rFonts w:ascii="Verdana" w:eastAsia="Times New Roman" w:hAnsi="Verdana" w:cs="Arial"/>
          <w:lang w:val="es-ES_tradnl" w:eastAsia="es-ES_tradnl"/>
          <w14:ligatures w14:val="standardContextual"/>
        </w:rPr>
      </w:pPr>
      <w:r w:rsidRPr="009F5AD6">
        <w:rPr>
          <w:rFonts w:ascii="Verdana" w:eastAsia="Times New Roman" w:hAnsi="Verdana" w:cs="Arial"/>
          <w:lang w:val="es-ES_tradnl" w:eastAsia="es-ES_tradnl"/>
          <w14:ligatures w14:val="standardContextual"/>
        </w:rPr>
        <w:t xml:space="preserve">El principio de publicidad impone a las autoridades administrativas el deber de dar a conocer sus actos, contratos y decisiones, para que se divulguen y eventualmente se controlen. En sintonía con este postulado, en la contratación estatal el literal c) del artículo 3 de la Ley 1150 de 2007 establece el Sistema </w:t>
      </w:r>
      <w:r w:rsidRPr="009F5AD6">
        <w:rPr>
          <w:rFonts w:ascii="Verdana" w:eastAsia="Times New Roman" w:hAnsi="Verdana" w:cs="Arial"/>
          <w:lang w:val="es-ES_tradnl" w:eastAsia="es-ES_tradnl"/>
          <w14:ligatures w14:val="standardContextual"/>
        </w:rPr>
        <w:lastRenderedPageBreak/>
        <w:t>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9F5AD6">
        <w:rPr>
          <w:rFonts w:ascii="Verdana" w:eastAsia="Times New Roman" w:hAnsi="Verdana" w:cs="Arial"/>
          <w:vertAlign w:val="superscript"/>
          <w:lang w:val="es-ES_tradnl" w:eastAsia="es-ES_tradnl"/>
          <w14:ligatures w14:val="standardContextual"/>
        </w:rPr>
        <w:footnoteReference w:id="2"/>
      </w:r>
      <w:r w:rsidRPr="009F5AD6">
        <w:rPr>
          <w:rFonts w:ascii="Verdana" w:eastAsia="Times New Roman" w:hAnsi="Verdana" w:cs="Arial"/>
          <w:lang w:val="es-ES_tradnl" w:eastAsia="es-ES_tradnl"/>
          <w14:ligatures w14:val="standardContextual"/>
        </w:rPr>
        <w:t>.</w:t>
      </w:r>
    </w:p>
    <w:p w14:paraId="25C46604" w14:textId="77777777" w:rsidR="00977DC9" w:rsidRPr="009F5AD6" w:rsidRDefault="00977DC9" w:rsidP="00977DC9">
      <w:pPr>
        <w:spacing w:before="120" w:after="120" w:line="276" w:lineRule="auto"/>
        <w:ind w:firstLine="709"/>
        <w:jc w:val="both"/>
        <w:rPr>
          <w:rFonts w:ascii="Verdana" w:eastAsia="Times New Roman" w:hAnsi="Verdana" w:cs="Arial"/>
          <w:lang w:val="es-ES" w:eastAsia="es-ES"/>
          <w14:ligatures w14:val="standardContextual"/>
        </w:rPr>
      </w:pPr>
      <w:r w:rsidRPr="009F5AD6">
        <w:rPr>
          <w:rFonts w:ascii="Verdana" w:eastAsia="Times New Roman" w:hAnsi="Verdana" w:cs="Arial"/>
          <w:lang w:val="es-ES" w:eastAsia="es-ES"/>
          <w14:ligatures w14:val="standardContextua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9F5AD6">
        <w:rPr>
          <w:rFonts w:ascii="Verdana" w:eastAsia="Times New Roman" w:hAnsi="Verdana" w:cs="Arial"/>
          <w:vertAlign w:val="superscript"/>
          <w:lang w:val="es-ES" w:eastAsia="es-ES"/>
        </w:rPr>
        <w:footnoteReference w:id="3"/>
      </w:r>
      <w:r w:rsidRPr="009F5AD6">
        <w:rPr>
          <w:rFonts w:ascii="Verdana" w:eastAsia="Times New Roman" w:hAnsi="Verdana" w:cs="Arial"/>
          <w:lang w:val="es-ES" w:eastAsia="es-ES"/>
          <w14:ligatures w14:val="standardContextual"/>
        </w:rPr>
        <w:t>. El principio de transparencia en la información alude al deber de los sujetos de proporcionar y facilitar el acceso a la misma en los términos más amplios posibles, y a través de los medios y procedimientos legales.</w:t>
      </w:r>
    </w:p>
    <w:p w14:paraId="7A8A6C50" w14:textId="77777777" w:rsidR="00977DC9" w:rsidRPr="009F5AD6" w:rsidRDefault="00977DC9" w:rsidP="00977DC9">
      <w:pPr>
        <w:spacing w:before="120" w:after="120" w:line="276" w:lineRule="auto"/>
        <w:ind w:firstLine="709"/>
        <w:jc w:val="both"/>
        <w:rPr>
          <w:rFonts w:ascii="Verdana" w:eastAsia="Times New Roman" w:hAnsi="Verdana" w:cs="Arial"/>
          <w:lang w:val="es-ES_tradnl" w:eastAsia="es-ES_tradnl"/>
          <w14:ligatures w14:val="standardContextual"/>
        </w:rPr>
      </w:pPr>
      <w:r w:rsidRPr="009F5AD6">
        <w:rPr>
          <w:rFonts w:ascii="Verdana" w:eastAsia="Times New Roman" w:hAnsi="Verdana" w:cs="Arial"/>
          <w:lang w:val="es-ES_tradnl" w:eastAsia="es-ES_tradnl"/>
          <w14:ligatures w14:val="standardContextual"/>
        </w:rPr>
        <w:t>La Ley Estatutaria citada establece, en el literal e) del artículo 9, que los sujetos obligados, que son todas las entidades públicas</w:t>
      </w:r>
      <w:r w:rsidRPr="009F5AD6">
        <w:rPr>
          <w:rFonts w:ascii="Verdana" w:eastAsia="Times New Roman" w:hAnsi="Verdana" w:cs="Arial"/>
          <w:vertAlign w:val="superscript"/>
          <w:lang w:val="es-ES_tradnl" w:eastAsia="es-ES_tradnl"/>
          <w14:ligatures w14:val="standardContextual"/>
        </w:rPr>
        <w:footnoteReference w:id="4"/>
      </w:r>
      <w:r w:rsidRPr="009F5AD6">
        <w:rPr>
          <w:rFonts w:ascii="Verdana" w:eastAsia="Times New Roman" w:hAnsi="Verdana" w:cs="Arial"/>
          <w:lang w:val="es-ES_tradnl" w:eastAsia="es-ES_tradnl"/>
          <w14:ligatures w14:val="standardContextual"/>
        </w:rPr>
        <w:t>, deben publicar la información relativa a su contratación. Esta obligación fue desarrollada por el Decreto Único Reglamentario 1081 de 2015</w:t>
      </w:r>
      <w:r w:rsidRPr="009F5AD6">
        <w:rPr>
          <w:rFonts w:ascii="Verdana" w:eastAsia="Times New Roman" w:hAnsi="Verdana" w:cs="Arial"/>
          <w:vertAlign w:val="superscript"/>
          <w:lang w:val="es-ES_tradnl" w:eastAsia="es-ES_tradnl"/>
          <w14:ligatures w14:val="standardContextual"/>
        </w:rPr>
        <w:footnoteReference w:id="5"/>
      </w:r>
      <w:r w:rsidRPr="009F5AD6">
        <w:rPr>
          <w:rFonts w:ascii="Verdana" w:eastAsia="Times New Roman" w:hAnsi="Verdana" w:cs="Arial"/>
          <w:lang w:val="es-ES_tradnl" w:eastAsia="es-ES_tradnl"/>
          <w14:ligatures w14:val="standardContextual"/>
        </w:rPr>
        <w:t xml:space="preserve">, el cual dispuso que la publicación </w:t>
      </w:r>
      <w:r w:rsidRPr="009F5AD6">
        <w:rPr>
          <w:rFonts w:ascii="Verdana" w:eastAsia="Times New Roman" w:hAnsi="Verdana" w:cs="Arial"/>
          <w:lang w:val="es-ES_tradnl" w:eastAsia="es-ES_tradnl"/>
          <w14:ligatures w14:val="standardContextual"/>
        </w:rPr>
        <w:lastRenderedPageBreak/>
        <w:t>de la información contractual de los sujetos obligados, que contratan con cargo a recursos públicos, debe hacerse en el SECOP.</w:t>
      </w:r>
    </w:p>
    <w:p w14:paraId="2B6A2722" w14:textId="77777777" w:rsidR="00977DC9" w:rsidRPr="009F5AD6" w:rsidRDefault="00977DC9" w:rsidP="00977DC9">
      <w:pPr>
        <w:spacing w:before="120" w:after="120" w:line="276" w:lineRule="auto"/>
        <w:ind w:firstLine="709"/>
        <w:jc w:val="both"/>
        <w:rPr>
          <w:rFonts w:ascii="Verdana" w:eastAsia="Times New Roman" w:hAnsi="Verdana" w:cs="Arial"/>
          <w:lang w:val="es-ES_tradnl" w:eastAsia="es-ES_tradnl"/>
          <w14:ligatures w14:val="standardContextual"/>
        </w:rPr>
      </w:pPr>
      <w:r w:rsidRPr="009F5AD6">
        <w:rPr>
          <w:rFonts w:ascii="Verdana" w:eastAsia="Times New Roman" w:hAnsi="Verdana" w:cs="Arial"/>
          <w:lang w:val="es-ES_tradnl" w:eastAsia="es-ES_tradnl"/>
          <w14:ligatures w14:val="standardContextual"/>
        </w:rPr>
        <w:t xml:space="preserve">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26C16C0" w14:textId="77777777" w:rsidR="00977DC9" w:rsidRPr="009F5AD6" w:rsidRDefault="00977DC9" w:rsidP="00977DC9">
      <w:pPr>
        <w:spacing w:before="120" w:after="120" w:line="276" w:lineRule="auto"/>
        <w:ind w:firstLine="709"/>
        <w:jc w:val="both"/>
        <w:rPr>
          <w:rFonts w:ascii="Verdana" w:eastAsia="Times New Roman" w:hAnsi="Verdana" w:cs="Arial"/>
          <w:lang w:val="es-ES_tradnl" w:eastAsia="es-ES_tradnl"/>
          <w14:ligatures w14:val="standardContextual"/>
        </w:rPr>
      </w:pPr>
      <w:r w:rsidRPr="009F5AD6">
        <w:rPr>
          <w:rFonts w:ascii="Verdana" w:eastAsia="Times New Roman" w:hAnsi="Verdana" w:cs="Arial"/>
          <w:lang w:val="es-ES_tradnl" w:eastAsia="es-ES_tradnl"/>
          <w14:ligatures w14:val="standardContextua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9F5AD6">
        <w:rPr>
          <w:rFonts w:ascii="Verdana" w:eastAsia="Times New Roman" w:hAnsi="Verdana" w:cs="Arial"/>
          <w:vertAlign w:val="superscript"/>
          <w:lang w:val="es-ES_tradnl" w:eastAsia="es-ES_tradnl"/>
          <w14:ligatures w14:val="standardContextual"/>
        </w:rPr>
        <w:footnoteReference w:id="6"/>
      </w:r>
      <w:r w:rsidRPr="009F5AD6">
        <w:rPr>
          <w:rFonts w:ascii="Verdana" w:eastAsia="Times New Roman" w:hAnsi="Verdana" w:cs="Arial"/>
          <w:lang w:val="es-ES_tradnl" w:eastAsia="es-ES_tradnl"/>
          <w14:ligatures w14:val="standardContextual"/>
        </w:rPr>
        <w:t xml:space="preserve">. En ese contexto, las Entidades Estatales, conforme al artículo 2.2.1.1.1.7.1 del Decreto 1082 de 2015, tienen la obligación de publicar en el SECOP “[…] los Documentos del Proceso y los actos administrativos del Proceso de Contratación, </w:t>
      </w:r>
      <w:r w:rsidRPr="009F5AD6">
        <w:rPr>
          <w:rFonts w:ascii="Verdana" w:eastAsia="Times New Roman" w:hAnsi="Verdana" w:cs="Arial"/>
          <w:i/>
          <w:iCs/>
          <w:lang w:val="es-ES_tradnl" w:eastAsia="es-ES_tradnl"/>
          <w14:ligatures w14:val="standardContextual"/>
        </w:rPr>
        <w:t>dentro de los tres (3) días siguientes a su expedición</w:t>
      </w:r>
      <w:r w:rsidRPr="009F5AD6">
        <w:rPr>
          <w:rFonts w:ascii="Verdana" w:eastAsia="Times New Roman" w:hAnsi="Verdana" w:cs="Arial"/>
          <w:lang w:val="es-ES_tradnl" w:eastAsia="es-ES_tradnl"/>
          <w14:ligatures w14:val="standardContextual"/>
        </w:rPr>
        <w:t xml:space="preserve"> […]” [Énfasis fuera del texto original].</w:t>
      </w:r>
    </w:p>
    <w:p w14:paraId="27B17D99" w14:textId="77777777" w:rsidR="00977DC9" w:rsidRPr="009F5AD6" w:rsidRDefault="00977DC9" w:rsidP="00977DC9">
      <w:pPr>
        <w:tabs>
          <w:tab w:val="left" w:pos="709"/>
        </w:tabs>
        <w:spacing w:before="120" w:after="0" w:line="276" w:lineRule="auto"/>
        <w:ind w:firstLine="709"/>
        <w:jc w:val="both"/>
        <w:rPr>
          <w:rFonts w:ascii="Verdana" w:hAnsi="Verdana" w:cs="Arial"/>
          <w:shd w:val="clear" w:color="auto" w:fill="FFFFFF"/>
        </w:rPr>
      </w:pPr>
      <w:r w:rsidRPr="009F5AD6">
        <w:rPr>
          <w:rFonts w:ascii="Verdana" w:hAnsi="Verdana" w:cs="Arial"/>
          <w:shd w:val="clear" w:color="auto" w:fill="FFFFFF"/>
        </w:rPr>
        <w:t xml:space="preserve">La expresión </w:t>
      </w:r>
      <w:r w:rsidRPr="009F5AD6">
        <w:rPr>
          <w:rFonts w:ascii="Verdana" w:hAnsi="Verdana" w:cs="Arial"/>
          <w:i/>
          <w:iCs/>
          <w:shd w:val="clear" w:color="auto" w:fill="FFFFFF"/>
        </w:rPr>
        <w:t xml:space="preserve">Documentos del Proceso </w:t>
      </w:r>
      <w:r w:rsidRPr="009F5AD6">
        <w:rPr>
          <w:rFonts w:ascii="Verdana" w:hAnsi="Verdana" w:cs="Arial"/>
          <w:shd w:val="clear" w:color="auto" w:fill="FFFFFF"/>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9F5AD6">
        <w:rPr>
          <w:rFonts w:ascii="Verdana" w:hAnsi="Verdana" w:cs="Arial"/>
          <w:i/>
          <w:iCs/>
          <w:shd w:val="clear" w:color="auto" w:fill="FFFFFF"/>
        </w:rPr>
        <w:t>y cualquier otro documento expedido por la Entidad Estatal durante el Proceso de Contratación</w:t>
      </w:r>
      <w:r w:rsidRPr="009F5AD6">
        <w:rPr>
          <w:rFonts w:ascii="Verdana" w:hAnsi="Verdana" w:cs="Arial"/>
          <w:shd w:val="clear" w:color="auto" w:fill="FFFFFF"/>
        </w:rPr>
        <w:t>”. [Énfasis fuera de texto].</w:t>
      </w:r>
    </w:p>
    <w:p w14:paraId="5F2C12BF" w14:textId="77777777" w:rsidR="00977DC9" w:rsidRPr="009F5AD6" w:rsidRDefault="00977DC9" w:rsidP="00977DC9">
      <w:pPr>
        <w:tabs>
          <w:tab w:val="left" w:pos="709"/>
        </w:tabs>
        <w:spacing w:before="120" w:after="0" w:line="276" w:lineRule="auto"/>
        <w:ind w:firstLine="709"/>
        <w:jc w:val="both"/>
        <w:rPr>
          <w:rFonts w:ascii="Verdana" w:hAnsi="Verdana" w:cs="Arial"/>
          <w:shd w:val="clear" w:color="auto" w:fill="FFFFFF"/>
        </w:rPr>
      </w:pPr>
      <w:r w:rsidRPr="009F5AD6">
        <w:rPr>
          <w:rFonts w:ascii="Verdana" w:hAnsi="Verdana" w:cs="Arial"/>
          <w:shd w:val="clear" w:color="auto" w:fill="FFFFFF"/>
        </w:rPr>
        <w:t xml:space="preserve">Sin embargo,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009F5AD6">
        <w:rPr>
          <w:rFonts w:ascii="Verdana" w:hAnsi="Verdana" w:cs="Arial"/>
          <w:i/>
          <w:iCs/>
          <w:shd w:val="clear" w:color="auto" w:fill="FFFFFF"/>
        </w:rPr>
        <w:t>Ibidem</w:t>
      </w:r>
      <w:r w:rsidRPr="009F5AD6">
        <w:rPr>
          <w:rFonts w:ascii="Verdana" w:hAnsi="Verdana" w:cs="Arial"/>
          <w:shd w:val="clear" w:color="auto" w:fill="FFFFFF"/>
        </w:rPr>
        <w:t xml:space="preserve"> recoge en la noción de Documentos del Proceso “cualquier otro documento expedido por la Entidad Estatal durante el Proceso de Contratación”. </w:t>
      </w:r>
    </w:p>
    <w:p w14:paraId="38D8241F" w14:textId="77777777" w:rsidR="00977DC9" w:rsidRPr="009F5AD6" w:rsidRDefault="00977DC9" w:rsidP="00977DC9">
      <w:pPr>
        <w:tabs>
          <w:tab w:val="left" w:pos="709"/>
        </w:tabs>
        <w:spacing w:before="120" w:after="0" w:line="276" w:lineRule="auto"/>
        <w:ind w:firstLine="709"/>
        <w:jc w:val="both"/>
        <w:rPr>
          <w:rFonts w:ascii="Verdana" w:hAnsi="Verdana" w:cs="Arial"/>
          <w:shd w:val="clear" w:color="auto" w:fill="FFFFFF"/>
        </w:rPr>
      </w:pPr>
      <w:r w:rsidRPr="009F5AD6">
        <w:rPr>
          <w:rFonts w:ascii="Verdana" w:hAnsi="Verdana" w:cs="Arial"/>
          <w:shd w:val="clear" w:color="auto" w:fill="FFFFFF"/>
        </w:rPr>
        <w:t xml:space="preserve">Este mismo artículo define la expresión Proceso de Contratación como el “Conjunto de actos y actividades, y su secuencia, adelantadas por la Entidad Estatal desde la planeación hasta el vencimiento de las garantías de calidad, </w:t>
      </w:r>
      <w:r w:rsidRPr="009F5AD6">
        <w:rPr>
          <w:rFonts w:ascii="Verdana" w:hAnsi="Verdana" w:cs="Arial"/>
          <w:shd w:val="clear" w:color="auto" w:fill="FFFFFF"/>
        </w:rPr>
        <w:lastRenderedPageBreak/>
        <w:t>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56EE80F8" w14:textId="77777777" w:rsidR="00977DC9" w:rsidRPr="009F5AD6" w:rsidRDefault="00977DC9" w:rsidP="00977DC9">
      <w:pPr>
        <w:tabs>
          <w:tab w:val="left" w:pos="709"/>
        </w:tabs>
        <w:spacing w:before="120" w:after="120" w:line="276" w:lineRule="auto"/>
        <w:ind w:firstLine="709"/>
        <w:jc w:val="both"/>
        <w:rPr>
          <w:rFonts w:ascii="Verdana" w:hAnsi="Verdana" w:cs="Arial"/>
          <w:shd w:val="clear" w:color="auto" w:fill="FFFFFF"/>
        </w:rPr>
      </w:pPr>
      <w:r w:rsidRPr="009F5AD6">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9F5AD6">
        <w:rPr>
          <w:rFonts w:ascii="Verdana" w:hAnsi="Verdana" w:cs="Arial"/>
          <w:shd w:val="clear" w:color="auto" w:fill="FFFFFF"/>
          <w:vertAlign w:val="superscript"/>
        </w:rPr>
        <w:footnoteReference w:id="7"/>
      </w:r>
      <w:r w:rsidRPr="009F5AD6">
        <w:rPr>
          <w:rFonts w:ascii="Verdana" w:hAnsi="Verdana" w:cs="Arial"/>
          <w:shd w:val="clear" w:color="auto" w:fill="FFFFFF"/>
        </w:rPr>
        <w:t>.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16D67D6B" w14:textId="77777777" w:rsidR="00977DC9" w:rsidRPr="009F5AD6" w:rsidRDefault="00977DC9" w:rsidP="00977DC9">
      <w:pPr>
        <w:tabs>
          <w:tab w:val="left" w:pos="709"/>
        </w:tabs>
        <w:spacing w:before="120" w:after="120" w:line="276" w:lineRule="auto"/>
        <w:ind w:firstLine="709"/>
        <w:jc w:val="both"/>
        <w:rPr>
          <w:rFonts w:ascii="Verdana" w:hAnsi="Verdana" w:cs="Arial"/>
          <w:shd w:val="clear" w:color="auto" w:fill="FFFFFF"/>
        </w:rPr>
      </w:pPr>
      <w:r w:rsidRPr="009F5AD6">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3D9624BF" w14:textId="77777777" w:rsidR="00977DC9" w:rsidRPr="009F5AD6" w:rsidRDefault="00977DC9" w:rsidP="00977DC9">
      <w:pPr>
        <w:spacing w:after="120" w:line="276" w:lineRule="auto"/>
        <w:ind w:firstLine="709"/>
        <w:jc w:val="both"/>
        <w:rPr>
          <w:rFonts w:ascii="Verdana" w:eastAsia="Calibri" w:hAnsi="Verdana" w:cs="Arial"/>
          <w:lang w:val="es-ES"/>
        </w:rPr>
      </w:pPr>
      <w:r w:rsidRPr="009F5AD6">
        <w:rPr>
          <w:rFonts w:ascii="Verdana" w:eastAsia="Calibri" w:hAnsi="Verdana" w:cs="Arial"/>
          <w:lang w:val="es-ES"/>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w:t>
      </w:r>
      <w:r w:rsidRPr="009F5AD6">
        <w:rPr>
          <w:rFonts w:ascii="Verdana" w:eastAsia="Calibri" w:hAnsi="Verdana" w:cs="Arial"/>
          <w:lang w:val="es-ES"/>
        </w:rPr>
        <w:lastRenderedPageBreak/>
        <w:t xml:space="preserve">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440C9A0A" w14:textId="77777777" w:rsidR="00977DC9" w:rsidRDefault="00977DC9" w:rsidP="00977DC9">
      <w:pPr>
        <w:tabs>
          <w:tab w:val="left" w:pos="709"/>
        </w:tabs>
        <w:spacing w:after="0" w:line="276" w:lineRule="auto"/>
        <w:ind w:firstLine="709"/>
        <w:jc w:val="both"/>
        <w:rPr>
          <w:rFonts w:ascii="Verdana" w:hAnsi="Verdana" w:cs="Arial"/>
          <w:shd w:val="clear" w:color="auto" w:fill="FFFFFF"/>
        </w:rPr>
      </w:pPr>
      <w:r w:rsidRPr="009F5AD6">
        <w:rPr>
          <w:rFonts w:ascii="Verdana" w:hAnsi="Verdana" w:cs="Arial"/>
          <w:shd w:val="clear" w:color="auto" w:fill="FFFFFF"/>
        </w:rPr>
        <w:t xml:space="preserve">Conforme a lo anterior, es clara la obligatoriedad de publicar la información de la actividad contractual que se realiza por parte de las Entidades Estatales en el SECOP, incluidas aquellas con cargo a recursos públicos que adelanten las entidades con regímenes contractuales especiales. Esta obligación incluye todos los documentos generados durante las fases precontractual, contractual y </w:t>
      </w:r>
      <w:proofErr w:type="spellStart"/>
      <w:r w:rsidRPr="009F5AD6">
        <w:rPr>
          <w:rFonts w:ascii="Verdana" w:hAnsi="Verdana" w:cs="Arial"/>
          <w:shd w:val="clear" w:color="auto" w:fill="FFFFFF"/>
        </w:rPr>
        <w:t>postcontractual</w:t>
      </w:r>
      <w:proofErr w:type="spellEnd"/>
      <w:r w:rsidRPr="009F5AD6">
        <w:rPr>
          <w:rFonts w:ascii="Verdana" w:hAnsi="Verdana" w:cs="Arial"/>
          <w:shd w:val="clear" w:color="auto" w:fill="FFFFFF"/>
        </w:rPr>
        <w:t xml:space="preserve">, como contratos, actos administrativos e información generada con ocasión al proceso de contratación. Esto tiene como objetivo garantizar la transparencia, el acceso público a la información y el control social sobre la contratación pública, permitiendo que la ciudadanía tenga acceso a los documentos en un sistema unificado y oficial, por lo que, en caso de no cumplir con tal deber, la entidad que adelante el proceso de contratación desconocería el mandato legal establecido en las disposiciones previamente citadas en este concepto, así como la imposición de sanciones a lugar. Por último, se precisa, que corresponderá a la Entidad Estatal, previo concepto de sus órganos asesores, cumplir con la publicación de los documentos que expiden dentro de un Proceso de Contratación en el SECOP, ya sea en SECOP I o en SECOP II en cumplimiento de las disposiciones legales y reglamentarias. </w:t>
      </w:r>
    </w:p>
    <w:p w14:paraId="327E45A1" w14:textId="77777777" w:rsidR="00977DC9" w:rsidRDefault="00977DC9" w:rsidP="00977DC9">
      <w:pPr>
        <w:tabs>
          <w:tab w:val="left" w:pos="709"/>
        </w:tabs>
        <w:spacing w:after="0" w:line="276" w:lineRule="auto"/>
        <w:jc w:val="both"/>
        <w:rPr>
          <w:rFonts w:ascii="Verdana" w:hAnsi="Verdana" w:cs="Arial"/>
          <w:shd w:val="clear" w:color="auto" w:fill="FFFFFF"/>
        </w:rPr>
      </w:pPr>
    </w:p>
    <w:p w14:paraId="3141FCB8" w14:textId="77777777" w:rsidR="00977DC9" w:rsidRPr="00235E30" w:rsidRDefault="00977DC9" w:rsidP="00977DC9">
      <w:pPr>
        <w:spacing w:after="120" w:line="276" w:lineRule="auto"/>
        <w:jc w:val="both"/>
        <w:rPr>
          <w:rFonts w:ascii="Verdana" w:eastAsia="Times New Roman" w:hAnsi="Verdana" w:cs="Segoe UI"/>
          <w:lang w:eastAsia="es-ES_tradnl"/>
        </w:rPr>
      </w:pPr>
      <w:proofErr w:type="spellStart"/>
      <w:r w:rsidRPr="00CE3FCF">
        <w:rPr>
          <w:rFonts w:ascii="Verdana" w:hAnsi="Verdana" w:cs="Arial"/>
          <w:shd w:val="clear" w:color="auto" w:fill="FFFFFF"/>
        </w:rPr>
        <w:t>ii</w:t>
      </w:r>
      <w:proofErr w:type="spellEnd"/>
      <w:r w:rsidRPr="00CE3FCF">
        <w:rPr>
          <w:rFonts w:ascii="Verdana" w:hAnsi="Verdana" w:cs="Arial"/>
          <w:shd w:val="clear" w:color="auto" w:fill="FFFFFF"/>
        </w:rPr>
        <w:t xml:space="preserve">) Conforme a lo expuesto en el numeral anterior, </w:t>
      </w:r>
      <w:r>
        <w:rPr>
          <w:rFonts w:ascii="Verdana" w:hAnsi="Verdana" w:cs="Segoe UI"/>
          <w:lang w:eastAsia="es-ES_tradnl"/>
        </w:rPr>
        <w:t>l</w:t>
      </w:r>
      <w:r w:rsidRPr="00235E30">
        <w:rPr>
          <w:rFonts w:ascii="Verdana" w:hAnsi="Verdana" w:cs="Segoe UI"/>
          <w:lang w:eastAsia="es-ES_tradnl"/>
        </w:rPr>
        <w:t>a publicación de los documentos del proceso constituye una obligación legal derivada de los principios de publicidad, transparencia y acceso a la información pública que orientan la contratación estatal.</w:t>
      </w:r>
      <w:r>
        <w:rPr>
          <w:rFonts w:ascii="Verdana" w:hAnsi="Verdana" w:cs="Segoe UI"/>
          <w:lang w:eastAsia="es-ES_tradnl"/>
        </w:rPr>
        <w:t xml:space="preserve"> </w:t>
      </w:r>
      <w:r w:rsidRPr="00235E30">
        <w:rPr>
          <w:rFonts w:ascii="Verdana" w:eastAsia="Times New Roman" w:hAnsi="Verdana" w:cs="Segoe UI"/>
          <w:lang w:eastAsia="es-ES_tradnl"/>
        </w:rPr>
        <w:t>Por consiguiente, la omisión en la publicación de la información contractual exigida por el ordenamiento jurídico implica el desconocimiento de los deberes previstos en la Ley 1150 de 2007, la Ley 1712 de 2014 y el Decreto 1082 de 2015.</w:t>
      </w:r>
      <w:r>
        <w:rPr>
          <w:rFonts w:ascii="Verdana" w:hAnsi="Verdana" w:cs="Segoe UI"/>
          <w:lang w:eastAsia="es-ES_tradnl"/>
        </w:rPr>
        <w:t xml:space="preserve"> Adicionalmente, </w:t>
      </w:r>
      <w:r w:rsidRPr="00FC4EE2">
        <w:rPr>
          <w:rFonts w:ascii="Verdana" w:eastAsia="Times New Roman" w:hAnsi="Verdana" w:cs="Segoe UI"/>
          <w:lang w:eastAsia="es-ES_tradnl"/>
        </w:rPr>
        <w:t>la falta de publicación afecta la materialización de los principios de transparencia, publicidad, acceso a la información pública y control social que justifican la existencia del SECOP como sistema oficial de difusión de la contratación pública.</w:t>
      </w:r>
    </w:p>
    <w:p w14:paraId="4B88E068" w14:textId="77777777" w:rsidR="00977DC9" w:rsidRPr="00235E30" w:rsidRDefault="00977DC9" w:rsidP="00977DC9">
      <w:pPr>
        <w:spacing w:after="0" w:line="276" w:lineRule="auto"/>
        <w:ind w:firstLine="708"/>
        <w:jc w:val="both"/>
        <w:rPr>
          <w:rFonts w:ascii="Verdana" w:eastAsia="Times New Roman" w:hAnsi="Verdana" w:cs="Segoe UI"/>
          <w:lang w:eastAsia="es-ES_tradnl"/>
        </w:rPr>
      </w:pPr>
      <w:r w:rsidRPr="00235E30">
        <w:rPr>
          <w:rFonts w:ascii="Verdana" w:eastAsia="Times New Roman" w:hAnsi="Verdana" w:cs="Segoe UI"/>
          <w:lang w:eastAsia="es-ES_tradnl"/>
        </w:rPr>
        <w:lastRenderedPageBreak/>
        <w:t>No obstante, la determinación de las consecuencias específicas derivadas de dicho incumplimiento no corresponde a la Agencia Nacional de Contratación Pública – Colombia Compra Eficiente. La valoración de eventuales responsabilidades disciplinarias, fiscales, penales o administrativas es competencia de las autoridades judiciales y de control, de acuerdo con las funciones que les han sido constitucional y legalmente atribuidas.</w:t>
      </w:r>
    </w:p>
    <w:p w14:paraId="5D15CD25" w14:textId="77777777" w:rsidR="00977DC9" w:rsidRPr="00945DFB" w:rsidRDefault="00977DC9" w:rsidP="00977DC9">
      <w:pPr>
        <w:tabs>
          <w:tab w:val="left" w:pos="709"/>
        </w:tabs>
        <w:spacing w:after="0" w:line="276" w:lineRule="auto"/>
        <w:jc w:val="both"/>
        <w:rPr>
          <w:rFonts w:ascii="Verdana" w:hAnsi="Verdana" w:cs="Arial"/>
          <w:shd w:val="clear" w:color="auto" w:fill="FFFFFF"/>
        </w:rPr>
      </w:pPr>
    </w:p>
    <w:p w14:paraId="286BFCB4" w14:textId="77777777" w:rsidR="00977DC9" w:rsidRDefault="00977DC9" w:rsidP="00977DC9">
      <w:pPr>
        <w:tabs>
          <w:tab w:val="left" w:pos="709"/>
        </w:tabs>
        <w:spacing w:after="120" w:line="276" w:lineRule="auto"/>
        <w:jc w:val="both"/>
        <w:rPr>
          <w:rFonts w:ascii="Verdana" w:hAnsi="Verdana" w:cs="Arial"/>
          <w:shd w:val="clear" w:color="auto" w:fill="FFFFFF"/>
        </w:rPr>
      </w:pPr>
      <w:proofErr w:type="spellStart"/>
      <w:r>
        <w:rPr>
          <w:rFonts w:ascii="Verdana" w:hAnsi="Verdana" w:cs="Arial"/>
          <w:shd w:val="clear" w:color="auto" w:fill="FFFFFF"/>
        </w:rPr>
        <w:t>iii</w:t>
      </w:r>
      <w:proofErr w:type="spellEnd"/>
      <w:r>
        <w:rPr>
          <w:rFonts w:ascii="Verdana" w:hAnsi="Verdana" w:cs="Arial"/>
          <w:shd w:val="clear" w:color="auto" w:fill="FFFFFF"/>
        </w:rPr>
        <w:t xml:space="preserve">) De otro lado, se indica que la Agencia Nacional de Contratación Pública – Colombia Eficiente, de acuerdo con lo dispuesto en el numeral 5 del artículo 3 del Decreto Ley 4170 de 2011, se encuentra facultada para expedir directivas en materia de compras y contratación pública, actos administrativos en los que se incorporan instrucciones dirigidas a las Entidades Estatales y demás partícipes del Sistema de Compras y Contrataciones Públicas que son de obligatorio cumplimiento. De igual forma., el numeral 8 ibidem, señala como función de esta entidad, el desarrollo y administración del SECOP o el que haga sus veces. </w:t>
      </w:r>
    </w:p>
    <w:p w14:paraId="51CA4D52" w14:textId="77777777" w:rsidR="00977DC9" w:rsidRPr="00235E30" w:rsidRDefault="00977DC9" w:rsidP="00977DC9">
      <w:pPr>
        <w:spacing w:after="0" w:line="276" w:lineRule="auto"/>
        <w:ind w:firstLine="709"/>
        <w:jc w:val="both"/>
        <w:rPr>
          <w:rFonts w:ascii="Verdana" w:eastAsia="Times New Roman" w:hAnsi="Verdana" w:cs="Segoe UI"/>
          <w:lang w:eastAsia="es-ES_tradnl"/>
        </w:rPr>
      </w:pPr>
      <w:r w:rsidRPr="00235E30">
        <w:rPr>
          <w:rFonts w:ascii="Verdana" w:eastAsia="Times New Roman" w:hAnsi="Verdana" w:cs="Segoe UI"/>
          <w:lang w:eastAsia="es-ES_tradnl"/>
        </w:rPr>
        <w:t xml:space="preserve">En ejercicio de dichas competencias, la Agencia ha venido implementando progresivamente el uso obligatorio del SECOP II mediante la expedición de diferentes circulares externas que establecen cronogramas, grupos de entidades obligadas, reglas de implementación y condiciones de incorporación a la plataforma transaccional. </w:t>
      </w:r>
      <w:r w:rsidRPr="00264A4B">
        <w:rPr>
          <w:rFonts w:ascii="Verdana" w:hAnsi="Verdana" w:cs="Arial"/>
          <w:shd w:val="clear" w:color="auto" w:fill="FFFFFF"/>
        </w:rPr>
        <w:t>Por ello, y en desarrollo de las anteriores competencias, ha emitido nueve (9) circulares externas, en las que dispuso los lineamientos para el uso obligatorio del SECOP II, a saber:</w:t>
      </w:r>
    </w:p>
    <w:p w14:paraId="59052B03" w14:textId="77777777" w:rsidR="00977DC9" w:rsidRDefault="00977DC9" w:rsidP="00977DC9">
      <w:pPr>
        <w:tabs>
          <w:tab w:val="left" w:pos="709"/>
        </w:tabs>
        <w:spacing w:after="0" w:line="276" w:lineRule="auto"/>
        <w:jc w:val="both"/>
        <w:rPr>
          <w:rFonts w:ascii="Verdana" w:hAnsi="Verdana" w:cs="Arial"/>
          <w:shd w:val="clear" w:color="auto" w:fill="FFFFFF"/>
        </w:rPr>
      </w:pPr>
      <w:r>
        <w:rPr>
          <w:rFonts w:ascii="Verdana" w:hAnsi="Verdana" w:cs="Arial"/>
          <w:shd w:val="clear" w:color="auto" w:fill="FFFFFF"/>
        </w:rPr>
        <w:tab/>
      </w:r>
    </w:p>
    <w:tbl>
      <w:tblPr>
        <w:tblStyle w:val="Tablaconcuadrcula4-nfasis3"/>
        <w:tblW w:w="0" w:type="auto"/>
        <w:jc w:val="center"/>
        <w:tblLook w:val="04A0" w:firstRow="1" w:lastRow="0" w:firstColumn="1" w:lastColumn="0" w:noHBand="0" w:noVBand="1"/>
      </w:tblPr>
      <w:tblGrid>
        <w:gridCol w:w="704"/>
        <w:gridCol w:w="2243"/>
        <w:gridCol w:w="1862"/>
        <w:gridCol w:w="1545"/>
      </w:tblGrid>
      <w:tr w:rsidR="00977DC9" w:rsidRPr="00510254" w14:paraId="2B3DE018" w14:textId="77777777" w:rsidTr="00E7274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36500555" w14:textId="77777777" w:rsidR="00977DC9" w:rsidRPr="000C067C" w:rsidRDefault="00977DC9" w:rsidP="00E7274F">
            <w:pPr>
              <w:pStyle w:val="Prrafodelista"/>
              <w:autoSpaceDE w:val="0"/>
              <w:autoSpaceDN w:val="0"/>
              <w:adjustRightInd w:val="0"/>
              <w:spacing w:before="120" w:line="276" w:lineRule="auto"/>
              <w:ind w:left="0"/>
              <w:jc w:val="center"/>
              <w:rPr>
                <w:rFonts w:ascii="Verdana" w:eastAsia="Times New Roman" w:hAnsi="Verdana" w:cs="Arial"/>
                <w:sz w:val="18"/>
                <w:szCs w:val="18"/>
                <w:lang w:eastAsia="es-CO"/>
              </w:rPr>
            </w:pPr>
            <w:r w:rsidRPr="000C067C">
              <w:rPr>
                <w:rFonts w:ascii="Verdana" w:eastAsia="Times New Roman" w:hAnsi="Verdana" w:cs="Arial"/>
                <w:sz w:val="18"/>
                <w:szCs w:val="18"/>
                <w:lang w:eastAsia="es-CO"/>
              </w:rPr>
              <w:t>No.</w:t>
            </w:r>
          </w:p>
        </w:tc>
        <w:tc>
          <w:tcPr>
            <w:tcW w:w="2243" w:type="dxa"/>
            <w:vAlign w:val="center"/>
          </w:tcPr>
          <w:p w14:paraId="36E94F4B" w14:textId="77777777" w:rsidR="00977DC9" w:rsidRPr="000C067C" w:rsidRDefault="00977DC9" w:rsidP="00E7274F">
            <w:pPr>
              <w:pStyle w:val="Prrafodelista"/>
              <w:autoSpaceDE w:val="0"/>
              <w:autoSpaceDN w:val="0"/>
              <w:adjustRightInd w:val="0"/>
              <w:spacing w:before="120" w:line="276" w:lineRule="auto"/>
              <w:ind w:left="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Arial"/>
                <w:sz w:val="18"/>
                <w:szCs w:val="18"/>
                <w:lang w:eastAsia="es-CO"/>
              </w:rPr>
              <w:t>Nombre</w:t>
            </w:r>
          </w:p>
        </w:tc>
        <w:tc>
          <w:tcPr>
            <w:tcW w:w="1862" w:type="dxa"/>
            <w:vAlign w:val="center"/>
          </w:tcPr>
          <w:p w14:paraId="2F93B9AD" w14:textId="77777777" w:rsidR="00977DC9" w:rsidRPr="000C067C" w:rsidRDefault="00977DC9" w:rsidP="00E7274F">
            <w:pPr>
              <w:pStyle w:val="Prrafodelista"/>
              <w:autoSpaceDE w:val="0"/>
              <w:autoSpaceDN w:val="0"/>
              <w:adjustRightInd w:val="0"/>
              <w:spacing w:before="120" w:line="276" w:lineRule="auto"/>
              <w:ind w:left="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Arial"/>
                <w:sz w:val="18"/>
                <w:szCs w:val="18"/>
                <w:lang w:eastAsia="es-CO"/>
              </w:rPr>
              <w:t>Fecha de emisión</w:t>
            </w:r>
          </w:p>
        </w:tc>
        <w:tc>
          <w:tcPr>
            <w:tcW w:w="1545" w:type="dxa"/>
            <w:vAlign w:val="center"/>
          </w:tcPr>
          <w:p w14:paraId="5146FBFC" w14:textId="77777777" w:rsidR="00977DC9" w:rsidRPr="000C067C" w:rsidRDefault="00977DC9" w:rsidP="00E7274F">
            <w:pPr>
              <w:pStyle w:val="Prrafodelista"/>
              <w:autoSpaceDE w:val="0"/>
              <w:autoSpaceDN w:val="0"/>
              <w:adjustRightInd w:val="0"/>
              <w:spacing w:before="120" w:line="276" w:lineRule="auto"/>
              <w:ind w:left="0"/>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Arial"/>
                <w:sz w:val="18"/>
                <w:szCs w:val="18"/>
                <w:lang w:eastAsia="es-CO"/>
              </w:rPr>
              <w:t>Ubicación en página web</w:t>
            </w:r>
          </w:p>
        </w:tc>
      </w:tr>
      <w:tr w:rsidR="00977DC9" w:rsidRPr="00510254" w14:paraId="37039D34" w14:textId="77777777" w:rsidTr="00E727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7FCAC19F" w14:textId="77777777" w:rsidR="00977DC9" w:rsidRPr="000C067C" w:rsidRDefault="00977DC9" w:rsidP="00E7274F">
            <w:pPr>
              <w:pStyle w:val="Prrafodelista"/>
              <w:autoSpaceDE w:val="0"/>
              <w:autoSpaceDN w:val="0"/>
              <w:adjustRightInd w:val="0"/>
              <w:spacing w:before="120" w:line="276" w:lineRule="auto"/>
              <w:ind w:left="0"/>
              <w:jc w:val="center"/>
              <w:rPr>
                <w:rFonts w:ascii="Verdana" w:eastAsia="Times New Roman" w:hAnsi="Verdana" w:cs="Arial"/>
                <w:sz w:val="18"/>
                <w:szCs w:val="18"/>
                <w:lang w:eastAsia="es-CO"/>
              </w:rPr>
            </w:pPr>
            <w:r w:rsidRPr="000C067C">
              <w:rPr>
                <w:rFonts w:ascii="Verdana" w:eastAsia="Times New Roman" w:hAnsi="Verdana" w:cs="Arial"/>
                <w:sz w:val="18"/>
                <w:szCs w:val="18"/>
                <w:lang w:eastAsia="es-CO"/>
              </w:rPr>
              <w:t>01</w:t>
            </w:r>
          </w:p>
        </w:tc>
        <w:tc>
          <w:tcPr>
            <w:tcW w:w="2243" w:type="dxa"/>
            <w:vAlign w:val="center"/>
          </w:tcPr>
          <w:p w14:paraId="2072E6DA"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Arial"/>
                <w:sz w:val="18"/>
                <w:szCs w:val="18"/>
                <w:lang w:eastAsia="es-CO"/>
              </w:rPr>
              <w:t>Circular Externa No. 1</w:t>
            </w:r>
          </w:p>
        </w:tc>
        <w:tc>
          <w:tcPr>
            <w:tcW w:w="1862" w:type="dxa"/>
            <w:vAlign w:val="center"/>
          </w:tcPr>
          <w:p w14:paraId="730EF6DC"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22 de agosto de 2019</w:t>
            </w:r>
          </w:p>
        </w:tc>
        <w:tc>
          <w:tcPr>
            <w:tcW w:w="1545" w:type="dxa"/>
            <w:vAlign w:val="center"/>
          </w:tcPr>
          <w:p w14:paraId="20214292"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 xml:space="preserve">Disponible </w:t>
            </w:r>
            <w:hyperlink r:id="rId18" w:history="1">
              <w:r w:rsidRPr="000C067C">
                <w:rPr>
                  <w:rStyle w:val="Hipervnculo"/>
                  <w:rFonts w:ascii="Verdana" w:eastAsia="Times New Roman" w:hAnsi="Verdana" w:cs="Segoe UI"/>
                  <w:sz w:val="18"/>
                  <w:szCs w:val="18"/>
                  <w:lang w:eastAsia="es-CO"/>
                </w:rPr>
                <w:t>aquí</w:t>
              </w:r>
            </w:hyperlink>
          </w:p>
        </w:tc>
      </w:tr>
      <w:tr w:rsidR="00977DC9" w:rsidRPr="00510254" w14:paraId="38530EDF" w14:textId="77777777" w:rsidTr="00E7274F">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20B29648" w14:textId="77777777" w:rsidR="00977DC9" w:rsidRPr="000C067C" w:rsidRDefault="00977DC9" w:rsidP="00E7274F">
            <w:pPr>
              <w:pStyle w:val="Prrafodelista"/>
              <w:autoSpaceDE w:val="0"/>
              <w:autoSpaceDN w:val="0"/>
              <w:adjustRightInd w:val="0"/>
              <w:spacing w:before="120" w:line="276" w:lineRule="auto"/>
              <w:ind w:left="0"/>
              <w:jc w:val="center"/>
              <w:rPr>
                <w:rFonts w:ascii="Verdana" w:eastAsia="Times New Roman" w:hAnsi="Verdana" w:cs="Arial"/>
                <w:sz w:val="18"/>
                <w:szCs w:val="18"/>
                <w:lang w:eastAsia="es-CO"/>
              </w:rPr>
            </w:pPr>
            <w:r w:rsidRPr="000C067C">
              <w:rPr>
                <w:rFonts w:ascii="Verdana" w:eastAsia="Times New Roman" w:hAnsi="Verdana" w:cs="Arial"/>
                <w:sz w:val="18"/>
                <w:szCs w:val="18"/>
                <w:lang w:eastAsia="es-CO"/>
              </w:rPr>
              <w:t>02</w:t>
            </w:r>
          </w:p>
        </w:tc>
        <w:tc>
          <w:tcPr>
            <w:tcW w:w="2243" w:type="dxa"/>
            <w:vAlign w:val="center"/>
          </w:tcPr>
          <w:p w14:paraId="7E3BF915" w14:textId="77777777" w:rsidR="00977DC9" w:rsidRPr="000C067C" w:rsidRDefault="00977DC9" w:rsidP="00E7274F">
            <w:pPr>
              <w:pStyle w:val="Prrafodelista"/>
              <w:autoSpaceDE w:val="0"/>
              <w:autoSpaceDN w:val="0"/>
              <w:adjustRightInd w:val="0"/>
              <w:spacing w:before="120" w:line="276" w:lineRule="auto"/>
              <w:ind w:lef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Arial"/>
                <w:sz w:val="18"/>
                <w:szCs w:val="18"/>
                <w:lang w:eastAsia="es-CO"/>
              </w:rPr>
              <w:t>Circular Externa No. 2</w:t>
            </w:r>
          </w:p>
        </w:tc>
        <w:tc>
          <w:tcPr>
            <w:tcW w:w="1862" w:type="dxa"/>
            <w:vAlign w:val="center"/>
          </w:tcPr>
          <w:p w14:paraId="5DCF8BEB" w14:textId="77777777" w:rsidR="00977DC9" w:rsidRPr="000C067C" w:rsidRDefault="00977DC9" w:rsidP="00E7274F">
            <w:pPr>
              <w:pStyle w:val="Prrafodelista"/>
              <w:autoSpaceDE w:val="0"/>
              <w:autoSpaceDN w:val="0"/>
              <w:adjustRightInd w:val="0"/>
              <w:spacing w:before="120" w:line="276" w:lineRule="auto"/>
              <w:ind w:lef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23 de diciembre de 2019</w:t>
            </w:r>
          </w:p>
        </w:tc>
        <w:tc>
          <w:tcPr>
            <w:tcW w:w="1545" w:type="dxa"/>
            <w:vAlign w:val="center"/>
          </w:tcPr>
          <w:p w14:paraId="7E37A8C8" w14:textId="77777777" w:rsidR="00977DC9" w:rsidRPr="000C067C" w:rsidRDefault="00977DC9" w:rsidP="00E7274F">
            <w:pPr>
              <w:pStyle w:val="Prrafodelista"/>
              <w:autoSpaceDE w:val="0"/>
              <w:autoSpaceDN w:val="0"/>
              <w:adjustRightInd w:val="0"/>
              <w:spacing w:before="120" w:line="276" w:lineRule="auto"/>
              <w:ind w:lef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 xml:space="preserve">Disponible </w:t>
            </w:r>
            <w:hyperlink r:id="rId19" w:history="1">
              <w:r w:rsidRPr="000C067C">
                <w:rPr>
                  <w:rStyle w:val="Hipervnculo"/>
                  <w:rFonts w:ascii="Verdana" w:eastAsia="Times New Roman" w:hAnsi="Verdana" w:cs="Segoe UI"/>
                  <w:sz w:val="18"/>
                  <w:szCs w:val="18"/>
                  <w:lang w:eastAsia="es-CO"/>
                </w:rPr>
                <w:t>aquí</w:t>
              </w:r>
            </w:hyperlink>
          </w:p>
        </w:tc>
      </w:tr>
      <w:tr w:rsidR="00977DC9" w:rsidRPr="00510254" w14:paraId="5851DEEB" w14:textId="77777777" w:rsidTr="00E727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656E518F" w14:textId="77777777" w:rsidR="00977DC9" w:rsidRPr="000C067C" w:rsidRDefault="00977DC9" w:rsidP="00E7274F">
            <w:pPr>
              <w:pStyle w:val="Prrafodelista"/>
              <w:autoSpaceDE w:val="0"/>
              <w:autoSpaceDN w:val="0"/>
              <w:adjustRightInd w:val="0"/>
              <w:spacing w:before="120" w:line="276" w:lineRule="auto"/>
              <w:ind w:left="0"/>
              <w:jc w:val="center"/>
              <w:rPr>
                <w:rFonts w:ascii="Verdana" w:eastAsia="Times New Roman" w:hAnsi="Verdana" w:cs="Arial"/>
                <w:sz w:val="18"/>
                <w:szCs w:val="18"/>
                <w:lang w:eastAsia="es-CO"/>
              </w:rPr>
            </w:pPr>
            <w:r w:rsidRPr="000C067C">
              <w:rPr>
                <w:rFonts w:ascii="Verdana" w:eastAsia="Times New Roman" w:hAnsi="Verdana" w:cs="Arial"/>
                <w:sz w:val="18"/>
                <w:szCs w:val="18"/>
                <w:lang w:eastAsia="es-CO"/>
              </w:rPr>
              <w:t>03</w:t>
            </w:r>
          </w:p>
        </w:tc>
        <w:tc>
          <w:tcPr>
            <w:tcW w:w="2243" w:type="dxa"/>
            <w:vAlign w:val="center"/>
          </w:tcPr>
          <w:p w14:paraId="543BBEE7"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Segoe UI"/>
                <w:sz w:val="18"/>
                <w:szCs w:val="18"/>
                <w:lang w:eastAsia="es-CO"/>
              </w:rPr>
            </w:pPr>
            <w:r w:rsidRPr="000C067C">
              <w:rPr>
                <w:rFonts w:ascii="Verdana" w:eastAsia="Times New Roman" w:hAnsi="Verdana" w:cs="Segoe UI"/>
                <w:sz w:val="18"/>
                <w:szCs w:val="18"/>
                <w:lang w:eastAsia="es-CO"/>
              </w:rPr>
              <w:t>Circular Externa No. 3</w:t>
            </w:r>
          </w:p>
        </w:tc>
        <w:tc>
          <w:tcPr>
            <w:tcW w:w="1862" w:type="dxa"/>
            <w:vAlign w:val="center"/>
          </w:tcPr>
          <w:p w14:paraId="13178999"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Segoe UI"/>
                <w:sz w:val="18"/>
                <w:szCs w:val="18"/>
                <w:lang w:eastAsia="es-CO"/>
              </w:rPr>
            </w:pPr>
            <w:r w:rsidRPr="000C067C">
              <w:rPr>
                <w:rFonts w:ascii="Verdana" w:eastAsia="Times New Roman" w:hAnsi="Verdana" w:cs="Segoe UI"/>
                <w:sz w:val="18"/>
                <w:szCs w:val="18"/>
                <w:lang w:eastAsia="es-CO"/>
              </w:rPr>
              <w:t>31 de marzo de 2020.</w:t>
            </w:r>
          </w:p>
        </w:tc>
        <w:tc>
          <w:tcPr>
            <w:tcW w:w="1545" w:type="dxa"/>
            <w:vAlign w:val="center"/>
          </w:tcPr>
          <w:p w14:paraId="090678B8"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sz w:val="18"/>
                <w:szCs w:val="18"/>
                <w:lang w:eastAsia="es-CO"/>
              </w:rPr>
            </w:pPr>
            <w:r w:rsidRPr="000C067C">
              <w:rPr>
                <w:rFonts w:ascii="Verdana" w:eastAsia="Times New Roman" w:hAnsi="Verdana" w:cs="Segoe UI"/>
                <w:sz w:val="18"/>
                <w:szCs w:val="18"/>
                <w:lang w:eastAsia="es-CO"/>
              </w:rPr>
              <w:t xml:space="preserve">Disponible </w:t>
            </w:r>
            <w:hyperlink r:id="rId20" w:history="1">
              <w:r w:rsidRPr="000C067C">
                <w:rPr>
                  <w:rStyle w:val="Hipervnculo"/>
                  <w:rFonts w:ascii="Verdana" w:eastAsia="Times New Roman" w:hAnsi="Verdana" w:cs="Segoe UI"/>
                  <w:sz w:val="18"/>
                  <w:szCs w:val="18"/>
                  <w:lang w:eastAsia="es-CO"/>
                </w:rPr>
                <w:t>aquí</w:t>
              </w:r>
            </w:hyperlink>
          </w:p>
        </w:tc>
      </w:tr>
      <w:tr w:rsidR="00977DC9" w:rsidRPr="00510254" w14:paraId="01B45F7E" w14:textId="77777777" w:rsidTr="00E7274F">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57E1C06D" w14:textId="77777777" w:rsidR="00977DC9" w:rsidRPr="000C067C" w:rsidRDefault="00977DC9" w:rsidP="00E7274F">
            <w:pPr>
              <w:pStyle w:val="Prrafodelista"/>
              <w:autoSpaceDE w:val="0"/>
              <w:autoSpaceDN w:val="0"/>
              <w:adjustRightInd w:val="0"/>
              <w:spacing w:before="120" w:line="276" w:lineRule="auto"/>
              <w:ind w:left="0"/>
              <w:jc w:val="center"/>
              <w:rPr>
                <w:rFonts w:ascii="Verdana" w:eastAsia="Times New Roman" w:hAnsi="Verdana" w:cs="Arial"/>
                <w:b w:val="0"/>
                <w:bCs w:val="0"/>
                <w:sz w:val="18"/>
                <w:szCs w:val="18"/>
                <w:lang w:eastAsia="es-CO"/>
              </w:rPr>
            </w:pPr>
            <w:r w:rsidRPr="000C067C">
              <w:rPr>
                <w:rFonts w:ascii="Verdana" w:eastAsia="Times New Roman" w:hAnsi="Verdana" w:cs="Arial"/>
                <w:sz w:val="18"/>
                <w:szCs w:val="18"/>
                <w:lang w:eastAsia="es-CO"/>
              </w:rPr>
              <w:t>04</w:t>
            </w:r>
          </w:p>
          <w:p w14:paraId="0A9FF463" w14:textId="77777777" w:rsidR="00977DC9" w:rsidRPr="000C067C" w:rsidRDefault="00977DC9" w:rsidP="00E7274F">
            <w:pPr>
              <w:pStyle w:val="Prrafodelista"/>
              <w:autoSpaceDE w:val="0"/>
              <w:autoSpaceDN w:val="0"/>
              <w:adjustRightInd w:val="0"/>
              <w:spacing w:before="120" w:line="276" w:lineRule="auto"/>
              <w:ind w:left="0"/>
              <w:jc w:val="center"/>
              <w:rPr>
                <w:rFonts w:ascii="Verdana" w:eastAsia="Times New Roman" w:hAnsi="Verdana" w:cs="Arial"/>
                <w:sz w:val="18"/>
                <w:szCs w:val="18"/>
                <w:lang w:eastAsia="es-CO"/>
              </w:rPr>
            </w:pPr>
          </w:p>
        </w:tc>
        <w:tc>
          <w:tcPr>
            <w:tcW w:w="2243" w:type="dxa"/>
            <w:vAlign w:val="center"/>
          </w:tcPr>
          <w:p w14:paraId="356F24D3" w14:textId="77777777" w:rsidR="00977DC9" w:rsidRPr="000C067C" w:rsidRDefault="00977DC9" w:rsidP="00E7274F">
            <w:pPr>
              <w:pStyle w:val="Prrafodelista"/>
              <w:autoSpaceDE w:val="0"/>
              <w:autoSpaceDN w:val="0"/>
              <w:adjustRightInd w:val="0"/>
              <w:spacing w:before="120" w:line="276" w:lineRule="auto"/>
              <w:ind w:lef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Circular Externa No. 001</w:t>
            </w:r>
          </w:p>
        </w:tc>
        <w:tc>
          <w:tcPr>
            <w:tcW w:w="1862" w:type="dxa"/>
            <w:vAlign w:val="center"/>
          </w:tcPr>
          <w:p w14:paraId="03E48899" w14:textId="77777777" w:rsidR="00977DC9" w:rsidRPr="000C067C" w:rsidRDefault="00977DC9" w:rsidP="00E7274F">
            <w:pPr>
              <w:pStyle w:val="Prrafodelista"/>
              <w:autoSpaceDE w:val="0"/>
              <w:autoSpaceDN w:val="0"/>
              <w:adjustRightInd w:val="0"/>
              <w:spacing w:before="120" w:line="276" w:lineRule="auto"/>
              <w:ind w:lef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10 de febrero del 2021</w:t>
            </w:r>
          </w:p>
        </w:tc>
        <w:tc>
          <w:tcPr>
            <w:tcW w:w="1545" w:type="dxa"/>
            <w:vAlign w:val="center"/>
          </w:tcPr>
          <w:p w14:paraId="7159162B" w14:textId="77777777" w:rsidR="00977DC9" w:rsidRPr="000C067C" w:rsidRDefault="00977DC9" w:rsidP="00E7274F">
            <w:pPr>
              <w:pStyle w:val="Prrafodelista"/>
              <w:autoSpaceDE w:val="0"/>
              <w:autoSpaceDN w:val="0"/>
              <w:adjustRightInd w:val="0"/>
              <w:spacing w:before="120" w:line="276" w:lineRule="auto"/>
              <w:ind w:lef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 xml:space="preserve">Disponible </w:t>
            </w:r>
            <w:hyperlink r:id="rId21" w:history="1">
              <w:r w:rsidRPr="000C067C">
                <w:rPr>
                  <w:rStyle w:val="Hipervnculo"/>
                  <w:rFonts w:ascii="Verdana" w:eastAsia="Times New Roman" w:hAnsi="Verdana" w:cs="Segoe UI"/>
                  <w:sz w:val="18"/>
                  <w:szCs w:val="18"/>
                  <w:lang w:eastAsia="es-CO"/>
                </w:rPr>
                <w:t>aquí</w:t>
              </w:r>
            </w:hyperlink>
          </w:p>
        </w:tc>
      </w:tr>
      <w:tr w:rsidR="00977DC9" w:rsidRPr="00510254" w14:paraId="1433B370" w14:textId="77777777" w:rsidTr="00E727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7FC01F97" w14:textId="77777777" w:rsidR="00977DC9" w:rsidRPr="000C067C" w:rsidRDefault="00977DC9" w:rsidP="00E7274F">
            <w:pPr>
              <w:pStyle w:val="Prrafodelista"/>
              <w:autoSpaceDE w:val="0"/>
              <w:autoSpaceDN w:val="0"/>
              <w:adjustRightInd w:val="0"/>
              <w:spacing w:before="120" w:line="276" w:lineRule="auto"/>
              <w:ind w:left="0"/>
              <w:jc w:val="center"/>
              <w:rPr>
                <w:rFonts w:ascii="Verdana" w:eastAsia="Times New Roman" w:hAnsi="Verdana" w:cs="Arial"/>
                <w:sz w:val="18"/>
                <w:szCs w:val="18"/>
                <w:lang w:eastAsia="es-CO"/>
              </w:rPr>
            </w:pPr>
            <w:r w:rsidRPr="000C067C">
              <w:rPr>
                <w:rFonts w:ascii="Verdana" w:eastAsia="Times New Roman" w:hAnsi="Verdana" w:cs="Arial"/>
                <w:sz w:val="18"/>
                <w:szCs w:val="18"/>
                <w:lang w:eastAsia="es-CO"/>
              </w:rPr>
              <w:t>05</w:t>
            </w:r>
          </w:p>
        </w:tc>
        <w:tc>
          <w:tcPr>
            <w:tcW w:w="2243" w:type="dxa"/>
            <w:vAlign w:val="center"/>
          </w:tcPr>
          <w:p w14:paraId="0888D441"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Circular Externa No. 002</w:t>
            </w:r>
          </w:p>
        </w:tc>
        <w:tc>
          <w:tcPr>
            <w:tcW w:w="1862" w:type="dxa"/>
            <w:vAlign w:val="center"/>
          </w:tcPr>
          <w:p w14:paraId="0443777E"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17 de marzo de 2022</w:t>
            </w:r>
          </w:p>
        </w:tc>
        <w:tc>
          <w:tcPr>
            <w:tcW w:w="1545" w:type="dxa"/>
            <w:vAlign w:val="center"/>
          </w:tcPr>
          <w:p w14:paraId="2B4BC0E4" w14:textId="77777777" w:rsidR="00977DC9" w:rsidRPr="000C067C" w:rsidRDefault="00977DC9" w:rsidP="00E7274F">
            <w:pPr>
              <w:pStyle w:val="Prrafodelista"/>
              <w:tabs>
                <w:tab w:val="left" w:pos="1152"/>
              </w:tabs>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 xml:space="preserve">Disponible </w:t>
            </w:r>
            <w:hyperlink r:id="rId22" w:history="1">
              <w:r w:rsidRPr="000C067C">
                <w:rPr>
                  <w:rStyle w:val="Hipervnculo"/>
                  <w:rFonts w:ascii="Verdana" w:eastAsia="Times New Roman" w:hAnsi="Verdana" w:cs="Segoe UI"/>
                  <w:sz w:val="18"/>
                  <w:szCs w:val="18"/>
                  <w:lang w:eastAsia="es-CO"/>
                </w:rPr>
                <w:t>aquí</w:t>
              </w:r>
            </w:hyperlink>
          </w:p>
        </w:tc>
      </w:tr>
      <w:tr w:rsidR="00977DC9" w:rsidRPr="00510254" w14:paraId="21107ED6" w14:textId="77777777" w:rsidTr="00E7274F">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1E77838A" w14:textId="77777777" w:rsidR="00977DC9" w:rsidRPr="000C067C" w:rsidRDefault="00977DC9" w:rsidP="00E7274F">
            <w:pPr>
              <w:pStyle w:val="Prrafodelista"/>
              <w:autoSpaceDE w:val="0"/>
              <w:autoSpaceDN w:val="0"/>
              <w:adjustRightInd w:val="0"/>
              <w:spacing w:before="120" w:line="276" w:lineRule="auto"/>
              <w:ind w:left="0"/>
              <w:jc w:val="center"/>
              <w:rPr>
                <w:rFonts w:ascii="Verdana" w:eastAsia="Times New Roman" w:hAnsi="Verdana" w:cs="Arial"/>
                <w:sz w:val="18"/>
                <w:szCs w:val="18"/>
                <w:lang w:eastAsia="es-CO"/>
              </w:rPr>
            </w:pPr>
            <w:r w:rsidRPr="000C067C">
              <w:rPr>
                <w:rFonts w:ascii="Verdana" w:eastAsia="Times New Roman" w:hAnsi="Verdana" w:cs="Arial"/>
                <w:sz w:val="18"/>
                <w:szCs w:val="18"/>
                <w:lang w:eastAsia="es-CO"/>
              </w:rPr>
              <w:t>06</w:t>
            </w:r>
          </w:p>
        </w:tc>
        <w:tc>
          <w:tcPr>
            <w:tcW w:w="2243" w:type="dxa"/>
            <w:vAlign w:val="center"/>
          </w:tcPr>
          <w:p w14:paraId="69FE1348" w14:textId="77777777" w:rsidR="00977DC9" w:rsidRPr="000C067C" w:rsidRDefault="00977DC9" w:rsidP="00E7274F">
            <w:pPr>
              <w:pStyle w:val="Prrafodelista"/>
              <w:autoSpaceDE w:val="0"/>
              <w:autoSpaceDN w:val="0"/>
              <w:adjustRightInd w:val="0"/>
              <w:spacing w:before="120" w:line="276" w:lineRule="auto"/>
              <w:ind w:lef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Circular Externa No. 005</w:t>
            </w:r>
          </w:p>
        </w:tc>
        <w:tc>
          <w:tcPr>
            <w:tcW w:w="1862" w:type="dxa"/>
            <w:vAlign w:val="center"/>
          </w:tcPr>
          <w:p w14:paraId="53369C4E" w14:textId="77777777" w:rsidR="00977DC9" w:rsidRPr="000C067C" w:rsidRDefault="00977DC9" w:rsidP="00E7274F">
            <w:pPr>
              <w:pStyle w:val="Prrafodelista"/>
              <w:autoSpaceDE w:val="0"/>
              <w:autoSpaceDN w:val="0"/>
              <w:adjustRightInd w:val="0"/>
              <w:spacing w:before="120" w:line="276" w:lineRule="auto"/>
              <w:ind w:lef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14 de julio de 2022</w:t>
            </w:r>
          </w:p>
        </w:tc>
        <w:tc>
          <w:tcPr>
            <w:tcW w:w="1545" w:type="dxa"/>
            <w:vAlign w:val="center"/>
          </w:tcPr>
          <w:p w14:paraId="71172C6E" w14:textId="77777777" w:rsidR="00977DC9" w:rsidRPr="000C067C" w:rsidRDefault="00977DC9" w:rsidP="00E7274F">
            <w:pPr>
              <w:pStyle w:val="Prrafodelista"/>
              <w:autoSpaceDE w:val="0"/>
              <w:autoSpaceDN w:val="0"/>
              <w:adjustRightInd w:val="0"/>
              <w:spacing w:before="120" w:line="276" w:lineRule="auto"/>
              <w:ind w:lef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 xml:space="preserve">Disponible </w:t>
            </w:r>
            <w:hyperlink r:id="rId23" w:history="1">
              <w:r w:rsidRPr="000C067C">
                <w:rPr>
                  <w:rStyle w:val="Hipervnculo"/>
                  <w:rFonts w:ascii="Verdana" w:eastAsia="Times New Roman" w:hAnsi="Verdana" w:cs="Segoe UI"/>
                  <w:sz w:val="18"/>
                  <w:szCs w:val="18"/>
                  <w:lang w:eastAsia="es-CO"/>
                </w:rPr>
                <w:t>aquí</w:t>
              </w:r>
            </w:hyperlink>
          </w:p>
        </w:tc>
      </w:tr>
      <w:tr w:rsidR="00977DC9" w:rsidRPr="00510254" w14:paraId="13F34E91" w14:textId="77777777" w:rsidTr="00E727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10DE896C" w14:textId="77777777" w:rsidR="00977DC9" w:rsidRPr="000C067C" w:rsidRDefault="00977DC9" w:rsidP="00E7274F">
            <w:pPr>
              <w:pStyle w:val="Prrafodelista"/>
              <w:autoSpaceDE w:val="0"/>
              <w:autoSpaceDN w:val="0"/>
              <w:adjustRightInd w:val="0"/>
              <w:spacing w:before="120" w:line="276" w:lineRule="auto"/>
              <w:ind w:left="0"/>
              <w:jc w:val="center"/>
              <w:rPr>
                <w:rFonts w:ascii="Verdana" w:eastAsia="Times New Roman" w:hAnsi="Verdana" w:cs="Arial"/>
                <w:sz w:val="18"/>
                <w:szCs w:val="18"/>
                <w:lang w:eastAsia="es-CO"/>
              </w:rPr>
            </w:pPr>
            <w:r w:rsidRPr="000C067C">
              <w:rPr>
                <w:rFonts w:ascii="Verdana" w:eastAsia="Times New Roman" w:hAnsi="Verdana" w:cs="Arial"/>
                <w:sz w:val="18"/>
                <w:szCs w:val="18"/>
                <w:lang w:eastAsia="es-CO"/>
              </w:rPr>
              <w:lastRenderedPageBreak/>
              <w:t>07</w:t>
            </w:r>
          </w:p>
        </w:tc>
        <w:tc>
          <w:tcPr>
            <w:tcW w:w="2243" w:type="dxa"/>
            <w:vAlign w:val="center"/>
          </w:tcPr>
          <w:p w14:paraId="444AB81F"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Circular Externa No. 005</w:t>
            </w:r>
          </w:p>
        </w:tc>
        <w:tc>
          <w:tcPr>
            <w:tcW w:w="1862" w:type="dxa"/>
            <w:vAlign w:val="center"/>
          </w:tcPr>
          <w:p w14:paraId="01864679"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31 de agosto de 2023</w:t>
            </w:r>
          </w:p>
        </w:tc>
        <w:tc>
          <w:tcPr>
            <w:tcW w:w="1545" w:type="dxa"/>
            <w:vAlign w:val="center"/>
          </w:tcPr>
          <w:p w14:paraId="174A2ED5" w14:textId="77777777" w:rsidR="00977DC9" w:rsidRPr="000C067C" w:rsidRDefault="00977DC9" w:rsidP="00E7274F">
            <w:pPr>
              <w:tabs>
                <w:tab w:val="left" w:pos="6845"/>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cs="Segoe UI"/>
                <w:sz w:val="18"/>
                <w:szCs w:val="18"/>
                <w:lang w:eastAsia="es-CO"/>
              </w:rPr>
            </w:pPr>
            <w:r w:rsidRPr="000C067C">
              <w:rPr>
                <w:rFonts w:ascii="Verdana" w:eastAsia="Times New Roman" w:hAnsi="Verdana" w:cs="Segoe UI"/>
                <w:sz w:val="18"/>
                <w:szCs w:val="18"/>
                <w:lang w:eastAsia="es-CO"/>
              </w:rPr>
              <w:t xml:space="preserve">Disponible </w:t>
            </w:r>
            <w:hyperlink r:id="rId24" w:history="1">
              <w:r w:rsidRPr="000C067C">
                <w:rPr>
                  <w:rStyle w:val="Hipervnculo"/>
                  <w:rFonts w:ascii="Verdana" w:eastAsia="Times New Roman" w:hAnsi="Verdana" w:cs="Segoe UI"/>
                  <w:sz w:val="18"/>
                  <w:szCs w:val="18"/>
                  <w:lang w:eastAsia="es-CO"/>
                </w:rPr>
                <w:t>aquí</w:t>
              </w:r>
            </w:hyperlink>
          </w:p>
        </w:tc>
      </w:tr>
      <w:tr w:rsidR="00977DC9" w:rsidRPr="00510254" w14:paraId="2D192597" w14:textId="77777777" w:rsidTr="00E7274F">
        <w:trPr>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7819BD98" w14:textId="77777777" w:rsidR="00977DC9" w:rsidRPr="000C067C" w:rsidRDefault="00977DC9" w:rsidP="00E7274F">
            <w:pPr>
              <w:pStyle w:val="Prrafodelista"/>
              <w:autoSpaceDE w:val="0"/>
              <w:autoSpaceDN w:val="0"/>
              <w:adjustRightInd w:val="0"/>
              <w:spacing w:before="120" w:line="276" w:lineRule="auto"/>
              <w:ind w:left="0"/>
              <w:jc w:val="center"/>
              <w:rPr>
                <w:rFonts w:ascii="Verdana" w:eastAsia="Times New Roman" w:hAnsi="Verdana" w:cs="Arial"/>
                <w:sz w:val="18"/>
                <w:szCs w:val="18"/>
                <w:lang w:eastAsia="es-CO"/>
              </w:rPr>
            </w:pPr>
            <w:r w:rsidRPr="000C067C">
              <w:rPr>
                <w:rFonts w:ascii="Verdana" w:eastAsia="Times New Roman" w:hAnsi="Verdana" w:cs="Arial"/>
                <w:sz w:val="18"/>
                <w:szCs w:val="18"/>
                <w:lang w:eastAsia="es-CO"/>
              </w:rPr>
              <w:t>08</w:t>
            </w:r>
          </w:p>
        </w:tc>
        <w:tc>
          <w:tcPr>
            <w:tcW w:w="2243" w:type="dxa"/>
            <w:vAlign w:val="center"/>
          </w:tcPr>
          <w:p w14:paraId="0E8B5929" w14:textId="77777777" w:rsidR="00977DC9" w:rsidRPr="000C067C" w:rsidRDefault="00977DC9" w:rsidP="00E7274F">
            <w:pPr>
              <w:pStyle w:val="Prrafodelista"/>
              <w:autoSpaceDE w:val="0"/>
              <w:autoSpaceDN w:val="0"/>
              <w:adjustRightInd w:val="0"/>
              <w:spacing w:before="120" w:line="276" w:lineRule="auto"/>
              <w:ind w:lef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Circular Externa No. 003</w:t>
            </w:r>
          </w:p>
        </w:tc>
        <w:tc>
          <w:tcPr>
            <w:tcW w:w="1862" w:type="dxa"/>
            <w:vAlign w:val="center"/>
          </w:tcPr>
          <w:p w14:paraId="12E8292D" w14:textId="77777777" w:rsidR="00977DC9" w:rsidRPr="000C067C" w:rsidRDefault="00977DC9" w:rsidP="00E7274F">
            <w:pPr>
              <w:pStyle w:val="Prrafodelista"/>
              <w:autoSpaceDE w:val="0"/>
              <w:autoSpaceDN w:val="0"/>
              <w:adjustRightInd w:val="0"/>
              <w:spacing w:before="120" w:line="276" w:lineRule="auto"/>
              <w:ind w:left="0"/>
              <w:jc w:val="center"/>
              <w:cnfStyle w:val="000000000000" w:firstRow="0" w:lastRow="0" w:firstColumn="0" w:lastColumn="0" w:oddVBand="0" w:evenVBand="0" w:oddHBand="0"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18 de septiembre de 2024</w:t>
            </w:r>
          </w:p>
        </w:tc>
        <w:tc>
          <w:tcPr>
            <w:tcW w:w="1545" w:type="dxa"/>
            <w:vAlign w:val="center"/>
          </w:tcPr>
          <w:p w14:paraId="6F806E6C" w14:textId="77777777" w:rsidR="00977DC9" w:rsidRPr="000C067C" w:rsidRDefault="00977DC9" w:rsidP="00E7274F">
            <w:pPr>
              <w:tabs>
                <w:tab w:val="left" w:pos="6845"/>
              </w:tabs>
              <w:spacing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Verdana" w:eastAsia="Times New Roman" w:hAnsi="Verdana" w:cs="Segoe UI"/>
                <w:sz w:val="18"/>
                <w:szCs w:val="18"/>
                <w:lang w:eastAsia="es-CO"/>
              </w:rPr>
            </w:pPr>
            <w:r w:rsidRPr="000C067C">
              <w:rPr>
                <w:rFonts w:ascii="Verdana" w:eastAsia="Times New Roman" w:hAnsi="Verdana" w:cs="Segoe UI"/>
                <w:sz w:val="18"/>
                <w:szCs w:val="18"/>
                <w:lang w:eastAsia="es-CO"/>
              </w:rPr>
              <w:t xml:space="preserve">Disponible </w:t>
            </w:r>
            <w:hyperlink r:id="rId25" w:history="1">
              <w:r w:rsidRPr="000C067C">
                <w:rPr>
                  <w:rStyle w:val="Hipervnculo"/>
                  <w:rFonts w:ascii="Verdana" w:eastAsia="Times New Roman" w:hAnsi="Verdana" w:cs="Segoe UI"/>
                  <w:sz w:val="18"/>
                  <w:szCs w:val="18"/>
                  <w:lang w:eastAsia="es-CO"/>
                </w:rPr>
                <w:t>aquí</w:t>
              </w:r>
            </w:hyperlink>
          </w:p>
        </w:tc>
      </w:tr>
      <w:tr w:rsidR="00977DC9" w:rsidRPr="00510254" w14:paraId="73783323" w14:textId="77777777" w:rsidTr="00E7274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04" w:type="dxa"/>
            <w:vAlign w:val="center"/>
          </w:tcPr>
          <w:p w14:paraId="38C3CB2D" w14:textId="77777777" w:rsidR="00977DC9" w:rsidRPr="000C067C" w:rsidRDefault="00977DC9" w:rsidP="00E7274F">
            <w:pPr>
              <w:pStyle w:val="Prrafodelista"/>
              <w:autoSpaceDE w:val="0"/>
              <w:autoSpaceDN w:val="0"/>
              <w:adjustRightInd w:val="0"/>
              <w:spacing w:before="120" w:line="276" w:lineRule="auto"/>
              <w:ind w:left="0"/>
              <w:jc w:val="center"/>
              <w:rPr>
                <w:rFonts w:ascii="Verdana" w:eastAsia="Times New Roman" w:hAnsi="Verdana" w:cs="Arial"/>
                <w:sz w:val="18"/>
                <w:szCs w:val="18"/>
                <w:lang w:eastAsia="es-CO"/>
              </w:rPr>
            </w:pPr>
            <w:r w:rsidRPr="000C067C">
              <w:rPr>
                <w:rFonts w:ascii="Verdana" w:eastAsia="Times New Roman" w:hAnsi="Verdana" w:cs="Arial"/>
                <w:sz w:val="18"/>
                <w:szCs w:val="18"/>
                <w:lang w:eastAsia="es-CO"/>
              </w:rPr>
              <w:t>09</w:t>
            </w:r>
          </w:p>
        </w:tc>
        <w:tc>
          <w:tcPr>
            <w:tcW w:w="2243" w:type="dxa"/>
            <w:vAlign w:val="center"/>
          </w:tcPr>
          <w:p w14:paraId="4A565577"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Circular Externa No. 001</w:t>
            </w:r>
          </w:p>
        </w:tc>
        <w:tc>
          <w:tcPr>
            <w:tcW w:w="1862" w:type="dxa"/>
            <w:vAlign w:val="center"/>
          </w:tcPr>
          <w:p w14:paraId="6D198115"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8"/>
                <w:szCs w:val="18"/>
                <w:lang w:eastAsia="es-CO"/>
              </w:rPr>
            </w:pPr>
            <w:r w:rsidRPr="000C067C">
              <w:rPr>
                <w:rFonts w:ascii="Verdana" w:eastAsia="Times New Roman" w:hAnsi="Verdana" w:cs="Segoe UI"/>
                <w:sz w:val="18"/>
                <w:szCs w:val="18"/>
                <w:lang w:eastAsia="es-CO"/>
              </w:rPr>
              <w:t>28 de febrero de 2025</w:t>
            </w:r>
          </w:p>
        </w:tc>
        <w:tc>
          <w:tcPr>
            <w:tcW w:w="1545" w:type="dxa"/>
            <w:vAlign w:val="center"/>
          </w:tcPr>
          <w:p w14:paraId="0679EE14" w14:textId="77777777" w:rsidR="00977DC9" w:rsidRPr="000C067C" w:rsidRDefault="00977DC9" w:rsidP="00E7274F">
            <w:pPr>
              <w:tabs>
                <w:tab w:val="left" w:pos="6845"/>
              </w:tabs>
              <w:spacing w:line="276"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Verdana" w:eastAsia="Times New Roman" w:hAnsi="Verdana" w:cs="Segoe UI"/>
                <w:sz w:val="18"/>
                <w:szCs w:val="18"/>
                <w:lang w:eastAsia="es-CO"/>
              </w:rPr>
            </w:pPr>
            <w:r w:rsidRPr="000C067C">
              <w:rPr>
                <w:rFonts w:ascii="Verdana" w:eastAsia="Times New Roman" w:hAnsi="Verdana" w:cs="Segoe UI"/>
                <w:sz w:val="18"/>
                <w:szCs w:val="18"/>
                <w:lang w:eastAsia="es-CO"/>
              </w:rPr>
              <w:t xml:space="preserve">Disponible </w:t>
            </w:r>
            <w:hyperlink r:id="rId26" w:history="1">
              <w:r w:rsidRPr="000C067C">
                <w:rPr>
                  <w:rStyle w:val="Hipervnculo"/>
                  <w:rFonts w:ascii="Verdana" w:eastAsia="Times New Roman" w:hAnsi="Verdana" w:cs="Segoe UI"/>
                  <w:sz w:val="18"/>
                  <w:szCs w:val="18"/>
                  <w:lang w:eastAsia="es-CO"/>
                </w:rPr>
                <w:t>aquí</w:t>
              </w:r>
            </w:hyperlink>
          </w:p>
          <w:p w14:paraId="0EAF3B07" w14:textId="77777777" w:rsidR="00977DC9" w:rsidRPr="000C067C" w:rsidRDefault="00977DC9" w:rsidP="00E7274F">
            <w:pPr>
              <w:pStyle w:val="Prrafodelista"/>
              <w:autoSpaceDE w:val="0"/>
              <w:autoSpaceDN w:val="0"/>
              <w:adjustRightInd w:val="0"/>
              <w:spacing w:before="120" w:line="276" w:lineRule="auto"/>
              <w:ind w:left="0"/>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Arial"/>
                <w:sz w:val="18"/>
                <w:szCs w:val="18"/>
                <w:lang w:eastAsia="es-CO"/>
              </w:rPr>
            </w:pPr>
          </w:p>
        </w:tc>
      </w:tr>
    </w:tbl>
    <w:p w14:paraId="654EBD60" w14:textId="77777777" w:rsidR="00977DC9" w:rsidRDefault="00977DC9" w:rsidP="00977DC9">
      <w:pPr>
        <w:spacing w:after="120" w:line="276" w:lineRule="auto"/>
        <w:jc w:val="both"/>
        <w:rPr>
          <w:rFonts w:ascii="Verdana" w:hAnsi="Verdana" w:cs="Arial"/>
          <w:shd w:val="clear" w:color="auto" w:fill="FFFFFF"/>
        </w:rPr>
      </w:pPr>
      <w:r>
        <w:rPr>
          <w:rFonts w:ascii="Verdana" w:hAnsi="Verdana" w:cs="Arial"/>
          <w:shd w:val="clear" w:color="auto" w:fill="FFFFFF"/>
        </w:rPr>
        <w:tab/>
      </w:r>
    </w:p>
    <w:p w14:paraId="18C3E8DD" w14:textId="77777777" w:rsidR="00977DC9" w:rsidRPr="00235E30" w:rsidRDefault="00977DC9" w:rsidP="00977DC9">
      <w:pPr>
        <w:spacing w:after="120" w:line="276" w:lineRule="auto"/>
        <w:ind w:firstLine="708"/>
        <w:jc w:val="both"/>
        <w:rPr>
          <w:rFonts w:ascii="Verdana" w:eastAsia="Times New Roman" w:hAnsi="Verdana" w:cs="Segoe UI"/>
          <w:lang w:eastAsia="es-ES_tradnl"/>
        </w:rPr>
      </w:pPr>
      <w:r w:rsidRPr="00235E30">
        <w:rPr>
          <w:rFonts w:ascii="Verdana" w:eastAsia="Times New Roman" w:hAnsi="Verdana" w:cs="Segoe UI"/>
          <w:lang w:eastAsia="es-ES_tradnl"/>
        </w:rPr>
        <w:t>La obligatoriedad del uso de SECOP II no ha operado de manera simultánea para todas las entidades estatales. Por el contrario, la implementación de la plataforma ha obedecido a un esquema gradual definido por Colombia Compra Eficiente mediante las circulares externas expedidas sobre la materia.</w:t>
      </w:r>
    </w:p>
    <w:p w14:paraId="2EC929B9" w14:textId="77777777" w:rsidR="00977DC9" w:rsidRDefault="00977DC9" w:rsidP="00977DC9">
      <w:pPr>
        <w:tabs>
          <w:tab w:val="left" w:pos="709"/>
        </w:tabs>
        <w:spacing w:before="120" w:after="0" w:line="276" w:lineRule="auto"/>
        <w:jc w:val="both"/>
        <w:rPr>
          <w:rFonts w:ascii="Verdana" w:hAnsi="Verdana" w:cs="Arial"/>
          <w:shd w:val="clear" w:color="auto" w:fill="FFFFFF"/>
        </w:rPr>
      </w:pPr>
      <w:r>
        <w:rPr>
          <w:rFonts w:ascii="Verdana" w:hAnsi="Verdana" w:cs="Arial"/>
          <w:shd w:val="clear" w:color="auto" w:fill="FFFFFF"/>
        </w:rPr>
        <w:tab/>
        <w:t>Bajo esa órbita, se indica la obligatoriedad del SECOP II por parte de las Entidades Estatales, es un proceso gradual y coordinado, que tiene como objetivo fomentar una política pública que garantice la transparencia, publicidad, integridad de los datos e información, la legalidad y en general, los principios que rigen la gestión fiscal, la función administrativa y la contratación estatal en los procesos de contratación que adelante el Estado en el ámbito territorial. Esto, implica la formación para el uso de la herramienta y el alistamiento de la infraestructura pertinente.</w:t>
      </w:r>
    </w:p>
    <w:p w14:paraId="765263F6" w14:textId="77777777" w:rsidR="00977DC9" w:rsidRDefault="00977DC9" w:rsidP="00977DC9">
      <w:pPr>
        <w:tabs>
          <w:tab w:val="left" w:pos="709"/>
        </w:tabs>
        <w:spacing w:before="120" w:after="0" w:line="276" w:lineRule="auto"/>
        <w:jc w:val="both"/>
        <w:rPr>
          <w:rFonts w:ascii="Verdana" w:hAnsi="Verdana" w:cs="Arial"/>
          <w:shd w:val="clear" w:color="auto" w:fill="FFFFFF"/>
        </w:rPr>
      </w:pPr>
      <w:r>
        <w:rPr>
          <w:rFonts w:ascii="Verdana" w:hAnsi="Verdana" w:cs="Arial"/>
          <w:shd w:val="clear" w:color="auto" w:fill="FFFFFF"/>
        </w:rPr>
        <w:tab/>
        <w:t>En ese sentido, se aclara que las Entidades Estatales sujetas al Estatuto General de Contratación de la Administración Pública –Ley 80 de 1993, Ley 1150 de 2007, Decreto 1082 de 2015 y demás normas que lo modifiquen y/o complementen–, que no se encuentran vinculadas en los “Anexos” de las antes referidas circulares externas, actualmente no están obligadas a utilizar la plataforma SECOP II para gestionar y publicar en línea sus procesos de contratación, por lo que, pueden seguir gestionando dichos procesos a través del SECOP I, salvo, cuando se trate de la contratación regulada en el Decreto 092 de 2017; esto, a la luz de lo dispuesto en el artículo 9 ibidem.</w:t>
      </w:r>
    </w:p>
    <w:p w14:paraId="51D1D8B1" w14:textId="77777777" w:rsidR="00977DC9" w:rsidRPr="009F5AD6" w:rsidRDefault="00977DC9" w:rsidP="00977DC9">
      <w:pPr>
        <w:widowControl w:val="0"/>
        <w:autoSpaceDE w:val="0"/>
        <w:autoSpaceDN w:val="0"/>
        <w:spacing w:before="120" w:after="0" w:line="276" w:lineRule="auto"/>
        <w:ind w:firstLine="709"/>
        <w:jc w:val="both"/>
        <w:rPr>
          <w:rFonts w:ascii="Verdana" w:eastAsia="Calibri" w:hAnsi="Verdana" w:cs="Arial"/>
        </w:rPr>
      </w:pPr>
      <w:r w:rsidRPr="009F5AD6">
        <w:rPr>
          <w:rFonts w:ascii="Verdana" w:eastAsia="Calibri" w:hAnsi="Verdana" w:cs="Arial"/>
        </w:rPr>
        <w:t xml:space="preserve">Finalmente se precisa, que </w:t>
      </w:r>
      <w:r>
        <w:rPr>
          <w:rFonts w:ascii="Verdana" w:eastAsia="Calibri" w:hAnsi="Verdana" w:cs="Arial"/>
        </w:rPr>
        <w:t>Colombia Compra Eficiente no tiene dentro de sus facultades y/o competencias el realizar un seguimiento a la gestión contractual que adelantan las Entidades Estatales en SECOP. De ahí que</w:t>
      </w:r>
      <w:r w:rsidRPr="009F5AD6">
        <w:rPr>
          <w:rFonts w:ascii="Verdana" w:eastAsia="Calibri" w:hAnsi="Verdana" w:cs="Arial"/>
        </w:rPr>
        <w:t xml:space="preserve">, las afirmaciones aquí realizadas no pueden ser interpretadas como juicios de valor sobre circunstancias concretas relacionadas con los hechos que motivan la </w:t>
      </w:r>
      <w:r w:rsidRPr="009F5AD6">
        <w:rPr>
          <w:rFonts w:ascii="Verdana" w:eastAsia="Calibri" w:hAnsi="Verdana" w:cs="Arial"/>
        </w:rPr>
        <w:lastRenderedPageBreak/>
        <w:t xml:space="preserve">consulta. Por lo anterior, previo concepto de sus asesores, la solución de situaciones particulares corresponde a los interesados adoptar la decisión correspondiente y, en caso de conflicto, a las autoridades judiciales, fiscales y disciplinarias.  </w:t>
      </w:r>
    </w:p>
    <w:p w14:paraId="7A72CFBF" w14:textId="77777777" w:rsidR="00977DC9" w:rsidRPr="00835E02" w:rsidRDefault="00977DC9" w:rsidP="00977DC9">
      <w:pPr>
        <w:tabs>
          <w:tab w:val="left" w:pos="709"/>
        </w:tabs>
        <w:spacing w:after="0" w:line="276" w:lineRule="auto"/>
        <w:jc w:val="both"/>
        <w:rPr>
          <w:rFonts w:ascii="Verdana" w:hAnsi="Verdana" w:cs="Arial"/>
          <w:shd w:val="clear" w:color="auto" w:fill="FFFFFF"/>
        </w:rPr>
      </w:pPr>
    </w:p>
    <w:p w14:paraId="2198BD3D" w14:textId="77777777" w:rsidR="00977DC9" w:rsidRPr="00835E02" w:rsidRDefault="00977DC9" w:rsidP="00977DC9">
      <w:pPr>
        <w:numPr>
          <w:ilvl w:val="0"/>
          <w:numId w:val="1"/>
        </w:numPr>
        <w:spacing w:after="0" w:line="276" w:lineRule="auto"/>
        <w:ind w:left="0" w:firstLine="0"/>
        <w:rPr>
          <w:rFonts w:ascii="Verdana" w:eastAsia="Calibri" w:hAnsi="Verdana" w:cs="Times New Roman"/>
          <w:b/>
          <w:bCs/>
          <w:lang w:val="es-ES"/>
        </w:rPr>
      </w:pPr>
      <w:r w:rsidRPr="00835E02">
        <w:rPr>
          <w:rFonts w:ascii="Verdana" w:eastAsia="Calibri" w:hAnsi="Verdana" w:cs="Times New Roman"/>
          <w:b/>
          <w:bCs/>
          <w:lang w:val="es-ES"/>
        </w:rPr>
        <w:t>Referencias normativas, jurisprudenciales y otras fuentes:</w:t>
      </w:r>
    </w:p>
    <w:p w14:paraId="7BA08188" w14:textId="77777777" w:rsidR="00977DC9" w:rsidRPr="00B824CD" w:rsidRDefault="00977DC9" w:rsidP="00977DC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77DC9" w:rsidRPr="00835E02" w14:paraId="6C988343" w14:textId="77777777" w:rsidTr="00E7274F">
        <w:trPr>
          <w:trHeight w:val="870"/>
          <w:jc w:val="center"/>
        </w:trPr>
        <w:tc>
          <w:tcPr>
            <w:tcW w:w="8647" w:type="dxa"/>
          </w:tcPr>
          <w:p w14:paraId="57963D55" w14:textId="77777777" w:rsidR="00977DC9" w:rsidRPr="00B824CD" w:rsidRDefault="00977DC9" w:rsidP="00977DC9">
            <w:pPr>
              <w:pStyle w:val="Prrafodelista"/>
              <w:numPr>
                <w:ilvl w:val="0"/>
                <w:numId w:val="2"/>
              </w:numPr>
              <w:spacing w:line="276" w:lineRule="auto"/>
              <w:contextualSpacing w:val="0"/>
              <w:jc w:val="both"/>
              <w:rPr>
                <w:rFonts w:ascii="Verdana" w:eastAsia="Geomanist Light" w:hAnsi="Verdana" w:cs="Arial"/>
                <w:color w:val="000000" w:themeColor="text1"/>
                <w:lang w:val="es-MX"/>
              </w:rPr>
            </w:pPr>
            <w:r w:rsidRPr="00B824CD">
              <w:rPr>
                <w:rFonts w:ascii="Verdana" w:eastAsia="Geomanist Light" w:hAnsi="Verdana" w:cs="Arial"/>
                <w:color w:val="000000" w:themeColor="text1"/>
                <w:lang w:val="es-MX"/>
              </w:rPr>
              <w:t>Constitución Política. Artículos 74 y 209.</w:t>
            </w:r>
          </w:p>
          <w:p w14:paraId="39BBDAB1" w14:textId="77777777" w:rsidR="00977DC9" w:rsidRPr="00B824CD" w:rsidRDefault="00977DC9" w:rsidP="00977DC9">
            <w:pPr>
              <w:pStyle w:val="Prrafodelista"/>
              <w:numPr>
                <w:ilvl w:val="0"/>
                <w:numId w:val="2"/>
              </w:numPr>
              <w:spacing w:line="276" w:lineRule="auto"/>
              <w:contextualSpacing w:val="0"/>
              <w:jc w:val="both"/>
              <w:rPr>
                <w:rFonts w:ascii="Verdana" w:eastAsia="Geomanist Light" w:hAnsi="Verdana" w:cs="Arial"/>
                <w:color w:val="000000" w:themeColor="text1"/>
                <w:lang w:val="es-MX"/>
              </w:rPr>
            </w:pPr>
            <w:r w:rsidRPr="00B824CD">
              <w:rPr>
                <w:rFonts w:ascii="Verdana" w:eastAsia="Geomanist Light" w:hAnsi="Verdana" w:cs="Arial"/>
                <w:color w:val="000000" w:themeColor="text1"/>
                <w:lang w:val="es-MX"/>
              </w:rPr>
              <w:t>Ley 1150 de 2007. Artículo 3.</w:t>
            </w:r>
          </w:p>
          <w:p w14:paraId="76C198F5" w14:textId="77777777" w:rsidR="00977DC9" w:rsidRPr="00B824CD" w:rsidRDefault="00977DC9" w:rsidP="00977DC9">
            <w:pPr>
              <w:pStyle w:val="Prrafodelista"/>
              <w:numPr>
                <w:ilvl w:val="0"/>
                <w:numId w:val="2"/>
              </w:numPr>
              <w:spacing w:line="276" w:lineRule="auto"/>
              <w:contextualSpacing w:val="0"/>
              <w:jc w:val="both"/>
              <w:rPr>
                <w:rFonts w:ascii="Verdana" w:eastAsia="Geomanist Light" w:hAnsi="Verdana" w:cs="Arial"/>
                <w:color w:val="000000" w:themeColor="text1"/>
                <w:lang w:val="es-MX"/>
              </w:rPr>
            </w:pPr>
            <w:r w:rsidRPr="00B824CD">
              <w:rPr>
                <w:rFonts w:ascii="Verdana" w:eastAsia="Geomanist Light" w:hAnsi="Verdana" w:cs="Arial"/>
                <w:color w:val="000000" w:themeColor="text1"/>
                <w:lang w:val="es-MX"/>
              </w:rPr>
              <w:t>Ley 1712 de 2014. Artículos 2, 5 y 11.</w:t>
            </w:r>
          </w:p>
          <w:p w14:paraId="7C15D4FA" w14:textId="77777777" w:rsidR="00977DC9" w:rsidRPr="00835E02" w:rsidRDefault="00977DC9" w:rsidP="00977DC9">
            <w:pPr>
              <w:pStyle w:val="Prrafodelista"/>
              <w:numPr>
                <w:ilvl w:val="0"/>
                <w:numId w:val="2"/>
              </w:numPr>
              <w:spacing w:line="276" w:lineRule="auto"/>
              <w:contextualSpacing w:val="0"/>
              <w:jc w:val="both"/>
              <w:rPr>
                <w:rFonts w:ascii="Verdana" w:hAnsi="Verdana" w:cs="Arial"/>
                <w:lang w:val="es-ES_tradnl"/>
              </w:rPr>
            </w:pPr>
            <w:r w:rsidRPr="00835E02">
              <w:rPr>
                <w:rFonts w:ascii="Verdana" w:eastAsia="Geomanist Light" w:hAnsi="Verdana" w:cs="Arial"/>
                <w:color w:val="000000" w:themeColor="text1"/>
                <w:lang w:val="es-MX"/>
              </w:rPr>
              <w:t>Decreto 1082 de 2015, artículos 2.2.1.1.1.7.1, 2.2.1.1.1.3.1., 2.2.2.1.8.3., 2.2.2.1.5.11., 2.2.2.1.12.7.</w:t>
            </w:r>
          </w:p>
        </w:tc>
      </w:tr>
    </w:tbl>
    <w:p w14:paraId="31F098B4" w14:textId="77777777" w:rsidR="00977DC9" w:rsidRPr="00835E02" w:rsidRDefault="00977DC9" w:rsidP="00977DC9">
      <w:pPr>
        <w:spacing w:after="0" w:line="276" w:lineRule="auto"/>
        <w:ind w:right="709"/>
        <w:jc w:val="both"/>
        <w:rPr>
          <w:rFonts w:ascii="Verdana" w:hAnsi="Verdana" w:cs="Arial"/>
          <w:color w:val="000000" w:themeColor="text1"/>
          <w:lang w:val="es-ES_tradnl"/>
        </w:rPr>
      </w:pPr>
    </w:p>
    <w:p w14:paraId="761EF280" w14:textId="77777777" w:rsidR="00977DC9" w:rsidRPr="00B824CD" w:rsidRDefault="00977DC9" w:rsidP="00977DC9">
      <w:pPr>
        <w:numPr>
          <w:ilvl w:val="0"/>
          <w:numId w:val="1"/>
        </w:numPr>
        <w:spacing w:after="0" w:line="276" w:lineRule="auto"/>
        <w:ind w:left="0" w:firstLine="0"/>
        <w:rPr>
          <w:rFonts w:ascii="Verdana" w:eastAsia="Calibri" w:hAnsi="Verdana" w:cs="Times New Roman"/>
          <w:b/>
          <w:bCs/>
          <w:lang w:val="es-ES"/>
        </w:rPr>
      </w:pPr>
      <w:r w:rsidRPr="00835E02">
        <w:rPr>
          <w:rFonts w:ascii="Verdana" w:eastAsia="Calibri" w:hAnsi="Verdana" w:cs="Times New Roman"/>
          <w:b/>
          <w:bCs/>
          <w:lang w:val="es-ES"/>
        </w:rPr>
        <w:t>Doctrina de la Agencia Nacional de Contratación Pública:</w:t>
      </w:r>
    </w:p>
    <w:p w14:paraId="1C4A12C9" w14:textId="77777777" w:rsidR="00977DC9" w:rsidRPr="00B824CD" w:rsidRDefault="00977DC9" w:rsidP="00977DC9">
      <w:pPr>
        <w:widowControl w:val="0"/>
        <w:autoSpaceDE w:val="0"/>
        <w:autoSpaceDN w:val="0"/>
        <w:spacing w:after="0" w:line="276" w:lineRule="auto"/>
        <w:jc w:val="both"/>
        <w:rPr>
          <w:rFonts w:ascii="Verdana" w:hAnsi="Verdana" w:cs="Arial"/>
          <w:bCs/>
          <w:shd w:val="clear" w:color="auto" w:fill="FFFFFF"/>
        </w:rPr>
      </w:pPr>
    </w:p>
    <w:p w14:paraId="60BF6D47" w14:textId="77777777" w:rsidR="00977DC9" w:rsidRPr="00835E02" w:rsidRDefault="00977DC9" w:rsidP="00977DC9">
      <w:pPr>
        <w:widowControl w:val="0"/>
        <w:autoSpaceDE w:val="0"/>
        <w:autoSpaceDN w:val="0"/>
        <w:spacing w:after="0" w:line="276" w:lineRule="auto"/>
        <w:jc w:val="both"/>
        <w:rPr>
          <w:rFonts w:ascii="Verdana" w:eastAsia="Calibri" w:hAnsi="Verdana" w:cs="Times New Roman"/>
        </w:rPr>
      </w:pPr>
      <w:r w:rsidRPr="00B824CD">
        <w:rPr>
          <w:rFonts w:ascii="Verdana" w:hAnsi="Verdana" w:cs="Arial"/>
          <w:bCs/>
          <w:shd w:val="clear" w:color="auto" w:fill="FFFFFF"/>
        </w:rPr>
        <w:t xml:space="preserve">La Agencia Nacional de Contratación Pública – Colombia Compra Eficiente, en los conceptos </w:t>
      </w:r>
      <w:r w:rsidRPr="00B824CD">
        <w:rPr>
          <w:rFonts w:ascii="Verdana" w:hAnsi="Verdana" w:cs="Arial"/>
          <w:bCs/>
          <w:shd w:val="clear" w:color="auto" w:fill="FFFFFF"/>
          <w:lang w:val="es-ES_tradnl"/>
        </w:rPr>
        <w:t xml:space="preserve">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w:t>
      </w:r>
      <w:r w:rsidRPr="00835E02">
        <w:rPr>
          <w:rFonts w:ascii="Verdana" w:hAnsi="Verdana" w:cs="Arial"/>
          <w:bCs/>
          <w:shd w:val="clear" w:color="auto" w:fill="FFFFFF"/>
          <w:lang w:val="es-ES_tradnl"/>
        </w:rPr>
        <w:t>abril de 2021, C-472 del 6 de septiembre de 2021 y C-804 de 2024</w:t>
      </w:r>
      <w:r w:rsidRPr="00835E02">
        <w:rPr>
          <w:rFonts w:ascii="Verdana" w:hAnsi="Verdana" w:cs="Arial"/>
          <w:bCs/>
          <w:shd w:val="clear" w:color="auto" w:fill="FFFFFF"/>
        </w:rPr>
        <w:t xml:space="preserve">, C-185 del 24 de marzo de 2025, entre otros, así como nuevas precisiones dispuestas en este concepto sobre el alcance del deber de publicidad del Decreto 1081 de 2015. </w:t>
      </w:r>
      <w:r w:rsidRPr="00835E02">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hyperlink r:id="rId27" w:history="1">
        <w:r w:rsidRPr="00835E02">
          <w:rPr>
            <w:rStyle w:val="Hipervnculo"/>
            <w:rFonts w:ascii="Verdana" w:hAnsi="Verdana"/>
          </w:rPr>
          <w:t>https://www.colombiacompra.gov.co/normativa-y-relatoria/conoce-la-relatoria</w:t>
        </w:r>
      </w:hyperlink>
      <w:r w:rsidRPr="00835E02">
        <w:rPr>
          <w:rFonts w:ascii="Verdana" w:hAnsi="Verdana"/>
        </w:rPr>
        <w:t xml:space="preserve"> </w:t>
      </w:r>
    </w:p>
    <w:p w14:paraId="2AD028D7" w14:textId="77777777" w:rsidR="00977DC9" w:rsidRPr="00835E02" w:rsidRDefault="00977DC9" w:rsidP="00977DC9">
      <w:pPr>
        <w:widowControl w:val="0"/>
        <w:autoSpaceDE w:val="0"/>
        <w:autoSpaceDN w:val="0"/>
        <w:spacing w:after="0" w:line="276" w:lineRule="auto"/>
        <w:jc w:val="both"/>
        <w:rPr>
          <w:rFonts w:ascii="Verdana" w:eastAsia="Aptos" w:hAnsi="Verdana" w:cs="Arial"/>
          <w:shd w:val="clear" w:color="auto" w:fill="FFFFFF"/>
        </w:rPr>
      </w:pPr>
    </w:p>
    <w:p w14:paraId="0EBB971A" w14:textId="77777777" w:rsidR="00977DC9" w:rsidRPr="00835E02" w:rsidRDefault="00977DC9" w:rsidP="00977DC9">
      <w:pPr>
        <w:widowControl w:val="0"/>
        <w:autoSpaceDE w:val="0"/>
        <w:autoSpaceDN w:val="0"/>
        <w:spacing w:after="0" w:line="276" w:lineRule="auto"/>
        <w:jc w:val="both"/>
        <w:rPr>
          <w:rFonts w:ascii="Verdana" w:eastAsia="Aptos" w:hAnsi="Verdana" w:cs="Arial"/>
          <w:shd w:val="clear" w:color="auto" w:fill="FFFFFF"/>
        </w:rPr>
      </w:pPr>
      <w:r w:rsidRPr="00B824CD">
        <w:rPr>
          <w:rFonts w:ascii="Verdana" w:eastAsia="Aptos" w:hAnsi="Verdana" w:cs="Arial"/>
          <w:shd w:val="clear" w:color="auto" w:fill="FFFFFF"/>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B824CD">
        <w:rPr>
          <w:rFonts w:ascii="Verdana" w:eastAsia="Aptos" w:hAnsi="Verdana" w:cs="Arial"/>
          <w:b/>
          <w:bCs/>
          <w:shd w:val="clear" w:color="auto" w:fill="FFFFFF"/>
        </w:rPr>
        <w:t xml:space="preserve">Guía para la Exigencia y Constitución de </w:t>
      </w:r>
      <w:r w:rsidRPr="00B824CD">
        <w:rPr>
          <w:rFonts w:ascii="Verdana" w:eastAsia="Aptos" w:hAnsi="Verdana" w:cs="Arial"/>
          <w:b/>
          <w:bCs/>
          <w:shd w:val="clear" w:color="auto" w:fill="FFFFFF"/>
        </w:rPr>
        <w:lastRenderedPageBreak/>
        <w:t>Garantías en los Procesos de Contratación</w:t>
      </w:r>
      <w:r w:rsidRPr="00B824CD">
        <w:rPr>
          <w:rFonts w:ascii="Verdana" w:eastAsia="Aptos" w:hAnsi="Verdana" w:cs="Arial"/>
          <w:shd w:val="clear" w:color="auto" w:fill="FFFFFF"/>
        </w:rPr>
        <w:t>, dirigida a las entidades sometidas al EGCAP y a las de regímenes exceptuados, así co</w:t>
      </w:r>
      <w:r w:rsidRPr="00835E02">
        <w:rPr>
          <w:rFonts w:ascii="Verdana" w:eastAsia="Aptos" w:hAnsi="Verdana" w:cs="Arial"/>
          <w:shd w:val="clear" w:color="auto" w:fill="FFFFFF"/>
        </w:rPr>
        <w:t>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28" w:tgtFrame="_blank" w:history="1">
        <w:r w:rsidRPr="00835E02">
          <w:rPr>
            <w:rStyle w:val="Hipervnculo"/>
            <w:rFonts w:ascii="Verdana" w:eastAsia="Aptos" w:hAnsi="Verdana" w:cs="Arial"/>
            <w:shd w:val="clear" w:color="auto" w:fill="FFFFFF"/>
          </w:rPr>
          <w:t>https://www.colombiacompra.gov.co/archivos/manual/guia-de-garantias-en-procesos-de-contratacion</w:t>
        </w:r>
      </w:hyperlink>
      <w:r w:rsidRPr="00835E02">
        <w:rPr>
          <w:rFonts w:ascii="Verdana" w:eastAsia="Aptos" w:hAnsi="Verdana" w:cs="Arial"/>
          <w:shd w:val="clear" w:color="auto" w:fill="FFFFFF"/>
        </w:rPr>
        <w:t> </w:t>
      </w:r>
    </w:p>
    <w:p w14:paraId="4DA06F80" w14:textId="77777777" w:rsidR="00977DC9" w:rsidRPr="00835E02" w:rsidRDefault="00977DC9" w:rsidP="00977DC9">
      <w:pPr>
        <w:widowControl w:val="0"/>
        <w:autoSpaceDE w:val="0"/>
        <w:autoSpaceDN w:val="0"/>
        <w:spacing w:after="0" w:line="276" w:lineRule="auto"/>
        <w:jc w:val="both"/>
        <w:rPr>
          <w:rFonts w:ascii="Verdana" w:eastAsia="Aptos" w:hAnsi="Verdana" w:cs="Arial"/>
          <w:shd w:val="clear" w:color="auto" w:fill="FFFFFF"/>
        </w:rPr>
      </w:pPr>
    </w:p>
    <w:p w14:paraId="1EE25E0A" w14:textId="77777777" w:rsidR="00977DC9" w:rsidRPr="00835E02" w:rsidRDefault="00977DC9" w:rsidP="00977DC9">
      <w:pPr>
        <w:widowControl w:val="0"/>
        <w:autoSpaceDE w:val="0"/>
        <w:autoSpaceDN w:val="0"/>
        <w:spacing w:after="0" w:line="276" w:lineRule="auto"/>
        <w:jc w:val="both"/>
        <w:rPr>
          <w:rFonts w:ascii="Verdana" w:eastAsia="Aptos" w:hAnsi="Verdana" w:cs="Arial"/>
          <w:shd w:val="clear" w:color="auto" w:fill="FFFFFF"/>
        </w:rPr>
      </w:pPr>
      <w:r w:rsidRPr="00835E02">
        <w:rPr>
          <w:rFonts w:ascii="Verdana" w:eastAsia="Aptos" w:hAnsi="Verdana" w:cs="Arial"/>
          <w:shd w:val="clear" w:color="auto" w:fill="FFFFFF"/>
        </w:rPr>
        <w:t>De otro lado, te contamos que el Decreto 287 del 19 de marzo de 2026 sustituyó los artículos 2.2.1.2.4.2.6., 2.2.1.2.4.2.7. y 2.2.1.</w:t>
      </w:r>
      <w:r w:rsidRPr="00B824CD">
        <w:rPr>
          <w:rFonts w:ascii="Verdana" w:eastAsia="Aptos" w:hAnsi="Verdana" w:cs="Arial"/>
          <w:shd w:val="clear" w:color="auto" w:fill="FFFFFF"/>
        </w:rPr>
        <w:t>2.4.2.8. del Decreto 1082 de 2015 y estructuró el </w:t>
      </w:r>
      <w:r w:rsidRPr="00B824CD">
        <w:rPr>
          <w:rFonts w:ascii="Verdana" w:eastAsia="Aptos" w:hAnsi="Verdana" w:cs="Arial"/>
          <w:b/>
          <w:bCs/>
          <w:shd w:val="clear" w:color="auto" w:fill="FFFFFF"/>
        </w:rPr>
        <w:t>Sistema Integral de Preferencias en favor de las personas con discapacidad</w:t>
      </w:r>
      <w:r w:rsidRPr="00B824CD">
        <w:rPr>
          <w:rFonts w:ascii="Verdana" w:eastAsia="Aptos" w:hAnsi="Verdana" w:cs="Arial"/>
          <w:shd w:val="clear" w:color="auto" w:fill="FFFFFF"/>
        </w:rPr>
        <w:t>, en cumplimiento del artículo 13 de la Ley Estatutaria 1618 de 2013. Para orientar su aplicación, esta Agencia expidió la </w:t>
      </w:r>
      <w:r w:rsidRPr="00B824CD">
        <w:rPr>
          <w:rFonts w:ascii="Verdana" w:eastAsia="Aptos" w:hAnsi="Verdana" w:cs="Arial"/>
          <w:b/>
          <w:bCs/>
          <w:shd w:val="clear" w:color="auto" w:fill="FFFFFF"/>
        </w:rPr>
        <w:t>Circular Externa 003 del 12 de mayo de 2026, </w:t>
      </w:r>
      <w:r w:rsidRPr="00B824CD">
        <w:rPr>
          <w:rFonts w:ascii="Verdana" w:eastAsia="Aptos" w:hAnsi="Verdana" w:cs="Arial"/>
          <w:shd w:val="clear" w:color="auto" w:fill="FFFFFF"/>
        </w:rPr>
        <w:t>en la que precisa quiénes son los beneficiarios, las cinco medidas que integran el sistema y su obligatoriedad según la modalidad de selección, y el régimen de transición aplicable a los procesos en curso. Consúltala aquí: </w:t>
      </w:r>
      <w:hyperlink r:id="rId29" w:tgtFrame="_blank" w:history="1">
        <w:r w:rsidRPr="00835E02">
          <w:rPr>
            <w:rStyle w:val="Hipervnculo"/>
            <w:rFonts w:ascii="Verdana" w:eastAsia="Aptos" w:hAnsi="Verdana" w:cs="Arial"/>
            <w:shd w:val="clear" w:color="auto" w:fill="FFFFFF"/>
          </w:rPr>
          <w:t>https://www.colombiacompra.gov.co/archivos/circular/circular-externa-003-de-2026</w:t>
        </w:r>
      </w:hyperlink>
      <w:r w:rsidRPr="00835E02">
        <w:rPr>
          <w:rFonts w:ascii="Verdana" w:eastAsia="Aptos" w:hAnsi="Verdana" w:cs="Arial"/>
          <w:shd w:val="clear" w:color="auto" w:fill="FFFFFF"/>
        </w:rPr>
        <w:t> </w:t>
      </w:r>
    </w:p>
    <w:p w14:paraId="6D3E659F" w14:textId="77777777" w:rsidR="00977DC9" w:rsidRPr="00835E02" w:rsidRDefault="00977DC9" w:rsidP="00977DC9">
      <w:pPr>
        <w:widowControl w:val="0"/>
        <w:autoSpaceDE w:val="0"/>
        <w:autoSpaceDN w:val="0"/>
        <w:spacing w:after="0" w:line="276" w:lineRule="auto"/>
        <w:jc w:val="both"/>
        <w:rPr>
          <w:rFonts w:ascii="Verdana" w:eastAsia="Aptos" w:hAnsi="Verdana" w:cs="Arial"/>
          <w:shd w:val="clear" w:color="auto" w:fill="FFFFFF"/>
        </w:rPr>
      </w:pPr>
    </w:p>
    <w:p w14:paraId="0DCD6340" w14:textId="77777777" w:rsidR="00977DC9" w:rsidRPr="00835E02" w:rsidRDefault="00977DC9" w:rsidP="00977DC9">
      <w:pPr>
        <w:widowControl w:val="0"/>
        <w:autoSpaceDE w:val="0"/>
        <w:autoSpaceDN w:val="0"/>
        <w:spacing w:after="0" w:line="276" w:lineRule="auto"/>
        <w:jc w:val="both"/>
        <w:rPr>
          <w:rFonts w:ascii="Verdana" w:eastAsia="Aptos" w:hAnsi="Verdana" w:cs="Arial"/>
          <w:shd w:val="clear" w:color="auto" w:fill="FFFFFF"/>
        </w:rPr>
      </w:pPr>
      <w:r w:rsidRPr="00835E02">
        <w:rPr>
          <w:rFonts w:ascii="Verdana" w:eastAsia="Aptos" w:hAnsi="Verdana" w:cs="Arial"/>
          <w:shd w:val="clear" w:color="auto" w:fill="FFFFFF"/>
        </w:rPr>
        <w:t>Recuerda también que la</w:t>
      </w:r>
      <w:r w:rsidRPr="00B824CD">
        <w:rPr>
          <w:rFonts w:ascii="Verdana" w:eastAsia="Aptos" w:hAnsi="Verdana" w:cs="Arial"/>
          <w:b/>
          <w:bCs/>
          <w:shd w:val="clear" w:color="auto" w:fill="FFFFFF"/>
        </w:rPr>
        <w:t> información sobre sanciones e inhabilidades </w:t>
      </w:r>
      <w:r w:rsidRPr="00B824CD">
        <w:rPr>
          <w:rFonts w:ascii="Verdana" w:eastAsia="Aptos" w:hAnsi="Verdana" w:cs="Arial"/>
          <w:shd w:val="clear" w:color="auto" w:fill="FFFFFF"/>
        </w:rPr>
        <w:t>solo cumple su función preventiva si llega oportunamente a los registros públicos. Sobre este deber, esta Agencia expidió la </w:t>
      </w:r>
      <w:r w:rsidRPr="00B824CD">
        <w:rPr>
          <w:rFonts w:ascii="Verdana" w:eastAsia="Aptos" w:hAnsi="Verdana" w:cs="Arial"/>
          <w:b/>
          <w:bCs/>
          <w:shd w:val="clear" w:color="auto" w:fill="FFFFFF"/>
        </w:rPr>
        <w:t>Circular Externa 002 del 5 de mayo de 2026,</w:t>
      </w:r>
      <w:r w:rsidRPr="00835E02">
        <w:rPr>
          <w:rFonts w:ascii="Verdana" w:eastAsia="Aptos" w:hAnsi="Verdana" w:cs="Arial"/>
          <w:shd w:val="clear" w:color="auto" w:fill="FFFFFF"/>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30" w:tgtFrame="_blank" w:history="1">
        <w:r w:rsidRPr="00835E02">
          <w:rPr>
            <w:rStyle w:val="Hipervnculo"/>
            <w:rFonts w:ascii="Verdana" w:eastAsia="Aptos" w:hAnsi="Verdana" w:cs="Arial"/>
            <w:shd w:val="clear" w:color="auto" w:fill="FFFFFF"/>
          </w:rPr>
          <w:t>https://www.colombiacompra.gov.co/archivos/circular/circular-externa-002-de-2026</w:t>
        </w:r>
      </w:hyperlink>
      <w:r w:rsidRPr="00835E02">
        <w:rPr>
          <w:rFonts w:ascii="Verdana" w:eastAsia="Aptos" w:hAnsi="Verdana" w:cs="Arial"/>
          <w:shd w:val="clear" w:color="auto" w:fill="FFFFFF"/>
        </w:rPr>
        <w:t> </w:t>
      </w:r>
    </w:p>
    <w:p w14:paraId="1B6543AD" w14:textId="77777777" w:rsidR="00977DC9" w:rsidRPr="00835E02" w:rsidRDefault="00977DC9" w:rsidP="00977DC9">
      <w:pPr>
        <w:widowControl w:val="0"/>
        <w:autoSpaceDE w:val="0"/>
        <w:autoSpaceDN w:val="0"/>
        <w:spacing w:after="0" w:line="276" w:lineRule="auto"/>
        <w:jc w:val="both"/>
        <w:rPr>
          <w:rFonts w:ascii="Verdana" w:eastAsia="Aptos" w:hAnsi="Verdana" w:cs="Arial"/>
          <w:shd w:val="clear" w:color="auto" w:fill="FFFFFF"/>
        </w:rPr>
      </w:pPr>
    </w:p>
    <w:p w14:paraId="16E20AE2" w14:textId="77777777" w:rsidR="00977DC9" w:rsidRPr="00835E02" w:rsidRDefault="00977DC9" w:rsidP="00977DC9">
      <w:pPr>
        <w:widowControl w:val="0"/>
        <w:autoSpaceDE w:val="0"/>
        <w:autoSpaceDN w:val="0"/>
        <w:spacing w:after="0" w:line="276" w:lineRule="auto"/>
        <w:jc w:val="both"/>
        <w:rPr>
          <w:rFonts w:ascii="Verdana" w:eastAsia="Aptos" w:hAnsi="Verdana" w:cs="Arial"/>
          <w:shd w:val="clear" w:color="auto" w:fill="FFFFFF"/>
        </w:rPr>
      </w:pPr>
      <w:r w:rsidRPr="00835E02">
        <w:rPr>
          <w:rFonts w:ascii="Verdana" w:eastAsia="Aptos" w:hAnsi="Verdana" w:cs="Arial"/>
          <w:shd w:val="clear" w:color="auto" w:fill="FFFFFF"/>
        </w:rPr>
        <w:t>De otra parte, si quieres seguir de cerca la actividad de la Agencia, la tercera edición de 2026 del</w:t>
      </w:r>
      <w:r w:rsidRPr="00B824CD">
        <w:rPr>
          <w:rFonts w:ascii="Verdana" w:eastAsia="Aptos" w:hAnsi="Verdana" w:cs="Arial"/>
          <w:b/>
          <w:bCs/>
          <w:shd w:val="clear" w:color="auto" w:fill="FFFFFF"/>
        </w:rPr>
        <w:t> Radar de la Compra Pública</w:t>
      </w:r>
      <w:r w:rsidRPr="00B824CD">
        <w:rPr>
          <w:rFonts w:ascii="Verdana" w:eastAsia="Aptos" w:hAnsi="Verdana" w:cs="Arial"/>
          <w:shd w:val="clear" w:color="auto" w:fill="FFFFFF"/>
        </w:rPr>
        <w:t xml:space="preserve"> reúne, entre otros contenidos, la Circular Externa 003 de 2026, el Decreto 552 de 2026, un estudio sobre inteligencia artificial en la compra pública, los avances de la Relatoría, análisis </w:t>
      </w:r>
      <w:r w:rsidRPr="00B824CD">
        <w:rPr>
          <w:rFonts w:ascii="Verdana" w:eastAsia="Aptos" w:hAnsi="Verdana" w:cs="Arial"/>
          <w:shd w:val="clear" w:color="auto" w:fill="FFFFFF"/>
        </w:rPr>
        <w:lastRenderedPageBreak/>
        <w:t>jurisprudencial, conceptos jurídicos destacados y la oferta de la Escuela Virtual ANCP-C</w:t>
      </w:r>
      <w:r w:rsidRPr="00835E02">
        <w:rPr>
          <w:rFonts w:ascii="Verdana" w:eastAsia="Aptos" w:hAnsi="Verdana" w:cs="Arial"/>
          <w:shd w:val="clear" w:color="auto" w:fill="FFFFFF"/>
        </w:rPr>
        <w:t>CE. Descárgalo aquí: </w:t>
      </w:r>
      <w:hyperlink r:id="rId31" w:tgtFrame="_blank" w:history="1">
        <w:r w:rsidRPr="00835E02">
          <w:rPr>
            <w:rStyle w:val="Hipervnculo"/>
            <w:rFonts w:ascii="Verdana" w:eastAsia="Aptos" w:hAnsi="Verdana" w:cs="Arial"/>
            <w:shd w:val="clear" w:color="auto" w:fill="FFFFFF"/>
          </w:rPr>
          <w:t>https://www.colombiacompra.gov.co/archivos/boletin/boletin-edicion-n-3-de-2026-radar-de-la-compra-publica</w:t>
        </w:r>
      </w:hyperlink>
      <w:r w:rsidRPr="00835E02">
        <w:rPr>
          <w:rFonts w:ascii="Verdana" w:eastAsia="Aptos" w:hAnsi="Verdana" w:cs="Arial"/>
          <w:shd w:val="clear" w:color="auto" w:fill="FFFFFF"/>
        </w:rPr>
        <w:t>" </w:t>
      </w:r>
    </w:p>
    <w:p w14:paraId="78C83B11" w14:textId="77777777" w:rsidR="00977DC9" w:rsidRPr="00835E02" w:rsidRDefault="00977DC9" w:rsidP="00977DC9">
      <w:pPr>
        <w:widowControl w:val="0"/>
        <w:autoSpaceDE w:val="0"/>
        <w:autoSpaceDN w:val="0"/>
        <w:spacing w:after="0" w:line="276" w:lineRule="auto"/>
        <w:jc w:val="both"/>
        <w:rPr>
          <w:rFonts w:ascii="Verdana" w:eastAsia="Aptos" w:hAnsi="Verdana" w:cs="Arial"/>
          <w:shd w:val="clear" w:color="auto" w:fill="FFFFFF"/>
          <w:lang w:val="es-ES"/>
        </w:rPr>
      </w:pPr>
    </w:p>
    <w:p w14:paraId="348EF982" w14:textId="77777777" w:rsidR="00977DC9" w:rsidRPr="00B824CD" w:rsidRDefault="00977DC9" w:rsidP="00977DC9">
      <w:pPr>
        <w:spacing w:after="0" w:line="276" w:lineRule="auto"/>
        <w:jc w:val="both"/>
        <w:rPr>
          <w:rFonts w:ascii="Verdana" w:eastAsia="Aptos" w:hAnsi="Verdana" w:cs="Times New Roman"/>
        </w:rPr>
      </w:pPr>
      <w:r w:rsidRPr="00835E02">
        <w:rPr>
          <w:rFonts w:ascii="Verdana" w:eastAsia="Aptos" w:hAnsi="Verdana" w:cs="Times New Roman"/>
        </w:rPr>
        <w:t xml:space="preserve">Por último, lo invitamos a seguirnos en las redes sociales en las cuales se difunde información institucional: </w:t>
      </w:r>
    </w:p>
    <w:p w14:paraId="6C06AD4A" w14:textId="77777777" w:rsidR="00977DC9" w:rsidRPr="00B824CD" w:rsidRDefault="00977DC9" w:rsidP="00977DC9">
      <w:pPr>
        <w:spacing w:after="0" w:line="276" w:lineRule="auto"/>
        <w:jc w:val="both"/>
        <w:rPr>
          <w:rFonts w:ascii="Verdana" w:eastAsia="Aptos" w:hAnsi="Verdana" w:cs="Times New Roman"/>
        </w:rPr>
      </w:pPr>
    </w:p>
    <w:p w14:paraId="5732F182" w14:textId="77777777" w:rsidR="00977DC9" w:rsidRPr="00B824CD" w:rsidRDefault="00977DC9" w:rsidP="00977DC9">
      <w:pPr>
        <w:spacing w:after="0" w:line="276" w:lineRule="auto"/>
        <w:jc w:val="both"/>
        <w:rPr>
          <w:rFonts w:ascii="Verdana" w:eastAsia="Aptos" w:hAnsi="Verdana" w:cs="Times New Roman"/>
        </w:rPr>
      </w:pPr>
      <w:r w:rsidRPr="00B824CD">
        <w:rPr>
          <w:rFonts w:ascii="Verdana" w:eastAsia="Aptos" w:hAnsi="Verdana" w:cs="Times New Roman"/>
        </w:rPr>
        <w:t xml:space="preserve">Twitter: </w:t>
      </w:r>
      <w:r w:rsidRPr="00B824CD">
        <w:rPr>
          <w:rFonts w:ascii="Verdana" w:eastAsia="Aptos" w:hAnsi="Verdana" w:cs="Arial"/>
          <w:u w:val="single"/>
          <w:shd w:val="clear" w:color="auto" w:fill="FFFFFF"/>
          <w:lang w:val="es-ES"/>
        </w:rPr>
        <w:t>@colombiacompra</w:t>
      </w:r>
      <w:r w:rsidRPr="00B824CD">
        <w:rPr>
          <w:rFonts w:ascii="Verdana" w:eastAsia="Aptos" w:hAnsi="Verdana" w:cs="Times New Roman"/>
        </w:rPr>
        <w:t xml:space="preserve"> </w:t>
      </w:r>
    </w:p>
    <w:p w14:paraId="5867EB5B" w14:textId="77777777" w:rsidR="00977DC9" w:rsidRPr="00835E02" w:rsidRDefault="00977DC9" w:rsidP="00977DC9">
      <w:pPr>
        <w:spacing w:after="0" w:line="276" w:lineRule="auto"/>
        <w:jc w:val="both"/>
        <w:rPr>
          <w:rFonts w:ascii="Verdana" w:eastAsia="Aptos" w:hAnsi="Verdana" w:cs="Times New Roman"/>
        </w:rPr>
      </w:pPr>
      <w:r w:rsidRPr="00835E02">
        <w:rPr>
          <w:rFonts w:ascii="Verdana" w:eastAsia="Aptos" w:hAnsi="Verdana" w:cs="Times New Roman"/>
        </w:rPr>
        <w:t xml:space="preserve">Facebook: </w:t>
      </w:r>
      <w:proofErr w:type="spellStart"/>
      <w:r w:rsidRPr="00835E02">
        <w:rPr>
          <w:rFonts w:ascii="Verdana" w:eastAsia="Aptos" w:hAnsi="Verdana" w:cs="Arial"/>
          <w:u w:val="single"/>
          <w:shd w:val="clear" w:color="auto" w:fill="FFFFFF"/>
          <w:lang w:val="es-ES"/>
        </w:rPr>
        <w:t>ColombiaCompraEficiente</w:t>
      </w:r>
      <w:proofErr w:type="spellEnd"/>
    </w:p>
    <w:p w14:paraId="25BCE7D0" w14:textId="77777777" w:rsidR="00977DC9" w:rsidRPr="00835E02" w:rsidRDefault="00977DC9" w:rsidP="00977DC9">
      <w:pPr>
        <w:spacing w:after="0" w:line="276" w:lineRule="auto"/>
        <w:jc w:val="both"/>
        <w:rPr>
          <w:rFonts w:ascii="Verdana" w:eastAsia="Aptos" w:hAnsi="Verdana" w:cs="Times New Roman"/>
        </w:rPr>
      </w:pPr>
      <w:r w:rsidRPr="00835E02">
        <w:rPr>
          <w:rFonts w:ascii="Verdana" w:eastAsia="Aptos" w:hAnsi="Verdana" w:cs="Times New Roman"/>
        </w:rPr>
        <w:t xml:space="preserve">LinkedIn: </w:t>
      </w:r>
      <w:r w:rsidRPr="00835E02">
        <w:rPr>
          <w:rFonts w:ascii="Verdana" w:eastAsia="Aptos" w:hAnsi="Verdana" w:cs="Arial"/>
          <w:u w:val="single"/>
          <w:shd w:val="clear" w:color="auto" w:fill="FFFFFF"/>
          <w:lang w:val="es-ES"/>
        </w:rPr>
        <w:t>Agencia Nacional de Contratación Pública - Colombia Compra Eficiente</w:t>
      </w:r>
      <w:r w:rsidRPr="00835E02">
        <w:rPr>
          <w:rFonts w:ascii="Verdana" w:eastAsia="Aptos" w:hAnsi="Verdana" w:cs="Times New Roman"/>
        </w:rPr>
        <w:t xml:space="preserve"> Instagram: </w:t>
      </w:r>
      <w:r w:rsidRPr="00835E02">
        <w:rPr>
          <w:rFonts w:ascii="Verdana" w:eastAsia="Aptos" w:hAnsi="Verdana" w:cs="Arial"/>
          <w:u w:val="single"/>
          <w:shd w:val="clear" w:color="auto" w:fill="FFFFFF"/>
          <w:lang w:val="es-ES"/>
        </w:rPr>
        <w:t>@colombiacompraeficiente_cce</w:t>
      </w:r>
    </w:p>
    <w:p w14:paraId="5B15E3AA" w14:textId="77777777" w:rsidR="00977DC9" w:rsidRPr="00835E02" w:rsidRDefault="00977DC9" w:rsidP="00977DC9">
      <w:pPr>
        <w:widowControl w:val="0"/>
        <w:autoSpaceDE w:val="0"/>
        <w:autoSpaceDN w:val="0"/>
        <w:spacing w:after="0" w:line="276" w:lineRule="auto"/>
        <w:jc w:val="both"/>
        <w:rPr>
          <w:rFonts w:ascii="Verdana" w:eastAsia="Aptos" w:hAnsi="Verdana" w:cs="Arial"/>
        </w:rPr>
      </w:pPr>
    </w:p>
    <w:p w14:paraId="71CBC713" w14:textId="77777777" w:rsidR="00977DC9" w:rsidRPr="00835E02" w:rsidRDefault="00977DC9" w:rsidP="00977DC9">
      <w:pPr>
        <w:widowControl w:val="0"/>
        <w:autoSpaceDE w:val="0"/>
        <w:autoSpaceDN w:val="0"/>
        <w:spacing w:after="0" w:line="276" w:lineRule="auto"/>
        <w:jc w:val="both"/>
        <w:rPr>
          <w:rFonts w:ascii="Verdana" w:eastAsia="Aptos" w:hAnsi="Verdana" w:cs="Arial"/>
          <w:lang w:val="es-ES_tradnl"/>
        </w:rPr>
      </w:pPr>
      <w:r w:rsidRPr="00835E02">
        <w:rPr>
          <w:rFonts w:ascii="Verdana" w:eastAsia="Aptos" w:hAnsi="Verdana" w:cs="Arial"/>
        </w:rPr>
        <w:t xml:space="preserve">Este concepto tiene el alcance previsto en el artículo 28 del Código de Procedimiento Administrativo y de lo Contencioso Administrativo </w:t>
      </w:r>
      <w:r w:rsidRPr="00835E02">
        <w:rPr>
          <w:rFonts w:ascii="Verdana" w:eastAsia="Aptos" w:hAnsi="Verdana" w:cs="Arial"/>
          <w:lang w:val="es-ES_tradnl"/>
        </w:rPr>
        <w:t>y las expresiones aquí utilizadas con mayúscula inicial deben ser entendidas con el significado que les otorga el artículo 2.2.1.1.1.3.1. del Decreto 1082 de 2015.</w:t>
      </w:r>
    </w:p>
    <w:p w14:paraId="31A10755" w14:textId="77777777" w:rsidR="00977DC9" w:rsidRPr="00835E02" w:rsidRDefault="00977DC9" w:rsidP="00977DC9">
      <w:pPr>
        <w:widowControl w:val="0"/>
        <w:autoSpaceDE w:val="0"/>
        <w:autoSpaceDN w:val="0"/>
        <w:spacing w:after="0" w:line="276" w:lineRule="auto"/>
        <w:jc w:val="both"/>
        <w:rPr>
          <w:rFonts w:ascii="Verdana" w:eastAsia="Aptos" w:hAnsi="Verdana" w:cs="Arial"/>
        </w:rPr>
      </w:pPr>
    </w:p>
    <w:p w14:paraId="09A32338" w14:textId="77777777" w:rsidR="00977DC9" w:rsidRPr="00835E02" w:rsidRDefault="00977DC9" w:rsidP="00977DC9">
      <w:pPr>
        <w:spacing w:after="0" w:line="276" w:lineRule="auto"/>
        <w:rPr>
          <w:rFonts w:ascii="Verdana" w:eastAsia="Aptos" w:hAnsi="Verdana" w:cs="Arial"/>
          <w:lang w:eastAsia="es-CO"/>
        </w:rPr>
      </w:pPr>
      <w:r w:rsidRPr="00835E02">
        <w:rPr>
          <w:rFonts w:ascii="Verdana" w:eastAsia="Times New Roman" w:hAnsi="Verdana" w:cs="Arial"/>
          <w:lang w:eastAsia="es-CO"/>
        </w:rPr>
        <w:t>Atentamente,</w:t>
      </w:r>
      <w:r w:rsidRPr="00835E02">
        <w:rPr>
          <w:rFonts w:ascii="Verdana" w:eastAsia="Aptos" w:hAnsi="Verdana" w:cs="Arial"/>
          <w:lang w:eastAsia="es-CO"/>
        </w:rPr>
        <w:t xml:space="preserve"> </w:t>
      </w:r>
    </w:p>
    <w:p w14:paraId="78A4B14B" w14:textId="1C5B74FE" w:rsidR="00977DC9" w:rsidRPr="00F554CE" w:rsidRDefault="00F554CE" w:rsidP="00F554CE">
      <w:pPr>
        <w:spacing w:after="0" w:line="276" w:lineRule="auto"/>
        <w:rPr>
          <w:rFonts w:ascii="Verdana" w:hAnsi="Verdana" w:cs="Arial"/>
          <w:lang w:val="es-ES_tradnl" w:eastAsia="es-CO"/>
        </w:rPr>
      </w:pPr>
      <w:r>
        <w:rPr>
          <w:rFonts w:ascii="Verdana" w:hAnsi="Verdana" w:cs="Arial"/>
          <w:lang w:val="es-ES_tradnl" w:eastAsia="es-CO"/>
        </w:rPr>
        <w:tab/>
      </w:r>
      <w:r>
        <w:rPr>
          <w:rFonts w:ascii="Verdana" w:hAnsi="Verdana" w:cs="Arial"/>
          <w:lang w:val="es-ES_tradnl" w:eastAsia="es-CO"/>
        </w:rPr>
        <w:tab/>
      </w:r>
      <w:r>
        <w:rPr>
          <w:rFonts w:ascii="Verdana" w:hAnsi="Verdana" w:cs="Arial"/>
          <w:lang w:val="es-ES_tradnl" w:eastAsia="es-CO"/>
        </w:rPr>
        <w:tab/>
      </w:r>
      <w:r>
        <w:rPr>
          <w:noProof/>
          <w14:ligatures w14:val="standardContextual"/>
        </w:rPr>
        <w:drawing>
          <wp:inline distT="0" distB="0" distL="0" distR="0" wp14:anchorId="054CEAB6" wp14:editId="72D4F9A4">
            <wp:extent cx="3352800" cy="1244600"/>
            <wp:effectExtent l="0" t="0" r="0" b="0"/>
            <wp:docPr id="7472616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61639" name="Imagen 1"/>
                    <pic:cNvPicPr>
                      <a:picLocks noChangeAspect="1"/>
                    </pic:cNvPicPr>
                  </pic:nvPicPr>
                  <pic:blipFill>
                    <a:blip r:embed="rId32"/>
                    <a:stretch>
                      <a:fillRect/>
                    </a:stretch>
                  </pic:blipFill>
                  <pic:spPr>
                    <a:xfrm>
                      <a:off x="0" y="0"/>
                      <a:ext cx="3352800" cy="1244600"/>
                    </a:xfrm>
                    <a:prstGeom prst="rect">
                      <a:avLst/>
                    </a:prstGeom>
                  </pic:spPr>
                </pic:pic>
              </a:graphicData>
            </a:graphic>
          </wp:inline>
        </w:drawing>
      </w:r>
      <w:r>
        <w:rPr>
          <w:rFonts w:ascii="Verdana" w:hAnsi="Verdana" w:cs="Arial"/>
          <w:lang w:val="es-ES_tradnl" w:eastAsia="es-CO"/>
        </w:rPr>
        <w:tab/>
      </w:r>
    </w:p>
    <w:p w14:paraId="6132867A" w14:textId="77777777" w:rsidR="00977DC9" w:rsidRPr="009F5AD6" w:rsidRDefault="00977DC9" w:rsidP="00977DC9">
      <w:pPr>
        <w:spacing w:after="0" w:line="276" w:lineRule="auto"/>
        <w:rPr>
          <w:rFonts w:ascii="Verdana" w:eastAsia="Aptos" w:hAnsi="Verdana" w:cs="Arial"/>
          <w:lang w:val="es-ES_tradnl"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5195"/>
      </w:tblGrid>
      <w:tr w:rsidR="00977DC9" w:rsidRPr="009F5AD6" w14:paraId="4777A56F" w14:textId="77777777" w:rsidTr="00E7274F">
        <w:trPr>
          <w:trHeight w:val="286"/>
        </w:trPr>
        <w:tc>
          <w:tcPr>
            <w:tcW w:w="901" w:type="dxa"/>
            <w:vAlign w:val="center"/>
            <w:hideMark/>
          </w:tcPr>
          <w:p w14:paraId="6A5DD673" w14:textId="77777777" w:rsidR="00977DC9" w:rsidRPr="009F5AD6" w:rsidRDefault="00977DC9" w:rsidP="00E7274F">
            <w:pPr>
              <w:rPr>
                <w:rFonts w:ascii="Verdana" w:eastAsia="Aptos" w:hAnsi="Verdana" w:cs="Arial"/>
                <w:sz w:val="14"/>
                <w:szCs w:val="14"/>
                <w:lang w:eastAsia="es-ES"/>
              </w:rPr>
            </w:pPr>
            <w:r w:rsidRPr="009F5AD6">
              <w:rPr>
                <w:rFonts w:ascii="Verdana" w:eastAsia="Aptos" w:hAnsi="Verdana" w:cs="Arial"/>
                <w:sz w:val="14"/>
                <w:szCs w:val="14"/>
                <w:lang w:eastAsia="es-ES"/>
              </w:rPr>
              <w:t>Elaboró:</w:t>
            </w:r>
          </w:p>
        </w:tc>
        <w:tc>
          <w:tcPr>
            <w:tcW w:w="5195" w:type="dxa"/>
            <w:tcBorders>
              <w:top w:val="nil"/>
              <w:left w:val="nil"/>
              <w:bottom w:val="dotted" w:sz="4" w:space="0" w:color="7F7F7F"/>
              <w:right w:val="nil"/>
            </w:tcBorders>
            <w:vAlign w:val="center"/>
            <w:hideMark/>
          </w:tcPr>
          <w:p w14:paraId="2CF8FBB4" w14:textId="77777777" w:rsidR="00977DC9" w:rsidRPr="009F5AD6" w:rsidRDefault="00977DC9" w:rsidP="00E7274F">
            <w:pPr>
              <w:rPr>
                <w:rFonts w:ascii="Verdana" w:eastAsia="Aptos" w:hAnsi="Verdana" w:cs="Arial"/>
                <w:sz w:val="14"/>
                <w:szCs w:val="14"/>
                <w:lang w:eastAsia="es-ES"/>
              </w:rPr>
            </w:pPr>
            <w:r w:rsidRPr="009F5AD6">
              <w:rPr>
                <w:rFonts w:ascii="Verdana" w:eastAsia="Aptos" w:hAnsi="Verdana" w:cs="Arial"/>
                <w:sz w:val="14"/>
                <w:szCs w:val="14"/>
                <w:lang w:eastAsia="es-ES"/>
              </w:rPr>
              <w:t>Nasly Yeana Mosquera Rivas</w:t>
            </w:r>
          </w:p>
          <w:p w14:paraId="66DD00E1" w14:textId="77777777" w:rsidR="00977DC9" w:rsidRPr="009F5AD6" w:rsidRDefault="00977DC9" w:rsidP="00E7274F">
            <w:pPr>
              <w:rPr>
                <w:rFonts w:ascii="Verdana" w:eastAsia="Aptos" w:hAnsi="Verdana" w:cs="Arial"/>
                <w:sz w:val="14"/>
                <w:szCs w:val="14"/>
                <w:lang w:eastAsia="es-ES"/>
              </w:rPr>
            </w:pPr>
            <w:r w:rsidRPr="009F5AD6">
              <w:rPr>
                <w:rFonts w:ascii="Verdana" w:eastAsia="Aptos" w:hAnsi="Verdana" w:cs="Arial"/>
                <w:sz w:val="14"/>
                <w:szCs w:val="14"/>
                <w:lang w:eastAsia="es-ES"/>
              </w:rPr>
              <w:t>Analista T2–06 de la Subdirección de Gestión Contractual</w:t>
            </w:r>
          </w:p>
        </w:tc>
      </w:tr>
      <w:tr w:rsidR="00977DC9" w:rsidRPr="009F5AD6" w14:paraId="4D83A54F" w14:textId="77777777" w:rsidTr="00E7274F">
        <w:trPr>
          <w:trHeight w:val="299"/>
        </w:trPr>
        <w:tc>
          <w:tcPr>
            <w:tcW w:w="901" w:type="dxa"/>
            <w:vAlign w:val="center"/>
          </w:tcPr>
          <w:p w14:paraId="54126A2A" w14:textId="77777777" w:rsidR="00977DC9" w:rsidRPr="009F5AD6" w:rsidRDefault="00977DC9" w:rsidP="00E7274F">
            <w:pPr>
              <w:rPr>
                <w:rFonts w:ascii="Verdana" w:eastAsia="Aptos" w:hAnsi="Verdana" w:cs="Arial"/>
                <w:sz w:val="14"/>
                <w:szCs w:val="14"/>
                <w:lang w:eastAsia="es-ES"/>
              </w:rPr>
            </w:pPr>
            <w:r w:rsidRPr="009F5AD6">
              <w:rPr>
                <w:rFonts w:ascii="Verdana" w:eastAsia="Aptos" w:hAnsi="Verdana" w:cs="Arial"/>
                <w:sz w:val="14"/>
                <w:szCs w:val="14"/>
                <w:lang w:eastAsia="es-ES"/>
              </w:rPr>
              <w:t>Revisó:</w:t>
            </w:r>
          </w:p>
        </w:tc>
        <w:tc>
          <w:tcPr>
            <w:tcW w:w="5195" w:type="dxa"/>
            <w:tcBorders>
              <w:top w:val="dotted" w:sz="4" w:space="0" w:color="7F7F7F"/>
              <w:left w:val="nil"/>
              <w:bottom w:val="dotted" w:sz="4" w:space="0" w:color="7F7F7F"/>
              <w:right w:val="nil"/>
            </w:tcBorders>
            <w:vAlign w:val="center"/>
          </w:tcPr>
          <w:p w14:paraId="617FBB1A" w14:textId="77777777" w:rsidR="00977DC9" w:rsidRPr="009F5AD6" w:rsidRDefault="00977DC9" w:rsidP="00E7274F">
            <w:pPr>
              <w:rPr>
                <w:rFonts w:ascii="Verdana" w:eastAsia="Aptos" w:hAnsi="Verdana" w:cs="Arial"/>
                <w:sz w:val="14"/>
                <w:szCs w:val="14"/>
                <w:lang w:eastAsia="es-ES"/>
              </w:rPr>
            </w:pPr>
            <w:r w:rsidRPr="009F5AD6">
              <w:rPr>
                <w:rFonts w:ascii="Verdana" w:eastAsia="Aptos" w:hAnsi="Verdana" w:cs="Arial"/>
                <w:sz w:val="14"/>
                <w:szCs w:val="14"/>
                <w:lang w:eastAsia="es-ES"/>
              </w:rPr>
              <w:t>Diana Lucía Saavedra Castañeda</w:t>
            </w:r>
          </w:p>
          <w:p w14:paraId="7C39B938" w14:textId="77777777" w:rsidR="00977DC9" w:rsidRPr="009F5AD6" w:rsidRDefault="00977DC9" w:rsidP="00E7274F">
            <w:pPr>
              <w:rPr>
                <w:rFonts w:ascii="Verdana" w:eastAsia="Aptos" w:hAnsi="Verdana" w:cs="Arial"/>
                <w:sz w:val="14"/>
                <w:szCs w:val="14"/>
                <w:lang w:eastAsia="es-ES"/>
              </w:rPr>
            </w:pPr>
            <w:r w:rsidRPr="009F5AD6">
              <w:rPr>
                <w:rFonts w:ascii="Verdana" w:eastAsia="Aptos" w:hAnsi="Verdana" w:cs="Arial"/>
                <w:sz w:val="14"/>
                <w:szCs w:val="14"/>
                <w:lang w:eastAsia="es-ES"/>
              </w:rPr>
              <w:t>Contratista de la Subdirección de Gestión Contractual</w:t>
            </w:r>
          </w:p>
        </w:tc>
      </w:tr>
      <w:tr w:rsidR="00977DC9" w:rsidRPr="0067635F" w14:paraId="03B012EE" w14:textId="77777777" w:rsidTr="00E7274F">
        <w:trPr>
          <w:trHeight w:val="272"/>
        </w:trPr>
        <w:tc>
          <w:tcPr>
            <w:tcW w:w="901" w:type="dxa"/>
            <w:vAlign w:val="center"/>
            <w:hideMark/>
          </w:tcPr>
          <w:p w14:paraId="4E69AD3A" w14:textId="77777777" w:rsidR="00977DC9" w:rsidRPr="009F5AD6" w:rsidRDefault="00977DC9" w:rsidP="00E7274F">
            <w:pPr>
              <w:rPr>
                <w:rFonts w:ascii="Verdana" w:eastAsia="Aptos" w:hAnsi="Verdana" w:cs="Arial"/>
                <w:sz w:val="14"/>
                <w:szCs w:val="14"/>
                <w:lang w:eastAsia="es-ES"/>
              </w:rPr>
            </w:pPr>
            <w:r w:rsidRPr="009F5AD6">
              <w:rPr>
                <w:rFonts w:ascii="Verdana" w:eastAsia="Aptos" w:hAnsi="Verdana" w:cs="Arial"/>
                <w:sz w:val="14"/>
                <w:szCs w:val="14"/>
                <w:lang w:eastAsia="es-ES"/>
              </w:rPr>
              <w:t>Aprobó:</w:t>
            </w:r>
          </w:p>
        </w:tc>
        <w:tc>
          <w:tcPr>
            <w:tcW w:w="5195" w:type="dxa"/>
            <w:tcBorders>
              <w:top w:val="dotted" w:sz="4" w:space="0" w:color="7F7F7F"/>
              <w:left w:val="nil"/>
              <w:bottom w:val="dotted" w:sz="4" w:space="0" w:color="7F7F7F"/>
              <w:right w:val="nil"/>
            </w:tcBorders>
            <w:vAlign w:val="center"/>
            <w:hideMark/>
          </w:tcPr>
          <w:p w14:paraId="472768A1" w14:textId="77777777" w:rsidR="00977DC9" w:rsidRPr="00370AAF" w:rsidRDefault="00977DC9" w:rsidP="00E7274F">
            <w:pPr>
              <w:rPr>
                <w:rFonts w:ascii="Verdana" w:hAnsi="Verdana" w:cs="Arial"/>
                <w:sz w:val="14"/>
                <w:szCs w:val="14"/>
                <w:lang w:eastAsia="es-ES"/>
              </w:rPr>
            </w:pPr>
            <w:r w:rsidRPr="00370AAF">
              <w:rPr>
                <w:rFonts w:ascii="Verdana" w:hAnsi="Verdana" w:cs="Arial"/>
                <w:sz w:val="14"/>
                <w:szCs w:val="14"/>
                <w:lang w:eastAsia="es-ES"/>
              </w:rPr>
              <w:t>William Javier Murcia Acevedo</w:t>
            </w:r>
          </w:p>
          <w:p w14:paraId="4DE5CB2B" w14:textId="77777777" w:rsidR="00977DC9" w:rsidRPr="0067635F" w:rsidRDefault="00977DC9" w:rsidP="00E7274F">
            <w:pPr>
              <w:rPr>
                <w:rFonts w:ascii="Verdana" w:eastAsia="Aptos" w:hAnsi="Verdana" w:cs="Arial"/>
                <w:sz w:val="14"/>
                <w:szCs w:val="14"/>
                <w:lang w:eastAsia="es-ES"/>
              </w:rPr>
            </w:pPr>
            <w:r w:rsidRPr="00370AAF">
              <w:rPr>
                <w:rFonts w:ascii="Verdana" w:hAnsi="Verdana" w:cs="Arial"/>
                <w:sz w:val="14"/>
                <w:szCs w:val="14"/>
                <w:lang w:eastAsia="es-ES"/>
              </w:rPr>
              <w:t>Subdirector de Gestión</w:t>
            </w:r>
            <w:r w:rsidRPr="006263D8">
              <w:rPr>
                <w:rFonts w:ascii="Verdana" w:hAnsi="Verdana" w:cs="Arial"/>
                <w:sz w:val="14"/>
                <w:szCs w:val="14"/>
                <w:lang w:eastAsia="es-ES"/>
              </w:rPr>
              <w:t xml:space="preserve"> Contractual </w:t>
            </w:r>
            <w:r>
              <w:rPr>
                <w:rFonts w:ascii="Verdana" w:hAnsi="Verdana" w:cs="Arial"/>
                <w:sz w:val="14"/>
                <w:szCs w:val="14"/>
                <w:lang w:eastAsia="es-ES"/>
              </w:rPr>
              <w:t xml:space="preserve">(E) </w:t>
            </w:r>
            <w:r w:rsidRPr="006263D8">
              <w:rPr>
                <w:rFonts w:ascii="Verdana" w:hAnsi="Verdana" w:cs="Arial"/>
                <w:sz w:val="14"/>
                <w:szCs w:val="14"/>
                <w:lang w:eastAsia="es-ES"/>
              </w:rPr>
              <w:t>ANCP – CCE</w:t>
            </w:r>
          </w:p>
        </w:tc>
      </w:tr>
      <w:tr w:rsidR="00977DC9" w:rsidRPr="0067635F" w14:paraId="7E0163CD" w14:textId="77777777" w:rsidTr="00E7274F">
        <w:trPr>
          <w:trHeight w:val="272"/>
        </w:trPr>
        <w:tc>
          <w:tcPr>
            <w:tcW w:w="901" w:type="dxa"/>
            <w:vAlign w:val="center"/>
          </w:tcPr>
          <w:p w14:paraId="14D2F3EE" w14:textId="77777777" w:rsidR="00977DC9" w:rsidRPr="009F5AD6" w:rsidRDefault="00977DC9" w:rsidP="00E7274F">
            <w:pPr>
              <w:rPr>
                <w:rFonts w:ascii="Verdana" w:eastAsia="Aptos" w:hAnsi="Verdana" w:cs="Arial"/>
                <w:sz w:val="14"/>
                <w:szCs w:val="14"/>
                <w:lang w:eastAsia="es-ES"/>
              </w:rPr>
            </w:pPr>
            <w:r>
              <w:rPr>
                <w:rFonts w:ascii="Verdana" w:eastAsia="Aptos" w:hAnsi="Verdana" w:cs="Arial"/>
                <w:sz w:val="14"/>
                <w:szCs w:val="14"/>
                <w:lang w:eastAsia="es-ES"/>
              </w:rPr>
              <w:t>Anexos:</w:t>
            </w:r>
          </w:p>
        </w:tc>
        <w:tc>
          <w:tcPr>
            <w:tcW w:w="5195" w:type="dxa"/>
            <w:tcBorders>
              <w:top w:val="dotted" w:sz="4" w:space="0" w:color="7F7F7F"/>
              <w:left w:val="nil"/>
              <w:bottom w:val="dotted" w:sz="4" w:space="0" w:color="7F7F7F"/>
              <w:right w:val="nil"/>
            </w:tcBorders>
            <w:vAlign w:val="center"/>
          </w:tcPr>
          <w:p w14:paraId="7BE49F2A" w14:textId="77777777" w:rsidR="00977DC9" w:rsidRDefault="00977DC9" w:rsidP="00E7274F">
            <w:pPr>
              <w:rPr>
                <w:rFonts w:ascii="Verdana" w:eastAsia="Aptos" w:hAnsi="Verdana" w:cs="Arial"/>
                <w:sz w:val="14"/>
                <w:szCs w:val="14"/>
                <w:lang w:eastAsia="es-ES"/>
              </w:rPr>
            </w:pPr>
            <w:r>
              <w:rPr>
                <w:rFonts w:ascii="Verdana" w:eastAsia="Aptos" w:hAnsi="Verdana" w:cs="Arial"/>
                <w:sz w:val="14"/>
                <w:szCs w:val="14"/>
                <w:lang w:eastAsia="es-ES"/>
              </w:rPr>
              <w:t>Respuesta de la Subdirección de Información y Desarrollo Tecnológico</w:t>
            </w:r>
          </w:p>
          <w:p w14:paraId="0CBB06D2" w14:textId="77777777" w:rsidR="00977DC9" w:rsidRPr="009F5AD6" w:rsidRDefault="00977DC9" w:rsidP="00E7274F">
            <w:pPr>
              <w:rPr>
                <w:rFonts w:ascii="Verdana" w:eastAsia="Aptos" w:hAnsi="Verdana" w:cs="Arial"/>
                <w:sz w:val="14"/>
                <w:szCs w:val="14"/>
                <w:lang w:eastAsia="es-ES"/>
              </w:rPr>
            </w:pPr>
            <w:r>
              <w:rPr>
                <w:rFonts w:ascii="Verdana" w:eastAsia="Aptos" w:hAnsi="Verdana" w:cs="Arial"/>
                <w:sz w:val="14"/>
                <w:szCs w:val="14"/>
                <w:lang w:eastAsia="es-ES"/>
              </w:rPr>
              <w:t>Listado de entidades estatales obligadas</w:t>
            </w:r>
          </w:p>
        </w:tc>
      </w:tr>
    </w:tbl>
    <w:p w14:paraId="165EB48C" w14:textId="77777777" w:rsidR="00977DC9" w:rsidRPr="0067635F" w:rsidRDefault="00977DC9" w:rsidP="00977DC9">
      <w:pPr>
        <w:spacing w:after="0" w:line="240" w:lineRule="auto"/>
        <w:rPr>
          <w:rFonts w:ascii="Verdana" w:eastAsia="Times New Roman" w:hAnsi="Verdana" w:cs="Arial"/>
          <w:sz w:val="24"/>
          <w:szCs w:val="24"/>
          <w:lang w:eastAsia="es-ES"/>
        </w:rPr>
      </w:pPr>
    </w:p>
    <w:p w14:paraId="4A41291D" w14:textId="77777777" w:rsidR="00977DC9" w:rsidRPr="0067635F" w:rsidRDefault="00977DC9" w:rsidP="00977DC9">
      <w:pPr>
        <w:rPr>
          <w:rFonts w:ascii="Verdana" w:eastAsia="Aptos" w:hAnsi="Verdana" w:cs="Times New Roman"/>
        </w:rPr>
      </w:pPr>
    </w:p>
    <w:p w14:paraId="40D31799" w14:textId="77777777" w:rsidR="00977DC9" w:rsidRPr="0067635F" w:rsidRDefault="00977DC9" w:rsidP="00977DC9">
      <w:pPr>
        <w:rPr>
          <w:rFonts w:ascii="Verdana" w:hAnsi="Verdana"/>
        </w:rPr>
      </w:pPr>
    </w:p>
    <w:p w14:paraId="7D3D2F28" w14:textId="77777777" w:rsidR="00977DC9" w:rsidRPr="000E2B93" w:rsidRDefault="00977DC9" w:rsidP="00977DC9">
      <w:pPr>
        <w:spacing w:after="0" w:line="240" w:lineRule="auto"/>
        <w:textAlignment w:val="baseline"/>
        <w:rPr>
          <w:rFonts w:ascii="Verdana" w:eastAsia="Verdana" w:hAnsi="Verdana" w:cs="Verdana"/>
          <w:lang w:eastAsia="es-CO"/>
        </w:rPr>
      </w:pPr>
      <w:r w:rsidRPr="0067635F">
        <w:rPr>
          <w:rFonts w:ascii="Verdana" w:eastAsia="Verdana" w:hAnsi="Verdana" w:cs="Verdana"/>
          <w:lang w:eastAsia="es-CO"/>
        </w:rPr>
        <w:t> </w:t>
      </w:r>
    </w:p>
    <w:p w14:paraId="2F4704EC" w14:textId="77777777" w:rsidR="00977DC9" w:rsidRPr="000E2B93" w:rsidRDefault="00977DC9" w:rsidP="00977DC9">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5294A115" w14:textId="77777777" w:rsidR="00977DC9" w:rsidRPr="00AB4434" w:rsidRDefault="00977DC9" w:rsidP="00977DC9"/>
    <w:p w14:paraId="2AF48A2E" w14:textId="77777777" w:rsidR="00977DC9" w:rsidRPr="00E25B72" w:rsidRDefault="00977DC9" w:rsidP="00977DC9"/>
    <w:p w14:paraId="0745D9CA" w14:textId="77777777" w:rsidR="00977DC9" w:rsidRDefault="00977DC9"/>
    <w:sectPr w:rsidR="00977DC9" w:rsidSect="00977DC9">
      <w:headerReference w:type="default" r:id="rId33"/>
      <w:footerReference w:type="default" r:id="rId3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2AD58" w14:textId="77777777" w:rsidR="00324EC3" w:rsidRDefault="00324EC3" w:rsidP="00977DC9">
      <w:pPr>
        <w:spacing w:after="0" w:line="240" w:lineRule="auto"/>
      </w:pPr>
      <w:r>
        <w:separator/>
      </w:r>
    </w:p>
  </w:endnote>
  <w:endnote w:type="continuationSeparator" w:id="0">
    <w:p w14:paraId="72A30275" w14:textId="77777777" w:rsidR="00324EC3" w:rsidRDefault="00324EC3" w:rsidP="00977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Light">
    <w:altName w:val="Calibri"/>
    <w:charset w:val="00"/>
    <w:family w:val="modern"/>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6B5E" w14:textId="77777777" w:rsidR="00977DC9" w:rsidRDefault="00977DC9">
    <w:pPr>
      <w:pStyle w:val="Piedepgina"/>
    </w:pPr>
  </w:p>
  <w:p w14:paraId="1B11A900" w14:textId="77777777" w:rsidR="00977DC9" w:rsidRPr="00174B77" w:rsidRDefault="00977DC9"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F8D3327" w14:textId="77777777" w:rsidR="00977DC9" w:rsidRDefault="00977DC9"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6F023F4" w14:textId="77777777" w:rsidR="00977DC9" w:rsidRPr="00E41027" w:rsidRDefault="00977DC9"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35A017BD" w14:textId="77777777" w:rsidR="00977DC9" w:rsidRDefault="00977DC9"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A23DA" w14:textId="77777777" w:rsidR="00324EC3" w:rsidRDefault="00324EC3" w:rsidP="00977DC9">
      <w:pPr>
        <w:spacing w:after="0" w:line="240" w:lineRule="auto"/>
      </w:pPr>
      <w:r>
        <w:separator/>
      </w:r>
    </w:p>
  </w:footnote>
  <w:footnote w:type="continuationSeparator" w:id="0">
    <w:p w14:paraId="1FAF787F" w14:textId="77777777" w:rsidR="00324EC3" w:rsidRDefault="00324EC3" w:rsidP="00977DC9">
      <w:pPr>
        <w:spacing w:after="0" w:line="240" w:lineRule="auto"/>
      </w:pPr>
      <w:r>
        <w:continuationSeparator/>
      </w:r>
    </w:p>
  </w:footnote>
  <w:footnote w:id="1">
    <w:p w14:paraId="40A6BF0E" w14:textId="77777777" w:rsidR="00977DC9" w:rsidRPr="00235E30" w:rsidRDefault="00977DC9" w:rsidP="00977DC9">
      <w:pPr>
        <w:pStyle w:val="Textonotapie"/>
        <w:ind w:firstLine="709"/>
        <w:jc w:val="both"/>
        <w:rPr>
          <w:rFonts w:ascii="Verdana" w:hAnsi="Verdana" w:cs="Arial"/>
          <w:sz w:val="14"/>
          <w:szCs w:val="14"/>
          <w:lang w:val="es-ES"/>
        </w:rPr>
      </w:pPr>
      <w:r w:rsidRPr="00235E30">
        <w:rPr>
          <w:rStyle w:val="Refdenotaalpie"/>
          <w:rFonts w:ascii="Verdana" w:hAnsi="Verdana" w:cs="Arial"/>
          <w:sz w:val="14"/>
          <w:szCs w:val="14"/>
        </w:rPr>
        <w:footnoteRef/>
      </w:r>
      <w:r w:rsidRPr="00235E30">
        <w:rPr>
          <w:rFonts w:ascii="Verdana" w:hAnsi="Verdana" w:cs="Arial"/>
          <w:sz w:val="14"/>
          <w:szCs w:val="14"/>
        </w:rPr>
        <w:t xml:space="preserve"> </w:t>
      </w:r>
      <w:r w:rsidRPr="00235E30">
        <w:rPr>
          <w:rFonts w:ascii="Verdana" w:hAnsi="Verdana" w:cs="Arial"/>
          <w:sz w:val="14"/>
          <w:szCs w:val="14"/>
          <w:lang w:val="es-ES"/>
        </w:rPr>
        <w:t>BOBBIO, Norberto. Democracia y secreto. México: Fondo de Cultura Económica, 2013. p. 27.</w:t>
      </w:r>
    </w:p>
    <w:p w14:paraId="57FC4032" w14:textId="77777777" w:rsidR="00977DC9" w:rsidRPr="00235E30" w:rsidRDefault="00977DC9" w:rsidP="00977DC9">
      <w:pPr>
        <w:pStyle w:val="Textonotapie"/>
        <w:ind w:firstLine="709"/>
        <w:jc w:val="both"/>
        <w:rPr>
          <w:rFonts w:ascii="Verdana" w:hAnsi="Verdana" w:cs="Arial"/>
          <w:sz w:val="14"/>
          <w:szCs w:val="14"/>
          <w:lang w:val="es-ES"/>
        </w:rPr>
      </w:pPr>
    </w:p>
  </w:footnote>
  <w:footnote w:id="2">
    <w:p w14:paraId="077308AB" w14:textId="77777777" w:rsidR="00977DC9" w:rsidRPr="00235E30" w:rsidRDefault="00977DC9" w:rsidP="00977DC9">
      <w:pPr>
        <w:pStyle w:val="Textonotapie"/>
        <w:ind w:firstLine="709"/>
        <w:jc w:val="both"/>
        <w:rPr>
          <w:rFonts w:ascii="Verdana" w:hAnsi="Verdana" w:cs="Arial"/>
          <w:color w:val="000000" w:themeColor="text1"/>
          <w:sz w:val="14"/>
          <w:szCs w:val="14"/>
        </w:rPr>
      </w:pPr>
      <w:r w:rsidRPr="00235E30">
        <w:rPr>
          <w:rStyle w:val="Refdenotaalpie"/>
          <w:rFonts w:ascii="Verdana" w:hAnsi="Verdana" w:cs="Arial"/>
          <w:color w:val="000000" w:themeColor="text1"/>
          <w:sz w:val="14"/>
          <w:szCs w:val="14"/>
        </w:rPr>
        <w:footnoteRef/>
      </w:r>
      <w:r w:rsidRPr="00235E30">
        <w:rPr>
          <w:rFonts w:ascii="Verdana" w:hAnsi="Verdana"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320366D" w14:textId="77777777" w:rsidR="00977DC9" w:rsidRPr="00235E30" w:rsidRDefault="00977DC9" w:rsidP="00977DC9">
      <w:pPr>
        <w:pStyle w:val="Textonotapie"/>
        <w:ind w:firstLine="709"/>
        <w:jc w:val="both"/>
        <w:rPr>
          <w:rFonts w:ascii="Verdana" w:hAnsi="Verdana" w:cs="Arial"/>
          <w:color w:val="000000" w:themeColor="text1"/>
          <w:sz w:val="14"/>
          <w:szCs w:val="14"/>
        </w:rPr>
      </w:pPr>
      <w:r w:rsidRPr="00235E30">
        <w:rPr>
          <w:rFonts w:ascii="Verdana" w:hAnsi="Verdana" w:cs="Arial"/>
          <w:color w:val="000000" w:themeColor="text1"/>
          <w:sz w:val="14"/>
          <w:szCs w:val="14"/>
        </w:rPr>
        <w:t>Lo anterior, sin perjuicio de las publicaciones previstas en el numeral 3 del artículo 30 de la Ley 80 de 1993.</w:t>
      </w:r>
    </w:p>
    <w:p w14:paraId="65D4EE2B" w14:textId="77777777" w:rsidR="00977DC9" w:rsidRPr="00235E30" w:rsidRDefault="00977DC9" w:rsidP="00977DC9">
      <w:pPr>
        <w:pStyle w:val="Textonotapie"/>
        <w:ind w:firstLine="709"/>
        <w:jc w:val="both"/>
        <w:rPr>
          <w:rFonts w:ascii="Verdana" w:hAnsi="Verdana" w:cs="Arial"/>
          <w:color w:val="000000" w:themeColor="text1"/>
          <w:sz w:val="14"/>
          <w:szCs w:val="14"/>
        </w:rPr>
      </w:pPr>
      <w:r w:rsidRPr="00235E30">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Secop, el cual: </w:t>
      </w:r>
    </w:p>
    <w:p w14:paraId="34C1DED5" w14:textId="77777777" w:rsidR="00977DC9" w:rsidRPr="00235E30" w:rsidRDefault="00977DC9" w:rsidP="00977DC9">
      <w:pPr>
        <w:pStyle w:val="Textonotapie"/>
        <w:ind w:firstLine="709"/>
        <w:jc w:val="both"/>
        <w:rPr>
          <w:rFonts w:ascii="Verdana" w:hAnsi="Verdana" w:cs="Arial"/>
          <w:color w:val="000000" w:themeColor="text1"/>
          <w:sz w:val="14"/>
          <w:szCs w:val="14"/>
        </w:rPr>
      </w:pPr>
      <w:r w:rsidRPr="00235E30">
        <w:rPr>
          <w:rFonts w:ascii="Verdana" w:hAnsi="Verdana" w:cs="Arial"/>
          <w:color w:val="000000" w:themeColor="text1"/>
          <w:sz w:val="14"/>
          <w:szCs w:val="14"/>
        </w:rPr>
        <w:t>[…]</w:t>
      </w:r>
    </w:p>
    <w:p w14:paraId="0C8E6AD9" w14:textId="77777777" w:rsidR="00977DC9" w:rsidRPr="00235E30" w:rsidRDefault="00977DC9" w:rsidP="00977DC9">
      <w:pPr>
        <w:pStyle w:val="Textonotapie"/>
        <w:ind w:firstLine="709"/>
        <w:jc w:val="both"/>
        <w:rPr>
          <w:rFonts w:ascii="Verdana" w:hAnsi="Verdana" w:cs="Arial"/>
          <w:color w:val="000000" w:themeColor="text1"/>
          <w:sz w:val="14"/>
          <w:szCs w:val="14"/>
        </w:rPr>
      </w:pPr>
      <w:r w:rsidRPr="00235E30">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4EA5B5A9" w14:textId="77777777" w:rsidR="00977DC9" w:rsidRPr="00235E30" w:rsidRDefault="00977DC9" w:rsidP="00977DC9">
      <w:pPr>
        <w:pStyle w:val="Textonotapie"/>
        <w:ind w:firstLine="709"/>
        <w:jc w:val="both"/>
        <w:rPr>
          <w:rFonts w:ascii="Verdana" w:hAnsi="Verdana" w:cs="Arial"/>
          <w:color w:val="000000" w:themeColor="text1"/>
          <w:sz w:val="14"/>
          <w:szCs w:val="14"/>
          <w:lang w:val="es-CO"/>
        </w:rPr>
      </w:pPr>
    </w:p>
  </w:footnote>
  <w:footnote w:id="3">
    <w:p w14:paraId="46370264" w14:textId="77777777" w:rsidR="00977DC9" w:rsidRPr="00235E30" w:rsidRDefault="00977DC9" w:rsidP="00977DC9">
      <w:pPr>
        <w:pStyle w:val="Textonotapie"/>
        <w:ind w:firstLine="709"/>
        <w:jc w:val="both"/>
        <w:rPr>
          <w:rFonts w:ascii="Verdana" w:hAnsi="Verdana" w:cs="Arial"/>
          <w:color w:val="000000" w:themeColor="text1"/>
          <w:sz w:val="14"/>
          <w:szCs w:val="14"/>
        </w:rPr>
      </w:pPr>
      <w:r w:rsidRPr="00235E30">
        <w:rPr>
          <w:rStyle w:val="Refdenotaalpie"/>
          <w:rFonts w:ascii="Verdana" w:hAnsi="Verdana" w:cs="Arial"/>
          <w:color w:val="000000" w:themeColor="text1"/>
          <w:sz w:val="14"/>
          <w:szCs w:val="14"/>
        </w:rPr>
        <w:footnoteRef/>
      </w:r>
      <w:r w:rsidRPr="00235E30">
        <w:rPr>
          <w:rFonts w:ascii="Verdana" w:hAnsi="Verdana" w:cs="Arial"/>
          <w:color w:val="000000" w:themeColor="text1"/>
          <w:sz w:val="14"/>
          <w:szCs w:val="14"/>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476382AE" w14:textId="77777777" w:rsidR="00977DC9" w:rsidRPr="00235E30" w:rsidRDefault="00977DC9" w:rsidP="00977DC9">
      <w:pPr>
        <w:pStyle w:val="Textonotapie"/>
        <w:ind w:firstLine="709"/>
        <w:jc w:val="both"/>
        <w:rPr>
          <w:rFonts w:ascii="Verdana" w:hAnsi="Verdana" w:cs="Arial"/>
          <w:color w:val="000000" w:themeColor="text1"/>
          <w:sz w:val="14"/>
          <w:szCs w:val="14"/>
          <w:lang w:val="es-CO"/>
        </w:rPr>
      </w:pPr>
    </w:p>
  </w:footnote>
  <w:footnote w:id="4">
    <w:p w14:paraId="4F992A92" w14:textId="77777777" w:rsidR="00977DC9" w:rsidRPr="00235E30" w:rsidRDefault="00977DC9" w:rsidP="00977DC9">
      <w:pPr>
        <w:pStyle w:val="Textonotapie"/>
        <w:ind w:firstLine="709"/>
        <w:jc w:val="both"/>
        <w:rPr>
          <w:rFonts w:ascii="Verdana" w:hAnsi="Verdana" w:cs="Arial"/>
          <w:color w:val="000000" w:themeColor="text1"/>
          <w:sz w:val="14"/>
          <w:szCs w:val="14"/>
        </w:rPr>
      </w:pPr>
      <w:r w:rsidRPr="00235E30">
        <w:rPr>
          <w:rStyle w:val="Refdenotaalpie"/>
          <w:rFonts w:ascii="Verdana" w:hAnsi="Verdana" w:cs="Arial"/>
          <w:color w:val="000000" w:themeColor="text1"/>
          <w:sz w:val="14"/>
          <w:szCs w:val="14"/>
        </w:rPr>
        <w:footnoteRef/>
      </w:r>
      <w:r w:rsidRPr="00235E30">
        <w:rPr>
          <w:rFonts w:ascii="Verdana" w:hAnsi="Verdana" w:cs="Arial"/>
          <w:color w:val="000000" w:themeColor="text1"/>
          <w:sz w:val="14"/>
          <w:szCs w:val="14"/>
        </w:rPr>
        <w:t xml:space="preserve"> Ley 1712 de 2014: “Artículo 5. Ámbito de aplicación. Las disposiciones de esta ley serán aplicables a las siguientes personas en calidad de sujetos obligados: </w:t>
      </w:r>
    </w:p>
    <w:p w14:paraId="42030951" w14:textId="77777777" w:rsidR="00977DC9" w:rsidRPr="00235E30" w:rsidRDefault="00977DC9" w:rsidP="00977DC9">
      <w:pPr>
        <w:pStyle w:val="Textonotapie"/>
        <w:ind w:firstLine="709"/>
        <w:jc w:val="both"/>
        <w:rPr>
          <w:rFonts w:ascii="Verdana" w:hAnsi="Verdana" w:cs="Arial"/>
          <w:color w:val="000000" w:themeColor="text1"/>
          <w:sz w:val="14"/>
          <w:szCs w:val="14"/>
        </w:rPr>
      </w:pPr>
      <w:r w:rsidRPr="00235E30">
        <w:rPr>
          <w:rFonts w:ascii="Verdana" w:hAnsi="Verdana" w:cs="Arial"/>
          <w:color w:val="000000" w:themeColor="text1"/>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09893FF2" w14:textId="77777777" w:rsidR="00977DC9" w:rsidRPr="00235E30" w:rsidRDefault="00977DC9" w:rsidP="00977DC9">
      <w:pPr>
        <w:pStyle w:val="Textonotapie"/>
        <w:ind w:firstLine="709"/>
        <w:jc w:val="both"/>
        <w:rPr>
          <w:rFonts w:ascii="Verdana" w:hAnsi="Verdana" w:cs="Arial"/>
          <w:color w:val="000000" w:themeColor="text1"/>
          <w:sz w:val="14"/>
          <w:szCs w:val="14"/>
          <w:lang w:val="es-CO"/>
        </w:rPr>
      </w:pPr>
    </w:p>
  </w:footnote>
  <w:footnote w:id="5">
    <w:p w14:paraId="7166E062" w14:textId="77777777" w:rsidR="00977DC9" w:rsidRPr="00235E30" w:rsidRDefault="00977DC9" w:rsidP="00977DC9">
      <w:pPr>
        <w:pStyle w:val="Textonotapie"/>
        <w:ind w:firstLine="709"/>
        <w:jc w:val="both"/>
        <w:rPr>
          <w:rFonts w:ascii="Verdana" w:hAnsi="Verdana" w:cs="Arial"/>
          <w:color w:val="000000" w:themeColor="text1"/>
          <w:sz w:val="14"/>
          <w:szCs w:val="14"/>
        </w:rPr>
      </w:pPr>
      <w:r w:rsidRPr="00235E30">
        <w:rPr>
          <w:rFonts w:ascii="Verdana" w:eastAsia="Times New Roman" w:hAnsi="Verdana" w:cs="Arial"/>
          <w:color w:val="000000" w:themeColor="text1"/>
          <w:sz w:val="14"/>
          <w:szCs w:val="14"/>
          <w:vertAlign w:val="superscript"/>
          <w:lang w:val="es-ES" w:eastAsia="es-ES"/>
        </w:rPr>
        <w:footnoteRef/>
      </w:r>
      <w:r w:rsidRPr="00235E30">
        <w:rPr>
          <w:rFonts w:ascii="Verdana" w:eastAsia="Times New Roman" w:hAnsi="Verdana" w:cs="Arial"/>
          <w:color w:val="000000" w:themeColor="text1"/>
          <w:sz w:val="14"/>
          <w:szCs w:val="14"/>
          <w:vertAlign w:val="superscript"/>
          <w:lang w:val="es-ES" w:eastAsia="es-ES"/>
        </w:rPr>
        <w:t xml:space="preserve"> </w:t>
      </w:r>
      <w:r w:rsidRPr="00235E30">
        <w:rPr>
          <w:rFonts w:ascii="Verdana" w:eastAsia="Times New Roman" w:hAnsi="Verdana" w:cs="Arial"/>
          <w:color w:val="000000" w:themeColor="text1"/>
          <w:sz w:val="14"/>
          <w:szCs w:val="14"/>
          <w:lang w:val="es-ES" w:eastAsia="es-ES"/>
        </w:rPr>
        <w:t>“</w:t>
      </w:r>
      <w:r w:rsidRPr="00235E30">
        <w:rPr>
          <w:rFonts w:ascii="Verdana" w:hAnsi="Verdana" w:cs="Arial"/>
          <w:color w:val="000000" w:themeColor="text1"/>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2BAF5A8" w14:textId="77777777" w:rsidR="00977DC9" w:rsidRPr="00235E30" w:rsidRDefault="00977DC9" w:rsidP="00977DC9">
      <w:pPr>
        <w:pStyle w:val="Textonotapie"/>
        <w:ind w:firstLine="709"/>
        <w:jc w:val="both"/>
        <w:rPr>
          <w:rFonts w:ascii="Verdana" w:eastAsia="Times New Roman" w:hAnsi="Verdana" w:cs="Arial"/>
          <w:color w:val="000000" w:themeColor="text1"/>
          <w:sz w:val="14"/>
          <w:szCs w:val="14"/>
          <w:lang w:val="es-ES" w:eastAsia="es-ES"/>
        </w:rPr>
      </w:pPr>
      <w:r w:rsidRPr="00235E30">
        <w:rPr>
          <w:rFonts w:ascii="Verdana" w:hAnsi="Verdana" w:cs="Arial"/>
          <w:color w:val="000000" w:themeColor="text1"/>
          <w:sz w:val="14"/>
          <w:szCs w:val="14"/>
        </w:rPr>
        <w:t>[…].</w:t>
      </w:r>
    </w:p>
    <w:p w14:paraId="296EF0CB" w14:textId="77777777" w:rsidR="00977DC9" w:rsidRPr="00235E30" w:rsidRDefault="00977DC9" w:rsidP="00977DC9">
      <w:pPr>
        <w:pStyle w:val="Textonotapie"/>
        <w:ind w:firstLine="709"/>
        <w:jc w:val="both"/>
        <w:rPr>
          <w:rFonts w:ascii="Verdana" w:eastAsia="Times New Roman" w:hAnsi="Verdana" w:cs="Arial"/>
          <w:color w:val="000000" w:themeColor="text1"/>
          <w:sz w:val="14"/>
          <w:szCs w:val="14"/>
          <w:lang w:val="es-ES" w:eastAsia="es-ES"/>
        </w:rPr>
      </w:pPr>
      <w:r w:rsidRPr="00235E30">
        <w:rPr>
          <w:rFonts w:ascii="Verdana" w:eastAsia="Times New Roman" w:hAnsi="Verdana" w:cs="Arial"/>
          <w:color w:val="000000" w:themeColor="text1"/>
          <w:sz w:val="14"/>
          <w:szCs w:val="14"/>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0186F85" w14:textId="77777777" w:rsidR="00977DC9" w:rsidRPr="00235E30" w:rsidRDefault="00977DC9" w:rsidP="00977DC9">
      <w:pPr>
        <w:pStyle w:val="Textonotapie"/>
        <w:ind w:firstLine="709"/>
        <w:jc w:val="both"/>
        <w:rPr>
          <w:rFonts w:ascii="Verdana" w:eastAsia="Times New Roman" w:hAnsi="Verdana" w:cs="Arial"/>
          <w:color w:val="000000" w:themeColor="text1"/>
          <w:sz w:val="14"/>
          <w:szCs w:val="14"/>
          <w:lang w:val="es-ES" w:eastAsia="es-ES"/>
        </w:rPr>
      </w:pPr>
    </w:p>
  </w:footnote>
  <w:footnote w:id="6">
    <w:p w14:paraId="647AF7A3" w14:textId="77777777" w:rsidR="00977DC9" w:rsidRPr="00235E30" w:rsidRDefault="00977DC9" w:rsidP="00977DC9">
      <w:pPr>
        <w:pStyle w:val="Textonotapie"/>
        <w:ind w:firstLine="709"/>
        <w:jc w:val="both"/>
        <w:rPr>
          <w:rFonts w:ascii="Verdana" w:hAnsi="Verdana" w:cs="Arial"/>
          <w:color w:val="000000"/>
          <w:sz w:val="14"/>
          <w:szCs w:val="14"/>
        </w:rPr>
      </w:pPr>
      <w:r w:rsidRPr="00235E30">
        <w:rPr>
          <w:rStyle w:val="Refdenotaalpie"/>
          <w:rFonts w:ascii="Verdana" w:hAnsi="Verdana" w:cs="Arial"/>
          <w:color w:val="000000"/>
          <w:sz w:val="14"/>
          <w:szCs w:val="14"/>
        </w:rPr>
        <w:footnoteRef/>
      </w:r>
      <w:r w:rsidRPr="00235E30">
        <w:rPr>
          <w:rFonts w:ascii="Verdana" w:hAnsi="Verdana" w:cs="Arial"/>
          <w:color w:val="000000"/>
          <w:sz w:val="14"/>
          <w:szCs w:val="14"/>
        </w:rPr>
        <w:t xml:space="preserve"> C</w:t>
      </w:r>
      <w:r w:rsidRPr="00235E30">
        <w:rPr>
          <w:rFonts w:ascii="Verdana" w:eastAsia="Times New Roman" w:hAnsi="Verdana" w:cs="Arial"/>
          <w:color w:val="000000"/>
          <w:sz w:val="14"/>
          <w:szCs w:val="14"/>
          <w:lang w:val="es-ES" w:eastAsia="es-ES"/>
        </w:rPr>
        <w:t>orte Constitucional. Sentencia C‒274 de 9 de mayo de 2013. M.P. Mar</w:t>
      </w:r>
      <w:r w:rsidRPr="00235E30">
        <w:rPr>
          <w:rFonts w:ascii="Verdana" w:eastAsia="Times New Roman" w:hAnsi="Verdana" w:cs="Century Gothic"/>
          <w:color w:val="000000"/>
          <w:sz w:val="14"/>
          <w:szCs w:val="14"/>
          <w:lang w:val="es-ES" w:eastAsia="es-ES"/>
        </w:rPr>
        <w:t>í</w:t>
      </w:r>
      <w:r w:rsidRPr="00235E30">
        <w:rPr>
          <w:rFonts w:ascii="Verdana" w:eastAsia="Times New Roman" w:hAnsi="Verdana" w:cs="Arial"/>
          <w:color w:val="000000"/>
          <w:sz w:val="14"/>
          <w:szCs w:val="14"/>
          <w:lang w:val="es-ES" w:eastAsia="es-ES"/>
        </w:rPr>
        <w:t xml:space="preserve">a Victoria Calle Correa. </w:t>
      </w:r>
    </w:p>
    <w:p w14:paraId="5C7B1C81" w14:textId="77777777" w:rsidR="00977DC9" w:rsidRPr="00235E30" w:rsidRDefault="00977DC9" w:rsidP="00977DC9">
      <w:pPr>
        <w:pStyle w:val="Textonotapie"/>
        <w:ind w:firstLine="709"/>
        <w:jc w:val="both"/>
        <w:rPr>
          <w:rFonts w:ascii="Verdana" w:hAnsi="Verdana" w:cs="Arial"/>
          <w:color w:val="000000"/>
          <w:sz w:val="14"/>
          <w:szCs w:val="14"/>
          <w:lang w:val="es-CO"/>
        </w:rPr>
      </w:pPr>
    </w:p>
  </w:footnote>
  <w:footnote w:id="7">
    <w:p w14:paraId="7A01571A" w14:textId="77777777" w:rsidR="00977DC9" w:rsidRPr="00235E30" w:rsidRDefault="00977DC9" w:rsidP="00977DC9">
      <w:pPr>
        <w:pStyle w:val="Textonotapie"/>
        <w:ind w:firstLine="709"/>
        <w:jc w:val="both"/>
        <w:rPr>
          <w:rFonts w:ascii="Verdana" w:hAnsi="Verdana" w:cs="Arial"/>
          <w:color w:val="000000"/>
          <w:sz w:val="14"/>
          <w:szCs w:val="14"/>
        </w:rPr>
      </w:pPr>
      <w:r w:rsidRPr="00235E30">
        <w:rPr>
          <w:rStyle w:val="Refdenotaalpie"/>
          <w:rFonts w:ascii="Verdana" w:hAnsi="Verdana" w:cs="Arial"/>
          <w:color w:val="000000"/>
          <w:sz w:val="14"/>
          <w:szCs w:val="14"/>
        </w:rPr>
        <w:footnoteRef/>
      </w:r>
      <w:r w:rsidRPr="00235E30">
        <w:rPr>
          <w:rFonts w:ascii="Verdana" w:hAnsi="Verdana" w:cs="Arial"/>
          <w:color w:val="000000"/>
          <w:sz w:val="14"/>
          <w:szCs w:val="14"/>
        </w:rPr>
        <w:t xml:space="preserve"> Decreto 4170 de 2011: “Artículo 3. Funciones: La Agencia Nacional de Contratación Pública –Colombia Compra Eficiente– ejercerá las siguientes funciones: [...]</w:t>
      </w:r>
    </w:p>
    <w:p w14:paraId="20778346" w14:textId="77777777" w:rsidR="00977DC9" w:rsidRPr="00235E30" w:rsidRDefault="00977DC9" w:rsidP="00977DC9">
      <w:pPr>
        <w:pStyle w:val="Textonotapie"/>
        <w:ind w:firstLine="709"/>
        <w:jc w:val="both"/>
        <w:rPr>
          <w:rFonts w:ascii="Verdana" w:hAnsi="Verdana" w:cs="Arial"/>
          <w:color w:val="000000"/>
          <w:sz w:val="14"/>
          <w:szCs w:val="14"/>
        </w:rPr>
      </w:pPr>
      <w:r w:rsidRPr="00235E30">
        <w:rPr>
          <w:rFonts w:ascii="Verdana" w:hAnsi="Verdana" w:cs="Arial"/>
          <w:color w:val="000000"/>
          <w:sz w:val="14"/>
          <w:szCs w:val="14"/>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3CD9A" w14:textId="77777777" w:rsidR="00977DC9" w:rsidRDefault="00977DC9"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C4781AA" wp14:editId="0E4655D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B57CEFB" wp14:editId="32AC3DA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B23571F" w14:textId="77777777" w:rsidR="00977DC9" w:rsidRDefault="00977DC9">
    <w:pPr>
      <w:pStyle w:val="Encabezado"/>
    </w:pPr>
  </w:p>
  <w:p w14:paraId="75D239B8" w14:textId="77777777" w:rsidR="00977DC9" w:rsidRPr="004A305D" w:rsidRDefault="00977DC9" w:rsidP="00B01B1A">
    <w:pPr>
      <w:spacing w:after="0" w:line="120" w:lineRule="auto"/>
      <w:rPr>
        <w:rFonts w:ascii="Century Gothic" w:eastAsia="Geo" w:hAnsi="Century Gothic" w:cs="Geo"/>
        <w:sz w:val="16"/>
        <w:szCs w:val="16"/>
        <w:lang w:eastAsia="es-CO"/>
      </w:rPr>
    </w:pPr>
  </w:p>
  <w:p w14:paraId="1CFD328B" w14:textId="77777777" w:rsidR="00977DC9" w:rsidRDefault="00977DC9" w:rsidP="00844AE9">
    <w:pPr>
      <w:spacing w:after="0" w:line="240" w:lineRule="auto"/>
      <w:rPr>
        <w:rFonts w:ascii="Verdana" w:hAnsi="Verdana"/>
        <w:sz w:val="24"/>
        <w:szCs w:val="24"/>
      </w:rPr>
    </w:pPr>
  </w:p>
  <w:p w14:paraId="3888CB26" w14:textId="77777777" w:rsidR="00977DC9" w:rsidRPr="00C925AC" w:rsidRDefault="00977DC9" w:rsidP="00844AE9">
    <w:pPr>
      <w:spacing w:after="0" w:line="240" w:lineRule="auto"/>
      <w:rPr>
        <w:rFonts w:ascii="Verdana" w:hAnsi="Verdana"/>
        <w:sz w:val="24"/>
        <w:szCs w:val="24"/>
      </w:rPr>
    </w:pPr>
  </w:p>
  <w:p w14:paraId="72E643AC" w14:textId="77777777" w:rsidR="00977DC9" w:rsidRPr="00C925AC" w:rsidRDefault="00977DC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8874289">
    <w:abstractNumId w:val="0"/>
  </w:num>
  <w:num w:numId="2" w16cid:durableId="1390887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DC9"/>
    <w:rsid w:val="000C2D2E"/>
    <w:rsid w:val="000F4751"/>
    <w:rsid w:val="001C449B"/>
    <w:rsid w:val="00324EC3"/>
    <w:rsid w:val="005709D3"/>
    <w:rsid w:val="005E24DE"/>
    <w:rsid w:val="0076218A"/>
    <w:rsid w:val="00977DC9"/>
    <w:rsid w:val="00F554C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6F46C"/>
  <w15:chartTrackingRefBased/>
  <w15:docId w15:val="{B89C5C09-53BA-4A81-A64F-2BB02E542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DC9"/>
    <w:pPr>
      <w:spacing w:line="259" w:lineRule="auto"/>
    </w:pPr>
    <w:rPr>
      <w:kern w:val="0"/>
      <w:sz w:val="22"/>
      <w:szCs w:val="22"/>
      <w14:ligatures w14:val="none"/>
    </w:rPr>
  </w:style>
  <w:style w:type="paragraph" w:styleId="Ttulo1">
    <w:name w:val="heading 1"/>
    <w:basedOn w:val="Normal"/>
    <w:next w:val="Normal"/>
    <w:link w:val="Ttulo1Car"/>
    <w:uiPriority w:val="9"/>
    <w:qFormat/>
    <w:rsid w:val="00977D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77D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77DC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77DC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77DC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77DC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77DC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77DC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77DC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77DC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77DC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77DC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77DC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77DC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77DC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77DC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77DC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77DC9"/>
    <w:rPr>
      <w:rFonts w:eastAsiaTheme="majorEastAsia" w:cstheme="majorBidi"/>
      <w:color w:val="272727" w:themeColor="text1" w:themeTint="D8"/>
    </w:rPr>
  </w:style>
  <w:style w:type="paragraph" w:styleId="Ttulo">
    <w:name w:val="Title"/>
    <w:basedOn w:val="Normal"/>
    <w:next w:val="Normal"/>
    <w:link w:val="TtuloCar"/>
    <w:uiPriority w:val="10"/>
    <w:qFormat/>
    <w:rsid w:val="00977D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77DC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77DC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77DC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77DC9"/>
    <w:pPr>
      <w:spacing w:before="160"/>
      <w:jc w:val="center"/>
    </w:pPr>
    <w:rPr>
      <w:i/>
      <w:iCs/>
      <w:color w:val="404040" w:themeColor="text1" w:themeTint="BF"/>
    </w:rPr>
  </w:style>
  <w:style w:type="character" w:customStyle="1" w:styleId="CitaCar">
    <w:name w:val="Cita Car"/>
    <w:basedOn w:val="Fuentedeprrafopredeter"/>
    <w:link w:val="Cita"/>
    <w:uiPriority w:val="29"/>
    <w:rsid w:val="00977DC9"/>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77DC9"/>
    <w:pPr>
      <w:ind w:left="720"/>
      <w:contextualSpacing/>
    </w:pPr>
  </w:style>
  <w:style w:type="character" w:styleId="nfasisintenso">
    <w:name w:val="Intense Emphasis"/>
    <w:basedOn w:val="Fuentedeprrafopredeter"/>
    <w:uiPriority w:val="21"/>
    <w:qFormat/>
    <w:rsid w:val="00977DC9"/>
    <w:rPr>
      <w:i/>
      <w:iCs/>
      <w:color w:val="0F4761" w:themeColor="accent1" w:themeShade="BF"/>
    </w:rPr>
  </w:style>
  <w:style w:type="paragraph" w:styleId="Citadestacada">
    <w:name w:val="Intense Quote"/>
    <w:basedOn w:val="Normal"/>
    <w:next w:val="Normal"/>
    <w:link w:val="CitadestacadaCar"/>
    <w:uiPriority w:val="30"/>
    <w:qFormat/>
    <w:rsid w:val="00977D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77DC9"/>
    <w:rPr>
      <w:i/>
      <w:iCs/>
      <w:color w:val="0F4761" w:themeColor="accent1" w:themeShade="BF"/>
    </w:rPr>
  </w:style>
  <w:style w:type="character" w:styleId="Referenciaintensa">
    <w:name w:val="Intense Reference"/>
    <w:basedOn w:val="Fuentedeprrafopredeter"/>
    <w:uiPriority w:val="32"/>
    <w:qFormat/>
    <w:rsid w:val="00977DC9"/>
    <w:rPr>
      <w:b/>
      <w:bCs/>
      <w:smallCaps/>
      <w:color w:val="0F4761" w:themeColor="accent1" w:themeShade="BF"/>
      <w:spacing w:val="5"/>
    </w:rPr>
  </w:style>
  <w:style w:type="paragraph" w:styleId="Encabezado">
    <w:name w:val="header"/>
    <w:basedOn w:val="Normal"/>
    <w:link w:val="EncabezadoCar"/>
    <w:uiPriority w:val="99"/>
    <w:unhideWhenUsed/>
    <w:rsid w:val="00977DC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77DC9"/>
    <w:rPr>
      <w:kern w:val="0"/>
      <w:sz w:val="22"/>
      <w:szCs w:val="22"/>
      <w14:ligatures w14:val="none"/>
    </w:rPr>
  </w:style>
  <w:style w:type="paragraph" w:styleId="Piedepgina">
    <w:name w:val="footer"/>
    <w:basedOn w:val="Normal"/>
    <w:link w:val="PiedepginaCar"/>
    <w:uiPriority w:val="99"/>
    <w:unhideWhenUsed/>
    <w:rsid w:val="00977DC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77DC9"/>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77DC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77DC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77DC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77DC9"/>
    <w:rPr>
      <w:vertAlign w:val="superscript"/>
    </w:rPr>
  </w:style>
  <w:style w:type="table" w:styleId="Tablaconcuadrcula">
    <w:name w:val="Table Grid"/>
    <w:basedOn w:val="Tablanormal"/>
    <w:uiPriority w:val="39"/>
    <w:qFormat/>
    <w:rsid w:val="00977DC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77DC9"/>
    <w:rPr>
      <w:color w:val="0000FF"/>
      <w:u w:val="single"/>
    </w:rPr>
  </w:style>
  <w:style w:type="paragraph" w:styleId="NormalWeb">
    <w:name w:val="Normal (Web)"/>
    <w:basedOn w:val="Normal"/>
    <w:uiPriority w:val="99"/>
    <w:unhideWhenUsed/>
    <w:rsid w:val="00977DC9"/>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977DC9"/>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77DC9"/>
  </w:style>
  <w:style w:type="table" w:customStyle="1" w:styleId="Tablaconcuadrcula11">
    <w:name w:val="Tabla con cuadrícula11"/>
    <w:basedOn w:val="Tablanormal"/>
    <w:next w:val="Tablaconcuadrcula"/>
    <w:uiPriority w:val="59"/>
    <w:qFormat/>
    <w:rsid w:val="00977DC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3">
    <w:name w:val="Grid Table 4 Accent 3"/>
    <w:basedOn w:val="Tablanormal"/>
    <w:uiPriority w:val="49"/>
    <w:rsid w:val="00977DC9"/>
    <w:pPr>
      <w:spacing w:after="0" w:line="240" w:lineRule="auto"/>
    </w:pPr>
    <w:rPr>
      <w:sz w:val="22"/>
      <w:szCs w:val="22"/>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lombiacompra.gov.co/archivos/circular/circular-externa-002-de-2022-obligatoriedad-en-el-uso-del-secop-ii-para-la-vigencia-fiscal-de-2022" TargetMode="External"/><Relationship Id="rId18" Type="http://schemas.openxmlformats.org/officeDocument/2006/relationships/hyperlink" Target="https://www.colombiacompra.gov.co/archivos/circular/circular-externa-no-1-agosto-22-de-2019" TargetMode="External"/><Relationship Id="rId26" Type="http://schemas.openxmlformats.org/officeDocument/2006/relationships/hyperlink" Target="https://operaciones.colombiacompra.gov.co/content/circular-externa-001-de-2025" TargetMode="External"/><Relationship Id="rId3" Type="http://schemas.openxmlformats.org/officeDocument/2006/relationships/settings" Target="settings.xml"/><Relationship Id="rId21" Type="http://schemas.openxmlformats.org/officeDocument/2006/relationships/hyperlink" Target="https://www.colombiacompra.gov.co/archivos/circular/circular-01-2021" TargetMode="External"/><Relationship Id="rId34"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www.colombiacompra.gov.co/archivos/circular/circular-01-2021" TargetMode="External"/><Relationship Id="rId17" Type="http://schemas.openxmlformats.org/officeDocument/2006/relationships/hyperlink" Target="https://operaciones.colombiacompra.gov.co/content/circular-externa-001-de-2025" TargetMode="External"/><Relationship Id="rId25" Type="http://schemas.openxmlformats.org/officeDocument/2006/relationships/hyperlink" Target="https://www.colombiacompra.gov.co/archivos/circular/circular-externa-no-003-obligatoriedad-secop-ii-2024-2025"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olombiacompra.gov.co/archivos/circular/circular-externa-no-003-obligatoriedad-secop-ii-2024-2025" TargetMode="External"/><Relationship Id="rId20" Type="http://schemas.openxmlformats.org/officeDocument/2006/relationships/hyperlink" Target="https://www.colombiacompra.gov.co/archivos/circular/circular-3" TargetMode="External"/><Relationship Id="rId29"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archivos/circular/circular-3" TargetMode="External"/><Relationship Id="rId24" Type="http://schemas.openxmlformats.org/officeDocument/2006/relationships/hyperlink" Target="https://www.colombiacompra.gov.co/archivos/circular/circular-externa-no-005-2023" TargetMode="External"/><Relationship Id="rId32"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www.colombiacompra.gov.co/archivos/circular/circular-externa-no-005-2023" TargetMode="External"/><Relationship Id="rId23" Type="http://schemas.openxmlformats.org/officeDocument/2006/relationships/hyperlink" Target="https://www.colombiacompra.gov.co/archivos/circular/circular-externa-no-005-2022" TargetMode="External"/><Relationship Id="rId28"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36" Type="http://schemas.openxmlformats.org/officeDocument/2006/relationships/theme" Target="theme/theme1.xml"/><Relationship Id="rId10" Type="http://schemas.openxmlformats.org/officeDocument/2006/relationships/hyperlink" Target="https://www.colombiacompra.gov.co/archivos/circular/circular-3" TargetMode="External"/><Relationship Id="rId19" Type="http://schemas.openxmlformats.org/officeDocument/2006/relationships/hyperlink" Target="https://www.colombiacompra.gov.co/archivos/circular/circular-3" TargetMode="External"/><Relationship Id="rId31" Type="http://schemas.openxmlformats.org/officeDocument/2006/relationships/hyperlink" Target="https://www.colombiacompra.gov.co/archivos/boletin/boletin-edicion-n-3-de-2026-radar-de-la-compra-publica" TargetMode="External"/><Relationship Id="rId4" Type="http://schemas.openxmlformats.org/officeDocument/2006/relationships/webSettings" Target="webSettings.xml"/><Relationship Id="rId9" Type="http://schemas.openxmlformats.org/officeDocument/2006/relationships/hyperlink" Target="https://www.colombiacompra.gov.co/archivos/circular/circular-externa-no-1-agosto-22-de-2019" TargetMode="External"/><Relationship Id="rId14" Type="http://schemas.openxmlformats.org/officeDocument/2006/relationships/hyperlink" Target="https://www.colombiacompra.gov.co/archivos/circular/circular-externa-no-005-2022" TargetMode="External"/><Relationship Id="rId22" Type="http://schemas.openxmlformats.org/officeDocument/2006/relationships/hyperlink" Target="https://www.colombiacompra.gov.co/archivos/circular/circular-externa-002-de-2022-obligatoriedad-en-el-uso-del-secop-ii-para-la-vigencia-fiscal-de-2022" TargetMode="External"/><Relationship Id="rId27" Type="http://schemas.openxmlformats.org/officeDocument/2006/relationships/hyperlink" Target="https://www.colombiacompra.gov.co/normativa-y-relatoria/conoce-la-relatoria" TargetMode="External"/><Relationship Id="rId30"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35" Type="http://schemas.openxmlformats.org/officeDocument/2006/relationships/fontTable" Target="fontTable.xml"/><Relationship Id="rId8" Type="http://schemas.openxmlformats.org/officeDocument/2006/relationships/hyperlink" Target="mailto:danna.gamboac@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17</Pages>
  <Words>5933</Words>
  <Characters>32637</Characters>
  <Application>Microsoft Office Word</Application>
  <DocSecurity>0</DocSecurity>
  <Lines>271</Lines>
  <Paragraphs>76</Paragraphs>
  <ScaleCrop>false</ScaleCrop>
  <Company/>
  <LinksUpToDate>false</LinksUpToDate>
  <CharactersWithSpaces>38494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Betty Elena Díaz Fernandez</cp:lastModifiedBy>
  <cp:revision>4</cp:revision>
  <dcterms:created xsi:type="dcterms:W3CDTF">2026-10-29T23:06:00Z</dcterms:created>
  <dcterms:modified xsi:type="dcterms:W3CDTF">2026-11-05T02:12:00Z</dcterms:modified>
</cp:coreProperties>
</file>