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68DD9F" w14:textId="77777777" w:rsidR="00044E15" w:rsidRPr="00044E15" w:rsidRDefault="00044E15" w:rsidP="00044E15">
      <w:pPr>
        <w:spacing w:after="0"/>
        <w:jc w:val="both"/>
        <w:rPr>
          <w:rFonts w:ascii="Verdana" w:eastAsia="Calibri" w:hAnsi="Verdana" w:cs="Times New Roman"/>
        </w:rPr>
      </w:pPr>
      <w:bookmarkStart w:id="0" w:name="_Hlk143780582"/>
      <w:r w:rsidRPr="00044E15">
        <w:rPr>
          <w:rFonts w:ascii="Verdana" w:eastAsia="Calibri" w:hAnsi="Verdana" w:cs="Times New Roman"/>
          <w:b/>
          <w:bCs/>
          <w:color w:val="000000"/>
        </w:rPr>
        <w:t xml:space="preserve">DOCUMENTOS TIPO – Fundamento normativo – Obligatoriedad </w:t>
      </w:r>
    </w:p>
    <w:p w14:paraId="370AEFB5" w14:textId="77777777" w:rsidR="00044E15" w:rsidRPr="00044E15" w:rsidRDefault="00044E15" w:rsidP="00044E15">
      <w:pPr>
        <w:spacing w:after="0" w:line="276" w:lineRule="auto"/>
        <w:jc w:val="both"/>
        <w:rPr>
          <w:rFonts w:ascii="Verdana" w:eastAsia="Calibri" w:hAnsi="Verdana" w:cs="Arial"/>
          <w:b/>
          <w:bCs/>
        </w:rPr>
      </w:pPr>
    </w:p>
    <w:p w14:paraId="399ACF84" w14:textId="77777777" w:rsidR="00044E15" w:rsidRPr="00044E15" w:rsidRDefault="00044E15" w:rsidP="00044E15">
      <w:pPr>
        <w:snapToGrid w:val="0"/>
        <w:spacing w:after="0" w:line="240" w:lineRule="auto"/>
        <w:jc w:val="both"/>
        <w:rPr>
          <w:rFonts w:ascii="Verdana" w:eastAsia="Times New Roman" w:hAnsi="Verdana" w:cs="Arial"/>
          <w:sz w:val="20"/>
          <w:szCs w:val="20"/>
          <w:shd w:val="clear" w:color="auto" w:fill="FFFFFF"/>
          <w:lang w:eastAsia="es-ES_tradnl"/>
        </w:rPr>
      </w:pPr>
      <w:r w:rsidRPr="00044E15">
        <w:rPr>
          <w:rFonts w:ascii="Verdana" w:eastAsia="Times New Roman" w:hAnsi="Verdana" w:cs="Arial"/>
          <w:sz w:val="20"/>
          <w:szCs w:val="20"/>
          <w:shd w:val="clear" w:color="auto" w:fill="FFFFFF"/>
          <w:lang w:eastAsia="es-ES_tradnl"/>
        </w:rPr>
        <w:t>Los documentos tipo expedidos por la Agencia Nacional de Contratación Pública - Colombia Compra Eficiente en ejercicio de la potestad otorgada por la Ley 2022 de 2020 son de obligatoria observancia por parte de las Entidades Estatales sometidas al Estatuto General de Contratación de la Administración Pública –EGCAP–. Debido a esto, tales entidades deben aplicar de manera forzosa los documentos tipo para desarrollar los Procesos de Contratación en los objetos y modalidades cobijadas por los Documentos Tipo.</w:t>
      </w:r>
    </w:p>
    <w:p w14:paraId="0317CFDA" w14:textId="77777777" w:rsidR="00044E15" w:rsidRPr="00044E15" w:rsidRDefault="00044E15" w:rsidP="00044E15">
      <w:pPr>
        <w:spacing w:after="0" w:line="276" w:lineRule="auto"/>
        <w:jc w:val="both"/>
        <w:rPr>
          <w:rFonts w:ascii="Verdana" w:eastAsia="Calibri" w:hAnsi="Verdana" w:cs="Arial"/>
          <w:b/>
          <w:bCs/>
        </w:rPr>
      </w:pPr>
    </w:p>
    <w:p w14:paraId="438D89F4" w14:textId="77777777" w:rsidR="00044E15" w:rsidRPr="00044E15" w:rsidRDefault="00044E15" w:rsidP="00044E15">
      <w:pPr>
        <w:spacing w:after="0" w:line="276" w:lineRule="auto"/>
        <w:jc w:val="both"/>
        <w:rPr>
          <w:rFonts w:ascii="Verdana" w:eastAsia="Calibri" w:hAnsi="Verdana" w:cs="Arial"/>
          <w:b/>
          <w:bCs/>
        </w:rPr>
      </w:pPr>
      <w:r w:rsidRPr="00044E15">
        <w:rPr>
          <w:rFonts w:ascii="Verdana" w:eastAsia="Calibri" w:hAnsi="Verdana" w:cs="Arial"/>
          <w:b/>
          <w:bCs/>
        </w:rPr>
        <w:t>DOCUMENTOS TIPO DE INTERVENTORÍA DE INFRAESTRUCTURA DE TRANSPORTE – Matriz 4 – Equivalencias</w:t>
      </w:r>
    </w:p>
    <w:p w14:paraId="27F2327B" w14:textId="77777777" w:rsidR="00044E15" w:rsidRPr="00044E15" w:rsidRDefault="00044E15" w:rsidP="00044E15">
      <w:pPr>
        <w:spacing w:after="0" w:line="240" w:lineRule="auto"/>
        <w:jc w:val="both"/>
        <w:rPr>
          <w:rFonts w:ascii="Verdana" w:eastAsia="Calibri" w:hAnsi="Verdana" w:cs="Arial"/>
          <w:b/>
          <w:bCs/>
        </w:rPr>
      </w:pPr>
    </w:p>
    <w:p w14:paraId="11876530" w14:textId="77777777" w:rsidR="00044E15" w:rsidRPr="00044E15" w:rsidRDefault="00044E15" w:rsidP="00044E15">
      <w:pPr>
        <w:spacing w:after="0" w:line="240" w:lineRule="auto"/>
        <w:jc w:val="both"/>
        <w:rPr>
          <w:rFonts w:ascii="Verdana" w:eastAsia="Calibri" w:hAnsi="Verdana" w:cs="Times New Roman"/>
          <w:kern w:val="2"/>
          <w:sz w:val="20"/>
          <w:szCs w:val="20"/>
          <w14:ligatures w14:val="standardContextual"/>
        </w:rPr>
      </w:pPr>
      <w:r w:rsidRPr="00044E15">
        <w:rPr>
          <w:rFonts w:ascii="Verdana" w:eastAsia="Calibri" w:hAnsi="Verdana" w:cs="Times New Roman"/>
          <w:kern w:val="2"/>
          <w:sz w:val="20"/>
          <w:szCs w:val="20"/>
          <w14:ligatures w14:val="standardContextual"/>
        </w:rPr>
        <w:t xml:space="preserve">Particularmente, la “Matriz 4” incorpora unos perfiles, relacionados como personal clave evaluable, los cuales son de uso generalizado en los procesos de Interventoría. Sin embargo, tal como se indica en la Matriz, la entidad establecerá si la totalidad de los perfiles presentados son requeridos en su proceso de contratación. Concretamente, en relación con su solicitud, debe indicarse que, el numeral “III. Equivalencias de experiencia aplicables para el personal” y el IV “Equivalencias de formación académica aplicables para el personal” de la respectiva Matriz 4, disponen que como parte de la verificación del cumplimiento del perfil establecido por la entidad, serán aplicables una serie de equivalencias, ya sea en relación con la experiencia o con la formación académica del personal solicitado para la interventoría. </w:t>
      </w:r>
    </w:p>
    <w:p w14:paraId="1241A760" w14:textId="77777777" w:rsidR="00044E15" w:rsidRPr="00044E15" w:rsidRDefault="00044E15" w:rsidP="00044E15">
      <w:pPr>
        <w:spacing w:after="0" w:line="276" w:lineRule="auto"/>
        <w:jc w:val="both"/>
        <w:rPr>
          <w:rFonts w:ascii="Verdana" w:eastAsia="Aptos" w:hAnsi="Verdana" w:cs="Arial"/>
          <w:kern w:val="2"/>
          <w:szCs w:val="24"/>
          <w14:ligatures w14:val="standardContextual"/>
        </w:rPr>
      </w:pPr>
    </w:p>
    <w:p w14:paraId="7BBEC58B" w14:textId="77777777" w:rsidR="00044E15" w:rsidRPr="00044E15" w:rsidRDefault="00044E15" w:rsidP="00044E15">
      <w:pPr>
        <w:spacing w:after="0" w:line="276" w:lineRule="auto"/>
        <w:jc w:val="both"/>
        <w:rPr>
          <w:rFonts w:ascii="Verdana" w:eastAsia="Calibri" w:hAnsi="Verdana" w:cs="Arial"/>
          <w:b/>
          <w:bCs/>
        </w:rPr>
      </w:pPr>
      <w:r w:rsidRPr="00044E15">
        <w:rPr>
          <w:rFonts w:ascii="Verdana" w:eastAsia="Calibri" w:hAnsi="Verdana" w:cs="Arial"/>
          <w:b/>
          <w:bCs/>
        </w:rPr>
        <w:t>FORMACIÓN ACADÉMICA ADICIONAL EQUIVALENCIAS – Equivalencia – No aplica – Asignación de puntaje</w:t>
      </w:r>
    </w:p>
    <w:p w14:paraId="60AD6420" w14:textId="77777777" w:rsidR="00044E15" w:rsidRPr="00044E15" w:rsidRDefault="00044E15" w:rsidP="00044E15">
      <w:pPr>
        <w:spacing w:after="0" w:line="276" w:lineRule="auto"/>
        <w:jc w:val="both"/>
        <w:rPr>
          <w:rFonts w:ascii="Verdana" w:eastAsia="Aptos" w:hAnsi="Verdana" w:cs="Arial"/>
          <w:kern w:val="2"/>
          <w:szCs w:val="24"/>
          <w14:ligatures w14:val="standardContextual"/>
        </w:rPr>
      </w:pPr>
    </w:p>
    <w:p w14:paraId="76E6F869" w14:textId="77777777" w:rsidR="00044E15" w:rsidRPr="00044E15" w:rsidRDefault="00044E15" w:rsidP="00044E15">
      <w:pPr>
        <w:spacing w:after="0" w:line="240" w:lineRule="auto"/>
        <w:jc w:val="both"/>
        <w:rPr>
          <w:rFonts w:ascii="Verdana" w:eastAsia="Aptos" w:hAnsi="Verdana" w:cs="Arial"/>
          <w:kern w:val="2"/>
          <w14:ligatures w14:val="standardContextual"/>
        </w:rPr>
      </w:pPr>
      <w:r w:rsidRPr="00044E15">
        <w:rPr>
          <w:rFonts w:ascii="Verdana" w:eastAsia="Aptos" w:hAnsi="Verdana" w:cs="Arial"/>
          <w:kern w:val="2"/>
          <w:sz w:val="20"/>
          <w:szCs w:val="20"/>
          <w14:ligatures w14:val="standardContextual"/>
        </w:rPr>
        <w:t>(…) en este numeral se establece que “Las reglas de equivalencias descritas en la “Matriz 4 – Lineamientos de Requisitos del Personal” no aplican para el otorgamiento de puntaje, solamente para verificar que el profesional cumple con la formación académica mínima requerida por la Entidad”. Así, de acuerdo con el aparte citado,</w:t>
      </w:r>
      <w:r w:rsidRPr="00044E15">
        <w:rPr>
          <w:rFonts w:ascii="Verdana" w:eastAsia="Arial" w:hAnsi="Verdana" w:cs="Arial"/>
          <w:kern w:val="2"/>
          <w:sz w:val="20"/>
          <w:szCs w:val="20"/>
          <w14:ligatures w14:val="standardContextual"/>
        </w:rPr>
        <w:t xml:space="preserve"> para que el proponente pueda acreditar que su personal tiene una formación académica adicional a la definida en la Matriz 4, el título adicional que aporta para cumplir con esta condición, no podrá ser producto de las equivalencias contenidas en el numeral IV de la Matriz 4. Esta consideración se alinea con lo que se dispone</w:t>
      </w:r>
      <w:r w:rsidRPr="00044E15">
        <w:rPr>
          <w:rFonts w:ascii="Verdana" w:eastAsia="Aptos" w:hAnsi="Verdana" w:cs="Arial"/>
          <w:kern w:val="2"/>
          <w:sz w:val="20"/>
          <w:szCs w:val="20"/>
          <w14:ligatures w14:val="standardContextual"/>
        </w:rPr>
        <w:t xml:space="preserve"> en la matriz sobre las características de los lineamientos de requisitos de personal, al contemplar que las equivalencias de formación académica del Personal Clave Evaluable solo aplican para acreditar las exigencias mínimas previstas en el numeral 3.8.2 y no para el otorgamiento de puntaje</w:t>
      </w:r>
      <w:r w:rsidRPr="00044E15">
        <w:rPr>
          <w:rFonts w:ascii="Verdana" w:eastAsia="Aptos" w:hAnsi="Verdana" w:cs="Arial"/>
          <w:kern w:val="2"/>
          <w14:ligatures w14:val="standardContextual"/>
        </w:rPr>
        <w:t xml:space="preserve">. </w:t>
      </w:r>
    </w:p>
    <w:p w14:paraId="15D4DDB7" w14:textId="77777777" w:rsidR="00044E15" w:rsidRPr="00044E15" w:rsidRDefault="00044E15" w:rsidP="00044E15">
      <w:pPr>
        <w:spacing w:after="0" w:line="240" w:lineRule="auto"/>
        <w:jc w:val="both"/>
        <w:rPr>
          <w:rFonts w:ascii="Verdana" w:eastAsia="Calibri" w:hAnsi="Verdana" w:cs="Arial"/>
          <w:b/>
          <w:color w:val="000000"/>
          <w:lang w:val="es-MX"/>
        </w:rPr>
      </w:pPr>
    </w:p>
    <w:p w14:paraId="224A7BD7" w14:textId="77777777" w:rsidR="00044E15" w:rsidRPr="00044E15" w:rsidRDefault="00044E15" w:rsidP="00044E15">
      <w:pPr>
        <w:spacing w:after="0" w:line="276" w:lineRule="auto"/>
        <w:jc w:val="both"/>
        <w:rPr>
          <w:rFonts w:ascii="Verdana" w:eastAsia="Calibri" w:hAnsi="Verdana" w:cs="Arial"/>
          <w:b/>
          <w:bCs/>
        </w:rPr>
      </w:pPr>
      <w:r w:rsidRPr="00044E15">
        <w:rPr>
          <w:rFonts w:ascii="Verdana" w:eastAsia="Calibri" w:hAnsi="Verdana" w:cs="Arial"/>
          <w:b/>
          <w:bCs/>
        </w:rPr>
        <w:t>FORMACIÓN ACADÉMICA ADICIONAL – Equivalencia de experiencia por título de posgrado – Título no objeto de equivalencia – Asignación de puntaje</w:t>
      </w:r>
    </w:p>
    <w:p w14:paraId="1E7DB017" w14:textId="77777777" w:rsidR="00044E15" w:rsidRPr="00044E15" w:rsidRDefault="00044E15" w:rsidP="00044E15">
      <w:pPr>
        <w:spacing w:after="0" w:line="240" w:lineRule="auto"/>
        <w:jc w:val="both"/>
        <w:rPr>
          <w:rFonts w:ascii="Verdana" w:eastAsia="Calibri" w:hAnsi="Verdana" w:cs="Arial"/>
          <w:b/>
          <w:color w:val="000000"/>
          <w:lang w:val="es-MX"/>
        </w:rPr>
      </w:pPr>
    </w:p>
    <w:p w14:paraId="56D912AF" w14:textId="77777777" w:rsidR="00044E15" w:rsidRPr="00044E15" w:rsidRDefault="00044E15" w:rsidP="00044E15">
      <w:pPr>
        <w:spacing w:after="0" w:line="240" w:lineRule="auto"/>
        <w:jc w:val="both"/>
        <w:rPr>
          <w:rFonts w:ascii="Verdana" w:eastAsia="Aptos" w:hAnsi="Verdana" w:cs="Arial"/>
          <w:kern w:val="2"/>
          <w14:ligatures w14:val="standardContextual"/>
        </w:rPr>
      </w:pPr>
      <w:r w:rsidRPr="00044E15">
        <w:rPr>
          <w:rFonts w:ascii="Verdana" w:eastAsia="Aptos" w:hAnsi="Verdana" w:cs="Arial"/>
          <w:kern w:val="2"/>
          <w:sz w:val="20"/>
          <w:szCs w:val="20"/>
          <w14:ligatures w14:val="standardContextual"/>
        </w:rPr>
        <w:t>Bajo estas reglas, nada impide que el profesional acredite con experiencia, mediante la equivalencia del numeral IV de la Matriz 4, el título de posgrado que la entidad exigió como formación académica mínima en el numeral 3.8.2 del documento base, y presente el título de posgrado que efectivamente posee, que no fue objeto de equivalencia, como formación académica adicional en los términos del numeral 4.2.2. En ese supuesto la equivalencia cumple la única función que le asignan la Matriz 4 y el literal II del numeral 4.2.2, que es verificar el requisito mínimo, y el puntaje se otorga por un título real, distinto del que la experiencia reemplazó. Ninguna disposición de los Documentos Tipo prohíbe esta forma de acreditación.</w:t>
      </w:r>
    </w:p>
    <w:p w14:paraId="60AEA37B" w14:textId="77777777" w:rsidR="00044E15" w:rsidRPr="00044E15" w:rsidRDefault="00044E15" w:rsidP="00044E15">
      <w:pPr>
        <w:spacing w:after="0" w:line="240" w:lineRule="auto"/>
        <w:jc w:val="both"/>
        <w:rPr>
          <w:rFonts w:ascii="Verdana" w:eastAsia="Calibri" w:hAnsi="Verdana" w:cs="Arial"/>
          <w:b/>
          <w:color w:val="000000"/>
          <w:lang w:val="es-MX"/>
        </w:rPr>
      </w:pPr>
    </w:p>
    <w:p w14:paraId="26C292B5" w14:textId="77777777" w:rsidR="00044E15" w:rsidRPr="00044E15" w:rsidRDefault="00044E15" w:rsidP="00044E15">
      <w:pPr>
        <w:spacing w:after="0" w:line="276" w:lineRule="auto"/>
        <w:jc w:val="both"/>
        <w:rPr>
          <w:rFonts w:ascii="Verdana" w:eastAsia="Calibri" w:hAnsi="Verdana" w:cs="Arial"/>
          <w:b/>
          <w:bCs/>
        </w:rPr>
      </w:pPr>
      <w:r w:rsidRPr="00044E15">
        <w:rPr>
          <w:rFonts w:ascii="Verdana" w:eastAsia="Calibri" w:hAnsi="Verdana" w:cs="Arial"/>
          <w:b/>
          <w:bCs/>
        </w:rPr>
        <w:t>FORMACIÓN ACADÉMICA ADICIONAL – Numeral 4.2.2 – Título de posgrado adicional – Interpretación</w:t>
      </w:r>
    </w:p>
    <w:p w14:paraId="1182E83F" w14:textId="77777777" w:rsidR="00044E15" w:rsidRPr="00044E15" w:rsidRDefault="00044E15" w:rsidP="00044E15">
      <w:pPr>
        <w:spacing w:after="0" w:line="240" w:lineRule="auto"/>
        <w:jc w:val="both"/>
        <w:rPr>
          <w:rFonts w:ascii="Verdana" w:eastAsia="Calibri" w:hAnsi="Verdana" w:cs="Arial"/>
          <w:b/>
          <w:color w:val="000000"/>
          <w:lang w:val="es-MX"/>
        </w:rPr>
      </w:pPr>
    </w:p>
    <w:p w14:paraId="66147F18" w14:textId="77777777" w:rsidR="00044E15" w:rsidRPr="00044E15" w:rsidRDefault="00044E15" w:rsidP="00044E15">
      <w:pPr>
        <w:spacing w:after="0" w:line="240" w:lineRule="auto"/>
        <w:jc w:val="both"/>
        <w:rPr>
          <w:rFonts w:ascii="Verdana" w:eastAsia="Aptos" w:hAnsi="Verdana" w:cs="Arial"/>
          <w:kern w:val="2"/>
          <w14:ligatures w14:val="standardContextual"/>
        </w:rPr>
      </w:pPr>
      <w:r w:rsidRPr="00044E15">
        <w:rPr>
          <w:rFonts w:ascii="Verdana" w:eastAsia="Aptos" w:hAnsi="Verdana" w:cs="Arial"/>
          <w:kern w:val="2"/>
          <w:sz w:val="20"/>
          <w:szCs w:val="20"/>
          <w14:ligatures w14:val="standardContextual"/>
        </w:rPr>
        <w:t>El ejemplo del numeral 4.2.2, según el cual, si el requisito mínimo es un título de posgrado, el puntaje se otorga a quien acredite un título de posgrado adicional, no lleva a una conclusión distinta. Ese ejemplo describe el caso ordinario, en el que el mínimo se cumple con un título. Lo que el numeral exige es que la formación puntuable sea adicional a la mínima y que no provenga de una equivalencia. Cuando el mínimo se acreditó con experiencia, el título que presenta el profesional es adicional frente a ese mínimo y no es producto de equivalencia alguna. Exigirle en ese caso dos títulos de posgrado supondría agregar un requisito que el pliego tipo no contiene, lo que la entidad no puede hacer. Los Documentos Tipo son de obligatorio cumplimiento y, en armonía con el numeral 5 del artículo 24 de la Ley 80 de 1993, las reglas que condicionan la asignación de puntaje deben ser claras y completas y constar expresamente en el pliego.</w:t>
      </w:r>
    </w:p>
    <w:p w14:paraId="3B5C9D20" w14:textId="77777777" w:rsidR="00044E15" w:rsidRPr="00044E15" w:rsidRDefault="00044E15" w:rsidP="00044E15">
      <w:pPr>
        <w:spacing w:after="0" w:line="240" w:lineRule="auto"/>
        <w:jc w:val="both"/>
        <w:rPr>
          <w:rFonts w:ascii="Verdana" w:eastAsia="Calibri" w:hAnsi="Verdana" w:cs="Arial"/>
          <w:b/>
          <w:color w:val="000000"/>
          <w:lang w:val="es-MX"/>
        </w:rPr>
      </w:pPr>
    </w:p>
    <w:p w14:paraId="6B04B38F" w14:textId="77777777" w:rsidR="00044E15" w:rsidRPr="00044E15" w:rsidRDefault="00044E15" w:rsidP="00044E15">
      <w:pPr>
        <w:spacing w:after="0" w:line="276" w:lineRule="auto"/>
        <w:jc w:val="both"/>
        <w:rPr>
          <w:rFonts w:ascii="Verdana" w:eastAsia="Calibri" w:hAnsi="Verdana" w:cs="Arial"/>
          <w:b/>
          <w:bCs/>
        </w:rPr>
      </w:pPr>
      <w:r w:rsidRPr="00044E15">
        <w:rPr>
          <w:rFonts w:ascii="Verdana" w:eastAsia="Calibri" w:hAnsi="Verdana" w:cs="Arial"/>
          <w:b/>
          <w:bCs/>
        </w:rPr>
        <w:t>EQUIVALENCIAS DE FORMACIÓN ACADÉMICA – Condiciones – Prohibición de doble cómputo de la experiencia</w:t>
      </w:r>
    </w:p>
    <w:p w14:paraId="2E69541C" w14:textId="77777777" w:rsidR="00044E15" w:rsidRPr="00044E15" w:rsidRDefault="00044E15" w:rsidP="00044E15">
      <w:pPr>
        <w:spacing w:after="0" w:line="240" w:lineRule="auto"/>
        <w:jc w:val="both"/>
        <w:rPr>
          <w:rFonts w:ascii="Verdana" w:eastAsia="Calibri" w:hAnsi="Verdana" w:cs="Arial"/>
          <w:b/>
          <w:color w:val="000000"/>
          <w:lang w:val="es-MX"/>
        </w:rPr>
      </w:pPr>
    </w:p>
    <w:p w14:paraId="19CC83E0" w14:textId="372E024D" w:rsidR="00044E15" w:rsidRPr="00044E15" w:rsidRDefault="00044E15" w:rsidP="00044E15">
      <w:pPr>
        <w:spacing w:after="0" w:line="240" w:lineRule="auto"/>
        <w:jc w:val="both"/>
        <w:rPr>
          <w:rFonts w:ascii="Verdana" w:eastAsia="Aptos" w:hAnsi="Verdana" w:cs="Arial"/>
          <w:kern w:val="2"/>
          <w14:ligatures w14:val="standardContextual"/>
        </w:rPr>
      </w:pPr>
      <w:r w:rsidRPr="00044E15">
        <w:rPr>
          <w:rFonts w:ascii="Verdana" w:eastAsia="Aptos" w:hAnsi="Verdana" w:cs="Arial"/>
          <w:kern w:val="2"/>
          <w:sz w:val="20"/>
          <w:szCs w:val="20"/>
          <w14:ligatures w14:val="standardContextual"/>
        </w:rPr>
        <w:t xml:space="preserve">Ahora bien, la equivalencia está sujeta a las condiciones que fija la propia Matriz 4. En primer término, la experiencia con la que se suple el título debe incluir la experiencia general y la específica que señala la tabla del numeral IV –dos años de experiencia general y uno de específica para una especialización; tres y uno y medio para una maestría u otro título de posgrado superior–, y la específica debe estar directamente asociada con el área del posgrado exigido, como lo dispone la Nota 6. </w:t>
      </w:r>
    </w:p>
    <w:p w14:paraId="55EBE9B6" w14:textId="77777777" w:rsidR="00044E15" w:rsidRPr="00044E15" w:rsidRDefault="00044E15" w:rsidP="00044E15">
      <w:pPr>
        <w:spacing w:after="0" w:line="240" w:lineRule="auto"/>
        <w:jc w:val="both"/>
        <w:rPr>
          <w:rFonts w:ascii="Verdana" w:eastAsia="Calibri" w:hAnsi="Verdana" w:cs="Arial"/>
          <w:b/>
          <w:color w:val="000000"/>
          <w:lang w:val="es-MX"/>
        </w:rPr>
      </w:pPr>
    </w:p>
    <w:p w14:paraId="5671D3F1" w14:textId="77777777" w:rsidR="00044E15" w:rsidRDefault="00044E15" w:rsidP="00044E15">
      <w:pPr>
        <w:spacing w:after="0" w:line="240" w:lineRule="auto"/>
        <w:jc w:val="both"/>
        <w:rPr>
          <w:rFonts w:ascii="Verdana" w:eastAsia="Geomanist Light" w:hAnsi="Verdana" w:cs="Arial"/>
        </w:rPr>
      </w:pPr>
    </w:p>
    <w:p w14:paraId="0A9EA59B" w14:textId="77777777" w:rsidR="000B6A46" w:rsidRDefault="000B6A46" w:rsidP="00044E15">
      <w:pPr>
        <w:spacing w:after="0" w:line="240" w:lineRule="auto"/>
        <w:jc w:val="both"/>
        <w:rPr>
          <w:rFonts w:ascii="Verdana" w:eastAsia="Geomanist Light" w:hAnsi="Verdana" w:cs="Arial"/>
        </w:rPr>
      </w:pPr>
    </w:p>
    <w:p w14:paraId="6D94331B" w14:textId="77777777" w:rsidR="000B6A46" w:rsidRPr="00044E15" w:rsidRDefault="000B6A46" w:rsidP="00044E15">
      <w:pPr>
        <w:spacing w:after="0" w:line="240" w:lineRule="auto"/>
        <w:jc w:val="both"/>
        <w:rPr>
          <w:rFonts w:ascii="Verdana" w:eastAsia="Geomanist Light" w:hAnsi="Verdana" w:cs="Arial"/>
        </w:rPr>
      </w:pPr>
    </w:p>
    <w:p w14:paraId="67DCA2CF" w14:textId="77777777" w:rsidR="00044E15" w:rsidRPr="00044E15" w:rsidRDefault="00044E15" w:rsidP="00044E15">
      <w:pPr>
        <w:spacing w:after="0" w:line="240" w:lineRule="auto"/>
        <w:jc w:val="both"/>
        <w:rPr>
          <w:rFonts w:ascii="Verdana" w:eastAsia="Geomanist Light" w:hAnsi="Verdana" w:cs="Arial"/>
        </w:rPr>
      </w:pPr>
    </w:p>
    <w:p w14:paraId="165ECC5F" w14:textId="77777777" w:rsidR="00044E15" w:rsidRPr="00044E15" w:rsidRDefault="00044E15" w:rsidP="00044E15">
      <w:pPr>
        <w:spacing w:after="0" w:line="240" w:lineRule="auto"/>
        <w:jc w:val="both"/>
        <w:rPr>
          <w:rFonts w:ascii="Verdana" w:eastAsia="Geomanist Light" w:hAnsi="Verdana" w:cs="Arial"/>
        </w:rPr>
      </w:pPr>
    </w:p>
    <w:p w14:paraId="4DD324F0" w14:textId="77777777" w:rsidR="00044E15" w:rsidRPr="00044E15" w:rsidRDefault="00044E15" w:rsidP="00044E15">
      <w:pPr>
        <w:spacing w:after="0" w:line="240" w:lineRule="auto"/>
        <w:jc w:val="both"/>
        <w:rPr>
          <w:rFonts w:ascii="Verdana" w:eastAsia="Geomanist Light" w:hAnsi="Verdana" w:cs="Arial"/>
        </w:rPr>
      </w:pPr>
    </w:p>
    <w:p w14:paraId="383CEF84" w14:textId="77777777" w:rsidR="00044E15" w:rsidRPr="00044E15" w:rsidRDefault="00044E15" w:rsidP="00044E15">
      <w:pPr>
        <w:spacing w:after="0" w:line="240" w:lineRule="auto"/>
        <w:rPr>
          <w:rFonts w:ascii="Verdana" w:eastAsia="Geomanist Light" w:hAnsi="Verdana" w:cs="Arial"/>
        </w:rPr>
      </w:pPr>
    </w:p>
    <w:p w14:paraId="14BD7D1D" w14:textId="7BDF5073" w:rsidR="00044E15" w:rsidRPr="00FC5AFC" w:rsidRDefault="00044E15" w:rsidP="00044E15">
      <w:pPr>
        <w:spacing w:after="0" w:line="240" w:lineRule="auto"/>
        <w:rPr>
          <w:rFonts w:ascii="Verdana" w:eastAsia="Verdana" w:hAnsi="Verdana" w:cs="Verdana"/>
          <w:kern w:val="2"/>
          <w14:ligatures w14:val="standardContextual"/>
        </w:rPr>
      </w:pPr>
      <w:r w:rsidRPr="00FC5AFC">
        <w:rPr>
          <w:rFonts w:ascii="Verdana" w:eastAsia="Verdana" w:hAnsi="Verdana" w:cs="Verdana"/>
          <w:kern w:val="2"/>
          <w14:ligatures w14:val="standardContextual"/>
        </w:rPr>
        <w:lastRenderedPageBreak/>
        <w:t xml:space="preserve">Bogotá D.C., </w:t>
      </w:r>
      <w:r w:rsidR="00FC5AFC" w:rsidRPr="00FC5AFC">
        <w:rPr>
          <w:rFonts w:ascii="Verdana" w:eastAsia="Verdana" w:hAnsi="Verdana" w:cs="Verdana"/>
          <w:kern w:val="2"/>
          <w14:ligatures w14:val="standardContextual"/>
        </w:rPr>
        <w:t>3 de noviembre de 2026</w:t>
      </w:r>
    </w:p>
    <w:p w14:paraId="3ECC3698" w14:textId="77777777" w:rsidR="00FC5AFC" w:rsidRDefault="00FC5AFC" w:rsidP="00044E15">
      <w:pPr>
        <w:spacing w:after="0" w:line="240" w:lineRule="auto"/>
        <w:rPr>
          <w:rFonts w:ascii="Verdana" w:eastAsia="Verdana" w:hAnsi="Verdana" w:cs="Verdana"/>
          <w:kern w:val="2"/>
          <w:sz w:val="24"/>
          <w:szCs w:val="24"/>
          <w14:ligatures w14:val="standardContextual"/>
        </w:rPr>
      </w:pPr>
    </w:p>
    <w:p w14:paraId="1C1B1FA2" w14:textId="3717B6CA" w:rsidR="00FC5AFC" w:rsidRPr="00044E15" w:rsidRDefault="00FC5AFC" w:rsidP="00FC5AFC">
      <w:pPr>
        <w:spacing w:after="0" w:line="240" w:lineRule="auto"/>
        <w:jc w:val="right"/>
        <w:rPr>
          <w:rFonts w:ascii="Verdana" w:eastAsia="Verdana" w:hAnsi="Verdana" w:cs="Verdana"/>
          <w:kern w:val="2"/>
          <w:sz w:val="24"/>
          <w:szCs w:val="24"/>
          <w14:ligatures w14:val="standardContextual"/>
        </w:rPr>
      </w:pPr>
    </w:p>
    <w:p w14:paraId="44757310" w14:textId="23CC33B5" w:rsidR="00044E15" w:rsidRPr="00044E15" w:rsidRDefault="00C34746" w:rsidP="00044E15">
      <w:pPr>
        <w:spacing w:after="0" w:line="240" w:lineRule="auto"/>
        <w:rPr>
          <w:rFonts w:ascii="Verdana" w:eastAsia="Calibri" w:hAnsi="Verdana" w:cs="Arial"/>
          <w:lang w:eastAsia="es-ES"/>
        </w:rPr>
      </w:pPr>
      <w:r w:rsidRPr="00FC5AFC">
        <w:rPr>
          <w:rFonts w:ascii="Verdana" w:eastAsia="Verdana" w:hAnsi="Verdana" w:cs="Verdana"/>
          <w:noProof/>
          <w:kern w:val="2"/>
          <w:sz w:val="24"/>
          <w:szCs w:val="24"/>
          <w14:ligatures w14:val="standardContextual"/>
        </w:rPr>
        <w:drawing>
          <wp:anchor distT="0" distB="0" distL="114300" distR="114300" simplePos="0" relativeHeight="251660288" behindDoc="0" locked="0" layoutInCell="1" allowOverlap="1" wp14:anchorId="220930DA" wp14:editId="6030CBAD">
            <wp:simplePos x="0" y="0"/>
            <wp:positionH relativeFrom="margin">
              <wp:align>right</wp:align>
            </wp:positionH>
            <wp:positionV relativeFrom="paragraph">
              <wp:posOffset>10160</wp:posOffset>
            </wp:positionV>
            <wp:extent cx="2514601" cy="849086"/>
            <wp:effectExtent l="0" t="0" r="0" b="8255"/>
            <wp:wrapSquare wrapText="bothSides"/>
            <wp:docPr id="1942350536"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2350536" name=""/>
                    <pic:cNvPicPr/>
                  </pic:nvPicPr>
                  <pic:blipFill>
                    <a:blip r:embed="rId10">
                      <a:extLst>
                        <a:ext uri="{28A0092B-C50C-407E-A947-70E740481C1C}">
                          <a14:useLocalDpi xmlns:a14="http://schemas.microsoft.com/office/drawing/2010/main" val="0"/>
                        </a:ext>
                      </a:extLst>
                    </a:blip>
                    <a:stretch>
                      <a:fillRect/>
                    </a:stretch>
                  </pic:blipFill>
                  <pic:spPr>
                    <a:xfrm>
                      <a:off x="0" y="0"/>
                      <a:ext cx="2514601" cy="849086"/>
                    </a:xfrm>
                    <a:prstGeom prst="rect">
                      <a:avLst/>
                    </a:prstGeom>
                  </pic:spPr>
                </pic:pic>
              </a:graphicData>
            </a:graphic>
          </wp:anchor>
        </w:drawing>
      </w:r>
    </w:p>
    <w:p w14:paraId="68CC091F" w14:textId="77777777" w:rsidR="00044E15" w:rsidRPr="00044E15" w:rsidRDefault="00044E15" w:rsidP="00044E15">
      <w:pPr>
        <w:spacing w:after="0" w:line="240" w:lineRule="auto"/>
        <w:rPr>
          <w:rFonts w:ascii="Verdana" w:eastAsia="Calibri" w:hAnsi="Verdana" w:cs="Arial"/>
          <w:lang w:eastAsia="es-ES"/>
        </w:rPr>
      </w:pPr>
      <w:r w:rsidRPr="00044E15">
        <w:rPr>
          <w:rFonts w:ascii="Verdana" w:eastAsia="Calibri" w:hAnsi="Verdana" w:cs="Arial"/>
          <w:lang w:eastAsia="es-ES"/>
        </w:rPr>
        <w:t>Señora</w:t>
      </w:r>
    </w:p>
    <w:p w14:paraId="7686E212" w14:textId="77777777" w:rsidR="00044E15" w:rsidRPr="00044E15" w:rsidRDefault="00044E15" w:rsidP="00044E15">
      <w:pPr>
        <w:spacing w:after="0" w:line="240" w:lineRule="auto"/>
        <w:rPr>
          <w:rFonts w:ascii="Verdana" w:eastAsia="Calibri" w:hAnsi="Verdana" w:cs="Arial"/>
          <w:b/>
          <w:bCs/>
          <w:lang w:eastAsia="es-ES"/>
        </w:rPr>
      </w:pPr>
      <w:r w:rsidRPr="00044E15">
        <w:rPr>
          <w:rFonts w:ascii="Verdana" w:eastAsia="Aptos" w:hAnsi="Verdana" w:cs="Times New Roman"/>
          <w:b/>
          <w:bCs/>
          <w:kern w:val="2"/>
          <w14:ligatures w14:val="standardContextual"/>
        </w:rPr>
        <w:t>Edith Lorena Henao Duque</w:t>
      </w:r>
    </w:p>
    <w:p w14:paraId="2F9BB763" w14:textId="77777777" w:rsidR="00044E15" w:rsidRPr="00044E15" w:rsidRDefault="00044E15" w:rsidP="00044E15">
      <w:pPr>
        <w:spacing w:after="0" w:line="240" w:lineRule="auto"/>
        <w:rPr>
          <w:rFonts w:ascii="Verdana" w:eastAsia="Calibri" w:hAnsi="Verdana" w:cs="Arial"/>
          <w:lang w:eastAsia="es-ES"/>
        </w:rPr>
      </w:pPr>
      <w:r w:rsidRPr="00044E15">
        <w:rPr>
          <w:rFonts w:ascii="Verdana" w:eastAsia="Calibri" w:hAnsi="Verdana" w:cs="Arial"/>
          <w:lang w:eastAsia="es-ES"/>
        </w:rPr>
        <w:t>Cali, Valle del Cauca</w:t>
      </w:r>
    </w:p>
    <w:p w14:paraId="03D72B8F" w14:textId="77777777" w:rsidR="00044E15" w:rsidRPr="00044E15" w:rsidRDefault="00044E15" w:rsidP="00044E15">
      <w:pPr>
        <w:spacing w:after="0" w:line="240" w:lineRule="auto"/>
        <w:rPr>
          <w:rFonts w:ascii="Verdana" w:eastAsia="Calibri" w:hAnsi="Verdana" w:cs="Arial"/>
          <w:b/>
          <w:bCs/>
          <w:lang w:eastAsia="es-ES_tradnl"/>
        </w:rPr>
      </w:pPr>
    </w:p>
    <w:p w14:paraId="70AEB136" w14:textId="77777777" w:rsidR="00044E15" w:rsidRPr="00044E15" w:rsidRDefault="00044E15" w:rsidP="00044E15">
      <w:pPr>
        <w:spacing w:after="0" w:line="240" w:lineRule="auto"/>
        <w:rPr>
          <w:rFonts w:ascii="Verdana" w:eastAsia="Calibri" w:hAnsi="Verdana" w:cs="Arial"/>
          <w:b/>
          <w:bCs/>
          <w:lang w:eastAsia="es-ES_tradnl"/>
        </w:rPr>
      </w:pPr>
    </w:p>
    <w:tbl>
      <w:tblPr>
        <w:tblStyle w:val="Tablaconcuadrcula1"/>
        <w:tblW w:w="92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3402"/>
        <w:gridCol w:w="5831"/>
      </w:tblGrid>
      <w:tr w:rsidR="00044E15" w:rsidRPr="00044E15" w14:paraId="28426C84" w14:textId="77777777" w:rsidTr="001F4A4B">
        <w:trPr>
          <w:trHeight w:val="999"/>
        </w:trPr>
        <w:tc>
          <w:tcPr>
            <w:tcW w:w="3402" w:type="dxa"/>
          </w:tcPr>
          <w:p w14:paraId="78D16185" w14:textId="77777777" w:rsidR="00044E15" w:rsidRPr="00044E15" w:rsidRDefault="00044E15" w:rsidP="00044E15">
            <w:pPr>
              <w:jc w:val="both"/>
              <w:rPr>
                <w:rFonts w:ascii="Verdana" w:eastAsia="Calibri" w:hAnsi="Verdana" w:cs="Arial"/>
                <w:b/>
                <w:bCs/>
                <w:lang w:eastAsia="es-ES_tradnl"/>
              </w:rPr>
            </w:pPr>
          </w:p>
        </w:tc>
        <w:tc>
          <w:tcPr>
            <w:tcW w:w="5831" w:type="dxa"/>
            <w:hideMark/>
          </w:tcPr>
          <w:p w14:paraId="139723BB" w14:textId="2CEB9E95" w:rsidR="00044E15" w:rsidRPr="00044E15" w:rsidRDefault="00044E15" w:rsidP="00044E15">
            <w:pPr>
              <w:snapToGrid w:val="0"/>
              <w:jc w:val="both"/>
              <w:rPr>
                <w:rFonts w:ascii="Verdana" w:eastAsia="Calibri" w:hAnsi="Verdana" w:cs="Arial"/>
                <w:b/>
                <w:bCs/>
                <w:lang w:eastAsia="es-ES"/>
              </w:rPr>
            </w:pPr>
            <w:r w:rsidRPr="00044E15">
              <w:rPr>
                <w:rFonts w:ascii="Verdana" w:eastAsia="Calibri" w:hAnsi="Verdana" w:cs="Arial"/>
                <w:b/>
                <w:bCs/>
                <w:lang w:eastAsia="es-ES"/>
              </w:rPr>
              <w:t>Concepto C</w:t>
            </w:r>
            <w:r w:rsidR="00C34746">
              <w:rPr>
                <w:rFonts w:ascii="Verdana" w:eastAsia="Calibri" w:hAnsi="Verdana" w:cs="Arial"/>
                <w:b/>
                <w:bCs/>
                <w:lang w:eastAsia="es-ES"/>
              </w:rPr>
              <w:t>-</w:t>
            </w:r>
            <w:r w:rsidRPr="00044E15">
              <w:rPr>
                <w:rFonts w:ascii="Verdana" w:eastAsia="Calibri" w:hAnsi="Verdana" w:cs="Arial"/>
                <w:b/>
                <w:bCs/>
                <w:lang w:eastAsia="es-ES"/>
              </w:rPr>
              <w:t>1495 de 2026</w:t>
            </w:r>
          </w:p>
        </w:tc>
      </w:tr>
      <w:tr w:rsidR="00044E15" w:rsidRPr="00044E15" w14:paraId="7AC0943B" w14:textId="77777777" w:rsidTr="001F4A4B">
        <w:trPr>
          <w:trHeight w:val="999"/>
        </w:trPr>
        <w:tc>
          <w:tcPr>
            <w:tcW w:w="3402" w:type="dxa"/>
            <w:hideMark/>
          </w:tcPr>
          <w:p w14:paraId="1749C48B" w14:textId="77777777" w:rsidR="00044E15" w:rsidRPr="00044E15" w:rsidRDefault="00044E15" w:rsidP="00044E15">
            <w:pPr>
              <w:spacing w:line="276" w:lineRule="auto"/>
              <w:jc w:val="both"/>
              <w:rPr>
                <w:rFonts w:ascii="Verdana" w:eastAsia="Calibri" w:hAnsi="Verdana" w:cs="Arial"/>
                <w:lang w:eastAsia="es-ES_tradnl"/>
              </w:rPr>
            </w:pPr>
            <w:r w:rsidRPr="00044E15">
              <w:rPr>
                <w:rFonts w:ascii="Verdana" w:eastAsia="Calibri" w:hAnsi="Verdana" w:cs="Arial"/>
                <w:b/>
                <w:lang w:eastAsia="es-ES_tradnl"/>
              </w:rPr>
              <w:t>Temas:</w:t>
            </w:r>
            <w:r w:rsidRPr="00044E15">
              <w:rPr>
                <w:rFonts w:ascii="Verdana" w:eastAsia="Calibri" w:hAnsi="Verdana" w:cs="Arial"/>
                <w:lang w:eastAsia="es-ES_tradnl"/>
              </w:rPr>
              <w:t xml:space="preserve">                   </w:t>
            </w:r>
          </w:p>
        </w:tc>
        <w:tc>
          <w:tcPr>
            <w:tcW w:w="5831" w:type="dxa"/>
          </w:tcPr>
          <w:p w14:paraId="0405D201" w14:textId="77777777" w:rsidR="00044E15" w:rsidRPr="00044E15" w:rsidRDefault="00044E15" w:rsidP="00044E15">
            <w:pPr>
              <w:snapToGrid w:val="0"/>
              <w:jc w:val="both"/>
              <w:rPr>
                <w:rFonts w:ascii="Verdana" w:eastAsia="Calibri" w:hAnsi="Verdana" w:cs="Arial"/>
                <w:b/>
                <w:bCs/>
              </w:rPr>
            </w:pPr>
            <w:r w:rsidRPr="00044E15">
              <w:rPr>
                <w:rFonts w:ascii="Verdana" w:eastAsia="Calibri" w:hAnsi="Verdana" w:cs="Times New Roman"/>
                <w:color w:val="000000"/>
              </w:rPr>
              <w:t xml:space="preserve">DOCUMENTOS TIPO – Fundamento normativo – Obligatoriedad </w:t>
            </w:r>
            <w:r w:rsidRPr="00044E15">
              <w:rPr>
                <w:rFonts w:ascii="Verdana" w:eastAsia="Calibri" w:hAnsi="Verdana" w:cs="Times New Roman"/>
              </w:rPr>
              <w:t xml:space="preserve">/ </w:t>
            </w:r>
            <w:r w:rsidRPr="00044E15">
              <w:rPr>
                <w:rFonts w:ascii="Verdana" w:eastAsia="Calibri" w:hAnsi="Verdana" w:cs="Arial"/>
              </w:rPr>
              <w:t>DOCUMENTOS TIPO DE INTERVENTORÍA DE INFRAESTRUCTURA DE TRANSPORTE – Matriz 4 – Equivalencias / FORMACIÓN ACADÉMICA ADICIONAL EQUIVALENCIAS – Equivalencia – No aplica – Asignación de puntaje</w:t>
            </w:r>
            <w:r w:rsidRPr="00044E15">
              <w:rPr>
                <w:rFonts w:ascii="Verdana" w:eastAsia="Calibri" w:hAnsi="Verdana" w:cs="Times New Roman"/>
                <w:color w:val="000000"/>
              </w:rPr>
              <w:t xml:space="preserve"> / FORMACIÓN ACADÉMICA ADICIONAL – Equivalencia de experiencia por título de posgrado – Título no objeto de equivalencia – Asignación de puntaje / FORMACIÓN ACADÉMICA ADICIONAL – Numeral 4.2.2 – Título de posgrado adicional – Interpretación / EQUIVALENCIAS DE FORMACIÓN ACADÉMICA – Condiciones – Prohibición de doble cómputo de la experiencia</w:t>
            </w:r>
          </w:p>
          <w:p w14:paraId="6E562B1B" w14:textId="77777777" w:rsidR="00044E15" w:rsidRPr="00044E15" w:rsidRDefault="00044E15" w:rsidP="00044E15">
            <w:pPr>
              <w:snapToGrid w:val="0"/>
              <w:jc w:val="both"/>
              <w:rPr>
                <w:rFonts w:ascii="Verdana" w:eastAsia="Calibri" w:hAnsi="Verdana" w:cs="Arial"/>
              </w:rPr>
            </w:pPr>
          </w:p>
        </w:tc>
      </w:tr>
      <w:tr w:rsidR="00044E15" w:rsidRPr="00044E15" w14:paraId="5CADF6C7" w14:textId="77777777" w:rsidTr="001F4A4B">
        <w:trPr>
          <w:trHeight w:val="62"/>
        </w:trPr>
        <w:tc>
          <w:tcPr>
            <w:tcW w:w="3402" w:type="dxa"/>
            <w:hideMark/>
          </w:tcPr>
          <w:p w14:paraId="49038B27" w14:textId="77777777" w:rsidR="00044E15" w:rsidRPr="00044E15" w:rsidRDefault="00044E15" w:rsidP="00044E15">
            <w:pPr>
              <w:spacing w:line="276" w:lineRule="auto"/>
              <w:jc w:val="both"/>
              <w:rPr>
                <w:rFonts w:ascii="Verdana" w:eastAsia="Calibri" w:hAnsi="Verdana" w:cs="Arial"/>
                <w:b/>
                <w:lang w:eastAsia="es-ES_tradnl"/>
              </w:rPr>
            </w:pPr>
            <w:r w:rsidRPr="00044E15">
              <w:rPr>
                <w:rFonts w:ascii="Verdana" w:eastAsia="Calibri" w:hAnsi="Verdana" w:cs="Arial"/>
                <w:b/>
                <w:lang w:eastAsia="es-ES_tradnl"/>
              </w:rPr>
              <w:t>Radicación:</w:t>
            </w:r>
            <w:r w:rsidRPr="00044E15">
              <w:rPr>
                <w:rFonts w:ascii="Verdana" w:eastAsia="Calibri" w:hAnsi="Verdana" w:cs="Arial"/>
                <w:lang w:eastAsia="es-ES_tradnl"/>
              </w:rPr>
              <w:t xml:space="preserve">               </w:t>
            </w:r>
          </w:p>
        </w:tc>
        <w:tc>
          <w:tcPr>
            <w:tcW w:w="5831" w:type="dxa"/>
          </w:tcPr>
          <w:p w14:paraId="27FE2A6A" w14:textId="77777777" w:rsidR="00044E15" w:rsidRPr="00044E15" w:rsidRDefault="00044E15" w:rsidP="00044E15">
            <w:pPr>
              <w:snapToGrid w:val="0"/>
              <w:jc w:val="both"/>
              <w:rPr>
                <w:rFonts w:ascii="Verdana" w:eastAsia="Calibri" w:hAnsi="Verdana" w:cs="Arial"/>
                <w:lang w:eastAsia="es-ES_tradnl"/>
              </w:rPr>
            </w:pPr>
            <w:r w:rsidRPr="00044E15">
              <w:rPr>
                <w:rFonts w:ascii="Verdana" w:eastAsia="Calibri" w:hAnsi="Verdana" w:cs="Arial"/>
                <w:lang w:eastAsia="es-ES_tradnl"/>
              </w:rPr>
              <w:t>Respuesta a consulta con radicado No. 1_2026_09_22_012735</w:t>
            </w:r>
          </w:p>
        </w:tc>
      </w:tr>
    </w:tbl>
    <w:p w14:paraId="18E11B12" w14:textId="77777777" w:rsidR="00044E15" w:rsidRPr="00044E15" w:rsidRDefault="00044E15" w:rsidP="00044E15">
      <w:pPr>
        <w:spacing w:after="0" w:line="276" w:lineRule="auto"/>
        <w:jc w:val="both"/>
        <w:rPr>
          <w:rFonts w:ascii="Verdana" w:eastAsia="Calibri" w:hAnsi="Verdana" w:cs="Arial"/>
          <w:lang w:eastAsia="es-ES"/>
        </w:rPr>
      </w:pPr>
    </w:p>
    <w:p w14:paraId="0ED82ECD" w14:textId="77777777" w:rsidR="00044E15" w:rsidRPr="00044E15" w:rsidRDefault="00044E15" w:rsidP="00044E15">
      <w:pPr>
        <w:spacing w:after="0" w:line="276" w:lineRule="auto"/>
        <w:jc w:val="both"/>
        <w:rPr>
          <w:rFonts w:ascii="Verdana" w:eastAsia="Calibri" w:hAnsi="Verdana" w:cs="Arial"/>
          <w:lang w:eastAsia="es-ES"/>
        </w:rPr>
      </w:pPr>
      <w:r w:rsidRPr="00044E15">
        <w:rPr>
          <w:rFonts w:ascii="Verdana" w:eastAsia="Calibri" w:hAnsi="Verdana" w:cs="Arial"/>
          <w:lang w:eastAsia="es-ES"/>
        </w:rPr>
        <w:t xml:space="preserve">Estimada señora </w:t>
      </w:r>
      <w:r w:rsidRPr="00044E15">
        <w:rPr>
          <w:rFonts w:ascii="Verdana" w:eastAsia="Aptos" w:hAnsi="Verdana" w:cs="Times New Roman"/>
          <w:kern w:val="2"/>
          <w14:ligatures w14:val="standardContextual"/>
        </w:rPr>
        <w:t>Henao Duque</w:t>
      </w:r>
      <w:r w:rsidRPr="00044E15">
        <w:rPr>
          <w:rFonts w:ascii="Verdana" w:eastAsia="Calibri" w:hAnsi="Verdana" w:cs="Arial"/>
          <w:lang w:eastAsia="es-ES"/>
        </w:rPr>
        <w:t xml:space="preserve">:  </w:t>
      </w:r>
    </w:p>
    <w:p w14:paraId="168816DD" w14:textId="77777777" w:rsidR="00044E15" w:rsidRPr="00044E15" w:rsidRDefault="00044E15" w:rsidP="00044E15">
      <w:pPr>
        <w:tabs>
          <w:tab w:val="left" w:pos="3768"/>
        </w:tabs>
        <w:spacing w:after="0" w:line="276" w:lineRule="auto"/>
        <w:jc w:val="both"/>
        <w:rPr>
          <w:rFonts w:ascii="Verdana" w:eastAsia="Calibri" w:hAnsi="Verdana" w:cs="Arial"/>
          <w:lang w:eastAsia="es-ES"/>
        </w:rPr>
      </w:pPr>
      <w:r w:rsidRPr="00044E15">
        <w:rPr>
          <w:rFonts w:ascii="Verdana" w:eastAsia="Calibri" w:hAnsi="Verdana" w:cs="Arial"/>
          <w:lang w:eastAsia="es-ES"/>
        </w:rPr>
        <w:tab/>
      </w:r>
    </w:p>
    <w:p w14:paraId="7DE1CC16" w14:textId="77777777" w:rsidR="00044E15" w:rsidRPr="00044E15" w:rsidRDefault="00044E15" w:rsidP="00044E15">
      <w:pPr>
        <w:spacing w:after="0" w:line="276" w:lineRule="auto"/>
        <w:jc w:val="both"/>
        <w:rPr>
          <w:rFonts w:ascii="Verdana" w:eastAsia="Calibri" w:hAnsi="Verdana" w:cs="Arial"/>
          <w:kern w:val="2"/>
          <w:lang w:val="es-ES" w:eastAsia="es-ES"/>
          <w14:ligatures w14:val="standardContextual"/>
        </w:rPr>
      </w:pPr>
      <w:r w:rsidRPr="00044E15">
        <w:rPr>
          <w:rFonts w:ascii="Verdana" w:eastAsia="Calibri" w:hAnsi="Verdana" w:cs="Arial"/>
          <w:kern w:val="2"/>
          <w:lang w:val="es-ES" w:eastAsia="es-ES"/>
          <w14:ligatures w14:val="standardContextual"/>
        </w:rPr>
        <w:t>En ejercicio de la competencia otorgada por los artículos 3, numeral 5º, y 11, numeral 8º, del Decreto Ley 4170 de 2011,</w:t>
      </w:r>
      <w:r w:rsidRPr="00044E15">
        <w:rPr>
          <w:rFonts w:ascii="Verdana" w:eastAsia="Arial MT" w:hAnsi="Verdana" w:cs="Arial MT"/>
          <w:kern w:val="2"/>
          <w:lang w:val="es-ES" w:eastAsia="es-ES"/>
          <w14:ligatures w14:val="standardContextual"/>
        </w:rPr>
        <w:t xml:space="preserve"> </w:t>
      </w:r>
      <w:r w:rsidRPr="00044E15">
        <w:rPr>
          <w:rFonts w:ascii="Verdana" w:eastAsia="Calibri" w:hAnsi="Verdana" w:cs="Arial"/>
          <w:kern w:val="2"/>
          <w:lang w:eastAsia="es-MX"/>
          <w14:ligatures w14:val="standardContextual"/>
        </w:rPr>
        <w:t xml:space="preserve">así como lo establecido por la </w:t>
      </w:r>
      <w:r w:rsidRPr="00044E15">
        <w:rPr>
          <w:rFonts w:ascii="Verdana" w:eastAsia="Aptos" w:hAnsi="Verdana" w:cs="Arial"/>
          <w:bCs/>
          <w:kern w:val="2"/>
          <w:lang w:eastAsia="es-ES" w:bidi="es-ES"/>
          <w14:ligatures w14:val="standardContextual"/>
        </w:rPr>
        <w:t>Resolución 469 de 2025 expedida por esta Entidad</w:t>
      </w:r>
      <w:r w:rsidRPr="00044E15">
        <w:rPr>
          <w:rFonts w:ascii="Verdana" w:eastAsia="Calibri" w:hAnsi="Verdana" w:cs="Arial"/>
          <w:kern w:val="2"/>
          <w:lang w:eastAsia="es-MX"/>
          <w14:ligatures w14:val="standardContextual"/>
        </w:rPr>
        <w:t xml:space="preserve">, </w:t>
      </w:r>
      <w:r w:rsidRPr="00044E15">
        <w:rPr>
          <w:rFonts w:ascii="Verdana" w:eastAsia="Calibri" w:hAnsi="Verdana" w:cs="Arial"/>
          <w:kern w:val="2"/>
          <w:lang w:val="es-ES" w:eastAsia="es-ES"/>
          <w14:ligatures w14:val="standardContextual"/>
        </w:rPr>
        <w:t xml:space="preserve">la Agencia Nacional de Contratación Pública – Colombia Compra Eficiente– responde su solicitud de consulta del 22 de septiembre de 2026, en la cual manifiesta lo siguiente: </w:t>
      </w:r>
    </w:p>
    <w:p w14:paraId="5A5F63D9" w14:textId="77777777" w:rsidR="00044E15" w:rsidRPr="00044E15" w:rsidRDefault="00044E15" w:rsidP="00044E15">
      <w:pPr>
        <w:spacing w:after="0" w:line="276" w:lineRule="auto"/>
        <w:jc w:val="both"/>
        <w:rPr>
          <w:rFonts w:ascii="Verdana" w:eastAsia="Calibri" w:hAnsi="Verdana" w:cs="Arial"/>
          <w:lang w:eastAsia="es-ES"/>
        </w:rPr>
      </w:pPr>
    </w:p>
    <w:p w14:paraId="18865F6A" w14:textId="77777777" w:rsidR="00044E15" w:rsidRPr="00044E15" w:rsidRDefault="00044E15" w:rsidP="00044E15">
      <w:pPr>
        <w:spacing w:after="120" w:line="240" w:lineRule="auto"/>
        <w:ind w:left="709" w:right="709"/>
        <w:jc w:val="both"/>
        <w:rPr>
          <w:rFonts w:ascii="Verdana" w:eastAsia="Aptos" w:hAnsi="Verdana" w:cs="Times New Roman"/>
          <w:kern w:val="2"/>
          <w:sz w:val="20"/>
          <w:szCs w:val="20"/>
          <w14:ligatures w14:val="standardContextual"/>
        </w:rPr>
      </w:pPr>
      <w:r w:rsidRPr="00044E15">
        <w:rPr>
          <w:rFonts w:ascii="Verdana" w:eastAsia="Aptos" w:hAnsi="Verdana" w:cs="Times New Roman"/>
          <w:kern w:val="2"/>
          <w:sz w:val="20"/>
          <w:szCs w:val="20"/>
          <w14:ligatures w14:val="standardContextual"/>
        </w:rPr>
        <w:t xml:space="preserve">“De manera respetuosa acudo a ustedes con el fin de solicitar un concepto sobre la correcta aplicación de las reglas del numeral 4.2.2 ("Formación </w:t>
      </w:r>
      <w:r w:rsidRPr="00044E15">
        <w:rPr>
          <w:rFonts w:ascii="Verdana" w:eastAsia="Aptos" w:hAnsi="Verdana" w:cs="Times New Roman"/>
          <w:kern w:val="2"/>
          <w:sz w:val="20"/>
          <w:szCs w:val="20"/>
          <w14:ligatures w14:val="standardContextual"/>
        </w:rPr>
        <w:lastRenderedPageBreak/>
        <w:t xml:space="preserve">académica adicional del Personal Clave Evaluable") en concordancia con las restricciones normativas de la Matriz 4 (Lineamientos de requisitos del personal) de los Documentos Tipo de Interventoría. </w:t>
      </w:r>
    </w:p>
    <w:p w14:paraId="76072857" w14:textId="77777777" w:rsidR="00044E15" w:rsidRPr="00044E15" w:rsidRDefault="00044E15" w:rsidP="00044E15">
      <w:pPr>
        <w:spacing w:after="120" w:line="240" w:lineRule="auto"/>
        <w:ind w:left="709" w:right="709"/>
        <w:jc w:val="both"/>
        <w:rPr>
          <w:rFonts w:ascii="Verdana" w:eastAsia="Aptos" w:hAnsi="Verdana" w:cs="Times New Roman"/>
          <w:kern w:val="2"/>
          <w:sz w:val="20"/>
          <w:szCs w:val="20"/>
          <w14:ligatures w14:val="standardContextual"/>
        </w:rPr>
      </w:pPr>
      <w:r w:rsidRPr="00044E15">
        <w:rPr>
          <w:rFonts w:ascii="Verdana" w:eastAsia="Aptos" w:hAnsi="Verdana" w:cs="Times New Roman"/>
          <w:kern w:val="2"/>
          <w:sz w:val="20"/>
          <w:szCs w:val="20"/>
          <w14:ligatures w14:val="standardContextual"/>
        </w:rPr>
        <w:t xml:space="preserve">Esta consulta es de suma urgencia e importancia debido a que el proceso en mención fue adjudicado en el año 2024, estuvo suspendido y se encuentra ad portas de iniciar su ejecución; fase en la cual la Entidad Estatal debe verificar de forma estricta, objetiva e imparcial los compromisos asumidos en los Formatos 8 y 9, sin dar espacio a interpretaciones acomodadas o subjetivas que alteren las reglas de juego bajo las cuales se evaluaron las ofertas. </w:t>
      </w:r>
    </w:p>
    <w:p w14:paraId="0BA392B6" w14:textId="77777777" w:rsidR="00044E15" w:rsidRPr="00044E15" w:rsidRDefault="00044E15" w:rsidP="00044E15">
      <w:pPr>
        <w:spacing w:after="120" w:line="240" w:lineRule="auto"/>
        <w:ind w:left="709" w:right="709"/>
        <w:jc w:val="both"/>
        <w:rPr>
          <w:rFonts w:ascii="Verdana" w:eastAsia="Aptos" w:hAnsi="Verdana" w:cs="Times New Roman"/>
          <w:kern w:val="2"/>
          <w:sz w:val="20"/>
          <w:szCs w:val="20"/>
          <w14:ligatures w14:val="standardContextual"/>
        </w:rPr>
      </w:pPr>
      <w:r w:rsidRPr="00044E15">
        <w:rPr>
          <w:rFonts w:ascii="Verdana" w:eastAsia="Aptos" w:hAnsi="Verdana" w:cs="Times New Roman"/>
          <w:kern w:val="2"/>
          <w:sz w:val="20"/>
          <w:szCs w:val="20"/>
          <w14:ligatures w14:val="standardContextual"/>
        </w:rPr>
        <w:t xml:space="preserve">Consulta: </w:t>
      </w:r>
    </w:p>
    <w:p w14:paraId="1D400266" w14:textId="77777777" w:rsidR="00044E15" w:rsidRPr="00044E15" w:rsidRDefault="00044E15" w:rsidP="00044E15">
      <w:pPr>
        <w:spacing w:after="120" w:line="240" w:lineRule="auto"/>
        <w:ind w:left="709" w:right="709"/>
        <w:jc w:val="both"/>
        <w:rPr>
          <w:rFonts w:ascii="Verdana" w:eastAsia="Aptos" w:hAnsi="Verdana" w:cs="Times New Roman"/>
          <w:kern w:val="2"/>
          <w:sz w:val="20"/>
          <w:szCs w:val="20"/>
          <w14:ligatures w14:val="standardContextual"/>
        </w:rPr>
      </w:pPr>
      <w:r w:rsidRPr="00044E15">
        <w:rPr>
          <w:rFonts w:ascii="Verdana" w:eastAsia="Aptos" w:hAnsi="Verdana" w:cs="Times New Roman"/>
          <w:kern w:val="2"/>
          <w:sz w:val="20"/>
          <w:szCs w:val="20"/>
          <w14:ligatures w14:val="standardContextual"/>
        </w:rPr>
        <w:t xml:space="preserve">Frente a un pliego de condiciones donde el requisito mínimo para el Director de Interventoría exige un Título de Posgrado específico (ej. Gerencia de Proyectos) + un número de años de experiencia específica, los Documentos Tipo traen dos mandatos literales que no resultan claros: </w:t>
      </w:r>
    </w:p>
    <w:p w14:paraId="3BA8B1F6" w14:textId="77777777" w:rsidR="00044E15" w:rsidRPr="00044E15" w:rsidRDefault="00044E15" w:rsidP="00044E15">
      <w:pPr>
        <w:spacing w:after="120" w:line="240" w:lineRule="auto"/>
        <w:ind w:left="709" w:right="709"/>
        <w:jc w:val="both"/>
        <w:rPr>
          <w:rFonts w:ascii="Verdana" w:eastAsia="Aptos" w:hAnsi="Verdana" w:cs="Times New Roman"/>
          <w:kern w:val="2"/>
          <w:sz w:val="20"/>
          <w:szCs w:val="20"/>
          <w14:ligatures w14:val="standardContextual"/>
        </w:rPr>
      </w:pPr>
      <w:r w:rsidRPr="00044E15">
        <w:rPr>
          <w:rFonts w:ascii="Verdana" w:eastAsia="Aptos" w:hAnsi="Verdana" w:cs="Times New Roman"/>
          <w:kern w:val="2"/>
          <w:sz w:val="20"/>
          <w:szCs w:val="20"/>
          <w14:ligatures w14:val="standardContextual"/>
        </w:rPr>
        <w:t xml:space="preserve">La Literalidad del Numeral 4.2.2: Establece expresamente que: </w:t>
      </w:r>
    </w:p>
    <w:p w14:paraId="51BFF8F7" w14:textId="77777777" w:rsidR="00044E15" w:rsidRPr="00044E15" w:rsidRDefault="00044E15" w:rsidP="00044E15">
      <w:pPr>
        <w:spacing w:after="120" w:line="240" w:lineRule="auto"/>
        <w:ind w:left="709" w:right="709"/>
        <w:jc w:val="both"/>
        <w:rPr>
          <w:rFonts w:ascii="Verdana" w:eastAsia="Aptos" w:hAnsi="Verdana" w:cs="Times New Roman"/>
          <w:kern w:val="2"/>
          <w:sz w:val="20"/>
          <w:szCs w:val="20"/>
          <w14:ligatures w14:val="standardContextual"/>
        </w:rPr>
      </w:pPr>
      <w:r w:rsidRPr="00044E15">
        <w:rPr>
          <w:rFonts w:ascii="Verdana" w:eastAsia="Aptos" w:hAnsi="Verdana" w:cs="Times New Roman"/>
          <w:kern w:val="2"/>
          <w:sz w:val="20"/>
          <w:szCs w:val="20"/>
          <w14:ligatures w14:val="standardContextual"/>
        </w:rPr>
        <w:t xml:space="preserve">“si el requisito mínimo de formación académica es contar con un título de posgrado, se otorgará el puntaje a quien acredite un título de posgrado adicional”. Es decir, exige dos títulos físicos diferenciados. </w:t>
      </w:r>
    </w:p>
    <w:p w14:paraId="4CBF0A53" w14:textId="77777777" w:rsidR="00044E15" w:rsidRPr="00044E15" w:rsidRDefault="00044E15" w:rsidP="00044E15">
      <w:pPr>
        <w:spacing w:after="120" w:line="240" w:lineRule="auto"/>
        <w:ind w:left="709" w:right="709"/>
        <w:jc w:val="both"/>
        <w:rPr>
          <w:rFonts w:ascii="Verdana" w:eastAsia="Aptos" w:hAnsi="Verdana" w:cs="Times New Roman"/>
          <w:kern w:val="2"/>
          <w:sz w:val="20"/>
          <w:szCs w:val="20"/>
          <w14:ligatures w14:val="standardContextual"/>
        </w:rPr>
      </w:pPr>
      <w:r w:rsidRPr="00044E15">
        <w:rPr>
          <w:rFonts w:ascii="Verdana" w:eastAsia="Aptos" w:hAnsi="Verdana" w:cs="Times New Roman"/>
          <w:kern w:val="2"/>
          <w:sz w:val="20"/>
          <w:szCs w:val="20"/>
          <w14:ligatures w14:val="standardContextual"/>
        </w:rPr>
        <w:t xml:space="preserve">La Restricción de la Matriz 4: La nota general de la Matriz de Personal advierte de forma taxativa que: </w:t>
      </w:r>
    </w:p>
    <w:p w14:paraId="57FBEFE3" w14:textId="77777777" w:rsidR="00044E15" w:rsidRPr="00044E15" w:rsidRDefault="00044E15" w:rsidP="00044E15">
      <w:pPr>
        <w:spacing w:after="120" w:line="240" w:lineRule="auto"/>
        <w:ind w:left="709" w:right="709"/>
        <w:jc w:val="both"/>
        <w:rPr>
          <w:rFonts w:ascii="Verdana" w:eastAsia="Aptos" w:hAnsi="Verdana" w:cs="Times New Roman"/>
          <w:kern w:val="2"/>
          <w:sz w:val="20"/>
          <w:szCs w:val="20"/>
          <w14:ligatures w14:val="standardContextual"/>
        </w:rPr>
      </w:pPr>
      <w:r w:rsidRPr="00044E15">
        <w:rPr>
          <w:rFonts w:ascii="Verdana" w:eastAsia="Aptos" w:hAnsi="Verdana" w:cs="Times New Roman"/>
          <w:kern w:val="2"/>
          <w:sz w:val="20"/>
          <w:szCs w:val="20"/>
          <w14:ligatures w14:val="standardContextual"/>
        </w:rPr>
        <w:t xml:space="preserve">“Las equivalencias de formación académica y experiencia del Personal Clave Evaluable solo aplican para acreditar las exigencias mínimas previstas en el numeral 3.8.2. Para el otorgamiento de puntaje no se tendrán en cuenta estas equivalencias”. </w:t>
      </w:r>
    </w:p>
    <w:p w14:paraId="772EBA38" w14:textId="77777777" w:rsidR="00044E15" w:rsidRPr="00044E15" w:rsidRDefault="00044E15" w:rsidP="00044E15">
      <w:pPr>
        <w:spacing w:after="120" w:line="240" w:lineRule="auto"/>
        <w:ind w:left="709" w:right="709"/>
        <w:jc w:val="both"/>
        <w:rPr>
          <w:rFonts w:ascii="Verdana" w:eastAsia="Aptos" w:hAnsi="Verdana" w:cs="Times New Roman"/>
          <w:kern w:val="2"/>
          <w:sz w:val="20"/>
          <w:szCs w:val="20"/>
          <w14:ligatures w14:val="standardContextual"/>
        </w:rPr>
      </w:pPr>
      <w:r w:rsidRPr="00044E15">
        <w:rPr>
          <w:rFonts w:ascii="Verdana" w:eastAsia="Aptos" w:hAnsi="Verdana" w:cs="Times New Roman"/>
          <w:kern w:val="2"/>
          <w:sz w:val="20"/>
          <w:szCs w:val="20"/>
          <w14:ligatures w14:val="standardContextual"/>
        </w:rPr>
        <w:t xml:space="preserve">A partir de lo anterior, se presentan dos posiciones o interpretaciones frente a lo estipulado en el pliego: </w:t>
      </w:r>
    </w:p>
    <w:p w14:paraId="56AADF9E" w14:textId="77777777" w:rsidR="00044E15" w:rsidRPr="00044E15" w:rsidRDefault="00044E15" w:rsidP="00044E15">
      <w:pPr>
        <w:spacing w:after="120" w:line="240" w:lineRule="auto"/>
        <w:ind w:left="709" w:right="709"/>
        <w:jc w:val="both"/>
        <w:rPr>
          <w:rFonts w:ascii="Verdana" w:eastAsia="Aptos" w:hAnsi="Verdana" w:cs="Times New Roman"/>
          <w:kern w:val="2"/>
          <w:sz w:val="20"/>
          <w:szCs w:val="20"/>
          <w14:ligatures w14:val="standardContextual"/>
        </w:rPr>
      </w:pPr>
      <w:r w:rsidRPr="00044E15">
        <w:rPr>
          <w:rFonts w:ascii="Verdana" w:eastAsia="Aptos" w:hAnsi="Verdana" w:cs="Times New Roman"/>
          <w:kern w:val="2"/>
          <w:sz w:val="20"/>
          <w:szCs w:val="20"/>
          <w14:ligatures w14:val="standardContextual"/>
        </w:rPr>
        <w:t xml:space="preserve">Primera: La literalidad del pliego tipo exige que el posgrado de puntuación sea estrictamente un segundo posgrado real. (tesis A) </w:t>
      </w:r>
    </w:p>
    <w:p w14:paraId="7451922D" w14:textId="77777777" w:rsidR="00044E15" w:rsidRPr="00044E15" w:rsidRDefault="00044E15" w:rsidP="00044E15">
      <w:pPr>
        <w:spacing w:after="120" w:line="240" w:lineRule="auto"/>
        <w:ind w:left="709" w:right="709"/>
        <w:jc w:val="both"/>
        <w:rPr>
          <w:rFonts w:ascii="Verdana" w:eastAsia="Aptos" w:hAnsi="Verdana" w:cs="Times New Roman"/>
          <w:kern w:val="2"/>
          <w:sz w:val="20"/>
          <w:szCs w:val="20"/>
          <w14:ligatures w14:val="standardContextual"/>
        </w:rPr>
      </w:pPr>
      <w:r w:rsidRPr="00044E15">
        <w:rPr>
          <w:rFonts w:ascii="Verdana" w:eastAsia="Aptos" w:hAnsi="Verdana" w:cs="Times New Roman"/>
          <w:kern w:val="2"/>
          <w:sz w:val="20"/>
          <w:szCs w:val="20"/>
          <w14:ligatures w14:val="standardContextual"/>
        </w:rPr>
        <w:t>Segunda: Es que permite interpretar que es válido usar la equivalencia de experiencia por un posgrado para liberar el posgrado físico mínimo y hacerlo valer como el posgrado adicional para el puntaje. (tesis B)</w:t>
      </w:r>
    </w:p>
    <w:p w14:paraId="7861CA1F" w14:textId="77777777" w:rsidR="00044E15" w:rsidRPr="00044E15" w:rsidRDefault="00044E15" w:rsidP="00044E15">
      <w:pPr>
        <w:spacing w:after="120" w:line="240" w:lineRule="auto"/>
        <w:ind w:left="709" w:right="709"/>
        <w:jc w:val="both"/>
        <w:rPr>
          <w:rFonts w:ascii="Verdana" w:eastAsia="Aptos" w:hAnsi="Verdana" w:cs="Times New Roman"/>
          <w:kern w:val="2"/>
          <w:sz w:val="20"/>
          <w:szCs w:val="20"/>
          <w14:ligatures w14:val="standardContextual"/>
        </w:rPr>
      </w:pPr>
      <w:r w:rsidRPr="00044E15">
        <w:rPr>
          <w:rFonts w:ascii="Verdana" w:eastAsia="Aptos" w:hAnsi="Verdana" w:cs="Times New Roman"/>
          <w:kern w:val="2"/>
          <w:sz w:val="20"/>
          <w:szCs w:val="20"/>
          <w14:ligatures w14:val="standardContextual"/>
        </w:rPr>
        <w:t xml:space="preserve">Dadas las dos tesis para la Entidad estatal en la fase de ejecución contractual resulta complejo porque podría incurrirse una subjetividad absoluta, rompiendo flagrantemente los principios de transparencia, selección objetiva, igualdad e imparcialidad, pues cada entidad terminaría regulando su propio método de ponderación, desnaturalizando la esencia misma de los Pliegos Tipo. </w:t>
      </w:r>
    </w:p>
    <w:p w14:paraId="5A93F82D" w14:textId="77777777" w:rsidR="00044E15" w:rsidRPr="00044E15" w:rsidRDefault="00044E15" w:rsidP="00044E15">
      <w:pPr>
        <w:spacing w:after="120" w:line="240" w:lineRule="auto"/>
        <w:ind w:left="709" w:right="709"/>
        <w:jc w:val="both"/>
        <w:rPr>
          <w:rFonts w:ascii="Verdana" w:eastAsia="Aptos" w:hAnsi="Verdana" w:cs="Times New Roman"/>
          <w:kern w:val="2"/>
          <w:sz w:val="20"/>
          <w:szCs w:val="20"/>
          <w14:ligatures w14:val="standardContextual"/>
        </w:rPr>
      </w:pPr>
      <w:r w:rsidRPr="00044E15">
        <w:rPr>
          <w:rFonts w:ascii="Verdana" w:eastAsia="Aptos" w:hAnsi="Verdana" w:cs="Times New Roman"/>
          <w:kern w:val="2"/>
          <w:sz w:val="20"/>
          <w:szCs w:val="20"/>
          <w14:ligatures w14:val="standardContextual"/>
        </w:rPr>
        <w:lastRenderedPageBreak/>
        <w:t xml:space="preserve">Con el propósito de salvaguardar la legalidad de los Documentos Tipo y evitar riesgos de nulidad en la ejecución del contrato, formulo los siguientes interrogantes: </w:t>
      </w:r>
    </w:p>
    <w:p w14:paraId="79A4CC5B" w14:textId="77777777" w:rsidR="00044E15" w:rsidRPr="00044E15" w:rsidRDefault="00044E15" w:rsidP="00044E15">
      <w:pPr>
        <w:spacing w:after="120" w:line="240" w:lineRule="auto"/>
        <w:ind w:left="709" w:right="709"/>
        <w:jc w:val="both"/>
        <w:rPr>
          <w:rFonts w:ascii="Verdana" w:eastAsia="Aptos" w:hAnsi="Verdana" w:cs="Times New Roman"/>
          <w:kern w:val="2"/>
          <w:sz w:val="20"/>
          <w:szCs w:val="20"/>
          <w14:ligatures w14:val="standardContextual"/>
        </w:rPr>
      </w:pPr>
      <w:r w:rsidRPr="00044E15">
        <w:rPr>
          <w:rFonts w:ascii="Verdana" w:eastAsia="Aptos" w:hAnsi="Verdana" w:cs="Times New Roman"/>
          <w:kern w:val="2"/>
          <w:sz w:val="20"/>
          <w:szCs w:val="20"/>
          <w14:ligatures w14:val="standardContextual"/>
        </w:rPr>
        <w:t xml:space="preserve">1. Dado que la Matriz 4 prohíbe de forma perentoria utilizar las equivalencias para la asignación de puntajes, ¿se incurre en una violación a los principios de transparencia, selección objetiva e imparcialidad si una Entidad Estatal acepta de forma indirecta una equivalencia para justificar el otorgamiento de los 5 puntos del numeral 4.2.2? </w:t>
      </w:r>
    </w:p>
    <w:p w14:paraId="4240C27C" w14:textId="77777777" w:rsidR="00044E15" w:rsidRPr="00044E15" w:rsidRDefault="00044E15" w:rsidP="00044E15">
      <w:pPr>
        <w:spacing w:after="120" w:line="240" w:lineRule="auto"/>
        <w:ind w:left="709" w:right="709"/>
        <w:jc w:val="both"/>
        <w:rPr>
          <w:rFonts w:ascii="Verdana" w:eastAsia="Aptos" w:hAnsi="Verdana" w:cs="Times New Roman"/>
          <w:kern w:val="2"/>
          <w:sz w:val="20"/>
          <w:szCs w:val="20"/>
          <w14:ligatures w14:val="standardContextual"/>
        </w:rPr>
      </w:pPr>
      <w:r w:rsidRPr="00044E15">
        <w:rPr>
          <w:rFonts w:ascii="Verdana" w:eastAsia="Aptos" w:hAnsi="Verdana" w:cs="Times New Roman"/>
          <w:kern w:val="2"/>
          <w:sz w:val="20"/>
          <w:szCs w:val="20"/>
          <w14:ligatures w14:val="standardContextual"/>
        </w:rPr>
        <w:t xml:space="preserve">2. Si el requisito mínimo habilitante del pliego exige un Título de Posgrado (ej. Gerencia de Proyectos) y el proponente se adjudicó los 5 puntos de formación académica adicional: ¿Constituye una interpretación subjetiva, restrictiva y prohibida que la Entidad Estatal le otorgue el puntaje basándose en un único título de posgrado físico, bajo el argumento de que la experiencia del profesional "suplió" el requisito habilitante de la especialización? </w:t>
      </w:r>
    </w:p>
    <w:p w14:paraId="4971D973" w14:textId="77777777" w:rsidR="00044E15" w:rsidRPr="00044E15" w:rsidRDefault="00044E15" w:rsidP="00044E15">
      <w:pPr>
        <w:spacing w:after="120" w:line="240" w:lineRule="auto"/>
        <w:ind w:left="709" w:right="709"/>
        <w:jc w:val="both"/>
        <w:rPr>
          <w:rFonts w:ascii="Verdana" w:eastAsia="Aptos" w:hAnsi="Verdana" w:cs="Times New Roman"/>
          <w:kern w:val="2"/>
          <w:sz w:val="20"/>
          <w:szCs w:val="20"/>
          <w14:ligatures w14:val="standardContextual"/>
        </w:rPr>
      </w:pPr>
      <w:r w:rsidRPr="00044E15">
        <w:rPr>
          <w:rFonts w:ascii="Verdana" w:eastAsia="Aptos" w:hAnsi="Verdana" w:cs="Times New Roman"/>
          <w:kern w:val="2"/>
          <w:sz w:val="20"/>
          <w:szCs w:val="20"/>
          <w14:ligatures w14:val="standardContextual"/>
        </w:rPr>
        <w:t xml:space="preserve">En aras de garantizar la seguridad jurídica del contrato adjudicado en 2024 próximo a iniciar, ¿debe interpretarse de manera unificada que la única forma objetiva y literal de conservar el puntaje obtenido en el numeral 4.2.2 —cuando el requisito habilitante ya incluye posgrado— es aportando de manera estricta dos títulos de posgrado físicos e independientes (el de la exigencia mínima y el adicional), quedando vedado cualquier uso de equivalencias para este fin? </w:t>
      </w:r>
    </w:p>
    <w:p w14:paraId="2FAFF8C7" w14:textId="77777777" w:rsidR="00044E15" w:rsidRPr="00044E15" w:rsidRDefault="00044E15" w:rsidP="00044E15">
      <w:pPr>
        <w:spacing w:after="0" w:line="240" w:lineRule="auto"/>
        <w:ind w:left="709" w:right="709"/>
        <w:jc w:val="both"/>
        <w:rPr>
          <w:rFonts w:ascii="Verdana" w:eastAsia="Aptos" w:hAnsi="Verdana" w:cs="Times New Roman"/>
          <w:kern w:val="2"/>
          <w:sz w:val="20"/>
          <w:szCs w:val="20"/>
          <w14:ligatures w14:val="standardContextual"/>
        </w:rPr>
      </w:pPr>
      <w:r w:rsidRPr="00044E15">
        <w:rPr>
          <w:rFonts w:ascii="Verdana" w:eastAsia="Aptos" w:hAnsi="Verdana" w:cs="Times New Roman"/>
          <w:kern w:val="2"/>
          <w:sz w:val="20"/>
          <w:szCs w:val="20"/>
          <w14:ligatures w14:val="standardContextual"/>
        </w:rPr>
        <w:t xml:space="preserve">Quedo atenta a la respuesta, la cual solicito sea de fondo y con la rigurosidad </w:t>
      </w:r>
      <w:proofErr w:type="spellStart"/>
      <w:r w:rsidRPr="00044E15">
        <w:rPr>
          <w:rFonts w:ascii="Verdana" w:eastAsia="Aptos" w:hAnsi="Verdana" w:cs="Times New Roman"/>
          <w:kern w:val="2"/>
          <w:sz w:val="20"/>
          <w:szCs w:val="20"/>
          <w14:ligatures w14:val="standardContextual"/>
        </w:rPr>
        <w:t>técnicojurídica</w:t>
      </w:r>
      <w:proofErr w:type="spellEnd"/>
      <w:r w:rsidRPr="00044E15">
        <w:rPr>
          <w:rFonts w:ascii="Verdana" w:eastAsia="Aptos" w:hAnsi="Verdana" w:cs="Times New Roman"/>
          <w:kern w:val="2"/>
          <w:sz w:val="20"/>
          <w:szCs w:val="20"/>
          <w14:ligatures w14:val="standardContextual"/>
        </w:rPr>
        <w:t xml:space="preserve"> que caracteriza a la Agencia como ente rector de la contratación estatal en Colombia y de antemano agradezco sus buenas gestiones para tener claridad sobre el tema”. </w:t>
      </w:r>
    </w:p>
    <w:p w14:paraId="0CE7C8A2" w14:textId="77777777" w:rsidR="00044E15" w:rsidRPr="00044E15" w:rsidRDefault="00044E15" w:rsidP="00044E15">
      <w:pPr>
        <w:spacing w:after="0" w:line="240" w:lineRule="auto"/>
        <w:ind w:left="709" w:right="709"/>
        <w:jc w:val="both"/>
        <w:rPr>
          <w:rFonts w:ascii="Verdana" w:eastAsia="Times New Roman" w:hAnsi="Verdana" w:cs="Times New Roman"/>
          <w:sz w:val="21"/>
          <w:szCs w:val="21"/>
          <w:lang w:eastAsia="es-CO"/>
        </w:rPr>
      </w:pPr>
    </w:p>
    <w:p w14:paraId="33089644" w14:textId="77777777" w:rsidR="00044E15" w:rsidRPr="00044E15" w:rsidRDefault="00044E15" w:rsidP="00044E15">
      <w:pPr>
        <w:spacing w:after="120" w:line="276" w:lineRule="auto"/>
        <w:ind w:firstLine="709"/>
        <w:jc w:val="both"/>
        <w:rPr>
          <w:rFonts w:ascii="Verdana" w:eastAsia="Calibri" w:hAnsi="Verdana" w:cs="Arial"/>
          <w:lang w:eastAsia="es-ES"/>
        </w:rPr>
      </w:pPr>
      <w:r w:rsidRPr="00044E15">
        <w:rPr>
          <w:rFonts w:ascii="Verdana" w:eastAsia="Calibri" w:hAnsi="Verdana" w:cs="Arial"/>
          <w:lang w:eastAsia="es-ES"/>
        </w:rPr>
        <w:t xml:space="preserve">De manera preliminar, resulta necesario resaltar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p>
    <w:p w14:paraId="6B797702" w14:textId="77777777" w:rsidR="00044E15" w:rsidRPr="00044E15" w:rsidRDefault="00044E15" w:rsidP="00044E15">
      <w:pPr>
        <w:spacing w:after="0" w:line="276" w:lineRule="auto"/>
        <w:jc w:val="both"/>
        <w:rPr>
          <w:rFonts w:ascii="Verdana" w:eastAsia="Calibri" w:hAnsi="Verdana" w:cs="Arial"/>
          <w:lang w:eastAsia="es-ES"/>
        </w:rPr>
      </w:pPr>
      <w:r w:rsidRPr="00044E15">
        <w:rPr>
          <w:rFonts w:ascii="Verdana" w:eastAsia="Calibri" w:hAnsi="Verdana" w:cs="Arial"/>
          <w:lang w:eastAsia="es-ES_tradnl"/>
        </w:rPr>
        <w:lastRenderedPageBreak/>
        <w:tab/>
      </w:r>
      <w:r w:rsidRPr="00044E15">
        <w:rPr>
          <w:rFonts w:ascii="Verdana" w:eastAsia="Calibri" w:hAnsi="Verdana" w:cs="Arial"/>
          <w:lang w:eastAsia="es-ES"/>
        </w:rPr>
        <w:t>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el problema jurídico de su consulta.</w:t>
      </w:r>
    </w:p>
    <w:p w14:paraId="2DD76C6E" w14:textId="77777777" w:rsidR="00044E15" w:rsidRPr="00044E15" w:rsidRDefault="00044E15" w:rsidP="00044E15">
      <w:pPr>
        <w:spacing w:after="0" w:line="276" w:lineRule="auto"/>
        <w:ind w:firstLine="709"/>
        <w:jc w:val="both"/>
        <w:rPr>
          <w:rFonts w:ascii="Verdana" w:eastAsia="Calibri" w:hAnsi="Verdana" w:cs="Arial"/>
          <w:lang w:eastAsia="es-ES"/>
        </w:rPr>
      </w:pPr>
    </w:p>
    <w:p w14:paraId="3C679699" w14:textId="77777777" w:rsidR="00044E15" w:rsidRPr="00044E15" w:rsidRDefault="00044E15" w:rsidP="00044E15">
      <w:pPr>
        <w:numPr>
          <w:ilvl w:val="0"/>
          <w:numId w:val="16"/>
        </w:numPr>
        <w:tabs>
          <w:tab w:val="left" w:pos="142"/>
          <w:tab w:val="left" w:pos="284"/>
        </w:tabs>
        <w:spacing w:after="0" w:line="276" w:lineRule="auto"/>
        <w:jc w:val="both"/>
        <w:rPr>
          <w:rFonts w:ascii="Verdana" w:eastAsia="Century Gothic" w:hAnsi="Verdana" w:cs="Century Gothic"/>
          <w:b/>
          <w:bCs/>
        </w:rPr>
      </w:pPr>
      <w:r w:rsidRPr="00044E15">
        <w:rPr>
          <w:rFonts w:ascii="Verdana" w:eastAsia="Century Gothic" w:hAnsi="Verdana" w:cs="Century Gothic"/>
          <w:b/>
          <w:bCs/>
        </w:rPr>
        <w:t>Problema planteado:</w:t>
      </w:r>
    </w:p>
    <w:p w14:paraId="6D092EDD" w14:textId="77777777" w:rsidR="00044E15" w:rsidRPr="00044E15" w:rsidRDefault="00044E15" w:rsidP="00044E15">
      <w:pPr>
        <w:tabs>
          <w:tab w:val="left" w:pos="426"/>
        </w:tabs>
        <w:spacing w:after="0" w:line="276" w:lineRule="auto"/>
        <w:jc w:val="both"/>
        <w:rPr>
          <w:rFonts w:ascii="Verdana" w:eastAsia="Century Gothic" w:hAnsi="Verdana" w:cs="Century Gothic"/>
        </w:rPr>
      </w:pPr>
    </w:p>
    <w:p w14:paraId="1457D8D6" w14:textId="77777777" w:rsidR="00044E15" w:rsidRPr="00044E15" w:rsidRDefault="00044E15" w:rsidP="00044E15">
      <w:pPr>
        <w:spacing w:after="120" w:line="276" w:lineRule="auto"/>
        <w:jc w:val="both"/>
        <w:rPr>
          <w:rFonts w:ascii="Verdana" w:eastAsia="Century Gothic" w:hAnsi="Verdana" w:cs="Century Gothic"/>
        </w:rPr>
      </w:pPr>
      <w:r w:rsidRPr="00044E15">
        <w:rPr>
          <w:rFonts w:ascii="Verdana" w:eastAsia="Century Gothic" w:hAnsi="Verdana" w:cs="Century Gothic"/>
        </w:rPr>
        <w:t>De acuerdo con el contenido de su solicitud, esta Agencia resolverá el siguiente problema jurídico: en los Documentos Tipo de concurso de méritos para contratar la interventoría de obra pública de infraestructura de transporte – versión 2, cuando el perfil de un integrante del Personal Clave Evaluable exige como formación académica mínima un título de posgrado, ¿puede el profesional suplir ese título con experiencia, mediante las equivalencias del numeral IV de la “Matriz 4 – Lineamientos de requisitos del personal”, y presentar el título de posgrado que efectivamente posee, que no fue objeto de equivalencia, para obtener el puntaje por formación académica adicional del numeral 4.2.2 del documento base?</w:t>
      </w:r>
    </w:p>
    <w:p w14:paraId="092649A9" w14:textId="77777777" w:rsidR="00044E15" w:rsidRPr="00044E15" w:rsidRDefault="00044E15" w:rsidP="00044E15">
      <w:pPr>
        <w:snapToGrid w:val="0"/>
        <w:spacing w:after="0" w:line="276" w:lineRule="auto"/>
        <w:ind w:firstLine="360"/>
        <w:jc w:val="both"/>
        <w:rPr>
          <w:rFonts w:ascii="Verdana" w:eastAsia="Calibri" w:hAnsi="Verdana" w:cs="Times New Roman"/>
        </w:rPr>
      </w:pPr>
      <w:r w:rsidRPr="000B6A46">
        <w:rPr>
          <w:rFonts w:ascii="Verdana" w:eastAsia="Century Gothic" w:hAnsi="Verdana" w:cs="Century Gothic"/>
          <w:b/>
          <w:bCs/>
        </w:rPr>
        <w:t>Nota:</w:t>
      </w:r>
      <w:r w:rsidRPr="00044E15">
        <w:rPr>
          <w:rFonts w:ascii="Verdana" w:eastAsia="Century Gothic" w:hAnsi="Verdana" w:cs="Century Gothic"/>
        </w:rPr>
        <w:t xml:space="preserve"> </w:t>
      </w:r>
      <w:r w:rsidRPr="00044E15">
        <w:rPr>
          <w:rFonts w:ascii="Verdana" w:eastAsia="Calibri" w:hAnsi="Verdana" w:cs="Times New Roman"/>
        </w:rPr>
        <w:t xml:space="preserve">En relación con su solicitud, debe indicarse que, mediante la Resolución 326 del 22 de julio de 2022, esta Agencia expidió la versión 2 de los documentos tipo para los procesos de contratación que se adelanten bajo la modalidad de concurso de méritos para contratar la interventoría de obra pública de infraestructura de transporte, y derogó la Resolución 256 de 2020. Estos documentos tipo estuvieron vigentes hasta el 2 de febrero de 2025, considerando que, mediante la Resolución 725 del 19 de diciembre de 2024, se adoptó la versión 3 y se derogó la Resolución 326 de 2022. </w:t>
      </w:r>
    </w:p>
    <w:p w14:paraId="1CE4898D" w14:textId="77777777" w:rsidR="00044E15" w:rsidRPr="00044E15" w:rsidRDefault="00044E15" w:rsidP="00044E15">
      <w:pPr>
        <w:spacing w:after="0" w:line="276" w:lineRule="auto"/>
        <w:jc w:val="both"/>
        <w:rPr>
          <w:rFonts w:ascii="Verdana" w:eastAsia="Century Gothic" w:hAnsi="Verdana" w:cs="Century Gothic"/>
        </w:rPr>
      </w:pPr>
    </w:p>
    <w:p w14:paraId="067D9FB2" w14:textId="77777777" w:rsidR="00044E15" w:rsidRPr="00044E15" w:rsidRDefault="00044E15" w:rsidP="00044E15">
      <w:pPr>
        <w:numPr>
          <w:ilvl w:val="0"/>
          <w:numId w:val="16"/>
        </w:numPr>
        <w:tabs>
          <w:tab w:val="left" w:pos="142"/>
          <w:tab w:val="left" w:pos="284"/>
        </w:tabs>
        <w:spacing w:after="0" w:line="276" w:lineRule="auto"/>
        <w:contextualSpacing/>
        <w:jc w:val="both"/>
        <w:rPr>
          <w:rFonts w:ascii="Verdana" w:eastAsia="Century Gothic" w:hAnsi="Verdana" w:cs="Century Gothic"/>
          <w:b/>
          <w:bCs/>
        </w:rPr>
      </w:pPr>
      <w:r w:rsidRPr="00044E15">
        <w:rPr>
          <w:rFonts w:ascii="Verdana" w:eastAsia="Century Gothic" w:hAnsi="Verdana" w:cs="Century Gothic"/>
          <w:b/>
          <w:bCs/>
        </w:rPr>
        <w:t>Respuestas:</w:t>
      </w:r>
    </w:p>
    <w:p w14:paraId="1C642F5B" w14:textId="77777777" w:rsidR="00044E15" w:rsidRPr="00044E15" w:rsidRDefault="00044E15" w:rsidP="00044E15">
      <w:pPr>
        <w:tabs>
          <w:tab w:val="left" w:pos="142"/>
          <w:tab w:val="left" w:pos="284"/>
        </w:tabs>
        <w:spacing w:after="0" w:line="276" w:lineRule="auto"/>
        <w:ind w:left="360"/>
        <w:contextualSpacing/>
        <w:jc w:val="both"/>
        <w:rPr>
          <w:rFonts w:ascii="Verdana" w:eastAsia="Century Gothic" w:hAnsi="Verdana" w:cs="Century Gothic"/>
          <w:b/>
          <w:bCs/>
        </w:rPr>
      </w:pPr>
    </w:p>
    <w:tbl>
      <w:tblPr>
        <w:tblStyle w:val="Tablaconcuadrcula1"/>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044E15" w:rsidRPr="00044E15" w14:paraId="0DB73459" w14:textId="77777777" w:rsidTr="0360B1F8">
        <w:trPr>
          <w:trHeight w:val="960"/>
        </w:trPr>
        <w:tc>
          <w:tcPr>
            <w:tcW w:w="8828" w:type="dxa"/>
            <w:tcBorders>
              <w:top w:val="dotted" w:sz="4" w:space="0" w:color="auto"/>
              <w:left w:val="dotted" w:sz="4" w:space="0" w:color="auto"/>
              <w:bottom w:val="dotted" w:sz="4" w:space="0" w:color="auto"/>
              <w:right w:val="dotted" w:sz="4" w:space="0" w:color="auto"/>
            </w:tcBorders>
          </w:tcPr>
          <w:p w14:paraId="4A7978AB" w14:textId="77777777" w:rsidR="00044E15" w:rsidRPr="00044E15" w:rsidRDefault="00044E15" w:rsidP="00044E15">
            <w:pPr>
              <w:spacing w:after="120" w:line="276" w:lineRule="auto"/>
              <w:jc w:val="both"/>
              <w:rPr>
                <w:rFonts w:ascii="Verdana" w:eastAsia="Calibri" w:hAnsi="Verdana" w:cs="Times New Roman"/>
              </w:rPr>
            </w:pPr>
            <w:r w:rsidRPr="00044E15">
              <w:rPr>
                <w:rFonts w:ascii="Verdana" w:eastAsia="Calibri" w:hAnsi="Verdana" w:cs="Times New Roman"/>
              </w:rPr>
              <w:t>Sí, teniendo en cuenta las siguientes consideraciones:</w:t>
            </w:r>
          </w:p>
          <w:p w14:paraId="31172452" w14:textId="77777777" w:rsidR="00044E15" w:rsidRPr="00044E15" w:rsidRDefault="00044E15" w:rsidP="00044E15">
            <w:pPr>
              <w:spacing w:after="120" w:line="276" w:lineRule="auto"/>
              <w:jc w:val="both"/>
              <w:rPr>
                <w:rFonts w:ascii="Verdana" w:eastAsia="Calibri" w:hAnsi="Verdana" w:cs="Times New Roman"/>
              </w:rPr>
            </w:pPr>
            <w:r w:rsidRPr="00044E15">
              <w:rPr>
                <w:rFonts w:ascii="Verdana" w:eastAsia="Calibri" w:hAnsi="Verdana" w:cs="Times New Roman"/>
              </w:rPr>
              <w:t xml:space="preserve">El numeral “III. Equivalencias de experiencia aplicables para el personal” y el IV “Equivalencias de formación académica aplicables para el personal” de la “Matriz 4 – Lineamientos de requisitos del personal” de los Documentos Tipo de interventoría de obra pública de infraestructura de transporte – versión 2 disponen que, como parte de la verificación del cumplimiento del perfil </w:t>
            </w:r>
            <w:r w:rsidRPr="00044E15">
              <w:rPr>
                <w:rFonts w:ascii="Verdana" w:eastAsia="Calibri" w:hAnsi="Verdana" w:cs="Times New Roman"/>
              </w:rPr>
              <w:lastRenderedPageBreak/>
              <w:t>establecido por la entidad, serán aplicables una serie de equivalencias ya sea en relación con la experiencia o con la formación académica del personal solicitado para la interventoría.</w:t>
            </w:r>
          </w:p>
          <w:p w14:paraId="5FD91C5A" w14:textId="77777777" w:rsidR="00044E15" w:rsidRPr="00044E15" w:rsidRDefault="00044E15" w:rsidP="00044E15">
            <w:pPr>
              <w:spacing w:after="120" w:line="276" w:lineRule="auto"/>
              <w:ind w:firstLine="709"/>
              <w:jc w:val="both"/>
              <w:rPr>
                <w:rFonts w:ascii="Verdana" w:eastAsia="Aptos" w:hAnsi="Verdana" w:cs="Arial"/>
              </w:rPr>
            </w:pPr>
            <w:r w:rsidRPr="00044E15">
              <w:rPr>
                <w:rFonts w:ascii="Verdana" w:eastAsia="Aptos" w:hAnsi="Verdana" w:cs="Arial"/>
              </w:rPr>
              <w:t>De esta forma, es posible realizar equivalencias de experiencia aplicables al personal, para los cargos de Director de Interventoría, Residente de Interventoría y Administrador Vial o Gestor Vial, siguiendo los parámetros señalados en el numeral III de la Matriz 4. Por otra parte, en relación con las equivalencias de formación académica aplicables al personal, estas pueden realizarse conforme a lo dispuesto en el numeral IV de la matriz indicada, en el cual, se establece que los títulos académicos en modalidad de especialización, maestría u otro título de posgrado superior equivalen a determinados años de experiencia, dependiendo de si se trata de experiencia general o específica.</w:t>
            </w:r>
          </w:p>
          <w:p w14:paraId="27219C3D" w14:textId="5770E20D" w:rsidR="00044E15" w:rsidRPr="00044E15" w:rsidRDefault="00044E15" w:rsidP="00044E15">
            <w:pPr>
              <w:spacing w:after="120" w:line="276" w:lineRule="auto"/>
              <w:jc w:val="both"/>
              <w:rPr>
                <w:rFonts w:ascii="Verdana" w:eastAsia="Aptos" w:hAnsi="Verdana" w:cs="Arial"/>
              </w:rPr>
            </w:pPr>
            <w:r w:rsidRPr="0360B1F8">
              <w:rPr>
                <w:rFonts w:ascii="Arial" w:eastAsia="Aptos" w:hAnsi="Arial" w:cs="Arial"/>
              </w:rPr>
              <w:t xml:space="preserve"> </w:t>
            </w:r>
            <w:r>
              <w:tab/>
            </w:r>
            <w:r w:rsidRPr="0360B1F8">
              <w:rPr>
                <w:rFonts w:ascii="Verdana" w:eastAsia="Aptos" w:hAnsi="Verdana" w:cs="Arial"/>
              </w:rPr>
              <w:t xml:space="preserve">De acuerdo con la Nota 3 del numeral IV de la Matriz 4, la tabla de las equivalencias de formación académica aplicables para el </w:t>
            </w:r>
            <w:r w:rsidR="7B2C0039" w:rsidRPr="0360B1F8">
              <w:rPr>
                <w:rFonts w:ascii="Verdana" w:eastAsia="Aptos" w:hAnsi="Verdana" w:cs="Arial"/>
              </w:rPr>
              <w:t>personal</w:t>
            </w:r>
            <w:r w:rsidRPr="0360B1F8">
              <w:rPr>
                <w:rFonts w:ascii="Verdana" w:eastAsia="Aptos" w:hAnsi="Verdana" w:cs="Arial"/>
              </w:rPr>
              <w:t xml:space="preserve"> puede interpretarse para: i) la equivalencia de título académico por experiencia, o </w:t>
            </w:r>
            <w:proofErr w:type="spellStart"/>
            <w:r w:rsidRPr="0360B1F8">
              <w:rPr>
                <w:rFonts w:ascii="Verdana" w:eastAsia="Aptos" w:hAnsi="Verdana" w:cs="Arial"/>
              </w:rPr>
              <w:t>ii</w:t>
            </w:r>
            <w:proofErr w:type="spellEnd"/>
            <w:r w:rsidRPr="0360B1F8">
              <w:rPr>
                <w:rFonts w:ascii="Verdana" w:eastAsia="Aptos" w:hAnsi="Verdana" w:cs="Arial"/>
              </w:rPr>
              <w:t>) la equivalencia de experiencia por título académico. Por su parte, la Nota 5, dispone que, para las equivalencias de títulos académicos por experiencia o viceversa, los títulos o los años de experiencia utilizados para tal efecto, no podrán sumar nuevamente para asignar puntaje por experiencia o formación académica. La Nota 6, a su vez, dispone que para hacer la equivalencia de título por experiencia el profesional debe contar tanto con la experiencia general como con la específica que señala la tabla, y que esta última debe estar directamente asociada con el título que se pretende suplir.</w:t>
            </w:r>
          </w:p>
          <w:p w14:paraId="4F738715" w14:textId="77777777" w:rsidR="00044E15" w:rsidRPr="00044E15" w:rsidRDefault="00044E15" w:rsidP="00044E15">
            <w:pPr>
              <w:spacing w:after="120" w:line="276" w:lineRule="auto"/>
              <w:jc w:val="both"/>
              <w:rPr>
                <w:rFonts w:ascii="Verdana" w:eastAsia="Aptos" w:hAnsi="Verdana" w:cs="Arial"/>
              </w:rPr>
            </w:pPr>
            <w:r w:rsidRPr="00044E15">
              <w:rPr>
                <w:rFonts w:ascii="Arial" w:eastAsia="Aptos" w:hAnsi="Arial" w:cs="Arial"/>
              </w:rPr>
              <w:tab/>
            </w:r>
            <w:r w:rsidRPr="00044E15">
              <w:rPr>
                <w:rFonts w:ascii="Verdana" w:eastAsia="Aptos" w:hAnsi="Verdana" w:cs="Arial"/>
              </w:rPr>
              <w:t xml:space="preserve">Acreditada la experiencia mínima del equipo de trabajo, en desarrollo del numeral 4 del artículo 5 de la Ley 1150 de 2007, el numeral 4.2.2 del documento base prescribe que “La Entidad asignará cinco (5) puntos al Proponente que se comprometa con el diligenciamiento del “Formato 9 – Experiencia y formación académica adicional del Personal Clave Evaluable” [cada uno de los integrantes que conforman el Personal Clave Evaluable: i) el Director de Interventoría y/o </w:t>
            </w:r>
            <w:proofErr w:type="spellStart"/>
            <w:r w:rsidRPr="00044E15">
              <w:rPr>
                <w:rFonts w:ascii="Verdana" w:eastAsia="Aptos" w:hAnsi="Verdana" w:cs="Arial"/>
              </w:rPr>
              <w:t>ii</w:t>
            </w:r>
            <w:proofErr w:type="spellEnd"/>
            <w:r w:rsidRPr="00044E15">
              <w:rPr>
                <w:rFonts w:ascii="Verdana" w:eastAsia="Aptos" w:hAnsi="Verdana" w:cs="Arial"/>
              </w:rPr>
              <w:t xml:space="preserve">) el coordinador de interventoría o Administrador Vial o Gestor Vial y/o; </w:t>
            </w:r>
            <w:proofErr w:type="spellStart"/>
            <w:r w:rsidRPr="00044E15">
              <w:rPr>
                <w:rFonts w:ascii="Verdana" w:eastAsia="Aptos" w:hAnsi="Verdana" w:cs="Arial"/>
              </w:rPr>
              <w:t>iii</w:t>
            </w:r>
            <w:proofErr w:type="spellEnd"/>
            <w:r w:rsidRPr="00044E15">
              <w:rPr>
                <w:rFonts w:ascii="Verdana" w:eastAsia="Aptos" w:hAnsi="Verdana" w:cs="Arial"/>
              </w:rPr>
              <w:t xml:space="preserve">) el Residente de interventoría y/o; </w:t>
            </w:r>
            <w:proofErr w:type="spellStart"/>
            <w:r w:rsidRPr="00044E15">
              <w:rPr>
                <w:rFonts w:ascii="Verdana" w:eastAsia="Aptos" w:hAnsi="Verdana" w:cs="Arial"/>
              </w:rPr>
              <w:t>iv</w:t>
            </w:r>
            <w:proofErr w:type="spellEnd"/>
            <w:r w:rsidRPr="00044E15">
              <w:rPr>
                <w:rFonts w:ascii="Verdana" w:eastAsia="Aptos" w:hAnsi="Verdana" w:cs="Arial"/>
              </w:rPr>
              <w:t xml:space="preserve">) el especialista principal del proyecto] a acreditar que tienen una formación académica adicional a la definida en la “Matriz 4 – Lineamientos de requisitos del Personal”. Para estos efectos, en el numeral se señala a modo de ejemplo </w:t>
            </w:r>
            <w:r w:rsidRPr="00044E15">
              <w:rPr>
                <w:rFonts w:ascii="Verdana" w:eastAsia="Aptos" w:hAnsi="Verdana" w:cs="Arial"/>
              </w:rPr>
              <w:lastRenderedPageBreak/>
              <w:t>que si el requisito mínimo de formación académica es contar con un título profesional, se otorgará el puntaje a quien se obligue a presentar un título de posgrado, o si el requisito mínimo de formación académica es contar con un título de posgrado, se otorgará el puntaje a quien acredite un título de posgrado adicional.</w:t>
            </w:r>
          </w:p>
          <w:p w14:paraId="1E120FF1" w14:textId="77777777" w:rsidR="00044E15" w:rsidRPr="00044E15" w:rsidRDefault="00044E15" w:rsidP="00044E15">
            <w:pPr>
              <w:spacing w:line="276" w:lineRule="auto"/>
              <w:ind w:firstLine="708"/>
              <w:jc w:val="both"/>
              <w:rPr>
                <w:rFonts w:ascii="Verdana" w:eastAsia="Aptos" w:hAnsi="Verdana" w:cs="Arial"/>
              </w:rPr>
            </w:pPr>
            <w:r w:rsidRPr="00044E15">
              <w:rPr>
                <w:rFonts w:ascii="Verdana" w:eastAsia="Aptos" w:hAnsi="Verdana" w:cs="Arial"/>
              </w:rPr>
              <w:t>Así mismo, en este numeral se establece que “Las reglas de equivalencias descritas en la “Matriz 4 – Lineamientos de Requisitos del Personal” no aplican para el otorgamiento de puntaje, solamente para verificar que el profesional cumple con la formación académica mínima requerida por la Entidad”. Así, de acuerdo con el aparte citado,</w:t>
            </w:r>
            <w:r w:rsidRPr="00044E15">
              <w:rPr>
                <w:rFonts w:ascii="Verdana" w:eastAsia="Arial" w:hAnsi="Verdana" w:cs="Arial"/>
              </w:rPr>
              <w:t xml:space="preserve"> para que el proponente pueda acreditar que su personal tiene una formación académica adicional a la definida en la Matriz 4, el título adicional que aporta para cumplir con esta condición, no podrá ser producto de las equivalencias contenidas en el numeral IV de la Matriz 4. Esta consideración se alinea con lo que se dispone</w:t>
            </w:r>
            <w:r w:rsidRPr="00044E15">
              <w:rPr>
                <w:rFonts w:ascii="Verdana" w:eastAsia="Aptos" w:hAnsi="Verdana" w:cs="Arial"/>
              </w:rPr>
              <w:t xml:space="preserve"> en la matriz sobre las características de los lineamientos de requisitos de personal, al contemplar que las equivalencias de formación académica del Personal Clave Evaluable solo aplican para acreditar las exigencias mínimas previstas en el numeral 3.8.2 y no para el otorgamiento de puntaje, en los siguientes términos:</w:t>
            </w:r>
          </w:p>
          <w:p w14:paraId="35FA45D3" w14:textId="77777777" w:rsidR="00044E15" w:rsidRPr="00044E15" w:rsidRDefault="00044E15" w:rsidP="00044E15">
            <w:pPr>
              <w:spacing w:line="276" w:lineRule="auto"/>
              <w:ind w:firstLine="708"/>
              <w:jc w:val="both"/>
              <w:rPr>
                <w:rFonts w:ascii="Verdana" w:eastAsia="Aptos" w:hAnsi="Verdana" w:cs="Arial"/>
              </w:rPr>
            </w:pPr>
          </w:p>
          <w:p w14:paraId="5D558F1C" w14:textId="77777777" w:rsidR="00044E15" w:rsidRPr="00044E15" w:rsidRDefault="00044E15" w:rsidP="00044E15">
            <w:pPr>
              <w:spacing w:after="120"/>
              <w:ind w:left="709" w:right="709"/>
              <w:jc w:val="both"/>
              <w:rPr>
                <w:rFonts w:ascii="Verdana" w:eastAsia="Aptos" w:hAnsi="Verdana" w:cs="Times New Roman"/>
                <w:sz w:val="21"/>
                <w:szCs w:val="21"/>
                <w:lang w:val="es-MX"/>
              </w:rPr>
            </w:pPr>
            <w:r w:rsidRPr="00044E15">
              <w:rPr>
                <w:rFonts w:ascii="Verdana" w:eastAsia="Aptos" w:hAnsi="Verdana" w:cs="Times New Roman"/>
                <w:sz w:val="21"/>
                <w:szCs w:val="21"/>
                <w:lang w:val="es-MX"/>
              </w:rPr>
              <w:t>“Características de la Matriz 4 – Lineamiento de requisitos de personal</w:t>
            </w:r>
          </w:p>
          <w:p w14:paraId="36600EBF" w14:textId="77777777" w:rsidR="00044E15" w:rsidRPr="00044E15" w:rsidRDefault="00044E15" w:rsidP="00044E15">
            <w:pPr>
              <w:spacing w:after="120"/>
              <w:ind w:right="709" w:firstLine="708"/>
              <w:jc w:val="both"/>
              <w:rPr>
                <w:rFonts w:ascii="Verdana" w:eastAsia="Aptos" w:hAnsi="Verdana" w:cs="Times New Roman"/>
                <w:sz w:val="21"/>
                <w:szCs w:val="21"/>
                <w:lang w:val="es-MX"/>
              </w:rPr>
            </w:pPr>
            <w:r w:rsidRPr="00044E15">
              <w:rPr>
                <w:rFonts w:ascii="Verdana" w:eastAsia="Aptos" w:hAnsi="Verdana" w:cs="Times New Roman"/>
                <w:sz w:val="21"/>
                <w:szCs w:val="21"/>
                <w:lang w:val="es-MX"/>
              </w:rPr>
              <w:t>(…)</w:t>
            </w:r>
          </w:p>
          <w:p w14:paraId="1E228C9B" w14:textId="364CDD55" w:rsidR="00044E15" w:rsidRPr="00044E15" w:rsidRDefault="00044E15" w:rsidP="00044E15">
            <w:pPr>
              <w:spacing w:after="120"/>
              <w:ind w:left="709" w:right="709"/>
              <w:jc w:val="both"/>
              <w:rPr>
                <w:rFonts w:ascii="Verdana" w:eastAsia="Aptos" w:hAnsi="Verdana" w:cs="Times New Roman"/>
                <w:sz w:val="21"/>
                <w:szCs w:val="21"/>
                <w:lang w:val="es-MX"/>
              </w:rPr>
            </w:pPr>
            <w:r w:rsidRPr="0360B1F8">
              <w:rPr>
                <w:rFonts w:ascii="Verdana" w:eastAsia="Aptos" w:hAnsi="Verdana" w:cs="Times New Roman"/>
                <w:sz w:val="21"/>
                <w:szCs w:val="21"/>
                <w:lang w:val="es-MX"/>
              </w:rPr>
              <w:t xml:space="preserve">Las equivalencias de formación académica y experiencia del Personal Clave Evaluable solo </w:t>
            </w:r>
            <w:r w:rsidR="7A485DBF" w:rsidRPr="0360B1F8">
              <w:rPr>
                <w:rFonts w:ascii="Verdana" w:eastAsia="Aptos" w:hAnsi="Verdana" w:cs="Times New Roman"/>
                <w:sz w:val="21"/>
                <w:szCs w:val="21"/>
                <w:lang w:val="es-MX"/>
              </w:rPr>
              <w:t>aplican</w:t>
            </w:r>
            <w:r w:rsidRPr="0360B1F8">
              <w:rPr>
                <w:rFonts w:ascii="Verdana" w:eastAsia="Aptos" w:hAnsi="Verdana" w:cs="Times New Roman"/>
                <w:sz w:val="21"/>
                <w:szCs w:val="21"/>
                <w:lang w:val="es-MX"/>
              </w:rPr>
              <w:t xml:space="preserve"> para acreditar las exigencias mínimas previstas en el numeral 3.8.2 “Exigencias mínimas de la experiencia y formación académica del equipo de trabajo (Personal Clave Evaluable)”. Para el otorgamiento de puntaje no se tendrán en cuenta estas equivalencias</w:t>
            </w:r>
          </w:p>
          <w:p w14:paraId="2E78DA45" w14:textId="77777777" w:rsidR="00044E15" w:rsidRPr="00044E15" w:rsidRDefault="00044E15" w:rsidP="00044E15">
            <w:pPr>
              <w:spacing w:after="120"/>
              <w:ind w:left="709" w:right="709"/>
              <w:jc w:val="both"/>
              <w:rPr>
                <w:rFonts w:ascii="Verdana" w:eastAsia="Aptos" w:hAnsi="Verdana" w:cs="Times New Roman"/>
                <w:sz w:val="21"/>
                <w:szCs w:val="21"/>
                <w:lang w:val="es-MX"/>
              </w:rPr>
            </w:pPr>
            <w:r w:rsidRPr="00044E15">
              <w:rPr>
                <w:rFonts w:ascii="Verdana" w:eastAsia="Aptos" w:hAnsi="Verdana" w:cs="Times New Roman"/>
                <w:sz w:val="21"/>
                <w:szCs w:val="21"/>
                <w:lang w:val="es-MX"/>
              </w:rPr>
              <w:t>(…) ”.</w:t>
            </w:r>
          </w:p>
          <w:p w14:paraId="6D5A593D" w14:textId="77777777" w:rsidR="00044E15" w:rsidRPr="00044E15" w:rsidRDefault="00044E15" w:rsidP="00044E15">
            <w:pPr>
              <w:spacing w:line="276" w:lineRule="auto"/>
              <w:ind w:firstLine="708"/>
              <w:jc w:val="both"/>
              <w:rPr>
                <w:rFonts w:ascii="Verdana" w:eastAsia="Aptos" w:hAnsi="Verdana" w:cs="Arial"/>
              </w:rPr>
            </w:pPr>
            <w:r w:rsidRPr="00044E15">
              <w:rPr>
                <w:rFonts w:ascii="Verdana" w:eastAsia="Aptos" w:hAnsi="Verdana" w:cs="Arial"/>
              </w:rPr>
              <w:t xml:space="preserve"> </w:t>
            </w:r>
          </w:p>
          <w:p w14:paraId="3E1E60A3" w14:textId="77777777" w:rsidR="00044E15" w:rsidRPr="00044E15" w:rsidRDefault="00044E15" w:rsidP="00044E15">
            <w:pPr>
              <w:spacing w:after="120"/>
              <w:ind w:firstLine="708"/>
              <w:jc w:val="both"/>
              <w:rPr>
                <w:rFonts w:ascii="Verdana" w:eastAsia="Aptos" w:hAnsi="Verdana" w:cs="Arial"/>
              </w:rPr>
            </w:pPr>
            <w:r w:rsidRPr="00044E15">
              <w:rPr>
                <w:rFonts w:ascii="Verdana" w:eastAsia="Aptos" w:hAnsi="Verdana" w:cs="Arial"/>
              </w:rPr>
              <w:t xml:space="preserve">Conforme con lo anterior, es claro que se podrá realizar la equivalencia de experiencia por título de posgrado. Sin embargo, los años de experiencia utilizados como equivalencia no podrán ser nuevamente contabilizados para asignar puntaje por experiencia o formación académica, conforme a la Nota 5 del numeral IV de la Matriz 4 y a lo establecido en los numerales 4.2.1 y 4.2.2 </w:t>
            </w:r>
            <w:r w:rsidRPr="00044E15">
              <w:rPr>
                <w:rFonts w:ascii="Verdana" w:eastAsia="Aptos" w:hAnsi="Verdana" w:cs="Arial"/>
              </w:rPr>
              <w:lastRenderedPageBreak/>
              <w:t>del documento base de los Documentos Tipo de interventoría de obra pública de infraestructura de transporte – versión 2.</w:t>
            </w:r>
          </w:p>
          <w:p w14:paraId="2E6E2136" w14:textId="77777777" w:rsidR="00044E15" w:rsidRPr="00044E15" w:rsidRDefault="00044E15" w:rsidP="00044E15">
            <w:pPr>
              <w:spacing w:after="120"/>
              <w:ind w:firstLine="708"/>
              <w:jc w:val="both"/>
              <w:rPr>
                <w:rFonts w:ascii="Verdana" w:eastAsia="Aptos" w:hAnsi="Verdana" w:cs="Arial"/>
              </w:rPr>
            </w:pPr>
            <w:r w:rsidRPr="00044E15">
              <w:rPr>
                <w:rFonts w:ascii="Verdana" w:eastAsia="Aptos" w:hAnsi="Verdana" w:cs="Arial"/>
              </w:rPr>
              <w:t>Bajo estas reglas, nada impide que el profesional acredite con experiencia, mediante la equivalencia del numeral IV de la Matriz 4, el título de posgrado que la entidad exigió como formación académica mínima en el numeral 3.8.2 del documento base, y presente el título de posgrado que efectivamente posee, que no fue objeto de equivalencia, como formación académica adicional en los términos del numeral 4.2.2. En ese supuesto la equivalencia cumple la única función que le asignan la Matriz 4 y el literal II del numeral 4.2.2, que es verificar el requisito mínimo, y el puntaje se otorga por un título real, distinto del que la experiencia reemplazó. Ninguna disposición de los Documentos Tipo prohíbe esta forma de acreditación.</w:t>
            </w:r>
          </w:p>
          <w:p w14:paraId="51FCDFD8" w14:textId="77777777" w:rsidR="00044E15" w:rsidRPr="00044E15" w:rsidRDefault="00044E15" w:rsidP="00044E15">
            <w:pPr>
              <w:spacing w:after="120"/>
              <w:ind w:firstLine="708"/>
              <w:jc w:val="both"/>
              <w:rPr>
                <w:rFonts w:ascii="Verdana" w:eastAsia="Aptos" w:hAnsi="Verdana" w:cs="Arial"/>
              </w:rPr>
            </w:pPr>
            <w:r w:rsidRPr="00044E15">
              <w:rPr>
                <w:rFonts w:ascii="Verdana" w:eastAsia="Aptos" w:hAnsi="Verdana" w:cs="Arial"/>
              </w:rPr>
              <w:t>El ejemplo del numeral 4.2.2, según el cual, si el requisito mínimo es un título de posgrado, el puntaje se otorga a quien acredite un título de posgrado adicional, no lleva a una conclusión distinta. Ese ejemplo describe el caso ordinario, en el que el mínimo se cumple con un título. Lo que el numeral exige es que la formación puntuable sea adicional a la mínima y que no provenga de una equivalencia. Cuando el mínimo se acreditó con experiencia, el título que presenta el profesional es adicional frente a ese mínimo y no es producto de equivalencia alguna. Exigirle en ese caso dos títulos de posgrado supondría agregar un requisito que el pliego tipo no contiene, lo que la entidad no puede hacer. Los Documentos Tipo son de obligatorio cumplimiento y, en armonía con el numeral 5 del artículo 24 de la Ley 80 de 1993, las reglas que condicionan la asignación de puntaje deben ser claras y completas y constar expresamente en el pliego.</w:t>
            </w:r>
          </w:p>
          <w:p w14:paraId="0C7048F9" w14:textId="571F1527" w:rsidR="0016054D" w:rsidRPr="0016054D" w:rsidRDefault="00044E15" w:rsidP="0016054D">
            <w:pPr>
              <w:spacing w:after="120"/>
              <w:ind w:firstLine="708"/>
              <w:jc w:val="both"/>
              <w:rPr>
                <w:rFonts w:ascii="Verdana" w:eastAsia="Aptos" w:hAnsi="Verdana" w:cs="Arial"/>
              </w:rPr>
            </w:pPr>
            <w:r w:rsidRPr="00044E15">
              <w:rPr>
                <w:rFonts w:ascii="Verdana" w:eastAsia="Aptos" w:hAnsi="Verdana" w:cs="Arial"/>
              </w:rPr>
              <w:t>Ahora bien, la equivalencia está sujeta a las condiciones que fija la propia Matriz 4. En primer término, la experiencia con la que se suple el título debe incluir la experiencia general y la específica que señala la tabla del numeral IV –dos años de experiencia general y uno de específica para una especialización; tres y uno y medio para una maestría u otro título de posgrado superior–, y la específica debe estar directamente asociada con el área del posgrado exigido, como lo dispone la Nota 6</w:t>
            </w:r>
            <w:r w:rsidR="00D4649F">
              <w:rPr>
                <w:rFonts w:ascii="Verdana" w:eastAsia="Aptos" w:hAnsi="Verdana" w:cs="Arial"/>
              </w:rPr>
              <w:t>.</w:t>
            </w:r>
            <w:r w:rsidR="0016054D" w:rsidRPr="0016054D">
              <w:rPr>
                <w:rFonts w:ascii="Verdana" w:eastAsia="Aptos" w:hAnsi="Verdana" w:cs="Arial"/>
              </w:rPr>
              <w:t>En segundo término, deberá observarse la restricción prevista en la Nota 5 del numeral IV de la Matriz 4, conforme a la cual los títulos académicos o los años de experiencia utilizados para efectuar las equivalencias no podrán ser contabilizados nuevamente para la asignación de puntaje por experiencia o formación académica adicional.</w:t>
            </w:r>
          </w:p>
          <w:p w14:paraId="4AAC3719" w14:textId="77777777" w:rsidR="0016054D" w:rsidRPr="0016054D" w:rsidRDefault="0016054D" w:rsidP="0016054D">
            <w:pPr>
              <w:spacing w:after="120"/>
              <w:ind w:firstLine="708"/>
              <w:jc w:val="both"/>
              <w:rPr>
                <w:rFonts w:ascii="Verdana" w:eastAsia="Aptos" w:hAnsi="Verdana" w:cs="Arial"/>
              </w:rPr>
            </w:pPr>
          </w:p>
          <w:p w14:paraId="6D244964" w14:textId="5995CEC5" w:rsidR="00044E15" w:rsidRPr="00044E15" w:rsidRDefault="0016054D" w:rsidP="0016054D">
            <w:pPr>
              <w:spacing w:after="120"/>
              <w:ind w:firstLine="708"/>
              <w:jc w:val="both"/>
              <w:rPr>
                <w:rFonts w:ascii="Verdana" w:eastAsia="Aptos" w:hAnsi="Verdana" w:cs="Arial"/>
              </w:rPr>
            </w:pPr>
            <w:r w:rsidRPr="0016054D">
              <w:rPr>
                <w:rFonts w:ascii="Verdana" w:eastAsia="Aptos" w:hAnsi="Verdana" w:cs="Arial"/>
              </w:rPr>
              <w:t xml:space="preserve">En consecuencia, corresponde distinguir entre la experiencia utilizada para acreditar los requisitos mínimos del perfil y aquella que puede ser </w:t>
            </w:r>
            <w:r w:rsidRPr="0016054D">
              <w:rPr>
                <w:rFonts w:ascii="Verdana" w:eastAsia="Aptos" w:hAnsi="Verdana" w:cs="Arial"/>
              </w:rPr>
              <w:lastRenderedPageBreak/>
              <w:t>considerada para la asignación de puntaje, de conformidad con las reglas expresamente previstas en los documentos tipo.</w:t>
            </w:r>
            <w:r w:rsidR="00044E15" w:rsidRPr="00044E15">
              <w:rPr>
                <w:rFonts w:ascii="Verdana" w:eastAsia="Aptos" w:hAnsi="Verdana" w:cs="Arial"/>
              </w:rPr>
              <w:t>.</w:t>
            </w:r>
          </w:p>
          <w:p w14:paraId="24207F0F" w14:textId="37116F47" w:rsidR="00044E15" w:rsidRPr="00044E15" w:rsidRDefault="00044E15" w:rsidP="00044E15">
            <w:pPr>
              <w:ind w:firstLine="708"/>
              <w:jc w:val="both"/>
              <w:rPr>
                <w:rFonts w:ascii="Verdana" w:eastAsia="Aptos" w:hAnsi="Verdana" w:cs="Arial"/>
              </w:rPr>
            </w:pPr>
            <w:r w:rsidRPr="0360B1F8">
              <w:rPr>
                <w:rFonts w:ascii="Verdana" w:eastAsia="Aptos" w:hAnsi="Verdana" w:cs="Arial"/>
              </w:rPr>
              <w:t xml:space="preserve">Por último, en la versión 2 de estos Documentos Tipo el proponente no aporta soportes del Personal Clave Evaluable durante el proceso de selección, </w:t>
            </w:r>
            <w:r w:rsidR="0005844F" w:rsidRPr="0360B1F8">
              <w:rPr>
                <w:rFonts w:ascii="Verdana" w:eastAsia="Aptos" w:hAnsi="Verdana" w:cs="Arial"/>
              </w:rPr>
              <w:t>esta diligencia</w:t>
            </w:r>
            <w:r w:rsidRPr="0360B1F8">
              <w:rPr>
                <w:rFonts w:ascii="Verdana" w:eastAsia="Aptos" w:hAnsi="Verdana" w:cs="Arial"/>
              </w:rPr>
              <w:t xml:space="preserve"> el “Formato 8 – Aceptación y cumplimiento de la formación académica y la experiencia del Personal Clave Evaluable” y, si opta por el puntaje, el “Formato 9 – Experiencia y formación académica adicional del Personal Clave Evaluable”. Los soportes se verifican después de celebrado el contrato, en el momento que la entidad haya definido, según los numerales 3.8.2, 9.1 y 10.2 del documento base. Es en esa verificación donde el interventor debe indicar qué experiencia invoca como equivalente del posgrado mínimo y qué título presenta como formación académica adicional, y donde la entidad debe comprobar que se cumplen las condiciones descritas. Aplicada así, la equivalencia no compromete los principios de transparencia, selección objetiva e igualdad, pues la entidad se limita a aplicar reglas que el pliego tipo fijó de antemano y en iguales términos para todos los oferentes.</w:t>
            </w:r>
          </w:p>
        </w:tc>
      </w:tr>
    </w:tbl>
    <w:p w14:paraId="48600243" w14:textId="77777777" w:rsidR="00044E15" w:rsidRPr="00044E15" w:rsidRDefault="00044E15" w:rsidP="00044E15">
      <w:pPr>
        <w:tabs>
          <w:tab w:val="left" w:pos="142"/>
          <w:tab w:val="left" w:pos="284"/>
        </w:tabs>
        <w:spacing w:after="0" w:line="276" w:lineRule="auto"/>
        <w:jc w:val="both"/>
        <w:rPr>
          <w:rFonts w:ascii="Verdana" w:eastAsia="Century Gothic" w:hAnsi="Verdana" w:cs="Century Gothic"/>
          <w:b/>
          <w:bCs/>
        </w:rPr>
      </w:pPr>
    </w:p>
    <w:p w14:paraId="2643AC91" w14:textId="77777777" w:rsidR="00044E15" w:rsidRPr="00044E15" w:rsidRDefault="00044E15" w:rsidP="00044E15">
      <w:pPr>
        <w:numPr>
          <w:ilvl w:val="0"/>
          <w:numId w:val="16"/>
        </w:numPr>
        <w:tabs>
          <w:tab w:val="left" w:pos="142"/>
          <w:tab w:val="left" w:pos="284"/>
        </w:tabs>
        <w:spacing w:after="0" w:line="276" w:lineRule="auto"/>
        <w:contextualSpacing/>
        <w:jc w:val="both"/>
        <w:rPr>
          <w:rFonts w:ascii="Verdana" w:eastAsia="Century Gothic" w:hAnsi="Verdana" w:cs="Century Gothic"/>
          <w:b/>
          <w:bCs/>
        </w:rPr>
      </w:pPr>
      <w:r w:rsidRPr="00044E15">
        <w:rPr>
          <w:rFonts w:ascii="Verdana" w:eastAsia="Century Gothic" w:hAnsi="Verdana" w:cs="Century Gothic"/>
          <w:b/>
          <w:bCs/>
        </w:rPr>
        <w:t>Razones de la respuesta:</w:t>
      </w:r>
    </w:p>
    <w:p w14:paraId="0D40038E" w14:textId="77777777" w:rsidR="00044E15" w:rsidRPr="00044E15" w:rsidRDefault="00044E15" w:rsidP="00044E15">
      <w:pPr>
        <w:spacing w:after="0" w:line="276" w:lineRule="auto"/>
        <w:jc w:val="both"/>
        <w:rPr>
          <w:rFonts w:ascii="Verdana" w:eastAsia="Calibri" w:hAnsi="Verdana" w:cs="Arial"/>
        </w:rPr>
      </w:pPr>
    </w:p>
    <w:p w14:paraId="6BD51FFF" w14:textId="77777777" w:rsidR="00044E15" w:rsidRPr="00044E15" w:rsidRDefault="00044E15" w:rsidP="00044E15">
      <w:pPr>
        <w:snapToGrid w:val="0"/>
        <w:spacing w:after="0" w:line="276" w:lineRule="auto"/>
        <w:jc w:val="both"/>
        <w:rPr>
          <w:rFonts w:ascii="Verdana" w:eastAsia="Calibri" w:hAnsi="Verdana" w:cs="Arial"/>
        </w:rPr>
      </w:pPr>
      <w:r w:rsidRPr="00044E15">
        <w:rPr>
          <w:rFonts w:ascii="Verdana" w:eastAsia="Calibri" w:hAnsi="Verdana" w:cs="Arial"/>
        </w:rPr>
        <w:t xml:space="preserve">Lo anterior se sustenta en las siguientes consideraciones: </w:t>
      </w:r>
    </w:p>
    <w:p w14:paraId="6A39696D" w14:textId="77777777" w:rsidR="00044E15" w:rsidRPr="00044E15" w:rsidRDefault="00044E15" w:rsidP="00044E15">
      <w:pPr>
        <w:snapToGrid w:val="0"/>
        <w:spacing w:after="0" w:line="276" w:lineRule="auto"/>
        <w:jc w:val="both"/>
        <w:rPr>
          <w:rFonts w:ascii="Verdana" w:eastAsia="Calibri" w:hAnsi="Verdana" w:cs="Arial"/>
        </w:rPr>
      </w:pPr>
    </w:p>
    <w:p w14:paraId="378E7B1A" w14:textId="77777777" w:rsidR="00044E15" w:rsidRPr="00044E15" w:rsidRDefault="00044E15" w:rsidP="00044E15">
      <w:pPr>
        <w:snapToGrid w:val="0"/>
        <w:spacing w:after="120" w:line="276" w:lineRule="auto"/>
        <w:jc w:val="both"/>
        <w:rPr>
          <w:rFonts w:ascii="Verdana" w:eastAsia="Calibri" w:hAnsi="Verdana" w:cs="Arial"/>
        </w:rPr>
      </w:pPr>
      <w:r w:rsidRPr="00044E15">
        <w:rPr>
          <w:rFonts w:ascii="Verdana" w:eastAsia="Calibri" w:hAnsi="Verdana" w:cs="Arial"/>
        </w:rPr>
        <w:t xml:space="preserve">Los documentos tipo expedidos por la Agencia Nacional de Contratación Pública </w:t>
      </w:r>
      <w:r w:rsidRPr="00044E15">
        <w:rPr>
          <w:rFonts w:ascii="Verdana" w:eastAsia="Symbol" w:hAnsi="Verdana" w:cs="Symbol"/>
        </w:rPr>
        <w:t>-</w:t>
      </w:r>
      <w:r w:rsidRPr="00044E15">
        <w:rPr>
          <w:rFonts w:ascii="Verdana" w:eastAsia="Calibri" w:hAnsi="Verdana" w:cs="Arial"/>
        </w:rPr>
        <w:t xml:space="preserve"> Colombia Compra Eficiente en ejercicio de la potestad otorgada por la Ley 2022 de 2020 son de obligatoria observancia por parte de las Entidades Estatales sometidas al Estatuto General de Contratación de la Administración Pública –EGCAP–. Debido a esto, tales entidades deben aplicar de manera forzosa los documentos tipo para desarrollar los Procesos de Contratación en los objetos y modalidades cobijadas por los documentos tipo. </w:t>
      </w:r>
    </w:p>
    <w:p w14:paraId="70155BA0" w14:textId="77777777" w:rsidR="00044E15" w:rsidRPr="00044E15" w:rsidRDefault="00044E15" w:rsidP="00044E15">
      <w:pPr>
        <w:spacing w:after="120" w:line="276" w:lineRule="auto"/>
        <w:ind w:firstLine="708"/>
        <w:jc w:val="both"/>
        <w:rPr>
          <w:rFonts w:ascii="Verdana" w:eastAsia="Aptos" w:hAnsi="Verdana" w:cs="ArialMT"/>
        </w:rPr>
      </w:pPr>
      <w:r w:rsidRPr="00044E15">
        <w:rPr>
          <w:rFonts w:ascii="Verdana" w:eastAsia="Aptos" w:hAnsi="Verdana" w:cs="ArialMT"/>
        </w:rPr>
        <w:t>La Agencia Nacional de Contratación Pública – Colombia Compra Eficiente expidió documentos tipo para los sectores de infraestructura de transporte, agua potable y saneamiento básico y social. Asimismo, esta Agencia acogió los documentos tipo de gestión catastral con enfoque multipropósito y para la contratación directa de convenios solidarios para la ejecución de obras hasta la menor cuantía con organismos de acción comunal</w:t>
      </w:r>
      <w:r w:rsidRPr="00044E15">
        <w:rPr>
          <w:rFonts w:ascii="Calibri" w:eastAsia="Calibri" w:hAnsi="Calibri" w:cs="Times New Roman"/>
          <w:vertAlign w:val="superscript"/>
        </w:rPr>
        <w:footnoteReference w:id="2"/>
      </w:r>
      <w:r w:rsidRPr="00044E15">
        <w:rPr>
          <w:rFonts w:ascii="Verdana" w:eastAsia="Aptos" w:hAnsi="Verdana" w:cs="ArialMT"/>
        </w:rPr>
        <w:t xml:space="preserve">. </w:t>
      </w:r>
    </w:p>
    <w:p w14:paraId="7E68F864" w14:textId="77777777" w:rsidR="00044E15" w:rsidRPr="00044E15" w:rsidRDefault="00044E15" w:rsidP="00044E15">
      <w:pPr>
        <w:snapToGrid w:val="0"/>
        <w:spacing w:after="120" w:line="276" w:lineRule="auto"/>
        <w:ind w:firstLine="709"/>
        <w:jc w:val="both"/>
        <w:rPr>
          <w:rFonts w:ascii="Verdana" w:eastAsia="Calibri" w:hAnsi="Verdana" w:cs="Times New Roman"/>
        </w:rPr>
      </w:pPr>
      <w:r w:rsidRPr="00044E15">
        <w:rPr>
          <w:rFonts w:ascii="Verdana" w:eastAsia="Calibri" w:hAnsi="Verdana" w:cs="Times New Roman"/>
        </w:rPr>
        <w:lastRenderedPageBreak/>
        <w:t xml:space="preserve">En relación con su solicitud, debe indicarse que, mediante la Resolución 326 del 22 de julio de 2022, esta Agencia expidió la versión 2 de los documentos tipo para los procesos de contratación que se adelanten bajo la modalidad de concurso de méritos para contratar la interventoría de obra pública de infraestructura de transporte, y derogó la Resolución 256 de 2020. Estos documentos tipo estuvieron vigentes hasta el 2 de febrero de 2025, considerando que, mediante la Resolución 725 del 19 de diciembre de 2024, se adoptó la versión 3 y se derogó la Resolución 326 de 2022. </w:t>
      </w:r>
    </w:p>
    <w:p w14:paraId="1C0E0A7E" w14:textId="77777777" w:rsidR="00044E15" w:rsidRPr="00044E15" w:rsidRDefault="00044E15" w:rsidP="00044E15">
      <w:pPr>
        <w:tabs>
          <w:tab w:val="left" w:pos="0"/>
        </w:tabs>
        <w:spacing w:after="120" w:line="276" w:lineRule="auto"/>
        <w:jc w:val="both"/>
        <w:rPr>
          <w:rFonts w:ascii="Verdana" w:eastAsia="Aptos" w:hAnsi="Verdana" w:cs="Arial"/>
          <w:kern w:val="2"/>
          <w:shd w:val="clear" w:color="auto" w:fill="FFFFFF"/>
          <w:lang w:val="es-ES_tradnl"/>
          <w14:ligatures w14:val="standardContextual"/>
        </w:rPr>
      </w:pPr>
      <w:r w:rsidRPr="00044E15">
        <w:rPr>
          <w:rFonts w:ascii="Verdana" w:eastAsia="Calibri" w:hAnsi="Verdana" w:cs="Times New Roman"/>
          <w:kern w:val="2"/>
          <w14:ligatures w14:val="standardContextual"/>
        </w:rPr>
        <w:tab/>
        <w:t>Ahora bien, teniendo en cuenta el objeto de su consulta, debe señalarse que, el numeral “3.8.2 Exigencias mínimas de experiencia y formación académica del equipo de trabajo (Personal clave evaluable)</w:t>
      </w:r>
      <w:r w:rsidRPr="00044E15">
        <w:rPr>
          <w:rFonts w:ascii="Verdana" w:eastAsia="Calibri" w:hAnsi="Verdana" w:cs="Times New Roman"/>
          <w:kern w:val="2"/>
          <w:vertAlign w:val="superscript"/>
          <w14:ligatures w14:val="standardContextual"/>
        </w:rPr>
        <w:footnoteReference w:id="3"/>
      </w:r>
      <w:r w:rsidRPr="00044E15">
        <w:rPr>
          <w:rFonts w:ascii="Verdana" w:eastAsia="Calibri" w:hAnsi="Verdana" w:cs="Times New Roman"/>
          <w:kern w:val="2"/>
          <w14:ligatures w14:val="standardContextual"/>
        </w:rPr>
        <w:t>” del documento base de la versión 2 de los documentos tipo de interventoría de obra pública de infraestructura de transporte</w:t>
      </w:r>
      <w:r w:rsidRPr="00044E15">
        <w:rPr>
          <w:rFonts w:ascii="Verdana" w:eastAsia="Aptos" w:hAnsi="Verdana" w:cs="Arial"/>
          <w:kern w:val="2"/>
          <w:shd w:val="clear" w:color="auto" w:fill="FFFFFF"/>
          <w:lang w:val="es-ES_tradnl"/>
          <w14:ligatures w14:val="standardContextual"/>
        </w:rPr>
        <w:t>, estandariza los requisitos de experiencia y formación académica de parte del equipo de trabajo del proponente, en particular del “personal clave evaluable”.</w:t>
      </w:r>
    </w:p>
    <w:p w14:paraId="61B5487B" w14:textId="77777777" w:rsidR="00044E15" w:rsidRPr="00044E15" w:rsidRDefault="00044E15" w:rsidP="00044E15">
      <w:pPr>
        <w:spacing w:after="120" w:line="276" w:lineRule="auto"/>
        <w:jc w:val="both"/>
        <w:rPr>
          <w:rFonts w:ascii="Verdana" w:eastAsia="Aptos" w:hAnsi="Verdana" w:cs="Arial"/>
          <w:kern w:val="2"/>
          <w:shd w:val="clear" w:color="auto" w:fill="FFFFFF"/>
          <w:lang w:val="es-ES"/>
          <w14:ligatures w14:val="standardContextual"/>
        </w:rPr>
      </w:pPr>
      <w:r w:rsidRPr="00044E15">
        <w:rPr>
          <w:rFonts w:ascii="Verdana" w:eastAsia="Aptos" w:hAnsi="Verdana" w:cs="Arial"/>
          <w:kern w:val="2"/>
          <w:shd w:val="clear" w:color="auto" w:fill="FFFFFF"/>
          <w:lang w:val="es-ES_tradnl"/>
          <w14:ligatures w14:val="standardContextual"/>
        </w:rPr>
        <w:tab/>
      </w:r>
      <w:r w:rsidRPr="00044E15">
        <w:rPr>
          <w:rFonts w:ascii="Verdana" w:eastAsia="Aptos" w:hAnsi="Verdana" w:cs="Arial"/>
          <w:kern w:val="2"/>
          <w:shd w:val="clear" w:color="auto" w:fill="FFFFFF"/>
          <w:lang w:val="es-ES"/>
          <w14:ligatures w14:val="standardContextual"/>
        </w:rPr>
        <w:t xml:space="preserve">En este sentido, en el numeral se indica que la entidad contratante debe definir los perfiles profesionales del equipo de trabajo del Interventor de acuerdo con la </w:t>
      </w:r>
      <w:r w:rsidRPr="00044E15">
        <w:rPr>
          <w:rFonts w:ascii="Verdana" w:eastAsia="Calibri" w:hAnsi="Verdana" w:cs="Arial"/>
          <w:color w:val="000000"/>
          <w:kern w:val="2"/>
          <w:lang w:val="es-ES"/>
          <w14:ligatures w14:val="standardContextual"/>
        </w:rPr>
        <w:t>“</w:t>
      </w:r>
      <w:r w:rsidRPr="00044E15">
        <w:rPr>
          <w:rFonts w:ascii="Verdana" w:eastAsia="Aptos" w:hAnsi="Verdana" w:cs="Arial"/>
          <w:kern w:val="2"/>
          <w:shd w:val="clear" w:color="auto" w:fill="FFFFFF"/>
          <w:lang w:val="es-ES"/>
          <w14:ligatures w14:val="standardContextual"/>
        </w:rPr>
        <w:t>Matriz 4 – Lineamientos de requisitos del personal</w:t>
      </w:r>
      <w:r w:rsidRPr="00044E15">
        <w:rPr>
          <w:rFonts w:ascii="Verdana" w:eastAsia="Calibri" w:hAnsi="Verdana" w:cs="Arial"/>
          <w:color w:val="000000"/>
          <w:kern w:val="2"/>
          <w:lang w:val="es-ES"/>
          <w14:ligatures w14:val="standardContextual"/>
        </w:rPr>
        <w:t>”</w:t>
      </w:r>
      <w:r w:rsidRPr="00044E15">
        <w:rPr>
          <w:rFonts w:ascii="Verdana" w:eastAsia="Aptos" w:hAnsi="Verdana" w:cs="Arial"/>
          <w:kern w:val="2"/>
          <w:shd w:val="clear" w:color="auto" w:fill="FFFFFF"/>
          <w:lang w:val="es-ES"/>
          <w14:ligatures w14:val="standardContextual"/>
        </w:rPr>
        <w:t xml:space="preserve">, para establecer las condiciones de experiencia y formación académica del equipo de trabajo. Al definir dichos perfiles la entidad tiene vedado exigir dentro de </w:t>
      </w:r>
      <w:proofErr w:type="gramStart"/>
      <w:r w:rsidRPr="00044E15">
        <w:rPr>
          <w:rFonts w:ascii="Verdana" w:eastAsia="Aptos" w:hAnsi="Verdana" w:cs="Arial"/>
          <w:kern w:val="2"/>
          <w:shd w:val="clear" w:color="auto" w:fill="FFFFFF"/>
          <w:lang w:val="es-ES"/>
          <w14:ligatures w14:val="standardContextual"/>
        </w:rPr>
        <w:t>este títulos</w:t>
      </w:r>
      <w:proofErr w:type="gramEnd"/>
      <w:r w:rsidRPr="00044E15">
        <w:rPr>
          <w:rFonts w:ascii="Verdana" w:eastAsia="Aptos" w:hAnsi="Verdana" w:cs="Arial"/>
          <w:kern w:val="2"/>
          <w:shd w:val="clear" w:color="auto" w:fill="FFFFFF"/>
          <w:lang w:val="es-ES"/>
          <w14:ligatures w14:val="standardContextual"/>
        </w:rPr>
        <w:t xml:space="preserve"> de posgrado particulares en atención a su nivel académico, es decir especializaciones, maestrías, doctorados o posdoctorados, toda vez que el </w:t>
      </w:r>
      <w:r w:rsidRPr="00044E15">
        <w:rPr>
          <w:rFonts w:ascii="Verdana" w:eastAsia="Aptos" w:hAnsi="Verdana" w:cs="Arial"/>
          <w:kern w:val="2"/>
          <w:shd w:val="clear" w:color="auto" w:fill="FFFFFF"/>
          <w:lang w:val="es-ES"/>
          <w14:ligatures w14:val="standardContextual"/>
        </w:rPr>
        <w:lastRenderedPageBreak/>
        <w:t xml:space="preserve">cumplimiento del perfil, en lo que formación académica se refiere, debe analizarse estableciendo si se cuenta o no con un título de posgrado en el área del conocimiento relacionada con el cargo a desempeñar, independiente de cuál sea su nivel académico. </w:t>
      </w:r>
    </w:p>
    <w:p w14:paraId="02AA862E" w14:textId="77777777" w:rsidR="00044E15" w:rsidRPr="00044E15" w:rsidRDefault="00044E15" w:rsidP="00044E15">
      <w:pPr>
        <w:spacing w:after="120" w:line="276" w:lineRule="auto"/>
        <w:ind w:firstLine="708"/>
        <w:jc w:val="both"/>
        <w:rPr>
          <w:rFonts w:ascii="Verdana" w:eastAsia="Aptos" w:hAnsi="Verdana" w:cs="Arial"/>
          <w:kern w:val="2"/>
          <w:shd w:val="clear" w:color="auto" w:fill="FFFFFF"/>
          <w:lang w:val="es-ES"/>
          <w14:ligatures w14:val="standardContextual"/>
        </w:rPr>
      </w:pPr>
      <w:r w:rsidRPr="00044E15">
        <w:rPr>
          <w:rFonts w:ascii="Verdana" w:eastAsia="Aptos" w:hAnsi="Verdana" w:cs="Arial"/>
          <w:kern w:val="2"/>
          <w:shd w:val="clear" w:color="auto" w:fill="FFFFFF"/>
          <w:lang w:val="es-ES"/>
          <w14:ligatures w14:val="standardContextual"/>
        </w:rPr>
        <w:t xml:space="preserve">No obstante, resulta claro que, por ejemplo, una maestría, en razón a tener un nivel académico superior al de una especialización, amerita una valoración distinta respecto a esta última, lo cual en todo caso debe medirse a luz de las equivalencias establecidas en la </w:t>
      </w:r>
      <w:r w:rsidRPr="00044E15">
        <w:rPr>
          <w:rFonts w:ascii="Verdana" w:eastAsia="Calibri" w:hAnsi="Verdana" w:cs="Arial"/>
          <w:color w:val="000000"/>
          <w:kern w:val="2"/>
          <w:lang w:val="es-ES"/>
          <w14:ligatures w14:val="standardContextual"/>
        </w:rPr>
        <w:t>“</w:t>
      </w:r>
      <w:r w:rsidRPr="00044E15">
        <w:rPr>
          <w:rFonts w:ascii="Verdana" w:eastAsia="Aptos" w:hAnsi="Verdana" w:cs="Arial"/>
          <w:kern w:val="2"/>
          <w:shd w:val="clear" w:color="auto" w:fill="FFFFFF"/>
          <w:lang w:val="es-ES"/>
          <w14:ligatures w14:val="standardContextual"/>
        </w:rPr>
        <w:t>Matriz 4 – Lineamientos de requisitos del personal</w:t>
      </w:r>
      <w:r w:rsidRPr="00044E15">
        <w:rPr>
          <w:rFonts w:ascii="Verdana" w:eastAsia="Calibri" w:hAnsi="Verdana" w:cs="Arial"/>
          <w:color w:val="000000"/>
          <w:kern w:val="2"/>
          <w:lang w:val="es-ES"/>
          <w14:ligatures w14:val="standardContextual"/>
        </w:rPr>
        <w:t xml:space="preserve">”, </w:t>
      </w:r>
      <w:r w:rsidRPr="00044E15">
        <w:rPr>
          <w:rFonts w:ascii="Verdana" w:eastAsia="Aptos" w:hAnsi="Verdana" w:cs="Arial"/>
          <w:kern w:val="2"/>
          <w:shd w:val="clear" w:color="auto" w:fill="FFFFFF"/>
          <w:lang w:val="es-ES"/>
          <w14:ligatures w14:val="standardContextual"/>
        </w:rPr>
        <w:t xml:space="preserve">así como de las reglas del </w:t>
      </w:r>
      <w:r w:rsidRPr="00044E15">
        <w:rPr>
          <w:rFonts w:ascii="Verdana" w:eastAsia="Calibri" w:hAnsi="Verdana" w:cs="Arial"/>
          <w:color w:val="000000"/>
          <w:kern w:val="2"/>
          <w:lang w:val="es-ES"/>
          <w14:ligatures w14:val="standardContextual"/>
        </w:rPr>
        <w:t>“</w:t>
      </w:r>
      <w:r w:rsidRPr="00044E15">
        <w:rPr>
          <w:rFonts w:ascii="Verdana" w:eastAsia="Aptos" w:hAnsi="Verdana" w:cs="Arial"/>
          <w:kern w:val="2"/>
          <w:shd w:val="clear" w:color="auto" w:fill="FFFFFF"/>
          <w:lang w:val="es-ES"/>
          <w14:ligatures w14:val="standardContextual"/>
        </w:rPr>
        <w:t>Anexo 1 – Anexo Técnico</w:t>
      </w:r>
      <w:r w:rsidRPr="00044E15">
        <w:rPr>
          <w:rFonts w:ascii="Verdana" w:eastAsia="Calibri" w:hAnsi="Verdana" w:cs="Arial"/>
          <w:color w:val="000000"/>
          <w:kern w:val="2"/>
          <w:lang w:val="es-ES"/>
          <w14:ligatures w14:val="standardContextual"/>
        </w:rPr>
        <w:t>” que al efecto sean aplicables</w:t>
      </w:r>
      <w:r w:rsidRPr="00044E15">
        <w:rPr>
          <w:rFonts w:ascii="Verdana" w:eastAsia="Aptos" w:hAnsi="Verdana" w:cs="Arial"/>
          <w:kern w:val="2"/>
          <w:shd w:val="clear" w:color="auto" w:fill="FFFFFF"/>
          <w:lang w:val="es-ES"/>
          <w14:ligatures w14:val="standardContextual"/>
        </w:rPr>
        <w:t>.</w:t>
      </w:r>
    </w:p>
    <w:p w14:paraId="62EA50F9" w14:textId="77777777" w:rsidR="00044E15" w:rsidRPr="00044E15" w:rsidRDefault="00044E15" w:rsidP="00044E15">
      <w:pPr>
        <w:tabs>
          <w:tab w:val="left" w:pos="0"/>
        </w:tabs>
        <w:spacing w:after="0" w:line="276" w:lineRule="auto"/>
        <w:jc w:val="both"/>
        <w:rPr>
          <w:rFonts w:ascii="Verdana" w:eastAsia="Aptos" w:hAnsi="Verdana" w:cs="Arial"/>
          <w:kern w:val="2"/>
          <w14:ligatures w14:val="standardContextual"/>
        </w:rPr>
      </w:pPr>
      <w:r w:rsidRPr="00044E15">
        <w:rPr>
          <w:rFonts w:ascii="Verdana" w:eastAsia="Aptos" w:hAnsi="Verdana" w:cs="Arial"/>
          <w:kern w:val="2"/>
          <w:shd w:val="clear" w:color="auto" w:fill="FFFFFF"/>
          <w:lang w:val="es-ES_tradnl"/>
          <w14:ligatures w14:val="standardContextual"/>
        </w:rPr>
        <w:tab/>
        <w:t xml:space="preserve">Ahora bien, según dicho numeral </w:t>
      </w:r>
      <w:r w:rsidRPr="00044E15">
        <w:rPr>
          <w:rFonts w:ascii="Verdana" w:eastAsia="Aptos" w:hAnsi="Verdana" w:cs="Arial"/>
          <w:kern w:val="2"/>
          <w14:ligatures w14:val="standardContextual"/>
        </w:rPr>
        <w:t>“</w:t>
      </w:r>
      <w:r w:rsidRPr="00044E15">
        <w:rPr>
          <w:rFonts w:ascii="Verdana" w:eastAsia="Aptos" w:hAnsi="Verdana" w:cs="Times New Roman"/>
          <w:kern w:val="2"/>
          <w14:ligatures w14:val="standardContextual"/>
        </w:rPr>
        <w:t xml:space="preserve">(…) </w:t>
      </w:r>
      <w:r w:rsidRPr="00044E15">
        <w:rPr>
          <w:rFonts w:ascii="Verdana" w:eastAsia="Aptos" w:hAnsi="Verdana" w:cs="Arial"/>
          <w:kern w:val="2"/>
          <w14:ligatures w14:val="standardContextual"/>
        </w:rPr>
        <w:t xml:space="preserve">se entiende por personal clave evaluable los siguientes perfiles: </w:t>
      </w:r>
    </w:p>
    <w:p w14:paraId="52315E7D" w14:textId="77777777" w:rsidR="00044E15" w:rsidRPr="00044E15" w:rsidRDefault="00044E15" w:rsidP="00044E15">
      <w:pPr>
        <w:tabs>
          <w:tab w:val="left" w:pos="0"/>
        </w:tabs>
        <w:spacing w:after="0" w:line="276" w:lineRule="auto"/>
        <w:jc w:val="both"/>
        <w:rPr>
          <w:rFonts w:ascii="Verdana" w:eastAsia="Aptos" w:hAnsi="Verdana" w:cs="Arial"/>
          <w:kern w:val="2"/>
          <w14:ligatures w14:val="standardContextual"/>
        </w:rPr>
      </w:pPr>
    </w:p>
    <w:p w14:paraId="4B02BFD2" w14:textId="77777777" w:rsidR="00044E15" w:rsidRPr="00044E15" w:rsidRDefault="00044E15" w:rsidP="00044E15">
      <w:pPr>
        <w:tabs>
          <w:tab w:val="left" w:pos="0"/>
        </w:tabs>
        <w:spacing w:after="0" w:line="240" w:lineRule="auto"/>
        <w:ind w:left="709" w:right="709"/>
        <w:jc w:val="both"/>
        <w:rPr>
          <w:rFonts w:ascii="Arial" w:eastAsia="Aptos" w:hAnsi="Arial" w:cs="Arial"/>
          <w:kern w:val="2"/>
          <w:sz w:val="21"/>
          <w:szCs w:val="21"/>
          <w14:ligatures w14:val="standardContextual"/>
        </w:rPr>
      </w:pPr>
      <w:r w:rsidRPr="00044E15">
        <w:rPr>
          <w:rFonts w:ascii="Verdana" w:eastAsia="Aptos" w:hAnsi="Verdana" w:cs="Arial"/>
          <w:kern w:val="2"/>
          <w:sz w:val="21"/>
          <w:szCs w:val="21"/>
          <w14:ligatures w14:val="standardContextual"/>
        </w:rPr>
        <w:t>[La Entidad deberá indicar cuáles de los siguientes perfiles hacen parte del Personal Clave Evaluable: Director de Interventoría y/o Administrador o Gestor Vial y/o Residente de interventoría y/o Especialista principal del proyecto. Señalando exclusivamente el perfil como fue relacionado sin precisar información adicional que se encuentre en la “Matriz 4 – Lineamientos de requisitos del personal” y “Anexo 1 – Anexo Técnico”. El Personal Clave Evaluable en los cuatro (4) perfiles mencionados puede estar conformado por uno o varios profesionales, de manera que la Entidad señalará el número de personas requeridas en cada cargo].</w:t>
      </w:r>
      <w:r w:rsidRPr="00044E15">
        <w:rPr>
          <w:rFonts w:ascii="Arial" w:eastAsia="Aptos" w:hAnsi="Arial" w:cs="Arial"/>
          <w:kern w:val="2"/>
          <w:sz w:val="21"/>
          <w:szCs w:val="21"/>
          <w14:ligatures w14:val="standardContextual"/>
        </w:rPr>
        <w:t xml:space="preserve"> </w:t>
      </w:r>
    </w:p>
    <w:p w14:paraId="4385B008" w14:textId="77777777" w:rsidR="00044E15" w:rsidRPr="00044E15" w:rsidRDefault="00044E15" w:rsidP="00044E15">
      <w:pPr>
        <w:tabs>
          <w:tab w:val="left" w:pos="0"/>
        </w:tabs>
        <w:spacing w:after="0" w:line="240" w:lineRule="auto"/>
        <w:ind w:left="709" w:right="709"/>
        <w:jc w:val="both"/>
        <w:rPr>
          <w:rFonts w:ascii="Arial" w:eastAsia="Aptos" w:hAnsi="Arial" w:cs="Arial"/>
          <w:kern w:val="2"/>
          <w:sz w:val="21"/>
          <w:szCs w:val="21"/>
          <w14:ligatures w14:val="standardContextual"/>
        </w:rPr>
      </w:pPr>
    </w:p>
    <w:p w14:paraId="7ABF0D73" w14:textId="77777777" w:rsidR="00044E15" w:rsidRPr="00044E15" w:rsidRDefault="00044E15" w:rsidP="00044E15">
      <w:pPr>
        <w:tabs>
          <w:tab w:val="left" w:pos="0"/>
        </w:tabs>
        <w:spacing w:after="120" w:line="276" w:lineRule="auto"/>
        <w:jc w:val="both"/>
        <w:rPr>
          <w:rFonts w:ascii="Verdana" w:eastAsia="Aptos" w:hAnsi="Verdana" w:cs="Arial"/>
          <w:kern w:val="2"/>
          <w:shd w:val="clear" w:color="auto" w:fill="FFFFFF"/>
          <w:lang w:val="es-ES_tradnl"/>
          <w14:ligatures w14:val="standardContextual"/>
        </w:rPr>
      </w:pPr>
      <w:r w:rsidRPr="00044E15">
        <w:rPr>
          <w:rFonts w:ascii="Arial" w:eastAsia="Aptos" w:hAnsi="Arial" w:cs="Arial"/>
          <w:kern w:val="2"/>
          <w:sz w:val="20"/>
          <w:szCs w:val="20"/>
          <w14:ligatures w14:val="standardContextual"/>
        </w:rPr>
        <w:tab/>
      </w:r>
      <w:r w:rsidRPr="00044E15">
        <w:rPr>
          <w:rFonts w:ascii="Verdana" w:eastAsia="Aptos" w:hAnsi="Verdana" w:cs="Arial"/>
          <w:kern w:val="2"/>
          <w14:ligatures w14:val="standardContextual"/>
        </w:rPr>
        <w:t xml:space="preserve">Sobre el particular, conforme a los lineamientos de la matriz 4, la entidad contratante puede configurar libremente los perfiles exigidos, solicitando tanto el título profesional y de posgrado como la experiencia general y específica. </w:t>
      </w:r>
    </w:p>
    <w:p w14:paraId="0E740039" w14:textId="77777777" w:rsidR="00044E15" w:rsidRPr="00044E15" w:rsidRDefault="00044E15" w:rsidP="00044E15">
      <w:pPr>
        <w:spacing w:line="276" w:lineRule="auto"/>
        <w:ind w:firstLine="708"/>
        <w:jc w:val="both"/>
        <w:rPr>
          <w:rFonts w:ascii="Verdana" w:eastAsia="Aptos" w:hAnsi="Verdana" w:cs="Arial"/>
          <w:kern w:val="2"/>
          <w:shd w:val="clear" w:color="auto" w:fill="FFFFFF"/>
          <w:lang w:val="es-ES"/>
          <w14:ligatures w14:val="standardContextual"/>
        </w:rPr>
      </w:pPr>
      <w:bookmarkStart w:id="3" w:name="_Hlk70510856"/>
      <w:r w:rsidRPr="00044E15">
        <w:rPr>
          <w:rFonts w:ascii="Verdana" w:eastAsia="Aptos" w:hAnsi="Verdana" w:cs="Arial"/>
          <w:kern w:val="2"/>
          <w:shd w:val="clear" w:color="auto" w:fill="FFFFFF"/>
          <w:lang w:val="es-ES"/>
          <w14:ligatures w14:val="standardContextual"/>
        </w:rPr>
        <w:t xml:space="preserve">Del contenido del citado numeral 3.8.2 del documento base es posible inferir la idea de que la entidad estatal contratante tiene la potestad discrecional de definir la conformación del personal clave evaluable, de acuerdo con las particularidades del objeto a contratar. En ese sentido, la entidad puede optar por exigir uno, varios o todos los perfiles descritos, definición que dependerá de las necesidades del objeto contractual, según lo establezca la entidad en la etapa de planeación a su cargo, que, a su vez, justifique y soporte la estructuración del proceso de selección del futuro interventor del contrato de obra.  </w:t>
      </w:r>
    </w:p>
    <w:bookmarkEnd w:id="3"/>
    <w:p w14:paraId="13393F89" w14:textId="77777777" w:rsidR="00044E15" w:rsidRPr="00044E15" w:rsidRDefault="00044E15" w:rsidP="00044E15">
      <w:pPr>
        <w:spacing w:before="120" w:line="276" w:lineRule="auto"/>
        <w:ind w:firstLine="708"/>
        <w:jc w:val="both"/>
        <w:rPr>
          <w:rFonts w:ascii="Verdana" w:eastAsia="Aptos" w:hAnsi="Verdana" w:cs="Arial"/>
          <w:kern w:val="2"/>
          <w:shd w:val="clear" w:color="auto" w:fill="FFFFFF"/>
          <w:lang w:val="es-ES_tradnl"/>
          <w14:ligatures w14:val="standardContextual"/>
        </w:rPr>
      </w:pPr>
      <w:r w:rsidRPr="00044E15">
        <w:rPr>
          <w:rFonts w:ascii="Verdana" w:eastAsia="Aptos" w:hAnsi="Verdana" w:cs="Arial"/>
          <w:kern w:val="2"/>
          <w:shd w:val="clear" w:color="auto" w:fill="FFFFFF"/>
          <w:lang w:val="es-ES_tradnl"/>
          <w14:ligatures w14:val="standardContextual"/>
        </w:rPr>
        <w:t xml:space="preserve">Definido por la entidad, en la etapa de planeación el personal clave evaluable, se acude a </w:t>
      </w:r>
      <w:r w:rsidRPr="00044E15">
        <w:rPr>
          <w:rFonts w:ascii="Verdana" w:eastAsia="Calibri" w:hAnsi="Verdana" w:cs="Arial"/>
          <w:color w:val="000000"/>
          <w:kern w:val="2"/>
          <w:szCs w:val="24"/>
          <w:lang w:val="es-ES_tradnl"/>
          <w14:ligatures w14:val="standardContextual"/>
        </w:rPr>
        <w:t xml:space="preserve">la Matriz 4 de la versión 2 de los documentos tipo de </w:t>
      </w:r>
      <w:r w:rsidRPr="00044E15">
        <w:rPr>
          <w:rFonts w:ascii="Verdana" w:eastAsia="Calibri" w:hAnsi="Verdana" w:cs="Arial"/>
          <w:color w:val="000000"/>
          <w:kern w:val="2"/>
          <w:szCs w:val="24"/>
          <w:lang w:val="es-ES_tradnl"/>
          <w14:ligatures w14:val="standardContextual"/>
        </w:rPr>
        <w:lastRenderedPageBreak/>
        <w:t>interventoría que estandariza los requisitos de experiencia y formación académica de parte del equipo de trabajo del proponente, en particular del “personal clave evaluable”. En tal sentido, con fundamento en dicha matriz, la entidad debe diligenciar o completar algunos apartes de los documentos que conforman los documentos tipos de interventoría, siendo los más relevantes, el numeral 7 del</w:t>
      </w:r>
      <w:bookmarkStart w:id="4" w:name="_Ref508648618"/>
      <w:bookmarkStart w:id="5" w:name="_Ref511379193"/>
      <w:r w:rsidRPr="00044E15">
        <w:rPr>
          <w:rFonts w:ascii="Verdana" w:eastAsia="Calibri" w:hAnsi="Verdana" w:cs="Arial"/>
          <w:color w:val="000000"/>
          <w:kern w:val="2"/>
          <w:szCs w:val="24"/>
          <w:lang w:val="es-ES_tradnl"/>
          <w14:ligatures w14:val="standardContextual"/>
        </w:rPr>
        <w:t xml:space="preserve"> Anexo 1 – Anexo Técnico</w:t>
      </w:r>
      <w:bookmarkEnd w:id="4"/>
      <w:bookmarkEnd w:id="5"/>
      <w:r w:rsidRPr="00044E15">
        <w:rPr>
          <w:rFonts w:ascii="Verdana" w:eastAsia="Calibri" w:hAnsi="Verdana" w:cs="Arial"/>
          <w:color w:val="000000"/>
          <w:kern w:val="2"/>
          <w:szCs w:val="24"/>
          <w:lang w:val="es-ES_tradnl"/>
          <w14:ligatures w14:val="standardContextual"/>
        </w:rPr>
        <w:t xml:space="preserve"> “INFORMACIÓN SOBRE EL PERSONAL PROFESIONAL Y EQUIPOS DEL INTERVENTOR” y el numeral 3.8.2 del documento base “EXIGENCIAS MÍNIMAS DE EXPERIENCIA Y FORMACIÓN ACADÉMICA DEL EQUIPO </w:t>
      </w:r>
      <w:r w:rsidRPr="00044E15">
        <w:rPr>
          <w:rFonts w:ascii="Verdana" w:eastAsia="Calibri" w:hAnsi="Verdana" w:cs="Arial"/>
          <w:bCs/>
          <w:color w:val="000000"/>
          <w:kern w:val="2"/>
          <w:szCs w:val="24"/>
          <w:lang w:val="es-ES_tradnl"/>
          <w14:ligatures w14:val="standardContextual"/>
        </w:rPr>
        <w:t>DE TRABAJO (Personal clave evaluable)”. Además, tal regulación incidirá en el numeral 4.2. del documento base “EQUIPO DE TRABAJO (Personal clave evaluable)”.</w:t>
      </w:r>
    </w:p>
    <w:p w14:paraId="1647206C" w14:textId="77777777" w:rsidR="00044E15" w:rsidRPr="00044E15" w:rsidRDefault="00044E15" w:rsidP="00044E15">
      <w:pPr>
        <w:spacing w:after="120" w:line="276" w:lineRule="auto"/>
        <w:ind w:firstLine="709"/>
        <w:jc w:val="both"/>
        <w:rPr>
          <w:rFonts w:ascii="Verdana" w:eastAsia="Calibri" w:hAnsi="Verdana" w:cs="Times New Roman"/>
          <w:kern w:val="2"/>
          <w14:ligatures w14:val="standardContextual"/>
        </w:rPr>
      </w:pPr>
      <w:r w:rsidRPr="00044E15">
        <w:rPr>
          <w:rFonts w:ascii="Verdana" w:eastAsia="Calibri" w:hAnsi="Verdana" w:cs="Times New Roman"/>
          <w:kern w:val="2"/>
          <w14:ligatures w14:val="standardContextual"/>
        </w:rPr>
        <w:t xml:space="preserve">Particularmente, la “Matriz 4” incorpora unos perfiles, relacionados como personal clave evaluable, los cuales son de uso generalizado en los procesos de Interventoría. Sin embargo, tal como se indica en la Matriz, la entidad establecerá si la totalidad de los perfiles presentados son requeridos en su proceso de contratación. </w:t>
      </w:r>
    </w:p>
    <w:p w14:paraId="41B384CF" w14:textId="77777777" w:rsidR="00044E15" w:rsidRPr="00044E15" w:rsidRDefault="00044E15" w:rsidP="00044E15">
      <w:pPr>
        <w:spacing w:after="120" w:line="276" w:lineRule="auto"/>
        <w:ind w:firstLine="709"/>
        <w:jc w:val="both"/>
        <w:rPr>
          <w:rFonts w:ascii="Verdana" w:eastAsia="Calibri" w:hAnsi="Verdana" w:cs="Times New Roman"/>
          <w:kern w:val="2"/>
          <w14:ligatures w14:val="standardContextual"/>
        </w:rPr>
      </w:pPr>
      <w:r w:rsidRPr="00044E15">
        <w:rPr>
          <w:rFonts w:ascii="Verdana" w:eastAsia="Calibri" w:hAnsi="Verdana" w:cs="Times New Roman"/>
          <w:kern w:val="2"/>
          <w14:ligatures w14:val="standardContextual"/>
        </w:rPr>
        <w:t>Concretamente, en relación con su solicitud, debe indicarse que, el numeral “III. Equivalencias de experiencia aplicables para el personal” y el IV “Equivalencias de formación académica aplicables para el personal” de la respectiva Matriz 4, disponen que como parte de la verificación del cumplimiento del perfil establecido por la entidad, serán aplicables una serie de equivalencias, ya sea en relación con la experiencia o con la formación académica del personal solicitado para la interventoría. Estas son las siguientes:</w:t>
      </w:r>
    </w:p>
    <w:p w14:paraId="1EFACE2C" w14:textId="77777777" w:rsidR="00044E15" w:rsidRPr="00044E15" w:rsidRDefault="00044E15" w:rsidP="00044E15">
      <w:pPr>
        <w:spacing w:after="0" w:line="276" w:lineRule="auto"/>
        <w:ind w:firstLine="709"/>
        <w:jc w:val="both"/>
        <w:rPr>
          <w:rFonts w:ascii="Verdana" w:eastAsia="Calibri" w:hAnsi="Verdana" w:cs="Times New Roman"/>
          <w:kern w:val="2"/>
          <w14:ligatures w14:val="standardContextual"/>
        </w:rPr>
      </w:pPr>
    </w:p>
    <w:p w14:paraId="16C420B7" w14:textId="77777777" w:rsidR="00044E15" w:rsidRPr="00044E15" w:rsidRDefault="00044E15" w:rsidP="00044E15">
      <w:pPr>
        <w:spacing w:after="0" w:line="240" w:lineRule="auto"/>
        <w:ind w:left="709" w:right="709" w:firstLine="708"/>
        <w:jc w:val="both"/>
        <w:rPr>
          <w:rFonts w:ascii="Verdana" w:eastAsia="Calibri" w:hAnsi="Verdana" w:cs="Times New Roman"/>
          <w:kern w:val="2"/>
          <w:sz w:val="21"/>
          <w:szCs w:val="21"/>
          <w14:ligatures w14:val="standardContextual"/>
        </w:rPr>
      </w:pPr>
      <w:r w:rsidRPr="00044E15">
        <w:rPr>
          <w:rFonts w:ascii="Verdana" w:eastAsia="Calibri" w:hAnsi="Verdana" w:cs="Times New Roman"/>
          <w:kern w:val="2"/>
          <w:sz w:val="21"/>
          <w:szCs w:val="21"/>
          <w14:ligatures w14:val="standardContextual"/>
        </w:rPr>
        <w:t>“III. Equivalencias de experiencia aplicables para el personal:</w:t>
      </w:r>
    </w:p>
    <w:p w14:paraId="7D27BED4" w14:textId="77777777" w:rsidR="00044E15" w:rsidRPr="00044E15" w:rsidRDefault="00044E15" w:rsidP="00044E15">
      <w:pPr>
        <w:spacing w:after="120" w:line="240" w:lineRule="auto"/>
        <w:ind w:left="709" w:right="709" w:firstLine="709"/>
        <w:jc w:val="both"/>
        <w:rPr>
          <w:rFonts w:ascii="Verdana" w:eastAsia="Calibri" w:hAnsi="Verdana" w:cs="Times New Roman"/>
          <w:kern w:val="2"/>
          <w:sz w:val="21"/>
          <w:szCs w:val="21"/>
          <w14:ligatures w14:val="standardContextual"/>
        </w:rPr>
      </w:pPr>
      <w:r w:rsidRPr="00044E15">
        <w:rPr>
          <w:rFonts w:ascii="Verdana" w:eastAsia="Calibri" w:hAnsi="Verdana" w:cs="Times New Roman"/>
          <w:kern w:val="2"/>
          <w:sz w:val="21"/>
          <w:szCs w:val="21"/>
          <w14:ligatures w14:val="standardContextual"/>
        </w:rPr>
        <w:t>(…)</w:t>
      </w:r>
    </w:p>
    <w:p w14:paraId="78D0CD9D" w14:textId="77777777" w:rsidR="00044E15" w:rsidRPr="00044E15" w:rsidRDefault="00044E15" w:rsidP="00044E15">
      <w:pPr>
        <w:spacing w:after="120" w:line="240" w:lineRule="auto"/>
        <w:ind w:left="1416" w:right="709"/>
        <w:jc w:val="both"/>
        <w:rPr>
          <w:rFonts w:ascii="Verdana" w:eastAsia="Calibri" w:hAnsi="Verdana" w:cs="Times New Roman"/>
          <w:kern w:val="2"/>
          <w:sz w:val="21"/>
          <w:szCs w:val="21"/>
          <w14:ligatures w14:val="standardContextual"/>
        </w:rPr>
      </w:pPr>
      <w:r w:rsidRPr="00044E15">
        <w:rPr>
          <w:rFonts w:ascii="Verdana" w:eastAsia="Calibri" w:hAnsi="Verdana" w:cs="Times New Roman"/>
          <w:kern w:val="2"/>
          <w:sz w:val="21"/>
          <w:szCs w:val="21"/>
          <w14:ligatures w14:val="standardContextual"/>
        </w:rPr>
        <w:t>1. Equivalencia de experiencia para el cargo de Director de Interventoría:</w:t>
      </w:r>
      <w:r w:rsidRPr="00044E15">
        <w:rPr>
          <w:rFonts w:ascii="Verdana" w:eastAsia="Calibri" w:hAnsi="Verdana" w:cs="Times New Roman"/>
          <w:kern w:val="2"/>
          <w:sz w:val="21"/>
          <w:szCs w:val="21"/>
          <w14:ligatures w14:val="standardContextual"/>
        </w:rPr>
        <w:tab/>
      </w:r>
      <w:r w:rsidRPr="00044E15">
        <w:rPr>
          <w:rFonts w:ascii="Verdana" w:eastAsia="Calibri" w:hAnsi="Verdana" w:cs="Times New Roman"/>
          <w:kern w:val="2"/>
          <w:sz w:val="21"/>
          <w:szCs w:val="21"/>
          <w14:ligatures w14:val="standardContextual"/>
        </w:rPr>
        <w:tab/>
      </w:r>
      <w:r w:rsidRPr="00044E15">
        <w:rPr>
          <w:rFonts w:ascii="Verdana" w:eastAsia="Calibri" w:hAnsi="Verdana" w:cs="Times New Roman"/>
          <w:kern w:val="2"/>
          <w:sz w:val="21"/>
          <w:szCs w:val="21"/>
          <w14:ligatures w14:val="standardContextual"/>
        </w:rPr>
        <w:tab/>
      </w:r>
      <w:r w:rsidRPr="00044E15">
        <w:rPr>
          <w:rFonts w:ascii="Verdana" w:eastAsia="Calibri" w:hAnsi="Verdana" w:cs="Times New Roman"/>
          <w:kern w:val="2"/>
          <w:sz w:val="21"/>
          <w:szCs w:val="21"/>
          <w14:ligatures w14:val="standardContextual"/>
        </w:rPr>
        <w:tab/>
      </w:r>
    </w:p>
    <w:p w14:paraId="7D6CF0F3" w14:textId="77777777" w:rsidR="00044E15" w:rsidRPr="00044E15" w:rsidRDefault="00044E15" w:rsidP="00044E15">
      <w:pPr>
        <w:spacing w:after="120" w:line="240" w:lineRule="auto"/>
        <w:ind w:left="709" w:right="709" w:firstLine="709"/>
        <w:jc w:val="both"/>
        <w:rPr>
          <w:rFonts w:ascii="Verdana" w:eastAsia="Calibri" w:hAnsi="Verdana" w:cs="Times New Roman"/>
          <w:kern w:val="2"/>
          <w:sz w:val="21"/>
          <w:szCs w:val="21"/>
          <w14:ligatures w14:val="standardContextual"/>
        </w:rPr>
      </w:pPr>
    </w:p>
    <w:tbl>
      <w:tblPr>
        <w:tblW w:w="6900" w:type="dxa"/>
        <w:tblInd w:w="14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00"/>
        <w:gridCol w:w="1500"/>
        <w:gridCol w:w="2600"/>
      </w:tblGrid>
      <w:tr w:rsidR="00044E15" w:rsidRPr="00044E15" w14:paraId="68F12651" w14:textId="77777777" w:rsidTr="001F4A4B">
        <w:tc>
          <w:tcPr>
            <w:tcW w:w="2800" w:type="dxa"/>
            <w:shd w:val="clear" w:color="auto" w:fill="D9D9D9"/>
            <w:vAlign w:val="center"/>
          </w:tcPr>
          <w:p w14:paraId="5764904A" w14:textId="77777777" w:rsidR="00044E15" w:rsidRPr="00044E15" w:rsidRDefault="00044E15" w:rsidP="00044E15">
            <w:pPr>
              <w:spacing w:after="0" w:line="240" w:lineRule="auto"/>
              <w:jc w:val="center"/>
              <w:rPr>
                <w:rFonts w:ascii="Aptos" w:eastAsia="Aptos" w:hAnsi="Aptos" w:cs="Times New Roman"/>
                <w:kern w:val="2"/>
                <w:sz w:val="24"/>
                <w:szCs w:val="24"/>
                <w14:ligatures w14:val="standardContextual"/>
              </w:rPr>
            </w:pPr>
            <w:r w:rsidRPr="00044E15">
              <w:rPr>
                <w:rFonts w:ascii="Verdana" w:eastAsia="Aptos" w:hAnsi="Verdana" w:cs="Arial"/>
                <w:b/>
                <w:kern w:val="2"/>
                <w:sz w:val="16"/>
                <w:szCs w:val="16"/>
                <w14:ligatures w14:val="standardContextual"/>
              </w:rPr>
              <w:t>Cargo desempeñado como:</w:t>
            </w:r>
          </w:p>
        </w:tc>
        <w:tc>
          <w:tcPr>
            <w:tcW w:w="1500" w:type="dxa"/>
            <w:shd w:val="clear" w:color="auto" w:fill="D9D9D9"/>
            <w:vAlign w:val="center"/>
          </w:tcPr>
          <w:p w14:paraId="48004405" w14:textId="77777777" w:rsidR="00044E15" w:rsidRPr="00044E15" w:rsidRDefault="00044E15" w:rsidP="00044E15">
            <w:pPr>
              <w:spacing w:after="0" w:line="240" w:lineRule="auto"/>
              <w:jc w:val="center"/>
              <w:rPr>
                <w:rFonts w:ascii="Aptos" w:eastAsia="Aptos" w:hAnsi="Aptos" w:cs="Times New Roman"/>
                <w:kern w:val="2"/>
                <w:sz w:val="24"/>
                <w:szCs w:val="24"/>
                <w14:ligatures w14:val="standardContextual"/>
              </w:rPr>
            </w:pPr>
            <w:r w:rsidRPr="00044E15">
              <w:rPr>
                <w:rFonts w:ascii="Verdana" w:eastAsia="Aptos" w:hAnsi="Verdana" w:cs="Arial"/>
                <w:b/>
                <w:kern w:val="2"/>
                <w:sz w:val="16"/>
                <w:szCs w:val="16"/>
                <w14:ligatures w14:val="standardContextual"/>
              </w:rPr>
              <w:t>Experiencia en el cargo (años)</w:t>
            </w:r>
          </w:p>
        </w:tc>
        <w:tc>
          <w:tcPr>
            <w:tcW w:w="2600" w:type="dxa"/>
            <w:shd w:val="clear" w:color="auto" w:fill="D9D9D9"/>
            <w:vAlign w:val="center"/>
          </w:tcPr>
          <w:p w14:paraId="4D3E4530" w14:textId="77777777" w:rsidR="00044E15" w:rsidRPr="00044E15" w:rsidRDefault="00044E15" w:rsidP="00044E15">
            <w:pPr>
              <w:spacing w:after="0" w:line="240" w:lineRule="auto"/>
              <w:jc w:val="center"/>
              <w:rPr>
                <w:rFonts w:ascii="Aptos" w:eastAsia="Aptos" w:hAnsi="Aptos" w:cs="Times New Roman"/>
                <w:kern w:val="2"/>
                <w:sz w:val="24"/>
                <w:szCs w:val="24"/>
                <w14:ligatures w14:val="standardContextual"/>
              </w:rPr>
            </w:pPr>
            <w:r w:rsidRPr="00044E15">
              <w:rPr>
                <w:rFonts w:ascii="Verdana" w:eastAsia="Aptos" w:hAnsi="Verdana" w:cs="Arial"/>
                <w:b/>
                <w:kern w:val="2"/>
                <w:sz w:val="16"/>
                <w:szCs w:val="16"/>
                <w14:ligatures w14:val="standardContextual"/>
              </w:rPr>
              <w:t>Equivalencia para el cargo de Director (años)</w:t>
            </w:r>
          </w:p>
        </w:tc>
      </w:tr>
      <w:tr w:rsidR="00044E15" w:rsidRPr="00044E15" w14:paraId="1C1DB11C" w14:textId="77777777" w:rsidTr="001F4A4B">
        <w:tc>
          <w:tcPr>
            <w:tcW w:w="2800" w:type="dxa"/>
            <w:vAlign w:val="center"/>
          </w:tcPr>
          <w:p w14:paraId="0657D024" w14:textId="77777777" w:rsidR="00044E15" w:rsidRPr="00044E15" w:rsidRDefault="00044E15" w:rsidP="00044E15">
            <w:pPr>
              <w:spacing w:after="0" w:line="240" w:lineRule="auto"/>
              <w:rPr>
                <w:rFonts w:ascii="Aptos" w:eastAsia="Aptos" w:hAnsi="Aptos" w:cs="Times New Roman"/>
                <w:kern w:val="2"/>
                <w:sz w:val="24"/>
                <w:szCs w:val="24"/>
                <w14:ligatures w14:val="standardContextual"/>
              </w:rPr>
            </w:pPr>
            <w:r w:rsidRPr="00044E15">
              <w:rPr>
                <w:rFonts w:ascii="Verdana" w:eastAsia="Aptos" w:hAnsi="Verdana" w:cs="Arial"/>
                <w:kern w:val="2"/>
                <w:sz w:val="16"/>
                <w:szCs w:val="16"/>
                <w14:ligatures w14:val="standardContextual"/>
              </w:rPr>
              <w:t>Coordinador de Interventoría</w:t>
            </w:r>
          </w:p>
        </w:tc>
        <w:tc>
          <w:tcPr>
            <w:tcW w:w="1500" w:type="dxa"/>
            <w:vAlign w:val="center"/>
          </w:tcPr>
          <w:p w14:paraId="71D898F7" w14:textId="77777777" w:rsidR="00044E15" w:rsidRPr="00044E15" w:rsidRDefault="00044E15" w:rsidP="00044E15">
            <w:pPr>
              <w:spacing w:after="0" w:line="240" w:lineRule="auto"/>
              <w:jc w:val="center"/>
              <w:rPr>
                <w:rFonts w:ascii="Aptos" w:eastAsia="Aptos" w:hAnsi="Aptos" w:cs="Times New Roman"/>
                <w:kern w:val="2"/>
                <w:sz w:val="24"/>
                <w:szCs w:val="24"/>
                <w14:ligatures w14:val="standardContextual"/>
              </w:rPr>
            </w:pPr>
            <w:r w:rsidRPr="00044E15">
              <w:rPr>
                <w:rFonts w:ascii="Verdana" w:eastAsia="Aptos" w:hAnsi="Verdana" w:cs="Arial"/>
                <w:kern w:val="2"/>
                <w:sz w:val="16"/>
                <w:szCs w:val="16"/>
                <w14:ligatures w14:val="standardContextual"/>
              </w:rPr>
              <w:t>1,0 año(s)</w:t>
            </w:r>
          </w:p>
        </w:tc>
        <w:tc>
          <w:tcPr>
            <w:tcW w:w="2600" w:type="dxa"/>
            <w:vAlign w:val="center"/>
          </w:tcPr>
          <w:p w14:paraId="1D713C29" w14:textId="77777777" w:rsidR="00044E15" w:rsidRPr="00044E15" w:rsidRDefault="00044E15" w:rsidP="00044E15">
            <w:pPr>
              <w:spacing w:after="0" w:line="240" w:lineRule="auto"/>
              <w:jc w:val="center"/>
              <w:rPr>
                <w:rFonts w:ascii="Aptos" w:eastAsia="Aptos" w:hAnsi="Aptos" w:cs="Times New Roman"/>
                <w:kern w:val="2"/>
                <w:sz w:val="24"/>
                <w:szCs w:val="24"/>
                <w14:ligatures w14:val="standardContextual"/>
              </w:rPr>
            </w:pPr>
            <w:r w:rsidRPr="00044E15">
              <w:rPr>
                <w:rFonts w:ascii="Verdana" w:eastAsia="Aptos" w:hAnsi="Verdana" w:cs="Arial"/>
                <w:kern w:val="2"/>
                <w:sz w:val="16"/>
                <w:szCs w:val="16"/>
                <w14:ligatures w14:val="standardContextual"/>
              </w:rPr>
              <w:t>0,5 año(s)</w:t>
            </w:r>
          </w:p>
        </w:tc>
      </w:tr>
      <w:tr w:rsidR="00044E15" w:rsidRPr="00044E15" w14:paraId="0BD8BDFD" w14:textId="77777777" w:rsidTr="001F4A4B">
        <w:tc>
          <w:tcPr>
            <w:tcW w:w="2800" w:type="dxa"/>
            <w:vAlign w:val="center"/>
          </w:tcPr>
          <w:p w14:paraId="3A204C33" w14:textId="77777777" w:rsidR="00044E15" w:rsidRPr="00044E15" w:rsidRDefault="00044E15" w:rsidP="00044E15">
            <w:pPr>
              <w:spacing w:after="0" w:line="240" w:lineRule="auto"/>
              <w:rPr>
                <w:rFonts w:ascii="Aptos" w:eastAsia="Aptos" w:hAnsi="Aptos" w:cs="Times New Roman"/>
                <w:kern w:val="2"/>
                <w:sz w:val="24"/>
                <w:szCs w:val="24"/>
                <w14:ligatures w14:val="standardContextual"/>
              </w:rPr>
            </w:pPr>
            <w:r w:rsidRPr="00044E15">
              <w:rPr>
                <w:rFonts w:ascii="Verdana" w:eastAsia="Aptos" w:hAnsi="Verdana" w:cs="Arial"/>
                <w:kern w:val="2"/>
                <w:sz w:val="16"/>
                <w:szCs w:val="16"/>
                <w14:ligatures w14:val="standardContextual"/>
              </w:rPr>
              <w:t>Supervisor o Coordinador de una Entidad Estatal</w:t>
            </w:r>
          </w:p>
        </w:tc>
        <w:tc>
          <w:tcPr>
            <w:tcW w:w="1500" w:type="dxa"/>
            <w:vAlign w:val="center"/>
          </w:tcPr>
          <w:p w14:paraId="04180FE1" w14:textId="77777777" w:rsidR="00044E15" w:rsidRPr="00044E15" w:rsidRDefault="00044E15" w:rsidP="00044E15">
            <w:pPr>
              <w:spacing w:after="0" w:line="240" w:lineRule="auto"/>
              <w:jc w:val="center"/>
              <w:rPr>
                <w:rFonts w:ascii="Aptos" w:eastAsia="Aptos" w:hAnsi="Aptos" w:cs="Times New Roman"/>
                <w:kern w:val="2"/>
                <w:sz w:val="24"/>
                <w:szCs w:val="24"/>
                <w14:ligatures w14:val="standardContextual"/>
              </w:rPr>
            </w:pPr>
            <w:r w:rsidRPr="00044E15">
              <w:rPr>
                <w:rFonts w:ascii="Verdana" w:eastAsia="Aptos" w:hAnsi="Verdana" w:cs="Arial"/>
                <w:kern w:val="2"/>
                <w:sz w:val="16"/>
                <w:szCs w:val="16"/>
                <w14:ligatures w14:val="standardContextual"/>
              </w:rPr>
              <w:t>1,0 año(s)</w:t>
            </w:r>
          </w:p>
        </w:tc>
        <w:tc>
          <w:tcPr>
            <w:tcW w:w="2600" w:type="dxa"/>
            <w:vAlign w:val="center"/>
          </w:tcPr>
          <w:p w14:paraId="2A25EBED" w14:textId="77777777" w:rsidR="00044E15" w:rsidRPr="00044E15" w:rsidRDefault="00044E15" w:rsidP="00044E15">
            <w:pPr>
              <w:spacing w:after="0" w:line="240" w:lineRule="auto"/>
              <w:jc w:val="center"/>
              <w:rPr>
                <w:rFonts w:ascii="Aptos" w:eastAsia="Aptos" w:hAnsi="Aptos" w:cs="Times New Roman"/>
                <w:kern w:val="2"/>
                <w:sz w:val="24"/>
                <w:szCs w:val="24"/>
                <w14:ligatures w14:val="standardContextual"/>
              </w:rPr>
            </w:pPr>
            <w:r w:rsidRPr="00044E15">
              <w:rPr>
                <w:rFonts w:ascii="Verdana" w:eastAsia="Aptos" w:hAnsi="Verdana" w:cs="Arial"/>
                <w:kern w:val="2"/>
                <w:sz w:val="16"/>
                <w:szCs w:val="16"/>
                <w14:ligatures w14:val="standardContextual"/>
              </w:rPr>
              <w:t>0,5 año(s)</w:t>
            </w:r>
          </w:p>
        </w:tc>
      </w:tr>
      <w:tr w:rsidR="00044E15" w:rsidRPr="00044E15" w14:paraId="7316E5CC" w14:textId="77777777" w:rsidTr="001F4A4B">
        <w:tc>
          <w:tcPr>
            <w:tcW w:w="2800" w:type="dxa"/>
            <w:vAlign w:val="center"/>
          </w:tcPr>
          <w:p w14:paraId="14FD530D" w14:textId="77777777" w:rsidR="00044E15" w:rsidRPr="00044E15" w:rsidRDefault="00044E15" w:rsidP="00044E15">
            <w:pPr>
              <w:spacing w:after="0" w:line="240" w:lineRule="auto"/>
              <w:rPr>
                <w:rFonts w:ascii="Aptos" w:eastAsia="Aptos" w:hAnsi="Aptos" w:cs="Times New Roman"/>
                <w:kern w:val="2"/>
                <w:sz w:val="24"/>
                <w:szCs w:val="24"/>
                <w14:ligatures w14:val="standardContextual"/>
              </w:rPr>
            </w:pPr>
            <w:r w:rsidRPr="00044E15">
              <w:rPr>
                <w:rFonts w:ascii="Verdana" w:eastAsia="Aptos" w:hAnsi="Verdana" w:cs="Arial"/>
                <w:kern w:val="2"/>
                <w:sz w:val="16"/>
                <w:szCs w:val="16"/>
                <w14:ligatures w14:val="standardContextual"/>
              </w:rPr>
              <w:t>Apoyo a la supervisión de una Entidad Estatal</w:t>
            </w:r>
          </w:p>
        </w:tc>
        <w:tc>
          <w:tcPr>
            <w:tcW w:w="1500" w:type="dxa"/>
            <w:vAlign w:val="center"/>
          </w:tcPr>
          <w:p w14:paraId="5567DFC8" w14:textId="77777777" w:rsidR="00044E15" w:rsidRPr="00044E15" w:rsidRDefault="00044E15" w:rsidP="00044E15">
            <w:pPr>
              <w:spacing w:after="0" w:line="240" w:lineRule="auto"/>
              <w:jc w:val="center"/>
              <w:rPr>
                <w:rFonts w:ascii="Aptos" w:eastAsia="Aptos" w:hAnsi="Aptos" w:cs="Times New Roman"/>
                <w:kern w:val="2"/>
                <w:sz w:val="24"/>
                <w:szCs w:val="24"/>
                <w14:ligatures w14:val="standardContextual"/>
              </w:rPr>
            </w:pPr>
            <w:r w:rsidRPr="00044E15">
              <w:rPr>
                <w:rFonts w:ascii="Verdana" w:eastAsia="Aptos" w:hAnsi="Verdana" w:cs="Arial"/>
                <w:kern w:val="2"/>
                <w:sz w:val="16"/>
                <w:szCs w:val="16"/>
                <w14:ligatures w14:val="standardContextual"/>
              </w:rPr>
              <w:t>1,0 año(s)</w:t>
            </w:r>
          </w:p>
        </w:tc>
        <w:tc>
          <w:tcPr>
            <w:tcW w:w="2600" w:type="dxa"/>
            <w:vAlign w:val="center"/>
          </w:tcPr>
          <w:p w14:paraId="0D00CF21" w14:textId="77777777" w:rsidR="00044E15" w:rsidRPr="00044E15" w:rsidRDefault="00044E15" w:rsidP="00044E15">
            <w:pPr>
              <w:spacing w:after="0" w:line="240" w:lineRule="auto"/>
              <w:jc w:val="center"/>
              <w:rPr>
                <w:rFonts w:ascii="Aptos" w:eastAsia="Aptos" w:hAnsi="Aptos" w:cs="Times New Roman"/>
                <w:kern w:val="2"/>
                <w:sz w:val="24"/>
                <w:szCs w:val="24"/>
                <w14:ligatures w14:val="standardContextual"/>
              </w:rPr>
            </w:pPr>
            <w:r w:rsidRPr="00044E15">
              <w:rPr>
                <w:rFonts w:ascii="Verdana" w:eastAsia="Aptos" w:hAnsi="Verdana" w:cs="Arial"/>
                <w:kern w:val="2"/>
                <w:sz w:val="16"/>
                <w:szCs w:val="16"/>
                <w14:ligatures w14:val="standardContextual"/>
              </w:rPr>
              <w:t>0,5 año(s)</w:t>
            </w:r>
          </w:p>
        </w:tc>
      </w:tr>
      <w:tr w:rsidR="00044E15" w:rsidRPr="00044E15" w14:paraId="5548A888" w14:textId="77777777" w:rsidTr="001F4A4B">
        <w:tc>
          <w:tcPr>
            <w:tcW w:w="2800" w:type="dxa"/>
            <w:vAlign w:val="center"/>
          </w:tcPr>
          <w:p w14:paraId="507AC7E2" w14:textId="77777777" w:rsidR="00044E15" w:rsidRPr="00044E15" w:rsidRDefault="00044E15" w:rsidP="00044E15">
            <w:pPr>
              <w:spacing w:after="0" w:line="240" w:lineRule="auto"/>
              <w:rPr>
                <w:rFonts w:ascii="Aptos" w:eastAsia="Aptos" w:hAnsi="Aptos" w:cs="Times New Roman"/>
                <w:kern w:val="2"/>
                <w:sz w:val="24"/>
                <w:szCs w:val="24"/>
                <w14:ligatures w14:val="standardContextual"/>
              </w:rPr>
            </w:pPr>
            <w:r w:rsidRPr="00044E15">
              <w:rPr>
                <w:rFonts w:ascii="Verdana" w:eastAsia="Aptos" w:hAnsi="Verdana" w:cs="Arial"/>
                <w:kern w:val="2"/>
                <w:sz w:val="16"/>
                <w:szCs w:val="16"/>
                <w14:ligatures w14:val="standardContextual"/>
              </w:rPr>
              <w:t>Residente de Interventoría</w:t>
            </w:r>
          </w:p>
        </w:tc>
        <w:tc>
          <w:tcPr>
            <w:tcW w:w="1500" w:type="dxa"/>
            <w:vAlign w:val="center"/>
          </w:tcPr>
          <w:p w14:paraId="1152FDD9" w14:textId="77777777" w:rsidR="00044E15" w:rsidRPr="00044E15" w:rsidRDefault="00044E15" w:rsidP="00044E15">
            <w:pPr>
              <w:spacing w:after="0" w:line="240" w:lineRule="auto"/>
              <w:jc w:val="center"/>
              <w:rPr>
                <w:rFonts w:ascii="Aptos" w:eastAsia="Aptos" w:hAnsi="Aptos" w:cs="Times New Roman"/>
                <w:kern w:val="2"/>
                <w:sz w:val="24"/>
                <w:szCs w:val="24"/>
                <w14:ligatures w14:val="standardContextual"/>
              </w:rPr>
            </w:pPr>
            <w:r w:rsidRPr="00044E15">
              <w:rPr>
                <w:rFonts w:ascii="Verdana" w:eastAsia="Aptos" w:hAnsi="Verdana" w:cs="Arial"/>
                <w:kern w:val="2"/>
                <w:sz w:val="16"/>
                <w:szCs w:val="16"/>
                <w14:ligatures w14:val="standardContextual"/>
              </w:rPr>
              <w:t>2,0 año(s)</w:t>
            </w:r>
          </w:p>
        </w:tc>
        <w:tc>
          <w:tcPr>
            <w:tcW w:w="2600" w:type="dxa"/>
            <w:vAlign w:val="center"/>
          </w:tcPr>
          <w:p w14:paraId="37E13205" w14:textId="77777777" w:rsidR="00044E15" w:rsidRPr="00044E15" w:rsidRDefault="00044E15" w:rsidP="00044E15">
            <w:pPr>
              <w:spacing w:after="0" w:line="240" w:lineRule="auto"/>
              <w:jc w:val="center"/>
              <w:rPr>
                <w:rFonts w:ascii="Aptos" w:eastAsia="Aptos" w:hAnsi="Aptos" w:cs="Times New Roman"/>
                <w:kern w:val="2"/>
                <w:sz w:val="24"/>
                <w:szCs w:val="24"/>
                <w14:ligatures w14:val="standardContextual"/>
              </w:rPr>
            </w:pPr>
            <w:r w:rsidRPr="00044E15">
              <w:rPr>
                <w:rFonts w:ascii="Verdana" w:eastAsia="Aptos" w:hAnsi="Verdana" w:cs="Arial"/>
                <w:kern w:val="2"/>
                <w:sz w:val="16"/>
                <w:szCs w:val="16"/>
                <w14:ligatures w14:val="standardContextual"/>
              </w:rPr>
              <w:t>0,5 año(s)</w:t>
            </w:r>
          </w:p>
        </w:tc>
      </w:tr>
      <w:tr w:rsidR="00044E15" w:rsidRPr="00044E15" w14:paraId="31041747" w14:textId="77777777" w:rsidTr="001F4A4B">
        <w:tc>
          <w:tcPr>
            <w:tcW w:w="2800" w:type="dxa"/>
            <w:vAlign w:val="center"/>
          </w:tcPr>
          <w:p w14:paraId="5F764484" w14:textId="77777777" w:rsidR="00044E15" w:rsidRPr="00044E15" w:rsidRDefault="00044E15" w:rsidP="00044E15">
            <w:pPr>
              <w:spacing w:after="0" w:line="240" w:lineRule="auto"/>
              <w:rPr>
                <w:rFonts w:ascii="Aptos" w:eastAsia="Aptos" w:hAnsi="Aptos" w:cs="Times New Roman"/>
                <w:kern w:val="2"/>
                <w:sz w:val="24"/>
                <w:szCs w:val="24"/>
                <w14:ligatures w14:val="standardContextual"/>
              </w:rPr>
            </w:pPr>
            <w:r w:rsidRPr="00044E15">
              <w:rPr>
                <w:rFonts w:ascii="Verdana" w:eastAsia="Aptos" w:hAnsi="Verdana" w:cs="Arial"/>
                <w:kern w:val="2"/>
                <w:sz w:val="16"/>
                <w:szCs w:val="16"/>
                <w14:ligatures w14:val="standardContextual"/>
              </w:rPr>
              <w:lastRenderedPageBreak/>
              <w:t>Administrador Vial</w:t>
            </w:r>
          </w:p>
        </w:tc>
        <w:tc>
          <w:tcPr>
            <w:tcW w:w="1500" w:type="dxa"/>
            <w:vAlign w:val="center"/>
          </w:tcPr>
          <w:p w14:paraId="572F775C" w14:textId="77777777" w:rsidR="00044E15" w:rsidRPr="00044E15" w:rsidRDefault="00044E15" w:rsidP="00044E15">
            <w:pPr>
              <w:spacing w:after="0" w:line="240" w:lineRule="auto"/>
              <w:jc w:val="center"/>
              <w:rPr>
                <w:rFonts w:ascii="Aptos" w:eastAsia="Aptos" w:hAnsi="Aptos" w:cs="Times New Roman"/>
                <w:kern w:val="2"/>
                <w:sz w:val="24"/>
                <w:szCs w:val="24"/>
                <w14:ligatures w14:val="standardContextual"/>
              </w:rPr>
            </w:pPr>
            <w:r w:rsidRPr="00044E15">
              <w:rPr>
                <w:rFonts w:ascii="Verdana" w:eastAsia="Aptos" w:hAnsi="Verdana" w:cs="Arial"/>
                <w:kern w:val="2"/>
                <w:sz w:val="16"/>
                <w:szCs w:val="16"/>
                <w14:ligatures w14:val="standardContextual"/>
              </w:rPr>
              <w:t>1,0 año(s)</w:t>
            </w:r>
          </w:p>
        </w:tc>
        <w:tc>
          <w:tcPr>
            <w:tcW w:w="2600" w:type="dxa"/>
            <w:vAlign w:val="center"/>
          </w:tcPr>
          <w:p w14:paraId="5302E47B" w14:textId="77777777" w:rsidR="00044E15" w:rsidRPr="00044E15" w:rsidRDefault="00044E15" w:rsidP="00044E15">
            <w:pPr>
              <w:spacing w:after="0" w:line="240" w:lineRule="auto"/>
              <w:jc w:val="center"/>
              <w:rPr>
                <w:rFonts w:ascii="Aptos" w:eastAsia="Aptos" w:hAnsi="Aptos" w:cs="Times New Roman"/>
                <w:kern w:val="2"/>
                <w:sz w:val="24"/>
                <w:szCs w:val="24"/>
                <w14:ligatures w14:val="standardContextual"/>
              </w:rPr>
            </w:pPr>
            <w:r w:rsidRPr="00044E15">
              <w:rPr>
                <w:rFonts w:ascii="Verdana" w:eastAsia="Aptos" w:hAnsi="Verdana" w:cs="Arial"/>
                <w:kern w:val="2"/>
                <w:sz w:val="16"/>
                <w:szCs w:val="16"/>
                <w14:ligatures w14:val="standardContextual"/>
              </w:rPr>
              <w:t>0,5 año(s)</w:t>
            </w:r>
          </w:p>
        </w:tc>
      </w:tr>
      <w:tr w:rsidR="00044E15" w:rsidRPr="00044E15" w14:paraId="5FEE9E44" w14:textId="77777777" w:rsidTr="001F4A4B">
        <w:tc>
          <w:tcPr>
            <w:tcW w:w="2800" w:type="dxa"/>
            <w:vAlign w:val="center"/>
          </w:tcPr>
          <w:p w14:paraId="04FDDB69" w14:textId="77777777" w:rsidR="00044E15" w:rsidRPr="00044E15" w:rsidRDefault="00044E15" w:rsidP="00044E15">
            <w:pPr>
              <w:spacing w:after="0" w:line="240" w:lineRule="auto"/>
              <w:rPr>
                <w:rFonts w:ascii="Aptos" w:eastAsia="Aptos" w:hAnsi="Aptos" w:cs="Times New Roman"/>
                <w:kern w:val="2"/>
                <w:sz w:val="24"/>
                <w:szCs w:val="24"/>
                <w14:ligatures w14:val="standardContextual"/>
              </w:rPr>
            </w:pPr>
            <w:r w:rsidRPr="00044E15">
              <w:rPr>
                <w:rFonts w:ascii="Verdana" w:eastAsia="Aptos" w:hAnsi="Verdana" w:cs="Arial"/>
                <w:kern w:val="2"/>
                <w:sz w:val="16"/>
                <w:szCs w:val="16"/>
                <w14:ligatures w14:val="standardContextual"/>
              </w:rPr>
              <w:t>Gestor Vial</w:t>
            </w:r>
          </w:p>
        </w:tc>
        <w:tc>
          <w:tcPr>
            <w:tcW w:w="1500" w:type="dxa"/>
            <w:vAlign w:val="center"/>
          </w:tcPr>
          <w:p w14:paraId="19D6EBBE" w14:textId="77777777" w:rsidR="00044E15" w:rsidRPr="00044E15" w:rsidRDefault="00044E15" w:rsidP="00044E15">
            <w:pPr>
              <w:spacing w:after="0" w:line="240" w:lineRule="auto"/>
              <w:jc w:val="center"/>
              <w:rPr>
                <w:rFonts w:ascii="Aptos" w:eastAsia="Aptos" w:hAnsi="Aptos" w:cs="Times New Roman"/>
                <w:kern w:val="2"/>
                <w:sz w:val="24"/>
                <w:szCs w:val="24"/>
                <w14:ligatures w14:val="standardContextual"/>
              </w:rPr>
            </w:pPr>
            <w:r w:rsidRPr="00044E15">
              <w:rPr>
                <w:rFonts w:ascii="Verdana" w:eastAsia="Aptos" w:hAnsi="Verdana" w:cs="Arial"/>
                <w:kern w:val="2"/>
                <w:sz w:val="16"/>
                <w:szCs w:val="16"/>
                <w14:ligatures w14:val="standardContextual"/>
              </w:rPr>
              <w:t>1,0 año(s)</w:t>
            </w:r>
          </w:p>
        </w:tc>
        <w:tc>
          <w:tcPr>
            <w:tcW w:w="2600" w:type="dxa"/>
            <w:vAlign w:val="center"/>
          </w:tcPr>
          <w:p w14:paraId="651E8C06" w14:textId="77777777" w:rsidR="00044E15" w:rsidRPr="00044E15" w:rsidRDefault="00044E15" w:rsidP="00044E15">
            <w:pPr>
              <w:spacing w:after="0" w:line="240" w:lineRule="auto"/>
              <w:jc w:val="center"/>
              <w:rPr>
                <w:rFonts w:ascii="Aptos" w:eastAsia="Aptos" w:hAnsi="Aptos" w:cs="Times New Roman"/>
                <w:kern w:val="2"/>
                <w:sz w:val="24"/>
                <w:szCs w:val="24"/>
                <w14:ligatures w14:val="standardContextual"/>
              </w:rPr>
            </w:pPr>
            <w:r w:rsidRPr="00044E15">
              <w:rPr>
                <w:rFonts w:ascii="Verdana" w:eastAsia="Aptos" w:hAnsi="Verdana" w:cs="Arial"/>
                <w:kern w:val="2"/>
                <w:sz w:val="16"/>
                <w:szCs w:val="16"/>
                <w14:ligatures w14:val="standardContextual"/>
              </w:rPr>
              <w:t>0,5 año(s)</w:t>
            </w:r>
          </w:p>
        </w:tc>
      </w:tr>
    </w:tbl>
    <w:p w14:paraId="603A799B" w14:textId="77777777" w:rsidR="00044E15" w:rsidRPr="00044E15" w:rsidRDefault="00044E15" w:rsidP="00044E15">
      <w:pPr>
        <w:spacing w:after="0" w:line="240" w:lineRule="auto"/>
        <w:ind w:left="1416" w:right="709"/>
        <w:jc w:val="both"/>
        <w:rPr>
          <w:rFonts w:ascii="Verdana" w:eastAsia="Calibri" w:hAnsi="Verdana" w:cs="Times New Roman"/>
          <w:kern w:val="2"/>
          <w:sz w:val="21"/>
          <w:szCs w:val="21"/>
          <w14:ligatures w14:val="standardContextual"/>
        </w:rPr>
      </w:pPr>
      <w:r w:rsidRPr="00044E15">
        <w:rPr>
          <w:rFonts w:ascii="Verdana" w:eastAsia="Calibri" w:hAnsi="Verdana" w:cs="Times New Roman"/>
          <w:kern w:val="2"/>
          <w:sz w:val="21"/>
          <w:szCs w:val="21"/>
          <w14:ligatures w14:val="standardContextual"/>
        </w:rPr>
        <w:t>2. Equivalencias de experiencia para el cargo de Residente de Interventoría:</w:t>
      </w:r>
    </w:p>
    <w:p w14:paraId="3E582685" w14:textId="77777777" w:rsidR="00044E15" w:rsidRPr="00044E15" w:rsidRDefault="00044E15" w:rsidP="00044E15">
      <w:pPr>
        <w:spacing w:after="0" w:line="240" w:lineRule="auto"/>
        <w:ind w:left="709" w:right="709" w:firstLine="707"/>
        <w:jc w:val="both"/>
        <w:rPr>
          <w:rFonts w:ascii="Verdana" w:eastAsia="Calibri" w:hAnsi="Verdana" w:cs="Times New Roman"/>
          <w:kern w:val="2"/>
          <w:sz w:val="21"/>
          <w:szCs w:val="21"/>
          <w14:ligatures w14:val="standardContextual"/>
        </w:rPr>
      </w:pPr>
      <w:r w:rsidRPr="00044E15">
        <w:rPr>
          <w:rFonts w:ascii="Verdana" w:eastAsia="Calibri" w:hAnsi="Verdana" w:cs="Times New Roman"/>
          <w:kern w:val="2"/>
          <w:sz w:val="21"/>
          <w:szCs w:val="21"/>
          <w14:ligatures w14:val="standardContextual"/>
        </w:rPr>
        <w:t>(…)</w:t>
      </w:r>
    </w:p>
    <w:p w14:paraId="56CA95C8" w14:textId="77777777" w:rsidR="00044E15" w:rsidRPr="00044E15" w:rsidRDefault="00044E15" w:rsidP="00044E15">
      <w:pPr>
        <w:spacing w:after="0" w:line="240" w:lineRule="auto"/>
        <w:ind w:left="709" w:right="709"/>
        <w:jc w:val="right"/>
        <w:rPr>
          <w:rFonts w:ascii="Verdana" w:eastAsia="Calibri" w:hAnsi="Verdana" w:cs="Times New Roman"/>
          <w:kern w:val="2"/>
          <w:sz w:val="21"/>
          <w:szCs w:val="21"/>
          <w14:ligatures w14:val="standardContextual"/>
        </w:rPr>
      </w:pPr>
      <w:r w:rsidRPr="00044E15">
        <w:rPr>
          <w:rFonts w:ascii="Aptos" w:eastAsia="Aptos" w:hAnsi="Aptos" w:cs="Times New Roman"/>
          <w:noProof/>
          <w:kern w:val="2"/>
          <w:sz w:val="21"/>
          <w:szCs w:val="21"/>
          <w14:ligatures w14:val="standardContextual"/>
        </w:rPr>
        <w:drawing>
          <wp:inline distT="0" distB="0" distL="0" distR="0" wp14:anchorId="6118ADD8" wp14:editId="0AD2229F">
            <wp:extent cx="4138551" cy="343527"/>
            <wp:effectExtent l="0" t="0" r="0" b="0"/>
            <wp:docPr id="283949804"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429831" cy="367705"/>
                    </a:xfrm>
                    <a:prstGeom prst="rect">
                      <a:avLst/>
                    </a:prstGeom>
                    <a:noFill/>
                    <a:ln>
                      <a:noFill/>
                    </a:ln>
                  </pic:spPr>
                </pic:pic>
              </a:graphicData>
            </a:graphic>
          </wp:inline>
        </w:drawing>
      </w:r>
    </w:p>
    <w:p w14:paraId="34E0EEDA" w14:textId="77777777" w:rsidR="00044E15" w:rsidRPr="00044E15" w:rsidRDefault="00044E15" w:rsidP="00044E15">
      <w:pPr>
        <w:spacing w:before="240" w:after="120" w:line="240" w:lineRule="auto"/>
        <w:ind w:left="1416" w:right="709"/>
        <w:jc w:val="both"/>
        <w:rPr>
          <w:rFonts w:ascii="Verdana" w:eastAsia="Calibri" w:hAnsi="Verdana" w:cs="Times New Roman"/>
          <w:kern w:val="2"/>
          <w:sz w:val="21"/>
          <w:szCs w:val="21"/>
          <w14:ligatures w14:val="standardContextual"/>
        </w:rPr>
      </w:pPr>
      <w:r w:rsidRPr="00044E15">
        <w:rPr>
          <w:rFonts w:ascii="Verdana" w:eastAsia="Calibri" w:hAnsi="Verdana" w:cs="Times New Roman"/>
          <w:kern w:val="2"/>
          <w:sz w:val="21"/>
          <w:szCs w:val="21"/>
          <w14:ligatures w14:val="standardContextual"/>
        </w:rPr>
        <w:t>3. Equivalencia de experiencia para el cargo de Administrador Vial o Gestor Vial:</w:t>
      </w:r>
    </w:p>
    <w:tbl>
      <w:tblPr>
        <w:tblW w:w="6900" w:type="dxa"/>
        <w:tblInd w:w="14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00"/>
        <w:gridCol w:w="1500"/>
        <w:gridCol w:w="2600"/>
      </w:tblGrid>
      <w:tr w:rsidR="00044E15" w:rsidRPr="00044E15" w14:paraId="4A5F0981" w14:textId="77777777" w:rsidTr="001F4A4B">
        <w:tc>
          <w:tcPr>
            <w:tcW w:w="2800" w:type="dxa"/>
            <w:shd w:val="clear" w:color="auto" w:fill="D9D9D9"/>
            <w:vAlign w:val="center"/>
          </w:tcPr>
          <w:p w14:paraId="3437E8D4" w14:textId="77777777" w:rsidR="00044E15" w:rsidRPr="00044E15" w:rsidRDefault="00044E15" w:rsidP="00044E15">
            <w:pPr>
              <w:spacing w:after="0" w:line="240" w:lineRule="auto"/>
              <w:jc w:val="center"/>
              <w:rPr>
                <w:rFonts w:ascii="Aptos" w:eastAsia="Aptos" w:hAnsi="Aptos" w:cs="Times New Roman"/>
                <w:kern w:val="2"/>
                <w:sz w:val="24"/>
                <w:szCs w:val="24"/>
                <w14:ligatures w14:val="standardContextual"/>
              </w:rPr>
            </w:pPr>
            <w:r w:rsidRPr="00044E15">
              <w:rPr>
                <w:rFonts w:ascii="Verdana" w:eastAsia="Aptos" w:hAnsi="Verdana" w:cs="Arial"/>
                <w:b/>
                <w:kern w:val="2"/>
                <w:sz w:val="16"/>
                <w:szCs w:val="16"/>
                <w14:ligatures w14:val="standardContextual"/>
              </w:rPr>
              <w:t>Cargo desempeñado como:</w:t>
            </w:r>
          </w:p>
        </w:tc>
        <w:tc>
          <w:tcPr>
            <w:tcW w:w="1500" w:type="dxa"/>
            <w:shd w:val="clear" w:color="auto" w:fill="D9D9D9"/>
            <w:vAlign w:val="center"/>
          </w:tcPr>
          <w:p w14:paraId="5FEBD95E" w14:textId="77777777" w:rsidR="00044E15" w:rsidRPr="00044E15" w:rsidRDefault="00044E15" w:rsidP="00044E15">
            <w:pPr>
              <w:spacing w:after="0" w:line="240" w:lineRule="auto"/>
              <w:jc w:val="center"/>
              <w:rPr>
                <w:rFonts w:ascii="Aptos" w:eastAsia="Aptos" w:hAnsi="Aptos" w:cs="Times New Roman"/>
                <w:kern w:val="2"/>
                <w:sz w:val="24"/>
                <w:szCs w:val="24"/>
                <w14:ligatures w14:val="standardContextual"/>
              </w:rPr>
            </w:pPr>
            <w:r w:rsidRPr="00044E15">
              <w:rPr>
                <w:rFonts w:ascii="Verdana" w:eastAsia="Aptos" w:hAnsi="Verdana" w:cs="Arial"/>
                <w:b/>
                <w:kern w:val="2"/>
                <w:sz w:val="16"/>
                <w:szCs w:val="16"/>
                <w14:ligatures w14:val="standardContextual"/>
              </w:rPr>
              <w:t>Experiencia en el cargo (años)</w:t>
            </w:r>
          </w:p>
        </w:tc>
        <w:tc>
          <w:tcPr>
            <w:tcW w:w="2600" w:type="dxa"/>
            <w:shd w:val="clear" w:color="auto" w:fill="D9D9D9"/>
            <w:vAlign w:val="center"/>
          </w:tcPr>
          <w:p w14:paraId="75FEC882" w14:textId="77777777" w:rsidR="00044E15" w:rsidRPr="00044E15" w:rsidRDefault="00044E15" w:rsidP="00044E15">
            <w:pPr>
              <w:spacing w:after="0" w:line="240" w:lineRule="auto"/>
              <w:jc w:val="center"/>
              <w:rPr>
                <w:rFonts w:ascii="Aptos" w:eastAsia="Aptos" w:hAnsi="Aptos" w:cs="Times New Roman"/>
                <w:kern w:val="2"/>
                <w:sz w:val="24"/>
                <w:szCs w:val="24"/>
                <w14:ligatures w14:val="standardContextual"/>
              </w:rPr>
            </w:pPr>
            <w:r w:rsidRPr="00044E15">
              <w:rPr>
                <w:rFonts w:ascii="Verdana" w:eastAsia="Aptos" w:hAnsi="Verdana" w:cs="Arial"/>
                <w:b/>
                <w:kern w:val="2"/>
                <w:sz w:val="16"/>
                <w:szCs w:val="16"/>
                <w14:ligatures w14:val="standardContextual"/>
              </w:rPr>
              <w:t>Equivalencia para el cargo de Administrador Vial o Gestor Vial (años)</w:t>
            </w:r>
          </w:p>
        </w:tc>
      </w:tr>
      <w:tr w:rsidR="00044E15" w:rsidRPr="00044E15" w14:paraId="21EAB809" w14:textId="77777777" w:rsidTr="001F4A4B">
        <w:tc>
          <w:tcPr>
            <w:tcW w:w="2800" w:type="dxa"/>
            <w:vAlign w:val="center"/>
          </w:tcPr>
          <w:p w14:paraId="3AFC7175" w14:textId="77777777" w:rsidR="00044E15" w:rsidRPr="00044E15" w:rsidRDefault="00044E15" w:rsidP="00044E15">
            <w:pPr>
              <w:spacing w:after="0" w:line="240" w:lineRule="auto"/>
              <w:rPr>
                <w:rFonts w:ascii="Aptos" w:eastAsia="Aptos" w:hAnsi="Aptos" w:cs="Times New Roman"/>
                <w:kern w:val="2"/>
                <w:sz w:val="24"/>
                <w:szCs w:val="24"/>
                <w14:ligatures w14:val="standardContextual"/>
              </w:rPr>
            </w:pPr>
            <w:r w:rsidRPr="00044E15">
              <w:rPr>
                <w:rFonts w:ascii="Verdana" w:eastAsia="Aptos" w:hAnsi="Verdana" w:cs="Arial"/>
                <w:kern w:val="2"/>
                <w:sz w:val="16"/>
                <w:szCs w:val="16"/>
                <w14:ligatures w14:val="standardContextual"/>
              </w:rPr>
              <w:t>Director de Interventoría</w:t>
            </w:r>
          </w:p>
        </w:tc>
        <w:tc>
          <w:tcPr>
            <w:tcW w:w="1500" w:type="dxa"/>
            <w:vAlign w:val="center"/>
          </w:tcPr>
          <w:p w14:paraId="019955F2" w14:textId="77777777" w:rsidR="00044E15" w:rsidRPr="00044E15" w:rsidRDefault="00044E15" w:rsidP="00044E15">
            <w:pPr>
              <w:spacing w:after="0" w:line="240" w:lineRule="auto"/>
              <w:jc w:val="center"/>
              <w:rPr>
                <w:rFonts w:ascii="Aptos" w:eastAsia="Aptos" w:hAnsi="Aptos" w:cs="Times New Roman"/>
                <w:kern w:val="2"/>
                <w:sz w:val="24"/>
                <w:szCs w:val="24"/>
                <w14:ligatures w14:val="standardContextual"/>
              </w:rPr>
            </w:pPr>
            <w:r w:rsidRPr="00044E15">
              <w:rPr>
                <w:rFonts w:ascii="Verdana" w:eastAsia="Aptos" w:hAnsi="Verdana" w:cs="Arial"/>
                <w:kern w:val="2"/>
                <w:sz w:val="16"/>
                <w:szCs w:val="16"/>
                <w14:ligatures w14:val="standardContextual"/>
              </w:rPr>
              <w:t>1,0 año(s)</w:t>
            </w:r>
          </w:p>
        </w:tc>
        <w:tc>
          <w:tcPr>
            <w:tcW w:w="2600" w:type="dxa"/>
            <w:vAlign w:val="center"/>
          </w:tcPr>
          <w:p w14:paraId="7282E07B" w14:textId="77777777" w:rsidR="00044E15" w:rsidRPr="00044E15" w:rsidRDefault="00044E15" w:rsidP="00044E15">
            <w:pPr>
              <w:spacing w:after="0" w:line="240" w:lineRule="auto"/>
              <w:jc w:val="center"/>
              <w:rPr>
                <w:rFonts w:ascii="Aptos" w:eastAsia="Aptos" w:hAnsi="Aptos" w:cs="Times New Roman"/>
                <w:kern w:val="2"/>
                <w:sz w:val="24"/>
                <w:szCs w:val="24"/>
                <w14:ligatures w14:val="standardContextual"/>
              </w:rPr>
            </w:pPr>
            <w:r w:rsidRPr="00044E15">
              <w:rPr>
                <w:rFonts w:ascii="Verdana" w:eastAsia="Aptos" w:hAnsi="Verdana" w:cs="Arial"/>
                <w:kern w:val="2"/>
                <w:sz w:val="16"/>
                <w:szCs w:val="16"/>
                <w14:ligatures w14:val="standardContextual"/>
              </w:rPr>
              <w:t>1,5 año(s)</w:t>
            </w:r>
          </w:p>
        </w:tc>
      </w:tr>
      <w:tr w:rsidR="00044E15" w:rsidRPr="00044E15" w14:paraId="766C32B4" w14:textId="77777777" w:rsidTr="001F4A4B">
        <w:tc>
          <w:tcPr>
            <w:tcW w:w="2800" w:type="dxa"/>
            <w:vAlign w:val="center"/>
          </w:tcPr>
          <w:p w14:paraId="44A2FF1F" w14:textId="77777777" w:rsidR="00044E15" w:rsidRPr="00044E15" w:rsidRDefault="00044E15" w:rsidP="00044E15">
            <w:pPr>
              <w:spacing w:after="0" w:line="240" w:lineRule="auto"/>
              <w:rPr>
                <w:rFonts w:ascii="Aptos" w:eastAsia="Aptos" w:hAnsi="Aptos" w:cs="Times New Roman"/>
                <w:kern w:val="2"/>
                <w:sz w:val="24"/>
                <w:szCs w:val="24"/>
                <w14:ligatures w14:val="standardContextual"/>
              </w:rPr>
            </w:pPr>
            <w:r w:rsidRPr="00044E15">
              <w:rPr>
                <w:rFonts w:ascii="Verdana" w:eastAsia="Aptos" w:hAnsi="Verdana" w:cs="Arial"/>
                <w:kern w:val="2"/>
                <w:sz w:val="16"/>
                <w:szCs w:val="16"/>
                <w14:ligatures w14:val="standardContextual"/>
              </w:rPr>
              <w:t>Coordinador de Interventoría</w:t>
            </w:r>
          </w:p>
        </w:tc>
        <w:tc>
          <w:tcPr>
            <w:tcW w:w="1500" w:type="dxa"/>
            <w:vAlign w:val="center"/>
          </w:tcPr>
          <w:p w14:paraId="3C221789" w14:textId="77777777" w:rsidR="00044E15" w:rsidRPr="00044E15" w:rsidRDefault="00044E15" w:rsidP="00044E15">
            <w:pPr>
              <w:spacing w:after="0" w:line="240" w:lineRule="auto"/>
              <w:jc w:val="center"/>
              <w:rPr>
                <w:rFonts w:ascii="Aptos" w:eastAsia="Aptos" w:hAnsi="Aptos" w:cs="Times New Roman"/>
                <w:kern w:val="2"/>
                <w:sz w:val="24"/>
                <w:szCs w:val="24"/>
                <w14:ligatures w14:val="standardContextual"/>
              </w:rPr>
            </w:pPr>
            <w:r w:rsidRPr="00044E15">
              <w:rPr>
                <w:rFonts w:ascii="Verdana" w:eastAsia="Aptos" w:hAnsi="Verdana" w:cs="Arial"/>
                <w:kern w:val="2"/>
                <w:sz w:val="16"/>
                <w:szCs w:val="16"/>
                <w14:ligatures w14:val="standardContextual"/>
              </w:rPr>
              <w:t>1,0 año(s)</w:t>
            </w:r>
          </w:p>
        </w:tc>
        <w:tc>
          <w:tcPr>
            <w:tcW w:w="2600" w:type="dxa"/>
            <w:vAlign w:val="center"/>
          </w:tcPr>
          <w:p w14:paraId="02EDC35B" w14:textId="77777777" w:rsidR="00044E15" w:rsidRPr="00044E15" w:rsidRDefault="00044E15" w:rsidP="00044E15">
            <w:pPr>
              <w:spacing w:after="0" w:line="240" w:lineRule="auto"/>
              <w:jc w:val="center"/>
              <w:rPr>
                <w:rFonts w:ascii="Aptos" w:eastAsia="Aptos" w:hAnsi="Aptos" w:cs="Times New Roman"/>
                <w:kern w:val="2"/>
                <w:sz w:val="24"/>
                <w:szCs w:val="24"/>
                <w14:ligatures w14:val="standardContextual"/>
              </w:rPr>
            </w:pPr>
            <w:r w:rsidRPr="00044E15">
              <w:rPr>
                <w:rFonts w:ascii="Verdana" w:eastAsia="Aptos" w:hAnsi="Verdana" w:cs="Arial"/>
                <w:kern w:val="2"/>
                <w:sz w:val="16"/>
                <w:szCs w:val="16"/>
                <w14:ligatures w14:val="standardContextual"/>
              </w:rPr>
              <w:t>1,0 año(s)</w:t>
            </w:r>
          </w:p>
        </w:tc>
      </w:tr>
      <w:tr w:rsidR="00044E15" w:rsidRPr="00044E15" w14:paraId="2A62A371" w14:textId="77777777" w:rsidTr="001F4A4B">
        <w:tc>
          <w:tcPr>
            <w:tcW w:w="2800" w:type="dxa"/>
            <w:vAlign w:val="center"/>
          </w:tcPr>
          <w:p w14:paraId="2FE20986" w14:textId="77777777" w:rsidR="00044E15" w:rsidRPr="00044E15" w:rsidRDefault="00044E15" w:rsidP="00044E15">
            <w:pPr>
              <w:spacing w:after="0" w:line="240" w:lineRule="auto"/>
              <w:rPr>
                <w:rFonts w:ascii="Aptos" w:eastAsia="Aptos" w:hAnsi="Aptos" w:cs="Times New Roman"/>
                <w:kern w:val="2"/>
                <w:sz w:val="24"/>
                <w:szCs w:val="24"/>
                <w14:ligatures w14:val="standardContextual"/>
              </w:rPr>
            </w:pPr>
            <w:r w:rsidRPr="00044E15">
              <w:rPr>
                <w:rFonts w:ascii="Verdana" w:eastAsia="Aptos" w:hAnsi="Verdana" w:cs="Arial"/>
                <w:kern w:val="2"/>
                <w:sz w:val="16"/>
                <w:szCs w:val="16"/>
                <w14:ligatures w14:val="standardContextual"/>
              </w:rPr>
              <w:t>Supervisor o Coordinador de una Entidad Estatal</w:t>
            </w:r>
          </w:p>
        </w:tc>
        <w:tc>
          <w:tcPr>
            <w:tcW w:w="1500" w:type="dxa"/>
            <w:vAlign w:val="center"/>
          </w:tcPr>
          <w:p w14:paraId="0D9413E7" w14:textId="77777777" w:rsidR="00044E15" w:rsidRPr="00044E15" w:rsidRDefault="00044E15" w:rsidP="00044E15">
            <w:pPr>
              <w:spacing w:after="0" w:line="240" w:lineRule="auto"/>
              <w:jc w:val="center"/>
              <w:rPr>
                <w:rFonts w:ascii="Aptos" w:eastAsia="Aptos" w:hAnsi="Aptos" w:cs="Times New Roman"/>
                <w:kern w:val="2"/>
                <w:sz w:val="24"/>
                <w:szCs w:val="24"/>
                <w14:ligatures w14:val="standardContextual"/>
              </w:rPr>
            </w:pPr>
            <w:r w:rsidRPr="00044E15">
              <w:rPr>
                <w:rFonts w:ascii="Verdana" w:eastAsia="Aptos" w:hAnsi="Verdana" w:cs="Arial"/>
                <w:kern w:val="2"/>
                <w:sz w:val="16"/>
                <w:szCs w:val="16"/>
                <w14:ligatures w14:val="standardContextual"/>
              </w:rPr>
              <w:t>1,0 año(s)</w:t>
            </w:r>
          </w:p>
        </w:tc>
        <w:tc>
          <w:tcPr>
            <w:tcW w:w="2600" w:type="dxa"/>
            <w:vAlign w:val="center"/>
          </w:tcPr>
          <w:p w14:paraId="04CC3D91" w14:textId="77777777" w:rsidR="00044E15" w:rsidRPr="00044E15" w:rsidRDefault="00044E15" w:rsidP="00044E15">
            <w:pPr>
              <w:spacing w:after="0" w:line="240" w:lineRule="auto"/>
              <w:jc w:val="center"/>
              <w:rPr>
                <w:rFonts w:ascii="Aptos" w:eastAsia="Aptos" w:hAnsi="Aptos" w:cs="Times New Roman"/>
                <w:kern w:val="2"/>
                <w:sz w:val="24"/>
                <w:szCs w:val="24"/>
                <w14:ligatures w14:val="standardContextual"/>
              </w:rPr>
            </w:pPr>
            <w:r w:rsidRPr="00044E15">
              <w:rPr>
                <w:rFonts w:ascii="Verdana" w:eastAsia="Aptos" w:hAnsi="Verdana" w:cs="Arial"/>
                <w:kern w:val="2"/>
                <w:sz w:val="16"/>
                <w:szCs w:val="16"/>
                <w14:ligatures w14:val="standardContextual"/>
              </w:rPr>
              <w:t>1,0 año(s)</w:t>
            </w:r>
          </w:p>
        </w:tc>
      </w:tr>
      <w:tr w:rsidR="00044E15" w:rsidRPr="00044E15" w14:paraId="450C5F0E" w14:textId="77777777" w:rsidTr="001F4A4B">
        <w:tc>
          <w:tcPr>
            <w:tcW w:w="2800" w:type="dxa"/>
            <w:vAlign w:val="center"/>
          </w:tcPr>
          <w:p w14:paraId="2524EFA2" w14:textId="77777777" w:rsidR="00044E15" w:rsidRPr="00044E15" w:rsidRDefault="00044E15" w:rsidP="00044E15">
            <w:pPr>
              <w:spacing w:after="0" w:line="240" w:lineRule="auto"/>
              <w:rPr>
                <w:rFonts w:ascii="Aptos" w:eastAsia="Aptos" w:hAnsi="Aptos" w:cs="Times New Roman"/>
                <w:kern w:val="2"/>
                <w:sz w:val="24"/>
                <w:szCs w:val="24"/>
                <w14:ligatures w14:val="standardContextual"/>
              </w:rPr>
            </w:pPr>
            <w:r w:rsidRPr="00044E15">
              <w:rPr>
                <w:rFonts w:ascii="Verdana" w:eastAsia="Aptos" w:hAnsi="Verdana" w:cs="Arial"/>
                <w:kern w:val="2"/>
                <w:sz w:val="16"/>
                <w:szCs w:val="16"/>
                <w14:ligatures w14:val="standardContextual"/>
              </w:rPr>
              <w:t>Apoyo a la supervisión de una Entidad Estatal</w:t>
            </w:r>
          </w:p>
        </w:tc>
        <w:tc>
          <w:tcPr>
            <w:tcW w:w="1500" w:type="dxa"/>
            <w:vAlign w:val="center"/>
          </w:tcPr>
          <w:p w14:paraId="1509DB91" w14:textId="77777777" w:rsidR="00044E15" w:rsidRPr="00044E15" w:rsidRDefault="00044E15" w:rsidP="00044E15">
            <w:pPr>
              <w:spacing w:after="0" w:line="240" w:lineRule="auto"/>
              <w:jc w:val="center"/>
              <w:rPr>
                <w:rFonts w:ascii="Aptos" w:eastAsia="Aptos" w:hAnsi="Aptos" w:cs="Times New Roman"/>
                <w:kern w:val="2"/>
                <w:sz w:val="24"/>
                <w:szCs w:val="24"/>
                <w14:ligatures w14:val="standardContextual"/>
              </w:rPr>
            </w:pPr>
            <w:r w:rsidRPr="00044E15">
              <w:rPr>
                <w:rFonts w:ascii="Verdana" w:eastAsia="Aptos" w:hAnsi="Verdana" w:cs="Arial"/>
                <w:kern w:val="2"/>
                <w:sz w:val="16"/>
                <w:szCs w:val="16"/>
                <w14:ligatures w14:val="standardContextual"/>
              </w:rPr>
              <w:t>1,0 año(s)</w:t>
            </w:r>
          </w:p>
        </w:tc>
        <w:tc>
          <w:tcPr>
            <w:tcW w:w="2600" w:type="dxa"/>
            <w:vAlign w:val="center"/>
          </w:tcPr>
          <w:p w14:paraId="3639089E" w14:textId="77777777" w:rsidR="00044E15" w:rsidRPr="00044E15" w:rsidRDefault="00044E15" w:rsidP="00044E15">
            <w:pPr>
              <w:spacing w:after="0" w:line="240" w:lineRule="auto"/>
              <w:jc w:val="center"/>
              <w:rPr>
                <w:rFonts w:ascii="Aptos" w:eastAsia="Aptos" w:hAnsi="Aptos" w:cs="Times New Roman"/>
                <w:kern w:val="2"/>
                <w:sz w:val="24"/>
                <w:szCs w:val="24"/>
                <w14:ligatures w14:val="standardContextual"/>
              </w:rPr>
            </w:pPr>
            <w:r w:rsidRPr="00044E15">
              <w:rPr>
                <w:rFonts w:ascii="Verdana" w:eastAsia="Aptos" w:hAnsi="Verdana" w:cs="Arial"/>
                <w:kern w:val="2"/>
                <w:sz w:val="16"/>
                <w:szCs w:val="16"/>
                <w14:ligatures w14:val="standardContextual"/>
              </w:rPr>
              <w:t>0,5 año(s)</w:t>
            </w:r>
          </w:p>
        </w:tc>
      </w:tr>
      <w:tr w:rsidR="00044E15" w:rsidRPr="00044E15" w14:paraId="26A6F2CC" w14:textId="77777777" w:rsidTr="001F4A4B">
        <w:tc>
          <w:tcPr>
            <w:tcW w:w="2800" w:type="dxa"/>
            <w:vAlign w:val="center"/>
          </w:tcPr>
          <w:p w14:paraId="06A764C5" w14:textId="77777777" w:rsidR="00044E15" w:rsidRPr="00044E15" w:rsidRDefault="00044E15" w:rsidP="00044E15">
            <w:pPr>
              <w:spacing w:after="0" w:line="240" w:lineRule="auto"/>
              <w:rPr>
                <w:rFonts w:ascii="Aptos" w:eastAsia="Aptos" w:hAnsi="Aptos" w:cs="Times New Roman"/>
                <w:kern w:val="2"/>
                <w:sz w:val="24"/>
                <w:szCs w:val="24"/>
                <w14:ligatures w14:val="standardContextual"/>
              </w:rPr>
            </w:pPr>
            <w:r w:rsidRPr="00044E15">
              <w:rPr>
                <w:rFonts w:ascii="Verdana" w:eastAsia="Aptos" w:hAnsi="Verdana" w:cs="Arial"/>
                <w:kern w:val="2"/>
                <w:sz w:val="16"/>
                <w:szCs w:val="16"/>
                <w14:ligatures w14:val="standardContextual"/>
              </w:rPr>
              <w:t>Residente de Interventoría</w:t>
            </w:r>
          </w:p>
        </w:tc>
        <w:tc>
          <w:tcPr>
            <w:tcW w:w="1500" w:type="dxa"/>
            <w:vAlign w:val="center"/>
          </w:tcPr>
          <w:p w14:paraId="5ED19462" w14:textId="77777777" w:rsidR="00044E15" w:rsidRPr="00044E15" w:rsidRDefault="00044E15" w:rsidP="00044E15">
            <w:pPr>
              <w:spacing w:after="0" w:line="240" w:lineRule="auto"/>
              <w:jc w:val="center"/>
              <w:rPr>
                <w:rFonts w:ascii="Aptos" w:eastAsia="Aptos" w:hAnsi="Aptos" w:cs="Times New Roman"/>
                <w:kern w:val="2"/>
                <w:sz w:val="24"/>
                <w:szCs w:val="24"/>
                <w14:ligatures w14:val="standardContextual"/>
              </w:rPr>
            </w:pPr>
            <w:r w:rsidRPr="00044E15">
              <w:rPr>
                <w:rFonts w:ascii="Verdana" w:eastAsia="Aptos" w:hAnsi="Verdana" w:cs="Arial"/>
                <w:kern w:val="2"/>
                <w:sz w:val="16"/>
                <w:szCs w:val="16"/>
                <w14:ligatures w14:val="standardContextual"/>
              </w:rPr>
              <w:t>1,5 año(s)</w:t>
            </w:r>
          </w:p>
        </w:tc>
        <w:tc>
          <w:tcPr>
            <w:tcW w:w="2600" w:type="dxa"/>
            <w:vAlign w:val="center"/>
          </w:tcPr>
          <w:p w14:paraId="293663FF" w14:textId="77777777" w:rsidR="00044E15" w:rsidRPr="00044E15" w:rsidRDefault="00044E15" w:rsidP="00044E15">
            <w:pPr>
              <w:spacing w:after="0" w:line="240" w:lineRule="auto"/>
              <w:jc w:val="center"/>
              <w:rPr>
                <w:rFonts w:ascii="Aptos" w:eastAsia="Aptos" w:hAnsi="Aptos" w:cs="Times New Roman"/>
                <w:kern w:val="2"/>
                <w:sz w:val="24"/>
                <w:szCs w:val="24"/>
                <w14:ligatures w14:val="standardContextual"/>
              </w:rPr>
            </w:pPr>
            <w:r w:rsidRPr="00044E15">
              <w:rPr>
                <w:rFonts w:ascii="Verdana" w:eastAsia="Aptos" w:hAnsi="Verdana" w:cs="Arial"/>
                <w:kern w:val="2"/>
                <w:sz w:val="16"/>
                <w:szCs w:val="16"/>
                <w14:ligatures w14:val="standardContextual"/>
              </w:rPr>
              <w:t>1,0 año(s)</w:t>
            </w:r>
          </w:p>
        </w:tc>
      </w:tr>
      <w:tr w:rsidR="00044E15" w:rsidRPr="00044E15" w14:paraId="598E2D53" w14:textId="77777777" w:rsidTr="001F4A4B">
        <w:tc>
          <w:tcPr>
            <w:tcW w:w="2800" w:type="dxa"/>
            <w:vAlign w:val="center"/>
          </w:tcPr>
          <w:p w14:paraId="6DBD48AF" w14:textId="77777777" w:rsidR="00044E15" w:rsidRPr="00044E15" w:rsidRDefault="00044E15" w:rsidP="00044E15">
            <w:pPr>
              <w:spacing w:after="0" w:line="240" w:lineRule="auto"/>
              <w:rPr>
                <w:rFonts w:ascii="Aptos" w:eastAsia="Aptos" w:hAnsi="Aptos" w:cs="Times New Roman"/>
                <w:kern w:val="2"/>
                <w:sz w:val="24"/>
                <w:szCs w:val="24"/>
                <w14:ligatures w14:val="standardContextual"/>
              </w:rPr>
            </w:pPr>
            <w:r w:rsidRPr="00044E15">
              <w:rPr>
                <w:rFonts w:ascii="Verdana" w:eastAsia="Aptos" w:hAnsi="Verdana" w:cs="Arial"/>
                <w:kern w:val="2"/>
                <w:sz w:val="16"/>
                <w:szCs w:val="16"/>
                <w14:ligatures w14:val="standardContextual"/>
              </w:rPr>
              <w:t>Auxiliar de Ingeniería</w:t>
            </w:r>
          </w:p>
        </w:tc>
        <w:tc>
          <w:tcPr>
            <w:tcW w:w="1500" w:type="dxa"/>
            <w:vAlign w:val="center"/>
          </w:tcPr>
          <w:p w14:paraId="119A53D8" w14:textId="77777777" w:rsidR="00044E15" w:rsidRPr="00044E15" w:rsidRDefault="00044E15" w:rsidP="00044E15">
            <w:pPr>
              <w:spacing w:after="0" w:line="240" w:lineRule="auto"/>
              <w:jc w:val="center"/>
              <w:rPr>
                <w:rFonts w:ascii="Aptos" w:eastAsia="Aptos" w:hAnsi="Aptos" w:cs="Times New Roman"/>
                <w:kern w:val="2"/>
                <w:sz w:val="24"/>
                <w:szCs w:val="24"/>
                <w14:ligatures w14:val="standardContextual"/>
              </w:rPr>
            </w:pPr>
            <w:r w:rsidRPr="00044E15">
              <w:rPr>
                <w:rFonts w:ascii="Verdana" w:eastAsia="Aptos" w:hAnsi="Verdana" w:cs="Arial"/>
                <w:kern w:val="2"/>
                <w:sz w:val="16"/>
                <w:szCs w:val="16"/>
                <w14:ligatures w14:val="standardContextual"/>
              </w:rPr>
              <w:t>2,0 año(s)</w:t>
            </w:r>
          </w:p>
        </w:tc>
        <w:tc>
          <w:tcPr>
            <w:tcW w:w="2600" w:type="dxa"/>
            <w:vAlign w:val="center"/>
          </w:tcPr>
          <w:p w14:paraId="688F3918" w14:textId="77777777" w:rsidR="00044E15" w:rsidRPr="00044E15" w:rsidRDefault="00044E15" w:rsidP="00044E15">
            <w:pPr>
              <w:spacing w:after="0" w:line="240" w:lineRule="auto"/>
              <w:jc w:val="center"/>
              <w:rPr>
                <w:rFonts w:ascii="Aptos" w:eastAsia="Aptos" w:hAnsi="Aptos" w:cs="Times New Roman"/>
                <w:kern w:val="2"/>
                <w:sz w:val="24"/>
                <w:szCs w:val="24"/>
                <w14:ligatures w14:val="standardContextual"/>
              </w:rPr>
            </w:pPr>
            <w:r w:rsidRPr="00044E15">
              <w:rPr>
                <w:rFonts w:ascii="Verdana" w:eastAsia="Aptos" w:hAnsi="Verdana" w:cs="Arial"/>
                <w:kern w:val="2"/>
                <w:sz w:val="16"/>
                <w:szCs w:val="16"/>
                <w14:ligatures w14:val="standardContextual"/>
              </w:rPr>
              <w:t>0,5 año(s)</w:t>
            </w:r>
          </w:p>
        </w:tc>
      </w:tr>
      <w:tr w:rsidR="00044E15" w:rsidRPr="00044E15" w14:paraId="0F0DEADC" w14:textId="77777777" w:rsidTr="001F4A4B">
        <w:tc>
          <w:tcPr>
            <w:tcW w:w="2800" w:type="dxa"/>
            <w:vAlign w:val="center"/>
          </w:tcPr>
          <w:p w14:paraId="3E6DC0AA" w14:textId="77777777" w:rsidR="00044E15" w:rsidRPr="00044E15" w:rsidRDefault="00044E15" w:rsidP="00044E15">
            <w:pPr>
              <w:spacing w:after="0" w:line="240" w:lineRule="auto"/>
              <w:rPr>
                <w:rFonts w:ascii="Aptos" w:eastAsia="Aptos" w:hAnsi="Aptos" w:cs="Times New Roman"/>
                <w:kern w:val="2"/>
                <w:sz w:val="24"/>
                <w:szCs w:val="24"/>
                <w14:ligatures w14:val="standardContextual"/>
              </w:rPr>
            </w:pPr>
            <w:r w:rsidRPr="00044E15">
              <w:rPr>
                <w:rFonts w:ascii="Verdana" w:eastAsia="Aptos" w:hAnsi="Verdana" w:cs="Arial"/>
                <w:kern w:val="2"/>
                <w:sz w:val="16"/>
                <w:szCs w:val="16"/>
                <w14:ligatures w14:val="standardContextual"/>
              </w:rPr>
              <w:t>Gestor Vial</w:t>
            </w:r>
          </w:p>
        </w:tc>
        <w:tc>
          <w:tcPr>
            <w:tcW w:w="1500" w:type="dxa"/>
            <w:vAlign w:val="center"/>
          </w:tcPr>
          <w:p w14:paraId="138508BC" w14:textId="77777777" w:rsidR="00044E15" w:rsidRPr="00044E15" w:rsidRDefault="00044E15" w:rsidP="00044E15">
            <w:pPr>
              <w:spacing w:after="0" w:line="240" w:lineRule="auto"/>
              <w:jc w:val="center"/>
              <w:rPr>
                <w:rFonts w:ascii="Aptos" w:eastAsia="Aptos" w:hAnsi="Aptos" w:cs="Times New Roman"/>
                <w:kern w:val="2"/>
                <w:sz w:val="24"/>
                <w:szCs w:val="24"/>
                <w14:ligatures w14:val="standardContextual"/>
              </w:rPr>
            </w:pPr>
            <w:r w:rsidRPr="00044E15">
              <w:rPr>
                <w:rFonts w:ascii="Verdana" w:eastAsia="Aptos" w:hAnsi="Verdana" w:cs="Arial"/>
                <w:kern w:val="2"/>
                <w:sz w:val="16"/>
                <w:szCs w:val="16"/>
                <w14:ligatures w14:val="standardContextual"/>
              </w:rPr>
              <w:t>1,0 año(s)</w:t>
            </w:r>
          </w:p>
        </w:tc>
        <w:tc>
          <w:tcPr>
            <w:tcW w:w="2600" w:type="dxa"/>
            <w:vAlign w:val="center"/>
          </w:tcPr>
          <w:p w14:paraId="71ACD901" w14:textId="77777777" w:rsidR="00044E15" w:rsidRPr="00044E15" w:rsidRDefault="00044E15" w:rsidP="00044E15">
            <w:pPr>
              <w:spacing w:after="0" w:line="240" w:lineRule="auto"/>
              <w:jc w:val="center"/>
              <w:rPr>
                <w:rFonts w:ascii="Aptos" w:eastAsia="Aptos" w:hAnsi="Aptos" w:cs="Times New Roman"/>
                <w:kern w:val="2"/>
                <w:sz w:val="24"/>
                <w:szCs w:val="24"/>
                <w14:ligatures w14:val="standardContextual"/>
              </w:rPr>
            </w:pPr>
            <w:r w:rsidRPr="00044E15">
              <w:rPr>
                <w:rFonts w:ascii="Verdana" w:eastAsia="Aptos" w:hAnsi="Verdana" w:cs="Arial"/>
                <w:kern w:val="2"/>
                <w:sz w:val="16"/>
                <w:szCs w:val="16"/>
                <w14:ligatures w14:val="standardContextual"/>
              </w:rPr>
              <w:t>1,0 año(s)</w:t>
            </w:r>
          </w:p>
        </w:tc>
      </w:tr>
    </w:tbl>
    <w:p w14:paraId="23F7B830" w14:textId="77777777" w:rsidR="00044E15" w:rsidRPr="00044E15" w:rsidRDefault="00044E15" w:rsidP="00044E15">
      <w:pPr>
        <w:spacing w:after="0" w:line="240" w:lineRule="auto"/>
        <w:ind w:left="709" w:right="709"/>
        <w:jc w:val="both"/>
        <w:rPr>
          <w:rFonts w:ascii="Verdana" w:eastAsia="Calibri" w:hAnsi="Verdana" w:cs="Times New Roman"/>
          <w:kern w:val="2"/>
          <w:sz w:val="21"/>
          <w:szCs w:val="21"/>
          <w14:ligatures w14:val="standardContextual"/>
        </w:rPr>
      </w:pPr>
      <w:r w:rsidRPr="00044E15">
        <w:rPr>
          <w:rFonts w:ascii="Verdana" w:eastAsia="Calibri" w:hAnsi="Verdana" w:cs="Times New Roman"/>
          <w:kern w:val="2"/>
          <w:sz w:val="21"/>
          <w:szCs w:val="21"/>
          <w14:ligatures w14:val="standardContextual"/>
        </w:rPr>
        <w:tab/>
        <w:t>(…)</w:t>
      </w:r>
    </w:p>
    <w:p w14:paraId="7161E11A" w14:textId="77777777" w:rsidR="00044E15" w:rsidRPr="00044E15" w:rsidRDefault="00044E15" w:rsidP="00044E15">
      <w:pPr>
        <w:spacing w:after="0" w:line="240" w:lineRule="auto"/>
        <w:ind w:left="1416" w:right="709"/>
        <w:jc w:val="both"/>
        <w:rPr>
          <w:rFonts w:ascii="Verdana" w:eastAsia="Calibri" w:hAnsi="Verdana" w:cs="Times New Roman"/>
          <w:kern w:val="2"/>
          <w:sz w:val="21"/>
          <w:szCs w:val="21"/>
          <w14:ligatures w14:val="standardContextual"/>
        </w:rPr>
      </w:pPr>
      <w:r w:rsidRPr="00044E15">
        <w:rPr>
          <w:rFonts w:ascii="Verdana" w:eastAsia="Calibri" w:hAnsi="Verdana" w:cs="Times New Roman"/>
          <w:kern w:val="2"/>
          <w:sz w:val="21"/>
          <w:szCs w:val="21"/>
          <w14:ligatures w14:val="standardContextual"/>
        </w:rPr>
        <w:t>IV. Equivalencias de formación académica aplicable para el personal:</w:t>
      </w:r>
    </w:p>
    <w:p w14:paraId="53059037" w14:textId="77777777" w:rsidR="00044E15" w:rsidRPr="00044E15" w:rsidRDefault="00044E15" w:rsidP="00044E15">
      <w:pPr>
        <w:spacing w:after="0" w:line="240" w:lineRule="auto"/>
        <w:ind w:left="709" w:right="709" w:firstLine="707"/>
        <w:jc w:val="both"/>
        <w:rPr>
          <w:rFonts w:ascii="Verdana" w:eastAsia="Calibri" w:hAnsi="Verdana" w:cs="Times New Roman"/>
          <w:kern w:val="2"/>
          <w:sz w:val="21"/>
          <w:szCs w:val="21"/>
          <w14:ligatures w14:val="standardContextual"/>
        </w:rPr>
      </w:pPr>
      <w:r w:rsidRPr="00044E15">
        <w:rPr>
          <w:rFonts w:ascii="Verdana" w:eastAsia="Calibri" w:hAnsi="Verdana" w:cs="Times New Roman"/>
          <w:kern w:val="2"/>
          <w:sz w:val="21"/>
          <w:szCs w:val="21"/>
          <w14:ligatures w14:val="standardContextual"/>
        </w:rPr>
        <w:t>(…)</w:t>
      </w:r>
    </w:p>
    <w:p w14:paraId="177A6BDE" w14:textId="77777777" w:rsidR="00044E15" w:rsidRPr="00044E15" w:rsidRDefault="00044E15" w:rsidP="00044E15">
      <w:pPr>
        <w:spacing w:after="0" w:line="240" w:lineRule="auto"/>
        <w:ind w:left="709" w:right="709"/>
        <w:jc w:val="right"/>
        <w:rPr>
          <w:rFonts w:ascii="Verdana" w:eastAsia="Calibri" w:hAnsi="Verdana" w:cs="Times New Roman"/>
          <w:kern w:val="2"/>
          <w14:ligatures w14:val="standardContextual"/>
        </w:rPr>
      </w:pPr>
      <w:r w:rsidRPr="00044E15">
        <w:rPr>
          <w:rFonts w:ascii="Aptos" w:eastAsia="Aptos" w:hAnsi="Aptos" w:cs="Times New Roman"/>
          <w:noProof/>
          <w:kern w:val="2"/>
          <w:sz w:val="24"/>
          <w:szCs w:val="24"/>
          <w14:ligatures w14:val="standardContextual"/>
        </w:rPr>
        <w:drawing>
          <wp:inline distT="0" distB="0" distL="0" distR="0" wp14:anchorId="3A86D77F" wp14:editId="620603A5">
            <wp:extent cx="4155514" cy="577831"/>
            <wp:effectExtent l="0" t="0" r="0" b="0"/>
            <wp:docPr id="1243775093"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274719" cy="594407"/>
                    </a:xfrm>
                    <a:prstGeom prst="rect">
                      <a:avLst/>
                    </a:prstGeom>
                    <a:noFill/>
                    <a:ln>
                      <a:noFill/>
                    </a:ln>
                  </pic:spPr>
                </pic:pic>
              </a:graphicData>
            </a:graphic>
          </wp:inline>
        </w:drawing>
      </w:r>
      <w:r w:rsidRPr="00044E15">
        <w:rPr>
          <w:rFonts w:ascii="Verdana" w:eastAsia="Calibri" w:hAnsi="Verdana" w:cs="Times New Roman"/>
          <w:kern w:val="2"/>
          <w14:ligatures w14:val="standardContextual"/>
        </w:rPr>
        <w:t>”.</w:t>
      </w:r>
    </w:p>
    <w:p w14:paraId="4E88EDFA" w14:textId="77777777" w:rsidR="00044E15" w:rsidRPr="00044E15" w:rsidRDefault="00044E15" w:rsidP="00044E15">
      <w:pPr>
        <w:spacing w:after="0" w:line="276" w:lineRule="auto"/>
        <w:jc w:val="both"/>
        <w:rPr>
          <w:rFonts w:ascii="Arial" w:eastAsia="Aptos" w:hAnsi="Arial" w:cs="Arial"/>
          <w:kern w:val="2"/>
          <w:szCs w:val="24"/>
          <w14:ligatures w14:val="standardContextual"/>
        </w:rPr>
      </w:pPr>
      <w:r w:rsidRPr="00044E15">
        <w:rPr>
          <w:rFonts w:ascii="Arial" w:eastAsia="Aptos" w:hAnsi="Arial" w:cs="Arial"/>
          <w:kern w:val="2"/>
          <w:szCs w:val="24"/>
          <w14:ligatures w14:val="standardContextual"/>
        </w:rPr>
        <w:tab/>
      </w:r>
    </w:p>
    <w:p w14:paraId="761E70D9" w14:textId="77777777" w:rsidR="00044E15" w:rsidRPr="00044E15" w:rsidRDefault="00044E15" w:rsidP="00044E15">
      <w:pPr>
        <w:spacing w:after="120" w:line="276" w:lineRule="auto"/>
        <w:ind w:firstLine="708"/>
        <w:jc w:val="both"/>
        <w:rPr>
          <w:rFonts w:ascii="Verdana" w:eastAsia="Aptos" w:hAnsi="Verdana" w:cs="Arial"/>
          <w:kern w:val="2"/>
          <w:szCs w:val="24"/>
          <w14:ligatures w14:val="standardContextual"/>
        </w:rPr>
      </w:pPr>
      <w:r w:rsidRPr="00044E15">
        <w:rPr>
          <w:rFonts w:ascii="Verdana" w:eastAsia="Aptos" w:hAnsi="Verdana" w:cs="Arial"/>
          <w:kern w:val="2"/>
          <w:szCs w:val="24"/>
          <w14:ligatures w14:val="standardContextual"/>
        </w:rPr>
        <w:t>Como se observa, es posible realizar equivalencias de experiencia aplicables al personal, para los cargos de Director de Interventoría, Residente de Interventoría y Administrador Vial o Gestor Vial, siguiendo los parámetros señalados en el numeral III de la Matriz 4. Por otra parte, en relación con las equivalencias de formación académica aplicables al personal, estas pueden realizarse conforme a lo dispuesto en el numeral IV de la matriz indicada, en el cual, se establece que los títulos académicos en modalidad de especialización, maestría u otro título de posgrado superior equivalen a determinados años de experiencia, dependiendo de si se trata de experiencia general o específica.</w:t>
      </w:r>
    </w:p>
    <w:p w14:paraId="08DC3DA8" w14:textId="77777777" w:rsidR="00044E15" w:rsidRPr="00044E15" w:rsidRDefault="00044E15" w:rsidP="00044E15">
      <w:pPr>
        <w:spacing w:after="120" w:line="276" w:lineRule="auto"/>
        <w:jc w:val="both"/>
        <w:rPr>
          <w:rFonts w:ascii="Verdana" w:eastAsia="Aptos" w:hAnsi="Verdana" w:cs="Arial"/>
          <w:kern w:val="2"/>
          <w:szCs w:val="24"/>
          <w14:ligatures w14:val="standardContextual"/>
        </w:rPr>
      </w:pPr>
      <w:r w:rsidRPr="00044E15">
        <w:rPr>
          <w:rFonts w:ascii="Arial" w:eastAsia="Aptos" w:hAnsi="Arial" w:cs="Arial"/>
          <w:kern w:val="2"/>
          <w:szCs w:val="24"/>
          <w14:ligatures w14:val="standardContextual"/>
        </w:rPr>
        <w:lastRenderedPageBreak/>
        <w:t xml:space="preserve"> </w:t>
      </w:r>
      <w:r w:rsidRPr="00044E15">
        <w:rPr>
          <w:rFonts w:ascii="Arial" w:eastAsia="Aptos" w:hAnsi="Arial" w:cs="Arial"/>
          <w:kern w:val="2"/>
          <w:szCs w:val="24"/>
          <w14:ligatures w14:val="standardContextual"/>
        </w:rPr>
        <w:tab/>
      </w:r>
      <w:r w:rsidRPr="00044E15">
        <w:rPr>
          <w:rFonts w:ascii="Verdana" w:eastAsia="Aptos" w:hAnsi="Verdana" w:cs="Arial"/>
          <w:kern w:val="2"/>
          <w:szCs w:val="24"/>
          <w14:ligatures w14:val="standardContextual"/>
        </w:rPr>
        <w:t>De acuerdo con la Nota 3</w:t>
      </w:r>
      <w:r w:rsidRPr="00044E15">
        <w:rPr>
          <w:rFonts w:ascii="Verdana" w:eastAsia="Aptos" w:hAnsi="Verdana" w:cs="Arial"/>
          <w:kern w:val="2"/>
          <w:szCs w:val="24"/>
          <w:vertAlign w:val="superscript"/>
          <w14:ligatures w14:val="standardContextual"/>
        </w:rPr>
        <w:footnoteReference w:id="4"/>
      </w:r>
      <w:r w:rsidRPr="00044E15">
        <w:rPr>
          <w:rFonts w:ascii="Verdana" w:eastAsia="Aptos" w:hAnsi="Verdana" w:cs="Arial"/>
          <w:kern w:val="2"/>
          <w:szCs w:val="24"/>
          <w14:ligatures w14:val="standardContextual"/>
        </w:rPr>
        <w:t xml:space="preserve"> del numeral IV de la Matriz 4, la tabla de las equivalencias de formación académica aplicables para el personal, puede interpretarse para: i) la equivalencia de título académico por experiencia, o </w:t>
      </w:r>
      <w:proofErr w:type="spellStart"/>
      <w:r w:rsidRPr="00044E15">
        <w:rPr>
          <w:rFonts w:ascii="Verdana" w:eastAsia="Aptos" w:hAnsi="Verdana" w:cs="Arial"/>
          <w:kern w:val="2"/>
          <w:szCs w:val="24"/>
          <w14:ligatures w14:val="standardContextual"/>
        </w:rPr>
        <w:t>ii</w:t>
      </w:r>
      <w:proofErr w:type="spellEnd"/>
      <w:r w:rsidRPr="00044E15">
        <w:rPr>
          <w:rFonts w:ascii="Verdana" w:eastAsia="Aptos" w:hAnsi="Verdana" w:cs="Arial"/>
          <w:kern w:val="2"/>
          <w:szCs w:val="24"/>
          <w14:ligatures w14:val="standardContextual"/>
        </w:rPr>
        <w:t>) la equivalencia de experiencia por título académico. Por su parte, la Nota 5, dispone que, para las equivalencias de títulos académicos por experiencia o viceversa, los títulos o los años de experiencia utilizados para tal efecto, no podrán sumar nuevamente para asignar puntaje por experiencia o formación académica. La Nota 6, a su vez, dispone que para hacer la equivalencia de título por experiencia el profesional debe contar tanto con la experiencia general como con la específica que señala la tabla, y que esta última debe estar directamente asociada con el título que se pretende suplir.</w:t>
      </w:r>
    </w:p>
    <w:p w14:paraId="0435FD13" w14:textId="77777777" w:rsidR="00044E15" w:rsidRPr="00044E15" w:rsidRDefault="00044E15" w:rsidP="00044E15">
      <w:pPr>
        <w:spacing w:after="120" w:line="276" w:lineRule="auto"/>
        <w:jc w:val="both"/>
        <w:rPr>
          <w:rFonts w:ascii="Verdana" w:eastAsia="Aptos" w:hAnsi="Verdana" w:cs="Arial"/>
          <w:kern w:val="2"/>
          <w:szCs w:val="24"/>
          <w14:ligatures w14:val="standardContextual"/>
        </w:rPr>
      </w:pPr>
      <w:r w:rsidRPr="00044E15">
        <w:rPr>
          <w:rFonts w:ascii="Arial" w:eastAsia="Aptos" w:hAnsi="Arial" w:cs="Arial"/>
          <w:kern w:val="2"/>
          <w:szCs w:val="24"/>
          <w14:ligatures w14:val="standardContextual"/>
        </w:rPr>
        <w:tab/>
      </w:r>
      <w:r w:rsidRPr="00044E15">
        <w:rPr>
          <w:rFonts w:ascii="Verdana" w:eastAsia="Aptos" w:hAnsi="Verdana" w:cs="Arial"/>
          <w:kern w:val="2"/>
          <w:szCs w:val="24"/>
          <w14:ligatures w14:val="standardContextual"/>
        </w:rPr>
        <w:t xml:space="preserve">Acreditada la experiencia mínima del equipo de trabajo, en desarrollo del numeral 4 del artículo 5 de la Ley 1150 de 2007, el numeral 4.2.2 del documento base prescribe que “La Entidad asignará cinco (5) puntos al Proponente que se comprometa con el diligenciamiento del “Formato 9 – Experiencia y formación académica adicional del Personal Clave Evaluable” [cada uno de los integrantes que conforman el Personal Clave Evaluable: i) el Director de Interventoría y/o </w:t>
      </w:r>
      <w:proofErr w:type="spellStart"/>
      <w:r w:rsidRPr="00044E15">
        <w:rPr>
          <w:rFonts w:ascii="Verdana" w:eastAsia="Aptos" w:hAnsi="Verdana" w:cs="Arial"/>
          <w:kern w:val="2"/>
          <w:szCs w:val="24"/>
          <w14:ligatures w14:val="standardContextual"/>
        </w:rPr>
        <w:t>ii</w:t>
      </w:r>
      <w:proofErr w:type="spellEnd"/>
      <w:r w:rsidRPr="00044E15">
        <w:rPr>
          <w:rFonts w:ascii="Verdana" w:eastAsia="Aptos" w:hAnsi="Verdana" w:cs="Arial"/>
          <w:kern w:val="2"/>
          <w:szCs w:val="24"/>
          <w14:ligatures w14:val="standardContextual"/>
        </w:rPr>
        <w:t xml:space="preserve">) el coordinador de interventoría o Administrador Vial o Gestor Vial y/o; </w:t>
      </w:r>
      <w:proofErr w:type="spellStart"/>
      <w:r w:rsidRPr="00044E15">
        <w:rPr>
          <w:rFonts w:ascii="Verdana" w:eastAsia="Aptos" w:hAnsi="Verdana" w:cs="Arial"/>
          <w:kern w:val="2"/>
          <w:szCs w:val="24"/>
          <w14:ligatures w14:val="standardContextual"/>
        </w:rPr>
        <w:t>iii</w:t>
      </w:r>
      <w:proofErr w:type="spellEnd"/>
      <w:r w:rsidRPr="00044E15">
        <w:rPr>
          <w:rFonts w:ascii="Verdana" w:eastAsia="Aptos" w:hAnsi="Verdana" w:cs="Arial"/>
          <w:kern w:val="2"/>
          <w:szCs w:val="24"/>
          <w14:ligatures w14:val="standardContextual"/>
        </w:rPr>
        <w:t xml:space="preserve">) el Residente de interventoría y/o; </w:t>
      </w:r>
      <w:proofErr w:type="spellStart"/>
      <w:r w:rsidRPr="00044E15">
        <w:rPr>
          <w:rFonts w:ascii="Verdana" w:eastAsia="Aptos" w:hAnsi="Verdana" w:cs="Arial"/>
          <w:kern w:val="2"/>
          <w:szCs w:val="24"/>
          <w14:ligatures w14:val="standardContextual"/>
        </w:rPr>
        <w:t>iv</w:t>
      </w:r>
      <w:proofErr w:type="spellEnd"/>
      <w:r w:rsidRPr="00044E15">
        <w:rPr>
          <w:rFonts w:ascii="Verdana" w:eastAsia="Aptos" w:hAnsi="Verdana" w:cs="Arial"/>
          <w:kern w:val="2"/>
          <w:szCs w:val="24"/>
          <w14:ligatures w14:val="standardContextual"/>
        </w:rPr>
        <w:t>) el especialista principal del proyecto] a acreditar que tienen una formación académica adicional a la definida en la “Matriz 4 – Lineamientos de requisitos del Personal”. Para estos efectos, en el numeral se señala a modo de ejemplo que si el requisito mínimo de formación académica es contar con un título profesional, se otorgará el puntaje a quien se obligue a presentar un título de posgrado, o si el requisito mínimo de formación académica es contar con un título de posgrado, se otorgará el puntaje a quien acredite un título de posgrado adicional.</w:t>
      </w:r>
    </w:p>
    <w:p w14:paraId="263A675E" w14:textId="77777777" w:rsidR="00044E15" w:rsidRPr="00044E15" w:rsidRDefault="00044E15" w:rsidP="00044E15">
      <w:pPr>
        <w:spacing w:after="0" w:line="276" w:lineRule="auto"/>
        <w:ind w:firstLine="708"/>
        <w:jc w:val="both"/>
        <w:rPr>
          <w:rFonts w:ascii="Verdana" w:eastAsia="Aptos" w:hAnsi="Verdana" w:cs="Arial"/>
          <w:kern w:val="2"/>
          <w14:ligatures w14:val="standardContextual"/>
        </w:rPr>
      </w:pPr>
      <w:r w:rsidRPr="00044E15">
        <w:rPr>
          <w:rFonts w:ascii="Verdana" w:eastAsia="Aptos" w:hAnsi="Verdana" w:cs="Arial"/>
          <w:kern w:val="2"/>
          <w14:ligatures w14:val="standardContextual"/>
        </w:rPr>
        <w:t>Así mismo, en este numeral se establece que “Las reglas de equivalencias descritas en la “Matriz 4 – Lineamientos de Requisitos del Personal” no aplican para el otorgamiento de puntaje, solamente para verificar que el profesional cumple con la formación académica mínima requerida por la Entidad”. Así, de acuerdo con el aparte citado,</w:t>
      </w:r>
      <w:r w:rsidRPr="00044E15">
        <w:rPr>
          <w:rFonts w:ascii="Verdana" w:eastAsia="Arial" w:hAnsi="Verdana" w:cs="Arial"/>
          <w:kern w:val="2"/>
          <w14:ligatures w14:val="standardContextual"/>
        </w:rPr>
        <w:t xml:space="preserve"> para que el proponente pueda acreditar que su personal tiene una formación académica adicional a la definida en la Matriz 4, el título adicional que aporta para cumplir con esta condición, no podrá ser </w:t>
      </w:r>
      <w:r w:rsidRPr="00044E15">
        <w:rPr>
          <w:rFonts w:ascii="Verdana" w:eastAsia="Arial" w:hAnsi="Verdana" w:cs="Arial"/>
          <w:kern w:val="2"/>
          <w14:ligatures w14:val="standardContextual"/>
        </w:rPr>
        <w:lastRenderedPageBreak/>
        <w:t>producto de las equivalencias contenidas en el numeral IV de la Matriz 4. Esta consideración se alinea con lo que se dispone</w:t>
      </w:r>
      <w:r w:rsidRPr="00044E15">
        <w:rPr>
          <w:rFonts w:ascii="Verdana" w:eastAsia="Aptos" w:hAnsi="Verdana" w:cs="Arial"/>
          <w:kern w:val="2"/>
          <w14:ligatures w14:val="standardContextual"/>
        </w:rPr>
        <w:t xml:space="preserve"> en la matriz sobre las características de los lineamientos de requisitos de personal, al contemplar que las equivalencias de formación académica del Personal Clave Evaluable solo aplican para acreditar las exigencias mínimas previstas en el numeral 3.8.2 y no para el otorgamiento de puntaje, en los siguientes términos:</w:t>
      </w:r>
    </w:p>
    <w:p w14:paraId="299C5419" w14:textId="77777777" w:rsidR="00044E15" w:rsidRPr="00044E15" w:rsidRDefault="00044E15" w:rsidP="00044E15">
      <w:pPr>
        <w:spacing w:after="0" w:line="276" w:lineRule="auto"/>
        <w:ind w:firstLine="708"/>
        <w:jc w:val="both"/>
        <w:rPr>
          <w:rFonts w:ascii="Verdana" w:eastAsia="Aptos" w:hAnsi="Verdana" w:cs="Arial"/>
          <w:kern w:val="2"/>
          <w14:ligatures w14:val="standardContextual"/>
        </w:rPr>
      </w:pPr>
    </w:p>
    <w:p w14:paraId="6D52F97A" w14:textId="77777777" w:rsidR="00044E15" w:rsidRPr="00044E15" w:rsidRDefault="00044E15" w:rsidP="00044E15">
      <w:pPr>
        <w:spacing w:after="120" w:line="240" w:lineRule="auto"/>
        <w:ind w:left="709" w:right="709"/>
        <w:jc w:val="both"/>
        <w:rPr>
          <w:rFonts w:ascii="Verdana" w:eastAsia="Aptos" w:hAnsi="Verdana" w:cs="Times New Roman"/>
          <w:kern w:val="2"/>
          <w:sz w:val="21"/>
          <w:szCs w:val="21"/>
          <w:lang w:val="es-MX"/>
          <w14:ligatures w14:val="standardContextual"/>
        </w:rPr>
      </w:pPr>
      <w:r w:rsidRPr="00044E15">
        <w:rPr>
          <w:rFonts w:ascii="Verdana" w:eastAsia="Aptos" w:hAnsi="Verdana" w:cs="Times New Roman"/>
          <w:kern w:val="2"/>
          <w:sz w:val="21"/>
          <w:szCs w:val="21"/>
          <w:lang w:val="es-MX"/>
          <w14:ligatures w14:val="standardContextual"/>
        </w:rPr>
        <w:t>“Características de la Matriz 4 – Lineamiento de requisitos de personal</w:t>
      </w:r>
    </w:p>
    <w:p w14:paraId="2339B894" w14:textId="77777777" w:rsidR="00044E15" w:rsidRPr="00044E15" w:rsidRDefault="00044E15" w:rsidP="00044E15">
      <w:pPr>
        <w:spacing w:after="120" w:line="240" w:lineRule="auto"/>
        <w:ind w:right="709" w:firstLine="708"/>
        <w:jc w:val="both"/>
        <w:rPr>
          <w:rFonts w:ascii="Verdana" w:eastAsia="Aptos" w:hAnsi="Verdana" w:cs="Times New Roman"/>
          <w:kern w:val="2"/>
          <w:sz w:val="21"/>
          <w:szCs w:val="21"/>
          <w:lang w:val="es-MX"/>
          <w14:ligatures w14:val="standardContextual"/>
        </w:rPr>
      </w:pPr>
      <w:r w:rsidRPr="00044E15">
        <w:rPr>
          <w:rFonts w:ascii="Verdana" w:eastAsia="Aptos" w:hAnsi="Verdana" w:cs="Times New Roman"/>
          <w:kern w:val="2"/>
          <w:sz w:val="21"/>
          <w:szCs w:val="21"/>
          <w:lang w:val="es-MX"/>
          <w14:ligatures w14:val="standardContextual"/>
        </w:rPr>
        <w:t>(…)</w:t>
      </w:r>
    </w:p>
    <w:p w14:paraId="786AD7F5" w14:textId="77777777" w:rsidR="00044E15" w:rsidRPr="00044E15" w:rsidRDefault="00044E15" w:rsidP="00044E15">
      <w:pPr>
        <w:spacing w:after="120" w:line="240" w:lineRule="auto"/>
        <w:ind w:left="709" w:right="709"/>
        <w:jc w:val="both"/>
        <w:rPr>
          <w:rFonts w:ascii="Verdana" w:eastAsia="Aptos" w:hAnsi="Verdana" w:cs="Times New Roman"/>
          <w:kern w:val="2"/>
          <w:sz w:val="21"/>
          <w:szCs w:val="21"/>
          <w:lang w:val="es-MX"/>
          <w14:ligatures w14:val="standardContextual"/>
        </w:rPr>
      </w:pPr>
      <w:r w:rsidRPr="00044E15">
        <w:rPr>
          <w:rFonts w:ascii="Verdana" w:eastAsia="Aptos" w:hAnsi="Verdana" w:cs="Times New Roman"/>
          <w:kern w:val="2"/>
          <w:sz w:val="21"/>
          <w:szCs w:val="21"/>
          <w:lang w:val="es-MX"/>
          <w14:ligatures w14:val="standardContextual"/>
        </w:rPr>
        <w:t>Las equivalencias de formación académica y experiencia del Personal Clave Evaluable solo aplica para acreditar las exigencias mínimas previstas en el numeral 3.8.2 “Exigencias mínimas de la experiencia y formación académica del equipo de trabajo (Personal Clave Evaluable)”. Para el otorgamiento de puntaje no se tendrán en cuenta estas equivalencias</w:t>
      </w:r>
    </w:p>
    <w:p w14:paraId="35EBDC2C" w14:textId="77777777" w:rsidR="00044E15" w:rsidRPr="00044E15" w:rsidRDefault="00044E15" w:rsidP="00044E15">
      <w:pPr>
        <w:spacing w:after="120" w:line="240" w:lineRule="auto"/>
        <w:ind w:left="709" w:right="709"/>
        <w:jc w:val="both"/>
        <w:rPr>
          <w:rFonts w:ascii="Verdana" w:eastAsia="Aptos" w:hAnsi="Verdana" w:cs="Times New Roman"/>
          <w:kern w:val="2"/>
          <w:sz w:val="21"/>
          <w:szCs w:val="21"/>
          <w:lang w:val="es-MX"/>
          <w14:ligatures w14:val="standardContextual"/>
        </w:rPr>
      </w:pPr>
      <w:r w:rsidRPr="00044E15">
        <w:rPr>
          <w:rFonts w:ascii="Verdana" w:eastAsia="Aptos" w:hAnsi="Verdana" w:cs="Times New Roman"/>
          <w:kern w:val="2"/>
          <w:sz w:val="21"/>
          <w:szCs w:val="21"/>
          <w:lang w:val="es-MX"/>
          <w14:ligatures w14:val="standardContextual"/>
        </w:rPr>
        <w:t>(…) ”.</w:t>
      </w:r>
    </w:p>
    <w:p w14:paraId="346A5BBA" w14:textId="77777777" w:rsidR="00044E15" w:rsidRPr="00044E15" w:rsidRDefault="00044E15" w:rsidP="00044E15">
      <w:pPr>
        <w:spacing w:after="0" w:line="276" w:lineRule="auto"/>
        <w:ind w:firstLine="708"/>
        <w:jc w:val="both"/>
        <w:rPr>
          <w:rFonts w:ascii="Verdana" w:eastAsia="Aptos" w:hAnsi="Verdana" w:cs="Arial"/>
          <w:kern w:val="2"/>
          <w14:ligatures w14:val="standardContextual"/>
        </w:rPr>
      </w:pPr>
      <w:r w:rsidRPr="00044E15">
        <w:rPr>
          <w:rFonts w:ascii="Verdana" w:eastAsia="Aptos" w:hAnsi="Verdana" w:cs="Arial"/>
          <w:kern w:val="2"/>
          <w14:ligatures w14:val="standardContextual"/>
        </w:rPr>
        <w:t xml:space="preserve"> </w:t>
      </w:r>
    </w:p>
    <w:p w14:paraId="6F4DBCF1" w14:textId="77777777" w:rsidR="00044E15" w:rsidRPr="00044E15" w:rsidRDefault="00044E15" w:rsidP="00044E15">
      <w:pPr>
        <w:spacing w:after="120" w:line="278" w:lineRule="auto"/>
        <w:ind w:firstLine="708"/>
        <w:jc w:val="both"/>
        <w:rPr>
          <w:rFonts w:ascii="Verdana" w:eastAsia="Aptos" w:hAnsi="Verdana" w:cs="Arial"/>
          <w:kern w:val="2"/>
          <w14:ligatures w14:val="standardContextual"/>
        </w:rPr>
      </w:pPr>
      <w:r w:rsidRPr="00044E15">
        <w:rPr>
          <w:rFonts w:ascii="Verdana" w:eastAsia="Aptos" w:hAnsi="Verdana" w:cs="Arial"/>
          <w:kern w:val="2"/>
          <w14:ligatures w14:val="standardContextual"/>
        </w:rPr>
        <w:t>Conforme con lo anterior, es claro que se podrá realizar la equivalencia de experiencia por título de posgrado. Sin embargo, los años de experiencia utilizados como equivalencia no podrán ser nuevamente contabilizados para asignar puntaje por experiencia o formación académica, conforme a la Nota 5 del numeral IV de la Matriz 4 y a lo establecido en los numerales 4.2.1 y 4.2.2 del documento base de los Documentos Tipo de interventoría de obra pública de infraestructura de transporte – versión 2.</w:t>
      </w:r>
    </w:p>
    <w:p w14:paraId="1456699B" w14:textId="77777777" w:rsidR="00044E15" w:rsidRPr="00044E15" w:rsidRDefault="00044E15" w:rsidP="00044E15">
      <w:pPr>
        <w:spacing w:after="120" w:line="278" w:lineRule="auto"/>
        <w:ind w:firstLine="708"/>
        <w:jc w:val="both"/>
        <w:rPr>
          <w:rFonts w:ascii="Verdana" w:eastAsia="Aptos" w:hAnsi="Verdana" w:cs="Arial"/>
          <w:kern w:val="2"/>
          <w14:ligatures w14:val="standardContextual"/>
        </w:rPr>
      </w:pPr>
      <w:r w:rsidRPr="00044E15">
        <w:rPr>
          <w:rFonts w:ascii="Verdana" w:eastAsia="Aptos" w:hAnsi="Verdana" w:cs="Arial"/>
          <w:kern w:val="2"/>
          <w14:ligatures w14:val="standardContextual"/>
        </w:rPr>
        <w:t>Bajo estas reglas, nada impide que el profesional acredite con experiencia, mediante la equivalencia del numeral IV de la Matriz 4, el título de posgrado que la entidad exigió como formación académica mínima en el numeral 3.8.2 del documento base, y presente el título de posgrado que efectivamente posee, que no fue objeto de equivalencia, como formación académica adicional en los términos del numeral 4.2.2. En ese supuesto la equivalencia cumple la única función que le asignan la Matriz 4 y el literal II del numeral 4.2.2, que es verificar el requisito mínimo, y el puntaje se otorga por un título real, distinto del que la experiencia reemplazó. Ninguna disposición de los Documentos Tipo prohíbe esta forma de acreditación.</w:t>
      </w:r>
    </w:p>
    <w:p w14:paraId="521E231E" w14:textId="77777777" w:rsidR="00044E15" w:rsidRPr="00044E15" w:rsidRDefault="00044E15" w:rsidP="00044E15">
      <w:pPr>
        <w:spacing w:after="120" w:line="278" w:lineRule="auto"/>
        <w:ind w:firstLine="708"/>
        <w:jc w:val="both"/>
        <w:rPr>
          <w:rFonts w:ascii="Verdana" w:eastAsia="Aptos" w:hAnsi="Verdana" w:cs="Arial"/>
          <w:kern w:val="2"/>
          <w14:ligatures w14:val="standardContextual"/>
        </w:rPr>
      </w:pPr>
      <w:r w:rsidRPr="00044E15">
        <w:rPr>
          <w:rFonts w:ascii="Verdana" w:eastAsia="Aptos" w:hAnsi="Verdana" w:cs="Arial"/>
          <w:kern w:val="2"/>
          <w14:ligatures w14:val="standardContextual"/>
        </w:rPr>
        <w:lastRenderedPageBreak/>
        <w:t>El ejemplo del numeral 4.2.2, según el cual, si el requisito mínimo es un título de posgrado, el puntaje se otorga a quien acredite un título de posgrado adicional, no lleva a una conclusión distinta. Ese ejemplo describe el caso ordinario, en el que el mínimo se cumple con un título. Lo que el numeral exige es que la formación puntuable sea adicional a la mínima y que no provenga de una equivalencia. Cuando el mínimo se acreditó con experiencia, el título que presenta el profesional es adicional frente a ese mínimo y no es producto de equivalencia alguna. Exigirle en ese caso dos títulos de posgrado supondría agregar un requisito que el pliego tipo no contiene, lo que la entidad no puede hacer. Los Documentos Tipo son de obligatorio cumplimiento y, en armonía con el numeral 5 del artículo 24 de la Ley 80 de 1993, las reglas que condicionan la asignación de puntaje deben ser claras y completas y constar expresamente en el pliego.</w:t>
      </w:r>
    </w:p>
    <w:p w14:paraId="4398F004" w14:textId="77777777" w:rsidR="00A9709A" w:rsidRDefault="00044E15" w:rsidP="00A9709A">
      <w:pPr>
        <w:spacing w:after="120"/>
        <w:ind w:firstLine="708"/>
        <w:jc w:val="both"/>
        <w:rPr>
          <w:rFonts w:ascii="Verdana" w:eastAsia="Aptos" w:hAnsi="Verdana" w:cs="Arial"/>
        </w:rPr>
      </w:pPr>
      <w:r w:rsidRPr="00044E15">
        <w:rPr>
          <w:rFonts w:ascii="Verdana" w:eastAsia="Aptos" w:hAnsi="Verdana" w:cs="Arial"/>
          <w:kern w:val="2"/>
          <w14:ligatures w14:val="standardContextual"/>
        </w:rPr>
        <w:t xml:space="preserve">Ahora bien, la equivalencia está sujeta a las condiciones que fija la propia Matriz 4. En primer término, la experiencia con la que se suple el título debe incluir la experiencia general y la específica que señala la tabla del numeral IV –dos años de experiencia general y uno de específica para una especialización; tres y uno y medio para una maestría u otro título de posgrado superior–, y la específica debe estar directamente asociada con el área del posgrado exigido, como lo dispone la Nota 6. </w:t>
      </w:r>
      <w:r w:rsidR="00A9709A" w:rsidRPr="0016054D">
        <w:rPr>
          <w:rFonts w:ascii="Verdana" w:eastAsia="Aptos" w:hAnsi="Verdana" w:cs="Arial"/>
        </w:rPr>
        <w:t>En segundo término, deberá observarse la restricción prevista en la Nota 5 del numeral IV de la Matriz 4, conforme a la cual los títulos académicos o los años de experiencia utilizados para efectuar las equivalencias no podrán ser contabilizados nuevamente para la asignación de puntaje por experiencia o formación académica adicional.</w:t>
      </w:r>
    </w:p>
    <w:p w14:paraId="69361E7F" w14:textId="41EEC273" w:rsidR="00044E15" w:rsidRPr="000B6A46" w:rsidRDefault="00A9709A" w:rsidP="000B6A46">
      <w:pPr>
        <w:spacing w:after="120"/>
        <w:ind w:firstLine="708"/>
        <w:jc w:val="both"/>
        <w:rPr>
          <w:rFonts w:ascii="Verdana" w:eastAsia="Aptos" w:hAnsi="Verdana" w:cs="Arial"/>
        </w:rPr>
      </w:pPr>
      <w:r w:rsidRPr="0016054D">
        <w:rPr>
          <w:rFonts w:ascii="Verdana" w:eastAsia="Aptos" w:hAnsi="Verdana" w:cs="Arial"/>
        </w:rPr>
        <w:t>En consecuencia, corresponde distinguir entre la experiencia utilizada para acreditar los requisitos mínimos del perfil y aquella que puede ser considerada para la asignación de puntaje, de conformidad con las reglas expresamente previstas en los documentos tipo.</w:t>
      </w:r>
    </w:p>
    <w:p w14:paraId="5C3CDDDA" w14:textId="77777777" w:rsidR="00044E15" w:rsidRPr="00044E15" w:rsidRDefault="00044E15" w:rsidP="00044E15">
      <w:pPr>
        <w:spacing w:after="0" w:line="278" w:lineRule="auto"/>
        <w:ind w:firstLine="708"/>
        <w:jc w:val="both"/>
        <w:rPr>
          <w:rFonts w:ascii="Verdana" w:eastAsia="Aptos" w:hAnsi="Verdana" w:cs="Arial"/>
          <w:kern w:val="2"/>
          <w14:ligatures w14:val="standardContextual"/>
        </w:rPr>
      </w:pPr>
      <w:r w:rsidRPr="00044E15">
        <w:rPr>
          <w:rFonts w:ascii="Verdana" w:eastAsia="Aptos" w:hAnsi="Verdana" w:cs="Arial"/>
          <w:kern w:val="2"/>
          <w14:ligatures w14:val="standardContextual"/>
        </w:rPr>
        <w:t xml:space="preserve">Por último, en la versión 2 de estos Documentos Tipo el proponente no aporta soportes del Personal Clave Evaluable durante el proceso de selección, este diligencia el “Formato 8 – Aceptación y cumplimiento de la formación académica y la experiencia del Personal Clave Evaluable” y, si opta por el puntaje, el “Formato 9 – Experiencia y formación académica adicional del Personal Clave Evaluable”. Los soportes se verifican después de celebrado el contrato, en el momento que la entidad haya definido, según los numerales 3.8.2, 9.1 y 10.2 del documento base. Es en esa verificación donde el interventor </w:t>
      </w:r>
      <w:r w:rsidRPr="00044E15">
        <w:rPr>
          <w:rFonts w:ascii="Verdana" w:eastAsia="Aptos" w:hAnsi="Verdana" w:cs="Arial"/>
          <w:kern w:val="2"/>
          <w14:ligatures w14:val="standardContextual"/>
        </w:rPr>
        <w:lastRenderedPageBreak/>
        <w:t>debe indicar qué experiencia invoca como equivalente del posgrado mínimo y qué título presenta como formación académica adicional, y donde la entidad debe comprobar que se cumplen las condiciones descritas. Aplicada así, la equivalencia no compromete los principios de transparencia, selección objetiva e igualdad, pues la entidad se limita a aplicar reglas que el pliego tipo fijó de antemano y en iguales términos para todos los oferentes.</w:t>
      </w:r>
    </w:p>
    <w:p w14:paraId="2617EDBB" w14:textId="77777777" w:rsidR="00044E15" w:rsidRPr="00044E15" w:rsidRDefault="00044E15" w:rsidP="00044E15">
      <w:pPr>
        <w:spacing w:after="0" w:line="278" w:lineRule="auto"/>
        <w:ind w:firstLine="708"/>
        <w:jc w:val="both"/>
        <w:rPr>
          <w:rFonts w:ascii="Verdana" w:eastAsia="Aptos" w:hAnsi="Verdana" w:cs="Arial"/>
          <w:kern w:val="2"/>
          <w14:ligatures w14:val="standardContextual"/>
        </w:rPr>
      </w:pPr>
    </w:p>
    <w:p w14:paraId="7F07EA3C" w14:textId="77777777" w:rsidR="00044E15" w:rsidRPr="00044E15" w:rsidRDefault="00044E15" w:rsidP="00044E15">
      <w:pPr>
        <w:suppressAutoHyphens/>
        <w:spacing w:after="120" w:line="276" w:lineRule="auto"/>
        <w:jc w:val="both"/>
        <w:rPr>
          <w:rFonts w:ascii="Verdana" w:eastAsia="Aptos" w:hAnsi="Verdana" w:cs="Arial"/>
          <w:lang w:eastAsia="es-MX"/>
        </w:rPr>
      </w:pPr>
      <w:r w:rsidRPr="00044E15">
        <w:rPr>
          <w:rFonts w:ascii="Verdana" w:eastAsia="Aptos" w:hAnsi="Verdana" w:cs="Arial"/>
          <w:lang w:eastAsia="es-MX"/>
        </w:rPr>
        <w:t>Al margen de la explicación precedente debe advertirse que el análisis requerido para resolver problemas específicos en torno a la gestión contractual de las entidades públicas debe ser realizado por quienes tengan interés en ello, de acuerdo con lo explicado en la aclaración preliminar del presente oficio. De esta manera, las afirmaciones aquí realizadas no pueden ser interpretadas como juicios de valor sobre circunstancias concretas relacionadas con los hechos que motivan la consulta. Por lo anterior, previo concepto de sus asesores, la solución de situaciones particulares corresponde a los interesados adoptar la decisión correspondiente y, en caso de conflicto, a las autoridades judiciales, fiscales y disciplinarias.</w:t>
      </w:r>
    </w:p>
    <w:p w14:paraId="6DB1EEB0" w14:textId="77777777" w:rsidR="00044E15" w:rsidRPr="00044E15" w:rsidRDefault="00044E15" w:rsidP="00044E15">
      <w:pPr>
        <w:suppressAutoHyphens/>
        <w:spacing w:after="120" w:line="276" w:lineRule="auto"/>
        <w:ind w:firstLine="709"/>
        <w:jc w:val="both"/>
        <w:rPr>
          <w:rFonts w:ascii="Verdana" w:eastAsia="Aptos" w:hAnsi="Verdana" w:cs="Arial"/>
          <w:lang w:eastAsia="es-MX"/>
        </w:rPr>
      </w:pPr>
      <w:r w:rsidRPr="00044E15">
        <w:rPr>
          <w:rFonts w:ascii="Verdana" w:eastAsia="Aptos" w:hAnsi="Verdana" w:cs="Arial"/>
          <w:lang w:eastAsia="es-MX"/>
        </w:rPr>
        <w:t>Dentro de este marco, la entidad contratante definirá en cada caso concreto lo relacionado con el tema objeto de consulta. Al tratarse de un análisis que debe realizarse en el procedimiento contractual específico, la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Colombia Compra Eficiente validar sus actuaciones.</w:t>
      </w:r>
    </w:p>
    <w:p w14:paraId="5E1ECF8B" w14:textId="77777777" w:rsidR="00044E15" w:rsidRPr="00044E15" w:rsidRDefault="00044E15" w:rsidP="00044E15">
      <w:pPr>
        <w:spacing w:after="0" w:line="240" w:lineRule="auto"/>
        <w:jc w:val="both"/>
        <w:rPr>
          <w:rFonts w:ascii="Calibri" w:eastAsia="Calibri" w:hAnsi="Calibri" w:cs="Times New Roman"/>
          <w:kern w:val="2"/>
          <w14:ligatures w14:val="standardContextual"/>
        </w:rPr>
      </w:pPr>
    </w:p>
    <w:p w14:paraId="5F0D0034" w14:textId="77777777" w:rsidR="00044E15" w:rsidRPr="00044E15" w:rsidRDefault="00044E15" w:rsidP="00044E15">
      <w:pPr>
        <w:numPr>
          <w:ilvl w:val="0"/>
          <w:numId w:val="18"/>
        </w:numPr>
        <w:tabs>
          <w:tab w:val="left" w:pos="142"/>
          <w:tab w:val="left" w:pos="284"/>
        </w:tabs>
        <w:spacing w:after="0" w:line="276" w:lineRule="auto"/>
        <w:ind w:left="357" w:hanging="357"/>
        <w:jc w:val="both"/>
        <w:rPr>
          <w:rFonts w:ascii="Verdana" w:eastAsia="Century Gothic" w:hAnsi="Verdana" w:cs="Century Gothic"/>
          <w:b/>
          <w:bCs/>
        </w:rPr>
      </w:pPr>
      <w:r w:rsidRPr="00044E15">
        <w:rPr>
          <w:rFonts w:ascii="Verdana" w:eastAsia="Century Gothic" w:hAnsi="Verdana" w:cs="Century Gothic"/>
          <w:b/>
          <w:bCs/>
        </w:rPr>
        <w:t>Referencias normativas, jurisprudenciales y otras fuentes:</w:t>
      </w:r>
    </w:p>
    <w:p w14:paraId="10CDBCA3" w14:textId="77777777" w:rsidR="00044E15" w:rsidRPr="00044E15" w:rsidRDefault="00044E15" w:rsidP="00044E15">
      <w:pPr>
        <w:spacing w:after="0"/>
        <w:ind w:left="-15840"/>
        <w:jc w:val="both"/>
        <w:rPr>
          <w:rFonts w:ascii="Verdana" w:eastAsia="Calibri" w:hAnsi="Verdana" w:cs="Arial"/>
          <w:b/>
          <w:bCs/>
        </w:rPr>
      </w:pPr>
      <w:r w:rsidRPr="00044E15">
        <w:rPr>
          <w:rFonts w:ascii="Verdana" w:eastAsia="Calibri" w:hAnsi="Verdana" w:cs="Arial"/>
          <w:b/>
          <w:bCs/>
        </w:rPr>
        <w:t>4. Referencias normativas, jurisprudenciales y otras fuentes:</w:t>
      </w:r>
    </w:p>
    <w:tbl>
      <w:tblPr>
        <w:tblStyle w:val="Tablaconcuadrcula1"/>
        <w:tblW w:w="8640"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0"/>
      </w:tblGrid>
      <w:tr w:rsidR="00044E15" w:rsidRPr="00044E15" w14:paraId="5DC27FC7" w14:textId="77777777" w:rsidTr="001F4A4B">
        <w:trPr>
          <w:trHeight w:val="870"/>
        </w:trPr>
        <w:tc>
          <w:tcPr>
            <w:tcW w:w="8647" w:type="dxa"/>
            <w:tcBorders>
              <w:top w:val="dotted" w:sz="4" w:space="0" w:color="auto"/>
              <w:left w:val="dotted" w:sz="4" w:space="0" w:color="auto"/>
              <w:bottom w:val="dotted" w:sz="4" w:space="0" w:color="auto"/>
              <w:right w:val="dotted" w:sz="4" w:space="0" w:color="auto"/>
            </w:tcBorders>
          </w:tcPr>
          <w:p w14:paraId="3FCA625A" w14:textId="77777777" w:rsidR="00044E15" w:rsidRPr="00044E15" w:rsidRDefault="00044E15" w:rsidP="00044E15">
            <w:pPr>
              <w:widowControl w:val="0"/>
              <w:numPr>
                <w:ilvl w:val="0"/>
                <w:numId w:val="19"/>
              </w:numPr>
              <w:autoSpaceDE w:val="0"/>
              <w:autoSpaceDN w:val="0"/>
              <w:adjustRightInd w:val="0"/>
              <w:snapToGrid w:val="0"/>
              <w:spacing w:after="120" w:line="276" w:lineRule="auto"/>
              <w:ind w:left="714" w:hanging="357"/>
              <w:jc w:val="both"/>
              <w:rPr>
                <w:rFonts w:ascii="Verdana" w:eastAsia="Calibri" w:hAnsi="Verdana" w:cs="Arial"/>
                <w:lang w:val="es-ES"/>
              </w:rPr>
            </w:pPr>
            <w:r w:rsidRPr="00044E15">
              <w:rPr>
                <w:rFonts w:ascii="Verdana" w:eastAsia="Calibri" w:hAnsi="Verdana" w:cs="Arial"/>
                <w:lang w:val="es-ES"/>
              </w:rPr>
              <w:t xml:space="preserve">Ley 2022 de 2020, artículo 1. </w:t>
            </w:r>
          </w:p>
          <w:p w14:paraId="522BE5D2" w14:textId="77777777" w:rsidR="00044E15" w:rsidRPr="00044E15" w:rsidRDefault="00044E15" w:rsidP="00044E15">
            <w:pPr>
              <w:widowControl w:val="0"/>
              <w:numPr>
                <w:ilvl w:val="0"/>
                <w:numId w:val="19"/>
              </w:numPr>
              <w:autoSpaceDE w:val="0"/>
              <w:autoSpaceDN w:val="0"/>
              <w:adjustRightInd w:val="0"/>
              <w:snapToGrid w:val="0"/>
              <w:spacing w:after="120" w:line="276" w:lineRule="auto"/>
              <w:ind w:left="714" w:hanging="357"/>
              <w:jc w:val="both"/>
              <w:rPr>
                <w:rFonts w:ascii="Verdana" w:eastAsia="Calibri" w:hAnsi="Verdana" w:cs="Arial"/>
                <w:lang w:val="es-ES"/>
              </w:rPr>
            </w:pPr>
            <w:r w:rsidRPr="00044E15">
              <w:rPr>
                <w:rFonts w:ascii="Verdana" w:eastAsia="Calibri" w:hAnsi="Verdana" w:cs="Arial"/>
                <w:lang w:val="es-ES"/>
              </w:rPr>
              <w:t>Ley 80 de 1993, artículo 24, numeral 5.</w:t>
            </w:r>
          </w:p>
          <w:p w14:paraId="791C7BEF" w14:textId="77777777" w:rsidR="00044E15" w:rsidRPr="00044E15" w:rsidRDefault="00044E15" w:rsidP="00044E15">
            <w:pPr>
              <w:widowControl w:val="0"/>
              <w:numPr>
                <w:ilvl w:val="0"/>
                <w:numId w:val="19"/>
              </w:numPr>
              <w:autoSpaceDE w:val="0"/>
              <w:autoSpaceDN w:val="0"/>
              <w:adjustRightInd w:val="0"/>
              <w:snapToGrid w:val="0"/>
              <w:spacing w:after="120" w:line="276" w:lineRule="auto"/>
              <w:ind w:left="714" w:hanging="357"/>
              <w:jc w:val="both"/>
              <w:rPr>
                <w:rFonts w:ascii="Verdana" w:eastAsia="Calibri" w:hAnsi="Verdana" w:cs="Arial"/>
                <w:lang w:val="es-ES"/>
              </w:rPr>
            </w:pPr>
            <w:r w:rsidRPr="00044E15">
              <w:rPr>
                <w:rFonts w:ascii="Verdana" w:eastAsia="Calibri" w:hAnsi="Verdana" w:cs="Arial"/>
                <w:lang w:val="es-ES"/>
              </w:rPr>
              <w:t>Ley 1150 de 2007, artículo 5, numeral 4.</w:t>
            </w:r>
          </w:p>
          <w:p w14:paraId="54CB6713" w14:textId="77777777" w:rsidR="00044E15" w:rsidRPr="00044E15" w:rsidRDefault="00044E15" w:rsidP="00044E15">
            <w:pPr>
              <w:widowControl w:val="0"/>
              <w:numPr>
                <w:ilvl w:val="0"/>
                <w:numId w:val="19"/>
              </w:numPr>
              <w:autoSpaceDE w:val="0"/>
              <w:autoSpaceDN w:val="0"/>
              <w:adjustRightInd w:val="0"/>
              <w:snapToGrid w:val="0"/>
              <w:spacing w:after="120" w:line="276" w:lineRule="auto"/>
              <w:ind w:left="714" w:hanging="357"/>
              <w:jc w:val="both"/>
              <w:rPr>
                <w:rFonts w:ascii="Verdana" w:eastAsia="Calibri" w:hAnsi="Verdana" w:cs="Arial"/>
                <w:lang w:val="es-ES"/>
              </w:rPr>
            </w:pPr>
            <w:r w:rsidRPr="00044E15">
              <w:rPr>
                <w:rFonts w:ascii="Verdana" w:eastAsia="Calibri" w:hAnsi="Verdana" w:cs="Arial"/>
                <w:lang w:val="es-ES"/>
              </w:rPr>
              <w:t>Resolución 326 de 2022 de la Agencia Nacional de Contratación Pública – Colombia Compra Eficiente.</w:t>
            </w:r>
          </w:p>
          <w:p w14:paraId="1A3E2948" w14:textId="77777777" w:rsidR="00044E15" w:rsidRPr="00044E15" w:rsidRDefault="00044E15" w:rsidP="00044E15">
            <w:pPr>
              <w:widowControl w:val="0"/>
              <w:numPr>
                <w:ilvl w:val="0"/>
                <w:numId w:val="17"/>
              </w:numPr>
              <w:autoSpaceDE w:val="0"/>
              <w:autoSpaceDN w:val="0"/>
              <w:adjustRightInd w:val="0"/>
              <w:snapToGrid w:val="0"/>
              <w:spacing w:line="276" w:lineRule="auto"/>
              <w:ind w:left="714" w:hanging="357"/>
              <w:jc w:val="both"/>
              <w:rPr>
                <w:rFonts w:ascii="Verdana" w:eastAsia="Calibri" w:hAnsi="Verdana" w:cs="Arial"/>
              </w:rPr>
            </w:pPr>
            <w:r w:rsidRPr="00044E15">
              <w:rPr>
                <w:rFonts w:ascii="Verdana" w:eastAsia="Calibri" w:hAnsi="Verdana" w:cs="Arial"/>
              </w:rPr>
              <w:lastRenderedPageBreak/>
              <w:t xml:space="preserve">Documentos tipo de concurso de méritos para contratar la interventoría de obra pública de infraestructura de transporte – versión 2. Disponibles en: </w:t>
            </w:r>
            <w:hyperlink r:id="rId13" w:history="1">
              <w:r w:rsidRPr="00044E15">
                <w:rPr>
                  <w:rFonts w:ascii="Verdana" w:eastAsia="Calibri" w:hAnsi="Verdana" w:cs="Arial"/>
                  <w:color w:val="0000FF"/>
                  <w:u w:val="single"/>
                </w:rPr>
                <w:t>https://www.colombiacompra.gov.co/normativa-y-relatoria/documentos-tipo</w:t>
              </w:r>
            </w:hyperlink>
            <w:r w:rsidRPr="00044E15">
              <w:rPr>
                <w:rFonts w:ascii="Verdana" w:eastAsia="Calibri" w:hAnsi="Verdana" w:cs="Arial"/>
              </w:rPr>
              <w:t xml:space="preserve">. </w:t>
            </w:r>
          </w:p>
        </w:tc>
      </w:tr>
    </w:tbl>
    <w:p w14:paraId="09ACE038" w14:textId="77777777" w:rsidR="00044E15" w:rsidRPr="00044E15" w:rsidRDefault="00044E15" w:rsidP="00044E15">
      <w:pPr>
        <w:tabs>
          <w:tab w:val="left" w:pos="142"/>
          <w:tab w:val="left" w:pos="284"/>
        </w:tabs>
        <w:spacing w:after="0" w:line="276" w:lineRule="auto"/>
        <w:jc w:val="both"/>
        <w:rPr>
          <w:rFonts w:ascii="Verdana" w:eastAsia="Calibri" w:hAnsi="Verdana" w:cs="Arial"/>
        </w:rPr>
      </w:pPr>
    </w:p>
    <w:p w14:paraId="48227F89" w14:textId="77777777" w:rsidR="00044E15" w:rsidRPr="00044E15" w:rsidRDefault="00044E15" w:rsidP="00044E15">
      <w:pPr>
        <w:numPr>
          <w:ilvl w:val="0"/>
          <w:numId w:val="18"/>
        </w:numPr>
        <w:tabs>
          <w:tab w:val="left" w:pos="142"/>
          <w:tab w:val="left" w:pos="284"/>
        </w:tabs>
        <w:spacing w:after="0" w:line="276" w:lineRule="auto"/>
        <w:contextualSpacing/>
        <w:jc w:val="both"/>
        <w:rPr>
          <w:rFonts w:ascii="Verdana" w:eastAsia="Century Gothic" w:hAnsi="Verdana" w:cs="Century Gothic"/>
          <w:b/>
          <w:bCs/>
        </w:rPr>
      </w:pPr>
      <w:r w:rsidRPr="00044E15">
        <w:rPr>
          <w:rFonts w:ascii="Verdana" w:eastAsia="Century Gothic" w:hAnsi="Verdana" w:cs="Century Gothic"/>
          <w:b/>
          <w:bCs/>
        </w:rPr>
        <w:t>Doctrina de la Agencia Nacional de Contratación Pública:</w:t>
      </w:r>
    </w:p>
    <w:p w14:paraId="6E8397A3" w14:textId="77777777" w:rsidR="00044E15" w:rsidRPr="00044E15" w:rsidRDefault="00044E15" w:rsidP="00044E15">
      <w:pPr>
        <w:widowControl w:val="0"/>
        <w:autoSpaceDE w:val="0"/>
        <w:autoSpaceDN w:val="0"/>
        <w:spacing w:after="0" w:line="276" w:lineRule="auto"/>
        <w:jc w:val="both"/>
        <w:rPr>
          <w:rFonts w:ascii="Verdana" w:eastAsia="Calibri" w:hAnsi="Verdana" w:cs="Arial"/>
        </w:rPr>
      </w:pPr>
    </w:p>
    <w:p w14:paraId="495D457F" w14:textId="77777777" w:rsidR="00044E15" w:rsidRPr="00044E15" w:rsidRDefault="00044E15" w:rsidP="00044E15">
      <w:pPr>
        <w:spacing w:after="0" w:line="276" w:lineRule="auto"/>
        <w:jc w:val="both"/>
        <w:textAlignment w:val="baseline"/>
        <w:rPr>
          <w:rFonts w:ascii="Verdana" w:eastAsia="Calibri" w:hAnsi="Verdana" w:cs="Arial"/>
          <w:shd w:val="clear" w:color="auto" w:fill="FFFFFF"/>
          <w:lang w:val="es-ES"/>
        </w:rPr>
      </w:pPr>
      <w:r w:rsidRPr="00044E15">
        <w:rPr>
          <w:rFonts w:ascii="Verdana" w:eastAsia="Times New Roman" w:hAnsi="Verdana" w:cs="Arial"/>
          <w:color w:val="000000"/>
          <w:lang w:val="es-ES_tradnl" w:eastAsia="es-ES_tradnl"/>
        </w:rPr>
        <w:t>La Agencia Nacional de Contratación Pública – Colombia Compra Eficiente se pronunció sobre la validez de la experiencia del equipo de trabajo y del personal clave evaluable, en los conceptos C-124 del 25 de marzo de 2020, C-406 y C-477 del 13 de julio de 2020, C-612 del 2 de octubre de 2020, C-761 del 5 de enero de 2021, C- 297 del 17 de junio de 2021, C-339 del 14 de junio de 2021, C-367 del 26 de julio de 2021, C-408 del 13 de agosto de 2021,C-739 del 2 de febrero de 2022, C–005 de  21 de febrero  2023, C-481  del 09 de octubre de 2024, C-162 del 20 de marzo de 2025, C-463 del 22 de mayo de 2025 y C-1160 del 23 de septiembre de 2025</w:t>
      </w:r>
      <w:r w:rsidRPr="00044E15">
        <w:rPr>
          <w:rFonts w:ascii="Verdana" w:eastAsia="Calibri" w:hAnsi="Verdana" w:cs="Arial"/>
          <w:shd w:val="clear" w:color="auto" w:fill="FFFFFF"/>
        </w:rPr>
        <w:t>.</w:t>
      </w:r>
      <w:bookmarkEnd w:id="0"/>
      <w:r w:rsidRPr="00044E15">
        <w:rPr>
          <w:rFonts w:ascii="Verdana" w:eastAsia="Calibri" w:hAnsi="Verdana" w:cs="Arial"/>
          <w:shd w:val="clear" w:color="auto" w:fill="FFFFFF"/>
        </w:rPr>
        <w:t xml:space="preserve"> </w:t>
      </w:r>
    </w:p>
    <w:p w14:paraId="1A3FE797" w14:textId="77777777" w:rsidR="00044E15" w:rsidRPr="00044E15" w:rsidRDefault="00044E15" w:rsidP="00044E15">
      <w:pPr>
        <w:spacing w:after="0" w:line="276" w:lineRule="auto"/>
        <w:jc w:val="both"/>
        <w:textAlignment w:val="baseline"/>
        <w:rPr>
          <w:rFonts w:ascii="Verdana" w:eastAsia="Calibri" w:hAnsi="Verdana" w:cs="Arial"/>
          <w:shd w:val="clear" w:color="auto" w:fill="FFFFFF"/>
          <w:lang w:val="es-ES"/>
        </w:rPr>
      </w:pPr>
    </w:p>
    <w:p w14:paraId="20A44627" w14:textId="77777777" w:rsidR="00044E15" w:rsidRPr="00044E15" w:rsidRDefault="00044E15" w:rsidP="00044E15">
      <w:pPr>
        <w:spacing w:after="0" w:line="276" w:lineRule="auto"/>
        <w:jc w:val="both"/>
        <w:rPr>
          <w:rFonts w:ascii="Verdana" w:eastAsia="Aptos" w:hAnsi="Verdana" w:cs="Times New Roman"/>
          <w:kern w:val="2"/>
          <w14:ligatures w14:val="standardContextual"/>
        </w:rPr>
      </w:pPr>
      <w:r w:rsidRPr="00044E15">
        <w:rPr>
          <w:rFonts w:ascii="Verdana" w:eastAsia="Aptos" w:hAnsi="Verdana" w:cs="Times New Roman"/>
          <w:color w:val="000000"/>
          <w:kern w:val="2"/>
          <w14:ligatures w14:val="standardContextual"/>
        </w:rPr>
        <w:t>Las garantías no son un requisito formal: son el instrumento con el que se protege el patrimonio público frente a los riesgos del contrato. Por ello, la Agencia Nacional de Contratación Pública –Colombia Compra Eficiente– te invita a consultar la nueva versión de la </w:t>
      </w:r>
      <w:r w:rsidRPr="00044E15">
        <w:rPr>
          <w:rFonts w:ascii="Verdana" w:eastAsia="Aptos" w:hAnsi="Verdana" w:cs="Times New Roman"/>
          <w:b/>
          <w:bCs/>
          <w:color w:val="000000"/>
          <w:kern w:val="2"/>
          <w14:ligatures w14:val="standardContextual"/>
        </w:rPr>
        <w:t>Guía para la Exigencia y Constitución de Garantías en los Procesos de Contratación</w:t>
      </w:r>
      <w:r w:rsidRPr="00044E15">
        <w:rPr>
          <w:rFonts w:ascii="Verdana" w:eastAsia="Aptos" w:hAnsi="Verdana" w:cs="Times New Roman"/>
          <w:color w:val="000000"/>
          <w:kern w:val="2"/>
          <w14:ligatures w14:val="standardContextual"/>
        </w:rPr>
        <w:t>, dirigida a las entidades sometidas al EGCAP y a las de regímenes exceptuados, así como a proveedores y órganos de control. Encontrarás orientaciones sobre las clases de garantías admisibles, la correspondencia entre riesgos asignados y amparos exigidos, su suficiencia y vigencia, y el procedimiento para hacerlas efectivas. Consúltala aquí: </w:t>
      </w:r>
      <w:hyperlink r:id="rId14" w:tooltip="https://nam02.safelinks.protection.outlook.com/?url=https%3A%2F%2Fwww.colombiacompra.gov.co%2Farchivos%2Fmanual%2Fguia-de-garantias-en-procesos-de-contratacion&amp;data=05%7C02%7Ccarlos.castrillon%40colombiacompra.gov.co%7C7128555136e04fa6887d08dee99e1b50%7C7b0904" w:history="1">
        <w:r w:rsidRPr="00044E15">
          <w:rPr>
            <w:rFonts w:ascii="Verdana" w:eastAsia="Aptos" w:hAnsi="Verdana" w:cs="Times New Roman"/>
            <w:color w:val="0078D7"/>
            <w:kern w:val="2"/>
            <w:u w:val="single"/>
            <w14:ligatures w14:val="standardContextual"/>
          </w:rPr>
          <w:t>https://www.colombiacompra.gov.co/archivos/manual/guia-de-garantias-en-procesos-de-contratacion</w:t>
        </w:r>
      </w:hyperlink>
    </w:p>
    <w:p w14:paraId="592405C8" w14:textId="77777777" w:rsidR="00044E15" w:rsidRPr="00044E15" w:rsidRDefault="00044E15" w:rsidP="00044E15">
      <w:pPr>
        <w:spacing w:after="0" w:line="276" w:lineRule="auto"/>
        <w:jc w:val="both"/>
        <w:rPr>
          <w:rFonts w:ascii="Verdana" w:eastAsia="Aptos" w:hAnsi="Verdana" w:cs="Times New Roman"/>
          <w:kern w:val="2"/>
          <w14:ligatures w14:val="standardContextual"/>
        </w:rPr>
      </w:pPr>
    </w:p>
    <w:p w14:paraId="55FEABA9" w14:textId="77777777" w:rsidR="00044E15" w:rsidRPr="00044E15" w:rsidRDefault="00044E15" w:rsidP="00044E15">
      <w:pPr>
        <w:spacing w:after="0" w:line="276" w:lineRule="auto"/>
        <w:jc w:val="both"/>
        <w:rPr>
          <w:rFonts w:ascii="Verdana" w:eastAsia="Aptos" w:hAnsi="Verdana" w:cs="Times New Roman"/>
          <w:kern w:val="2"/>
          <w14:ligatures w14:val="standardContextual"/>
        </w:rPr>
      </w:pPr>
      <w:r w:rsidRPr="00044E15">
        <w:rPr>
          <w:rFonts w:ascii="Verdana" w:eastAsia="Aptos" w:hAnsi="Verdana" w:cs="Times New Roman"/>
          <w:color w:val="000000"/>
          <w:kern w:val="2"/>
          <w14:ligatures w14:val="standardContextual"/>
        </w:rPr>
        <w:t>De otro lado, te contamos que el Decreto 287 del 19 de marzo de 2026 sustituyó los artículos 2.2.1.2.4.2.6., 2.2.1.2.4.2.7. y 2.2.1.2.4.2.8. del Decreto 1082 de 2015 y estructuró el </w:t>
      </w:r>
      <w:r w:rsidRPr="00044E15">
        <w:rPr>
          <w:rFonts w:ascii="Verdana" w:eastAsia="Aptos" w:hAnsi="Verdana" w:cs="Times New Roman"/>
          <w:b/>
          <w:bCs/>
          <w:color w:val="000000"/>
          <w:kern w:val="2"/>
          <w14:ligatures w14:val="standardContextual"/>
        </w:rPr>
        <w:t>Sistema Integral de Preferencias en favor de las personas con discapacidad</w:t>
      </w:r>
      <w:r w:rsidRPr="00044E15">
        <w:rPr>
          <w:rFonts w:ascii="Verdana" w:eastAsia="Aptos" w:hAnsi="Verdana" w:cs="Times New Roman"/>
          <w:color w:val="000000"/>
          <w:kern w:val="2"/>
          <w14:ligatures w14:val="standardContextual"/>
        </w:rPr>
        <w:t>, en cumplimiento del artículo 13 de la Ley Estatutaria 1618 de 2013. Para orientar su aplicación, esta Agencia expidió la </w:t>
      </w:r>
      <w:r w:rsidRPr="00044E15">
        <w:rPr>
          <w:rFonts w:ascii="Verdana" w:eastAsia="Aptos" w:hAnsi="Verdana" w:cs="Times New Roman"/>
          <w:b/>
          <w:bCs/>
          <w:color w:val="000000"/>
          <w:kern w:val="2"/>
          <w14:ligatures w14:val="standardContextual"/>
        </w:rPr>
        <w:t>Circular Externa 003 del 12 de mayo de 2026,</w:t>
      </w:r>
      <w:r w:rsidRPr="00044E15">
        <w:rPr>
          <w:rFonts w:ascii="Verdana" w:eastAsia="Aptos" w:hAnsi="Verdana" w:cs="Times New Roman"/>
          <w:color w:val="000000"/>
          <w:kern w:val="2"/>
          <w14:ligatures w14:val="standardContextual"/>
        </w:rPr>
        <w:t xml:space="preserve"> en la que precisa quiénes </w:t>
      </w:r>
      <w:r w:rsidRPr="00044E15">
        <w:rPr>
          <w:rFonts w:ascii="Verdana" w:eastAsia="Aptos" w:hAnsi="Verdana" w:cs="Times New Roman"/>
          <w:color w:val="000000"/>
          <w:kern w:val="2"/>
          <w14:ligatures w14:val="standardContextual"/>
        </w:rPr>
        <w:lastRenderedPageBreak/>
        <w:t>son los beneficiarios, las cinco medidas que integran el sistema y su obligatoriedad según la modalidad de selección, y el régimen de transición aplicable a los procesos en curso. Consúltala aquí: </w:t>
      </w:r>
      <w:hyperlink r:id="rId15" w:tooltip="https://nam02.safelinks.protection.outlook.com/?url=https%3A%2F%2Fwww.colombiacompra.gov.co%2Farchivos%2Fcircular%2Fcircular-externa-003-de-2026&amp;data=05%7C02%7Ccarlos.castrillon%40colombiacompra.gov.co%7C7128555136e04fa6887d08dee99e1b50%7C7b09041e245149d08cb17" w:history="1">
        <w:r w:rsidRPr="00044E15">
          <w:rPr>
            <w:rFonts w:ascii="Verdana" w:eastAsia="Aptos" w:hAnsi="Verdana" w:cs="Times New Roman"/>
            <w:color w:val="0078D7"/>
            <w:kern w:val="2"/>
            <w:u w:val="single"/>
            <w14:ligatures w14:val="standardContextual"/>
          </w:rPr>
          <w:t>https://www.colombiacompra.gov.co/archivos/circular/circular-externa-003-de-2026</w:t>
        </w:r>
      </w:hyperlink>
    </w:p>
    <w:p w14:paraId="260C62B7" w14:textId="77777777" w:rsidR="00044E15" w:rsidRPr="00044E15" w:rsidRDefault="00044E15" w:rsidP="00044E15">
      <w:pPr>
        <w:spacing w:after="0" w:line="276" w:lineRule="auto"/>
        <w:jc w:val="both"/>
        <w:rPr>
          <w:rFonts w:ascii="Verdana" w:eastAsia="Aptos" w:hAnsi="Verdana" w:cs="Times New Roman"/>
          <w:color w:val="000000"/>
          <w:kern w:val="2"/>
          <w14:ligatures w14:val="standardContextual"/>
        </w:rPr>
      </w:pPr>
    </w:p>
    <w:p w14:paraId="4433C4AC" w14:textId="77777777" w:rsidR="00044E15" w:rsidRPr="00044E15" w:rsidRDefault="00044E15" w:rsidP="00044E15">
      <w:pPr>
        <w:spacing w:after="0" w:line="276" w:lineRule="auto"/>
        <w:jc w:val="both"/>
        <w:rPr>
          <w:rFonts w:ascii="Verdana" w:eastAsia="Aptos" w:hAnsi="Verdana" w:cs="Times New Roman"/>
          <w:kern w:val="2"/>
          <w14:ligatures w14:val="standardContextual"/>
        </w:rPr>
      </w:pPr>
      <w:r w:rsidRPr="00044E15">
        <w:rPr>
          <w:rFonts w:ascii="Verdana" w:eastAsia="Aptos" w:hAnsi="Verdana" w:cs="Times New Roman"/>
          <w:color w:val="000000"/>
          <w:kern w:val="2"/>
          <w14:ligatures w14:val="standardContextual"/>
        </w:rPr>
        <w:t>Recuerda también que la </w:t>
      </w:r>
      <w:r w:rsidRPr="00044E15">
        <w:rPr>
          <w:rFonts w:ascii="Verdana" w:eastAsia="Aptos" w:hAnsi="Verdana" w:cs="Times New Roman"/>
          <w:b/>
          <w:bCs/>
          <w:color w:val="000000"/>
          <w:kern w:val="2"/>
          <w14:ligatures w14:val="standardContextual"/>
        </w:rPr>
        <w:t>información sobre sanciones e inhabilidades</w:t>
      </w:r>
      <w:r w:rsidRPr="00044E15">
        <w:rPr>
          <w:rFonts w:ascii="Verdana" w:eastAsia="Aptos" w:hAnsi="Verdana" w:cs="Times New Roman"/>
          <w:color w:val="000000"/>
          <w:kern w:val="2"/>
          <w14:ligatures w14:val="standardContextual"/>
        </w:rPr>
        <w:t> solo cumple su función preventiva si llega oportunamente a los registros públicos. Sobre este deber, esta Agencia expidió la </w:t>
      </w:r>
      <w:r w:rsidRPr="00044E15">
        <w:rPr>
          <w:rFonts w:ascii="Verdana" w:eastAsia="Aptos" w:hAnsi="Verdana" w:cs="Times New Roman"/>
          <w:b/>
          <w:bCs/>
          <w:color w:val="000000"/>
          <w:kern w:val="2"/>
          <w14:ligatures w14:val="standardContextual"/>
        </w:rPr>
        <w:t>Circular Externa 002 del 5 de mayo de 2026,</w:t>
      </w:r>
      <w:r w:rsidRPr="00044E15">
        <w:rPr>
          <w:rFonts w:ascii="Verdana" w:eastAsia="Aptos" w:hAnsi="Verdana" w:cs="Times New Roman"/>
          <w:color w:val="000000"/>
          <w:kern w:val="2"/>
          <w14:ligatures w14:val="standardContextual"/>
        </w:rPr>
        <w:t> dirigida a todas las entidades del Estado sin distinción de su régimen contractual, en la que reitera la obligatoriedad de reportar caducidades, multas, sanciones, declaratorias de incumplimiento e inhabilidades ante las Cámaras de Comercio, la Procuraduría General de la Nación y el SECOP, e indica los responsables, los portales dispuestos para el efecto y las consecuencias disciplinarias de omitir este deber. Consúltala aquí: </w:t>
      </w:r>
      <w:hyperlink r:id="rId16" w:tooltip="https://nam02.safelinks.protection.outlook.com/?url=https%3A%2F%2Fwww.colombiacompra.gov.co%2Farchivos%2Fcircular%2Fcircular-externa-002-de-2026&amp;data=05%7C02%7Ccarlos.castrillon%40colombiacompra.gov.co%7C7128555136e04fa6887d08dee99e1b50%7C7b09041e245149d08cb17" w:history="1">
        <w:r w:rsidRPr="00044E15">
          <w:rPr>
            <w:rFonts w:ascii="Verdana" w:eastAsia="Aptos" w:hAnsi="Verdana" w:cs="Times New Roman"/>
            <w:color w:val="0078D7"/>
            <w:kern w:val="2"/>
            <w:u w:val="single"/>
            <w14:ligatures w14:val="standardContextual"/>
          </w:rPr>
          <w:t>https://www.colombiacompra.gov.co/archivos/circular/circular-externa-002-de-2026</w:t>
        </w:r>
      </w:hyperlink>
    </w:p>
    <w:p w14:paraId="110CCB2F" w14:textId="77777777" w:rsidR="00044E15" w:rsidRPr="00044E15" w:rsidRDefault="00044E15" w:rsidP="00044E15">
      <w:pPr>
        <w:spacing w:after="0" w:line="276" w:lineRule="auto"/>
        <w:jc w:val="both"/>
        <w:rPr>
          <w:rFonts w:ascii="Verdana" w:eastAsia="Aptos" w:hAnsi="Verdana" w:cs="Times New Roman"/>
          <w:color w:val="000000"/>
          <w:kern w:val="2"/>
          <w14:ligatures w14:val="standardContextual"/>
        </w:rPr>
      </w:pPr>
    </w:p>
    <w:p w14:paraId="32DB959A" w14:textId="77777777" w:rsidR="00044E15" w:rsidRPr="00044E15" w:rsidRDefault="00044E15" w:rsidP="00044E15">
      <w:pPr>
        <w:spacing w:after="0" w:line="276" w:lineRule="auto"/>
        <w:jc w:val="both"/>
        <w:rPr>
          <w:rFonts w:ascii="Verdana" w:eastAsia="Aptos" w:hAnsi="Verdana" w:cs="Times New Roman"/>
          <w:color w:val="000000"/>
          <w:kern w:val="2"/>
          <w14:ligatures w14:val="standardContextual"/>
        </w:rPr>
      </w:pPr>
      <w:r w:rsidRPr="00044E15">
        <w:rPr>
          <w:rFonts w:ascii="Verdana" w:eastAsia="Aptos" w:hAnsi="Verdana" w:cs="Times New Roman"/>
          <w:color w:val="000000"/>
          <w:kern w:val="2"/>
          <w14:ligatures w14:val="standardContextual"/>
        </w:rPr>
        <w:t>Finalmente, si quieres seguir de cerca la actividad de la Agencia, la tercera edición de 2026 del </w:t>
      </w:r>
      <w:r w:rsidRPr="00044E15">
        <w:rPr>
          <w:rFonts w:ascii="Verdana" w:eastAsia="Aptos" w:hAnsi="Verdana" w:cs="Times New Roman"/>
          <w:b/>
          <w:bCs/>
          <w:color w:val="000000"/>
          <w:kern w:val="2"/>
          <w14:ligatures w14:val="standardContextual"/>
        </w:rPr>
        <w:t>Radar de la Compra Pública</w:t>
      </w:r>
      <w:r w:rsidRPr="00044E15">
        <w:rPr>
          <w:rFonts w:ascii="Verdana" w:eastAsia="Aptos" w:hAnsi="Verdana" w:cs="Times New Roman"/>
          <w:color w:val="000000"/>
          <w:kern w:val="2"/>
          <w14:ligatures w14:val="standardContextual"/>
        </w:rPr>
        <w:t> reúne, entre otros contenidos, la Circular Externa 003 de 2026, el Decreto 552 de 2026, un estudio sobre inteligencia artificial en la compra pública, los avances de la Relatoría, análisis jurisprudencial, conceptos jurídicos destacados y la oferta de la Escuela Virtual ANCP-CCE. Descárgalo aquí: </w:t>
      </w:r>
      <w:hyperlink r:id="rId17" w:tooltip="https://nam02.safelinks.protection.outlook.com/?url=https%3A%2F%2Fwww.colombiacompra.gov.co%2Farchivos%2Fboletin%2Fboletin-edicion-n-3-de-2026-radar-de-la-compra-publica&amp;data=05%7C02%7Ccarlos.castrillon%40colombiacompra.gov.co%7C7128555136e04fa6887d08dee99e1b5" w:history="1">
        <w:r w:rsidRPr="00044E15">
          <w:rPr>
            <w:rFonts w:ascii="Verdana" w:eastAsia="Aptos" w:hAnsi="Verdana" w:cs="Times New Roman"/>
            <w:color w:val="0078D7"/>
            <w:kern w:val="2"/>
            <w:u w:val="single"/>
            <w14:ligatures w14:val="standardContextual"/>
          </w:rPr>
          <w:t>https://www.colombiacompra.gov.co/archivos/boletin/boletin-edicion-n-3-de-2026-radar-de-la-compra-publica</w:t>
        </w:r>
      </w:hyperlink>
      <w:r w:rsidRPr="00044E15">
        <w:rPr>
          <w:rFonts w:ascii="Verdana" w:eastAsia="Aptos" w:hAnsi="Verdana" w:cs="Times New Roman"/>
          <w:color w:val="000000"/>
          <w:kern w:val="2"/>
          <w14:ligatures w14:val="standardContextual"/>
        </w:rPr>
        <w:t>"</w:t>
      </w:r>
    </w:p>
    <w:p w14:paraId="2D071262" w14:textId="77777777" w:rsidR="00044E15" w:rsidRPr="00044E15" w:rsidRDefault="00044E15" w:rsidP="00044E15">
      <w:pPr>
        <w:spacing w:after="0" w:line="276" w:lineRule="auto"/>
        <w:jc w:val="both"/>
        <w:rPr>
          <w:rFonts w:ascii="Verdana" w:eastAsia="Aptos" w:hAnsi="Verdana" w:cs="Times New Roman"/>
          <w:color w:val="000000"/>
          <w:kern w:val="2"/>
          <w14:ligatures w14:val="standardContextual"/>
        </w:rPr>
      </w:pPr>
    </w:p>
    <w:p w14:paraId="0359007D" w14:textId="77777777" w:rsidR="00044E15" w:rsidRPr="00044E15" w:rsidRDefault="00044E15" w:rsidP="00044E15">
      <w:pPr>
        <w:spacing w:after="0" w:line="240" w:lineRule="auto"/>
        <w:jc w:val="both"/>
        <w:rPr>
          <w:rFonts w:ascii="Verdana" w:eastAsia="Aptos" w:hAnsi="Verdana" w:cs="Times New Roman"/>
          <w:kern w:val="2"/>
          <w:lang w:eastAsia="es-MX"/>
          <w14:ligatures w14:val="standardContextual"/>
        </w:rPr>
      </w:pPr>
      <w:r w:rsidRPr="00044E15">
        <w:rPr>
          <w:rFonts w:ascii="Verdana" w:eastAsia="Aptos" w:hAnsi="Verdana" w:cs="Times New Roman"/>
          <w:kern w:val="2"/>
          <w:lang w:eastAsia="es-MX"/>
          <w14:ligatures w14:val="standardContextual"/>
        </w:rPr>
        <w:t xml:space="preserve">Por último, lo invitamos a seguirnos en las redes sociales en las cuales se difunde información institucional: </w:t>
      </w:r>
    </w:p>
    <w:p w14:paraId="08746872" w14:textId="77777777" w:rsidR="00044E15" w:rsidRPr="00044E15" w:rsidRDefault="00044E15" w:rsidP="00044E15">
      <w:pPr>
        <w:spacing w:after="0" w:line="240" w:lineRule="auto"/>
        <w:jc w:val="both"/>
        <w:rPr>
          <w:rFonts w:ascii="Verdana" w:eastAsia="Calibri" w:hAnsi="Verdana" w:cs="Times New Roman"/>
          <w:kern w:val="2"/>
          <w:lang w:eastAsia="es-MX"/>
          <w14:ligatures w14:val="standardContextual"/>
        </w:rPr>
      </w:pPr>
    </w:p>
    <w:p w14:paraId="74D79741" w14:textId="77777777" w:rsidR="00044E15" w:rsidRPr="00044E15" w:rsidRDefault="00044E15" w:rsidP="00044E15">
      <w:pPr>
        <w:spacing w:after="0" w:line="240" w:lineRule="auto"/>
        <w:jc w:val="both"/>
        <w:rPr>
          <w:rFonts w:ascii="Verdana" w:eastAsia="Aptos" w:hAnsi="Verdana" w:cs="Times New Roman"/>
          <w:kern w:val="2"/>
          <w:lang w:eastAsia="es-MX"/>
          <w14:ligatures w14:val="standardContextual"/>
        </w:rPr>
      </w:pPr>
      <w:r w:rsidRPr="00044E15">
        <w:rPr>
          <w:rFonts w:ascii="Verdana" w:eastAsia="Aptos" w:hAnsi="Verdana" w:cs="Times New Roman"/>
          <w:kern w:val="2"/>
          <w:lang w:eastAsia="es-MX"/>
          <w14:ligatures w14:val="standardContextual"/>
        </w:rPr>
        <w:t xml:space="preserve">Twitter: </w:t>
      </w:r>
      <w:r w:rsidRPr="00044E15">
        <w:rPr>
          <w:rFonts w:ascii="Verdana" w:eastAsia="Calibri" w:hAnsi="Verdana" w:cs="Times New Roman"/>
          <w:color w:val="156082"/>
          <w:kern w:val="2"/>
          <w:u w:val="single"/>
          <w:lang w:eastAsia="es-MX"/>
          <w14:ligatures w14:val="standardContextual"/>
        </w:rPr>
        <w:t>@colombiacompra</w:t>
      </w:r>
      <w:r w:rsidRPr="00044E15">
        <w:rPr>
          <w:rFonts w:ascii="Verdana" w:eastAsia="Calibri" w:hAnsi="Verdana" w:cs="Times New Roman"/>
          <w:color w:val="156082"/>
          <w:kern w:val="2"/>
          <w:lang w:eastAsia="es-MX"/>
          <w14:ligatures w14:val="standardContextual"/>
        </w:rPr>
        <w:t xml:space="preserve"> </w:t>
      </w:r>
    </w:p>
    <w:p w14:paraId="0DD2A183" w14:textId="77777777" w:rsidR="00044E15" w:rsidRPr="00044E15" w:rsidRDefault="00044E15" w:rsidP="00044E15">
      <w:pPr>
        <w:spacing w:after="0" w:line="240" w:lineRule="auto"/>
        <w:jc w:val="both"/>
        <w:rPr>
          <w:rFonts w:ascii="Verdana" w:eastAsia="Aptos" w:hAnsi="Verdana" w:cs="Times New Roman"/>
          <w:kern w:val="2"/>
          <w:lang w:eastAsia="es-MX"/>
          <w14:ligatures w14:val="standardContextual"/>
        </w:rPr>
      </w:pPr>
      <w:r w:rsidRPr="00044E15">
        <w:rPr>
          <w:rFonts w:ascii="Verdana" w:eastAsia="Aptos" w:hAnsi="Verdana" w:cs="Times New Roman"/>
          <w:kern w:val="2"/>
          <w:lang w:eastAsia="es-MX"/>
          <w14:ligatures w14:val="standardContextual"/>
        </w:rPr>
        <w:t xml:space="preserve">Facebook: </w:t>
      </w:r>
      <w:proofErr w:type="spellStart"/>
      <w:r w:rsidRPr="00044E15">
        <w:rPr>
          <w:rFonts w:ascii="Verdana" w:eastAsia="Calibri" w:hAnsi="Verdana" w:cs="Times New Roman"/>
          <w:color w:val="156082"/>
          <w:kern w:val="2"/>
          <w:u w:val="single"/>
          <w:lang w:eastAsia="es-MX"/>
          <w14:ligatures w14:val="standardContextual"/>
        </w:rPr>
        <w:t>ColombiaCompraEficiente</w:t>
      </w:r>
      <w:proofErr w:type="spellEnd"/>
    </w:p>
    <w:p w14:paraId="648ACCAB" w14:textId="77777777" w:rsidR="00044E15" w:rsidRPr="00044E15" w:rsidRDefault="00044E15" w:rsidP="00044E15">
      <w:pPr>
        <w:spacing w:after="0" w:line="240" w:lineRule="auto"/>
        <w:jc w:val="both"/>
        <w:rPr>
          <w:rFonts w:ascii="Verdana" w:eastAsia="Aptos" w:hAnsi="Verdana" w:cs="Times New Roman"/>
          <w:kern w:val="2"/>
          <w:lang w:eastAsia="es-MX"/>
          <w14:ligatures w14:val="standardContextual"/>
        </w:rPr>
      </w:pPr>
      <w:r w:rsidRPr="00044E15">
        <w:rPr>
          <w:rFonts w:ascii="Verdana" w:eastAsia="Aptos" w:hAnsi="Verdana" w:cs="Times New Roman"/>
          <w:kern w:val="2"/>
          <w:lang w:eastAsia="es-MX"/>
          <w14:ligatures w14:val="standardContextual"/>
        </w:rPr>
        <w:t xml:space="preserve">LinkedIn: </w:t>
      </w:r>
      <w:r w:rsidRPr="00044E15">
        <w:rPr>
          <w:rFonts w:ascii="Verdana" w:eastAsia="Calibri" w:hAnsi="Verdana" w:cs="Times New Roman"/>
          <w:color w:val="156082"/>
          <w:kern w:val="2"/>
          <w:u w:val="single"/>
          <w:lang w:eastAsia="es-MX"/>
          <w14:ligatures w14:val="standardContextual"/>
        </w:rPr>
        <w:t>Agencia Nacional de Contratación Pública - Colombia Compra Eficiente</w:t>
      </w:r>
      <w:r w:rsidRPr="00044E15">
        <w:rPr>
          <w:rFonts w:ascii="Verdana" w:eastAsia="Calibri" w:hAnsi="Verdana" w:cs="Times New Roman"/>
          <w:color w:val="156082"/>
          <w:kern w:val="2"/>
          <w:lang w:eastAsia="es-MX"/>
          <w14:ligatures w14:val="standardContextual"/>
        </w:rPr>
        <w:t xml:space="preserve"> </w:t>
      </w:r>
      <w:r w:rsidRPr="00044E15">
        <w:rPr>
          <w:rFonts w:ascii="Verdana" w:eastAsia="Aptos" w:hAnsi="Verdana" w:cs="Times New Roman"/>
          <w:kern w:val="2"/>
          <w:lang w:eastAsia="es-MX"/>
          <w14:ligatures w14:val="standardContextual"/>
        </w:rPr>
        <w:t xml:space="preserve">Instagram: </w:t>
      </w:r>
      <w:r w:rsidRPr="00044E15">
        <w:rPr>
          <w:rFonts w:ascii="Verdana" w:eastAsia="Calibri" w:hAnsi="Verdana" w:cs="Times New Roman"/>
          <w:color w:val="156082"/>
          <w:kern w:val="2"/>
          <w:u w:val="single"/>
          <w:lang w:eastAsia="es-MX"/>
          <w14:ligatures w14:val="standardContextual"/>
        </w:rPr>
        <w:t>@colombiacompraeficiente_cce</w:t>
      </w:r>
    </w:p>
    <w:p w14:paraId="3BDAB129" w14:textId="77777777" w:rsidR="00044E15" w:rsidRPr="00044E15" w:rsidRDefault="00044E15" w:rsidP="00044E15">
      <w:pPr>
        <w:spacing w:after="0" w:line="276" w:lineRule="auto"/>
        <w:jc w:val="both"/>
        <w:rPr>
          <w:rFonts w:ascii="Verdana" w:eastAsia="Aptos" w:hAnsi="Verdana" w:cs="Times New Roman"/>
          <w:kern w:val="2"/>
          <w:lang w:eastAsia="es-MX"/>
          <w14:ligatures w14:val="standardContextual"/>
        </w:rPr>
      </w:pPr>
    </w:p>
    <w:p w14:paraId="4FCB4118" w14:textId="77777777" w:rsidR="00044E15" w:rsidRPr="00044E15" w:rsidRDefault="00044E15" w:rsidP="00044E15">
      <w:pPr>
        <w:spacing w:after="0" w:line="276" w:lineRule="auto"/>
        <w:jc w:val="both"/>
        <w:rPr>
          <w:rFonts w:ascii="Verdana" w:eastAsia="Calibri" w:hAnsi="Verdana" w:cs="Times New Roman"/>
          <w:bCs/>
          <w:kern w:val="2"/>
          <w:lang w:val="es-ES_tradnl" w:eastAsia="es-MX"/>
          <w14:ligatures w14:val="standardContextual"/>
        </w:rPr>
      </w:pPr>
      <w:r w:rsidRPr="00044E15">
        <w:rPr>
          <w:rFonts w:ascii="Verdana" w:eastAsia="Calibri" w:hAnsi="Verdana" w:cs="Times New Roman"/>
          <w:kern w:val="2"/>
          <w:lang w:val="es-ES_tradnl" w:eastAsia="es-MX"/>
          <w14:ligatures w14:val="standardContextual"/>
        </w:rPr>
        <w:t xml:space="preserve">Este concepto tiene el alcance previsto en el artículo 28 del Código de Procedimiento Administrativo y de lo Contencioso Administrativo y las </w:t>
      </w:r>
      <w:r w:rsidRPr="00044E15">
        <w:rPr>
          <w:rFonts w:ascii="Verdana" w:eastAsia="Calibri" w:hAnsi="Verdana" w:cs="Times New Roman"/>
          <w:kern w:val="2"/>
          <w:lang w:val="es-ES_tradnl" w:eastAsia="es-MX"/>
          <w14:ligatures w14:val="standardContextual"/>
        </w:rPr>
        <w:lastRenderedPageBreak/>
        <w:t>expresiones utilizadas con mayúscula inicial deben ser entendidas con el significado que les otorga el artículo 2.2.1.1.1.3.1 del Decreto 1082 de 2015.</w:t>
      </w:r>
    </w:p>
    <w:p w14:paraId="438D0F55" w14:textId="77777777" w:rsidR="00044E15" w:rsidRPr="00044E15" w:rsidRDefault="00044E15" w:rsidP="00044E15">
      <w:pPr>
        <w:spacing w:after="0" w:line="276" w:lineRule="auto"/>
        <w:jc w:val="both"/>
        <w:rPr>
          <w:rFonts w:ascii="Verdana" w:eastAsia="Calibri" w:hAnsi="Verdana" w:cs="Times New Roman"/>
          <w:kern w:val="2"/>
          <w:lang w:eastAsia="es-MX"/>
          <w14:ligatures w14:val="standardContextual"/>
        </w:rPr>
      </w:pPr>
    </w:p>
    <w:p w14:paraId="15921303" w14:textId="77777777" w:rsidR="00044E15" w:rsidRPr="00044E15" w:rsidRDefault="00044E15" w:rsidP="00044E15">
      <w:pPr>
        <w:spacing w:after="0" w:line="276" w:lineRule="auto"/>
        <w:jc w:val="both"/>
        <w:rPr>
          <w:rFonts w:ascii="Verdana" w:eastAsia="Calibri" w:hAnsi="Verdana" w:cs="Times New Roman"/>
          <w:kern w:val="2"/>
          <w:lang w:eastAsia="es-MX"/>
          <w14:ligatures w14:val="standardContextual"/>
        </w:rPr>
      </w:pPr>
      <w:r w:rsidRPr="00044E15">
        <w:rPr>
          <w:rFonts w:ascii="Verdana" w:eastAsia="Calibri" w:hAnsi="Verdana" w:cs="Times New Roman"/>
          <w:kern w:val="2"/>
          <w:lang w:eastAsia="es-MX"/>
          <w14:ligatures w14:val="standardContextual"/>
        </w:rPr>
        <w:t>Atentamente,</w:t>
      </w:r>
    </w:p>
    <w:p w14:paraId="1FF0197B" w14:textId="6DFE93EB" w:rsidR="00044E15" w:rsidRPr="00044E15" w:rsidRDefault="002B1F08" w:rsidP="00044E15">
      <w:pPr>
        <w:tabs>
          <w:tab w:val="left" w:pos="1320"/>
        </w:tabs>
        <w:spacing w:after="0"/>
        <w:rPr>
          <w:rFonts w:ascii="Verdana" w:eastAsia="Calibri" w:hAnsi="Verdana" w:cs="Times New Roman"/>
          <w:lang w:eastAsia="es-MX"/>
        </w:rPr>
      </w:pPr>
      <w:r w:rsidRPr="004A2E53">
        <w:rPr>
          <w:noProof/>
        </w:rPr>
        <w:drawing>
          <wp:anchor distT="0" distB="0" distL="114300" distR="114300" simplePos="0" relativeHeight="251659264" behindDoc="1" locked="0" layoutInCell="1" allowOverlap="1" wp14:anchorId="77183833" wp14:editId="693E87A6">
            <wp:simplePos x="0" y="0"/>
            <wp:positionH relativeFrom="column">
              <wp:posOffset>1793174</wp:posOffset>
            </wp:positionH>
            <wp:positionV relativeFrom="paragraph">
              <wp:posOffset>34743</wp:posOffset>
            </wp:positionV>
            <wp:extent cx="2107565" cy="793115"/>
            <wp:effectExtent l="0" t="0" r="635" b="0"/>
            <wp:wrapTight wrapText="bothSides">
              <wp:wrapPolygon edited="0">
                <wp:start x="0" y="0"/>
                <wp:lineTo x="0" y="21098"/>
                <wp:lineTo x="21476" y="21098"/>
                <wp:lineTo x="21476" y="0"/>
                <wp:lineTo x="0" y="0"/>
              </wp:wrapPolygon>
            </wp:wrapTight>
            <wp:docPr id="784911737"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107565" cy="79311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90E50C9" w14:textId="5C3EBDA7" w:rsidR="00044E15" w:rsidRPr="00044E15" w:rsidRDefault="00044E15" w:rsidP="00044E15">
      <w:pPr>
        <w:tabs>
          <w:tab w:val="left" w:pos="1320"/>
        </w:tabs>
        <w:spacing w:after="0"/>
        <w:rPr>
          <w:rFonts w:ascii="Verdana" w:eastAsia="Calibri" w:hAnsi="Verdana" w:cs="Times New Roman"/>
          <w:lang w:eastAsia="es-MX"/>
        </w:rPr>
      </w:pPr>
    </w:p>
    <w:p w14:paraId="153E0557" w14:textId="77777777" w:rsidR="00044E15" w:rsidRPr="00044E15" w:rsidRDefault="00044E15" w:rsidP="00044E15">
      <w:pPr>
        <w:spacing w:after="0"/>
        <w:rPr>
          <w:rFonts w:ascii="Verdana" w:eastAsia="Calibri" w:hAnsi="Verdana" w:cs="Arial"/>
          <w:b/>
          <w:bCs/>
          <w:lang w:val="es-ES_tradnl" w:eastAsia="es-ES"/>
        </w:rPr>
      </w:pPr>
    </w:p>
    <w:p w14:paraId="39A08E5E" w14:textId="77777777" w:rsidR="00044E15" w:rsidRDefault="00044E15" w:rsidP="00044E15">
      <w:pPr>
        <w:tabs>
          <w:tab w:val="left" w:pos="1320"/>
        </w:tabs>
        <w:spacing w:after="0"/>
        <w:rPr>
          <w:rFonts w:ascii="Verdana" w:eastAsia="Calibri" w:hAnsi="Verdana" w:cs="Times New Roman"/>
          <w:lang w:eastAsia="es-MX"/>
        </w:rPr>
      </w:pPr>
    </w:p>
    <w:p w14:paraId="206CFCD3" w14:textId="77777777" w:rsidR="002B1F08" w:rsidRPr="00044E15" w:rsidRDefault="002B1F08" w:rsidP="00044E15">
      <w:pPr>
        <w:tabs>
          <w:tab w:val="left" w:pos="1320"/>
        </w:tabs>
        <w:spacing w:after="0"/>
        <w:rPr>
          <w:rFonts w:ascii="Verdana" w:eastAsia="Calibri" w:hAnsi="Verdana" w:cs="Times New Roman"/>
          <w:lang w:eastAsia="es-MX"/>
        </w:rPr>
      </w:pPr>
    </w:p>
    <w:tbl>
      <w:tblPr>
        <w:tblStyle w:val="Tablaconcuadrcula2"/>
        <w:tblW w:w="760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41"/>
        <w:gridCol w:w="6561"/>
      </w:tblGrid>
      <w:tr w:rsidR="00044E15" w:rsidRPr="00044E15" w14:paraId="67969DA7" w14:textId="77777777" w:rsidTr="001F4A4B">
        <w:trPr>
          <w:trHeight w:val="323"/>
        </w:trPr>
        <w:tc>
          <w:tcPr>
            <w:tcW w:w="1041" w:type="dxa"/>
            <w:vAlign w:val="center"/>
            <w:hideMark/>
          </w:tcPr>
          <w:p w14:paraId="2D4A2155" w14:textId="77777777" w:rsidR="002B1F08" w:rsidRDefault="002B1F08" w:rsidP="00044E15">
            <w:pPr>
              <w:rPr>
                <w:rFonts w:ascii="Verdana" w:eastAsia="Calibri" w:hAnsi="Verdana" w:cs="Arial"/>
                <w:sz w:val="16"/>
                <w:szCs w:val="16"/>
                <w:lang w:val="es-ES_tradnl" w:eastAsia="es-ES"/>
              </w:rPr>
            </w:pPr>
          </w:p>
          <w:p w14:paraId="5F82840A" w14:textId="7CE9B823" w:rsidR="00044E15" w:rsidRPr="00044E15" w:rsidRDefault="00044E15" w:rsidP="00044E15">
            <w:pPr>
              <w:rPr>
                <w:rFonts w:ascii="Verdana" w:eastAsia="Calibri" w:hAnsi="Verdana" w:cs="Arial"/>
                <w:sz w:val="16"/>
                <w:szCs w:val="16"/>
                <w:lang w:val="es-ES_tradnl" w:eastAsia="es-ES"/>
              </w:rPr>
            </w:pPr>
            <w:r w:rsidRPr="00044E15">
              <w:rPr>
                <w:rFonts w:ascii="Verdana" w:eastAsia="Calibri" w:hAnsi="Verdana" w:cs="Arial"/>
                <w:sz w:val="16"/>
                <w:szCs w:val="16"/>
                <w:lang w:val="es-ES_tradnl" w:eastAsia="es-ES"/>
              </w:rPr>
              <w:t>Elaboró:</w:t>
            </w:r>
          </w:p>
        </w:tc>
        <w:tc>
          <w:tcPr>
            <w:tcW w:w="6561" w:type="dxa"/>
            <w:tcBorders>
              <w:top w:val="nil"/>
              <w:left w:val="nil"/>
              <w:bottom w:val="dotted" w:sz="4" w:space="0" w:color="7F7F7F"/>
              <w:right w:val="nil"/>
            </w:tcBorders>
            <w:vAlign w:val="center"/>
            <w:hideMark/>
          </w:tcPr>
          <w:p w14:paraId="2D104FF2" w14:textId="77777777" w:rsidR="00044E15" w:rsidRPr="00044E15" w:rsidRDefault="00044E15" w:rsidP="00044E15">
            <w:pPr>
              <w:rPr>
                <w:rFonts w:ascii="Verdana" w:eastAsia="Arial" w:hAnsi="Verdana" w:cs="Arial"/>
                <w:sz w:val="16"/>
                <w:szCs w:val="16"/>
                <w:lang w:val="es-ES" w:eastAsia="es-MX"/>
              </w:rPr>
            </w:pPr>
            <w:r w:rsidRPr="00044E15">
              <w:rPr>
                <w:rFonts w:ascii="Verdana" w:eastAsia="Arial" w:hAnsi="Verdana" w:cs="Arial"/>
                <w:sz w:val="16"/>
                <w:szCs w:val="16"/>
                <w:lang w:val="es-ES" w:eastAsia="es-MX"/>
              </w:rPr>
              <w:t xml:space="preserve">Carlos Mario Castrillón Endo </w:t>
            </w:r>
          </w:p>
          <w:p w14:paraId="65D7C85C" w14:textId="77777777" w:rsidR="00044E15" w:rsidRPr="00044E15" w:rsidRDefault="00044E15" w:rsidP="00044E15">
            <w:pPr>
              <w:rPr>
                <w:rFonts w:ascii="Verdana" w:eastAsia="Arial" w:hAnsi="Verdana" w:cs="Arial"/>
                <w:sz w:val="16"/>
                <w:szCs w:val="16"/>
                <w:lang w:val="es-ES_tradnl" w:eastAsia="es-MX"/>
              </w:rPr>
            </w:pPr>
            <w:r w:rsidRPr="00044E15">
              <w:rPr>
                <w:rFonts w:ascii="Verdana" w:eastAsia="Arial" w:hAnsi="Verdana" w:cs="Arial"/>
                <w:sz w:val="16"/>
                <w:szCs w:val="16"/>
                <w:lang w:val="es-ES_tradnl" w:eastAsia="es-MX"/>
              </w:rPr>
              <w:t>Contratista de la Subdirección de Gestión Contractual</w:t>
            </w:r>
          </w:p>
          <w:p w14:paraId="222E5C46" w14:textId="77777777" w:rsidR="00044E15" w:rsidRPr="00044E15" w:rsidRDefault="00044E15" w:rsidP="00044E15">
            <w:pPr>
              <w:rPr>
                <w:rFonts w:ascii="Verdana" w:eastAsia="Arial" w:hAnsi="Verdana" w:cs="Arial"/>
                <w:sz w:val="16"/>
                <w:szCs w:val="16"/>
                <w:lang w:val="es-ES_tradnl" w:eastAsia="es-MX"/>
              </w:rPr>
            </w:pPr>
          </w:p>
        </w:tc>
      </w:tr>
      <w:tr w:rsidR="00044E15" w:rsidRPr="00044E15" w14:paraId="5C5C5C72" w14:textId="77777777" w:rsidTr="001F4A4B">
        <w:trPr>
          <w:trHeight w:val="338"/>
        </w:trPr>
        <w:tc>
          <w:tcPr>
            <w:tcW w:w="1041" w:type="dxa"/>
            <w:vAlign w:val="center"/>
            <w:hideMark/>
          </w:tcPr>
          <w:p w14:paraId="182B00AA" w14:textId="77777777" w:rsidR="00044E15" w:rsidRPr="00044E15" w:rsidRDefault="00044E15" w:rsidP="00044E15">
            <w:pPr>
              <w:rPr>
                <w:rFonts w:ascii="Verdana" w:eastAsia="Calibri" w:hAnsi="Verdana" w:cs="Arial"/>
                <w:sz w:val="16"/>
                <w:szCs w:val="16"/>
                <w:lang w:val="es-ES_tradnl" w:eastAsia="es-ES"/>
              </w:rPr>
            </w:pPr>
            <w:r w:rsidRPr="00044E15">
              <w:rPr>
                <w:rFonts w:ascii="Verdana" w:eastAsia="Calibri" w:hAnsi="Verdana" w:cs="Arial"/>
                <w:sz w:val="16"/>
                <w:szCs w:val="16"/>
                <w:lang w:val="es-ES_tradnl" w:eastAsia="es-ES"/>
              </w:rPr>
              <w:t>Revisó:</w:t>
            </w:r>
          </w:p>
        </w:tc>
        <w:tc>
          <w:tcPr>
            <w:tcW w:w="6561" w:type="dxa"/>
            <w:tcBorders>
              <w:top w:val="dotted" w:sz="4" w:space="0" w:color="7F7F7F"/>
              <w:left w:val="nil"/>
              <w:bottom w:val="dotted" w:sz="4" w:space="0" w:color="7F7F7F"/>
              <w:right w:val="nil"/>
            </w:tcBorders>
            <w:vAlign w:val="center"/>
            <w:hideMark/>
          </w:tcPr>
          <w:p w14:paraId="44C529F0" w14:textId="77777777" w:rsidR="00044E15" w:rsidRPr="00044E15" w:rsidRDefault="00044E15" w:rsidP="00044E15">
            <w:pPr>
              <w:rPr>
                <w:rFonts w:ascii="Verdana" w:eastAsia="Arial" w:hAnsi="Verdana" w:cs="Arial"/>
                <w:sz w:val="16"/>
                <w:szCs w:val="16"/>
                <w:lang w:val="es-ES_tradnl" w:eastAsia="es-MX"/>
              </w:rPr>
            </w:pPr>
            <w:r w:rsidRPr="00044E15">
              <w:rPr>
                <w:rFonts w:ascii="Verdana" w:eastAsia="Arial" w:hAnsi="Verdana" w:cs="Arial"/>
                <w:sz w:val="16"/>
                <w:szCs w:val="16"/>
                <w:lang w:val="es-ES_tradnl" w:eastAsia="es-MX"/>
              </w:rPr>
              <w:t>Alexandra Rodríguez Motta</w:t>
            </w:r>
          </w:p>
          <w:p w14:paraId="5AE6AE28" w14:textId="77777777" w:rsidR="00044E15" w:rsidRPr="00044E15" w:rsidRDefault="00044E15" w:rsidP="00044E15">
            <w:pPr>
              <w:rPr>
                <w:rFonts w:ascii="Verdana" w:eastAsia="Arial" w:hAnsi="Verdana" w:cs="Arial"/>
                <w:sz w:val="16"/>
                <w:szCs w:val="16"/>
                <w:lang w:val="es-ES_tradnl" w:eastAsia="es-MX"/>
              </w:rPr>
            </w:pPr>
            <w:r w:rsidRPr="00044E15">
              <w:rPr>
                <w:rFonts w:ascii="Verdana" w:eastAsia="Arial" w:hAnsi="Verdana" w:cs="Arial"/>
                <w:sz w:val="16"/>
                <w:szCs w:val="16"/>
                <w:lang w:val="es-ES_tradnl" w:eastAsia="es-MX"/>
              </w:rPr>
              <w:t>Contratista de la Subdirección de Gestión Contractual</w:t>
            </w:r>
          </w:p>
          <w:p w14:paraId="5EB429CB" w14:textId="77777777" w:rsidR="00044E15" w:rsidRPr="00044E15" w:rsidRDefault="00044E15" w:rsidP="00044E15">
            <w:pPr>
              <w:rPr>
                <w:rFonts w:ascii="Verdana" w:eastAsia="Arial" w:hAnsi="Verdana" w:cs="Arial"/>
                <w:sz w:val="16"/>
                <w:szCs w:val="16"/>
                <w:lang w:val="es-ES" w:eastAsia="es-MX"/>
              </w:rPr>
            </w:pPr>
            <w:r w:rsidRPr="00044E15">
              <w:rPr>
                <w:rFonts w:ascii="Verdana" w:eastAsia="Arial" w:hAnsi="Verdana" w:cs="Arial"/>
                <w:sz w:val="16"/>
                <w:szCs w:val="16"/>
                <w:lang w:val="es-ES_tradnl" w:eastAsia="es-MX"/>
              </w:rPr>
              <w:t>Adriana Katherine López Rodríguez</w:t>
            </w:r>
          </w:p>
          <w:p w14:paraId="40B434DA" w14:textId="77777777" w:rsidR="00044E15" w:rsidRPr="00044E15" w:rsidRDefault="00044E15" w:rsidP="00044E15">
            <w:pPr>
              <w:rPr>
                <w:rFonts w:ascii="Verdana" w:eastAsia="Arial" w:hAnsi="Verdana" w:cs="Arial"/>
                <w:sz w:val="16"/>
                <w:szCs w:val="16"/>
                <w:lang w:val="es-ES_tradnl" w:eastAsia="es-MX"/>
              </w:rPr>
            </w:pPr>
            <w:r w:rsidRPr="00044E15">
              <w:rPr>
                <w:rFonts w:ascii="Verdana" w:eastAsia="Arial" w:hAnsi="Verdana" w:cs="Arial"/>
                <w:sz w:val="16"/>
                <w:szCs w:val="16"/>
                <w:lang w:val="es-ES_tradnl" w:eastAsia="es-MX"/>
              </w:rPr>
              <w:t>Contratista de la Subdirección de Gestión Contractual</w:t>
            </w:r>
          </w:p>
        </w:tc>
      </w:tr>
      <w:tr w:rsidR="00044E15" w:rsidRPr="00044E15" w14:paraId="5A1B580E" w14:textId="77777777" w:rsidTr="001F4A4B">
        <w:trPr>
          <w:trHeight w:val="52"/>
        </w:trPr>
        <w:tc>
          <w:tcPr>
            <w:tcW w:w="1041" w:type="dxa"/>
            <w:vAlign w:val="center"/>
          </w:tcPr>
          <w:p w14:paraId="5E5365AB" w14:textId="77777777" w:rsidR="00044E15" w:rsidRPr="00044E15" w:rsidRDefault="00044E15" w:rsidP="00044E15">
            <w:pPr>
              <w:rPr>
                <w:rFonts w:ascii="Verdana" w:eastAsia="Calibri" w:hAnsi="Verdana" w:cs="Arial"/>
                <w:sz w:val="16"/>
                <w:szCs w:val="16"/>
                <w:lang w:val="es-ES_tradnl" w:eastAsia="es-ES"/>
              </w:rPr>
            </w:pPr>
            <w:r w:rsidRPr="00044E15">
              <w:rPr>
                <w:rFonts w:ascii="Verdana" w:eastAsia="Calibri" w:hAnsi="Verdana" w:cs="Arial"/>
                <w:sz w:val="16"/>
                <w:szCs w:val="16"/>
                <w:lang w:val="es-ES_tradnl" w:eastAsia="es-ES"/>
              </w:rPr>
              <w:t>Aprobó:</w:t>
            </w:r>
          </w:p>
        </w:tc>
        <w:tc>
          <w:tcPr>
            <w:tcW w:w="6561" w:type="dxa"/>
            <w:tcBorders>
              <w:top w:val="dotted" w:sz="4" w:space="0" w:color="7F7F7F"/>
              <w:left w:val="nil"/>
              <w:bottom w:val="dotted" w:sz="4" w:space="0" w:color="7F7F7F"/>
              <w:right w:val="nil"/>
            </w:tcBorders>
            <w:vAlign w:val="center"/>
          </w:tcPr>
          <w:p w14:paraId="40702C4F" w14:textId="77777777" w:rsidR="00044E15" w:rsidRPr="00044E15" w:rsidRDefault="00044E15" w:rsidP="00044E15">
            <w:pPr>
              <w:rPr>
                <w:rFonts w:ascii="Verdana" w:eastAsia="Calibri" w:hAnsi="Verdana" w:cs="Arial"/>
                <w:sz w:val="16"/>
                <w:szCs w:val="16"/>
                <w:lang w:val="es-ES_tradnl" w:eastAsia="es-ES"/>
              </w:rPr>
            </w:pPr>
            <w:r w:rsidRPr="00044E15">
              <w:rPr>
                <w:rFonts w:ascii="Verdana" w:eastAsia="Calibri" w:hAnsi="Verdana" w:cs="Arial"/>
                <w:sz w:val="16"/>
                <w:szCs w:val="16"/>
                <w:lang w:val="es-ES_tradnl" w:eastAsia="es-ES"/>
              </w:rPr>
              <w:t>William Javier Murcia Acevedo</w:t>
            </w:r>
          </w:p>
          <w:p w14:paraId="2A60AEB6" w14:textId="77777777" w:rsidR="00044E15" w:rsidRPr="00044E15" w:rsidRDefault="00044E15" w:rsidP="00044E15">
            <w:pPr>
              <w:rPr>
                <w:rFonts w:ascii="Verdana" w:eastAsia="Calibri" w:hAnsi="Verdana" w:cs="Arial"/>
                <w:sz w:val="16"/>
                <w:szCs w:val="16"/>
                <w:lang w:val="es-ES_tradnl" w:eastAsia="es-ES"/>
              </w:rPr>
            </w:pPr>
            <w:r w:rsidRPr="00044E15">
              <w:rPr>
                <w:rFonts w:ascii="Verdana" w:eastAsia="Calibri" w:hAnsi="Verdana" w:cs="Arial"/>
                <w:sz w:val="16"/>
                <w:szCs w:val="16"/>
                <w:lang w:val="es-ES_tradnl" w:eastAsia="es-ES"/>
              </w:rPr>
              <w:t>Subdirector de Gestión Contractual (E) ANCP-CCE</w:t>
            </w:r>
          </w:p>
        </w:tc>
      </w:tr>
    </w:tbl>
    <w:p w14:paraId="660DE60D" w14:textId="77777777" w:rsidR="00044E15" w:rsidRPr="00044E15" w:rsidRDefault="00044E15" w:rsidP="00044E15">
      <w:pPr>
        <w:tabs>
          <w:tab w:val="left" w:pos="1320"/>
        </w:tabs>
        <w:spacing w:after="0" w:line="278" w:lineRule="auto"/>
        <w:jc w:val="center"/>
        <w:rPr>
          <w:rFonts w:ascii="Verdana" w:eastAsia="Verdana" w:hAnsi="Verdana" w:cs="Verdana"/>
          <w:lang w:eastAsia="es-CO"/>
        </w:rPr>
      </w:pPr>
    </w:p>
    <w:p w14:paraId="3E3F802D" w14:textId="77777777" w:rsidR="00044E15" w:rsidRPr="00044E15" w:rsidRDefault="00044E15" w:rsidP="00044E15">
      <w:pPr>
        <w:rPr>
          <w:rFonts w:ascii="Calibri" w:eastAsia="Calibri" w:hAnsi="Calibri" w:cs="Times New Roman"/>
        </w:rPr>
      </w:pPr>
    </w:p>
    <w:p w14:paraId="25251711" w14:textId="77777777" w:rsidR="00044E15" w:rsidRPr="00044E15" w:rsidRDefault="00044E15" w:rsidP="00044E15">
      <w:pPr>
        <w:spacing w:line="278" w:lineRule="auto"/>
        <w:rPr>
          <w:rFonts w:ascii="Aptos" w:eastAsia="Aptos" w:hAnsi="Aptos" w:cs="Times New Roman"/>
          <w:kern w:val="2"/>
          <w:sz w:val="24"/>
          <w:szCs w:val="24"/>
          <w14:ligatures w14:val="standardContextual"/>
        </w:rPr>
      </w:pPr>
    </w:p>
    <w:p w14:paraId="1AF29D0D" w14:textId="77777777" w:rsidR="00044E15" w:rsidRPr="00044E15" w:rsidRDefault="00044E15" w:rsidP="00044E15">
      <w:pPr>
        <w:rPr>
          <w:rFonts w:ascii="Aptos" w:eastAsia="Aptos" w:hAnsi="Aptos" w:cs="Times New Roman"/>
        </w:rPr>
      </w:pPr>
    </w:p>
    <w:p w14:paraId="687FC633" w14:textId="77777777" w:rsidR="00044E15" w:rsidRPr="00044E15" w:rsidRDefault="00044E15" w:rsidP="00044E15">
      <w:pPr>
        <w:rPr>
          <w:rFonts w:ascii="Calibri" w:eastAsia="Calibri" w:hAnsi="Calibri" w:cs="Times New Roman"/>
        </w:rPr>
      </w:pPr>
    </w:p>
    <w:p w14:paraId="08E38180" w14:textId="77777777" w:rsidR="00044E15" w:rsidRPr="00044E15" w:rsidRDefault="00044E15" w:rsidP="00044E15">
      <w:pPr>
        <w:spacing w:line="278" w:lineRule="auto"/>
        <w:rPr>
          <w:rFonts w:ascii="Aptos" w:eastAsia="Aptos" w:hAnsi="Aptos" w:cs="Times New Roman"/>
          <w:kern w:val="2"/>
          <w:sz w:val="24"/>
          <w:szCs w:val="24"/>
          <w14:ligatures w14:val="standardContextual"/>
        </w:rPr>
      </w:pPr>
    </w:p>
    <w:p w14:paraId="1AEBBF5A" w14:textId="77777777" w:rsidR="00044E15" w:rsidRPr="00044E15" w:rsidRDefault="00044E15" w:rsidP="00044E15">
      <w:pPr>
        <w:spacing w:line="278" w:lineRule="auto"/>
        <w:rPr>
          <w:rFonts w:ascii="Aptos" w:eastAsia="Aptos" w:hAnsi="Aptos" w:cs="Times New Roman"/>
          <w:kern w:val="2"/>
          <w:sz w:val="24"/>
          <w:szCs w:val="24"/>
          <w14:ligatures w14:val="standardContextual"/>
        </w:rPr>
      </w:pPr>
    </w:p>
    <w:p w14:paraId="0F293BF4" w14:textId="42CBA169" w:rsidR="00127233" w:rsidRPr="001B3DA7" w:rsidRDefault="00127233" w:rsidP="001B3DA7"/>
    <w:sectPr w:rsidR="00127233" w:rsidRPr="001B3DA7" w:rsidSect="007C0C0F">
      <w:headerReference w:type="default" r:id="rId19"/>
      <w:footerReference w:type="default" r:id="rId20"/>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74B8CF" w14:textId="77777777" w:rsidR="006871CB" w:rsidRDefault="006871CB" w:rsidP="004A1847">
      <w:pPr>
        <w:spacing w:after="0" w:line="240" w:lineRule="auto"/>
      </w:pPr>
      <w:r>
        <w:separator/>
      </w:r>
    </w:p>
  </w:endnote>
  <w:endnote w:type="continuationSeparator" w:id="0">
    <w:p w14:paraId="57C0C3EA" w14:textId="77777777" w:rsidR="006871CB" w:rsidRDefault="006871CB" w:rsidP="004A1847">
      <w:pPr>
        <w:spacing w:after="0" w:line="240" w:lineRule="auto"/>
      </w:pPr>
      <w:r>
        <w:continuationSeparator/>
      </w:r>
    </w:p>
  </w:endnote>
  <w:endnote w:type="continuationNotice" w:id="1">
    <w:p w14:paraId="4CA9E79B" w14:textId="77777777" w:rsidR="006871CB" w:rsidRDefault="006871C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Arial Narrow">
    <w:panose1 w:val="020B0606020202030204"/>
    <w:charset w:val="00"/>
    <w:family w:val="swiss"/>
    <w:pitch w:val="variable"/>
    <w:sig w:usb0="00000287" w:usb1="00000800" w:usb2="00000000" w:usb3="00000000" w:csb0="0000009F"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ArialMT">
    <w:altName w:val="Arial"/>
    <w:panose1 w:val="00000000000000000000"/>
    <w:charset w:val="00"/>
    <w:family w:val="roman"/>
    <w:notTrueType/>
    <w:pitch w:val="default"/>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7C73DD1" w:rsidP="07C73DD1">
    <w:pPr>
      <w:pBdr>
        <w:top w:val="single" w:sz="4" w:space="1" w:color="000000"/>
      </w:pBdr>
      <w:spacing w:after="0"/>
      <w:rPr>
        <w:rFonts w:ascii="Verdana" w:eastAsia="Verdana" w:hAnsi="Verdana" w:cs="Verdana"/>
        <w:b/>
        <w:bCs/>
        <w:sz w:val="18"/>
        <w:szCs w:val="18"/>
      </w:rPr>
    </w:pPr>
    <w:r w:rsidRPr="07C73DD1">
      <w:rPr>
        <w:rFonts w:ascii="Verdana" w:eastAsia="Verdana" w:hAnsi="Verdana" w:cs="Verdana"/>
        <w:b/>
        <w:bCs/>
        <w:sz w:val="18"/>
        <w:szCs w:val="18"/>
      </w:rPr>
      <w:t xml:space="preserve">Agencia Nacional de Contratación Pública                                              </w:t>
    </w:r>
    <w:r w:rsidRPr="07C73DD1">
      <w:rPr>
        <w:rFonts w:ascii="Verdana" w:eastAsia="Verdana" w:hAnsi="Verdana" w:cs="Verdana"/>
        <w:b/>
        <w:bCs/>
        <w:sz w:val="18"/>
        <w:szCs w:val="18"/>
        <w:lang w:val="es-ES"/>
      </w:rPr>
      <w:t xml:space="preserve">pág. </w:t>
    </w:r>
    <w:r w:rsidR="00D520D8" w:rsidRPr="07C73DD1">
      <w:rPr>
        <w:rFonts w:ascii="Verdana" w:eastAsia="Verdana" w:hAnsi="Verdana" w:cs="Verdana"/>
        <w:b/>
        <w:bCs/>
        <w:sz w:val="18"/>
        <w:szCs w:val="18"/>
      </w:rPr>
      <w:fldChar w:fldCharType="begin"/>
    </w:r>
    <w:r w:rsidR="00D520D8" w:rsidRPr="07C73DD1">
      <w:rPr>
        <w:rFonts w:ascii="Verdana" w:hAnsi="Verdana"/>
        <w:b/>
        <w:bCs/>
        <w:sz w:val="16"/>
        <w:szCs w:val="16"/>
      </w:rPr>
      <w:instrText>PAGE    \* MERGEFORMAT</w:instrText>
    </w:r>
    <w:r w:rsidR="00D520D8" w:rsidRPr="07C73DD1">
      <w:rPr>
        <w:rFonts w:ascii="Verdana" w:eastAsia="Times New Roman" w:hAnsi="Verdana"/>
        <w:b/>
        <w:bCs/>
        <w:sz w:val="16"/>
        <w:szCs w:val="16"/>
      </w:rPr>
      <w:fldChar w:fldCharType="separate"/>
    </w:r>
    <w:r w:rsidRPr="07C73DD1">
      <w:rPr>
        <w:rFonts w:ascii="Verdana" w:eastAsia="Verdana" w:hAnsi="Verdana" w:cs="Verdana"/>
        <w:b/>
        <w:bCs/>
        <w:sz w:val="18"/>
        <w:szCs w:val="18"/>
      </w:rPr>
      <w:t>1</w:t>
    </w:r>
    <w:r w:rsidR="00D520D8" w:rsidRPr="07C73DD1">
      <w:rPr>
        <w:rFonts w:ascii="Verdana" w:eastAsia="Verdana" w:hAnsi="Verdana" w:cs="Verdana"/>
        <w:b/>
        <w:bCs/>
        <w:sz w:val="18"/>
        <w:szCs w:val="18"/>
      </w:rPr>
      <w:fldChar w:fldCharType="end"/>
    </w:r>
    <w:r w:rsidRPr="07C73DD1">
      <w:rPr>
        <w:rFonts w:ascii="Verdana" w:eastAsia="Verdana" w:hAnsi="Verdana" w:cs="Verdana"/>
        <w:b/>
        <w:bCs/>
        <w:sz w:val="18"/>
        <w:szCs w:val="18"/>
      </w:rPr>
      <w:t xml:space="preserve">              Colombia Compra Eficiente         </w:t>
    </w:r>
    <w:r w:rsidRPr="07C73DD1">
      <w:rPr>
        <w:rFonts w:ascii="Verdana" w:eastAsia="Verdana" w:hAnsi="Verdana" w:cs="Verdana"/>
        <w:b/>
        <w:bCs/>
        <w:sz w:val="18"/>
        <w:szCs w:val="18"/>
        <w:lang w:val="es-ES"/>
      </w:rPr>
      <w:t xml:space="preserve"> </w:t>
    </w:r>
    <w:r w:rsidRPr="07C73DD1">
      <w:rPr>
        <w:rFonts w:ascii="Verdana" w:eastAsia="Verdana" w:hAnsi="Verdana" w:cs="Verdana"/>
        <w:b/>
        <w:bCs/>
        <w:sz w:val="18"/>
        <w:szCs w:val="18"/>
      </w:rPr>
      <w:t xml:space="preserve">                                                  </w:t>
    </w:r>
  </w:p>
  <w:p w14:paraId="0A735DD5" w14:textId="77777777" w:rsidR="00D520D8"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Dirección: Carrera 7 # 26 – 20 - Bogotá, Colombia</w:t>
    </w:r>
  </w:p>
  <w:p w14:paraId="06E36B88" w14:textId="77777777" w:rsidR="00D520D8" w:rsidRPr="00E41027"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Mesa de servicio: (+57) 601 7456788</w:t>
    </w:r>
  </w:p>
  <w:p w14:paraId="744661F5" w14:textId="22B9E88F" w:rsidR="006219F8" w:rsidRDefault="07C73DD1" w:rsidP="07C73DD1">
    <w:pPr>
      <w:pBdr>
        <w:top w:val="nil"/>
        <w:left w:val="nil"/>
        <w:bottom w:val="nil"/>
        <w:right w:val="nil"/>
        <w:between w:val="nil"/>
      </w:pBdr>
      <w:tabs>
        <w:tab w:val="center" w:pos="4419"/>
        <w:tab w:val="right" w:pos="8838"/>
        <w:tab w:val="center" w:pos="5400"/>
      </w:tabs>
      <w:spacing w:after="0"/>
      <w:jc w:val="right"/>
      <w:rPr>
        <w:rFonts w:ascii="Verdana" w:eastAsia="Verdana" w:hAnsi="Verdana" w:cs="Verdana"/>
        <w:sz w:val="18"/>
        <w:szCs w:val="18"/>
        <w:lang w:eastAsia="es-CO"/>
      </w:rPr>
    </w:pPr>
    <w:r w:rsidRPr="00044E15">
      <w:rPr>
        <w:rFonts w:ascii="Verdana" w:eastAsia="Verdana" w:hAnsi="Verdana" w:cs="Verdana"/>
        <w:b/>
        <w:bCs/>
        <w:color w:val="000000"/>
        <w:sz w:val="18"/>
        <w:szCs w:val="18"/>
        <w:lang w:eastAsia="es-CO"/>
      </w:rPr>
      <w:t xml:space="preserve">Código: </w:t>
    </w:r>
    <w:r w:rsidRPr="00044E15">
      <w:rPr>
        <w:rFonts w:ascii="Verdana" w:eastAsia="Verdana" w:hAnsi="Verdana" w:cs="Verdana"/>
        <w:color w:val="000000"/>
        <w:sz w:val="18"/>
        <w:szCs w:val="18"/>
        <w:lang w:eastAsia="es-CO"/>
      </w:rPr>
      <w:t xml:space="preserve">CCE-REC-FM-17 </w:t>
    </w:r>
    <w:r w:rsidRPr="00044E15">
      <w:rPr>
        <w:rFonts w:ascii="Verdana" w:eastAsia="Verdana" w:hAnsi="Verdana" w:cs="Verdana"/>
        <w:b/>
        <w:bCs/>
        <w:color w:val="000000"/>
        <w:sz w:val="18"/>
        <w:szCs w:val="18"/>
        <w:lang w:eastAsia="es-CO"/>
      </w:rPr>
      <w:t xml:space="preserve">V: </w:t>
    </w:r>
    <w:r w:rsidRPr="07C73DD1">
      <w:rPr>
        <w:rFonts w:ascii="Verdana" w:eastAsia="Verdana" w:hAnsi="Verdana" w:cs="Verdana"/>
        <w:sz w:val="18"/>
        <w:szCs w:val="18"/>
        <w:lang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9106C9" w14:textId="77777777" w:rsidR="006871CB" w:rsidRDefault="006871CB" w:rsidP="004A1847">
      <w:pPr>
        <w:spacing w:after="0" w:line="240" w:lineRule="auto"/>
      </w:pPr>
      <w:r>
        <w:separator/>
      </w:r>
    </w:p>
  </w:footnote>
  <w:footnote w:type="continuationSeparator" w:id="0">
    <w:p w14:paraId="3B1F1502" w14:textId="77777777" w:rsidR="006871CB" w:rsidRDefault="006871CB" w:rsidP="004A1847">
      <w:pPr>
        <w:spacing w:after="0" w:line="240" w:lineRule="auto"/>
      </w:pPr>
      <w:r>
        <w:continuationSeparator/>
      </w:r>
    </w:p>
  </w:footnote>
  <w:footnote w:type="continuationNotice" w:id="1">
    <w:p w14:paraId="6A8A21F3" w14:textId="77777777" w:rsidR="006871CB" w:rsidRDefault="006871CB">
      <w:pPr>
        <w:spacing w:after="0" w:line="240" w:lineRule="auto"/>
      </w:pPr>
    </w:p>
  </w:footnote>
  <w:footnote w:id="2">
    <w:p w14:paraId="4D845E87" w14:textId="77777777" w:rsidR="00044E15" w:rsidRPr="00DD3DC5" w:rsidRDefault="00044E15" w:rsidP="00044E15">
      <w:pPr>
        <w:pStyle w:val="Car1"/>
        <w:ind w:firstLine="708"/>
        <w:jc w:val="both"/>
        <w:rPr>
          <w:rFonts w:ascii="Verdana" w:hAnsi="Verdana"/>
          <w:sz w:val="19"/>
          <w:szCs w:val="19"/>
          <w:lang w:val="es-CO"/>
        </w:rPr>
      </w:pPr>
      <w:r w:rsidRPr="00DD3DC5">
        <w:rPr>
          <w:rStyle w:val="Refdenotaalpie"/>
          <w:rFonts w:ascii="Verdana" w:hAnsi="Verdana"/>
          <w:sz w:val="19"/>
          <w:szCs w:val="19"/>
          <w:lang w:val="es-CO"/>
        </w:rPr>
        <w:footnoteRef/>
      </w:r>
      <w:r w:rsidRPr="00DD3DC5">
        <w:rPr>
          <w:rFonts w:ascii="Verdana" w:hAnsi="Verdana"/>
          <w:sz w:val="19"/>
          <w:szCs w:val="19"/>
          <w:lang w:val="es-CO"/>
        </w:rPr>
        <w:t xml:space="preserve"> Estos Documentos Tipo pueden ser consultados en la página web de Colombia Compra Eficiente, a través del siguiente enlace: </w:t>
      </w:r>
      <w:hyperlink r:id="rId1" w:history="1">
        <w:r w:rsidRPr="00DD3DC5">
          <w:rPr>
            <w:rStyle w:val="Hipervnculo"/>
            <w:rFonts w:ascii="Verdana" w:hAnsi="Verdana"/>
            <w:sz w:val="19"/>
            <w:szCs w:val="19"/>
            <w:lang w:val="es-CO"/>
          </w:rPr>
          <w:t>https://www.colombiacompra.gov.co/documentos-tipo/documentos-tipo</w:t>
        </w:r>
      </w:hyperlink>
      <w:r w:rsidRPr="00DD3DC5">
        <w:rPr>
          <w:rFonts w:ascii="Verdana" w:hAnsi="Verdana"/>
          <w:sz w:val="19"/>
          <w:szCs w:val="19"/>
          <w:lang w:val="es-CO"/>
        </w:rPr>
        <w:t xml:space="preserve"> </w:t>
      </w:r>
    </w:p>
  </w:footnote>
  <w:footnote w:id="3">
    <w:p w14:paraId="6A2B4CA3" w14:textId="77777777" w:rsidR="00044E15" w:rsidRDefault="00044E15" w:rsidP="00044E15">
      <w:pPr>
        <w:pStyle w:val="InviasNormal"/>
        <w:spacing w:after="0"/>
        <w:jc w:val="both"/>
        <w:outlineLvl w:val="2"/>
        <w:rPr>
          <w:rFonts w:ascii="Verdana" w:eastAsia="Arial" w:hAnsi="Verdana" w:cs="Arial"/>
          <w:b/>
          <w:bCs/>
          <w:sz w:val="19"/>
          <w:szCs w:val="19"/>
          <w:lang w:val="es-CO"/>
        </w:rPr>
      </w:pPr>
      <w:r w:rsidRPr="00072F18">
        <w:rPr>
          <w:rFonts w:ascii="Verdana" w:hAnsi="Verdana"/>
          <w:sz w:val="19"/>
          <w:szCs w:val="19"/>
        </w:rPr>
        <w:tab/>
      </w:r>
      <w:r w:rsidRPr="008E573F">
        <w:rPr>
          <w:rStyle w:val="Refdenotaalpie"/>
          <w:rFonts w:ascii="Verdana" w:hAnsi="Verdana"/>
          <w:sz w:val="19"/>
          <w:szCs w:val="19"/>
        </w:rPr>
        <w:footnoteRef/>
      </w:r>
      <w:bookmarkStart w:id="1" w:name="_Toc108082920"/>
      <w:bookmarkStart w:id="2" w:name="_Toc154138863"/>
      <w:r w:rsidRPr="00072F18">
        <w:rPr>
          <w:rFonts w:ascii="Verdana" w:hAnsi="Verdana"/>
          <w:sz w:val="19"/>
          <w:szCs w:val="19"/>
        </w:rPr>
        <w:t xml:space="preserve"> “</w:t>
      </w:r>
      <w:r w:rsidRPr="00072F18">
        <w:rPr>
          <w:rFonts w:ascii="Verdana" w:hAnsi="Verdana"/>
          <w:b/>
          <w:bCs/>
          <w:sz w:val="19"/>
          <w:szCs w:val="19"/>
        </w:rPr>
        <w:t>3.</w:t>
      </w:r>
      <w:r>
        <w:rPr>
          <w:rFonts w:ascii="Verdana" w:hAnsi="Verdana"/>
          <w:b/>
          <w:bCs/>
          <w:sz w:val="19"/>
          <w:szCs w:val="19"/>
        </w:rPr>
        <w:t>8</w:t>
      </w:r>
      <w:r w:rsidRPr="00072F18">
        <w:rPr>
          <w:rFonts w:ascii="Verdana" w:hAnsi="Verdana"/>
          <w:b/>
          <w:bCs/>
          <w:sz w:val="19"/>
          <w:szCs w:val="19"/>
        </w:rPr>
        <w:t>.2</w:t>
      </w:r>
      <w:r w:rsidRPr="00072F18">
        <w:rPr>
          <w:rFonts w:ascii="Verdana" w:eastAsia="Arial" w:hAnsi="Verdana" w:cs="Arial"/>
          <w:b/>
          <w:bCs/>
          <w:sz w:val="19"/>
          <w:szCs w:val="19"/>
          <w:lang w:val="es-CO"/>
        </w:rPr>
        <w:t>EXIGENCIAS MÍNIMAS DE EXPERIENCIA Y FORMACIÓN ACADÉMICA DEL EQUIPO DE TRABAJO (Personal Clave Evaluable)</w:t>
      </w:r>
      <w:bookmarkEnd w:id="1"/>
      <w:bookmarkEnd w:id="2"/>
      <w:r w:rsidRPr="00072F18">
        <w:rPr>
          <w:rFonts w:ascii="Verdana" w:eastAsia="Arial" w:hAnsi="Verdana" w:cs="Arial"/>
          <w:b/>
          <w:bCs/>
          <w:sz w:val="19"/>
          <w:szCs w:val="19"/>
          <w:lang w:val="es-CO"/>
        </w:rPr>
        <w:t xml:space="preserve"> </w:t>
      </w:r>
    </w:p>
    <w:p w14:paraId="1A280320" w14:textId="77777777" w:rsidR="00044E15" w:rsidRPr="00072F18" w:rsidRDefault="00044E15" w:rsidP="00044E15">
      <w:pPr>
        <w:pStyle w:val="InviasNormal"/>
        <w:spacing w:after="0"/>
        <w:jc w:val="both"/>
        <w:outlineLvl w:val="2"/>
        <w:rPr>
          <w:rFonts w:ascii="Verdana" w:eastAsia="Arial" w:hAnsi="Verdana" w:cs="Arial"/>
          <w:b/>
          <w:bCs/>
          <w:sz w:val="19"/>
          <w:szCs w:val="19"/>
          <w:lang w:val="es-CO"/>
        </w:rPr>
      </w:pPr>
    </w:p>
    <w:p w14:paraId="0C0CAA69" w14:textId="77777777" w:rsidR="00044E15" w:rsidRPr="00A33074" w:rsidRDefault="00044E15" w:rsidP="00044E15">
      <w:pPr>
        <w:jc w:val="both"/>
        <w:rPr>
          <w:rFonts w:ascii="Arial" w:hAnsi="Arial" w:cs="Arial"/>
          <w:sz w:val="20"/>
          <w:szCs w:val="20"/>
        </w:rPr>
      </w:pPr>
      <w:r w:rsidRPr="00BA09CA">
        <w:rPr>
          <w:rFonts w:ascii="Arial" w:hAnsi="Arial" w:cs="Arial"/>
          <w:sz w:val="20"/>
          <w:szCs w:val="20"/>
          <w:highlight w:val="lightGray"/>
        </w:rPr>
        <w:t>[La Entidad deberá definir los perfiles profesionales del equipo de trabajo del Interventor de acuerdo con la “Matriz 4 – Lineamientos de requisitos del personal”, para establecer las condiciones de experiencia y formación académica del equipo de trabajo. Así mismo, no podrá, bajo ningún supuesto, incluir títulos de posgrado particulares (especializaciones, maestrías, doctorados o posdoctorados</w:t>
      </w:r>
      <w:r w:rsidRPr="00BA09CA">
        <w:rPr>
          <w:rFonts w:ascii="Arial" w:eastAsia="Arial" w:hAnsi="Arial" w:cs="Arial"/>
          <w:sz w:val="20"/>
          <w:szCs w:val="20"/>
          <w:highlight w:val="lightGray"/>
        </w:rPr>
        <w:t>, ej: “maestría en project management”</w:t>
      </w:r>
      <w:r w:rsidRPr="00BA09CA">
        <w:rPr>
          <w:rFonts w:ascii="Arial" w:hAnsi="Arial" w:cs="Arial"/>
          <w:sz w:val="20"/>
          <w:szCs w:val="20"/>
          <w:highlight w:val="lightGray"/>
        </w:rPr>
        <w:t xml:space="preserve">, </w:t>
      </w:r>
      <w:r w:rsidRPr="00BA09CA">
        <w:rPr>
          <w:rFonts w:ascii="Arial" w:eastAsia="Arial" w:hAnsi="Arial" w:cs="Arial"/>
          <w:sz w:val="20"/>
          <w:szCs w:val="20"/>
          <w:highlight w:val="lightGray"/>
        </w:rPr>
        <w:t xml:space="preserve">sino </w:t>
      </w:r>
      <w:r>
        <w:rPr>
          <w:rFonts w:ascii="Arial" w:eastAsia="Arial" w:hAnsi="Arial" w:cs="Arial"/>
          <w:sz w:val="20"/>
          <w:szCs w:val="20"/>
          <w:highlight w:val="lightGray"/>
        </w:rPr>
        <w:t>definirlo</w:t>
      </w:r>
      <w:r w:rsidRPr="00BA09CA">
        <w:rPr>
          <w:rFonts w:ascii="Arial" w:eastAsia="Arial" w:hAnsi="Arial" w:cs="Arial"/>
          <w:sz w:val="20"/>
          <w:szCs w:val="20"/>
          <w:highlight w:val="lightGray"/>
        </w:rPr>
        <w:t xml:space="preserve"> como “posgrado en: gerencia de proyectos, gerencia de obras, entre otros”),</w:t>
      </w:r>
      <w:r w:rsidRPr="00BA09CA">
        <w:rPr>
          <w:rFonts w:ascii="Arial" w:hAnsi="Arial" w:cs="Arial"/>
          <w:sz w:val="20"/>
          <w:szCs w:val="20"/>
          <w:highlight w:val="lightGray"/>
        </w:rPr>
        <w:t xml:space="preserve"> ya que la formación académica obedece a un título de posgrado independiente de su nivel académico, en un área de conocimiento acorde al cargo a desempeñar</w:t>
      </w:r>
      <w:r>
        <w:rPr>
          <w:rFonts w:ascii="Arial" w:hAnsi="Arial" w:cs="Arial"/>
          <w:sz w:val="20"/>
          <w:szCs w:val="20"/>
        </w:rPr>
        <w:t xml:space="preserve">]”. </w:t>
      </w:r>
    </w:p>
    <w:p w14:paraId="5CF23212" w14:textId="77777777" w:rsidR="00044E15" w:rsidRPr="00072F18" w:rsidRDefault="00044E15" w:rsidP="00044E15">
      <w:pPr>
        <w:jc w:val="both"/>
        <w:rPr>
          <w:rFonts w:ascii="Verdana" w:hAnsi="Verdana" w:cs="Arial"/>
          <w:sz w:val="19"/>
          <w:szCs w:val="19"/>
        </w:rPr>
      </w:pPr>
    </w:p>
    <w:p w14:paraId="5277B1A8" w14:textId="77777777" w:rsidR="00044E15" w:rsidRPr="00072F18" w:rsidRDefault="00044E15" w:rsidP="00044E15">
      <w:pPr>
        <w:pStyle w:val="Textonotapie"/>
        <w:jc w:val="both"/>
        <w:rPr>
          <w:rFonts w:ascii="Verdana" w:hAnsi="Verdana"/>
          <w:sz w:val="19"/>
          <w:szCs w:val="19"/>
        </w:rPr>
      </w:pPr>
    </w:p>
  </w:footnote>
  <w:footnote w:id="4">
    <w:p w14:paraId="54E7610F" w14:textId="77777777" w:rsidR="00044E15" w:rsidRPr="00DD3DC5" w:rsidRDefault="00044E15" w:rsidP="00044E15">
      <w:pPr>
        <w:pStyle w:val="Textonotapie"/>
        <w:ind w:firstLine="708"/>
        <w:jc w:val="both"/>
        <w:rPr>
          <w:rFonts w:ascii="Verdana" w:hAnsi="Verdana"/>
          <w:sz w:val="19"/>
          <w:szCs w:val="19"/>
        </w:rPr>
      </w:pPr>
      <w:r w:rsidRPr="00DD3DC5">
        <w:rPr>
          <w:rStyle w:val="Refdenotaalpie"/>
          <w:rFonts w:ascii="Verdana" w:hAnsi="Verdana"/>
          <w:sz w:val="19"/>
          <w:szCs w:val="19"/>
        </w:rPr>
        <w:footnoteRef/>
      </w:r>
      <w:r w:rsidRPr="00DD3DC5">
        <w:rPr>
          <w:rFonts w:ascii="Verdana" w:hAnsi="Verdana"/>
          <w:sz w:val="19"/>
          <w:szCs w:val="19"/>
        </w:rPr>
        <w:t xml:space="preserve"> “Nota 3: La tabla anterior puede ser interpretada para hacer equivalencias de título académico por experiencia, ó de experiencia por título académico”.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rsidP="00844AE9">
    <w:pPr>
      <w:pStyle w:val="Encabezado"/>
      <w:spacing w:line="120" w:lineRule="aut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51872E67">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211B7F5D" w14:textId="77777777" w:rsidR="00C925AC" w:rsidRDefault="00C925AC" w:rsidP="00844AE9">
    <w:pPr>
      <w:spacing w:after="0" w:line="240" w:lineRule="auto"/>
      <w:rPr>
        <w:rFonts w:ascii="Verdana" w:hAnsi="Verdana"/>
        <w:sz w:val="24"/>
        <w:szCs w:val="24"/>
      </w:rPr>
    </w:pPr>
  </w:p>
  <w:p w14:paraId="5A0054B1" w14:textId="77777777" w:rsidR="00A14468" w:rsidRPr="00C925AC" w:rsidRDefault="00A14468" w:rsidP="00844AE9">
    <w:pPr>
      <w:spacing w:after="0" w:line="240" w:lineRule="auto"/>
      <w:rPr>
        <w:rFonts w:ascii="Verdana" w:hAnsi="Verdana"/>
        <w:sz w:val="24"/>
        <w:szCs w:val="24"/>
      </w:rPr>
    </w:pPr>
  </w:p>
  <w:p w14:paraId="1FD1C243" w14:textId="37C5500A" w:rsidR="008A446D" w:rsidRPr="00C925AC" w:rsidRDefault="00C925AC" w:rsidP="000D5DA7">
    <w:pPr>
      <w:spacing w:after="0" w:line="480" w:lineRule="auto"/>
      <w:rPr>
        <w:rFonts w:ascii="Verdana" w:hAnsi="Verdana"/>
        <w:b/>
        <w:bCs/>
        <w:sz w:val="24"/>
        <w:szCs w:val="24"/>
      </w:rPr>
    </w:pPr>
    <w:r w:rsidRPr="00C925AC">
      <w:rPr>
        <w:rFonts w:ascii="Verdana" w:hAnsi="Verdana"/>
        <w:b/>
        <w:bCs/>
        <w:sz w:val="24"/>
        <w:szCs w:val="24"/>
      </w:rPr>
      <w:t>FORMATO</w:t>
    </w:r>
    <w:r w:rsidR="00BF7425">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25pt;height:11.25pt" o:bullet="t">
        <v:imagedata r:id="rId1" o:title="mso1B13"/>
      </v:shape>
    </w:pict>
  </w:numPicBullet>
  <w:abstractNum w:abstractNumId="0" w15:restartNumberingAfterBreak="0">
    <w:nsid w:val="01C06310"/>
    <w:multiLevelType w:val="multilevel"/>
    <w:tmpl w:val="25FEEF8E"/>
    <w:lvl w:ilvl="0">
      <w:start w:val="1"/>
      <w:numFmt w:val="decimal"/>
      <w:lvlText w:val="%1."/>
      <w:lvlJc w:val="left"/>
      <w:pPr>
        <w:ind w:left="360" w:hanging="360"/>
      </w:pPr>
      <w:rPr>
        <w:b/>
        <w:color w:val="000000" w:themeColor="text1"/>
      </w:rPr>
    </w:lvl>
    <w:lvl w:ilvl="1">
      <w:start w:val="2"/>
      <w:numFmt w:val="decimal"/>
      <w:isLgl/>
      <w:lvlText w:val="%1.%2"/>
      <w:lvlJc w:val="left"/>
      <w:pPr>
        <w:ind w:left="0" w:hanging="360"/>
      </w:pPr>
    </w:lvl>
    <w:lvl w:ilvl="2">
      <w:start w:val="1"/>
      <w:numFmt w:val="decimal"/>
      <w:isLgl/>
      <w:lvlText w:val="%1.%2.%3"/>
      <w:lvlJc w:val="left"/>
      <w:pPr>
        <w:ind w:left="720" w:hanging="720"/>
      </w:pPr>
    </w:lvl>
    <w:lvl w:ilvl="3">
      <w:start w:val="1"/>
      <w:numFmt w:val="decimal"/>
      <w:isLgl/>
      <w:lvlText w:val="%1.%2.%3.%4"/>
      <w:lvlJc w:val="left"/>
      <w:pPr>
        <w:ind w:left="720" w:hanging="720"/>
      </w:pPr>
    </w:lvl>
    <w:lvl w:ilvl="4">
      <w:start w:val="1"/>
      <w:numFmt w:val="decimal"/>
      <w:isLgl/>
      <w:lvlText w:val="%1.%2.%3.%4.%5"/>
      <w:lvlJc w:val="left"/>
      <w:pPr>
        <w:ind w:left="1080" w:hanging="1080"/>
      </w:pPr>
    </w:lvl>
    <w:lvl w:ilvl="5">
      <w:start w:val="1"/>
      <w:numFmt w:val="decimal"/>
      <w:isLgl/>
      <w:lvlText w:val="%1.%2.%3.%4.%5.%6"/>
      <w:lvlJc w:val="left"/>
      <w:pPr>
        <w:ind w:left="1080" w:hanging="1080"/>
      </w:pPr>
    </w:lvl>
    <w:lvl w:ilvl="6">
      <w:start w:val="1"/>
      <w:numFmt w:val="decimal"/>
      <w:isLgl/>
      <w:lvlText w:val="%1.%2.%3.%4.%5.%6.%7"/>
      <w:lvlJc w:val="left"/>
      <w:pPr>
        <w:ind w:left="1440" w:hanging="1440"/>
      </w:pPr>
    </w:lvl>
    <w:lvl w:ilvl="7">
      <w:start w:val="1"/>
      <w:numFmt w:val="decimal"/>
      <w:isLgl/>
      <w:lvlText w:val="%1.%2.%3.%4.%5.%6.%7.%8"/>
      <w:lvlJc w:val="left"/>
      <w:pPr>
        <w:ind w:left="1440" w:hanging="1440"/>
      </w:pPr>
    </w:lvl>
    <w:lvl w:ilvl="8">
      <w:start w:val="1"/>
      <w:numFmt w:val="decimal"/>
      <w:isLgl/>
      <w:lvlText w:val="%1.%2.%3.%4.%5.%6.%7.%8.%9"/>
      <w:lvlJc w:val="left"/>
      <w:pPr>
        <w:ind w:left="1800"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12E75EF7"/>
    <w:multiLevelType w:val="hybridMultilevel"/>
    <w:tmpl w:val="0416017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9D726F5"/>
    <w:multiLevelType w:val="hybridMultilevel"/>
    <w:tmpl w:val="C9903574"/>
    <w:lvl w:ilvl="0" w:tplc="040A0001">
      <w:start w:val="1"/>
      <w:numFmt w:val="bullet"/>
      <w:lvlText w:val=""/>
      <w:lvlJc w:val="left"/>
      <w:pPr>
        <w:ind w:left="720" w:hanging="360"/>
      </w:pPr>
      <w:rPr>
        <w:rFonts w:ascii="Symbol" w:hAnsi="Symbol" w:hint="default"/>
      </w:rPr>
    </w:lvl>
    <w:lvl w:ilvl="1" w:tplc="040A0003">
      <w:start w:val="1"/>
      <w:numFmt w:val="bullet"/>
      <w:lvlText w:val="o"/>
      <w:lvlJc w:val="left"/>
      <w:pPr>
        <w:ind w:left="1440" w:hanging="360"/>
      </w:pPr>
      <w:rPr>
        <w:rFonts w:ascii="Courier New" w:hAnsi="Courier New" w:cs="Courier New" w:hint="default"/>
      </w:rPr>
    </w:lvl>
    <w:lvl w:ilvl="2" w:tplc="040A0005">
      <w:start w:val="1"/>
      <w:numFmt w:val="bullet"/>
      <w:lvlText w:val=""/>
      <w:lvlJc w:val="left"/>
      <w:pPr>
        <w:ind w:left="2160" w:hanging="360"/>
      </w:pPr>
      <w:rPr>
        <w:rFonts w:ascii="Wingdings" w:hAnsi="Wingdings" w:hint="default"/>
      </w:rPr>
    </w:lvl>
    <w:lvl w:ilvl="3" w:tplc="040A0001">
      <w:start w:val="1"/>
      <w:numFmt w:val="bullet"/>
      <w:lvlText w:val=""/>
      <w:lvlJc w:val="left"/>
      <w:pPr>
        <w:ind w:left="2880" w:hanging="360"/>
      </w:pPr>
      <w:rPr>
        <w:rFonts w:ascii="Symbol" w:hAnsi="Symbol" w:hint="default"/>
      </w:rPr>
    </w:lvl>
    <w:lvl w:ilvl="4" w:tplc="040A0003">
      <w:start w:val="1"/>
      <w:numFmt w:val="bullet"/>
      <w:lvlText w:val="o"/>
      <w:lvlJc w:val="left"/>
      <w:pPr>
        <w:ind w:left="3600" w:hanging="360"/>
      </w:pPr>
      <w:rPr>
        <w:rFonts w:ascii="Courier New" w:hAnsi="Courier New" w:cs="Courier New" w:hint="default"/>
      </w:rPr>
    </w:lvl>
    <w:lvl w:ilvl="5" w:tplc="040A0005">
      <w:start w:val="1"/>
      <w:numFmt w:val="bullet"/>
      <w:lvlText w:val=""/>
      <w:lvlJc w:val="left"/>
      <w:pPr>
        <w:ind w:left="4320" w:hanging="360"/>
      </w:pPr>
      <w:rPr>
        <w:rFonts w:ascii="Wingdings" w:hAnsi="Wingdings" w:hint="default"/>
      </w:rPr>
    </w:lvl>
    <w:lvl w:ilvl="6" w:tplc="040A0001">
      <w:start w:val="1"/>
      <w:numFmt w:val="bullet"/>
      <w:lvlText w:val=""/>
      <w:lvlJc w:val="left"/>
      <w:pPr>
        <w:ind w:left="5040" w:hanging="360"/>
      </w:pPr>
      <w:rPr>
        <w:rFonts w:ascii="Symbol" w:hAnsi="Symbol" w:hint="default"/>
      </w:rPr>
    </w:lvl>
    <w:lvl w:ilvl="7" w:tplc="040A0003">
      <w:start w:val="1"/>
      <w:numFmt w:val="bullet"/>
      <w:lvlText w:val="o"/>
      <w:lvlJc w:val="left"/>
      <w:pPr>
        <w:ind w:left="5760" w:hanging="360"/>
      </w:pPr>
      <w:rPr>
        <w:rFonts w:ascii="Courier New" w:hAnsi="Courier New" w:cs="Courier New" w:hint="default"/>
      </w:rPr>
    </w:lvl>
    <w:lvl w:ilvl="8" w:tplc="040A0005">
      <w:start w:val="1"/>
      <w:numFmt w:val="bullet"/>
      <w:lvlText w:val=""/>
      <w:lvlJc w:val="left"/>
      <w:pPr>
        <w:ind w:left="6480" w:hanging="360"/>
      </w:pPr>
      <w:rPr>
        <w:rFonts w:ascii="Wingdings" w:hAnsi="Wingdings" w:hint="default"/>
      </w:rPr>
    </w:lvl>
  </w:abstractNum>
  <w:abstractNum w:abstractNumId="11"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2"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765737705">
    <w:abstractNumId w:val="7"/>
  </w:num>
  <w:num w:numId="2" w16cid:durableId="1076636084">
    <w:abstractNumId w:val="2"/>
  </w:num>
  <w:num w:numId="3" w16cid:durableId="221257520">
    <w:abstractNumId w:val="5"/>
  </w:num>
  <w:num w:numId="4" w16cid:durableId="53353979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03889892">
    <w:abstractNumId w:val="2"/>
  </w:num>
  <w:num w:numId="6" w16cid:durableId="1621640936">
    <w:abstractNumId w:val="14"/>
  </w:num>
  <w:num w:numId="7" w16cid:durableId="2019111812">
    <w:abstractNumId w:val="6"/>
  </w:num>
  <w:num w:numId="8" w16cid:durableId="230622088">
    <w:abstractNumId w:val="13"/>
  </w:num>
  <w:num w:numId="9" w16cid:durableId="668558973">
    <w:abstractNumId w:val="8"/>
  </w:num>
  <w:num w:numId="10" w16cid:durableId="133448067">
    <w:abstractNumId w:val="12"/>
  </w:num>
  <w:num w:numId="11" w16cid:durableId="1975325642">
    <w:abstractNumId w:val="9"/>
  </w:num>
  <w:num w:numId="12" w16cid:durableId="1591229877">
    <w:abstractNumId w:val="1"/>
  </w:num>
  <w:num w:numId="13" w16cid:durableId="83459179">
    <w:abstractNumId w:val="4"/>
  </w:num>
  <w:num w:numId="14" w16cid:durableId="1534925966">
    <w:abstractNumId w:val="15"/>
  </w:num>
  <w:num w:numId="15" w16cid:durableId="958992938">
    <w:abstractNumId w:val="11"/>
  </w:num>
  <w:num w:numId="16" w16cid:durableId="2037533717">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971472738">
    <w:abstractNumId w:val="10"/>
  </w:num>
  <w:num w:numId="18" w16cid:durableId="110562657">
    <w:abstractNumId w:val="0"/>
  </w:num>
  <w:num w:numId="19" w16cid:durableId="196326651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44E15"/>
    <w:rsid w:val="00046945"/>
    <w:rsid w:val="0005844F"/>
    <w:rsid w:val="00061B2A"/>
    <w:rsid w:val="00082362"/>
    <w:rsid w:val="000A683E"/>
    <w:rsid w:val="000B19B9"/>
    <w:rsid w:val="000B6A46"/>
    <w:rsid w:val="000C3E75"/>
    <w:rsid w:val="000D0334"/>
    <w:rsid w:val="000D5DA7"/>
    <w:rsid w:val="000F6486"/>
    <w:rsid w:val="00116940"/>
    <w:rsid w:val="00125105"/>
    <w:rsid w:val="00127233"/>
    <w:rsid w:val="0015699B"/>
    <w:rsid w:val="0016054D"/>
    <w:rsid w:val="00173AEC"/>
    <w:rsid w:val="001A33BF"/>
    <w:rsid w:val="001B3DA7"/>
    <w:rsid w:val="001E4177"/>
    <w:rsid w:val="001F0B24"/>
    <w:rsid w:val="001F4A4B"/>
    <w:rsid w:val="001F7DC6"/>
    <w:rsid w:val="0022400B"/>
    <w:rsid w:val="002421BB"/>
    <w:rsid w:val="0025796E"/>
    <w:rsid w:val="00266B0E"/>
    <w:rsid w:val="002707A2"/>
    <w:rsid w:val="002951A0"/>
    <w:rsid w:val="002962BC"/>
    <w:rsid w:val="002A093D"/>
    <w:rsid w:val="002A0DD0"/>
    <w:rsid w:val="002A49AC"/>
    <w:rsid w:val="002A64FD"/>
    <w:rsid w:val="002B1F08"/>
    <w:rsid w:val="002C7A84"/>
    <w:rsid w:val="002E2BF8"/>
    <w:rsid w:val="002E4FD9"/>
    <w:rsid w:val="0030657A"/>
    <w:rsid w:val="00322A85"/>
    <w:rsid w:val="00324168"/>
    <w:rsid w:val="00330834"/>
    <w:rsid w:val="003448F4"/>
    <w:rsid w:val="00374F5E"/>
    <w:rsid w:val="00377E3E"/>
    <w:rsid w:val="00385FAD"/>
    <w:rsid w:val="003A779E"/>
    <w:rsid w:val="003D0F4D"/>
    <w:rsid w:val="003D5B0D"/>
    <w:rsid w:val="003E0499"/>
    <w:rsid w:val="003E4F80"/>
    <w:rsid w:val="003E6439"/>
    <w:rsid w:val="003F3941"/>
    <w:rsid w:val="00406575"/>
    <w:rsid w:val="00414C74"/>
    <w:rsid w:val="0042722E"/>
    <w:rsid w:val="00430B8D"/>
    <w:rsid w:val="0044528D"/>
    <w:rsid w:val="00466E39"/>
    <w:rsid w:val="004A1847"/>
    <w:rsid w:val="004A305D"/>
    <w:rsid w:val="004F21C4"/>
    <w:rsid w:val="004F685F"/>
    <w:rsid w:val="00524E6B"/>
    <w:rsid w:val="005566E8"/>
    <w:rsid w:val="00574867"/>
    <w:rsid w:val="00591460"/>
    <w:rsid w:val="005A65E0"/>
    <w:rsid w:val="005C3777"/>
    <w:rsid w:val="005C5CDC"/>
    <w:rsid w:val="005D476C"/>
    <w:rsid w:val="006200BF"/>
    <w:rsid w:val="006219F8"/>
    <w:rsid w:val="006302F7"/>
    <w:rsid w:val="00646B9F"/>
    <w:rsid w:val="00665D70"/>
    <w:rsid w:val="006871CB"/>
    <w:rsid w:val="006900D9"/>
    <w:rsid w:val="007054FB"/>
    <w:rsid w:val="00706C16"/>
    <w:rsid w:val="007340C3"/>
    <w:rsid w:val="0075235A"/>
    <w:rsid w:val="00756841"/>
    <w:rsid w:val="007649AB"/>
    <w:rsid w:val="00771D0C"/>
    <w:rsid w:val="007833AC"/>
    <w:rsid w:val="007B268C"/>
    <w:rsid w:val="007B7171"/>
    <w:rsid w:val="007C0C0F"/>
    <w:rsid w:val="007C3DC2"/>
    <w:rsid w:val="007E5497"/>
    <w:rsid w:val="00806F5F"/>
    <w:rsid w:val="00820278"/>
    <w:rsid w:val="008258C9"/>
    <w:rsid w:val="00844AE9"/>
    <w:rsid w:val="00867F95"/>
    <w:rsid w:val="008843B6"/>
    <w:rsid w:val="00891928"/>
    <w:rsid w:val="008A446D"/>
    <w:rsid w:val="008B2270"/>
    <w:rsid w:val="008B25F1"/>
    <w:rsid w:val="008B6095"/>
    <w:rsid w:val="008D180B"/>
    <w:rsid w:val="008D35A9"/>
    <w:rsid w:val="008F0EA7"/>
    <w:rsid w:val="00904576"/>
    <w:rsid w:val="00923EEF"/>
    <w:rsid w:val="009419F9"/>
    <w:rsid w:val="0095685E"/>
    <w:rsid w:val="00961B09"/>
    <w:rsid w:val="00965334"/>
    <w:rsid w:val="0097093E"/>
    <w:rsid w:val="009A0DFA"/>
    <w:rsid w:val="009A1C6F"/>
    <w:rsid w:val="009B2D26"/>
    <w:rsid w:val="009C71FA"/>
    <w:rsid w:val="009C72E7"/>
    <w:rsid w:val="009C7F7E"/>
    <w:rsid w:val="009D3058"/>
    <w:rsid w:val="009F3A13"/>
    <w:rsid w:val="00A122D3"/>
    <w:rsid w:val="00A14468"/>
    <w:rsid w:val="00A17F13"/>
    <w:rsid w:val="00A20739"/>
    <w:rsid w:val="00A23AF9"/>
    <w:rsid w:val="00A33C78"/>
    <w:rsid w:val="00A37388"/>
    <w:rsid w:val="00A9709A"/>
    <w:rsid w:val="00AB0ADB"/>
    <w:rsid w:val="00B00C0E"/>
    <w:rsid w:val="00B01B1A"/>
    <w:rsid w:val="00B0381D"/>
    <w:rsid w:val="00B44A47"/>
    <w:rsid w:val="00B4529E"/>
    <w:rsid w:val="00B72CD3"/>
    <w:rsid w:val="00B72FFF"/>
    <w:rsid w:val="00BC3D36"/>
    <w:rsid w:val="00BD54A6"/>
    <w:rsid w:val="00BD7F72"/>
    <w:rsid w:val="00BF7425"/>
    <w:rsid w:val="00C04FB3"/>
    <w:rsid w:val="00C11D8B"/>
    <w:rsid w:val="00C15139"/>
    <w:rsid w:val="00C330EB"/>
    <w:rsid w:val="00C34746"/>
    <w:rsid w:val="00C50D69"/>
    <w:rsid w:val="00C5365C"/>
    <w:rsid w:val="00C754BE"/>
    <w:rsid w:val="00C76B1C"/>
    <w:rsid w:val="00C925AC"/>
    <w:rsid w:val="00CB6357"/>
    <w:rsid w:val="00CC1B26"/>
    <w:rsid w:val="00D361FD"/>
    <w:rsid w:val="00D423A2"/>
    <w:rsid w:val="00D44E26"/>
    <w:rsid w:val="00D4649F"/>
    <w:rsid w:val="00D520D8"/>
    <w:rsid w:val="00D63AC2"/>
    <w:rsid w:val="00D7383B"/>
    <w:rsid w:val="00D7788A"/>
    <w:rsid w:val="00DA231B"/>
    <w:rsid w:val="00DA652F"/>
    <w:rsid w:val="00DC39FC"/>
    <w:rsid w:val="00DF5254"/>
    <w:rsid w:val="00E02524"/>
    <w:rsid w:val="00E12750"/>
    <w:rsid w:val="00E16408"/>
    <w:rsid w:val="00E20894"/>
    <w:rsid w:val="00E245AB"/>
    <w:rsid w:val="00E2764C"/>
    <w:rsid w:val="00E27F2E"/>
    <w:rsid w:val="00E50AFE"/>
    <w:rsid w:val="00E715FE"/>
    <w:rsid w:val="00E75C92"/>
    <w:rsid w:val="00E771DC"/>
    <w:rsid w:val="00E8772A"/>
    <w:rsid w:val="00E90F6B"/>
    <w:rsid w:val="00E92C27"/>
    <w:rsid w:val="00EA0E3D"/>
    <w:rsid w:val="00EC38A7"/>
    <w:rsid w:val="00EE1AA8"/>
    <w:rsid w:val="00F14FD9"/>
    <w:rsid w:val="00F23FEA"/>
    <w:rsid w:val="00F31EDC"/>
    <w:rsid w:val="00F462B3"/>
    <w:rsid w:val="00F5664F"/>
    <w:rsid w:val="00F666C4"/>
    <w:rsid w:val="00F76AFC"/>
    <w:rsid w:val="00FA47C0"/>
    <w:rsid w:val="00FB5DD1"/>
    <w:rsid w:val="00FC2B5D"/>
    <w:rsid w:val="00FC5AFC"/>
    <w:rsid w:val="00FF1449"/>
    <w:rsid w:val="00FF7963"/>
    <w:rsid w:val="0360B1F8"/>
    <w:rsid w:val="071B8F93"/>
    <w:rsid w:val="07C73DD1"/>
    <w:rsid w:val="09908A09"/>
    <w:rsid w:val="0E0AF0F4"/>
    <w:rsid w:val="0E2FDC0D"/>
    <w:rsid w:val="0EFE6349"/>
    <w:rsid w:val="0FF4CCA8"/>
    <w:rsid w:val="13CFC91B"/>
    <w:rsid w:val="19A2EC2C"/>
    <w:rsid w:val="21779BE6"/>
    <w:rsid w:val="2859CA1B"/>
    <w:rsid w:val="2C4D2425"/>
    <w:rsid w:val="2EE1E026"/>
    <w:rsid w:val="2F44F38F"/>
    <w:rsid w:val="30821638"/>
    <w:rsid w:val="32A4F9CF"/>
    <w:rsid w:val="33A1FF93"/>
    <w:rsid w:val="356CEDFD"/>
    <w:rsid w:val="3C591AFD"/>
    <w:rsid w:val="42183F0A"/>
    <w:rsid w:val="545B112A"/>
    <w:rsid w:val="5BEB1497"/>
    <w:rsid w:val="69614A15"/>
    <w:rsid w:val="74BA017B"/>
    <w:rsid w:val="7677286E"/>
    <w:rsid w:val="79A64A20"/>
    <w:rsid w:val="7A485DBF"/>
    <w:rsid w:val="7B2C0039"/>
    <w:rsid w:val="7BB183B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9964657A-A7FB-4DCB-9303-E8A51CD042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044E15"/>
    <w:pPr>
      <w:spacing w:line="240" w:lineRule="exact"/>
    </w:pPr>
    <w:rPr>
      <w:vertAlign w:val="superscript"/>
    </w:rPr>
  </w:style>
  <w:style w:type="table" w:customStyle="1" w:styleId="Tablaconcuadrcula1">
    <w:name w:val="Tabla con cuadrícula1"/>
    <w:basedOn w:val="Tablanormal"/>
    <w:next w:val="Tablaconcuadrcula"/>
    <w:uiPriority w:val="39"/>
    <w:qFormat/>
    <w:rsid w:val="00044E1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ar1">
    <w:name w:val="Car1"/>
    <w:basedOn w:val="Normal"/>
    <w:next w:val="Textonotapie"/>
    <w:uiPriority w:val="99"/>
    <w:unhideWhenUsed/>
    <w:qFormat/>
    <w:rsid w:val="00044E15"/>
    <w:pPr>
      <w:spacing w:after="0" w:line="240" w:lineRule="auto"/>
    </w:pPr>
    <w:rPr>
      <w:sz w:val="20"/>
      <w:szCs w:val="20"/>
      <w:lang w:val="es-MX"/>
    </w:rPr>
  </w:style>
  <w:style w:type="paragraph" w:customStyle="1" w:styleId="InviasNormal">
    <w:name w:val="Invias Normal"/>
    <w:basedOn w:val="Normal"/>
    <w:link w:val="InviasNormalCar"/>
    <w:qFormat/>
    <w:rsid w:val="00044E15"/>
    <w:pPr>
      <w:tabs>
        <w:tab w:val="left" w:pos="-142"/>
      </w:tabs>
      <w:autoSpaceDE w:val="0"/>
      <w:autoSpaceDN w:val="0"/>
      <w:adjustRightInd w:val="0"/>
      <w:spacing w:before="120" w:after="240" w:line="240" w:lineRule="auto"/>
    </w:pPr>
    <w:rPr>
      <w:rFonts w:ascii="Arial Narrow" w:eastAsia="Times New Roman" w:hAnsi="Arial Narrow" w:cs="Times New Roman"/>
      <w:sz w:val="24"/>
      <w:szCs w:val="24"/>
      <w:lang w:val="x-none" w:eastAsia="es-ES"/>
    </w:rPr>
  </w:style>
  <w:style w:type="character" w:customStyle="1" w:styleId="InviasNormalCar">
    <w:name w:val="Invias Normal Car"/>
    <w:link w:val="InviasNormal"/>
    <w:locked/>
    <w:rsid w:val="00044E15"/>
    <w:rPr>
      <w:rFonts w:ascii="Arial Narrow" w:eastAsia="Times New Roman" w:hAnsi="Arial Narrow" w:cs="Times New Roman"/>
      <w:sz w:val="24"/>
      <w:szCs w:val="24"/>
      <w:lang w:val="x-none" w:eastAsia="es-ES"/>
    </w:rPr>
  </w:style>
  <w:style w:type="table" w:customStyle="1" w:styleId="Tablaconcuadrcula2">
    <w:name w:val="Tabla con cuadrícula2"/>
    <w:basedOn w:val="Tablanormal"/>
    <w:next w:val="Tablaconcuadrcula"/>
    <w:uiPriority w:val="39"/>
    <w:qFormat/>
    <w:rsid w:val="00044E1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Refdecomentario">
    <w:name w:val="annotation reference"/>
    <w:basedOn w:val="Fuentedeprrafopredeter"/>
    <w:uiPriority w:val="99"/>
    <w:semiHidden/>
    <w:unhideWhenUsed/>
    <w:rsid w:val="00D4649F"/>
    <w:rPr>
      <w:sz w:val="16"/>
      <w:szCs w:val="16"/>
    </w:rPr>
  </w:style>
  <w:style w:type="paragraph" w:styleId="Textocomentario">
    <w:name w:val="annotation text"/>
    <w:basedOn w:val="Normal"/>
    <w:link w:val="TextocomentarioCar"/>
    <w:uiPriority w:val="99"/>
    <w:semiHidden/>
    <w:unhideWhenUsed/>
    <w:rsid w:val="00D4649F"/>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D4649F"/>
    <w:rPr>
      <w:sz w:val="20"/>
      <w:szCs w:val="20"/>
    </w:rPr>
  </w:style>
  <w:style w:type="paragraph" w:styleId="Asuntodelcomentario">
    <w:name w:val="annotation subject"/>
    <w:basedOn w:val="Textocomentario"/>
    <w:next w:val="Textocomentario"/>
    <w:link w:val="AsuntodelcomentarioCar"/>
    <w:uiPriority w:val="99"/>
    <w:semiHidden/>
    <w:unhideWhenUsed/>
    <w:rsid w:val="00D4649F"/>
    <w:rPr>
      <w:b/>
      <w:bCs/>
    </w:rPr>
  </w:style>
  <w:style w:type="character" w:customStyle="1" w:styleId="AsuntodelcomentarioCar">
    <w:name w:val="Asunto del comentario Car"/>
    <w:basedOn w:val="TextocomentarioCar"/>
    <w:link w:val="Asuntodelcomentario"/>
    <w:uiPriority w:val="99"/>
    <w:semiHidden/>
    <w:rsid w:val="00D4649F"/>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24454764">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568075362">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816871884">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953637238">
          <w:marLeft w:val="0"/>
          <w:marRight w:val="0"/>
          <w:marTop w:val="0"/>
          <w:marBottom w:val="0"/>
          <w:divBdr>
            <w:top w:val="none" w:sz="0" w:space="0" w:color="auto"/>
            <w:left w:val="none" w:sz="0" w:space="0" w:color="auto"/>
            <w:bottom w:val="none" w:sz="0" w:space="0" w:color="auto"/>
            <w:right w:val="none" w:sz="0" w:space="0" w:color="auto"/>
          </w:divBdr>
          <w:divsChild>
            <w:div w:id="220364327">
              <w:marLeft w:val="0"/>
              <w:marRight w:val="0"/>
              <w:marTop w:val="0"/>
              <w:marBottom w:val="0"/>
              <w:divBdr>
                <w:top w:val="none" w:sz="0" w:space="0" w:color="auto"/>
                <w:left w:val="none" w:sz="0" w:space="0" w:color="auto"/>
                <w:bottom w:val="none" w:sz="0" w:space="0" w:color="auto"/>
                <w:right w:val="none" w:sz="0" w:space="0" w:color="auto"/>
              </w:divBdr>
            </w:div>
            <w:div w:id="330067371">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sChild>
        </w:div>
        <w:div w:id="1002320289">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1134103737">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521668105">
                      <w:marLeft w:val="0"/>
                      <w:marRight w:val="0"/>
                      <w:marTop w:val="0"/>
                      <w:marBottom w:val="0"/>
                      <w:divBdr>
                        <w:top w:val="none" w:sz="0" w:space="0" w:color="auto"/>
                        <w:left w:val="none" w:sz="0" w:space="0" w:color="auto"/>
                        <w:bottom w:val="none" w:sz="0" w:space="0" w:color="auto"/>
                        <w:right w:val="none" w:sz="0" w:space="0" w:color="auto"/>
                      </w:divBdr>
                    </w:div>
                    <w:div w:id="1617329362">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061059177">
                      <w:marLeft w:val="0"/>
                      <w:marRight w:val="0"/>
                      <w:marTop w:val="0"/>
                      <w:marBottom w:val="0"/>
                      <w:divBdr>
                        <w:top w:val="none" w:sz="0" w:space="0" w:color="auto"/>
                        <w:left w:val="none" w:sz="0" w:space="0" w:color="auto"/>
                        <w:bottom w:val="none" w:sz="0" w:space="0" w:color="auto"/>
                        <w:right w:val="none" w:sz="0" w:space="0" w:color="auto"/>
                      </w:divBdr>
                    </w:div>
                    <w:div w:id="1669867117">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1791318772">
          <w:marLeft w:val="0"/>
          <w:marRight w:val="0"/>
          <w:marTop w:val="0"/>
          <w:marBottom w:val="0"/>
          <w:divBdr>
            <w:top w:val="none" w:sz="0" w:space="0" w:color="auto"/>
            <w:left w:val="none" w:sz="0" w:space="0" w:color="auto"/>
            <w:bottom w:val="none" w:sz="0" w:space="0" w:color="auto"/>
            <w:right w:val="none" w:sz="0" w:space="0" w:color="auto"/>
          </w:divBdr>
        </w:div>
        <w:div w:id="1814251553">
          <w:marLeft w:val="0"/>
          <w:marRight w:val="0"/>
          <w:marTop w:val="0"/>
          <w:marBottom w:val="0"/>
          <w:divBdr>
            <w:top w:val="none" w:sz="0" w:space="0" w:color="auto"/>
            <w:left w:val="none" w:sz="0" w:space="0" w:color="auto"/>
            <w:bottom w:val="none" w:sz="0" w:space="0" w:color="auto"/>
            <w:right w:val="none" w:sz="0" w:space="0" w:color="auto"/>
          </w:divBdr>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15305961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916237550">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524707673">
              <w:marLeft w:val="0"/>
              <w:marRight w:val="0"/>
              <w:marTop w:val="0"/>
              <w:marBottom w:val="0"/>
              <w:divBdr>
                <w:top w:val="none" w:sz="0" w:space="0" w:color="auto"/>
                <w:left w:val="none" w:sz="0" w:space="0" w:color="auto"/>
                <w:bottom w:val="none" w:sz="0" w:space="0" w:color="auto"/>
                <w:right w:val="none" w:sz="0" w:space="0" w:color="auto"/>
              </w:divBdr>
            </w:div>
            <w:div w:id="1192113255">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932930429">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52644634">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375154655">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sChild>
        </w:div>
        <w:div w:id="2033648475">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539319864">
                      <w:marLeft w:val="0"/>
                      <w:marRight w:val="0"/>
                      <w:marTop w:val="0"/>
                      <w:marBottom w:val="0"/>
                      <w:divBdr>
                        <w:top w:val="none" w:sz="0" w:space="0" w:color="auto"/>
                        <w:left w:val="none" w:sz="0" w:space="0" w:color="auto"/>
                        <w:bottom w:val="none" w:sz="0" w:space="0" w:color="auto"/>
                        <w:right w:val="none" w:sz="0" w:space="0" w:color="auto"/>
                      </w:divBdr>
                    </w:div>
                    <w:div w:id="1112624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0836280">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colombiacompra.gov.co/normativa-y-relatoria/documentos-tipo" TargetMode="External"/><Relationship Id="rId18" Type="http://schemas.openxmlformats.org/officeDocument/2006/relationships/image" Target="media/image5.png"/><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webSettings" Target="webSettings.xml"/><Relationship Id="rId12" Type="http://schemas.openxmlformats.org/officeDocument/2006/relationships/image" Target="media/image4.emf"/><Relationship Id="rId17" Type="http://schemas.openxmlformats.org/officeDocument/2006/relationships/hyperlink" Target="https://nam02.safelinks.protection.outlook.com/?url=https%3A%2F%2Fwww.colombiacompra.gov.co%2Farchivos%2Fboletin%2Fboletin-edicion-n-3-de-2026-radar-de-la-compra-publica&amp;data=05%7C02%7Ccarlos.castrillon%40colombiacompra.gov.co%7C7128555136e04fa6887d08dee99e1b50%7C7b09041e245149d08cb179d5e3d8c1be%7C0%7C0%7C639205062460570094%7CUnknown%7CTWFpbGZsb3d8eyJFbXB0eU1hcGkiOnRydWUsIlYiOiIwLjAuMDAwMCIsIlAiOiJXaW4zMiIsIkFOIjoiTWFpbCIsIldUIjoyfQ%3D%3D%7C0%7C%7C%7C&amp;sdata=kZv4Nh2z5OSpo4UBkV63XVE9d%2FJHjs3Ap9eCTYmcn3o%3D&amp;reserved=0" TargetMode="External"/><Relationship Id="rId2" Type="http://schemas.openxmlformats.org/officeDocument/2006/relationships/customXml" Target="../customXml/item2.xml"/><Relationship Id="rId16" Type="http://schemas.openxmlformats.org/officeDocument/2006/relationships/hyperlink" Target="https://nam02.safelinks.protection.outlook.com/?url=https%3A%2F%2Fwww.colombiacompra.gov.co%2Farchivos%2Fcircular%2Fcircular-externa-002-de-2026&amp;data=05%7C02%7Ccarlos.castrillon%40colombiacompra.gov.co%7C7128555136e04fa6887d08dee99e1b50%7C7b09041e245149d08cb179d5e3d8c1be%7C0%7C0%7C639205062460546272%7CUnknown%7CTWFpbGZsb3d8eyJFbXB0eU1hcGkiOnRydWUsIlYiOiIwLjAuMDAwMCIsIlAiOiJXaW4zMiIsIkFOIjoiTWFpbCIsIldUIjoyfQ%3D%3D%7C0%7C%7C%7C&amp;sdata=Tm99siSemhcsM9EWNgsmV8A0Zx%2FKwyZO2QYBBlaAAFU%3D&amp;reserved=0"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3.emf"/><Relationship Id="rId5" Type="http://schemas.openxmlformats.org/officeDocument/2006/relationships/styles" Target="styles.xml"/><Relationship Id="rId15" Type="http://schemas.openxmlformats.org/officeDocument/2006/relationships/hyperlink" Target="https://nam02.safelinks.protection.outlook.com/?url=https%3A%2F%2Fwww.colombiacompra.gov.co%2Farchivos%2Fcircular%2Fcircular-externa-003-de-2026&amp;data=05%7C02%7Ccarlos.castrillon%40colombiacompra.gov.co%7C7128555136e04fa6887d08dee99e1b50%7C7b09041e245149d08cb179d5e3d8c1be%7C0%7C0%7C639205062460521959%7CUnknown%7CTWFpbGZsb3d8eyJFbXB0eU1hcGkiOnRydWUsIlYiOiIwLjAuMDAwMCIsIlAiOiJXaW4zMiIsIkFOIjoiTWFpbCIsIldUIjoyfQ%3D%3D%7C0%7C%7C%7C&amp;sdata=o8s%2BpWDv9aJuyyezu%2Bo7L1tMx0nIz73vR%2FGlLdtKa4E%3D&amp;reserved=0" TargetMode="External"/><Relationship Id="rId10" Type="http://schemas.openxmlformats.org/officeDocument/2006/relationships/image" Target="media/image2.png"/><Relationship Id="rId19"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nam02.safelinks.protection.outlook.com/?url=https%3A%2F%2Fwww.colombiacompra.gov.co%2Farchivos%2Fmanual%2Fguia-de-garantias-en-procesos-de-contratacion&amp;data=05%7C02%7Ccarlos.castrillon%40colombiacompra.gov.co%7C7128555136e04fa6887d08dee99e1b50%7C7b09041e245149d08cb179d5e3d8c1be%7C0%7C0%7C639205062460492157%7CUnknown%7CTWFpbGZsb3d8eyJFbXB0eU1hcGkiOnRydWUsIlYiOiIwLjAuMDAwMCIsIlAiOiJXaW4zMiIsIkFOIjoiTWFpbCIsIldUIjoyfQ%3D%3D%7C0%7C%7C%7C&amp;sdata=3IOO%2FtzL7CYs7GSQWx3lEd8WXdinAX2M%2F8tHjq7gp4M%3D&amp;reserved=0" TargetMode="Externa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s://www.colombiacompra.gov.co/documentos-tipo/documentos-tipo"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7.png"/><Relationship Id="rId1" Type="http://schemas.openxmlformats.org/officeDocument/2006/relationships/image" Target="media/image6.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aa158c1e2510b50ba9620437d74e4ff">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1aa8ca4bdcfc2e304923d637cfc37a1"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3995809-897C-4D28-98A4-41066D7D6A8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customXml/itemProps3.xml><?xml version="1.0" encoding="utf-8"?>
<ds:datastoreItem xmlns:ds="http://schemas.openxmlformats.org/officeDocument/2006/customXml" ds:itemID="{19B0637E-D058-473B-8FE7-AA861F69C797}">
  <ds:schemaRefs>
    <ds:schemaRef ds:uri="http://schemas.microsoft.com/sharepoint/v3/contenttype/forms"/>
  </ds:schemaRefs>
</ds:datastoreItem>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Template>
  <TotalTime>4</TotalTime>
  <Pages>21</Pages>
  <Words>7423</Words>
  <Characters>40828</Characters>
  <Application>Microsoft Office Word</Application>
  <DocSecurity>0</DocSecurity>
  <Lines>340</Lines>
  <Paragraphs>96</Paragraphs>
  <ScaleCrop>false</ScaleCrop>
  <Company/>
  <LinksUpToDate>false</LinksUpToDate>
  <CharactersWithSpaces>48155</CharactersWithSpaces>
  <SharedDoc>false</SharedDoc>
  <HLinks>
    <vt:vector size="36" baseType="variant">
      <vt:variant>
        <vt:i4>3604538</vt:i4>
      </vt:variant>
      <vt:variant>
        <vt:i4>12</vt:i4>
      </vt:variant>
      <vt:variant>
        <vt:i4>0</vt:i4>
      </vt:variant>
      <vt:variant>
        <vt:i4>5</vt:i4>
      </vt:variant>
      <vt:variant>
        <vt:lpwstr>https://nam02.safelinks.protection.outlook.com/?url=https%3A%2F%2Fwww.colombiacompra.gov.co%2Farchivos%2Fboletin%2Fboletin-edicion-n-3-de-2026-radar-de-la-compra-publica&amp;data=05%7C02%7Ccarlos.castrillon%40colombiacompra.gov.co%7C7128555136e04fa6887d08dee99e1b50%7C7b09041e245149d08cb179d5e3d8c1be%7C0%7C0%7C639205062460570094%7CUnknown%7CTWFpbGZsb3d8eyJFbXB0eU1hcGkiOnRydWUsIlYiOiIwLjAuMDAwMCIsIlAiOiJXaW4zMiIsIkFOIjoiTWFpbCIsIldUIjoyfQ%3D%3D%7C0%7C%7C%7C&amp;sdata=kZv4Nh2z5OSpo4UBkV63XVE9d%2FJHjs3Ap9eCTYmcn3o%3D&amp;reserved=0</vt:lpwstr>
      </vt:variant>
      <vt:variant>
        <vt:lpwstr/>
      </vt:variant>
      <vt:variant>
        <vt:i4>7929894</vt:i4>
      </vt:variant>
      <vt:variant>
        <vt:i4>9</vt:i4>
      </vt:variant>
      <vt:variant>
        <vt:i4>0</vt:i4>
      </vt:variant>
      <vt:variant>
        <vt:i4>5</vt:i4>
      </vt:variant>
      <vt:variant>
        <vt:lpwstr>https://nam02.safelinks.protection.outlook.com/?url=https%3A%2F%2Fwww.colombiacompra.gov.co%2Farchivos%2Fcircular%2Fcircular-externa-002-de-2026&amp;data=05%7C02%7Ccarlos.castrillon%40colombiacompra.gov.co%7C7128555136e04fa6887d08dee99e1b50%7C7b09041e245149d08cb179d5e3d8c1be%7C0%7C0%7C639205062460546272%7CUnknown%7CTWFpbGZsb3d8eyJFbXB0eU1hcGkiOnRydWUsIlYiOiIwLjAuMDAwMCIsIlAiOiJXaW4zMiIsIkFOIjoiTWFpbCIsIldUIjoyfQ%3D%3D%7C0%7C%7C%7C&amp;sdata=Tm99siSemhcsM9EWNgsmV8A0Zx%2FKwyZO2QYBBlaAAFU%3D&amp;reserved=0</vt:lpwstr>
      </vt:variant>
      <vt:variant>
        <vt:lpwstr/>
      </vt:variant>
      <vt:variant>
        <vt:i4>7864358</vt:i4>
      </vt:variant>
      <vt:variant>
        <vt:i4>6</vt:i4>
      </vt:variant>
      <vt:variant>
        <vt:i4>0</vt:i4>
      </vt:variant>
      <vt:variant>
        <vt:i4>5</vt:i4>
      </vt:variant>
      <vt:variant>
        <vt:lpwstr>https://nam02.safelinks.protection.outlook.com/?url=https%3A%2F%2Fwww.colombiacompra.gov.co%2Farchivos%2Fcircular%2Fcircular-externa-003-de-2026&amp;data=05%7C02%7Ccarlos.castrillon%40colombiacompra.gov.co%7C7128555136e04fa6887d08dee99e1b50%7C7b09041e245149d08cb179d5e3d8c1be%7C0%7C0%7C639205062460521959%7CUnknown%7CTWFpbGZsb3d8eyJFbXB0eU1hcGkiOnRydWUsIlYiOiIwLjAuMDAwMCIsIlAiOiJXaW4zMiIsIkFOIjoiTWFpbCIsIldUIjoyfQ%3D%3D%7C0%7C%7C%7C&amp;sdata=o8s%2BpWDv9aJuyyezu%2Bo7L1tMx0nIz73vR%2FGlLdtKa4E%3D&amp;reserved=0</vt:lpwstr>
      </vt:variant>
      <vt:variant>
        <vt:lpwstr/>
      </vt:variant>
      <vt:variant>
        <vt:i4>7340140</vt:i4>
      </vt:variant>
      <vt:variant>
        <vt:i4>3</vt:i4>
      </vt:variant>
      <vt:variant>
        <vt:i4>0</vt:i4>
      </vt:variant>
      <vt:variant>
        <vt:i4>5</vt:i4>
      </vt:variant>
      <vt:variant>
        <vt:lpwstr>https://nam02.safelinks.protection.outlook.com/?url=https%3A%2F%2Fwww.colombiacompra.gov.co%2Farchivos%2Fmanual%2Fguia-de-garantias-en-procesos-de-contratacion&amp;data=05%7C02%7Ccarlos.castrillon%40colombiacompra.gov.co%7C7128555136e04fa6887d08dee99e1b50%7C7b09041e245149d08cb179d5e3d8c1be%7C0%7C0%7C639205062460492157%7CUnknown%7CTWFpbGZsb3d8eyJFbXB0eU1hcGkiOnRydWUsIlYiOiIwLjAuMDAwMCIsIlAiOiJXaW4zMiIsIkFOIjoiTWFpbCIsIldUIjoyfQ%3D%3D%7C0%7C%7C%7C&amp;sdata=3IOO%2FtzL7CYs7GSQWx3lEd8WXdinAX2M%2F8tHjq7gp4M%3D&amp;reserved=0</vt:lpwstr>
      </vt:variant>
      <vt:variant>
        <vt:lpwstr/>
      </vt:variant>
      <vt:variant>
        <vt:i4>3735661</vt:i4>
      </vt:variant>
      <vt:variant>
        <vt:i4>0</vt:i4>
      </vt:variant>
      <vt:variant>
        <vt:i4>0</vt:i4>
      </vt:variant>
      <vt:variant>
        <vt:i4>5</vt:i4>
      </vt:variant>
      <vt:variant>
        <vt:lpwstr>https://www.colombiacompra.gov.co/normativa-y-relatoria/documentos-tipo</vt:lpwstr>
      </vt:variant>
      <vt:variant>
        <vt:lpwstr/>
      </vt:variant>
      <vt:variant>
        <vt:i4>4653144</vt:i4>
      </vt:variant>
      <vt:variant>
        <vt:i4>0</vt:i4>
      </vt:variant>
      <vt:variant>
        <vt:i4>0</vt:i4>
      </vt:variant>
      <vt:variant>
        <vt:i4>5</vt:i4>
      </vt:variant>
      <vt:variant>
        <vt:lpwstr>https://www.colombiacompra.gov.co/documentos-tipo/documentos-tipo</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Sergio Andrés Rivera Cano</cp:lastModifiedBy>
  <cp:revision>5</cp:revision>
  <cp:lastPrinted>2023-01-11T00:18:00Z</cp:lastPrinted>
  <dcterms:created xsi:type="dcterms:W3CDTF">2026-11-03T12:54:00Z</dcterms:created>
  <dcterms:modified xsi:type="dcterms:W3CDTF">2026-11-03T22:52:00Z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