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CDFB" w14:textId="77777777" w:rsidR="006D049B" w:rsidRPr="003E5EAD" w:rsidRDefault="006D049B" w:rsidP="006D049B">
      <w:pPr>
        <w:spacing w:after="0" w:line="240" w:lineRule="auto"/>
        <w:jc w:val="both"/>
        <w:rPr>
          <w:rFonts w:ascii="Verdana" w:eastAsia="Times New Roman" w:hAnsi="Verdana" w:cs="Arial"/>
          <w:b/>
          <w:lang w:val="es-ES" w:eastAsia="es-ES_tradnl"/>
        </w:rPr>
      </w:pPr>
      <w:bookmarkStart w:id="0" w:name="_Hlk143780582"/>
      <w:r w:rsidRPr="003E5EAD">
        <w:rPr>
          <w:rFonts w:ascii="Verdana" w:eastAsia="Calibri" w:hAnsi="Verdana" w:cs="Arial"/>
          <w:b/>
          <w:lang w:val="es-MX" w:eastAsia="es-ES_tradnl"/>
        </w:rPr>
        <w:t xml:space="preserve">AUTORIDADES TRADICIONALES INDÍGENAS – Asociaciones de cabildos indígenas y/o autoridades tradicionales indígenas – Noción – </w:t>
      </w:r>
      <w:r w:rsidRPr="003E5EAD">
        <w:rPr>
          <w:rFonts w:ascii="Verdana" w:eastAsia="Times New Roman" w:hAnsi="Verdana" w:cs="Arial"/>
          <w:b/>
          <w:lang w:val="es-ES" w:eastAsia="es-ES_tradnl"/>
        </w:rPr>
        <w:t xml:space="preserve">Régimen de contratación – Decreto 1088 de 1993 – Decreto 252 de 2020 </w:t>
      </w:r>
    </w:p>
    <w:p w14:paraId="4270FD83" w14:textId="77777777" w:rsidR="006D049B" w:rsidRPr="003E5EAD" w:rsidRDefault="006D049B" w:rsidP="006D049B">
      <w:pPr>
        <w:spacing w:after="0" w:line="240" w:lineRule="auto"/>
        <w:jc w:val="both"/>
        <w:rPr>
          <w:rFonts w:ascii="Verdana" w:eastAsia="Times New Roman" w:hAnsi="Verdana" w:cs="Arial"/>
          <w:b/>
          <w:sz w:val="20"/>
          <w:szCs w:val="20"/>
          <w:lang w:val="es-ES" w:eastAsia="es-ES_tradnl"/>
        </w:rPr>
      </w:pPr>
    </w:p>
    <w:p w14:paraId="03BA5094" w14:textId="77777777" w:rsidR="006D049B" w:rsidRPr="003E5EAD" w:rsidRDefault="006D049B" w:rsidP="006D049B">
      <w:pPr>
        <w:spacing w:after="0" w:line="240" w:lineRule="auto"/>
        <w:jc w:val="both"/>
        <w:rPr>
          <w:rFonts w:ascii="Verdana" w:eastAsia="Calibri" w:hAnsi="Verdana" w:cs="Times New Roman"/>
          <w:sz w:val="20"/>
          <w:szCs w:val="20"/>
          <w:lang w:val="es-ES"/>
        </w:rPr>
      </w:pPr>
      <w:r w:rsidRPr="003E5EAD">
        <w:rPr>
          <w:rFonts w:ascii="Verdana" w:eastAsia="Century Gothic" w:hAnsi="Verdana" w:cs="Century Gothic"/>
          <w:sz w:val="20"/>
          <w:szCs w:val="20"/>
          <w:lang w:val="es-ES"/>
        </w:rPr>
        <w:t xml:space="preserve">“[…] </w:t>
      </w:r>
      <w:r w:rsidRPr="003E5EAD">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1DB1E3E8" w14:textId="77777777" w:rsidR="006D049B" w:rsidRPr="003E5EAD" w:rsidRDefault="006D049B" w:rsidP="006D049B">
      <w:pPr>
        <w:spacing w:after="0" w:line="240" w:lineRule="auto"/>
        <w:jc w:val="both"/>
        <w:rPr>
          <w:rFonts w:ascii="Verdana" w:eastAsia="Calibri" w:hAnsi="Verdana" w:cs="Times New Roman"/>
          <w:sz w:val="20"/>
          <w:szCs w:val="20"/>
          <w:lang w:val="es-ES"/>
        </w:rPr>
      </w:pPr>
    </w:p>
    <w:p w14:paraId="4C810037" w14:textId="77777777" w:rsidR="006D049B" w:rsidRPr="003E5EAD" w:rsidRDefault="006D049B" w:rsidP="006D049B">
      <w:pPr>
        <w:spacing w:after="0" w:line="240" w:lineRule="auto"/>
        <w:jc w:val="both"/>
        <w:rPr>
          <w:rFonts w:ascii="Verdana" w:eastAsia="Century Gothic" w:hAnsi="Verdana" w:cs="Century Gothic"/>
          <w:sz w:val="20"/>
          <w:szCs w:val="20"/>
          <w:lang w:val="es-ES"/>
        </w:rPr>
      </w:pPr>
      <w:r w:rsidRPr="003E5EAD">
        <w:rPr>
          <w:rFonts w:ascii="Verdana" w:eastAsia="Century Gothic" w:hAnsi="Verdana" w:cs="Century Gothic"/>
          <w:sz w:val="20"/>
          <w:szCs w:val="20"/>
          <w:lang w:val="es-ES"/>
        </w:rPr>
        <w:t>En relación con la naturaleza de los actos y contratos celebrados por estas asociaciones, el artículo 10 señala específicamente que “Los actos y contratos de naturaleza industrial o comercial de las asociaciones de que trata el presente Decreto, se regirán por el derecho privado. En los demás casos se sujetarán a las normas sobre asociaciones de entidades públicas conforme al Decreto 130 de 1976 y normas concordantes”. […]”</w:t>
      </w:r>
    </w:p>
    <w:p w14:paraId="0BF21C05" w14:textId="77777777" w:rsidR="006D049B" w:rsidRPr="003E5EAD" w:rsidRDefault="006D049B" w:rsidP="006D049B">
      <w:pPr>
        <w:spacing w:after="0" w:line="240" w:lineRule="auto"/>
        <w:jc w:val="both"/>
        <w:rPr>
          <w:rFonts w:ascii="Verdana" w:eastAsia="Century Gothic" w:hAnsi="Verdana" w:cs="Century Gothic"/>
          <w:sz w:val="20"/>
          <w:szCs w:val="20"/>
          <w:lang w:val="es-ES"/>
        </w:rPr>
      </w:pPr>
    </w:p>
    <w:p w14:paraId="62299DB8" w14:textId="77777777" w:rsidR="006D049B" w:rsidRPr="003E5EAD" w:rsidRDefault="006D049B" w:rsidP="006D049B">
      <w:pPr>
        <w:spacing w:after="0" w:line="240" w:lineRule="auto"/>
        <w:jc w:val="both"/>
        <w:rPr>
          <w:rFonts w:ascii="Verdana" w:eastAsia="Century Gothic" w:hAnsi="Verdana" w:cs="Century Gothic"/>
          <w:sz w:val="20"/>
          <w:szCs w:val="20"/>
          <w:lang w:val="es-ES"/>
        </w:rPr>
      </w:pPr>
      <w:r w:rsidRPr="003E5EAD">
        <w:rPr>
          <w:rFonts w:ascii="Verdana" w:eastAsia="Century Gothic" w:hAnsi="Verdana" w:cs="Century Gothic"/>
          <w:sz w:val="20"/>
          <w:szCs w:val="20"/>
          <w:lang w:val="es-ES"/>
        </w:rPr>
        <w:t xml:space="preserve">[…] </w:t>
      </w:r>
      <w:r w:rsidRPr="003E5EAD">
        <w:rPr>
          <w:rFonts w:ascii="Verdana" w:eastAsia="Geomanist Light" w:hAnsi="Verdana" w:cs="Arial"/>
          <w:color w:val="000000" w:themeColor="text1"/>
          <w:sz w:val="20"/>
          <w:szCs w:val="20"/>
          <w:lang w:val="es-ES"/>
        </w:rPr>
        <w:t>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la naturaleza de los actos y contratos de estas asociaciones y organizaciones indígenas y, señaló que los contratos industriales y comerciales se regirán por las reglas de derecho privado.</w:t>
      </w:r>
      <w:r w:rsidRPr="003E5EAD">
        <w:rPr>
          <w:rFonts w:ascii="Verdana" w:eastAsia="Century Gothic" w:hAnsi="Verdana" w:cs="Century Gothic"/>
          <w:sz w:val="20"/>
          <w:szCs w:val="20"/>
          <w:lang w:val="es-ES"/>
        </w:rPr>
        <w:t xml:space="preserve"> […]”</w:t>
      </w:r>
    </w:p>
    <w:p w14:paraId="719474A2" w14:textId="77777777" w:rsidR="006D049B" w:rsidRPr="003E5EAD" w:rsidRDefault="006D049B" w:rsidP="006D049B">
      <w:pPr>
        <w:spacing w:after="0" w:line="256" w:lineRule="auto"/>
        <w:jc w:val="both"/>
        <w:rPr>
          <w:rFonts w:ascii="Verdana" w:eastAsia="Century Gothic" w:hAnsi="Verdana" w:cs="Century Gothic"/>
          <w:sz w:val="20"/>
          <w:szCs w:val="20"/>
          <w:lang w:val="es-ES"/>
        </w:rPr>
      </w:pPr>
    </w:p>
    <w:p w14:paraId="674B4E0E" w14:textId="77777777" w:rsidR="006D049B" w:rsidRPr="003E5EAD" w:rsidRDefault="006D049B" w:rsidP="006D049B">
      <w:pPr>
        <w:spacing w:after="0" w:line="240" w:lineRule="auto"/>
        <w:rPr>
          <w:rFonts w:ascii="Verdana" w:eastAsia="Calibri" w:hAnsi="Verdana" w:cs="Arial"/>
          <w:b/>
          <w:bCs/>
          <w:lang w:val="es-ES" w:eastAsia="es-ES"/>
        </w:rPr>
      </w:pPr>
      <w:r w:rsidRPr="003E5EAD">
        <w:rPr>
          <w:rFonts w:ascii="Verdana" w:eastAsia="Calibri" w:hAnsi="Verdana" w:cs="Arial"/>
          <w:b/>
          <w:bCs/>
          <w:lang w:val="es-ES" w:eastAsia="es-ES"/>
        </w:rPr>
        <w:t xml:space="preserve">SISTEMA GENERAL DE REGALÍAS – Ley 2056 de 2020 – Artículo 37 </w:t>
      </w:r>
    </w:p>
    <w:p w14:paraId="4EFE5BCE" w14:textId="77777777" w:rsidR="006D049B" w:rsidRPr="003E5EAD" w:rsidRDefault="006D049B" w:rsidP="006D049B">
      <w:pPr>
        <w:spacing w:after="0" w:line="240" w:lineRule="auto"/>
        <w:jc w:val="both"/>
        <w:rPr>
          <w:rFonts w:ascii="Verdana" w:hAnsi="Verdana" w:cs="Arial"/>
          <w:noProof/>
          <w:sz w:val="20"/>
          <w:szCs w:val="20"/>
          <w:lang w:val="es-ES_tradnl"/>
        </w:rPr>
      </w:pPr>
    </w:p>
    <w:p w14:paraId="0F14DD2F" w14:textId="77777777" w:rsidR="006D049B" w:rsidRPr="003E5EAD" w:rsidRDefault="006D049B" w:rsidP="006D049B">
      <w:pPr>
        <w:spacing w:after="0" w:line="240" w:lineRule="auto"/>
        <w:jc w:val="both"/>
        <w:rPr>
          <w:rFonts w:ascii="Verdana" w:hAnsi="Verdana" w:cs="Arial"/>
          <w:noProof/>
          <w:sz w:val="20"/>
          <w:szCs w:val="20"/>
          <w:lang w:val="es-ES_tradnl"/>
        </w:rPr>
      </w:pPr>
      <w:r w:rsidRPr="003E5EAD">
        <w:rPr>
          <w:rFonts w:ascii="Verdana" w:hAnsi="Verdana" w:cs="Arial"/>
          <w:noProof/>
          <w:sz w:val="20"/>
          <w:szCs w:val="20"/>
          <w:lang w:val="es-ES_tradnl"/>
        </w:rPr>
        <w:t xml:space="preserve">El artículo 37 de la Ley 2056 de 2020 dispone que los proyectos de inversión que se financien con cargo al Sistema General de Regalías serán ejecutados por quien designe las entidades u órganos de que tratan los artículos 35 y 36 ibidem.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2E760468" w14:textId="77777777" w:rsidR="006D049B" w:rsidRPr="003E5EAD" w:rsidRDefault="006D049B" w:rsidP="006D049B">
      <w:pPr>
        <w:spacing w:after="0" w:line="240" w:lineRule="auto"/>
        <w:jc w:val="both"/>
        <w:rPr>
          <w:rFonts w:ascii="Verdana" w:hAnsi="Verdana" w:cs="Arial"/>
          <w:noProof/>
          <w:sz w:val="20"/>
          <w:szCs w:val="20"/>
          <w:lang w:val="es-ES_tradnl"/>
        </w:rPr>
      </w:pPr>
    </w:p>
    <w:p w14:paraId="0093C355" w14:textId="24BF31B8" w:rsidR="006D049B" w:rsidRPr="003E5EAD" w:rsidRDefault="006D049B" w:rsidP="006D049B">
      <w:pPr>
        <w:spacing w:after="0" w:line="240" w:lineRule="auto"/>
        <w:jc w:val="both"/>
        <w:rPr>
          <w:rFonts w:ascii="Verdana" w:hAnsi="Verdana" w:cs="Arial"/>
          <w:noProof/>
          <w:sz w:val="20"/>
          <w:szCs w:val="20"/>
          <w:lang w:val="es-ES_tradnl"/>
        </w:rPr>
      </w:pPr>
      <w:r w:rsidRPr="003E5EAD">
        <w:rPr>
          <w:rFonts w:ascii="Verdana" w:hAnsi="Verdana" w:cs="Arial"/>
          <w:noProof/>
          <w:sz w:val="20"/>
          <w:szCs w:val="20"/>
          <w:lang w:val="es-ES_tradnl"/>
        </w:rPr>
        <w:t xml:space="preserve">El parágrafo primero del artículo 37 ibidem dispone lo siguiente: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 A partir de esta norma, el </w:t>
      </w:r>
      <w:r w:rsidR="00193B51">
        <w:rPr>
          <w:rFonts w:ascii="Verdana" w:hAnsi="Verdana" w:cs="Arial"/>
          <w:noProof/>
          <w:sz w:val="20"/>
          <w:szCs w:val="20"/>
          <w:lang w:val="es-ES_tradnl"/>
        </w:rPr>
        <w:t>ejecutor</w:t>
      </w:r>
      <w:r w:rsidRPr="003E5EAD">
        <w:rPr>
          <w:rFonts w:ascii="Verdana" w:hAnsi="Verdana" w:cs="Arial"/>
          <w:noProof/>
          <w:sz w:val="20"/>
          <w:szCs w:val="20"/>
          <w:lang w:val="es-ES_tradnl"/>
        </w:rPr>
        <w:t xml:space="preserve"> de los proyectos de inversi</w:t>
      </w:r>
      <w:r w:rsidR="00EE0541">
        <w:rPr>
          <w:rFonts w:ascii="Verdana" w:hAnsi="Verdana" w:cs="Arial"/>
          <w:noProof/>
          <w:sz w:val="20"/>
          <w:szCs w:val="20"/>
          <w:lang w:val="es-ES_tradnl"/>
        </w:rPr>
        <w:t>ó</w:t>
      </w:r>
      <w:r w:rsidRPr="003E5EAD">
        <w:rPr>
          <w:rFonts w:ascii="Verdana" w:hAnsi="Verdana" w:cs="Arial"/>
          <w:noProof/>
          <w:sz w:val="20"/>
          <w:szCs w:val="20"/>
          <w:lang w:val="es-ES_tradnl"/>
        </w:rPr>
        <w:t xml:space="preserve">n en el SGR debe sujetarse a las reglas de contratación pública, es decir, a las prescripciones establecidas en el Estatuto General de Contratación Pública, así como las normas que lo modifiquen, sustituyan o reglamenten. En efecto, el ejecutor </w:t>
      </w:r>
      <w:r w:rsidRPr="003E5EAD">
        <w:rPr>
          <w:rFonts w:ascii="Verdana" w:hAnsi="Verdana" w:cs="Arial"/>
          <w:noProof/>
          <w:sz w:val="20"/>
          <w:szCs w:val="20"/>
          <w:lang w:val="es-ES_tradnl"/>
        </w:rPr>
        <w:lastRenderedPageBreak/>
        <w:t xml:space="preserve">debe someterse a las reglas generales de la contratación pública cuando desarrolle proyectos en el marco del Sistema General de Regalías. </w:t>
      </w:r>
    </w:p>
    <w:p w14:paraId="3FB9342C" w14:textId="77777777" w:rsidR="006D049B" w:rsidRPr="003E5EAD" w:rsidRDefault="006D049B" w:rsidP="006D049B">
      <w:pPr>
        <w:spacing w:after="0" w:line="240" w:lineRule="auto"/>
        <w:jc w:val="both"/>
        <w:rPr>
          <w:rFonts w:ascii="Verdana" w:hAnsi="Verdana" w:cs="Arial"/>
          <w:sz w:val="20"/>
          <w:szCs w:val="20"/>
        </w:rPr>
      </w:pPr>
    </w:p>
    <w:p w14:paraId="3F1360D7" w14:textId="77777777" w:rsidR="006D049B" w:rsidRPr="003E5EAD" w:rsidRDefault="006D049B" w:rsidP="006D049B">
      <w:pPr>
        <w:jc w:val="both"/>
        <w:rPr>
          <w:rFonts w:ascii="Verdana" w:eastAsia="Calibri" w:hAnsi="Verdana" w:cs="Arial"/>
          <w:b/>
          <w:bCs/>
          <w:lang w:val="es-ES" w:eastAsia="es-ES"/>
        </w:rPr>
      </w:pPr>
      <w:r w:rsidRPr="003E5EAD">
        <w:rPr>
          <w:rFonts w:ascii="Verdana" w:eastAsia="Calibri" w:hAnsi="Verdana" w:cs="Arial"/>
          <w:b/>
          <w:bCs/>
          <w:lang w:val="es-ES" w:eastAsia="es-ES"/>
        </w:rPr>
        <w:t xml:space="preserve">RÉGIMEN CONTRACTUAL – Entidades ejecutoras – Aplicación del Estatuto General de Contratación de la Administración Pública – Postura Consejo de Estado – Cambio de posición ANCP – CCE     </w:t>
      </w:r>
    </w:p>
    <w:p w14:paraId="6576E9C6" w14:textId="4B591F1B" w:rsidR="006D049B" w:rsidRPr="003E5EAD" w:rsidRDefault="006D049B" w:rsidP="006D049B">
      <w:pPr>
        <w:spacing w:after="0" w:line="240" w:lineRule="auto"/>
        <w:jc w:val="both"/>
        <w:rPr>
          <w:rFonts w:ascii="Verdana" w:hAnsi="Verdana" w:cs="Arial"/>
          <w:sz w:val="20"/>
          <w:szCs w:val="20"/>
        </w:rPr>
      </w:pPr>
      <w:r w:rsidRPr="003E5EAD">
        <w:rPr>
          <w:rFonts w:ascii="Verdana" w:hAnsi="Verdana" w:cs="Arial"/>
          <w:sz w:val="20"/>
          <w:szCs w:val="20"/>
        </w:rPr>
        <w:t xml:space="preserve">En el Concepto 2563 del 25 de junio de 2026, la Sala de Consulta y Servicio Civil del Consejo de Estado concluyó que, </w:t>
      </w:r>
      <w:r w:rsidR="00967BF4">
        <w:rPr>
          <w:rFonts w:ascii="Verdana" w:hAnsi="Verdana" w:cs="Arial"/>
          <w:sz w:val="20"/>
          <w:szCs w:val="20"/>
        </w:rPr>
        <w:t>c</w:t>
      </w:r>
      <w:r w:rsidRPr="003E5EAD">
        <w:rPr>
          <w:rFonts w:ascii="Verdana" w:hAnsi="Verdana" w:cs="Arial"/>
          <w:sz w:val="20"/>
          <w:szCs w:val="20"/>
        </w:rPr>
        <w:t>uando una entidad con régimen contractual especial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Lo anterior obedece a que el régimen aplicable a la ejecución de los recursos del SGR está determinado por su fuente de financiación y por las reglas especiales que gobiernan dicha ejecución, de manera que la sujeción al EGCAP constituye un mandato especial y no una remisión subsidiaria al régimen interno de la entidad ejecutora.</w:t>
      </w:r>
    </w:p>
    <w:p w14:paraId="1DF350AF" w14:textId="77777777" w:rsidR="006D049B" w:rsidRPr="003E5EAD" w:rsidRDefault="006D049B" w:rsidP="006D049B">
      <w:pPr>
        <w:spacing w:after="0" w:line="240" w:lineRule="auto"/>
        <w:jc w:val="both"/>
        <w:rPr>
          <w:rFonts w:ascii="Verdana" w:hAnsi="Verdana" w:cs="Arial"/>
          <w:sz w:val="20"/>
          <w:szCs w:val="20"/>
        </w:rPr>
      </w:pPr>
    </w:p>
    <w:p w14:paraId="1A6B17CD" w14:textId="77777777" w:rsidR="006D049B" w:rsidRPr="003E5EAD" w:rsidRDefault="006D049B" w:rsidP="006D049B">
      <w:pPr>
        <w:spacing w:after="0" w:line="240" w:lineRule="auto"/>
        <w:jc w:val="both"/>
        <w:rPr>
          <w:rFonts w:ascii="Verdana" w:hAnsi="Verdana" w:cs="Arial"/>
          <w:sz w:val="20"/>
          <w:szCs w:val="20"/>
        </w:rPr>
      </w:pPr>
      <w:r w:rsidRPr="003E5EAD">
        <w:rPr>
          <w:rFonts w:ascii="Verdana" w:eastAsia="Century Gothic" w:hAnsi="Verdana" w:cs="Century Gothic"/>
          <w:sz w:val="20"/>
          <w:szCs w:val="20"/>
          <w:lang w:val="es-ES"/>
        </w:rPr>
        <w:t>[…]</w:t>
      </w:r>
    </w:p>
    <w:p w14:paraId="197CDF3A" w14:textId="77777777" w:rsidR="006D049B" w:rsidRPr="003E5EAD" w:rsidRDefault="006D049B" w:rsidP="006D049B">
      <w:pPr>
        <w:spacing w:after="0" w:line="240" w:lineRule="auto"/>
        <w:jc w:val="both"/>
        <w:rPr>
          <w:rFonts w:ascii="Verdana" w:hAnsi="Verdana" w:cs="Arial"/>
          <w:sz w:val="20"/>
          <w:szCs w:val="20"/>
        </w:rPr>
      </w:pPr>
    </w:p>
    <w:p w14:paraId="668C800C" w14:textId="77777777" w:rsidR="006D049B" w:rsidRPr="003E5EAD" w:rsidRDefault="006D049B" w:rsidP="006D049B">
      <w:pPr>
        <w:spacing w:after="0" w:line="240" w:lineRule="auto"/>
        <w:jc w:val="both"/>
        <w:rPr>
          <w:rFonts w:ascii="Verdana" w:hAnsi="Verdana" w:cs="Arial"/>
          <w:sz w:val="20"/>
          <w:szCs w:val="20"/>
        </w:rPr>
      </w:pPr>
      <w:r w:rsidRPr="003E5EAD">
        <w:rPr>
          <w:rFonts w:ascii="Verdana" w:hAnsi="Verdana" w:cs="Arial"/>
          <w:sz w:val="20"/>
          <w:szCs w:val="20"/>
        </w:rPr>
        <w:t>Asimismo, la Sala de Consulta y Servicio Civil identificó únicamente hipótesis expresamente previstas en la Ley 2056 de 2020 o en su reglamentación que permiten acudir a una regla contractual distinta. Entre ellas se encuentran la ejecución directa mediante acto administrativo unilateral que decrete el gasto, cuando la entidad ejecutora produce directamente el bien o presta el servicio aprobado en el proyecto, y el régimen especial previsto para los proyectos de ciencia, tecnología e innovación. En consecuencia, dentro de las excepciones señaladas por el Consejo de Estado no se encuentran los recursos de inversión asignados a los pueblos y comunidades indígenas, respecto de los cuales se mantiene la regla general de sujeción al EGCAP.</w:t>
      </w:r>
    </w:p>
    <w:p w14:paraId="37192D3E" w14:textId="77777777" w:rsidR="006D049B" w:rsidRPr="003E5EAD" w:rsidRDefault="006D049B" w:rsidP="006D049B">
      <w:pPr>
        <w:spacing w:after="0" w:line="240" w:lineRule="auto"/>
        <w:jc w:val="both"/>
        <w:rPr>
          <w:rFonts w:ascii="Verdana" w:hAnsi="Verdana" w:cs="Arial"/>
          <w:sz w:val="20"/>
          <w:szCs w:val="20"/>
        </w:rPr>
      </w:pPr>
    </w:p>
    <w:p w14:paraId="5BE9780B" w14:textId="77777777" w:rsidR="006D049B" w:rsidRPr="003E5EAD" w:rsidRDefault="006D049B" w:rsidP="006D049B">
      <w:pPr>
        <w:spacing w:after="0" w:line="240" w:lineRule="auto"/>
        <w:jc w:val="both"/>
        <w:rPr>
          <w:rFonts w:ascii="Verdana" w:hAnsi="Verdana" w:cs="Arial"/>
          <w:sz w:val="20"/>
          <w:szCs w:val="20"/>
        </w:rPr>
      </w:pPr>
      <w:r w:rsidRPr="003E5EAD">
        <w:rPr>
          <w:rFonts w:ascii="Verdana" w:hAnsi="Verdana" w:cs="Arial"/>
          <w:sz w:val="20"/>
          <w:szCs w:val="20"/>
        </w:rPr>
        <w:t>En atención a estas consideraciones, la Agencia replantea la postura sostenida en los conceptos C-891 de 2024, C-844 de 2025, C-1257 de 2025 y C-1585 de 2025, con el fin de armonizarla con el criterio expuesto por el Consejo de Estado. En consecuencia, cuando los resguardos y asociaciones de resguardos, las asociaciones de cabildos y de autoridades tradicionales indígenas, las demás formas de organización indígena debidamente inscritas en el Registro Único del Ministerio del Interior y las organizaciones indígenas a que se refiere el Decreto 252 de 2020 sean ejecutoras de recursos del SGR, deberán sujetarse al EGCAP para la contratación necesaria para desarrollar los proyectos, sin perjuicio de que en sus demás actividades continúen aplicando el régimen especial que les corresponda.</w:t>
      </w:r>
    </w:p>
    <w:p w14:paraId="167564FE" w14:textId="77777777" w:rsidR="006D049B" w:rsidRDefault="006D049B" w:rsidP="30821638">
      <w:pPr>
        <w:spacing w:after="0"/>
        <w:rPr>
          <w:rFonts w:ascii="Verdana" w:eastAsia="Verdana" w:hAnsi="Verdana" w:cs="Verdana"/>
        </w:rPr>
      </w:pPr>
    </w:p>
    <w:p w14:paraId="1A401590" w14:textId="77777777" w:rsidR="00690988" w:rsidRPr="003E5EAD" w:rsidRDefault="00690988" w:rsidP="30821638">
      <w:pPr>
        <w:spacing w:after="0"/>
        <w:rPr>
          <w:rFonts w:ascii="Verdana" w:eastAsia="Verdana" w:hAnsi="Verdana" w:cs="Verdana"/>
        </w:rPr>
      </w:pPr>
    </w:p>
    <w:p w14:paraId="348D5606" w14:textId="77777777" w:rsidR="00680536" w:rsidRPr="003E5EAD" w:rsidRDefault="00680536" w:rsidP="30821638">
      <w:pPr>
        <w:spacing w:after="0"/>
        <w:rPr>
          <w:rFonts w:ascii="Verdana" w:eastAsia="Verdana" w:hAnsi="Verdana" w:cs="Verdana"/>
        </w:rPr>
      </w:pPr>
    </w:p>
    <w:p w14:paraId="4E989315" w14:textId="77777777" w:rsidR="0050144A" w:rsidRPr="003E5EAD" w:rsidRDefault="0050144A" w:rsidP="30821638">
      <w:pPr>
        <w:spacing w:after="0"/>
        <w:rPr>
          <w:rFonts w:ascii="Verdana" w:eastAsia="Verdana" w:hAnsi="Verdana" w:cs="Verdana"/>
        </w:rPr>
      </w:pPr>
    </w:p>
    <w:p w14:paraId="39E283B9" w14:textId="77777777" w:rsidR="00690988" w:rsidRDefault="00C15139" w:rsidP="30821638">
      <w:pPr>
        <w:spacing w:after="0"/>
        <w:rPr>
          <w:rFonts w:ascii="Verdana" w:eastAsia="Verdana" w:hAnsi="Verdana" w:cs="Verdana"/>
        </w:rPr>
      </w:pPr>
      <w:r w:rsidRPr="003E5EAD">
        <w:rPr>
          <w:rFonts w:ascii="Verdana" w:eastAsia="Verdana" w:hAnsi="Verdana" w:cs="Verdana"/>
        </w:rPr>
        <w:lastRenderedPageBreak/>
        <w:t xml:space="preserve">Bogotá D.C., </w:t>
      </w:r>
      <w:r w:rsidR="00690988">
        <w:rPr>
          <w:rFonts w:ascii="Verdana" w:eastAsia="Verdana" w:hAnsi="Verdana" w:cs="Verdana"/>
        </w:rPr>
        <w:t>03 de noviembre del 2026</w:t>
      </w:r>
    </w:p>
    <w:p w14:paraId="6A7E30E6" w14:textId="77777777" w:rsidR="00690988" w:rsidRDefault="00690988" w:rsidP="30821638">
      <w:pPr>
        <w:spacing w:after="0"/>
        <w:rPr>
          <w:rFonts w:ascii="Verdana" w:eastAsia="Verdana" w:hAnsi="Verdana" w:cs="Verdana"/>
        </w:rPr>
      </w:pPr>
    </w:p>
    <w:p w14:paraId="12443EE0" w14:textId="6D0447E0" w:rsidR="00C15139" w:rsidRPr="003E5EAD" w:rsidRDefault="001D3790" w:rsidP="001D3790">
      <w:pPr>
        <w:spacing w:after="0"/>
        <w:jc w:val="right"/>
        <w:rPr>
          <w:rFonts w:ascii="Verdana" w:eastAsia="Verdana" w:hAnsi="Verdana" w:cs="Verdana"/>
        </w:rPr>
      </w:pPr>
      <w:r>
        <w:rPr>
          <w:rFonts w:ascii="Verdana" w:hAnsi="Verdana"/>
          <w:noProof/>
        </w:rPr>
        <w:drawing>
          <wp:inline distT="0" distB="0" distL="0" distR="0" wp14:anchorId="284002B5" wp14:editId="76D1E327">
            <wp:extent cx="2705100" cy="771525"/>
            <wp:effectExtent l="0" t="0" r="0" b="9525"/>
            <wp:docPr id="144565530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771525"/>
                    </a:xfrm>
                    <a:prstGeom prst="rect">
                      <a:avLst/>
                    </a:prstGeom>
                    <a:noFill/>
                  </pic:spPr>
                </pic:pic>
              </a:graphicData>
            </a:graphic>
          </wp:inline>
        </w:drawing>
      </w:r>
      <w:r w:rsidR="00C15139" w:rsidRPr="003E5EAD">
        <w:rPr>
          <w:rFonts w:ascii="Verdana" w:hAnsi="Verdana"/>
        </w:rPr>
        <w:br/>
      </w:r>
      <w:r w:rsidR="00C15139" w:rsidRPr="003E5EAD">
        <w:rPr>
          <w:rFonts w:ascii="Verdana" w:hAnsi="Verdana"/>
        </w:rPr>
        <w:tab/>
      </w:r>
    </w:p>
    <w:p w14:paraId="0C600E8C" w14:textId="77777777" w:rsidR="007E4BE6" w:rsidRPr="003E5EAD" w:rsidRDefault="007E4BE6" w:rsidP="007E4BE6">
      <w:pPr>
        <w:spacing w:after="0" w:line="240" w:lineRule="auto"/>
        <w:rPr>
          <w:rFonts w:ascii="Verdana" w:hAnsi="Verdana"/>
        </w:rPr>
      </w:pPr>
      <w:r w:rsidRPr="003E5EAD">
        <w:rPr>
          <w:rFonts w:ascii="Verdana" w:eastAsia="Calibri" w:hAnsi="Verdana" w:cs="Arial"/>
          <w:lang w:val="es-ES" w:eastAsia="es-ES"/>
        </w:rPr>
        <w:t>Señor</w:t>
      </w:r>
    </w:p>
    <w:p w14:paraId="5C1AB93F" w14:textId="18C0127A" w:rsidR="007E4BE6" w:rsidRPr="003E5EAD" w:rsidRDefault="00C33782" w:rsidP="007E4BE6">
      <w:pPr>
        <w:spacing w:after="0" w:line="240" w:lineRule="auto"/>
        <w:jc w:val="both"/>
        <w:rPr>
          <w:rFonts w:ascii="Verdana" w:eastAsia="Calibri" w:hAnsi="Verdana" w:cs="Arial"/>
          <w:b/>
          <w:bCs/>
          <w:lang w:eastAsia="es-ES"/>
        </w:rPr>
      </w:pPr>
      <w:r w:rsidRPr="003E5EAD">
        <w:rPr>
          <w:rFonts w:ascii="Verdana" w:eastAsia="Calibri" w:hAnsi="Verdana" w:cs="Arial"/>
          <w:b/>
          <w:bCs/>
          <w:lang w:eastAsia="es-ES"/>
        </w:rPr>
        <w:t xml:space="preserve">Francisco José Ferias Araujo </w:t>
      </w:r>
    </w:p>
    <w:p w14:paraId="2E18E2F3" w14:textId="187492A8" w:rsidR="00B86E9E" w:rsidRPr="003E5EAD" w:rsidRDefault="00B86E9E" w:rsidP="007E4BE6">
      <w:pPr>
        <w:spacing w:after="0" w:line="240" w:lineRule="auto"/>
        <w:rPr>
          <w:rFonts w:ascii="Verdana" w:hAnsi="Verdana"/>
        </w:rPr>
      </w:pPr>
      <w:hyperlink r:id="rId11" w:history="1">
        <w:r w:rsidRPr="003E5EAD">
          <w:rPr>
            <w:rStyle w:val="Hipervnculo"/>
            <w:rFonts w:ascii="Verdana" w:hAnsi="Verdana"/>
          </w:rPr>
          <w:t>franciscoferia14@yahoo.com</w:t>
        </w:r>
      </w:hyperlink>
    </w:p>
    <w:p w14:paraId="5340FA94" w14:textId="611176E3" w:rsidR="007E4BE6" w:rsidRPr="003E5EAD" w:rsidRDefault="00951BC8" w:rsidP="007E4BE6">
      <w:pPr>
        <w:spacing w:after="0" w:line="240" w:lineRule="auto"/>
        <w:rPr>
          <w:rFonts w:ascii="Verdana" w:eastAsia="Calibri" w:hAnsi="Verdana" w:cs="Arial"/>
          <w:lang w:val="es-ES_tradnl" w:eastAsia="es-ES"/>
        </w:rPr>
      </w:pPr>
      <w:r w:rsidRPr="003E5EAD">
        <w:rPr>
          <w:rFonts w:ascii="Verdana" w:eastAsia="Calibri" w:hAnsi="Verdana" w:cs="Arial"/>
          <w:lang w:val="es-ES_tradnl" w:eastAsia="es-ES"/>
        </w:rPr>
        <w:t xml:space="preserve">Valledupar, Cesar </w:t>
      </w:r>
    </w:p>
    <w:p w14:paraId="7ED9E344" w14:textId="77777777" w:rsidR="007E4BE6" w:rsidRPr="003E5EAD" w:rsidRDefault="007E4BE6" w:rsidP="007E4BE6">
      <w:pPr>
        <w:spacing w:after="0" w:line="240" w:lineRule="auto"/>
        <w:rPr>
          <w:rFonts w:ascii="Verdana" w:eastAsia="Calibri" w:hAnsi="Verdana" w:cs="Arial"/>
          <w:b/>
          <w:bCs/>
          <w:highlight w:val="cyan"/>
          <w:lang w:val="es-ES_tradnl" w:eastAsia="es-ES_tradnl"/>
        </w:rPr>
      </w:pPr>
    </w:p>
    <w:p w14:paraId="07F0B04D" w14:textId="435151D4" w:rsidR="007E4BE6" w:rsidRPr="003E5EAD" w:rsidRDefault="007E4BE6" w:rsidP="007E4BE6">
      <w:pPr>
        <w:spacing w:after="0" w:line="240" w:lineRule="auto"/>
        <w:rPr>
          <w:rFonts w:ascii="Verdana" w:eastAsia="Calibri" w:hAnsi="Verdana" w:cs="Arial"/>
          <w:b/>
          <w:bCs/>
          <w:lang w:val="es-ES_tradnl" w:eastAsia="es-ES_tradnl"/>
        </w:rPr>
      </w:pPr>
      <w:r w:rsidRPr="003E5EAD">
        <w:rPr>
          <w:rFonts w:ascii="Verdana" w:eastAsia="Calibri" w:hAnsi="Verdana" w:cs="Arial"/>
          <w:b/>
          <w:bCs/>
          <w:lang w:val="es-ES_tradnl" w:eastAsia="es-ES_tradnl"/>
        </w:rPr>
        <w:t xml:space="preserve">                                   Concepto </w:t>
      </w:r>
      <w:r w:rsidR="00FA40A4" w:rsidRPr="003E5EAD">
        <w:rPr>
          <w:rFonts w:ascii="Verdana" w:eastAsia="Calibri" w:hAnsi="Verdana" w:cs="Arial"/>
          <w:b/>
          <w:bCs/>
          <w:lang w:val="es-ES_tradnl" w:eastAsia="es-ES_tradnl"/>
        </w:rPr>
        <w:t>C-14</w:t>
      </w:r>
      <w:r w:rsidR="009048C2">
        <w:rPr>
          <w:rFonts w:ascii="Verdana" w:eastAsia="Calibri" w:hAnsi="Verdana" w:cs="Arial"/>
          <w:b/>
          <w:bCs/>
          <w:lang w:val="es-ES_tradnl" w:eastAsia="es-ES_tradnl"/>
        </w:rPr>
        <w:t>9</w:t>
      </w:r>
      <w:r w:rsidR="00FA40A4" w:rsidRPr="003E5EAD">
        <w:rPr>
          <w:rFonts w:ascii="Verdana" w:eastAsia="Calibri" w:hAnsi="Verdana" w:cs="Arial"/>
          <w:b/>
          <w:bCs/>
          <w:lang w:val="es-ES_tradnl" w:eastAsia="es-ES_tradnl"/>
        </w:rPr>
        <w:t>8</w:t>
      </w:r>
      <w:r w:rsidRPr="003E5EAD">
        <w:rPr>
          <w:rFonts w:ascii="Verdana" w:eastAsia="Calibri" w:hAnsi="Verdana" w:cs="Arial"/>
          <w:b/>
          <w:bCs/>
          <w:lang w:val="es-ES_tradnl" w:eastAsia="es-ES_tradnl"/>
        </w:rPr>
        <w:t xml:space="preserve"> del 2026</w:t>
      </w:r>
    </w:p>
    <w:p w14:paraId="37A8328B" w14:textId="77777777" w:rsidR="007E4BE6" w:rsidRPr="003E5EAD" w:rsidRDefault="007E4BE6" w:rsidP="007E4BE6">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E4BE6" w:rsidRPr="003E5EAD" w14:paraId="2D83E3AD" w14:textId="77777777" w:rsidTr="006A7A28">
        <w:trPr>
          <w:trHeight w:val="884"/>
        </w:trPr>
        <w:tc>
          <w:tcPr>
            <w:tcW w:w="2689" w:type="dxa"/>
          </w:tcPr>
          <w:p w14:paraId="4AA7DDA8" w14:textId="77777777" w:rsidR="007E4BE6" w:rsidRPr="003E5EAD" w:rsidRDefault="007E4BE6" w:rsidP="00023BDA">
            <w:pPr>
              <w:spacing w:line="276" w:lineRule="auto"/>
              <w:jc w:val="both"/>
              <w:rPr>
                <w:rFonts w:ascii="Verdana" w:eastAsia="Calibri" w:hAnsi="Verdana" w:cs="Arial"/>
                <w:lang w:val="es-ES_tradnl" w:eastAsia="es-ES_tradnl"/>
              </w:rPr>
            </w:pPr>
            <w:r w:rsidRPr="003E5EAD">
              <w:rPr>
                <w:rFonts w:ascii="Verdana" w:eastAsia="Calibri" w:hAnsi="Verdana" w:cs="Arial"/>
                <w:b/>
                <w:lang w:val="es-ES_tradnl" w:eastAsia="es-ES_tradnl"/>
              </w:rPr>
              <w:t>Temas:</w:t>
            </w:r>
            <w:r w:rsidRPr="003E5EAD">
              <w:rPr>
                <w:rFonts w:ascii="Verdana" w:eastAsia="Calibri" w:hAnsi="Verdana" w:cs="Arial"/>
                <w:lang w:val="es-ES_tradnl" w:eastAsia="es-ES_tradnl"/>
              </w:rPr>
              <w:t xml:space="preserve">                   </w:t>
            </w:r>
          </w:p>
        </w:tc>
        <w:tc>
          <w:tcPr>
            <w:tcW w:w="6100" w:type="dxa"/>
          </w:tcPr>
          <w:p w14:paraId="7D530570" w14:textId="1A2A356B" w:rsidR="007E4BE6" w:rsidRPr="003E5EAD" w:rsidRDefault="00023BDA" w:rsidP="00023BDA">
            <w:pPr>
              <w:spacing w:line="276" w:lineRule="auto"/>
              <w:jc w:val="both"/>
              <w:rPr>
                <w:rFonts w:ascii="Verdana" w:eastAsia="Aptos" w:hAnsi="Verdana" w:cs="Times New Roman"/>
              </w:rPr>
            </w:pPr>
            <w:r w:rsidRPr="003E5EAD">
              <w:rPr>
                <w:rFonts w:ascii="Verdana" w:eastAsia="Aptos" w:hAnsi="Verdana" w:cs="Times New Roman"/>
              </w:rPr>
              <w:t xml:space="preserve">AUTORIDADES TRADICIONALES INDÍGENAS – Asociaciones de cabildos indígenas y/o autoridades tradicionales indígenas – Noción – Régimen de contratación – Decreto 1088 de 1993 – Decreto 252 de 2020 / SISTEMA GENERAL DE REGALÍAS – Ley 2056 de 2020 – Artículo 37 / RÉGIMEN CONTRACTUAL – Entidades ejecutoras – Aplicación del Estatuto General de Contratación de la Administración Pública – Postura Consejo de Estado – Cambio de posición ANCP – CCE     </w:t>
            </w:r>
          </w:p>
          <w:p w14:paraId="0A0644A3" w14:textId="313BA31B" w:rsidR="00023BDA" w:rsidRPr="003E5EAD" w:rsidRDefault="00023BDA" w:rsidP="006A7A28">
            <w:pPr>
              <w:jc w:val="both"/>
              <w:rPr>
                <w:rFonts w:ascii="Verdana" w:eastAsia="Aptos" w:hAnsi="Verdana" w:cs="Times New Roman"/>
                <w:lang w:val="es-ES"/>
              </w:rPr>
            </w:pPr>
          </w:p>
        </w:tc>
      </w:tr>
      <w:tr w:rsidR="007E4BE6" w:rsidRPr="003E5EAD" w14:paraId="656C539C" w14:textId="77777777" w:rsidTr="006A7A28">
        <w:trPr>
          <w:trHeight w:val="342"/>
        </w:trPr>
        <w:tc>
          <w:tcPr>
            <w:tcW w:w="2689" w:type="dxa"/>
          </w:tcPr>
          <w:p w14:paraId="37C2421C" w14:textId="77777777" w:rsidR="007E4BE6" w:rsidRPr="003E5EAD" w:rsidRDefault="007E4BE6" w:rsidP="006A7A28">
            <w:pPr>
              <w:jc w:val="both"/>
              <w:rPr>
                <w:rFonts w:ascii="Verdana" w:eastAsia="Calibri" w:hAnsi="Verdana" w:cs="Arial"/>
                <w:b/>
                <w:lang w:val="es-ES_tradnl" w:eastAsia="es-ES_tradnl"/>
              </w:rPr>
            </w:pPr>
            <w:r w:rsidRPr="003E5EAD">
              <w:rPr>
                <w:rFonts w:ascii="Verdana" w:eastAsia="Calibri" w:hAnsi="Verdana" w:cs="Arial"/>
                <w:b/>
                <w:lang w:val="es-ES_tradnl" w:eastAsia="es-ES_tradnl"/>
              </w:rPr>
              <w:t>Radicación:</w:t>
            </w:r>
            <w:r w:rsidRPr="003E5EAD">
              <w:rPr>
                <w:rFonts w:ascii="Verdana" w:eastAsia="Calibri" w:hAnsi="Verdana" w:cs="Arial"/>
                <w:lang w:val="es-ES_tradnl" w:eastAsia="es-ES_tradnl"/>
              </w:rPr>
              <w:t xml:space="preserve">               </w:t>
            </w:r>
          </w:p>
        </w:tc>
        <w:tc>
          <w:tcPr>
            <w:tcW w:w="6100" w:type="dxa"/>
          </w:tcPr>
          <w:p w14:paraId="326EF2FB" w14:textId="0FDD78F0" w:rsidR="007E4BE6" w:rsidRPr="003E5EAD" w:rsidRDefault="007E4BE6" w:rsidP="006A7A28">
            <w:pPr>
              <w:spacing w:line="276" w:lineRule="auto"/>
              <w:jc w:val="both"/>
              <w:rPr>
                <w:rFonts w:ascii="Verdana" w:eastAsia="Calibri" w:hAnsi="Verdana" w:cs="Arial"/>
                <w:lang w:eastAsia="es-ES_tradnl"/>
              </w:rPr>
            </w:pPr>
            <w:r w:rsidRPr="003E5EAD">
              <w:rPr>
                <w:rFonts w:ascii="Verdana" w:eastAsia="Calibri" w:hAnsi="Verdana" w:cs="Arial"/>
                <w:lang w:val="es-ES_tradnl" w:eastAsia="es-ES_tradnl"/>
              </w:rPr>
              <w:t>Respuesta a la consulta con radicado No.</w:t>
            </w:r>
            <w:r w:rsidRPr="003E5EAD">
              <w:rPr>
                <w:rFonts w:ascii="Verdana" w:hAnsi="Verdana"/>
              </w:rPr>
              <w:t xml:space="preserve"> </w:t>
            </w:r>
            <w:r w:rsidR="00CE6703" w:rsidRPr="003E5EAD">
              <w:rPr>
                <w:rFonts w:ascii="Verdana" w:hAnsi="Verdana"/>
              </w:rPr>
              <w:t>1_2026_09_23_012767</w:t>
            </w:r>
          </w:p>
        </w:tc>
      </w:tr>
    </w:tbl>
    <w:p w14:paraId="07D06C01" w14:textId="77777777" w:rsidR="007E4BE6" w:rsidRPr="003E5EAD" w:rsidRDefault="007E4BE6" w:rsidP="007E4BE6">
      <w:pPr>
        <w:spacing w:after="0" w:line="240" w:lineRule="auto"/>
        <w:jc w:val="both"/>
        <w:rPr>
          <w:rFonts w:ascii="Verdana" w:eastAsia="Calibri" w:hAnsi="Verdana" w:cs="Arial"/>
          <w:highlight w:val="cyan"/>
          <w:lang w:val="es-ES" w:eastAsia="es-ES"/>
        </w:rPr>
      </w:pPr>
    </w:p>
    <w:p w14:paraId="61CC1E28" w14:textId="5F188C8D" w:rsidR="007E4BE6" w:rsidRPr="003E5EAD" w:rsidRDefault="007E4BE6" w:rsidP="007E4BE6">
      <w:pPr>
        <w:spacing w:after="0" w:line="276" w:lineRule="auto"/>
        <w:jc w:val="both"/>
        <w:rPr>
          <w:rFonts w:ascii="Verdana" w:eastAsia="Calibri" w:hAnsi="Verdana" w:cs="Arial"/>
          <w:lang w:val="es-ES" w:eastAsia="es-ES"/>
        </w:rPr>
      </w:pPr>
      <w:r w:rsidRPr="003E5EAD">
        <w:rPr>
          <w:rFonts w:ascii="Verdana" w:eastAsia="Calibri" w:hAnsi="Verdana" w:cs="Arial"/>
          <w:lang w:val="es-ES" w:eastAsia="es-ES"/>
        </w:rPr>
        <w:t>Estimad</w:t>
      </w:r>
      <w:r w:rsidR="003B6C8E" w:rsidRPr="003E5EAD">
        <w:rPr>
          <w:rFonts w:ascii="Verdana" w:eastAsia="Calibri" w:hAnsi="Verdana" w:cs="Arial"/>
          <w:lang w:val="es-ES" w:eastAsia="es-ES"/>
        </w:rPr>
        <w:t>o</w:t>
      </w:r>
      <w:r w:rsidRPr="003E5EAD">
        <w:rPr>
          <w:rFonts w:ascii="Verdana" w:eastAsia="Calibri" w:hAnsi="Verdana" w:cs="Arial"/>
          <w:lang w:val="es-ES" w:eastAsia="es-ES"/>
        </w:rPr>
        <w:t xml:space="preserve"> señor </w:t>
      </w:r>
      <w:r w:rsidR="003B6C8E" w:rsidRPr="003E5EAD">
        <w:rPr>
          <w:rFonts w:ascii="Verdana" w:eastAsia="Calibri" w:hAnsi="Verdana" w:cs="Arial"/>
          <w:lang w:eastAsia="es-ES"/>
        </w:rPr>
        <w:t>Ferias Araujo</w:t>
      </w:r>
      <w:r w:rsidRPr="003E5EAD">
        <w:rPr>
          <w:rFonts w:ascii="Verdana" w:eastAsia="Calibri" w:hAnsi="Verdana" w:cs="Arial"/>
          <w:lang w:val="es-ES" w:eastAsia="es-ES"/>
        </w:rPr>
        <w:t xml:space="preserve">: </w:t>
      </w:r>
    </w:p>
    <w:p w14:paraId="6EADBC6B" w14:textId="77777777" w:rsidR="007E4BE6" w:rsidRPr="003E5EAD" w:rsidRDefault="007E4BE6" w:rsidP="007E4BE6">
      <w:pPr>
        <w:spacing w:after="0" w:line="276" w:lineRule="auto"/>
        <w:rPr>
          <w:rFonts w:ascii="Verdana" w:eastAsia="Times New Roman" w:hAnsi="Verdana" w:cs="Segoe UI"/>
          <w:highlight w:val="cyan"/>
          <w:lang w:eastAsia="es-CO"/>
        </w:rPr>
      </w:pPr>
    </w:p>
    <w:p w14:paraId="1A22578C" w14:textId="2730EF3D" w:rsidR="007E4BE6" w:rsidRPr="003E5EAD" w:rsidRDefault="007E4BE6" w:rsidP="007E4BE6">
      <w:pPr>
        <w:spacing w:after="0" w:line="276" w:lineRule="auto"/>
        <w:jc w:val="both"/>
        <w:rPr>
          <w:rFonts w:ascii="Verdana" w:eastAsia="Calibri" w:hAnsi="Verdana" w:cs="Arial"/>
          <w:lang w:val="es-ES" w:eastAsia="es-ES"/>
        </w:rPr>
      </w:pPr>
      <w:r w:rsidRPr="003E5EAD">
        <w:rPr>
          <w:rFonts w:ascii="Verdana" w:eastAsia="Calibri" w:hAnsi="Verdana" w:cs="Arial"/>
          <w:lang w:val="es-ES" w:eastAsia="es-ES"/>
        </w:rPr>
        <w:t>En ejercicio de la competencia otorgada por los artículos 3, numeral 5º, y 11, numeral 8º, del Decreto Ley 4170 de 2011,</w:t>
      </w:r>
      <w:r w:rsidRPr="003E5EAD">
        <w:rPr>
          <w:rFonts w:ascii="Verdana" w:eastAsia="Arial MT" w:hAnsi="Verdana" w:cs="Arial"/>
          <w:lang w:val="es-ES" w:eastAsia="es-ES"/>
        </w:rPr>
        <w:t xml:space="preserve"> </w:t>
      </w:r>
      <w:r w:rsidRPr="003E5EAD">
        <w:rPr>
          <w:rFonts w:ascii="Verdana" w:hAnsi="Verdana" w:cs="Arial"/>
        </w:rPr>
        <w:t xml:space="preserve">así como lo establecido en el artículo 4 de la Resolución 1707 de 2018 expedida por esta Entidad, </w:t>
      </w:r>
      <w:r w:rsidRPr="003E5EAD">
        <w:rPr>
          <w:rFonts w:ascii="Verdana" w:eastAsia="Calibri" w:hAnsi="Verdana" w:cs="Arial"/>
          <w:lang w:val="es-ES" w:eastAsia="es-ES"/>
        </w:rPr>
        <w:t xml:space="preserve">la Agencia Nacional de Contratación Pública – Colombia Compra Eficiente– responde su solicitud del </w:t>
      </w:r>
      <w:r w:rsidR="00417FBF" w:rsidRPr="003E5EAD">
        <w:rPr>
          <w:rFonts w:ascii="Verdana" w:eastAsia="Calibri" w:hAnsi="Verdana" w:cs="Arial"/>
          <w:lang w:val="es-ES" w:eastAsia="es-ES"/>
        </w:rPr>
        <w:t>23 de septiembre del 2026</w:t>
      </w:r>
      <w:r w:rsidRPr="003E5EAD">
        <w:rPr>
          <w:rFonts w:ascii="Verdana" w:eastAsia="Calibri" w:hAnsi="Verdana" w:cs="Arial"/>
          <w:lang w:val="es-ES" w:eastAsia="es-ES"/>
        </w:rPr>
        <w:t xml:space="preserve">, en la cual manifiesta lo siguiente: </w:t>
      </w:r>
    </w:p>
    <w:p w14:paraId="6D21E19E" w14:textId="77777777" w:rsidR="006E2328" w:rsidRPr="003E5EAD" w:rsidRDefault="006E2328" w:rsidP="007E4BE6">
      <w:pPr>
        <w:spacing w:after="0" w:line="276" w:lineRule="auto"/>
        <w:jc w:val="both"/>
        <w:rPr>
          <w:rFonts w:ascii="Verdana" w:eastAsia="Calibri" w:hAnsi="Verdana" w:cs="Arial"/>
          <w:highlight w:val="cyan"/>
          <w:lang w:val="es-ES" w:eastAsia="es-ES"/>
        </w:rPr>
      </w:pPr>
    </w:p>
    <w:p w14:paraId="42D9062F" w14:textId="4C865B71" w:rsidR="007E4BE6" w:rsidRPr="003E5EAD" w:rsidRDefault="007E4BE6" w:rsidP="002D6FAB">
      <w:pPr>
        <w:spacing w:after="0" w:line="240" w:lineRule="auto"/>
        <w:ind w:left="709" w:right="709"/>
        <w:jc w:val="both"/>
        <w:rPr>
          <w:rFonts w:ascii="Verdana" w:eastAsia="Century Gothic" w:hAnsi="Verdana" w:cs="Arial"/>
          <w:sz w:val="20"/>
          <w:szCs w:val="20"/>
        </w:rPr>
      </w:pPr>
      <w:r w:rsidRPr="003E5EAD">
        <w:rPr>
          <w:rFonts w:ascii="Verdana" w:eastAsia="Century Gothic" w:hAnsi="Verdana" w:cs="Arial"/>
          <w:sz w:val="20"/>
          <w:szCs w:val="20"/>
          <w:lang w:val="es-ES"/>
        </w:rPr>
        <w:t xml:space="preserve">“[…] </w:t>
      </w:r>
      <w:r w:rsidR="002D6FAB" w:rsidRPr="003E5EAD">
        <w:rPr>
          <w:rFonts w:ascii="Verdana" w:eastAsia="Century Gothic" w:hAnsi="Verdana" w:cs="Arial"/>
          <w:sz w:val="20"/>
          <w:szCs w:val="20"/>
        </w:rPr>
        <w:t xml:space="preserve">1). Conforme el Articulo 85 de la Ley 2056 de 2020, y a los análisis y pronunciamientos proferidos por la Agencia en los Conceptos C-891 de 2024 y C1257 de 2025, cuando una asociación de resguardos, o asociación </w:t>
      </w:r>
      <w:r w:rsidR="002D6FAB" w:rsidRPr="003E5EAD">
        <w:rPr>
          <w:rFonts w:ascii="Verdana" w:eastAsia="Century Gothic" w:hAnsi="Verdana" w:cs="Arial"/>
          <w:sz w:val="20"/>
          <w:szCs w:val="20"/>
        </w:rPr>
        <w:lastRenderedPageBreak/>
        <w:t>de cabildos o asociación de autoridades tradicionales indígenas u otras formas de organización debidamente inscritas en el registro único del Ministerio del Interior y las organizaciones indígenas a que se refiere el Decreto 252 de 2020, son designadas ejecutoras de recursos del Sistema General de Regalías, cual es el régimen de contratación que se debe aplicar? ¿El dispuesto por el Artículo 10 del Decreto 1088 de 1993, o el Régimen de Contratación Público?</w:t>
      </w:r>
    </w:p>
    <w:p w14:paraId="1ACF13AA" w14:textId="77777777" w:rsidR="007E4BE6" w:rsidRPr="003E5EAD" w:rsidRDefault="007E4BE6" w:rsidP="007E4BE6">
      <w:pPr>
        <w:spacing w:after="0" w:line="240" w:lineRule="auto"/>
        <w:ind w:right="709"/>
        <w:jc w:val="both"/>
        <w:rPr>
          <w:rFonts w:ascii="Verdana" w:eastAsia="Century Gothic" w:hAnsi="Verdana" w:cs="Arial"/>
          <w:sz w:val="20"/>
          <w:szCs w:val="20"/>
          <w:highlight w:val="cyan"/>
        </w:rPr>
      </w:pPr>
    </w:p>
    <w:p w14:paraId="59FEECB3" w14:textId="36C11318" w:rsidR="007E4BE6" w:rsidRPr="003E5EAD" w:rsidRDefault="006E2328" w:rsidP="006E2328">
      <w:pPr>
        <w:spacing w:after="0" w:line="240" w:lineRule="auto"/>
        <w:ind w:left="709" w:right="709"/>
        <w:jc w:val="both"/>
        <w:rPr>
          <w:rFonts w:ascii="Verdana" w:eastAsia="Century Gothic" w:hAnsi="Verdana" w:cs="Arial"/>
          <w:sz w:val="20"/>
          <w:szCs w:val="20"/>
        </w:rPr>
      </w:pPr>
      <w:r w:rsidRPr="003E5EAD">
        <w:rPr>
          <w:rFonts w:ascii="Verdana" w:eastAsia="Century Gothic" w:hAnsi="Verdana" w:cs="Arial"/>
          <w:sz w:val="20"/>
          <w:szCs w:val="20"/>
        </w:rPr>
        <w:t>2)</w:t>
      </w:r>
      <w:r w:rsidR="00407F5F" w:rsidRPr="003E5EAD">
        <w:rPr>
          <w:rFonts w:ascii="Verdana" w:eastAsia="Century Gothic" w:hAnsi="Verdana" w:cs="Arial"/>
          <w:sz w:val="20"/>
          <w:szCs w:val="20"/>
        </w:rPr>
        <w:t xml:space="preserve"> </w:t>
      </w:r>
      <w:r w:rsidRPr="003E5EAD">
        <w:rPr>
          <w:rFonts w:ascii="Verdana" w:eastAsia="Century Gothic" w:hAnsi="Verdana" w:cs="Arial"/>
          <w:sz w:val="20"/>
          <w:szCs w:val="20"/>
        </w:rPr>
        <w:t xml:space="preserve">Si la respuesta al interrogante anterior, determina que el régimen aplicable es el del Estatuto de Contratación Pública, indicar a través de que plataforma se deberán gestionar la actividad contratar de estas organizaciones, teniendo en cuenta que estas no se encuentran enlistadas por la agencia como entidades obligadas a publicar en la plataforma transaccional SECOP II, además de no estar dentro de las consideraciones establecidas por el Articulo 53 de la ley 2195 de 2022, por el cual se Adiciona el Articulo 13 de la Ley 1150 de 2007?. </w:t>
      </w:r>
      <w:r w:rsidR="007E4BE6" w:rsidRPr="003E5EAD">
        <w:rPr>
          <w:rFonts w:ascii="Verdana" w:eastAsia="Century Gothic" w:hAnsi="Verdana" w:cs="Arial"/>
          <w:sz w:val="20"/>
          <w:szCs w:val="20"/>
        </w:rPr>
        <w:t>[…]”</w:t>
      </w:r>
    </w:p>
    <w:p w14:paraId="23CB82A5" w14:textId="77777777" w:rsidR="007E4BE6" w:rsidRPr="003E5EAD" w:rsidRDefault="007E4BE6" w:rsidP="007E4BE6">
      <w:pPr>
        <w:spacing w:after="0"/>
        <w:jc w:val="both"/>
        <w:rPr>
          <w:rFonts w:ascii="Verdana" w:hAnsi="Verdana" w:cs="Arial"/>
          <w:highlight w:val="cyan"/>
          <w:lang w:val="es-ES"/>
        </w:rPr>
      </w:pPr>
    </w:p>
    <w:p w14:paraId="515FB1D5" w14:textId="77777777" w:rsidR="007E4BE6" w:rsidRPr="003E5EAD" w:rsidRDefault="007E4BE6" w:rsidP="007E4BE6">
      <w:pPr>
        <w:spacing w:after="120" w:line="276" w:lineRule="auto"/>
        <w:ind w:firstLine="709"/>
        <w:jc w:val="both"/>
        <w:rPr>
          <w:rFonts w:ascii="Verdana" w:eastAsia="Calibri" w:hAnsi="Verdana" w:cs="Arial"/>
          <w:lang w:val="es-ES_tradnl" w:eastAsia="es-ES_tradnl"/>
        </w:rPr>
      </w:pPr>
      <w:r w:rsidRPr="003E5EAD">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F361391" w14:textId="77777777" w:rsidR="007E4BE6" w:rsidRPr="003E5EAD" w:rsidRDefault="007E4BE6" w:rsidP="007E4BE6">
      <w:pPr>
        <w:spacing w:after="0" w:line="276" w:lineRule="auto"/>
        <w:ind w:firstLine="709"/>
        <w:jc w:val="both"/>
        <w:rPr>
          <w:rFonts w:ascii="Verdana" w:eastAsia="Calibri" w:hAnsi="Verdana" w:cs="Arial"/>
          <w:lang w:val="es-ES" w:eastAsia="es-ES"/>
        </w:rPr>
      </w:pPr>
      <w:r w:rsidRPr="003E5EA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8997DB0" w14:textId="77777777" w:rsidR="007E4BE6" w:rsidRPr="003E5EAD" w:rsidRDefault="007E4BE6" w:rsidP="007E4BE6">
      <w:pPr>
        <w:spacing w:after="0" w:line="276" w:lineRule="auto"/>
        <w:jc w:val="both"/>
        <w:rPr>
          <w:rStyle w:val="Hipervnculo"/>
          <w:rFonts w:ascii="Verdana" w:hAnsi="Verdana"/>
          <w:color w:val="auto"/>
          <w:highlight w:val="cyan"/>
          <w:u w:val="none"/>
          <w:lang w:val="es-ES"/>
        </w:rPr>
      </w:pPr>
    </w:p>
    <w:p w14:paraId="7377A4DF" w14:textId="59ED6FF0" w:rsidR="007E4BE6" w:rsidRPr="003E5EAD" w:rsidRDefault="007E4BE6" w:rsidP="007E4B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3E5EAD">
        <w:rPr>
          <w:rFonts w:ascii="Verdana" w:eastAsia="Century Gothic" w:hAnsi="Verdana" w:cs="Arial"/>
          <w:b/>
          <w:bCs/>
        </w:rPr>
        <w:t>Problema planteado:</w:t>
      </w:r>
    </w:p>
    <w:p w14:paraId="4FFCFA58" w14:textId="77777777" w:rsidR="007E4BE6" w:rsidRPr="003E5EAD" w:rsidRDefault="007E4BE6" w:rsidP="007E4BE6">
      <w:pPr>
        <w:spacing w:after="0" w:line="276" w:lineRule="auto"/>
        <w:jc w:val="both"/>
        <w:rPr>
          <w:rStyle w:val="Hipervnculo"/>
          <w:rFonts w:ascii="Verdana" w:hAnsi="Verdana" w:cs="Arial"/>
          <w:color w:val="auto"/>
          <w:highlight w:val="cyan"/>
        </w:rPr>
      </w:pPr>
    </w:p>
    <w:p w14:paraId="371CDB36" w14:textId="4FD8B8AF" w:rsidR="007E4BE6" w:rsidRPr="00A44C8C" w:rsidRDefault="007E4BE6" w:rsidP="007E4BE6">
      <w:pPr>
        <w:spacing w:line="276" w:lineRule="auto"/>
        <w:jc w:val="both"/>
        <w:rPr>
          <w:rFonts w:ascii="Verdana" w:eastAsia="Century Gothic" w:hAnsi="Verdana" w:cs="Century Gothic"/>
        </w:rPr>
      </w:pPr>
      <w:r w:rsidRPr="003E5EAD">
        <w:rPr>
          <w:rFonts w:ascii="Verdana" w:eastAsia="Calibri" w:hAnsi="Verdana" w:cs="Times New Roman"/>
        </w:rPr>
        <w:lastRenderedPageBreak/>
        <w:t xml:space="preserve">De acuerdo con el contenido de su solicitud, la Agencia procede a resolver </w:t>
      </w:r>
      <w:r w:rsidR="00A44C8C">
        <w:rPr>
          <w:rFonts w:ascii="Verdana" w:eastAsia="Calibri" w:hAnsi="Verdana" w:cs="Times New Roman"/>
        </w:rPr>
        <w:t>los</w:t>
      </w:r>
      <w:r w:rsidRPr="003E5EAD">
        <w:rPr>
          <w:rFonts w:ascii="Verdana" w:eastAsia="Calibri" w:hAnsi="Verdana" w:cs="Times New Roman"/>
        </w:rPr>
        <w:t xml:space="preserve"> siguiente</w:t>
      </w:r>
      <w:r w:rsidR="00A44C8C">
        <w:rPr>
          <w:rFonts w:ascii="Verdana" w:eastAsia="Calibri" w:hAnsi="Verdana" w:cs="Times New Roman"/>
        </w:rPr>
        <w:t>s</w:t>
      </w:r>
      <w:r w:rsidRPr="003E5EAD">
        <w:rPr>
          <w:rFonts w:ascii="Verdana" w:eastAsia="Calibri" w:hAnsi="Verdana" w:cs="Times New Roman"/>
        </w:rPr>
        <w:t xml:space="preserve"> problema</w:t>
      </w:r>
      <w:r w:rsidR="00A44C8C">
        <w:rPr>
          <w:rFonts w:ascii="Verdana" w:eastAsia="Calibri" w:hAnsi="Verdana" w:cs="Times New Roman"/>
        </w:rPr>
        <w:t>s</w:t>
      </w:r>
      <w:r w:rsidRPr="003E5EAD">
        <w:rPr>
          <w:rFonts w:ascii="Verdana" w:eastAsia="Calibri" w:hAnsi="Verdana" w:cs="Times New Roman"/>
        </w:rPr>
        <w:t xml:space="preserve"> jurídico</w:t>
      </w:r>
      <w:r w:rsidR="00A44C8C">
        <w:rPr>
          <w:rFonts w:ascii="Verdana" w:eastAsia="Calibri" w:hAnsi="Verdana" w:cs="Times New Roman"/>
        </w:rPr>
        <w:t>s</w:t>
      </w:r>
      <w:r w:rsidR="00263152" w:rsidRPr="003E5EAD">
        <w:rPr>
          <w:rFonts w:ascii="Verdana" w:eastAsia="Calibri" w:hAnsi="Verdana" w:cs="Times New Roman"/>
        </w:rPr>
        <w:t>:</w:t>
      </w:r>
      <w:r w:rsidR="00A44C8C">
        <w:rPr>
          <w:rFonts w:ascii="Verdana" w:eastAsia="Calibri" w:hAnsi="Verdana" w:cs="Times New Roman"/>
        </w:rPr>
        <w:t xml:space="preserve"> i)</w:t>
      </w:r>
      <w:r w:rsidR="00263152" w:rsidRPr="003E5EAD">
        <w:rPr>
          <w:rFonts w:ascii="Verdana" w:eastAsia="Calibri" w:hAnsi="Verdana" w:cs="Times New Roman"/>
        </w:rPr>
        <w:t xml:space="preserve"> </w:t>
      </w:r>
      <w:r w:rsidR="00407F5F" w:rsidRPr="003E5EAD">
        <w:rPr>
          <w:rFonts w:ascii="Verdana" w:eastAsia="Century Gothic" w:hAnsi="Verdana" w:cs="Century Gothic"/>
        </w:rPr>
        <w:t>¿Cuál es el régimen de los contratos celebrados por las asociaciones de Cabildos y/o autoridades tradicionales Indígenas y organizaciones indígenas en el marco del Sistema General de Regalías?</w:t>
      </w:r>
      <w:r w:rsidR="00A44C8C">
        <w:rPr>
          <w:rFonts w:ascii="Verdana" w:eastAsia="Century Gothic" w:hAnsi="Verdana" w:cs="Century Gothic"/>
        </w:rPr>
        <w:t xml:space="preserve">; ii) </w:t>
      </w:r>
      <w:r w:rsidR="00A44C8C" w:rsidRPr="00A44C8C">
        <w:rPr>
          <w:rFonts w:ascii="Verdana" w:eastAsia="Century Gothic" w:hAnsi="Verdana" w:cs="Century Gothic"/>
        </w:rPr>
        <w:t>¿A través de qué plataforma deben gestionar y publicar su actividad contractual las asociaciones de resguardos, de cabildos y de autoridades tradicionales indígenas y las organizaciones indígenas cuando son designadas ejecutoras de recursos del Sistema General de Regalías?</w:t>
      </w:r>
    </w:p>
    <w:p w14:paraId="691266E7" w14:textId="77777777" w:rsidR="007E4BE6" w:rsidRPr="003E5EAD" w:rsidRDefault="007E4BE6" w:rsidP="007E4BE6">
      <w:pPr>
        <w:pStyle w:val="Prrafodelista"/>
        <w:numPr>
          <w:ilvl w:val="0"/>
          <w:numId w:val="16"/>
        </w:numPr>
        <w:spacing w:line="276" w:lineRule="auto"/>
        <w:ind w:left="360"/>
        <w:jc w:val="both"/>
        <w:rPr>
          <w:rFonts w:ascii="Verdana" w:eastAsia="Arial" w:hAnsi="Verdana" w:cs="Arial"/>
          <w:b/>
          <w:bCs/>
        </w:rPr>
      </w:pPr>
      <w:r w:rsidRPr="003E5EAD">
        <w:rPr>
          <w:rFonts w:ascii="Verdana" w:eastAsia="Arial" w:hAnsi="Verdana" w:cs="Arial"/>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4BE6" w:rsidRPr="003E5EAD" w14:paraId="3B96AB70" w14:textId="77777777" w:rsidTr="006A7A28">
        <w:tc>
          <w:tcPr>
            <w:tcW w:w="8828" w:type="dxa"/>
          </w:tcPr>
          <w:p w14:paraId="4C4E19C5" w14:textId="5F649BF3" w:rsidR="00593E34" w:rsidRPr="003E5EAD" w:rsidRDefault="002F20A4" w:rsidP="00593E34">
            <w:pPr>
              <w:spacing w:before="120" w:line="276" w:lineRule="auto"/>
              <w:jc w:val="both"/>
              <w:rPr>
                <w:rFonts w:ascii="Verdana" w:eastAsia="Calibri" w:hAnsi="Verdana" w:cs="Arial"/>
                <w:color w:val="000000"/>
                <w:lang w:val="es-ES" w:eastAsia="es-ES"/>
              </w:rPr>
            </w:pPr>
            <w:bookmarkStart w:id="1" w:name="_Hlk171067516"/>
            <w:r>
              <w:rPr>
                <w:rFonts w:ascii="Verdana" w:eastAsia="Calibri" w:hAnsi="Verdana" w:cs="Arial"/>
                <w:color w:val="000000"/>
                <w:lang w:val="es-ES" w:eastAsia="es-ES"/>
              </w:rPr>
              <w:t xml:space="preserve">i. </w:t>
            </w:r>
            <w:r w:rsidR="00593E34" w:rsidRPr="003E5EAD">
              <w:rPr>
                <w:rFonts w:ascii="Verdana" w:eastAsia="Calibri" w:hAnsi="Verdana" w:cs="Arial"/>
                <w:color w:val="000000"/>
                <w:lang w:val="es-ES" w:eastAsia="es-ES"/>
              </w:rPr>
              <w:t>En el Concepto 2563 del 25 de junio de 2026, la Sala de Consulta y Servicio Civil del Consejo de Estado concluyó que, cuando una entidad con régimen contractual especial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Lo anterior obedece a que el régimen aplicable a la ejecución de los recursos del SGR está determinado por su fuente de financiación y por las reglas especiales que gobiernan dicha ejecución, de manera que la sujeción al EGCAP constituye un mandato especial y no una remisión subsidiaria al régimen interno de la entidad ejecutora.</w:t>
            </w:r>
          </w:p>
          <w:p w14:paraId="6B3F78AD" w14:textId="77777777" w:rsidR="00593E34" w:rsidRPr="003E5EAD" w:rsidRDefault="00593E34" w:rsidP="00593E34">
            <w:pPr>
              <w:spacing w:before="120" w:line="276" w:lineRule="auto"/>
              <w:ind w:firstLine="743"/>
              <w:jc w:val="both"/>
              <w:rPr>
                <w:rFonts w:ascii="Verdana" w:eastAsia="Calibri" w:hAnsi="Verdana" w:cs="Arial"/>
                <w:color w:val="000000"/>
                <w:lang w:val="es-ES" w:eastAsia="es-ES"/>
              </w:rPr>
            </w:pPr>
            <w:r w:rsidRPr="003E5EAD">
              <w:rPr>
                <w:rFonts w:ascii="Verdana" w:eastAsia="Calibri" w:hAnsi="Verdana" w:cs="Arial"/>
                <w:color w:val="000000"/>
                <w:lang w:val="es-ES" w:eastAsia="es-ES"/>
              </w:rPr>
              <w:t>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w:t>
            </w:r>
          </w:p>
          <w:p w14:paraId="7D056414" w14:textId="77777777" w:rsidR="00593E34" w:rsidRPr="003E5EAD" w:rsidRDefault="00593E34" w:rsidP="00593E34">
            <w:pPr>
              <w:spacing w:before="120" w:line="276" w:lineRule="auto"/>
              <w:ind w:firstLine="743"/>
              <w:jc w:val="both"/>
              <w:rPr>
                <w:rFonts w:ascii="Verdana" w:eastAsia="Calibri" w:hAnsi="Verdana" w:cs="Arial"/>
                <w:color w:val="000000"/>
                <w:lang w:val="es-ES" w:eastAsia="es-ES"/>
              </w:rPr>
            </w:pPr>
            <w:r w:rsidRPr="003E5EAD">
              <w:rPr>
                <w:rFonts w:ascii="Verdana" w:eastAsia="Calibri" w:hAnsi="Verdana" w:cs="Arial"/>
                <w:color w:val="000000"/>
                <w:lang w:val="es-ES" w:eastAsia="es-ES"/>
              </w:rPr>
              <w:t xml:space="preserve">Lo anterior adquiere especial relevancia para el asunto objeto de análisis, toda vez que el Consejo de Estado circunscribe expresamente las </w:t>
            </w:r>
            <w:r w:rsidRPr="003E5EAD">
              <w:rPr>
                <w:rFonts w:ascii="Verdana" w:eastAsia="Calibri" w:hAnsi="Verdana" w:cs="Arial"/>
                <w:color w:val="000000"/>
                <w:lang w:val="es-ES" w:eastAsia="es-ES"/>
              </w:rPr>
              <w:lastRenderedPageBreak/>
              <w:t xml:space="preserve">excepciones a la aplicación del EGCAP a los recursos destinados a ciencia, tecnología e innovación, sin incluir dentro de estas, de manera particular, los recursos de inversión asignados a los pueblos indígenas. Al respecto, destacó que el Título V de la Ley 2056 de 2020 reitera, respecto de los pueblos y comunidades indígenas, las comunidades Negras, Afrocolombianas, Raizales y Palenqueras y el pueblo Rrom o Gitano, la responsabilidad del ejecutor y su sujeción al régimen presupuestal y de </w:t>
            </w:r>
            <w:r w:rsidRPr="003E5EAD">
              <w:rPr>
                <w:rFonts w:ascii="Verdana" w:eastAsia="Calibri" w:hAnsi="Verdana" w:cs="Arial"/>
                <w:i/>
                <w:iCs/>
                <w:color w:val="000000"/>
                <w:lang w:val="es-ES" w:eastAsia="es-ES"/>
              </w:rPr>
              <w:t>contratación estatal</w:t>
            </w:r>
            <w:r w:rsidRPr="003E5EAD">
              <w:rPr>
                <w:rFonts w:ascii="Verdana" w:eastAsia="Calibri" w:hAnsi="Verdana" w:cs="Arial"/>
                <w:color w:val="000000"/>
                <w:lang w:val="es-ES" w:eastAsia="es-ES"/>
              </w:rPr>
              <w:t xml:space="preserve">. </w:t>
            </w:r>
          </w:p>
          <w:p w14:paraId="52DD4E5F" w14:textId="77777777" w:rsidR="00593E34" w:rsidRPr="003E5EAD" w:rsidRDefault="00593E34" w:rsidP="00593E34">
            <w:pPr>
              <w:spacing w:before="120" w:line="276" w:lineRule="auto"/>
              <w:ind w:firstLine="743"/>
              <w:jc w:val="both"/>
              <w:rPr>
                <w:rFonts w:ascii="Verdana" w:eastAsia="Calibri" w:hAnsi="Verdana" w:cs="Arial"/>
                <w:color w:val="000000"/>
                <w:lang w:val="es-ES" w:eastAsia="es-ES"/>
              </w:rPr>
            </w:pPr>
            <w:r w:rsidRPr="003E5EAD">
              <w:rPr>
                <w:rFonts w:ascii="Verdana" w:eastAsia="Calibri" w:hAnsi="Verdana" w:cs="Arial"/>
                <w:color w:val="000000"/>
                <w:lang w:val="es-ES" w:eastAsia="es-ES"/>
              </w:rPr>
              <w:t>Asimismo, la Sala de Consulta y Servicio Civil identificó únicamente hipótesis expresamente previstas en la Ley 2056 de 2020 o en su reglamentación que permiten acudir a una regla contractual distinta. Entre ellas se encuentran la ejecución directa mediante acto administrativo unilateral que decrete el gasto, cuando la entidad ejecutora produce directamente el bien o presta el servicio aprobado en el proyecto, y el régimen especial previsto para los proyectos de ciencia, tecnología e innovación. En consecuencia, dentro de las excepciones señaladas por el Consejo de Estado no se encuentran los recursos de inversión asignados a los pueblos y comunidades indígenas, respecto de los cuales se mantiene la regla general de sujeción al EGCAP.</w:t>
            </w:r>
          </w:p>
          <w:p w14:paraId="0F147D23" w14:textId="77777777" w:rsidR="00593E34" w:rsidRPr="003E5EAD" w:rsidRDefault="00593E34" w:rsidP="00593E34">
            <w:pPr>
              <w:spacing w:before="120" w:line="276" w:lineRule="auto"/>
              <w:ind w:firstLine="743"/>
              <w:jc w:val="both"/>
              <w:rPr>
                <w:rFonts w:ascii="Verdana" w:eastAsia="Calibri" w:hAnsi="Verdana" w:cs="Arial"/>
                <w:color w:val="000000"/>
                <w:lang w:val="es-ES" w:eastAsia="es-ES"/>
              </w:rPr>
            </w:pPr>
            <w:r w:rsidRPr="003E5EAD">
              <w:rPr>
                <w:rFonts w:ascii="Verdana" w:eastAsia="Calibri" w:hAnsi="Verdana" w:cs="Arial"/>
                <w:color w:val="000000"/>
                <w:lang w:val="es-ES" w:eastAsia="es-ES"/>
              </w:rPr>
              <w:t>En atención a estas consideraciones, la Agencia replantea la postura sostenida en los conceptos C-891 de 2024, C-844 de 2025, C-1257 de 2025 y C-1585 de 2025, con el fin de armonizarla con el criterio expuesto por el Consejo de Estado. En consecuencia, cuando los resguardos y asociaciones de resguardos, las asociaciones de cabildos y de autoridades tradicionales indígenas, las demás formas de organización indígena debidamente inscritas en el Registro Único del Ministerio del Interior y las organizaciones indígenas a que se refiere el Decreto 252 de 2020 sean ejecutoras de recursos del SGR, deberán sujetarse al EGCAP para la contratación necesaria para desarrollar los proyectos, sin perjuicio de que en sus demás actividades continúen aplicando el régimen especial que les corresponda.</w:t>
            </w:r>
          </w:p>
          <w:p w14:paraId="51942685" w14:textId="2BBD91C3" w:rsidR="007E4BE6" w:rsidRPr="003E5EAD" w:rsidRDefault="002F20A4" w:rsidP="00A85426">
            <w:pPr>
              <w:spacing w:before="120" w:line="276" w:lineRule="auto"/>
              <w:jc w:val="both"/>
              <w:rPr>
                <w:rFonts w:ascii="Verdana" w:eastAsia="Calibri" w:hAnsi="Verdana" w:cs="Arial"/>
                <w:color w:val="000000"/>
                <w:lang w:eastAsia="es-ES"/>
              </w:rPr>
            </w:pPr>
            <w:r>
              <w:rPr>
                <w:rFonts w:ascii="Verdana" w:eastAsia="Calibri" w:hAnsi="Verdana" w:cs="Arial"/>
                <w:color w:val="000000"/>
                <w:lang w:eastAsia="es-ES"/>
              </w:rPr>
              <w:t xml:space="preserve">ii. </w:t>
            </w:r>
            <w:r w:rsidR="000D531E">
              <w:rPr>
                <w:rFonts w:ascii="Verdana" w:eastAsia="Calibri" w:hAnsi="Verdana" w:cs="Arial"/>
                <w:color w:val="000000"/>
                <w:lang w:eastAsia="es-ES"/>
              </w:rPr>
              <w:t>E</w:t>
            </w:r>
            <w:r w:rsidR="00C23A72" w:rsidRPr="003E5EAD">
              <w:rPr>
                <w:rFonts w:ascii="Verdana" w:eastAsia="Calibri" w:hAnsi="Verdana" w:cs="Arial"/>
                <w:color w:val="000000"/>
                <w:lang w:eastAsia="es-ES"/>
              </w:rPr>
              <w:t xml:space="preserve">n relación con el segundo interrogante de la consulta, referente a la plataforma a través de la cual deberá gestionarse la actividad contractual de estas organizaciones, y frente a la premisa planteada por el consultante según la cual no se encuentran enlistadas como entidades obligadas a publicar en SECOP II ni comprendidas en el artículo 53 de la Ley 2195 de 2022, mediante el cual se adicionó el artículo 13 de la Ley 1150 de 2007, se precisa, de acuerdo </w:t>
            </w:r>
            <w:r w:rsidR="00C23A72" w:rsidRPr="003E5EAD">
              <w:rPr>
                <w:rFonts w:ascii="Verdana" w:eastAsia="Calibri" w:hAnsi="Verdana" w:cs="Arial"/>
                <w:color w:val="000000"/>
                <w:lang w:eastAsia="es-ES"/>
              </w:rPr>
              <w:lastRenderedPageBreak/>
              <w:t>con lo indicado por la Subdirección de Información y Desarrollo Tecnológico –SIDT– de esta Agencia, que las asociaciones de resguardos, asociaciones de cabildos, asociaciones de autoridades tradicionales indígenas u otras formas de organización, en principio, al tener un régimen de contratación exceptuado del Estatuto General de Contratación de la Administración Pública, están obligadas a publicar su actividad contractual en la plataforma SECOP II o en la plataforma transaccional que haga sus veces, de conformidad con la citada disposición. Ahora bien, cuando a una de estas organizaciones le sea asignada la ejecución o administración de recursos del Sistema General de Regalías para actuar como ejecutora de proyectos, deberá aplicar el Estatuto General de Contratación de la Administración Pública y, en consecuencia, publicar y gestionar sus procesos de contratación, así como los contratos electrónicos, a través de los módulos del EGCAP habilitados en SECOP II. Para tal efecto, dado que a las entidades de régimen especial se les habilitan por defecto únicamente los módulos de Régimen Especial, la entidad deberá solicitar la habilitación de los módulos aplicables a la mesa de servicio de la Agencia Nacional de Contratación Pública –Colombia Compra Eficiente–. Para efectos de consulta y referencia, se adjunta al presente concepto la respuesta emitida por la SIDT sobre esta materia.</w:t>
            </w:r>
          </w:p>
        </w:tc>
      </w:tr>
      <w:bookmarkEnd w:id="1"/>
    </w:tbl>
    <w:p w14:paraId="1E3BA97A" w14:textId="77777777" w:rsidR="007E4BE6" w:rsidRPr="003E5EAD" w:rsidRDefault="007E4BE6" w:rsidP="007E4BE6">
      <w:pPr>
        <w:widowControl w:val="0"/>
        <w:autoSpaceDE w:val="0"/>
        <w:autoSpaceDN w:val="0"/>
        <w:spacing w:after="0" w:line="276" w:lineRule="auto"/>
        <w:outlineLvl w:val="0"/>
        <w:rPr>
          <w:rFonts w:ascii="Verdana" w:eastAsia="Arial" w:hAnsi="Verdana" w:cs="Arial"/>
          <w:b/>
          <w:bCs/>
          <w:highlight w:val="cyan"/>
        </w:rPr>
      </w:pPr>
    </w:p>
    <w:p w14:paraId="71E1733A" w14:textId="77777777" w:rsidR="007E4BE6" w:rsidRPr="003E5EAD" w:rsidRDefault="007E4BE6" w:rsidP="007E4BE6">
      <w:pPr>
        <w:widowControl w:val="0"/>
        <w:autoSpaceDE w:val="0"/>
        <w:autoSpaceDN w:val="0"/>
        <w:spacing w:after="0" w:line="276" w:lineRule="auto"/>
        <w:ind w:left="360" w:hanging="360"/>
        <w:outlineLvl w:val="0"/>
        <w:rPr>
          <w:rFonts w:ascii="Verdana" w:eastAsia="Arial" w:hAnsi="Verdana" w:cs="Arial"/>
          <w:b/>
          <w:bCs/>
          <w:lang w:val="es-ES"/>
        </w:rPr>
      </w:pPr>
      <w:r w:rsidRPr="003E5EAD">
        <w:rPr>
          <w:rFonts w:ascii="Verdana" w:eastAsia="Arial" w:hAnsi="Verdana" w:cs="Arial"/>
          <w:b/>
          <w:bCs/>
          <w:lang w:val="es-ES"/>
        </w:rPr>
        <w:t>3. Razones de la respuesta:</w:t>
      </w:r>
    </w:p>
    <w:p w14:paraId="710E63F7" w14:textId="77777777" w:rsidR="007E4BE6" w:rsidRPr="003E5EAD" w:rsidRDefault="007E4BE6" w:rsidP="007E4BE6">
      <w:pPr>
        <w:spacing w:after="0" w:line="276" w:lineRule="auto"/>
        <w:jc w:val="both"/>
        <w:rPr>
          <w:rFonts w:ascii="Verdana" w:eastAsia="Verdana" w:hAnsi="Verdana" w:cs="Verdana"/>
          <w:lang w:val="es-ES"/>
        </w:rPr>
      </w:pPr>
    </w:p>
    <w:p w14:paraId="501DEA26" w14:textId="77777777" w:rsidR="007E4BE6" w:rsidRPr="003E5EAD" w:rsidRDefault="007E4BE6" w:rsidP="007E4BE6">
      <w:pPr>
        <w:spacing w:after="0" w:line="276" w:lineRule="auto"/>
        <w:jc w:val="both"/>
        <w:rPr>
          <w:rFonts w:ascii="Verdana" w:eastAsia="Calibri" w:hAnsi="Verdana" w:cs="Arial"/>
          <w:lang w:val="es-ES"/>
        </w:rPr>
      </w:pPr>
      <w:r w:rsidRPr="003E5EAD">
        <w:rPr>
          <w:rFonts w:ascii="Verdana" w:eastAsia="Calibri" w:hAnsi="Verdana" w:cs="Arial"/>
          <w:lang w:val="es-ES"/>
        </w:rPr>
        <w:t xml:space="preserve">La respuesta anterior se sustenta en las siguientes consideraciones: </w:t>
      </w:r>
    </w:p>
    <w:p w14:paraId="70D74E5F" w14:textId="77777777" w:rsidR="002A0DD0" w:rsidRPr="003E5EAD" w:rsidRDefault="002A0DD0" w:rsidP="30821638">
      <w:pPr>
        <w:spacing w:after="0" w:line="240" w:lineRule="auto"/>
        <w:jc w:val="both"/>
        <w:rPr>
          <w:rFonts w:ascii="Verdana" w:eastAsia="Verdana" w:hAnsi="Verdana" w:cs="Verdana"/>
          <w:highlight w:val="cyan"/>
          <w:lang w:val="es-ES"/>
        </w:rPr>
      </w:pPr>
    </w:p>
    <w:p w14:paraId="468BA59D" w14:textId="77777777" w:rsidR="00F71265" w:rsidRPr="003E5EAD" w:rsidRDefault="00F71265" w:rsidP="00F71265">
      <w:pPr>
        <w:spacing w:after="120" w:line="276" w:lineRule="auto"/>
        <w:jc w:val="both"/>
        <w:rPr>
          <w:rFonts w:ascii="Verdana" w:eastAsia="Calibri" w:hAnsi="Verdana" w:cs="Arial"/>
        </w:rPr>
      </w:pPr>
      <w:r w:rsidRPr="003E5EAD">
        <w:rPr>
          <w:rFonts w:ascii="Verdana" w:eastAsia="Calibri" w:hAnsi="Verdana" w:cs="Arial"/>
          <w:color w:val="000000"/>
          <w:lang w:val="es-ES" w:eastAsia="es-ES"/>
        </w:rPr>
        <w:t xml:space="preserve">i. Como punto de partida es importante precisar que </w:t>
      </w:r>
      <w:r w:rsidRPr="003E5EAD">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3E5EAD">
        <w:rPr>
          <w:rFonts w:ascii="Verdana" w:hAnsi="Verdana"/>
          <w:vertAlign w:val="superscript"/>
        </w:rPr>
        <w:footnoteReference w:id="1"/>
      </w:r>
      <w:r w:rsidRPr="003E5EAD">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w:t>
      </w:r>
      <w:r w:rsidRPr="003E5EAD">
        <w:rPr>
          <w:rFonts w:ascii="Verdana" w:eastAsia="Calibri" w:hAnsi="Verdana" w:cs="Arial"/>
        </w:rPr>
        <w:lastRenderedPageBreak/>
        <w:t>reconocimiento de sus derechos y el respeto de su integridad, entre otros compromisos adquiridos.</w:t>
      </w:r>
    </w:p>
    <w:p w14:paraId="765D4EB9" w14:textId="77777777"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rPr>
        <w:t xml:space="preserve">En virtud de lo anterior, el Estado colombiano se obligó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w:t>
      </w:r>
    </w:p>
    <w:p w14:paraId="74A2157A" w14:textId="77777777"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rPr>
        <w:t>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091ED658" w14:textId="33F11262"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rPr>
        <w:t>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w:t>
      </w:r>
      <w:r w:rsidR="00702150">
        <w:rPr>
          <w:rFonts w:ascii="Verdana" w:eastAsia="Calibri" w:hAnsi="Verdana" w:cs="Arial"/>
        </w:rPr>
        <w:t>a</w:t>
      </w:r>
      <w:r w:rsidRPr="003E5EAD">
        <w:rPr>
          <w:rFonts w:ascii="Verdana" w:eastAsia="Calibri" w:hAnsi="Verdana" w:cs="Arial"/>
        </w:rPr>
        <w:t xml:space="preserve">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7F11AC88" w14:textId="77777777"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 y las leyes </w:t>
      </w:r>
      <w:r w:rsidRPr="003E5EAD">
        <w:rPr>
          <w:rFonts w:ascii="Verdana" w:hAnsi="Verdana" w:cs="Arial"/>
          <w:noProof/>
          <w:lang w:val="es-ES_tradnl"/>
        </w:rPr>
        <w:t xml:space="preserve">1530 de 2012 y </w:t>
      </w:r>
      <w:r w:rsidRPr="003E5EAD">
        <w:rPr>
          <w:rFonts w:ascii="Verdana" w:hAnsi="Verdana" w:cs="Arial"/>
          <w:noProof/>
        </w:rPr>
        <w:t>2056 del 2020.</w:t>
      </w:r>
    </w:p>
    <w:p w14:paraId="6414D0F2" w14:textId="2914A9BA"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rPr>
        <w:lastRenderedPageBreak/>
        <w:t>Sobre el particular, debe iniciarse por señalar que, en relación con las formas de organización indígena, la Constitución Política de 1991 dispuso que la conformación de las entidades territoriales indígenas se realizaría conforme a lo dispuesto en la Ley de Ordenamiento Territorial – LOT</w:t>
      </w:r>
      <w:r w:rsidRPr="003E5EAD">
        <w:rPr>
          <w:rStyle w:val="Refdenotaalpie"/>
          <w:rFonts w:ascii="Verdana" w:eastAsia="Calibri" w:hAnsi="Verdana" w:cs="Arial"/>
        </w:rPr>
        <w:footnoteReference w:id="2"/>
      </w:r>
      <w:r w:rsidRPr="003E5EAD">
        <w:rPr>
          <w:rFonts w:ascii="Verdana" w:eastAsia="Calibri" w:hAnsi="Verdana" w:cs="Arial"/>
        </w:rPr>
        <w:t>.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3E5EAD">
        <w:rPr>
          <w:rFonts w:ascii="Verdana" w:eastAsia="Calibri" w:hAnsi="Verdana" w:cs="Arial"/>
          <w:sz w:val="21"/>
          <w:szCs w:val="21"/>
        </w:rPr>
        <w:t>.</w:t>
      </w:r>
      <w:bookmarkStart w:id="2" w:name="_Hlk34989337"/>
    </w:p>
    <w:p w14:paraId="0DA0B15A" w14:textId="02D4766E"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rPr>
        <w:t xml:space="preserve">De este modo, basados en el artículo </w:t>
      </w:r>
      <w:r w:rsidR="00CE1668">
        <w:rPr>
          <w:rFonts w:ascii="Verdana" w:eastAsia="Calibri" w:hAnsi="Verdana" w:cs="Arial"/>
        </w:rPr>
        <w:t xml:space="preserve">transitorio </w:t>
      </w:r>
      <w:r w:rsidRPr="003E5EAD">
        <w:rPr>
          <w:rFonts w:ascii="Verdana" w:eastAsia="Calibri" w:hAnsi="Verdana" w:cs="Arial"/>
        </w:rPr>
        <w:t xml:space="preserve">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2"/>
    </w:p>
    <w:p w14:paraId="68C09093" w14:textId="77777777" w:rsidR="00F71265" w:rsidRPr="003E5EAD" w:rsidRDefault="00F71265" w:rsidP="00F71265">
      <w:pPr>
        <w:spacing w:after="120" w:line="276" w:lineRule="auto"/>
        <w:ind w:firstLine="708"/>
        <w:jc w:val="both"/>
        <w:rPr>
          <w:rFonts w:ascii="Verdana" w:eastAsia="Calibri" w:hAnsi="Verdana" w:cs="Arial"/>
        </w:rPr>
      </w:pPr>
      <w:r w:rsidRPr="003E5EAD">
        <w:rPr>
          <w:rFonts w:ascii="Verdana" w:eastAsia="Calibri" w:hAnsi="Verdana" w:cs="Arial"/>
          <w:lang w:val="es-ES"/>
        </w:rPr>
        <w:t>Particularmente, sobre el Decreto 1088 de 1993 debe precisarse que según su ámbito de aplicación los Cabildos y/o Autoridades Tradicionales Indígenas, en representación de sus respectivos territorios indígenas,</w:t>
      </w:r>
      <w:r w:rsidRPr="003E5EAD">
        <w:rPr>
          <w:rFonts w:ascii="Verdana" w:hAnsi="Verdana"/>
        </w:rPr>
        <w:t xml:space="preserve"> </w:t>
      </w:r>
      <w:r w:rsidRPr="003E5EAD">
        <w:rPr>
          <w:rFonts w:ascii="Verdana" w:eastAsia="Calibri" w:hAnsi="Verdana" w:cs="Arial"/>
          <w:lang w:val="es-ES"/>
        </w:rPr>
        <w:t xml:space="preserve">podrán conformar asociaciones y la naturaleza jurídica de estas corresponde a </w:t>
      </w:r>
      <w:r w:rsidRPr="003E5EAD">
        <w:rPr>
          <w:rFonts w:ascii="Verdana" w:hAnsi="Verdana" w:cs="Arial"/>
          <w:color w:val="333333"/>
          <w:shd w:val="clear" w:color="auto" w:fill="FFFFFF"/>
        </w:rPr>
        <w:t>entidades de Derecho Público de carácter especial, con personería jurídica, patrimonio propio y autonomía administrativa</w:t>
      </w:r>
      <w:r w:rsidRPr="003E5EAD">
        <w:rPr>
          <w:rFonts w:ascii="Verdana" w:eastAsia="Calibri" w:hAnsi="Verdana" w:cs="Arial"/>
          <w:lang w:val="es-ES"/>
        </w:rPr>
        <w:t xml:space="preserve">. De acuerdo con el artículo tercero </w:t>
      </w:r>
      <w:r w:rsidRPr="003E5EAD">
        <w:rPr>
          <w:rFonts w:ascii="Verdana" w:eastAsia="Calibri" w:hAnsi="Verdana" w:cs="Arial"/>
          <w:i/>
          <w:iCs/>
          <w:lang w:val="es-ES"/>
        </w:rPr>
        <w:t>ibidem</w:t>
      </w:r>
      <w:r w:rsidRPr="003E5EAD">
        <w:rPr>
          <w:rFonts w:ascii="Verdana" w:eastAsia="Calibri" w:hAnsi="Verdana" w:cs="Arial"/>
          <w:lang w:val="es-ES"/>
        </w:rPr>
        <w:t xml:space="preserve"> estas asociaciones tienen por objeto, el desarrollo integral de las Comunidades Indígenas, para lo cual podrán adelantar las siguientes acciones: i) actividades </w:t>
      </w:r>
      <w:r w:rsidRPr="003E5EAD">
        <w:rPr>
          <w:rFonts w:ascii="Verdana" w:eastAsia="Calibri" w:hAnsi="Verdana" w:cs="Arial"/>
          <w:lang w:val="es-ES"/>
        </w:rPr>
        <w:lastRenderedPageBreak/>
        <w:t>de carácter industrial y comercial, bien sea en forma directa, o mediante convenios celebrados con personas naturales o jurídicas y ii) fomentar en sus comunidades proyectos de salud, educación y vivienda en coordinación con las respectivas autoridades nacionales, regionales o locales y con sujeción a las normas legales pertinentes.</w:t>
      </w:r>
    </w:p>
    <w:p w14:paraId="3E775129" w14:textId="77777777" w:rsidR="00F71265" w:rsidRPr="003E5EAD" w:rsidRDefault="00F71265" w:rsidP="00F71265">
      <w:pPr>
        <w:spacing w:after="120" w:line="276" w:lineRule="auto"/>
        <w:ind w:firstLine="709"/>
        <w:jc w:val="both"/>
        <w:rPr>
          <w:rFonts w:ascii="Verdana" w:eastAsia="Calibri" w:hAnsi="Verdana" w:cs="Arial"/>
          <w:lang w:val="es-ES"/>
        </w:rPr>
      </w:pPr>
      <w:r w:rsidRPr="003E5EAD">
        <w:rPr>
          <w:rFonts w:ascii="Verdana" w:eastAsia="Calibri" w:hAnsi="Verdana" w:cs="Arial"/>
        </w:rPr>
        <w:t xml:space="preserve">El artículo 7 señala que el patrimonio y recursos financieros de la asociación sólo podrán ser destinados para el cumplimiento de los objetivos de esta. </w:t>
      </w:r>
      <w:r w:rsidRPr="003E5EAD">
        <w:rPr>
          <w:rFonts w:ascii="Verdana" w:eastAsia="Calibri" w:hAnsi="Verdana" w:cs="Arial"/>
          <w:lang w:val="es-ES"/>
        </w:rPr>
        <w:t xml:space="preserve">En relación con la naturaleza de los actos y contratos celebrados por estas asociaciones, el artículo 10 señala específicamente que “Los actos y contratos de naturaleza industrial o comercial de las asociaciones de que trata el presente Decreto, </w:t>
      </w:r>
      <w:r w:rsidRPr="003E5EAD">
        <w:rPr>
          <w:rFonts w:ascii="Verdana" w:eastAsia="Calibri" w:hAnsi="Verdana" w:cs="Arial"/>
          <w:i/>
          <w:iCs/>
          <w:lang w:val="es-ES"/>
        </w:rPr>
        <w:t>se regirán por el derecho privado</w:t>
      </w:r>
      <w:r w:rsidRPr="003E5EAD">
        <w:rPr>
          <w:rFonts w:ascii="Verdana" w:eastAsia="Calibri" w:hAnsi="Verdana" w:cs="Arial"/>
          <w:lang w:val="es-ES"/>
        </w:rPr>
        <w:t>. En los demás casos se sujetarán a las normas sobre asociaciones de entidades públicas conforme al Decreto 130 de 1976 y normas concordantes”. (Énfasis por fuera de texto)</w:t>
      </w:r>
    </w:p>
    <w:p w14:paraId="0271721B" w14:textId="77777777" w:rsidR="00F71265" w:rsidRPr="003E5EAD" w:rsidRDefault="00F71265" w:rsidP="00F71265">
      <w:pPr>
        <w:spacing w:after="120" w:line="276" w:lineRule="auto"/>
        <w:ind w:firstLine="709"/>
        <w:jc w:val="both"/>
        <w:rPr>
          <w:rFonts w:ascii="Verdana" w:eastAsia="Calibri" w:hAnsi="Verdana" w:cs="Arial"/>
          <w:lang w:val="es-ES"/>
        </w:rPr>
      </w:pPr>
      <w:r w:rsidRPr="003E5EAD">
        <w:rPr>
          <w:rFonts w:ascii="Verdana" w:eastAsia="Calibri" w:hAnsi="Verdana" w:cs="Arial"/>
          <w:lang w:val="es-ES"/>
        </w:rPr>
        <w:t>Al respecto, la Corte Constitucional señaló que “con este Decreto se reconocieron “las aspiraciones de los Pueblos a asumir el control de sus propias instituciones y formas de vida y de su desarrollo económico y a mantener y fortalecer sus identidades, lenguas, religiones, dentro del marco de los Estados en que viven”</w:t>
      </w:r>
      <w:r w:rsidRPr="003E5EAD">
        <w:rPr>
          <w:rFonts w:ascii="Verdana" w:hAnsi="Verdana"/>
          <w:vertAlign w:val="superscript"/>
        </w:rPr>
        <w:footnoteReference w:id="3"/>
      </w:r>
      <w:r w:rsidRPr="003E5EAD">
        <w:rPr>
          <w:rFonts w:ascii="Verdana" w:eastAsia="Calibri" w:hAnsi="Verdana" w:cs="Arial"/>
          <w:lang w:val="es-ES"/>
        </w:rPr>
        <w:t>. De esta manera, el Decreto 1088 de 1993 regula la asociación de Cabildos y/o autoridades tradicionales Indígenas para que estas realicen acciones tendientes al desarrollo integral de las comunidades indígenas, para lo cual determina unas reglas específicas para su funcionamiento, entre ellas, que los actos y contratos de naturaleza industrial o comercial celebrados por estas asociaciones se realicen con aplicación del derecho privado.</w:t>
      </w:r>
    </w:p>
    <w:p w14:paraId="553331FA" w14:textId="77777777" w:rsidR="00F71265" w:rsidRPr="003E5EAD" w:rsidRDefault="00F71265" w:rsidP="00F71265">
      <w:pPr>
        <w:spacing w:after="120" w:line="276" w:lineRule="auto"/>
        <w:ind w:firstLine="709"/>
        <w:jc w:val="both"/>
        <w:rPr>
          <w:rStyle w:val="normaltextrun"/>
          <w:rFonts w:ascii="Verdana" w:eastAsia="Calibri" w:hAnsi="Verdana" w:cs="Arial"/>
          <w:lang w:val="es-ES"/>
        </w:rPr>
      </w:pPr>
      <w:r w:rsidRPr="003E5EAD">
        <w:rPr>
          <w:rFonts w:ascii="Verdana" w:eastAsia="Calibri" w:hAnsi="Verdana" w:cs="Arial"/>
          <w:lang w:val="es-ES"/>
        </w:rPr>
        <w:t xml:space="preserve">Por su parte, el Decreto 252 de 2020 adiciona al artículo 10 del Decreto 1088 de 1993 un parágrafo, asignándole a las “organizaciones indígenas” capacidad para contratar, sin limitaciones en cuanto al objeto del contrato o por la fuente de los recursos. </w:t>
      </w:r>
      <w:r w:rsidRPr="003E5EAD">
        <w:rPr>
          <w:rFonts w:ascii="Verdana" w:hAnsi="Verdana"/>
        </w:rPr>
        <w:t>En este aspecto, es necesario señalar que las “organizaciones</w:t>
      </w:r>
      <w:r w:rsidRPr="003E5EAD">
        <w:rPr>
          <w:rStyle w:val="normaltextrun"/>
          <w:rFonts w:ascii="Verdana" w:eastAsia="Calibri" w:hAnsi="Verdana" w:cs="Arial"/>
          <w:lang w:val="es-ES"/>
        </w:rPr>
        <w:t xml:space="preserve"> indígenas” se mencionaron en el artículo 6 de la Ley 1551 de 2012 que, entre otros grupos,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w:t>
      </w:r>
      <w:r w:rsidRPr="003E5EAD">
        <w:rPr>
          <w:rStyle w:val="normaltextrun"/>
          <w:rFonts w:ascii="Verdana" w:eastAsia="Calibri" w:hAnsi="Verdana" w:cs="Arial"/>
          <w:lang w:val="es-ES"/>
        </w:rPr>
        <w:lastRenderedPageBreak/>
        <w:t>se les asignó la capacidad jurídica contractual concreta para un negocio jurídico específico, celebrado con entidades de derecho público que tienen capacidad para contratar, esto, de conformidad con el artículo 2 de la Ley 80 de 1993.</w:t>
      </w:r>
    </w:p>
    <w:p w14:paraId="28111832" w14:textId="77777777" w:rsidR="00F71265" w:rsidRPr="003E5EAD" w:rsidRDefault="00F71265" w:rsidP="00F71265">
      <w:pPr>
        <w:spacing w:after="120" w:line="276" w:lineRule="auto"/>
        <w:ind w:firstLine="709"/>
        <w:jc w:val="both"/>
        <w:rPr>
          <w:rFonts w:ascii="Verdana" w:eastAsia="Calibri" w:hAnsi="Verdana" w:cs="Arial"/>
          <w:lang w:val="es-ES" w:eastAsia="es-ES_tradnl"/>
        </w:rPr>
      </w:pPr>
      <w:r w:rsidRPr="003E5EAD">
        <w:rPr>
          <w:rStyle w:val="normaltextrun"/>
          <w:rFonts w:ascii="Verdana" w:eastAsia="Calibri" w:hAnsi="Verdana" w:cs="Arial"/>
          <w:lang w:val="es-ES"/>
        </w:rPr>
        <w:t xml:space="preserve">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condicionando a la composición de estas organizaciones, cuyos miembros deben ser, exclusivamente: </w:t>
      </w:r>
      <w:r w:rsidRPr="003E5EAD">
        <w:rPr>
          <w:rFonts w:ascii="Verdana" w:eastAsia="Calibri" w:hAnsi="Verdana" w:cs="Arial"/>
          <w:i/>
          <w:iCs/>
          <w:lang w:val="es-ES" w:eastAsia="es-ES_tradnl"/>
        </w:rPr>
        <w:t>i)</w:t>
      </w:r>
      <w:r w:rsidRPr="003E5EAD">
        <w:rPr>
          <w:rFonts w:ascii="Verdana" w:eastAsia="Calibri" w:hAnsi="Verdana" w:cs="Arial"/>
          <w:lang w:val="es-ES" w:eastAsia="es-ES_tradnl"/>
        </w:rPr>
        <w:t xml:space="preserve"> cabildos indígenas,</w:t>
      </w:r>
      <w:r w:rsidRPr="003E5EAD">
        <w:rPr>
          <w:rFonts w:ascii="Verdana" w:eastAsia="Calibri" w:hAnsi="Verdana" w:cs="Arial"/>
          <w:i/>
          <w:iCs/>
          <w:lang w:val="es-ES" w:eastAsia="es-ES_tradnl"/>
        </w:rPr>
        <w:t xml:space="preserve"> ii) </w:t>
      </w:r>
      <w:r w:rsidRPr="003E5EAD">
        <w:rPr>
          <w:rFonts w:ascii="Verdana" w:eastAsia="Calibri" w:hAnsi="Verdana" w:cs="Arial"/>
          <w:lang w:val="es-ES" w:eastAsia="es-ES_tradnl"/>
        </w:rPr>
        <w:t xml:space="preserve">resguardos indígenas, </w:t>
      </w:r>
      <w:r w:rsidRPr="003E5EAD">
        <w:rPr>
          <w:rFonts w:ascii="Verdana" w:eastAsia="Calibri" w:hAnsi="Verdana" w:cs="Arial"/>
          <w:i/>
          <w:iCs/>
          <w:lang w:val="es-ES" w:eastAsia="es-ES_tradnl"/>
        </w:rPr>
        <w:t>iii)</w:t>
      </w:r>
      <w:r w:rsidRPr="003E5EAD">
        <w:rPr>
          <w:rFonts w:ascii="Verdana" w:eastAsia="Calibri" w:hAnsi="Verdana" w:cs="Arial"/>
          <w:lang w:val="es-ES" w:eastAsia="es-ES_tradnl"/>
        </w:rPr>
        <w:t xml:space="preserve"> asociaciones de cabildos indígenas, </w:t>
      </w:r>
      <w:r w:rsidRPr="003E5EAD">
        <w:rPr>
          <w:rFonts w:ascii="Verdana" w:eastAsia="Calibri" w:hAnsi="Verdana" w:cs="Arial"/>
          <w:i/>
          <w:iCs/>
          <w:lang w:val="es-ES" w:eastAsia="es-ES_tradnl"/>
        </w:rPr>
        <w:t xml:space="preserve">iv) </w:t>
      </w:r>
      <w:r w:rsidRPr="003E5EAD">
        <w:rPr>
          <w:rFonts w:ascii="Verdana" w:eastAsia="Calibri" w:hAnsi="Verdana" w:cs="Arial"/>
          <w:lang w:val="es-ES" w:eastAsia="es-ES_tradnl"/>
        </w:rPr>
        <w:t xml:space="preserve">asociaciones de autoridades indígenas, y </w:t>
      </w:r>
      <w:r w:rsidRPr="003E5EAD">
        <w:rPr>
          <w:rFonts w:ascii="Verdana" w:eastAsia="Calibri" w:hAnsi="Verdana" w:cs="Arial"/>
          <w:i/>
          <w:iCs/>
          <w:lang w:val="es-ES" w:eastAsia="es-ES_tradnl"/>
        </w:rPr>
        <w:t>v)</w:t>
      </w:r>
      <w:r w:rsidRPr="003E5EAD">
        <w:rPr>
          <w:rFonts w:ascii="Verdana" w:eastAsia="Calibri" w:hAnsi="Verdana" w:cs="Arial"/>
          <w:lang w:val="es-ES" w:eastAsia="es-ES_tradnl"/>
        </w:rPr>
        <w:t xml:space="preserve"> otras formas de autoridad indígena.</w:t>
      </w:r>
      <w:r w:rsidRPr="003E5EAD">
        <w:rPr>
          <w:rFonts w:ascii="Verdana" w:hAnsi="Verdana"/>
          <w:vertAlign w:val="superscript"/>
        </w:rPr>
        <w:footnoteReference w:id="4"/>
      </w:r>
    </w:p>
    <w:p w14:paraId="32D9EE83" w14:textId="77777777" w:rsidR="00F71265" w:rsidRPr="003E5EAD" w:rsidRDefault="00F71265" w:rsidP="00F71265">
      <w:pPr>
        <w:spacing w:after="120" w:line="276" w:lineRule="auto"/>
        <w:ind w:firstLine="709"/>
        <w:jc w:val="both"/>
        <w:rPr>
          <w:rFonts w:ascii="Verdana" w:eastAsia="Calibri" w:hAnsi="Verdana" w:cs="Arial"/>
          <w:lang w:val="es-ES" w:eastAsia="es-ES_tradnl"/>
        </w:rPr>
      </w:pPr>
      <w:r w:rsidRPr="003E5EAD">
        <w:rPr>
          <w:rFonts w:ascii="Verdana" w:eastAsia="Calibri" w:hAnsi="Verdana" w:cs="Arial"/>
          <w:lang w:val="es-ES" w:eastAsia="es-ES_tradnl"/>
        </w:rPr>
        <w:t xml:space="preserve">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sino que establece la regulación indicada en materia contractual. </w:t>
      </w:r>
    </w:p>
    <w:p w14:paraId="6D9FE1D7" w14:textId="77777777" w:rsidR="00F71265" w:rsidRPr="003E5EAD" w:rsidRDefault="00F71265" w:rsidP="00F71265">
      <w:pPr>
        <w:spacing w:after="120" w:line="276" w:lineRule="auto"/>
        <w:ind w:firstLine="709"/>
        <w:jc w:val="both"/>
        <w:rPr>
          <w:rFonts w:ascii="Verdana" w:eastAsia="Calibri" w:hAnsi="Verdana" w:cs="Arial"/>
          <w:lang w:val="es-ES" w:eastAsia="es-ES_tradnl"/>
        </w:rPr>
      </w:pPr>
      <w:r w:rsidRPr="003E5EAD">
        <w:rPr>
          <w:rFonts w:ascii="Verdana" w:eastAsia="Calibri" w:hAnsi="Verdana" w:cs="Arial"/>
          <w:lang w:val="es-ES" w:eastAsia="es-ES_tradnl"/>
        </w:rPr>
        <w:t xml:space="preserve">De acuerdo con lo hasta aquí expuesto, es claro que 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w:t>
      </w:r>
      <w:r w:rsidRPr="003E5EAD">
        <w:rPr>
          <w:rFonts w:ascii="Verdana" w:eastAsia="Calibri" w:hAnsi="Verdana" w:cs="Arial"/>
          <w:lang w:eastAsia="es-ES_tradnl"/>
        </w:rPr>
        <w:t xml:space="preserve">la naturaleza de los actos y contratos de estas asociaciones y organizaciones indígenas y, señaló que </w:t>
      </w:r>
      <w:r w:rsidRPr="003E5EAD">
        <w:rPr>
          <w:rFonts w:ascii="Verdana" w:eastAsia="Calibri" w:hAnsi="Verdana" w:cs="Arial"/>
          <w:lang w:eastAsia="es-ES_tradnl"/>
        </w:rPr>
        <w:lastRenderedPageBreak/>
        <w:t xml:space="preserve">los contratos industriales y comerciales se regirán por las reglas de derecho privado. </w:t>
      </w:r>
    </w:p>
    <w:p w14:paraId="29A7F589" w14:textId="24C71A81" w:rsidR="00F71265" w:rsidRPr="003E5EAD" w:rsidRDefault="00F71265" w:rsidP="00F71265">
      <w:pPr>
        <w:spacing w:after="120" w:line="276" w:lineRule="auto"/>
        <w:jc w:val="both"/>
        <w:rPr>
          <w:rFonts w:ascii="Verdana" w:eastAsia="Calibri" w:hAnsi="Verdana" w:cs="Arial"/>
          <w:color w:val="000000"/>
          <w:lang w:val="es-ES" w:eastAsia="es-ES"/>
        </w:rPr>
      </w:pPr>
      <w:r w:rsidRPr="003E5EAD">
        <w:rPr>
          <w:rFonts w:ascii="Verdana" w:eastAsia="Calibri" w:hAnsi="Verdana" w:cs="Arial"/>
          <w:color w:val="000000"/>
          <w:lang w:val="es-ES" w:eastAsia="es-ES"/>
        </w:rPr>
        <w:t xml:space="preserve">ii. Ahora bien, en atención a la consulta planteada sobre los recursos del Sistema General de Regalías, es necesario hacer algunas precisiones sobre la posición que ha sostenido la Subdirección de Gestión Contractual de la ANCP – CCE en ejercicio de su función consultiva, en relación con el régimen de contratación aplicable a la ejecución de proyectos financiados con recursos del Sistema General de Regalías -SGR-, cuando las entidades ejecutoras de recursos de regalías cuentan con un régimen especial de contratación. </w:t>
      </w:r>
    </w:p>
    <w:p w14:paraId="2B834922" w14:textId="77777777" w:rsidR="00F71265" w:rsidRPr="003E5EAD" w:rsidRDefault="00F71265" w:rsidP="00F71265">
      <w:pPr>
        <w:spacing w:after="120" w:line="276" w:lineRule="auto"/>
        <w:ind w:firstLine="709"/>
        <w:jc w:val="both"/>
        <w:rPr>
          <w:rFonts w:ascii="Verdana" w:hAnsi="Verdana"/>
          <w:shd w:val="clear" w:color="auto" w:fill="FFFFFF"/>
        </w:rPr>
      </w:pPr>
      <w:r w:rsidRPr="003E5EAD">
        <w:rPr>
          <w:rFonts w:ascii="Verdana" w:hAnsi="Verdana"/>
          <w:lang w:val="es-ES" w:eastAsia="es-ES"/>
        </w:rPr>
        <w:t xml:space="preserve">Así, conforme a la interpretación general de las normas del sistema de compras públicas, esta Subdirección en </w:t>
      </w:r>
      <w:r w:rsidRPr="003E5EAD">
        <w:rPr>
          <w:rFonts w:ascii="Verdana" w:hAnsi="Verdana"/>
        </w:rPr>
        <w:t>los conceptos C-370 del 2021,</w:t>
      </w:r>
      <w:r w:rsidRPr="003E5EAD">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3E5EAD">
        <w:rPr>
          <w:rFonts w:ascii="Verdana" w:hAnsi="Verdana" w:cs="Arial"/>
        </w:rPr>
        <w:t xml:space="preserve"> C-764 del 29 de mayo de 2026</w:t>
      </w:r>
      <w:r w:rsidRPr="003E5EAD">
        <w:rPr>
          <w:rFonts w:ascii="Verdana" w:hAnsi="Verdana"/>
          <w:shd w:val="clear" w:color="auto" w:fill="FFFFFF"/>
        </w:rPr>
        <w:t xml:space="preserve">, C-1050 del 21 de julio de 2026, C-1151, C-1152 del 12 de agosto, C-1249 del 27 de agosto de 2026, ha mantenido la postura en virtud de la cual </w:t>
      </w:r>
      <w:r w:rsidRPr="003E5EAD">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66997850" w14:textId="77777777" w:rsidR="00F71265" w:rsidRPr="003E5EAD" w:rsidRDefault="00F71265" w:rsidP="00F71265">
      <w:pPr>
        <w:spacing w:after="120" w:line="276" w:lineRule="auto"/>
        <w:ind w:firstLine="709"/>
        <w:jc w:val="both"/>
        <w:rPr>
          <w:rFonts w:ascii="Verdana" w:hAnsi="Verdana" w:cs="Arial"/>
          <w:noProof/>
        </w:rPr>
      </w:pPr>
      <w:r w:rsidRPr="003E5EAD">
        <w:rPr>
          <w:rFonts w:ascii="Verdana" w:eastAsia="Calibri" w:hAnsi="Verdana" w:cs="Arial"/>
          <w:color w:val="000000"/>
          <w:lang w:val="es-ES" w:eastAsia="es-ES"/>
        </w:rPr>
        <w:t xml:space="preserve">En efecto, conforme se ha explicado en estos conceptos, </w:t>
      </w:r>
      <w:r w:rsidRPr="003E5EAD">
        <w:rPr>
          <w:rFonts w:ascii="Verdana" w:hAnsi="Verdana" w:cs="Arial"/>
          <w:noProof/>
          <w:lang w:val="es-ES_tradnl"/>
        </w:rPr>
        <w:t xml:space="preserve">en </w:t>
      </w:r>
      <w:r w:rsidRPr="003E5EAD">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w:t>
      </w:r>
      <w:r w:rsidRPr="003E5EAD">
        <w:rPr>
          <w:rFonts w:ascii="Verdana" w:hAnsi="Verdana" w:cs="Arial"/>
          <w:noProof/>
        </w:rPr>
        <w:lastRenderedPageBreak/>
        <w:t>inversión para las asignaciones directas y asignación para la inversión local –artículo 36–, así como la ejecución de proyectos de inversión –artículo 37–.</w:t>
      </w:r>
    </w:p>
    <w:p w14:paraId="28A98289" w14:textId="77777777" w:rsidR="00F71265" w:rsidRPr="003E5EAD" w:rsidRDefault="00F71265" w:rsidP="00F71265">
      <w:pPr>
        <w:spacing w:after="120" w:line="276" w:lineRule="auto"/>
        <w:ind w:firstLine="709"/>
        <w:jc w:val="both"/>
        <w:rPr>
          <w:rFonts w:ascii="Verdana" w:hAnsi="Verdana" w:cs="Arial"/>
        </w:rPr>
      </w:pPr>
      <w:r w:rsidRPr="003E5EAD">
        <w:rPr>
          <w:rFonts w:ascii="Verdana" w:hAnsi="Verdana" w:cs="Arial"/>
          <w:noProof/>
        </w:rPr>
        <w:t xml:space="preserve">Particularmente, el artículo 37 </w:t>
      </w:r>
      <w:r w:rsidRPr="003E5EAD">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3E5EAD">
        <w:rPr>
          <w:rFonts w:ascii="Verdana" w:hAnsi="Verdana" w:cs="Arial"/>
          <w:i/>
          <w:iCs/>
        </w:rPr>
        <w:t>ibidem</w:t>
      </w:r>
      <w:r w:rsidRPr="003E5EAD">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0A0183B6" w14:textId="77777777" w:rsidR="00F71265" w:rsidRPr="003E5EAD" w:rsidRDefault="00F71265" w:rsidP="00F71265">
      <w:pPr>
        <w:spacing w:after="120" w:line="276" w:lineRule="auto"/>
        <w:ind w:firstLine="709"/>
        <w:jc w:val="both"/>
        <w:rPr>
          <w:rFonts w:ascii="Verdana" w:hAnsi="Verdana" w:cs="Arial"/>
        </w:rPr>
      </w:pPr>
      <w:r w:rsidRPr="003E5EAD">
        <w:rPr>
          <w:rFonts w:ascii="Verdana" w:hAnsi="Verdana" w:cs="Arial"/>
        </w:rPr>
        <w:t xml:space="preserve">El parágrafo primero del artículo 37 </w:t>
      </w:r>
      <w:r w:rsidRPr="003E5EAD">
        <w:rPr>
          <w:rFonts w:ascii="Verdana" w:hAnsi="Verdana" w:cs="Arial"/>
          <w:i/>
          <w:iCs/>
        </w:rPr>
        <w:t>ibidem</w:t>
      </w:r>
      <w:r w:rsidRPr="003E5EAD">
        <w:rPr>
          <w:rFonts w:ascii="Verdana" w:hAnsi="Verdana" w:cs="Arial"/>
        </w:rPr>
        <w:t xml:space="preserve"> dispone lo siguiente: “La ejecución de proyectos de que trata este artículo, se adelantará, con estricta sujeción al régimen presupuestal definido en esta ley, </w:t>
      </w:r>
      <w:r w:rsidRPr="003E5EAD">
        <w:rPr>
          <w:rFonts w:ascii="Verdana" w:hAnsi="Verdana" w:cs="Arial"/>
          <w:i/>
          <w:iCs/>
          <w:u w:val="single"/>
        </w:rPr>
        <w:t>al de contratación pública</w:t>
      </w:r>
      <w:r w:rsidRPr="003E5EAD">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3E5EAD">
        <w:rPr>
          <w:rFonts w:ascii="Verdana" w:hAnsi="Verdana" w:cs="Arial"/>
          <w:vertAlign w:val="superscript"/>
        </w:rPr>
        <w:footnoteReference w:id="5"/>
      </w:r>
      <w:r w:rsidRPr="003E5EAD">
        <w:rPr>
          <w:rFonts w:ascii="Verdana" w:hAnsi="Verdana" w:cs="Arial"/>
        </w:rPr>
        <w:t>.</w:t>
      </w:r>
      <w:r w:rsidRPr="003E5EAD">
        <w:rPr>
          <w:rFonts w:ascii="Verdana" w:hAnsi="Verdana" w:cs="Arial"/>
          <w:noProof/>
        </w:rPr>
        <w:t xml:space="preserve"> A partir de esta norma, el ejecutor de los proyectos de </w:t>
      </w:r>
      <w:r w:rsidRPr="003E5EAD">
        <w:rPr>
          <w:rFonts w:ascii="Verdana" w:hAnsi="Verdana" w:cs="Arial"/>
          <w:noProof/>
        </w:rPr>
        <w:lastRenderedPageBreak/>
        <w:t xml:space="preserve">inversión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77268A98" w14:textId="77777777" w:rsidR="00F71265" w:rsidRPr="003E5EAD" w:rsidRDefault="00F71265" w:rsidP="00F71265">
      <w:pPr>
        <w:spacing w:after="120" w:line="276" w:lineRule="auto"/>
        <w:ind w:firstLine="709"/>
        <w:jc w:val="both"/>
        <w:rPr>
          <w:rFonts w:ascii="Verdana" w:hAnsi="Verdana" w:cs="Arial"/>
          <w:bdr w:val="none" w:sz="0" w:space="0" w:color="auto" w:frame="1"/>
        </w:rPr>
      </w:pPr>
      <w:r w:rsidRPr="003E5EAD">
        <w:rPr>
          <w:rFonts w:ascii="Verdana" w:hAnsi="Verdana" w:cs="Arial"/>
        </w:rPr>
        <w:t xml:space="preserve">Por tanto, en caso de que se realicen proyectos de inversión en el marco del Sistema General de Regalías, como también aquellos proyectos especiales referenciados </w:t>
      </w:r>
      <w:r w:rsidRPr="003E5EAD">
        <w:rPr>
          <w:rFonts w:ascii="Verdana" w:hAnsi="Verdana" w:cs="Arial"/>
          <w:i/>
          <w:iCs/>
        </w:rPr>
        <w:t>ut supra</w:t>
      </w:r>
      <w:r w:rsidRPr="003E5EAD">
        <w:rPr>
          <w:rFonts w:ascii="Verdana" w:hAnsi="Verdana" w:cs="Arial"/>
        </w:rPr>
        <w:t>, los ejecutores designados para desarrollarlos deben sujetarse al Estatuto General de Contratación de la Administración Pública</w:t>
      </w:r>
      <w:r w:rsidRPr="003E5EAD">
        <w:rPr>
          <w:rFonts w:ascii="Verdana" w:eastAsia="Calibri" w:hAnsi="Verdana" w:cs="Arial"/>
        </w:rPr>
        <w:t>.</w:t>
      </w:r>
      <w:r w:rsidRPr="003E5EAD">
        <w:rPr>
          <w:rFonts w:ascii="Verdana" w:hAnsi="Verdana" w:cs="Arial"/>
        </w:rPr>
        <w:t xml:space="preserve"> </w:t>
      </w:r>
      <w:r w:rsidRPr="003E5EAD">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1C9FF33D" w14:textId="77777777" w:rsidR="00F71265" w:rsidRPr="003E5EAD" w:rsidRDefault="00F71265" w:rsidP="00F71265">
      <w:pPr>
        <w:spacing w:after="120" w:line="276" w:lineRule="auto"/>
        <w:ind w:firstLine="709"/>
        <w:jc w:val="both"/>
        <w:rPr>
          <w:rFonts w:ascii="Verdana" w:eastAsia="Calibri" w:hAnsi="Verdana" w:cs="Arial"/>
          <w:color w:val="000000"/>
          <w:lang w:val="es-ES" w:eastAsia="es-ES"/>
        </w:rPr>
      </w:pPr>
      <w:r w:rsidRPr="003E5EAD">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3F43351D"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lang w:val="es-ES" w:eastAsia="es-ES"/>
        </w:rPr>
        <w:t>Sobre</w:t>
      </w:r>
      <w:r w:rsidRPr="003E5EAD">
        <w:rPr>
          <w:rFonts w:ascii="Verdana" w:eastAsia="Calibri" w:hAnsi="Verdana" w:cs="Arial"/>
          <w:lang w:val="es-ES_tradnl"/>
        </w:rPr>
        <w:t xml:space="preserve"> la </w:t>
      </w:r>
      <w:r w:rsidRPr="003E5EAD">
        <w:rPr>
          <w:rFonts w:ascii="Verdana" w:eastAsia="Calibri" w:hAnsi="Verdana" w:cs="Arial"/>
        </w:rPr>
        <w:t xml:space="preserve">inversión de los recursos del Sistema General de Regalías para pueblos y comunidades indígenas, esta Agencia en los conceptos </w:t>
      </w:r>
      <w:r w:rsidRPr="003E5EAD">
        <w:rPr>
          <w:rFonts w:ascii="Verdana" w:hAnsi="Verdana" w:cs="Arial"/>
          <w:shd w:val="clear" w:color="auto" w:fill="FFFFFF"/>
          <w:lang w:val="es-ES"/>
        </w:rPr>
        <w:t>C-891 del 20 de diciembre del 2024, C-844 del 06 de agosto del 2025,</w:t>
      </w:r>
      <w:r w:rsidRPr="003E5EAD">
        <w:rPr>
          <w:rFonts w:ascii="Verdana" w:eastAsia="Calibri" w:hAnsi="Verdana" w:cs="Arial"/>
          <w:color w:val="000000" w:themeColor="text1"/>
          <w:lang w:eastAsia="es-ES"/>
        </w:rPr>
        <w:t xml:space="preserve"> C-1257 del 19 de septiembre de 2025 y</w:t>
      </w:r>
      <w:r w:rsidRPr="003E5EAD">
        <w:rPr>
          <w:rFonts w:ascii="Verdana" w:hAnsi="Verdana" w:cs="Arial"/>
          <w:shd w:val="clear" w:color="auto" w:fill="FFFFFF"/>
          <w:lang w:val="es-ES"/>
        </w:rPr>
        <w:t xml:space="preserve"> C-1585 de 2025, señaló que </w:t>
      </w:r>
      <w:r w:rsidRPr="003E5EAD">
        <w:rPr>
          <w:rFonts w:ascii="Verdana" w:eastAsia="Calibri" w:hAnsi="Verdana" w:cs="Arial"/>
        </w:rPr>
        <w:t>de conformidad con el parágrafo del artículo 84</w:t>
      </w:r>
      <w:r w:rsidRPr="003E5EAD">
        <w:rPr>
          <w:rStyle w:val="Refdenotaalpie"/>
          <w:rFonts w:ascii="Verdana" w:eastAsia="Calibri" w:hAnsi="Verdana" w:cs="Arial"/>
        </w:rPr>
        <w:footnoteReference w:id="6"/>
      </w:r>
      <w:r w:rsidRPr="003E5EAD">
        <w:rPr>
          <w:rFonts w:ascii="Verdana" w:eastAsia="Calibri" w:hAnsi="Verdana" w:cs="Arial"/>
        </w:rPr>
        <w:t xml:space="preserve"> y el artículo 85 de la Ley 2056 de 2020 se concluían </w:t>
      </w:r>
      <w:r w:rsidRPr="003E5EAD">
        <w:rPr>
          <w:rFonts w:ascii="Verdana" w:eastAsia="Calibri" w:hAnsi="Verdana" w:cs="Arial"/>
        </w:rPr>
        <w:lastRenderedPageBreak/>
        <w:t>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ii) los actos o contratos que expidan o celebren las asociaciones de cabildos, las asociaciones tradicionales indígenas y las organizaciones indígenas como entidades ejecutoras se regirán por los Decretos 1088 de 1993 y 252 de 2020.</w:t>
      </w:r>
    </w:p>
    <w:p w14:paraId="10597E18" w14:textId="77777777" w:rsidR="00F71265" w:rsidRPr="003E5EAD" w:rsidRDefault="00F71265" w:rsidP="00F71265">
      <w:pPr>
        <w:spacing w:after="120" w:line="276" w:lineRule="auto"/>
        <w:ind w:firstLine="709"/>
        <w:jc w:val="both"/>
        <w:rPr>
          <w:rFonts w:ascii="Verdana" w:eastAsia="Calibri" w:hAnsi="Verdana" w:cs="Arial"/>
        </w:rPr>
      </w:pPr>
      <w:r w:rsidRPr="003E5EAD">
        <w:rPr>
          <w:rFonts w:ascii="Verdana" w:eastAsia="Calibri" w:hAnsi="Verdana" w:cs="Arial"/>
        </w:rPr>
        <w:t xml:space="preserve">En efecto, según lo explicado en estos conceptos, el artículo 85 de la Ley 2056 de 2020 expresamente remite a los Decretos 1088 de 1993 y 252 de 2020 para establecer las normas que regirán los actos o contratos que expidan o celebren los ejecutores. Esta normativa regula específicamente las asociaciones de cabildos y/o autoridades tradicionales Indígenas y organizaciones indígenas, y establece unas reglas particulares en cuanto a su creación, naturaleza de actos y contratos, constitución, estatutos, bienes y control fiscal, etc. De esta manera, teniendo en cuenta que dichas normas regulan de forma más precisa y detallada aspectos de estas asociaciones, se concluía que esta normativa debe ser la que se aplique respecto del régimen de los contratos. </w:t>
      </w:r>
    </w:p>
    <w:p w14:paraId="5447090D" w14:textId="7C213C5A" w:rsidR="00F71265" w:rsidRPr="003E5EAD" w:rsidRDefault="00F71265" w:rsidP="00F71265">
      <w:pPr>
        <w:spacing w:after="120" w:line="276" w:lineRule="auto"/>
        <w:ind w:firstLine="709"/>
        <w:jc w:val="both"/>
        <w:rPr>
          <w:rFonts w:ascii="Verdana" w:eastAsia="Calibri" w:hAnsi="Verdana" w:cs="Arial"/>
        </w:rPr>
      </w:pPr>
      <w:r w:rsidRPr="003E5EAD">
        <w:rPr>
          <w:rFonts w:ascii="Verdana" w:hAnsi="Verdana" w:cs="Arial"/>
          <w:lang w:eastAsia="es-CO"/>
        </w:rPr>
        <w:t xml:space="preserve">Adicionalmente, se indicó que </w:t>
      </w:r>
      <w:r w:rsidRPr="003E5EAD">
        <w:rPr>
          <w:rStyle w:val="eop"/>
          <w:rFonts w:ascii="Verdana" w:hAnsi="Verdana" w:cs="Arial"/>
        </w:rPr>
        <w:t>“aunque el Decreto Ley 1088 de 1993 no precisó las fuentes de financiación de las asociaciones, lo cierto es que el régimen descrito permite establecer que, con el propósito de desarrollar su objeto social, estas organizaciones pueden celebrar contratos con particulares, es decir, obtener fuentes de financiación privada. Asimismo, como entidades de derecho público, pueden manejar fondos y recursos tanto de la Nación como de las entidades territoriales”</w:t>
      </w:r>
      <w:r w:rsidRPr="003E5EAD">
        <w:rPr>
          <w:rStyle w:val="Refdenotaalpie"/>
          <w:rFonts w:ascii="Verdana" w:hAnsi="Verdana" w:cs="Arial"/>
        </w:rPr>
        <w:footnoteReference w:id="7"/>
      </w:r>
      <w:r w:rsidRPr="003E5EAD">
        <w:rPr>
          <w:rStyle w:val="eop"/>
          <w:rFonts w:ascii="Verdana" w:hAnsi="Verdana" w:cs="Arial"/>
        </w:rPr>
        <w:t>.</w:t>
      </w:r>
      <w:r w:rsidRPr="003E5EAD">
        <w:rPr>
          <w:rFonts w:ascii="Verdana" w:eastAsia="Calibri" w:hAnsi="Verdana" w:cs="Arial"/>
        </w:rPr>
        <w:t xml:space="preserve"> De este modo, comoquiera que el Decreto 1088 de 1993 no realizó distinción sobre las fuentes de financiación, una interpretación integral con las normas del SGR descritas, permitía colegir que su aplicación se realiza también en el marco de la ejecución de dichos recursos conforme lo señala el artículo 85</w:t>
      </w:r>
      <w:r w:rsidR="00CD19EA">
        <w:rPr>
          <w:rFonts w:ascii="Verdana" w:eastAsia="Calibri" w:hAnsi="Verdana" w:cs="Arial"/>
        </w:rPr>
        <w:t xml:space="preserve"> de</w:t>
      </w:r>
      <w:r w:rsidRPr="003E5EAD">
        <w:rPr>
          <w:rFonts w:ascii="Verdana" w:eastAsia="Calibri" w:hAnsi="Verdana" w:cs="Arial"/>
        </w:rPr>
        <w:t xml:space="preserve"> la Ley 2056 de 2020. </w:t>
      </w:r>
    </w:p>
    <w:p w14:paraId="4433299D" w14:textId="77777777" w:rsidR="00F71265" w:rsidRPr="003E5EAD" w:rsidRDefault="00F71265" w:rsidP="00F71265">
      <w:pPr>
        <w:spacing w:after="120" w:line="276" w:lineRule="auto"/>
        <w:ind w:firstLine="709"/>
        <w:jc w:val="both"/>
        <w:rPr>
          <w:rFonts w:ascii="Verdana" w:eastAsia="Calibri" w:hAnsi="Verdana" w:cs="Arial"/>
        </w:rPr>
      </w:pPr>
      <w:r w:rsidRPr="003E5EAD">
        <w:rPr>
          <w:rFonts w:ascii="Verdana" w:eastAsia="Calibri" w:hAnsi="Verdana" w:cs="Arial"/>
        </w:rPr>
        <w:t xml:space="preserve">En consecuencia, se afirmaba que cuando el ejecutor de los recursos del SGR sean las asociaciones de cabildos, las asociaciones de autoridades </w:t>
      </w:r>
      <w:r w:rsidRPr="003E5EAD">
        <w:rPr>
          <w:rFonts w:ascii="Verdana" w:eastAsia="Calibri" w:hAnsi="Verdana" w:cs="Arial"/>
        </w:rPr>
        <w:lastRenderedPageBreak/>
        <w:t xml:space="preserve">tradicionales indígenas y las organizaciones indígenas a que se refiere el Decreto 252 de 2020, los contratos de naturaleza industrial o comercial que celebren estas asociaciones con cargo a dichos recursos se regirán por el derecho privado. Sin embargo, el ejecutor deberá cumplir con las obligaciones inherentes al SGR como el suministro y registro de la información requerida por el sistema de seguimiento, evaluación y control y demás actividades de seguimiento propias de la ejecución de dichos recursos. </w:t>
      </w:r>
    </w:p>
    <w:p w14:paraId="79D04978"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No obstante lo anterior, atendiendo a la reciente posición adoptada por la Sala de Consulta y Servicio Civil del Consejo de Estado en el Concepto 2563 del 25 de junio de 2026, respecto de la ejecución de los recursos del SGR, resulta necesario revisar y ajustar la postura previamente señalada, con el propósito de armonizarla con los argumentos y criterios jurídicos expuestos por dicha Corporación. En efecto, la Sala de Consulta y Servicio Civil estima que:</w:t>
      </w:r>
    </w:p>
    <w:p w14:paraId="469F6DD7" w14:textId="77777777" w:rsidR="00F71265" w:rsidRPr="003E5EAD" w:rsidRDefault="00F71265" w:rsidP="00F71265">
      <w:pPr>
        <w:spacing w:after="0" w:line="276" w:lineRule="auto"/>
        <w:jc w:val="both"/>
        <w:rPr>
          <w:rFonts w:ascii="Verdana" w:eastAsia="Calibri" w:hAnsi="Verdana" w:cs="Arial"/>
          <w:color w:val="000000" w:themeColor="text1"/>
          <w:lang w:eastAsia="es-ES"/>
        </w:rPr>
      </w:pPr>
    </w:p>
    <w:p w14:paraId="6D45A4A6"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23CA6274"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262FB038"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0E88110A"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1502650F"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lastRenderedPageBreak/>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17EB9B50" w14:textId="77777777" w:rsidR="00F71265" w:rsidRPr="003E5EAD" w:rsidRDefault="00F71265" w:rsidP="00F71265">
      <w:pPr>
        <w:spacing w:after="0" w:line="240" w:lineRule="auto"/>
        <w:ind w:left="709" w:right="709"/>
        <w:jc w:val="both"/>
        <w:rPr>
          <w:rFonts w:ascii="Verdana" w:eastAsia="Calibri" w:hAnsi="Verdana" w:cs="Arial"/>
          <w:color w:val="000000" w:themeColor="text1"/>
          <w:lang w:eastAsia="es-ES"/>
        </w:rPr>
      </w:pPr>
      <w:r w:rsidRPr="003E5EAD">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44B1FBA4" w14:textId="77777777" w:rsidR="00F71265" w:rsidRPr="003E5EAD" w:rsidRDefault="00F71265" w:rsidP="00F71265">
      <w:pPr>
        <w:spacing w:after="120" w:line="276" w:lineRule="auto"/>
        <w:jc w:val="both"/>
        <w:rPr>
          <w:rFonts w:ascii="Verdana" w:eastAsia="Calibri" w:hAnsi="Verdana" w:cs="Arial"/>
          <w:color w:val="000000" w:themeColor="text1"/>
          <w:lang w:eastAsia="es-ES"/>
        </w:rPr>
      </w:pPr>
    </w:p>
    <w:p w14:paraId="7B0FA987"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w:t>
      </w:r>
    </w:p>
    <w:p w14:paraId="22E78FEA"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Lo anterior adquiere especial relevancia para el asunto objeto de análisis, toda vez que el Consejo de Estado circunscribe expresamente las excepciones a la aplicación del EGCAP a los recursos destinados a ciencia, tecnología e innovación, sin incluir dentro de estas, de manera particular, los recursos de inversión asignados a los pueblos indígenas: </w:t>
      </w:r>
    </w:p>
    <w:p w14:paraId="2888BED4" w14:textId="77777777" w:rsidR="00F71265" w:rsidRPr="003E5EAD" w:rsidRDefault="00F71265" w:rsidP="00F71265">
      <w:pPr>
        <w:spacing w:after="0" w:line="240" w:lineRule="auto"/>
        <w:ind w:firstLine="709"/>
        <w:jc w:val="both"/>
        <w:rPr>
          <w:rFonts w:ascii="Verdana" w:eastAsia="Calibri" w:hAnsi="Verdana" w:cs="Arial"/>
          <w:color w:val="000000" w:themeColor="text1"/>
          <w:lang w:eastAsia="es-ES"/>
        </w:rPr>
      </w:pPr>
    </w:p>
    <w:p w14:paraId="210D950C"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“Por último, se destaca que el Título V de la Ley 2056 de 2020, reitera la responsabilidad del ejecutor y la sujeción al régimen presupuestal y de contratación estatal, en los artículos 84 y 85 para los pueblos y comunidades indígenas, en los artículos 99 y 101 para las comunidades Negras, Afrocolombianas Raizales y Palenqueras y en los artículos 108 y 109 para el pueblo Rrom o Gitano.</w:t>
      </w:r>
    </w:p>
    <w:p w14:paraId="211BB285"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 xml:space="preserve">La Ley 2056 de 2020 </w:t>
      </w:r>
      <w:r w:rsidRPr="003E5EAD">
        <w:rPr>
          <w:rFonts w:ascii="Verdana" w:eastAsia="Calibri" w:hAnsi="Verdana" w:cs="Arial"/>
          <w:i/>
          <w:iCs/>
          <w:color w:val="000000" w:themeColor="text1"/>
          <w:sz w:val="20"/>
          <w:szCs w:val="20"/>
          <w:lang w:eastAsia="es-ES"/>
        </w:rPr>
        <w:t>sólo introdujo una regla contractual especial y distinta al régimen de contratación pública,</w:t>
      </w:r>
      <w:r w:rsidRPr="003E5EAD">
        <w:rPr>
          <w:rFonts w:ascii="Verdana" w:eastAsia="Calibri" w:hAnsi="Verdana" w:cs="Arial"/>
          <w:color w:val="000000" w:themeColor="text1"/>
          <w:sz w:val="20"/>
          <w:szCs w:val="20"/>
          <w:lang w:eastAsia="es-ES"/>
        </w:rPr>
        <w:t xml:space="preserve"> cuando en el inciso cuarto de </w:t>
      </w:r>
      <w:r w:rsidRPr="003E5EAD">
        <w:rPr>
          <w:rFonts w:ascii="Verdana" w:eastAsia="Calibri" w:hAnsi="Verdana" w:cs="Arial"/>
          <w:color w:val="000000" w:themeColor="text1"/>
          <w:sz w:val="20"/>
          <w:szCs w:val="20"/>
          <w:lang w:eastAsia="es-ES"/>
        </w:rPr>
        <w:lastRenderedPageBreak/>
        <w:t>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p>
    <w:p w14:paraId="3E9C64E5"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sz w:val="20"/>
          <w:szCs w:val="20"/>
          <w:lang w:eastAsia="es-ES"/>
        </w:rPr>
        <w:t>En este sentido, a diferencia de la regla general de sujeción al Estatuto General de Contratación, el legislador consagró un régimen contractual especial y expreso para este tipo de proyectos, atendiendo a la naturaleza particular de las actividades de ciencia, tecnología e innovación”. (Énfasis por fuera de texto).</w:t>
      </w:r>
    </w:p>
    <w:p w14:paraId="10D77119" w14:textId="77777777" w:rsidR="00F71265" w:rsidRPr="003E5EAD" w:rsidRDefault="00F71265" w:rsidP="00F71265">
      <w:pPr>
        <w:spacing w:after="0" w:line="240" w:lineRule="auto"/>
        <w:jc w:val="both"/>
        <w:rPr>
          <w:rFonts w:ascii="Verdana" w:eastAsia="Calibri" w:hAnsi="Verdana" w:cs="Arial"/>
          <w:color w:val="000000" w:themeColor="text1"/>
          <w:lang w:eastAsia="es-ES"/>
        </w:rPr>
      </w:pPr>
    </w:p>
    <w:p w14:paraId="341A7FA2"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De acuerdo con lo señalado por el Consejo de Estado, los artículos 84 y 85 de la Ley 2056 de 2020, relativos a los pueblos y comunidades indígenas, reafirman la responsabilidad del ejecutor de someterse a las disposiciones que regulan el régimen presupuestal y </w:t>
      </w:r>
      <w:r w:rsidRPr="003E5EAD">
        <w:rPr>
          <w:rFonts w:ascii="Verdana" w:eastAsia="Calibri" w:hAnsi="Verdana" w:cs="Arial"/>
          <w:i/>
          <w:iCs/>
          <w:color w:val="000000" w:themeColor="text1"/>
          <w:lang w:eastAsia="es-ES"/>
        </w:rPr>
        <w:t>la contratación estatal</w:t>
      </w:r>
      <w:r w:rsidRPr="003E5EAD">
        <w:rPr>
          <w:rFonts w:ascii="Verdana" w:eastAsia="Calibri" w:hAnsi="Verdana" w:cs="Arial"/>
          <w:color w:val="000000" w:themeColor="text1"/>
          <w:lang w:eastAsia="es-ES"/>
        </w:rPr>
        <w:t>. Esta conclusión es reiterada en otros apartes del concepto, en los que la Corporación precisa lo siguiente:</w:t>
      </w:r>
    </w:p>
    <w:p w14:paraId="779F427D" w14:textId="77777777" w:rsidR="00F71265" w:rsidRPr="003E5EAD" w:rsidRDefault="00F71265" w:rsidP="00F71265">
      <w:pPr>
        <w:spacing w:after="0" w:line="240" w:lineRule="auto"/>
        <w:ind w:firstLine="709"/>
        <w:jc w:val="both"/>
        <w:rPr>
          <w:rFonts w:ascii="Verdana" w:eastAsia="Calibri" w:hAnsi="Verdana" w:cs="Arial"/>
          <w:color w:val="000000" w:themeColor="text1"/>
          <w:lang w:eastAsia="es-ES"/>
        </w:rPr>
      </w:pPr>
    </w:p>
    <w:p w14:paraId="33C6B10B" w14:textId="77777777" w:rsidR="00F71265" w:rsidRPr="003E5EAD" w:rsidRDefault="00F71265" w:rsidP="00F71265">
      <w:pPr>
        <w:spacing w:after="12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color w:val="000000" w:themeColor="text1"/>
          <w:lang w:eastAsia="es-ES"/>
        </w:rPr>
        <w:t>“</w:t>
      </w:r>
      <w:r w:rsidRPr="003E5EAD">
        <w:rPr>
          <w:rFonts w:ascii="Verdana" w:eastAsia="Calibri" w:hAnsi="Verdana" w:cs="Arial"/>
          <w:color w:val="000000" w:themeColor="text1"/>
          <w:sz w:val="20"/>
          <w:szCs w:val="20"/>
          <w:lang w:eastAsia="es-ES"/>
        </w:rPr>
        <w:t xml:space="preserve">Una vez aprobado el proyecto de inversión y designada la entidad ejecutora, esta debe actuar dentro de un régimen funcional especial de ejecución de regalías, </w:t>
      </w:r>
      <w:r w:rsidRPr="003E5EAD">
        <w:rPr>
          <w:rFonts w:ascii="Verdana" w:eastAsia="Calibri" w:hAnsi="Verdana" w:cs="Arial"/>
          <w:i/>
          <w:iCs/>
          <w:color w:val="000000" w:themeColor="text1"/>
          <w:sz w:val="20"/>
          <w:szCs w:val="20"/>
          <w:lang w:eastAsia="es-ES"/>
        </w:rPr>
        <w:t>en el cual la contratación de bienes, obras, servicios, consultorías e interventorías requerida para materializar el proyecto debe adelantarse con sujeción al Estatuto General de Contratación de la Administración Pública,</w:t>
      </w:r>
      <w:r w:rsidRPr="003E5EAD">
        <w:rPr>
          <w:rFonts w:ascii="Verdana" w:eastAsia="Calibri" w:hAnsi="Verdana" w:cs="Arial"/>
          <w:color w:val="000000" w:themeColor="text1"/>
          <w:sz w:val="20"/>
          <w:szCs w:val="20"/>
          <w:lang w:eastAsia="es-ES"/>
        </w:rPr>
        <w:t xml:space="preserve"> sus modalidades de selección, sus reglas de publicidad, planeación, selección objetiva, documentos tipo cuando correspondan, supervisión, interventoría y control.</w:t>
      </w:r>
    </w:p>
    <w:p w14:paraId="6882C1BE" w14:textId="77777777" w:rsidR="00F71265" w:rsidRPr="003E5EAD" w:rsidRDefault="00F71265" w:rsidP="00F71265">
      <w:pPr>
        <w:spacing w:after="0" w:line="240" w:lineRule="auto"/>
        <w:ind w:left="709" w:right="709"/>
        <w:jc w:val="both"/>
        <w:rPr>
          <w:rFonts w:ascii="Verdana" w:eastAsia="Calibri" w:hAnsi="Verdana" w:cs="Arial"/>
          <w:color w:val="000000" w:themeColor="text1"/>
          <w:sz w:val="20"/>
          <w:szCs w:val="20"/>
          <w:lang w:eastAsia="es-ES"/>
        </w:rPr>
      </w:pPr>
      <w:r w:rsidRPr="003E5EAD">
        <w:rPr>
          <w:rFonts w:ascii="Verdana" w:eastAsia="Calibri" w:hAnsi="Verdana" w:cs="Arial"/>
          <w:i/>
          <w:iCs/>
          <w:color w:val="000000" w:themeColor="text1"/>
          <w:sz w:val="20"/>
          <w:szCs w:val="20"/>
          <w:lang w:eastAsia="es-ES"/>
        </w:rPr>
        <w:t>Solo cuando la propia Ley 2056 de 2020 o su reglamentación prevean expresamente una hipótesis distinta —como la ejecución directa mediante acto administrativo unilateral que decreta el gasto, o el régimen especial previsto para proyectos de ciencia, tecnología e innovación— podrá acudirse a esa regla particular</w:t>
      </w:r>
      <w:r w:rsidRPr="003E5EAD">
        <w:rPr>
          <w:rFonts w:ascii="Verdana" w:eastAsia="Calibri" w:hAnsi="Verdana" w:cs="Arial"/>
          <w:color w:val="000000" w:themeColor="text1"/>
          <w:sz w:val="20"/>
          <w:szCs w:val="20"/>
          <w:lang w:eastAsia="es-ES"/>
        </w:rPr>
        <w:t>. Esta interpretación es la que armoniza el tenor literal del parágrafo 1º del artículo 37 de la Ley 2056 de 2020, su desarrollo reglamentario en el Decreto 1821 de 2020, la finalidad constitucional de protección de las regalías y el principio de efecto útil de la norma, evitando que la fuente SGR se convierta en un mecanismo para desplazar los estándares de transparencia, concurrencia, control y responsabilidad propios de la contratación estatal.</w:t>
      </w:r>
      <w:r w:rsidRPr="003E5EAD">
        <w:rPr>
          <w:rFonts w:ascii="Verdana" w:eastAsia="Calibri" w:hAnsi="Verdana" w:cs="Arial"/>
          <w:color w:val="000000" w:themeColor="text1"/>
          <w:sz w:val="20"/>
          <w:szCs w:val="20"/>
          <w:vertAlign w:val="superscript"/>
          <w:lang w:eastAsia="es-ES"/>
        </w:rPr>
        <w:footnoteReference w:id="8"/>
      </w:r>
      <w:r w:rsidRPr="003E5EAD">
        <w:rPr>
          <w:rFonts w:ascii="Verdana" w:eastAsia="Calibri" w:hAnsi="Verdana" w:cs="Arial"/>
          <w:color w:val="000000" w:themeColor="text1"/>
          <w:sz w:val="20"/>
          <w:szCs w:val="20"/>
          <w:lang w:eastAsia="es-ES"/>
        </w:rPr>
        <w:t>” (Énfasis por fuera de texto).</w:t>
      </w:r>
    </w:p>
    <w:p w14:paraId="7B4F928D"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p>
    <w:p w14:paraId="36B62714"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En este sentido, conforme lo explica el Consejo de Estado, la entidad deberá sujetarse a las disposiciones del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servicio aprobado en el proyecto, y ii) cuando el régimen especial aplicable sea el de los proyectos de ciencia, tecnología e innovación</w:t>
      </w:r>
      <w:r w:rsidRPr="003E5EAD">
        <w:rPr>
          <w:rFonts w:ascii="Verdana" w:eastAsia="Calibri" w:hAnsi="Verdana" w:cs="Arial"/>
          <w:color w:val="000000" w:themeColor="text1"/>
          <w:vertAlign w:val="superscript"/>
          <w:lang w:eastAsia="es-ES"/>
        </w:rPr>
        <w:footnoteReference w:id="9"/>
      </w:r>
      <w:r w:rsidRPr="003E5EAD">
        <w:rPr>
          <w:rFonts w:ascii="Verdana" w:eastAsia="Calibri" w:hAnsi="Verdana" w:cs="Arial"/>
          <w:color w:val="000000" w:themeColor="text1"/>
          <w:lang w:eastAsia="es-ES"/>
        </w:rPr>
        <w:t>.</w:t>
      </w:r>
    </w:p>
    <w:p w14:paraId="05060DD9" w14:textId="77777777" w:rsidR="00F71265" w:rsidRPr="003E5EAD" w:rsidRDefault="00F71265" w:rsidP="00F71265">
      <w:pPr>
        <w:shd w:val="clear" w:color="auto" w:fill="FFFFFF"/>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Por consiguiente, esta Agencia replantea la postura expuesta en los conceptos </w:t>
      </w:r>
      <w:r w:rsidRPr="003E5EAD">
        <w:rPr>
          <w:rFonts w:ascii="Verdana" w:hAnsi="Verdana" w:cs="Arial"/>
          <w:shd w:val="clear" w:color="auto" w:fill="FFFFFF"/>
          <w:lang w:val="es-ES"/>
        </w:rPr>
        <w:t>C-891 del 20 de diciembre del 2024, C-844 del 06 de agosto del 2025,</w:t>
      </w:r>
      <w:r w:rsidRPr="003E5EAD">
        <w:rPr>
          <w:rFonts w:ascii="Verdana" w:eastAsia="Calibri" w:hAnsi="Verdana" w:cs="Arial"/>
          <w:color w:val="000000" w:themeColor="text1"/>
          <w:lang w:eastAsia="es-ES"/>
        </w:rPr>
        <w:t xml:space="preserve"> C-1257 del 19 de septiembre de 2025 y</w:t>
      </w:r>
      <w:r w:rsidRPr="003E5EAD">
        <w:rPr>
          <w:rFonts w:ascii="Verdana" w:hAnsi="Verdana" w:cs="Arial"/>
          <w:shd w:val="clear" w:color="auto" w:fill="FFFFFF"/>
          <w:lang w:val="es-ES"/>
        </w:rPr>
        <w:t xml:space="preserve"> C-1585 de 2025,</w:t>
      </w:r>
      <w:r w:rsidRPr="003E5EAD">
        <w:rPr>
          <w:rFonts w:ascii="Verdana" w:eastAsia="Calibri" w:hAnsi="Verdana" w:cs="Arial"/>
          <w:color w:val="000000" w:themeColor="text1"/>
          <w:lang w:eastAsia="es-ES"/>
        </w:rPr>
        <w:t xml:space="preserve"> con el propósito de armonizarla con lo señalado por el concepto 2563 del 25 de junio de 2026 de la Sala de Consulta y Servicio Civil del Consejo de Estado,</w:t>
      </w:r>
      <w:r w:rsidRPr="003E5EAD">
        <w:rPr>
          <w:rFonts w:ascii="Verdana" w:hAnsi="Verdana" w:cs="Arial"/>
          <w:shd w:val="clear" w:color="auto" w:fill="FFFFFF"/>
          <w:lang w:val="es-ES"/>
        </w:rPr>
        <w:t xml:space="preserve"> en el sentido de indicar que cuando las entidades a las que se refiere el parágrafo primero del artículo 84 de la Ley 2056 de 2020, esto es, l</w:t>
      </w:r>
      <w:r w:rsidRPr="003E5EAD">
        <w:rPr>
          <w:rFonts w:ascii="Verdana" w:hAnsi="Verdana" w:cs="Arial"/>
          <w:shd w:val="clear" w:color="auto" w:fill="FFFFFF"/>
        </w:rPr>
        <w:t>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w:t>
      </w:r>
      <w:hyperlink r:id="rId12" w:anchor="INICIO" w:history="1">
        <w:r w:rsidRPr="003E5EAD">
          <w:rPr>
            <w:rStyle w:val="Hipervnculo"/>
            <w:rFonts w:ascii="Verdana" w:hAnsi="Verdana" w:cs="Arial"/>
            <w:color w:val="000000" w:themeColor="text1"/>
            <w:u w:val="none"/>
            <w:shd w:val="clear" w:color="auto" w:fill="FFFFFF"/>
          </w:rPr>
          <w:t>252</w:t>
        </w:r>
      </w:hyperlink>
      <w:r w:rsidRPr="003E5EAD">
        <w:rPr>
          <w:rFonts w:ascii="Verdana" w:hAnsi="Verdana" w:cs="Arial"/>
          <w:shd w:val="clear" w:color="auto" w:fill="FFFFFF"/>
        </w:rPr>
        <w:t xml:space="preserve"> de 2020 </w:t>
      </w:r>
      <w:r w:rsidRPr="003E5EAD">
        <w:rPr>
          <w:rFonts w:ascii="Verdana" w:eastAsia="Calibri" w:hAnsi="Verdana" w:cs="Arial"/>
        </w:rPr>
        <w:t xml:space="preserve">sean ejecutoras de recursos del SGR, </w:t>
      </w:r>
      <w:r w:rsidRPr="003E5EAD">
        <w:rPr>
          <w:rFonts w:ascii="Verdana" w:hAnsi="Verdana" w:cs="Arial"/>
        </w:rPr>
        <w:t>para desarrollarlos deben sujetarse al Estatuto General de Contratación de la Administración Pública</w:t>
      </w:r>
      <w:r w:rsidRPr="003E5EAD">
        <w:rPr>
          <w:rFonts w:ascii="Verdana" w:eastAsia="Calibri" w:hAnsi="Verdana" w:cs="Arial"/>
          <w:lang w:val="es-MX"/>
        </w:rPr>
        <w:t xml:space="preserve">, </w:t>
      </w:r>
      <w:r w:rsidRPr="003E5EAD">
        <w:rPr>
          <w:rFonts w:ascii="Verdana" w:eastAsia="Calibri" w:hAnsi="Verdana" w:cs="Arial"/>
          <w:color w:val="000000"/>
          <w:lang w:val="es-ES" w:eastAsia="es-ES"/>
        </w:rPr>
        <w:t>sin perjuicio de que en sus demás actividades apliquen el régimen especial que les corresponda</w:t>
      </w:r>
      <w:r w:rsidRPr="003E5EAD">
        <w:rPr>
          <w:rFonts w:ascii="Verdana" w:eastAsia="Calibri" w:hAnsi="Verdana" w:cs="Arial"/>
          <w:color w:val="000000" w:themeColor="text1"/>
          <w:lang w:eastAsia="es-ES"/>
        </w:rPr>
        <w:t xml:space="preserve">. </w:t>
      </w:r>
    </w:p>
    <w:p w14:paraId="544E00AB" w14:textId="77777777" w:rsidR="00F71265" w:rsidRPr="003E5EAD" w:rsidRDefault="00F71265" w:rsidP="00F71265">
      <w:pPr>
        <w:shd w:val="clear" w:color="auto" w:fill="FFFFFF"/>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Esto significa que la contratación de los bienes, obras o servicios que se adelante con fundamento en dicha normativa, deberá sujetarse a las disposiciones del EGCAP y en consecuencia, los procesos de contratación deberán desarrollarse observando las etapas, términos, procedimientos y demás reglas previstas en dicho estatuto, </w:t>
      </w:r>
      <w:r w:rsidRPr="003E5EAD">
        <w:rPr>
          <w:rFonts w:ascii="Verdana" w:hAnsi="Verdana" w:cs="Arial"/>
        </w:rPr>
        <w:t>acudiendo a las modalidades de selección establecidas por el artículo 2 de la Ley 1150 de 2007.</w:t>
      </w:r>
    </w:p>
    <w:p w14:paraId="4F7C7ADC" w14:textId="77777777" w:rsidR="00F71265" w:rsidRPr="003E5EAD" w:rsidRDefault="00F71265" w:rsidP="00F71265">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En este contexto, cuando estas asociaciones sean designadas como entidades ejecutoras, serán responsables de la correcta ejecución de los </w:t>
      </w:r>
      <w:r w:rsidRPr="003E5EAD">
        <w:rPr>
          <w:rFonts w:ascii="Verdana" w:eastAsia="Calibri" w:hAnsi="Verdana" w:cs="Arial"/>
          <w:color w:val="000000" w:themeColor="text1"/>
          <w:lang w:eastAsia="es-ES"/>
        </w:rPr>
        <w:lastRenderedPageBreak/>
        <w:t xml:space="preserve">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1775A5B7" w14:textId="77777777" w:rsidR="00C65F3A" w:rsidRPr="003E5EAD" w:rsidRDefault="00C65F3A" w:rsidP="00C65F3A">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Asimismo, para la gestión de los recursos del SGR las entidades ejecutoras deberán aplicar las normas especiales establecidas en el Decreto 1821 de 2020 “Por el cual se expide el Decreto Único Reglamentario del Sistema General de Regalías”, que establecen reglas precisas sobre dichos recursos cuando los órganos y demás entidades designadas como ejecutoras, contraten a una persona natural o jurídica que se encargue de suministrar los bienes y/o servicios</w:t>
      </w:r>
      <w:r w:rsidRPr="003E5EAD">
        <w:rPr>
          <w:rStyle w:val="Refdenotaalpie"/>
          <w:rFonts w:ascii="Verdana" w:eastAsia="Calibri" w:hAnsi="Verdana" w:cs="Arial"/>
          <w:color w:val="000000" w:themeColor="text1"/>
          <w:lang w:eastAsia="es-ES"/>
        </w:rPr>
        <w:footnoteReference w:id="10"/>
      </w:r>
      <w:r w:rsidRPr="003E5EAD">
        <w:rPr>
          <w:rFonts w:ascii="Verdana" w:eastAsia="Calibri" w:hAnsi="Verdana" w:cs="Arial"/>
          <w:color w:val="000000" w:themeColor="text1"/>
          <w:lang w:eastAsia="es-ES"/>
        </w:rPr>
        <w:t xml:space="preserve">, así como cuando la entidad ejecutora sea la responsable de producir o proveer directamente bienes o servicios contemplados dentro de las actividades del proyecto de inversión financiado con recursos del Sistema General de Regalías. En este último caso, el artículo 2.1.1.3.18. </w:t>
      </w:r>
      <w:r w:rsidRPr="003E5EAD">
        <w:rPr>
          <w:rFonts w:ascii="Verdana" w:eastAsia="Calibri" w:hAnsi="Verdana" w:cs="Arial"/>
          <w:i/>
          <w:iCs/>
          <w:color w:val="000000" w:themeColor="text1"/>
          <w:lang w:eastAsia="es-ES"/>
        </w:rPr>
        <w:t xml:space="preserve">ibidem </w:t>
      </w:r>
      <w:r w:rsidRPr="003E5EAD">
        <w:rPr>
          <w:rFonts w:ascii="Verdana" w:eastAsia="Calibri" w:hAnsi="Verdana" w:cs="Arial"/>
          <w:color w:val="000000" w:themeColor="text1"/>
          <w:lang w:eastAsia="es-ES"/>
        </w:rPr>
        <w:t>señala que “Será responsabilidad de la entidad ejecutora contar con la capacidad técnica, legal, administrativa y financiera de producir o proveer directamente los bienes o servicios contemplados dentro de las actividades del proyecto de inversión</w:t>
      </w:r>
      <w:r w:rsidRPr="003E5EAD">
        <w:rPr>
          <w:rStyle w:val="Refdenotaalpie"/>
          <w:rFonts w:ascii="Verdana" w:eastAsia="Calibri" w:hAnsi="Verdana" w:cs="Arial"/>
          <w:color w:val="000000" w:themeColor="text1"/>
          <w:lang w:eastAsia="es-ES"/>
        </w:rPr>
        <w:footnoteReference w:id="11"/>
      </w:r>
      <w:r w:rsidRPr="003E5EAD">
        <w:rPr>
          <w:rFonts w:ascii="Verdana" w:eastAsia="Calibri" w:hAnsi="Verdana" w:cs="Arial"/>
          <w:color w:val="000000" w:themeColor="text1"/>
          <w:lang w:eastAsia="es-ES"/>
        </w:rPr>
        <w:t>”.</w:t>
      </w:r>
    </w:p>
    <w:p w14:paraId="176324AA" w14:textId="77777777" w:rsidR="00C65F3A" w:rsidRPr="003E5EAD" w:rsidRDefault="00C65F3A" w:rsidP="00C65F3A">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lastRenderedPageBreak/>
        <w:t>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3E5EAD">
        <w:rPr>
          <w:rFonts w:ascii="Verdana" w:eastAsia="Calibri" w:hAnsi="Verdana" w:cs="Arial"/>
          <w:color w:val="000000" w:themeColor="text1"/>
          <w:vertAlign w:val="superscript"/>
          <w:lang w:eastAsia="es-ES"/>
        </w:rPr>
        <w:footnoteReference w:id="12"/>
      </w:r>
      <w:r w:rsidRPr="003E5EAD">
        <w:rPr>
          <w:rFonts w:ascii="Verdana" w:eastAsia="Calibri" w:hAnsi="Verdana" w:cs="Arial"/>
          <w:color w:val="000000" w:themeColor="text1"/>
          <w:lang w:eastAsia="es-ES"/>
        </w:rPr>
        <w:t>.”</w:t>
      </w:r>
    </w:p>
    <w:p w14:paraId="518256AA" w14:textId="77777777" w:rsidR="00C65F3A" w:rsidRPr="003E5EAD" w:rsidRDefault="00C65F3A" w:rsidP="00C65F3A">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1043877C" w14:textId="77777777" w:rsidR="00C65F3A" w:rsidRPr="003E5EAD" w:rsidRDefault="00C65F3A" w:rsidP="00C65F3A">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En atención a lo anterior, cuando dichas asociaciones carezcan de capacidad técnica, administrativa u operativa para desarrollar directamente las actividades del proyecto —según el deber de autoevaluación del artículo 2.1.1.3.18 del Decreto 1821 de 2020—, podrá vincular a otra entidad idónea, pública o privada, a través de la modalidad de selección que corresponda conforme al EGCAP, atendiendo al objeto contractual.  Ahora bien, esa vinculación no puede instrumentarse mediante contrato o convenio interadministrativo (literal c del numeral 4 del artículo 2 de la Ley 1150 de 2007), </w:t>
      </w:r>
      <w:r w:rsidRPr="003E5EAD">
        <w:rPr>
          <w:rFonts w:ascii="Verdana" w:eastAsia="Calibri" w:hAnsi="Verdana" w:cs="Arial"/>
          <w:color w:val="000000" w:themeColor="text1"/>
          <w:lang w:eastAsia="es-ES"/>
        </w:rPr>
        <w:lastRenderedPageBreak/>
        <w:t>por el criterio orgánico respecto de aquellas organizaciones que no tengan el carácter de entidad estatal pues esta es una figura reservada para esta categoría, por lo que es necesario revisar su naturaleza jurídica para establecer su procedencia. En todo caso, la vinculación de un tercero para la ejecución técnica no traslada la condición de ejecutor: por expreso mandato del parágrafo 1.º del artículo 84 de la Ley 2056 de 2020, el ejecutor es el ordenador del gasto y garantiza la correcta ejecución de los recursos, responsabilidad que resulta indelegable.</w:t>
      </w:r>
    </w:p>
    <w:p w14:paraId="09B15DB7" w14:textId="77777777" w:rsidR="00C65F3A" w:rsidRPr="003E5EAD" w:rsidRDefault="00C65F3A" w:rsidP="00C65F3A">
      <w:pPr>
        <w:spacing w:after="120" w:line="276" w:lineRule="auto"/>
        <w:ind w:firstLine="709"/>
        <w:jc w:val="both"/>
        <w:rPr>
          <w:rFonts w:ascii="Verdana" w:eastAsia="Calibri" w:hAnsi="Verdana" w:cs="Arial"/>
          <w:lang w:eastAsia="es-ES"/>
        </w:rPr>
      </w:pPr>
      <w:r w:rsidRPr="003E5EAD">
        <w:rPr>
          <w:rFonts w:ascii="Verdana" w:eastAsia="Calibri" w:hAnsi="Verdana" w:cs="Arial"/>
          <w:color w:val="000000" w:themeColor="text1"/>
          <w:lang w:eastAsia="es-ES"/>
        </w:rPr>
        <w:t>Conviene precisar el alcance de esta sujeción, pues no se reduce a invocar una causal de contratación directa. La contratación directa con los cabildos indígenas y las asociaciones de autoridades tradicionales indígenas prevista en el literal l) del numeral 4 del artículo 2 de la Ley 1150 de 2007, adicionado por la Ley 2160 de 2021, así como la habilitación del Decreto 252 de 2020, operan cuando una Entidad Estatal contrata con la organización indígena en calidad de contratista, para objetos vinculados al fortalecimiento del gobierno propio, la identidad cultural, la autonomía o la garantía de los derechos de los pueblos indígenas. No constituyen, en cambio, el título bajo el cual la organización indígena, en su condición de ejecutora, selecciona a los terceros que ejecutarán el proyecto. En esta última hipótesis la ejecutora debe determinar la modalidad de selección según el objeto y la cuantía —licitación pública, selección abreviada, concurso de méritos, mínima cuantía o contratación directa cuando concurra una causal— y observar íntegramente el estatuto, esto es, los estudios previos y el análisis del sector, los requisitos habilitantes y su verificación en el RUP cuando resulte exigible, la exigencia de garantía única, la publicidad de la actuación en el SECOP II, el deber de selección objetiva, la supervisión e interventoría y los documentos tipo cuando el objeto corresponda a uno de los sectores para los que han sido expedidos.</w:t>
      </w:r>
      <w:r w:rsidRPr="003E5EAD">
        <w:rPr>
          <w:rFonts w:ascii="Verdana" w:eastAsia="Calibri" w:hAnsi="Verdana" w:cs="Arial"/>
          <w:color w:val="000000" w:themeColor="text1"/>
          <w:vertAlign w:val="superscript"/>
          <w:lang w:eastAsia="es-ES"/>
        </w:rPr>
        <w:footnoteReference w:id="13"/>
      </w:r>
    </w:p>
    <w:p w14:paraId="7464FBC3" w14:textId="700B867F" w:rsidR="00C65F3A" w:rsidRPr="003E5EAD" w:rsidRDefault="00C65F3A" w:rsidP="00C65F3A">
      <w:pPr>
        <w:spacing w:after="120" w:line="276" w:lineRule="auto"/>
        <w:ind w:firstLine="709"/>
        <w:jc w:val="both"/>
        <w:rPr>
          <w:rFonts w:ascii="Verdana" w:eastAsia="Calibri" w:hAnsi="Verdana" w:cs="Arial"/>
          <w:lang w:eastAsia="es-ES"/>
        </w:rPr>
      </w:pPr>
      <w:r w:rsidRPr="003E5EAD">
        <w:rPr>
          <w:rFonts w:ascii="Verdana" w:eastAsia="Calibri" w:hAnsi="Verdana" w:cs="Arial"/>
          <w:color w:val="000000" w:themeColor="text1"/>
          <w:lang w:eastAsia="es-ES"/>
        </w:rPr>
        <w:t xml:space="preserve">Por último, la sujeción al EGCAP comporta que el objeto de los contratos que celebre la ejecutora guarde correspondencia con su objeto e idoneidad. El Consejo de Estado, al confirmar la nulidad absoluta por objeto ilícito de un contrato interadministrativo de obra cuya ejecución material fue trasladada en su integridad a un tercero por una entidad cuyo objeto no comprendía la obra </w:t>
      </w:r>
      <w:r w:rsidRPr="003E5EAD">
        <w:rPr>
          <w:rFonts w:ascii="Verdana" w:eastAsia="Calibri" w:hAnsi="Verdana" w:cs="Arial"/>
          <w:color w:val="000000" w:themeColor="text1"/>
          <w:lang w:eastAsia="es-ES"/>
        </w:rPr>
        <w:lastRenderedPageBreak/>
        <w:t xml:space="preserve">contratada, precisó que el objeto del contrato </w:t>
      </w:r>
      <w:r w:rsidR="00221EFA" w:rsidRPr="003E5EAD">
        <w:rPr>
          <w:rFonts w:ascii="Verdana" w:eastAsia="Calibri" w:hAnsi="Verdana" w:cs="Arial"/>
          <w:color w:val="000000" w:themeColor="text1"/>
          <w:lang w:eastAsia="es-ES"/>
        </w:rPr>
        <w:t>“</w:t>
      </w:r>
      <w:r w:rsidRPr="003E5EAD">
        <w:rPr>
          <w:rFonts w:ascii="Verdana" w:eastAsia="Calibri" w:hAnsi="Verdana" w:cs="Arial"/>
          <w:color w:val="000000" w:themeColor="text1"/>
          <w:lang w:eastAsia="es-ES"/>
        </w:rPr>
        <w:t>no guardó correspondencia directa</w:t>
      </w:r>
      <w:r w:rsidR="00221EFA" w:rsidRPr="003E5EAD">
        <w:rPr>
          <w:rFonts w:ascii="Verdana" w:eastAsia="Calibri" w:hAnsi="Verdana" w:cs="Arial"/>
          <w:color w:val="000000" w:themeColor="text1"/>
          <w:lang w:eastAsia="es-ES"/>
        </w:rPr>
        <w:t>”</w:t>
      </w:r>
      <w:r w:rsidRPr="003E5EAD">
        <w:rPr>
          <w:rFonts w:ascii="Verdana" w:eastAsia="Calibri" w:hAnsi="Verdana" w:cs="Arial"/>
          <w:color w:val="000000" w:themeColor="text1"/>
          <w:lang w:eastAsia="es-ES"/>
        </w:rPr>
        <w:t xml:space="preserve"> con el de la entidad ejecutora y que a esta le era exigible </w:t>
      </w:r>
      <w:r w:rsidR="00221EFA" w:rsidRPr="003E5EAD">
        <w:rPr>
          <w:rFonts w:ascii="Verdana" w:eastAsia="Calibri" w:hAnsi="Verdana" w:cs="Arial"/>
          <w:color w:val="000000" w:themeColor="text1"/>
          <w:lang w:eastAsia="es-ES"/>
        </w:rPr>
        <w:t>“</w:t>
      </w:r>
      <w:r w:rsidRPr="003E5EAD">
        <w:rPr>
          <w:rFonts w:ascii="Verdana" w:eastAsia="Calibri" w:hAnsi="Verdana" w:cs="Arial"/>
          <w:color w:val="000000" w:themeColor="text1"/>
          <w:lang w:eastAsia="es-ES"/>
        </w:rPr>
        <w:t>contar con habilitación jurídica</w:t>
      </w:r>
      <w:r w:rsidR="00221EFA" w:rsidRPr="003E5EAD">
        <w:rPr>
          <w:rFonts w:ascii="Verdana" w:eastAsia="Calibri" w:hAnsi="Verdana" w:cs="Arial"/>
          <w:color w:val="000000" w:themeColor="text1"/>
          <w:lang w:eastAsia="es-ES"/>
        </w:rPr>
        <w:t>”</w:t>
      </w:r>
      <w:r w:rsidRPr="003E5EAD">
        <w:rPr>
          <w:rFonts w:ascii="Verdana" w:eastAsia="Calibri" w:hAnsi="Verdana" w:cs="Arial"/>
          <w:color w:val="000000" w:themeColor="text1"/>
          <w:lang w:eastAsia="es-ES"/>
        </w:rPr>
        <w:t xml:space="preserve"> e idoneidad técnica para ejecutarlo. Este criterio resulta aplicable a los proyectos financiados con recursos del Sistema General de Regalías: la organización indígena designada ejecutora no puede limitarse a prestar su condición formal para que un tercero —incluida una sociedad de economía mixta— maneje realmente los recursos, pues tal proceder desnaturaliza la designación, contraviene el carácter indelegable de la responsabilidad del ejecutor y puede configurar una desviación de las reglas de selección con la consecuente nulidad absoluta del contrato.</w:t>
      </w:r>
      <w:r w:rsidRPr="003E5EAD">
        <w:rPr>
          <w:rFonts w:ascii="Verdana" w:eastAsia="Calibri" w:hAnsi="Verdana" w:cs="Arial"/>
          <w:color w:val="000000" w:themeColor="text1"/>
          <w:vertAlign w:val="superscript"/>
          <w:lang w:eastAsia="es-ES"/>
        </w:rPr>
        <w:footnoteReference w:id="14"/>
      </w:r>
    </w:p>
    <w:p w14:paraId="611B5037" w14:textId="77777777" w:rsidR="00C65F3A" w:rsidRPr="003E5EAD" w:rsidRDefault="00C65F3A" w:rsidP="00C65F3A">
      <w:pPr>
        <w:spacing w:after="120" w:line="276" w:lineRule="auto"/>
        <w:ind w:firstLine="709"/>
        <w:jc w:val="both"/>
        <w:rPr>
          <w:rFonts w:ascii="Verdana" w:eastAsia="Calibri" w:hAnsi="Verdana" w:cs="Arial"/>
          <w:lang w:eastAsia="es-ES"/>
        </w:rPr>
      </w:pPr>
      <w:r w:rsidRPr="003E5EAD">
        <w:rPr>
          <w:rFonts w:ascii="Verdana" w:eastAsia="Calibri" w:hAnsi="Verdana" w:cs="Arial"/>
          <w:color w:val="000000" w:themeColor="text1"/>
          <w:lang w:eastAsia="es-ES"/>
        </w:rPr>
        <w:t>En este contexto conviene precisar el alcance del deber de ejecución. La entidad ejecutora puede subcontratar legítimamente las actividades que requiera y celebrar los contratos necesarios para materializar la asignación que administra, conforme a las decisiones de la instancia de decisión competente. Lo que no puede es trasladar a un tercero su condición de ejecutora ni la responsabilidad que de ella se deriva, pues el subcontrato no constituye un mecanismo para delegar dicho rol en el marco del SGR. Ese traslado íntegro no solo compromete la validez del contrato, por las razones expuestas, sino que puede generar detrimento patrimonial por los sobrecostos propios de la intermediación. Por ello, cuando la ejecución exija contratar con terceros bajo el EGCAP, la ejecutora debe garantizar la selección objetiva del contratista y el respeto del régimen de inhabilidades e incompatibilidades, además de las demás reglas y principios del estatuto.</w:t>
      </w:r>
    </w:p>
    <w:p w14:paraId="6FE128DE" w14:textId="77777777" w:rsidR="00C65F3A" w:rsidRPr="003E5EAD" w:rsidRDefault="00C65F3A" w:rsidP="00C65F3A">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Al respecto, es pertinente 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w:t>
      </w:r>
      <w:r w:rsidRPr="003E5EAD">
        <w:rPr>
          <w:rFonts w:ascii="Verdana" w:eastAsia="Calibri" w:hAnsi="Verdana" w:cs="Arial"/>
          <w:color w:val="000000" w:themeColor="text1"/>
          <w:lang w:eastAsia="es-ES"/>
        </w:rPr>
        <w:lastRenderedPageBreak/>
        <w:t>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2BE9B327" w14:textId="77777777" w:rsidR="00C65F3A" w:rsidRPr="003E5EAD" w:rsidRDefault="00C65F3A" w:rsidP="00C65F3A">
      <w:pPr>
        <w:spacing w:after="120" w:line="276" w:lineRule="auto"/>
        <w:ind w:firstLine="709"/>
        <w:jc w:val="both"/>
        <w:rPr>
          <w:rFonts w:ascii="Verdana" w:eastAsia="Calibri" w:hAnsi="Verdana" w:cs="Arial"/>
          <w:color w:val="000000" w:themeColor="text1"/>
          <w:lang w:eastAsia="es-ES"/>
        </w:rPr>
      </w:pPr>
      <w:r w:rsidRPr="003E5EAD">
        <w:rPr>
          <w:rFonts w:ascii="Verdana" w:eastAsia="Calibri" w:hAnsi="Verdana" w:cs="Arial"/>
          <w:color w:val="000000" w:themeColor="text1"/>
          <w:lang w:eastAsia="es-ES"/>
        </w:rPr>
        <w:t xml:space="preserve">De esta forma, tratándose de las asociaciones a las que se refiere el parágrafo 1 del artículo 84 de la Ley 2056 de 2020, la designación como entidades ejecutoras y la circunstancia de que los artículos 84 y 85 de la Ley 2056 de 2020 disponga que la ejecución de estos proyectos debe adelantarse con sujeción al régimen de contratación pública, no altera su naturaleza jurídica ni les atribuye la condición de entidad estatal en los términos del artículo 2 de la Ley 80 de 1993. </w:t>
      </w:r>
    </w:p>
    <w:p w14:paraId="225FB31C" w14:textId="77777777" w:rsidR="00C65F3A" w:rsidRPr="003E5EAD" w:rsidRDefault="00C65F3A" w:rsidP="00C65F3A">
      <w:pPr>
        <w:spacing w:after="120" w:line="276" w:lineRule="auto"/>
        <w:jc w:val="both"/>
        <w:rPr>
          <w:rFonts w:ascii="Verdana" w:eastAsia="Calibri" w:hAnsi="Verdana" w:cs="Arial"/>
          <w:color w:val="000000"/>
          <w:lang w:val="es-ES" w:eastAsia="es-ES"/>
        </w:rPr>
      </w:pPr>
      <w:r w:rsidRPr="003E5EAD">
        <w:rPr>
          <w:rFonts w:ascii="Verdana" w:eastAsia="Calibri" w:hAnsi="Verdana" w:cs="Arial"/>
          <w:lang w:val="es-ES"/>
        </w:rPr>
        <w:t xml:space="preserve">iii. </w:t>
      </w:r>
      <w:r w:rsidRPr="003E5EAD">
        <w:rPr>
          <w:rFonts w:ascii="Verdana" w:hAnsi="Verdana" w:cs="Arial"/>
          <w:lang w:eastAsia="es-ES"/>
        </w:rPr>
        <w:t xml:space="preserve">Al margen de la postura de la ANCP – CCE, </w:t>
      </w:r>
      <w:r w:rsidRPr="003E5EAD">
        <w:rPr>
          <w:rFonts w:ascii="Verdana" w:eastAsia="Calibri" w:hAnsi="Verdana" w:cs="Arial"/>
          <w:color w:val="000000"/>
          <w:lang w:val="es-ES" w:eastAsia="es-ES"/>
        </w:rPr>
        <w:t>es importante señalar que los conceptos emitidos por las entidades estatales en virtud del artículo 28 de la Ley 1437 de 2011</w:t>
      </w:r>
      <w:r w:rsidRPr="003E5EAD">
        <w:rPr>
          <w:rFonts w:ascii="Verdana" w:eastAsia="Calibri" w:hAnsi="Verdana" w:cs="Arial"/>
          <w:bCs/>
          <w:lang w:val="es-ES_tradnl"/>
        </w:rPr>
        <w:t xml:space="preserve">, sustituido por el artículo 1 de la Ley 1755, </w:t>
      </w:r>
      <w:bookmarkStart w:id="3" w:name="_Hlk200718672"/>
      <w:r w:rsidRPr="003E5EAD">
        <w:rPr>
          <w:rFonts w:ascii="Verdana" w:eastAsia="Calibri" w:hAnsi="Verdana" w:cs="Arial"/>
          <w:color w:val="000000"/>
          <w:lang w:val="es-ES" w:eastAsia="es-ES"/>
        </w:rPr>
        <w:t>representan</w:t>
      </w:r>
      <w:r w:rsidRPr="003E5EAD">
        <w:rPr>
          <w:rFonts w:ascii="Verdana" w:hAnsi="Verdana" w:cs="Arial"/>
          <w:lang w:eastAsia="es-ES"/>
        </w:rPr>
        <w:t xml:space="preserve"> una </w:t>
      </w:r>
      <w:r w:rsidRPr="003E5EAD">
        <w:rPr>
          <w:rFonts w:ascii="Verdana" w:eastAsia="Calibri" w:hAnsi="Verdana" w:cs="Arial"/>
          <w:bCs/>
          <w:lang w:val="es-ES_tradnl"/>
        </w:rPr>
        <w:t>posición hermenéutica</w:t>
      </w:r>
      <w:r w:rsidRPr="003E5EAD">
        <w:rPr>
          <w:rFonts w:ascii="Verdana" w:hAnsi="Verdana" w:cs="Arial"/>
          <w:lang w:eastAsia="es-ES"/>
        </w:rPr>
        <w:t xml:space="preserve"> </w:t>
      </w:r>
      <w:bookmarkStart w:id="4" w:name="_Hlk42100007"/>
      <w:r w:rsidRPr="003E5EAD">
        <w:rPr>
          <w:rFonts w:ascii="Verdana" w:hAnsi="Verdana" w:cs="Arial"/>
          <w:lang w:eastAsia="es-ES"/>
        </w:rPr>
        <w:t xml:space="preserve">que </w:t>
      </w:r>
      <w:r w:rsidRPr="003E5EAD">
        <w:rPr>
          <w:rFonts w:ascii="Verdana" w:eastAsia="Calibri" w:hAnsi="Verdana" w:cs="Arial"/>
          <w:bCs/>
          <w:lang w:val="es-ES_tradnl"/>
        </w:rPr>
        <w:t xml:space="preserve">no tienen efectos vinculantes </w:t>
      </w:r>
      <w:bookmarkEnd w:id="3"/>
      <w:r w:rsidRPr="003E5EAD">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4"/>
      <w:r w:rsidRPr="003E5EAD">
        <w:rPr>
          <w:rFonts w:ascii="Verdana" w:eastAsiaTheme="minorEastAsia" w:hAnsi="Verdana" w:cs="Arial"/>
          <w:szCs w:val="24"/>
          <w:lang w:eastAsia="es-CO"/>
        </w:rPr>
        <w:t xml:space="preserve"> De este modo, las autoridades que ejercen funciones consultivas pueden expresar su</w:t>
      </w:r>
      <w:r w:rsidRPr="003E5EAD">
        <w:rPr>
          <w:rFonts w:ascii="Verdana" w:eastAsiaTheme="minorEastAsia" w:hAnsi="Verdana" w:cs="Arial"/>
          <w:spacing w:val="1"/>
          <w:szCs w:val="24"/>
          <w:lang w:eastAsia="es-CO"/>
        </w:rPr>
        <w:t xml:space="preserve"> </w:t>
      </w:r>
      <w:r w:rsidRPr="003E5EAD">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3E5EAD">
        <w:rPr>
          <w:rFonts w:ascii="Verdana" w:eastAsiaTheme="minorEastAsia" w:hAnsi="Verdana" w:cs="Arial"/>
          <w:spacing w:val="1"/>
          <w:szCs w:val="24"/>
          <w:lang w:eastAsia="es-CO"/>
        </w:rPr>
        <w:t xml:space="preserve"> </w:t>
      </w:r>
      <w:r w:rsidRPr="003E5EAD">
        <w:rPr>
          <w:rFonts w:ascii="Verdana" w:eastAsiaTheme="minorEastAsia" w:hAnsi="Verdana" w:cs="Arial"/>
          <w:szCs w:val="24"/>
          <w:lang w:eastAsia="es-CO"/>
        </w:rPr>
        <w:t>virtud</w:t>
      </w:r>
      <w:r w:rsidRPr="003E5EAD">
        <w:rPr>
          <w:rFonts w:ascii="Verdana" w:eastAsiaTheme="minorEastAsia" w:hAnsi="Verdana" w:cs="Arial"/>
          <w:spacing w:val="-10"/>
          <w:szCs w:val="24"/>
          <w:lang w:eastAsia="es-CO"/>
        </w:rPr>
        <w:t xml:space="preserve"> </w:t>
      </w:r>
      <w:r w:rsidRPr="003E5EAD">
        <w:rPr>
          <w:rFonts w:ascii="Verdana" w:eastAsiaTheme="minorEastAsia" w:hAnsi="Verdana" w:cs="Arial"/>
          <w:szCs w:val="24"/>
          <w:lang w:eastAsia="es-CO"/>
        </w:rPr>
        <w:t>de</w:t>
      </w:r>
      <w:r w:rsidRPr="003E5EAD">
        <w:rPr>
          <w:rFonts w:ascii="Verdana" w:eastAsiaTheme="minorEastAsia" w:hAnsi="Verdana" w:cs="Arial"/>
          <w:spacing w:val="-9"/>
          <w:szCs w:val="24"/>
          <w:lang w:eastAsia="es-CO"/>
        </w:rPr>
        <w:t xml:space="preserve"> </w:t>
      </w:r>
      <w:r w:rsidRPr="003E5EAD">
        <w:rPr>
          <w:rFonts w:ascii="Verdana" w:eastAsiaTheme="minorEastAsia" w:hAnsi="Verdana" w:cs="Arial"/>
          <w:szCs w:val="24"/>
          <w:lang w:eastAsia="es-CO"/>
        </w:rPr>
        <w:t>la</w:t>
      </w:r>
      <w:r w:rsidRPr="003E5EAD">
        <w:rPr>
          <w:rFonts w:ascii="Verdana" w:eastAsiaTheme="minorEastAsia" w:hAnsi="Verdana" w:cs="Arial"/>
          <w:spacing w:val="-9"/>
          <w:szCs w:val="24"/>
          <w:lang w:eastAsia="es-CO"/>
        </w:rPr>
        <w:t xml:space="preserve"> </w:t>
      </w:r>
      <w:r w:rsidRPr="003E5EAD">
        <w:rPr>
          <w:rFonts w:ascii="Verdana" w:eastAsiaTheme="minorEastAsia" w:hAnsi="Verdana" w:cs="Arial"/>
          <w:szCs w:val="24"/>
          <w:lang w:eastAsia="es-CO"/>
        </w:rPr>
        <w:t>utilización</w:t>
      </w:r>
      <w:r w:rsidRPr="003E5EAD">
        <w:rPr>
          <w:rFonts w:ascii="Verdana" w:eastAsiaTheme="minorEastAsia" w:hAnsi="Verdana" w:cs="Arial"/>
          <w:spacing w:val="-9"/>
          <w:szCs w:val="24"/>
          <w:lang w:eastAsia="es-CO"/>
        </w:rPr>
        <w:t xml:space="preserve"> </w:t>
      </w:r>
      <w:r w:rsidRPr="003E5EAD">
        <w:rPr>
          <w:rFonts w:ascii="Verdana" w:eastAsiaTheme="minorEastAsia" w:hAnsi="Verdana" w:cs="Arial"/>
          <w:szCs w:val="24"/>
          <w:lang w:eastAsia="es-CO"/>
        </w:rPr>
        <w:t>de</w:t>
      </w:r>
      <w:r w:rsidRPr="003E5EAD">
        <w:rPr>
          <w:rFonts w:ascii="Verdana" w:eastAsiaTheme="minorEastAsia" w:hAnsi="Verdana" w:cs="Arial"/>
          <w:spacing w:val="-9"/>
          <w:szCs w:val="24"/>
          <w:lang w:eastAsia="es-CO"/>
        </w:rPr>
        <w:t xml:space="preserve"> </w:t>
      </w:r>
      <w:r w:rsidRPr="003E5EAD">
        <w:rPr>
          <w:rFonts w:ascii="Verdana" w:eastAsiaTheme="minorEastAsia" w:hAnsi="Verdana" w:cs="Arial"/>
          <w:szCs w:val="24"/>
          <w:lang w:eastAsia="es-CO"/>
        </w:rPr>
        <w:t>conceptos</w:t>
      </w:r>
      <w:r w:rsidRPr="003E5EAD">
        <w:rPr>
          <w:rFonts w:ascii="Verdana" w:eastAsiaTheme="minorEastAsia" w:hAnsi="Verdana" w:cs="Arial"/>
          <w:spacing w:val="-10"/>
          <w:szCs w:val="24"/>
          <w:lang w:eastAsia="es-CO"/>
        </w:rPr>
        <w:t xml:space="preserve"> </w:t>
      </w:r>
      <w:r w:rsidRPr="003E5EAD">
        <w:rPr>
          <w:rFonts w:ascii="Verdana" w:eastAsiaTheme="minorEastAsia" w:hAnsi="Verdana" w:cs="Arial"/>
          <w:szCs w:val="24"/>
          <w:lang w:eastAsia="es-CO"/>
        </w:rPr>
        <w:t>jurídicos</w:t>
      </w:r>
      <w:r w:rsidRPr="003E5EAD">
        <w:rPr>
          <w:rFonts w:ascii="Verdana" w:eastAsiaTheme="minorEastAsia" w:hAnsi="Verdana" w:cs="Arial"/>
          <w:spacing w:val="-9"/>
          <w:szCs w:val="24"/>
          <w:lang w:eastAsia="es-CO"/>
        </w:rPr>
        <w:t xml:space="preserve"> </w:t>
      </w:r>
      <w:r w:rsidRPr="003E5EAD">
        <w:rPr>
          <w:rFonts w:ascii="Verdana" w:eastAsiaTheme="minorEastAsia" w:hAnsi="Verdana" w:cs="Arial"/>
          <w:szCs w:val="24"/>
          <w:lang w:eastAsia="es-CO"/>
        </w:rPr>
        <w:t>indeterminados.</w:t>
      </w:r>
      <w:r w:rsidRPr="003E5EAD">
        <w:rPr>
          <w:rFonts w:ascii="Verdana" w:eastAsiaTheme="minorEastAsia" w:hAnsi="Verdana" w:cs="Arial"/>
          <w:spacing w:val="-9"/>
          <w:szCs w:val="24"/>
          <w:lang w:eastAsia="es-CO"/>
        </w:rPr>
        <w:t xml:space="preserve"> </w:t>
      </w:r>
    </w:p>
    <w:p w14:paraId="4C670DEA" w14:textId="77777777" w:rsidR="00C65F3A" w:rsidRPr="003E5EAD" w:rsidRDefault="00C65F3A" w:rsidP="00C65F3A">
      <w:pPr>
        <w:tabs>
          <w:tab w:val="left" w:pos="426"/>
        </w:tabs>
        <w:spacing w:line="276" w:lineRule="auto"/>
        <w:ind w:firstLine="709"/>
        <w:jc w:val="both"/>
        <w:rPr>
          <w:rFonts w:ascii="Verdana" w:eastAsia="Calibri" w:hAnsi="Verdana" w:cs="Arial"/>
          <w:color w:val="000000"/>
          <w:lang w:val="es-ES" w:eastAsia="es-ES"/>
        </w:rPr>
      </w:pPr>
      <w:r w:rsidRPr="003E5EAD">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288DB48F" w14:textId="77777777" w:rsidR="00C65F3A" w:rsidRPr="003E5EAD" w:rsidRDefault="00C65F3A" w:rsidP="00C65F3A">
      <w:pPr>
        <w:spacing w:after="120" w:line="276" w:lineRule="auto"/>
        <w:ind w:firstLine="709"/>
        <w:jc w:val="both"/>
        <w:rPr>
          <w:rFonts w:ascii="Verdana" w:hAnsi="Verdana" w:cs="Arial"/>
          <w:lang w:eastAsia="es-ES"/>
        </w:rPr>
      </w:pPr>
      <w:r w:rsidRPr="003E5EAD">
        <w:rPr>
          <w:rFonts w:ascii="Verdana" w:eastAsia="Calibri" w:hAnsi="Verdana" w:cs="Arial"/>
          <w:color w:val="000000"/>
          <w:lang w:val="es-ES" w:eastAsia="es-ES"/>
        </w:rPr>
        <w:t>En consecuencia, esta Subdirección en el marco de la función consultiva</w:t>
      </w:r>
      <w:r w:rsidRPr="003E5EAD">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3E5EAD">
        <w:rPr>
          <w:rFonts w:ascii="Verdana" w:eastAsiaTheme="minorEastAsia" w:hAnsi="Verdana" w:cs="Arial"/>
          <w:szCs w:val="24"/>
          <w:lang w:eastAsia="es-CO"/>
        </w:rPr>
        <w:t xml:space="preserve"> sin</w:t>
      </w:r>
      <w:r w:rsidRPr="003E5EAD">
        <w:rPr>
          <w:rFonts w:ascii="Verdana" w:eastAsiaTheme="minorEastAsia" w:hAnsi="Verdana" w:cs="Arial"/>
          <w:spacing w:val="1"/>
          <w:szCs w:val="24"/>
          <w:lang w:eastAsia="es-CO"/>
        </w:rPr>
        <w:t xml:space="preserve"> </w:t>
      </w:r>
      <w:r w:rsidRPr="003E5EAD">
        <w:rPr>
          <w:rFonts w:ascii="Verdana" w:eastAsiaTheme="minorEastAsia" w:hAnsi="Verdana" w:cs="Arial"/>
          <w:szCs w:val="24"/>
          <w:lang w:eastAsia="es-CO"/>
        </w:rPr>
        <w:t xml:space="preserve">que ello </w:t>
      </w:r>
      <w:r w:rsidRPr="003E5EAD">
        <w:rPr>
          <w:rFonts w:ascii="Verdana" w:eastAsiaTheme="minorEastAsia" w:hAnsi="Verdana" w:cs="Arial"/>
          <w:szCs w:val="24"/>
          <w:lang w:eastAsia="es-CO"/>
        </w:rPr>
        <w:lastRenderedPageBreak/>
        <w:t>suponga resolver un problema entre partes o asumir la única posible interpretación de</w:t>
      </w:r>
      <w:r w:rsidRPr="003E5EAD">
        <w:rPr>
          <w:rFonts w:ascii="Verdana" w:eastAsiaTheme="minorEastAsia" w:hAnsi="Verdana" w:cs="Arial"/>
          <w:spacing w:val="1"/>
          <w:szCs w:val="24"/>
          <w:lang w:eastAsia="es-CO"/>
        </w:rPr>
        <w:t xml:space="preserve"> </w:t>
      </w:r>
      <w:r w:rsidRPr="003E5EAD">
        <w:rPr>
          <w:rFonts w:ascii="Verdana" w:eastAsiaTheme="minorEastAsia" w:hAnsi="Verdana" w:cs="Arial"/>
          <w:szCs w:val="24"/>
          <w:lang w:eastAsia="es-CO"/>
        </w:rPr>
        <w:t>una disposición normativa.</w:t>
      </w:r>
    </w:p>
    <w:p w14:paraId="3A20D58B" w14:textId="6E91407B" w:rsidR="00F421D7" w:rsidRPr="003E5EAD" w:rsidRDefault="00C65F3A" w:rsidP="009644A1">
      <w:pPr>
        <w:widowControl w:val="0"/>
        <w:autoSpaceDE w:val="0"/>
        <w:autoSpaceDN w:val="0"/>
        <w:spacing w:after="120" w:line="276" w:lineRule="auto"/>
        <w:ind w:right="176" w:firstLine="708"/>
        <w:jc w:val="both"/>
        <w:rPr>
          <w:rFonts w:ascii="Verdana" w:hAnsi="Verdana"/>
        </w:rPr>
      </w:pPr>
      <w:r w:rsidRPr="003E5EAD">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 </w:t>
      </w:r>
    </w:p>
    <w:p w14:paraId="18AD1269" w14:textId="77777777" w:rsidR="00F421D7" w:rsidRPr="003E5EAD" w:rsidRDefault="00F421D7" w:rsidP="00F421D7">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3E5EAD">
        <w:rPr>
          <w:rFonts w:ascii="Verdana" w:eastAsia="Century Gothic" w:hAnsi="Verdana" w:cs="Century Gothic"/>
          <w:b/>
          <w:bCs/>
        </w:rPr>
        <w:t>Referencias normativas, jurisprudenciales y otras fuentes:</w:t>
      </w:r>
    </w:p>
    <w:p w14:paraId="42A8029D" w14:textId="77777777" w:rsidR="00F421D7" w:rsidRPr="003E5EAD" w:rsidRDefault="00F421D7" w:rsidP="00F421D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21D7" w:rsidRPr="003E5EAD" w14:paraId="1D15F24A" w14:textId="77777777" w:rsidTr="006A7A28">
        <w:trPr>
          <w:trHeight w:val="1162"/>
        </w:trPr>
        <w:tc>
          <w:tcPr>
            <w:tcW w:w="8647" w:type="dxa"/>
          </w:tcPr>
          <w:p w14:paraId="596ACEAE"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Constitución Política, artículos 93 y 329, y artículo 56 transitorio.</w:t>
            </w:r>
          </w:p>
          <w:p w14:paraId="7187CD8A"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Convenio 169 de 1989 de la Organización Internacional del Trabajo – OIT.</w:t>
            </w:r>
          </w:p>
          <w:p w14:paraId="01E5094B"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21 de 1991.</w:t>
            </w:r>
          </w:p>
          <w:p w14:paraId="4AA233EC"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80 de 1993, artículo 2.</w:t>
            </w:r>
          </w:p>
          <w:p w14:paraId="4BAECEFC"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136 de 1994.</w:t>
            </w:r>
          </w:p>
          <w:p w14:paraId="0C4779C2"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1150 de 2007, artículos 2 y 13.</w:t>
            </w:r>
          </w:p>
          <w:p w14:paraId="2D16C3A5"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1530 de 2012.</w:t>
            </w:r>
          </w:p>
          <w:p w14:paraId="5D5C654F"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1551 de 2012, artículo 6.</w:t>
            </w:r>
          </w:p>
          <w:p w14:paraId="3CA775C5"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2056 de 2020, artículos 37, 54, 84 y 85.</w:t>
            </w:r>
          </w:p>
          <w:p w14:paraId="7F5DD9E2"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2160 de 2021.</w:t>
            </w:r>
          </w:p>
          <w:p w14:paraId="4E7CB2B4"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2195 de 2022, artículo 53.</w:t>
            </w:r>
          </w:p>
          <w:p w14:paraId="20E08A1F"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Ley 2294 de 2023.</w:t>
            </w:r>
          </w:p>
          <w:p w14:paraId="611F7BDC"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Decreto 1088 de 1993, artículos 3, 7 y 10.</w:t>
            </w:r>
          </w:p>
          <w:p w14:paraId="0FDF9465"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Decreto 1953 de 2014.</w:t>
            </w:r>
          </w:p>
          <w:p w14:paraId="0F4CA8A2"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lastRenderedPageBreak/>
              <w:t>Decreto 252 de 2020, artículo 1.</w:t>
            </w:r>
          </w:p>
          <w:p w14:paraId="0AEDFC56"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Decreto 1821 de 2020, artículos 2.1.1.3.17 y 2.1.1.3.18.</w:t>
            </w:r>
          </w:p>
          <w:p w14:paraId="66F62C88"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Corte Constitucional. Sentencia T-172 de 2019. M.P. Gloria Stella Ortiz Delgado.</w:t>
            </w:r>
          </w:p>
          <w:p w14:paraId="0D174D94"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Corte Constitucional. Sala Plena. Sentencia C-362 de 2023. M.P. Diana Fajardo Rivera.</w:t>
            </w:r>
          </w:p>
          <w:p w14:paraId="5207D705" w14:textId="77777777" w:rsidR="00733557" w:rsidRPr="003E5EAD" w:rsidRDefault="00733557" w:rsidP="00733557">
            <w:pPr>
              <w:widowControl w:val="0"/>
              <w:numPr>
                <w:ilvl w:val="0"/>
                <w:numId w:val="17"/>
              </w:numPr>
              <w:autoSpaceDE w:val="0"/>
              <w:autoSpaceDN w:val="0"/>
              <w:spacing w:after="120" w:line="276" w:lineRule="auto"/>
              <w:jc w:val="both"/>
              <w:rPr>
                <w:rFonts w:ascii="Verdana" w:hAnsi="Verdana" w:cs="Arial"/>
                <w:lang w:val="es-ES_tradnl"/>
              </w:rPr>
            </w:pPr>
            <w:r w:rsidRPr="003E5EAD">
              <w:rPr>
                <w:rFonts w:ascii="Verdana" w:hAnsi="Verdana" w:cs="Arial"/>
                <w:lang w:val="es-ES_tradnl"/>
              </w:rPr>
              <w:t>Consejo de Estado. Sala de Consulta y Servicio Civil. Concepto 2563 del 25 de junio de 2026. C.P. María del Pilar Bahamón Falla.</w:t>
            </w:r>
          </w:p>
          <w:p w14:paraId="46F416A7" w14:textId="11D0B3C2" w:rsidR="00F421D7" w:rsidRPr="003E5EAD" w:rsidRDefault="00733557" w:rsidP="00733557">
            <w:pPr>
              <w:pStyle w:val="Prrafodelista"/>
              <w:numPr>
                <w:ilvl w:val="0"/>
                <w:numId w:val="17"/>
              </w:numPr>
              <w:spacing w:line="276" w:lineRule="auto"/>
              <w:jc w:val="both"/>
              <w:rPr>
                <w:rFonts w:ascii="Verdana" w:hAnsi="Verdana" w:cs="Arial"/>
              </w:rPr>
            </w:pPr>
            <w:r w:rsidRPr="003E5EAD">
              <w:rPr>
                <w:rFonts w:ascii="Verdana" w:hAnsi="Verdana" w:cs="Arial"/>
                <w:lang w:val="es-ES_tradnl"/>
              </w:rPr>
              <w:t>Consejo de Estado. Sección Tercera. Subsección A. Sentencia del 20 de abril de 2026. Rad. 63001-23-33-000-2022-00058-01 (72477). C.P. Fernando Alexei Pardo Flórez.</w:t>
            </w:r>
          </w:p>
        </w:tc>
      </w:tr>
    </w:tbl>
    <w:p w14:paraId="6DFCD0C1" w14:textId="77777777" w:rsidR="00F421D7" w:rsidRPr="003E5EAD" w:rsidRDefault="00F421D7" w:rsidP="00F421D7">
      <w:pPr>
        <w:widowControl w:val="0"/>
        <w:autoSpaceDE w:val="0"/>
        <w:autoSpaceDN w:val="0"/>
        <w:spacing w:after="0" w:line="276" w:lineRule="auto"/>
        <w:jc w:val="both"/>
        <w:rPr>
          <w:rFonts w:ascii="Verdana" w:hAnsi="Verdana" w:cs="Arial"/>
        </w:rPr>
      </w:pPr>
    </w:p>
    <w:p w14:paraId="16E16E15" w14:textId="77777777" w:rsidR="00F421D7" w:rsidRPr="003E5EAD" w:rsidRDefault="00F421D7" w:rsidP="00F421D7">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3E5EAD">
        <w:rPr>
          <w:rFonts w:ascii="Verdana" w:eastAsia="Century Gothic" w:hAnsi="Verdana" w:cs="Arial"/>
          <w:b/>
          <w:bCs/>
        </w:rPr>
        <w:t>Doctrina de la Agencia Nacional de Contratación Pública:</w:t>
      </w:r>
    </w:p>
    <w:p w14:paraId="6148D9BE" w14:textId="77777777" w:rsidR="00F421D7" w:rsidRPr="003E5EAD" w:rsidRDefault="00F421D7" w:rsidP="00F421D7">
      <w:pPr>
        <w:widowControl w:val="0"/>
        <w:autoSpaceDE w:val="0"/>
        <w:autoSpaceDN w:val="0"/>
        <w:spacing w:after="0" w:line="276" w:lineRule="auto"/>
        <w:jc w:val="both"/>
        <w:rPr>
          <w:rFonts w:ascii="Verdana" w:hAnsi="Verdana" w:cs="Arial"/>
          <w:highlight w:val="cyan"/>
        </w:rPr>
      </w:pPr>
    </w:p>
    <w:p w14:paraId="6F2576C8" w14:textId="16191204" w:rsidR="007F77BF" w:rsidRPr="003E5EAD" w:rsidRDefault="007F77BF" w:rsidP="007F77BF">
      <w:pPr>
        <w:widowControl w:val="0"/>
        <w:autoSpaceDE w:val="0"/>
        <w:autoSpaceDN w:val="0"/>
        <w:spacing w:after="120" w:line="276" w:lineRule="auto"/>
        <w:jc w:val="both"/>
        <w:rPr>
          <w:rFonts w:ascii="Verdana" w:hAnsi="Verdana" w:cs="Arial"/>
          <w:shd w:val="clear" w:color="auto" w:fill="FFFFFF"/>
        </w:rPr>
      </w:pPr>
      <w:r w:rsidRPr="003E5EAD">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3E5EAD">
        <w:rPr>
          <w:rFonts w:ascii="Verdana" w:hAnsi="Verdana"/>
        </w:rPr>
        <w:t>C-370 del 2021,</w:t>
      </w:r>
      <w:r w:rsidRPr="003E5EAD">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3E5EAD">
        <w:rPr>
          <w:rFonts w:ascii="Verdana" w:hAnsi="Verdana" w:cs="Arial"/>
        </w:rPr>
        <w:t>, C-764 del 29 de mayo de 2026</w:t>
      </w:r>
      <w:r w:rsidR="00401F46" w:rsidRPr="003E5EAD">
        <w:rPr>
          <w:rFonts w:ascii="Verdana" w:hAnsi="Verdana" w:cs="Arial"/>
        </w:rPr>
        <w:t xml:space="preserve">, </w:t>
      </w:r>
      <w:r w:rsidRPr="003E5EAD">
        <w:rPr>
          <w:rFonts w:ascii="Verdana" w:hAnsi="Verdana" w:cs="Arial"/>
          <w:shd w:val="clear" w:color="auto" w:fill="FFFFFF"/>
        </w:rPr>
        <w:t>C-1050 del 21 de julio de 2026</w:t>
      </w:r>
      <w:r w:rsidR="00401F46" w:rsidRPr="003E5EAD">
        <w:rPr>
          <w:rFonts w:ascii="Verdana" w:hAnsi="Verdana" w:cs="Arial"/>
          <w:shd w:val="clear" w:color="auto" w:fill="FFFFFF"/>
        </w:rPr>
        <w:t xml:space="preserve"> y </w:t>
      </w:r>
      <w:r w:rsidR="00401F46" w:rsidRPr="003E5EAD">
        <w:rPr>
          <w:rFonts w:ascii="Verdana" w:eastAsia="Calibri" w:hAnsi="Verdana" w:cs="Arial"/>
          <w:bCs/>
          <w:lang w:eastAsia="es-ES"/>
        </w:rPr>
        <w:t>C-1326 del 16 de septiembre del 2026</w:t>
      </w:r>
      <w:r w:rsidRPr="003E5EAD">
        <w:rPr>
          <w:rStyle w:val="normaltextrun"/>
          <w:rFonts w:ascii="Verdana" w:hAnsi="Verdana" w:cs="Arial"/>
          <w:bCs/>
          <w:shd w:val="clear" w:color="auto" w:fill="FFFFFF"/>
        </w:rPr>
        <w:t>.</w:t>
      </w:r>
      <w:r w:rsidRPr="003E5EAD">
        <w:rPr>
          <w:rStyle w:val="normaltextrun"/>
          <w:rFonts w:ascii="Verdana" w:hAnsi="Verdana" w:cs="Arial"/>
          <w:shd w:val="clear" w:color="auto" w:fill="FFFFFF"/>
        </w:rPr>
        <w:t xml:space="preserve"> </w:t>
      </w:r>
      <w:r w:rsidRPr="003E5EAD">
        <w:rPr>
          <w:rFonts w:ascii="Verdana" w:hAnsi="Verdana" w:cs="Arial"/>
          <w:shd w:val="clear" w:color="auto" w:fill="FFFFFF"/>
        </w:rPr>
        <w:t>Es</w:t>
      </w:r>
      <w:r w:rsidRPr="003E5EAD">
        <w:rPr>
          <w:rFonts w:ascii="Verdana" w:hAnsi="Verdana"/>
        </w:rPr>
        <w:t>tos conceptos se encuentran disponibles para consulta en el Sistema de relatoría de la Agencia, al cual se puede acceder a través del siguiente enlace:</w:t>
      </w:r>
      <w:r w:rsidRPr="003E5EAD">
        <w:rPr>
          <w:rFonts w:ascii="Verdana" w:hAnsi="Verdana" w:cs="Arial"/>
          <w:shd w:val="clear" w:color="auto" w:fill="FFFFFF"/>
        </w:rPr>
        <w:t xml:space="preserve"> </w:t>
      </w:r>
      <w:hyperlink r:id="rId13" w:history="1">
        <w:r w:rsidRPr="003E5EAD">
          <w:rPr>
            <w:rFonts w:ascii="Verdana" w:hAnsi="Verdana" w:cs="Arial"/>
            <w:color w:val="0563C1" w:themeColor="hyperlink"/>
            <w:u w:val="single"/>
            <w:shd w:val="clear" w:color="auto" w:fill="FFFFFF"/>
          </w:rPr>
          <w:t>https://relatoria.colombiacompra.gov.co/busqueda/conceptos</w:t>
        </w:r>
      </w:hyperlink>
      <w:r w:rsidRPr="003E5EAD">
        <w:rPr>
          <w:rFonts w:ascii="Verdana" w:hAnsi="Verdana" w:cs="Arial"/>
          <w:shd w:val="clear" w:color="auto" w:fill="FFFFFF"/>
        </w:rPr>
        <w:t>.</w:t>
      </w:r>
      <w:r w:rsidRPr="003E5EAD">
        <w:rPr>
          <w:rFonts w:ascii="Verdana" w:hAnsi="Verdana" w:cs="Arial"/>
          <w:color w:val="FF0000"/>
          <w:shd w:val="clear" w:color="auto" w:fill="FFFFFF"/>
        </w:rPr>
        <w:t xml:space="preserve"> </w:t>
      </w:r>
      <w:r w:rsidRPr="003E5EAD">
        <w:rPr>
          <w:rFonts w:ascii="Verdana" w:hAnsi="Verdana" w:cs="Arial"/>
          <w:color w:val="000000" w:themeColor="text1"/>
          <w:shd w:val="clear" w:color="auto" w:fill="FFFFFF"/>
        </w:rPr>
        <w:t> </w:t>
      </w:r>
    </w:p>
    <w:p w14:paraId="69FBDBEB" w14:textId="77777777" w:rsidR="00F421D7" w:rsidRPr="003E5EAD" w:rsidRDefault="00F421D7" w:rsidP="00F421D7">
      <w:pPr>
        <w:widowControl w:val="0"/>
        <w:autoSpaceDE w:val="0"/>
        <w:autoSpaceDN w:val="0"/>
        <w:spacing w:after="240" w:line="276" w:lineRule="auto"/>
        <w:jc w:val="both"/>
        <w:rPr>
          <w:rFonts w:ascii="Verdana" w:hAnsi="Verdana" w:cs="Arial"/>
          <w:bCs/>
          <w:shd w:val="clear" w:color="auto" w:fill="FFFFFF"/>
        </w:rPr>
      </w:pPr>
      <w:r w:rsidRPr="003E5EAD">
        <w:rPr>
          <w:rFonts w:ascii="Verdana" w:hAnsi="Verdana" w:cs="Ari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E5EAD">
        <w:rPr>
          <w:rFonts w:ascii="Verdana" w:hAnsi="Verdana" w:cs="Arial"/>
          <w:b/>
          <w:bCs/>
        </w:rPr>
        <w:t>Guía para la Exigencia y Constitución de Garantías en los Procesos de Contratación</w:t>
      </w:r>
      <w:r w:rsidRPr="003E5EAD">
        <w:rPr>
          <w:rFonts w:ascii="Verdana" w:hAnsi="Verdana" w:cs="Arial"/>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3E5EAD">
        <w:rPr>
          <w:rFonts w:ascii="Verdana" w:hAnsi="Verdana" w:cs="Arial"/>
        </w:rPr>
        <w:lastRenderedPageBreak/>
        <w:t>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3E5EAD">
          <w:rPr>
            <w:rStyle w:val="Hipervnculo"/>
            <w:rFonts w:ascii="Verdana" w:hAnsi="Verdana" w:cs="Arial"/>
          </w:rPr>
          <w:t>https://www.colombiacompra.gov.co/archivos/manual/guia-de-garantias-en-procesos-de-contratacion</w:t>
        </w:r>
      </w:hyperlink>
    </w:p>
    <w:p w14:paraId="7E30B722" w14:textId="77777777" w:rsidR="00F421D7" w:rsidRPr="003E5EAD" w:rsidRDefault="00F421D7" w:rsidP="00F421D7">
      <w:pPr>
        <w:widowControl w:val="0"/>
        <w:autoSpaceDE w:val="0"/>
        <w:autoSpaceDN w:val="0"/>
        <w:spacing w:after="240" w:line="276" w:lineRule="auto"/>
        <w:jc w:val="both"/>
        <w:rPr>
          <w:rFonts w:ascii="Verdana" w:eastAsia="Calibri" w:hAnsi="Verdana" w:cs="Arial"/>
        </w:rPr>
      </w:pPr>
      <w:r w:rsidRPr="003E5EAD">
        <w:rPr>
          <w:rFonts w:ascii="Verdana" w:hAnsi="Verdana" w:cs="Arial"/>
        </w:rPr>
        <w:t>De otro lado, te contamos que el Decreto 287 del 19 de marzo de 2026 sustituyó los artículos 2.2.1.2.4.2.6., 2.2.1.2.4.2.7. y 2.2.1.2.4.2.8. del Decreto 1082 de 2015 y estructuró el </w:t>
      </w:r>
      <w:r w:rsidRPr="003E5EAD">
        <w:rPr>
          <w:rFonts w:ascii="Verdana" w:hAnsi="Verdana" w:cs="Arial"/>
          <w:b/>
          <w:bCs/>
        </w:rPr>
        <w:t>Sistema Integral de Preferencias en favor de las personas con discapacidad</w:t>
      </w:r>
      <w:r w:rsidRPr="003E5EAD">
        <w:rPr>
          <w:rFonts w:ascii="Verdana" w:hAnsi="Verdana" w:cs="Arial"/>
        </w:rPr>
        <w:t>, en cumplimiento del artículo 13 de la Ley Estatutaria 1618 de 2013. Para orientar su aplicación, esta Agencia expidió la </w:t>
      </w:r>
      <w:r w:rsidRPr="003E5EAD">
        <w:rPr>
          <w:rFonts w:ascii="Verdana" w:hAnsi="Verdana" w:cs="Arial"/>
          <w:b/>
          <w:bCs/>
        </w:rPr>
        <w:t>Circular Externa 003 del 12 de mayo de 2026, </w:t>
      </w:r>
      <w:r w:rsidRPr="003E5EAD">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3E5EAD">
          <w:rPr>
            <w:rStyle w:val="Hipervnculo"/>
            <w:rFonts w:ascii="Verdana" w:hAnsi="Verdana" w:cs="Arial"/>
          </w:rPr>
          <w:t>https://www.colombiacompra.gov.co/archivos/circular/circular-externa-003-de-2026</w:t>
        </w:r>
      </w:hyperlink>
    </w:p>
    <w:p w14:paraId="2DEEA1B7" w14:textId="77777777" w:rsidR="00F421D7" w:rsidRPr="003E5EAD" w:rsidRDefault="00F421D7" w:rsidP="00F421D7">
      <w:pPr>
        <w:widowControl w:val="0"/>
        <w:autoSpaceDE w:val="0"/>
        <w:autoSpaceDN w:val="0"/>
        <w:spacing w:after="240" w:line="276" w:lineRule="auto"/>
        <w:jc w:val="both"/>
        <w:rPr>
          <w:rFonts w:ascii="Verdana" w:eastAsia="Calibri" w:hAnsi="Verdana" w:cs="Arial"/>
        </w:rPr>
      </w:pPr>
      <w:r w:rsidRPr="003E5EAD">
        <w:rPr>
          <w:rFonts w:ascii="Verdana" w:hAnsi="Verdana" w:cs="Arial"/>
        </w:rPr>
        <w:t>Recuerda también que la</w:t>
      </w:r>
      <w:r w:rsidRPr="003E5EAD">
        <w:rPr>
          <w:rFonts w:ascii="Verdana" w:hAnsi="Verdana" w:cs="Arial"/>
          <w:b/>
          <w:bCs/>
        </w:rPr>
        <w:t> información sobre sanciones e inhabilidades </w:t>
      </w:r>
      <w:r w:rsidRPr="003E5EAD">
        <w:rPr>
          <w:rFonts w:ascii="Verdana" w:hAnsi="Verdana" w:cs="Arial"/>
        </w:rPr>
        <w:t>solo cumple su función preventiva si llega oportunamente a los registros públicos. Sobre este deber, esta Agencia expidió la </w:t>
      </w:r>
      <w:r w:rsidRPr="003E5EAD">
        <w:rPr>
          <w:rFonts w:ascii="Verdana" w:hAnsi="Verdana" w:cs="Arial"/>
          <w:b/>
          <w:bCs/>
        </w:rPr>
        <w:t>Circular Externa 002 del 5 de mayo de 2026,</w:t>
      </w:r>
      <w:r w:rsidRPr="003E5EAD">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3E5EAD">
          <w:rPr>
            <w:rStyle w:val="Hipervnculo"/>
            <w:rFonts w:ascii="Verdana" w:hAnsi="Verdana" w:cs="Arial"/>
          </w:rPr>
          <w:t>https://www.colombiacompra.gov.co/archivos/circular/circular-externa-002-de-2026</w:t>
        </w:r>
      </w:hyperlink>
    </w:p>
    <w:p w14:paraId="36BEC7D1" w14:textId="77777777" w:rsidR="00F421D7" w:rsidRPr="003E5EAD" w:rsidRDefault="00F421D7" w:rsidP="00F421D7">
      <w:pPr>
        <w:widowControl w:val="0"/>
        <w:autoSpaceDE w:val="0"/>
        <w:autoSpaceDN w:val="0"/>
        <w:spacing w:after="240" w:line="276" w:lineRule="auto"/>
        <w:jc w:val="both"/>
        <w:rPr>
          <w:rFonts w:ascii="Verdana" w:eastAsia="Calibri" w:hAnsi="Verdana" w:cs="Arial"/>
        </w:rPr>
      </w:pPr>
      <w:r w:rsidRPr="003E5EAD">
        <w:rPr>
          <w:rFonts w:ascii="Verdana" w:hAnsi="Verdana" w:cs="Arial"/>
        </w:rPr>
        <w:t>Finalmente, si quieres seguir de cerca la actividad de la Agencia, la tercera edición de 2026 del</w:t>
      </w:r>
      <w:r w:rsidRPr="003E5EAD">
        <w:rPr>
          <w:rFonts w:ascii="Verdana" w:hAnsi="Verdana" w:cs="Arial"/>
          <w:b/>
          <w:bCs/>
        </w:rPr>
        <w:t> Radar de la Compra Pública</w:t>
      </w:r>
      <w:r w:rsidRPr="003E5EAD">
        <w:rPr>
          <w:rFonts w:ascii="Verdana" w:hAnsi="Verdana" w:cs="Ari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3E5EAD">
          <w:rPr>
            <w:rStyle w:val="Hipervnculo"/>
            <w:rFonts w:ascii="Verdana" w:hAnsi="Verdana" w:cs="Arial"/>
          </w:rPr>
          <w:t>https://www.colombiacompra.gov.co/archivos/boletin/boletin-edicion-n-3-de-2026-radar-de-la-compra-publica</w:t>
        </w:r>
      </w:hyperlink>
      <w:r w:rsidRPr="003E5EAD">
        <w:rPr>
          <w:rFonts w:ascii="Verdana" w:hAnsi="Verdana" w:cs="Arial"/>
        </w:rPr>
        <w:t>"</w:t>
      </w:r>
    </w:p>
    <w:p w14:paraId="50046AB3" w14:textId="40DDC352" w:rsidR="00F421D7" w:rsidRPr="003E5EAD" w:rsidRDefault="00F421D7" w:rsidP="00F421D7">
      <w:pPr>
        <w:widowControl w:val="0"/>
        <w:autoSpaceDE w:val="0"/>
        <w:autoSpaceDN w:val="0"/>
        <w:spacing w:after="120" w:line="276" w:lineRule="auto"/>
        <w:jc w:val="both"/>
        <w:rPr>
          <w:rFonts w:ascii="Verdana" w:eastAsia="Calibri" w:hAnsi="Verdana" w:cs="Arial"/>
        </w:rPr>
      </w:pPr>
      <w:r w:rsidRPr="003E5EAD">
        <w:rPr>
          <w:rFonts w:ascii="Verdana" w:hAnsi="Verdana" w:cs="Arial"/>
        </w:rPr>
        <w:lastRenderedPageBreak/>
        <w:t xml:space="preserve">Por último, </w:t>
      </w:r>
      <w:r w:rsidR="00E5497A">
        <w:rPr>
          <w:rFonts w:ascii="Verdana" w:hAnsi="Verdana" w:cs="Arial"/>
        </w:rPr>
        <w:t>te</w:t>
      </w:r>
      <w:r w:rsidRPr="003E5EAD">
        <w:rPr>
          <w:rFonts w:ascii="Verdana" w:hAnsi="Verdana" w:cs="Arial"/>
        </w:rPr>
        <w:t xml:space="preserve"> invitamos a seguirnos en las redes sociales en las cuales se difunde información institucional: </w:t>
      </w:r>
    </w:p>
    <w:p w14:paraId="547E43B2" w14:textId="77777777" w:rsidR="00F421D7" w:rsidRPr="003E5EAD" w:rsidRDefault="00F421D7" w:rsidP="00F421D7">
      <w:pPr>
        <w:spacing w:after="0" w:line="276" w:lineRule="auto"/>
        <w:jc w:val="both"/>
        <w:rPr>
          <w:rFonts w:ascii="Verdana" w:hAnsi="Verdana" w:cs="Arial"/>
        </w:rPr>
      </w:pPr>
      <w:r w:rsidRPr="003E5EAD">
        <w:rPr>
          <w:rFonts w:ascii="Verdana" w:hAnsi="Verdana" w:cs="Arial"/>
        </w:rPr>
        <w:t xml:space="preserve">Twitter: </w:t>
      </w:r>
      <w:r w:rsidRPr="003E5EAD">
        <w:rPr>
          <w:rStyle w:val="Hipervnculo"/>
          <w:rFonts w:ascii="Verdana" w:hAnsi="Verdana" w:cs="Arial"/>
          <w:color w:val="auto"/>
        </w:rPr>
        <w:t>@colombiacompra</w:t>
      </w:r>
      <w:r w:rsidRPr="003E5EAD">
        <w:rPr>
          <w:rFonts w:ascii="Verdana" w:hAnsi="Verdana" w:cs="Arial"/>
        </w:rPr>
        <w:t xml:space="preserve"> </w:t>
      </w:r>
    </w:p>
    <w:p w14:paraId="0AF7E85F" w14:textId="77777777" w:rsidR="00F421D7" w:rsidRPr="003E5EAD" w:rsidRDefault="00F421D7" w:rsidP="00F421D7">
      <w:pPr>
        <w:spacing w:after="0" w:line="276" w:lineRule="auto"/>
        <w:jc w:val="both"/>
        <w:rPr>
          <w:rFonts w:ascii="Verdana" w:hAnsi="Verdana" w:cs="Arial"/>
        </w:rPr>
      </w:pPr>
      <w:r w:rsidRPr="003E5EAD">
        <w:rPr>
          <w:rFonts w:ascii="Verdana" w:hAnsi="Verdana" w:cs="Arial"/>
        </w:rPr>
        <w:t xml:space="preserve">Facebook: </w:t>
      </w:r>
      <w:r w:rsidRPr="003E5EAD">
        <w:rPr>
          <w:rStyle w:val="Hipervnculo"/>
          <w:rFonts w:ascii="Verdana" w:hAnsi="Verdana" w:cs="Arial"/>
          <w:color w:val="auto"/>
        </w:rPr>
        <w:t>ColombiaCompraEficiente</w:t>
      </w:r>
    </w:p>
    <w:p w14:paraId="639A3CC8" w14:textId="77777777" w:rsidR="00F421D7" w:rsidRPr="003E5EAD" w:rsidRDefault="00F421D7" w:rsidP="00F421D7">
      <w:pPr>
        <w:spacing w:after="0" w:line="276" w:lineRule="auto"/>
        <w:jc w:val="both"/>
        <w:rPr>
          <w:rStyle w:val="Hipervnculo"/>
          <w:rFonts w:ascii="Verdana" w:hAnsi="Verdana" w:cs="Arial"/>
          <w:color w:val="auto"/>
        </w:rPr>
      </w:pPr>
      <w:r w:rsidRPr="003E5EAD">
        <w:rPr>
          <w:rFonts w:ascii="Verdana" w:hAnsi="Verdana" w:cs="Arial"/>
        </w:rPr>
        <w:t xml:space="preserve">LinkedIn: </w:t>
      </w:r>
      <w:r w:rsidRPr="003E5EAD">
        <w:rPr>
          <w:rStyle w:val="Hipervnculo"/>
          <w:rFonts w:ascii="Verdana" w:hAnsi="Verdana" w:cs="Arial"/>
          <w:color w:val="auto"/>
        </w:rPr>
        <w:t>Agencia Nacional de Contratación Pública - Colombia Compra Eficiente</w:t>
      </w:r>
      <w:r w:rsidRPr="003E5EAD">
        <w:rPr>
          <w:rFonts w:ascii="Verdana" w:hAnsi="Verdana" w:cs="Arial"/>
        </w:rPr>
        <w:t xml:space="preserve"> Instagram: </w:t>
      </w:r>
      <w:r w:rsidRPr="003E5EAD">
        <w:rPr>
          <w:rStyle w:val="Hipervnculo"/>
          <w:rFonts w:ascii="Verdana" w:hAnsi="Verdana" w:cs="Arial"/>
          <w:color w:val="auto"/>
        </w:rPr>
        <w:t>@colombiacompraeficiente_cce</w:t>
      </w:r>
    </w:p>
    <w:p w14:paraId="2F1AAE4E" w14:textId="77777777" w:rsidR="00F421D7" w:rsidRPr="003E5EAD" w:rsidRDefault="00F421D7" w:rsidP="00F421D7">
      <w:pPr>
        <w:widowControl w:val="0"/>
        <w:autoSpaceDE w:val="0"/>
        <w:autoSpaceDN w:val="0"/>
        <w:spacing w:before="120" w:after="0" w:line="276" w:lineRule="auto"/>
        <w:jc w:val="both"/>
        <w:rPr>
          <w:rFonts w:ascii="Verdana" w:hAnsi="Verdana" w:cs="Arial"/>
          <w:lang w:val="es-ES_tradnl"/>
        </w:rPr>
      </w:pPr>
      <w:r w:rsidRPr="003E5EAD">
        <w:rPr>
          <w:rFonts w:ascii="Verdana" w:hAnsi="Verdana" w:cs="Arial"/>
        </w:rPr>
        <w:t xml:space="preserve">Este concepto tiene el alcance previsto en el artículo 28 del Código de Procedimiento Administrativo y de lo Contencioso Administrativo </w:t>
      </w:r>
      <w:r w:rsidRPr="003E5EAD">
        <w:rPr>
          <w:rFonts w:ascii="Verdana" w:hAnsi="Verdana" w:cs="Arial"/>
          <w:lang w:val="es-ES_tradnl"/>
        </w:rPr>
        <w:t>y las expresiones aquí utilizadas con mayúscula inicial deben ser entendidas con el significado que les otorga el artículo 2.2.1.1.1.3.1. del Decreto 1082 de 2015.</w:t>
      </w:r>
    </w:p>
    <w:p w14:paraId="2D9DC486" w14:textId="77777777" w:rsidR="00F421D7" w:rsidRPr="003E5EAD" w:rsidRDefault="00F421D7" w:rsidP="00F421D7">
      <w:pPr>
        <w:widowControl w:val="0"/>
        <w:autoSpaceDE w:val="0"/>
        <w:autoSpaceDN w:val="0"/>
        <w:spacing w:after="0" w:line="276" w:lineRule="auto"/>
        <w:jc w:val="both"/>
        <w:rPr>
          <w:rFonts w:ascii="Verdana" w:hAnsi="Verdana" w:cs="Arial"/>
        </w:rPr>
      </w:pPr>
    </w:p>
    <w:p w14:paraId="18890885" w14:textId="77777777" w:rsidR="00F421D7" w:rsidRDefault="00F421D7" w:rsidP="00F421D7">
      <w:pPr>
        <w:spacing w:after="0" w:line="276" w:lineRule="auto"/>
        <w:jc w:val="both"/>
        <w:rPr>
          <w:rFonts w:ascii="Verdana" w:hAnsi="Verdana" w:cs="Arial"/>
          <w:lang w:eastAsia="es-CO"/>
        </w:rPr>
      </w:pPr>
      <w:r w:rsidRPr="003E5EAD">
        <w:rPr>
          <w:rFonts w:ascii="Verdana" w:eastAsia="Times New Roman" w:hAnsi="Verdana" w:cs="Arial"/>
          <w:lang w:eastAsia="es-CO"/>
        </w:rPr>
        <w:t>Atentamente,</w:t>
      </w:r>
      <w:r w:rsidRPr="003E5EAD">
        <w:rPr>
          <w:rFonts w:ascii="Verdana" w:hAnsi="Verdana" w:cs="Arial"/>
          <w:lang w:eastAsia="es-CO"/>
        </w:rPr>
        <w:t xml:space="preserve"> </w:t>
      </w:r>
    </w:p>
    <w:p w14:paraId="6EE4B390" w14:textId="77777777" w:rsidR="00113768" w:rsidRDefault="00113768" w:rsidP="00F421D7">
      <w:pPr>
        <w:spacing w:after="0" w:line="276" w:lineRule="auto"/>
        <w:jc w:val="both"/>
        <w:rPr>
          <w:rFonts w:ascii="Verdana" w:hAnsi="Verdana" w:cs="Arial"/>
          <w:lang w:eastAsia="es-CO"/>
        </w:rPr>
      </w:pPr>
    </w:p>
    <w:p w14:paraId="133C01A4" w14:textId="5B24AF7D" w:rsidR="00F421D7" w:rsidRPr="00113768" w:rsidRDefault="00113768" w:rsidP="00113768">
      <w:pPr>
        <w:spacing w:after="0" w:line="276" w:lineRule="auto"/>
        <w:jc w:val="center"/>
        <w:rPr>
          <w:rFonts w:ascii="Verdana" w:hAnsi="Verdana" w:cs="Arial"/>
          <w:lang w:eastAsia="es-CO"/>
        </w:rPr>
      </w:pPr>
      <w:r>
        <w:rPr>
          <w:rFonts w:ascii="Verdana" w:hAnsi="Verdana" w:cs="Arial"/>
          <w:noProof/>
          <w:lang w:eastAsia="es-CO"/>
        </w:rPr>
        <w:drawing>
          <wp:inline distT="0" distB="0" distL="0" distR="0" wp14:anchorId="1FE85A9E" wp14:editId="1A61F6D0">
            <wp:extent cx="3683103" cy="1371590"/>
            <wp:effectExtent l="0" t="0" r="0" b="635"/>
            <wp:docPr id="3860133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2706" cy="1378890"/>
                    </a:xfrm>
                    <a:prstGeom prst="rect">
                      <a:avLst/>
                    </a:prstGeom>
                    <a:noFill/>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421D7" w:rsidRPr="003E5EAD" w14:paraId="08051AE6" w14:textId="77777777" w:rsidTr="006A7A28">
        <w:trPr>
          <w:trHeight w:val="315"/>
        </w:trPr>
        <w:tc>
          <w:tcPr>
            <w:tcW w:w="893" w:type="dxa"/>
            <w:vAlign w:val="center"/>
            <w:hideMark/>
          </w:tcPr>
          <w:p w14:paraId="0017A901" w14:textId="77777777" w:rsidR="00F421D7" w:rsidRPr="003E5EAD" w:rsidRDefault="00F421D7" w:rsidP="006A7A28">
            <w:pPr>
              <w:contextualSpacing/>
              <w:rPr>
                <w:rFonts w:ascii="Verdana" w:hAnsi="Verdana" w:cs="Arial"/>
                <w:sz w:val="16"/>
                <w:szCs w:val="16"/>
                <w:lang w:val="es-ES" w:eastAsia="es-ES"/>
              </w:rPr>
            </w:pPr>
            <w:r w:rsidRPr="003E5EA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6BB3639" w14:textId="77777777" w:rsidR="00F421D7" w:rsidRPr="003E5EAD" w:rsidRDefault="00F421D7" w:rsidP="006A7A28">
            <w:pPr>
              <w:contextualSpacing/>
              <w:rPr>
                <w:rFonts w:ascii="Verdana" w:eastAsia="Arial" w:hAnsi="Verdana" w:cs="Arial"/>
                <w:sz w:val="16"/>
                <w:szCs w:val="16"/>
              </w:rPr>
            </w:pPr>
            <w:r w:rsidRPr="003E5EAD">
              <w:rPr>
                <w:rFonts w:ascii="Verdana" w:eastAsia="Arial" w:hAnsi="Verdana" w:cs="Arial"/>
                <w:sz w:val="16"/>
                <w:szCs w:val="16"/>
              </w:rPr>
              <w:t>Ana María Ortiz Ballesteros</w:t>
            </w:r>
          </w:p>
          <w:p w14:paraId="771BFEA6" w14:textId="77777777" w:rsidR="00F421D7" w:rsidRPr="003E5EAD" w:rsidRDefault="00F421D7" w:rsidP="006A7A28">
            <w:pPr>
              <w:contextualSpacing/>
              <w:rPr>
                <w:rFonts w:ascii="Verdana" w:eastAsia="Arial" w:hAnsi="Verdana" w:cs="Arial"/>
                <w:sz w:val="16"/>
                <w:szCs w:val="16"/>
              </w:rPr>
            </w:pPr>
            <w:r w:rsidRPr="003E5EAD">
              <w:rPr>
                <w:rStyle w:val="normaltextrun"/>
                <w:rFonts w:ascii="Verdana" w:eastAsia="Arial" w:hAnsi="Verdana" w:cs="Arial"/>
                <w:sz w:val="16"/>
                <w:szCs w:val="16"/>
              </w:rPr>
              <w:t>C</w:t>
            </w:r>
            <w:r w:rsidRPr="003E5EAD">
              <w:rPr>
                <w:rStyle w:val="normaltextrun"/>
                <w:rFonts w:ascii="Verdana" w:hAnsi="Verdana"/>
                <w:sz w:val="16"/>
                <w:szCs w:val="16"/>
              </w:rPr>
              <w:t>ontratista</w:t>
            </w:r>
            <w:r w:rsidRPr="003E5EAD">
              <w:rPr>
                <w:rStyle w:val="normaltextrun"/>
                <w:rFonts w:ascii="Verdana" w:eastAsia="Arial" w:hAnsi="Verdana" w:cs="Arial"/>
                <w:sz w:val="16"/>
                <w:szCs w:val="16"/>
              </w:rPr>
              <w:t xml:space="preserve"> de la Subdirección de Gestión Contractual</w:t>
            </w:r>
          </w:p>
        </w:tc>
      </w:tr>
      <w:tr w:rsidR="00F421D7" w:rsidRPr="003E5EAD" w14:paraId="7CE4A6B5" w14:textId="77777777" w:rsidTr="006A7A28">
        <w:trPr>
          <w:trHeight w:val="330"/>
        </w:trPr>
        <w:tc>
          <w:tcPr>
            <w:tcW w:w="893" w:type="dxa"/>
            <w:vAlign w:val="center"/>
            <w:hideMark/>
          </w:tcPr>
          <w:p w14:paraId="46E58EF2" w14:textId="77777777" w:rsidR="00F421D7" w:rsidRPr="003E5EAD" w:rsidRDefault="00F421D7" w:rsidP="006A7A28">
            <w:pPr>
              <w:contextualSpacing/>
              <w:rPr>
                <w:rFonts w:ascii="Verdana" w:hAnsi="Verdana" w:cs="Arial"/>
                <w:sz w:val="16"/>
                <w:szCs w:val="16"/>
                <w:lang w:val="es-ES" w:eastAsia="es-ES"/>
              </w:rPr>
            </w:pPr>
            <w:r w:rsidRPr="003E5EA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17BEFB" w14:textId="6AA4E749" w:rsidR="000E450D" w:rsidRPr="003E5EAD" w:rsidRDefault="000E450D" w:rsidP="006A7A28">
            <w:pPr>
              <w:pStyle w:val="paragraph"/>
              <w:spacing w:before="0" w:beforeAutospacing="0" w:after="0" w:afterAutospacing="0"/>
              <w:contextualSpacing/>
              <w:jc w:val="both"/>
              <w:textAlignment w:val="baseline"/>
              <w:rPr>
                <w:rFonts w:ascii="Verdana" w:hAnsi="Verdana" w:cs="Arial"/>
                <w:sz w:val="16"/>
                <w:szCs w:val="16"/>
              </w:rPr>
            </w:pPr>
            <w:r w:rsidRPr="003E5EAD">
              <w:rPr>
                <w:rFonts w:ascii="Verdana" w:hAnsi="Verdana" w:cs="Arial"/>
                <w:sz w:val="16"/>
                <w:szCs w:val="16"/>
              </w:rPr>
              <w:t xml:space="preserve">Alejandro Sarmiento Cantillo </w:t>
            </w:r>
          </w:p>
          <w:p w14:paraId="5A4DFCB6" w14:textId="0DB987C7" w:rsidR="00F421D7" w:rsidRPr="003E5EAD" w:rsidRDefault="000E450D" w:rsidP="006A7A28">
            <w:pPr>
              <w:pStyle w:val="paragraph"/>
              <w:spacing w:before="0" w:beforeAutospacing="0" w:after="0" w:afterAutospacing="0"/>
              <w:contextualSpacing/>
              <w:jc w:val="both"/>
              <w:textAlignment w:val="baseline"/>
              <w:rPr>
                <w:rFonts w:ascii="Verdana" w:hAnsi="Verdana" w:cs="Arial"/>
                <w:sz w:val="16"/>
                <w:szCs w:val="16"/>
              </w:rPr>
            </w:pPr>
            <w:r w:rsidRPr="003E5EAD">
              <w:rPr>
                <w:rFonts w:ascii="Verdana" w:eastAsia="Arial" w:hAnsi="Verdana" w:cs="Arial"/>
                <w:sz w:val="16"/>
                <w:szCs w:val="16"/>
              </w:rPr>
              <w:t xml:space="preserve">Gestor código T1 grado15 </w:t>
            </w:r>
            <w:r w:rsidR="00F421D7" w:rsidRPr="003E5EAD">
              <w:rPr>
                <w:rStyle w:val="normaltextrun"/>
                <w:rFonts w:ascii="Verdana" w:eastAsia="Arial" w:hAnsi="Verdana" w:cs="Arial"/>
                <w:sz w:val="16"/>
                <w:szCs w:val="16"/>
              </w:rPr>
              <w:t>de la Subdirección de Gestión Contractual</w:t>
            </w:r>
          </w:p>
        </w:tc>
      </w:tr>
      <w:tr w:rsidR="00F421D7" w:rsidRPr="003E5EAD" w14:paraId="395C40C2" w14:textId="77777777" w:rsidTr="006A7A28">
        <w:trPr>
          <w:trHeight w:val="300"/>
        </w:trPr>
        <w:tc>
          <w:tcPr>
            <w:tcW w:w="893" w:type="dxa"/>
            <w:vAlign w:val="center"/>
          </w:tcPr>
          <w:p w14:paraId="6ADC70BA" w14:textId="77777777" w:rsidR="00F421D7" w:rsidRPr="003E5EAD" w:rsidRDefault="00F421D7" w:rsidP="006A7A28">
            <w:pPr>
              <w:contextualSpacing/>
              <w:rPr>
                <w:rFonts w:ascii="Verdana" w:hAnsi="Verdana" w:cs="Arial"/>
                <w:sz w:val="16"/>
                <w:szCs w:val="16"/>
                <w:lang w:val="es-ES" w:eastAsia="es-ES"/>
              </w:rPr>
            </w:pPr>
            <w:r w:rsidRPr="003E5EA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DD7CE5" w14:textId="77777777" w:rsidR="00F421D7" w:rsidRPr="003E5EAD" w:rsidRDefault="00F421D7" w:rsidP="006A7A28">
            <w:pPr>
              <w:contextualSpacing/>
              <w:rPr>
                <w:rFonts w:ascii="Verdana" w:eastAsia="Calibri" w:hAnsi="Verdana" w:cs="Arial"/>
                <w:sz w:val="16"/>
                <w:szCs w:val="16"/>
                <w:lang w:val="pt-BR" w:eastAsia="es-ES"/>
              </w:rPr>
            </w:pPr>
            <w:r w:rsidRPr="003E5EAD">
              <w:rPr>
                <w:rFonts w:ascii="Verdana" w:eastAsia="Calibri" w:hAnsi="Verdana" w:cs="Arial"/>
                <w:sz w:val="16"/>
                <w:szCs w:val="16"/>
                <w:lang w:val="pt-BR" w:eastAsia="es-ES"/>
              </w:rPr>
              <w:t xml:space="preserve">William Javier Murcia Acevedo </w:t>
            </w:r>
          </w:p>
          <w:p w14:paraId="3D0D1144" w14:textId="77777777" w:rsidR="00F421D7" w:rsidRPr="003E5EAD" w:rsidRDefault="00F421D7" w:rsidP="006A7A28">
            <w:pPr>
              <w:contextualSpacing/>
              <w:rPr>
                <w:rFonts w:ascii="Verdana" w:eastAsia="Calibri" w:hAnsi="Verdana" w:cs="Arial"/>
                <w:sz w:val="16"/>
                <w:szCs w:val="16"/>
                <w:lang w:val="pt-BR" w:eastAsia="es-ES"/>
              </w:rPr>
            </w:pPr>
            <w:r w:rsidRPr="003E5EAD">
              <w:rPr>
                <w:rFonts w:ascii="Verdana" w:eastAsia="Calibri" w:hAnsi="Verdana" w:cs="Arial"/>
                <w:sz w:val="16"/>
                <w:szCs w:val="16"/>
                <w:lang w:eastAsia="es-ES"/>
              </w:rPr>
              <w:t xml:space="preserve">Subdirector </w:t>
            </w:r>
            <w:r w:rsidRPr="003E5EAD">
              <w:rPr>
                <w:rFonts w:ascii="Verdana" w:eastAsia="Calibri" w:hAnsi="Verdana" w:cs="Arial"/>
                <w:sz w:val="16"/>
                <w:szCs w:val="16"/>
                <w:lang w:val="pt-BR" w:eastAsia="es-ES"/>
              </w:rPr>
              <w:t xml:space="preserve">de Gestión Contractual ANCP – CCE (E) </w:t>
            </w:r>
          </w:p>
        </w:tc>
      </w:tr>
      <w:bookmarkEnd w:id="0"/>
    </w:tbl>
    <w:p w14:paraId="67A44998" w14:textId="77777777" w:rsidR="001A33BF" w:rsidRPr="003E5EAD" w:rsidRDefault="001A33BF" w:rsidP="30821638">
      <w:pPr>
        <w:spacing w:after="0" w:line="240" w:lineRule="auto"/>
        <w:jc w:val="both"/>
        <w:rPr>
          <w:rFonts w:ascii="Verdana" w:eastAsia="Verdana" w:hAnsi="Verdana" w:cs="Verdana"/>
          <w:highlight w:val="cyan"/>
          <w:lang w:val="es-MX"/>
        </w:rPr>
      </w:pPr>
    </w:p>
    <w:sectPr w:rsidR="001A33BF" w:rsidRPr="003E5EAD" w:rsidSect="007C0C0F">
      <w:headerReference w:type="default" r:id="rId19"/>
      <w:footerReference w:type="even" r:id="rId20"/>
      <w:footerReference w:type="default" r:id="rId21"/>
      <w:footerReference w:type="firs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E885E" w14:textId="77777777" w:rsidR="00CD645D" w:rsidRDefault="00CD645D" w:rsidP="004A1847">
      <w:pPr>
        <w:spacing w:after="0" w:line="240" w:lineRule="auto"/>
      </w:pPr>
      <w:r>
        <w:separator/>
      </w:r>
    </w:p>
  </w:endnote>
  <w:endnote w:type="continuationSeparator" w:id="0">
    <w:p w14:paraId="10AAB1BE" w14:textId="77777777" w:rsidR="00CD645D" w:rsidRDefault="00CD645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B5C64" w14:textId="60CF02D4" w:rsidR="00690988" w:rsidRDefault="00690988">
    <w:pPr>
      <w:pStyle w:val="Piedepgina"/>
    </w:pPr>
    <w:r>
      <w:rPr>
        <w:noProof/>
      </w:rPr>
      <mc:AlternateContent>
        <mc:Choice Requires="wps">
          <w:drawing>
            <wp:anchor distT="0" distB="0" distL="0" distR="0" simplePos="0" relativeHeight="251667456" behindDoc="0" locked="0" layoutInCell="1" allowOverlap="1" wp14:anchorId="00AC7675" wp14:editId="2E5BF93F">
              <wp:simplePos x="635" y="635"/>
              <wp:positionH relativeFrom="page">
                <wp:align>left</wp:align>
              </wp:positionH>
              <wp:positionV relativeFrom="page">
                <wp:align>bottom</wp:align>
              </wp:positionV>
              <wp:extent cx="1360170" cy="357505"/>
              <wp:effectExtent l="0" t="0" r="11430" b="0"/>
              <wp:wrapNone/>
              <wp:docPr id="913537385" name="Cuadro de texto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1636DB83" w14:textId="518FF154" w:rsidR="00690988" w:rsidRPr="00690988" w:rsidRDefault="00690988" w:rsidP="00690988">
                          <w:pPr>
                            <w:spacing w:after="0"/>
                            <w:rPr>
                              <w:rFonts w:ascii="Aptos" w:eastAsia="Aptos" w:hAnsi="Aptos" w:cs="Aptos"/>
                              <w:noProof/>
                              <w:color w:val="000000"/>
                              <w:sz w:val="20"/>
                              <w:szCs w:val="20"/>
                            </w:rPr>
                          </w:pPr>
                          <w:r w:rsidRPr="00690988">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AC7675" id="_x0000_t202" coordsize="21600,21600" o:spt="202" path="m,l,21600r21600,l21600,xe">
              <v:stroke joinstyle="miter"/>
              <v:path gradientshapeok="t" o:connecttype="rect"/>
            </v:shapetype>
            <v:shape id="Cuadro de texto 2" o:spid="_x0000_s1026" type="#_x0000_t202" alt="Información Pública" style="position:absolute;margin-left:0;margin-top:0;width:107.1pt;height:28.1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" filled="f" stroked="f">
              <v:fill o:detectmouseclick="t"/>
              <v:textbox style="mso-fit-shape-to-text:t" inset="20pt,0,0,15pt">
                <w:txbxContent>
                  <w:p w14:paraId="1636DB83" w14:textId="518FF154" w:rsidR="00690988" w:rsidRPr="00690988" w:rsidRDefault="00690988" w:rsidP="00690988">
                    <w:pPr>
                      <w:spacing w:after="0"/>
                      <w:rPr>
                        <w:rFonts w:ascii="Aptos" w:eastAsia="Aptos" w:hAnsi="Aptos" w:cs="Aptos"/>
                        <w:noProof/>
                        <w:color w:val="000000"/>
                        <w:sz w:val="20"/>
                        <w:szCs w:val="20"/>
                      </w:rPr>
                    </w:pPr>
                    <w:r w:rsidRPr="00690988">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53212D12" w:rsidR="004A1847" w:rsidRDefault="00690988">
    <w:pPr>
      <w:pStyle w:val="Piedepgina"/>
    </w:pPr>
    <w:r>
      <w:rPr>
        <w:noProof/>
      </w:rPr>
      <mc:AlternateContent>
        <mc:Choice Requires="wps">
          <w:drawing>
            <wp:anchor distT="0" distB="0" distL="0" distR="0" simplePos="0" relativeHeight="251668480" behindDoc="0" locked="0" layoutInCell="1" allowOverlap="1" wp14:anchorId="3ACAFCE8" wp14:editId="2F299E8D">
              <wp:simplePos x="1076325" y="8667750"/>
              <wp:positionH relativeFrom="page">
                <wp:align>left</wp:align>
              </wp:positionH>
              <wp:positionV relativeFrom="page">
                <wp:align>bottom</wp:align>
              </wp:positionV>
              <wp:extent cx="1360170" cy="357505"/>
              <wp:effectExtent l="0" t="0" r="11430" b="0"/>
              <wp:wrapNone/>
              <wp:docPr id="855081235" name="Cuadro de texto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25E4DE2A" w14:textId="582BC3C1" w:rsidR="00690988" w:rsidRPr="00690988" w:rsidRDefault="00690988" w:rsidP="00690988">
                          <w:pPr>
                            <w:spacing w:after="0"/>
                            <w:rPr>
                              <w:rFonts w:ascii="Aptos" w:eastAsia="Aptos" w:hAnsi="Aptos" w:cs="Aptos"/>
                              <w:noProof/>
                              <w:color w:val="000000"/>
                              <w:sz w:val="20"/>
                              <w:szCs w:val="20"/>
                            </w:rPr>
                          </w:pPr>
                          <w:r w:rsidRPr="00690988">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CAFCE8" id="_x0000_t202" coordsize="21600,21600" o:spt="202" path="m,l,21600r21600,l21600,xe">
              <v:stroke joinstyle="miter"/>
              <v:path gradientshapeok="t" o:connecttype="rect"/>
            </v:shapetype>
            <v:shape id="Cuadro de texto 3" o:spid="_x0000_s1027" type="#_x0000_t202" alt="Información Pública" style="position:absolute;margin-left:0;margin-top:0;width:107.1pt;height:28.15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" filled="f" stroked="f">
              <v:fill o:detectmouseclick="t"/>
              <v:textbox style="mso-fit-shape-to-text:t" inset="20pt,0,0,15pt">
                <w:txbxContent>
                  <w:p w14:paraId="25E4DE2A" w14:textId="582BC3C1" w:rsidR="00690988" w:rsidRPr="00690988" w:rsidRDefault="00690988" w:rsidP="00690988">
                    <w:pPr>
                      <w:spacing w:after="0"/>
                      <w:rPr>
                        <w:rFonts w:ascii="Aptos" w:eastAsia="Aptos" w:hAnsi="Aptos" w:cs="Aptos"/>
                        <w:noProof/>
                        <w:color w:val="000000"/>
                        <w:sz w:val="20"/>
                        <w:szCs w:val="20"/>
                      </w:rPr>
                    </w:pPr>
                    <w:r w:rsidRPr="00690988">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462B" w14:textId="6CB99B79" w:rsidR="00690988" w:rsidRDefault="00690988">
    <w:pPr>
      <w:pStyle w:val="Piedepgina"/>
    </w:pPr>
    <w:r>
      <w:rPr>
        <w:noProof/>
      </w:rPr>
      <mc:AlternateContent>
        <mc:Choice Requires="wps">
          <w:drawing>
            <wp:anchor distT="0" distB="0" distL="0" distR="0" simplePos="0" relativeHeight="251666432" behindDoc="0" locked="0" layoutInCell="1" allowOverlap="1" wp14:anchorId="278E7535" wp14:editId="21C89C5A">
              <wp:simplePos x="635" y="635"/>
              <wp:positionH relativeFrom="page">
                <wp:align>left</wp:align>
              </wp:positionH>
              <wp:positionV relativeFrom="page">
                <wp:align>bottom</wp:align>
              </wp:positionV>
              <wp:extent cx="1360170" cy="357505"/>
              <wp:effectExtent l="0" t="0" r="11430" b="0"/>
              <wp:wrapNone/>
              <wp:docPr id="103007352" name="Cuadro de texto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3587CE3E" w14:textId="35FFEE4D" w:rsidR="00690988" w:rsidRPr="00690988" w:rsidRDefault="00690988" w:rsidP="00690988">
                          <w:pPr>
                            <w:spacing w:after="0"/>
                            <w:rPr>
                              <w:rFonts w:ascii="Aptos" w:eastAsia="Aptos" w:hAnsi="Aptos" w:cs="Aptos"/>
                              <w:noProof/>
                              <w:color w:val="000000"/>
                              <w:sz w:val="20"/>
                              <w:szCs w:val="20"/>
                            </w:rPr>
                          </w:pPr>
                          <w:r w:rsidRPr="00690988">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8E7535" id="_x0000_t202" coordsize="21600,21600" o:spt="202" path="m,l,21600r21600,l21600,xe">
              <v:stroke joinstyle="miter"/>
              <v:path gradientshapeok="t" o:connecttype="rect"/>
            </v:shapetype>
            <v:shape id="Cuadro de texto 1" o:spid="_x0000_s1028" type="#_x0000_t202" alt="Información Pública" style="position:absolute;margin-left:0;margin-top:0;width:107.1pt;height:28.1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" filled="f" stroked="f">
              <v:fill o:detectmouseclick="t"/>
              <v:textbox style="mso-fit-shape-to-text:t" inset="20pt,0,0,15pt">
                <w:txbxContent>
                  <w:p w14:paraId="3587CE3E" w14:textId="35FFEE4D" w:rsidR="00690988" w:rsidRPr="00690988" w:rsidRDefault="00690988" w:rsidP="00690988">
                    <w:pPr>
                      <w:spacing w:after="0"/>
                      <w:rPr>
                        <w:rFonts w:ascii="Aptos" w:eastAsia="Aptos" w:hAnsi="Aptos" w:cs="Aptos"/>
                        <w:noProof/>
                        <w:color w:val="000000"/>
                        <w:sz w:val="20"/>
                        <w:szCs w:val="20"/>
                      </w:rPr>
                    </w:pPr>
                    <w:r w:rsidRPr="00690988">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4EDCF" w14:textId="77777777" w:rsidR="00CD645D" w:rsidRDefault="00CD645D" w:rsidP="004A1847">
      <w:pPr>
        <w:spacing w:after="0" w:line="240" w:lineRule="auto"/>
      </w:pPr>
      <w:r>
        <w:separator/>
      </w:r>
    </w:p>
  </w:footnote>
  <w:footnote w:type="continuationSeparator" w:id="0">
    <w:p w14:paraId="1E68A227" w14:textId="77777777" w:rsidR="00CD645D" w:rsidRDefault="00CD645D" w:rsidP="004A1847">
      <w:pPr>
        <w:spacing w:after="0" w:line="240" w:lineRule="auto"/>
      </w:pPr>
      <w:r>
        <w:continuationSeparator/>
      </w:r>
    </w:p>
  </w:footnote>
  <w:footnote w:id="1">
    <w:p w14:paraId="7582227C" w14:textId="77777777" w:rsidR="00F71265" w:rsidRPr="00F21A14" w:rsidRDefault="00F71265" w:rsidP="00F71265">
      <w:pPr>
        <w:pStyle w:val="Textonotapie"/>
        <w:ind w:firstLine="709"/>
        <w:jc w:val="both"/>
        <w:rPr>
          <w:rFonts w:ascii="Verdana" w:eastAsia="Calibri"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w:t>
      </w:r>
      <w:r w:rsidRPr="00F21A14">
        <w:rPr>
          <w:rFonts w:ascii="Verdana" w:eastAsia="Calibri" w:hAnsi="Verdana"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1C71E3B6" w14:textId="77777777" w:rsidR="00F71265" w:rsidRPr="00F21A14" w:rsidRDefault="00F71265" w:rsidP="00F71265">
      <w:pPr>
        <w:pStyle w:val="Textonotapie"/>
        <w:ind w:firstLine="709"/>
        <w:jc w:val="both"/>
        <w:rPr>
          <w:rFonts w:ascii="Verdana" w:eastAsia="Calibri" w:hAnsi="Verdana" w:cs="Arial"/>
          <w:sz w:val="16"/>
          <w:szCs w:val="16"/>
        </w:rPr>
      </w:pPr>
    </w:p>
    <w:p w14:paraId="58398FE9" w14:textId="77777777" w:rsidR="00F71265" w:rsidRPr="00F21A14" w:rsidRDefault="00F71265" w:rsidP="00F71265">
      <w:pPr>
        <w:spacing w:after="0" w:line="240" w:lineRule="auto"/>
        <w:ind w:firstLine="708"/>
        <w:jc w:val="both"/>
        <w:rPr>
          <w:rFonts w:ascii="Verdana" w:eastAsia="Times New Roman" w:hAnsi="Verdana" w:cs="Arial"/>
          <w:sz w:val="16"/>
          <w:szCs w:val="16"/>
        </w:rPr>
      </w:pPr>
      <w:r w:rsidRPr="00F21A14">
        <w:rPr>
          <w:rFonts w:ascii="Verdana" w:hAnsi="Verdana" w:cs="Arial"/>
          <w:sz w:val="16"/>
          <w:szCs w:val="16"/>
        </w:rPr>
        <w:t>“Los derechos y deberes consagrados en esta Carta se interpretarán de conformidad con los tratados internacionales sobre derechos humanos ratificados por Colombia [...]”.</w:t>
      </w:r>
    </w:p>
  </w:footnote>
  <w:footnote w:id="2">
    <w:p w14:paraId="0B6F1285" w14:textId="77777777" w:rsidR="00F71265" w:rsidRPr="00F21A14" w:rsidRDefault="00F71265" w:rsidP="00F71265">
      <w:pPr>
        <w:pStyle w:val="Textonotapie"/>
        <w:ind w:firstLine="708"/>
        <w:jc w:val="both"/>
        <w:rPr>
          <w:rFonts w:ascii="Verdana" w:hAnsi="Verdana"/>
          <w:sz w:val="16"/>
          <w:szCs w:val="16"/>
        </w:rPr>
      </w:pPr>
      <w:r w:rsidRPr="00F21A14">
        <w:rPr>
          <w:rStyle w:val="Refdenotaalpie"/>
          <w:rFonts w:ascii="Verdana" w:hAnsi="Verdana"/>
          <w:sz w:val="16"/>
          <w:szCs w:val="16"/>
        </w:rPr>
        <w:footnoteRef/>
      </w:r>
      <w:r w:rsidRPr="00F21A14">
        <w:rPr>
          <w:rFonts w:ascii="Verdana" w:hAnsi="Verdana"/>
          <w:sz w:val="16"/>
          <w:szCs w:val="16"/>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F262353" w14:textId="77777777" w:rsidR="00F71265" w:rsidRPr="00F21A14" w:rsidRDefault="00F71265" w:rsidP="00F71265">
      <w:pPr>
        <w:pStyle w:val="Textonotapie"/>
        <w:ind w:firstLine="708"/>
        <w:jc w:val="both"/>
        <w:rPr>
          <w:rFonts w:ascii="Verdana" w:hAnsi="Verdana"/>
          <w:sz w:val="16"/>
          <w:szCs w:val="16"/>
        </w:rPr>
      </w:pPr>
    </w:p>
    <w:p w14:paraId="35260B08" w14:textId="77777777" w:rsidR="00F71265" w:rsidRPr="00F21A14" w:rsidRDefault="00F71265" w:rsidP="00F71265">
      <w:pPr>
        <w:pStyle w:val="Textonotapie"/>
        <w:ind w:firstLine="708"/>
        <w:jc w:val="both"/>
        <w:rPr>
          <w:rFonts w:ascii="Verdana" w:hAnsi="Verdana"/>
          <w:sz w:val="16"/>
          <w:szCs w:val="16"/>
          <w:lang w:val="es-ES"/>
        </w:rPr>
      </w:pPr>
      <w:r w:rsidRPr="00F21A14">
        <w:rPr>
          <w:rFonts w:ascii="Verdana" w:hAnsi="Verdana"/>
          <w:sz w:val="16"/>
          <w:szCs w:val="16"/>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0F82109E" w14:textId="77777777" w:rsidR="00F71265" w:rsidRPr="00F21A14" w:rsidRDefault="00F71265" w:rsidP="00F71265">
      <w:pPr>
        <w:pStyle w:val="Textonotapie"/>
        <w:ind w:firstLine="709"/>
        <w:jc w:val="both"/>
        <w:rPr>
          <w:rFonts w:ascii="Verdana" w:hAnsi="Verdana"/>
          <w:sz w:val="16"/>
          <w:szCs w:val="16"/>
          <w:lang w:val="es-CO"/>
        </w:rPr>
      </w:pPr>
      <w:r w:rsidRPr="00F21A14">
        <w:rPr>
          <w:rStyle w:val="Refdenotaalpie"/>
          <w:rFonts w:ascii="Verdana" w:hAnsi="Verdana"/>
          <w:sz w:val="16"/>
          <w:szCs w:val="16"/>
        </w:rPr>
        <w:footnoteRef/>
      </w:r>
      <w:r w:rsidRPr="00F21A14">
        <w:rPr>
          <w:rStyle w:val="Refdenotaalpie"/>
          <w:rFonts w:ascii="Verdana" w:hAnsi="Verdana"/>
          <w:sz w:val="16"/>
          <w:szCs w:val="16"/>
        </w:rPr>
        <w:footnoteRef/>
      </w:r>
      <w:r w:rsidRPr="00F21A14">
        <w:rPr>
          <w:rFonts w:ascii="Verdana" w:hAnsi="Verdana"/>
          <w:sz w:val="16"/>
          <w:szCs w:val="16"/>
        </w:rPr>
        <w:t>Corte Constitucional. Sala Plena. Sentencia C-362 del 2023. M.P: Diana Fajardo Rivera.</w:t>
      </w:r>
    </w:p>
  </w:footnote>
  <w:footnote w:id="4">
    <w:p w14:paraId="0BC447A8" w14:textId="77777777" w:rsidR="00F71265" w:rsidRPr="00F21A14" w:rsidRDefault="00F71265" w:rsidP="00F71265">
      <w:pPr>
        <w:pStyle w:val="Textonotapie"/>
        <w:ind w:firstLine="708"/>
        <w:jc w:val="both"/>
        <w:rPr>
          <w:rFonts w:ascii="Verdana"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Decreto 252 de 2020: “Articulo 1. Adiciónese al artículo 10 del Decreto 1088 de 1993, el siguiente parágrafo:</w:t>
      </w:r>
    </w:p>
    <w:p w14:paraId="03FDABBC" w14:textId="77777777" w:rsidR="00F71265" w:rsidRPr="00F21A14" w:rsidRDefault="00F71265" w:rsidP="00F71265">
      <w:pPr>
        <w:pStyle w:val="Textonotapie"/>
        <w:ind w:firstLine="708"/>
        <w:jc w:val="both"/>
        <w:rPr>
          <w:rFonts w:ascii="Verdana" w:hAnsi="Verdana" w:cs="Arial"/>
          <w:sz w:val="16"/>
          <w:szCs w:val="16"/>
        </w:rPr>
      </w:pPr>
      <w:r w:rsidRPr="00F21A14">
        <w:rPr>
          <w:rFonts w:ascii="Verdana" w:hAnsi="Verdana" w:cs="Arial"/>
          <w:sz w:val="16"/>
          <w:szCs w:val="16"/>
        </w:rPr>
        <w:t>Artículo 10. Naturaleza de los actos y contratos.</w:t>
      </w:r>
    </w:p>
    <w:p w14:paraId="35B20B83" w14:textId="77777777" w:rsidR="00F71265" w:rsidRPr="00F21A14" w:rsidRDefault="00F71265" w:rsidP="00F71265">
      <w:pPr>
        <w:pStyle w:val="Textonotapie"/>
        <w:ind w:firstLine="708"/>
        <w:jc w:val="both"/>
        <w:rPr>
          <w:rFonts w:ascii="Verdana" w:hAnsi="Verdana" w:cs="Arial"/>
          <w:sz w:val="16"/>
          <w:szCs w:val="16"/>
        </w:rPr>
      </w:pPr>
      <w:r w:rsidRPr="00F21A14">
        <w:rPr>
          <w:rFonts w:ascii="Verdana" w:hAnsi="Verdana" w:cs="Arial"/>
          <w:sz w:val="16"/>
          <w:szCs w:val="16"/>
        </w:rPr>
        <w:t>[...]</w:t>
      </w:r>
    </w:p>
    <w:p w14:paraId="0A706D9F" w14:textId="77777777" w:rsidR="00F71265" w:rsidRPr="00F21A14" w:rsidRDefault="00F71265" w:rsidP="00F71265">
      <w:pPr>
        <w:pStyle w:val="Textonotapie"/>
        <w:ind w:firstLine="708"/>
        <w:jc w:val="both"/>
        <w:rPr>
          <w:rFonts w:ascii="Verdana" w:hAnsi="Verdana" w:cs="Arial"/>
          <w:sz w:val="16"/>
          <w:szCs w:val="16"/>
        </w:rPr>
      </w:pPr>
      <w:r w:rsidRPr="00F21A14">
        <w:rPr>
          <w:rFonts w:ascii="Verdana" w:hAnsi="Verdana"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162A15C0" w14:textId="77777777" w:rsidR="00F71265" w:rsidRPr="00F21A14" w:rsidRDefault="00F71265" w:rsidP="00F71265">
      <w:pPr>
        <w:pStyle w:val="Textonotapie"/>
        <w:ind w:firstLine="708"/>
        <w:jc w:val="both"/>
        <w:rPr>
          <w:rFonts w:ascii="Verdana" w:hAnsi="Verdana" w:cs="Arial"/>
          <w:sz w:val="16"/>
          <w:szCs w:val="16"/>
        </w:rPr>
      </w:pPr>
      <w:r w:rsidRPr="00F21A14">
        <w:rPr>
          <w:rFonts w:ascii="Verdana" w:hAnsi="Verdana"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14:paraId="679127EF" w14:textId="77777777" w:rsidR="00F71265" w:rsidRPr="00F21A14" w:rsidRDefault="00F71265" w:rsidP="00F71265">
      <w:pPr>
        <w:pStyle w:val="Textonotapie"/>
        <w:ind w:firstLine="708"/>
        <w:jc w:val="both"/>
        <w:rPr>
          <w:rFonts w:ascii="Verdana" w:hAnsi="Verdana" w:cs="Arial"/>
          <w:sz w:val="16"/>
          <w:szCs w:val="16"/>
        </w:rPr>
      </w:pPr>
      <w:r w:rsidRPr="00F21A14">
        <w:rPr>
          <w:rFonts w:ascii="Verdana" w:hAnsi="Verdana" w:cs="Arial"/>
          <w:sz w:val="16"/>
          <w:szCs w:val="16"/>
        </w:rPr>
        <w:t>La entidad estatal podrá terminar unilateralmente el contrato o convenio en caso de incumplimiento de las obligaciones a cargo de la organización indígena.</w:t>
      </w:r>
    </w:p>
    <w:p w14:paraId="46B5FD13" w14:textId="77777777" w:rsidR="00F71265" w:rsidRPr="00F21A14" w:rsidRDefault="00F71265" w:rsidP="00F71265">
      <w:pPr>
        <w:pStyle w:val="Textonotapie"/>
        <w:ind w:firstLine="708"/>
        <w:jc w:val="both"/>
        <w:rPr>
          <w:rFonts w:ascii="Verdana" w:hAnsi="Verdana" w:cs="Arial"/>
          <w:sz w:val="16"/>
          <w:szCs w:val="16"/>
        </w:rPr>
      </w:pPr>
      <w:r w:rsidRPr="00F21A14">
        <w:rPr>
          <w:rFonts w:ascii="Verdana" w:hAnsi="Verdana" w:cs="Arial"/>
          <w:sz w:val="16"/>
          <w:szCs w:val="16"/>
        </w:rPr>
        <w:t>En estos convenios se tendrá como aporte de las organizaciones indígenas el conocimiento ancestral”.</w:t>
      </w:r>
    </w:p>
  </w:footnote>
  <w:footnote w:id="5">
    <w:p w14:paraId="4EBAA867" w14:textId="77777777" w:rsidR="00F71265" w:rsidRPr="00591347" w:rsidRDefault="00F71265" w:rsidP="00F71265">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69DB63D6" w14:textId="77777777" w:rsidR="00F71265" w:rsidRPr="00591347" w:rsidRDefault="00F71265" w:rsidP="00F71265">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20920294" w14:textId="77777777" w:rsidR="00F71265" w:rsidRPr="00591347" w:rsidRDefault="00F71265" w:rsidP="00F71265">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1C79A895" w14:textId="77777777" w:rsidR="00F71265" w:rsidRPr="00591347" w:rsidRDefault="00F71265" w:rsidP="00F71265">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0245142E" w14:textId="77777777" w:rsidR="00F71265" w:rsidRPr="00591347" w:rsidRDefault="00F71265" w:rsidP="00F71265">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2F23D718" w14:textId="77777777" w:rsidR="00F71265" w:rsidRPr="00591347" w:rsidRDefault="00F71265" w:rsidP="00F71265">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0CFF77E9" w14:textId="77777777" w:rsidR="00F71265" w:rsidRPr="00591347" w:rsidRDefault="00F71265" w:rsidP="00F71265">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6">
    <w:p w14:paraId="3FA7D500" w14:textId="77777777" w:rsidR="00F71265" w:rsidRPr="00052ACB" w:rsidRDefault="00F71265" w:rsidP="00F71265">
      <w:pPr>
        <w:pStyle w:val="NormalWeb"/>
        <w:spacing w:before="0" w:beforeAutospacing="0" w:after="0" w:afterAutospacing="0"/>
        <w:ind w:firstLine="709"/>
        <w:jc w:val="both"/>
        <w:rPr>
          <w:rFonts w:ascii="Verdana" w:hAnsi="Verdana" w:cs="Open Sans"/>
          <w:color w:val="000000" w:themeColor="text1"/>
          <w:sz w:val="16"/>
          <w:szCs w:val="16"/>
        </w:rPr>
      </w:pPr>
      <w:r>
        <w:rPr>
          <w:rStyle w:val="Refdenotaalpie"/>
        </w:rPr>
        <w:footnoteRef/>
      </w:r>
      <w:r>
        <w:t xml:space="preserve"> “</w:t>
      </w:r>
      <w:r w:rsidRPr="00052ACB">
        <w:rPr>
          <w:rFonts w:ascii="Verdana" w:hAnsi="Verdana" w:cs="Open Sans"/>
          <w:b/>
          <w:bCs/>
          <w:color w:val="000000" w:themeColor="text1"/>
          <w:sz w:val="16"/>
          <w:szCs w:val="16"/>
        </w:rPr>
        <w:t>PARÁGRAFO 1o.</w:t>
      </w:r>
      <w:r w:rsidRPr="00052ACB">
        <w:rPr>
          <w:rFonts w:ascii="Verdana" w:hAnsi="Verdana" w:cs="Open Sans"/>
          <w:color w:val="000000" w:themeColor="text1"/>
          <w:sz w:val="16"/>
          <w:szCs w:val="16"/>
        </w:rPr>
        <w:t> Además de las señaladas en la presente ley, podrán ser designadas como entidad ejecutora los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w:t>
      </w:r>
      <w:hyperlink r:id="rId5" w:anchor="INICIO" w:history="1">
        <w:r w:rsidRPr="00052ACB">
          <w:rPr>
            <w:rFonts w:ascii="Verdana" w:hAnsi="Verdana" w:cs="Open Sans"/>
            <w:color w:val="000000" w:themeColor="text1"/>
            <w:sz w:val="16"/>
            <w:szCs w:val="16"/>
          </w:rPr>
          <w:t>252</w:t>
        </w:r>
      </w:hyperlink>
      <w:r w:rsidRPr="00052ACB">
        <w:rPr>
          <w:rFonts w:ascii="Verdana" w:hAnsi="Verdana" w:cs="Open Sans"/>
          <w:color w:val="000000" w:themeColor="text1"/>
          <w:sz w:val="16"/>
          <w:szCs w:val="16"/>
        </w:rPr>
        <w:t> de 2020 o el que lo modifique o sustituya.</w:t>
      </w:r>
    </w:p>
    <w:p w14:paraId="24A3330C" w14:textId="77777777" w:rsidR="00F71265" w:rsidRPr="00052ACB" w:rsidRDefault="00F71265" w:rsidP="00F71265">
      <w:pPr>
        <w:pStyle w:val="NormalWeb"/>
        <w:spacing w:before="0" w:beforeAutospacing="0" w:after="0" w:afterAutospacing="0"/>
        <w:ind w:firstLine="709"/>
        <w:jc w:val="both"/>
        <w:rPr>
          <w:rFonts w:ascii="Verdana" w:hAnsi="Verdana" w:cs="Open Sans"/>
          <w:color w:val="000000" w:themeColor="text1"/>
          <w:sz w:val="16"/>
          <w:szCs w:val="16"/>
        </w:rPr>
      </w:pPr>
    </w:p>
    <w:p w14:paraId="23EA293B" w14:textId="05F12BF2" w:rsidR="00F71265" w:rsidRPr="00052ACB" w:rsidRDefault="00F71265" w:rsidP="00F71265">
      <w:pPr>
        <w:spacing w:after="0" w:line="240" w:lineRule="auto"/>
        <w:ind w:firstLine="709"/>
        <w:jc w:val="both"/>
        <w:rPr>
          <w:rFonts w:ascii="Open Sans" w:eastAsia="Times New Roman" w:hAnsi="Open Sans" w:cs="Open Sans"/>
          <w:color w:val="4B4949"/>
          <w:sz w:val="18"/>
          <w:szCs w:val="18"/>
          <w:lang w:eastAsia="es-CO"/>
        </w:rPr>
      </w:pPr>
      <w:r w:rsidRPr="00052ACB">
        <w:rPr>
          <w:rFonts w:ascii="Verdana" w:eastAsia="Times New Roman" w:hAnsi="Verdana" w:cs="Open Sans"/>
          <w:color w:val="000000" w:themeColor="text1"/>
          <w:sz w:val="16"/>
          <w:szCs w:val="16"/>
          <w:lang w:eastAsia="es-CO"/>
        </w:rPr>
        <w:t>La entidad ejecutora y su representante legal o quien haga sus veces serán responsables por la correcta ejecución del proyecto de inversión y reportará a Sistema de Seguimiento, Evaluación y Control del Sistema General de Regalía</w:t>
      </w:r>
      <w:r w:rsidR="00712548">
        <w:rPr>
          <w:rFonts w:ascii="Verdana" w:eastAsia="Times New Roman" w:hAnsi="Verdana" w:cs="Open Sans"/>
          <w:color w:val="000000" w:themeColor="text1"/>
          <w:sz w:val="16"/>
          <w:szCs w:val="16"/>
          <w:lang w:eastAsia="es-CO"/>
        </w:rPr>
        <w:t>s</w:t>
      </w:r>
      <w:r w:rsidRPr="00052ACB">
        <w:rPr>
          <w:rFonts w:ascii="Verdana" w:eastAsia="Times New Roman" w:hAnsi="Verdana" w:cs="Open Sans"/>
          <w:color w:val="000000" w:themeColor="text1"/>
          <w:sz w:val="16"/>
          <w:szCs w:val="16"/>
          <w:lang w:eastAsia="es-CO"/>
        </w:rPr>
        <w:t xml:space="preserve"> los actos, hechos u omisiones que puedan constituir una presunta irregularidad e incumplimiento en la ejecución de los proyectos de inversión</w:t>
      </w:r>
      <w:r>
        <w:rPr>
          <w:rFonts w:ascii="Verdana" w:eastAsia="Times New Roman" w:hAnsi="Verdana" w:cs="Open Sans"/>
          <w:color w:val="000000" w:themeColor="text1"/>
          <w:sz w:val="16"/>
          <w:szCs w:val="16"/>
          <w:lang w:eastAsia="es-CO"/>
        </w:rPr>
        <w:t>”</w:t>
      </w:r>
      <w:r w:rsidRPr="00052ACB">
        <w:rPr>
          <w:rFonts w:ascii="Verdana" w:eastAsia="Times New Roman" w:hAnsi="Verdana" w:cs="Open Sans"/>
          <w:color w:val="000000" w:themeColor="text1"/>
          <w:sz w:val="16"/>
          <w:szCs w:val="16"/>
          <w:lang w:eastAsia="es-CO"/>
        </w:rPr>
        <w:t>.</w:t>
      </w:r>
    </w:p>
  </w:footnote>
  <w:footnote w:id="7">
    <w:p w14:paraId="693C760D" w14:textId="77777777" w:rsidR="00F71265" w:rsidRPr="00F21A14" w:rsidRDefault="00F71265" w:rsidP="00F71265">
      <w:pPr>
        <w:pStyle w:val="Textonotapie"/>
        <w:ind w:firstLine="709"/>
        <w:jc w:val="both"/>
        <w:rPr>
          <w:rFonts w:ascii="Verdana" w:hAnsi="Verdana"/>
          <w:sz w:val="16"/>
          <w:szCs w:val="16"/>
          <w:lang w:val="es-CO"/>
        </w:rPr>
      </w:pPr>
      <w:r w:rsidRPr="00F21A14">
        <w:rPr>
          <w:rStyle w:val="Refdenotaalpie"/>
          <w:rFonts w:ascii="Verdana" w:hAnsi="Verdana"/>
          <w:sz w:val="16"/>
          <w:szCs w:val="16"/>
        </w:rPr>
        <w:footnoteRef/>
      </w:r>
      <w:r w:rsidRPr="00F21A14">
        <w:rPr>
          <w:rFonts w:ascii="Verdana" w:hAnsi="Verdana"/>
          <w:sz w:val="16"/>
          <w:szCs w:val="16"/>
        </w:rPr>
        <w:t xml:space="preserve"> Corte Constitucional. Sentencia T- 172 del 2019. M.P: Gloria Stella Ortiz Delgado. </w:t>
      </w:r>
    </w:p>
  </w:footnote>
  <w:footnote w:id="8">
    <w:p w14:paraId="4F89C4B6" w14:textId="77777777" w:rsidR="00F71265" w:rsidRPr="00DD6A5A" w:rsidRDefault="00F71265" w:rsidP="00F71265">
      <w:pPr>
        <w:pStyle w:val="Textonotapie"/>
        <w:ind w:firstLine="709"/>
        <w:jc w:val="both"/>
        <w:rPr>
          <w:lang w:val="es-CO"/>
        </w:rPr>
      </w:pPr>
      <w:r>
        <w:rPr>
          <w:rStyle w:val="Refdenotaalpie"/>
        </w:rPr>
        <w:footnoteRef/>
      </w:r>
      <w:r>
        <w:t xml:space="preserve"> </w:t>
      </w:r>
      <w:r>
        <w:rPr>
          <w:rFonts w:ascii="Verdana" w:eastAsia="Calibri" w:hAnsi="Verdana" w:cs="Arial"/>
          <w:color w:val="000000" w:themeColor="text1"/>
          <w:sz w:val="16"/>
          <w:szCs w:val="16"/>
          <w:lang w:eastAsia="es-ES"/>
        </w:rPr>
        <w:t xml:space="preserve">Ibidem </w:t>
      </w:r>
    </w:p>
  </w:footnote>
  <w:footnote w:id="9">
    <w:p w14:paraId="734C5AD9" w14:textId="77777777" w:rsidR="00F71265" w:rsidRPr="001A370E" w:rsidRDefault="00F71265" w:rsidP="00F71265">
      <w:pPr>
        <w:pStyle w:val="Textonotapie"/>
        <w:ind w:firstLine="709"/>
        <w:jc w:val="both"/>
        <w:rPr>
          <w:lang w:val="es-CO"/>
        </w:rPr>
      </w:pPr>
      <w:r>
        <w:rPr>
          <w:rStyle w:val="Refdenotaalpie"/>
        </w:rPr>
        <w:footnoteRef/>
      </w:r>
      <w:r>
        <w:t xml:space="preserve"> </w:t>
      </w:r>
      <w:r w:rsidRPr="001A370E">
        <w:rPr>
          <w:rFonts w:ascii="Verdana" w:hAnsi="Verdana"/>
          <w:sz w:val="16"/>
          <w:szCs w:val="16"/>
        </w:rPr>
        <w:t xml:space="preserve">Resta aclarar que, conforme lo indicó el Consejo de Estado, “La Ley 2056 de 2020 </w:t>
      </w:r>
      <w:r w:rsidRPr="00B261E4">
        <w:rPr>
          <w:rFonts w:ascii="Verdana" w:hAnsi="Verdana"/>
          <w:i/>
          <w:iCs/>
          <w:sz w:val="16"/>
          <w:szCs w:val="16"/>
        </w:rPr>
        <w:t xml:space="preserve">solo introdujo una regla contractual especial y distinta al </w:t>
      </w:r>
      <w:r w:rsidRPr="001A370E">
        <w:rPr>
          <w:rFonts w:ascii="Verdana" w:hAnsi="Verdana"/>
          <w:sz w:val="16"/>
          <w:szCs w:val="16"/>
        </w:rPr>
        <w:t>régimen de contratación pública, cuando en el inciso cuarto de 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r>
        <w:rPr>
          <w:rFonts w:ascii="Verdana" w:hAnsi="Verdana"/>
          <w:sz w:val="16"/>
          <w:szCs w:val="16"/>
        </w:rPr>
        <w:t xml:space="preserve"> Ibidem </w:t>
      </w:r>
    </w:p>
  </w:footnote>
  <w:footnote w:id="10">
    <w:p w14:paraId="4A3EA4DF" w14:textId="77777777" w:rsidR="00C65F3A" w:rsidRPr="00EE4BC2" w:rsidRDefault="00C65F3A" w:rsidP="00C65F3A">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6047D40E" w14:textId="77777777" w:rsidR="00C65F3A" w:rsidRPr="0036147A" w:rsidRDefault="00C65F3A" w:rsidP="00C65F3A">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1">
    <w:p w14:paraId="3E9EFD25" w14:textId="77777777" w:rsidR="00C65F3A" w:rsidRPr="00EE4BC2" w:rsidRDefault="00C65F3A" w:rsidP="00C65F3A">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74624908" w14:textId="77777777" w:rsidR="00C65F3A" w:rsidRPr="00EE4BC2" w:rsidRDefault="00C65F3A" w:rsidP="00C65F3A">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7998BAE1" w14:textId="77777777" w:rsidR="00C65F3A" w:rsidRPr="00EE4BC2" w:rsidRDefault="00C65F3A" w:rsidP="00C65F3A">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7346370E" w14:textId="77777777" w:rsidR="00C65F3A" w:rsidRPr="00EE4BC2" w:rsidRDefault="00C65F3A" w:rsidP="00C65F3A">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2">
    <w:p w14:paraId="67BB14E3" w14:textId="77777777" w:rsidR="00C65F3A" w:rsidRPr="00CF531C" w:rsidRDefault="00C65F3A" w:rsidP="00C65F3A">
      <w:pPr>
        <w:pStyle w:val="Textonotapie"/>
        <w:ind w:firstLine="709"/>
        <w:jc w:val="both"/>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3">
    <w:p w14:paraId="0F1D2B99" w14:textId="77777777" w:rsidR="00C65F3A" w:rsidRDefault="00C65F3A" w:rsidP="00C65F3A">
      <w:pPr>
        <w:pStyle w:val="Textonotapie"/>
        <w:ind w:firstLine="709"/>
        <w:jc w:val="both"/>
        <w:rPr>
          <w:lang w:val="es-CO"/>
        </w:rPr>
      </w:pPr>
      <w:r>
        <w:rPr>
          <w:rStyle w:val="Refdenotaalpie"/>
        </w:rPr>
        <w:footnoteRef/>
      </w:r>
      <w:r>
        <w:rPr>
          <w:rFonts w:ascii="Verdana" w:eastAsia="Calibri" w:hAnsi="Verdana" w:cs="Arial"/>
          <w:color w:val="000000" w:themeColor="text1"/>
          <w:sz w:val="16"/>
          <w:szCs w:val="16"/>
          <w:lang w:eastAsia="es-ES"/>
        </w:rPr>
        <w:t xml:space="preserve"> Ley 1150 de 2007, artículo 2, numeral 4, literal l), adicionado por la Ley 2160 de 2021: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footnote>
  <w:footnote w:id="14">
    <w:p w14:paraId="6D1E4BF8" w14:textId="77777777" w:rsidR="00C65F3A" w:rsidRDefault="00C65F3A" w:rsidP="00C65F3A">
      <w:pPr>
        <w:pStyle w:val="Textonotapie"/>
        <w:ind w:firstLine="709"/>
        <w:jc w:val="both"/>
        <w:rPr>
          <w:lang w:val="es-CO"/>
        </w:rPr>
      </w:pPr>
      <w:r>
        <w:rPr>
          <w:rStyle w:val="Refdenotaalpie"/>
        </w:rPr>
        <w:footnoteRef/>
      </w:r>
      <w:r>
        <w:rPr>
          <w:rFonts w:ascii="Verdana" w:eastAsia="Calibri" w:hAnsi="Verdana" w:cs="Arial"/>
          <w:color w:val="000000" w:themeColor="text1"/>
          <w:sz w:val="16"/>
          <w:szCs w:val="16"/>
          <w:lang w:eastAsia="es-ES"/>
        </w:rPr>
        <w:t xml:space="preserve"> Consejo de Estado. Sala de lo Contencioso Administrativo. Sección Tercera, Subsección A. Sentencia del 20 de abril de 2026. Rad. 63001-23-33-000-2022-00058-01 (72477). C.P.: Fernando Alexei Pardo Flórez. La Sala confirmó la nulidad absoluta, por objeto ilícito, de un contrato interadministrativo de obra celebrado con una empresa cuyo objeto social no comprendía la construcción de obras civiles y que trasladó a terceros la ejecución material: “[…] el objeto del contrato […] no guardó correspondencia directa con el de la EDUA […]”; “[…] el objeto social de la demandada no comprendía la construcción de obras civiles, a tal punto, que debió recurrir a terceros para desarrollar la obra contratada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12.3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56381677">
    <w:abstractNumId w:val="0"/>
  </w:num>
  <w:num w:numId="17" w16cid:durableId="725688978">
    <w:abstractNumId w:val="9"/>
  </w:num>
  <w:num w:numId="18" w16cid:durableId="1165558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BDA"/>
    <w:rsid w:val="00040839"/>
    <w:rsid w:val="00043A19"/>
    <w:rsid w:val="00046945"/>
    <w:rsid w:val="00061B2A"/>
    <w:rsid w:val="000708C6"/>
    <w:rsid w:val="000769B1"/>
    <w:rsid w:val="00082362"/>
    <w:rsid w:val="00085CE8"/>
    <w:rsid w:val="000A683E"/>
    <w:rsid w:val="000B19B9"/>
    <w:rsid w:val="000D0334"/>
    <w:rsid w:val="000D531E"/>
    <w:rsid w:val="000D5DA7"/>
    <w:rsid w:val="000E450D"/>
    <w:rsid w:val="000F6486"/>
    <w:rsid w:val="00113768"/>
    <w:rsid w:val="00116940"/>
    <w:rsid w:val="00125105"/>
    <w:rsid w:val="00127233"/>
    <w:rsid w:val="0015699B"/>
    <w:rsid w:val="0018160A"/>
    <w:rsid w:val="00193B51"/>
    <w:rsid w:val="001A33BF"/>
    <w:rsid w:val="001D22D5"/>
    <w:rsid w:val="001D3790"/>
    <w:rsid w:val="001E4177"/>
    <w:rsid w:val="001F0B24"/>
    <w:rsid w:val="001F7DC6"/>
    <w:rsid w:val="00213A27"/>
    <w:rsid w:val="00214195"/>
    <w:rsid w:val="00221EFA"/>
    <w:rsid w:val="0022400B"/>
    <w:rsid w:val="002421BB"/>
    <w:rsid w:val="0025796E"/>
    <w:rsid w:val="00263152"/>
    <w:rsid w:val="002707A2"/>
    <w:rsid w:val="002951A0"/>
    <w:rsid w:val="002962BC"/>
    <w:rsid w:val="002A093D"/>
    <w:rsid w:val="002A0DD0"/>
    <w:rsid w:val="002A49AC"/>
    <w:rsid w:val="002A64FD"/>
    <w:rsid w:val="002C7A84"/>
    <w:rsid w:val="002D6FAB"/>
    <w:rsid w:val="002E2BF8"/>
    <w:rsid w:val="002E4FD9"/>
    <w:rsid w:val="002F20A4"/>
    <w:rsid w:val="00304665"/>
    <w:rsid w:val="0030657A"/>
    <w:rsid w:val="00316551"/>
    <w:rsid w:val="00322A85"/>
    <w:rsid w:val="00324168"/>
    <w:rsid w:val="00330834"/>
    <w:rsid w:val="003448F4"/>
    <w:rsid w:val="00357AB3"/>
    <w:rsid w:val="00374F5E"/>
    <w:rsid w:val="0037643A"/>
    <w:rsid w:val="00377E3E"/>
    <w:rsid w:val="0039422D"/>
    <w:rsid w:val="003A779E"/>
    <w:rsid w:val="003B6C8E"/>
    <w:rsid w:val="003D0F4D"/>
    <w:rsid w:val="003D5B0D"/>
    <w:rsid w:val="003E0499"/>
    <w:rsid w:val="003E4F80"/>
    <w:rsid w:val="003E5EAD"/>
    <w:rsid w:val="003E6439"/>
    <w:rsid w:val="003F3941"/>
    <w:rsid w:val="00401F46"/>
    <w:rsid w:val="00406575"/>
    <w:rsid w:val="00407F5F"/>
    <w:rsid w:val="00414C74"/>
    <w:rsid w:val="00417FBF"/>
    <w:rsid w:val="0042722E"/>
    <w:rsid w:val="0044528D"/>
    <w:rsid w:val="00466E39"/>
    <w:rsid w:val="00477E42"/>
    <w:rsid w:val="00485762"/>
    <w:rsid w:val="004A1847"/>
    <w:rsid w:val="004A305D"/>
    <w:rsid w:val="004D58F1"/>
    <w:rsid w:val="004F21C4"/>
    <w:rsid w:val="004F685F"/>
    <w:rsid w:val="0050144A"/>
    <w:rsid w:val="00512511"/>
    <w:rsid w:val="00535AC3"/>
    <w:rsid w:val="005566E8"/>
    <w:rsid w:val="00574867"/>
    <w:rsid w:val="00591460"/>
    <w:rsid w:val="00593E34"/>
    <w:rsid w:val="005A65E0"/>
    <w:rsid w:val="005C3777"/>
    <w:rsid w:val="005C5CDC"/>
    <w:rsid w:val="005D476C"/>
    <w:rsid w:val="005E6CF6"/>
    <w:rsid w:val="00614919"/>
    <w:rsid w:val="006200BF"/>
    <w:rsid w:val="006219F8"/>
    <w:rsid w:val="006302F7"/>
    <w:rsid w:val="00646B9F"/>
    <w:rsid w:val="00665D70"/>
    <w:rsid w:val="00680536"/>
    <w:rsid w:val="006900D9"/>
    <w:rsid w:val="00690988"/>
    <w:rsid w:val="006D049B"/>
    <w:rsid w:val="006E2328"/>
    <w:rsid w:val="00702150"/>
    <w:rsid w:val="00706C16"/>
    <w:rsid w:val="00712548"/>
    <w:rsid w:val="00733557"/>
    <w:rsid w:val="007340C3"/>
    <w:rsid w:val="0075235A"/>
    <w:rsid w:val="00756841"/>
    <w:rsid w:val="007649AB"/>
    <w:rsid w:val="00771D0C"/>
    <w:rsid w:val="007833AC"/>
    <w:rsid w:val="007B268C"/>
    <w:rsid w:val="007B7171"/>
    <w:rsid w:val="007C0C0F"/>
    <w:rsid w:val="007C3DC2"/>
    <w:rsid w:val="007E4BE6"/>
    <w:rsid w:val="007E5497"/>
    <w:rsid w:val="007F77BF"/>
    <w:rsid w:val="00806F5F"/>
    <w:rsid w:val="00816969"/>
    <w:rsid w:val="00820278"/>
    <w:rsid w:val="00820CF9"/>
    <w:rsid w:val="008258C9"/>
    <w:rsid w:val="00844AE9"/>
    <w:rsid w:val="00852289"/>
    <w:rsid w:val="00867719"/>
    <w:rsid w:val="00867F95"/>
    <w:rsid w:val="008843B6"/>
    <w:rsid w:val="00891928"/>
    <w:rsid w:val="00897BED"/>
    <w:rsid w:val="008A446D"/>
    <w:rsid w:val="008B25F1"/>
    <w:rsid w:val="008D180B"/>
    <w:rsid w:val="008D4F96"/>
    <w:rsid w:val="008F0EA7"/>
    <w:rsid w:val="009048C2"/>
    <w:rsid w:val="00923EEF"/>
    <w:rsid w:val="009419F9"/>
    <w:rsid w:val="00951BC8"/>
    <w:rsid w:val="0095685E"/>
    <w:rsid w:val="00961B09"/>
    <w:rsid w:val="009644A1"/>
    <w:rsid w:val="00965334"/>
    <w:rsid w:val="00967BF4"/>
    <w:rsid w:val="0097093E"/>
    <w:rsid w:val="00985D0F"/>
    <w:rsid w:val="009A0DFA"/>
    <w:rsid w:val="009A1C6F"/>
    <w:rsid w:val="009B2D26"/>
    <w:rsid w:val="009C0860"/>
    <w:rsid w:val="009C71FA"/>
    <w:rsid w:val="009C72E7"/>
    <w:rsid w:val="009C7F7E"/>
    <w:rsid w:val="009D3058"/>
    <w:rsid w:val="009E0729"/>
    <w:rsid w:val="009F3A13"/>
    <w:rsid w:val="009F6F2C"/>
    <w:rsid w:val="00A122D3"/>
    <w:rsid w:val="00A14468"/>
    <w:rsid w:val="00A17F13"/>
    <w:rsid w:val="00A20739"/>
    <w:rsid w:val="00A23AF9"/>
    <w:rsid w:val="00A33807"/>
    <w:rsid w:val="00A33C78"/>
    <w:rsid w:val="00A44C8C"/>
    <w:rsid w:val="00A85426"/>
    <w:rsid w:val="00AB0ADB"/>
    <w:rsid w:val="00AE4D1B"/>
    <w:rsid w:val="00B00C0E"/>
    <w:rsid w:val="00B01B1A"/>
    <w:rsid w:val="00B0381D"/>
    <w:rsid w:val="00B0735C"/>
    <w:rsid w:val="00B44A47"/>
    <w:rsid w:val="00B67823"/>
    <w:rsid w:val="00B72CD3"/>
    <w:rsid w:val="00B72FFF"/>
    <w:rsid w:val="00B80A8E"/>
    <w:rsid w:val="00B86E9E"/>
    <w:rsid w:val="00BC1F82"/>
    <w:rsid w:val="00BC3D36"/>
    <w:rsid w:val="00BD54A6"/>
    <w:rsid w:val="00BD7F72"/>
    <w:rsid w:val="00BF7425"/>
    <w:rsid w:val="00C04FB3"/>
    <w:rsid w:val="00C11D8B"/>
    <w:rsid w:val="00C15139"/>
    <w:rsid w:val="00C23A72"/>
    <w:rsid w:val="00C330EB"/>
    <w:rsid w:val="00C33782"/>
    <w:rsid w:val="00C50D69"/>
    <w:rsid w:val="00C5365C"/>
    <w:rsid w:val="00C65F3A"/>
    <w:rsid w:val="00C754BE"/>
    <w:rsid w:val="00C76B1C"/>
    <w:rsid w:val="00C925AC"/>
    <w:rsid w:val="00CB6357"/>
    <w:rsid w:val="00CC1B26"/>
    <w:rsid w:val="00CD19EA"/>
    <w:rsid w:val="00CD645D"/>
    <w:rsid w:val="00CE058E"/>
    <w:rsid w:val="00CE1668"/>
    <w:rsid w:val="00CE6703"/>
    <w:rsid w:val="00CF23FB"/>
    <w:rsid w:val="00D361FD"/>
    <w:rsid w:val="00D423A2"/>
    <w:rsid w:val="00D44E26"/>
    <w:rsid w:val="00D520D8"/>
    <w:rsid w:val="00D63AC2"/>
    <w:rsid w:val="00D7383B"/>
    <w:rsid w:val="00D7788A"/>
    <w:rsid w:val="00DA231B"/>
    <w:rsid w:val="00DC39FC"/>
    <w:rsid w:val="00DF5254"/>
    <w:rsid w:val="00E02524"/>
    <w:rsid w:val="00E0640D"/>
    <w:rsid w:val="00E071F4"/>
    <w:rsid w:val="00E16408"/>
    <w:rsid w:val="00E20894"/>
    <w:rsid w:val="00E245AB"/>
    <w:rsid w:val="00E2764C"/>
    <w:rsid w:val="00E27F2E"/>
    <w:rsid w:val="00E50AFE"/>
    <w:rsid w:val="00E5497A"/>
    <w:rsid w:val="00E75C92"/>
    <w:rsid w:val="00E771DC"/>
    <w:rsid w:val="00E8772A"/>
    <w:rsid w:val="00E90F6B"/>
    <w:rsid w:val="00E92C27"/>
    <w:rsid w:val="00EA0E3D"/>
    <w:rsid w:val="00EC38A7"/>
    <w:rsid w:val="00EE0541"/>
    <w:rsid w:val="00EE1AA8"/>
    <w:rsid w:val="00EF136C"/>
    <w:rsid w:val="00F2211D"/>
    <w:rsid w:val="00F23FEA"/>
    <w:rsid w:val="00F319F9"/>
    <w:rsid w:val="00F31EDC"/>
    <w:rsid w:val="00F421D7"/>
    <w:rsid w:val="00F462B3"/>
    <w:rsid w:val="00F5664F"/>
    <w:rsid w:val="00F666C4"/>
    <w:rsid w:val="00F71265"/>
    <w:rsid w:val="00F76AFC"/>
    <w:rsid w:val="00FA40A4"/>
    <w:rsid w:val="00FA47C0"/>
    <w:rsid w:val="00FB5DD1"/>
    <w:rsid w:val="00FC2B5D"/>
    <w:rsid w:val="00FF1449"/>
    <w:rsid w:val="00FF7963"/>
    <w:rsid w:val="035DACED"/>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BE6"/>
    <w:rPr>
      <w:rFonts w:ascii="Geomanist Light" w:hAnsi="Geomanist Light"/>
      <w:lang w:val="es-ES"/>
    </w:rPr>
  </w:style>
  <w:style w:type="paragraph" w:customStyle="1" w:styleId="Appelnotedebasde">
    <w:name w:val="Appel note de bas de..."/>
    <w:basedOn w:val="Normal"/>
    <w:link w:val="Refdenotaalpie"/>
    <w:uiPriority w:val="99"/>
    <w:rsid w:val="00F71265"/>
    <w:pPr>
      <w:spacing w:line="240" w:lineRule="exact"/>
    </w:pPr>
    <w:rPr>
      <w:vertAlign w:val="superscript"/>
    </w:rPr>
  </w:style>
  <w:style w:type="character" w:customStyle="1" w:styleId="NormalWebCar">
    <w:name w:val="Normal (Web) Car"/>
    <w:link w:val="NormalWeb"/>
    <w:uiPriority w:val="99"/>
    <w:rsid w:val="00F7126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secretariasenado.gov.co/senado/basedoc/decreto_0252_2020.html" TargetMode="External"/><Relationship Id="rId17"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anciscoferia14@yahoo.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www.secretariasenado.gov.co/senado/basedoc/decreto_0252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3E15EA0-F876-4F0F-BD84-F1B55210B68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28</Pages>
  <Words>9810</Words>
  <Characters>53956</Characters>
  <Application>Microsoft Office Word</Application>
  <DocSecurity>0</DocSecurity>
  <Lines>449</Lines>
  <Paragraphs>127</Paragraphs>
  <ScaleCrop>false</ScaleCrop>
  <Company/>
  <LinksUpToDate>false</LinksUpToDate>
  <CharactersWithSpaces>63639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39</cp:revision>
  <cp:lastPrinted>2023-01-10T21:18:00Z</cp:lastPrinted>
  <dcterms:created xsi:type="dcterms:W3CDTF">2026-11-04T03:50:00Z</dcterms:created>
  <dcterms:modified xsi:type="dcterms:W3CDTF">2026-11-04T03:54:00Z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623c478,36737969,32f78113</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2026-11-04T03:49:12Z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bab3c497-41d8-4ff1-9510-7e7f4bb0a995</vt:lpwstr>
  </property>
  <property fmtid="{D5CDD505-2E9C-101B-9397-08002B2CF9AE}" pid="13" name="MSIP_Label_a4b7c6c0-63aa-4c48-857c-972cf4a47d5d_ContentBits">
    <vt:lpwstr>2</vt:lpwstr>
  </property>
  <property fmtid="{D5CDD505-2E9C-101B-9397-08002B2CF9AE}" pid="14" name="MSIP_Label_a4b7c6c0-63aa-4c48-857c-972cf4a47d5d_Tag">
    <vt:lpwstr>10, 3, 0, 1</vt:lpwstr>
  </property>
</Properties>
</file>