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A0DE" w14:textId="77777777" w:rsidR="00F2549E" w:rsidRPr="00F2549E" w:rsidRDefault="00F2549E" w:rsidP="00F2549E">
      <w:pPr>
        <w:spacing w:after="0"/>
        <w:rPr>
          <w:rFonts w:ascii="Verdana" w:eastAsia="Aptos" w:hAnsi="Verdana" w:cs="Times New Roman"/>
        </w:rPr>
      </w:pPr>
      <w:bookmarkStart w:id="0" w:name="_Hlk143780582"/>
      <w:r w:rsidRPr="00F2549E">
        <w:rPr>
          <w:rFonts w:ascii="Verdana" w:eastAsia="Aptos" w:hAnsi="Verdana" w:cs="Times New Roman"/>
          <w:b/>
          <w:bCs/>
          <w:color w:val="000000"/>
        </w:rPr>
        <w:t xml:space="preserve">DOCUMENTOS TIPO – Fundamento normativo – Obligatoriedad </w:t>
      </w:r>
    </w:p>
    <w:p w14:paraId="2B854C93" w14:textId="77777777" w:rsidR="00F2549E" w:rsidRPr="00F2549E" w:rsidRDefault="00F2549E" w:rsidP="00F2549E">
      <w:pPr>
        <w:spacing w:after="0" w:line="276" w:lineRule="auto"/>
        <w:jc w:val="both"/>
        <w:rPr>
          <w:rFonts w:ascii="Verdana" w:eastAsia="Calibri" w:hAnsi="Verdana" w:cs="Arial"/>
          <w:b/>
          <w:bCs/>
          <w:sz w:val="20"/>
          <w:szCs w:val="20"/>
          <w:lang w:val="es-ES_tradnl"/>
        </w:rPr>
      </w:pPr>
    </w:p>
    <w:p w14:paraId="33D77AD8" w14:textId="65216235" w:rsidR="00F2549E" w:rsidRPr="00F2549E" w:rsidRDefault="00F2549E" w:rsidP="00F2549E">
      <w:pPr>
        <w:snapToGrid w:val="0"/>
        <w:spacing w:after="0" w:line="240" w:lineRule="auto"/>
        <w:jc w:val="both"/>
        <w:rPr>
          <w:rFonts w:ascii="Verdana" w:eastAsia="Times New Roman" w:hAnsi="Verdana" w:cs="Arial"/>
          <w:sz w:val="20"/>
          <w:szCs w:val="20"/>
          <w:shd w:val="clear" w:color="auto" w:fill="FFFFFF"/>
          <w:lang w:val="es-ES" w:eastAsia="es-ES"/>
        </w:rPr>
      </w:pPr>
      <w:r w:rsidRPr="140107B1">
        <w:rPr>
          <w:rFonts w:ascii="Verdana" w:eastAsia="Times New Roman" w:hAnsi="Verdana" w:cs="Arial"/>
          <w:sz w:val="20"/>
          <w:szCs w:val="20"/>
          <w:shd w:val="clear" w:color="auto" w:fill="FFFFFF"/>
          <w:lang w:val="es-ES" w:eastAsia="es-ES"/>
        </w:rPr>
        <w:t xml:space="preserve">Los documentos tipo expedidos por la Agencia Nacional de Contratación Pública </w:t>
      </w:r>
      <w:r w:rsidRPr="140107B1">
        <w:rPr>
          <w:rFonts w:ascii="Verdana" w:eastAsia="Symbol" w:hAnsi="Verdana" w:cs="Symbol"/>
          <w:sz w:val="20"/>
          <w:szCs w:val="20"/>
          <w:shd w:val="clear" w:color="auto" w:fill="FFFFFF"/>
          <w:lang w:val="es-ES" w:eastAsia="es-ES"/>
        </w:rPr>
        <w:t>-</w:t>
      </w:r>
      <w:r w:rsidRPr="140107B1">
        <w:rPr>
          <w:rFonts w:ascii="Verdana" w:eastAsia="Times New Roman" w:hAnsi="Verdana" w:cs="Arial"/>
          <w:sz w:val="20"/>
          <w:szCs w:val="20"/>
          <w:shd w:val="clear" w:color="auto" w:fill="FFFFFF"/>
          <w:lang w:val="es-ES" w:eastAsia="es-ES"/>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6C908955" w14:textId="77777777" w:rsidR="00F2549E" w:rsidRPr="00F2549E" w:rsidRDefault="00F2549E" w:rsidP="00F2549E">
      <w:pPr>
        <w:spacing w:after="0" w:line="276" w:lineRule="auto"/>
        <w:jc w:val="both"/>
        <w:rPr>
          <w:rFonts w:ascii="Verdana" w:eastAsia="Geomanist Light" w:hAnsi="Verdana" w:cs="Arial"/>
          <w:highlight w:val="yellow"/>
          <w:lang w:val="es-ES_tradnl"/>
        </w:rPr>
      </w:pPr>
    </w:p>
    <w:p w14:paraId="7FF16C0C" w14:textId="77777777" w:rsidR="00F2549E" w:rsidRPr="00F2549E" w:rsidRDefault="00F2549E" w:rsidP="00F2549E">
      <w:pPr>
        <w:spacing w:after="0"/>
        <w:jc w:val="both"/>
        <w:rPr>
          <w:rFonts w:ascii="Verdana" w:eastAsia="Aptos" w:hAnsi="Verdana" w:cs="Times New Roman"/>
          <w:b/>
          <w:bCs/>
          <w:color w:val="000000"/>
        </w:rPr>
      </w:pPr>
      <w:r w:rsidRPr="00F2549E">
        <w:rPr>
          <w:rFonts w:ascii="Verdana" w:eastAsia="Aptos" w:hAnsi="Verdana" w:cs="Times New Roman"/>
          <w:b/>
          <w:bCs/>
          <w:color w:val="000000"/>
        </w:rPr>
        <w:t>EXPERIENCIA – Acreditación − Documentos tipo − Licitación de obra pública – Infraestructura – Agua potable y saneamiento básico</w:t>
      </w:r>
    </w:p>
    <w:p w14:paraId="6BCB1765" w14:textId="77777777" w:rsidR="00F2549E" w:rsidRPr="00F2549E" w:rsidRDefault="00F2549E" w:rsidP="00F2549E">
      <w:pPr>
        <w:tabs>
          <w:tab w:val="left" w:pos="0"/>
        </w:tabs>
        <w:spacing w:after="0" w:line="240" w:lineRule="auto"/>
        <w:ind w:left="11"/>
        <w:jc w:val="both"/>
        <w:rPr>
          <w:rFonts w:ascii="Arial" w:eastAsia="Aptos" w:hAnsi="Arial" w:cs="Arial"/>
          <w:b/>
          <w:bCs/>
          <w:color w:val="000000"/>
          <w:kern w:val="2"/>
          <w:sz w:val="24"/>
          <w:szCs w:val="24"/>
          <w14:ligatures w14:val="standardContextual"/>
        </w:rPr>
      </w:pPr>
    </w:p>
    <w:p w14:paraId="694D7473" w14:textId="77777777" w:rsidR="00F2549E" w:rsidRPr="00F2549E" w:rsidRDefault="00F2549E" w:rsidP="00F2549E">
      <w:pPr>
        <w:spacing w:after="0" w:line="240" w:lineRule="auto"/>
        <w:jc w:val="both"/>
        <w:rPr>
          <w:rFonts w:ascii="Verdana" w:eastAsia="Calibri" w:hAnsi="Verdana" w:cs="Arial"/>
          <w:kern w:val="2"/>
          <w:sz w:val="20"/>
          <w:szCs w:val="20"/>
          <w14:ligatures w14:val="standardContextual"/>
        </w:rPr>
      </w:pPr>
      <w:r w:rsidRPr="00F2549E">
        <w:rPr>
          <w:rFonts w:ascii="Verdana" w:eastAsia="Aptos" w:hAnsi="Verdana" w:cs="Arial"/>
          <w:sz w:val="20"/>
          <w:szCs w:val="20"/>
          <w:lang w:val="es-ES"/>
        </w:rPr>
        <w:t xml:space="preserve">La parte introductoria del pliego de condiciones de los documentos tipo adoptados mediante la Resolución 248 de 2020 dispone que estos se </w:t>
      </w:r>
      <w:r w:rsidRPr="00F2549E">
        <w:rPr>
          <w:rFonts w:ascii="Verdana" w:eastAsia="Arial" w:hAnsi="Verdana" w:cs="Arial"/>
          <w:sz w:val="20"/>
          <w:szCs w:val="20"/>
        </w:rPr>
        <w:t>aplican a los procesos de licitación de obra pública de infraestructura para agua potable y saneamiento básico, que correspondan a las actividades definidas en la Matriz 1 – Experiencia</w:t>
      </w:r>
      <w:r w:rsidRPr="00F2549E">
        <w:rPr>
          <w:rFonts w:ascii="Verdana" w:eastAsia="Aptos" w:hAnsi="Verdana" w:cs="Arial"/>
          <w:sz w:val="20"/>
          <w:szCs w:val="20"/>
          <w:lang w:val="es-ES"/>
        </w:rPr>
        <w:t xml:space="preserve">. </w:t>
      </w:r>
      <w:r w:rsidRPr="00F2549E">
        <w:rPr>
          <w:rFonts w:ascii="Verdana" w:eastAsia="Arial" w:hAnsi="Verdana" w:cs="Arial"/>
          <w:sz w:val="20"/>
          <w:szCs w:val="20"/>
        </w:rPr>
        <w:t>En consecuencia, los proyectos de agua potable y saneamiento básico no contemplados en la Matriz 1 – Experiencia no tienen que aplicar los documentos tipo, sin perjuicio de lo previsto en el artículo 4 de la Resolución 248 de 2020</w:t>
      </w:r>
      <w:r w:rsidRPr="00F2549E">
        <w:rPr>
          <w:rFonts w:ascii="Verdana" w:eastAsia="Aptos" w:hAnsi="Verdana" w:cs="Arial"/>
          <w:sz w:val="20"/>
          <w:szCs w:val="20"/>
          <w:lang w:val="es-ES"/>
        </w:rPr>
        <w:t>, relacionado con la posibilidad de exigir experiencia adicional en determinados supuestos.</w:t>
      </w:r>
    </w:p>
    <w:p w14:paraId="5B795C3B" w14:textId="77777777" w:rsidR="00F2549E" w:rsidRPr="00F2549E" w:rsidRDefault="00F2549E" w:rsidP="00F2549E">
      <w:pPr>
        <w:spacing w:after="0" w:line="240" w:lineRule="auto"/>
        <w:jc w:val="both"/>
        <w:rPr>
          <w:rFonts w:ascii="Verdana" w:eastAsia="Calibri" w:hAnsi="Verdana" w:cs="Arial"/>
          <w:kern w:val="2"/>
          <w:sz w:val="20"/>
          <w:szCs w:val="20"/>
          <w14:ligatures w14:val="standardContextual"/>
        </w:rPr>
      </w:pPr>
    </w:p>
    <w:p w14:paraId="59D43852" w14:textId="77777777" w:rsidR="00F2549E" w:rsidRPr="00F2549E" w:rsidRDefault="00F2549E" w:rsidP="00F2549E">
      <w:pPr>
        <w:spacing w:after="0" w:line="240" w:lineRule="auto"/>
        <w:jc w:val="both"/>
        <w:rPr>
          <w:rFonts w:ascii="Verdana" w:eastAsia="Aptos" w:hAnsi="Verdana" w:cs="Arial"/>
          <w:sz w:val="20"/>
          <w:szCs w:val="20"/>
          <w:lang w:val="es-MX"/>
        </w:rPr>
      </w:pPr>
      <w:r w:rsidRPr="00F2549E">
        <w:rPr>
          <w:rFonts w:ascii="Verdana" w:eastAsia="Calibri" w:hAnsi="Verdana" w:cs="Arial"/>
          <w:kern w:val="2"/>
          <w:sz w:val="20"/>
          <w:szCs w:val="20"/>
          <w14:ligatures w14:val="standardContextual"/>
        </w:rPr>
        <w:t xml:space="preserve">De acuerdo con las condiciones fijadas en el “Documento Base” de la Resolución No. 248 del 1 de diciembre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w:t>
      </w:r>
      <w:r w:rsidRPr="00F2549E">
        <w:rPr>
          <w:rFonts w:ascii="Verdana" w:eastAsia="Aptos" w:hAnsi="Verdana" w:cs="Arial"/>
          <w:sz w:val="20"/>
          <w:szCs w:val="20"/>
          <w:lang w:val="es-MX"/>
        </w:rPr>
        <w:t xml:space="preserve">En este punto, vale anotar que mediante la Resolución 275 de 2022 </w:t>
      </w:r>
      <w:r w:rsidRPr="00F2549E">
        <w:rPr>
          <w:rFonts w:ascii="Verdana" w:eastAsia="Aptos" w:hAnsi="Verdana" w:cs="Arial"/>
          <w:sz w:val="20"/>
          <w:szCs w:val="20"/>
        </w:rPr>
        <w:t xml:space="preserve">se modificó el número de contratos para acreditar la experiencia teniendo en cuenta los criterios diferenciales habilitantes para </w:t>
      </w:r>
      <w:proofErr w:type="spellStart"/>
      <w:r w:rsidRPr="00F2549E">
        <w:rPr>
          <w:rFonts w:ascii="Verdana" w:eastAsia="Aptos" w:hAnsi="Verdana" w:cs="Arial"/>
          <w:sz w:val="20"/>
          <w:szCs w:val="20"/>
        </w:rPr>
        <w:t>Mipyme</w:t>
      </w:r>
      <w:proofErr w:type="spellEnd"/>
      <w:r w:rsidRPr="00F2549E">
        <w:rPr>
          <w:rFonts w:ascii="Verdana" w:eastAsia="Aptos" w:hAnsi="Verdana" w:cs="Arial"/>
          <w:sz w:val="20"/>
          <w:szCs w:val="20"/>
        </w:rPr>
        <w:t xml:space="preserve"> y emprendimientos y empresas de mujeres establecidos en el Decreto 1860 de 2021. De esta manera, en los procesos cuyo aviso de convocatoria fue publicado después del 29 de agosto de 2022 el proponente acreditará la experiencia solicitada con máximo cinco (5) contratos. Sin embargo, </w:t>
      </w:r>
      <w:r w:rsidRPr="00F2549E">
        <w:rPr>
          <w:rFonts w:ascii="Verdana" w:eastAsia="Aptos" w:hAnsi="Verdana" w:cs="Arial"/>
          <w:sz w:val="20"/>
          <w:szCs w:val="20"/>
          <w:lang w:val="es-MX"/>
        </w:rPr>
        <w:t xml:space="preserve">si el proponente </w:t>
      </w:r>
      <w:r w:rsidRPr="00F2549E">
        <w:rPr>
          <w:rFonts w:ascii="Verdana" w:eastAsia="Aptos" w:hAnsi="Verdana" w:cs="Arial"/>
          <w:sz w:val="20"/>
          <w:szCs w:val="20"/>
        </w:rPr>
        <w:t xml:space="preserve">prueba la calidad de </w:t>
      </w:r>
      <w:proofErr w:type="spellStart"/>
      <w:r w:rsidRPr="00F2549E">
        <w:rPr>
          <w:rFonts w:ascii="Verdana" w:eastAsia="Aptos" w:hAnsi="Verdana" w:cs="Arial"/>
          <w:sz w:val="20"/>
          <w:szCs w:val="20"/>
        </w:rPr>
        <w:t>Mipyme</w:t>
      </w:r>
      <w:proofErr w:type="spellEnd"/>
      <w:r w:rsidRPr="00F2549E">
        <w:rPr>
          <w:rFonts w:ascii="Verdana" w:eastAsia="Aptos" w:hAnsi="Verdana" w:cs="Arial"/>
          <w:sz w:val="20"/>
          <w:szCs w:val="20"/>
        </w:rPr>
        <w:t xml:space="preserve"> o de emprendimiento y empresa de mujer con domicilio en el territorio nacional de conformidad con lo previsto en el artículo 2.2.1.13.2.2 del Decreto 1074 de 2015</w:t>
      </w:r>
      <w:r w:rsidRPr="00F2549E">
        <w:rPr>
          <w:rFonts w:ascii="Verdana" w:eastAsia="Aptos" w:hAnsi="Verdana" w:cs="Arial"/>
          <w:b/>
          <w:bCs/>
          <w:sz w:val="20"/>
          <w:szCs w:val="20"/>
        </w:rPr>
        <w:t xml:space="preserve"> </w:t>
      </w:r>
      <w:r w:rsidRPr="00F2549E">
        <w:rPr>
          <w:rFonts w:ascii="Verdana" w:eastAsia="Aptos" w:hAnsi="Verdana" w:cs="Arial"/>
          <w:sz w:val="20"/>
          <w:szCs w:val="20"/>
        </w:rPr>
        <w:t>y</w:t>
      </w:r>
      <w:r w:rsidRPr="00F2549E">
        <w:rPr>
          <w:rFonts w:ascii="Verdana" w:eastAsia="Aptos" w:hAnsi="Verdana" w:cs="Arial"/>
          <w:b/>
          <w:bCs/>
          <w:sz w:val="20"/>
          <w:szCs w:val="20"/>
        </w:rPr>
        <w:t xml:space="preserve"> </w:t>
      </w:r>
      <w:r w:rsidRPr="00F2549E">
        <w:rPr>
          <w:rFonts w:ascii="Verdana" w:eastAsia="Aptos" w:hAnsi="Verdana" w:cs="Arial"/>
          <w:sz w:val="20"/>
          <w:szCs w:val="20"/>
        </w:rPr>
        <w:t>los artículos 2.2.1.2.</w:t>
      </w:r>
      <w:r w:rsidRPr="00F2549E">
        <w:rPr>
          <w:rFonts w:ascii="Verdana" w:eastAsia="Aptos" w:hAnsi="Verdana" w:cs="Arial"/>
          <w:bCs/>
          <w:sz w:val="20"/>
          <w:szCs w:val="20"/>
          <w:lang w:val="es-MX"/>
        </w:rPr>
        <w:t>4.2.4. y 2.2.1.2.4.2.14 del Decreto 1082 de 2015</w:t>
      </w:r>
      <w:r w:rsidRPr="00F2549E">
        <w:rPr>
          <w:rFonts w:ascii="Verdana" w:eastAsia="Aptos" w:hAnsi="Verdana" w:cs="Arial"/>
          <w:sz w:val="20"/>
          <w:szCs w:val="20"/>
        </w:rPr>
        <w:t>, podrá acreditar la experiencia solicitada con un (1) contrato adicional a los cinco (5) inicialmente previstos, para un máximo de seis (6) contratos</w:t>
      </w:r>
      <w:r w:rsidRPr="00F2549E">
        <w:rPr>
          <w:rFonts w:ascii="Verdana" w:eastAsia="Aptos" w:hAnsi="Verdana" w:cs="Arial"/>
          <w:sz w:val="20"/>
          <w:szCs w:val="20"/>
          <w:lang w:val="es-MX"/>
        </w:rPr>
        <w:t xml:space="preserve">. </w:t>
      </w:r>
      <w:r w:rsidRPr="00F2549E">
        <w:rPr>
          <w:rFonts w:ascii="Verdana" w:eastAsia="Aptos" w:hAnsi="Verdana" w:cs="Arial"/>
          <w:sz w:val="20"/>
          <w:szCs w:val="20"/>
        </w:rPr>
        <w:t xml:space="preserve">En caso de que el proponente pruebe la calidad de </w:t>
      </w:r>
      <w:proofErr w:type="spellStart"/>
      <w:r w:rsidRPr="00F2549E">
        <w:rPr>
          <w:rFonts w:ascii="Verdana" w:eastAsia="Aptos" w:hAnsi="Verdana" w:cs="Arial"/>
          <w:sz w:val="20"/>
          <w:szCs w:val="20"/>
        </w:rPr>
        <w:t>Mipyme</w:t>
      </w:r>
      <w:proofErr w:type="spellEnd"/>
      <w:r w:rsidRPr="00F2549E">
        <w:rPr>
          <w:rFonts w:ascii="Verdana" w:eastAsia="Aptos" w:hAnsi="Verdana" w:cs="Arial"/>
          <w:sz w:val="20"/>
          <w:szCs w:val="20"/>
        </w:rPr>
        <w:t xml:space="preserve"> y de emprendimiento y </w:t>
      </w:r>
      <w:r w:rsidRPr="00F2549E">
        <w:rPr>
          <w:rFonts w:ascii="Verdana" w:eastAsia="Aptos" w:hAnsi="Verdana" w:cs="Arial"/>
          <w:sz w:val="20"/>
          <w:szCs w:val="20"/>
        </w:rPr>
        <w:lastRenderedPageBreak/>
        <w:t>empresa de mujer con domicilio en el territorio nacional de manera conjunta, podrá demostrar la experiencia solicitada con dos (2) contratos adicionales a los cinco (5) inicialmente previstos, para un máximo de siete (7)</w:t>
      </w:r>
      <w:r w:rsidRPr="00F2549E">
        <w:rPr>
          <w:rFonts w:ascii="Verdana" w:eastAsia="Aptos" w:hAnsi="Verdana" w:cs="Arial"/>
          <w:sz w:val="20"/>
          <w:szCs w:val="20"/>
          <w:lang w:val="es-MX"/>
        </w:rPr>
        <w:t>.</w:t>
      </w:r>
    </w:p>
    <w:p w14:paraId="3D81896A" w14:textId="77777777" w:rsidR="00F2549E" w:rsidRPr="00F2549E" w:rsidRDefault="00F2549E" w:rsidP="00F2549E">
      <w:pPr>
        <w:spacing w:after="0" w:line="240" w:lineRule="auto"/>
        <w:jc w:val="both"/>
        <w:rPr>
          <w:rFonts w:ascii="Verdana" w:eastAsia="Aptos" w:hAnsi="Verdana" w:cs="Arial"/>
          <w:sz w:val="20"/>
          <w:szCs w:val="20"/>
          <w:lang w:val="es-MX"/>
        </w:rPr>
      </w:pPr>
    </w:p>
    <w:p w14:paraId="2D81895E" w14:textId="77777777" w:rsidR="00F2549E" w:rsidRPr="00F2549E" w:rsidRDefault="00F2549E" w:rsidP="00F2549E">
      <w:pPr>
        <w:spacing w:after="0"/>
        <w:jc w:val="both"/>
        <w:rPr>
          <w:rFonts w:ascii="Aptos" w:eastAsia="Aptos" w:hAnsi="Aptos" w:cs="Times New Roman"/>
          <w:kern w:val="2"/>
          <w:sz w:val="24"/>
          <w:szCs w:val="24"/>
          <w14:ligatures w14:val="standardContextual"/>
        </w:rPr>
      </w:pPr>
      <w:r w:rsidRPr="00F2549E">
        <w:rPr>
          <w:rFonts w:ascii="Verdana" w:eastAsia="Aptos" w:hAnsi="Verdana" w:cs="Times New Roman"/>
          <w:b/>
          <w:bCs/>
          <w:color w:val="000000"/>
        </w:rPr>
        <w:t>DOCUMENTOS TIPO – Infraestructura de Agua potable y saneamiento básico – Actividad 2.2 – Matriz 1 – Experiencia – Experiencia general – Experiencia específica</w:t>
      </w:r>
    </w:p>
    <w:p w14:paraId="5D7F972A"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02D7130F"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La Matriz 1 – Experiencia de los documentos tipo de licitación de obra pública de infraestructura de agua potable y saneamiento básico, en el capítulo 2 “Obras de alcantarillados (sanitarios y/o pluviales y/o combinado)”, contiene la actividad por la que indaga en su solicitud, esto es, la “2.2 PROYECTOS DE OPTIMIZACIÓN Y/O MEJORAMIENTO Y/O REHABILITACIÓN Y/O REFORZAMIENTO Y/O RECONSTRUCCIÓN Y/O REPOSICIÓN DE ALCANTARILLADOS Y/O REDES DE ALCANTARILLADO SANITARIOS Y/O PLUVIALES Y/O COMBINADO (URBANOS Y/O RURALES)”. Para esta actividad se establece la experiencia general y específica exigida y, adicionalmente, se señala un porcentaje (%) para el dimensionamiento, el cual está en función de los rangos de salarios mínimos mensuales legales vigentes en los que se enmarca el presupuesto oficial del proceso de selección, y una nota general.</w:t>
      </w:r>
    </w:p>
    <w:p w14:paraId="1002D00A"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56F3BBD7"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Para la actividad señalada se determina como experiencia general: “PROYECTOS QUE CORRESPONDAN O HAYAN CONTENIDO ACTIVIDADES DE: AMPLIACIÓN Y/U OPTIMIZACIÓN Y/O CONSTRUCCIÓN Y/O MEJORAMIENTO Y/O REPOSICIÓN Y/O REHABILITACIÓN Y/O REFORZAMIENTO Y/O RECONSTRUCCIÓN DE ALCANTARILLADOS (SANITARIOS Y/O PLUVIALES Y/O COMBINADO)”.</w:t>
      </w:r>
    </w:p>
    <w:p w14:paraId="5F7A1E64"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6AECC2C2"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Como se observa, la experiencia general de esta actividad admite contratos de ampliación, optimización, construcción, mejoramiento, reposición, rehabilitación, reforzamiento o reconstrucción de alcantarillados sanitarios, pluviales o combinados. Basta con que el contrato aportado corresponda a alguna de esas intervenciones o la haya contenido. La Matriz tampoco sujeta la experiencia general al lugar donde se ejecutó el proyecto, la propia denominación de la actividad comprende los alcantarillados urbanos y rurales, por lo que, para efectos de la experiencia general, son válidos los contratos ejecutados en una u otra zona.</w:t>
      </w:r>
    </w:p>
    <w:p w14:paraId="17F883EA"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33E97004"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w:t>
      </w:r>
    </w:p>
    <w:p w14:paraId="1D7B1249"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15794347"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 xml:space="preserve">De acuerdo con la nota general prevista para la experiencia específica de esta actividad, la entidad podrá aceptar que el porcentaje (%) de dimensionamiento exigido en la experiencia específica se acredite con la sumatoria de máximo dos (2) de los contratos válidos aportados. Es la entidad la que decide si procede aceptarlo, en atención a la magnitud física empleada como variable para el dimensionamiento, y debe señalarlo en el pliego de condiciones. La nota también fija un tope, y es que, la entidad no puede escoger más de tres (3) requisitos de experiencia específica, contando el obligatorio y </w:t>
      </w:r>
      <w:r w:rsidRPr="00F2549E">
        <w:rPr>
          <w:rFonts w:ascii="Verdana" w:eastAsia="Calibri" w:hAnsi="Verdana" w:cs="Arial"/>
          <w:bCs/>
          <w:sz w:val="20"/>
          <w:szCs w:val="20"/>
        </w:rPr>
        <w:lastRenderedPageBreak/>
        <w:t>los adicionales, y debe identificar los de mayor relevancia para el proyecto. Es decir, respecto de la experiencia específica la entidad estatal debe fijar el requisito de experiencia obligatorio que fija la matriz y puede establecer dos (2) requisitos adicionales de experiencia específica, de las opciones que se enlistan para cada actividad, según sea indicado en la mencionada matriz.</w:t>
      </w:r>
    </w:p>
    <w:p w14:paraId="6816BC94"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4B4D6609"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w:t>
      </w:r>
    </w:p>
    <w:p w14:paraId="7350532A"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6B9361AD"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 xml:space="preserve">Esta experiencia debe acreditarse en todos los casos. Para exigirla, la entidad debe definir: i) la longitud de tubería, que equivale al porcentaje (F%) de la longitud total del proyecto según el rango de cuantía del proceso; </w:t>
      </w:r>
      <w:proofErr w:type="spellStart"/>
      <w:r w:rsidRPr="00F2549E">
        <w:rPr>
          <w:rFonts w:ascii="Verdana" w:eastAsia="Calibri" w:hAnsi="Verdana" w:cs="Arial"/>
          <w:bCs/>
          <w:sz w:val="20"/>
          <w:szCs w:val="20"/>
        </w:rPr>
        <w:t>ii</w:t>
      </w:r>
      <w:proofErr w:type="spellEnd"/>
      <w:r w:rsidRPr="00F2549E">
        <w:rPr>
          <w:rFonts w:ascii="Verdana" w:eastAsia="Calibri" w:hAnsi="Verdana" w:cs="Arial"/>
          <w:bCs/>
          <w:sz w:val="20"/>
          <w:szCs w:val="20"/>
        </w:rPr>
        <w:t xml:space="preserve">) el material más representativo de la tubería (PVC, PEX, concreto, entre otros), y </w:t>
      </w:r>
      <w:proofErr w:type="spellStart"/>
      <w:r w:rsidRPr="00F2549E">
        <w:rPr>
          <w:rFonts w:ascii="Verdana" w:eastAsia="Calibri" w:hAnsi="Verdana" w:cs="Arial"/>
          <w:bCs/>
          <w:sz w:val="20"/>
          <w:szCs w:val="20"/>
        </w:rPr>
        <w:t>iii</w:t>
      </w:r>
      <w:proofErr w:type="spellEnd"/>
      <w:r w:rsidRPr="00F2549E">
        <w:rPr>
          <w:rFonts w:ascii="Verdana" w:eastAsia="Calibri" w:hAnsi="Verdana" w:cs="Arial"/>
          <w:bCs/>
          <w:sz w:val="20"/>
          <w:szCs w:val="20"/>
        </w:rPr>
        <w:t>) el rango de diámetros comerciales de la tubería principal o más representativa del proyecto o, en su defecto, un diámetro mínimo de referencia. Si la entidad permitió la sumatoria prevista en la nota general, el proponente puede completar la longitud de tubería con máximo dos (2) contratos, pero cada uno debe cumplir con el material y con el rango de diámetros definidos. Por ejemplo, si la longitud que debe acreditarse es de 6 km, el material es PVC y el rango de diámetros está entre 12” y 18”, el proponente podrá sumar dos contratos para completar los 6 km, siempre que en ambos la tubería instalada o intervenida sea de PVC y se encuentre dentro de ese rango.</w:t>
      </w:r>
    </w:p>
    <w:p w14:paraId="10170796"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5E8AC1F5"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w:t>
      </w:r>
    </w:p>
    <w:p w14:paraId="0C3FC440"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0558827A"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Cada uno de estos requisitos se acredita, por regla general, en “por lo menos uno (1) de los contratos válidos aportados”. La expresión “SI APLICA” indica que el requisito solo es exigible cuando la entidad lo selecciona. Entre las alternativas aparece la ejecución de un proyecto en zona rural o de difícil acceso y, también, la ejecución de un proyecto en zona urbana. Es decir, la Matriz trató la ubicación del proyecto como una condición de experiencia específica adicional que la entidad puede elegir, y no como parte de la experiencia general de la actividad.</w:t>
      </w:r>
    </w:p>
    <w:p w14:paraId="2F9230C7"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16660D73"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En cuanto al porcentaje (%) de dimensionamiento, la Matriz fija para la actividad 2.2 un factor F = 70 % en los procesos cuyo presupuesto oficial no supera los 1.000 SMMLV y un factor F = 50 % en los procesos de mayor cuantía.</w:t>
      </w:r>
    </w:p>
    <w:p w14:paraId="641EAF5F"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083AAB01" w14:textId="77777777" w:rsidR="00F2549E" w:rsidRPr="00F2549E" w:rsidRDefault="00F2549E" w:rsidP="00F2549E">
      <w:pPr>
        <w:spacing w:after="0"/>
        <w:jc w:val="both"/>
        <w:rPr>
          <w:rFonts w:ascii="Aptos" w:eastAsia="Aptos" w:hAnsi="Aptos" w:cs="Times New Roman"/>
          <w:kern w:val="2"/>
          <w:sz w:val="24"/>
          <w:szCs w:val="24"/>
          <w14:ligatures w14:val="standardContextual"/>
        </w:rPr>
      </w:pPr>
      <w:r w:rsidRPr="00F2549E">
        <w:rPr>
          <w:rFonts w:ascii="Verdana" w:eastAsia="Aptos" w:hAnsi="Verdana" w:cs="Times New Roman"/>
          <w:b/>
          <w:bCs/>
          <w:color w:val="000000"/>
        </w:rPr>
        <w:t>DOCUMENTOS TIPO – Matriz 1 – Experiencia – Acreditación de la experiencia – “Que hayan contenido la ejecución de” – Condiciones adicionales</w:t>
      </w:r>
    </w:p>
    <w:p w14:paraId="4DBEF085"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311E1022"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 xml:space="preserve">La columna “Acreditación de la experiencia” contenida en la Matriz 1 – Experiencia señala lo siguiente: “Que hayan contenido la ejecución de: [la Entidad no podrá incluir condiciones adicionales para la acreditación de la experiencia a las exigidas en esta Matriz haciendo uso de esta expresión]”. Esta indicación debe entenderse como un límite al diligenciamiento del literal A del numeral 3.5.2. Al transcribir la actividad y los </w:t>
      </w:r>
      <w:r w:rsidRPr="00F2549E">
        <w:rPr>
          <w:rFonts w:ascii="Verdana" w:eastAsia="Calibri" w:hAnsi="Verdana" w:cs="Arial"/>
          <w:bCs/>
          <w:sz w:val="20"/>
          <w:szCs w:val="20"/>
        </w:rPr>
        <w:lastRenderedPageBreak/>
        <w:t>requisitos de experiencia, la entidad no puede agregar exigencias que la Matriz no contempla para la actividad a contratar, como la ubicación del proyecto, la naturaleza del contratante o especificaciones técnicas distintas. Las condiciones adicionales de experiencia solo pueden provenir de las opciones de experiencia específica que la propia Matriz enlista para cada actividad, con los límites que en esta se fijan.</w:t>
      </w:r>
    </w:p>
    <w:p w14:paraId="695DBED1"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4C6E494B"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Con este marco, la instrucción que acompaña la expresión “Que hayan contenido la ejecución de” en la columna “Acreditación de la experiencia” de la Matriz 1 debe leerse junto con el literal A del numeral 3.5.2 del documento base y con la nota general de la actividad 2.2. Esa expresión corresponde al espacio en el que la entidad transcribe, sin modificarla, la actividad o actividades válidas para acreditar la experiencia general y específica, y no la habilita para agregar requisitos. Por eso la Matriz advierte que, al usarla, la entidad no podrá incluir condiciones adicionales a las exigidas en ella, y la nota general de la actividad 2.2 reitera la misma prohibición.</w:t>
      </w:r>
    </w:p>
    <w:p w14:paraId="3DFE9544"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6AB1356E" w14:textId="77777777" w:rsidR="00F2549E" w:rsidRPr="00F2549E" w:rsidRDefault="00F2549E" w:rsidP="00F2549E">
      <w:pPr>
        <w:spacing w:after="0"/>
        <w:jc w:val="both"/>
        <w:rPr>
          <w:rFonts w:ascii="Aptos" w:eastAsia="Aptos" w:hAnsi="Aptos" w:cs="Times New Roman"/>
          <w:kern w:val="2"/>
          <w:sz w:val="24"/>
          <w:szCs w:val="24"/>
          <w14:ligatures w14:val="standardContextual"/>
        </w:rPr>
      </w:pPr>
      <w:r w:rsidRPr="00F2549E">
        <w:rPr>
          <w:rFonts w:ascii="Verdana" w:eastAsia="Aptos" w:hAnsi="Verdana" w:cs="Times New Roman"/>
          <w:b/>
          <w:bCs/>
          <w:color w:val="000000"/>
        </w:rPr>
        <w:t>DOCUMENTOS TIPO – Agua potable y saneamiento básico – Actividad 2.2 – Experiencia específica adicional – Zona rural – Inalterabilidad</w:t>
      </w:r>
    </w:p>
    <w:p w14:paraId="2B5BB419"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7818F593"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Esto tiene una consecuencia directa sobre la ubicación de los proyectos. Para la actividad 2.2, la ejecución en zona rural o de difícil acceso es una de las alternativas de experiencia específica adicional que la entidad puede seleccionar, si resulta pertinente para el proyecto. Si la entidad no la seleccionó al estructurar el pliego de condiciones, no puede exigirla por otra vía, por ejemplo, incluyendo la palabra “rural” al diligenciar la expresión “Que hayan contenido la ejecución de” o al describir la actividad en el literal A del numeral 3.5.2. Una inclusión de ese tipo convierte en condición de la experiencia general un aspecto que la Matriz solo permite exigir como experiencia específica adicional, con sus propias reglas. Incluso cuando la entidad selecciona la alternativa de zona rural, el requisito se cumple con que uno (1) de los contratos válidos aportados se haya ejecutado en esa zona, de modo que los demás contratos pueden corresponder a proyectos urbanos.</w:t>
      </w:r>
    </w:p>
    <w:p w14:paraId="70920814"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2D4CD4E3"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Ocurre lo mismo cuando la entidad ya escogió los dos (2) requisitos de experiencia específica adicional que permite la Matriz, por ejemplo, conexiones domiciliarias y entibados. En ese supuesto la entidad agotó el número de requisitos adicionales y llegó al tope de tres (3) requisitos de experiencia específica que fija la nota general. Exigir además que el proyecto se haya ejecutado en zona rural equivale a sumar un tercer requisito adicional, lo que la Matriz no permite.</w:t>
      </w:r>
    </w:p>
    <w:p w14:paraId="778FD869"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646E2D14"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 xml:space="preserve">En consecuencia, cuando la entidad no seleccionó la ruralidad como experiencia específica adicional, el hecho de que un contrato de alcantarillado se haya ejecutado en zona urbana no es un criterio previsto en la Matriz 1 – Experiencia para descartarlo como experiencia de la actividad 2.2. El contrato debe evaluarse con los criterios que la Matriz sí establece: que corresponda o haya contenido alguna de las intervenciones previstas en la experiencia general, que cumpla la experiencia específica obligatoria y las </w:t>
      </w:r>
      <w:r w:rsidRPr="00F2549E">
        <w:rPr>
          <w:rFonts w:ascii="Verdana" w:eastAsia="Calibri" w:hAnsi="Verdana" w:cs="Arial"/>
          <w:bCs/>
          <w:sz w:val="20"/>
          <w:szCs w:val="20"/>
        </w:rPr>
        <w:lastRenderedPageBreak/>
        <w:t>adicionales que la entidad haya seleccionado, y que se ajuste a las reglas de los numerales 3.5.2 y 3.5.8 del documento base.</w:t>
      </w:r>
    </w:p>
    <w:p w14:paraId="71C4388C"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0FBA3C5D"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r w:rsidRPr="00F2549E">
        <w:rPr>
          <w:rFonts w:ascii="Verdana" w:eastAsia="Calibri" w:hAnsi="Verdana" w:cs="Arial"/>
          <w:bCs/>
          <w:sz w:val="20"/>
          <w:szCs w:val="20"/>
        </w:rPr>
        <w:t>Esta lectura es coherente con el carácter obligatorio de los documentos tipo, explicado en el numeral i de estas consideraciones. Las entidades sujetas a su aplicación no pueden variar los requisitos fijados en ellos ni establecer requisitos habilitantes adicionales, y la Matriz 1 – Experiencia hace parte de los documentos tipo. Por tanto, incluir mediante el literal A una condición de ubicación del proyecto que la entidad no seleccionó como experiencia específica adicional, o que excede el número de requisitos permitidos, altera el requisito de experiencia estandarizado y no se ajusta a la regla según la cual los documentos tipo no pueden ser modificados ni adicionados por las entidades.</w:t>
      </w:r>
    </w:p>
    <w:p w14:paraId="76AA65AB" w14:textId="77777777" w:rsidR="00F2549E" w:rsidRPr="00F2549E" w:rsidRDefault="00F2549E" w:rsidP="00F2549E">
      <w:pPr>
        <w:spacing w:after="0" w:line="240" w:lineRule="auto"/>
        <w:jc w:val="both"/>
        <w:rPr>
          <w:rFonts w:ascii="Aptos" w:eastAsia="Aptos" w:hAnsi="Aptos" w:cs="Times New Roman"/>
          <w:kern w:val="2"/>
          <w:sz w:val="24"/>
          <w:szCs w:val="24"/>
          <w14:ligatures w14:val="standardContextual"/>
        </w:rPr>
      </w:pPr>
    </w:p>
    <w:p w14:paraId="020B3F92"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04926D7A"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007EA5F6"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15B1812B"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55B50050"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1BD9E358"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10F35820"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62887D18"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2933E7C6"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474F598A"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4A2AEF54"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6C2C4E71"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7ACA3896"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3AE9D624"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37C90276"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35704B79"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300C3C4C" w14:textId="77777777" w:rsidR="00F2549E" w:rsidRPr="00F2549E" w:rsidRDefault="00F2549E" w:rsidP="00F2549E">
      <w:pPr>
        <w:spacing w:after="0" w:line="240" w:lineRule="auto"/>
        <w:jc w:val="both"/>
        <w:rPr>
          <w:rFonts w:ascii="Verdana" w:eastAsia="Times New Roman" w:hAnsi="Verdana" w:cs="Arial"/>
          <w:sz w:val="20"/>
          <w:szCs w:val="20"/>
          <w:shd w:val="clear" w:color="auto" w:fill="FFFFFF"/>
          <w:lang w:val="es-ES_tradnl" w:eastAsia="es-ES_tradnl"/>
        </w:rPr>
      </w:pPr>
    </w:p>
    <w:p w14:paraId="6071F331"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0E8B98DD"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1C7405A4"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2A0936A0"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3E816DFE"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06658943"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004F769B"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0385D2AF"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3FF023CC"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7A9A0F00"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033E6E69" w14:textId="77777777" w:rsidR="00F2549E" w:rsidRDefault="00F2549E" w:rsidP="00F2549E">
      <w:pPr>
        <w:spacing w:after="0" w:line="240" w:lineRule="auto"/>
        <w:jc w:val="both"/>
        <w:rPr>
          <w:rFonts w:ascii="Verdana" w:eastAsia="Aptos" w:hAnsi="Verdana" w:cs="Times New Roman"/>
          <w:kern w:val="2"/>
          <w14:ligatures w14:val="standardContextual"/>
        </w:rPr>
      </w:pPr>
    </w:p>
    <w:p w14:paraId="428D6828" w14:textId="77777777" w:rsidR="00F44507" w:rsidRDefault="00F44507" w:rsidP="00F2549E">
      <w:pPr>
        <w:spacing w:after="0" w:line="240" w:lineRule="auto"/>
        <w:jc w:val="both"/>
        <w:rPr>
          <w:rFonts w:ascii="Verdana" w:eastAsia="Aptos" w:hAnsi="Verdana" w:cs="Times New Roman"/>
          <w:kern w:val="2"/>
          <w14:ligatures w14:val="standardContextual"/>
        </w:rPr>
      </w:pPr>
    </w:p>
    <w:p w14:paraId="7E80EE06" w14:textId="77777777" w:rsidR="00F44507" w:rsidRPr="00F2549E" w:rsidRDefault="00F44507" w:rsidP="00F2549E">
      <w:pPr>
        <w:spacing w:after="0" w:line="240" w:lineRule="auto"/>
        <w:jc w:val="both"/>
        <w:rPr>
          <w:rFonts w:ascii="Verdana" w:eastAsia="Aptos" w:hAnsi="Verdana" w:cs="Times New Roman"/>
          <w:kern w:val="2"/>
          <w14:ligatures w14:val="standardContextual"/>
        </w:rPr>
      </w:pPr>
    </w:p>
    <w:p w14:paraId="0D1E6BEB" w14:textId="77777777" w:rsidR="00F2549E" w:rsidRPr="00F2549E" w:rsidRDefault="00F2549E" w:rsidP="00F2549E">
      <w:pPr>
        <w:spacing w:after="0" w:line="240" w:lineRule="auto"/>
        <w:jc w:val="both"/>
        <w:rPr>
          <w:rFonts w:ascii="Verdana" w:eastAsia="Aptos" w:hAnsi="Verdana" w:cs="Times New Roman"/>
          <w:kern w:val="2"/>
          <w14:ligatures w14:val="standardContextual"/>
        </w:rPr>
      </w:pPr>
    </w:p>
    <w:p w14:paraId="631ECB92" w14:textId="77777777" w:rsidR="00F2549E" w:rsidRPr="00F2549E" w:rsidRDefault="00F2549E" w:rsidP="00F2549E">
      <w:pPr>
        <w:spacing w:after="0" w:line="240" w:lineRule="auto"/>
        <w:jc w:val="both"/>
        <w:rPr>
          <w:rFonts w:ascii="Verdana" w:eastAsia="Aptos" w:hAnsi="Verdana" w:cs="Arial"/>
          <w:color w:val="000000"/>
          <w:lang w:val="es-ES_tradnl"/>
        </w:rPr>
      </w:pPr>
      <w:bookmarkStart w:id="1" w:name="_Hlk117695077"/>
    </w:p>
    <w:p w14:paraId="10D18746" w14:textId="77777777" w:rsidR="00F44507" w:rsidRDefault="00F2549E" w:rsidP="00F2549E">
      <w:pPr>
        <w:spacing w:after="0" w:line="240" w:lineRule="auto"/>
        <w:jc w:val="both"/>
        <w:rPr>
          <w:rFonts w:ascii="Verdana" w:eastAsia="Verdana" w:hAnsi="Verdana" w:cs="Verdana"/>
          <w:kern w:val="2"/>
          <w14:ligatures w14:val="standardContextual"/>
        </w:rPr>
      </w:pPr>
      <w:r w:rsidRPr="00F2549E">
        <w:rPr>
          <w:rFonts w:ascii="Verdana" w:eastAsia="Verdana" w:hAnsi="Verdana" w:cs="Verdana"/>
          <w:kern w:val="2"/>
          <w14:ligatures w14:val="standardContextual"/>
        </w:rPr>
        <w:lastRenderedPageBreak/>
        <w:t>Bogotá D.C.,</w:t>
      </w:r>
      <w:r w:rsidR="00F44507">
        <w:rPr>
          <w:rFonts w:ascii="Verdana" w:eastAsia="Verdana" w:hAnsi="Verdana" w:cs="Verdana"/>
          <w:kern w:val="2"/>
          <w14:ligatures w14:val="standardContextual"/>
        </w:rPr>
        <w:t xml:space="preserve"> 4 de noviembre de 2026</w:t>
      </w:r>
    </w:p>
    <w:p w14:paraId="25B2DD06" w14:textId="2640C54E" w:rsidR="00F2549E" w:rsidRDefault="00F2549E" w:rsidP="00F2549E">
      <w:pPr>
        <w:spacing w:after="0" w:line="240" w:lineRule="auto"/>
        <w:jc w:val="both"/>
        <w:rPr>
          <w:rFonts w:ascii="Aptos" w:eastAsia="Aptos" w:hAnsi="Aptos" w:cs="Times New Roman"/>
          <w:kern w:val="2"/>
          <w:sz w:val="24"/>
          <w:szCs w:val="24"/>
          <w14:ligatures w14:val="standardContextual"/>
        </w:rPr>
      </w:pPr>
    </w:p>
    <w:p w14:paraId="32EC1758" w14:textId="7AFDD903" w:rsidR="00290028" w:rsidRPr="00776EFE" w:rsidRDefault="00290028" w:rsidP="00290028">
      <w:pPr>
        <w:spacing w:after="0" w:line="240" w:lineRule="auto"/>
        <w:jc w:val="right"/>
        <w:rPr>
          <w:rFonts w:ascii="Aptos" w:eastAsia="Aptos" w:hAnsi="Aptos" w:cs="Times New Roman"/>
          <w:kern w:val="2"/>
          <w:sz w:val="24"/>
          <w:szCs w:val="24"/>
          <w14:ligatures w14:val="standardContextual"/>
        </w:rPr>
      </w:pPr>
    </w:p>
    <w:p w14:paraId="59D604BF" w14:textId="777B5148" w:rsidR="00F2549E" w:rsidRPr="00F2549E" w:rsidRDefault="00872E14" w:rsidP="00F2549E">
      <w:pPr>
        <w:spacing w:after="0" w:line="276" w:lineRule="auto"/>
        <w:rPr>
          <w:rFonts w:ascii="Verdana" w:eastAsia="Aptos" w:hAnsi="Verdana" w:cs="Times New Roman"/>
          <w:color w:val="000000"/>
          <w:kern w:val="2"/>
          <w:shd w:val="clear" w:color="auto" w:fill="FFFFFF"/>
          <w14:ligatures w14:val="standardContextual"/>
        </w:rPr>
      </w:pPr>
      <w:r w:rsidRPr="00290028">
        <w:rPr>
          <w:rFonts w:ascii="Aptos" w:eastAsia="Aptos" w:hAnsi="Aptos" w:cs="Times New Roman"/>
          <w:noProof/>
          <w:kern w:val="2"/>
          <w:sz w:val="24"/>
          <w:szCs w:val="24"/>
          <w14:ligatures w14:val="standardContextual"/>
        </w:rPr>
        <w:drawing>
          <wp:anchor distT="0" distB="0" distL="114300" distR="114300" simplePos="0" relativeHeight="251658240" behindDoc="0" locked="0" layoutInCell="1" allowOverlap="1" wp14:anchorId="2790B362" wp14:editId="60F9E748">
            <wp:simplePos x="0" y="0"/>
            <wp:positionH relativeFrom="column">
              <wp:posOffset>2787015</wp:posOffset>
            </wp:positionH>
            <wp:positionV relativeFrom="paragraph">
              <wp:posOffset>8255</wp:posOffset>
            </wp:positionV>
            <wp:extent cx="2821305" cy="989965"/>
            <wp:effectExtent l="0" t="0" r="0" b="635"/>
            <wp:wrapSquare wrapText="bothSides"/>
            <wp:docPr id="797497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97555" name=""/>
                    <pic:cNvPicPr/>
                  </pic:nvPicPr>
                  <pic:blipFill>
                    <a:blip r:embed="rId10">
                      <a:extLst>
                        <a:ext uri="{28A0092B-C50C-407E-A947-70E740481C1C}">
                          <a14:useLocalDpi xmlns:a14="http://schemas.microsoft.com/office/drawing/2010/main" val="0"/>
                        </a:ext>
                      </a:extLst>
                    </a:blip>
                    <a:stretch>
                      <a:fillRect/>
                    </a:stretch>
                  </pic:blipFill>
                  <pic:spPr>
                    <a:xfrm>
                      <a:off x="0" y="0"/>
                      <a:ext cx="2821305" cy="989965"/>
                    </a:xfrm>
                    <a:prstGeom prst="rect">
                      <a:avLst/>
                    </a:prstGeom>
                  </pic:spPr>
                </pic:pic>
              </a:graphicData>
            </a:graphic>
            <wp14:sizeRelH relativeFrom="margin">
              <wp14:pctWidth>0</wp14:pctWidth>
            </wp14:sizeRelH>
            <wp14:sizeRelV relativeFrom="margin">
              <wp14:pctHeight>0</wp14:pctHeight>
            </wp14:sizeRelV>
          </wp:anchor>
        </w:drawing>
      </w:r>
      <w:r w:rsidR="00F2549E" w:rsidRPr="00F2549E">
        <w:rPr>
          <w:rFonts w:ascii="Verdana" w:eastAsia="Aptos" w:hAnsi="Verdana" w:cs="Times New Roman"/>
          <w:color w:val="000000"/>
          <w:kern w:val="2"/>
          <w:shd w:val="clear" w:color="auto" w:fill="FFFFFF"/>
          <w14:ligatures w14:val="standardContextual"/>
        </w:rPr>
        <w:t>Señor</w:t>
      </w:r>
    </w:p>
    <w:p w14:paraId="0280FDDD" w14:textId="77777777" w:rsidR="00F2549E" w:rsidRPr="00F2549E" w:rsidRDefault="00F2549E" w:rsidP="00F2549E">
      <w:pPr>
        <w:spacing w:after="0" w:line="276" w:lineRule="auto"/>
        <w:rPr>
          <w:rFonts w:ascii="Verdana" w:eastAsia="Aptos" w:hAnsi="Verdana" w:cs="Times New Roman"/>
          <w:color w:val="000000"/>
          <w:kern w:val="2"/>
          <w:shd w:val="clear" w:color="auto" w:fill="FFFFFF"/>
          <w14:ligatures w14:val="standardContextual"/>
        </w:rPr>
      </w:pPr>
      <w:r w:rsidRPr="00F2549E">
        <w:rPr>
          <w:rFonts w:ascii="Verdana" w:eastAsia="Aptos" w:hAnsi="Verdana" w:cs="Times New Roman"/>
          <w:b/>
          <w:bCs/>
          <w:color w:val="000000"/>
          <w:kern w:val="2"/>
          <w:shd w:val="clear" w:color="auto" w:fill="FFFFFF"/>
          <w14:ligatures w14:val="standardContextual"/>
        </w:rPr>
        <w:t>Alfredo Andrés González Guzmán</w:t>
      </w:r>
      <w:r w:rsidRPr="00F2549E">
        <w:rPr>
          <w:rFonts w:ascii="Verdana" w:eastAsia="Aptos" w:hAnsi="Verdana" w:cs="Arial"/>
          <w:color w:val="000000"/>
          <w:kern w:val="2"/>
          <w:shd w:val="clear" w:color="auto" w:fill="FFFFFF"/>
          <w14:ligatures w14:val="standardContextual"/>
        </w:rPr>
        <w:br/>
        <w:t>Representante Legal</w:t>
      </w:r>
      <w:r w:rsidRPr="00F2549E">
        <w:rPr>
          <w:rFonts w:ascii="Verdana" w:eastAsia="Aptos" w:hAnsi="Verdana" w:cs="Arial"/>
          <w:color w:val="000000"/>
          <w:kern w:val="2"/>
          <w:shd w:val="clear" w:color="auto" w:fill="FFFFFF"/>
          <w14:ligatures w14:val="standardContextual"/>
        </w:rPr>
        <w:br/>
      </w:r>
      <w:r w:rsidRPr="00F2549E">
        <w:rPr>
          <w:rFonts w:ascii="Verdana" w:eastAsia="Aptos" w:hAnsi="Verdana" w:cs="Times New Roman"/>
          <w:color w:val="000000"/>
          <w:kern w:val="2"/>
          <w:shd w:val="clear" w:color="auto" w:fill="FFFFFF"/>
          <w14:ligatures w14:val="standardContextual"/>
        </w:rPr>
        <w:t>RAPITEC S.A.S.</w:t>
      </w:r>
    </w:p>
    <w:p w14:paraId="2997BF09" w14:textId="77777777" w:rsidR="00F2549E" w:rsidRPr="00F2549E" w:rsidRDefault="00F2549E" w:rsidP="00F2549E">
      <w:pPr>
        <w:spacing w:after="0" w:line="276" w:lineRule="auto"/>
        <w:rPr>
          <w:rFonts w:ascii="Verdana" w:eastAsia="Verdana" w:hAnsi="Verdana" w:cs="Verdana"/>
          <w:kern w:val="2"/>
          <w14:ligatures w14:val="standardContextual"/>
        </w:rPr>
      </w:pPr>
      <w:r w:rsidRPr="00F2549E">
        <w:rPr>
          <w:rFonts w:ascii="Verdana" w:eastAsia="Aptos" w:hAnsi="Verdana" w:cs="Times New Roman"/>
          <w:color w:val="000000"/>
          <w:kern w:val="2"/>
          <w:shd w:val="clear" w:color="auto" w:fill="FFFFFF"/>
          <w14:ligatures w14:val="standardContextual"/>
        </w:rPr>
        <w:t xml:space="preserve">Ciudad </w:t>
      </w:r>
    </w:p>
    <w:p w14:paraId="3D887525" w14:textId="77777777" w:rsidR="00F2549E" w:rsidRPr="00F2549E" w:rsidRDefault="00F2549E" w:rsidP="00F2549E">
      <w:pPr>
        <w:spacing w:after="0" w:line="240" w:lineRule="auto"/>
        <w:jc w:val="both"/>
        <w:rPr>
          <w:rFonts w:ascii="Verdana" w:eastAsia="Calibri" w:hAnsi="Verdana" w:cs="Arial"/>
          <w:b/>
          <w:bCs/>
          <w:lang w:eastAsia="es-ES"/>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F2549E" w:rsidRPr="00F2549E" w14:paraId="5B792D5D" w14:textId="77777777" w:rsidTr="008D1021">
        <w:trPr>
          <w:trHeight w:val="910"/>
        </w:trPr>
        <w:tc>
          <w:tcPr>
            <w:tcW w:w="2725" w:type="dxa"/>
          </w:tcPr>
          <w:p w14:paraId="3702D1C0" w14:textId="77777777" w:rsidR="00F2549E" w:rsidRPr="00F2549E" w:rsidRDefault="00F2549E" w:rsidP="00F2549E">
            <w:pPr>
              <w:jc w:val="both"/>
              <w:rPr>
                <w:rFonts w:ascii="Verdana" w:eastAsia="Calibri" w:hAnsi="Verdana" w:cs="Arial"/>
                <w:b/>
                <w:bCs/>
                <w:color w:val="7030A0"/>
                <w:lang w:eastAsia="es-ES_tradnl"/>
              </w:rPr>
            </w:pPr>
          </w:p>
        </w:tc>
        <w:tc>
          <w:tcPr>
            <w:tcW w:w="6183" w:type="dxa"/>
          </w:tcPr>
          <w:p w14:paraId="02358D44" w14:textId="77777777" w:rsidR="00F2549E" w:rsidRPr="00F2549E" w:rsidRDefault="00F2549E" w:rsidP="00F2549E">
            <w:pPr>
              <w:snapToGrid w:val="0"/>
              <w:jc w:val="both"/>
              <w:rPr>
                <w:rFonts w:ascii="Verdana" w:eastAsia="Calibri" w:hAnsi="Verdana" w:cs="Arial"/>
                <w:b/>
                <w:bCs/>
                <w:lang w:eastAsia="es-ES"/>
              </w:rPr>
            </w:pPr>
            <w:r w:rsidRPr="00F2549E">
              <w:rPr>
                <w:rFonts w:ascii="Verdana" w:eastAsia="Calibri" w:hAnsi="Verdana" w:cs="Arial"/>
                <w:b/>
                <w:bCs/>
                <w:lang w:eastAsia="es-ES"/>
              </w:rPr>
              <w:t>Concepto C-1502 de 2026</w:t>
            </w:r>
          </w:p>
        </w:tc>
      </w:tr>
      <w:tr w:rsidR="00F2549E" w:rsidRPr="00F2549E" w14:paraId="6BD95763" w14:textId="77777777" w:rsidTr="008D1021">
        <w:trPr>
          <w:trHeight w:val="910"/>
        </w:trPr>
        <w:tc>
          <w:tcPr>
            <w:tcW w:w="2725" w:type="dxa"/>
          </w:tcPr>
          <w:p w14:paraId="52CE2373" w14:textId="77777777" w:rsidR="00F2549E" w:rsidRPr="00F2549E" w:rsidRDefault="00F2549E" w:rsidP="00F2549E">
            <w:pPr>
              <w:jc w:val="both"/>
              <w:rPr>
                <w:rFonts w:ascii="Verdana" w:eastAsia="Calibri" w:hAnsi="Verdana" w:cs="Arial"/>
                <w:color w:val="000000"/>
                <w:lang w:eastAsia="es-ES_tradnl"/>
              </w:rPr>
            </w:pPr>
            <w:r w:rsidRPr="00F2549E">
              <w:rPr>
                <w:rFonts w:ascii="Verdana" w:eastAsia="Calibri" w:hAnsi="Verdana" w:cs="Arial"/>
                <w:b/>
                <w:color w:val="000000"/>
                <w:lang w:eastAsia="es-ES_tradnl"/>
              </w:rPr>
              <w:t>Temas:</w:t>
            </w:r>
            <w:r w:rsidRPr="00F2549E">
              <w:rPr>
                <w:rFonts w:ascii="Verdana" w:eastAsia="Calibri" w:hAnsi="Verdana" w:cs="Arial"/>
                <w:color w:val="000000"/>
                <w:lang w:eastAsia="es-ES_tradnl"/>
              </w:rPr>
              <w:t xml:space="preserve">                   </w:t>
            </w:r>
          </w:p>
        </w:tc>
        <w:tc>
          <w:tcPr>
            <w:tcW w:w="6183" w:type="dxa"/>
          </w:tcPr>
          <w:p w14:paraId="4932DB61" w14:textId="77777777" w:rsidR="00F2549E" w:rsidRPr="00F2549E" w:rsidRDefault="00F2549E" w:rsidP="00F2549E">
            <w:pPr>
              <w:jc w:val="both"/>
              <w:rPr>
                <w:rFonts w:ascii="Verdana" w:eastAsia="Aptos" w:hAnsi="Verdana" w:cs="Times New Roman"/>
                <w:color w:val="000000"/>
              </w:rPr>
            </w:pPr>
            <w:r w:rsidRPr="00F2549E">
              <w:rPr>
                <w:rFonts w:ascii="Verdana" w:eastAsia="Aptos" w:hAnsi="Verdana" w:cs="Times New Roman"/>
                <w:color w:val="000000"/>
              </w:rPr>
              <w:t xml:space="preserve">DOCUMENTOS TIPO – Fundamento normativo – Obligatoriedad </w:t>
            </w:r>
            <w:r w:rsidRPr="00F2549E">
              <w:rPr>
                <w:rFonts w:ascii="Verdana" w:eastAsia="Aptos" w:hAnsi="Verdana" w:cs="Times New Roman"/>
              </w:rPr>
              <w:t xml:space="preserve">/ </w:t>
            </w:r>
            <w:r w:rsidRPr="00F2549E">
              <w:rPr>
                <w:rFonts w:ascii="Verdana" w:eastAsia="Aptos" w:hAnsi="Verdana" w:cs="Times New Roman"/>
                <w:color w:val="000000"/>
              </w:rPr>
              <w:t>EXPERIENCIA – Acreditación − Documentos tipo − Licitación de obra pública – Infraestructura – Agua potable y saneamiento básico / DOCUMENTOS TIPO – Infraestructura de Agua potable y saneamiento básico – Actividad 2.2 – Matriz 1 – Experiencia – Experiencia general – Experiencia específica / DOCUMENTOS TIPO – Matriz 1 – Experiencia – Acreditación de la experiencia – “Que hayan contenido la ejecución de” – Condiciones adicionales / DOCUMENTOS TIPO – Agua potable y saneamiento básico – Actividad 2.2 – Experiencia específica adicional – Zona rural – Inalterabilidad</w:t>
            </w:r>
          </w:p>
          <w:p w14:paraId="3F16E198" w14:textId="77777777" w:rsidR="00F2549E" w:rsidRPr="00F2549E" w:rsidRDefault="00F2549E" w:rsidP="00F2549E">
            <w:pPr>
              <w:snapToGrid w:val="0"/>
              <w:jc w:val="both"/>
              <w:rPr>
                <w:rFonts w:ascii="Verdana" w:eastAsia="Calibri" w:hAnsi="Verdana" w:cs="Arial"/>
                <w:lang w:eastAsia="es-ES"/>
              </w:rPr>
            </w:pPr>
          </w:p>
        </w:tc>
      </w:tr>
      <w:tr w:rsidR="00F2549E" w:rsidRPr="00F2549E" w14:paraId="57BFC7B7" w14:textId="77777777" w:rsidTr="008D1021">
        <w:trPr>
          <w:trHeight w:val="556"/>
        </w:trPr>
        <w:tc>
          <w:tcPr>
            <w:tcW w:w="2725" w:type="dxa"/>
          </w:tcPr>
          <w:p w14:paraId="0BFA62A2" w14:textId="77777777" w:rsidR="00F2549E" w:rsidRPr="00F2549E" w:rsidRDefault="00F2549E" w:rsidP="00F2549E">
            <w:pPr>
              <w:jc w:val="both"/>
              <w:rPr>
                <w:rFonts w:ascii="Verdana" w:eastAsia="Calibri" w:hAnsi="Verdana" w:cs="Arial"/>
                <w:b/>
                <w:bCs/>
                <w:lang w:eastAsia="es-ES_tradnl"/>
              </w:rPr>
            </w:pPr>
            <w:r w:rsidRPr="00F2549E">
              <w:rPr>
                <w:rFonts w:ascii="Verdana" w:eastAsia="Calibri" w:hAnsi="Verdana" w:cs="Arial"/>
                <w:b/>
                <w:bCs/>
                <w:lang w:eastAsia="es-ES_tradnl"/>
              </w:rPr>
              <w:t xml:space="preserve">Radicación:               </w:t>
            </w:r>
          </w:p>
        </w:tc>
        <w:tc>
          <w:tcPr>
            <w:tcW w:w="6183" w:type="dxa"/>
          </w:tcPr>
          <w:p w14:paraId="1FA6A976" w14:textId="77777777" w:rsidR="00F2549E" w:rsidRPr="00F2549E" w:rsidRDefault="00F2549E" w:rsidP="00F2549E">
            <w:pPr>
              <w:snapToGrid w:val="0"/>
              <w:jc w:val="both"/>
              <w:rPr>
                <w:rFonts w:ascii="Verdana" w:eastAsia="Calibri" w:hAnsi="Verdana" w:cs="Arial"/>
                <w:lang w:eastAsia="es-ES_tradnl"/>
              </w:rPr>
            </w:pPr>
            <w:r w:rsidRPr="00F2549E">
              <w:rPr>
                <w:rFonts w:ascii="Verdana" w:eastAsia="Calibri" w:hAnsi="Verdana" w:cs="Arial"/>
                <w:lang w:eastAsia="es-ES_tradnl"/>
              </w:rPr>
              <w:t>Respuesta a consulta con radicado No. 1_2026_09_23_012808</w:t>
            </w:r>
          </w:p>
        </w:tc>
      </w:tr>
    </w:tbl>
    <w:p w14:paraId="735DABFE" w14:textId="77777777" w:rsidR="00F2549E" w:rsidRPr="00F2549E" w:rsidRDefault="00F2549E" w:rsidP="00F2549E">
      <w:pPr>
        <w:spacing w:after="0" w:line="240" w:lineRule="auto"/>
        <w:jc w:val="both"/>
        <w:rPr>
          <w:rFonts w:ascii="Verdana" w:eastAsia="Calibri" w:hAnsi="Verdana" w:cs="Arial"/>
          <w:b/>
          <w:bCs/>
          <w:lang w:eastAsia="es-ES"/>
        </w:rPr>
      </w:pPr>
      <w:r w:rsidRPr="00F2549E">
        <w:rPr>
          <w:rFonts w:ascii="Verdana" w:eastAsia="Calibri" w:hAnsi="Verdana" w:cs="Arial"/>
          <w:b/>
          <w:bCs/>
          <w:lang w:eastAsia="es-ES"/>
        </w:rPr>
        <w:tab/>
      </w:r>
    </w:p>
    <w:p w14:paraId="6B9C1A6B" w14:textId="77777777" w:rsidR="00F2549E" w:rsidRPr="00F2549E" w:rsidRDefault="00F2549E" w:rsidP="00F2549E">
      <w:pPr>
        <w:spacing w:after="0" w:line="240" w:lineRule="auto"/>
        <w:jc w:val="both"/>
        <w:rPr>
          <w:rFonts w:ascii="Verdana" w:eastAsia="Aptos" w:hAnsi="Verdana" w:cs="Times New Roman"/>
          <w:b/>
          <w:bCs/>
          <w:kern w:val="2"/>
          <w14:ligatures w14:val="standardContextual"/>
        </w:rPr>
      </w:pPr>
      <w:r w:rsidRPr="00F2549E">
        <w:rPr>
          <w:rFonts w:ascii="Verdana" w:eastAsia="Calibri" w:hAnsi="Verdana" w:cs="Vrinda"/>
          <w:lang w:val="es-ES" w:eastAsia="es-ES"/>
        </w:rPr>
        <w:t xml:space="preserve">Estimado señor </w:t>
      </w:r>
      <w:r w:rsidRPr="00F2549E">
        <w:rPr>
          <w:rFonts w:ascii="Verdana" w:eastAsia="Aptos" w:hAnsi="Verdana" w:cs="Times New Roman"/>
          <w:color w:val="000000"/>
          <w:kern w:val="2"/>
          <w:shd w:val="clear" w:color="auto" w:fill="FFFFFF"/>
          <w14:ligatures w14:val="standardContextual"/>
        </w:rPr>
        <w:t>González Guzmán</w:t>
      </w:r>
      <w:r w:rsidRPr="00F2549E">
        <w:rPr>
          <w:rFonts w:ascii="Verdana" w:eastAsia="Aptos" w:hAnsi="Verdana" w:cs="Times New Roman"/>
          <w:kern w:val="2"/>
          <w14:ligatures w14:val="standardContextual"/>
        </w:rPr>
        <w:t>:</w:t>
      </w:r>
    </w:p>
    <w:p w14:paraId="5EAE7155" w14:textId="77777777" w:rsidR="00F2549E" w:rsidRPr="00F2549E" w:rsidRDefault="00F2549E" w:rsidP="00F2549E">
      <w:pPr>
        <w:spacing w:after="0" w:line="240" w:lineRule="auto"/>
        <w:jc w:val="both"/>
        <w:rPr>
          <w:rFonts w:ascii="Verdana" w:eastAsia="Aptos" w:hAnsi="Verdana" w:cs="Times New Roman"/>
          <w:b/>
          <w:bCs/>
          <w:kern w:val="2"/>
          <w14:ligatures w14:val="standardContextual"/>
        </w:rPr>
      </w:pPr>
    </w:p>
    <w:p w14:paraId="653EAA76" w14:textId="77777777" w:rsidR="00F2549E" w:rsidRPr="00F2549E" w:rsidRDefault="00F2549E" w:rsidP="00F2549E">
      <w:pPr>
        <w:spacing w:after="0" w:line="276" w:lineRule="auto"/>
        <w:jc w:val="both"/>
        <w:rPr>
          <w:rFonts w:ascii="Verdana" w:eastAsia="Calibri" w:hAnsi="Verdana" w:cs="Arial"/>
          <w:lang w:val="es-ES" w:eastAsia="es-ES"/>
        </w:rPr>
      </w:pPr>
      <w:r w:rsidRPr="00F2549E">
        <w:rPr>
          <w:rFonts w:ascii="Verdana" w:eastAsia="Calibri" w:hAnsi="Verdana" w:cs="Arial"/>
          <w:lang w:val="es-ES" w:eastAsia="es-ES"/>
        </w:rPr>
        <w:t>En ejercicio de la competencia otorgada por los artículos 3, numeral 5º, y 11, numeral 8º, del Decreto Ley 4170 de 2011,</w:t>
      </w:r>
      <w:r w:rsidRPr="00F2549E">
        <w:rPr>
          <w:rFonts w:ascii="Verdana" w:eastAsia="Arial MT" w:hAnsi="Verdana" w:cs="Arial MT"/>
          <w:lang w:val="es-ES" w:eastAsia="es-ES"/>
        </w:rPr>
        <w:t xml:space="preserve"> </w:t>
      </w:r>
      <w:r w:rsidRPr="00F2549E">
        <w:rPr>
          <w:rFonts w:ascii="Verdana" w:eastAsia="Calibri" w:hAnsi="Verdana" w:cs="Arial"/>
          <w:lang w:eastAsia="es-MX"/>
        </w:rPr>
        <w:t xml:space="preserve">así como lo establecido por la </w:t>
      </w:r>
      <w:r w:rsidRPr="00F2549E">
        <w:rPr>
          <w:rFonts w:ascii="Verdana" w:eastAsia="Aptos" w:hAnsi="Verdana" w:cs="Arial"/>
          <w:bCs/>
          <w:lang w:eastAsia="es-ES" w:bidi="es-ES"/>
        </w:rPr>
        <w:t>Resolución 469 de 2025 expedida por esta Entidad</w:t>
      </w:r>
      <w:r w:rsidRPr="00F2549E">
        <w:rPr>
          <w:rFonts w:ascii="Verdana" w:eastAsia="Calibri" w:hAnsi="Verdana" w:cs="Arial"/>
          <w:lang w:eastAsia="es-MX"/>
        </w:rPr>
        <w:t xml:space="preserve">, </w:t>
      </w:r>
      <w:r w:rsidRPr="00F2549E">
        <w:rPr>
          <w:rFonts w:ascii="Verdana" w:eastAsia="Calibri" w:hAnsi="Verdana" w:cs="Arial"/>
          <w:lang w:val="es-ES" w:eastAsia="es-ES"/>
        </w:rPr>
        <w:t xml:space="preserve">la Agencia Nacional de Contratación Pública – Colombia Compra Eficiente– responde su solicitud de consulta del 23 de septiembre de 2026, en la cual manifiesta lo siguiente: </w:t>
      </w:r>
    </w:p>
    <w:p w14:paraId="301E4FE1" w14:textId="77777777" w:rsidR="00F2549E" w:rsidRPr="00F2549E" w:rsidRDefault="00F2549E" w:rsidP="00F2549E">
      <w:pPr>
        <w:spacing w:after="0" w:line="276" w:lineRule="auto"/>
        <w:jc w:val="both"/>
        <w:rPr>
          <w:rFonts w:ascii="Verdana" w:eastAsia="Calibri" w:hAnsi="Verdana" w:cs="Vrinda"/>
          <w:lang w:val="es-ES" w:eastAsia="es-ES"/>
        </w:rPr>
      </w:pPr>
    </w:p>
    <w:p w14:paraId="15EB2A81"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Arial"/>
          <w:color w:val="000000"/>
          <w:sz w:val="20"/>
          <w:szCs w:val="20"/>
          <w:lang w:val="es-MX"/>
          <w14:ligatures w14:val="standardContextual"/>
        </w:rPr>
        <w:t>“</w:t>
      </w:r>
      <w:r w:rsidRPr="00F2549E">
        <w:rPr>
          <w:rFonts w:ascii="Verdana" w:eastAsia="Aptos" w:hAnsi="Verdana" w:cs="Times New Roman"/>
          <w:b/>
          <w:kern w:val="2"/>
          <w:sz w:val="20"/>
          <w:szCs w:val="20"/>
          <w14:ligatures w14:val="standardContextual"/>
        </w:rPr>
        <w:t>RAPITEC S.A.S.</w:t>
      </w:r>
      <w:r w:rsidRPr="00F2549E">
        <w:rPr>
          <w:rFonts w:ascii="Verdana" w:eastAsia="Aptos" w:hAnsi="Verdana" w:cs="Times New Roman"/>
          <w:kern w:val="2"/>
          <w:sz w:val="20"/>
          <w:szCs w:val="20"/>
          <w14:ligatures w14:val="standardContextual"/>
        </w:rPr>
        <w:t xml:space="preserve">, identificada con NIT 800.170.850-4, solicita respetuosamente a la Agencia Nacional de Contratación Pública – Colombia Compra Eficiente emitir concepto jurídico sobre una situación </w:t>
      </w:r>
      <w:r w:rsidRPr="00F2549E">
        <w:rPr>
          <w:rFonts w:ascii="Verdana" w:eastAsia="Aptos" w:hAnsi="Verdana" w:cs="Times New Roman"/>
          <w:kern w:val="2"/>
          <w:sz w:val="20"/>
          <w:szCs w:val="20"/>
          <w14:ligatures w14:val="standardContextual"/>
        </w:rPr>
        <w:lastRenderedPageBreak/>
        <w:t xml:space="preserve">concreta de interpretación de la </w:t>
      </w:r>
      <w:r w:rsidRPr="00F2549E">
        <w:rPr>
          <w:rFonts w:ascii="Verdana" w:eastAsia="Aptos" w:hAnsi="Verdana" w:cs="Times New Roman"/>
          <w:b/>
          <w:kern w:val="2"/>
          <w:sz w:val="20"/>
          <w:szCs w:val="20"/>
          <w14:ligatures w14:val="standardContextual"/>
        </w:rPr>
        <w:t>Matriz 1 – Experiencia</w:t>
      </w:r>
      <w:r w:rsidRPr="00F2549E">
        <w:rPr>
          <w:rFonts w:ascii="Verdana" w:eastAsia="Aptos" w:hAnsi="Verdana" w:cs="Times New Roman"/>
          <w:kern w:val="2"/>
          <w:sz w:val="20"/>
          <w:szCs w:val="20"/>
          <w14:ligatures w14:val="standardContextual"/>
        </w:rPr>
        <w:t xml:space="preserve"> de los Documentos Tipo para licitación de obra pública de infraestructura de agua potable y saneamiento básico.</w:t>
      </w:r>
    </w:p>
    <w:p w14:paraId="79CA6071"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La consulta puede resumirse de manera sencilla así:</w:t>
      </w:r>
    </w:p>
    <w:p w14:paraId="63E2B720"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1. Situación que genera la consulta</w:t>
      </w:r>
    </w:p>
    <w:p w14:paraId="0B982C02"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Para la actividad </w:t>
      </w:r>
      <w:r w:rsidRPr="00F2549E">
        <w:rPr>
          <w:rFonts w:ascii="Verdana" w:eastAsia="Aptos" w:hAnsi="Verdana" w:cs="Times New Roman"/>
          <w:b/>
          <w:kern w:val="2"/>
          <w:sz w:val="20"/>
          <w:szCs w:val="20"/>
          <w14:ligatures w14:val="standardContextual"/>
        </w:rPr>
        <w:t>2.2</w:t>
      </w:r>
      <w:r w:rsidRPr="00F2549E">
        <w:rPr>
          <w:rFonts w:ascii="Verdana" w:eastAsia="Aptos" w:hAnsi="Verdana" w:cs="Times New Roman"/>
          <w:kern w:val="2"/>
          <w:sz w:val="20"/>
          <w:szCs w:val="20"/>
          <w14:ligatures w14:val="standardContextual"/>
        </w:rPr>
        <w:t>, correspondiente a proyectos de optimización, mejoramiento, rehabilitación, reforzamiento, reconstrucción y/o reposición de alcantarillados o redes de alcantarillado, la Matriz 1 identifica expresamente la actividad como aplicable a proyectos:</w:t>
      </w:r>
    </w:p>
    <w:p w14:paraId="67DCF2FC"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“URBANOS Y/O RURALES”.</w:t>
      </w:r>
    </w:p>
    <w:p w14:paraId="22629879"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Adicionalmente, en la primera columna de la Matriz aparece la expresión:</w:t>
      </w:r>
    </w:p>
    <w:p w14:paraId="3B801527"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“Que hayan contenido la ejecución de:”</w:t>
      </w:r>
    </w:p>
    <w:p w14:paraId="3BB83FAD"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acompañada de la siguiente instrucción dirigida a la Entidad Estatal:</w:t>
      </w:r>
    </w:p>
    <w:p w14:paraId="266FA6C4"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“[la Entidad no podrá incluir condiciones adicionales para la acreditación de la experiencia a las exigidas en esta Matriz haciendo uso de esta expresión]”</w:t>
      </w:r>
      <w:r w:rsidRPr="00F2549E">
        <w:rPr>
          <w:rFonts w:ascii="Verdana" w:eastAsia="Aptos" w:hAnsi="Verdana" w:cs="Times New Roman"/>
          <w:kern w:val="2"/>
          <w:sz w:val="20"/>
          <w:szCs w:val="20"/>
          <w14:ligatures w14:val="standardContextual"/>
        </w:rPr>
        <w:t>. Esta expresión en letras rojas</w:t>
      </w:r>
    </w:p>
    <w:p w14:paraId="245D7BA8" w14:textId="77777777" w:rsidR="00F2549E" w:rsidRPr="00F2549E" w:rsidRDefault="00F2549E" w:rsidP="00F2549E">
      <w:pPr>
        <w:spacing w:line="240" w:lineRule="auto"/>
        <w:ind w:left="709" w:right="709"/>
        <w:jc w:val="center"/>
        <w:rPr>
          <w:rFonts w:ascii="Verdana" w:eastAsia="Aptos" w:hAnsi="Verdana" w:cs="Times New Roman"/>
          <w:kern w:val="2"/>
          <w:sz w:val="20"/>
          <w:szCs w:val="20"/>
          <w14:ligatures w14:val="standardContextual"/>
        </w:rPr>
      </w:pPr>
      <w:r w:rsidRPr="00F2549E">
        <w:rPr>
          <w:rFonts w:ascii="Verdana" w:eastAsia="Aptos" w:hAnsi="Verdana" w:cs="Times New Roman"/>
          <w:noProof/>
          <w:kern w:val="2"/>
          <w:sz w:val="20"/>
          <w:szCs w:val="20"/>
          <w14:ligatures w14:val="standardContextual"/>
        </w:rPr>
        <w:drawing>
          <wp:inline distT="0" distB="0" distL="0" distR="0" wp14:anchorId="02EB6E31" wp14:editId="1CEEF8E3">
            <wp:extent cx="2797984" cy="157210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000.png"/>
                    <pic:cNvPicPr/>
                  </pic:nvPicPr>
                  <pic:blipFill>
                    <a:blip r:embed="rId11"/>
                    <a:stretch>
                      <a:fillRect/>
                    </a:stretch>
                  </pic:blipFill>
                  <pic:spPr>
                    <a:xfrm>
                      <a:off x="0" y="0"/>
                      <a:ext cx="2861408" cy="1607741"/>
                    </a:xfrm>
                    <a:prstGeom prst="rect">
                      <a:avLst/>
                    </a:prstGeom>
                  </pic:spPr>
                </pic:pic>
              </a:graphicData>
            </a:graphic>
          </wp:inline>
        </w:drawing>
      </w:r>
    </w:p>
    <w:p w14:paraId="315D9654" w14:textId="77777777" w:rsidR="00F2549E" w:rsidRPr="00F2549E" w:rsidRDefault="00F2549E" w:rsidP="00F2549E">
      <w:pPr>
        <w:spacing w:line="240" w:lineRule="auto"/>
        <w:ind w:left="709" w:right="709"/>
        <w:jc w:val="center"/>
        <w:rPr>
          <w:rFonts w:ascii="Verdana" w:eastAsia="Aptos" w:hAnsi="Verdana" w:cs="Times New Roman"/>
          <w:kern w:val="2"/>
          <w:sz w:val="20"/>
          <w:szCs w:val="20"/>
          <w14:ligatures w14:val="standardContextual"/>
        </w:rPr>
      </w:pPr>
      <w:r w:rsidRPr="00F2549E">
        <w:rPr>
          <w:rFonts w:ascii="Verdana" w:eastAsia="Aptos" w:hAnsi="Verdana" w:cs="Times New Roman"/>
          <w:noProof/>
          <w:kern w:val="2"/>
          <w:sz w:val="20"/>
          <w:szCs w:val="20"/>
          <w14:ligatures w14:val="standardContextual"/>
        </w:rPr>
        <w:drawing>
          <wp:inline distT="0" distB="0" distL="0" distR="0" wp14:anchorId="16CEE0F4" wp14:editId="1998BBDF">
            <wp:extent cx="865892" cy="1225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001.png"/>
                    <pic:cNvPicPr/>
                  </pic:nvPicPr>
                  <pic:blipFill>
                    <a:blip r:embed="rId12"/>
                    <a:stretch>
                      <a:fillRect/>
                    </a:stretch>
                  </pic:blipFill>
                  <pic:spPr>
                    <a:xfrm>
                      <a:off x="0" y="0"/>
                      <a:ext cx="880232" cy="1246091"/>
                    </a:xfrm>
                    <a:prstGeom prst="rect">
                      <a:avLst/>
                    </a:prstGeom>
                  </pic:spPr>
                </pic:pic>
              </a:graphicData>
            </a:graphic>
          </wp:inline>
        </w:drawing>
      </w:r>
    </w:p>
    <w:p w14:paraId="6E5CD421"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Por otra parte, dentro de las opciones de </w:t>
      </w:r>
      <w:r w:rsidRPr="00F2549E">
        <w:rPr>
          <w:rFonts w:ascii="Verdana" w:eastAsia="Aptos" w:hAnsi="Verdana" w:cs="Times New Roman"/>
          <w:b/>
          <w:kern w:val="2"/>
          <w:sz w:val="20"/>
          <w:szCs w:val="20"/>
          <w14:ligatures w14:val="standardContextual"/>
        </w:rPr>
        <w:t>experiencia específica adicional</w:t>
      </w:r>
      <w:r w:rsidRPr="00F2549E">
        <w:rPr>
          <w:rFonts w:ascii="Verdana" w:eastAsia="Aptos" w:hAnsi="Verdana" w:cs="Times New Roman"/>
          <w:kern w:val="2"/>
          <w:sz w:val="20"/>
          <w:szCs w:val="20"/>
          <w14:ligatures w14:val="standardContextual"/>
        </w:rPr>
        <w:t>, la misma Matriz contempla expresamente la posibilidad de exigir que:</w:t>
      </w:r>
    </w:p>
    <w:p w14:paraId="7A42D7FE"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lastRenderedPageBreak/>
        <w:t>“Por lo menos uno (1) de los contratos válidos aportados como experiencia general, debe corresponder a la ejecución de un proyecto en zona rural y/o de difícil acceso (...)”.</w:t>
      </w:r>
    </w:p>
    <w:p w14:paraId="71651B97"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Es decir, la propia Matriz contempla de manera expresa la </w:t>
      </w:r>
      <w:r w:rsidRPr="00F2549E">
        <w:rPr>
          <w:rFonts w:ascii="Verdana" w:eastAsia="Aptos" w:hAnsi="Verdana" w:cs="Times New Roman"/>
          <w:b/>
          <w:kern w:val="2"/>
          <w:sz w:val="20"/>
          <w:szCs w:val="20"/>
          <w14:ligatures w14:val="standardContextual"/>
        </w:rPr>
        <w:t>ruralidad</w:t>
      </w:r>
      <w:r w:rsidRPr="00F2549E">
        <w:rPr>
          <w:rFonts w:ascii="Verdana" w:eastAsia="Aptos" w:hAnsi="Verdana" w:cs="Times New Roman"/>
          <w:kern w:val="2"/>
          <w:sz w:val="20"/>
          <w:szCs w:val="20"/>
          <w14:ligatures w14:val="standardContextual"/>
        </w:rPr>
        <w:t xml:space="preserve"> como una de las alternativas que puede seleccionar la Entidad dentro de la experiencia específica adicional.</w:t>
      </w:r>
    </w:p>
    <w:p w14:paraId="4EE0547C"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Sin embargo, puede presentarse el siguiente supuesto:</w:t>
      </w:r>
    </w:p>
    <w:p w14:paraId="0F15F0CB"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Una Entidad Estatal </w:t>
      </w:r>
      <w:r w:rsidRPr="00F2549E">
        <w:rPr>
          <w:rFonts w:ascii="Verdana" w:eastAsia="Aptos" w:hAnsi="Verdana" w:cs="Times New Roman"/>
          <w:b/>
          <w:kern w:val="2"/>
          <w:sz w:val="20"/>
          <w:szCs w:val="20"/>
          <w14:ligatures w14:val="standardContextual"/>
        </w:rPr>
        <w:t>no selecciona la alternativa de experiencia en zona rural</w:t>
      </w:r>
      <w:r w:rsidRPr="00F2549E">
        <w:rPr>
          <w:rFonts w:ascii="Verdana" w:eastAsia="Aptos" w:hAnsi="Verdana" w:cs="Times New Roman"/>
          <w:kern w:val="2"/>
          <w:sz w:val="20"/>
          <w:szCs w:val="20"/>
          <w14:ligatures w14:val="standardContextual"/>
        </w:rPr>
        <w:t xml:space="preserve"> dentro de la experiencia específica adicional y, en su lugar, selecciona otras dos alternativas, por ejemplo:</w:t>
      </w:r>
    </w:p>
    <w:p w14:paraId="57C343C2" w14:textId="77777777" w:rsidR="00F2549E" w:rsidRPr="00F2549E" w:rsidRDefault="00F2549E" w:rsidP="00F2549E">
      <w:pPr>
        <w:tabs>
          <w:tab w:val="num" w:pos="360"/>
        </w:tabs>
        <w:spacing w:after="120" w:line="240" w:lineRule="auto"/>
        <w:ind w:left="709" w:right="709"/>
        <w:contextualSpacing/>
        <w:rPr>
          <w:rFonts w:ascii="Verdana" w:eastAsia="Times New Roman" w:hAnsi="Verdana" w:cs="Times New Roman"/>
          <w:sz w:val="20"/>
          <w:szCs w:val="20"/>
        </w:rPr>
      </w:pPr>
      <w:r w:rsidRPr="00F2549E">
        <w:rPr>
          <w:rFonts w:ascii="Verdana" w:eastAsia="Times New Roman" w:hAnsi="Verdana" w:cs="Times New Roman"/>
          <w:sz w:val="20"/>
          <w:szCs w:val="20"/>
        </w:rPr>
        <w:t>conexiones domiciliarias; y</w:t>
      </w:r>
    </w:p>
    <w:p w14:paraId="790B432A" w14:textId="77777777" w:rsidR="00F2549E" w:rsidRPr="00F2549E" w:rsidRDefault="00F2549E" w:rsidP="00F2549E">
      <w:pPr>
        <w:tabs>
          <w:tab w:val="num" w:pos="709"/>
        </w:tabs>
        <w:spacing w:after="120" w:line="240" w:lineRule="auto"/>
        <w:ind w:left="709" w:right="709"/>
        <w:contextualSpacing/>
        <w:rPr>
          <w:rFonts w:ascii="Verdana" w:eastAsia="Times New Roman" w:hAnsi="Verdana" w:cs="Times New Roman"/>
          <w:sz w:val="20"/>
          <w:szCs w:val="20"/>
        </w:rPr>
      </w:pPr>
      <w:r w:rsidRPr="00F2549E">
        <w:rPr>
          <w:rFonts w:ascii="Verdana" w:eastAsia="Times New Roman" w:hAnsi="Verdana" w:cs="Times New Roman"/>
          <w:sz w:val="20"/>
          <w:szCs w:val="20"/>
        </w:rPr>
        <w:t>entibados.</w:t>
      </w:r>
    </w:p>
    <w:p w14:paraId="401C8C5B"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Posteriormente, la Entidad incluye la palabra </w:t>
      </w:r>
      <w:r w:rsidRPr="00F2549E">
        <w:rPr>
          <w:rFonts w:ascii="Verdana" w:eastAsia="Aptos" w:hAnsi="Verdana" w:cs="Times New Roman"/>
          <w:b/>
          <w:kern w:val="2"/>
          <w:sz w:val="20"/>
          <w:szCs w:val="20"/>
          <w14:ligatures w14:val="standardContextual"/>
        </w:rPr>
        <w:t>“rural”</w:t>
      </w:r>
      <w:r w:rsidRPr="00F2549E">
        <w:rPr>
          <w:rFonts w:ascii="Verdana" w:eastAsia="Aptos" w:hAnsi="Verdana" w:cs="Times New Roman"/>
          <w:kern w:val="2"/>
          <w:sz w:val="20"/>
          <w:szCs w:val="20"/>
          <w14:ligatures w14:val="standardContextual"/>
        </w:rPr>
        <w:t xml:space="preserve"> dentro de la columna </w:t>
      </w:r>
      <w:r w:rsidRPr="00F2549E">
        <w:rPr>
          <w:rFonts w:ascii="Verdana" w:eastAsia="Aptos" w:hAnsi="Verdana" w:cs="Times New Roman"/>
          <w:b/>
          <w:kern w:val="2"/>
          <w:sz w:val="20"/>
          <w:szCs w:val="20"/>
          <w14:ligatures w14:val="standardContextual"/>
        </w:rPr>
        <w:t>“Que hayan contenido la ejecución de”</w:t>
      </w:r>
      <w:r w:rsidRPr="00F2549E">
        <w:rPr>
          <w:rFonts w:ascii="Verdana" w:eastAsia="Aptos" w:hAnsi="Verdana" w:cs="Times New Roman"/>
          <w:kern w:val="2"/>
          <w:sz w:val="20"/>
          <w:szCs w:val="20"/>
          <w14:ligatures w14:val="standardContextual"/>
        </w:rPr>
        <w:t xml:space="preserve"> y, durante la evaluación de las propuestas, considera que un contrato ejecutado en un sistema de alcantarillado urbano </w:t>
      </w:r>
      <w:r w:rsidRPr="00F2549E">
        <w:rPr>
          <w:rFonts w:ascii="Verdana" w:eastAsia="Aptos" w:hAnsi="Verdana" w:cs="Times New Roman"/>
          <w:b/>
          <w:kern w:val="2"/>
          <w:sz w:val="20"/>
          <w:szCs w:val="20"/>
          <w14:ligatures w14:val="standardContextual"/>
        </w:rPr>
        <w:t>no cumple</w:t>
      </w:r>
      <w:r w:rsidRPr="00F2549E">
        <w:rPr>
          <w:rFonts w:ascii="Verdana" w:eastAsia="Aptos" w:hAnsi="Verdana" w:cs="Times New Roman"/>
          <w:kern w:val="2"/>
          <w:sz w:val="20"/>
          <w:szCs w:val="20"/>
          <w14:ligatures w14:val="standardContextual"/>
        </w:rPr>
        <w:t>, exclusivamente porque no corresponde a un proyecto rural.</w:t>
      </w:r>
    </w:p>
    <w:p w14:paraId="224160B1" w14:textId="77777777" w:rsidR="00F2549E" w:rsidRPr="00F2549E" w:rsidRDefault="00F2549E" w:rsidP="00F2549E">
      <w:pPr>
        <w:spacing w:line="240" w:lineRule="auto"/>
        <w:ind w:left="709" w:right="709"/>
        <w:jc w:val="center"/>
        <w:rPr>
          <w:rFonts w:ascii="Verdana" w:eastAsia="Aptos" w:hAnsi="Verdana" w:cs="Times New Roman"/>
          <w:kern w:val="2"/>
          <w:sz w:val="20"/>
          <w:szCs w:val="20"/>
          <w14:ligatures w14:val="standardContextual"/>
        </w:rPr>
      </w:pPr>
      <w:r w:rsidRPr="00F2549E">
        <w:rPr>
          <w:rFonts w:ascii="Verdana" w:eastAsia="Aptos" w:hAnsi="Verdana" w:cs="Times New Roman"/>
          <w:noProof/>
          <w:kern w:val="2"/>
          <w:sz w:val="20"/>
          <w:szCs w:val="20"/>
          <w14:ligatures w14:val="standardContextual"/>
        </w:rPr>
        <w:drawing>
          <wp:inline distT="0" distB="0" distL="0" distR="0" wp14:anchorId="136C1B94" wp14:editId="356AADC5">
            <wp:extent cx="3165644" cy="2917897"/>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004.png"/>
                    <pic:cNvPicPr/>
                  </pic:nvPicPr>
                  <pic:blipFill>
                    <a:blip r:embed="rId13"/>
                    <a:stretch>
                      <a:fillRect/>
                    </a:stretch>
                  </pic:blipFill>
                  <pic:spPr>
                    <a:xfrm>
                      <a:off x="0" y="0"/>
                      <a:ext cx="3206758" cy="2955794"/>
                    </a:xfrm>
                    <a:prstGeom prst="rect">
                      <a:avLst/>
                    </a:prstGeom>
                  </pic:spPr>
                </pic:pic>
              </a:graphicData>
            </a:graphic>
          </wp:inline>
        </w:drawing>
      </w:r>
    </w:p>
    <w:p w14:paraId="412733C7"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Es precisamente frente a este supuesto que se solicita el criterio interpretativo de Colombia Compra Eficiente.</w:t>
      </w:r>
    </w:p>
    <w:p w14:paraId="17FA2C17"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2. Preguntas</w:t>
      </w:r>
    </w:p>
    <w:p w14:paraId="737A3D2D"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PRIMERA.</w:t>
      </w:r>
    </w:p>
    <w:p w14:paraId="3389EAD9"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lastRenderedPageBreak/>
        <w:t>¿Qué significa jurídicamente la instrucción de la Matriz 1 según la cual:</w:t>
      </w:r>
    </w:p>
    <w:p w14:paraId="4D035847"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“la Entidad no podrá incluir condiciones adicionales para la acreditación de la experiencia a las exigidas en esta Matriz haciendo uso de esta expresión”?</w:t>
      </w:r>
    </w:p>
    <w:p w14:paraId="145E86A5"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Específicamente, ¿esta instrucción impide que la Entidad utilice la columna “Que hayan contenido la ejecución de” para incorporar una condición adicional —por ejemplo, ¿que el proyecto sea necesariamente rural y posteriormente utilizarla como requisito habilitante para excluir experiencia que de otra manera cumple las condiciones de la Matriz?</w:t>
      </w:r>
    </w:p>
    <w:p w14:paraId="09601C2C"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SEGUNDA.</w:t>
      </w:r>
    </w:p>
    <w:p w14:paraId="47256840"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Si la Matriz 1 contempla expresamente la ejecución de proyectos en zona rural y/o de difícil acceso como una alternativa de experiencia específica adicional, ¿debe la Entidad seleccionar expresamente dicha alternativa si desea exigir que uno de los contratos aportados haya sido ejecutado en zona rural?</w:t>
      </w:r>
    </w:p>
    <w:p w14:paraId="011D35CC"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En otras palabras:</w:t>
      </w:r>
    </w:p>
    <w:p w14:paraId="58A57EB7"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si la Entidad no seleccionó la ruralidad como requisito de experiencia específica adicional, ¿puede exigirla posteriormente por medio de la columna “Que hayan contenido la ejecución de”?</w:t>
      </w:r>
    </w:p>
    <w:p w14:paraId="5FFB27BE"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TERCERA.</w:t>
      </w:r>
    </w:p>
    <w:p w14:paraId="41309398"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La Matriz dispone que, además de la experiencia específica obligatoria, la Entidad podrá seleccionar requisitos de experiencia específica adicional </w:t>
      </w:r>
      <w:r w:rsidRPr="00F2549E">
        <w:rPr>
          <w:rFonts w:ascii="Verdana" w:eastAsia="Aptos" w:hAnsi="Verdana" w:cs="Times New Roman"/>
          <w:b/>
          <w:kern w:val="2"/>
          <w:sz w:val="20"/>
          <w:szCs w:val="20"/>
          <w14:ligatures w14:val="standardContextual"/>
        </w:rPr>
        <w:t>“sin que sobrepase a 2 requisitos de las opciones enlistadas”</w:t>
      </w:r>
      <w:r w:rsidRPr="00F2549E">
        <w:rPr>
          <w:rFonts w:ascii="Verdana" w:eastAsia="Aptos" w:hAnsi="Verdana" w:cs="Times New Roman"/>
          <w:kern w:val="2"/>
          <w:sz w:val="20"/>
          <w:szCs w:val="20"/>
          <w14:ligatures w14:val="standardContextual"/>
        </w:rPr>
        <w:t>.</w:t>
      </w:r>
    </w:p>
    <w:p w14:paraId="7F9AF373"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Si una Entidad ya seleccionó como sus dos requisitos adicionales, por ejemplo:</w:t>
      </w:r>
    </w:p>
    <w:p w14:paraId="767A7CAF" w14:textId="77777777" w:rsidR="00F2549E" w:rsidRPr="00F2549E" w:rsidRDefault="00F2549E" w:rsidP="00F2549E">
      <w:pPr>
        <w:tabs>
          <w:tab w:val="num" w:pos="851"/>
        </w:tabs>
        <w:spacing w:after="120" w:line="240" w:lineRule="auto"/>
        <w:ind w:left="709" w:right="709"/>
        <w:contextualSpacing/>
        <w:rPr>
          <w:rFonts w:ascii="Verdana" w:eastAsia="Times New Roman" w:hAnsi="Verdana" w:cs="Times New Roman"/>
          <w:sz w:val="20"/>
          <w:szCs w:val="20"/>
        </w:rPr>
      </w:pPr>
      <w:r w:rsidRPr="00F2549E">
        <w:rPr>
          <w:rFonts w:ascii="Verdana" w:eastAsia="Times New Roman" w:hAnsi="Verdana" w:cs="Times New Roman"/>
          <w:sz w:val="20"/>
          <w:szCs w:val="20"/>
        </w:rPr>
        <w:t>conexiones domiciliarias; y</w:t>
      </w:r>
    </w:p>
    <w:p w14:paraId="540E33CB" w14:textId="77777777" w:rsidR="00F2549E" w:rsidRPr="00F2549E" w:rsidRDefault="00F2549E" w:rsidP="00F2549E">
      <w:pPr>
        <w:tabs>
          <w:tab w:val="num" w:pos="360"/>
        </w:tabs>
        <w:spacing w:after="120" w:line="240" w:lineRule="auto"/>
        <w:ind w:left="709" w:right="709"/>
        <w:contextualSpacing/>
        <w:rPr>
          <w:rFonts w:ascii="Verdana" w:eastAsia="Times New Roman" w:hAnsi="Verdana" w:cs="Times New Roman"/>
          <w:sz w:val="20"/>
          <w:szCs w:val="20"/>
        </w:rPr>
      </w:pPr>
      <w:r w:rsidRPr="00F2549E">
        <w:rPr>
          <w:rFonts w:ascii="Verdana" w:eastAsia="Times New Roman" w:hAnsi="Verdana" w:cs="Times New Roman"/>
          <w:sz w:val="20"/>
          <w:szCs w:val="20"/>
        </w:rPr>
        <w:t>entibados,</w:t>
      </w:r>
    </w:p>
    <w:p w14:paraId="3FE5D414"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¿puede exigir adicionalmente que el proyecto aportado como experiencia sea rural, aunque esta era otra de las alternativas disponibles en la Matriz que no fue seleccionada?</w:t>
      </w:r>
    </w:p>
    <w:p w14:paraId="6F05DB3B"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CUARTA.</w:t>
      </w:r>
    </w:p>
    <w:p w14:paraId="4EB849B7"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Si la actividad 2.2 está definida expresamente en la Matriz para alcantarillados:</w:t>
      </w:r>
    </w:p>
    <w:p w14:paraId="0EF0BEE2"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“URBANOS Y/O RURALES”,</w:t>
      </w:r>
    </w:p>
    <w:p w14:paraId="44D7AFEE"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¿puede una Entidad excluir un contrato de alcantarillado por el solo hecho de haber sido ejecutado en zona urbana, cuando la ruralidad no fue seleccionada como requisito de experiencia específica adicional?</w:t>
      </w:r>
    </w:p>
    <w:p w14:paraId="21851069"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lastRenderedPageBreak/>
        <w:t>3. Punto concreto que se solicita aclarar</w:t>
      </w:r>
    </w:p>
    <w:p w14:paraId="08D3428C"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Para efectos de facilitar el análisis de la consulta, la inquietud central puede resumirse en una sola pregunta:</w:t>
      </w:r>
    </w:p>
    <w:p w14:paraId="2BACA364"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Cuando la Matriz 1 permite expresamente seleccionar la ruralidad como una condición de experiencia específica adicional, pero la Entidad no selecciona dicha alternativa, ¿puede posteriormente obtener el mismo efecto utilizando la expresión “¿Que hayan contenido la ejecución de”, pese a que la propia Matriz advierte expresamente que esa expresión no puede utilizarse para incorporar condiciones adicionales de acreditación?</w:t>
      </w:r>
    </w:p>
    <w:p w14:paraId="19050574"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Agradecemos igualmente precisar si una actuación de esta naturaleza resulta compatible con el principio de inalterabilidad de los Documentos Tipo y de la Matriz 1 – Experiencia.</w:t>
      </w:r>
    </w:p>
    <w:p w14:paraId="70AEE99C" w14:textId="77777777" w:rsidR="00F2549E" w:rsidRPr="00F2549E" w:rsidRDefault="00F2549E" w:rsidP="00F2549E">
      <w:pPr>
        <w:spacing w:line="240" w:lineRule="auto"/>
        <w:ind w:left="709" w:right="709"/>
        <w:rPr>
          <w:rFonts w:ascii="Verdana" w:eastAsia="Aptos" w:hAnsi="Verdana" w:cs="Times New Roman"/>
          <w:kern w:val="2"/>
          <w:sz w:val="20"/>
          <w:szCs w:val="20"/>
          <w14:ligatures w14:val="standardContextual"/>
        </w:rPr>
      </w:pPr>
      <w:r w:rsidRPr="00F2549E">
        <w:rPr>
          <w:rFonts w:ascii="Verdana" w:eastAsia="Aptos" w:hAnsi="Verdana" w:cs="Times New Roman"/>
          <w:b/>
          <w:kern w:val="2"/>
          <w:sz w:val="20"/>
          <w:szCs w:val="20"/>
          <w14:ligatures w14:val="standardContextual"/>
        </w:rPr>
        <w:t>4. Alcance de la solicitud</w:t>
      </w:r>
    </w:p>
    <w:p w14:paraId="014507E7" w14:textId="77777777" w:rsidR="00F2549E" w:rsidRPr="00F2549E" w:rsidRDefault="00F2549E" w:rsidP="00F2549E">
      <w:pPr>
        <w:spacing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La presente consulta </w:t>
      </w:r>
      <w:r w:rsidRPr="00F2549E">
        <w:rPr>
          <w:rFonts w:ascii="Verdana" w:eastAsia="Aptos" w:hAnsi="Verdana" w:cs="Times New Roman"/>
          <w:b/>
          <w:kern w:val="2"/>
          <w:sz w:val="20"/>
          <w:szCs w:val="20"/>
          <w14:ligatures w14:val="standardContextual"/>
        </w:rPr>
        <w:t>no pretende que Colombia Compra Eficiente determine si un proponente particular debe ser habilitado o rechazado, ni que resuelva un proceso de selección específico</w:t>
      </w:r>
      <w:r w:rsidRPr="00F2549E">
        <w:rPr>
          <w:rFonts w:ascii="Verdana" w:eastAsia="Aptos" w:hAnsi="Verdana" w:cs="Times New Roman"/>
          <w:kern w:val="2"/>
          <w:sz w:val="20"/>
          <w:szCs w:val="20"/>
          <w14:ligatures w14:val="standardContextual"/>
        </w:rPr>
        <w:t>.</w:t>
      </w:r>
    </w:p>
    <w:p w14:paraId="504CD08E" w14:textId="77777777" w:rsidR="00F2549E" w:rsidRPr="00F2549E" w:rsidRDefault="00F2549E" w:rsidP="00F254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0" w:line="240" w:lineRule="auto"/>
        <w:ind w:left="709" w:right="709"/>
        <w:jc w:val="both"/>
        <w:rPr>
          <w:rFonts w:ascii="Verdana" w:eastAsia="Aptos" w:hAnsi="Verdana" w:cs="Times New Roman"/>
          <w:kern w:val="2"/>
          <w:sz w:val="20"/>
          <w:szCs w:val="20"/>
          <w14:ligatures w14:val="standardContextual"/>
        </w:rPr>
      </w:pPr>
      <w:r w:rsidRPr="00F2549E">
        <w:rPr>
          <w:rFonts w:ascii="Verdana" w:eastAsia="Aptos" w:hAnsi="Verdana" w:cs="Times New Roman"/>
          <w:kern w:val="2"/>
          <w:sz w:val="20"/>
          <w:szCs w:val="20"/>
          <w14:ligatures w14:val="standardContextual"/>
        </w:rPr>
        <w:t xml:space="preserve">Se solicita exclusivamente que, dentro de las competencias interpretativas de la Agencia, se precise </w:t>
      </w:r>
      <w:r w:rsidRPr="00F2549E">
        <w:rPr>
          <w:rFonts w:ascii="Verdana" w:eastAsia="Aptos" w:hAnsi="Verdana" w:cs="Times New Roman"/>
          <w:b/>
          <w:kern w:val="2"/>
          <w:sz w:val="20"/>
          <w:szCs w:val="20"/>
          <w14:ligatures w14:val="standardContextual"/>
        </w:rPr>
        <w:t>cómo deben aplicarse de manera general las reglas de la Matriz 1 – Experiencia</w:t>
      </w:r>
      <w:r w:rsidRPr="00F2549E">
        <w:rPr>
          <w:rFonts w:ascii="Verdana" w:eastAsia="Aptos" w:hAnsi="Verdana" w:cs="Times New Roman"/>
          <w:kern w:val="2"/>
          <w:sz w:val="20"/>
          <w:szCs w:val="20"/>
          <w14:ligatures w14:val="standardContextual"/>
        </w:rPr>
        <w:t xml:space="preserve"> cuando concurren las circunstancias anteriormente descritas.</w:t>
      </w:r>
      <w:r w:rsidRPr="00F2549E">
        <w:rPr>
          <w:rFonts w:ascii="Verdana" w:eastAsia="Aptos" w:hAnsi="Verdana" w:cs="Times New Roman"/>
          <w:sz w:val="20"/>
          <w:szCs w:val="20"/>
        </w:rPr>
        <w:t>”</w:t>
      </w:r>
      <w:r w:rsidRPr="00F2549E">
        <w:rPr>
          <w:rFonts w:ascii="Verdana" w:eastAsia="Aptos" w:hAnsi="Verdana" w:cs="Arial"/>
          <w:color w:val="000000"/>
          <w:sz w:val="20"/>
          <w:szCs w:val="20"/>
          <w:lang w:val="es-MX"/>
          <w14:ligatures w14:val="standardContextual"/>
        </w:rPr>
        <w:t xml:space="preserve">. </w:t>
      </w:r>
    </w:p>
    <w:p w14:paraId="2DE9B4CD" w14:textId="77777777" w:rsidR="00F2549E" w:rsidRPr="00F2549E" w:rsidRDefault="00F2549E" w:rsidP="00F2549E">
      <w:pPr>
        <w:spacing w:after="0" w:line="240" w:lineRule="auto"/>
        <w:jc w:val="both"/>
        <w:rPr>
          <w:rFonts w:ascii="Verdana" w:eastAsia="Calibri" w:hAnsi="Verdana" w:cs="Arial"/>
          <w:color w:val="000000"/>
          <w:sz w:val="21"/>
          <w:szCs w:val="21"/>
          <w:lang w:eastAsia="es-ES"/>
        </w:rPr>
      </w:pPr>
    </w:p>
    <w:p w14:paraId="79C9D9E9" w14:textId="77777777" w:rsidR="00F2549E" w:rsidRPr="00F2549E" w:rsidRDefault="00F2549E" w:rsidP="00F2549E">
      <w:pPr>
        <w:spacing w:after="120" w:line="276" w:lineRule="auto"/>
        <w:ind w:firstLine="709"/>
        <w:jc w:val="both"/>
        <w:rPr>
          <w:rFonts w:ascii="Verdana" w:eastAsia="Calibri" w:hAnsi="Verdana" w:cs="Arial"/>
          <w:color w:val="000000"/>
          <w:lang w:eastAsia="es-ES"/>
        </w:rPr>
      </w:pPr>
      <w:r w:rsidRPr="00F2549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2549E">
        <w:rPr>
          <w:rFonts w:ascii="Verdana" w:eastAsia="Calibri" w:hAnsi="Verdana" w:cs="Arial"/>
          <w:color w:val="000000"/>
          <w:lang w:eastAsia="es-ES"/>
        </w:rPr>
        <w:tab/>
      </w:r>
    </w:p>
    <w:p w14:paraId="4FB9BDC0" w14:textId="77777777" w:rsidR="00F2549E" w:rsidRPr="00F2549E" w:rsidRDefault="00F2549E" w:rsidP="00F2549E">
      <w:pPr>
        <w:spacing w:after="0" w:line="276" w:lineRule="auto"/>
        <w:ind w:firstLine="709"/>
        <w:jc w:val="both"/>
        <w:rPr>
          <w:rFonts w:ascii="Verdana" w:eastAsia="Calibri" w:hAnsi="Verdana" w:cs="Arial"/>
          <w:color w:val="000000"/>
          <w:lang w:eastAsia="es-ES"/>
        </w:rPr>
      </w:pPr>
      <w:r w:rsidRPr="00F2549E">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F2549E">
        <w:rPr>
          <w:rFonts w:ascii="Verdana" w:eastAsia="Calibri" w:hAnsi="Verdana" w:cs="Arial"/>
          <w:color w:val="000000"/>
          <w:lang w:eastAsia="es-ES"/>
        </w:rPr>
        <w:lastRenderedPageBreak/>
        <w:t>concretas mencionadas en su petición, pero haciendo unas consideraciones sobre las normas generales relacionadas con el problema jurídico de su consulta.</w:t>
      </w:r>
    </w:p>
    <w:p w14:paraId="23B13D34" w14:textId="77777777" w:rsidR="00F2549E" w:rsidRPr="00F2549E" w:rsidRDefault="00F2549E" w:rsidP="00F2549E">
      <w:pPr>
        <w:spacing w:after="0" w:line="276" w:lineRule="auto"/>
        <w:jc w:val="both"/>
        <w:rPr>
          <w:rFonts w:ascii="Verdana" w:eastAsia="Calibri" w:hAnsi="Verdana" w:cs="Arial"/>
          <w:color w:val="000000"/>
          <w:lang w:eastAsia="es-ES"/>
        </w:rPr>
      </w:pPr>
    </w:p>
    <w:p w14:paraId="6185AE2F" w14:textId="77777777" w:rsidR="00F2549E" w:rsidRPr="00F2549E" w:rsidRDefault="00F2549E" w:rsidP="00F2549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2549E">
        <w:rPr>
          <w:rFonts w:ascii="Verdana" w:eastAsia="Century Gothic" w:hAnsi="Verdana" w:cs="Century Gothic"/>
          <w:b/>
          <w:bCs/>
        </w:rPr>
        <w:t>Problema planteado:</w:t>
      </w:r>
    </w:p>
    <w:p w14:paraId="6078270D" w14:textId="77777777" w:rsidR="00F2549E" w:rsidRPr="00F2549E" w:rsidRDefault="00F2549E" w:rsidP="00F2549E">
      <w:pPr>
        <w:tabs>
          <w:tab w:val="left" w:pos="142"/>
          <w:tab w:val="left" w:pos="284"/>
        </w:tabs>
        <w:spacing w:after="0" w:line="276" w:lineRule="auto"/>
        <w:jc w:val="both"/>
        <w:rPr>
          <w:rFonts w:ascii="Verdana" w:eastAsia="Century Gothic" w:hAnsi="Verdana" w:cs="Century Gothic"/>
          <w:b/>
          <w:bCs/>
        </w:rPr>
      </w:pPr>
    </w:p>
    <w:p w14:paraId="7C7EFFBA" w14:textId="77777777" w:rsidR="00F2549E" w:rsidRPr="00F2549E" w:rsidRDefault="00F2549E" w:rsidP="00F2549E">
      <w:pPr>
        <w:spacing w:after="0" w:line="276" w:lineRule="auto"/>
        <w:jc w:val="both"/>
        <w:rPr>
          <w:rFonts w:ascii="Verdana" w:eastAsia="Century Gothic" w:hAnsi="Verdana" w:cs="Century Gothic"/>
          <w:lang w:val="es-ES_tradnl"/>
        </w:rPr>
      </w:pPr>
      <w:r w:rsidRPr="00F2549E">
        <w:rPr>
          <w:rFonts w:ascii="Verdana" w:eastAsia="Century Gothic" w:hAnsi="Verdana" w:cs="Century Gothic"/>
        </w:rPr>
        <w:t xml:space="preserve">De acuerdo con el contenido de su solicitud, en relación con los </w:t>
      </w:r>
      <w:r w:rsidRPr="00F2549E">
        <w:rPr>
          <w:rFonts w:ascii="Verdana" w:eastAsia="Aptos" w:hAnsi="Verdana" w:cs="Times New Roman"/>
        </w:rPr>
        <w:t xml:space="preserve">documentos tipo de licitación de obra pública de infraestructura de agua potable y saneamiento básico, </w:t>
      </w:r>
      <w:r w:rsidRPr="00F2549E">
        <w:rPr>
          <w:rFonts w:ascii="Verdana" w:eastAsia="Century Gothic" w:hAnsi="Verdana" w:cs="Century Gothic"/>
        </w:rPr>
        <w:t xml:space="preserve">esta Agencia resolverá los siguientes problemas jurídicos: i) ¿Cuál es el alcance de la experiencia general y específica solicitada para la actividad 2.2 en la Matriz 1 – Experiencia?, </w:t>
      </w:r>
      <w:proofErr w:type="spellStart"/>
      <w:r w:rsidRPr="00F2549E">
        <w:rPr>
          <w:rFonts w:ascii="Verdana" w:eastAsia="Century Gothic" w:hAnsi="Verdana" w:cs="Century Gothic"/>
        </w:rPr>
        <w:t>ii</w:t>
      </w:r>
      <w:proofErr w:type="spellEnd"/>
      <w:r w:rsidRPr="00F2549E">
        <w:rPr>
          <w:rFonts w:ascii="Verdana" w:eastAsia="Century Gothic" w:hAnsi="Verdana" w:cs="Century Gothic"/>
        </w:rPr>
        <w:t xml:space="preserve">) ¿Cuál es el alcance de la instrucción de la Matriz 1 – Experiencia según la cual, al hacer uso de la expresión “Que hayan contenido la ejecución de”, la entidad no podrá incluir condiciones adicionales para la acreditación de la experiencia? y </w:t>
      </w:r>
      <w:proofErr w:type="spellStart"/>
      <w:r w:rsidRPr="00F2549E">
        <w:rPr>
          <w:rFonts w:ascii="Verdana" w:eastAsia="Century Gothic" w:hAnsi="Verdana" w:cs="Century Gothic"/>
        </w:rPr>
        <w:t>iii</w:t>
      </w:r>
      <w:proofErr w:type="spellEnd"/>
      <w:r w:rsidRPr="00F2549E">
        <w:rPr>
          <w:rFonts w:ascii="Verdana" w:eastAsia="Century Gothic" w:hAnsi="Verdana" w:cs="Century Gothic"/>
        </w:rPr>
        <w:t>) ¿Puede la entidad exigir, para la actividad 2.2, que la experiencia corresponda a proyectos ejecutados en zona rural cuando no seleccionó esa alternativa dentro de la experiencia específica adicional o cuando ya escogió los dos requisitos adicionales permitidos?</w:t>
      </w:r>
    </w:p>
    <w:p w14:paraId="2F2572E4" w14:textId="77777777" w:rsidR="00F2549E" w:rsidRPr="00F2549E" w:rsidRDefault="00F2549E" w:rsidP="00F2549E">
      <w:pPr>
        <w:tabs>
          <w:tab w:val="left" w:pos="142"/>
          <w:tab w:val="left" w:pos="284"/>
        </w:tabs>
        <w:spacing w:after="0" w:line="276" w:lineRule="auto"/>
        <w:jc w:val="both"/>
        <w:rPr>
          <w:rFonts w:ascii="Verdana" w:eastAsia="Calibri" w:hAnsi="Verdana" w:cs="Arial"/>
          <w:color w:val="7030A0"/>
          <w:lang w:val="es-ES_tradnl"/>
        </w:rPr>
      </w:pPr>
    </w:p>
    <w:p w14:paraId="4AB55318" w14:textId="77777777" w:rsidR="00F2549E" w:rsidRPr="00F2549E" w:rsidRDefault="00F2549E" w:rsidP="00F2549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2549E">
        <w:rPr>
          <w:rFonts w:ascii="Verdana" w:eastAsia="Century Gothic" w:hAnsi="Verdana" w:cs="Century Gothic"/>
          <w:b/>
          <w:bCs/>
        </w:rPr>
        <w:t>Respuesta:</w:t>
      </w:r>
    </w:p>
    <w:p w14:paraId="29419763" w14:textId="77777777" w:rsidR="00F2549E" w:rsidRPr="00F2549E" w:rsidRDefault="00F2549E" w:rsidP="00F2549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2549E" w:rsidRPr="00F2549E" w14:paraId="00A88352" w14:textId="77777777" w:rsidTr="008D1021">
        <w:tc>
          <w:tcPr>
            <w:tcW w:w="8828" w:type="dxa"/>
          </w:tcPr>
          <w:p w14:paraId="5459785F" w14:textId="77777777" w:rsidR="00F2549E" w:rsidRPr="00F2549E" w:rsidRDefault="00F2549E" w:rsidP="00F2549E">
            <w:pPr>
              <w:spacing w:after="120" w:line="276" w:lineRule="auto"/>
              <w:jc w:val="both"/>
              <w:rPr>
                <w:rFonts w:ascii="Verdana" w:eastAsia="Aptos" w:hAnsi="Verdana" w:cs="Times New Roman"/>
              </w:rPr>
            </w:pPr>
            <w:r w:rsidRPr="00F2549E">
              <w:rPr>
                <w:rFonts w:ascii="Verdana" w:eastAsia="Aptos" w:hAnsi="Verdana" w:cs="Times New Roman"/>
              </w:rPr>
              <w:t>Por unidad de materia los problemas jurídicos uno (i), dos (</w:t>
            </w:r>
            <w:proofErr w:type="spellStart"/>
            <w:r w:rsidRPr="00F2549E">
              <w:rPr>
                <w:rFonts w:ascii="Verdana" w:eastAsia="Aptos" w:hAnsi="Verdana" w:cs="Times New Roman"/>
              </w:rPr>
              <w:t>ii</w:t>
            </w:r>
            <w:proofErr w:type="spellEnd"/>
            <w:r w:rsidRPr="00F2549E">
              <w:rPr>
                <w:rFonts w:ascii="Verdana" w:eastAsia="Aptos" w:hAnsi="Verdana" w:cs="Times New Roman"/>
              </w:rPr>
              <w:t>) y tres (</w:t>
            </w:r>
            <w:proofErr w:type="spellStart"/>
            <w:r w:rsidRPr="00F2549E">
              <w:rPr>
                <w:rFonts w:ascii="Verdana" w:eastAsia="Aptos" w:hAnsi="Verdana" w:cs="Times New Roman"/>
              </w:rPr>
              <w:t>iii</w:t>
            </w:r>
            <w:proofErr w:type="spellEnd"/>
            <w:r w:rsidRPr="00F2549E">
              <w:rPr>
                <w:rFonts w:ascii="Verdana" w:eastAsia="Aptos" w:hAnsi="Verdana" w:cs="Times New Roman"/>
              </w:rPr>
              <w:t>) se resolverán de forma conjunta en los siguientes términos:</w:t>
            </w:r>
          </w:p>
          <w:p w14:paraId="076BB253" w14:textId="77777777" w:rsidR="00F2549E" w:rsidRPr="00F2549E" w:rsidRDefault="00F2549E" w:rsidP="00F2549E">
            <w:pPr>
              <w:spacing w:after="120" w:line="276" w:lineRule="auto"/>
              <w:jc w:val="both"/>
              <w:rPr>
                <w:rFonts w:ascii="Verdana" w:eastAsia="Aptos" w:hAnsi="Verdana" w:cs="Times New Roman"/>
              </w:rPr>
            </w:pPr>
            <w:r w:rsidRPr="00F2549E">
              <w:rPr>
                <w:rFonts w:ascii="Verdana" w:eastAsia="Aptos" w:hAnsi="Verdana" w:cs="Times New Roman"/>
              </w:rPr>
              <w:t>La Matriz 1 – Experiencia de los documentos tipo de licitación de obra pública de infraestructura de agua potable y saneamiento básico, en el capítulo 2 “Obras de alcantarillados (sanitarios y/o pluviales y/o combinado)”, contiene la actividad por la que indaga en su solicitud, esto es, la “2.2 PROYECTOS DE OPTIMIZACIÓN Y/O MEJORAMIENTO Y/O REHABILITACIÓN Y/O REFORZAMIENTO Y/O RECONSTRUCCIÓN Y/O REPOSICIÓN DE ALCANTARILLADOS Y/O REDES DE ALCANTARILLADO SANITARIOS Y/O PLUVIALES Y/O COMBINADO (URBANOS Y/O RURALES)”. Para esta actividad se establece la experiencia general y específica exigida y, adicionalmente, se señala un porcentaje (%) para el dimensionamiento, el cual está en función de los rangos de salarios mínimos mensuales legales vigentes en los que se enmarca el presupuesto oficial del proceso de selección, y una nota general.</w:t>
            </w:r>
          </w:p>
          <w:p w14:paraId="49A4DD83"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 xml:space="preserve">Para la actividad señalada se determina como experiencia general: “PROYECTOS QUE CORRESPONDAN O HAYAN CONTENIDO ACTIVIDADES DE: </w:t>
            </w:r>
            <w:r w:rsidRPr="00F2549E">
              <w:rPr>
                <w:rFonts w:ascii="Verdana" w:eastAsia="Aptos" w:hAnsi="Verdana" w:cs="Times New Roman"/>
              </w:rPr>
              <w:lastRenderedPageBreak/>
              <w:t>AMPLIACIÓN Y/U OPTIMIZACIÓN Y/O CONSTRUCCIÓN Y/O MEJORAMIENTO Y/O REPOSICIÓN Y/O REHABILITACIÓN Y/O REFORZAMIENTO Y/O RECONSTRUCCIÓN DE ALCANTARILLADOS (SANITARIOS Y/O PLUVIALES Y/O COMBINADO)”.</w:t>
            </w:r>
          </w:p>
          <w:p w14:paraId="54D2CFBE"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Como se observa, la experiencia general de esta actividad admite contratos de ampliación, optimización, construcción, mejoramiento, reposición, rehabilitación, reforzamiento o reconstrucción de alcantarillados sanitarios, pluviales o combinados. Basta con que el contrato aportado corresponda a alguna de esas intervenciones o la haya contenido. La Matriz tampoco sujeta la experiencia general al lugar donde se ejecutó el proyecto, la propia denominación de la actividad comprende los alcantarillados urbanos y rurales, por lo que, para efectos de la experiencia general, son válidos los contratos ejecutados en una u otra zona.</w:t>
            </w:r>
          </w:p>
          <w:p w14:paraId="36788E1B"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De acuerdo con la nota general prevista para la experiencia específica de esta actividad, la entidad podrá aceptar que el porcentaje (%) de dimensionamiento exigido en la experiencia específica se acredite con la sumatoria de máximo dos (2) de los contratos válidos aportados. Es la entidad la que decide si procede aceptarlo, en atención a la magnitud física empleada como variable para el dimensionamiento, y debe señalarlo en el pliego de condiciones. La nota también fija un tope, y es que, la entidad no puede escoger más de tres (3) requisitos de experiencia específica, contando el obligatorio y los adicionales, y debe identificar los de mayor relevancia para el proyecto. Es decir, respecto de la experiencia específica la entidad estatal debe fijar el requisito de experiencia obligatorio que fija la matriz y puede establecer dos (2) requisitos adicionales de experiencia específica, de las opciones que se enlistan para cada actividad, según sea indicado en la mencionada matriz.</w:t>
            </w:r>
          </w:p>
          <w:p w14:paraId="49F072BB"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En relación con la experiencia específica obligatoria para la actividad 2.2, la Matriz 1 – Experiencia dispone que “-Por lo menos uno (1) de los contratos válidos aportados como experiencia general debe contar con una longitud de tubería equivalente al (F%) de la longitud total establecida en el presente proceso de selección y que contemple como mínimo iguales o similares condiciones técnicas (…)”, en relación con el material y el rango de diámetros que establezca la entidad.</w:t>
            </w:r>
          </w:p>
          <w:p w14:paraId="286E505E"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 xml:space="preserve">Esta experiencia debe acreditarse en todos los casos. Para exigirla, la entidad debe definir: i) la longitud de tubería, que equivale al porcentaje (F%) </w:t>
            </w:r>
            <w:r w:rsidRPr="00F2549E">
              <w:rPr>
                <w:rFonts w:ascii="Verdana" w:eastAsia="Aptos" w:hAnsi="Verdana" w:cs="Times New Roman"/>
              </w:rPr>
              <w:lastRenderedPageBreak/>
              <w:t xml:space="preserve">de la longitud total del proyecto según el rango de cuantía del proceso; </w:t>
            </w:r>
            <w:proofErr w:type="spellStart"/>
            <w:r w:rsidRPr="00F2549E">
              <w:rPr>
                <w:rFonts w:ascii="Verdana" w:eastAsia="Aptos" w:hAnsi="Verdana" w:cs="Times New Roman"/>
              </w:rPr>
              <w:t>ii</w:t>
            </w:r>
            <w:proofErr w:type="spellEnd"/>
            <w:r w:rsidRPr="00F2549E">
              <w:rPr>
                <w:rFonts w:ascii="Verdana" w:eastAsia="Aptos" w:hAnsi="Verdana" w:cs="Times New Roman"/>
              </w:rPr>
              <w:t xml:space="preserve">) el material más representativo de la tubería (PVC, PEX, concreto, entre otros), y </w:t>
            </w:r>
            <w:proofErr w:type="spellStart"/>
            <w:r w:rsidRPr="00F2549E">
              <w:rPr>
                <w:rFonts w:ascii="Verdana" w:eastAsia="Aptos" w:hAnsi="Verdana" w:cs="Times New Roman"/>
              </w:rPr>
              <w:t>iii</w:t>
            </w:r>
            <w:proofErr w:type="spellEnd"/>
            <w:r w:rsidRPr="00F2549E">
              <w:rPr>
                <w:rFonts w:ascii="Verdana" w:eastAsia="Aptos" w:hAnsi="Verdana" w:cs="Times New Roman"/>
              </w:rPr>
              <w:t>) el rango de diámetros comerciales de la tubería principal o más representativa del proyecto o, en su defecto, un diámetro mínimo de referencia. Si la entidad permitió la sumatoria prevista en la nota general, el proponente puede completar la longitud de tubería con máximo dos (2) contratos, pero cada uno debe cumplir con el material y con el rango de diámetros definidos. Por ejemplo, si la longitud que debe acreditarse es de 6 km, el material es PVC y el rango de diámetros está entre 12” y 18”, el proponente podrá sumar dos contratos para completar los 6 km, siempre que en ambos la tubería instalada o intervenida sea de PVC y se encuentre dentro de ese rango.</w:t>
            </w:r>
          </w:p>
          <w:p w14:paraId="2B0DF739"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Además de la experiencia específica obligatoria, la entidad puede escoger hasta dos (2) requisitos de experiencia específica adicional, según su pertinencia y el alcance del contrato que va a celebrar. Para la actividad 2.2, las opciones que enlista la Matriz 1 – Experiencia son las siguientes: el componente de instalación y/o intervención de tuberías para redes o sistemas de alcantarillados (sanitario y/o pluvial y/o combinado) o sistemas de recolección de aguas residuales y/o pluviales; el componente de conexiones domiciliarias; entibados para construcción de acueductos y/o alcantarillados; construcción y/u optimización y/o mejoramiento y/o rehabilitación y/o reforzamiento y/o reconstrucción y/o reposición de canales hidráulicos que complementan los sistemas de alcantarillado pluvial en zonas urbanas y/o rurales; la ejecución de un proyecto en zona rural y/o de difícil acceso, y la ejecución de un proyecto en zona urbana.</w:t>
            </w:r>
          </w:p>
          <w:p w14:paraId="51D20DB6"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Cada uno de estos requisitos se acredita, por regla general, en “por lo menos uno (1) de los contratos válidos aportados”. La expresión “SI APLICA” indica que el requisito solo es exigible cuando la entidad lo selecciona. Entre las alternativas aparece la ejecución de un proyecto en zona rural o de difícil acceso y, también, la ejecución de un proyecto en zona urbana. Es decir, la Matriz trató la ubicación del proyecto como una condición de experiencia específica adicional que la entidad puede elegir, y no como parte de la experiencia general de la actividad.</w:t>
            </w:r>
          </w:p>
          <w:p w14:paraId="0264EE51"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 xml:space="preserve">En cuanto al porcentaje (%) de dimensionamiento, la Matriz fija para la actividad 2.2 un factor F = 70 % en los procesos cuyo presupuesto oficial no </w:t>
            </w:r>
            <w:r w:rsidRPr="00F2549E">
              <w:rPr>
                <w:rFonts w:ascii="Verdana" w:eastAsia="Aptos" w:hAnsi="Verdana" w:cs="Times New Roman"/>
              </w:rPr>
              <w:lastRenderedPageBreak/>
              <w:t>supera los 1.000 SMMLV y un factor F = 50 % en los procesos de mayor cuantía.</w:t>
            </w:r>
          </w:p>
          <w:p w14:paraId="75173BD1"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Según la nota general de la actividad 2.2, la entidad debe valorar los contratos en los que se ejecutaron múltiples actividades, siempre que alguna se relacione con la experiencia requerida, y en ese caso la experiencia se acredita por el valor proporcional de las actividades requeridas. La experiencia en alcantarillados sanitarios, pluviales o combinados es válida de forma indistinta. El último inciso prohíbe a la entidad pedir condiciones de experiencia, especificaciones técnicas u otros aspectos que la Matriz no haya previsto para la actividad a contratar.</w:t>
            </w:r>
          </w:p>
          <w:p w14:paraId="175EA915"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La columna “Acreditación de la experiencia” contenida en la Matriz 1 – Experiencia señala lo siguiente: “Que hayan contenido la ejecución de: [la Entidad no podrá incluir condiciones adicionales para la acreditación de la experiencia a las exigidas en esta Matriz haciendo uso de esta expresión]”. Esta indicación debe entenderse como un límite al diligenciamiento del literal A del numeral 3.5.2. Al transcribir la actividad y los requisitos de experiencia, la entidad no puede agregar exigencias que la Matriz no contempla para la actividad a contratar, como la ubicación del proyecto, la naturaleza del contratante o especificaciones técnicas distintas. Las condiciones adicionales de experiencia solo pueden provenir de las opciones de experiencia específica que la propia Matriz enlista para cada actividad, con los límites que en esta se fijan.</w:t>
            </w:r>
          </w:p>
          <w:p w14:paraId="2589411B"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Con este marco, la instrucción que acompaña la expresión “Que hayan contenido la ejecución de” en la columna “Acreditación de la experiencia” de la Matriz 1 debe leerse junto con el literal A del numeral 3.5.2 del documento base y con la nota general de la actividad 2.2. Esa expresión corresponde al espacio en el que la entidad transcribe, sin modificarla, la actividad o actividades válidas para acreditar la experiencia general y específica, y no la habilita para agregar requisitos. Por eso la Matriz advierte que, al usarla, la entidad no podrá incluir condiciones adicionales a las exigidas en ella, y la nota general de la actividad 2.2 reitera la misma prohibición.</w:t>
            </w:r>
          </w:p>
          <w:p w14:paraId="1D935E4F"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 xml:space="preserve">Esto tiene una consecuencia directa sobre la ubicación de los proyectos. Para la actividad 2.2, la ejecución en zona rural o de difícil acceso es una de las alternativas de experiencia específica adicional que la entidad puede seleccionar, si resulta pertinente para el proyecto. Si la entidad no la </w:t>
            </w:r>
            <w:r w:rsidRPr="00F2549E">
              <w:rPr>
                <w:rFonts w:ascii="Verdana" w:eastAsia="Aptos" w:hAnsi="Verdana" w:cs="Times New Roman"/>
              </w:rPr>
              <w:lastRenderedPageBreak/>
              <w:t>seleccionó al estructurar el pliego de condiciones, no puede exigirla por otra vía, por ejemplo, incluyendo la palabra “rural” al diligenciar la expresión “Que hayan contenido la ejecución de” o al describir la actividad en el literal A del numeral 3.5.2. Una inclusión de ese tipo convierte en condición de la experiencia general un aspecto que la Matriz solo permite exigir como experiencia específica adicional, con sus propias reglas. Incluso cuando la entidad selecciona la alternativa de zona rural, el requisito se cumple con que uno (1) de los contratos válidos aportados se haya ejecutado en esa zona, de modo que los demás contratos pueden corresponder a proyectos urbanos.</w:t>
            </w:r>
          </w:p>
          <w:p w14:paraId="3995CAB3"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Ocurre lo mismo cuando la entidad ya escogió los dos (2) requisitos de experiencia específica adicional que permite la Matriz, por ejemplo, conexiones domiciliarias y entibados. En ese supuesto la entidad agotó el número de requisitos adicionales y llegó al tope de tres (3) requisitos de experiencia específica que fija la nota general. Exigir además que el proyecto se haya ejecutado en zona rural equivale a sumar un tercer requisito adicional, lo que la Matriz no permite.</w:t>
            </w:r>
          </w:p>
          <w:p w14:paraId="428E123D"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En consecuencia, cuando la entidad no seleccionó la ruralidad como experiencia específica adicional, el hecho de que un contrato de alcantarillado se haya ejecutado en zona urbana no es un criterio previsto en la Matriz 1 – Experiencia para descartarlo como experiencia de la actividad 2.2. El contrato debe evaluarse con los criterios que la Matriz sí establece: que corresponda o haya contenido alguna de las intervenciones previstas en la experiencia general, que cumpla la experiencia específica obligatoria y las adicionales que la entidad haya seleccionado, y que se ajuste a las reglas de los numerales 3.5.2 y 3.5.8 del documento base.</w:t>
            </w:r>
          </w:p>
          <w:p w14:paraId="5F5E8680" w14:textId="77777777" w:rsidR="00F2549E" w:rsidRPr="00F2549E" w:rsidRDefault="00F2549E" w:rsidP="00F2549E">
            <w:pPr>
              <w:spacing w:after="120" w:line="276" w:lineRule="auto"/>
              <w:ind w:firstLine="708"/>
              <w:jc w:val="both"/>
              <w:rPr>
                <w:rFonts w:ascii="Aptos" w:eastAsia="Aptos" w:hAnsi="Aptos" w:cs="Times New Roman"/>
              </w:rPr>
            </w:pPr>
            <w:r w:rsidRPr="00F2549E">
              <w:rPr>
                <w:rFonts w:ascii="Verdana" w:eastAsia="Aptos" w:hAnsi="Verdana" w:cs="Times New Roman"/>
              </w:rPr>
              <w:t>Esta lectura es coherente con el carácter obligatorio de los documentos tipo, explicado en el numeral i de las razones de la respuesta. Las entidades sujetas a su aplicación no pueden variar los requisitos fijados en ellos ni establecer requisitos habilitantes adicionales, y la Matriz 1 – Experiencia hace parte de los documentos tipo. Por tanto, incluir mediante el literal A una condición de ubicación del proyecto que la entidad no seleccionó como experiencia específica adicional, o que excede el número de requisitos permitidos, altera el requisito de experiencia estandarizado y no se ajusta a la regla según la cual los documentos tipo no pueden ser modificados ni adicionados por las entidades.</w:t>
            </w:r>
          </w:p>
          <w:p w14:paraId="485ABC42" w14:textId="77777777" w:rsidR="00F2549E" w:rsidRPr="00F2549E" w:rsidRDefault="00F2549E" w:rsidP="00F2549E">
            <w:pPr>
              <w:spacing w:after="120" w:line="276" w:lineRule="auto"/>
              <w:ind w:firstLine="708"/>
              <w:jc w:val="both"/>
              <w:rPr>
                <w:rFonts w:ascii="Verdana" w:eastAsia="Aptos" w:hAnsi="Verdana" w:cs="Times New Roman"/>
              </w:rPr>
            </w:pPr>
            <w:r w:rsidRPr="00F2549E">
              <w:rPr>
                <w:rFonts w:ascii="Verdana" w:eastAsia="Aptos" w:hAnsi="Verdana" w:cs="Times New Roman"/>
              </w:rPr>
              <w:lastRenderedPageBreak/>
              <w:t>Corresponde a cada entidad verificar, en el procedimiento concreto, si los contratos aportados cumplen los requisitos que válidamente fijó en el pliego de condiciones.</w:t>
            </w:r>
          </w:p>
          <w:p w14:paraId="5BF50F0F" w14:textId="77777777" w:rsidR="00F2549E" w:rsidRPr="00F2549E" w:rsidRDefault="00F2549E" w:rsidP="00F2549E">
            <w:pPr>
              <w:tabs>
                <w:tab w:val="left" w:pos="709"/>
              </w:tabs>
              <w:snapToGrid w:val="0"/>
              <w:spacing w:after="120" w:line="276" w:lineRule="auto"/>
              <w:jc w:val="both"/>
              <w:rPr>
                <w:rFonts w:ascii="Verdana" w:eastAsia="Calibri" w:hAnsi="Verdana" w:cs="Arial"/>
                <w:color w:val="000000"/>
                <w:lang w:val="es-ES"/>
              </w:rPr>
            </w:pPr>
            <w:r w:rsidRPr="00F2549E">
              <w:rPr>
                <w:rFonts w:ascii="Verdana" w:eastAsia="Calibri" w:hAnsi="Verdana" w:cs="Arial"/>
                <w:color w:val="000000"/>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34F9F8B" w14:textId="77777777" w:rsidR="00F2549E" w:rsidRPr="00F2549E" w:rsidRDefault="00F2549E" w:rsidP="00F2549E">
            <w:pPr>
              <w:tabs>
                <w:tab w:val="left" w:pos="709"/>
              </w:tabs>
              <w:snapToGrid w:val="0"/>
              <w:spacing w:line="276" w:lineRule="auto"/>
              <w:ind w:firstLine="709"/>
              <w:jc w:val="both"/>
              <w:rPr>
                <w:rFonts w:ascii="Verdana" w:eastAsia="Calibri" w:hAnsi="Verdana" w:cs="Arial"/>
                <w:color w:val="000000"/>
                <w:lang w:val="es-ES"/>
              </w:rPr>
            </w:pPr>
            <w:r w:rsidRPr="00F2549E">
              <w:rPr>
                <w:rFonts w:ascii="Verdana" w:eastAsia="Calibri" w:hAnsi="Verdana" w:cs="Arial"/>
                <w:color w:val="000000"/>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5BC2A2E0" w14:textId="77777777" w:rsidR="00F2549E" w:rsidRPr="00F2549E" w:rsidRDefault="00F2549E" w:rsidP="00F2549E">
      <w:pPr>
        <w:tabs>
          <w:tab w:val="left" w:pos="142"/>
          <w:tab w:val="left" w:pos="284"/>
        </w:tabs>
        <w:spacing w:after="0" w:line="276" w:lineRule="auto"/>
        <w:jc w:val="both"/>
        <w:rPr>
          <w:rFonts w:ascii="Verdana" w:eastAsia="Century Gothic" w:hAnsi="Verdana" w:cs="Century Gothic"/>
          <w:b/>
          <w:bCs/>
        </w:rPr>
      </w:pPr>
    </w:p>
    <w:p w14:paraId="54EF4D28" w14:textId="77777777" w:rsidR="00F2549E" w:rsidRPr="00F2549E" w:rsidRDefault="00F2549E" w:rsidP="00F2549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2549E">
        <w:rPr>
          <w:rFonts w:ascii="Verdana" w:eastAsia="Century Gothic" w:hAnsi="Verdana" w:cs="Century Gothic"/>
          <w:b/>
          <w:bCs/>
        </w:rPr>
        <w:t>Razones de la respuesta:</w:t>
      </w:r>
    </w:p>
    <w:p w14:paraId="7B6FDE68" w14:textId="77777777" w:rsidR="00F2549E" w:rsidRPr="00F2549E" w:rsidRDefault="00F2549E" w:rsidP="00F254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eastAsia="Calibri" w:hAnsi="Verdana" w:cs="Helvetica"/>
          <w:color w:val="000000"/>
          <w:sz w:val="21"/>
          <w:szCs w:val="21"/>
        </w:rPr>
      </w:pPr>
    </w:p>
    <w:p w14:paraId="0DB424AF" w14:textId="77777777" w:rsidR="00F2549E" w:rsidRPr="00F2549E" w:rsidRDefault="00F2549E" w:rsidP="00F2549E">
      <w:pPr>
        <w:spacing w:after="0" w:line="276" w:lineRule="auto"/>
        <w:jc w:val="both"/>
        <w:rPr>
          <w:rFonts w:ascii="Verdana" w:eastAsia="Calibri" w:hAnsi="Verdana" w:cs="Arial"/>
        </w:rPr>
      </w:pPr>
      <w:r w:rsidRPr="00F2549E">
        <w:rPr>
          <w:rFonts w:ascii="Verdana" w:eastAsia="Calibri" w:hAnsi="Verdana" w:cs="Arial"/>
        </w:rPr>
        <w:t xml:space="preserve">Lo anterior se sustenta en las siguientes consideraciones: </w:t>
      </w:r>
    </w:p>
    <w:p w14:paraId="52F00C70" w14:textId="77777777" w:rsidR="00F2549E" w:rsidRPr="00F2549E" w:rsidRDefault="00F2549E" w:rsidP="00F2549E">
      <w:pPr>
        <w:spacing w:after="0" w:line="276" w:lineRule="auto"/>
        <w:jc w:val="both"/>
        <w:rPr>
          <w:rFonts w:ascii="Verdana" w:eastAsia="Calibri" w:hAnsi="Verdana" w:cs="Arial"/>
        </w:rPr>
      </w:pPr>
    </w:p>
    <w:p w14:paraId="5E1A0DBC" w14:textId="77777777" w:rsidR="00F2549E" w:rsidRPr="00F2549E" w:rsidRDefault="00F2549E" w:rsidP="00F2549E">
      <w:pPr>
        <w:spacing w:after="120" w:line="276" w:lineRule="auto"/>
        <w:jc w:val="both"/>
        <w:rPr>
          <w:rFonts w:ascii="Verdana" w:eastAsia="Aptos" w:hAnsi="Verdana" w:cs="ArialMT"/>
        </w:rPr>
      </w:pPr>
      <w:r w:rsidRPr="00F2549E">
        <w:rPr>
          <w:rFonts w:ascii="Verdana" w:eastAsia="Aptos" w:hAnsi="Verdana" w:cs="Arial"/>
        </w:rPr>
        <w:t xml:space="preserve">i. Los documentos tipo expedidos por la Agencia Nacional de Contratación Pública </w:t>
      </w:r>
      <w:r w:rsidRPr="00F2549E">
        <w:rPr>
          <w:rFonts w:ascii="Verdana" w:eastAsia="Aptos" w:hAnsi="Verdana" w:cs="ArialMT"/>
        </w:rPr>
        <w:t xml:space="preserve">– Colombia Compra Eficiente </w:t>
      </w:r>
      <w:r w:rsidRPr="00F2549E">
        <w:rPr>
          <w:rFonts w:ascii="Verdana" w:eastAsia="Aptos" w:hAnsi="Verdana" w:cs="Arial"/>
        </w:rPr>
        <w:t>en ejercicio de la potestad otorgada</w:t>
      </w:r>
      <w:r w:rsidRPr="00F2549E">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288DD877" w14:textId="77777777" w:rsidR="00F2549E" w:rsidRPr="00F2549E" w:rsidRDefault="00F2549E" w:rsidP="00F2549E">
      <w:pPr>
        <w:spacing w:after="120" w:line="276" w:lineRule="auto"/>
        <w:ind w:firstLine="708"/>
        <w:jc w:val="both"/>
        <w:rPr>
          <w:rFonts w:ascii="Verdana" w:eastAsia="Aptos" w:hAnsi="Verdana" w:cs="ArialMT"/>
        </w:rPr>
      </w:pPr>
      <w:r w:rsidRPr="00F2549E">
        <w:rPr>
          <w:rFonts w:ascii="Verdana" w:eastAsia="Aptos" w:hAnsi="Verdana" w:cs="ArialMT"/>
        </w:rPr>
        <w:lastRenderedPageBreak/>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F2549E">
        <w:rPr>
          <w:rFonts w:ascii="Verdana" w:eastAsia="Calibri" w:hAnsi="Verdana" w:cs="Times New Roman"/>
          <w:vertAlign w:val="superscript"/>
        </w:rPr>
        <w:footnoteReference w:id="2"/>
      </w:r>
      <w:r w:rsidRPr="00F2549E">
        <w:rPr>
          <w:rFonts w:ascii="Verdana" w:eastAsia="Aptos" w:hAnsi="Verdana" w:cs="ArialMT"/>
        </w:rPr>
        <w:t xml:space="preserve">. </w:t>
      </w:r>
    </w:p>
    <w:p w14:paraId="64B607AC" w14:textId="77777777" w:rsidR="00F2549E" w:rsidRPr="00F2549E" w:rsidRDefault="00F2549E" w:rsidP="00F2549E">
      <w:pPr>
        <w:spacing w:after="120" w:line="276" w:lineRule="auto"/>
        <w:ind w:firstLine="708"/>
        <w:jc w:val="both"/>
        <w:rPr>
          <w:rFonts w:ascii="Verdana" w:eastAsia="Aptos" w:hAnsi="Verdana" w:cs="ArialMT"/>
        </w:rPr>
      </w:pPr>
      <w:r w:rsidRPr="00F2549E">
        <w:rPr>
          <w:rFonts w:ascii="Verdana" w:eastAsia="Aptos" w:hAnsi="Verdana" w:cs="ArialMT"/>
        </w:rPr>
        <w:t>En el sector de infraestructura de Agua Potable y Saneamiento Básico, la Agencia Nacional de Contratación Pública – Colombia Compra Eficiente expidió documentos tipo para contratar obras públicas de infraestructura en este sector bajo las modalidades de selección de licitación pública y licitación pública - llave en mano. Así mismo, esta Agencia expidió documentos tipo de concurso de méritos para contratar la interventoría de infraestructura de Agua Potable y Saneamiento Básico</w:t>
      </w:r>
      <w:r w:rsidRPr="00F2549E">
        <w:rPr>
          <w:rFonts w:ascii="Verdana" w:eastAsia="Calibri" w:hAnsi="Verdana" w:cs="Times New Roman"/>
          <w:vertAlign w:val="superscript"/>
        </w:rPr>
        <w:footnoteReference w:id="3"/>
      </w:r>
      <w:r w:rsidRPr="00F2549E">
        <w:rPr>
          <w:rFonts w:ascii="Verdana" w:eastAsia="Aptos" w:hAnsi="Verdana" w:cs="ArialMT"/>
        </w:rPr>
        <w:t xml:space="preserve">. </w:t>
      </w:r>
    </w:p>
    <w:p w14:paraId="36514566" w14:textId="77777777" w:rsidR="00F2549E" w:rsidRPr="00F2549E" w:rsidRDefault="00F2549E" w:rsidP="00F2549E">
      <w:pPr>
        <w:spacing w:before="120" w:after="120" w:line="276" w:lineRule="auto"/>
        <w:ind w:firstLine="709"/>
        <w:jc w:val="both"/>
        <w:rPr>
          <w:rFonts w:ascii="Verdana" w:eastAsia="Aptos" w:hAnsi="Verdana" w:cs="Arial"/>
          <w:lang w:val="es-ES"/>
        </w:rPr>
      </w:pPr>
      <w:r w:rsidRPr="00F2549E">
        <w:rPr>
          <w:rFonts w:ascii="Verdana" w:eastAsia="Aptos" w:hAnsi="Verdana" w:cs="Arial"/>
          <w:lang w:val="es-ES"/>
        </w:rPr>
        <w:t xml:space="preserve">Mediante la Resolución 248 del 1 de diciembre de 2020, se adoptaron los documentos tipo de licitación de obra pública de infraestructura de agua potable y saneamiento básico, aplicables a los proyectos de ese sector que, por la modalidad de contratación indicada, se publiquen a partir del 11 de diciembre de 2020. </w:t>
      </w:r>
    </w:p>
    <w:p w14:paraId="66E033D1" w14:textId="77777777" w:rsidR="00F2549E" w:rsidRPr="00F2549E" w:rsidRDefault="00F2549E" w:rsidP="00F2549E">
      <w:pPr>
        <w:suppressAutoHyphens/>
        <w:spacing w:after="120" w:line="276" w:lineRule="auto"/>
        <w:ind w:firstLine="708"/>
        <w:jc w:val="both"/>
        <w:rPr>
          <w:rFonts w:ascii="Verdana" w:eastAsia="Aptos" w:hAnsi="Verdana" w:cs="Arial"/>
          <w:kern w:val="2"/>
          <w14:ligatures w14:val="standardContextual"/>
        </w:rPr>
      </w:pPr>
      <w:r w:rsidRPr="00F2549E">
        <w:rPr>
          <w:rFonts w:ascii="Verdana" w:eastAsia="Aptos" w:hAnsi="Verdana" w:cs="Arial"/>
          <w:lang w:val="es-ES"/>
        </w:rPr>
        <w:lastRenderedPageBreak/>
        <w:t xml:space="preserve">Sin perjuicio de lo anterior, debe indicarse que, </w:t>
      </w:r>
      <w:r w:rsidRPr="00F2549E">
        <w:rPr>
          <w:rFonts w:ascii="Verdana" w:eastAsia="Aptos" w:hAnsi="Verdana" w:cs="Arial"/>
          <w:kern w:val="2"/>
          <w14:ligatures w14:val="standardContextual"/>
        </w:rPr>
        <w:t xml:space="preserve">la Agencia Nacional de Contratación Pública – Colombia Compra Eficiente mediante la Resolución 546 del 14 de septiembre de 2026, adoptó la versión 2 de los documentos tipo para los procesos de contratación de infraestructura de agua, saneamiento básico y estructuras hidráulicas que se adelantan por la modalidad de licitación pública o licitación pública bajo el esquema llave en mano. De acuerdo con el artículo 8 “vigencia” de la citada Resolución, estos rigen “(…) </w:t>
      </w:r>
      <w:r w:rsidRPr="00F2549E">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r w:rsidRPr="00F2549E">
        <w:rPr>
          <w:rFonts w:ascii="Aptos" w:eastAsia="Aptos" w:hAnsi="Aptos" w:cs="Times New Roman"/>
          <w:kern w:val="2"/>
          <w14:ligatures w14:val="standardContextual"/>
        </w:rPr>
        <w:t xml:space="preserve"> </w:t>
      </w:r>
    </w:p>
    <w:p w14:paraId="4230C9FE" w14:textId="77777777" w:rsidR="00F2549E" w:rsidRPr="00F2549E" w:rsidRDefault="00F2549E" w:rsidP="00F2549E">
      <w:pPr>
        <w:spacing w:before="120" w:after="120" w:line="276" w:lineRule="auto"/>
        <w:ind w:firstLine="709"/>
        <w:jc w:val="both"/>
        <w:rPr>
          <w:rFonts w:ascii="Verdana" w:eastAsia="Calibri" w:hAnsi="Verdana" w:cs="Arial"/>
          <w:kern w:val="2"/>
          <w14:ligatures w14:val="standardContextual"/>
        </w:rPr>
      </w:pPr>
      <w:r w:rsidRPr="00F2549E">
        <w:rPr>
          <w:rFonts w:ascii="Verdana" w:eastAsia="Aptos" w:hAnsi="Verdana" w:cs="Arial"/>
          <w:lang w:val="es-ES"/>
        </w:rPr>
        <w:t xml:space="preserve">La parte introductoria del pliego de condiciones de los documentos tipo adoptados mediante la Resolución 248 de 2020 dispone que estos se </w:t>
      </w:r>
      <w:r w:rsidRPr="00F2549E">
        <w:rPr>
          <w:rFonts w:ascii="Verdana" w:eastAsia="Arial" w:hAnsi="Verdana" w:cs="Arial"/>
        </w:rPr>
        <w:t>aplican a los procesos de licitación de obra pública de infraestructura para agua potable y saneamiento básico, que correspondan a las actividades definidas en la Matriz 1 – Experiencia</w:t>
      </w:r>
      <w:r w:rsidRPr="00F2549E">
        <w:rPr>
          <w:rFonts w:ascii="Verdana" w:eastAsia="Aptos" w:hAnsi="Verdana" w:cs="Arial"/>
          <w:lang w:val="es-ES"/>
        </w:rPr>
        <w:t xml:space="preserve">. </w:t>
      </w:r>
      <w:r w:rsidRPr="00F2549E">
        <w:rPr>
          <w:rFonts w:ascii="Verdana" w:eastAsia="Arial" w:hAnsi="Verdana" w:cs="Arial"/>
        </w:rPr>
        <w:t>En consecuencia, los proyectos de agua potable y saneamiento básico no contemplados en la Matriz 1 – Experiencia no tienen que aplicar los documentos tipo, sin perjuicio de lo previsto en el artículo 4 de la Resolución 248 de 2020</w:t>
      </w:r>
      <w:r w:rsidRPr="00F2549E">
        <w:rPr>
          <w:rFonts w:ascii="Verdana" w:eastAsia="Aptos" w:hAnsi="Verdana" w:cs="Arial"/>
          <w:lang w:val="es-ES"/>
        </w:rPr>
        <w:t>, relacionado con la posibilidad de exigir experiencia adicional en determinados supuestos</w:t>
      </w:r>
      <w:r w:rsidRPr="00F2549E">
        <w:rPr>
          <w:rFonts w:ascii="Verdana" w:eastAsia="Aptos" w:hAnsi="Verdana" w:cs="Times New Roman"/>
          <w:vertAlign w:val="superscript"/>
          <w:lang w:val="es-ES"/>
        </w:rPr>
        <w:footnoteReference w:id="4"/>
      </w:r>
      <w:r w:rsidRPr="00F2549E">
        <w:rPr>
          <w:rFonts w:ascii="Verdana" w:eastAsia="Aptos" w:hAnsi="Verdana" w:cs="Arial"/>
          <w:lang w:val="es-ES"/>
        </w:rPr>
        <w:t>.</w:t>
      </w:r>
    </w:p>
    <w:p w14:paraId="64C1F2C8" w14:textId="77777777" w:rsidR="00F2549E" w:rsidRPr="00F2549E" w:rsidRDefault="00F2549E" w:rsidP="00F2549E">
      <w:pPr>
        <w:spacing w:before="120" w:after="12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lastRenderedPageBreak/>
        <w:t xml:space="preserve">De acuerdo con las condiciones fijadas en el “Documento Base” de la Resolución No. 248 del 1 de diciembre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w:t>
      </w:r>
    </w:p>
    <w:p w14:paraId="7F8BD6DE" w14:textId="77777777" w:rsidR="00F2549E" w:rsidRPr="00F2549E" w:rsidRDefault="00F2549E" w:rsidP="00F2549E">
      <w:pPr>
        <w:spacing w:before="120" w:after="120" w:line="276" w:lineRule="auto"/>
        <w:ind w:firstLine="709"/>
        <w:jc w:val="both"/>
        <w:rPr>
          <w:rFonts w:ascii="Verdana" w:eastAsia="Aptos" w:hAnsi="Verdana" w:cs="Arial"/>
          <w:lang w:val="es-MX"/>
        </w:rPr>
      </w:pPr>
      <w:r w:rsidRPr="00F2549E">
        <w:rPr>
          <w:rFonts w:ascii="Verdana" w:eastAsia="Aptos" w:hAnsi="Verdana" w:cs="Arial"/>
          <w:lang w:val="es-MX"/>
        </w:rPr>
        <w:t xml:space="preserve">En este punto, vale anotar que mediante la Resolución 275 de 2022 </w:t>
      </w:r>
      <w:r w:rsidRPr="00F2549E">
        <w:rPr>
          <w:rFonts w:ascii="Verdana" w:eastAsia="Aptos" w:hAnsi="Verdana" w:cs="Arial"/>
        </w:rPr>
        <w:t xml:space="preserve">se modificó el número de contratos para acreditar la experiencia teniendo en cuenta los criterios diferenciales habilitantes para </w:t>
      </w:r>
      <w:proofErr w:type="spellStart"/>
      <w:r w:rsidRPr="00F2549E">
        <w:rPr>
          <w:rFonts w:ascii="Verdana" w:eastAsia="Aptos" w:hAnsi="Verdana" w:cs="Arial"/>
        </w:rPr>
        <w:t>Mipyme</w:t>
      </w:r>
      <w:proofErr w:type="spellEnd"/>
      <w:r w:rsidRPr="00F2549E">
        <w:rPr>
          <w:rFonts w:ascii="Verdana" w:eastAsia="Aptos" w:hAnsi="Verdana" w:cs="Arial"/>
        </w:rPr>
        <w:t xml:space="preserve"> y emprendimientos y empresas de mujeres establecidos en el Decreto 1860 de 2021. De esta manera, en los procesos cuyo aviso de convocatoria fue publicado después del 29 de agosto de 2022 el proponente acreditará la experiencia solicitada con máximo cinco (5) contratos. Sin embargo, </w:t>
      </w:r>
      <w:r w:rsidRPr="00F2549E">
        <w:rPr>
          <w:rFonts w:ascii="Verdana" w:eastAsia="Aptos" w:hAnsi="Verdana" w:cs="Arial"/>
          <w:lang w:val="es-MX"/>
        </w:rPr>
        <w:t xml:space="preserve">si el proponente </w:t>
      </w:r>
      <w:r w:rsidRPr="00F2549E">
        <w:rPr>
          <w:rFonts w:ascii="Verdana" w:eastAsia="Aptos" w:hAnsi="Verdana" w:cs="Arial"/>
        </w:rPr>
        <w:t xml:space="preserve">prueba la calidad de </w:t>
      </w:r>
      <w:proofErr w:type="spellStart"/>
      <w:r w:rsidRPr="00F2549E">
        <w:rPr>
          <w:rFonts w:ascii="Verdana" w:eastAsia="Aptos" w:hAnsi="Verdana" w:cs="Arial"/>
        </w:rPr>
        <w:t>Mipyme</w:t>
      </w:r>
      <w:proofErr w:type="spellEnd"/>
      <w:r w:rsidRPr="00F2549E">
        <w:rPr>
          <w:rFonts w:ascii="Verdana" w:eastAsia="Aptos" w:hAnsi="Verdana" w:cs="Arial"/>
        </w:rPr>
        <w:t xml:space="preserve"> o de emprendimiento y empresa de mujer con domicilio en el territorio nacional de conformidad con lo previsto en el artículo 2.2.1.13.2.2 del Decreto 1074 de 2015</w:t>
      </w:r>
      <w:r w:rsidRPr="00F2549E">
        <w:rPr>
          <w:rFonts w:ascii="Verdana" w:eastAsia="Aptos" w:hAnsi="Verdana" w:cs="Arial"/>
          <w:b/>
          <w:bCs/>
        </w:rPr>
        <w:t xml:space="preserve"> </w:t>
      </w:r>
      <w:r w:rsidRPr="00F2549E">
        <w:rPr>
          <w:rFonts w:ascii="Verdana" w:eastAsia="Aptos" w:hAnsi="Verdana" w:cs="Arial"/>
        </w:rPr>
        <w:t>y</w:t>
      </w:r>
      <w:r w:rsidRPr="00F2549E">
        <w:rPr>
          <w:rFonts w:ascii="Verdana" w:eastAsia="Aptos" w:hAnsi="Verdana" w:cs="Arial"/>
          <w:b/>
          <w:bCs/>
        </w:rPr>
        <w:t xml:space="preserve"> </w:t>
      </w:r>
      <w:r w:rsidRPr="00F2549E">
        <w:rPr>
          <w:rFonts w:ascii="Verdana" w:eastAsia="Aptos" w:hAnsi="Verdana" w:cs="Arial"/>
        </w:rPr>
        <w:t>los artículos 2.2.1.2.</w:t>
      </w:r>
      <w:r w:rsidRPr="00F2549E">
        <w:rPr>
          <w:rFonts w:ascii="Verdana" w:eastAsia="Aptos" w:hAnsi="Verdana" w:cs="Arial"/>
          <w:bCs/>
          <w:lang w:val="es-MX"/>
        </w:rPr>
        <w:t>4.2.4. y 2.2.1.2.4.2.14 del Decreto 1082 de 2015</w:t>
      </w:r>
      <w:r w:rsidRPr="00F2549E">
        <w:rPr>
          <w:rFonts w:ascii="Verdana" w:eastAsia="Aptos" w:hAnsi="Verdana" w:cs="Arial"/>
        </w:rPr>
        <w:t>, podrá acreditar la experiencia solicitada con un (1) contrato adicional a los cinco (5) inicialmente previstos, para un máximo de seis (6) contratos</w:t>
      </w:r>
      <w:r w:rsidRPr="00F2549E">
        <w:rPr>
          <w:rFonts w:ascii="Verdana" w:eastAsia="Aptos" w:hAnsi="Verdana" w:cs="Arial"/>
          <w:lang w:val="es-MX"/>
        </w:rPr>
        <w:t xml:space="preserve">. </w:t>
      </w:r>
      <w:r w:rsidRPr="00F2549E">
        <w:rPr>
          <w:rFonts w:ascii="Verdana" w:eastAsia="Aptos" w:hAnsi="Verdana" w:cs="Arial"/>
        </w:rPr>
        <w:t xml:space="preserve">En caso de que el proponente pruebe la calidad de </w:t>
      </w:r>
      <w:proofErr w:type="spellStart"/>
      <w:r w:rsidRPr="00F2549E">
        <w:rPr>
          <w:rFonts w:ascii="Verdana" w:eastAsia="Aptos" w:hAnsi="Verdana" w:cs="Arial"/>
        </w:rPr>
        <w:t>Mipyme</w:t>
      </w:r>
      <w:proofErr w:type="spellEnd"/>
      <w:r w:rsidRPr="00F2549E">
        <w:rPr>
          <w:rFonts w:ascii="Verdana" w:eastAsia="Aptos" w:hAnsi="Verdana" w:cs="Arial"/>
        </w:rPr>
        <w:t xml:space="preserve"> y de emprendimiento y empresa de mujer con domicilio en el territorio nacional de manera conjunta, podrá demostrar la experiencia solicitada con dos (2) contratos adicionales a los cinco (5) inicialmente previstos, para un máximo de siete (7)</w:t>
      </w:r>
      <w:r w:rsidRPr="00F2549E">
        <w:rPr>
          <w:rFonts w:ascii="Verdana" w:eastAsia="Aptos" w:hAnsi="Verdana" w:cs="Arial"/>
          <w:lang w:val="es-MX"/>
        </w:rPr>
        <w:t>.</w:t>
      </w:r>
    </w:p>
    <w:p w14:paraId="32BEF849" w14:textId="77777777" w:rsidR="00F2549E" w:rsidRPr="00F2549E" w:rsidRDefault="00F2549E" w:rsidP="00F2549E">
      <w:pPr>
        <w:spacing w:before="120" w:after="120" w:line="276" w:lineRule="auto"/>
        <w:ind w:firstLine="709"/>
        <w:jc w:val="both"/>
        <w:rPr>
          <w:rFonts w:ascii="Verdana" w:eastAsia="Calibri" w:hAnsi="Verdana" w:cs="Arial"/>
          <w:lang w:val="es-MX"/>
        </w:rPr>
      </w:pPr>
      <w:r w:rsidRPr="00F2549E">
        <w:rPr>
          <w:rFonts w:ascii="Verdana" w:eastAsia="Calibri" w:hAnsi="Verdana" w:cs="Arial"/>
          <w:kern w:val="2"/>
          <w14:ligatures w14:val="standardContextual"/>
        </w:rPr>
        <w:t xml:space="preserve"> </w:t>
      </w:r>
      <w:r w:rsidRPr="00F2549E">
        <w:rPr>
          <w:rFonts w:ascii="Verdana" w:eastAsia="Aptos" w:hAnsi="Verdana" w:cs="Arial"/>
          <w:lang w:val="es-MX"/>
        </w:rPr>
        <w:t xml:space="preserve">Por último, el número de contratos aportados por el proponente debe certificar un valor mínimo correspondiente a un porcentaje del presupuesto oficial del proceso de obra expresado en SMMLV, cuya evaluación se realizará </w:t>
      </w:r>
      <w:r w:rsidRPr="00F2549E">
        <w:rPr>
          <w:rFonts w:ascii="Verdana" w:eastAsia="Aptos" w:hAnsi="Verdana" w:cs="Arial"/>
          <w:lang w:val="es-MX"/>
        </w:rPr>
        <w:lastRenderedPageBreak/>
        <w:t>teniendo en cuenta la tabla establecida en el numeral 3.5.8. del pliego de condiciones</w:t>
      </w:r>
      <w:r w:rsidRPr="00F2549E">
        <w:rPr>
          <w:rFonts w:ascii="Verdana" w:eastAsia="Calibri" w:hAnsi="Verdana" w:cs="Arial"/>
          <w:vertAlign w:val="superscript"/>
        </w:rPr>
        <w:footnoteReference w:id="5"/>
      </w:r>
      <w:r w:rsidRPr="00F2549E">
        <w:rPr>
          <w:rFonts w:ascii="Verdana" w:eastAsia="Aptos" w:hAnsi="Verdana" w:cs="Arial"/>
          <w:lang w:val="es-MX"/>
        </w:rPr>
        <w:t>.</w:t>
      </w:r>
      <w:r w:rsidRPr="00F2549E">
        <w:rPr>
          <w:rFonts w:ascii="Verdana" w:eastAsia="Aptos" w:hAnsi="Verdana" w:cs="Arial"/>
          <w:bCs/>
          <w:lang w:val="es-ES_tradnl"/>
        </w:rPr>
        <w:t xml:space="preserve"> De esta manera, </w:t>
      </w:r>
      <w:r w:rsidRPr="00F2549E">
        <w:rPr>
          <w:rFonts w:ascii="Verdana" w:eastAsia="Aptos" w:hAnsi="Verdana" w:cs="Arial"/>
          <w:bCs/>
          <w:lang w:val="es-MX"/>
        </w:rPr>
        <w:t xml:space="preserve">quienes acrediten la experiencia mediante 1 ó 2 contratos, la sumatoria de los valores ejecutados en debe ser superior al 75% del valor del presupuesto oficial de obra expresado en SMMLV; si emplea 3 ó 4 contratos, la sumatoria de estos debe ser superior al 120% del valor del </w:t>
      </w:r>
      <w:r w:rsidRPr="00F2549E">
        <w:rPr>
          <w:rFonts w:ascii="Verdana" w:eastAsia="Aptos" w:hAnsi="Verdana" w:cs="Arial"/>
          <w:bCs/>
          <w:lang w:val="es-MX"/>
        </w:rPr>
        <w:lastRenderedPageBreak/>
        <w:t>presupuesto oficial; y si emplea 5 contratos,</w:t>
      </w:r>
      <w:r w:rsidRPr="00F2549E">
        <w:rPr>
          <w:rFonts w:ascii="Verdana" w:eastAsia="Calibri" w:hAnsi="Verdana" w:cs="Arial"/>
        </w:rPr>
        <w:t xml:space="preserve"> sus valores sumados deberán alcanzar o superar el 150% del presupuesto oficial</w:t>
      </w:r>
      <w:r w:rsidRPr="00F2549E">
        <w:rPr>
          <w:rFonts w:ascii="Verdana" w:eastAsia="Aptos" w:hAnsi="Verdana" w:cs="Arial"/>
          <w:bCs/>
          <w:lang w:val="es-MX"/>
        </w:rPr>
        <w:t xml:space="preserve">. </w:t>
      </w:r>
      <w:r w:rsidRPr="00F2549E">
        <w:rPr>
          <w:rFonts w:ascii="Verdana" w:eastAsia="Aptos" w:hAnsi="Verdana" w:cs="Arial"/>
          <w:bCs/>
          <w:iCs/>
        </w:rPr>
        <w:t xml:space="preserve">Si el número de contratos aportados supera los cinco (5) inicialmente previstos en este numeral, puesto que el proponente demostró la calidad de </w:t>
      </w:r>
      <w:proofErr w:type="spellStart"/>
      <w:r w:rsidRPr="00F2549E">
        <w:rPr>
          <w:rFonts w:ascii="Verdana" w:eastAsia="Aptos" w:hAnsi="Verdana" w:cs="Arial"/>
          <w:bCs/>
          <w:iCs/>
        </w:rPr>
        <w:t>Mipyme</w:t>
      </w:r>
      <w:proofErr w:type="spellEnd"/>
      <w:r w:rsidRPr="00F2549E">
        <w:rPr>
          <w:rFonts w:ascii="Verdana" w:eastAsia="Aptos" w:hAnsi="Verdana" w:cs="Arial"/>
          <w:bCs/>
          <w:iCs/>
        </w:rPr>
        <w:t xml:space="preserve"> y/o emprendimiento y empresa de mujer, estos contratos adicionales, se tendrán en cuenta para demostrar el valor del ciento cincuenta por ciento (150 %) del valor del Presupuesto Oficial.</w:t>
      </w:r>
    </w:p>
    <w:p w14:paraId="6347E91A" w14:textId="77777777" w:rsidR="00F2549E" w:rsidRPr="00F2549E" w:rsidRDefault="00F2549E" w:rsidP="00F2549E">
      <w:pPr>
        <w:spacing w:before="120" w:after="120" w:line="276" w:lineRule="auto"/>
        <w:ind w:firstLine="709"/>
        <w:jc w:val="both"/>
        <w:rPr>
          <w:rFonts w:ascii="Verdana" w:eastAsia="Aptos" w:hAnsi="Verdana" w:cs="Arial"/>
          <w:color w:val="0D0D0D"/>
          <w:lang w:val="es-MX"/>
        </w:rPr>
      </w:pPr>
      <w:r w:rsidRPr="00F2549E">
        <w:rPr>
          <w:rFonts w:ascii="Verdana" w:eastAsia="Calibri" w:hAnsi="Verdana" w:cs="Arial"/>
          <w:lang w:val="es-MX"/>
        </w:rPr>
        <w:t xml:space="preserve">En este sentido, </w:t>
      </w:r>
      <w:r w:rsidRPr="00F2549E">
        <w:rPr>
          <w:rFonts w:ascii="Verdana" w:eastAsia="Calibri" w:hAnsi="Verdana" w:cs="Arial"/>
        </w:rPr>
        <w:t xml:space="preserve">los proponentes podrán optar por acreditar los requisitos de experiencia solicitada mediante mínimo uno (1) y máximo cinco (5) contratos, sin perjuicio de lo previsto en las reglas de los criterios diferenciales por ser </w:t>
      </w:r>
      <w:proofErr w:type="spellStart"/>
      <w:r w:rsidRPr="00F2549E">
        <w:rPr>
          <w:rFonts w:ascii="Verdana" w:eastAsia="Calibri" w:hAnsi="Verdana" w:cs="Arial"/>
        </w:rPr>
        <w:t>Mipyme</w:t>
      </w:r>
      <w:proofErr w:type="spellEnd"/>
      <w:r w:rsidRPr="00F2549E">
        <w:rPr>
          <w:rFonts w:ascii="Verdana" w:eastAsia="Calibri" w:hAnsi="Verdana" w:cs="Arial"/>
        </w:rPr>
        <w:t xml:space="preserve"> y/o emprendimientos y empresas de mujeres, y tendrán en cuenta que, de acuerdo con el numeral 3.5.8 del documento base, la cantidad de contratos que aporten para acreditar dicha experiencia determinará el porcentaje del valor del presupuesto oficial que la sumatoria de dichos contratos debe alcanzar para cumplir con el requisito habilitante. </w:t>
      </w:r>
    </w:p>
    <w:p w14:paraId="58C66974" w14:textId="77777777" w:rsidR="00F2549E" w:rsidRPr="00F2549E" w:rsidRDefault="00F2549E" w:rsidP="00F2549E">
      <w:pPr>
        <w:spacing w:before="120" w:after="12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agua potable y saneamiento básico; </w:t>
      </w:r>
      <w:proofErr w:type="spellStart"/>
      <w:r w:rsidRPr="00F2549E">
        <w:rPr>
          <w:rFonts w:ascii="Verdana" w:eastAsia="Calibri" w:hAnsi="Verdana" w:cs="Arial"/>
          <w:kern w:val="2"/>
          <w14:ligatures w14:val="standardContextual"/>
        </w:rPr>
        <w:t>ii</w:t>
      </w:r>
      <w:proofErr w:type="spellEnd"/>
      <w:r w:rsidRPr="00F2549E">
        <w:rPr>
          <w:rFonts w:ascii="Verdana" w:eastAsia="Calibri" w:hAnsi="Verdana" w:cs="Arial"/>
          <w:kern w:val="2"/>
          <w14:ligatures w14:val="standardContextual"/>
        </w:rPr>
        <w:t xml:space="preserve">) la actividad a contratar, y </w:t>
      </w:r>
      <w:proofErr w:type="spellStart"/>
      <w:r w:rsidRPr="00F2549E">
        <w:rPr>
          <w:rFonts w:ascii="Verdana" w:eastAsia="Calibri" w:hAnsi="Verdana" w:cs="Arial"/>
          <w:kern w:val="2"/>
          <w14:ligatures w14:val="standardContextual"/>
        </w:rPr>
        <w:t>iii</w:t>
      </w:r>
      <w:proofErr w:type="spellEnd"/>
      <w:r w:rsidRPr="00F2549E">
        <w:rPr>
          <w:rFonts w:ascii="Verdana" w:eastAsia="Calibri" w:hAnsi="Verdana" w:cs="Arial"/>
          <w:kern w:val="2"/>
          <w14:ligatures w14:val="standardContextual"/>
        </w:rPr>
        <w:t>) la cuantía del Proceso de Contratación.</w:t>
      </w:r>
    </w:p>
    <w:p w14:paraId="4EC86D44" w14:textId="77777777" w:rsidR="00F2549E" w:rsidRPr="00F2549E" w:rsidRDefault="00F2549E" w:rsidP="00F2549E">
      <w:pPr>
        <w:spacing w:before="120" w:after="12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En relación con el primer aspecto, la Matriz 1 está constituida por siete (7) tipos de obras de infraestructura de agua potable y saneamiento básico, identificadas con un número y su descripción, los cuales son: 1) Obras de acueducto, 2) obras de alcantarillado (sanitarios y/o pluviales y/o combinado), 3) Obras de aseos y/o manejo de residuos, 4) Obras para PTAP (Planta de Tratamiento de Agua Potable) Y/O PTAR (Planta de Tratamiento de Aguas Residuales), 5) Unidades sanitarias para vivienda rural dispersa, 6) Sistemas no convencionales de potabilización y tratamiento de aguas residuales y 7) Estudios y diseños (En el caso de proyectos que requieran labores de: estudios, diseños y construcción). Estas determinan el marco para la aplicación de los documentos tipo, dado que comprenden todas aquellas actividades que constituyen obra pública de infraestructura de agua potable y saneamiento básico y que han sido objeto de estandarización mediante la Resolución No. 248 del 1 de diciembre de 2020 para los procesos de licitación pública.</w:t>
      </w:r>
    </w:p>
    <w:p w14:paraId="7A14B9A5" w14:textId="77777777" w:rsidR="00F2549E" w:rsidRPr="00F2549E" w:rsidRDefault="00F2549E" w:rsidP="00F2549E">
      <w:pPr>
        <w:spacing w:before="120" w:after="12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lastRenderedPageBreak/>
        <w:t>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“2. Obras de alcantarillados (sanitarios y/o pluviales y/o combinado)”, la entidad podrá verificar la experiencia requerida en su proceso, de acuerdo con las dos (2) actividades identificadas en la matriz 1.</w:t>
      </w:r>
    </w:p>
    <w:p w14:paraId="0822D705" w14:textId="77777777" w:rsidR="00F2549E" w:rsidRPr="00F2549E" w:rsidRDefault="00F2549E" w:rsidP="00F2549E">
      <w:pPr>
        <w:spacing w:before="120" w:after="12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 xml:space="preserve">De otra parte, el documento establece los rangos dentro de los cuales se debe identificar el presupuesto del Proceso de Contratación. Estos abarcan las cuantías mínimas y máximas que son frecuentes en los procesos de contratación de obra pública de infraestructura de agua potable y saneamiento básico,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3B9F99D5" w14:textId="77777777" w:rsidR="00F2549E" w:rsidRPr="00F2549E" w:rsidRDefault="00F2549E" w:rsidP="00F2549E">
      <w:pPr>
        <w:spacing w:before="120" w:after="12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248 del 1 de diciembre de 2020 y, por tanto, la regla general es que no pueden ser alterados, modificados o adicionados en su contenido. </w:t>
      </w:r>
    </w:p>
    <w:p w14:paraId="74DD5100" w14:textId="77777777" w:rsidR="00F2549E" w:rsidRPr="00F2549E" w:rsidRDefault="00F2549E" w:rsidP="00F2549E">
      <w:pPr>
        <w:tabs>
          <w:tab w:val="left" w:pos="426"/>
        </w:tabs>
        <w:spacing w:before="120" w:after="120" w:line="276" w:lineRule="auto"/>
        <w:jc w:val="both"/>
        <w:rPr>
          <w:rFonts w:ascii="Verdana" w:eastAsia="Calibri" w:hAnsi="Verdana" w:cs="Arial"/>
          <w:color w:val="000000"/>
          <w:kern w:val="2"/>
          <w:lang w:val="es-MX"/>
          <w14:ligatures w14:val="standardContextual"/>
        </w:rPr>
      </w:pPr>
      <w:proofErr w:type="spellStart"/>
      <w:r w:rsidRPr="00F2549E">
        <w:rPr>
          <w:rFonts w:ascii="Verdana" w:eastAsia="Calibri" w:hAnsi="Verdana" w:cs="Arial"/>
          <w:kern w:val="2"/>
          <w14:ligatures w14:val="standardContextual"/>
        </w:rPr>
        <w:t>ii</w:t>
      </w:r>
      <w:proofErr w:type="spellEnd"/>
      <w:r w:rsidRPr="00F2549E">
        <w:rPr>
          <w:rFonts w:ascii="Verdana" w:eastAsia="Calibri" w:hAnsi="Verdana" w:cs="Arial"/>
          <w:kern w:val="2"/>
          <w14:ligatures w14:val="standardContextual"/>
        </w:rPr>
        <w:t xml:space="preserve">. </w:t>
      </w:r>
      <w:r w:rsidRPr="00F2549E">
        <w:rPr>
          <w:rFonts w:ascii="Verdana" w:eastAsia="Calibri" w:hAnsi="Verdana" w:cs="Arial"/>
          <w:color w:val="000000"/>
          <w:kern w:val="2"/>
          <w:lang w:val="es-MX"/>
          <w14:ligatures w14:val="standardContextual"/>
        </w:rPr>
        <w:t xml:space="preserve">El numeral 3.5.2 del documento base de los documentos tipo de licitación de obra pública de infraestructura de agua potable y saneamiento básico dispone que los contratos aportados para acreditar la experiencia “(…) serán evaluados teniendo en cuenta (…) el contenido establecido en la Matriz 1 – Experiencia (…)”. Esta precisión es importante, porque aunque el documento tipo se refiera a las obras de agua potable y saneamiento básico, los documentos válidos para acreditar el requisito habilitante deben relacionarse con las actividades de la matriz de experiencia. </w:t>
      </w:r>
    </w:p>
    <w:p w14:paraId="697957EC" w14:textId="77777777" w:rsidR="00F2549E" w:rsidRPr="00F2549E" w:rsidRDefault="00F2549E" w:rsidP="00F2549E">
      <w:pPr>
        <w:tabs>
          <w:tab w:val="left" w:pos="426"/>
        </w:tabs>
        <w:spacing w:after="0" w:line="276" w:lineRule="auto"/>
        <w:jc w:val="both"/>
        <w:rPr>
          <w:rFonts w:ascii="Verdana" w:eastAsia="Calibri" w:hAnsi="Verdana" w:cs="Arial"/>
          <w:color w:val="000000"/>
          <w:kern w:val="2"/>
          <w:lang w:val="es-MX"/>
          <w14:ligatures w14:val="standardContextual"/>
        </w:rPr>
      </w:pPr>
      <w:r w:rsidRPr="00F2549E">
        <w:rPr>
          <w:rFonts w:ascii="Verdana" w:eastAsia="Calibri" w:hAnsi="Verdana" w:cs="Arial"/>
          <w:color w:val="000000"/>
          <w:kern w:val="2"/>
          <w:lang w:val="es-MX"/>
          <w14:ligatures w14:val="standardContextual"/>
        </w:rPr>
        <w:tab/>
      </w:r>
      <w:r w:rsidRPr="00F2549E">
        <w:rPr>
          <w:rFonts w:ascii="Verdana" w:eastAsia="Calibri" w:hAnsi="Verdana" w:cs="Arial"/>
          <w:color w:val="000000"/>
          <w:kern w:val="2"/>
          <w:lang w:val="es-MX"/>
          <w14:ligatures w14:val="standardContextual"/>
        </w:rPr>
        <w:tab/>
        <w:t xml:space="preserve">Este numeral regula </w:t>
      </w:r>
      <w:r w:rsidRPr="00F2549E">
        <w:rPr>
          <w:rFonts w:ascii="Verdana" w:eastAsia="Calibri" w:hAnsi="Verdana" w:cs="Arial"/>
          <w:kern w:val="2"/>
          <w:lang w:val="es-MX"/>
          <w14:ligatures w14:val="standardContextual"/>
        </w:rPr>
        <w:t xml:space="preserve">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w:t>
      </w:r>
      <w:r w:rsidRPr="00F2549E">
        <w:rPr>
          <w:rFonts w:ascii="Verdana" w:eastAsia="Calibri" w:hAnsi="Verdana" w:cs="Arial"/>
          <w:kern w:val="2"/>
          <w:lang w:val="es-MX"/>
          <w14:ligatures w14:val="standardContextual"/>
        </w:rPr>
        <w:lastRenderedPageBreak/>
        <w:t>dispuestas se destaca el literal A, que regula la actividad que debe contener el contrato que se presenta para acreditar el requisito de experiencia, en los siguientes términos:</w:t>
      </w:r>
    </w:p>
    <w:p w14:paraId="6F2EDA5D" w14:textId="77777777" w:rsidR="00F2549E" w:rsidRPr="00F2549E" w:rsidRDefault="00F2549E" w:rsidP="00F2549E">
      <w:pPr>
        <w:spacing w:after="0" w:line="276" w:lineRule="auto"/>
        <w:ind w:firstLine="708"/>
        <w:jc w:val="both"/>
        <w:rPr>
          <w:rFonts w:ascii="Verdana" w:eastAsia="Calibri" w:hAnsi="Verdana" w:cs="Arial"/>
          <w:kern w:val="2"/>
          <w:sz w:val="24"/>
          <w:szCs w:val="24"/>
          <w:lang w:val="es-MX"/>
          <w14:ligatures w14:val="standardContextual"/>
        </w:rPr>
      </w:pPr>
    </w:p>
    <w:p w14:paraId="737C159F" w14:textId="77777777" w:rsidR="00F2549E" w:rsidRPr="00F2549E" w:rsidRDefault="00F2549E" w:rsidP="00F2549E">
      <w:pPr>
        <w:tabs>
          <w:tab w:val="left" w:pos="-142"/>
          <w:tab w:val="left" w:pos="851"/>
          <w:tab w:val="left" w:pos="1134"/>
        </w:tabs>
        <w:autoSpaceDE w:val="0"/>
        <w:autoSpaceDN w:val="0"/>
        <w:adjustRightInd w:val="0"/>
        <w:spacing w:after="120" w:line="240" w:lineRule="auto"/>
        <w:ind w:left="709" w:right="709"/>
        <w:jc w:val="both"/>
        <w:rPr>
          <w:rFonts w:ascii="Verdana" w:eastAsia="Arial,Times New Roman" w:hAnsi="Verdana" w:cs="Arial"/>
          <w:kern w:val="2"/>
          <w:sz w:val="21"/>
          <w:szCs w:val="21"/>
          <w:highlight w:val="lightGray"/>
          <w:lang w:val="es-MX" w:eastAsia="es-ES"/>
          <w14:ligatures w14:val="standardContextual"/>
        </w:rPr>
      </w:pPr>
      <w:r w:rsidRPr="00F2549E">
        <w:rPr>
          <w:rFonts w:ascii="Verdana" w:eastAsia="Arial,Times New Roman" w:hAnsi="Verdana" w:cs="Arial"/>
          <w:kern w:val="2"/>
          <w:sz w:val="21"/>
          <w:szCs w:val="21"/>
          <w:lang w:val="es-MX" w:eastAsia="es-ES"/>
          <w14:ligatures w14:val="standardContextual"/>
        </w:rPr>
        <w:t>“A.</w:t>
      </w:r>
      <w:r w:rsidRPr="00F2549E">
        <w:rPr>
          <w:rFonts w:ascii="Verdana" w:eastAsia="Arial,Times New Roman" w:hAnsi="Verdana" w:cs="Arial"/>
          <w:kern w:val="2"/>
          <w:sz w:val="21"/>
          <w:szCs w:val="21"/>
          <w:lang w:val="es-MX" w:eastAsia="es-ES"/>
          <w14:ligatures w14:val="standardContextual"/>
        </w:rPr>
        <w:tab/>
        <w:t xml:space="preserve">Que hayan contenido la ejecución de: </w:t>
      </w:r>
      <w:r w:rsidRPr="00F2549E">
        <w:rPr>
          <w:rFonts w:ascii="Verdana" w:eastAsia="Arial,Times New Roman" w:hAnsi="Verdana" w:cs="Arial"/>
          <w:kern w:val="2"/>
          <w:sz w:val="21"/>
          <w:szCs w:val="21"/>
          <w:highlight w:val="lightGray"/>
          <w:lang w:val="es-MX" w:eastAsia="es-ES"/>
          <w14:ligatures w14:val="standardContextual"/>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7A566DEB" w14:textId="77777777" w:rsidR="00F2549E" w:rsidRPr="00F2549E" w:rsidRDefault="00F2549E" w:rsidP="00F2549E">
      <w:pPr>
        <w:tabs>
          <w:tab w:val="left" w:pos="-142"/>
          <w:tab w:val="left" w:pos="851"/>
          <w:tab w:val="left" w:pos="1134"/>
        </w:tabs>
        <w:autoSpaceDE w:val="0"/>
        <w:autoSpaceDN w:val="0"/>
        <w:adjustRightInd w:val="0"/>
        <w:spacing w:after="120" w:line="240" w:lineRule="auto"/>
        <w:ind w:left="709" w:right="709"/>
        <w:jc w:val="both"/>
        <w:rPr>
          <w:rFonts w:ascii="Verdana" w:eastAsia="Arial,Times New Roman" w:hAnsi="Verdana" w:cs="Arial"/>
          <w:kern w:val="2"/>
          <w:sz w:val="21"/>
          <w:szCs w:val="21"/>
          <w:highlight w:val="lightGray"/>
          <w:lang w:val="es-MX" w:eastAsia="es-ES"/>
          <w14:ligatures w14:val="standardContextual"/>
        </w:rPr>
      </w:pPr>
      <w:r w:rsidRPr="00F2549E">
        <w:rPr>
          <w:rFonts w:ascii="Verdana" w:eastAsia="Arial,Times New Roman" w:hAnsi="Verdana" w:cs="Arial"/>
          <w:kern w:val="2"/>
          <w:sz w:val="21"/>
          <w:szCs w:val="21"/>
          <w:highlight w:val="lightGray"/>
          <w:lang w:val="es-MX" w:eastAsia="es-ES"/>
          <w14:ligatures w14:val="standardContextual"/>
        </w:rPr>
        <w:t xml:space="preserve">De conformidad con lo anterior, la entidad deberá diligenciar este literal, exclusivamente, con lo señalado en la Matriz 1- Experiencia, sin realizar modificación alguna a los requisitos de experiencia general, específica y los % de dimensionamiento, lo cual implicaría la alteración del documento tipo. </w:t>
      </w:r>
    </w:p>
    <w:p w14:paraId="60C3C5A2" w14:textId="77777777" w:rsidR="00F2549E" w:rsidRPr="00F2549E" w:rsidRDefault="00F2549E" w:rsidP="00F2549E">
      <w:pPr>
        <w:tabs>
          <w:tab w:val="left" w:pos="-142"/>
          <w:tab w:val="left" w:pos="851"/>
          <w:tab w:val="left" w:pos="1134"/>
        </w:tabs>
        <w:autoSpaceDE w:val="0"/>
        <w:autoSpaceDN w:val="0"/>
        <w:adjustRightInd w:val="0"/>
        <w:spacing w:after="0" w:line="240" w:lineRule="auto"/>
        <w:ind w:left="709" w:right="709"/>
        <w:jc w:val="both"/>
        <w:rPr>
          <w:rFonts w:ascii="Verdana" w:eastAsia="Arial,Times New Roman" w:hAnsi="Verdana" w:cs="Arial"/>
          <w:kern w:val="2"/>
          <w:sz w:val="21"/>
          <w:szCs w:val="21"/>
          <w:highlight w:val="lightGray"/>
          <w:lang w:val="es-MX" w:eastAsia="es-ES"/>
          <w14:ligatures w14:val="standardContextual"/>
        </w:rPr>
      </w:pPr>
      <w:r w:rsidRPr="00F2549E">
        <w:rPr>
          <w:rFonts w:ascii="Verdana" w:eastAsia="Arial,Times New Roman" w:hAnsi="Verdana" w:cs="Arial"/>
          <w:kern w:val="2"/>
          <w:sz w:val="21"/>
          <w:szCs w:val="21"/>
          <w:highlight w:val="lightGray"/>
          <w:lang w:val="es-MX" w:eastAsia="es-ES"/>
          <w14:ligatures w14:val="standardContextual"/>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Experiencia lo establezca.</w:t>
      </w:r>
    </w:p>
    <w:p w14:paraId="5181BC08" w14:textId="77777777" w:rsidR="00F2549E" w:rsidRPr="00F2549E" w:rsidRDefault="00F2549E" w:rsidP="00F2549E">
      <w:pPr>
        <w:tabs>
          <w:tab w:val="left" w:pos="-142"/>
          <w:tab w:val="left" w:pos="851"/>
          <w:tab w:val="left" w:pos="1134"/>
        </w:tabs>
        <w:autoSpaceDE w:val="0"/>
        <w:autoSpaceDN w:val="0"/>
        <w:adjustRightInd w:val="0"/>
        <w:spacing w:after="0" w:line="240" w:lineRule="auto"/>
        <w:ind w:left="709" w:right="709"/>
        <w:jc w:val="both"/>
        <w:rPr>
          <w:rFonts w:ascii="Verdana" w:eastAsia="Arial,Times New Roman" w:hAnsi="Verdana" w:cs="Arial"/>
          <w:kern w:val="2"/>
          <w:sz w:val="21"/>
          <w:szCs w:val="21"/>
          <w:lang w:val="es-MX" w:eastAsia="es-ES"/>
          <w14:ligatures w14:val="standardContextual"/>
        </w:rPr>
      </w:pPr>
      <w:r w:rsidRPr="00F2549E">
        <w:rPr>
          <w:rFonts w:ascii="Verdana" w:eastAsia="Arial,Times New Roman" w:hAnsi="Verdana" w:cs="Arial"/>
          <w:kern w:val="2"/>
          <w:sz w:val="21"/>
          <w:szCs w:val="21"/>
          <w:lang w:val="es-MX" w:eastAsia="es-ES"/>
          <w14:ligatures w14:val="standardContextual"/>
        </w:rPr>
        <w:t xml:space="preserve">(…)”. </w:t>
      </w:r>
    </w:p>
    <w:p w14:paraId="7917531F" w14:textId="77777777" w:rsidR="00F2549E" w:rsidRPr="00F2549E" w:rsidRDefault="00F2549E" w:rsidP="00F2549E">
      <w:pPr>
        <w:spacing w:after="0" w:line="276" w:lineRule="auto"/>
        <w:ind w:firstLine="709"/>
        <w:jc w:val="both"/>
        <w:rPr>
          <w:rFonts w:ascii="Verdana" w:eastAsia="Calibri" w:hAnsi="Verdana" w:cs="Arial"/>
          <w:kern w:val="2"/>
          <w:sz w:val="24"/>
          <w:szCs w:val="24"/>
          <w:lang w:val="es-MX"/>
          <w14:ligatures w14:val="standardContextual"/>
        </w:rPr>
      </w:pPr>
    </w:p>
    <w:p w14:paraId="0EDCD2C3" w14:textId="77777777" w:rsidR="00F2549E" w:rsidRPr="00F2549E" w:rsidRDefault="00F2549E" w:rsidP="00F2549E">
      <w:pPr>
        <w:spacing w:after="120" w:line="276" w:lineRule="auto"/>
        <w:ind w:firstLine="709"/>
        <w:jc w:val="both"/>
        <w:rPr>
          <w:rFonts w:ascii="Verdana" w:eastAsia="Calibri" w:hAnsi="Verdana" w:cs="Arial"/>
          <w:kern w:val="2"/>
          <w:lang w:val="es-MX"/>
          <w14:ligatures w14:val="standardContextual"/>
        </w:rPr>
      </w:pPr>
      <w:r w:rsidRPr="00F2549E">
        <w:rPr>
          <w:rFonts w:ascii="Verdana" w:eastAsia="Calibri" w:hAnsi="Verdana" w:cs="Arial"/>
          <w:kern w:val="2"/>
          <w:lang w:val="es-MX"/>
          <w14:ligatures w14:val="standardContextual"/>
        </w:rPr>
        <w:t xml:space="preserve">El literal transcrito establece que cuando un proponente pretenda acreditar experiencia adquirida en el marco de la ejecución de un contrato donde se desarrollaron diferentes actividades, dicha experiencia deberá ser evaluada en función de la actividad que la entidad señala en el literal A. Esto teniendo en cuenta que el apartado contiene un espacio en color gris y corchetes que es la forma de destacar los aspectos que deben ser diligenciados por la entidad. En otras palabras, allí se establece que la experiencia que la entidad puede evaluar es únicamente la relacionada con la actividad señalada en este literal A, por lo cual establece que esta actividad corresponde a las señaladas en la matriz 1 que son válidas para acreditar la experiencia general y específica. </w:t>
      </w:r>
    </w:p>
    <w:p w14:paraId="488E381D" w14:textId="77777777" w:rsidR="00F2549E" w:rsidRPr="00F2549E" w:rsidRDefault="00F2549E" w:rsidP="00F2549E">
      <w:pPr>
        <w:spacing w:after="120" w:line="276" w:lineRule="auto"/>
        <w:ind w:firstLine="708"/>
        <w:jc w:val="both"/>
        <w:rPr>
          <w:rFonts w:ascii="Verdana" w:eastAsia="Calibri" w:hAnsi="Verdana" w:cs="Arial"/>
          <w:kern w:val="2"/>
          <w:lang w:val="es-MX"/>
          <w14:ligatures w14:val="standardContextual"/>
        </w:rPr>
      </w:pPr>
      <w:r w:rsidRPr="00F2549E">
        <w:rPr>
          <w:rFonts w:ascii="Verdana" w:eastAsia="Calibri" w:hAnsi="Verdana" w:cs="Arial"/>
          <w:kern w:val="2"/>
          <w:lang w:val="es-MX"/>
          <w14:ligatures w14:val="standardContextual"/>
        </w:rPr>
        <w:t xml:space="preserve">De acuerdo con lo anterior, una adecuada interpretación del literal A del numeral 3.5.2 debe tener en cuenta lo señalado en la matriz 1 – Experiencia, puesto que allí se indica la experiencia general y específica que es válida para cada actividad que se requiera contratar. Lo anterior significa que para acreditar la experiencia señalada en la matriz 1, los contratos mediante los cuales se </w:t>
      </w:r>
      <w:r w:rsidRPr="00F2549E">
        <w:rPr>
          <w:rFonts w:ascii="Verdana" w:eastAsia="Calibri" w:hAnsi="Verdana" w:cs="Arial"/>
          <w:kern w:val="2"/>
          <w:lang w:val="es-MX"/>
          <w14:ligatures w14:val="standardContextual"/>
        </w:rPr>
        <w:lastRenderedPageBreak/>
        <w:t>adquirió deben cumplir las características del numeral 3.5.2 del documento base, particularmente el literal A. Es decir, deben referirse a la actividad que la entidad definió como objeto del procedimiento contractual, que como el mismo literal indica, se debe diligenciar exclusivamente con lo señalado en la matriz de experiencia.</w:t>
      </w:r>
    </w:p>
    <w:p w14:paraId="130B8FFF" w14:textId="77777777" w:rsidR="00F2549E" w:rsidRPr="00F2549E" w:rsidRDefault="00F2549E" w:rsidP="00F2549E">
      <w:pPr>
        <w:spacing w:after="0" w:line="276" w:lineRule="auto"/>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ab/>
        <w:t>Lo anterior es consecuente con la columna “Acreditación de la experiencia” contenida en la Matriz 1 – Experiencia en la que se señala lo siguiente:</w:t>
      </w:r>
    </w:p>
    <w:p w14:paraId="3D9FECD9" w14:textId="77777777" w:rsidR="00F2549E" w:rsidRPr="00F2549E" w:rsidRDefault="00F2549E" w:rsidP="00F2549E">
      <w:pPr>
        <w:spacing w:after="0" w:line="276" w:lineRule="auto"/>
        <w:jc w:val="both"/>
        <w:rPr>
          <w:rFonts w:ascii="Verdana" w:eastAsia="Calibri" w:hAnsi="Verdana" w:cs="Arial"/>
          <w:kern w:val="2"/>
          <w14:ligatures w14:val="standardContextual"/>
        </w:rPr>
      </w:pPr>
    </w:p>
    <w:p w14:paraId="3B4E180D" w14:textId="77777777" w:rsidR="00F2549E" w:rsidRPr="00F2549E" w:rsidRDefault="00F2549E" w:rsidP="00F2549E">
      <w:pPr>
        <w:spacing w:after="0" w:line="240" w:lineRule="auto"/>
        <w:ind w:left="709" w:right="709"/>
        <w:jc w:val="both"/>
        <w:rPr>
          <w:rFonts w:ascii="Verdana" w:eastAsia="Calibri" w:hAnsi="Verdana" w:cs="Arial"/>
          <w:kern w:val="2"/>
          <w:sz w:val="21"/>
          <w:szCs w:val="21"/>
          <w14:ligatures w14:val="standardContextual"/>
        </w:rPr>
      </w:pPr>
      <w:r w:rsidRPr="00F2549E">
        <w:rPr>
          <w:rFonts w:ascii="Verdana" w:eastAsia="Calibri" w:hAnsi="Verdana" w:cs="Arial"/>
          <w:kern w:val="2"/>
          <w:sz w:val="21"/>
          <w:szCs w:val="21"/>
          <w14:ligatures w14:val="standardContextual"/>
        </w:rPr>
        <w:t xml:space="preserve"> “Que hayan contenido la ejecución de: </w:t>
      </w:r>
      <w:r w:rsidRPr="00F2549E">
        <w:rPr>
          <w:rFonts w:ascii="Verdana" w:eastAsia="Calibri" w:hAnsi="Verdana" w:cs="Arial"/>
          <w:color w:val="FF0000"/>
          <w:kern w:val="2"/>
          <w:sz w:val="21"/>
          <w:szCs w:val="21"/>
          <w14:ligatures w14:val="standardContextual"/>
        </w:rPr>
        <w:t>[la Entidad no podrá incluir  condiciones adicionales para la acreditación de la experiencia  a las exigidas en esta Matriz haciendo uso de esta expresión]</w:t>
      </w:r>
      <w:r w:rsidRPr="00F2549E">
        <w:rPr>
          <w:rFonts w:ascii="Verdana" w:eastAsia="Calibri" w:hAnsi="Verdana" w:cs="Arial"/>
          <w:kern w:val="2"/>
          <w:sz w:val="21"/>
          <w:szCs w:val="21"/>
          <w14:ligatures w14:val="standardContextual"/>
        </w:rPr>
        <w:t xml:space="preserve">”. </w:t>
      </w:r>
    </w:p>
    <w:p w14:paraId="3DFD6EAF" w14:textId="77777777" w:rsidR="00F2549E" w:rsidRPr="00F2549E" w:rsidRDefault="00F2549E" w:rsidP="00F2549E">
      <w:pPr>
        <w:spacing w:after="0" w:line="240" w:lineRule="auto"/>
        <w:ind w:left="709" w:right="709"/>
        <w:jc w:val="both"/>
        <w:rPr>
          <w:rFonts w:ascii="Verdana" w:eastAsia="Calibri" w:hAnsi="Verdana" w:cs="Arial"/>
          <w:kern w:val="2"/>
          <w:sz w:val="21"/>
          <w:szCs w:val="21"/>
          <w14:ligatures w14:val="standardContextual"/>
        </w:rPr>
      </w:pPr>
    </w:p>
    <w:p w14:paraId="3E8BFFBF" w14:textId="77777777" w:rsidR="00F2549E" w:rsidRPr="00F2549E" w:rsidRDefault="00F2549E" w:rsidP="00F2549E">
      <w:pPr>
        <w:spacing w:after="120" w:line="276" w:lineRule="auto"/>
        <w:ind w:firstLine="708"/>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 xml:space="preserve">Esta indicación debe entenderse como un límite al diligenciamiento del literal A del numeral 3.5.2. Al transcribir la actividad y los requisitos de experiencia, la entidad no puede agregar exigencias que la Matriz no contempla para la actividad a contratar, como la ubicación del proyecto, la naturaleza del contratante o especificaciones técnicas distintas. Las condiciones adicionales de experiencia solo pueden provenir de las opciones de experiencia específica que la propia Matriz enlista para cada actividad, con los límites que en esta se fijan. </w:t>
      </w:r>
    </w:p>
    <w:p w14:paraId="1BDF29DD" w14:textId="77777777" w:rsidR="00F2549E" w:rsidRPr="00F2549E" w:rsidRDefault="00F2549E" w:rsidP="00F2549E">
      <w:pPr>
        <w:spacing w:after="120" w:line="276" w:lineRule="auto"/>
        <w:ind w:firstLine="708"/>
        <w:jc w:val="both"/>
        <w:rPr>
          <w:rFonts w:ascii="Verdana" w:eastAsia="Calibri" w:hAnsi="Verdana" w:cs="Times New Roman"/>
        </w:rPr>
      </w:pPr>
      <w:r w:rsidRPr="00F2549E">
        <w:rPr>
          <w:rFonts w:ascii="Verdana" w:eastAsia="Calibri" w:hAnsi="Verdana" w:cs="Arial"/>
          <w:kern w:val="2"/>
          <w14:ligatures w14:val="standardContextual"/>
        </w:rPr>
        <w:t xml:space="preserve">Ahora bien, considerando el marco señalado con anterioridad sobre la experiencia en los documentos tipo de licitación de obra pública de infraestructura de agua potable y saneamiento básico. Para responder a su solicitud, </w:t>
      </w:r>
      <w:r w:rsidRPr="00F2549E">
        <w:rPr>
          <w:rFonts w:ascii="Verdana" w:eastAsia="Calibri" w:hAnsi="Verdana" w:cs="Times New Roman"/>
        </w:rPr>
        <w:t xml:space="preserve">le indicamos que, </w:t>
      </w:r>
      <w:r w:rsidRPr="00F2549E">
        <w:rPr>
          <w:rFonts w:ascii="Verdana" w:eastAsia="Calibri" w:hAnsi="Verdana" w:cs="Arial"/>
          <w:kern w:val="2"/>
          <w14:ligatures w14:val="standardContextual"/>
        </w:rPr>
        <w:t>la Matriz 1 – Experiencia de los documentos tipo señalados, en el capítulo 2 “Obras de alcantarillados (sanitarios y/o pluviales y/o combinado)”, contiene la actividad por la que indaga en su solicitud, esto es, la “2.2 PROYECTOS DE OPTIMIZACIÓN Y/O MEJORAMIENTO Y/O REHABILITACIÓN Y/O REFORZAMIENTO Y/O RECONSTRUCCIÓN Y/O REPOSICIÓN DE ALCANTARILLADOS Y/O REDES DE ALCANTARILLADO SANITARIOS Y/O PLUVIALES Y/O COMBINADO (URBANOS Y/O RURALES)”</w:t>
      </w:r>
      <w:r w:rsidRPr="00F2549E">
        <w:rPr>
          <w:rFonts w:ascii="Verdana" w:eastAsia="Aptos" w:hAnsi="Verdana" w:cs="Arial"/>
          <w:color w:val="000000"/>
          <w:lang w:val="es-ES_tradnl"/>
        </w:rPr>
        <w:t xml:space="preserve">. </w:t>
      </w:r>
      <w:r w:rsidRPr="00F2549E">
        <w:rPr>
          <w:rFonts w:ascii="Verdana" w:eastAsia="Aptos" w:hAnsi="Verdana" w:cs="Times New Roman"/>
          <w:kern w:val="2"/>
          <w14:ligatures w14:val="standardContextual"/>
        </w:rPr>
        <w:t>Para esta actividad se establece la experiencia general y específica exigida y, adicionalmente, se señala un porcentaje (%) para el dimensionamiento, el cual está en función de los rangos de salarios mínimos mensuales legales vigentes en los que se enmarca el presupuesto oficial del proceso de selección, y una nota general.</w:t>
      </w:r>
      <w:r w:rsidRPr="00F2549E">
        <w:rPr>
          <w:rFonts w:ascii="Verdana" w:eastAsia="Calibri" w:hAnsi="Verdana" w:cs="Times New Roman"/>
        </w:rPr>
        <w:t xml:space="preserve"> </w:t>
      </w:r>
    </w:p>
    <w:p w14:paraId="5B55D734"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 xml:space="preserve">Para la actividad señalada se determina como experiencia general: “PROYECTOS QUE CORRESPONDAN O HAYAN CONTENIDO ACTIVIDADES DE: AMPLIACIÓN Y/U OPTIMIZACIÓN Y/O CONSTRUCCIÓN Y/O MEJORAMIENTO Y/O </w:t>
      </w:r>
      <w:r w:rsidRPr="00F2549E">
        <w:rPr>
          <w:rFonts w:ascii="Verdana" w:eastAsia="Calibri" w:hAnsi="Verdana" w:cs="Arial"/>
          <w:kern w:val="2"/>
          <w14:ligatures w14:val="standardContextual"/>
        </w:rPr>
        <w:lastRenderedPageBreak/>
        <w:t>REPOSICIÓN Y/O REHABILITACIÓN Y/O REFORZAMIENTO Y/O RECONSTRUCCIÓN DE ALCANTARILLADOS (SANITARIOS Y/O PLUVIALES Y/O COMBINADO)”.</w:t>
      </w:r>
    </w:p>
    <w:p w14:paraId="072DD084"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Como se observa, la experiencia general de esta actividad admite contratos de ampliación, optimización, construcción, mejoramiento, reposición, rehabilitación, reforzamiento o reconstrucción de alcantarillados sanitarios, pluviales o combinados. Basta con que el contrato aportado corresponda a alguna de esas intervenciones o la haya contenido. La Matriz tampoco sujeta la experiencia general al lugar donde se ejecutó el proyecto, la propia denominación de la actividad comprende los alcantarillados urbanos y rurales, por lo que, para efectos de la experiencia general, son válidos los contratos ejecutados en una u otra zona.</w:t>
      </w:r>
    </w:p>
    <w:p w14:paraId="03A51DA4" w14:textId="77777777" w:rsidR="00F2549E" w:rsidRPr="00F2549E" w:rsidRDefault="00F2549E" w:rsidP="00F2549E">
      <w:pPr>
        <w:tabs>
          <w:tab w:val="left" w:pos="0"/>
        </w:tabs>
        <w:spacing w:after="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Para la experiencia específica, la Matriz 1 – Experiencia incluyó la siguiente nota general:</w:t>
      </w:r>
    </w:p>
    <w:p w14:paraId="706ECD34" w14:textId="77777777" w:rsidR="00F2549E" w:rsidRPr="00F2549E" w:rsidRDefault="00F2549E" w:rsidP="00F2549E">
      <w:pPr>
        <w:tabs>
          <w:tab w:val="left" w:pos="0"/>
        </w:tabs>
        <w:spacing w:after="0" w:line="276" w:lineRule="auto"/>
        <w:ind w:firstLine="709"/>
        <w:jc w:val="both"/>
        <w:rPr>
          <w:rFonts w:ascii="Aptos" w:eastAsia="Aptos" w:hAnsi="Aptos" w:cs="Times New Roman"/>
          <w:kern w:val="2"/>
          <w:sz w:val="24"/>
          <w:szCs w:val="24"/>
          <w14:ligatures w14:val="standardContextual"/>
        </w:rPr>
      </w:pPr>
    </w:p>
    <w:p w14:paraId="65C33FAC"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Cuando la entidad considere procedente esta posibilidad lo señalará en el pliego de condiciones al momento de indicar la experiencia a requerir.</w:t>
      </w:r>
    </w:p>
    <w:p w14:paraId="0E6E8606" w14:textId="77777777" w:rsidR="00F2549E" w:rsidRPr="00F2549E" w:rsidRDefault="00F2549E" w:rsidP="00F2549E">
      <w:pPr>
        <w:spacing w:after="0" w:line="240" w:lineRule="auto"/>
        <w:ind w:left="709" w:right="709"/>
        <w:jc w:val="both"/>
        <w:rPr>
          <w:rFonts w:ascii="Verdana" w:eastAsia="Calibri" w:hAnsi="Verdana" w:cs="Arial"/>
          <w:sz w:val="21"/>
          <w:szCs w:val="21"/>
          <w:lang w:val="es-ES"/>
        </w:rPr>
      </w:pPr>
      <w:r w:rsidRPr="00F2549E">
        <w:rPr>
          <w:rFonts w:ascii="Verdana" w:eastAsia="Calibri" w:hAnsi="Verdana" w:cs="Arial"/>
          <w:sz w:val="21"/>
          <w:szCs w:val="21"/>
          <w:u w:val="single"/>
          <w:lang w:val="es-ES"/>
        </w:rPr>
        <w:t>La entidad NO podrá escoger más de 3 requisitos de experiencia específica, por lo que identificará los de mayor relevancia para el proyecto según la actividad a contratar”</w:t>
      </w:r>
      <w:r w:rsidRPr="00F2549E">
        <w:rPr>
          <w:rFonts w:ascii="Verdana" w:eastAsia="Calibri" w:hAnsi="Verdana" w:cs="Arial"/>
          <w:sz w:val="21"/>
          <w:szCs w:val="21"/>
          <w:lang w:val="es-ES"/>
        </w:rPr>
        <w:t>.</w:t>
      </w:r>
    </w:p>
    <w:p w14:paraId="4118542B" w14:textId="77777777" w:rsidR="00F2549E" w:rsidRPr="00F2549E" w:rsidRDefault="00F2549E" w:rsidP="00F2549E">
      <w:pPr>
        <w:spacing w:after="0" w:line="240" w:lineRule="auto"/>
        <w:ind w:left="709" w:right="709"/>
        <w:jc w:val="both"/>
        <w:rPr>
          <w:rFonts w:ascii="Verdana" w:eastAsia="Aptos" w:hAnsi="Verdana" w:cs="Times New Roman"/>
          <w:kern w:val="2"/>
          <w:sz w:val="20"/>
          <w:szCs w:val="20"/>
          <w14:ligatures w14:val="standardContextual"/>
        </w:rPr>
      </w:pPr>
    </w:p>
    <w:p w14:paraId="5D61D41B"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 xml:space="preserve">De acuerdo con esta nota, la entidad podrá aceptar que el porcentaje (%) de dimensionamiento exigido en la experiencia específica se acredite con la sumatoria de máximo dos (2) de los contratos válidos aportados. Es la entidad la que decide si procede aceptarlo, en atención a la magnitud física empleada como variable para el dimensionamiento, y debe señalarlo en el pliego de condiciones. La nota también fija un tope, y es que, la entidad no puede escoger más de tres (3) requisitos de experiencia específica, contando el obligatorio y los adicionales, y debe identificar los de mayor relevancia para el proyecto. </w:t>
      </w:r>
      <w:r w:rsidRPr="00F2549E">
        <w:rPr>
          <w:rFonts w:ascii="Verdana" w:eastAsia="Aptos" w:hAnsi="Verdana" w:cs="Arial"/>
          <w:color w:val="000000"/>
          <w:kern w:val="2"/>
          <w:shd w:val="clear" w:color="auto" w:fill="FFFFFF"/>
          <w14:ligatures w14:val="standardContextual"/>
        </w:rPr>
        <w:t xml:space="preserve">Es decir, respecto de la experiencia específica la entidad estatal debe fijar el requisito de experiencia obligatorio que fija la matriz y puede establecer dos (2) </w:t>
      </w:r>
      <w:r w:rsidRPr="00F2549E">
        <w:rPr>
          <w:rFonts w:ascii="Verdana" w:eastAsia="Aptos" w:hAnsi="Verdana" w:cs="Arial"/>
          <w:color w:val="000000"/>
          <w:kern w:val="2"/>
          <w:shd w:val="clear" w:color="auto" w:fill="FFFFFF"/>
          <w14:ligatures w14:val="standardContextual"/>
        </w:rPr>
        <w:lastRenderedPageBreak/>
        <w:t>requisitos adicionales de experiencia específica, de las opciones que se enlistan para cada actividad, según sea indicado en la mencionada matriz.</w:t>
      </w:r>
    </w:p>
    <w:p w14:paraId="0D12EB86" w14:textId="77777777" w:rsidR="00F2549E" w:rsidRPr="00F2549E" w:rsidRDefault="00F2549E" w:rsidP="00F2549E">
      <w:pPr>
        <w:tabs>
          <w:tab w:val="left" w:pos="0"/>
        </w:tabs>
        <w:spacing w:after="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En relación con la experiencia específica obligatoria para la actividad 2.2, la Matriz 1 – Experiencia dispone lo siguiente:</w:t>
      </w:r>
    </w:p>
    <w:p w14:paraId="29E233BF" w14:textId="77777777" w:rsidR="00F2549E" w:rsidRPr="00F2549E" w:rsidRDefault="00F2549E" w:rsidP="00F2549E">
      <w:pPr>
        <w:tabs>
          <w:tab w:val="left" w:pos="0"/>
        </w:tabs>
        <w:spacing w:after="0" w:line="276" w:lineRule="auto"/>
        <w:ind w:firstLine="709"/>
        <w:jc w:val="both"/>
        <w:rPr>
          <w:rFonts w:ascii="Aptos" w:eastAsia="Aptos" w:hAnsi="Aptos" w:cs="Times New Roman"/>
          <w:kern w:val="2"/>
          <w:sz w:val="24"/>
          <w:szCs w:val="24"/>
          <w14:ligatures w14:val="standardContextual"/>
        </w:rPr>
      </w:pPr>
    </w:p>
    <w:p w14:paraId="65E7E579" w14:textId="77777777" w:rsidR="00F2549E" w:rsidRPr="00F2549E" w:rsidRDefault="00F2549E" w:rsidP="00F2549E">
      <w:pPr>
        <w:spacing w:after="0" w:line="240" w:lineRule="auto"/>
        <w:ind w:left="709" w:right="709"/>
        <w:jc w:val="both"/>
        <w:rPr>
          <w:rFonts w:ascii="Verdana" w:eastAsia="Calibri" w:hAnsi="Verdana" w:cs="Arial"/>
          <w:sz w:val="21"/>
          <w:szCs w:val="21"/>
          <w:lang w:val="es-ES"/>
        </w:rPr>
      </w:pPr>
      <w:r w:rsidRPr="00F2549E">
        <w:rPr>
          <w:rFonts w:ascii="Verdana" w:eastAsia="Calibri" w:hAnsi="Verdana" w:cs="Arial"/>
          <w:sz w:val="21"/>
          <w:szCs w:val="21"/>
          <w:lang w:val="es-ES"/>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 o en su defecto, establecerá un diámetro mínimo de referencia, es decir mayor o igual a XX”]”.</w:t>
      </w:r>
    </w:p>
    <w:p w14:paraId="0C5B50EA" w14:textId="77777777" w:rsidR="00F2549E" w:rsidRPr="00F2549E" w:rsidRDefault="00F2549E" w:rsidP="00F2549E">
      <w:pPr>
        <w:spacing w:after="0" w:line="240" w:lineRule="auto"/>
        <w:ind w:left="709" w:right="709"/>
        <w:jc w:val="both"/>
        <w:rPr>
          <w:rFonts w:ascii="Aptos" w:eastAsia="Aptos" w:hAnsi="Aptos" w:cs="Times New Roman"/>
          <w:kern w:val="2"/>
          <w:sz w:val="24"/>
          <w:szCs w:val="24"/>
          <w14:ligatures w14:val="standardContextual"/>
        </w:rPr>
      </w:pPr>
    </w:p>
    <w:p w14:paraId="263BE173"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 xml:space="preserve">Esta experiencia debe acreditarse en todos los casos. Para exigirla, la entidad debe definir: i) la longitud de tubería, que equivale al porcentaje (F%) de la longitud total del proyecto según el rango de cuantía del proceso; </w:t>
      </w:r>
      <w:proofErr w:type="spellStart"/>
      <w:r w:rsidRPr="00F2549E">
        <w:rPr>
          <w:rFonts w:ascii="Verdana" w:eastAsia="Calibri" w:hAnsi="Verdana" w:cs="Arial"/>
          <w:kern w:val="2"/>
          <w14:ligatures w14:val="standardContextual"/>
        </w:rPr>
        <w:t>ii</w:t>
      </w:r>
      <w:proofErr w:type="spellEnd"/>
      <w:r w:rsidRPr="00F2549E">
        <w:rPr>
          <w:rFonts w:ascii="Verdana" w:eastAsia="Calibri" w:hAnsi="Verdana" w:cs="Arial"/>
          <w:kern w:val="2"/>
          <w14:ligatures w14:val="standardContextual"/>
        </w:rPr>
        <w:t xml:space="preserve">) el material más representativo de la tubería (PVC, PEX, concreto, entre otros), y </w:t>
      </w:r>
      <w:proofErr w:type="spellStart"/>
      <w:r w:rsidRPr="00F2549E">
        <w:rPr>
          <w:rFonts w:ascii="Verdana" w:eastAsia="Calibri" w:hAnsi="Verdana" w:cs="Arial"/>
          <w:kern w:val="2"/>
          <w14:ligatures w14:val="standardContextual"/>
        </w:rPr>
        <w:t>iii</w:t>
      </w:r>
      <w:proofErr w:type="spellEnd"/>
      <w:r w:rsidRPr="00F2549E">
        <w:rPr>
          <w:rFonts w:ascii="Verdana" w:eastAsia="Calibri" w:hAnsi="Verdana" w:cs="Arial"/>
          <w:kern w:val="2"/>
          <w14:ligatures w14:val="standardContextual"/>
        </w:rPr>
        <w:t>) el rango de diámetros comerciales de la tubería principal o más representativa del proyecto o, en su defecto, un diámetro mínimo de referencia. Si la entidad permitió la sumatoria prevista en la nota general, el proponente puede completar la longitud de tubería con máximo dos (2) contratos, pero cada uno debe cumplir con el material y con el rango de diámetros definidos. Por ejemplo, si la longitud que debe acreditarse es de 6 km, el material es PVC y el rango de diámetros está entre 12” y 18”, el proponente podrá sumar dos contratos para completar los 6 km, siempre que en ambos la tubería instalada o intervenida sea de PVC y se encuentre dentro de ese rango.</w:t>
      </w:r>
    </w:p>
    <w:p w14:paraId="6244B458" w14:textId="77777777" w:rsidR="00F2549E" w:rsidRPr="00F2549E" w:rsidRDefault="00F2549E" w:rsidP="00F2549E">
      <w:pPr>
        <w:tabs>
          <w:tab w:val="left" w:pos="0"/>
        </w:tabs>
        <w:spacing w:after="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Además de la experiencia específica obligatoria, la entidad puede escoger hasta dos (2) requisitos de experiencia específica adicional, según su pertinencia y el alcance del contrato que va a celebrar. Para la actividad 2.2, la Matriz 1 – Experiencia dispone lo siguiente:</w:t>
      </w:r>
    </w:p>
    <w:p w14:paraId="00C77D52" w14:textId="77777777" w:rsidR="00F2549E" w:rsidRPr="00F2549E" w:rsidRDefault="00F2549E" w:rsidP="00F2549E">
      <w:pPr>
        <w:tabs>
          <w:tab w:val="left" w:pos="0"/>
        </w:tabs>
        <w:spacing w:after="0" w:line="276" w:lineRule="auto"/>
        <w:ind w:firstLine="709"/>
        <w:jc w:val="both"/>
        <w:rPr>
          <w:rFonts w:ascii="Aptos" w:eastAsia="Aptos" w:hAnsi="Aptos" w:cs="Times New Roman"/>
          <w:kern w:val="2"/>
          <w:sz w:val="24"/>
          <w:szCs w:val="24"/>
          <w14:ligatures w14:val="standardContextual"/>
        </w:rPr>
      </w:pPr>
    </w:p>
    <w:p w14:paraId="001F751B"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“Proyectos de Alcantarillados (Sanitario y/o pluvial y/o combinado):</w:t>
      </w:r>
    </w:p>
    <w:p w14:paraId="51DC36C5"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lastRenderedPageBreak/>
        <w:t xml:space="preserve">[Sin perjuicio, de la experiencia específica anterior que será obligatoria, es decir, la inmediatamente anterior, la entidad escogerá una o más combinaciones de experiencia específica, sin que sobrepase a 2 requisitos de las opciones enlistadas a continuación, según sea analizada la pertinencia de </w:t>
      </w:r>
      <w:proofErr w:type="gramStart"/>
      <w:r w:rsidRPr="00F2549E">
        <w:rPr>
          <w:rFonts w:ascii="Verdana" w:eastAsia="Calibri" w:hAnsi="Verdana" w:cs="Arial"/>
          <w:sz w:val="21"/>
          <w:szCs w:val="21"/>
          <w:lang w:val="es-ES"/>
        </w:rPr>
        <w:t>las mismas</w:t>
      </w:r>
      <w:proofErr w:type="gramEnd"/>
      <w:r w:rsidRPr="00F2549E">
        <w:rPr>
          <w:rFonts w:ascii="Verdana" w:eastAsia="Calibri" w:hAnsi="Verdana" w:cs="Arial"/>
          <w:sz w:val="21"/>
          <w:szCs w:val="21"/>
          <w:lang w:val="es-ES"/>
        </w:rPr>
        <w:t xml:space="preserve"> y el alcance del futuro contrato a suscribir de acuerdo con las siguientes alternativas:</w:t>
      </w:r>
    </w:p>
    <w:p w14:paraId="082DFE1E"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 xml:space="preserve">Tenga en cuenta que el factor F% se aplicará </w:t>
      </w:r>
      <w:proofErr w:type="gramStart"/>
      <w:r w:rsidRPr="00F2549E">
        <w:rPr>
          <w:rFonts w:ascii="Verdana" w:eastAsia="Calibri" w:hAnsi="Verdana" w:cs="Arial"/>
          <w:sz w:val="21"/>
          <w:szCs w:val="21"/>
          <w:lang w:val="es-ES"/>
        </w:rPr>
        <w:t>de acuerdo al</w:t>
      </w:r>
      <w:proofErr w:type="gramEnd"/>
      <w:r w:rsidRPr="00F2549E">
        <w:rPr>
          <w:rFonts w:ascii="Verdana" w:eastAsia="Calibri" w:hAnsi="Verdana" w:cs="Arial"/>
          <w:sz w:val="21"/>
          <w:szCs w:val="21"/>
          <w:lang w:val="es-ES"/>
        </w:rPr>
        <w:t xml:space="preserve"> rango de SMMLV en el cual se encuentre el proceso de contratación.]</w:t>
      </w:r>
    </w:p>
    <w:p w14:paraId="677A8B1B"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-Por lo menos uno (1) de los contratos válidos aportados debe acreditar experiencia general en el componente de instalación y/o intervención de tuberías para redes o sistemas de alcantarillados (sanitario y/o pluvial y/o combinado) o sistemas de recolección de aguas residuales y/o pluviales. SI APLICA</w:t>
      </w:r>
    </w:p>
    <w:p w14:paraId="63376C37"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-Por lo menos uno (1) de los contratos válidos aportados como experiencia general, debe contar con el componente de conexiones domiciliarias, las cuales deben ser iguales o mayores al (F%) de los requeridos en el presente proceso, para los cuales el valor referente es [la Entidad establecerá el número estimada de conexiones domiciliarias para establecer la relación según el factor F%]. SI APLICA.</w:t>
      </w:r>
    </w:p>
    <w:p w14:paraId="603F58EA"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-Por lo menos uno (1) de los contratos válidos aportados debe acreditar experiencia general en entibados para construcción de acueductos y/o alcantarillados. SI APLICA.</w:t>
      </w:r>
    </w:p>
    <w:p w14:paraId="7942E82A"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-Por lo menos uno (1) de los contratos válidos aportados debe acreditar experiencia general en CONSTRUCCIÓN Y/O OPTIMIZACIÓN Y/O MEJORAMIENTO Y/O REHABILITACIÓN Y/O REFORZAMIENTO Y/O RECONSTRUCCIÓN Y/O REPOSICIÓN de canales hidráulicos que complementan los sistemas de alcantarillado pluvial en zonas urbanas y/o rurales. SI APLICA</w:t>
      </w:r>
    </w:p>
    <w:p w14:paraId="16D18753"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 xml:space="preserve">- Por lo menos uno (1) de los contratos válidos aportados como experiencia general, debe corresponder a la ejecución de un proyecto en zona rural y/o de </w:t>
      </w:r>
      <w:proofErr w:type="spellStart"/>
      <w:r w:rsidRPr="00F2549E">
        <w:rPr>
          <w:rFonts w:ascii="Verdana" w:eastAsia="Calibri" w:hAnsi="Verdana" w:cs="Arial"/>
          <w:sz w:val="21"/>
          <w:szCs w:val="21"/>
          <w:lang w:val="es-ES"/>
        </w:rPr>
        <w:t>dificil</w:t>
      </w:r>
      <w:proofErr w:type="spellEnd"/>
      <w:r w:rsidRPr="00F2549E">
        <w:rPr>
          <w:rFonts w:ascii="Verdana" w:eastAsia="Calibri" w:hAnsi="Verdana" w:cs="Arial"/>
          <w:sz w:val="21"/>
          <w:szCs w:val="21"/>
          <w:lang w:val="es-ES"/>
        </w:rPr>
        <w:t xml:space="preserve"> acceso, para lo cual entiéndase una zona de </w:t>
      </w:r>
      <w:proofErr w:type="spellStart"/>
      <w:r w:rsidRPr="00F2549E">
        <w:rPr>
          <w:rFonts w:ascii="Verdana" w:eastAsia="Calibri" w:hAnsi="Verdana" w:cs="Arial"/>
          <w:sz w:val="21"/>
          <w:szCs w:val="21"/>
          <w:lang w:val="es-ES"/>
        </w:rPr>
        <w:t>dificil</w:t>
      </w:r>
      <w:proofErr w:type="spellEnd"/>
      <w:r w:rsidRPr="00F2549E">
        <w:rPr>
          <w:rFonts w:ascii="Verdana" w:eastAsia="Calibri" w:hAnsi="Verdana" w:cs="Arial"/>
          <w:sz w:val="21"/>
          <w:szCs w:val="21"/>
          <w:lang w:val="es-ES"/>
        </w:rPr>
        <w:t xml:space="preserve"> acceso como aquella donde el transporte debe ser realizado de forma fluvial o aérea para su ejecución. SI APLICA</w:t>
      </w:r>
    </w:p>
    <w:p w14:paraId="7F413C90" w14:textId="77777777" w:rsidR="00F2549E" w:rsidRPr="00F2549E" w:rsidRDefault="00F2549E" w:rsidP="00F2549E">
      <w:pPr>
        <w:spacing w:after="0" w:line="240" w:lineRule="auto"/>
        <w:ind w:left="709" w:right="709"/>
        <w:jc w:val="both"/>
        <w:rPr>
          <w:rFonts w:ascii="Verdana" w:eastAsia="Calibri" w:hAnsi="Verdana" w:cs="Arial"/>
          <w:sz w:val="21"/>
          <w:szCs w:val="21"/>
          <w:lang w:val="es-ES"/>
        </w:rPr>
      </w:pPr>
      <w:r w:rsidRPr="00F2549E">
        <w:rPr>
          <w:rFonts w:ascii="Verdana" w:eastAsia="Calibri" w:hAnsi="Verdana" w:cs="Arial"/>
          <w:sz w:val="21"/>
          <w:szCs w:val="21"/>
          <w:lang w:val="es-ES"/>
        </w:rPr>
        <w:t xml:space="preserve">- Por lo menos uno (1) de los contratos válidos </w:t>
      </w:r>
      <w:proofErr w:type="spellStart"/>
      <w:r w:rsidRPr="00F2549E">
        <w:rPr>
          <w:rFonts w:ascii="Verdana" w:eastAsia="Calibri" w:hAnsi="Verdana" w:cs="Arial"/>
          <w:sz w:val="21"/>
          <w:szCs w:val="21"/>
          <w:lang w:val="es-ES"/>
        </w:rPr>
        <w:t>apotados</w:t>
      </w:r>
      <w:proofErr w:type="spellEnd"/>
      <w:r w:rsidRPr="00F2549E">
        <w:rPr>
          <w:rFonts w:ascii="Verdana" w:eastAsia="Calibri" w:hAnsi="Verdana" w:cs="Arial"/>
          <w:sz w:val="21"/>
          <w:szCs w:val="21"/>
          <w:lang w:val="es-ES"/>
        </w:rPr>
        <w:t xml:space="preserve"> como experiencia general debe corresponder a la ejecución de un proyecto en zona urbana. SI APLICA”.</w:t>
      </w:r>
    </w:p>
    <w:p w14:paraId="04BD501C" w14:textId="77777777" w:rsidR="00F2549E" w:rsidRPr="00F2549E" w:rsidRDefault="00F2549E" w:rsidP="00F2549E">
      <w:pPr>
        <w:spacing w:after="0" w:line="240" w:lineRule="auto"/>
        <w:ind w:left="709" w:right="709"/>
        <w:jc w:val="both"/>
        <w:rPr>
          <w:rFonts w:ascii="Aptos" w:eastAsia="Aptos" w:hAnsi="Aptos" w:cs="Times New Roman"/>
          <w:kern w:val="2"/>
          <w:sz w:val="24"/>
          <w:szCs w:val="24"/>
          <w14:ligatures w14:val="standardContextual"/>
        </w:rPr>
      </w:pPr>
    </w:p>
    <w:p w14:paraId="6DB6F5F2"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 xml:space="preserve">Cada uno de estos requisitos se acredita, por regla general, en “por lo menos uno (1) de los contratos válidos aportados”. La expresión “SI APLICA” </w:t>
      </w:r>
      <w:r w:rsidRPr="00F2549E">
        <w:rPr>
          <w:rFonts w:ascii="Verdana" w:eastAsia="Calibri" w:hAnsi="Verdana" w:cs="Arial"/>
          <w:kern w:val="2"/>
          <w14:ligatures w14:val="standardContextual"/>
        </w:rPr>
        <w:lastRenderedPageBreak/>
        <w:t>indica que el requisito solo es exigible cuando la entidad lo selecciona. Entre las alternativas aparece la ejecución de un proyecto en zona rural o de difícil acceso y, también, la ejecución de un proyecto en zona urbana. Es decir, la Matriz trató la ubicación del proyecto como una condición de experiencia específica adicional que la entidad puede elegir, y no como parte de la experiencia general de la actividad.</w:t>
      </w:r>
    </w:p>
    <w:p w14:paraId="1F063276"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 xml:space="preserve">En cuanto al porcentaje (%) de dimensionamiento, la Matriz fija para la actividad 2.2 un factor F = 70 % en los procesos cuyo presupuesto oficial no supera los 1.000 SMMLV y un factor F = 50 % en los procesos de mayor cuantía. </w:t>
      </w:r>
    </w:p>
    <w:p w14:paraId="4BCAA1C6" w14:textId="77777777" w:rsidR="00F2549E" w:rsidRPr="00F2549E" w:rsidRDefault="00F2549E" w:rsidP="00F2549E">
      <w:pPr>
        <w:tabs>
          <w:tab w:val="left" w:pos="0"/>
        </w:tabs>
        <w:spacing w:after="0" w:line="276" w:lineRule="auto"/>
        <w:ind w:firstLine="709"/>
        <w:jc w:val="both"/>
        <w:rPr>
          <w:rFonts w:ascii="Verdana" w:eastAsia="Calibri" w:hAnsi="Verdana" w:cs="Arial"/>
          <w:kern w:val="2"/>
          <w14:ligatures w14:val="standardContextual"/>
        </w:rPr>
      </w:pPr>
      <w:r w:rsidRPr="00F2549E">
        <w:rPr>
          <w:rFonts w:ascii="Verdana" w:eastAsia="Calibri" w:hAnsi="Verdana" w:cs="Arial"/>
          <w:kern w:val="2"/>
          <w14:ligatures w14:val="standardContextual"/>
        </w:rPr>
        <w:t>Finalmente, la actividad 2.2 contiene la siguiente nota general:</w:t>
      </w:r>
    </w:p>
    <w:p w14:paraId="37ACF8A7" w14:textId="77777777" w:rsidR="00F2549E" w:rsidRPr="00F2549E" w:rsidRDefault="00F2549E" w:rsidP="00F2549E">
      <w:pPr>
        <w:tabs>
          <w:tab w:val="left" w:pos="0"/>
        </w:tabs>
        <w:spacing w:after="0" w:line="276" w:lineRule="auto"/>
        <w:ind w:firstLine="709"/>
        <w:jc w:val="both"/>
        <w:rPr>
          <w:rFonts w:ascii="Aptos" w:eastAsia="Aptos" w:hAnsi="Aptos" w:cs="Times New Roman"/>
          <w:kern w:val="2"/>
          <w:sz w:val="24"/>
          <w:szCs w:val="24"/>
          <w14:ligatures w14:val="standardContextual"/>
        </w:rPr>
      </w:pPr>
    </w:p>
    <w:p w14:paraId="01CC02B4" w14:textId="77777777" w:rsidR="00F2549E" w:rsidRPr="00F2549E" w:rsidRDefault="00F2549E" w:rsidP="00F2549E">
      <w:pPr>
        <w:spacing w:after="0"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“La Entidad solo tendrá en cuenta los contratos cuyo objeto esté relacionado con la experiencia general y específica. Se deberá valorar aquellos contratos en el marco de los cuales se hayan ejecutado múltiples actividades, siempre que alguna de estas se relacione con la experiencia requerida. En este último caso, se acreditará la experiencia de acuerdo con el valor proporcional a las actividades requeridas.</w:t>
      </w:r>
    </w:p>
    <w:p w14:paraId="0A905350" w14:textId="77777777" w:rsidR="00F2549E" w:rsidRPr="00F2549E" w:rsidRDefault="00F2549E" w:rsidP="00F2549E">
      <w:pPr>
        <w:spacing w:line="240" w:lineRule="auto"/>
        <w:ind w:left="709" w:right="709"/>
        <w:jc w:val="both"/>
        <w:rPr>
          <w:rFonts w:ascii="Aptos" w:eastAsia="Aptos" w:hAnsi="Aptos" w:cs="Times New Roman"/>
          <w:kern w:val="2"/>
          <w:sz w:val="24"/>
          <w:szCs w:val="24"/>
          <w14:ligatures w14:val="standardContextual"/>
        </w:rPr>
      </w:pPr>
      <w:r w:rsidRPr="00F2549E">
        <w:rPr>
          <w:rFonts w:ascii="Verdana" w:eastAsia="Calibri" w:hAnsi="Verdana" w:cs="Arial"/>
          <w:sz w:val="21"/>
          <w:szCs w:val="21"/>
          <w:lang w:val="es-ES"/>
        </w:rPr>
        <w:t xml:space="preserve">Será válida la acreditación de experiencia tanto en alcantarillados sanitarios, pluviales o combinados para los aspectos asociados con la experiencia general y específica. (P.ej. si el proceso de contratación es la intervención de un alcantarillado sanitario, se aceptará experiencia en alcantarillados: </w:t>
      </w:r>
      <w:proofErr w:type="spellStart"/>
      <w:r w:rsidRPr="00F2549E">
        <w:rPr>
          <w:rFonts w:ascii="Verdana" w:eastAsia="Calibri" w:hAnsi="Verdana" w:cs="Arial"/>
          <w:sz w:val="21"/>
          <w:szCs w:val="21"/>
          <w:lang w:val="es-ES"/>
        </w:rPr>
        <w:t>santiario</w:t>
      </w:r>
      <w:proofErr w:type="spellEnd"/>
      <w:r w:rsidRPr="00F2549E">
        <w:rPr>
          <w:rFonts w:ascii="Verdana" w:eastAsia="Calibri" w:hAnsi="Verdana" w:cs="Arial"/>
          <w:sz w:val="21"/>
          <w:szCs w:val="21"/>
          <w:lang w:val="es-ES"/>
        </w:rPr>
        <w:t>, pluvial o combinados).</w:t>
      </w:r>
    </w:p>
    <w:p w14:paraId="5DD8E613" w14:textId="77777777" w:rsidR="00F2549E" w:rsidRPr="00F2549E" w:rsidRDefault="00F2549E" w:rsidP="00F2549E">
      <w:pPr>
        <w:spacing w:after="0" w:line="240" w:lineRule="auto"/>
        <w:ind w:left="709" w:right="709"/>
        <w:jc w:val="both"/>
        <w:rPr>
          <w:rFonts w:ascii="Verdana" w:eastAsia="Calibri" w:hAnsi="Verdana" w:cs="Arial"/>
          <w:sz w:val="21"/>
          <w:szCs w:val="21"/>
          <w:lang w:val="es-ES"/>
        </w:rPr>
      </w:pPr>
      <w:r w:rsidRPr="00F2549E">
        <w:rPr>
          <w:rFonts w:ascii="Verdana" w:eastAsia="Calibri" w:hAnsi="Verdana" w:cs="Arial"/>
          <w:sz w:val="21"/>
          <w:szCs w:val="21"/>
          <w:lang w:val="es-ES"/>
        </w:rPr>
        <w:t>La Entidad no podrá requerir otras condiciones de experiencia, especificaciones técnicas o aspectos que no hayan sido establecidos en la matriz 1 - experiencia para la actividad a contratar”.</w:t>
      </w:r>
    </w:p>
    <w:p w14:paraId="64FF58B5" w14:textId="77777777" w:rsidR="00F2549E" w:rsidRPr="00F2549E" w:rsidRDefault="00F2549E" w:rsidP="00F2549E">
      <w:pPr>
        <w:spacing w:after="0" w:line="240" w:lineRule="auto"/>
        <w:ind w:left="709" w:right="709"/>
        <w:jc w:val="both"/>
        <w:rPr>
          <w:rFonts w:ascii="Aptos" w:eastAsia="Aptos" w:hAnsi="Aptos" w:cs="Times New Roman"/>
          <w:kern w:val="2"/>
          <w:sz w:val="24"/>
          <w:szCs w:val="24"/>
          <w14:ligatures w14:val="standardContextual"/>
        </w:rPr>
      </w:pPr>
    </w:p>
    <w:p w14:paraId="32FB054D"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Según esta nota, la entidad debe valorar los contratos en los que se ejecutaron múltiples actividades, siempre que alguna se relacione con la experiencia requerida, y en ese caso la experiencia se acredita por el valor proporcional de las actividades requeridas. La experiencia en alcantarillados sanitarios, pluviales o combinados es válida de forma indistinta. El último inciso prohíbe a la entidad pedir condiciones de experiencia, especificaciones técnicas u otros aspectos que la Matriz no haya previsto para la actividad a contratar.</w:t>
      </w:r>
    </w:p>
    <w:p w14:paraId="630723E0"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 xml:space="preserve">Con este marco, la instrucción que acompaña la expresión “Que hayan contenido la ejecución de” en la columna “Acreditación de la experiencia” de la Matriz 1 debe leerse junto con el literal A del numeral 3.5.2 del documento base y con la nota general de la actividad 2.2. Esa expresión corresponde al espacio </w:t>
      </w:r>
      <w:r w:rsidRPr="00F2549E">
        <w:rPr>
          <w:rFonts w:ascii="Verdana" w:eastAsia="Calibri" w:hAnsi="Verdana" w:cs="Arial"/>
          <w:kern w:val="2"/>
          <w14:ligatures w14:val="standardContextual"/>
        </w:rPr>
        <w:lastRenderedPageBreak/>
        <w:t>en el que la entidad transcribe, sin modificarla, la actividad o actividades válidas para acreditar la experiencia general y específica, y no la habilita para agregar requisitos. Por eso la Matriz advierte que, al usarla, la entidad no podrá incluir condiciones adicionales a las exigidas en ella, y la nota general de la actividad 2.2 reitera la misma prohibición.</w:t>
      </w:r>
    </w:p>
    <w:p w14:paraId="23F83E77"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Esto tiene una consecuencia directa sobre la ubicación de los proyectos. Para la actividad 2.2, la ejecución en zona rural o de difícil acceso es una de las alternativas de experiencia específica adicional que la entidad puede seleccionar, si resulta pertinente para el proyecto. Si la entidad no la seleccionó al estructurar el pliego de condiciones, no puede exigirla por otra vía, por ejemplo, incluyendo la palabra “rural” al diligenciar la expresión “Que hayan contenido la ejecución de” o al describir la actividad en el literal A del numeral 3.5.2. Una inclusión de ese tipo convierte en condición de la experiencia general un aspecto que la Matriz solo permite exigir como experiencia específica adicional, con sus propias reglas. Incluso cuando la entidad selecciona la alternativa de zona rural, el requisito se cumple con que uno (1) de los contratos válidos aportados se haya ejecutado en esa zona, de modo que los demás contratos pueden corresponder a proyectos urbanos.</w:t>
      </w:r>
    </w:p>
    <w:p w14:paraId="058118E6"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Ocurre lo mismo cuando la entidad ya escogió los dos (2) requisitos de experiencia específica adicional que permite la Matriz, por ejemplo, conexiones domiciliarias y entibados. En ese supuesto la entidad agotó el número de requisitos adicionales y llegó al tope de tres (3) requisitos de experiencia específica que fija la nota general. Exigir además que el proyecto se haya ejecutado en zona rural equivale a sumar un tercer requisito adicional, lo que la Matriz no permite.</w:t>
      </w:r>
    </w:p>
    <w:p w14:paraId="44A4F5D6" w14:textId="77777777" w:rsidR="00F2549E" w:rsidRPr="00F2549E" w:rsidRDefault="00F2549E" w:rsidP="00F2549E">
      <w:pPr>
        <w:tabs>
          <w:tab w:val="left" w:pos="0"/>
        </w:tabs>
        <w:spacing w:after="120" w:line="276" w:lineRule="auto"/>
        <w:ind w:firstLine="709"/>
        <w:jc w:val="both"/>
        <w:rPr>
          <w:rFonts w:ascii="Aptos" w:eastAsia="Aptos" w:hAnsi="Aptos" w:cs="Times New Roman"/>
          <w:kern w:val="2"/>
          <w:sz w:val="24"/>
          <w:szCs w:val="24"/>
          <w14:ligatures w14:val="standardContextual"/>
        </w:rPr>
      </w:pPr>
      <w:r w:rsidRPr="00F2549E">
        <w:rPr>
          <w:rFonts w:ascii="Verdana" w:eastAsia="Calibri" w:hAnsi="Verdana" w:cs="Arial"/>
          <w:kern w:val="2"/>
          <w14:ligatures w14:val="standardContextual"/>
        </w:rPr>
        <w:t>En consecuencia, cuando la entidad no seleccionó la ruralidad como experiencia específica adicional, el hecho de que un contrato de alcantarillado se haya ejecutado en zona urbana no es un criterio previsto en la Matriz 1 – Experiencia para descartarlo como experiencia de la actividad 2.2. El contrato debe evaluarse con los criterios que la Matriz sí establece: que corresponda o haya contenido alguna de las intervenciones previstas en la experiencia general, que cumpla la experiencia específica obligatoria y las adicionales que la entidad haya seleccionado, y que se ajuste a las reglas de los numerales 3.5.2 y 3.5.8 del documento base.</w:t>
      </w:r>
    </w:p>
    <w:p w14:paraId="0777FB1F" w14:textId="77777777" w:rsidR="00F2549E" w:rsidRPr="00F2549E" w:rsidRDefault="00F2549E" w:rsidP="00F2549E">
      <w:pPr>
        <w:spacing w:after="120" w:line="276" w:lineRule="auto"/>
        <w:ind w:firstLine="708"/>
        <w:jc w:val="both"/>
        <w:rPr>
          <w:rFonts w:ascii="Verdana" w:eastAsia="Aptos" w:hAnsi="Verdana" w:cs="Times New Roman"/>
        </w:rPr>
      </w:pPr>
      <w:r w:rsidRPr="00F2549E">
        <w:rPr>
          <w:rFonts w:ascii="Verdana" w:eastAsia="Calibri" w:hAnsi="Verdana" w:cs="Arial"/>
          <w:kern w:val="2"/>
          <w14:ligatures w14:val="standardContextual"/>
        </w:rPr>
        <w:lastRenderedPageBreak/>
        <w:t>Esta lectura es coherente con el carácter obligatorio de los documentos tipo, explicado en el numeral i de estas consideraciones. Las entidades sujetas a su aplicación no pueden variar los requisitos fijados en ellos ni establecer requisitos habilitantes adicionales, y la Matriz 1 – Experiencia hace parte de los documentos tipo. Por tanto, incluir mediante el literal A una condición de ubicación del proyecto que la entidad no seleccionó como experiencia específica adicional, o que excede el número de requisitos permitidos, altera el requisito de experiencia estandarizado y no se ajusta a la regla según la cual los documentos tipo no pueden ser modificados ni adicionados por las entidades.</w:t>
      </w:r>
    </w:p>
    <w:p w14:paraId="20E988B7" w14:textId="77777777" w:rsidR="00F2549E" w:rsidRPr="00F2549E" w:rsidRDefault="00F2549E" w:rsidP="00F2549E">
      <w:pPr>
        <w:tabs>
          <w:tab w:val="left" w:pos="709"/>
        </w:tabs>
        <w:snapToGrid w:val="0"/>
        <w:spacing w:after="120" w:line="276" w:lineRule="auto"/>
        <w:jc w:val="both"/>
        <w:rPr>
          <w:rFonts w:ascii="Verdana" w:eastAsia="Calibri" w:hAnsi="Verdana" w:cs="Arial"/>
          <w:color w:val="000000"/>
          <w:kern w:val="2"/>
          <w:lang w:val="es-ES"/>
          <w14:ligatures w14:val="standardContextual"/>
        </w:rPr>
      </w:pPr>
      <w:proofErr w:type="spellStart"/>
      <w:r w:rsidRPr="00F2549E">
        <w:rPr>
          <w:rFonts w:ascii="Verdana" w:eastAsia="Calibri" w:hAnsi="Verdana" w:cs="Arial"/>
          <w:color w:val="000000"/>
          <w:kern w:val="2"/>
          <w:lang w:val="es-ES"/>
          <w14:ligatures w14:val="standardContextual"/>
        </w:rPr>
        <w:t>iii</w:t>
      </w:r>
      <w:proofErr w:type="spellEnd"/>
      <w:r w:rsidRPr="00F2549E">
        <w:rPr>
          <w:rFonts w:ascii="Verdana" w:eastAsia="Calibri" w:hAnsi="Verdana" w:cs="Arial"/>
          <w:color w:val="000000"/>
          <w:kern w:val="2"/>
          <w:lang w:val="es-ES"/>
          <w14:ligatures w14:val="standardContextual"/>
        </w:rPr>
        <w:t>.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A2E8DA7" w14:textId="77777777" w:rsidR="00F2549E" w:rsidRPr="00F2549E" w:rsidRDefault="00F2549E" w:rsidP="00F2549E">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F2549E">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6FD09D9" w14:textId="77777777" w:rsidR="00F2549E" w:rsidRPr="00F2549E" w:rsidRDefault="00F2549E" w:rsidP="00F2549E">
      <w:pPr>
        <w:spacing w:after="0"/>
        <w:ind w:firstLine="708"/>
        <w:jc w:val="both"/>
        <w:rPr>
          <w:rFonts w:ascii="Verdana" w:eastAsia="Aptos" w:hAnsi="Verdana" w:cs="Arial"/>
          <w:color w:val="000000"/>
          <w:lang w:val="es-ES"/>
        </w:rPr>
      </w:pPr>
    </w:p>
    <w:p w14:paraId="546F9CED" w14:textId="77777777" w:rsidR="00F2549E" w:rsidRPr="00F2549E" w:rsidRDefault="00F2549E" w:rsidP="00F2549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2549E">
        <w:rPr>
          <w:rFonts w:ascii="Verdana" w:eastAsia="Century Gothic" w:hAnsi="Verdana" w:cs="Century Gothic"/>
          <w:b/>
          <w:bCs/>
        </w:rPr>
        <w:t>Referencias normativas, jurisprudenciales y otras fuentes:</w:t>
      </w:r>
    </w:p>
    <w:p w14:paraId="58E41ACB" w14:textId="77777777" w:rsidR="00F2549E" w:rsidRPr="00F2549E" w:rsidRDefault="00F2549E" w:rsidP="00F2549E">
      <w:pPr>
        <w:spacing w:after="0"/>
        <w:ind w:left="-15840"/>
        <w:jc w:val="both"/>
        <w:rPr>
          <w:rFonts w:ascii="Verdana" w:eastAsia="Calibri" w:hAnsi="Verdana" w:cs="Arial"/>
          <w:b/>
          <w:bCs/>
        </w:rPr>
      </w:pPr>
      <w:r w:rsidRPr="00F2549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2549E" w:rsidRPr="00F2549E" w14:paraId="7BDD45A9" w14:textId="77777777" w:rsidTr="008D1021">
        <w:trPr>
          <w:trHeight w:val="870"/>
        </w:trPr>
        <w:tc>
          <w:tcPr>
            <w:tcW w:w="8647" w:type="dxa"/>
            <w:tcBorders>
              <w:top w:val="dotted" w:sz="4" w:space="0" w:color="auto"/>
              <w:left w:val="dotted" w:sz="4" w:space="0" w:color="auto"/>
              <w:bottom w:val="dotted" w:sz="4" w:space="0" w:color="auto"/>
              <w:right w:val="dotted" w:sz="4" w:space="0" w:color="auto"/>
            </w:tcBorders>
          </w:tcPr>
          <w:p w14:paraId="41E4D0C3" w14:textId="77777777" w:rsidR="00F2549E" w:rsidRPr="00F2549E" w:rsidRDefault="00F2549E" w:rsidP="00F2549E">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F2549E">
              <w:rPr>
                <w:rFonts w:ascii="Verdana" w:eastAsia="Calibri" w:hAnsi="Verdana" w:cs="Arial"/>
                <w:lang w:val="es-ES_tradnl"/>
              </w:rPr>
              <w:t xml:space="preserve">Ley 2022 de 2020, artículo 1. </w:t>
            </w:r>
          </w:p>
          <w:p w14:paraId="02299BB7" w14:textId="77777777" w:rsidR="00F2549E" w:rsidRPr="00F2549E" w:rsidRDefault="00F2549E" w:rsidP="00F2549E">
            <w:pPr>
              <w:widowControl w:val="0"/>
              <w:numPr>
                <w:ilvl w:val="0"/>
                <w:numId w:val="17"/>
              </w:numPr>
              <w:autoSpaceDE w:val="0"/>
              <w:autoSpaceDN w:val="0"/>
              <w:spacing w:line="276" w:lineRule="auto"/>
              <w:jc w:val="both"/>
              <w:rPr>
                <w:rFonts w:ascii="Verdana" w:eastAsia="Calibri" w:hAnsi="Verdana" w:cs="Arial"/>
              </w:rPr>
            </w:pPr>
            <w:r w:rsidRPr="00F2549E">
              <w:rPr>
                <w:rFonts w:ascii="Verdana" w:eastAsia="Calibri" w:hAnsi="Verdana" w:cs="Arial"/>
              </w:rPr>
              <w:t>Ley 1150 de 2007, artículo 2.</w:t>
            </w:r>
          </w:p>
          <w:p w14:paraId="11476AEA" w14:textId="77777777" w:rsidR="00F2549E" w:rsidRPr="00F2549E" w:rsidRDefault="00F2549E" w:rsidP="00F2549E">
            <w:pPr>
              <w:widowControl w:val="0"/>
              <w:numPr>
                <w:ilvl w:val="0"/>
                <w:numId w:val="17"/>
              </w:numPr>
              <w:autoSpaceDE w:val="0"/>
              <w:autoSpaceDN w:val="0"/>
              <w:spacing w:line="276" w:lineRule="auto"/>
              <w:contextualSpacing/>
              <w:jc w:val="both"/>
              <w:rPr>
                <w:rFonts w:ascii="Verdana" w:eastAsia="Calibri" w:hAnsi="Verdana" w:cs="Arial"/>
                <w:lang w:val="es-ES"/>
              </w:rPr>
            </w:pPr>
            <w:r w:rsidRPr="00F2549E">
              <w:rPr>
                <w:rFonts w:ascii="Verdana" w:eastAsia="Calibri" w:hAnsi="Verdana" w:cs="Arial"/>
                <w:lang w:val="es-ES_tradnl"/>
              </w:rPr>
              <w:t xml:space="preserve">Documentos Tipo. Disponibles en: </w:t>
            </w:r>
            <w:hyperlink r:id="rId14" w:history="1">
              <w:r w:rsidRPr="00F2549E">
                <w:rPr>
                  <w:rFonts w:ascii="Verdana" w:eastAsia="Calibri" w:hAnsi="Verdana" w:cs="Arial"/>
                  <w:color w:val="0000FF"/>
                  <w:u w:val="single"/>
                  <w:lang w:val="es-ES_tradnl"/>
                </w:rPr>
                <w:t>https://www.colombiacompra.gov.co/documentos-tipo/documentos-tipo</w:t>
              </w:r>
            </w:hyperlink>
            <w:r w:rsidRPr="00F2549E">
              <w:rPr>
                <w:rFonts w:ascii="Verdana" w:eastAsia="Calibri" w:hAnsi="Verdana" w:cs="Arial"/>
                <w:lang w:val="es-ES_tradnl"/>
              </w:rPr>
              <w:t>.</w:t>
            </w:r>
          </w:p>
        </w:tc>
      </w:tr>
    </w:tbl>
    <w:p w14:paraId="72C64D24" w14:textId="77777777" w:rsidR="00F2549E" w:rsidRPr="00F2549E" w:rsidRDefault="00F2549E" w:rsidP="00F2549E">
      <w:pPr>
        <w:tabs>
          <w:tab w:val="left" w:pos="142"/>
          <w:tab w:val="left" w:pos="284"/>
        </w:tabs>
        <w:spacing w:after="0" w:line="276" w:lineRule="auto"/>
        <w:jc w:val="both"/>
        <w:rPr>
          <w:rFonts w:ascii="Verdana" w:eastAsia="Calibri" w:hAnsi="Verdana" w:cs="Arial"/>
        </w:rPr>
      </w:pPr>
    </w:p>
    <w:p w14:paraId="3C8A5BBC" w14:textId="77777777" w:rsidR="00F2549E" w:rsidRPr="00F2549E" w:rsidRDefault="00F2549E" w:rsidP="00F2549E">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2549E">
        <w:rPr>
          <w:rFonts w:ascii="Verdana" w:eastAsia="Century Gothic" w:hAnsi="Verdana" w:cs="Century Gothic"/>
          <w:b/>
          <w:bCs/>
        </w:rPr>
        <w:lastRenderedPageBreak/>
        <w:t>Doctrina de la Agencia Nacional de Contratación Pública:</w:t>
      </w:r>
    </w:p>
    <w:p w14:paraId="22EE064D" w14:textId="77777777" w:rsidR="00F2549E" w:rsidRPr="00F2549E" w:rsidRDefault="00F2549E" w:rsidP="00F2549E">
      <w:pPr>
        <w:widowControl w:val="0"/>
        <w:autoSpaceDE w:val="0"/>
        <w:autoSpaceDN w:val="0"/>
        <w:spacing w:after="0" w:line="276" w:lineRule="auto"/>
        <w:jc w:val="both"/>
        <w:rPr>
          <w:rFonts w:ascii="Verdana" w:eastAsia="Calibri" w:hAnsi="Verdana" w:cs="Arial"/>
        </w:rPr>
      </w:pPr>
    </w:p>
    <w:p w14:paraId="20748AFF" w14:textId="77777777" w:rsidR="00F2549E" w:rsidRPr="00F2549E" w:rsidRDefault="00F2549E" w:rsidP="00F2549E">
      <w:pPr>
        <w:widowControl w:val="0"/>
        <w:autoSpaceDE w:val="0"/>
        <w:autoSpaceDN w:val="0"/>
        <w:spacing w:after="0" w:line="276" w:lineRule="auto"/>
        <w:jc w:val="both"/>
        <w:rPr>
          <w:rFonts w:ascii="Verdana" w:eastAsia="Times New Roman" w:hAnsi="Verdana" w:cs="Arial"/>
          <w:shd w:val="clear" w:color="auto" w:fill="FFFFFF"/>
          <w:lang w:val="es-ES"/>
        </w:rPr>
      </w:pPr>
      <w:r w:rsidRPr="00F2549E">
        <w:rPr>
          <w:rFonts w:ascii="Verdana" w:eastAsia="Calibri" w:hAnsi="Verdana" w:cs="Arial"/>
          <w:shd w:val="clear" w:color="auto" w:fill="FFFFFF"/>
        </w:rPr>
        <w:t>L</w:t>
      </w:r>
      <w:r w:rsidRPr="00F2549E">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F2549E">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32051601" w14:textId="77777777" w:rsidR="00F2549E" w:rsidRPr="00F2549E" w:rsidRDefault="00F2549E" w:rsidP="00F2549E">
      <w:pPr>
        <w:widowControl w:val="0"/>
        <w:autoSpaceDE w:val="0"/>
        <w:autoSpaceDN w:val="0"/>
        <w:spacing w:after="0" w:line="276" w:lineRule="auto"/>
        <w:jc w:val="both"/>
        <w:rPr>
          <w:rFonts w:ascii="Verdana" w:eastAsia="Times New Roman" w:hAnsi="Verdana" w:cs="Arial"/>
          <w:shd w:val="clear" w:color="auto" w:fill="FFFFFF"/>
          <w:lang w:val="es-ES"/>
        </w:rPr>
      </w:pPr>
    </w:p>
    <w:p w14:paraId="0829F524" w14:textId="77777777" w:rsidR="00F2549E" w:rsidRPr="00F2549E" w:rsidRDefault="00F2549E" w:rsidP="00F2549E">
      <w:pPr>
        <w:widowControl w:val="0"/>
        <w:autoSpaceDE w:val="0"/>
        <w:autoSpaceDN w:val="0"/>
        <w:spacing w:after="0" w:line="276" w:lineRule="auto"/>
        <w:jc w:val="both"/>
        <w:rPr>
          <w:rFonts w:ascii="Verdana" w:eastAsia="Calibri" w:hAnsi="Verdana" w:cs="Arial"/>
          <w:shd w:val="clear" w:color="auto" w:fill="FFFFFF"/>
        </w:rPr>
      </w:pPr>
      <w:r w:rsidRPr="00F2549E">
        <w:rPr>
          <w:rFonts w:ascii="Verdana" w:eastAsia="Calibri" w:hAnsi="Verdana" w:cs="Arial"/>
          <w:shd w:val="clear" w:color="auto" w:fill="FFFFFF"/>
        </w:rPr>
        <w:t>Igualmente, esta Agencia se ha referido a la Matriz 1 – Experiencia de los documentos tipo de licitación de obra pública de infraestructura de agua potable y saneamiento básico, a la acreditación de la experiencia general y específica y a la regla de inalterabilidad de estos documentos en los conceptos C-244 del 4 de mayo de 2021, C-325 del 8 de julio de 2021, C-121 del 22 de marzo de 2022, C-369 del 23 de mayo de 2022, C-452 del 12 de julio de 2022, C-443 del 2 de agosto de 2022, C-499 del 2 de agosto de 2022, C-195 del 19 de junio de 2024, C-783 del 28 de julio de 2025, C-1219 del 8 de octubre de 2025, C-1712 del 16 de diciembre de 2025 y C-630 del 26 de mayo de 2026.</w:t>
      </w:r>
    </w:p>
    <w:p w14:paraId="4CAE1236" w14:textId="77777777" w:rsidR="00F2549E" w:rsidRPr="00F2549E" w:rsidRDefault="00F2549E" w:rsidP="00F2549E">
      <w:pPr>
        <w:widowControl w:val="0"/>
        <w:autoSpaceDE w:val="0"/>
        <w:autoSpaceDN w:val="0"/>
        <w:spacing w:after="0" w:line="276" w:lineRule="auto"/>
        <w:jc w:val="both"/>
        <w:rPr>
          <w:rFonts w:ascii="Aptos" w:eastAsia="Aptos" w:hAnsi="Aptos" w:cs="Times New Roman"/>
          <w:kern w:val="2"/>
          <w:sz w:val="24"/>
          <w:szCs w:val="24"/>
          <w14:ligatures w14:val="standardContextual"/>
        </w:rPr>
      </w:pPr>
    </w:p>
    <w:bookmarkEnd w:id="1"/>
    <w:p w14:paraId="4CFD7AEE" w14:textId="77777777" w:rsidR="00F2549E" w:rsidRPr="00F2549E" w:rsidRDefault="00F2549E" w:rsidP="00F2549E">
      <w:pPr>
        <w:widowControl w:val="0"/>
        <w:suppressAutoHyphens/>
        <w:spacing w:after="0" w:line="276" w:lineRule="auto"/>
        <w:jc w:val="both"/>
        <w:rPr>
          <w:rFonts w:ascii="Verdana" w:eastAsia="Times New Roman" w:hAnsi="Verdana" w:cs="Arial"/>
          <w:shd w:val="clear" w:color="auto" w:fill="FFFFFF"/>
          <w:lang w:val="es-ES_tradnl"/>
        </w:rPr>
      </w:pPr>
      <w:r w:rsidRPr="00F2549E">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w:t>
      </w:r>
      <w:r w:rsidRPr="00F2549E">
        <w:rPr>
          <w:rFonts w:ascii="Verdana" w:eastAsia="Calibri" w:hAnsi="Verdana" w:cs="Arial"/>
          <w:color w:val="000000"/>
          <w:shd w:val="clear" w:color="auto" w:fill="FFFFFF"/>
          <w:lang w:val="es-ES_tradnl"/>
        </w:rPr>
        <w:lastRenderedPageBreak/>
        <w:t xml:space="preserve">través del siguiente enlace: </w:t>
      </w:r>
      <w:hyperlink r:id="rId15">
        <w:r w:rsidRPr="00F2549E">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F2549E">
        <w:rPr>
          <w:rFonts w:ascii="Verdana" w:eastAsia="Aptos" w:hAnsi="Verdana" w:cs="Arial"/>
          <w:kern w:val="2"/>
          <w:shd w:val="clear" w:color="auto" w:fill="FFFFFF"/>
          <w:lang w:val="es-ES_tradnl"/>
          <w14:ligatures w14:val="standardContextual"/>
        </w:rPr>
        <w:t xml:space="preserve">. </w:t>
      </w:r>
      <w:r w:rsidRPr="00F2549E">
        <w:rPr>
          <w:rFonts w:ascii="Verdana" w:eastAsia="Aptos" w:hAnsi="Verdana" w:cs="Arial"/>
          <w:color w:val="FF0000"/>
          <w:kern w:val="2"/>
          <w:shd w:val="clear" w:color="auto" w:fill="FFFFFF"/>
          <w:lang w:val="es-ES_tradnl"/>
          <w14:ligatures w14:val="standardContextual"/>
        </w:rPr>
        <w:t xml:space="preserve">  </w:t>
      </w:r>
    </w:p>
    <w:p w14:paraId="3361EA15" w14:textId="77777777" w:rsidR="00F2549E" w:rsidRPr="00F2549E" w:rsidRDefault="00F2549E" w:rsidP="00F2549E">
      <w:pPr>
        <w:suppressAutoHyphens/>
        <w:spacing w:after="0" w:line="240" w:lineRule="auto"/>
        <w:jc w:val="both"/>
        <w:rPr>
          <w:rFonts w:ascii="Verdana" w:eastAsia="Calibri" w:hAnsi="Verdana" w:cs="Arial"/>
          <w:color w:val="000000"/>
          <w:shd w:val="clear" w:color="auto" w:fill="FFFFFF"/>
          <w:lang w:val="es-ES_tradnl"/>
        </w:rPr>
      </w:pPr>
    </w:p>
    <w:p w14:paraId="4E5DF780" w14:textId="77777777" w:rsidR="00F2549E" w:rsidRPr="00F2549E" w:rsidRDefault="00F2549E" w:rsidP="00F2549E">
      <w:pPr>
        <w:suppressAutoHyphens/>
        <w:spacing w:after="0" w:line="276" w:lineRule="auto"/>
        <w:jc w:val="both"/>
        <w:rPr>
          <w:rFonts w:ascii="Verdana" w:eastAsia="Aptos" w:hAnsi="Verdana" w:cs="Times New Roman"/>
          <w:kern w:val="2"/>
          <w14:ligatures w14:val="standardContextual"/>
        </w:rPr>
      </w:pPr>
      <w:r w:rsidRPr="00F2549E">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2549E">
        <w:rPr>
          <w:rFonts w:ascii="Verdana" w:eastAsia="Aptos" w:hAnsi="Verdana" w:cs="Times New Roman"/>
          <w:b/>
          <w:bCs/>
          <w:color w:val="000000"/>
          <w:kern w:val="2"/>
          <w14:ligatures w14:val="standardContextual"/>
        </w:rPr>
        <w:t>Guía para la Exigencia y Constitución de Garantías en los Procesos de Contratación</w:t>
      </w:r>
      <w:r w:rsidRPr="00F2549E">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gtFrame="https://nam02.safelinks.protection.outlook.com/?url=https%3A%2F%2Fwww.colombiacompra.gov.co%2Farchivos%2Fmanual%2Fguia-de-garantias-en-procesos-de-contratacion&amp;data=05%7C02%7Ccarlos.castrillon%40colombiacompra.gov.co%7C7128555136e04fa6887d08dee99e1b50%7C7">
        <w:r w:rsidRPr="00F2549E">
          <w:rPr>
            <w:rFonts w:ascii="Verdana" w:eastAsia="Aptos" w:hAnsi="Verdana" w:cs="Times New Roman"/>
            <w:color w:val="0078D7"/>
            <w:kern w:val="2"/>
            <w:u w:val="single"/>
            <w14:ligatures w14:val="standardContextual"/>
          </w:rPr>
          <w:t>https://www.colombiacompra.gov.co/archivos/manual/guia-de-garantias-en-procesos-de-contratacion</w:t>
        </w:r>
      </w:hyperlink>
    </w:p>
    <w:p w14:paraId="05ECDB78" w14:textId="77777777" w:rsidR="00F2549E" w:rsidRPr="00F2549E" w:rsidRDefault="00F2549E" w:rsidP="00F2549E">
      <w:pPr>
        <w:suppressAutoHyphens/>
        <w:spacing w:after="0" w:line="276" w:lineRule="auto"/>
        <w:jc w:val="both"/>
        <w:rPr>
          <w:rFonts w:ascii="Verdana" w:eastAsia="Aptos" w:hAnsi="Verdana" w:cs="Times New Roman"/>
          <w:kern w:val="2"/>
          <w14:ligatures w14:val="standardContextual"/>
        </w:rPr>
      </w:pPr>
    </w:p>
    <w:p w14:paraId="6AAC48A2" w14:textId="77777777" w:rsidR="00F2549E" w:rsidRPr="00F2549E" w:rsidRDefault="00F2549E" w:rsidP="00F2549E">
      <w:pPr>
        <w:suppressAutoHyphens/>
        <w:spacing w:after="0" w:line="276" w:lineRule="auto"/>
        <w:jc w:val="both"/>
        <w:rPr>
          <w:rFonts w:ascii="Verdana" w:eastAsia="Aptos" w:hAnsi="Verdana" w:cs="Times New Roman"/>
          <w:kern w:val="2"/>
          <w14:ligatures w14:val="standardContextual"/>
        </w:rPr>
      </w:pPr>
      <w:r w:rsidRPr="00F2549E">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F2549E">
        <w:rPr>
          <w:rFonts w:ascii="Verdana" w:eastAsia="Aptos" w:hAnsi="Verdana" w:cs="Times New Roman"/>
          <w:b/>
          <w:bCs/>
          <w:color w:val="000000"/>
          <w:kern w:val="2"/>
          <w14:ligatures w14:val="standardContextual"/>
        </w:rPr>
        <w:t>Sistema Integral de Preferencias en favor de las personas con discapacidad</w:t>
      </w:r>
      <w:r w:rsidRPr="00F2549E">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F2549E">
        <w:rPr>
          <w:rFonts w:ascii="Verdana" w:eastAsia="Aptos" w:hAnsi="Verdana" w:cs="Times New Roman"/>
          <w:b/>
          <w:bCs/>
          <w:color w:val="000000"/>
          <w:kern w:val="2"/>
          <w14:ligatures w14:val="standardContextual"/>
        </w:rPr>
        <w:t>Circular Externa 003 del 12 de mayo de 2026, </w:t>
      </w:r>
      <w:r w:rsidRPr="00F2549E">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7" w:tgtFrame="https://nam02.safelinks.protection.outlook.com/?url=https%3A%2F%2Fwww.colombiacompra.gov.co%2Farchivos%2Fcircular%2Fcircular-externa-003-de-2026&amp;data=05%7C02%7Ccarlos.castrillon%40colombiacompra.gov.co%7C7128555136e04fa6887d08dee99e1b50%7C7b09041e245149d0">
        <w:r w:rsidRPr="00F2549E">
          <w:rPr>
            <w:rFonts w:ascii="Verdana" w:eastAsia="Aptos" w:hAnsi="Verdana" w:cs="Times New Roman"/>
            <w:color w:val="0078D7"/>
            <w:kern w:val="2"/>
            <w:u w:val="single"/>
            <w14:ligatures w14:val="standardContextual"/>
          </w:rPr>
          <w:t>https://www.colombiacompra.gov.co/archivos/circular/circular-externa-003-de-2026</w:t>
        </w:r>
      </w:hyperlink>
    </w:p>
    <w:p w14:paraId="6E6B57F9" w14:textId="77777777" w:rsidR="00F2549E" w:rsidRPr="00F2549E" w:rsidRDefault="00F2549E" w:rsidP="00F2549E">
      <w:pPr>
        <w:suppressAutoHyphens/>
        <w:spacing w:after="0" w:line="276" w:lineRule="auto"/>
        <w:jc w:val="both"/>
        <w:rPr>
          <w:rFonts w:ascii="Verdana" w:eastAsia="Aptos" w:hAnsi="Verdana" w:cs="Times New Roman"/>
          <w:color w:val="000000"/>
          <w:kern w:val="2"/>
          <w14:ligatures w14:val="standardContextual"/>
        </w:rPr>
      </w:pPr>
    </w:p>
    <w:p w14:paraId="271AE598" w14:textId="77777777" w:rsidR="00F2549E" w:rsidRPr="00F2549E" w:rsidRDefault="00F2549E" w:rsidP="00F2549E">
      <w:pPr>
        <w:suppressAutoHyphens/>
        <w:spacing w:after="0" w:line="276" w:lineRule="auto"/>
        <w:jc w:val="both"/>
        <w:rPr>
          <w:rFonts w:ascii="Verdana" w:eastAsia="Aptos" w:hAnsi="Verdana" w:cs="Times New Roman"/>
          <w:kern w:val="2"/>
          <w14:ligatures w14:val="standardContextual"/>
        </w:rPr>
      </w:pPr>
      <w:r w:rsidRPr="00F2549E">
        <w:rPr>
          <w:rFonts w:ascii="Verdana" w:eastAsia="Aptos" w:hAnsi="Verdana" w:cs="Times New Roman"/>
          <w:color w:val="000000"/>
          <w:kern w:val="2"/>
          <w14:ligatures w14:val="standardContextual"/>
        </w:rPr>
        <w:t>Recuerda también que la</w:t>
      </w:r>
      <w:r w:rsidRPr="00F2549E">
        <w:rPr>
          <w:rFonts w:ascii="Verdana" w:eastAsia="Aptos" w:hAnsi="Verdana" w:cs="Times New Roman"/>
          <w:b/>
          <w:bCs/>
          <w:color w:val="000000"/>
          <w:kern w:val="2"/>
          <w14:ligatures w14:val="standardContextual"/>
        </w:rPr>
        <w:t> información sobre sanciones e inhabilidades </w:t>
      </w:r>
      <w:r w:rsidRPr="00F2549E">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F2549E">
        <w:rPr>
          <w:rFonts w:ascii="Verdana" w:eastAsia="Aptos" w:hAnsi="Verdana" w:cs="Times New Roman"/>
          <w:b/>
          <w:bCs/>
          <w:color w:val="000000"/>
          <w:kern w:val="2"/>
          <w14:ligatures w14:val="standardContextual"/>
        </w:rPr>
        <w:t>Circular Externa 002 del 5 de mayo de 2026,</w:t>
      </w:r>
      <w:r w:rsidRPr="00F2549E">
        <w:rPr>
          <w:rFonts w:ascii="Verdana" w:eastAsia="Aptos" w:hAnsi="Verdana" w:cs="Times New Roman"/>
          <w:color w:val="000000"/>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F2549E">
        <w:rPr>
          <w:rFonts w:ascii="Verdana" w:eastAsia="Aptos" w:hAnsi="Verdana" w:cs="Times New Roman"/>
          <w:color w:val="000000"/>
          <w:kern w:val="2"/>
          <w14:ligatures w14:val="standardContextual"/>
        </w:rPr>
        <w:lastRenderedPageBreak/>
        <w:t>aquí: </w:t>
      </w:r>
      <w:hyperlink r:id="rId18" w:tgtFrame="https://nam02.safelinks.protection.outlook.com/?url=https%3A%2F%2Fwww.colombiacompra.gov.co%2Farchivos%2Fcircular%2Fcircular-externa-002-de-2026&amp;data=05%7C02%7Ccarlos.castrillon%40colombiacompra.gov.co%7C7128555136e04fa6887d08dee99e1b50%7C7b09041e245149d0">
        <w:r w:rsidRPr="00F2549E">
          <w:rPr>
            <w:rFonts w:ascii="Verdana" w:eastAsia="Aptos" w:hAnsi="Verdana" w:cs="Times New Roman"/>
            <w:color w:val="0078D7"/>
            <w:kern w:val="2"/>
            <w:u w:val="single"/>
            <w14:ligatures w14:val="standardContextual"/>
          </w:rPr>
          <w:t>https://www.colombiacompra.gov.co/archivos/circular/circular-externa-002-de-2026</w:t>
        </w:r>
      </w:hyperlink>
    </w:p>
    <w:p w14:paraId="4DE6AE8B" w14:textId="77777777" w:rsidR="00F2549E" w:rsidRPr="00F2549E" w:rsidRDefault="00F2549E" w:rsidP="00F2549E">
      <w:pPr>
        <w:suppressAutoHyphens/>
        <w:spacing w:after="0" w:line="276" w:lineRule="auto"/>
        <w:jc w:val="both"/>
        <w:rPr>
          <w:rFonts w:ascii="Verdana" w:eastAsia="Aptos" w:hAnsi="Verdana" w:cs="Times New Roman"/>
          <w:color w:val="000000"/>
          <w:kern w:val="2"/>
          <w14:ligatures w14:val="standardContextual"/>
        </w:rPr>
      </w:pPr>
    </w:p>
    <w:p w14:paraId="25C2D86C" w14:textId="77777777" w:rsidR="00F2549E" w:rsidRPr="00F2549E" w:rsidRDefault="00F2549E" w:rsidP="00F2549E">
      <w:pPr>
        <w:suppressAutoHyphens/>
        <w:spacing w:after="0" w:line="276" w:lineRule="auto"/>
        <w:jc w:val="both"/>
        <w:rPr>
          <w:rFonts w:ascii="Verdana" w:eastAsia="Aptos" w:hAnsi="Verdana" w:cs="Times New Roman"/>
          <w:color w:val="000000"/>
          <w:kern w:val="2"/>
          <w14:ligatures w14:val="standardContextual"/>
        </w:rPr>
      </w:pPr>
      <w:r w:rsidRPr="00F2549E">
        <w:rPr>
          <w:rFonts w:ascii="Verdana" w:eastAsia="Aptos" w:hAnsi="Verdana" w:cs="Times New Roman"/>
          <w:color w:val="000000"/>
          <w:kern w:val="2"/>
          <w14:ligatures w14:val="standardContextual"/>
        </w:rPr>
        <w:t>Finalmente, si quieres seguir de cerca la actividad de la Agencia, la tercera edición de 2026 del</w:t>
      </w:r>
      <w:r w:rsidRPr="00F2549E">
        <w:rPr>
          <w:rFonts w:ascii="Verdana" w:eastAsia="Aptos" w:hAnsi="Verdana" w:cs="Times New Roman"/>
          <w:b/>
          <w:bCs/>
          <w:color w:val="000000"/>
          <w:kern w:val="2"/>
          <w14:ligatures w14:val="standardContextual"/>
        </w:rPr>
        <w:t> Radar de la Compra Pública</w:t>
      </w:r>
      <w:r w:rsidRPr="00F2549E">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tgtFrame="https://nam02.safelinks.protection.outlook.com/?url=https%3A%2F%2Fwww.colombiacompra.gov.co%2Farchivos%2Fboletin%2Fboletin-edicion-n-3-de-2026-radar-de-la-compra-publica&amp;data=05%7C02%7Ccarlos.castrillon%40colombiacompra.gov.co%7C7128555136e04fa6887d08dee9">
        <w:r w:rsidRPr="00F2549E">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F2549E">
        <w:rPr>
          <w:rFonts w:ascii="Verdana" w:eastAsia="Aptos" w:hAnsi="Verdana" w:cs="Times New Roman"/>
          <w:color w:val="000000"/>
          <w:kern w:val="2"/>
          <w14:ligatures w14:val="standardContextual"/>
        </w:rPr>
        <w:t>"</w:t>
      </w:r>
    </w:p>
    <w:p w14:paraId="3EF57D7A" w14:textId="77777777" w:rsidR="00F2549E" w:rsidRPr="00F2549E" w:rsidRDefault="00F2549E" w:rsidP="00F2549E">
      <w:pPr>
        <w:suppressAutoHyphens/>
        <w:spacing w:after="0" w:line="276" w:lineRule="auto"/>
        <w:jc w:val="both"/>
        <w:rPr>
          <w:rFonts w:ascii="Verdana" w:eastAsia="Aptos" w:hAnsi="Verdana" w:cs="Times New Roman"/>
          <w:color w:val="000000"/>
          <w:kern w:val="2"/>
          <w14:ligatures w14:val="standardContextual"/>
        </w:rPr>
      </w:pPr>
    </w:p>
    <w:p w14:paraId="6ADB8DC8" w14:textId="77777777" w:rsidR="00F2549E" w:rsidRPr="00F2549E" w:rsidRDefault="00F2549E" w:rsidP="00F2549E">
      <w:pPr>
        <w:suppressAutoHyphens/>
        <w:spacing w:after="0" w:line="276" w:lineRule="auto"/>
        <w:jc w:val="both"/>
        <w:rPr>
          <w:rFonts w:ascii="Verdana" w:eastAsia="Aptos" w:hAnsi="Verdana" w:cs="Times New Roman"/>
          <w:kern w:val="2"/>
          <w:lang w:eastAsia="es-MX"/>
          <w14:ligatures w14:val="standardContextual"/>
        </w:rPr>
      </w:pPr>
      <w:r w:rsidRPr="00F2549E">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03DB110B" w14:textId="77777777" w:rsidR="00F2549E" w:rsidRPr="00F2549E" w:rsidRDefault="00F2549E" w:rsidP="00F2549E">
      <w:pPr>
        <w:suppressAutoHyphens/>
        <w:spacing w:after="0" w:line="276" w:lineRule="auto"/>
        <w:jc w:val="both"/>
        <w:rPr>
          <w:rFonts w:ascii="Verdana" w:eastAsia="Calibri" w:hAnsi="Verdana" w:cs="Times New Roman"/>
          <w:kern w:val="2"/>
          <w:lang w:eastAsia="es-MX"/>
          <w14:ligatures w14:val="standardContextual"/>
        </w:rPr>
      </w:pPr>
    </w:p>
    <w:p w14:paraId="06298F51" w14:textId="77777777" w:rsidR="00F2549E" w:rsidRPr="00F2549E" w:rsidRDefault="00F2549E" w:rsidP="00F2549E">
      <w:pPr>
        <w:suppressAutoHyphens/>
        <w:spacing w:after="0" w:line="276" w:lineRule="auto"/>
        <w:jc w:val="both"/>
        <w:rPr>
          <w:rFonts w:ascii="Verdana" w:eastAsia="Aptos" w:hAnsi="Verdana" w:cs="Times New Roman"/>
          <w:kern w:val="2"/>
          <w:lang w:eastAsia="es-MX"/>
          <w14:ligatures w14:val="standardContextual"/>
        </w:rPr>
      </w:pPr>
      <w:r w:rsidRPr="00F2549E">
        <w:rPr>
          <w:rFonts w:ascii="Verdana" w:eastAsia="Aptos" w:hAnsi="Verdana" w:cs="Times New Roman"/>
          <w:kern w:val="2"/>
          <w:lang w:eastAsia="es-MX"/>
          <w14:ligatures w14:val="standardContextual"/>
        </w:rPr>
        <w:t xml:space="preserve">Twitter: </w:t>
      </w:r>
      <w:r w:rsidRPr="00F2549E">
        <w:rPr>
          <w:rFonts w:ascii="Verdana" w:eastAsia="Calibri" w:hAnsi="Verdana" w:cs="Times New Roman"/>
          <w:color w:val="156082"/>
          <w:kern w:val="2"/>
          <w:u w:val="single"/>
          <w:lang w:eastAsia="es-MX"/>
          <w14:ligatures w14:val="standardContextual"/>
        </w:rPr>
        <w:t>@colombiacompra</w:t>
      </w:r>
      <w:r w:rsidRPr="00F2549E">
        <w:rPr>
          <w:rFonts w:ascii="Verdana" w:eastAsia="Calibri" w:hAnsi="Verdana" w:cs="Times New Roman"/>
          <w:color w:val="156082"/>
          <w:kern w:val="2"/>
          <w:lang w:eastAsia="es-MX"/>
          <w14:ligatures w14:val="standardContextual"/>
        </w:rPr>
        <w:t xml:space="preserve"> </w:t>
      </w:r>
    </w:p>
    <w:p w14:paraId="036BD25F" w14:textId="77777777" w:rsidR="00F2549E" w:rsidRPr="00F2549E" w:rsidRDefault="00F2549E" w:rsidP="00F2549E">
      <w:pPr>
        <w:suppressAutoHyphens/>
        <w:spacing w:after="0" w:line="276" w:lineRule="auto"/>
        <w:jc w:val="both"/>
        <w:rPr>
          <w:rFonts w:ascii="Verdana" w:eastAsia="Aptos" w:hAnsi="Verdana" w:cs="Times New Roman"/>
          <w:kern w:val="2"/>
          <w:lang w:eastAsia="es-MX"/>
          <w14:ligatures w14:val="standardContextual"/>
        </w:rPr>
      </w:pPr>
      <w:r w:rsidRPr="00F2549E">
        <w:rPr>
          <w:rFonts w:ascii="Verdana" w:eastAsia="Aptos" w:hAnsi="Verdana" w:cs="Times New Roman"/>
          <w:kern w:val="2"/>
          <w:lang w:eastAsia="es-MX"/>
          <w14:ligatures w14:val="standardContextual"/>
        </w:rPr>
        <w:t xml:space="preserve">Facebook: </w:t>
      </w:r>
      <w:proofErr w:type="spellStart"/>
      <w:r w:rsidRPr="00F2549E">
        <w:rPr>
          <w:rFonts w:ascii="Verdana" w:eastAsia="Calibri" w:hAnsi="Verdana" w:cs="Times New Roman"/>
          <w:color w:val="156082"/>
          <w:kern w:val="2"/>
          <w:u w:val="single"/>
          <w:lang w:eastAsia="es-MX"/>
          <w14:ligatures w14:val="standardContextual"/>
        </w:rPr>
        <w:t>ColombiaCompraEficiente</w:t>
      </w:r>
      <w:proofErr w:type="spellEnd"/>
    </w:p>
    <w:p w14:paraId="5A7245FA" w14:textId="77777777" w:rsidR="00F2549E" w:rsidRPr="00F2549E" w:rsidRDefault="00F2549E" w:rsidP="00F2549E">
      <w:pPr>
        <w:suppressAutoHyphens/>
        <w:spacing w:after="0" w:line="276" w:lineRule="auto"/>
        <w:jc w:val="both"/>
        <w:rPr>
          <w:rFonts w:ascii="Verdana" w:eastAsia="Aptos" w:hAnsi="Verdana" w:cs="Times New Roman"/>
          <w:kern w:val="2"/>
          <w:lang w:eastAsia="es-MX"/>
          <w14:ligatures w14:val="standardContextual"/>
        </w:rPr>
      </w:pPr>
      <w:r w:rsidRPr="00F2549E">
        <w:rPr>
          <w:rFonts w:ascii="Verdana" w:eastAsia="Aptos" w:hAnsi="Verdana" w:cs="Times New Roman"/>
          <w:kern w:val="2"/>
          <w:lang w:eastAsia="es-MX"/>
          <w14:ligatures w14:val="standardContextual"/>
        </w:rPr>
        <w:t xml:space="preserve">LinkedIn: </w:t>
      </w:r>
      <w:r w:rsidRPr="00F2549E">
        <w:rPr>
          <w:rFonts w:ascii="Verdana" w:eastAsia="Calibri" w:hAnsi="Verdana" w:cs="Times New Roman"/>
          <w:color w:val="156082"/>
          <w:kern w:val="2"/>
          <w:u w:val="single"/>
          <w:lang w:eastAsia="es-MX"/>
          <w14:ligatures w14:val="standardContextual"/>
        </w:rPr>
        <w:t>Agencia Nacional de Contratación Pública - Colombia Compra Eficiente</w:t>
      </w:r>
      <w:r w:rsidRPr="00F2549E">
        <w:rPr>
          <w:rFonts w:ascii="Verdana" w:eastAsia="Calibri" w:hAnsi="Verdana" w:cs="Times New Roman"/>
          <w:color w:val="156082"/>
          <w:kern w:val="2"/>
          <w:lang w:eastAsia="es-MX"/>
          <w14:ligatures w14:val="standardContextual"/>
        </w:rPr>
        <w:t xml:space="preserve"> </w:t>
      </w:r>
      <w:r w:rsidRPr="00F2549E">
        <w:rPr>
          <w:rFonts w:ascii="Verdana" w:eastAsia="Aptos" w:hAnsi="Verdana" w:cs="Times New Roman"/>
          <w:kern w:val="2"/>
          <w:lang w:eastAsia="es-MX"/>
          <w14:ligatures w14:val="standardContextual"/>
        </w:rPr>
        <w:t xml:space="preserve">Instagram: </w:t>
      </w:r>
      <w:r w:rsidRPr="00F2549E">
        <w:rPr>
          <w:rFonts w:ascii="Verdana" w:eastAsia="Calibri" w:hAnsi="Verdana" w:cs="Times New Roman"/>
          <w:color w:val="156082"/>
          <w:kern w:val="2"/>
          <w:u w:val="single"/>
          <w:lang w:eastAsia="es-MX"/>
          <w14:ligatures w14:val="standardContextual"/>
        </w:rPr>
        <w:t>@colombiacompraeficiente_cce</w:t>
      </w:r>
    </w:p>
    <w:p w14:paraId="6CF35BE3" w14:textId="77777777" w:rsidR="00F2549E" w:rsidRPr="00F2549E" w:rsidRDefault="00F2549E" w:rsidP="00F2549E">
      <w:pPr>
        <w:suppressAutoHyphens/>
        <w:spacing w:after="0" w:line="276" w:lineRule="auto"/>
        <w:jc w:val="both"/>
        <w:rPr>
          <w:rFonts w:ascii="Verdana" w:eastAsia="Aptos" w:hAnsi="Verdana" w:cs="Times New Roman"/>
          <w:kern w:val="2"/>
          <w:lang w:eastAsia="es-MX"/>
          <w14:ligatures w14:val="standardContextual"/>
        </w:rPr>
      </w:pPr>
    </w:p>
    <w:p w14:paraId="4F190C06" w14:textId="77777777" w:rsidR="00F2549E" w:rsidRPr="00F2549E" w:rsidRDefault="00F2549E" w:rsidP="00F2549E">
      <w:pPr>
        <w:suppressAutoHyphens/>
        <w:spacing w:after="0" w:line="276" w:lineRule="auto"/>
        <w:jc w:val="both"/>
        <w:rPr>
          <w:rFonts w:ascii="Verdana" w:eastAsia="Calibri" w:hAnsi="Verdana" w:cs="Times New Roman"/>
          <w:kern w:val="2"/>
          <w:lang w:val="es-ES_tradnl" w:eastAsia="es-MX"/>
          <w14:ligatures w14:val="standardContextual"/>
        </w:rPr>
      </w:pPr>
      <w:r w:rsidRPr="00F2549E">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EEF2610" w14:textId="77777777" w:rsidR="00F2549E" w:rsidRPr="00F2549E" w:rsidRDefault="00F2549E" w:rsidP="00F2549E">
      <w:pPr>
        <w:suppressAutoHyphens/>
        <w:spacing w:after="0" w:line="276" w:lineRule="auto"/>
        <w:jc w:val="both"/>
        <w:rPr>
          <w:rFonts w:ascii="Verdana" w:eastAsia="Calibri" w:hAnsi="Verdana" w:cs="Times New Roman"/>
          <w:kern w:val="2"/>
          <w:lang w:eastAsia="es-MX"/>
          <w14:ligatures w14:val="standardContextual"/>
        </w:rPr>
      </w:pPr>
    </w:p>
    <w:p w14:paraId="69463DB0" w14:textId="77777777" w:rsidR="000068FC" w:rsidRPr="00E00EFF" w:rsidRDefault="000068FC" w:rsidP="000068FC">
      <w:pPr>
        <w:spacing w:after="0" w:line="276" w:lineRule="auto"/>
        <w:jc w:val="both"/>
        <w:rPr>
          <w:rFonts w:ascii="Verdana" w:eastAsia="Calibri" w:hAnsi="Verdana" w:cs="Times New Roman"/>
          <w:lang w:eastAsia="es-MX"/>
        </w:rPr>
      </w:pPr>
      <w:r w:rsidRPr="00E00EFF">
        <w:rPr>
          <w:rFonts w:ascii="Verdana" w:eastAsia="Calibri" w:hAnsi="Verdana" w:cs="Times New Roman"/>
          <w:lang w:eastAsia="es-MX"/>
        </w:rPr>
        <w:t>Atentamente,</w:t>
      </w:r>
    </w:p>
    <w:p w14:paraId="46B9725D" w14:textId="77777777" w:rsidR="000068FC" w:rsidRDefault="000068FC" w:rsidP="000068FC">
      <w:pPr>
        <w:spacing w:after="0" w:line="240" w:lineRule="auto"/>
        <w:jc w:val="both"/>
        <w:textAlignment w:val="baseline"/>
        <w:rPr>
          <w:rFonts w:ascii="Verdana" w:eastAsia="Verdana" w:hAnsi="Verdana" w:cs="Verdana"/>
          <w:lang w:eastAsia="es-CO"/>
        </w:rPr>
      </w:pPr>
    </w:p>
    <w:p w14:paraId="53652310" w14:textId="4E09CF90" w:rsidR="000068FC" w:rsidRPr="00E00EFF" w:rsidRDefault="00776EFE" w:rsidP="00776EFE">
      <w:pPr>
        <w:spacing w:after="0" w:line="240" w:lineRule="auto"/>
        <w:jc w:val="center"/>
        <w:textAlignment w:val="baseline"/>
        <w:rPr>
          <w:rFonts w:ascii="Verdana" w:eastAsia="Verdana" w:hAnsi="Verdana" w:cs="Verdana"/>
          <w:lang w:eastAsia="es-CO"/>
        </w:rPr>
      </w:pPr>
      <w:r w:rsidRPr="00C137A0">
        <w:rPr>
          <w:i/>
          <w:iCs/>
          <w:noProof/>
        </w:rPr>
        <w:drawing>
          <wp:inline distT="0" distB="0" distL="0" distR="0" wp14:anchorId="696C989C" wp14:editId="06277596">
            <wp:extent cx="3054779" cy="1060436"/>
            <wp:effectExtent l="0" t="0" r="0" b="0"/>
            <wp:docPr id="11489755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5873" cy="1074701"/>
                    </a:xfrm>
                    <a:prstGeom prst="rect">
                      <a:avLst/>
                    </a:prstGeom>
                    <a:noFill/>
                    <a:ln>
                      <a:noFill/>
                    </a:ln>
                  </pic:spPr>
                </pic:pic>
              </a:graphicData>
            </a:graphic>
          </wp:inline>
        </w:drawing>
      </w:r>
    </w:p>
    <w:p w14:paraId="78DEE7D9" w14:textId="77777777" w:rsidR="000068FC" w:rsidRPr="00771D44" w:rsidRDefault="000068FC" w:rsidP="000068FC">
      <w:pPr>
        <w:rPr>
          <w:rFonts w:ascii="Verdana" w:eastAsia="Calibri" w:hAnsi="Verdana" w:cs="Arial"/>
          <w:sz w:val="16"/>
          <w:szCs w:val="16"/>
          <w:lang w:val="es-ES_tradnl" w:eastAsia="es-ES"/>
        </w:rPr>
      </w:pP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068FC" w:rsidRPr="00E00EFF" w14:paraId="60B647A4" w14:textId="77777777" w:rsidTr="008D1021">
        <w:trPr>
          <w:trHeight w:val="323"/>
        </w:trPr>
        <w:tc>
          <w:tcPr>
            <w:tcW w:w="1041" w:type="dxa"/>
            <w:vAlign w:val="center"/>
            <w:hideMark/>
          </w:tcPr>
          <w:p w14:paraId="1A715DAE" w14:textId="77777777" w:rsidR="000068FC" w:rsidRPr="00E00EFF" w:rsidRDefault="000068FC" w:rsidP="008D1021">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0A239AA1" w14:textId="77777777" w:rsidR="000068FC" w:rsidRPr="00E00EFF" w:rsidRDefault="000068FC" w:rsidP="008D1021">
            <w:pPr>
              <w:rPr>
                <w:rFonts w:ascii="Verdana" w:eastAsia="Arial" w:hAnsi="Verdana" w:cs="Arial"/>
                <w:sz w:val="16"/>
                <w:szCs w:val="16"/>
                <w:lang w:val="es-ES" w:eastAsia="es-MX"/>
              </w:rPr>
            </w:pPr>
            <w:r w:rsidRPr="00E00EFF">
              <w:rPr>
                <w:rFonts w:ascii="Verdana" w:eastAsia="Arial" w:hAnsi="Verdana" w:cs="Arial"/>
                <w:sz w:val="16"/>
                <w:szCs w:val="16"/>
                <w:lang w:val="es-ES" w:eastAsia="es-MX"/>
              </w:rPr>
              <w:t xml:space="preserve">Carlos Mario Castrillón Endo </w:t>
            </w:r>
          </w:p>
          <w:p w14:paraId="12EFD1BB" w14:textId="77777777" w:rsidR="000068FC" w:rsidRPr="00E00EFF" w:rsidRDefault="000068FC" w:rsidP="008D1021">
            <w:pPr>
              <w:rPr>
                <w:rFonts w:ascii="Verdana" w:eastAsia="Arial" w:hAnsi="Verdana" w:cs="Arial"/>
                <w:sz w:val="16"/>
                <w:szCs w:val="16"/>
                <w:lang w:val="es-ES_tradnl" w:eastAsia="es-MX"/>
              </w:rPr>
            </w:pPr>
            <w:r w:rsidRPr="00E00EFF">
              <w:rPr>
                <w:rFonts w:ascii="Verdana" w:eastAsia="Arial" w:hAnsi="Verdana" w:cs="Arial"/>
                <w:sz w:val="16"/>
                <w:szCs w:val="16"/>
                <w:lang w:val="es-ES_tradnl" w:eastAsia="es-MX"/>
              </w:rPr>
              <w:t>Contratista de la Subdirección de Gestión Contractual</w:t>
            </w:r>
          </w:p>
          <w:p w14:paraId="154DB21A" w14:textId="77777777" w:rsidR="000068FC" w:rsidRPr="00E00EFF" w:rsidRDefault="000068FC" w:rsidP="008D1021">
            <w:pPr>
              <w:rPr>
                <w:rFonts w:ascii="Verdana" w:eastAsia="Arial" w:hAnsi="Verdana" w:cs="Arial"/>
                <w:sz w:val="16"/>
                <w:szCs w:val="16"/>
                <w:lang w:val="es-ES_tradnl" w:eastAsia="es-MX"/>
              </w:rPr>
            </w:pPr>
          </w:p>
        </w:tc>
      </w:tr>
      <w:tr w:rsidR="000068FC" w:rsidRPr="00E00EFF" w14:paraId="7F22E59D" w14:textId="77777777" w:rsidTr="008D1021">
        <w:trPr>
          <w:trHeight w:val="338"/>
        </w:trPr>
        <w:tc>
          <w:tcPr>
            <w:tcW w:w="1041" w:type="dxa"/>
            <w:vAlign w:val="center"/>
            <w:hideMark/>
          </w:tcPr>
          <w:p w14:paraId="4BE74142" w14:textId="77777777" w:rsidR="000068FC" w:rsidRPr="00E00EFF" w:rsidRDefault="000068FC" w:rsidP="008D1021">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F7A1529" w14:textId="0440823A" w:rsidR="00936AB5" w:rsidRDefault="00936AB5" w:rsidP="008D1021">
            <w:pPr>
              <w:rPr>
                <w:rFonts w:ascii="Verdana" w:eastAsia="Arial" w:hAnsi="Verdana" w:cs="Arial"/>
                <w:sz w:val="16"/>
                <w:szCs w:val="16"/>
                <w:lang w:val="es-ES" w:eastAsia="es-MX"/>
              </w:rPr>
            </w:pPr>
            <w:r>
              <w:rPr>
                <w:rFonts w:ascii="Verdana" w:eastAsia="Arial" w:hAnsi="Verdana" w:cs="Arial"/>
                <w:sz w:val="16"/>
                <w:szCs w:val="16"/>
                <w:lang w:val="es-ES" w:eastAsia="es-MX"/>
              </w:rPr>
              <w:t>Alexandra Rodríguez Motta</w:t>
            </w:r>
          </w:p>
          <w:p w14:paraId="471CA6D8" w14:textId="60F7B83D" w:rsidR="00936AB5" w:rsidRDefault="00936AB5" w:rsidP="008D1021">
            <w:pPr>
              <w:rPr>
                <w:rFonts w:ascii="Verdana" w:eastAsia="Arial" w:hAnsi="Verdana" w:cs="Arial"/>
                <w:sz w:val="16"/>
                <w:szCs w:val="16"/>
                <w:lang w:val="es-ES" w:eastAsia="es-MX"/>
              </w:rPr>
            </w:pPr>
            <w:r w:rsidRPr="00E00EFF">
              <w:rPr>
                <w:rFonts w:ascii="Verdana" w:eastAsia="Arial" w:hAnsi="Verdana" w:cs="Arial"/>
                <w:sz w:val="16"/>
                <w:szCs w:val="16"/>
                <w:lang w:val="es-ES_tradnl" w:eastAsia="es-MX"/>
              </w:rPr>
              <w:t>Contratista de la Subdirección de Gestión Contractual</w:t>
            </w:r>
          </w:p>
          <w:p w14:paraId="01BF6349" w14:textId="29EB68B5" w:rsidR="000068FC" w:rsidRPr="00E00EFF" w:rsidRDefault="000068FC" w:rsidP="008D1021">
            <w:pPr>
              <w:rPr>
                <w:rFonts w:ascii="Verdana" w:eastAsia="Arial" w:hAnsi="Verdana" w:cs="Arial"/>
                <w:sz w:val="16"/>
                <w:szCs w:val="16"/>
                <w:lang w:val="es-ES" w:eastAsia="es-MX"/>
              </w:rPr>
            </w:pPr>
            <w:r w:rsidRPr="00E00EFF">
              <w:rPr>
                <w:rFonts w:ascii="Verdana" w:eastAsia="Arial" w:hAnsi="Verdana" w:cs="Arial"/>
                <w:sz w:val="16"/>
                <w:szCs w:val="16"/>
                <w:lang w:val="es-ES" w:eastAsia="es-MX"/>
              </w:rPr>
              <w:lastRenderedPageBreak/>
              <w:t xml:space="preserve">Juan David Cárdenas Cabezas </w:t>
            </w:r>
          </w:p>
          <w:p w14:paraId="2650A6FC" w14:textId="77777777" w:rsidR="000068FC" w:rsidRPr="00E00EFF" w:rsidRDefault="000068FC" w:rsidP="008D1021">
            <w:pPr>
              <w:rPr>
                <w:rFonts w:ascii="Verdana" w:eastAsia="Arial" w:hAnsi="Verdana" w:cs="Arial"/>
                <w:sz w:val="16"/>
                <w:szCs w:val="16"/>
                <w:lang w:val="es-ES_tradnl" w:eastAsia="es-MX"/>
              </w:rPr>
            </w:pPr>
            <w:r w:rsidRPr="00E00EFF">
              <w:rPr>
                <w:rFonts w:ascii="Verdana" w:eastAsia="Arial" w:hAnsi="Verdana" w:cs="Arial"/>
                <w:sz w:val="16"/>
                <w:szCs w:val="16"/>
                <w:lang w:val="es-ES_tradnl" w:eastAsia="es-MX"/>
              </w:rPr>
              <w:t>Contratista de la Subdirección de Gestión Contractual</w:t>
            </w:r>
          </w:p>
        </w:tc>
      </w:tr>
      <w:tr w:rsidR="000068FC" w:rsidRPr="00D5311E" w14:paraId="5491963A" w14:textId="77777777" w:rsidTr="008D1021">
        <w:trPr>
          <w:trHeight w:val="308"/>
        </w:trPr>
        <w:tc>
          <w:tcPr>
            <w:tcW w:w="1041" w:type="dxa"/>
            <w:vAlign w:val="center"/>
          </w:tcPr>
          <w:p w14:paraId="78CFC798" w14:textId="77777777" w:rsidR="000068FC" w:rsidRPr="00E00EFF" w:rsidRDefault="000068FC" w:rsidP="008D1021">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lastRenderedPageBreak/>
              <w:t>Aprobó:</w:t>
            </w:r>
          </w:p>
        </w:tc>
        <w:tc>
          <w:tcPr>
            <w:tcW w:w="6561" w:type="dxa"/>
            <w:tcBorders>
              <w:top w:val="dotted" w:sz="4" w:space="0" w:color="7F7F7F"/>
              <w:left w:val="nil"/>
              <w:bottom w:val="dotted" w:sz="4" w:space="0" w:color="7F7F7F"/>
              <w:right w:val="nil"/>
            </w:tcBorders>
            <w:vAlign w:val="center"/>
          </w:tcPr>
          <w:p w14:paraId="56291352" w14:textId="2DD67130" w:rsidR="000068FC" w:rsidRPr="00E00EFF" w:rsidRDefault="000068FC" w:rsidP="008D1021">
            <w:pPr>
              <w:rPr>
                <w:rFonts w:ascii="Verdana" w:eastAsia="Calibri" w:hAnsi="Verdana" w:cs="Arial"/>
                <w:sz w:val="16"/>
                <w:szCs w:val="16"/>
                <w:lang w:val="es-ES" w:eastAsia="es-ES"/>
              </w:rPr>
            </w:pPr>
            <w:r w:rsidRPr="00E00EFF">
              <w:rPr>
                <w:rFonts w:ascii="Verdana" w:eastAsia="Calibri" w:hAnsi="Verdana" w:cs="Arial"/>
                <w:sz w:val="16"/>
                <w:szCs w:val="16"/>
                <w:lang w:val="es-ES" w:eastAsia="es-ES"/>
              </w:rPr>
              <w:t>Fabián Leonardo V</w:t>
            </w:r>
            <w:r w:rsidR="00802938">
              <w:rPr>
                <w:rFonts w:ascii="Verdana" w:eastAsia="Calibri" w:hAnsi="Verdana" w:cs="Arial"/>
                <w:sz w:val="16"/>
                <w:szCs w:val="16"/>
                <w:lang w:val="es-ES" w:eastAsia="es-ES"/>
              </w:rPr>
              <w:t>a</w:t>
            </w:r>
            <w:r w:rsidRPr="00E00EFF">
              <w:rPr>
                <w:rFonts w:ascii="Verdana" w:eastAsia="Calibri" w:hAnsi="Verdana" w:cs="Arial"/>
                <w:sz w:val="16"/>
                <w:szCs w:val="16"/>
                <w:lang w:val="es-ES" w:eastAsia="es-ES"/>
              </w:rPr>
              <w:t>negas Peña</w:t>
            </w:r>
          </w:p>
          <w:p w14:paraId="00D7096F" w14:textId="77777777" w:rsidR="000068FC" w:rsidRPr="00D5311E" w:rsidRDefault="000068FC" w:rsidP="008D1021">
            <w:pPr>
              <w:rPr>
                <w:rFonts w:ascii="Verdana" w:eastAsia="Calibri" w:hAnsi="Verdana" w:cs="Arial"/>
                <w:sz w:val="16"/>
                <w:szCs w:val="16"/>
                <w:lang w:val="es-ES_tradnl" w:eastAsia="es-ES"/>
              </w:rPr>
            </w:pPr>
            <w:r w:rsidRPr="00E00EFF">
              <w:rPr>
                <w:rFonts w:ascii="Verdana" w:eastAsia="Calibri" w:hAnsi="Verdana" w:cs="Arial"/>
                <w:sz w:val="16"/>
                <w:szCs w:val="16"/>
                <w:lang w:val="es-ES_tradnl" w:eastAsia="es-ES"/>
              </w:rPr>
              <w:t>Subdirector de Gestión Contractual (E)</w:t>
            </w:r>
            <w:r>
              <w:rPr>
                <w:rFonts w:ascii="Verdana" w:eastAsia="Calibri" w:hAnsi="Verdana" w:cs="Arial"/>
                <w:sz w:val="16"/>
                <w:szCs w:val="16"/>
                <w:lang w:val="es-ES_tradnl" w:eastAsia="es-ES"/>
              </w:rPr>
              <w:t xml:space="preserve"> </w:t>
            </w:r>
            <w:r w:rsidRPr="00E00EFF">
              <w:rPr>
                <w:rFonts w:ascii="Verdana" w:eastAsia="Calibri" w:hAnsi="Verdana" w:cs="Arial"/>
                <w:sz w:val="16"/>
                <w:szCs w:val="16"/>
                <w:lang w:val="es-ES_tradnl" w:eastAsia="es-ES"/>
              </w:rPr>
              <w:t>ANCP – CCE</w:t>
            </w:r>
          </w:p>
        </w:tc>
      </w:tr>
      <w:bookmarkEnd w:id="0"/>
    </w:tbl>
    <w:p w14:paraId="72A72C65" w14:textId="77777777" w:rsidR="00F2549E" w:rsidRPr="00F2549E" w:rsidRDefault="00F2549E" w:rsidP="00F2549E">
      <w:pPr>
        <w:spacing w:after="0" w:line="240" w:lineRule="auto"/>
        <w:jc w:val="both"/>
        <w:textAlignment w:val="baseline"/>
        <w:rPr>
          <w:rFonts w:ascii="Verdana" w:eastAsia="Verdana" w:hAnsi="Verdana" w:cs="Verdana"/>
          <w:lang w:eastAsia="es-CO"/>
        </w:rPr>
      </w:pPr>
    </w:p>
    <w:p w14:paraId="125F01AD" w14:textId="77777777" w:rsidR="00F2549E" w:rsidRPr="00F2549E" w:rsidRDefault="00F2549E" w:rsidP="00F2549E">
      <w:pPr>
        <w:spacing w:line="278" w:lineRule="auto"/>
        <w:rPr>
          <w:rFonts w:ascii="Aptos" w:eastAsia="Aptos" w:hAnsi="Aptos" w:cs="Times New Roman"/>
          <w:kern w:val="2"/>
          <w:sz w:val="24"/>
          <w:szCs w:val="24"/>
          <w14:ligatures w14:val="standardContextual"/>
        </w:rPr>
      </w:pPr>
    </w:p>
    <w:p w14:paraId="0F293BF4" w14:textId="7F3C26F7" w:rsidR="00127233" w:rsidRPr="00F2549E" w:rsidRDefault="00127233" w:rsidP="00F2549E"/>
    <w:sectPr w:rsidR="00127233" w:rsidRPr="00F2549E"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A7726" w14:textId="77777777" w:rsidR="00C314A1" w:rsidRDefault="00C314A1" w:rsidP="004A1847">
      <w:pPr>
        <w:spacing w:after="0" w:line="240" w:lineRule="auto"/>
      </w:pPr>
      <w:r>
        <w:separator/>
      </w:r>
    </w:p>
  </w:endnote>
  <w:endnote w:type="continuationSeparator" w:id="0">
    <w:p w14:paraId="113AD4C6" w14:textId="77777777" w:rsidR="00C314A1" w:rsidRDefault="00C314A1" w:rsidP="004A1847">
      <w:pPr>
        <w:spacing w:after="0" w:line="240" w:lineRule="auto"/>
      </w:pPr>
      <w:r>
        <w:continuationSeparator/>
      </w:r>
    </w:p>
  </w:endnote>
  <w:endnote w:type="continuationNotice" w:id="1">
    <w:p w14:paraId="68743A3D" w14:textId="77777777" w:rsidR="00C314A1" w:rsidRDefault="00C314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Times New Roman">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F2549E">
      <w:rPr>
        <w:rFonts w:ascii="Verdana" w:eastAsia="Verdana" w:hAnsi="Verdana" w:cs="Verdana"/>
        <w:b/>
        <w:bCs/>
        <w:color w:val="000000"/>
        <w:sz w:val="18"/>
        <w:szCs w:val="18"/>
        <w:lang w:eastAsia="es-CO"/>
      </w:rPr>
      <w:t xml:space="preserve">Código: </w:t>
    </w:r>
    <w:r w:rsidRPr="00F2549E">
      <w:rPr>
        <w:rFonts w:ascii="Verdana" w:eastAsia="Verdana" w:hAnsi="Verdana" w:cs="Verdana"/>
        <w:color w:val="000000"/>
        <w:sz w:val="18"/>
        <w:szCs w:val="18"/>
        <w:lang w:eastAsia="es-CO"/>
      </w:rPr>
      <w:t xml:space="preserve">CCE-REC-FM-17 </w:t>
    </w:r>
    <w:r w:rsidRPr="00F2549E">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D4AF2" w14:textId="77777777" w:rsidR="00C314A1" w:rsidRDefault="00C314A1" w:rsidP="004A1847">
      <w:pPr>
        <w:spacing w:after="0" w:line="240" w:lineRule="auto"/>
      </w:pPr>
      <w:r>
        <w:separator/>
      </w:r>
    </w:p>
  </w:footnote>
  <w:footnote w:type="continuationSeparator" w:id="0">
    <w:p w14:paraId="3776778C" w14:textId="77777777" w:rsidR="00C314A1" w:rsidRDefault="00C314A1" w:rsidP="004A1847">
      <w:pPr>
        <w:spacing w:after="0" w:line="240" w:lineRule="auto"/>
      </w:pPr>
      <w:r>
        <w:continuationSeparator/>
      </w:r>
    </w:p>
  </w:footnote>
  <w:footnote w:type="continuationNotice" w:id="1">
    <w:p w14:paraId="462CDEAF" w14:textId="77777777" w:rsidR="00C314A1" w:rsidRDefault="00C314A1">
      <w:pPr>
        <w:spacing w:after="0" w:line="240" w:lineRule="auto"/>
      </w:pPr>
    </w:p>
  </w:footnote>
  <w:footnote w:id="2">
    <w:p w14:paraId="7936C61E" w14:textId="77777777" w:rsidR="00F2549E" w:rsidRPr="00484850" w:rsidRDefault="00F2549E" w:rsidP="00F2549E">
      <w:pPr>
        <w:pStyle w:val="Textonotapie"/>
        <w:ind w:firstLine="708"/>
        <w:jc w:val="both"/>
        <w:rPr>
          <w:rFonts w:ascii="Verdana" w:hAnsi="Verdana"/>
          <w:color w:val="000000"/>
          <w:sz w:val="19"/>
          <w:szCs w:val="19"/>
          <w:lang w:val="es-CO"/>
        </w:rPr>
      </w:pPr>
      <w:r w:rsidRPr="00484850">
        <w:rPr>
          <w:rStyle w:val="Refdenotaalpie"/>
          <w:rFonts w:ascii="Verdana" w:hAnsi="Verdana"/>
          <w:color w:val="000000"/>
          <w:sz w:val="19"/>
          <w:szCs w:val="19"/>
          <w:lang w:val="es-CO"/>
        </w:rPr>
        <w:footnoteRef/>
      </w:r>
      <w:r w:rsidRPr="00484850">
        <w:rPr>
          <w:rFonts w:ascii="Verdana" w:hAnsi="Verdana"/>
          <w:color w:val="000000"/>
          <w:sz w:val="19"/>
          <w:szCs w:val="19"/>
          <w:lang w:val="es-CO"/>
        </w:rPr>
        <w:t xml:space="preserve"> Estos Documentos Tipo pueden ser consultados en la página web de Colombia Compra Eficiente, a través del siguiente enlace: </w:t>
      </w:r>
      <w:hyperlink r:id="rId1" w:history="1">
        <w:r w:rsidRPr="00484850">
          <w:rPr>
            <w:rStyle w:val="Hipervnculo"/>
            <w:rFonts w:ascii="Verdana" w:hAnsi="Verdana"/>
            <w:color w:val="000000"/>
            <w:sz w:val="19"/>
            <w:szCs w:val="19"/>
            <w:lang w:val="es-CO"/>
          </w:rPr>
          <w:t>https://www.colombiacompra.gov.co/documentos-tipo/documentos-tipo</w:t>
        </w:r>
      </w:hyperlink>
      <w:r w:rsidRPr="00484850">
        <w:rPr>
          <w:rFonts w:ascii="Verdana" w:hAnsi="Verdana"/>
          <w:color w:val="000000"/>
          <w:sz w:val="19"/>
          <w:szCs w:val="19"/>
          <w:lang w:val="es-CO"/>
        </w:rPr>
        <w:t xml:space="preserve"> </w:t>
      </w:r>
    </w:p>
  </w:footnote>
  <w:footnote w:id="3">
    <w:p w14:paraId="455B6023" w14:textId="77777777" w:rsidR="00F2549E" w:rsidRPr="00484850" w:rsidRDefault="00F2549E" w:rsidP="00F2549E">
      <w:pPr>
        <w:spacing w:after="0" w:line="240" w:lineRule="auto"/>
        <w:jc w:val="both"/>
        <w:rPr>
          <w:rFonts w:ascii="Verdana" w:hAnsi="Verdana"/>
          <w:color w:val="000000"/>
          <w:sz w:val="19"/>
          <w:szCs w:val="19"/>
        </w:rPr>
      </w:pPr>
    </w:p>
    <w:p w14:paraId="5D84067D" w14:textId="77777777" w:rsidR="00F2549E" w:rsidRPr="00484850" w:rsidRDefault="00F2549E" w:rsidP="00F2549E">
      <w:pPr>
        <w:spacing w:after="120" w:line="240" w:lineRule="auto"/>
        <w:ind w:firstLine="708"/>
        <w:jc w:val="both"/>
        <w:rPr>
          <w:rFonts w:ascii="Verdana" w:eastAsia="Aptos" w:hAnsi="Verdana" w:cs="Arial"/>
          <w:color w:val="000000"/>
          <w:sz w:val="19"/>
          <w:szCs w:val="19"/>
        </w:rPr>
      </w:pPr>
      <w:r w:rsidRPr="00484850">
        <w:rPr>
          <w:rStyle w:val="Refdenotaalpie"/>
          <w:rFonts w:ascii="Verdana" w:hAnsi="Verdana"/>
          <w:color w:val="000000"/>
          <w:sz w:val="19"/>
          <w:szCs w:val="19"/>
        </w:rPr>
        <w:footnoteRef/>
      </w:r>
      <w:r w:rsidRPr="00484850">
        <w:rPr>
          <w:rFonts w:ascii="Verdana" w:eastAsia="Aptos" w:hAnsi="Verdana" w:cs="Arial"/>
          <w:color w:val="000000"/>
          <w:sz w:val="19"/>
          <w:szCs w:val="19"/>
        </w:rPr>
        <w:t xml:space="preserve"> Resolución 248 del 1 de diciembre de 2020: "Por la cual se adoptan los documentos tipo para los procesos de licitación pública para obras de infraestructura de agua potable y saneamiento básico". Fecha de entrada en vigencia: </w:t>
      </w:r>
      <w:r w:rsidRPr="00484850">
        <w:rPr>
          <w:rFonts w:ascii="Verdana" w:eastAsia="Aptos" w:hAnsi="Verdana" w:cs="Times New Roman"/>
          <w:color w:val="000000"/>
          <w:sz w:val="19"/>
          <w:szCs w:val="19"/>
        </w:rPr>
        <w:t>Aviso de convocatoria a partir del 11 de diciembre de 2020.</w:t>
      </w:r>
    </w:p>
    <w:p w14:paraId="2CF9D934" w14:textId="77777777" w:rsidR="00F2549E" w:rsidRPr="00484850" w:rsidRDefault="00F2549E" w:rsidP="00F2549E">
      <w:pPr>
        <w:spacing w:after="120" w:line="240" w:lineRule="auto"/>
        <w:ind w:firstLine="708"/>
        <w:jc w:val="both"/>
        <w:rPr>
          <w:rFonts w:ascii="Verdana" w:eastAsia="Aptos" w:hAnsi="Verdana" w:cs="Arial"/>
          <w:color w:val="000000"/>
          <w:sz w:val="19"/>
          <w:szCs w:val="19"/>
        </w:rPr>
      </w:pPr>
      <w:r w:rsidRPr="00484850">
        <w:rPr>
          <w:rFonts w:ascii="Verdana" w:eastAsia="Aptos" w:hAnsi="Verdana" w:cs="Arial"/>
          <w:color w:val="000000"/>
          <w:sz w:val="19"/>
          <w:szCs w:val="19"/>
        </w:rPr>
        <w:t xml:space="preserve"> Resolución 249 del 1 de diciembre de 2020: “"Por la cual se adoptan los documentos tipo para los procesos de licitación pública para obras de infraestructura de agua potable y saneamiento básico en la modalidad de llave en mano". Fecha de entrada en vigencia: </w:t>
      </w:r>
      <w:r w:rsidRPr="00484850">
        <w:rPr>
          <w:rFonts w:ascii="Verdana" w:eastAsia="Aptos" w:hAnsi="Verdana" w:cs="Times New Roman"/>
          <w:color w:val="000000"/>
          <w:sz w:val="19"/>
          <w:szCs w:val="19"/>
        </w:rPr>
        <w:t>Aviso de convocatoria a partir del 11 de diciembre de 2020.</w:t>
      </w:r>
    </w:p>
    <w:p w14:paraId="080E7A08" w14:textId="77777777" w:rsidR="00F2549E" w:rsidRPr="00484850" w:rsidRDefault="00F2549E" w:rsidP="00F2549E">
      <w:pPr>
        <w:spacing w:after="120" w:line="240" w:lineRule="auto"/>
        <w:ind w:firstLine="708"/>
        <w:jc w:val="both"/>
        <w:rPr>
          <w:rFonts w:ascii="Verdana" w:eastAsia="Aptos" w:hAnsi="Verdana" w:cs="Arial"/>
          <w:color w:val="000000"/>
          <w:sz w:val="19"/>
          <w:szCs w:val="19"/>
        </w:rPr>
      </w:pPr>
      <w:r w:rsidRPr="00484850">
        <w:rPr>
          <w:rFonts w:ascii="Verdana" w:eastAsia="Aptos" w:hAnsi="Verdana" w:cs="Arial"/>
          <w:color w:val="000000"/>
          <w:sz w:val="19"/>
          <w:szCs w:val="19"/>
        </w:rPr>
        <w:t xml:space="preserve">Resolución 333 del 27 de julio de 2022: “Por la cual se adoptan los documentos tipo para los procesos de selección de concurso de méritos para contratar la interventoría de obras públicas de infraestructura de agua potable y saneamiento básico”. Fecha de entrada en vigencia: </w:t>
      </w:r>
      <w:r w:rsidRPr="00484850">
        <w:rPr>
          <w:rFonts w:ascii="Verdana" w:eastAsia="Aptos" w:hAnsi="Verdana" w:cs="Times New Roman"/>
          <w:color w:val="000000"/>
          <w:sz w:val="19"/>
          <w:szCs w:val="19"/>
        </w:rPr>
        <w:t xml:space="preserve">Aviso de convocatoria a partir del 3 de octubre de 2022”. </w:t>
      </w:r>
    </w:p>
    <w:p w14:paraId="2E6C4C17" w14:textId="77777777" w:rsidR="00F2549E" w:rsidRPr="00484850" w:rsidRDefault="00F2549E" w:rsidP="00F2549E">
      <w:pPr>
        <w:spacing w:after="0" w:line="240" w:lineRule="auto"/>
        <w:ind w:firstLine="708"/>
        <w:jc w:val="both"/>
        <w:rPr>
          <w:rFonts w:ascii="Verdana" w:eastAsia="Calibri" w:hAnsi="Verdana" w:cs="Arial"/>
          <w:bCs/>
          <w:color w:val="000000"/>
          <w:sz w:val="19"/>
          <w:szCs w:val="19"/>
        </w:rPr>
      </w:pPr>
    </w:p>
    <w:p w14:paraId="0BAFD744" w14:textId="77777777" w:rsidR="00F2549E" w:rsidRPr="00484850" w:rsidRDefault="00F2549E" w:rsidP="00F2549E">
      <w:pPr>
        <w:pStyle w:val="Textonotapie"/>
        <w:rPr>
          <w:rFonts w:ascii="Verdana" w:hAnsi="Verdana"/>
          <w:color w:val="000000"/>
          <w:sz w:val="19"/>
          <w:szCs w:val="19"/>
          <w:lang w:val="es-CO"/>
        </w:rPr>
      </w:pPr>
    </w:p>
  </w:footnote>
  <w:footnote w:id="4">
    <w:p w14:paraId="73E1F510" w14:textId="77777777" w:rsidR="00F2549E" w:rsidRPr="00484850" w:rsidRDefault="00F2549E" w:rsidP="00F2549E">
      <w:pPr>
        <w:pStyle w:val="Textonotapie"/>
        <w:spacing w:after="120"/>
        <w:ind w:firstLine="708"/>
        <w:jc w:val="both"/>
        <w:rPr>
          <w:rFonts w:ascii="Verdana" w:hAnsi="Verdana"/>
          <w:color w:val="000000"/>
          <w:sz w:val="19"/>
          <w:szCs w:val="19"/>
        </w:rPr>
      </w:pPr>
      <w:r w:rsidRPr="00484850">
        <w:rPr>
          <w:rStyle w:val="Refdenotaalpie"/>
          <w:rFonts w:ascii="Verdana" w:hAnsi="Verdana" w:cs="Arial"/>
          <w:color w:val="000000"/>
          <w:sz w:val="19"/>
          <w:szCs w:val="19"/>
        </w:rPr>
        <w:footnoteRef/>
      </w:r>
      <w:r w:rsidRPr="00484850">
        <w:rPr>
          <w:rFonts w:ascii="Verdana" w:hAnsi="Verdana"/>
          <w:color w:val="000000"/>
          <w:sz w:val="19"/>
          <w:szCs w:val="19"/>
        </w:rPr>
        <w:t xml:space="preserve"> “Artículo 4. Bienes o servicios adicionales a la obra pública de agua potable y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 </w:t>
      </w:r>
    </w:p>
    <w:p w14:paraId="3E834AD8" w14:textId="77777777" w:rsidR="00F2549E" w:rsidRPr="00484850" w:rsidRDefault="00F2549E" w:rsidP="00F2549E">
      <w:pPr>
        <w:pStyle w:val="Textonotapie"/>
        <w:spacing w:after="120"/>
        <w:ind w:firstLine="708"/>
        <w:jc w:val="both"/>
        <w:rPr>
          <w:rFonts w:ascii="Verdana" w:hAnsi="Verdana"/>
          <w:color w:val="000000"/>
          <w:sz w:val="19"/>
          <w:szCs w:val="19"/>
        </w:rPr>
      </w:pPr>
      <w:r w:rsidRPr="00484850">
        <w:rPr>
          <w:rFonts w:ascii="Verdana" w:hAnsi="Verdana"/>
          <w:color w:val="000000"/>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4DDB06D3" w14:textId="77777777" w:rsidR="00F2549E" w:rsidRPr="00484850" w:rsidRDefault="00F2549E" w:rsidP="00F2549E">
      <w:pPr>
        <w:pStyle w:val="Textonotapie"/>
        <w:spacing w:after="120"/>
        <w:ind w:firstLine="708"/>
        <w:jc w:val="both"/>
        <w:rPr>
          <w:rFonts w:ascii="Verdana" w:hAnsi="Verdana"/>
          <w:color w:val="000000"/>
          <w:sz w:val="19"/>
          <w:szCs w:val="19"/>
        </w:rPr>
      </w:pPr>
      <w:r w:rsidRPr="00484850">
        <w:rPr>
          <w:rFonts w:ascii="Verdana" w:hAnsi="Verdana"/>
          <w:color w:val="000000"/>
          <w:sz w:val="19"/>
          <w:szCs w:val="19"/>
        </w:rPr>
        <w:t xml:space="preserve">2. Conservar los requisitos exigidos en los Documentos Tipo. </w:t>
      </w:r>
    </w:p>
    <w:p w14:paraId="66A1BBFE" w14:textId="77777777" w:rsidR="00F2549E" w:rsidRPr="00484850" w:rsidRDefault="00F2549E" w:rsidP="00F2549E">
      <w:pPr>
        <w:pStyle w:val="Textonotapie"/>
        <w:spacing w:after="120"/>
        <w:ind w:firstLine="708"/>
        <w:jc w:val="both"/>
        <w:rPr>
          <w:rFonts w:ascii="Verdana" w:hAnsi="Verdana"/>
          <w:color w:val="000000"/>
          <w:sz w:val="19"/>
          <w:szCs w:val="19"/>
        </w:rPr>
      </w:pPr>
      <w:r w:rsidRPr="00484850">
        <w:rPr>
          <w:rFonts w:ascii="Verdana" w:hAnsi="Verdana"/>
          <w:color w:val="000000"/>
          <w:sz w:val="19"/>
          <w:szCs w:val="19"/>
        </w:rPr>
        <w:t xml:space="preserve">3. Abstenerse de pedir experiencia exclusiva con entidades estatales, experiencia previa en un territorio específico, limitada en el tiempo o que incluya volúmenes o cantidades de obra específica. </w:t>
      </w:r>
    </w:p>
    <w:p w14:paraId="65B5FC54" w14:textId="77777777" w:rsidR="00F2549E" w:rsidRPr="00484850" w:rsidRDefault="00F2549E" w:rsidP="00F2549E">
      <w:pPr>
        <w:pStyle w:val="Textonotapie"/>
        <w:spacing w:after="120"/>
        <w:ind w:firstLine="708"/>
        <w:jc w:val="both"/>
        <w:rPr>
          <w:rFonts w:ascii="Verdana" w:hAnsi="Verdana"/>
          <w:color w:val="000000"/>
          <w:sz w:val="19"/>
          <w:szCs w:val="19"/>
        </w:rPr>
      </w:pPr>
      <w:r w:rsidRPr="00484850">
        <w:rPr>
          <w:rFonts w:ascii="Verdana" w:hAnsi="Verdana"/>
          <w:color w:val="000000"/>
          <w:sz w:val="19"/>
          <w:szCs w:val="19"/>
        </w:rPr>
        <w:t xml:space="preserve">4. Clasificar la experiencia requerida solo hasta el tercer nivel del Clasificador de Bienes y Servicios e incluir exclusivamente los códigos que estén relacionados directamente con el objeto a contratar. </w:t>
      </w:r>
    </w:p>
    <w:p w14:paraId="119E026D" w14:textId="77777777" w:rsidR="00F2549E" w:rsidRPr="00484850" w:rsidRDefault="00F2549E" w:rsidP="00F2549E">
      <w:pPr>
        <w:pStyle w:val="Textonotapie"/>
        <w:spacing w:after="120"/>
        <w:ind w:firstLine="708"/>
        <w:jc w:val="both"/>
        <w:rPr>
          <w:rFonts w:ascii="Verdana" w:hAnsi="Verdana" w:cs="Arial"/>
          <w:color w:val="000000"/>
          <w:sz w:val="19"/>
          <w:szCs w:val="19"/>
        </w:rPr>
      </w:pPr>
      <w:r w:rsidRPr="00484850">
        <w:rPr>
          <w:rFonts w:ascii="Verdana" w:hAnsi="Verdana"/>
          <w:color w:val="000000"/>
          <w:sz w:val="19"/>
          <w:szCs w:val="19"/>
        </w:rPr>
        <w:t>Parágrafo. (Modificado por el artículo 144 de la Resolución 275 del 24 de junio de 2022). En los casos que el objeto contractual incluya actividades que son abarcadas por otros Documentos Tipo, la Entidad Estatal aplicará las reglas de combinación de experiencia previstas en el numeral 3.5.2 del documento base”</w:t>
      </w:r>
      <w:r w:rsidRPr="00484850">
        <w:rPr>
          <w:rFonts w:ascii="Verdana" w:hAnsi="Verdana" w:cs="Arial"/>
          <w:color w:val="000000"/>
          <w:sz w:val="19"/>
          <w:szCs w:val="19"/>
        </w:rPr>
        <w:t xml:space="preserve">. </w:t>
      </w:r>
    </w:p>
  </w:footnote>
  <w:footnote w:id="5">
    <w:p w14:paraId="75CFD641" w14:textId="77777777" w:rsidR="00F2549E" w:rsidRPr="00484850" w:rsidRDefault="00F2549E" w:rsidP="00F2549E">
      <w:pPr>
        <w:ind w:firstLine="709"/>
        <w:jc w:val="both"/>
        <w:rPr>
          <w:rFonts w:ascii="Verdana" w:eastAsia="Arial" w:hAnsi="Verdana" w:cs="Arial"/>
          <w:b/>
          <w:color w:val="000000"/>
          <w:sz w:val="19"/>
          <w:szCs w:val="19"/>
        </w:rPr>
      </w:pPr>
      <w:r w:rsidRPr="00484850">
        <w:rPr>
          <w:rStyle w:val="Refdenotaalpie"/>
          <w:rFonts w:ascii="Verdana" w:hAnsi="Verdana" w:cs="Arial"/>
          <w:color w:val="000000"/>
          <w:sz w:val="19"/>
          <w:szCs w:val="19"/>
        </w:rPr>
        <w:footnoteRef/>
      </w:r>
      <w:r w:rsidRPr="00484850">
        <w:rPr>
          <w:rFonts w:ascii="Verdana" w:hAnsi="Verdana" w:cs="Arial"/>
          <w:color w:val="000000"/>
          <w:sz w:val="19"/>
          <w:szCs w:val="19"/>
        </w:rPr>
        <w:t xml:space="preserve"> </w:t>
      </w:r>
      <w:r w:rsidRPr="00484850">
        <w:rPr>
          <w:rFonts w:ascii="Verdana" w:eastAsia="Arial" w:hAnsi="Verdana" w:cs="Arial"/>
          <w:color w:val="000000"/>
          <w:sz w:val="19"/>
          <w:szCs w:val="19"/>
        </w:rPr>
        <w:t>«</w:t>
      </w:r>
      <w:bookmarkStart w:id="2" w:name="_Toc67583310"/>
      <w:bookmarkStart w:id="3" w:name="_Toc78789458"/>
      <w:bookmarkStart w:id="4" w:name="_Toc84486074"/>
      <w:r w:rsidRPr="00484850">
        <w:rPr>
          <w:rFonts w:ascii="Verdana" w:eastAsia="Arial" w:hAnsi="Verdana" w:cs="Arial"/>
          <w:color w:val="000000"/>
          <w:sz w:val="19"/>
          <w:szCs w:val="19"/>
        </w:rPr>
        <w:t>3.5.8.</w:t>
      </w:r>
      <w:r w:rsidRPr="00484850">
        <w:rPr>
          <w:rFonts w:ascii="Verdana" w:eastAsia="Arial" w:hAnsi="Verdana" w:cs="Arial"/>
          <w:bCs/>
          <w:color w:val="000000"/>
          <w:sz w:val="19"/>
          <w:szCs w:val="19"/>
        </w:rPr>
        <w:t>RELACIÓN DE LOS CONTRATOS FRENTE AL PRESUPUESTO OFICIAL</w:t>
      </w:r>
      <w:bookmarkEnd w:id="2"/>
      <w:bookmarkEnd w:id="3"/>
      <w:bookmarkEnd w:id="4"/>
    </w:p>
    <w:p w14:paraId="415B6078" w14:textId="77777777" w:rsidR="00F2549E" w:rsidRPr="00484850" w:rsidRDefault="00F2549E" w:rsidP="00F2549E">
      <w:pPr>
        <w:jc w:val="both"/>
        <w:rPr>
          <w:rFonts w:ascii="Verdana" w:eastAsia="Calibri" w:hAnsi="Verdana" w:cs="Arial"/>
          <w:color w:val="000000"/>
          <w:sz w:val="19"/>
          <w:szCs w:val="19"/>
          <w:lang w:val="es-MX"/>
        </w:rPr>
      </w:pPr>
      <w:r w:rsidRPr="00484850">
        <w:rPr>
          <w:rFonts w:ascii="Verdana" w:eastAsia="Calibri" w:hAnsi="Verdana" w:cs="Arial"/>
          <w:color w:val="000000"/>
          <w:sz w:val="19"/>
          <w:szCs w:val="19"/>
          <w:lang w:val="es-MX"/>
        </w:rPr>
        <w:t>La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47"/>
        <w:gridCol w:w="4182"/>
      </w:tblGrid>
      <w:tr w:rsidR="00F2549E" w:rsidRPr="00484850" w14:paraId="522269B8" w14:textId="77777777" w:rsidTr="007E79BA">
        <w:trPr>
          <w:trHeight w:val="774"/>
          <w:tblHeader/>
        </w:trPr>
        <w:tc>
          <w:tcPr>
            <w:tcW w:w="3047"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6990A1CD" w14:textId="77777777" w:rsidR="00F2549E" w:rsidRPr="00484850" w:rsidRDefault="00F2549E" w:rsidP="00B407F6">
            <w:pPr>
              <w:jc w:val="center"/>
              <w:rPr>
                <w:rFonts w:ascii="Verdana" w:eastAsia="Calibri" w:hAnsi="Verdana" w:cs="Arial"/>
                <w:b/>
                <w:bCs/>
                <w:color w:val="000000"/>
                <w:sz w:val="19"/>
                <w:szCs w:val="19"/>
                <w:lang w:val="es-ES"/>
              </w:rPr>
            </w:pPr>
            <w:r w:rsidRPr="00484850">
              <w:rPr>
                <w:rFonts w:ascii="Verdana" w:eastAsia="Calibri" w:hAnsi="Verdana" w:cs="Arial"/>
                <w:b/>
                <w:bCs/>
                <w:color w:val="000000"/>
                <w:sz w:val="19"/>
                <w:szCs w:val="19"/>
                <w:lang w:val="es-ES"/>
              </w:rPr>
              <w:t>Número de contratos con los cuales el Proponente cumple la experiencia acreditada</w:t>
            </w:r>
          </w:p>
        </w:tc>
        <w:tc>
          <w:tcPr>
            <w:tcW w:w="418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6C9C16E1" w14:textId="77777777" w:rsidR="00F2549E" w:rsidRPr="00484850" w:rsidRDefault="00F2549E" w:rsidP="00B407F6">
            <w:pPr>
              <w:jc w:val="center"/>
              <w:rPr>
                <w:rFonts w:ascii="Verdana" w:eastAsia="Calibri" w:hAnsi="Verdana" w:cs="Arial"/>
                <w:b/>
                <w:bCs/>
                <w:color w:val="000000"/>
                <w:sz w:val="19"/>
                <w:szCs w:val="19"/>
                <w:lang w:val="es-ES"/>
              </w:rPr>
            </w:pPr>
            <w:r w:rsidRPr="00484850">
              <w:rPr>
                <w:rFonts w:ascii="Verdana" w:eastAsia="Calibri" w:hAnsi="Verdana" w:cs="Arial"/>
                <w:b/>
                <w:bCs/>
                <w:color w:val="000000"/>
                <w:sz w:val="19"/>
                <w:szCs w:val="19"/>
                <w:lang w:val="es-ES"/>
              </w:rPr>
              <w:t>Valor mínimo a certificar</w:t>
            </w:r>
          </w:p>
          <w:p w14:paraId="3B2694AC" w14:textId="77777777" w:rsidR="00F2549E" w:rsidRPr="00484850" w:rsidRDefault="00F2549E" w:rsidP="00B407F6">
            <w:pPr>
              <w:jc w:val="center"/>
              <w:rPr>
                <w:rFonts w:ascii="Verdana" w:eastAsia="Calibri" w:hAnsi="Verdana" w:cs="Arial"/>
                <w:b/>
                <w:bCs/>
                <w:color w:val="000000"/>
                <w:sz w:val="19"/>
                <w:szCs w:val="19"/>
                <w:lang w:val="es-ES"/>
              </w:rPr>
            </w:pPr>
            <w:r w:rsidRPr="00484850">
              <w:rPr>
                <w:rFonts w:ascii="Verdana" w:eastAsia="Calibri" w:hAnsi="Verdana" w:cs="Arial"/>
                <w:b/>
                <w:bCs/>
                <w:color w:val="000000"/>
                <w:sz w:val="19"/>
                <w:szCs w:val="19"/>
                <w:lang w:val="es-ES"/>
              </w:rPr>
              <w:t>(como % del Presupuesto Oficial de obra expresado en SMMLV)</w:t>
            </w:r>
          </w:p>
        </w:tc>
      </w:tr>
      <w:tr w:rsidR="00F2549E" w:rsidRPr="00484850" w14:paraId="511997D2"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0D3E8C84" w14:textId="77777777" w:rsidR="00F2549E" w:rsidRPr="00484850" w:rsidRDefault="00F2549E" w:rsidP="00B407F6">
            <w:pPr>
              <w:jc w:val="center"/>
              <w:rPr>
                <w:rFonts w:ascii="Verdana" w:eastAsia="Calibri" w:hAnsi="Verdana" w:cs="Arial"/>
                <w:color w:val="000000"/>
                <w:sz w:val="19"/>
                <w:szCs w:val="19"/>
                <w:lang w:val="es-ES"/>
              </w:rPr>
            </w:pPr>
            <w:r w:rsidRPr="00484850">
              <w:rPr>
                <w:rFonts w:ascii="Verdana" w:eastAsia="Calibri" w:hAnsi="Verdana" w:cs="Arial"/>
                <w:color w:val="000000"/>
                <w:sz w:val="19"/>
                <w:szCs w:val="19"/>
                <w:lang w:val="es-ES"/>
              </w:rPr>
              <w:t>De 1 hasta 2</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33A1612C" w14:textId="77777777" w:rsidR="00F2549E" w:rsidRPr="00484850" w:rsidRDefault="00F2549E" w:rsidP="00B407F6">
            <w:pPr>
              <w:jc w:val="center"/>
              <w:rPr>
                <w:rFonts w:ascii="Verdana" w:eastAsia="Calibri" w:hAnsi="Verdana" w:cs="Arial"/>
                <w:color w:val="000000"/>
                <w:sz w:val="19"/>
                <w:szCs w:val="19"/>
                <w:lang w:val="es-ES"/>
              </w:rPr>
            </w:pPr>
            <w:r w:rsidRPr="00484850">
              <w:rPr>
                <w:rFonts w:ascii="Verdana" w:eastAsia="Calibri" w:hAnsi="Verdana" w:cs="Arial"/>
                <w:color w:val="000000"/>
                <w:sz w:val="19"/>
                <w:szCs w:val="19"/>
                <w:lang w:val="es-ES"/>
              </w:rPr>
              <w:t>75 %</w:t>
            </w:r>
          </w:p>
        </w:tc>
      </w:tr>
      <w:tr w:rsidR="00F2549E" w:rsidRPr="00484850" w14:paraId="03A74F7A"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5DE22E07" w14:textId="77777777" w:rsidR="00F2549E" w:rsidRPr="00484850" w:rsidRDefault="00F2549E" w:rsidP="00B407F6">
            <w:pPr>
              <w:jc w:val="center"/>
              <w:rPr>
                <w:rFonts w:ascii="Verdana" w:eastAsia="Calibri" w:hAnsi="Verdana" w:cs="Arial"/>
                <w:color w:val="000000"/>
                <w:sz w:val="19"/>
                <w:szCs w:val="19"/>
                <w:lang w:val="es-ES"/>
              </w:rPr>
            </w:pPr>
            <w:r w:rsidRPr="00484850">
              <w:rPr>
                <w:rFonts w:ascii="Verdana" w:eastAsia="Calibri" w:hAnsi="Verdana" w:cs="Arial"/>
                <w:color w:val="000000"/>
                <w:sz w:val="19"/>
                <w:szCs w:val="19"/>
                <w:lang w:val="es-ES"/>
              </w:rPr>
              <w:t>De 3 hasta 4</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490C9B1C" w14:textId="77777777" w:rsidR="00F2549E" w:rsidRPr="00484850" w:rsidRDefault="00F2549E" w:rsidP="00B407F6">
            <w:pPr>
              <w:jc w:val="center"/>
              <w:rPr>
                <w:rFonts w:ascii="Verdana" w:eastAsia="Calibri" w:hAnsi="Verdana" w:cs="Arial"/>
                <w:color w:val="000000"/>
                <w:sz w:val="19"/>
                <w:szCs w:val="19"/>
                <w:lang w:val="es-ES"/>
              </w:rPr>
            </w:pPr>
            <w:r w:rsidRPr="00484850">
              <w:rPr>
                <w:rFonts w:ascii="Verdana" w:eastAsia="Calibri" w:hAnsi="Verdana" w:cs="Arial"/>
                <w:color w:val="000000"/>
                <w:sz w:val="19"/>
                <w:szCs w:val="19"/>
                <w:lang w:val="es-ES"/>
              </w:rPr>
              <w:t>120 %</w:t>
            </w:r>
          </w:p>
        </w:tc>
      </w:tr>
      <w:tr w:rsidR="00F2549E" w:rsidRPr="00484850" w14:paraId="531D1B6F" w14:textId="77777777" w:rsidTr="007E79BA">
        <w:trPr>
          <w:trHeight w:val="282"/>
        </w:trPr>
        <w:tc>
          <w:tcPr>
            <w:tcW w:w="3047" w:type="dxa"/>
            <w:tcBorders>
              <w:top w:val="single" w:sz="4" w:space="0" w:color="000000"/>
              <w:left w:val="double" w:sz="4" w:space="0" w:color="auto"/>
              <w:bottom w:val="single" w:sz="4" w:space="0" w:color="000000"/>
              <w:right w:val="single" w:sz="4" w:space="0" w:color="000000"/>
            </w:tcBorders>
            <w:vAlign w:val="center"/>
            <w:hideMark/>
          </w:tcPr>
          <w:p w14:paraId="44A0A7AE" w14:textId="77777777" w:rsidR="00F2549E" w:rsidRPr="00484850" w:rsidRDefault="00F2549E" w:rsidP="00B407F6">
            <w:pPr>
              <w:jc w:val="center"/>
              <w:rPr>
                <w:rFonts w:ascii="Verdana" w:eastAsia="Calibri" w:hAnsi="Verdana" w:cs="Arial"/>
                <w:color w:val="000000"/>
                <w:sz w:val="19"/>
                <w:szCs w:val="19"/>
                <w:lang w:val="es-ES"/>
              </w:rPr>
            </w:pPr>
            <w:r w:rsidRPr="00484850">
              <w:rPr>
                <w:rFonts w:ascii="Verdana" w:eastAsia="Calibri" w:hAnsi="Verdana" w:cs="Arial"/>
                <w:color w:val="000000"/>
                <w:sz w:val="19"/>
                <w:szCs w:val="19"/>
                <w:lang w:val="es-ES"/>
              </w:rPr>
              <w:t>Hasta 5</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624D8611" w14:textId="77777777" w:rsidR="00F2549E" w:rsidRPr="00484850" w:rsidRDefault="00F2549E" w:rsidP="00B407F6">
            <w:pPr>
              <w:jc w:val="center"/>
              <w:rPr>
                <w:rFonts w:ascii="Verdana" w:eastAsia="Calibri" w:hAnsi="Verdana" w:cs="Arial"/>
                <w:color w:val="000000"/>
                <w:sz w:val="19"/>
                <w:szCs w:val="19"/>
                <w:lang w:val="es-ES"/>
              </w:rPr>
            </w:pPr>
            <w:r w:rsidRPr="00484850">
              <w:rPr>
                <w:rFonts w:ascii="Verdana" w:eastAsia="Calibri" w:hAnsi="Verdana" w:cs="Arial"/>
                <w:color w:val="000000"/>
                <w:sz w:val="19"/>
                <w:szCs w:val="19"/>
                <w:lang w:val="es-ES"/>
              </w:rPr>
              <w:t>150 %</w:t>
            </w:r>
          </w:p>
        </w:tc>
      </w:tr>
    </w:tbl>
    <w:p w14:paraId="1EB24253" w14:textId="77777777" w:rsidR="00F2549E" w:rsidRPr="00484850" w:rsidRDefault="00F2549E" w:rsidP="00F2549E">
      <w:pPr>
        <w:ind w:firstLine="709"/>
        <w:jc w:val="both"/>
        <w:rPr>
          <w:rFonts w:ascii="Verdana" w:eastAsia="Arial" w:hAnsi="Verdana" w:cs="Arial"/>
          <w:color w:val="000000"/>
          <w:sz w:val="19"/>
          <w:szCs w:val="19"/>
        </w:rPr>
      </w:pPr>
    </w:p>
    <w:p w14:paraId="37A72B31" w14:textId="77777777" w:rsidR="00F2549E" w:rsidRPr="00484850" w:rsidRDefault="00F2549E" w:rsidP="00F2549E">
      <w:pPr>
        <w:ind w:firstLine="709"/>
        <w:jc w:val="both"/>
        <w:rPr>
          <w:rFonts w:ascii="Verdana" w:eastAsia="Calibri" w:hAnsi="Verdana" w:cs="Arial"/>
          <w:iCs/>
          <w:color w:val="000000"/>
          <w:sz w:val="19"/>
          <w:szCs w:val="19"/>
        </w:rPr>
      </w:pPr>
      <w:r w:rsidRPr="00484850">
        <w:rPr>
          <w:rFonts w:ascii="Verdana" w:eastAsia="Arial" w:hAnsi="Verdana" w:cs="Arial"/>
          <w:color w:val="000000"/>
          <w:sz w:val="19"/>
          <w:szCs w:val="19"/>
        </w:rPr>
        <w:t>“</w:t>
      </w:r>
      <w:r w:rsidRPr="00484850">
        <w:rPr>
          <w:rFonts w:ascii="Verdana" w:eastAsia="Calibri" w:hAnsi="Verdana" w:cs="Arial"/>
          <w:iCs/>
          <w:color w:val="000000"/>
          <w:sz w:val="19"/>
          <w:szCs w:val="19"/>
        </w:rPr>
        <w:t>Si el número de contratos aportados supera los cinco (5) inicialmente previstos en este numeral, debido a la posibilidad de allegar contratos adicionales por tratarse de una Mipyme y/o emprendimiento y empresa de mujer, estos contratos adicionales, ya sean seis (6) o siete (7) contratos -dependiendo si acredita una o ambas condiciones-, se tendrán en cuenta para demostrar el valor del ciento cincuenta por ciento (150 %) del valor del Presupuesto Oficial.</w:t>
      </w:r>
    </w:p>
    <w:p w14:paraId="2330C3C1" w14:textId="77777777" w:rsidR="00F2549E" w:rsidRPr="00484850" w:rsidRDefault="00F2549E" w:rsidP="00F2549E">
      <w:pPr>
        <w:ind w:firstLine="709"/>
        <w:jc w:val="both"/>
        <w:rPr>
          <w:rFonts w:ascii="Verdana" w:eastAsia="Calibri" w:hAnsi="Verdana" w:cs="Arial"/>
          <w:iCs/>
          <w:color w:val="000000"/>
          <w:sz w:val="19"/>
          <w:szCs w:val="19"/>
        </w:rPr>
      </w:pPr>
      <w:r w:rsidRPr="00484850">
        <w:rPr>
          <w:rFonts w:ascii="Verdana" w:eastAsia="Calibri" w:hAnsi="Verdana" w:cs="Arial"/>
          <w:iCs/>
          <w:color w:val="000000"/>
          <w:sz w:val="19"/>
          <w:szCs w:val="19"/>
          <w:lang w:val="es-MX"/>
        </w:rPr>
        <w:t>La verificación se hará con base en la sumatoria de los valores totales ejecutados (incluido IVA) en SMMLV de los contratos que cumplan con los requisitos establecidos en este Pliego de Condiciones.</w:t>
      </w:r>
    </w:p>
    <w:p w14:paraId="20D28B7F" w14:textId="77777777" w:rsidR="00F2549E" w:rsidRPr="00484850" w:rsidRDefault="00F2549E" w:rsidP="00F2549E">
      <w:pPr>
        <w:jc w:val="both"/>
        <w:rPr>
          <w:rFonts w:ascii="Verdana" w:eastAsia="Calibri" w:hAnsi="Verdana" w:cs="Arial"/>
          <w:iCs/>
          <w:color w:val="000000"/>
          <w:sz w:val="19"/>
          <w:szCs w:val="19"/>
          <w:lang w:val="es-MX"/>
        </w:rPr>
      </w:pPr>
      <w:r w:rsidRPr="00484850">
        <w:rPr>
          <w:rFonts w:ascii="Verdana" w:eastAsia="Calibri" w:hAnsi="Verdana" w:cs="Arial"/>
          <w:iCs/>
          <w:color w:val="000000"/>
          <w:sz w:val="19"/>
          <w:szCs w:val="19"/>
          <w:lang w:val="es-MX"/>
        </w:rPr>
        <w:t>El Proponente cumple el requisito de experiencia si la sumatoria de los valores totales ejecutados (incluido IVA) de los contratos expresados en SMMLV es mayor o igual al valor mínimo a certificar establecido en la tabla anterior.</w:t>
      </w:r>
    </w:p>
    <w:p w14:paraId="483E4C72" w14:textId="77777777" w:rsidR="00F2549E" w:rsidRPr="00484850" w:rsidRDefault="00F2549E" w:rsidP="00F2549E">
      <w:pPr>
        <w:ind w:firstLine="709"/>
        <w:jc w:val="both"/>
        <w:rPr>
          <w:rFonts w:ascii="Verdana" w:eastAsia="Calibri" w:hAnsi="Verdana" w:cs="Arial"/>
          <w:iCs/>
          <w:color w:val="000000"/>
          <w:sz w:val="19"/>
          <w:szCs w:val="19"/>
          <w:lang w:val="es-MX"/>
        </w:rPr>
      </w:pPr>
      <w:r w:rsidRPr="00484850">
        <w:rPr>
          <w:rFonts w:ascii="Verdana" w:eastAsia="Calibri" w:hAnsi="Verdana" w:cs="Arial"/>
          <w:iCs/>
          <w:color w:val="000000"/>
          <w:sz w:val="19"/>
          <w:szCs w:val="19"/>
          <w:lang w:val="es-MX"/>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19078BEE" w14:textId="77777777" w:rsidR="00F2549E" w:rsidRPr="00484850" w:rsidRDefault="00F2549E" w:rsidP="00F2549E">
      <w:pPr>
        <w:ind w:firstLine="709"/>
        <w:jc w:val="both"/>
        <w:rPr>
          <w:rFonts w:ascii="Verdana" w:eastAsia="Calibri" w:hAnsi="Verdana" w:cs="Arial"/>
          <w:iCs/>
          <w:color w:val="000000"/>
          <w:sz w:val="19"/>
          <w:szCs w:val="19"/>
          <w:highlight w:val="lightGray"/>
          <w:lang w:val="es-MX"/>
        </w:rPr>
      </w:pPr>
      <w:r w:rsidRPr="00484850">
        <w:rPr>
          <w:rFonts w:ascii="Verdana" w:eastAsia="Calibri" w:hAnsi="Verdana" w:cs="Arial"/>
          <w:iCs/>
          <w:color w:val="000000"/>
          <w:sz w:val="19"/>
          <w:szCs w:val="19"/>
          <w:highlight w:val="lightGray"/>
          <w:lang w:val="es-MX"/>
        </w:rPr>
        <w:t>[En los procesos estructurados por lotes o por grupos, el valor mínimo a certificar debe ser en relación con el valor del Presupuesto Oficial del respectivo lote o grupo expresado en SMMLV]”.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928" w:hanging="360"/>
      </w:pPr>
      <w:rPr>
        <w:b/>
        <w:color w:val="000000" w:themeColor="text1"/>
      </w:rPr>
    </w:lvl>
    <w:lvl w:ilvl="1">
      <w:start w:val="2"/>
      <w:numFmt w:val="decimal"/>
      <w:isLgl/>
      <w:lvlText w:val="%1.%2"/>
      <w:lvlJc w:val="left"/>
      <w:pPr>
        <w:ind w:left="56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279856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8FC"/>
    <w:rsid w:val="00016F78"/>
    <w:rsid w:val="00046945"/>
    <w:rsid w:val="00061B2A"/>
    <w:rsid w:val="00082362"/>
    <w:rsid w:val="000A3D01"/>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35BDC"/>
    <w:rsid w:val="002421BB"/>
    <w:rsid w:val="00247509"/>
    <w:rsid w:val="0025796E"/>
    <w:rsid w:val="002707A2"/>
    <w:rsid w:val="00290028"/>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40810"/>
    <w:rsid w:val="005566E8"/>
    <w:rsid w:val="00574867"/>
    <w:rsid w:val="00591460"/>
    <w:rsid w:val="005A65E0"/>
    <w:rsid w:val="005C3777"/>
    <w:rsid w:val="005C5CDC"/>
    <w:rsid w:val="005D476C"/>
    <w:rsid w:val="00601B3B"/>
    <w:rsid w:val="006200BF"/>
    <w:rsid w:val="006219F8"/>
    <w:rsid w:val="006302F7"/>
    <w:rsid w:val="00646B9F"/>
    <w:rsid w:val="00665D70"/>
    <w:rsid w:val="006900D9"/>
    <w:rsid w:val="00706C16"/>
    <w:rsid w:val="007340C3"/>
    <w:rsid w:val="0075235A"/>
    <w:rsid w:val="00756841"/>
    <w:rsid w:val="007649AB"/>
    <w:rsid w:val="00771D0C"/>
    <w:rsid w:val="00776EFE"/>
    <w:rsid w:val="007833AC"/>
    <w:rsid w:val="007B125C"/>
    <w:rsid w:val="007B268C"/>
    <w:rsid w:val="007B7171"/>
    <w:rsid w:val="007C0C0F"/>
    <w:rsid w:val="007C3DC2"/>
    <w:rsid w:val="007E5497"/>
    <w:rsid w:val="00802938"/>
    <w:rsid w:val="00806F5F"/>
    <w:rsid w:val="00820278"/>
    <w:rsid w:val="008258C9"/>
    <w:rsid w:val="00844AE9"/>
    <w:rsid w:val="00867F95"/>
    <w:rsid w:val="00872E14"/>
    <w:rsid w:val="008843B6"/>
    <w:rsid w:val="00891928"/>
    <w:rsid w:val="008A446D"/>
    <w:rsid w:val="008B25F1"/>
    <w:rsid w:val="008B6095"/>
    <w:rsid w:val="008B7E8C"/>
    <w:rsid w:val="008D180B"/>
    <w:rsid w:val="008D3368"/>
    <w:rsid w:val="008F0EA7"/>
    <w:rsid w:val="00923EEF"/>
    <w:rsid w:val="00936AB5"/>
    <w:rsid w:val="009419F9"/>
    <w:rsid w:val="0095685E"/>
    <w:rsid w:val="00961B09"/>
    <w:rsid w:val="00965334"/>
    <w:rsid w:val="0097093E"/>
    <w:rsid w:val="009A0DFA"/>
    <w:rsid w:val="009A1C6F"/>
    <w:rsid w:val="009B2D26"/>
    <w:rsid w:val="009C71FA"/>
    <w:rsid w:val="009C72E7"/>
    <w:rsid w:val="009C7F7E"/>
    <w:rsid w:val="009D3058"/>
    <w:rsid w:val="009F3A13"/>
    <w:rsid w:val="00A01759"/>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14A1"/>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2549E"/>
    <w:rsid w:val="00F31EDC"/>
    <w:rsid w:val="00F44507"/>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40107B1"/>
    <w:rsid w:val="19A2EC2C"/>
    <w:rsid w:val="21779BE6"/>
    <w:rsid w:val="27E39D69"/>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F25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2549E"/>
    <w:pPr>
      <w:spacing w:line="240" w:lineRule="exact"/>
    </w:pPr>
    <w:rPr>
      <w:vertAlign w:val="superscript"/>
    </w:rPr>
  </w:style>
  <w:style w:type="table" w:customStyle="1" w:styleId="Tablaconcuadrcula22">
    <w:name w:val="Tabla con cuadrícula22"/>
    <w:basedOn w:val="Tablanormal"/>
    <w:uiPriority w:val="39"/>
    <w:qFormat/>
    <w:rsid w:val="00F2549E"/>
    <w:pPr>
      <w:suppressAutoHyphens/>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006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documentos-tipo/documentos-tipo"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01EC13-596F-41C5-BA2B-93B20C311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34</Pages>
  <Words>11474</Words>
  <Characters>63107</Characters>
  <Application>Microsoft Office Word</Application>
  <DocSecurity>0</DocSecurity>
  <Lines>525</Lines>
  <Paragraphs>148</Paragraphs>
  <ScaleCrop>false</ScaleCrop>
  <Company/>
  <LinksUpToDate>false</LinksUpToDate>
  <CharactersWithSpaces>74433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2026-11-05T01:02:00Z</dcterms:created>
  <dcterms:modified xsi:type="dcterms:W3CDTF">2026-11-05T12:39:00Z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