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4347D" w14:textId="77777777" w:rsidR="009270B3" w:rsidRPr="00C24209" w:rsidRDefault="009270B3" w:rsidP="009270B3">
      <w:pPr>
        <w:spacing w:after="0" w:line="240" w:lineRule="auto"/>
        <w:jc w:val="both"/>
        <w:rPr>
          <w:rFonts w:ascii="Verdana" w:eastAsia="Calibri" w:hAnsi="Verdana" w:cs="Arial"/>
          <w:b/>
          <w:color w:val="000000" w:themeColor="text1"/>
        </w:rPr>
      </w:pPr>
      <w:bookmarkStart w:id="0" w:name="_Hlk143780582"/>
      <w:r w:rsidRPr="00C24209">
        <w:rPr>
          <w:rFonts w:ascii="Verdana" w:eastAsia="Calibri" w:hAnsi="Verdana" w:cs="Arial"/>
          <w:b/>
          <w:color w:val="000000" w:themeColor="text1"/>
        </w:rPr>
        <w:t>FUNCIÓN CONSULTIVA – Colombia Compra Eficiente – Alcance – Conceptos – Artículo 28 de la Ley 1437 de 2011 – Efectos no vinculantes</w:t>
      </w:r>
    </w:p>
    <w:p w14:paraId="483E71C2" w14:textId="77777777" w:rsidR="009270B3" w:rsidRPr="00C24209" w:rsidRDefault="009270B3" w:rsidP="009270B3">
      <w:pPr>
        <w:spacing w:after="0" w:line="240" w:lineRule="auto"/>
        <w:jc w:val="both"/>
        <w:rPr>
          <w:rFonts w:ascii="Verdana" w:eastAsia="Calibri" w:hAnsi="Verdana" w:cs="Arial"/>
          <w:color w:val="000000" w:themeColor="text1"/>
        </w:rPr>
      </w:pPr>
    </w:p>
    <w:p w14:paraId="1E9EF652"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los conceptos emitidos por la Agencia Nacional de Contratación Pública – Colombia Compra Eficiente en ejercicio de su función consultiva constituyen criterios de interpretación sobre normas de carácter general aplicables al Sistema de Compra Pública. No obstante, de conformidad con el artículo 28 de la Ley 1437 de 2011, los conceptos emitidos por las autoridades en respuesta a consultas no son de obligatorio cumplimiento o ejecución y, por tanto, carecen de efectos vinculantes. En esa medida, constituyen una posición jurídica institucional que orienta a los partícipes del sistema, sin perjuicio de la autonomía de las entidades para adoptar sus decisiones y de la competencia que corresponde a las autoridades judiciales para resolver definitivamente las controversias sobre interpretación y aplicación del ordenamiento jurídico.</w:t>
      </w:r>
    </w:p>
    <w:p w14:paraId="535C6F45" w14:textId="77777777" w:rsidR="009270B3" w:rsidRPr="00C24209" w:rsidRDefault="009270B3" w:rsidP="009270B3">
      <w:pPr>
        <w:spacing w:after="0" w:line="240" w:lineRule="auto"/>
        <w:jc w:val="both"/>
        <w:rPr>
          <w:rFonts w:ascii="Verdana" w:eastAsia="Times New Roman" w:hAnsi="Verdana" w:cs="Arial"/>
          <w:b/>
          <w:bCs/>
          <w:color w:val="000000" w:themeColor="text1"/>
          <w:lang w:eastAsia="es-ES_tradnl"/>
        </w:rPr>
      </w:pPr>
    </w:p>
    <w:p w14:paraId="1C258ED9" w14:textId="77777777" w:rsidR="009270B3" w:rsidRPr="00C24209" w:rsidRDefault="009270B3" w:rsidP="009270B3">
      <w:pPr>
        <w:spacing w:after="0" w:line="240" w:lineRule="auto"/>
        <w:jc w:val="both"/>
        <w:rPr>
          <w:rFonts w:ascii="Verdana" w:eastAsia="Times New Roman" w:hAnsi="Verdana" w:cs="Arial"/>
          <w:b/>
          <w:bCs/>
          <w:color w:val="000000" w:themeColor="text1"/>
          <w:lang w:eastAsia="es-ES_tradnl"/>
        </w:rPr>
      </w:pPr>
      <w:r w:rsidRPr="00C24209">
        <w:rPr>
          <w:rFonts w:ascii="Verdana" w:eastAsia="Times New Roman" w:hAnsi="Verdana" w:cs="Arial"/>
          <w:b/>
          <w:bCs/>
          <w:color w:val="000000" w:themeColor="text1"/>
          <w:lang w:eastAsia="es-ES_tradnl"/>
        </w:rPr>
        <w:t xml:space="preserve">DOCUMENTOS TIPO – Fundamento normativo – Obligatoriedad – Ámbito de aplicación – Entidades sometidas  </w:t>
      </w:r>
    </w:p>
    <w:p w14:paraId="67E5DA12" w14:textId="77777777" w:rsidR="009270B3" w:rsidRPr="00C24209" w:rsidRDefault="009270B3" w:rsidP="009270B3">
      <w:pPr>
        <w:spacing w:after="0" w:line="240" w:lineRule="auto"/>
        <w:jc w:val="both"/>
        <w:rPr>
          <w:rFonts w:ascii="Verdana" w:eastAsia="Times New Roman" w:hAnsi="Verdana" w:cs="Arial"/>
          <w:b/>
          <w:bCs/>
          <w:color w:val="000000" w:themeColor="text1"/>
          <w:sz w:val="20"/>
          <w:szCs w:val="20"/>
          <w:lang w:eastAsia="es-ES_tradnl"/>
        </w:rPr>
      </w:pPr>
    </w:p>
    <w:p w14:paraId="77EBCA10" w14:textId="77777777" w:rsidR="009270B3" w:rsidRPr="00C24209" w:rsidRDefault="009270B3" w:rsidP="009270B3">
      <w:pPr>
        <w:spacing w:after="0" w:line="240" w:lineRule="auto"/>
        <w:jc w:val="both"/>
        <w:rPr>
          <w:rFonts w:ascii="Verdana" w:eastAsia="Calibri" w:hAnsi="Verdana" w:cs="Arial"/>
          <w:color w:val="000000" w:themeColor="text1"/>
          <w:sz w:val="20"/>
          <w:szCs w:val="20"/>
          <w:lang w:val="es-ES_tradnl" w:eastAsia="es-ES"/>
        </w:rPr>
      </w:pPr>
      <w:r w:rsidRPr="00C24209">
        <w:rPr>
          <w:rFonts w:ascii="Verdana" w:eastAsia="Calibri" w:hAnsi="Verdana" w:cs="Arial"/>
          <w:color w:val="000000" w:themeColor="text1"/>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C24209">
        <w:rPr>
          <w:rFonts w:ascii="Verdana" w:eastAsia="Calibri" w:hAnsi="Verdana" w:cs="Arial"/>
          <w:bCs/>
          <w:color w:val="000000" w:themeColor="text1"/>
          <w:sz w:val="20"/>
          <w:szCs w:val="20"/>
          <w:lang w:val="es-ES_tradnl" w:eastAsia="es-ES_tradnl"/>
        </w:rPr>
        <w:t>EGCAP</w:t>
      </w:r>
      <w:r w:rsidRPr="00C24209">
        <w:rPr>
          <w:rFonts w:ascii="Verdana" w:eastAsia="Calibri" w:hAnsi="Verdana" w:cs="Arial"/>
          <w:color w:val="000000" w:themeColor="text1"/>
          <w:sz w:val="20"/>
          <w:szCs w:val="20"/>
          <w:lang w:val="es-ES_tradnl" w:eastAsia="es-ES"/>
        </w:rPr>
        <w:t xml:space="preserve">, se atribuyó a la </w:t>
      </w:r>
      <w:r w:rsidRPr="00C24209">
        <w:rPr>
          <w:rFonts w:ascii="Verdana" w:eastAsia="Calibri" w:hAnsi="Verdana" w:cs="Arial"/>
          <w:color w:val="000000" w:themeColor="text1"/>
          <w:sz w:val="20"/>
          <w:szCs w:val="20"/>
          <w:lang w:val="es-ES_tradnl" w:eastAsia="es-ES_tradnl"/>
        </w:rPr>
        <w:t xml:space="preserve">Agencia Nacional de Contratación Pública – Colombia Compra Eficiente la competencia para su expedición. </w:t>
      </w:r>
    </w:p>
    <w:p w14:paraId="2BB3CCBD" w14:textId="77777777" w:rsidR="009270B3" w:rsidRPr="00C24209" w:rsidRDefault="009270B3" w:rsidP="009270B3">
      <w:pPr>
        <w:spacing w:after="0" w:line="240" w:lineRule="auto"/>
        <w:jc w:val="both"/>
        <w:rPr>
          <w:rFonts w:ascii="Verdana" w:eastAsia="Calibri" w:hAnsi="Verdana" w:cs="Arial"/>
          <w:color w:val="000000" w:themeColor="text1"/>
          <w:sz w:val="20"/>
          <w:szCs w:val="20"/>
          <w:lang w:val="es-ES_tradnl" w:eastAsia="es-ES"/>
        </w:rPr>
      </w:pPr>
    </w:p>
    <w:p w14:paraId="2BC22AFB" w14:textId="77777777" w:rsidR="009270B3" w:rsidRPr="00C24209" w:rsidRDefault="009270B3" w:rsidP="009270B3">
      <w:pPr>
        <w:spacing w:after="0" w:line="240" w:lineRule="auto"/>
        <w:jc w:val="both"/>
        <w:rPr>
          <w:rFonts w:ascii="Verdana" w:eastAsia="Calibri" w:hAnsi="Verdana" w:cs="Arial"/>
          <w:color w:val="000000" w:themeColor="text1"/>
          <w:sz w:val="20"/>
          <w:szCs w:val="20"/>
          <w:lang w:eastAsia="es-MX"/>
        </w:rPr>
      </w:pPr>
      <w:r w:rsidRPr="00C24209">
        <w:rPr>
          <w:rFonts w:ascii="Verdana" w:eastAsia="Calibri" w:hAnsi="Verdana" w:cs="Arial"/>
          <w:color w:val="000000" w:themeColor="text1"/>
          <w:sz w:val="20"/>
          <w:szCs w:val="20"/>
          <w:lang w:eastAsia="es-ES_tradnl"/>
        </w:rPr>
        <w:t xml:space="preserve">De acuerdo con lo expuesto, </w:t>
      </w:r>
      <w:r w:rsidRPr="00C24209">
        <w:rPr>
          <w:rFonts w:ascii="Verdana" w:eastAsia="Calibri" w:hAnsi="Verdana" w:cs="Arial"/>
          <w:color w:val="000000" w:themeColor="text1"/>
          <w:sz w:val="20"/>
          <w:szCs w:val="20"/>
          <w:bdr w:val="none" w:sz="0" w:space="0" w:color="auto" w:frame="1"/>
          <w:lang w:eastAsia="es-ES_tradnl"/>
        </w:rPr>
        <w:t xml:space="preserve">los Documentos Tipo adoptados son obligatorios para las Entidades Estatales regidas por el </w:t>
      </w:r>
      <w:r w:rsidRPr="00C24209">
        <w:rPr>
          <w:rFonts w:ascii="Verdana" w:eastAsia="Calibri" w:hAnsi="Verdana" w:cs="Arial"/>
          <w:bCs/>
          <w:color w:val="000000" w:themeColor="text1"/>
          <w:sz w:val="20"/>
          <w:szCs w:val="20"/>
          <w:lang w:val="es-ES_tradnl" w:eastAsia="es-ES_tradnl"/>
        </w:rPr>
        <w:t>EGCAP</w:t>
      </w:r>
      <w:r w:rsidRPr="00C24209">
        <w:rPr>
          <w:rFonts w:ascii="Verdana" w:eastAsia="Calibri" w:hAnsi="Verdana" w:cs="Arial"/>
          <w:color w:val="000000" w:themeColor="text1"/>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C24209">
        <w:rPr>
          <w:rFonts w:ascii="Verdana" w:eastAsia="Calibri" w:hAnsi="Verdana" w:cs="Arial"/>
          <w:color w:val="000000" w:themeColor="text1"/>
          <w:sz w:val="20"/>
          <w:szCs w:val="20"/>
          <w:lang w:eastAsia="es-MX"/>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w:t>
      </w:r>
    </w:p>
    <w:p w14:paraId="52F79B20" w14:textId="77777777" w:rsidR="009270B3" w:rsidRPr="00C24209" w:rsidRDefault="009270B3" w:rsidP="009270B3">
      <w:pPr>
        <w:spacing w:after="0" w:line="240" w:lineRule="auto"/>
        <w:jc w:val="both"/>
        <w:rPr>
          <w:rFonts w:ascii="Verdana" w:eastAsia="Times New Roman" w:hAnsi="Verdana" w:cs="Arial"/>
          <w:b/>
          <w:bCs/>
          <w:color w:val="000000" w:themeColor="text1"/>
          <w:sz w:val="24"/>
          <w:szCs w:val="24"/>
          <w:lang w:eastAsia="es-ES_tradnl"/>
        </w:rPr>
      </w:pPr>
    </w:p>
    <w:p w14:paraId="00070075" w14:textId="77777777" w:rsidR="009270B3" w:rsidRPr="00C24209" w:rsidRDefault="009270B3" w:rsidP="009270B3">
      <w:pPr>
        <w:spacing w:after="0" w:line="240" w:lineRule="auto"/>
        <w:jc w:val="both"/>
        <w:rPr>
          <w:rFonts w:ascii="Verdana" w:eastAsia="Calibri" w:hAnsi="Verdana" w:cs="Arial"/>
          <w:b/>
          <w:color w:val="000000" w:themeColor="text1"/>
          <w:lang w:val="es-ES_tradnl" w:eastAsia="es-ES_tradnl"/>
        </w:rPr>
      </w:pPr>
      <w:r w:rsidRPr="00C24209">
        <w:rPr>
          <w:rFonts w:ascii="Verdana" w:eastAsia="Calibri" w:hAnsi="Verdana" w:cs="Arial"/>
          <w:b/>
          <w:color w:val="000000" w:themeColor="text1"/>
          <w:lang w:val="es-ES_tradnl" w:eastAsia="es-ES_tradnl"/>
        </w:rPr>
        <w:t>LEY 2195 DE 2022 – Artículo 56 – Personas jurídicas de derecho privado – Documentos tipo – Estatuto General de Contratación de la Administración Pública</w:t>
      </w:r>
    </w:p>
    <w:p w14:paraId="27A93636" w14:textId="77777777" w:rsidR="009270B3" w:rsidRPr="00C24209" w:rsidRDefault="009270B3" w:rsidP="009270B3">
      <w:pPr>
        <w:spacing w:after="0" w:line="240" w:lineRule="auto"/>
        <w:jc w:val="both"/>
        <w:rPr>
          <w:rFonts w:ascii="Verdana" w:eastAsia="Calibri" w:hAnsi="Verdana" w:cs="Arial"/>
          <w:b/>
          <w:color w:val="000000" w:themeColor="text1"/>
          <w:sz w:val="24"/>
          <w:szCs w:val="24"/>
          <w:lang w:val="es-ES_tradnl" w:eastAsia="es-ES_tradnl"/>
        </w:rPr>
      </w:pPr>
    </w:p>
    <w:p w14:paraId="219187D1" w14:textId="77777777" w:rsidR="009270B3" w:rsidRPr="00C24209" w:rsidRDefault="009270B3" w:rsidP="009270B3">
      <w:pPr>
        <w:spacing w:after="0" w:line="240" w:lineRule="auto"/>
        <w:jc w:val="both"/>
        <w:rPr>
          <w:rFonts w:ascii="Verdana" w:eastAsia="Times New Roman" w:hAnsi="Verdana" w:cs="Arial"/>
          <w:noProof/>
          <w:color w:val="000000" w:themeColor="text1"/>
          <w:sz w:val="20"/>
          <w:szCs w:val="20"/>
          <w:lang w:val="es-ES_tradnl" w:eastAsia="es-ES_tradnl"/>
        </w:rPr>
      </w:pPr>
      <w:r w:rsidRPr="00C24209">
        <w:rPr>
          <w:rFonts w:ascii="Verdana" w:eastAsia="Calibri" w:hAnsi="Verdana" w:cs="Arial"/>
          <w:color w:val="000000" w:themeColor="text1"/>
          <w:sz w:val="20"/>
          <w:szCs w:val="20"/>
          <w:lang w:val="es-ES_tradnl" w:eastAsia="es-ES"/>
        </w:rPr>
        <w:t xml:space="preserve">(…) </w:t>
      </w:r>
      <w:r w:rsidRPr="00C24209">
        <w:rPr>
          <w:rFonts w:ascii="Verdana" w:eastAsia="Times New Roman" w:hAnsi="Verdana" w:cs="Arial"/>
          <w:noProof/>
          <w:color w:val="000000" w:themeColor="text1"/>
          <w:sz w:val="20"/>
          <w:szCs w:val="20"/>
          <w:lang w:val="es-ES_tradnl" w:eastAsia="es-ES_tradnl"/>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w:t>
      </w:r>
      <w:r w:rsidRPr="00C24209">
        <w:rPr>
          <w:rFonts w:ascii="Verdana" w:eastAsia="Times New Roman" w:hAnsi="Verdana" w:cs="Arial"/>
          <w:noProof/>
          <w:color w:val="000000" w:themeColor="text1"/>
          <w:sz w:val="20"/>
          <w:szCs w:val="20"/>
          <w:lang w:val="es-ES_tradnl" w:eastAsia="es-ES_tradnl"/>
        </w:rPr>
        <w:lastRenderedPageBreak/>
        <w:t>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67142800" w14:textId="77777777" w:rsidR="009270B3" w:rsidRPr="00C24209" w:rsidRDefault="009270B3" w:rsidP="009270B3">
      <w:pPr>
        <w:spacing w:after="0" w:line="240" w:lineRule="auto"/>
        <w:jc w:val="both"/>
        <w:rPr>
          <w:rFonts w:ascii="Verdana" w:eastAsia="Times New Roman" w:hAnsi="Verdana" w:cs="Arial"/>
          <w:noProof/>
          <w:color w:val="000000" w:themeColor="text1"/>
          <w:sz w:val="24"/>
          <w:szCs w:val="24"/>
          <w:lang w:val="es-ES_tradnl" w:eastAsia="es-ES_tradnl"/>
        </w:rPr>
      </w:pPr>
    </w:p>
    <w:p w14:paraId="0B4F885B" w14:textId="77777777" w:rsidR="009270B3" w:rsidRPr="00C24209" w:rsidRDefault="009270B3" w:rsidP="009270B3">
      <w:pPr>
        <w:tabs>
          <w:tab w:val="left" w:pos="0"/>
        </w:tabs>
        <w:spacing w:after="0" w:line="240" w:lineRule="auto"/>
        <w:jc w:val="both"/>
        <w:rPr>
          <w:rFonts w:ascii="Verdana" w:eastAsia="Calibri" w:hAnsi="Verdana" w:cs="Arial"/>
          <w:b/>
          <w:color w:val="000000" w:themeColor="text1"/>
          <w:lang w:val="es-ES_tradnl" w:eastAsia="es-ES_tradnl"/>
        </w:rPr>
      </w:pPr>
      <w:r w:rsidRPr="00C24209">
        <w:rPr>
          <w:rFonts w:ascii="Verdana" w:eastAsia="Calibri" w:hAnsi="Verdana" w:cs="Arial"/>
          <w:b/>
          <w:color w:val="000000" w:themeColor="text1"/>
          <w:lang w:val="es-ES_tradnl" w:eastAsia="es-ES_tradnl"/>
        </w:rPr>
        <w:t xml:space="preserve">LEY 2195 DE 2022 – Artículo 56 – Parágrafo – Alcance </w:t>
      </w:r>
    </w:p>
    <w:p w14:paraId="052EC44F" w14:textId="77777777" w:rsidR="009270B3" w:rsidRPr="00C24209" w:rsidRDefault="009270B3" w:rsidP="009270B3">
      <w:pPr>
        <w:tabs>
          <w:tab w:val="left" w:pos="0"/>
        </w:tabs>
        <w:spacing w:after="0" w:line="240" w:lineRule="auto"/>
        <w:jc w:val="both"/>
        <w:rPr>
          <w:rFonts w:ascii="Arial" w:eastAsia="Times New Roman" w:hAnsi="Arial" w:cs="Arial"/>
          <w:noProof/>
          <w:color w:val="000000" w:themeColor="text1"/>
          <w:sz w:val="24"/>
          <w:szCs w:val="24"/>
          <w:lang w:val="es-ES_tradnl" w:eastAsia="es-ES_tradnl"/>
        </w:rPr>
      </w:pPr>
    </w:p>
    <w:p w14:paraId="6E2DB57B" w14:textId="77777777" w:rsidR="009270B3" w:rsidRPr="00C24209" w:rsidRDefault="009270B3" w:rsidP="009270B3">
      <w:pPr>
        <w:tabs>
          <w:tab w:val="left" w:pos="0"/>
        </w:tabs>
        <w:spacing w:after="0" w:line="240" w:lineRule="auto"/>
        <w:jc w:val="both"/>
        <w:rPr>
          <w:rFonts w:ascii="Arial" w:eastAsia="Calibri" w:hAnsi="Arial" w:cs="Arial"/>
          <w:bCs/>
          <w:color w:val="000000" w:themeColor="text1"/>
          <w:sz w:val="20"/>
          <w:szCs w:val="20"/>
          <w:lang w:val="es-ES_tradnl" w:eastAsia="es-MX"/>
        </w:rPr>
      </w:pPr>
      <w:r w:rsidRPr="00C24209">
        <w:rPr>
          <w:rFonts w:ascii="Verdana" w:eastAsia="Times New Roman" w:hAnsi="Verdana" w:cs="Arial"/>
          <w:color w:val="000000" w:themeColor="text1"/>
          <w:sz w:val="20"/>
          <w:szCs w:val="20"/>
          <w:lang w:eastAsia="es-MX"/>
        </w:rPr>
        <w:t xml:space="preserve">En este contexto, </w:t>
      </w:r>
      <w:r w:rsidRPr="00C24209">
        <w:rPr>
          <w:rFonts w:ascii="Verdana" w:eastAsia="Calibri" w:hAnsi="Verdana" w:cs="Arial"/>
          <w:bCs/>
          <w:color w:val="000000" w:themeColor="text1"/>
          <w:sz w:val="20"/>
          <w:szCs w:val="20"/>
          <w:lang w:val="es-ES_tradnl" w:eastAsia="es-ES_tradnl"/>
        </w:rPr>
        <w:t>de la lectura conjunta de los incisos primero y segundo</w:t>
      </w:r>
      <w:r w:rsidRPr="00C24209">
        <w:rPr>
          <w:rFonts w:ascii="Verdana" w:eastAsia="Calibri" w:hAnsi="Verdana" w:cs="Arial"/>
          <w:bCs/>
          <w:color w:val="000000" w:themeColor="text1"/>
          <w:sz w:val="20"/>
          <w:szCs w:val="20"/>
          <w:lang w:eastAsia="es-ES_tradnl"/>
        </w:rPr>
        <w:t xml:space="preserve"> del artículo 56 de la Ley 2195 de 2022,</w:t>
      </w:r>
      <w:r w:rsidRPr="00C24209">
        <w:rPr>
          <w:rFonts w:ascii="Verdana" w:eastAsia="Calibri" w:hAnsi="Verdana" w:cs="Arial"/>
          <w:bCs/>
          <w:color w:val="000000" w:themeColor="text1"/>
          <w:sz w:val="20"/>
          <w:szCs w:val="20"/>
          <w:lang w:val="es-ES_tradnl" w:eastAsia="es-ES_tradnl"/>
        </w:rPr>
        <w:t xml:space="preserve"> se desprende que </w:t>
      </w:r>
      <w:r w:rsidRPr="00C24209">
        <w:rPr>
          <w:rFonts w:ascii="Verdana" w:eastAsia="Calibri" w:hAnsi="Verdana" w:cs="Arial"/>
          <w:bCs/>
          <w:color w:val="000000" w:themeColor="text1"/>
          <w:sz w:val="20"/>
          <w:szCs w:val="20"/>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C24209">
        <w:rPr>
          <w:rFonts w:ascii="Arial" w:eastAsia="Calibri" w:hAnsi="Arial" w:cs="Arial"/>
          <w:bCs/>
          <w:color w:val="000000" w:themeColor="text1"/>
          <w:sz w:val="20"/>
          <w:szCs w:val="20"/>
          <w:lang w:val="es-ES_tradnl" w:eastAsia="es-MX"/>
        </w:rPr>
        <w:t xml:space="preserve"> </w:t>
      </w:r>
      <w:r w:rsidRPr="00C24209">
        <w:rPr>
          <w:rFonts w:ascii="Verdana" w:eastAsia="Calibri" w:hAnsi="Verdana" w:cs="Arial"/>
          <w:bCs/>
          <w:color w:val="000000" w:themeColor="text1"/>
          <w:sz w:val="20"/>
          <w:szCs w:val="20"/>
          <w:lang w:val="es-ES_tradnl" w:eastAsia="es-MX"/>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6A982505" w14:textId="77777777" w:rsidR="009270B3" w:rsidRPr="00C24209" w:rsidRDefault="009270B3" w:rsidP="009270B3">
      <w:pPr>
        <w:tabs>
          <w:tab w:val="left" w:pos="0"/>
        </w:tabs>
        <w:spacing w:after="0" w:line="240" w:lineRule="auto"/>
        <w:jc w:val="both"/>
        <w:rPr>
          <w:rFonts w:ascii="Verdana" w:eastAsia="Calibri" w:hAnsi="Verdana" w:cs="Arial"/>
          <w:bCs/>
          <w:color w:val="000000" w:themeColor="text1"/>
          <w:sz w:val="20"/>
          <w:szCs w:val="20"/>
          <w:lang w:val="es-ES_tradnl" w:eastAsia="es-ES_tradnl"/>
        </w:rPr>
      </w:pPr>
    </w:p>
    <w:p w14:paraId="69D11BE3" w14:textId="77777777" w:rsidR="009270B3" w:rsidRPr="00C24209" w:rsidRDefault="009270B3" w:rsidP="009270B3">
      <w:pPr>
        <w:tabs>
          <w:tab w:val="left" w:pos="0"/>
        </w:tabs>
        <w:spacing w:after="0" w:line="240" w:lineRule="auto"/>
        <w:jc w:val="both"/>
        <w:rPr>
          <w:rFonts w:ascii="Verdana" w:eastAsia="Calibri" w:hAnsi="Verdana" w:cs="Arial"/>
          <w:bCs/>
          <w:color w:val="000000" w:themeColor="text1"/>
          <w:sz w:val="20"/>
          <w:szCs w:val="20"/>
          <w:lang w:val="es-ES_tradnl" w:eastAsia="es-ES_tradnl"/>
        </w:rPr>
      </w:pPr>
      <w:r w:rsidRPr="00C24209">
        <w:rPr>
          <w:rFonts w:ascii="Verdana" w:eastAsia="Calibri" w:hAnsi="Verdana" w:cs="Arial"/>
          <w:bCs/>
          <w:color w:val="000000" w:themeColor="text1"/>
          <w:sz w:val="20"/>
          <w:szCs w:val="20"/>
          <w:lang w:val="es-ES_tradnl" w:eastAsia="es-ES_tradnl"/>
        </w:rPr>
        <w:t>Sin perjuicio de lo anterior</w:t>
      </w:r>
      <w:r w:rsidRPr="00C24209">
        <w:rPr>
          <w:rFonts w:ascii="Verdana" w:eastAsia="Times New Roman" w:hAnsi="Verdana" w:cs="Arial"/>
          <w:color w:val="000000" w:themeColor="text1"/>
          <w:sz w:val="20"/>
          <w:szCs w:val="20"/>
          <w:lang w:eastAsia="es-ES_tradnl"/>
        </w:rPr>
        <w:t xml:space="preserve">, </w:t>
      </w:r>
      <w:r w:rsidRPr="00C24209">
        <w:rPr>
          <w:rFonts w:ascii="Verdana" w:eastAsia="Calibri" w:hAnsi="Verdana" w:cs="Arial"/>
          <w:bCs/>
          <w:color w:val="000000" w:themeColor="text1"/>
          <w:sz w:val="20"/>
          <w:szCs w:val="20"/>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C24209">
        <w:rPr>
          <w:rFonts w:ascii="Verdana" w:eastAsia="Calibri" w:hAnsi="Verdana" w:cs="Arial"/>
          <w:bCs/>
          <w:i/>
          <w:iCs/>
          <w:color w:val="000000" w:themeColor="text1"/>
          <w:sz w:val="20"/>
          <w:szCs w:val="20"/>
          <w:lang w:val="es-ES_tradnl" w:eastAsia="es-ES_tradnl"/>
        </w:rPr>
        <w:t>giro ordinario</w:t>
      </w:r>
      <w:r w:rsidRPr="00C24209">
        <w:rPr>
          <w:rFonts w:ascii="Verdana" w:eastAsia="Calibri" w:hAnsi="Verdana" w:cs="Arial"/>
          <w:bCs/>
          <w:color w:val="000000" w:themeColor="text1"/>
          <w:sz w:val="20"/>
          <w:szCs w:val="20"/>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C24209">
        <w:rPr>
          <w:rFonts w:ascii="Verdana" w:eastAsia="Calibri" w:hAnsi="Verdana" w:cs="Arial"/>
          <w:bCs/>
          <w:color w:val="000000" w:themeColor="text1"/>
          <w:sz w:val="20"/>
          <w:szCs w:val="20"/>
          <w:lang w:val="es-ES_tradnl" w:eastAsia="es-ES_tradnl"/>
        </w:rPr>
        <w:t>ii</w:t>
      </w:r>
      <w:proofErr w:type="spellEnd"/>
      <w:r w:rsidRPr="00C24209">
        <w:rPr>
          <w:rFonts w:ascii="Verdana" w:eastAsia="Calibri" w:hAnsi="Verdana" w:cs="Arial"/>
          <w:bCs/>
          <w:color w:val="000000" w:themeColor="text1"/>
          <w:sz w:val="20"/>
          <w:szCs w:val="20"/>
          <w:lang w:val="es-ES_tradnl" w:eastAsia="es-ES_tradnl"/>
        </w:rPr>
        <w:t xml:space="preserve">) las </w:t>
      </w:r>
      <w:r w:rsidRPr="00C24209">
        <w:rPr>
          <w:rFonts w:ascii="Verdana" w:eastAsia="Calibri" w:hAnsi="Verdana" w:cs="Arial"/>
          <w:bCs/>
          <w:i/>
          <w:iCs/>
          <w:color w:val="000000" w:themeColor="text1"/>
          <w:sz w:val="20"/>
          <w:szCs w:val="20"/>
          <w:lang w:val="es-ES_tradnl" w:eastAsia="es-ES_tradnl"/>
        </w:rPr>
        <w:t>empresas sociales del Estado</w:t>
      </w:r>
      <w:r w:rsidRPr="00C24209">
        <w:rPr>
          <w:rFonts w:ascii="Verdana" w:eastAsia="Calibri" w:hAnsi="Verdana" w:cs="Arial"/>
          <w:bCs/>
          <w:color w:val="000000" w:themeColor="text1"/>
          <w:sz w:val="20"/>
          <w:szCs w:val="20"/>
          <w:lang w:val="es-ES_tradnl" w:eastAsia="es-ES_tradnl"/>
        </w:rPr>
        <w:t xml:space="preserve">, </w:t>
      </w:r>
      <w:proofErr w:type="spellStart"/>
      <w:r w:rsidRPr="00C24209">
        <w:rPr>
          <w:rFonts w:ascii="Verdana" w:eastAsia="Calibri" w:hAnsi="Verdana" w:cs="Arial"/>
          <w:bCs/>
          <w:color w:val="000000" w:themeColor="text1"/>
          <w:sz w:val="20"/>
          <w:szCs w:val="20"/>
          <w:lang w:val="es-ES_tradnl" w:eastAsia="es-ES_tradnl"/>
        </w:rPr>
        <w:t>iii</w:t>
      </w:r>
      <w:proofErr w:type="spellEnd"/>
      <w:r w:rsidRPr="00C24209">
        <w:rPr>
          <w:rFonts w:ascii="Verdana" w:eastAsia="Calibri" w:hAnsi="Verdana" w:cs="Arial"/>
          <w:bCs/>
          <w:color w:val="000000" w:themeColor="text1"/>
          <w:sz w:val="20"/>
          <w:szCs w:val="20"/>
          <w:lang w:val="es-ES_tradnl" w:eastAsia="es-ES_tradnl"/>
        </w:rPr>
        <w:t xml:space="preserve">) las sociedades de economía mixta y </w:t>
      </w:r>
      <w:proofErr w:type="spellStart"/>
      <w:r w:rsidRPr="00C24209">
        <w:rPr>
          <w:rFonts w:ascii="Verdana" w:eastAsia="Calibri" w:hAnsi="Verdana" w:cs="Arial"/>
          <w:bCs/>
          <w:color w:val="000000" w:themeColor="text1"/>
          <w:sz w:val="20"/>
          <w:szCs w:val="20"/>
          <w:lang w:val="es-ES_tradnl" w:eastAsia="es-ES_tradnl"/>
        </w:rPr>
        <w:t>iv</w:t>
      </w:r>
      <w:proofErr w:type="spellEnd"/>
      <w:r w:rsidRPr="00C24209">
        <w:rPr>
          <w:rFonts w:ascii="Verdana" w:eastAsia="Calibri" w:hAnsi="Verdana" w:cs="Arial"/>
          <w:bCs/>
          <w:color w:val="000000" w:themeColor="text1"/>
          <w:sz w:val="20"/>
          <w:szCs w:val="20"/>
          <w:lang w:val="es-ES_tradnl" w:eastAsia="es-ES_tradnl"/>
        </w:rPr>
        <w:t xml:space="preserve">) las empresas industriales y comerciales del Estado, únicamente, en la contratación relacionada con el </w:t>
      </w:r>
      <w:r w:rsidRPr="00C24209">
        <w:rPr>
          <w:rFonts w:ascii="Verdana" w:eastAsia="Calibri" w:hAnsi="Verdana" w:cs="Arial"/>
          <w:bCs/>
          <w:i/>
          <w:iCs/>
          <w:color w:val="000000" w:themeColor="text1"/>
          <w:sz w:val="20"/>
          <w:szCs w:val="20"/>
          <w:lang w:val="es-ES_tradnl" w:eastAsia="es-ES_tradnl"/>
        </w:rPr>
        <w:t>giro ordinario.</w:t>
      </w:r>
      <w:r w:rsidRPr="00C24209">
        <w:rPr>
          <w:rFonts w:ascii="Verdana" w:eastAsia="Calibri" w:hAnsi="Verdana" w:cs="Arial"/>
          <w:bCs/>
          <w:color w:val="000000" w:themeColor="text1"/>
          <w:sz w:val="20"/>
          <w:szCs w:val="20"/>
          <w:lang w:val="es-ES_tradnl" w:eastAsia="es-ES_tradnl"/>
        </w:rPr>
        <w:t xml:space="preserve"> Esto significa que, en la contratación asociada a su </w:t>
      </w:r>
      <w:r w:rsidRPr="00C24209">
        <w:rPr>
          <w:rFonts w:ascii="Verdana" w:eastAsia="Calibri" w:hAnsi="Verdana" w:cs="Arial"/>
          <w:bCs/>
          <w:i/>
          <w:iCs/>
          <w:color w:val="000000" w:themeColor="text1"/>
          <w:sz w:val="20"/>
          <w:szCs w:val="20"/>
          <w:lang w:val="es-ES_tradnl" w:eastAsia="es-ES_tradnl"/>
        </w:rPr>
        <w:t xml:space="preserve">giro ordinario, </w:t>
      </w:r>
      <w:r w:rsidRPr="00C24209">
        <w:rPr>
          <w:rFonts w:ascii="Verdana" w:eastAsia="Calibri" w:hAnsi="Verdana" w:cs="Arial"/>
          <w:bCs/>
          <w:color w:val="000000" w:themeColor="text1"/>
          <w:sz w:val="20"/>
          <w:szCs w:val="20"/>
          <w:lang w:val="es-ES_tradnl" w:eastAsia="es-ES_tradnl"/>
        </w:rPr>
        <w:t>estos tipos de entidades no tendrían que aplicar, de manera obligatoria, los Documentos Tipo, ni tampoco el EGCAP.</w:t>
      </w:r>
      <w:r w:rsidRPr="00C24209">
        <w:rPr>
          <w:rFonts w:ascii="Verdana" w:eastAsia="Times New Roman" w:hAnsi="Verdana" w:cs="Arial"/>
          <w:color w:val="000000" w:themeColor="text1"/>
          <w:sz w:val="20"/>
          <w:szCs w:val="20"/>
          <w:lang w:eastAsia="es-ES_tradnl"/>
        </w:rPr>
        <w:t xml:space="preserve"> </w:t>
      </w:r>
      <w:r w:rsidRPr="00C24209">
        <w:rPr>
          <w:rFonts w:ascii="Verdana" w:eastAsia="Calibri" w:hAnsi="Verdana" w:cs="Arial"/>
          <w:bCs/>
          <w:color w:val="000000" w:themeColor="text1"/>
          <w:sz w:val="20"/>
          <w:szCs w:val="20"/>
          <w:lang w:val="es-ES_tradnl" w:eastAsia="es-ES_tradnl"/>
        </w:rPr>
        <w:t xml:space="preserve">En este caso, la norma se limita a fomentar la implementación de Documentos Tipo a modo de buena práctica contractual, en los casos en los que se estime conveniente. </w:t>
      </w:r>
    </w:p>
    <w:p w14:paraId="1627C2F6" w14:textId="77777777" w:rsidR="009270B3" w:rsidRPr="00C24209" w:rsidRDefault="009270B3" w:rsidP="009270B3">
      <w:pPr>
        <w:spacing w:after="0" w:line="240" w:lineRule="auto"/>
        <w:jc w:val="both"/>
        <w:rPr>
          <w:rFonts w:ascii="Verdana" w:eastAsia="Calibri" w:hAnsi="Verdana" w:cs="Arial"/>
          <w:b/>
          <w:bCs/>
          <w:color w:val="000000" w:themeColor="text1"/>
          <w:lang w:val="es-ES_tradnl" w:eastAsia="es-MX"/>
        </w:rPr>
      </w:pPr>
    </w:p>
    <w:p w14:paraId="0E6F15A3" w14:textId="77777777" w:rsidR="009270B3" w:rsidRPr="00C24209" w:rsidRDefault="009270B3" w:rsidP="009270B3">
      <w:pPr>
        <w:tabs>
          <w:tab w:val="left" w:pos="0"/>
        </w:tabs>
        <w:spacing w:after="0" w:line="240" w:lineRule="auto"/>
        <w:jc w:val="both"/>
        <w:rPr>
          <w:rFonts w:ascii="Verdana" w:eastAsia="Calibri" w:hAnsi="Verdana" w:cs="Arial"/>
          <w:b/>
          <w:color w:val="000000" w:themeColor="text1"/>
          <w:kern w:val="2"/>
          <w:szCs w:val="24"/>
          <w:lang w:val="es-ES_tradnl"/>
          <w14:ligatures w14:val="standardContextual"/>
        </w:rPr>
      </w:pPr>
      <w:r w:rsidRPr="00C24209">
        <w:rPr>
          <w:rFonts w:ascii="Verdana" w:eastAsia="Calibri" w:hAnsi="Verdana" w:cs="Arial"/>
          <w:b/>
          <w:color w:val="000000" w:themeColor="text1"/>
          <w:kern w:val="2"/>
          <w:szCs w:val="24"/>
          <w:lang w:val="es-ES_tradnl"/>
          <w14:ligatures w14:val="standardContextual"/>
        </w:rPr>
        <w:t xml:space="preserve">INSTITUCIONES DE EDUCACIÓN SUPERIOR PÚBLICAS – Excepciones – Artículo 56 – Clasificación – Interpretación </w:t>
      </w:r>
    </w:p>
    <w:p w14:paraId="569DBF84" w14:textId="77777777" w:rsidR="009270B3" w:rsidRPr="00C24209" w:rsidRDefault="009270B3" w:rsidP="009270B3">
      <w:pPr>
        <w:spacing w:after="0" w:line="240" w:lineRule="auto"/>
        <w:jc w:val="both"/>
        <w:rPr>
          <w:rFonts w:ascii="Arial" w:eastAsia="Aptos" w:hAnsi="Arial" w:cs="Arial"/>
          <w:noProof/>
          <w:color w:val="000000" w:themeColor="text1"/>
          <w:kern w:val="2"/>
          <w:sz w:val="20"/>
          <w:szCs w:val="20"/>
          <w:lang w:val="es-ES_tradnl"/>
          <w14:ligatures w14:val="standardContextual"/>
        </w:rPr>
      </w:pPr>
    </w:p>
    <w:p w14:paraId="7CC918B8" w14:textId="77777777" w:rsidR="009270B3" w:rsidRPr="00C24209" w:rsidRDefault="009270B3" w:rsidP="009270B3">
      <w:pPr>
        <w:spacing w:after="0" w:line="240" w:lineRule="auto"/>
        <w:jc w:val="both"/>
        <w:rPr>
          <w:rFonts w:ascii="Verdana" w:eastAsia="Aptos" w:hAnsi="Verdana" w:cs="Arial"/>
          <w:bCs/>
          <w:noProof/>
          <w:color w:val="000000" w:themeColor="text1"/>
          <w:kern w:val="2"/>
          <w:sz w:val="20"/>
          <w:szCs w:val="20"/>
          <w14:ligatures w14:val="standardContextual"/>
        </w:rPr>
      </w:pPr>
      <w:r w:rsidRPr="00C24209">
        <w:rPr>
          <w:rFonts w:ascii="Verdana" w:eastAsia="Aptos" w:hAnsi="Verdana" w:cs="Arial"/>
          <w:noProof/>
          <w:color w:val="000000" w:themeColor="text1"/>
          <w:kern w:val="2"/>
          <w:sz w:val="20"/>
          <w:szCs w:val="20"/>
          <w:lang w:val="es-ES_tradnl"/>
          <w14:ligatures w14:val="standardContextual"/>
        </w:rPr>
        <w:t xml:space="preserve">(…) </w:t>
      </w:r>
      <w:r w:rsidRPr="00C24209">
        <w:rPr>
          <w:rFonts w:ascii="Verdana" w:eastAsia="Aptos" w:hAnsi="Verdana" w:cs="Arial"/>
          <w:noProof/>
          <w:color w:val="000000" w:themeColor="text1"/>
          <w:kern w:val="2"/>
          <w:sz w:val="20"/>
          <w:szCs w:val="20"/>
          <w:lang w:val="es-MX"/>
          <w14:ligatures w14:val="standardContextual"/>
        </w:rPr>
        <w:t>la Ley 30 de 1992 regula aspectos como la naturaleza jurídica de las universidades estatales y oficiales, la forma de organizarse y su régimen de contratación. En el artículo 57 se evidencia dos tipos de instituciones de educación superior públicas: i) las universidades</w:t>
      </w:r>
      <w:r w:rsidRPr="00C24209">
        <w:rPr>
          <w:rFonts w:ascii="Verdana" w:eastAsia="Aptos" w:hAnsi="Verdana" w:cs="Arial"/>
          <w:bCs/>
          <w:noProof/>
          <w:color w:val="000000" w:themeColor="text1"/>
          <w:kern w:val="2"/>
          <w:sz w:val="20"/>
          <w:szCs w:val="20"/>
          <w14:ligatures w14:val="standardContextual"/>
        </w:rPr>
        <w:t xml:space="preserve"> estatales u oficiales que deben organizarse como entes universitarios autónomos, con régimen especial</w:t>
      </w:r>
      <w:r w:rsidRPr="00C24209">
        <w:rPr>
          <w:rFonts w:ascii="Verdana" w:eastAsia="Aptos" w:hAnsi="Verdana" w:cs="Arial"/>
          <w:noProof/>
          <w:color w:val="000000" w:themeColor="text1"/>
          <w:kern w:val="2"/>
          <w:sz w:val="20"/>
          <w:szCs w:val="20"/>
          <w14:ligatures w14:val="standardContextual"/>
        </w:rPr>
        <w:t xml:space="preserve">, </w:t>
      </w:r>
      <w:r w:rsidRPr="00C24209">
        <w:rPr>
          <w:rFonts w:ascii="Verdana" w:eastAsia="Aptos" w:hAnsi="Verdana" w:cs="Arial"/>
          <w:bCs/>
          <w:noProof/>
          <w:color w:val="000000" w:themeColor="text1"/>
          <w:kern w:val="2"/>
          <w:sz w:val="20"/>
          <w:szCs w:val="20"/>
          <w14:ligatures w14:val="standardContextual"/>
        </w:rPr>
        <w:t xml:space="preserve">vinculados al Ministerio de Educación Nacional en lo que se refiere a las políticas y la planeación del sector educativo y ii) las instituciones estatales u oficiales de educación superior que no tengan el carácter de universidad, que deberán organizarse como establecimientos públicos del orden nacional, departamental, distrital o municipa. </w:t>
      </w:r>
    </w:p>
    <w:p w14:paraId="49C64F04" w14:textId="77777777" w:rsidR="009270B3" w:rsidRPr="00C24209" w:rsidRDefault="009270B3" w:rsidP="009270B3">
      <w:pPr>
        <w:spacing w:after="0" w:line="240" w:lineRule="auto"/>
        <w:jc w:val="both"/>
        <w:rPr>
          <w:rFonts w:ascii="Verdana" w:eastAsia="Aptos" w:hAnsi="Verdana" w:cs="Arial"/>
          <w:bCs/>
          <w:noProof/>
          <w:color w:val="000000" w:themeColor="text1"/>
          <w:kern w:val="2"/>
          <w:sz w:val="20"/>
          <w:szCs w:val="20"/>
          <w14:ligatures w14:val="standardContextual"/>
        </w:rPr>
      </w:pPr>
    </w:p>
    <w:p w14:paraId="57D2362D" w14:textId="77777777" w:rsidR="009270B3" w:rsidRPr="00C24209" w:rsidRDefault="009270B3" w:rsidP="009270B3">
      <w:pPr>
        <w:spacing w:after="0" w:line="240" w:lineRule="auto"/>
        <w:jc w:val="both"/>
        <w:rPr>
          <w:rFonts w:ascii="Verdana" w:eastAsia="Aptos" w:hAnsi="Verdana" w:cs="Arial"/>
          <w:bCs/>
          <w:noProof/>
          <w:color w:val="000000" w:themeColor="text1"/>
          <w:kern w:val="2"/>
          <w:sz w:val="20"/>
          <w:szCs w:val="20"/>
          <w14:ligatures w14:val="standardContextual"/>
        </w:rPr>
      </w:pPr>
      <w:r w:rsidRPr="00C24209">
        <w:rPr>
          <w:rFonts w:ascii="Verdana" w:eastAsia="Aptos" w:hAnsi="Verdana" w:cs="Arial"/>
          <w:bCs/>
          <w:noProof/>
          <w:color w:val="000000" w:themeColor="text1"/>
          <w:kern w:val="2"/>
          <w:sz w:val="20"/>
          <w:szCs w:val="20"/>
          <w14:ligatures w14:val="standardContextual"/>
        </w:rPr>
        <w:lastRenderedPageBreak/>
        <w:t xml:space="preserve">(…) </w:t>
      </w:r>
    </w:p>
    <w:p w14:paraId="36754180" w14:textId="77777777" w:rsidR="009270B3" w:rsidRPr="00C24209" w:rsidRDefault="009270B3" w:rsidP="009270B3">
      <w:pPr>
        <w:spacing w:after="0" w:line="240" w:lineRule="auto"/>
        <w:jc w:val="both"/>
        <w:rPr>
          <w:rFonts w:ascii="Verdana" w:eastAsia="Aptos" w:hAnsi="Verdana" w:cs="Arial"/>
          <w:bCs/>
          <w:noProof/>
          <w:color w:val="000000" w:themeColor="text1"/>
          <w:kern w:val="2"/>
          <w:sz w:val="20"/>
          <w:szCs w:val="20"/>
          <w14:ligatures w14:val="standardContextual"/>
        </w:rPr>
      </w:pPr>
    </w:p>
    <w:p w14:paraId="4B5EAD95" w14:textId="77777777" w:rsidR="009270B3" w:rsidRPr="00C24209" w:rsidRDefault="009270B3" w:rsidP="009270B3">
      <w:pPr>
        <w:spacing w:after="0" w:line="240" w:lineRule="auto"/>
        <w:jc w:val="both"/>
        <w:rPr>
          <w:rFonts w:ascii="Verdana" w:eastAsia="Aptos" w:hAnsi="Verdana" w:cs="Arial"/>
          <w:bCs/>
          <w:noProof/>
          <w:color w:val="000000" w:themeColor="text1"/>
          <w:kern w:val="2"/>
          <w:sz w:val="20"/>
          <w:szCs w:val="20"/>
          <w14:ligatures w14:val="standardContextual"/>
        </w:rPr>
      </w:pPr>
      <w:r w:rsidRPr="00C24209">
        <w:rPr>
          <w:rFonts w:ascii="Verdana" w:eastAsia="Aptos" w:hAnsi="Verdana" w:cs="Arial"/>
          <w:bCs/>
          <w:i/>
          <w:iCs/>
          <w:noProof/>
          <w:color w:val="000000" w:themeColor="text1"/>
          <w:kern w:val="2"/>
          <w:sz w:val="20"/>
          <w:szCs w:val="20"/>
          <w14:ligatures w14:val="standardContextual"/>
        </w:rPr>
        <w:t>Las primeras</w:t>
      </w:r>
      <w:r w:rsidRPr="00C24209">
        <w:rPr>
          <w:rFonts w:ascii="Verdana" w:eastAsia="Aptos" w:hAnsi="Verdana" w:cs="Arial"/>
          <w:bCs/>
          <w:noProof/>
          <w:color w:val="000000" w:themeColor="text1"/>
          <w:kern w:val="2"/>
          <w:sz w:val="20"/>
          <w:szCs w:val="20"/>
          <w14:ligatures w14:val="standardContextual"/>
        </w:rPr>
        <w:t>, esto es, las universidades estatales u oficiales organizadas como entes autónomos cuentan con régimen especial. En particular, los contratos que para el cumplimiento de sus funciones celebren se regirán por las normas del derecho privado y sus efectos estarán sujetos a las normas civiles y comerciales, según la naturaleza de los contratos.</w:t>
      </w:r>
    </w:p>
    <w:p w14:paraId="0A35FE0E" w14:textId="77777777" w:rsidR="009270B3" w:rsidRPr="00C24209" w:rsidRDefault="009270B3" w:rsidP="009270B3">
      <w:pPr>
        <w:spacing w:after="0" w:line="240" w:lineRule="auto"/>
        <w:jc w:val="both"/>
        <w:rPr>
          <w:rFonts w:ascii="Verdana" w:eastAsia="Aptos" w:hAnsi="Verdana" w:cs="Arial"/>
          <w:bCs/>
          <w:noProof/>
          <w:color w:val="000000" w:themeColor="text1"/>
          <w:kern w:val="2"/>
          <w:sz w:val="20"/>
          <w:szCs w:val="20"/>
          <w14:ligatures w14:val="standardContextual"/>
        </w:rPr>
      </w:pPr>
    </w:p>
    <w:p w14:paraId="54601928" w14:textId="77777777" w:rsidR="009270B3" w:rsidRPr="00C24209" w:rsidRDefault="009270B3" w:rsidP="009270B3">
      <w:pPr>
        <w:spacing w:after="0" w:line="240" w:lineRule="auto"/>
        <w:jc w:val="both"/>
        <w:rPr>
          <w:rFonts w:ascii="Verdana" w:eastAsia="Aptos" w:hAnsi="Verdana" w:cs="Arial"/>
          <w:bCs/>
          <w:noProof/>
          <w:color w:val="000000" w:themeColor="text1"/>
          <w:kern w:val="2"/>
          <w:sz w:val="20"/>
          <w:szCs w:val="20"/>
          <w14:ligatures w14:val="standardContextual"/>
        </w:rPr>
      </w:pPr>
      <w:r w:rsidRPr="00C24209">
        <w:rPr>
          <w:rFonts w:ascii="Verdana" w:eastAsia="Aptos" w:hAnsi="Verdana" w:cs="Arial"/>
          <w:bCs/>
          <w:noProof/>
          <w:color w:val="000000" w:themeColor="text1"/>
          <w:kern w:val="2"/>
          <w:sz w:val="20"/>
          <w:szCs w:val="20"/>
          <w14:ligatures w14:val="standardContextual"/>
        </w:rPr>
        <w:t xml:space="preserve">(…) </w:t>
      </w:r>
      <w:r w:rsidRPr="00C24209">
        <w:rPr>
          <w:rFonts w:ascii="Verdana" w:eastAsia="Aptos" w:hAnsi="Verdana" w:cs="Arial"/>
          <w:bCs/>
          <w:i/>
          <w:iCs/>
          <w:noProof/>
          <w:color w:val="000000" w:themeColor="text1"/>
          <w:kern w:val="2"/>
          <w:sz w:val="20"/>
          <w:szCs w:val="20"/>
          <w14:ligatures w14:val="standardContextual"/>
        </w:rPr>
        <w:t>Las segundas</w:t>
      </w:r>
      <w:r w:rsidRPr="00C24209">
        <w:rPr>
          <w:rFonts w:ascii="Verdana" w:eastAsia="Aptos" w:hAnsi="Verdana" w:cs="Arial"/>
          <w:bCs/>
          <w:noProof/>
          <w:color w:val="000000" w:themeColor="text1"/>
          <w:kern w:val="2"/>
          <w:sz w:val="20"/>
          <w:szCs w:val="20"/>
          <w14:ligatures w14:val="standardContextual"/>
        </w:rPr>
        <w:t xml:space="preserve">, es decir, las instituciones estatales u oficiales de educación superior que no tengan el carácter de universidad organizadas como establecimientos públicos, se rigen por las normas del Estatuto General de Contratación de la Administración Pública, de conformidad con lo señalado por el artículo 81 de la Ley 489 de 1998. </w:t>
      </w:r>
    </w:p>
    <w:p w14:paraId="05B1E49C" w14:textId="77777777" w:rsidR="009270B3" w:rsidRPr="00C24209" w:rsidRDefault="009270B3" w:rsidP="009270B3">
      <w:pPr>
        <w:spacing w:after="0" w:line="240" w:lineRule="auto"/>
        <w:jc w:val="both"/>
        <w:rPr>
          <w:rFonts w:ascii="Verdana" w:eastAsia="Aptos" w:hAnsi="Verdana" w:cs="Arial"/>
          <w:noProof/>
          <w:color w:val="000000" w:themeColor="text1"/>
          <w:kern w:val="2"/>
          <w:sz w:val="20"/>
          <w:szCs w:val="20"/>
          <w14:ligatures w14:val="standardContextual"/>
        </w:rPr>
      </w:pPr>
    </w:p>
    <w:p w14:paraId="149BD651" w14:textId="77777777" w:rsidR="009270B3" w:rsidRPr="00C24209" w:rsidRDefault="009270B3" w:rsidP="009270B3">
      <w:pPr>
        <w:spacing w:after="0" w:line="240" w:lineRule="auto"/>
        <w:jc w:val="both"/>
        <w:rPr>
          <w:rFonts w:ascii="Verdana" w:eastAsia="Aptos" w:hAnsi="Verdana" w:cs="Arial"/>
          <w:bCs/>
          <w:noProof/>
          <w:color w:val="000000" w:themeColor="text1"/>
          <w:kern w:val="2"/>
          <w:sz w:val="20"/>
          <w:szCs w:val="20"/>
          <w14:ligatures w14:val="standardContextual"/>
        </w:rPr>
      </w:pPr>
      <w:r w:rsidRPr="00C24209">
        <w:rPr>
          <w:rFonts w:ascii="Verdana" w:eastAsia="Aptos" w:hAnsi="Verdana" w:cs="Arial"/>
          <w:bCs/>
          <w:noProof/>
          <w:color w:val="000000" w:themeColor="text1"/>
          <w:kern w:val="2"/>
          <w:sz w:val="20"/>
          <w:szCs w:val="20"/>
          <w14:ligatures w14:val="standardContextual"/>
        </w:rPr>
        <w:t xml:space="preserve">Con base en estas consideraciones, es posible concluir que el parágrafo del artículo 56 de la Ley 2195 de 2022 únicamente resulta aplicable a las instituciones de educación superior públicas que cuentan con régimen especial y no a aquellas, como los establecimientos públicos, que tienen un régimen de contratación sometido a la Ley 80 de 1993. Esta postura se estima adecuada y se ajusta al propósito de la norma en la medida en que, como se explicó, </w:t>
      </w:r>
      <w:r w:rsidRPr="00C24209">
        <w:rPr>
          <w:rFonts w:ascii="Verdana" w:eastAsia="Aptos" w:hAnsi="Verdana" w:cs="Arial"/>
          <w:bCs/>
          <w:noProof/>
          <w:color w:val="000000" w:themeColor="text1"/>
          <w:kern w:val="2"/>
          <w:sz w:val="20"/>
          <w:szCs w:val="20"/>
          <w:lang w:val="es-ES_tradnl"/>
          <w14:ligatures w14:val="standardContextual"/>
        </w:rPr>
        <w:t>un efecto importante de esta norma es la ampliación del ámbito de aplicación de los documentos tipo, al hacerlos obligatorios para unos sujetos que, en principio, de acuerdo con la Ley 2022 de 2020, no estarían sometidos a esos documentos</w:t>
      </w:r>
      <w:r w:rsidRPr="00C24209">
        <w:rPr>
          <w:rFonts w:ascii="Verdana" w:eastAsia="Aptos" w:hAnsi="Verdana" w:cs="Arial"/>
          <w:bCs/>
          <w:noProof/>
          <w:color w:val="000000" w:themeColor="text1"/>
          <w:kern w:val="2"/>
          <w:sz w:val="20"/>
          <w:szCs w:val="20"/>
          <w14:ligatures w14:val="standardContextual"/>
        </w:rPr>
        <w:t xml:space="preserve">, tal como se explicó con anterioridad, lo que incluso se deriva del título del artículo 56 de la Ley 2195 de 2022 denominado “aplicación de los documentos tipo a entidades de régimen especial”. </w:t>
      </w:r>
    </w:p>
    <w:p w14:paraId="3979AA42" w14:textId="77777777" w:rsidR="009270B3" w:rsidRPr="00C24209" w:rsidRDefault="009270B3" w:rsidP="009270B3">
      <w:pPr>
        <w:spacing w:after="0" w:line="240" w:lineRule="auto"/>
        <w:jc w:val="both"/>
        <w:rPr>
          <w:rFonts w:ascii="Verdana" w:eastAsia="Aptos" w:hAnsi="Verdana" w:cs="Arial"/>
          <w:bCs/>
          <w:noProof/>
          <w:color w:val="000000" w:themeColor="text1"/>
          <w:kern w:val="2"/>
          <w:sz w:val="20"/>
          <w:szCs w:val="20"/>
          <w14:ligatures w14:val="standardContextual"/>
        </w:rPr>
      </w:pPr>
    </w:p>
    <w:p w14:paraId="0B856EBC" w14:textId="77777777" w:rsidR="009270B3" w:rsidRPr="00C24209" w:rsidRDefault="009270B3" w:rsidP="009270B3">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DOCUMENTOS TIPO – Fuente de la obligación – Ley 2022 de 2020 – Resolución 539 de 2025 – Ámbito material – Sujetos obligados</w:t>
      </w:r>
    </w:p>
    <w:p w14:paraId="18F5E416" w14:textId="77777777" w:rsidR="009270B3" w:rsidRPr="00C24209" w:rsidRDefault="009270B3" w:rsidP="009270B3">
      <w:pPr>
        <w:spacing w:after="0" w:line="240" w:lineRule="auto"/>
        <w:jc w:val="both"/>
        <w:rPr>
          <w:rFonts w:ascii="Verdana" w:eastAsia="Calibri" w:hAnsi="Verdana" w:cs="Arial"/>
          <w:color w:val="000000" w:themeColor="text1"/>
        </w:rPr>
      </w:pPr>
    </w:p>
    <w:p w14:paraId="2C3BE5E7"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la fuerza obligatoria de los documentos tipo proviene de la Ley y no de un acto de la Agencia Nacional de Contratación Pública – Colombia Compra Eficiente. Es así como, las resoluciones expedidas por esta Agencia que adoptan documentos tipo –como la Resolución 539 de 2025–, definen el ámbito material, es decir, qué actividades y qué modalidad de selección quedan cubiertas por estos, pero no definen los sujetos obligados considerando que la Agencia no tiene habilitación legal para hacerlo.</w:t>
      </w:r>
    </w:p>
    <w:p w14:paraId="10EF9474" w14:textId="77777777" w:rsidR="009270B3" w:rsidRPr="00C24209" w:rsidRDefault="009270B3" w:rsidP="009270B3">
      <w:pPr>
        <w:spacing w:after="0" w:line="240" w:lineRule="auto"/>
        <w:jc w:val="both"/>
        <w:rPr>
          <w:rFonts w:ascii="Verdana" w:eastAsia="Calibri" w:hAnsi="Verdana" w:cs="Arial"/>
          <w:color w:val="000000" w:themeColor="text1"/>
        </w:rPr>
      </w:pPr>
    </w:p>
    <w:p w14:paraId="521EEF32" w14:textId="77777777" w:rsidR="009270B3" w:rsidRPr="00C24209" w:rsidRDefault="009270B3" w:rsidP="009270B3">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LEY 2195 DE 2022 – Artículo 56 – Parágrafo – Instituciones de educación superior públicas – Establecimientos públicos – Ley 2022 de 2020</w:t>
      </w:r>
    </w:p>
    <w:p w14:paraId="07CB2ED4" w14:textId="77777777" w:rsidR="009270B3" w:rsidRPr="00C24209" w:rsidRDefault="009270B3" w:rsidP="009270B3">
      <w:pPr>
        <w:spacing w:after="0" w:line="240" w:lineRule="auto"/>
        <w:jc w:val="both"/>
        <w:rPr>
          <w:rFonts w:ascii="Verdana" w:eastAsia="Calibri" w:hAnsi="Verdana" w:cs="Arial"/>
          <w:color w:val="000000" w:themeColor="text1"/>
        </w:rPr>
      </w:pPr>
    </w:p>
    <w:p w14:paraId="18D03071"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Una excepción no puede ir más allá de la regla de la que se separa, de modo que, para una entidad que ya estaba obligada por la Ley 2022 de 2020, el parágrafo no tiene nada de qué eximirla. Adicionalmente, tampoco existe entre las dos disposiciones una derogación expresa ni una incompatibilidad que permita hablar de derogación tácita, porque cada una regula un supuesto diferente.</w:t>
      </w:r>
    </w:p>
    <w:p w14:paraId="05DF2616"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lastRenderedPageBreak/>
        <w:t>(…) Si el parágrafo se aplicara a una institución organizada como establecimiento público, la exceptuaría también del inciso segundo, que es el que ordena aplicar el Estatuto General de Contratación de la Administración Pública – EGCAP. Una entidad sometida a la Ley 80 de 1993 por el artículo 81 de la Ley 489 de 1998 quedaría, en su giro ordinario, fuera del EGCAP por obra de una norma que se expidió para extenderlo.</w:t>
      </w:r>
    </w:p>
    <w:p w14:paraId="5CC4D4F6" w14:textId="77777777" w:rsidR="009270B3" w:rsidRPr="00C24209" w:rsidRDefault="009270B3" w:rsidP="009270B3">
      <w:pPr>
        <w:spacing w:after="0" w:line="240" w:lineRule="auto"/>
        <w:jc w:val="both"/>
        <w:rPr>
          <w:rFonts w:ascii="Verdana" w:eastAsia="Calibri" w:hAnsi="Verdana" w:cs="Arial"/>
          <w:color w:val="000000" w:themeColor="text1"/>
        </w:rPr>
      </w:pPr>
    </w:p>
    <w:p w14:paraId="062AB956" w14:textId="77777777" w:rsidR="009270B3" w:rsidRPr="00C24209" w:rsidRDefault="009270B3" w:rsidP="009270B3">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LEY 2195 DE 2022 – Artículo 56 – Parágrafo – Antecedentes legislativos – Interpretación histórica</w:t>
      </w:r>
    </w:p>
    <w:p w14:paraId="3014D529" w14:textId="77777777" w:rsidR="009270B3" w:rsidRPr="00C24209" w:rsidRDefault="009270B3" w:rsidP="009270B3">
      <w:pPr>
        <w:spacing w:after="0" w:line="240" w:lineRule="auto"/>
        <w:jc w:val="both"/>
        <w:rPr>
          <w:rFonts w:ascii="Verdana" w:eastAsia="Calibri" w:hAnsi="Verdana" w:cs="Arial"/>
          <w:color w:val="000000" w:themeColor="text1"/>
        </w:rPr>
      </w:pPr>
    </w:p>
    <w:p w14:paraId="2A425339"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El cambio de redacción no autoriza la conclusión que propone la solicitud elevada a esta Agencia. El texto de la ponencia hablaba de “las Universidades” sin calificarlas como públicas, de modo que podía comprender a las universidades privadas, que son personas jurídicas de derecho privado y caben en el inciso primero. El texto aprobado redujo la excepción a las instituciones públicas, y en ese aspecto restringió la categoría en lugar de ampliarla.</w:t>
      </w:r>
    </w:p>
    <w:p w14:paraId="4D7F7691"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p>
    <w:p w14:paraId="2DF46FBE"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Ninguna de estas intervenciones afirma que las instituciones de educación superior sometidas a la Ley 80 de 1993 dejarían de estar obligadas por la Ley 2022 de 2020. Todas se refieren a entidades con régimen especial de contratación, y el autor de la proposición precisó que no se estaban incluyendo nuevas entidades.</w:t>
      </w:r>
    </w:p>
    <w:p w14:paraId="156FA86A" w14:textId="77777777" w:rsidR="009270B3" w:rsidRPr="00C24209" w:rsidRDefault="009270B3" w:rsidP="009270B3">
      <w:pPr>
        <w:spacing w:after="0" w:line="240" w:lineRule="auto"/>
        <w:jc w:val="both"/>
        <w:rPr>
          <w:rFonts w:ascii="Verdana" w:eastAsia="Calibri" w:hAnsi="Verdana" w:cs="Arial"/>
          <w:color w:val="000000" w:themeColor="text1"/>
        </w:rPr>
      </w:pPr>
    </w:p>
    <w:p w14:paraId="779C9C8F" w14:textId="77777777" w:rsidR="009270B3" w:rsidRPr="00C24209" w:rsidRDefault="009270B3" w:rsidP="009270B3">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AUTONOMÍA UNIVERSITARIA – Instituciones de educación superior públicas no universitarias – Documentos tipo – Igualdad – Régimen de contratación</w:t>
      </w:r>
    </w:p>
    <w:p w14:paraId="4E2F00AD" w14:textId="77777777" w:rsidR="009270B3" w:rsidRPr="00C24209" w:rsidRDefault="009270B3" w:rsidP="009270B3">
      <w:pPr>
        <w:spacing w:after="0" w:line="240" w:lineRule="auto"/>
        <w:jc w:val="both"/>
        <w:rPr>
          <w:rFonts w:ascii="Verdana" w:eastAsia="Calibri" w:hAnsi="Verdana" w:cs="Arial"/>
          <w:color w:val="000000" w:themeColor="text1"/>
        </w:rPr>
      </w:pPr>
    </w:p>
    <w:p w14:paraId="7C39C7E2"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En este sentido, la Corte Constitucional estableció que la circunstancia de que en los documentos tipo se estandaricen los requisitos habilitantes y los factores de escogencia de los contratistas no vulnera la autonomía territorial, puesto que estos criterios son elementos propios del proceso de selección y, por tanto, gozan de reserva de ley. Más aun, este principio de autonomía de las entidades territoriales se garantiza teniendo en cuenta que conservan la discrecionalidad administrativa para identificar sus necesidades, ejecutar su presupuesto y definir los elementos propios del contrato.</w:t>
      </w:r>
    </w:p>
    <w:p w14:paraId="4FB61D8A"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p>
    <w:p w14:paraId="18981B51"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En cuanto a la igualdad, el trato diferente entre una universidad estatal y una institución universitaria pública proviene de decisiones del Constituyente y del Legislador, no de la Agencia.</w:t>
      </w:r>
    </w:p>
    <w:p w14:paraId="1E5CA049" w14:textId="77777777" w:rsidR="009270B3" w:rsidRPr="00C24209" w:rsidRDefault="009270B3" w:rsidP="009270B3">
      <w:pPr>
        <w:spacing w:after="0" w:line="240" w:lineRule="auto"/>
        <w:jc w:val="both"/>
        <w:rPr>
          <w:rFonts w:ascii="Verdana" w:eastAsia="Calibri" w:hAnsi="Verdana" w:cs="Arial"/>
          <w:color w:val="000000" w:themeColor="text1"/>
        </w:rPr>
      </w:pPr>
    </w:p>
    <w:p w14:paraId="627DCA4A" w14:textId="77777777" w:rsidR="009270B3" w:rsidRPr="00C24209" w:rsidRDefault="009270B3" w:rsidP="009270B3">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CONCEPTOS – Seguridad jurídica – Vigencia – Conceptos C-246 y C-488 de 2026 – Ámbito material</w:t>
      </w:r>
    </w:p>
    <w:p w14:paraId="0EC65473" w14:textId="77777777" w:rsidR="009270B3" w:rsidRPr="00C24209" w:rsidRDefault="009270B3" w:rsidP="009270B3">
      <w:pPr>
        <w:spacing w:after="0" w:line="240" w:lineRule="auto"/>
        <w:jc w:val="both"/>
        <w:rPr>
          <w:rFonts w:ascii="Verdana" w:eastAsia="Calibri" w:hAnsi="Verdana" w:cs="Arial"/>
          <w:color w:val="000000" w:themeColor="text1"/>
        </w:rPr>
      </w:pPr>
    </w:p>
    <w:p w14:paraId="69A271E7"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xml:space="preserve">Los conceptos no son normas y no tienen una fecha de vigencia propia. La obligación de las entidades sometidas al Estatuto General de Contratación de la Administración Pública – EGCAP existe desde la Ley 2022 de 2020, y la cobertura material de las obras en instituciones de educación superior existe desde que la versión 2 de los documentos tipo empezó a regir, el 16 de febrero de 2026. Por eso el cambio práctico frente a la respuesta </w:t>
      </w:r>
      <w:r w:rsidRPr="00C24209">
        <w:rPr>
          <w:rFonts w:ascii="Verdana" w:eastAsia="Calibri" w:hAnsi="Verdana" w:cs="Arial"/>
          <w:color w:val="000000" w:themeColor="text1"/>
          <w:sz w:val="20"/>
          <w:szCs w:val="20"/>
        </w:rPr>
        <w:lastRenderedPageBreak/>
        <w:t>que, según indica el peticionario la Agencia dio al ITFIP el 6 de octubre de 2021 se explica por el ámbito material y no por el subjetivo, es decir que, la entidad ya estaba sometida a la Ley 2022 de 2020, y lo que varió fue la matriz.</w:t>
      </w:r>
    </w:p>
    <w:p w14:paraId="17F8989E" w14:textId="77777777" w:rsidR="009270B3" w:rsidRPr="00C24209" w:rsidRDefault="009270B3" w:rsidP="009270B3">
      <w:pPr>
        <w:spacing w:after="0" w:line="240" w:lineRule="auto"/>
        <w:jc w:val="both"/>
        <w:rPr>
          <w:rFonts w:ascii="Verdana" w:eastAsia="Calibri" w:hAnsi="Verdana" w:cs="Arial"/>
          <w:color w:val="000000" w:themeColor="text1"/>
        </w:rPr>
      </w:pPr>
    </w:p>
    <w:p w14:paraId="370395E1" w14:textId="77777777" w:rsidR="009270B3" w:rsidRPr="00C24209" w:rsidRDefault="009270B3" w:rsidP="009270B3">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DOCUMENTOS TIPO – Infraestructura social – Sector educativo – Resolución 539 de 2025 – Instituciones de educación superior – NSR-10</w:t>
      </w:r>
    </w:p>
    <w:p w14:paraId="1F99A039" w14:textId="77777777" w:rsidR="009270B3" w:rsidRPr="00C24209" w:rsidRDefault="009270B3" w:rsidP="009270B3">
      <w:pPr>
        <w:spacing w:after="0" w:line="240" w:lineRule="auto"/>
        <w:jc w:val="both"/>
        <w:rPr>
          <w:rFonts w:ascii="Verdana" w:eastAsia="Calibri" w:hAnsi="Verdana" w:cs="Arial"/>
          <w:color w:val="000000" w:themeColor="text1"/>
        </w:rPr>
      </w:pPr>
    </w:p>
    <w:p w14:paraId="63A4691F"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Lo anterior obedece a la forma en que se delimitan los documentos tipo. Su ámbito se define por el objeto de la obra y no por la naturaleza de la entidad que contrata. Quiénes están obligados a aplicarlos lo establece la ley, en concreto el artículo 1 de la Ley 2022 de 2020 y, dentro de su campo, el artículo 56 de la Ley 2195 de 2022. La Resolución 539 de 2025 no podía ampliar ni reducir ese conjunto de sujetos, y no lo hizo.</w:t>
      </w:r>
    </w:p>
    <w:p w14:paraId="3561AFDE"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p>
    <w:p w14:paraId="7FA496CF" w14:textId="77777777" w:rsidR="009270B3" w:rsidRPr="00C24209" w:rsidRDefault="009270B3" w:rsidP="009270B3">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Por esa razón, una edificación universitaria queda comprendida en la Matriz 1 – Experiencia del Sector Educativo cuando la contrata una entidad que la ley obliga a usar los documentos tipo.</w:t>
      </w:r>
    </w:p>
    <w:p w14:paraId="683A881F" w14:textId="77777777" w:rsidR="009270B3" w:rsidRPr="009D5308" w:rsidRDefault="009270B3" w:rsidP="009270B3">
      <w:pPr>
        <w:spacing w:after="0" w:line="240" w:lineRule="auto"/>
        <w:jc w:val="both"/>
        <w:rPr>
          <w:rFonts w:ascii="Verdana" w:eastAsia="Times New Roman" w:hAnsi="Verdana" w:cs="Arial"/>
          <w:b/>
          <w:bCs/>
          <w:sz w:val="24"/>
          <w:szCs w:val="24"/>
          <w:lang w:eastAsia="es-ES_tradnl"/>
        </w:rPr>
      </w:pPr>
    </w:p>
    <w:p w14:paraId="2884EFF2" w14:textId="77777777" w:rsidR="009270B3" w:rsidRPr="009D5308" w:rsidRDefault="009270B3" w:rsidP="009270B3">
      <w:pPr>
        <w:spacing w:after="0" w:line="240" w:lineRule="auto"/>
        <w:jc w:val="both"/>
        <w:rPr>
          <w:rFonts w:ascii="Verdana" w:eastAsia="Calibri" w:hAnsi="Verdana" w:cs="Arial"/>
          <w:b/>
          <w:color w:val="000000"/>
          <w:sz w:val="24"/>
          <w:szCs w:val="24"/>
          <w:lang w:val="es-ES_tradnl" w:eastAsia="es-ES_tradnl"/>
        </w:rPr>
      </w:pPr>
      <w:r w:rsidRPr="009D5308">
        <w:rPr>
          <w:rFonts w:ascii="Verdana" w:eastAsia="Calibri" w:hAnsi="Verdana" w:cs="Arial"/>
          <w:b/>
          <w:color w:val="000000"/>
          <w:sz w:val="24"/>
          <w:szCs w:val="24"/>
          <w:lang w:val="es-ES_tradnl" w:eastAsia="es-ES_tradnl"/>
        </w:rPr>
        <w:t>LEY 2195 DE 2022 – Artículo 56 – Personas jurídicas de derecho privado – Documentos tipo – Estatuto General de Contratación de la Administración Pública</w:t>
      </w:r>
    </w:p>
    <w:p w14:paraId="0EF5D2DC" w14:textId="77777777" w:rsidR="009270B3" w:rsidRPr="009D5308" w:rsidRDefault="009270B3" w:rsidP="009270B3">
      <w:pPr>
        <w:spacing w:after="0" w:line="240" w:lineRule="auto"/>
        <w:jc w:val="both"/>
        <w:rPr>
          <w:rFonts w:ascii="Verdana" w:eastAsia="Calibri" w:hAnsi="Verdana" w:cs="Arial"/>
          <w:b/>
          <w:color w:val="000000"/>
          <w:sz w:val="24"/>
          <w:szCs w:val="24"/>
          <w:lang w:val="es-ES_tradnl" w:eastAsia="es-ES_tradnl"/>
        </w:rPr>
      </w:pPr>
    </w:p>
    <w:p w14:paraId="07A70164" w14:textId="77777777" w:rsidR="009270B3" w:rsidRPr="009D5308" w:rsidRDefault="009270B3" w:rsidP="009270B3">
      <w:pPr>
        <w:spacing w:after="0" w:line="240" w:lineRule="auto"/>
        <w:jc w:val="both"/>
        <w:rPr>
          <w:rFonts w:ascii="Verdana" w:eastAsia="Times New Roman" w:hAnsi="Verdana" w:cs="Arial"/>
          <w:noProof/>
          <w:color w:val="000000"/>
          <w:sz w:val="20"/>
          <w:szCs w:val="20"/>
          <w:lang w:val="es-ES_tradnl" w:eastAsia="es-ES_tradnl"/>
        </w:rPr>
      </w:pPr>
      <w:r w:rsidRPr="009D5308">
        <w:rPr>
          <w:rFonts w:ascii="Verdana" w:eastAsia="Calibri" w:hAnsi="Verdana" w:cs="Arial"/>
          <w:sz w:val="20"/>
          <w:szCs w:val="20"/>
          <w:lang w:val="es-ES_tradnl" w:eastAsia="es-ES"/>
        </w:rPr>
        <w:t xml:space="preserve">[…] </w:t>
      </w:r>
      <w:r w:rsidRPr="009D5308">
        <w:rPr>
          <w:rFonts w:ascii="Verdana" w:eastAsia="Times New Roman" w:hAnsi="Verdana" w:cs="Arial"/>
          <w:noProof/>
          <w:color w:val="000000"/>
          <w:sz w:val="20"/>
          <w:szCs w:val="20"/>
          <w:lang w:val="es-ES_tradnl" w:eastAsia="es-ES_tradnl"/>
        </w:rPr>
        <w:t>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2CED0709" w14:textId="77777777" w:rsidR="009270B3" w:rsidRPr="009D5308" w:rsidRDefault="009270B3" w:rsidP="009270B3">
      <w:pPr>
        <w:snapToGrid w:val="0"/>
        <w:spacing w:after="0" w:line="276" w:lineRule="auto"/>
        <w:jc w:val="both"/>
        <w:rPr>
          <w:rFonts w:ascii="Verdana" w:eastAsia="Calibri" w:hAnsi="Verdana" w:cs="Arial"/>
          <w:lang w:eastAsia="es-MX"/>
        </w:rPr>
      </w:pPr>
    </w:p>
    <w:p w14:paraId="1C33B678" w14:textId="77777777" w:rsidR="009270B3" w:rsidRPr="009D5308" w:rsidRDefault="009270B3" w:rsidP="009270B3">
      <w:pPr>
        <w:snapToGrid w:val="0"/>
        <w:spacing w:after="0" w:line="240" w:lineRule="auto"/>
        <w:jc w:val="both"/>
        <w:rPr>
          <w:rFonts w:ascii="Verdana" w:eastAsia="Calibri" w:hAnsi="Verdana" w:cs="Arial"/>
          <w:b/>
          <w:bCs/>
          <w:lang w:val="es-ES_tradnl" w:eastAsia="es-MX"/>
        </w:rPr>
      </w:pPr>
      <w:r w:rsidRPr="009D5308">
        <w:rPr>
          <w:rFonts w:ascii="Verdana" w:eastAsia="Calibri" w:hAnsi="Verdana" w:cs="Arial"/>
          <w:b/>
          <w:bCs/>
          <w:lang w:val="es-ES_tradnl" w:eastAsia="es-MX"/>
        </w:rPr>
        <w:t>SECTOR EDUCATIVO – Documentos tipo – Infraestructura educativa – Alcance – NSR 10</w:t>
      </w:r>
    </w:p>
    <w:p w14:paraId="06EBD70A" w14:textId="77777777" w:rsidR="009270B3" w:rsidRPr="009D5308" w:rsidRDefault="009270B3" w:rsidP="009270B3">
      <w:pPr>
        <w:snapToGrid w:val="0"/>
        <w:spacing w:after="0" w:line="276" w:lineRule="auto"/>
        <w:jc w:val="both"/>
        <w:rPr>
          <w:rFonts w:ascii="Verdana" w:eastAsia="Calibri" w:hAnsi="Verdana" w:cs="Arial"/>
          <w:lang w:eastAsia="es-MX"/>
        </w:rPr>
      </w:pPr>
    </w:p>
    <w:p w14:paraId="20A54C03" w14:textId="77777777" w:rsidR="009270B3" w:rsidRPr="009D5308" w:rsidRDefault="009270B3" w:rsidP="009270B3">
      <w:pPr>
        <w:spacing w:after="0" w:line="240" w:lineRule="auto"/>
        <w:jc w:val="both"/>
        <w:rPr>
          <w:rFonts w:ascii="Verdana" w:eastAsia="Times New Roman" w:hAnsi="Verdana" w:cs="Times New Roman"/>
          <w:color w:val="000000"/>
          <w:sz w:val="20"/>
          <w:szCs w:val="20"/>
          <w:lang w:eastAsia="es-CO"/>
        </w:rPr>
      </w:pPr>
      <w:r w:rsidRPr="009D5308">
        <w:rPr>
          <w:rFonts w:ascii="Verdana" w:eastAsia="Arial" w:hAnsi="Verdana" w:cs="Aptos"/>
          <w:sz w:val="20"/>
          <w:szCs w:val="20"/>
          <w:lang w:eastAsia="es-ES"/>
        </w:rPr>
        <w:t>De esta forma, los tipos de obras señaladas y las actividades previstas en la Matriz 1</w:t>
      </w:r>
      <w:r w:rsidRPr="009D5308">
        <w:rPr>
          <w:rFonts w:ascii="Verdana" w:eastAsia="Calibri" w:hAnsi="Verdana" w:cs="Times New Roman"/>
          <w:sz w:val="20"/>
          <w:szCs w:val="20"/>
          <w:lang w:val="es-ES" w:eastAsia="es-MX"/>
        </w:rPr>
        <w:t xml:space="preserve">– Experiencia del Sector Educativo, </w:t>
      </w:r>
      <w:r w:rsidRPr="009D5308">
        <w:rPr>
          <w:rFonts w:ascii="Verdana" w:eastAsia="Times New Roman" w:hAnsi="Verdana" w:cs="Times New Roman"/>
          <w:color w:val="000000"/>
          <w:sz w:val="20"/>
          <w:szCs w:val="20"/>
          <w:lang w:eastAsia="es-CO"/>
        </w:rPr>
        <w:t>en la modalidad de licitación pública, selección abreviada de menor cuantía y mínima cuantía, recaen sobre infraestructura educativa. Esto es importante para precisar el ámbito de aplicación de los Documentos Tipo de este sector adoptados en de las Resoluciones 539, 540 y 541 de 2025.</w:t>
      </w:r>
    </w:p>
    <w:p w14:paraId="0061DD78" w14:textId="77777777" w:rsidR="009270B3" w:rsidRPr="009D5308" w:rsidRDefault="009270B3" w:rsidP="009270B3">
      <w:pPr>
        <w:spacing w:after="0" w:line="240" w:lineRule="auto"/>
        <w:jc w:val="both"/>
        <w:rPr>
          <w:rFonts w:ascii="Verdana" w:eastAsia="Times New Roman" w:hAnsi="Verdana" w:cs="Times New Roman"/>
          <w:color w:val="000000"/>
          <w:sz w:val="20"/>
          <w:szCs w:val="20"/>
          <w:lang w:eastAsia="es-CO"/>
        </w:rPr>
      </w:pPr>
    </w:p>
    <w:p w14:paraId="4579F7EB" w14:textId="77777777" w:rsidR="009270B3" w:rsidRPr="009D5308" w:rsidRDefault="009270B3" w:rsidP="009270B3">
      <w:pPr>
        <w:spacing w:after="0" w:line="240" w:lineRule="auto"/>
        <w:jc w:val="both"/>
        <w:rPr>
          <w:rFonts w:ascii="Verdana" w:eastAsia="Calibri" w:hAnsi="Verdana" w:cs="Arial"/>
          <w:color w:val="0D0D0D"/>
          <w:sz w:val="20"/>
          <w:szCs w:val="20"/>
          <w:lang w:eastAsia="es-MX"/>
        </w:rPr>
      </w:pPr>
      <w:r w:rsidRPr="009D5308">
        <w:rPr>
          <w:rFonts w:ascii="Verdana" w:eastAsia="Calibri" w:hAnsi="Verdana" w:cs="Arial"/>
          <w:color w:val="0D0D0D"/>
          <w:sz w:val="20"/>
          <w:szCs w:val="20"/>
          <w:lang w:eastAsia="es-MX"/>
        </w:rPr>
        <w:t xml:space="preserve">En este sentido, el Subgrupo de Ocupación Institucional de Educación corresponde a una categoría de clasificación establecida por la NSR-10 que agrupa a aquellas edificaciones o espacios destinados o empleados para le reunión de personas con propósitos educativos y de instrucción. Este subgrupo comprende Universidades, Colegios, Escuelas, Centros de educación, Academias, Jardines Infantiles, entre otros. La expresión “Otras instituciones docentes” evidencia que la enumeración no es taxativa, sino enunciativa, por lo incluye todas aquellas edificaciones que por su naturaleza y finalidad, se utilizan para propósitos educativos y de instrucción.  </w:t>
      </w:r>
    </w:p>
    <w:p w14:paraId="7328DC78" w14:textId="77777777" w:rsidR="009270B3" w:rsidRPr="009D5308" w:rsidRDefault="009270B3" w:rsidP="009270B3">
      <w:pPr>
        <w:spacing w:after="0" w:line="276" w:lineRule="auto"/>
        <w:jc w:val="both"/>
        <w:rPr>
          <w:rFonts w:ascii="Verdana" w:eastAsia="Calibri" w:hAnsi="Verdana" w:cs="Arial"/>
          <w:color w:val="0D0D0D"/>
          <w:sz w:val="20"/>
          <w:szCs w:val="20"/>
          <w:lang w:eastAsia="es-MX"/>
        </w:rPr>
      </w:pPr>
    </w:p>
    <w:p w14:paraId="019ED79E" w14:textId="77777777" w:rsidR="009270B3" w:rsidRPr="009D5308" w:rsidRDefault="009270B3" w:rsidP="009270B3">
      <w:pPr>
        <w:snapToGrid w:val="0"/>
        <w:spacing w:after="0" w:line="240" w:lineRule="auto"/>
        <w:jc w:val="both"/>
        <w:rPr>
          <w:rFonts w:ascii="Verdana" w:eastAsia="Calibri" w:hAnsi="Verdana" w:cs="Arial"/>
          <w:b/>
          <w:bCs/>
          <w:lang w:val="es-ES_tradnl" w:eastAsia="es-MX"/>
        </w:rPr>
      </w:pPr>
      <w:r w:rsidRPr="009D5308">
        <w:rPr>
          <w:rFonts w:ascii="Verdana" w:eastAsia="Calibri" w:hAnsi="Verdana" w:cs="Arial"/>
          <w:b/>
          <w:bCs/>
          <w:lang w:val="es-ES_tradnl" w:eastAsia="es-MX"/>
        </w:rPr>
        <w:t>SECTOR EDUCATIVO – Documentos tipo – Infraestructura educativa – Aplicación – Instituciones de educación superior</w:t>
      </w:r>
    </w:p>
    <w:p w14:paraId="45C26ACA" w14:textId="77777777" w:rsidR="009270B3" w:rsidRPr="009D5308" w:rsidRDefault="009270B3" w:rsidP="009270B3">
      <w:pPr>
        <w:spacing w:after="0" w:line="276" w:lineRule="auto"/>
        <w:jc w:val="both"/>
        <w:rPr>
          <w:rFonts w:ascii="Verdana" w:eastAsia="Calibri" w:hAnsi="Verdana" w:cs="Arial"/>
          <w:color w:val="0D0D0D"/>
          <w:lang w:eastAsia="es-MX"/>
        </w:rPr>
      </w:pPr>
    </w:p>
    <w:p w14:paraId="4E87AF89" w14:textId="77777777" w:rsidR="009270B3" w:rsidRPr="009D5308" w:rsidRDefault="009270B3" w:rsidP="009270B3">
      <w:pPr>
        <w:spacing w:after="0" w:line="240" w:lineRule="auto"/>
        <w:jc w:val="both"/>
        <w:rPr>
          <w:rFonts w:ascii="Verdana" w:eastAsia="Calibri" w:hAnsi="Verdana" w:cs="Arial"/>
          <w:color w:val="0D0D0D"/>
          <w:sz w:val="20"/>
          <w:szCs w:val="20"/>
          <w:lang w:eastAsia="es-MX"/>
        </w:rPr>
      </w:pPr>
      <w:r w:rsidRPr="009D5308">
        <w:rPr>
          <w:rFonts w:ascii="Verdana" w:eastAsia="Calibri" w:hAnsi="Verdana" w:cs="Arial"/>
          <w:color w:val="0D0D0D"/>
          <w:sz w:val="20"/>
          <w:szCs w:val="20"/>
          <w:lang w:eastAsia="es-MX"/>
        </w:rPr>
        <w:t xml:space="preserve">En atención a lo expuesto, una Institución de Educación Superior (IES) debe clasificarse dentro del Subgrupo de Ocupación Institucional de Educación (I-3) de la NSR-10, en la medida en que sus edificaciones están destinadas a la reunión de personas con propósitos educativos y de instrucción, finalidad que constituye el núcleo esencial de su actividad. </w:t>
      </w:r>
    </w:p>
    <w:p w14:paraId="4665EC24" w14:textId="77777777" w:rsidR="009270B3" w:rsidRPr="009D5308" w:rsidRDefault="009270B3" w:rsidP="009270B3">
      <w:pPr>
        <w:spacing w:after="0" w:line="240" w:lineRule="auto"/>
        <w:jc w:val="both"/>
        <w:rPr>
          <w:rFonts w:ascii="Verdana" w:eastAsia="Calibri" w:hAnsi="Verdana" w:cs="Arial"/>
          <w:color w:val="0D0D0D"/>
          <w:sz w:val="20"/>
          <w:szCs w:val="20"/>
          <w:lang w:eastAsia="es-MX"/>
        </w:rPr>
      </w:pPr>
    </w:p>
    <w:p w14:paraId="4F2104F5" w14:textId="77777777" w:rsidR="009270B3" w:rsidRPr="009D5308" w:rsidRDefault="009270B3" w:rsidP="009270B3">
      <w:pPr>
        <w:spacing w:after="0" w:line="240" w:lineRule="auto"/>
        <w:jc w:val="both"/>
        <w:rPr>
          <w:rFonts w:ascii="Verdana" w:eastAsia="Calibri" w:hAnsi="Verdana" w:cs="Arial"/>
          <w:color w:val="0D0D0D"/>
          <w:sz w:val="20"/>
          <w:szCs w:val="20"/>
          <w:lang w:eastAsia="es-MX"/>
        </w:rPr>
      </w:pPr>
      <w:r w:rsidRPr="009D5308">
        <w:rPr>
          <w:rFonts w:ascii="Verdana" w:eastAsia="Calibri" w:hAnsi="Verdana" w:cs="Arial"/>
          <w:color w:val="0D0D0D"/>
          <w:sz w:val="20"/>
          <w:szCs w:val="20"/>
          <w:lang w:eastAsia="es-MX"/>
        </w:rPr>
        <w:t>La norma incluye expresamente dentro de este subgrupo a las universidades y demás instituciones docentes, y precisa que dicha enumeración es enunciativa y no taxativa, al emplear la expresión “Otras instituciones docentes”, lo que permite comprender todas aquellas edificaciones cuya naturaleza y finalidad estén orientadas a la prestación del servicio público de educación. En concordancia con el Anexo 5 – Glosario de los Documentos Tipo, las IES -sean instituciones técnico y/o profesionales, tecnológicas, instituciones universitarias o universidades, conforme a la Ley 30 de 1992 y la Ley 749 de 2002- son entidades habilitadas para prestar el servicio público de educación superior, por lo que sus instalaciones constituyen infraestructura educativa y, en consecuencia, se enmarcan dentro del referido Subgrupo de Ocupación Institucional de Educación (I-3).</w:t>
      </w:r>
    </w:p>
    <w:p w14:paraId="40C809B7" w14:textId="77777777" w:rsidR="009270B3" w:rsidRPr="009D5308" w:rsidRDefault="009270B3" w:rsidP="009270B3">
      <w:pPr>
        <w:spacing w:after="0" w:line="240" w:lineRule="auto"/>
        <w:jc w:val="both"/>
        <w:rPr>
          <w:rFonts w:ascii="Verdana" w:eastAsia="Calibri" w:hAnsi="Verdana" w:cs="Arial"/>
          <w:color w:val="0D0D0D"/>
          <w:sz w:val="20"/>
          <w:szCs w:val="20"/>
          <w:lang w:eastAsia="es-MX"/>
        </w:rPr>
      </w:pPr>
    </w:p>
    <w:p w14:paraId="55297BBC" w14:textId="77777777" w:rsidR="009270B3" w:rsidRPr="00C24209" w:rsidRDefault="009270B3" w:rsidP="009270B3">
      <w:pPr>
        <w:spacing w:after="0" w:line="276" w:lineRule="auto"/>
        <w:jc w:val="both"/>
        <w:rPr>
          <w:rFonts w:ascii="Verdana" w:eastAsia="Calibri" w:hAnsi="Verdana" w:cs="Arial"/>
          <w:color w:val="000000" w:themeColor="text1"/>
        </w:rPr>
      </w:pPr>
    </w:p>
    <w:p w14:paraId="337CB55D" w14:textId="77777777" w:rsidR="009270B3" w:rsidRPr="00C24209" w:rsidRDefault="009270B3" w:rsidP="009270B3">
      <w:pPr>
        <w:spacing w:after="0" w:line="276" w:lineRule="auto"/>
        <w:jc w:val="both"/>
        <w:rPr>
          <w:rFonts w:ascii="Verdana" w:eastAsia="Calibri" w:hAnsi="Verdana" w:cs="Arial"/>
          <w:color w:val="000000" w:themeColor="text1"/>
        </w:rPr>
      </w:pPr>
    </w:p>
    <w:p w14:paraId="524670FF" w14:textId="77777777" w:rsidR="009270B3" w:rsidRPr="00C24209" w:rsidRDefault="009270B3" w:rsidP="009270B3">
      <w:pPr>
        <w:spacing w:line="276" w:lineRule="auto"/>
        <w:jc w:val="both"/>
        <w:rPr>
          <w:rFonts w:ascii="Arial" w:eastAsia="Aptos" w:hAnsi="Arial" w:cs="Arial"/>
          <w:noProof/>
          <w:color w:val="000000" w:themeColor="text1"/>
          <w:kern w:val="2"/>
          <w:szCs w:val="24"/>
          <w14:ligatures w14:val="standardContextual"/>
        </w:rPr>
      </w:pPr>
    </w:p>
    <w:p w14:paraId="7369DA06" w14:textId="77777777" w:rsidR="009270B3" w:rsidRPr="00C24209" w:rsidRDefault="009270B3" w:rsidP="009270B3">
      <w:pPr>
        <w:spacing w:line="276" w:lineRule="auto"/>
        <w:jc w:val="both"/>
        <w:rPr>
          <w:rFonts w:ascii="Arial" w:eastAsia="Aptos" w:hAnsi="Arial" w:cs="Arial"/>
          <w:noProof/>
          <w:color w:val="000000" w:themeColor="text1"/>
          <w:kern w:val="2"/>
          <w:szCs w:val="24"/>
          <w14:ligatures w14:val="standardContextual"/>
        </w:rPr>
      </w:pPr>
    </w:p>
    <w:p w14:paraId="3EDE0DE4" w14:textId="77777777" w:rsidR="009270B3" w:rsidRPr="00C24209" w:rsidRDefault="009270B3" w:rsidP="009270B3">
      <w:pPr>
        <w:spacing w:after="0" w:line="240" w:lineRule="auto"/>
        <w:jc w:val="both"/>
        <w:rPr>
          <w:rFonts w:ascii="Verdana" w:eastAsia="Aptos" w:hAnsi="Verdana" w:cs="Arial"/>
          <w:bCs/>
          <w:noProof/>
          <w:color w:val="000000" w:themeColor="text1"/>
          <w:kern w:val="2"/>
          <w:sz w:val="20"/>
          <w:szCs w:val="20"/>
          <w14:ligatures w14:val="standardContextual"/>
        </w:rPr>
      </w:pPr>
    </w:p>
    <w:p w14:paraId="67C7CB74" w14:textId="77777777" w:rsidR="009270B3" w:rsidRPr="00C24209" w:rsidRDefault="009270B3" w:rsidP="009270B3">
      <w:pPr>
        <w:spacing w:line="240" w:lineRule="auto"/>
        <w:jc w:val="both"/>
        <w:rPr>
          <w:rFonts w:ascii="Verdana" w:eastAsia="Aptos" w:hAnsi="Verdana" w:cs="Arial"/>
          <w:bCs/>
          <w:noProof/>
          <w:color w:val="000000" w:themeColor="text1"/>
          <w:kern w:val="2"/>
          <w:sz w:val="20"/>
          <w:szCs w:val="20"/>
          <w14:ligatures w14:val="standardContextual"/>
        </w:rPr>
      </w:pPr>
    </w:p>
    <w:p w14:paraId="76D502FE" w14:textId="77777777" w:rsidR="009270B3" w:rsidRDefault="009270B3" w:rsidP="009270B3">
      <w:pPr>
        <w:spacing w:after="0"/>
        <w:jc w:val="both"/>
        <w:rPr>
          <w:rFonts w:ascii="Verdana" w:hAnsi="Verdana"/>
          <w:color w:val="000000" w:themeColor="text1"/>
          <w:lang w:val="es-ES"/>
        </w:rPr>
      </w:pPr>
    </w:p>
    <w:p w14:paraId="64E0D304" w14:textId="77777777" w:rsidR="009270B3" w:rsidRDefault="009270B3" w:rsidP="009270B3">
      <w:pPr>
        <w:spacing w:after="0"/>
        <w:jc w:val="both"/>
        <w:rPr>
          <w:rFonts w:ascii="Verdana" w:hAnsi="Verdana"/>
          <w:color w:val="000000" w:themeColor="text1"/>
          <w:lang w:val="es-ES"/>
        </w:rPr>
      </w:pPr>
    </w:p>
    <w:p w14:paraId="607CEA91" w14:textId="77777777" w:rsidR="009270B3" w:rsidRDefault="009270B3" w:rsidP="009270B3">
      <w:pPr>
        <w:spacing w:after="0"/>
        <w:jc w:val="both"/>
        <w:rPr>
          <w:rFonts w:ascii="Verdana" w:hAnsi="Verdana"/>
          <w:color w:val="000000" w:themeColor="text1"/>
          <w:lang w:val="es-ES"/>
        </w:rPr>
      </w:pPr>
    </w:p>
    <w:p w14:paraId="4D5AA14F" w14:textId="77777777" w:rsidR="00A957D5" w:rsidRDefault="00A957D5" w:rsidP="009270B3">
      <w:pPr>
        <w:spacing w:after="0"/>
        <w:jc w:val="both"/>
        <w:rPr>
          <w:rFonts w:ascii="Verdana" w:hAnsi="Verdana"/>
          <w:color w:val="000000" w:themeColor="text1"/>
          <w:lang w:val="es-ES"/>
        </w:rPr>
      </w:pPr>
    </w:p>
    <w:p w14:paraId="5F3F2FD3" w14:textId="77777777" w:rsidR="00A957D5" w:rsidRPr="00CD7C8A" w:rsidRDefault="00A957D5" w:rsidP="009270B3">
      <w:pPr>
        <w:spacing w:after="0"/>
        <w:jc w:val="both"/>
        <w:rPr>
          <w:rFonts w:ascii="Verdana" w:hAnsi="Verdana"/>
          <w:color w:val="000000" w:themeColor="text1"/>
          <w:lang w:val="es-ES"/>
        </w:rPr>
      </w:pPr>
    </w:p>
    <w:p w14:paraId="333FA2A7" w14:textId="73A5D609" w:rsidR="009270B3" w:rsidRPr="006D4FE8" w:rsidRDefault="00F21D47" w:rsidP="009270B3">
      <w:pPr>
        <w:spacing w:after="0"/>
        <w:rPr>
          <w:rFonts w:ascii="Verdana" w:hAnsi="Verdana"/>
        </w:rPr>
      </w:pPr>
      <w:r w:rsidRPr="00F21D47">
        <w:rPr>
          <w:rFonts w:ascii="Verdana" w:hAnsi="Verdana"/>
        </w:rPr>
        <w:lastRenderedPageBreak/>
        <w:drawing>
          <wp:anchor distT="0" distB="0" distL="114300" distR="114300" simplePos="0" relativeHeight="251658240" behindDoc="0" locked="0" layoutInCell="1" allowOverlap="1" wp14:anchorId="29FC8DE9" wp14:editId="285DD4A0">
            <wp:simplePos x="0" y="0"/>
            <wp:positionH relativeFrom="margin">
              <wp:posOffset>3427499</wp:posOffset>
            </wp:positionH>
            <wp:positionV relativeFrom="margin">
              <wp:posOffset>176646</wp:posOffset>
            </wp:positionV>
            <wp:extent cx="2631440" cy="697230"/>
            <wp:effectExtent l="0" t="0" r="0" b="1270"/>
            <wp:wrapSquare wrapText="bothSides"/>
            <wp:docPr id="11189962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9628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31440" cy="697230"/>
                    </a:xfrm>
                    <a:prstGeom prst="rect">
                      <a:avLst/>
                    </a:prstGeom>
                  </pic:spPr>
                </pic:pic>
              </a:graphicData>
            </a:graphic>
          </wp:anchor>
        </w:drawing>
      </w:r>
      <w:r w:rsidR="009270B3" w:rsidRPr="006D4FE8">
        <w:rPr>
          <w:rFonts w:ascii="Verdana" w:hAnsi="Verdana"/>
        </w:rPr>
        <w:t>Bogotá D.C.,</w:t>
      </w:r>
      <w:r w:rsidR="00EB0EE2">
        <w:rPr>
          <w:rFonts w:ascii="Verdana" w:hAnsi="Verdana"/>
        </w:rPr>
        <w:t xml:space="preserve"> </w:t>
      </w:r>
      <w:r w:rsidR="00EB0EE2" w:rsidRPr="00EB0EE2">
        <w:rPr>
          <w:rFonts w:ascii="Verdana" w:hAnsi="Verdana"/>
        </w:rPr>
        <w:t>03 Noviembre 2026</w:t>
      </w:r>
    </w:p>
    <w:p w14:paraId="2B4FC2AD" w14:textId="29113413" w:rsidR="009270B3" w:rsidRPr="006D4FE8" w:rsidRDefault="009270B3" w:rsidP="009270B3">
      <w:pPr>
        <w:spacing w:after="0"/>
        <w:rPr>
          <w:rFonts w:ascii="Verdana" w:hAnsi="Verdana"/>
        </w:rPr>
      </w:pPr>
    </w:p>
    <w:p w14:paraId="2DEC30CE" w14:textId="77777777" w:rsidR="009270B3" w:rsidRDefault="009270B3" w:rsidP="009270B3">
      <w:pPr>
        <w:spacing w:after="0" w:line="276" w:lineRule="auto"/>
        <w:rPr>
          <w:rFonts w:ascii="Verdana" w:eastAsia="Calibri" w:hAnsi="Verdana" w:cs="Arial"/>
          <w:lang w:val="es-ES" w:eastAsia="es-ES"/>
        </w:rPr>
      </w:pPr>
      <w:r w:rsidRPr="006D4FE8">
        <w:rPr>
          <w:rFonts w:ascii="Verdana" w:eastAsia="Calibri" w:hAnsi="Verdana" w:cs="Arial"/>
          <w:lang w:val="es-ES" w:eastAsia="es-ES"/>
        </w:rPr>
        <w:t>Señor</w:t>
      </w:r>
    </w:p>
    <w:p w14:paraId="59190D06" w14:textId="77777777" w:rsidR="009270B3" w:rsidRPr="00692733" w:rsidRDefault="009270B3" w:rsidP="009270B3">
      <w:pPr>
        <w:spacing w:after="0" w:line="276" w:lineRule="auto"/>
        <w:rPr>
          <w:rFonts w:ascii="Verdana" w:eastAsia="Calibri" w:hAnsi="Verdana" w:cs="Arial"/>
          <w:b/>
          <w:bCs/>
          <w:lang w:val="es-ES" w:eastAsia="es-ES"/>
        </w:rPr>
      </w:pPr>
      <w:r w:rsidRPr="00692733">
        <w:rPr>
          <w:rFonts w:ascii="Verdana" w:eastAsia="Calibri" w:hAnsi="Verdana" w:cs="Arial"/>
          <w:b/>
          <w:bCs/>
          <w:lang w:val="es-ES" w:eastAsia="es-ES"/>
        </w:rPr>
        <w:t xml:space="preserve">Nicolas David Tarra </w:t>
      </w:r>
      <w:proofErr w:type="spellStart"/>
      <w:r w:rsidRPr="00692733">
        <w:rPr>
          <w:rFonts w:ascii="Verdana" w:eastAsia="Calibri" w:hAnsi="Verdana" w:cs="Arial"/>
          <w:b/>
          <w:bCs/>
          <w:lang w:val="es-ES" w:eastAsia="es-ES"/>
        </w:rPr>
        <w:t>Buritica</w:t>
      </w:r>
      <w:proofErr w:type="spellEnd"/>
    </w:p>
    <w:p w14:paraId="3115963E" w14:textId="77777777" w:rsidR="009270B3" w:rsidRPr="00692733" w:rsidRDefault="009270B3" w:rsidP="009270B3">
      <w:pPr>
        <w:spacing w:after="0" w:line="276" w:lineRule="auto"/>
        <w:rPr>
          <w:rFonts w:ascii="Verdana" w:hAnsi="Verdana"/>
        </w:rPr>
      </w:pPr>
      <w:hyperlink r:id="rId11" w:history="1">
        <w:r w:rsidRPr="00692733">
          <w:rPr>
            <w:rStyle w:val="Hipervnculo"/>
            <w:rFonts w:ascii="Verdana" w:hAnsi="Verdana"/>
          </w:rPr>
          <w:t>davidtarra43@gmail.com</w:t>
        </w:r>
      </w:hyperlink>
    </w:p>
    <w:p w14:paraId="2431940E" w14:textId="77777777" w:rsidR="009270B3" w:rsidRPr="00692733" w:rsidRDefault="009270B3" w:rsidP="009270B3">
      <w:pPr>
        <w:spacing w:after="0" w:line="276" w:lineRule="auto"/>
        <w:rPr>
          <w:rFonts w:ascii="Verdana" w:eastAsia="Calibri" w:hAnsi="Verdana" w:cs="Arial"/>
          <w:b/>
          <w:bCs/>
          <w:color w:val="66CCFF"/>
          <w:lang w:eastAsia="es-ES_tradnl"/>
        </w:rPr>
      </w:pPr>
      <w:r w:rsidRPr="00692733">
        <w:rPr>
          <w:rFonts w:ascii="Verdana" w:hAnsi="Verdana"/>
        </w:rPr>
        <w:t>Bogotá D.C.</w:t>
      </w: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114"/>
      </w:tblGrid>
      <w:tr w:rsidR="009270B3" w:rsidRPr="00692733" w14:paraId="0AB538B1" w14:textId="77777777" w:rsidTr="00970515">
        <w:trPr>
          <w:trHeight w:val="488"/>
        </w:trPr>
        <w:tc>
          <w:tcPr>
            <w:tcW w:w="3119" w:type="dxa"/>
          </w:tcPr>
          <w:p w14:paraId="1D099429" w14:textId="77777777" w:rsidR="009270B3" w:rsidRPr="00692733" w:rsidRDefault="009270B3" w:rsidP="00970515">
            <w:pPr>
              <w:spacing w:line="276" w:lineRule="auto"/>
              <w:jc w:val="both"/>
              <w:rPr>
                <w:rFonts w:ascii="Verdana" w:eastAsia="Calibri" w:hAnsi="Verdana" w:cs="Arial"/>
                <w:b/>
                <w:bCs/>
                <w:color w:val="66CCFF"/>
                <w:lang w:val="es-ES_tradnl" w:eastAsia="es-ES_tradnl"/>
              </w:rPr>
            </w:pPr>
          </w:p>
        </w:tc>
        <w:tc>
          <w:tcPr>
            <w:tcW w:w="6114" w:type="dxa"/>
            <w:hideMark/>
          </w:tcPr>
          <w:p w14:paraId="1385AFC8" w14:textId="77777777" w:rsidR="009270B3" w:rsidRPr="00692733" w:rsidRDefault="009270B3" w:rsidP="00970515">
            <w:pPr>
              <w:spacing w:line="276" w:lineRule="auto"/>
              <w:jc w:val="both"/>
              <w:rPr>
                <w:rFonts w:ascii="Verdana" w:eastAsia="Calibri" w:hAnsi="Verdana" w:cs="Arial"/>
                <w:b/>
                <w:bCs/>
                <w:lang w:val="es-ES" w:eastAsia="es-ES"/>
              </w:rPr>
            </w:pPr>
            <w:r w:rsidRPr="00692733">
              <w:rPr>
                <w:rFonts w:ascii="Verdana" w:eastAsia="Calibri" w:hAnsi="Verdana" w:cs="Arial"/>
                <w:b/>
                <w:bCs/>
                <w:lang w:val="es-ES" w:eastAsia="es-ES"/>
              </w:rPr>
              <w:t>Concepto C – 1507 de 2026</w:t>
            </w:r>
          </w:p>
        </w:tc>
      </w:tr>
      <w:tr w:rsidR="009270B3" w:rsidRPr="006069F8" w14:paraId="35EB2DB9" w14:textId="77777777" w:rsidTr="00970515">
        <w:trPr>
          <w:trHeight w:val="999"/>
        </w:trPr>
        <w:tc>
          <w:tcPr>
            <w:tcW w:w="3119" w:type="dxa"/>
            <w:hideMark/>
          </w:tcPr>
          <w:p w14:paraId="654C9825" w14:textId="77777777" w:rsidR="009270B3" w:rsidRPr="00A11AA2" w:rsidRDefault="009270B3" w:rsidP="00970515">
            <w:pPr>
              <w:spacing w:line="276" w:lineRule="auto"/>
              <w:jc w:val="both"/>
              <w:rPr>
                <w:rFonts w:ascii="Verdana" w:eastAsia="Calibri" w:hAnsi="Verdana" w:cs="Arial"/>
                <w:color w:val="66CCFF"/>
                <w:lang w:val="es-ES_tradnl" w:eastAsia="es-ES_tradnl"/>
              </w:rPr>
            </w:pPr>
            <w:r w:rsidRPr="00A11AA2">
              <w:rPr>
                <w:rFonts w:ascii="Verdana" w:eastAsia="Calibri" w:hAnsi="Verdana" w:cs="Arial"/>
                <w:b/>
                <w:lang w:val="es-ES_tradnl" w:eastAsia="es-ES_tradnl"/>
              </w:rPr>
              <w:t>Temas:</w:t>
            </w:r>
            <w:r w:rsidRPr="00A11AA2">
              <w:rPr>
                <w:rFonts w:ascii="Verdana" w:eastAsia="Calibri" w:hAnsi="Verdana" w:cs="Arial"/>
                <w:lang w:val="es-ES_tradnl" w:eastAsia="es-ES_tradnl"/>
              </w:rPr>
              <w:t xml:space="preserve">                   </w:t>
            </w:r>
          </w:p>
        </w:tc>
        <w:tc>
          <w:tcPr>
            <w:tcW w:w="6114" w:type="dxa"/>
          </w:tcPr>
          <w:p w14:paraId="4675A5F9" w14:textId="77777777" w:rsidR="009270B3" w:rsidRPr="00EE274F" w:rsidRDefault="009270B3" w:rsidP="00970515">
            <w:pPr>
              <w:tabs>
                <w:tab w:val="left" w:pos="0"/>
              </w:tabs>
              <w:spacing w:line="276" w:lineRule="auto"/>
              <w:jc w:val="both"/>
              <w:rPr>
                <w:rFonts w:ascii="Verdana" w:eastAsia="Calibri" w:hAnsi="Verdana" w:cs="Arial"/>
                <w:color w:val="000000" w:themeColor="text1"/>
                <w:kern w:val="2"/>
                <w:lang w:val="es-ES"/>
                <w14:ligatures w14:val="standardContextual"/>
              </w:rPr>
            </w:pPr>
            <w:r w:rsidRPr="00EE274F">
              <w:rPr>
                <w:rFonts w:ascii="Verdana" w:eastAsia="Calibri" w:hAnsi="Verdana" w:cs="Arial"/>
                <w:color w:val="000000" w:themeColor="text1"/>
                <w:kern w:val="2"/>
                <w:lang w:val="es-ES"/>
                <w14:ligatures w14:val="standardContextual"/>
              </w:rPr>
              <w:t xml:space="preserve">FUNCIÓN CONSULTIVA - Colombia Compra Eficiente - Alcance - Conceptos - Artículo 28 de la Ley 1437 de 2011 - Efectos no vinculantes / DOCUMENTOS TIPO - Fundamento normativo - Obligatoriedad - Ámbito de aplicación - Entidades sometidas / LEY 2195 DE 2022 - Artículo 56 - Personas jurídicas de derecho privado - Documentos tipo - Estatuto General de Contratación de la Administración Pública / LEY 2195 DE 2022 - Artículo 56 - Parágrafo - Alcance / INSTITUCIONES DE EDUCACIÓN SUPERIOR PÚBLICAS - Excepciones - Artículo 56 - Clasificación - Interpretación / DOCUMENTOS TIPO - Fuente de la obligación - Ley 2022 de 2020 - Resolución 539 de 2025 - Ámbito material - Sujetos obligados / LEY 2195 DE 2022 - Artículo 56 - Parágrafo - Instituciones de educación superior públicas - Establecimientos públicos - Ley 2022 de 2020 / LEY 2195 DE 2022 - Artículo 56 - Parágrafo - Antecedentes legislativos - Interpretación histórica / AUTONOMÍA UNIVERSITARIA - Instituciones de educación superior públicas no universitarias - Documentos tipo - Igualdad - Régimen de contratación / CONCEPTOS - Seguridad jurídica - Vigencia - Conceptos C-246 y C-488 de 2026 - Ámbito material / DOCUMENTOS TIPO - Infraestructura social - Sector educativo - Resolución 539 de 2025 - Instituciones de educación superior - NSR-10 / LEY 2195 DE 2022 - Artículo 56 - Personas jurídicas de derecho privado - Documentos tipo - Estatuto General de Contratación de la Administración Pública / SECTOR EDUCATIVO - </w:t>
            </w:r>
            <w:r w:rsidRPr="00EE274F">
              <w:rPr>
                <w:rFonts w:ascii="Verdana" w:eastAsia="Calibri" w:hAnsi="Verdana" w:cs="Arial"/>
                <w:color w:val="000000" w:themeColor="text1"/>
                <w:kern w:val="2"/>
                <w:lang w:val="es-ES"/>
                <w14:ligatures w14:val="standardContextual"/>
              </w:rPr>
              <w:lastRenderedPageBreak/>
              <w:t>Documentos tipo - Infraestructura educativa - Alcance - NSR 10 / SECTOR EDUCATIVO - Documentos tipo - Infraestructura educativa - Aplicación - Instituciones de educación superior</w:t>
            </w:r>
          </w:p>
          <w:p w14:paraId="2A6D15D4" w14:textId="77777777" w:rsidR="009270B3" w:rsidRPr="008400C6" w:rsidRDefault="009270B3" w:rsidP="00970515">
            <w:pPr>
              <w:jc w:val="both"/>
              <w:rPr>
                <w:rFonts w:ascii="Verdana" w:hAnsi="Verdana" w:cs="Arial"/>
                <w:highlight w:val="yellow"/>
                <w:lang w:val="es-ES_tradnl" w:eastAsia="es-ES"/>
              </w:rPr>
            </w:pPr>
          </w:p>
        </w:tc>
      </w:tr>
      <w:tr w:rsidR="009270B3" w:rsidRPr="00724695" w14:paraId="78E8F631" w14:textId="77777777" w:rsidTr="00970515">
        <w:trPr>
          <w:trHeight w:val="597"/>
        </w:trPr>
        <w:tc>
          <w:tcPr>
            <w:tcW w:w="3119" w:type="dxa"/>
            <w:hideMark/>
          </w:tcPr>
          <w:p w14:paraId="1A45E588" w14:textId="77777777" w:rsidR="009270B3" w:rsidRPr="008C5E3B" w:rsidRDefault="009270B3" w:rsidP="00970515">
            <w:pPr>
              <w:spacing w:line="276" w:lineRule="auto"/>
              <w:jc w:val="both"/>
              <w:rPr>
                <w:rFonts w:ascii="Verdana" w:eastAsia="Calibri" w:hAnsi="Verdana" w:cs="Arial"/>
                <w:b/>
                <w:lang w:val="es-ES_tradnl" w:eastAsia="es-ES_tradnl"/>
              </w:rPr>
            </w:pPr>
            <w:r w:rsidRPr="008C5E3B">
              <w:rPr>
                <w:rFonts w:ascii="Verdana" w:eastAsia="Calibri" w:hAnsi="Verdana" w:cs="Arial"/>
                <w:b/>
                <w:lang w:val="es-ES_tradnl" w:eastAsia="es-ES_tradnl"/>
              </w:rPr>
              <w:lastRenderedPageBreak/>
              <w:t xml:space="preserve">Radicación:               </w:t>
            </w:r>
          </w:p>
        </w:tc>
        <w:tc>
          <w:tcPr>
            <w:tcW w:w="6114" w:type="dxa"/>
          </w:tcPr>
          <w:p w14:paraId="06834549" w14:textId="77777777" w:rsidR="009270B3" w:rsidRPr="00B61E7B" w:rsidRDefault="009270B3" w:rsidP="00970515">
            <w:pPr>
              <w:spacing w:line="276" w:lineRule="auto"/>
              <w:jc w:val="both"/>
              <w:rPr>
                <w:rFonts w:ascii="Verdana" w:eastAsia="Calibri" w:hAnsi="Verdana" w:cs="Arial"/>
                <w:bCs/>
                <w:lang w:eastAsia="es-ES_tradnl"/>
              </w:rPr>
            </w:pPr>
            <w:r w:rsidRPr="00B61E7B">
              <w:rPr>
                <w:rFonts w:ascii="Verdana" w:eastAsia="Calibri" w:hAnsi="Verdana" w:cs="Arial"/>
                <w:bCs/>
                <w:lang w:val="es-ES_tradnl" w:eastAsia="es-ES_tradnl"/>
              </w:rPr>
              <w:t xml:space="preserve">Respuesta a consulta con radicado </w:t>
            </w:r>
            <w:proofErr w:type="gramStart"/>
            <w:r w:rsidRPr="00B61E7B">
              <w:rPr>
                <w:rFonts w:ascii="Verdana" w:eastAsia="Calibri" w:hAnsi="Verdana" w:cs="Arial"/>
                <w:bCs/>
                <w:lang w:eastAsia="es-ES_tradnl"/>
              </w:rPr>
              <w:t>No.  </w:t>
            </w:r>
            <w:r w:rsidRPr="00B61E7B">
              <w:rPr>
                <w:rFonts w:ascii="Verdana" w:hAnsi="Verdana" w:cs="Calibri"/>
                <w:bCs/>
              </w:rPr>
              <w:t>1</w:t>
            </w:r>
            <w:proofErr w:type="gramEnd"/>
            <w:r w:rsidRPr="00B61E7B">
              <w:rPr>
                <w:rFonts w:ascii="Verdana" w:hAnsi="Verdana" w:cs="Calibri"/>
                <w:bCs/>
              </w:rPr>
              <w:t>_2026_09_24_012853</w:t>
            </w:r>
          </w:p>
          <w:p w14:paraId="7505C1CE" w14:textId="77777777" w:rsidR="009270B3" w:rsidRPr="00B61E7B" w:rsidRDefault="009270B3" w:rsidP="00970515">
            <w:pPr>
              <w:spacing w:line="276" w:lineRule="auto"/>
              <w:jc w:val="both"/>
              <w:rPr>
                <w:rFonts w:ascii="Verdana" w:eastAsia="Calibri" w:hAnsi="Verdana" w:cs="Arial"/>
                <w:bCs/>
                <w:lang w:eastAsia="es-ES_tradnl"/>
              </w:rPr>
            </w:pPr>
          </w:p>
        </w:tc>
      </w:tr>
    </w:tbl>
    <w:p w14:paraId="1C39A778" w14:textId="77777777" w:rsidR="009270B3" w:rsidRPr="00AB5C52" w:rsidRDefault="009270B3" w:rsidP="009270B3">
      <w:pPr>
        <w:spacing w:after="0" w:line="276" w:lineRule="auto"/>
        <w:jc w:val="both"/>
        <w:rPr>
          <w:rFonts w:ascii="Verdana" w:eastAsia="Calibri" w:hAnsi="Verdana" w:cs="Arial"/>
          <w:bCs/>
          <w:lang w:val="es-ES_tradnl" w:eastAsia="es-ES_tradnl"/>
        </w:rPr>
      </w:pPr>
    </w:p>
    <w:p w14:paraId="6ADA6F32" w14:textId="77777777" w:rsidR="009270B3" w:rsidRPr="00692733" w:rsidRDefault="009270B3" w:rsidP="009270B3">
      <w:pPr>
        <w:spacing w:after="0" w:line="276" w:lineRule="auto"/>
        <w:jc w:val="both"/>
        <w:rPr>
          <w:rFonts w:ascii="Verdana" w:eastAsia="Calibri" w:hAnsi="Verdana" w:cs="Arial"/>
          <w:bCs/>
          <w:lang w:val="es-ES" w:eastAsia="es-ES"/>
        </w:rPr>
      </w:pPr>
      <w:r w:rsidRPr="00692733">
        <w:rPr>
          <w:rFonts w:ascii="Verdana" w:eastAsia="Calibri" w:hAnsi="Verdana" w:cs="Arial"/>
          <w:bCs/>
          <w:lang w:val="es-ES" w:eastAsia="es-ES"/>
        </w:rPr>
        <w:t xml:space="preserve">Estimado Señor Nicolas David, cordial saludo:  </w:t>
      </w:r>
    </w:p>
    <w:p w14:paraId="58E8D1BD" w14:textId="77777777" w:rsidR="009270B3" w:rsidRPr="00AB5C52" w:rsidRDefault="009270B3" w:rsidP="009270B3">
      <w:pPr>
        <w:tabs>
          <w:tab w:val="left" w:pos="3768"/>
        </w:tabs>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ab/>
      </w:r>
    </w:p>
    <w:p w14:paraId="76C3342C" w14:textId="77777777" w:rsidR="009270B3" w:rsidRPr="003125D1" w:rsidRDefault="009270B3" w:rsidP="009270B3">
      <w:pPr>
        <w:spacing w:after="0" w:line="276" w:lineRule="auto"/>
        <w:jc w:val="both"/>
        <w:rPr>
          <w:rFonts w:ascii="Verdana" w:eastAsia="Calibri" w:hAnsi="Verdana" w:cs="Arial"/>
          <w:lang w:val="es-ES" w:eastAsia="es-ES"/>
        </w:rPr>
      </w:pPr>
      <w:r w:rsidRPr="003125D1">
        <w:rPr>
          <w:rFonts w:ascii="Verdana" w:eastAsia="Calibri" w:hAnsi="Verdana" w:cs="Arial"/>
          <w:lang w:val="es-ES" w:eastAsia="es-ES"/>
        </w:rPr>
        <w:t>En ejercicio de la competencia otorgada por los artículos 3, numeral 5º, y 11, numeral 8º, del Decreto Ley 4170 de 2011,</w:t>
      </w:r>
      <w:r w:rsidRPr="003125D1">
        <w:rPr>
          <w:rFonts w:ascii="Verdana" w:eastAsia="Arial MT" w:hAnsi="Verdana" w:cs="Arial MT"/>
          <w:lang w:val="es-ES" w:eastAsia="es-ES"/>
        </w:rPr>
        <w:t xml:space="preserve"> </w:t>
      </w:r>
      <w:r w:rsidRPr="003125D1">
        <w:rPr>
          <w:rFonts w:ascii="Verdana" w:eastAsia="Calibri" w:hAnsi="Verdana" w:cs="Arial"/>
        </w:rPr>
        <w:t xml:space="preserve">así como lo establecido en el artículo 4 de la Resolución 1707 de 2018 expedida por esta Entidad, </w:t>
      </w:r>
      <w:r w:rsidRPr="003125D1">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 xml:space="preserve">23 </w:t>
      </w:r>
      <w:r w:rsidRPr="003125D1">
        <w:rPr>
          <w:rFonts w:ascii="Verdana" w:eastAsia="Calibri" w:hAnsi="Verdana" w:cs="Arial"/>
          <w:lang w:val="es-ES" w:eastAsia="es-ES"/>
        </w:rPr>
        <w:t xml:space="preserve">de </w:t>
      </w:r>
      <w:r>
        <w:rPr>
          <w:rFonts w:ascii="Verdana" w:eastAsia="Calibri" w:hAnsi="Verdana" w:cs="Arial"/>
          <w:lang w:val="es-ES" w:eastAsia="es-ES"/>
        </w:rPr>
        <w:t xml:space="preserve">septiembre </w:t>
      </w:r>
      <w:r w:rsidRPr="003125D1">
        <w:rPr>
          <w:rFonts w:ascii="Verdana" w:eastAsia="Calibri" w:hAnsi="Verdana" w:cs="Arial"/>
          <w:lang w:val="es-ES" w:eastAsia="es-ES"/>
        </w:rPr>
        <w:t xml:space="preserve">de 2026, en la cual manifiesta lo siguiente: </w:t>
      </w:r>
      <w:bookmarkStart w:id="1" w:name="_Hlk95313578"/>
    </w:p>
    <w:p w14:paraId="39B56722" w14:textId="77777777" w:rsidR="009270B3" w:rsidRPr="003125D1" w:rsidRDefault="009270B3" w:rsidP="009270B3">
      <w:pPr>
        <w:spacing w:after="0" w:line="276" w:lineRule="auto"/>
        <w:jc w:val="both"/>
        <w:rPr>
          <w:rFonts w:ascii="Verdana" w:eastAsia="Calibri" w:hAnsi="Verdana" w:cs="Arial"/>
          <w:bCs/>
          <w:lang w:val="es-ES" w:eastAsia="es-ES"/>
        </w:rPr>
      </w:pPr>
    </w:p>
    <w:bookmarkEnd w:id="1"/>
    <w:p w14:paraId="7F425372" w14:textId="77777777" w:rsidR="009270B3" w:rsidRDefault="009270B3" w:rsidP="009270B3">
      <w:pPr>
        <w:spacing w:after="0" w:line="240" w:lineRule="auto"/>
        <w:ind w:left="709" w:right="709"/>
        <w:jc w:val="both"/>
        <w:rPr>
          <w:rFonts w:ascii="Roboto" w:eastAsia="Times New Roman" w:hAnsi="Roboto" w:cs="Times New Roman"/>
          <w:sz w:val="23"/>
          <w:szCs w:val="23"/>
          <w:lang w:eastAsia="es-CO"/>
        </w:rPr>
      </w:pPr>
      <w:r w:rsidRPr="00625E99">
        <w:rPr>
          <w:rFonts w:ascii="Verdana" w:eastAsia="Calibri" w:hAnsi="Verdana" w:cs="Arial"/>
          <w:i/>
          <w:iCs/>
          <w:sz w:val="21"/>
          <w:szCs w:val="21"/>
          <w:lang w:val="es-ES" w:eastAsia="es-ES"/>
        </w:rPr>
        <w:t xml:space="preserve">“(…) </w:t>
      </w:r>
    </w:p>
    <w:p w14:paraId="2E884349" w14:textId="77777777" w:rsidR="009270B3" w:rsidRDefault="009270B3" w:rsidP="009270B3">
      <w:pPr>
        <w:spacing w:after="0" w:line="240" w:lineRule="auto"/>
        <w:ind w:left="709" w:right="709"/>
        <w:jc w:val="both"/>
        <w:rPr>
          <w:rFonts w:ascii="Roboto" w:eastAsia="Times New Roman" w:hAnsi="Roboto" w:cs="Times New Roman"/>
          <w:sz w:val="23"/>
          <w:szCs w:val="23"/>
          <w:lang w:eastAsia="es-CO"/>
        </w:rPr>
      </w:pPr>
    </w:p>
    <w:p w14:paraId="3C8A1F90" w14:textId="77777777" w:rsidR="009270B3" w:rsidRPr="008B1EF2"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PRIMERO. ¿La expresión “Instituciones de Educación Superior públicas” del parágrafo del artículo</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56 de la Ley 2195 de 2022 comprende, para efectos de esa excepción, a todas las IES públicas</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reconocidas por la Ley 30 de 1992, o únicamente a aquellas que cuentan con régimen contractual</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especial?</w:t>
      </w:r>
    </w:p>
    <w:p w14:paraId="19E99B33" w14:textId="77777777" w:rsidR="009270B3" w:rsidRPr="008B1EF2"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SEGUNDO. Si la Agencia considera que la excepción solo cobija a las IES públicas con régimen</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contractual especial, indicar cuál disposición legal establece expresamente esa condición y</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explicar por qué puede incorporarse una calificación que no aparece en el texto del parágrafo.</w:t>
      </w:r>
    </w:p>
    <w:p w14:paraId="31F3BCBC" w14:textId="77777777" w:rsidR="009270B3" w:rsidRDefault="009270B3" w:rsidP="009270B3">
      <w:pPr>
        <w:spacing w:after="0" w:line="240" w:lineRule="auto"/>
        <w:ind w:left="709" w:right="709"/>
        <w:jc w:val="both"/>
        <w:rPr>
          <w:rFonts w:ascii="Roboto" w:eastAsia="Times New Roman" w:hAnsi="Roboto" w:cs="Times New Roman"/>
          <w:sz w:val="23"/>
          <w:szCs w:val="23"/>
          <w:lang w:eastAsia="es-CO"/>
        </w:rPr>
      </w:pPr>
    </w:p>
    <w:p w14:paraId="6E9C3D87" w14:textId="77777777" w:rsidR="009270B3" w:rsidRPr="008B1EF2"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TERCERO. Explicar qué efecto jurídico atribuye la Agencia al hecho de que, durante el trámite</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legislativo, la expresión “Universidades” haya sido sustituida por “Instituciones de Educación</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Superior públicas”, y cómo armoniza su interpretación actual con las intervenciones del debate en</w:t>
      </w:r>
    </w:p>
    <w:p w14:paraId="7AF15DF3" w14:textId="77777777" w:rsidR="009270B3"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las que se indicó que, para las entidades comprendidas en el parágrafo, el pliego tipo “no es una</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obligación” y que su utilización se fomentaría.</w:t>
      </w:r>
    </w:p>
    <w:p w14:paraId="18AE2180" w14:textId="77777777" w:rsidR="009270B3" w:rsidRPr="008B1EF2" w:rsidRDefault="009270B3" w:rsidP="009270B3">
      <w:pPr>
        <w:spacing w:after="0" w:line="240" w:lineRule="auto"/>
        <w:ind w:left="709" w:right="709"/>
        <w:jc w:val="both"/>
        <w:rPr>
          <w:rFonts w:ascii="Roboto" w:eastAsia="Times New Roman" w:hAnsi="Roboto" w:cs="Times New Roman"/>
          <w:sz w:val="23"/>
          <w:szCs w:val="23"/>
          <w:lang w:eastAsia="es-CO"/>
        </w:rPr>
      </w:pPr>
    </w:p>
    <w:p w14:paraId="6B47E677" w14:textId="77777777" w:rsidR="009270B3" w:rsidRPr="008B1EF2"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CUARTO. Precisar cómo debe interpretarse la frase “se exceptúan del presente artículo” frente a</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la regla general de obligatoriedad establecida por la Ley 2022 de 2020. En particular, indicar si el</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 xml:space="preserve">parágrafo solamente </w:t>
      </w:r>
      <w:r w:rsidRPr="008B1EF2">
        <w:rPr>
          <w:rFonts w:ascii="Roboto" w:eastAsia="Times New Roman" w:hAnsi="Roboto" w:cs="Times New Roman"/>
          <w:sz w:val="23"/>
          <w:szCs w:val="23"/>
          <w:lang w:eastAsia="es-CO"/>
        </w:rPr>
        <w:lastRenderedPageBreak/>
        <w:t>exceptúa los negocios regulados por los dos primeros incisos del artículo 56</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o si constituye, respecto del giro ordinario de las entidades allí nombradas, una excepción</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específica a la obligatoriedad del documento tipo.</w:t>
      </w:r>
    </w:p>
    <w:p w14:paraId="4061618F" w14:textId="77777777" w:rsidR="009270B3" w:rsidRDefault="009270B3" w:rsidP="009270B3">
      <w:pPr>
        <w:spacing w:after="0" w:line="240" w:lineRule="auto"/>
        <w:ind w:left="709" w:right="709"/>
        <w:jc w:val="both"/>
        <w:rPr>
          <w:rFonts w:ascii="Roboto" w:eastAsia="Times New Roman" w:hAnsi="Roboto" w:cs="Times New Roman"/>
          <w:sz w:val="23"/>
          <w:szCs w:val="23"/>
          <w:lang w:eastAsia="es-CO"/>
        </w:rPr>
      </w:pPr>
    </w:p>
    <w:p w14:paraId="72E88E3A" w14:textId="77777777" w:rsidR="009270B3" w:rsidRPr="008B1EF2"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QUINTO. Precisar si la Resolución 539 de 2025 y la Matriz 1 – Experiencia Sector Educativo, por</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sí solas, pueden hacer obligatorio el documento tipo para una IES pública organizada como</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establecimiento público cuando la contratación corresponde a su giro ordinario, o si antes debe</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resolverse el alcance de la excepción legal del artículo 56.</w:t>
      </w:r>
    </w:p>
    <w:p w14:paraId="5EA53AC2" w14:textId="77777777" w:rsidR="009270B3" w:rsidRDefault="009270B3" w:rsidP="009270B3">
      <w:pPr>
        <w:spacing w:after="0" w:line="240" w:lineRule="auto"/>
        <w:ind w:left="709" w:right="709"/>
        <w:jc w:val="both"/>
        <w:rPr>
          <w:rFonts w:ascii="Roboto" w:eastAsia="Times New Roman" w:hAnsi="Roboto" w:cs="Times New Roman"/>
          <w:sz w:val="23"/>
          <w:szCs w:val="23"/>
          <w:lang w:eastAsia="es-CO"/>
        </w:rPr>
      </w:pPr>
    </w:p>
    <w:p w14:paraId="03CC0FB4" w14:textId="77777777" w:rsidR="009270B3" w:rsidRPr="008B1EF2"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SEXTO. Indicar cuál es hoy la posición institucional vigente de Colombia Compra Eficiente sobre</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este punto y, si la interpretación del Concepto C-1180 se mantiene, exponer de manera expresa</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cómo se concilia con el texto final de la Ley 2195 de 2022 y con los antecedentes legislativos</w:t>
      </w:r>
    </w:p>
    <w:p w14:paraId="46831D18" w14:textId="77777777" w:rsidR="009270B3" w:rsidRPr="008B1EF2"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señalados.</w:t>
      </w:r>
    </w:p>
    <w:p w14:paraId="2EFFFE1B" w14:textId="77777777" w:rsidR="009270B3" w:rsidRDefault="009270B3" w:rsidP="009270B3">
      <w:pPr>
        <w:spacing w:after="0" w:line="240" w:lineRule="auto"/>
        <w:ind w:left="709" w:right="709"/>
        <w:jc w:val="both"/>
        <w:rPr>
          <w:rFonts w:ascii="Roboto" w:eastAsia="Times New Roman" w:hAnsi="Roboto" w:cs="Times New Roman"/>
          <w:sz w:val="23"/>
          <w:szCs w:val="23"/>
          <w:lang w:eastAsia="es-CO"/>
        </w:rPr>
      </w:pPr>
    </w:p>
    <w:p w14:paraId="2DC42A3A" w14:textId="77777777" w:rsidR="009270B3"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SÉPTIMO. Explicar cómo se armoniza la interpretación acogida en el Concepto C-1180 de 2026</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con la jurisprudencia del Consejo de Estado según la cual la autoridad administrativa no puede</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establecer requisitos adicionales no previstos por el legislador. En particular, precisar por qué la</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exigencia de que la IES pública cuente con “régimen contractual especial” no constituiría una</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condición adicional frente al texto del parágrafo del artículo 56 de la Ley 2195 de 2022.</w:t>
      </w:r>
    </w:p>
    <w:p w14:paraId="5994B36F" w14:textId="77777777" w:rsidR="009270B3" w:rsidRPr="008B1EF2" w:rsidRDefault="009270B3" w:rsidP="009270B3">
      <w:pPr>
        <w:spacing w:after="0" w:line="240" w:lineRule="auto"/>
        <w:ind w:left="709" w:right="709"/>
        <w:jc w:val="both"/>
        <w:rPr>
          <w:rFonts w:ascii="Roboto" w:eastAsia="Times New Roman" w:hAnsi="Roboto" w:cs="Times New Roman"/>
          <w:sz w:val="23"/>
          <w:szCs w:val="23"/>
          <w:lang w:eastAsia="es-CO"/>
        </w:rPr>
      </w:pPr>
    </w:p>
    <w:p w14:paraId="38B4844A" w14:textId="77777777" w:rsidR="009270B3" w:rsidRPr="008B1EF2"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OCTAVO. Indicar si la limitación de la excepción a las IES públicas con régimen contractual</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especial proviene de una disposición legal expresa o de una interpretación sistemática o</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teleológica realizada por la Agencia. En este último caso, identificar de manera precisa las normas,</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reglas de interpretación y antecedentes que, a juicio de Colombia Compra Eficiente, permiten</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restringir el alcance literal de la expresión “Instituciones de Educación Superior públicas”.</w:t>
      </w:r>
    </w:p>
    <w:p w14:paraId="0043D1FE" w14:textId="77777777" w:rsidR="009270B3" w:rsidRDefault="009270B3" w:rsidP="009270B3">
      <w:pPr>
        <w:spacing w:after="0" w:line="240" w:lineRule="auto"/>
        <w:ind w:left="709" w:right="709"/>
        <w:jc w:val="both"/>
        <w:rPr>
          <w:rFonts w:ascii="Roboto" w:eastAsia="Times New Roman" w:hAnsi="Roboto" w:cs="Times New Roman"/>
          <w:sz w:val="23"/>
          <w:szCs w:val="23"/>
          <w:lang w:eastAsia="es-CO"/>
        </w:rPr>
      </w:pPr>
    </w:p>
    <w:p w14:paraId="44DBBF36" w14:textId="77777777" w:rsidR="009270B3" w:rsidRDefault="009270B3" w:rsidP="009270B3">
      <w:pPr>
        <w:spacing w:after="0" w:line="240" w:lineRule="auto"/>
        <w:ind w:left="709" w:right="709"/>
        <w:jc w:val="both"/>
        <w:rPr>
          <w:rFonts w:ascii="Roboto" w:eastAsia="Times New Roman" w:hAnsi="Roboto" w:cs="Times New Roman"/>
          <w:sz w:val="23"/>
          <w:szCs w:val="23"/>
          <w:lang w:eastAsia="es-CO"/>
        </w:rPr>
      </w:pPr>
      <w:r w:rsidRPr="008B1EF2">
        <w:rPr>
          <w:rFonts w:ascii="Roboto" w:eastAsia="Times New Roman" w:hAnsi="Roboto" w:cs="Times New Roman"/>
          <w:sz w:val="23"/>
          <w:szCs w:val="23"/>
          <w:lang w:eastAsia="es-CO"/>
        </w:rPr>
        <w:t>NOVENO. Explicar el alcance de la remisión contenida en la celda C186 de la Matriz 1 –</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Experiencia Sector Educativo a la NTC 4595. En particular, precisar: (i) si Colombia Compra</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Eficiente considera que dicha NTC es directamente aplicable a infraestructura de educación superior; (</w:t>
      </w:r>
      <w:proofErr w:type="spellStart"/>
      <w:r w:rsidRPr="008B1EF2">
        <w:rPr>
          <w:rFonts w:ascii="Roboto" w:eastAsia="Times New Roman" w:hAnsi="Roboto" w:cs="Times New Roman"/>
          <w:sz w:val="23"/>
          <w:szCs w:val="23"/>
          <w:lang w:eastAsia="es-CO"/>
        </w:rPr>
        <w:t>ii</w:t>
      </w:r>
      <w:proofErr w:type="spellEnd"/>
      <w:r w:rsidRPr="008B1EF2">
        <w:rPr>
          <w:rFonts w:ascii="Roboto" w:eastAsia="Times New Roman" w:hAnsi="Roboto" w:cs="Times New Roman"/>
          <w:sz w:val="23"/>
          <w:szCs w:val="23"/>
          <w:lang w:eastAsia="es-CO"/>
        </w:rPr>
        <w:t>) cuál es el fundamento técnico y jurídico de esa aplicación, teniendo en cuenta</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que la</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NTC 4595 se orienta por la Ley 115 de 1994 y define “institución educativa” con referencia a los</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niveles preescolar, básica y media; (</w:t>
      </w:r>
      <w:proofErr w:type="spellStart"/>
      <w:r w:rsidRPr="008B1EF2">
        <w:rPr>
          <w:rFonts w:ascii="Roboto" w:eastAsia="Times New Roman" w:hAnsi="Roboto" w:cs="Times New Roman"/>
          <w:sz w:val="23"/>
          <w:szCs w:val="23"/>
          <w:lang w:eastAsia="es-CO"/>
        </w:rPr>
        <w:t>iii</w:t>
      </w:r>
      <w:proofErr w:type="spellEnd"/>
      <w:r w:rsidRPr="008B1EF2">
        <w:rPr>
          <w:rFonts w:ascii="Roboto" w:eastAsia="Times New Roman" w:hAnsi="Roboto" w:cs="Times New Roman"/>
          <w:sz w:val="23"/>
          <w:szCs w:val="23"/>
          <w:lang w:eastAsia="es-CO"/>
        </w:rPr>
        <w:t>) si la referencia a los ambientes tipo D y F constituye</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 xml:space="preserve">únicamente una </w:t>
      </w:r>
      <w:r w:rsidRPr="008B1EF2">
        <w:rPr>
          <w:rFonts w:ascii="Roboto" w:eastAsia="Times New Roman" w:hAnsi="Roboto" w:cs="Times New Roman"/>
          <w:sz w:val="23"/>
          <w:szCs w:val="23"/>
          <w:lang w:eastAsia="es-CO"/>
        </w:rPr>
        <w:lastRenderedPageBreak/>
        <w:t>analogía o criterio técnico auxiliar; y (</w:t>
      </w:r>
      <w:proofErr w:type="spellStart"/>
      <w:r w:rsidRPr="008B1EF2">
        <w:rPr>
          <w:rFonts w:ascii="Roboto" w:eastAsia="Times New Roman" w:hAnsi="Roboto" w:cs="Times New Roman"/>
          <w:sz w:val="23"/>
          <w:szCs w:val="23"/>
          <w:lang w:eastAsia="es-CO"/>
        </w:rPr>
        <w:t>iv</w:t>
      </w:r>
      <w:proofErr w:type="spellEnd"/>
      <w:r w:rsidRPr="008B1EF2">
        <w:rPr>
          <w:rFonts w:ascii="Roboto" w:eastAsia="Times New Roman" w:hAnsi="Roboto" w:cs="Times New Roman"/>
          <w:sz w:val="23"/>
          <w:szCs w:val="23"/>
          <w:lang w:eastAsia="es-CO"/>
        </w:rPr>
        <w:t>) cómo se armoniza esa remisión con la</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conclusión del Concepto C-246 de 2026 según la cual las instalaciones de las IES se consideran</w:t>
      </w:r>
      <w:r>
        <w:rPr>
          <w:rFonts w:ascii="Roboto" w:eastAsia="Times New Roman" w:hAnsi="Roboto" w:cs="Times New Roman"/>
          <w:sz w:val="23"/>
          <w:szCs w:val="23"/>
          <w:lang w:eastAsia="es-CO"/>
        </w:rPr>
        <w:t xml:space="preserve"> </w:t>
      </w:r>
      <w:r w:rsidRPr="008B1EF2">
        <w:rPr>
          <w:rFonts w:ascii="Roboto" w:eastAsia="Times New Roman" w:hAnsi="Roboto" w:cs="Times New Roman"/>
          <w:sz w:val="23"/>
          <w:szCs w:val="23"/>
          <w:lang w:eastAsia="es-CO"/>
        </w:rPr>
        <w:t>“infraestructura educativa” a partir de la clasificación I-3 de la NSR-10.</w:t>
      </w:r>
    </w:p>
    <w:p w14:paraId="3D434E77" w14:textId="77777777" w:rsidR="009270B3" w:rsidRPr="00625E99" w:rsidRDefault="009270B3" w:rsidP="009270B3">
      <w:pPr>
        <w:spacing w:after="0" w:line="240" w:lineRule="auto"/>
        <w:ind w:left="709" w:right="709"/>
        <w:jc w:val="both"/>
        <w:rPr>
          <w:rFonts w:ascii="Verdana" w:eastAsia="Calibri" w:hAnsi="Verdana" w:cs="Arial"/>
          <w:i/>
          <w:iCs/>
          <w:sz w:val="21"/>
          <w:szCs w:val="21"/>
          <w:lang w:val="es-ES" w:eastAsia="es-ES"/>
        </w:rPr>
      </w:pPr>
    </w:p>
    <w:p w14:paraId="5A25F6E8" w14:textId="77777777" w:rsidR="009270B3" w:rsidRPr="00625E99" w:rsidRDefault="009270B3" w:rsidP="009270B3">
      <w:pPr>
        <w:spacing w:after="0" w:line="240" w:lineRule="auto"/>
        <w:ind w:left="709" w:right="709"/>
        <w:jc w:val="both"/>
        <w:rPr>
          <w:rFonts w:ascii="Verdana" w:eastAsia="Calibri" w:hAnsi="Verdana" w:cs="Arial"/>
          <w:i/>
          <w:iCs/>
          <w:sz w:val="21"/>
          <w:szCs w:val="21"/>
          <w:lang w:eastAsia="es-ES"/>
        </w:rPr>
      </w:pPr>
      <w:r w:rsidRPr="00625E99">
        <w:rPr>
          <w:rFonts w:ascii="Verdana" w:eastAsia="Calibri" w:hAnsi="Verdana" w:cs="Arial"/>
          <w:i/>
          <w:iCs/>
          <w:sz w:val="21"/>
          <w:szCs w:val="21"/>
          <w:lang w:eastAsia="es-ES"/>
        </w:rPr>
        <w:t xml:space="preserve"> </w:t>
      </w:r>
      <w:r w:rsidRPr="00625E99">
        <w:rPr>
          <w:rFonts w:ascii="Verdana" w:eastAsia="Calibri" w:hAnsi="Verdana" w:cs="Arial"/>
          <w:i/>
          <w:iCs/>
          <w:sz w:val="21"/>
          <w:szCs w:val="21"/>
          <w:lang w:val="es-ES" w:eastAsia="es-ES"/>
        </w:rPr>
        <w:t>(…)</w:t>
      </w:r>
      <w:r w:rsidRPr="00625E99">
        <w:rPr>
          <w:rFonts w:ascii="Verdana" w:eastAsia="Calibri" w:hAnsi="Verdana" w:cs="Arial"/>
          <w:i/>
          <w:iCs/>
          <w:sz w:val="21"/>
          <w:szCs w:val="21"/>
          <w:lang w:eastAsia="es-ES"/>
        </w:rPr>
        <w:t>”</w:t>
      </w:r>
    </w:p>
    <w:p w14:paraId="7D7E0DA6" w14:textId="77777777" w:rsidR="009270B3" w:rsidRPr="003125D1" w:rsidRDefault="009270B3" w:rsidP="009270B3">
      <w:pPr>
        <w:spacing w:after="0" w:line="276" w:lineRule="auto"/>
        <w:ind w:left="709" w:right="709"/>
        <w:jc w:val="both"/>
        <w:rPr>
          <w:rFonts w:ascii="Verdana" w:eastAsia="Times New Roman" w:hAnsi="Verdana" w:cs="Times New Roman"/>
          <w:lang w:eastAsia="es-CO"/>
        </w:rPr>
      </w:pPr>
    </w:p>
    <w:p w14:paraId="67DEA4AB" w14:textId="77777777" w:rsidR="009270B3" w:rsidRPr="003125D1" w:rsidRDefault="009270B3" w:rsidP="009270B3">
      <w:pPr>
        <w:spacing w:after="120" w:line="276" w:lineRule="auto"/>
        <w:ind w:firstLine="709"/>
        <w:jc w:val="both"/>
        <w:rPr>
          <w:rFonts w:ascii="Verdana" w:eastAsia="Calibri" w:hAnsi="Verdana" w:cs="Arial"/>
          <w:lang w:val="es-ES_tradnl" w:eastAsia="es-ES_tradnl"/>
        </w:rPr>
      </w:pPr>
      <w:r w:rsidRPr="003125D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125D1">
        <w:rPr>
          <w:rFonts w:ascii="Verdana" w:eastAsia="Calibri" w:hAnsi="Verdana" w:cs="Arial"/>
          <w:lang w:val="es-ES_tradnl" w:eastAsia="es-ES_tradnl"/>
        </w:rPr>
        <w:tab/>
      </w:r>
    </w:p>
    <w:p w14:paraId="63602EA1" w14:textId="77777777" w:rsidR="009270B3" w:rsidRPr="003125D1" w:rsidRDefault="009270B3" w:rsidP="009270B3">
      <w:pPr>
        <w:spacing w:after="0" w:line="276" w:lineRule="auto"/>
        <w:ind w:firstLine="708"/>
        <w:jc w:val="both"/>
        <w:rPr>
          <w:rFonts w:ascii="Verdana" w:eastAsia="Calibri" w:hAnsi="Verdana" w:cs="Arial"/>
          <w:lang w:val="es-ES" w:eastAsia="es-ES"/>
        </w:rPr>
      </w:pPr>
      <w:r w:rsidRPr="003125D1">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BE9AFA6" w14:textId="77777777" w:rsidR="009270B3" w:rsidRPr="003125D1" w:rsidRDefault="009270B3" w:rsidP="009270B3">
      <w:pPr>
        <w:spacing w:after="0" w:line="276" w:lineRule="auto"/>
        <w:ind w:firstLine="709"/>
        <w:jc w:val="both"/>
        <w:rPr>
          <w:rFonts w:ascii="Verdana" w:eastAsia="Calibri" w:hAnsi="Verdana" w:cs="Arial"/>
          <w:lang w:val="es-ES" w:eastAsia="es-ES"/>
        </w:rPr>
      </w:pPr>
    </w:p>
    <w:p w14:paraId="4F04795A" w14:textId="77777777" w:rsidR="009270B3" w:rsidRPr="003125D1" w:rsidRDefault="009270B3" w:rsidP="009270B3">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Problema planteado:</w:t>
      </w:r>
    </w:p>
    <w:p w14:paraId="79B049E2" w14:textId="77777777" w:rsidR="009270B3" w:rsidRPr="003125D1" w:rsidRDefault="009270B3" w:rsidP="009270B3">
      <w:pPr>
        <w:tabs>
          <w:tab w:val="left" w:pos="426"/>
        </w:tabs>
        <w:spacing w:after="0" w:line="276" w:lineRule="auto"/>
        <w:jc w:val="both"/>
        <w:rPr>
          <w:rFonts w:ascii="Verdana" w:eastAsia="Century Gothic" w:hAnsi="Verdana" w:cs="Century Gothic"/>
          <w:lang w:val="es-ES"/>
        </w:rPr>
      </w:pPr>
    </w:p>
    <w:p w14:paraId="7B0F5B49" w14:textId="77777777" w:rsidR="009270B3" w:rsidRDefault="009270B3" w:rsidP="009270B3">
      <w:pPr>
        <w:spacing w:line="276" w:lineRule="auto"/>
        <w:jc w:val="both"/>
        <w:rPr>
          <w:rFonts w:ascii="Verdana" w:eastAsia="Century Gothic" w:hAnsi="Verdana" w:cs="Century Gothic"/>
          <w:b/>
          <w:bCs/>
          <w:lang w:val="es-ES"/>
        </w:rPr>
      </w:pPr>
      <w:r w:rsidRPr="003125D1">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Pr>
          <w:rFonts w:ascii="Verdana" w:eastAsia="Calibri" w:hAnsi="Verdana" w:cs="Arial"/>
          <w:color w:val="000000" w:themeColor="text1"/>
        </w:rPr>
        <w:t xml:space="preserve">I). </w:t>
      </w:r>
      <w:r w:rsidRPr="00C24209">
        <w:rPr>
          <w:rFonts w:ascii="Verdana" w:eastAsia="Calibri" w:hAnsi="Verdana" w:cs="Arial"/>
          <w:color w:val="000000" w:themeColor="text1"/>
        </w:rPr>
        <w:t>¿Cuál es el alcance de los conceptos que emite la Agencia Nacional de Contratación Pública – Colombia Compra Eficiente en ejercicio de su función consultiva?;</w:t>
      </w:r>
      <w:r>
        <w:rPr>
          <w:rFonts w:ascii="Verdana" w:eastAsia="Century Gothic" w:hAnsi="Verdana" w:cs="Century Gothic"/>
        </w:rPr>
        <w:t xml:space="preserve">II). </w:t>
      </w:r>
      <w:r w:rsidRPr="00025BAE">
        <w:rPr>
          <w:rFonts w:ascii="Verdana" w:eastAsia="Century Gothic" w:hAnsi="Verdana" w:cs="Century Gothic"/>
        </w:rPr>
        <w:t>¿Todas las Instituciones de Educación Superior públicas están comprendidas en la excepción prevista en el parágrafo del artículo 56 de la Ley 2195 de 2022, o su aplicación depende de la naturaleza jurídica de la institución y del régimen contractual que le resulte aplicable?</w:t>
      </w:r>
      <w:r>
        <w:rPr>
          <w:rFonts w:ascii="Verdana" w:eastAsia="Century Gothic" w:hAnsi="Verdana" w:cs="Century Gothic"/>
        </w:rPr>
        <w:t xml:space="preserve">, III). </w:t>
      </w:r>
      <w:r w:rsidRPr="00C24209">
        <w:rPr>
          <w:rFonts w:ascii="Verdana" w:eastAsia="Calibri" w:hAnsi="Verdana" w:cs="Arial"/>
          <w:color w:val="000000" w:themeColor="text1"/>
        </w:rPr>
        <w:t xml:space="preserve">¿Los antecedentes legislativos del parágrafo del artículo 56 de la Ley 2195 de 2022 permiten concluir que la excepción cobija a las instituciones de educación superior públicas sometidas al Estatuto General de Contratación de la </w:t>
      </w:r>
      <w:r w:rsidRPr="00C24209">
        <w:rPr>
          <w:rFonts w:ascii="Verdana" w:eastAsia="Calibri" w:hAnsi="Verdana" w:cs="Arial"/>
          <w:color w:val="000000" w:themeColor="text1"/>
        </w:rPr>
        <w:lastRenderedPageBreak/>
        <w:t>Administración Pública?</w:t>
      </w:r>
      <w:r>
        <w:rPr>
          <w:rFonts w:ascii="Verdana" w:eastAsia="Calibri" w:hAnsi="Verdana" w:cs="Arial"/>
          <w:color w:val="000000" w:themeColor="text1"/>
        </w:rPr>
        <w:t xml:space="preserve"> y IV). </w:t>
      </w:r>
      <w:r w:rsidRPr="009D5308">
        <w:rPr>
          <w:rFonts w:ascii="Verdana" w:eastAsia="Century Gothic" w:hAnsi="Verdana" w:cs="Century Gothic"/>
          <w:lang w:eastAsia="es-MX"/>
        </w:rPr>
        <w:t>¿Los documentos tipo del sector educativo aplican para realizar obras que recaigan sobre Instituciones de Educación superior?</w:t>
      </w:r>
    </w:p>
    <w:p w14:paraId="172DE6D9" w14:textId="77777777" w:rsidR="009270B3" w:rsidRPr="00F90C7D" w:rsidRDefault="009270B3" w:rsidP="009270B3">
      <w:pPr>
        <w:pStyle w:val="Prrafodelista"/>
        <w:numPr>
          <w:ilvl w:val="0"/>
          <w:numId w:val="16"/>
        </w:numPr>
        <w:spacing w:line="276" w:lineRule="auto"/>
        <w:jc w:val="both"/>
        <w:rPr>
          <w:rFonts w:ascii="Verdana" w:eastAsia="Century Gothic" w:hAnsi="Verdana" w:cs="Century Gothic"/>
          <w:b/>
          <w:bCs/>
        </w:rPr>
      </w:pPr>
      <w:r w:rsidRPr="00F90C7D">
        <w:rPr>
          <w:rFonts w:ascii="Verdana" w:eastAsia="Century Gothic" w:hAnsi="Verdana" w:cs="Century Gothic"/>
          <w:b/>
          <w:bCs/>
        </w:rPr>
        <w:t>Respuesta:</w:t>
      </w:r>
    </w:p>
    <w:p w14:paraId="56FDD8E4" w14:textId="77777777" w:rsidR="009270B3" w:rsidRPr="00AB496C" w:rsidRDefault="009270B3" w:rsidP="009270B3">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270B3" w:rsidRPr="004048FF" w14:paraId="50B544E5" w14:textId="77777777" w:rsidTr="00970515">
        <w:trPr>
          <w:trHeight w:val="1057"/>
        </w:trPr>
        <w:tc>
          <w:tcPr>
            <w:tcW w:w="8828" w:type="dxa"/>
            <w:tcBorders>
              <w:top w:val="dotted" w:sz="4" w:space="0" w:color="auto"/>
              <w:left w:val="dotted" w:sz="4" w:space="0" w:color="auto"/>
              <w:bottom w:val="dotted" w:sz="4" w:space="0" w:color="auto"/>
              <w:right w:val="dotted" w:sz="4" w:space="0" w:color="auto"/>
            </w:tcBorders>
          </w:tcPr>
          <w:p w14:paraId="6376764C" w14:textId="77777777" w:rsidR="009270B3" w:rsidRPr="006E69FD" w:rsidRDefault="009270B3" w:rsidP="00970515">
            <w:pPr>
              <w:spacing w:before="120" w:after="120" w:line="276" w:lineRule="auto"/>
              <w:jc w:val="both"/>
              <w:rPr>
                <w:rFonts w:ascii="Verdana" w:eastAsia="Calibri" w:hAnsi="Verdana" w:cs="Arial"/>
                <w:color w:val="000000" w:themeColor="text1"/>
              </w:rPr>
            </w:pPr>
            <w:r>
              <w:rPr>
                <w:rFonts w:ascii="Verdana" w:eastAsia="Century Gothic" w:hAnsi="Verdana" w:cs="Century Gothic"/>
              </w:rPr>
              <w:t xml:space="preserve">I). </w:t>
            </w:r>
            <w:r w:rsidRPr="00C24209">
              <w:rPr>
                <w:rFonts w:ascii="Verdana" w:eastAsia="Calibri" w:hAnsi="Verdana" w:cs="Arial"/>
                <w:bCs/>
                <w:color w:val="000000" w:themeColor="text1"/>
                <w:lang w:eastAsia="es-MX"/>
              </w:rPr>
              <w:t>L</w:t>
            </w:r>
            <w:r w:rsidRPr="00C24209">
              <w:rPr>
                <w:rFonts w:ascii="Verdana" w:eastAsia="Calibri" w:hAnsi="Verdana" w:cs="Arial"/>
                <w:color w:val="000000" w:themeColor="text1"/>
              </w:rPr>
              <w:t>os conceptos emitidos por la Agencia Nacional de Contratación Pública – Colombia Compra Eficiente en ejercicio de su función consultiva constituyen criterios de interpretación sobre normas de carácter general aplicables al Sistema de Compra Pública. No obstante, de conformidad con el artículo 28 de la Ley 1437 de 2011, los conceptos emitidos por las autoridades en respuesta a consultas no son de obligatorio cumplimiento o ejecución y, por tanto, carecen de efectos vinculantes. En esa medida, constituyen una posición jurídica institucional que orienta a los partícipes del sistema, sin perjuicio de la autonomía de las entidades para adoptar sus decisiones y de la competencia que corresponde a las autoridades judiciales para resolver definitivamente las controversias sobre interpretación y aplicación del ordenamiento jurídico.</w:t>
            </w:r>
          </w:p>
          <w:p w14:paraId="52A528C9" w14:textId="77777777" w:rsidR="009270B3" w:rsidRDefault="009270B3" w:rsidP="00970515">
            <w:pPr>
              <w:tabs>
                <w:tab w:val="left" w:pos="0"/>
              </w:tabs>
              <w:snapToGrid w:val="0"/>
              <w:spacing w:before="120" w:after="120" w:line="276" w:lineRule="auto"/>
              <w:jc w:val="both"/>
              <w:rPr>
                <w:rFonts w:ascii="Verdana" w:eastAsia="Calibri" w:hAnsi="Verdana" w:cs="Arial"/>
                <w:color w:val="000000" w:themeColor="text1"/>
              </w:rPr>
            </w:pPr>
            <w:r>
              <w:rPr>
                <w:rFonts w:ascii="Verdana" w:eastAsia="Century Gothic" w:hAnsi="Verdana" w:cs="Century Gothic"/>
              </w:rPr>
              <w:t>II).</w:t>
            </w:r>
            <w:r w:rsidRPr="00C24209">
              <w:rPr>
                <w:rFonts w:ascii="Verdana" w:eastAsia="Calibri" w:hAnsi="Verdana" w:cs="Arial"/>
                <w:color w:val="000000" w:themeColor="text1"/>
                <w:lang w:val="es-MX"/>
              </w:rPr>
              <w:t xml:space="preserve"> </w:t>
            </w:r>
            <w:r w:rsidRPr="00DA1F04">
              <w:rPr>
                <w:rFonts w:ascii="Verdana" w:eastAsia="Calibri" w:hAnsi="Verdana" w:cs="Arial"/>
                <w:color w:val="000000" w:themeColor="text1"/>
              </w:rPr>
              <w:t>No todas las Instituciones de Educación Superior públicas son destinatarias de la excepción prevista en el parágrafo del artículo 56 de la Ley 2195 de 2022. Para determinar si una institución se encuentra comprendida en dicha excepción, no basta con verificar su naturaleza pública ni su reconocimiento como institución de educación superior en los términos de la Ley 30 de 1992. Es necesario examinar, de manera particular, su naturaleza jurídica y el régimen contractual que le resulta aplicable.</w:t>
            </w:r>
          </w:p>
          <w:p w14:paraId="251A856E" w14:textId="77777777" w:rsidR="009270B3" w:rsidRPr="0037639B" w:rsidRDefault="009270B3" w:rsidP="00970515">
            <w:pPr>
              <w:tabs>
                <w:tab w:val="left" w:pos="0"/>
              </w:tabs>
              <w:snapToGrid w:val="0"/>
              <w:spacing w:before="120" w:after="120" w:line="276" w:lineRule="auto"/>
              <w:ind w:firstLine="709"/>
              <w:jc w:val="both"/>
              <w:rPr>
                <w:rFonts w:ascii="Verdana" w:eastAsia="Calibri" w:hAnsi="Verdana" w:cs="Arial"/>
                <w:color w:val="000000" w:themeColor="text1"/>
              </w:rPr>
            </w:pPr>
            <w:r w:rsidRPr="0037639B">
              <w:rPr>
                <w:rFonts w:ascii="Verdana" w:eastAsia="Calibri" w:hAnsi="Verdana" w:cs="Arial"/>
                <w:color w:val="000000" w:themeColor="text1"/>
              </w:rPr>
              <w:t>En consecuencia, la excepción no cobija automáticamente a todas las instituciones que integran el sistema de educación superior, sino únicamente a aquellas que, atendiendo a sus características jurídicas y a su régimen de contratación, se encuentren comprendidas en el supuesto normativo previsto en el parágrafo del artículo 56 de la Ley 2195 de 2022.</w:t>
            </w:r>
          </w:p>
          <w:p w14:paraId="057DA1B5" w14:textId="77777777" w:rsidR="009270B3" w:rsidRDefault="009270B3" w:rsidP="00970515">
            <w:pPr>
              <w:tabs>
                <w:tab w:val="left" w:pos="0"/>
              </w:tabs>
              <w:snapToGrid w:val="0"/>
              <w:spacing w:before="120" w:after="120" w:line="276" w:lineRule="auto"/>
              <w:ind w:firstLine="709"/>
              <w:jc w:val="both"/>
              <w:rPr>
                <w:rFonts w:ascii="Verdana" w:eastAsia="Calibri" w:hAnsi="Verdana" w:cs="Arial"/>
                <w:color w:val="000000" w:themeColor="text1"/>
              </w:rPr>
            </w:pPr>
            <w:r w:rsidRPr="0037639B">
              <w:rPr>
                <w:rFonts w:ascii="Verdana" w:eastAsia="Calibri" w:hAnsi="Verdana" w:cs="Arial"/>
                <w:color w:val="000000" w:themeColor="text1"/>
              </w:rPr>
              <w:t>Por tanto, la condición de institución de educación superior pública constituye un elemento de análisis, pero no es suficiente, por sí sola, para determinar la procedencia de la excepción.</w:t>
            </w:r>
          </w:p>
          <w:p w14:paraId="3FB160F0" w14:textId="77777777" w:rsidR="009270B3" w:rsidRDefault="009270B3" w:rsidP="00970515">
            <w:pPr>
              <w:tabs>
                <w:tab w:val="left" w:pos="0"/>
              </w:tabs>
              <w:snapToGrid w:val="0"/>
              <w:spacing w:before="120" w:after="120" w:line="276" w:lineRule="auto"/>
              <w:ind w:firstLine="709"/>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 xml:space="preserve">En el Concepto C-246 del 12 de marzo de 2026, al resolver la pregunta relativa a si una Institución de Educación Superior debe aplicar los documentos tipo expedidos por esta Agencia de conformidad con el artículo 56 de la Ley </w:t>
            </w:r>
            <w:r w:rsidRPr="00C24209">
              <w:rPr>
                <w:rFonts w:ascii="Verdana" w:eastAsia="Calibri" w:hAnsi="Verdana" w:cs="Arial"/>
                <w:color w:val="000000" w:themeColor="text1"/>
                <w:lang w:val="es-MX"/>
              </w:rPr>
              <w:lastRenderedPageBreak/>
              <w:t>2195 de 2022, esta Agencia señaló que “(…) se encuentran exceptuadas de dicha obligación las Instituciones de Educación Superior públicas, las empresas sociales del Estado, las sociedades de economía mixta y las empresas industriales y comerciales del Estado, únicamente en cuanto a la contratación de su giro ordinario, conforme a lo dispuesto en el parágrafo del artículo 56 de la Ley 2195 de 2022”.</w:t>
            </w:r>
          </w:p>
          <w:p w14:paraId="12E0BC45" w14:textId="7CA97A5D" w:rsidR="009270B3" w:rsidRPr="00C24209" w:rsidRDefault="009270B3" w:rsidP="00970515">
            <w:pPr>
              <w:tabs>
                <w:tab w:val="left" w:pos="0"/>
              </w:tabs>
              <w:snapToGrid w:val="0"/>
              <w:spacing w:before="120" w:after="120" w:line="276" w:lineRule="auto"/>
              <w:ind w:firstLine="709"/>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Por su parte, en el Concepto C-488 del 18 de junio de 2026 –cuya postura fue retomada del concepto de unificación CU-870 del 13 de agosto de 202</w:t>
            </w:r>
            <w:r w:rsidR="004D6961">
              <w:rPr>
                <w:rFonts w:ascii="Verdana" w:eastAsia="Calibri" w:hAnsi="Verdana" w:cs="Arial"/>
                <w:color w:val="000000" w:themeColor="text1"/>
                <w:lang w:val="es-MX"/>
              </w:rPr>
              <w:t>5</w:t>
            </w:r>
            <w:r w:rsidRPr="00C24209">
              <w:rPr>
                <w:rFonts w:ascii="Verdana" w:eastAsia="Calibri" w:hAnsi="Verdana" w:cs="Arial"/>
                <w:color w:val="000000" w:themeColor="text1"/>
                <w:lang w:val="es-MX"/>
              </w:rPr>
              <w:t>–, esta Agencia reiteró y profundizó dicha interpretación, señalando que el parágrafo del artículo 56 de la Ley 2195 de 2022, al constituir una norma de carácter excepcional, debe ser objeto de interpretación restrictiva, esto es, apegada a lo que literalmente se desprende de su texto. Bajo esa lógica, se concluyó que la excepción allí prevista se formula: “(…) respecto de ciertos tipos de Entidades Estatales, las cuales son mencionadas por su naturaleza jurídica, sin que se incluya consideración alguna relacionada con el régimen jurídico al que se encuentren sometidas (…) 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 no resulta extensible a entidades que no cuenten con dicha naturaleza”.</w:t>
            </w:r>
            <w:r w:rsidRPr="00C24209">
              <w:rPr>
                <w:rFonts w:ascii="Verdana" w:eastAsia="Calibri" w:hAnsi="Verdana" w:cs="Arial"/>
                <w:bCs/>
                <w:color w:val="000000" w:themeColor="text1"/>
                <w:lang w:val="es-ES_tradnl" w:eastAsia="es-ES_tradnl"/>
              </w:rPr>
              <w:t xml:space="preserve"> </w:t>
            </w:r>
          </w:p>
          <w:p w14:paraId="52A357D1" w14:textId="77777777" w:rsidR="009270B3" w:rsidRPr="00C24209" w:rsidRDefault="009270B3" w:rsidP="00970515">
            <w:pPr>
              <w:tabs>
                <w:tab w:val="left" w:pos="0"/>
              </w:tabs>
              <w:snapToGrid w:val="0"/>
              <w:spacing w:before="120" w:after="120" w:line="276" w:lineRule="auto"/>
              <w:ind w:firstLine="709"/>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No obstante lo anterior, esta Agencia advierte que tanto el Concepto C-246 de 2026 como el Concepto C-488 de 2026 centraron su análisis en la denominación o naturaleza jurídica genérica de las entidades mencionadas en el parágrafo del artículo 56 –esto es, en el hecho de que se trate, formalmente, de una “Institución de Educación Superior pública”–, sin detenerse a examinar si, dentro de dicha categoría genérica, existen tipos de instituciones sometidas a regímenes de contratación distintos entre sí. En esa medida, si bien ambos conceptos acertaron al identificar que la excepción del parágrafo del artículo 56 opera en función de la naturaleza jurídica de los sujetos allí enunciados y no en función de un régimen contractual autónomamente considerado, dicha conclusión no puede entenderse en el sentido de que toda entidad que ostente la denominación genérica de “Institución de Educación Superior pública” resulte, por esa sola razón, cobijada por la excepción del parágrafo del artículo 56 de la Ley 2195 de 2022, con independencia de su régimen de contratación.</w:t>
            </w:r>
          </w:p>
          <w:p w14:paraId="46BD649F" w14:textId="47AE3AAE" w:rsidR="00D56F19" w:rsidRPr="00C24209" w:rsidRDefault="00D56F19" w:rsidP="00970515">
            <w:pPr>
              <w:tabs>
                <w:tab w:val="left" w:pos="0"/>
              </w:tabs>
              <w:snapToGrid w:val="0"/>
              <w:spacing w:before="120" w:after="120" w:line="276" w:lineRule="auto"/>
              <w:ind w:firstLine="709"/>
              <w:jc w:val="both"/>
              <w:rPr>
                <w:rFonts w:ascii="Verdana" w:eastAsia="Calibri" w:hAnsi="Verdana" w:cs="Arial"/>
                <w:color w:val="000000" w:themeColor="text1"/>
                <w:lang w:val="es-MX"/>
              </w:rPr>
            </w:pPr>
            <w:r w:rsidRPr="00D56F19">
              <w:rPr>
                <w:rFonts w:ascii="Verdana" w:eastAsia="Calibri" w:hAnsi="Verdana" w:cs="Arial"/>
                <w:color w:val="000000" w:themeColor="text1"/>
                <w:lang w:val="es-MX"/>
              </w:rPr>
              <w:lastRenderedPageBreak/>
              <w:t>Esta distinción fue desarrollada por la Agencia en el Concepto C-1180 de 2026 y reiterada en el Concepto C-1368 del mismo año, en los cuales se precisó el alcance de la excepción prevista en el parágrafo del artículo 56 de la Ley 2195 de 2022, teniendo en cuenta la naturaleza jurídica y el régimen contractual de las instituciones de educación superior públicas. En consecuencia, el análisis que se desarrolla a continuación mantiene la línea doctrinal establecida en dichos pronunciamientos.</w:t>
            </w:r>
          </w:p>
          <w:p w14:paraId="5F6CC1F8" w14:textId="77777777" w:rsidR="009270B3" w:rsidRPr="00C24209" w:rsidRDefault="009270B3" w:rsidP="00970515">
            <w:pPr>
              <w:tabs>
                <w:tab w:val="left" w:pos="0"/>
              </w:tabs>
              <w:snapToGrid w:val="0"/>
              <w:spacing w:before="120" w:after="120" w:line="276" w:lineRule="auto"/>
              <w:ind w:firstLine="709"/>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 xml:space="preserve">Lo anterior, por cuanto, como se desarrollará a continuación, la categoría “Instituciones de Educación Superior públicas” no es jurídicamente homogénea, sino que comprende, cuando menos, dos tipos de instituciones con naturaleza jurídica y régimen de contratación claramente diferenciados, de una parte: i) las universidades estatales u oficiales organizadas como entes universitarios autónomos, sometidas a un régimen especial de derecho privado; y, de otra, ii) las instituciones estatales u oficiales de educación superior que no ostentan el carácter de universidad, organizadas como establecimientos públicos y sometidas al Estatuto General de Contratación de la Administración Pública. Es esta distinción, ausente en los Conceptos C-246 y C-488 de 2026, la que en esta oportunidad la Subdirección de Gestión Contractual de la Agencia Nacional de Contratación Pública – Colombia Compra Eficiente estima necesario precisar, en la medida en que la naturaleza jurídica de “Institución de Educación Superior pública” no resulta, por sí sola, un criterio suficiente para determinar la procedencia de la excepción prevista en el parágrafo del artículo 56 de la Ley 2195 de 2022, sino que debe complementarse con el examen del régimen de contratación específico al que cada tipo de institución se encuentre sometido. Precisamente, este fue el análisis que esta Agencia realizó en el concepto C-160 del 5 de abril de 2022, el cual se reitera en lo pertinente a continuación. </w:t>
            </w:r>
          </w:p>
          <w:p w14:paraId="6A5A2726" w14:textId="77777777" w:rsidR="009270B3" w:rsidRPr="00C24209" w:rsidRDefault="009270B3" w:rsidP="00970515">
            <w:pPr>
              <w:tabs>
                <w:tab w:val="left" w:pos="0"/>
              </w:tabs>
              <w:snapToGrid w:val="0"/>
              <w:spacing w:before="120" w:after="120" w:line="276" w:lineRule="auto"/>
              <w:ind w:firstLine="709"/>
              <w:jc w:val="both"/>
              <w:rPr>
                <w:rFonts w:ascii="Verdana" w:eastAsia="Calibri" w:hAnsi="Verdana" w:cs="Arial"/>
                <w:bCs/>
                <w:color w:val="000000" w:themeColor="text1"/>
                <w:lang w:eastAsia="es-ES_tradnl"/>
              </w:rPr>
            </w:pPr>
            <w:r w:rsidRPr="00C24209">
              <w:rPr>
                <w:rFonts w:ascii="Verdana" w:eastAsia="Calibri" w:hAnsi="Verdana" w:cs="Arial"/>
                <w:color w:val="000000" w:themeColor="text1"/>
                <w:lang w:val="es-MX"/>
              </w:rPr>
              <w:t>La Ley 30 de 1992 regula aspectos como la naturaleza jurídica de las universidades estatales y oficiales, la forma de organizarse y su régimen de contratación. En el artículo 57 se evidencia dos tipos de instituciones de educación superior públicas: i) las universidades</w:t>
            </w:r>
            <w:r w:rsidRPr="00C24209">
              <w:rPr>
                <w:rFonts w:ascii="Verdana" w:eastAsia="Calibri" w:hAnsi="Verdana" w:cs="Arial"/>
                <w:bCs/>
                <w:color w:val="000000" w:themeColor="text1"/>
                <w:lang w:eastAsia="es-ES_tradnl"/>
              </w:rPr>
              <w:t xml:space="preserve"> estatales u oficiales que deben organizarse como entes universitarios autónomos, con régimen especial</w:t>
            </w:r>
            <w:r w:rsidRPr="00C24209">
              <w:rPr>
                <w:rFonts w:ascii="Verdana" w:eastAsia="Times New Roman" w:hAnsi="Verdana" w:cs="Open Sans"/>
                <w:color w:val="000000" w:themeColor="text1"/>
                <w:lang w:eastAsia="es-ES_tradnl"/>
              </w:rPr>
              <w:t xml:space="preserve">, </w:t>
            </w:r>
            <w:r w:rsidRPr="00C24209">
              <w:rPr>
                <w:rFonts w:ascii="Verdana" w:eastAsia="Calibri" w:hAnsi="Verdana" w:cs="Arial"/>
                <w:bCs/>
                <w:color w:val="000000" w:themeColor="text1"/>
                <w:lang w:eastAsia="es-ES_tradnl"/>
              </w:rPr>
              <w:t xml:space="preserve">vinculados al Ministerio de Educación Nacional en lo que se refiere a las políticas y la planeación del sector educativo y </w:t>
            </w:r>
            <w:proofErr w:type="spellStart"/>
            <w:r w:rsidRPr="00C24209">
              <w:rPr>
                <w:rFonts w:ascii="Verdana" w:eastAsia="Calibri" w:hAnsi="Verdana" w:cs="Arial"/>
                <w:bCs/>
                <w:color w:val="000000" w:themeColor="text1"/>
                <w:lang w:eastAsia="es-ES_tradnl"/>
              </w:rPr>
              <w:t>ii</w:t>
            </w:r>
            <w:proofErr w:type="spellEnd"/>
            <w:r w:rsidRPr="00C24209">
              <w:rPr>
                <w:rFonts w:ascii="Verdana" w:eastAsia="Calibri" w:hAnsi="Verdana" w:cs="Arial"/>
                <w:bCs/>
                <w:color w:val="000000" w:themeColor="text1"/>
                <w:lang w:eastAsia="es-ES_tradnl"/>
              </w:rPr>
              <w:t xml:space="preserve">) las instituciones estatales u oficiales de educación superior que no tengan el carácter de universidad, </w:t>
            </w:r>
            <w:r w:rsidRPr="00C24209">
              <w:rPr>
                <w:rFonts w:ascii="Verdana" w:eastAsia="Calibri" w:hAnsi="Verdana" w:cs="Arial"/>
                <w:bCs/>
                <w:color w:val="000000" w:themeColor="text1"/>
                <w:lang w:eastAsia="es-ES_tradnl"/>
              </w:rPr>
              <w:lastRenderedPageBreak/>
              <w:t xml:space="preserve">que deberán organizarse como establecimientos públicos del orden nacional, departamental, distrital o municipal. </w:t>
            </w:r>
          </w:p>
          <w:p w14:paraId="1F9CD7C4" w14:textId="77777777" w:rsidR="009270B3" w:rsidRPr="00C24209" w:rsidRDefault="009270B3" w:rsidP="00970515">
            <w:pPr>
              <w:widowControl w:val="0"/>
              <w:autoSpaceDE w:val="0"/>
              <w:autoSpaceDN w:val="0"/>
              <w:snapToGrid w:val="0"/>
              <w:spacing w:before="120" w:after="120" w:line="276" w:lineRule="auto"/>
              <w:ind w:firstLine="709"/>
              <w:jc w:val="both"/>
              <w:rPr>
                <w:rFonts w:ascii="Aptos" w:eastAsia="Aptos" w:hAnsi="Aptos" w:cs="Times New Roman"/>
                <w:color w:val="000000" w:themeColor="text1"/>
              </w:rPr>
            </w:pPr>
            <w:r w:rsidRPr="00C24209">
              <w:rPr>
                <w:rFonts w:ascii="Verdana" w:eastAsia="Calibri" w:hAnsi="Verdana" w:cs="Arial"/>
                <w:bCs/>
                <w:i/>
                <w:iCs/>
                <w:color w:val="000000" w:themeColor="text1"/>
                <w:lang w:eastAsia="es-ES_tradnl"/>
              </w:rPr>
              <w:t>Las primeras</w:t>
            </w:r>
            <w:r w:rsidRPr="00C24209">
              <w:rPr>
                <w:rFonts w:ascii="Verdana" w:eastAsia="Calibri" w:hAnsi="Verdana" w:cs="Arial"/>
                <w:bCs/>
                <w:color w:val="000000" w:themeColor="text1"/>
                <w:lang w:eastAsia="es-ES_tradnl"/>
              </w:rPr>
              <w:t>, esto es, las universidades estatales u oficiales organizadas como entes autónomos cuentan con régimen especial. En particular, los contratos que para el cumplimiento de sus funciones celebren se regirán por las normas del derecho privado y sus efectos estarán sujetos a las normas civiles y comerciales, según la naturaleza de los contratos.</w:t>
            </w:r>
            <w:r w:rsidRPr="00C24209">
              <w:rPr>
                <w:rFonts w:ascii="Verdana" w:eastAsia="Arial" w:hAnsi="Verdana" w:cs="Arial"/>
                <w:color w:val="000000" w:themeColor="text1"/>
                <w:lang w:val="es-ES"/>
              </w:rPr>
              <w:t xml:space="preserve"> La Ley 489 de 1998, al desarrollar la estructura y organización de la Administración Pública, establece que los entes universitarios hacen parte integral de esta, catalogándolos como entidades públicas de carácter autónomo a las que aplica un régimen especial.</w:t>
            </w:r>
          </w:p>
          <w:p w14:paraId="5F0E3073" w14:textId="77777777" w:rsidR="009270B3" w:rsidRPr="00C24209" w:rsidRDefault="009270B3" w:rsidP="00970515">
            <w:pPr>
              <w:widowControl w:val="0"/>
              <w:autoSpaceDE w:val="0"/>
              <w:autoSpaceDN w:val="0"/>
              <w:snapToGrid w:val="0"/>
              <w:spacing w:before="120" w:after="120" w:line="276" w:lineRule="auto"/>
              <w:ind w:firstLine="709"/>
              <w:jc w:val="both"/>
              <w:rPr>
                <w:rFonts w:ascii="Verdana" w:eastAsia="Arial" w:hAnsi="Verdana" w:cs="Arial"/>
                <w:color w:val="000000" w:themeColor="text1"/>
                <w:lang w:val="es-ES"/>
              </w:rPr>
            </w:pPr>
            <w:r w:rsidRPr="00C24209">
              <w:rPr>
                <w:rFonts w:ascii="Verdana" w:eastAsia="Arial" w:hAnsi="Verdana" w:cs="Arial"/>
                <w:color w:val="000000" w:themeColor="text1"/>
                <w:lang w:val="es-ES"/>
              </w:rPr>
              <w:t>En armonía con lo anterior, se ha considerado que los entes universitarios no son entidades que hagan parte de la rama ejecutiva, ni pueden, por tanto, considerarse entidades descentralizadas, sino que gozan de un régimen especial.</w:t>
            </w:r>
          </w:p>
          <w:p w14:paraId="3E659919" w14:textId="77777777" w:rsidR="009270B3" w:rsidRPr="00C24209" w:rsidRDefault="009270B3" w:rsidP="00970515">
            <w:pPr>
              <w:tabs>
                <w:tab w:val="left" w:pos="0"/>
              </w:tabs>
              <w:snapToGrid w:val="0"/>
              <w:spacing w:before="120" w:after="120" w:line="276" w:lineRule="auto"/>
              <w:ind w:firstLine="709"/>
              <w:jc w:val="both"/>
              <w:rPr>
                <w:rFonts w:ascii="Verdana" w:eastAsia="Calibri" w:hAnsi="Verdana" w:cs="Arial"/>
                <w:bCs/>
                <w:color w:val="000000" w:themeColor="text1"/>
                <w:lang w:val="es-ES" w:eastAsia="es-ES_tradnl"/>
              </w:rPr>
            </w:pPr>
            <w:r w:rsidRPr="00C24209">
              <w:rPr>
                <w:rFonts w:ascii="Verdana" w:eastAsia="Calibri" w:hAnsi="Verdana" w:cs="Arial"/>
                <w:bCs/>
                <w:i/>
                <w:iCs/>
                <w:color w:val="000000" w:themeColor="text1"/>
                <w:lang w:eastAsia="es-ES_tradnl"/>
              </w:rPr>
              <w:t>Las segundas</w:t>
            </w:r>
            <w:r w:rsidRPr="00C24209">
              <w:rPr>
                <w:rFonts w:ascii="Verdana" w:eastAsia="Calibri" w:hAnsi="Verdana" w:cs="Arial"/>
                <w:bCs/>
                <w:color w:val="000000" w:themeColor="text1"/>
                <w:lang w:eastAsia="es-ES_tradnl"/>
              </w:rPr>
              <w:t xml:space="preserve">, es decir, las instituciones estatales u oficiales de educación superior que no tengan el carácter de universidad organizadas como establecimientos públicos, se rigen por las normas del Estatuto General de Contratación de la Administración Pública, de conformidad con lo señalado por el artículo 81 de la Ley 489 de 1998. Esto significa que </w:t>
            </w:r>
            <w:r w:rsidRPr="00C24209">
              <w:rPr>
                <w:rFonts w:ascii="Verdana" w:eastAsia="Calibri" w:hAnsi="Verdana" w:cs="Arial"/>
                <w:bCs/>
                <w:color w:val="000000" w:themeColor="text1"/>
                <w:lang w:val="es-ES" w:eastAsia="es-ES_tradnl"/>
              </w:rPr>
              <w:t xml:space="preserve">los establecimientos públicos son entidades estatales para efectos del EGCAP, por lo que cualquier contrato que celebren deben sujetarse a las normas de la Ley 80 de 1993, Ley 1150 de 2007 y demás normas concordantes. </w:t>
            </w:r>
          </w:p>
          <w:p w14:paraId="5AAF2E72" w14:textId="77777777" w:rsidR="009270B3" w:rsidRPr="00C24209" w:rsidRDefault="009270B3" w:rsidP="00970515">
            <w:pPr>
              <w:tabs>
                <w:tab w:val="left" w:pos="0"/>
              </w:tabs>
              <w:snapToGrid w:val="0"/>
              <w:spacing w:before="120" w:after="120" w:line="276" w:lineRule="auto"/>
              <w:ind w:firstLine="709"/>
              <w:jc w:val="both"/>
              <w:rPr>
                <w:rFonts w:ascii="Verdana" w:eastAsia="Calibri" w:hAnsi="Verdana" w:cs="Arial"/>
                <w:color w:val="000000" w:themeColor="text1"/>
                <w:lang w:eastAsia="es-ES"/>
              </w:rPr>
            </w:pPr>
            <w:r w:rsidRPr="00C24209">
              <w:rPr>
                <w:rFonts w:ascii="Verdana" w:eastAsia="Calibri" w:hAnsi="Verdana" w:cs="Arial"/>
                <w:color w:val="000000" w:themeColor="text1"/>
                <w:u w:val="single"/>
                <w:lang w:eastAsia="es-ES"/>
              </w:rPr>
              <w:t>Con base en estas consideraciones, es posible concluir que el parágrafo del artículo 56 de la Ley 2195 de 2022 únicamente resulta aplicable a las instituciones de educación superior públicas que cuentan con régimen especial y no a aquellas, como los establecimientos públicos, que tienen un régimen de contratación sometido a la Ley 80 de 1993.</w:t>
            </w:r>
            <w:r w:rsidRPr="00C24209">
              <w:rPr>
                <w:rFonts w:ascii="Verdana" w:eastAsia="Calibri" w:hAnsi="Verdana" w:cs="Arial"/>
                <w:color w:val="000000" w:themeColor="text1"/>
                <w:lang w:eastAsia="es-ES"/>
              </w:rPr>
              <w:t xml:space="preserve"> Esta postura se estima adecuada y se ajusta al propósito de la norma en la medida en que, como se explicó, </w:t>
            </w:r>
            <w:r w:rsidRPr="00C24209">
              <w:rPr>
                <w:rFonts w:ascii="Verdana" w:eastAsia="Calibri" w:hAnsi="Verdana" w:cs="Arial"/>
                <w:color w:val="000000" w:themeColor="text1"/>
                <w:lang w:val="es-ES" w:eastAsia="es-ES"/>
              </w:rPr>
              <w:t>un efecto importante de esta norma es la ampliación del ámbito de aplicación de los documentos tipo, al hacerlos obligatorios para unos sujetos que, en principio, de acuerdo con la Ley 2022 de 2020, no estarían sometidos a esos documentos</w:t>
            </w:r>
            <w:r w:rsidRPr="00C24209">
              <w:rPr>
                <w:rFonts w:ascii="Verdana" w:eastAsia="Calibri" w:hAnsi="Verdana" w:cs="Arial"/>
                <w:color w:val="000000" w:themeColor="text1"/>
                <w:lang w:eastAsia="es-ES"/>
              </w:rPr>
              <w:t xml:space="preserve">, tal como se explicó con anterioridad, lo que incluso se deriva del </w:t>
            </w:r>
            <w:r w:rsidRPr="00C24209">
              <w:rPr>
                <w:rFonts w:ascii="Verdana" w:eastAsia="Calibri" w:hAnsi="Verdana" w:cs="Arial"/>
                <w:color w:val="000000" w:themeColor="text1"/>
                <w:lang w:eastAsia="es-ES"/>
              </w:rPr>
              <w:lastRenderedPageBreak/>
              <w:t xml:space="preserve">título del artículo 56 de la Ley 2195 de 2022 denominado “aplicación de los documentos tipo a entidades de régimen especial”. </w:t>
            </w:r>
          </w:p>
          <w:p w14:paraId="0D95A781" w14:textId="77777777" w:rsidR="009270B3" w:rsidRPr="00C24209" w:rsidRDefault="009270B3" w:rsidP="00970515">
            <w:pPr>
              <w:tabs>
                <w:tab w:val="left" w:pos="0"/>
              </w:tabs>
              <w:snapToGrid w:val="0"/>
              <w:spacing w:before="120" w:after="120" w:line="276" w:lineRule="auto"/>
              <w:ind w:firstLine="709"/>
              <w:jc w:val="both"/>
              <w:rPr>
                <w:rFonts w:ascii="Verdana" w:eastAsia="Calibri" w:hAnsi="Verdana" w:cs="Arial"/>
                <w:bCs/>
                <w:color w:val="000000" w:themeColor="text1"/>
                <w:lang w:eastAsia="es-ES_tradnl"/>
              </w:rPr>
            </w:pPr>
            <w:r w:rsidRPr="00C24209">
              <w:rPr>
                <w:rFonts w:ascii="Verdana" w:eastAsia="Calibri" w:hAnsi="Verdana" w:cs="Arial"/>
                <w:bCs/>
                <w:color w:val="000000" w:themeColor="text1"/>
                <w:lang w:eastAsia="es-ES_tradnl"/>
              </w:rPr>
              <w:t>En tal sentido, como se señaló con anterioridad, la finalidad de esta norma consiste precisamente en extender la aplicación de los documentos tipo a las entidades con régimen de contratación especial o privado, cuando se celebren contratos o convenios o de cualquier índole entre estas y las entidades sometidas al EGCAP. Por tanto, la aplicación de este parágrafo debe partir de la base de que los sujetos allí referidos cuenten con un régimen especial de contratación que permite aplicar la excepción de lo dispuesto en los dos incisos del artículo 56. De lo contrario, es decir, de no contar con régimen de contratación especial o de derecho privado, estarían sometidos al EGCAP y tendrían que aplicar los documentos tipo de manera obligatoria, de conformidad con lo establecido en el artículo 1 de la Ley 2022 de 2020, que modificó el parágrafo 7 del artículo 2 de la Ley 1150 de 2007</w:t>
            </w:r>
            <w:r>
              <w:rPr>
                <w:rFonts w:ascii="Verdana" w:eastAsia="Calibri" w:hAnsi="Verdana" w:cs="Arial"/>
                <w:bCs/>
                <w:color w:val="000000" w:themeColor="text1"/>
                <w:lang w:eastAsia="es-ES_tradnl"/>
              </w:rPr>
              <w:t xml:space="preserve">, conforme se explicó en este concepto. </w:t>
            </w:r>
            <w:r w:rsidRPr="00C24209">
              <w:rPr>
                <w:rFonts w:ascii="Verdana" w:eastAsia="Calibri" w:hAnsi="Verdana" w:cs="Arial"/>
                <w:bCs/>
                <w:color w:val="000000" w:themeColor="text1"/>
                <w:lang w:eastAsia="es-ES_tradnl"/>
              </w:rPr>
              <w:t xml:space="preserve">. Una interpretación distinta incluso supondría exceptuar a estas entidades del EGCAP en cuanto a la contratación de su giro ordinario, lo que evidentemente sería un contrasentido con la finalidad de la norma. </w:t>
            </w:r>
          </w:p>
          <w:p w14:paraId="4147BC68" w14:textId="77777777" w:rsidR="009270B3" w:rsidRDefault="009270B3" w:rsidP="00970515">
            <w:pPr>
              <w:tabs>
                <w:tab w:val="left" w:pos="0"/>
              </w:tabs>
              <w:snapToGrid w:val="0"/>
              <w:spacing w:before="120" w:after="120" w:line="276" w:lineRule="auto"/>
              <w:ind w:firstLine="709"/>
              <w:jc w:val="both"/>
              <w:rPr>
                <w:rFonts w:ascii="Verdana" w:eastAsia="Calibri" w:hAnsi="Verdana" w:cs="Arial"/>
                <w:bCs/>
                <w:color w:val="000000" w:themeColor="text1"/>
                <w:lang w:eastAsia="es-ES_tradnl"/>
              </w:rPr>
            </w:pPr>
            <w:r w:rsidRPr="00C24209">
              <w:rPr>
                <w:rFonts w:ascii="Verdana" w:eastAsia="Calibri" w:hAnsi="Verdana" w:cs="Arial"/>
                <w:bCs/>
                <w:color w:val="000000" w:themeColor="text1"/>
                <w:lang w:eastAsia="es-ES_tradnl"/>
              </w:rPr>
              <w:t xml:space="preserve">De este modo, cuando el parágrafo del artículo 56 de la Ley 2195 de 2022 se refiere a las instituciones de educación superior públicas, debe interpretarse que su aplicación procede en relación con aquellas entidades que cuenten con régimen especial de contratación, como las universidades estatales u oficiales organizadas como entes autónomos, debido a su régimen de contratación de derecho privado conforme lo disponen los artículos 57 y 93 de la Ley 30 de 1992. En contraste, aquellas instituciones de educación superior públicas que no cuentan con un régimen especial, como los establecimientos públicos, deben aplicar la Ley 80 de 1993 y la Ley 2022 de 2020, por lo que no resultaría aplicable el parágrafo del artículo 56 de la Ley 2195 de 2022. </w:t>
            </w:r>
          </w:p>
          <w:p w14:paraId="7813B2A0" w14:textId="77777777" w:rsidR="009270B3" w:rsidRPr="00C24209" w:rsidRDefault="009270B3" w:rsidP="00970515">
            <w:pPr>
              <w:tabs>
                <w:tab w:val="left" w:pos="0"/>
              </w:tabs>
              <w:snapToGrid w:val="0"/>
              <w:spacing w:before="120" w:after="120" w:line="276" w:lineRule="auto"/>
              <w:ind w:firstLine="709"/>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eastAsia="es-ES_tradnl"/>
              </w:rPr>
              <w:t xml:space="preserve">Así las cosas, conforme al artículo 56, cuando se celebra un contrato o convenio interadministrativo o de cualquier otra índole entre una entidad sometida al EGCAP y una institución de educación superior pública organizada como ente universitario autónomo con régimen especial, deberán aplicar los documentos tipo </w:t>
            </w:r>
            <w:r w:rsidRPr="00C24209">
              <w:rPr>
                <w:rFonts w:ascii="Verdana" w:eastAsia="Calibri" w:hAnsi="Verdana" w:cs="Arial"/>
                <w:bCs/>
                <w:color w:val="000000" w:themeColor="text1"/>
                <w:lang w:val="es-ES_tradnl" w:eastAsia="es-ES_tradnl"/>
              </w:rPr>
              <w:t>en los procedimientos de selección y los contratos que realicen en desarrollo de los anteriores negocios jurídico</w:t>
            </w:r>
            <w:r w:rsidRPr="00C24209">
              <w:rPr>
                <w:rFonts w:ascii="Verdana" w:eastAsia="Calibri" w:hAnsi="Verdana" w:cs="Arial"/>
                <w:bCs/>
                <w:color w:val="000000" w:themeColor="text1"/>
                <w:lang w:eastAsia="es-ES_tradnl"/>
              </w:rPr>
              <w:t xml:space="preserve">. Sin embargo, en este </w:t>
            </w:r>
            <w:r w:rsidRPr="00C24209">
              <w:rPr>
                <w:rFonts w:ascii="Verdana" w:eastAsia="Calibri" w:hAnsi="Verdana" w:cs="Arial"/>
                <w:bCs/>
                <w:color w:val="000000" w:themeColor="text1"/>
                <w:lang w:eastAsia="es-ES_tradnl"/>
              </w:rPr>
              <w:lastRenderedPageBreak/>
              <w:t xml:space="preserve">caso aplicará la excepción contemplada en el parágrafo del artículo 56, de manera que </w:t>
            </w:r>
            <w:r w:rsidRPr="00C24209">
              <w:rPr>
                <w:rFonts w:ascii="Verdana" w:eastAsia="Calibri" w:hAnsi="Verdana" w:cs="Arial"/>
                <w:bCs/>
                <w:color w:val="000000" w:themeColor="text1"/>
                <w:lang w:val="es-ES_tradnl" w:eastAsia="es-ES_tradnl"/>
              </w:rPr>
              <w:t>estas instituciones de educación superior pública no tendrán que implementar documentos tipo únicamente para la contratación relacionada con el giro ordinario</w:t>
            </w:r>
            <w:r w:rsidRPr="00C24209">
              <w:rPr>
                <w:rFonts w:ascii="Verdana" w:eastAsia="Calibri" w:hAnsi="Verdana" w:cs="Arial"/>
                <w:bCs/>
                <w:i/>
                <w:iCs/>
                <w:color w:val="000000" w:themeColor="text1"/>
                <w:lang w:val="es-ES_tradnl" w:eastAsia="es-ES_tradnl"/>
              </w:rPr>
              <w:t xml:space="preserve"> </w:t>
            </w:r>
            <w:r w:rsidRPr="00C24209">
              <w:rPr>
                <w:rFonts w:ascii="Verdana" w:eastAsia="Calibri" w:hAnsi="Verdana" w:cs="Arial"/>
                <w:bCs/>
                <w:color w:val="000000" w:themeColor="text1"/>
                <w:lang w:val="es-ES_tradnl" w:eastAsia="es-ES_tradnl"/>
              </w:rPr>
              <w:t xml:space="preserve">de sus asuntos, sin perjuicio de que incluso en los casos en que aplique la excepción los manuales internos de contratación de estas entidades dispongan la obligación de tener en cuenta los documentos tipo o parte de ellos como una buena práctica contractual. </w:t>
            </w:r>
          </w:p>
          <w:p w14:paraId="26B8A3F4" w14:textId="77777777" w:rsidR="009270B3" w:rsidRPr="00C24209" w:rsidRDefault="009270B3" w:rsidP="00970515">
            <w:pPr>
              <w:tabs>
                <w:tab w:val="left" w:pos="0"/>
              </w:tabs>
              <w:snapToGrid w:val="0"/>
              <w:spacing w:before="120" w:after="120" w:line="276" w:lineRule="auto"/>
              <w:ind w:firstLine="709"/>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En conclusión, a juicio de esta Agencia lo dispuesto en el parágrafo del artículo 56 de la Ley 2195 de 2022, es una manifestación de la voluntad del Legislador de relevar a las instituciones de educación superior públicas que cuentan con un régimen especial, y las demás entidades allí mencionadas, de la implementación de documentos tipo y de la aplicación del EGCAP, únicamente en lo que tiene que ver con su giro ordinario. Esto significa que tales entidades, cuando en desarrollo de un contrato o un convenio con una entidad sometida al EGCAP, requieran contratar un objeto cobijado por algún documento tipo, que no esté comprendido dentro de su giro ordinario</w:t>
            </w:r>
            <w:r w:rsidRPr="00C24209">
              <w:rPr>
                <w:rFonts w:ascii="Verdana" w:eastAsia="Calibri" w:hAnsi="Verdana" w:cs="Arial"/>
                <w:bCs/>
                <w:i/>
                <w:iCs/>
                <w:color w:val="000000" w:themeColor="text1"/>
                <w:lang w:val="es-ES_tradnl" w:eastAsia="es-ES_tradnl"/>
              </w:rPr>
              <w:t>,</w:t>
            </w:r>
            <w:r w:rsidRPr="00C24209">
              <w:rPr>
                <w:rFonts w:ascii="Verdana" w:eastAsia="Calibri" w:hAnsi="Verdana" w:cs="Arial"/>
                <w:bCs/>
                <w:color w:val="000000" w:themeColor="text1"/>
                <w:lang w:val="es-ES_tradnl" w:eastAsia="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14769CD6" w14:textId="77777777" w:rsidR="009270B3" w:rsidRPr="00C24209" w:rsidRDefault="009270B3" w:rsidP="00970515">
            <w:pPr>
              <w:tabs>
                <w:tab w:val="left" w:pos="0"/>
              </w:tabs>
              <w:snapToGrid w:val="0"/>
              <w:spacing w:before="120" w:after="120" w:line="276" w:lineRule="auto"/>
              <w:ind w:firstLine="709"/>
              <w:jc w:val="both"/>
              <w:rPr>
                <w:rFonts w:ascii="Verdana" w:eastAsia="Times New Roman" w:hAnsi="Verdana" w:cs="Arial"/>
                <w:color w:val="000000" w:themeColor="text1"/>
                <w:lang w:eastAsia="x-none"/>
              </w:rPr>
            </w:pPr>
            <w:r w:rsidRPr="00C24209">
              <w:rPr>
                <w:rFonts w:ascii="Verdana" w:eastAsia="Calibri" w:hAnsi="Verdana" w:cs="Arial"/>
                <w:bCs/>
                <w:color w:val="000000" w:themeColor="text1"/>
                <w:lang w:eastAsia="es-ES_tradnl"/>
              </w:rPr>
              <w:t>Concretamente, para efectos de su solicitud, le indicamos que, para efectos de responder su consulta es pertinente indicar que el parágrafo del artículo 56 de la Ley 2195 de 2022 se refiere de forma genérica a las instituciones de educación superior públicas. Por tanto, como se indicó en el desarrollo de este concepto, para su aplicación lo importante es determinar que la entidad cuente con la naturaleza de institución de educación superior pública con régimen de contratación especial, esto es, exceptuado del EGCAP. De este modo, será cada entidad la</w:t>
            </w:r>
            <w:r w:rsidRPr="00C24209">
              <w:rPr>
                <w:rFonts w:ascii="Verdana" w:eastAsia="Calibri" w:hAnsi="Verdana" w:cs="Arial"/>
                <w:bCs/>
                <w:color w:val="000000" w:themeColor="text1"/>
                <w:lang w:eastAsia="es-CO"/>
              </w:rPr>
              <w:t xml:space="preserve"> que, en ejercicio de su competencia, debe determinar si</w:t>
            </w:r>
            <w:r w:rsidRPr="00C24209">
              <w:rPr>
                <w:rFonts w:ascii="Verdana" w:eastAsia="Calibri" w:hAnsi="Verdana" w:cs="Arial"/>
                <w:bCs/>
                <w:color w:val="000000" w:themeColor="text1"/>
                <w:lang w:eastAsia="es-ES_tradnl"/>
              </w:rPr>
              <w:t xml:space="preserve"> resulta procedente la aplicación del parágrafo del artículo 56 teniendo en cuenta la naturaleza jurídica de esta y lo que establezcan sus normas estatutarias –actos de creación y demás reglamentos–. </w:t>
            </w:r>
            <w:r w:rsidRPr="00C24209">
              <w:rPr>
                <w:rFonts w:ascii="Verdana" w:eastAsia="Calibri" w:hAnsi="Verdana" w:cs="Arial"/>
                <w:bCs/>
                <w:color w:val="000000" w:themeColor="text1"/>
                <w:lang w:eastAsia="es-CO"/>
              </w:rPr>
              <w:t xml:space="preserve">Al tratarse de un análisis que se debe realizar en cada caso concreto, la Agencia, por vía consultiva, no puede definir un criterio universal y absoluto, sino que brinda elementos hermenéuticos de carácter general para que los partícipes del </w:t>
            </w:r>
            <w:r w:rsidRPr="00C24209">
              <w:rPr>
                <w:rFonts w:ascii="Verdana" w:eastAsia="Calibri" w:hAnsi="Verdana" w:cs="Arial"/>
                <w:bCs/>
                <w:color w:val="000000" w:themeColor="text1"/>
                <w:lang w:eastAsia="es-CO"/>
              </w:rPr>
              <w:lastRenderedPageBreak/>
              <w:t>sistema de compras y contratación pública adopten la decisión que corresponda, lo cual es acorde con el principio de juridicidad</w:t>
            </w:r>
            <w:r w:rsidRPr="00C24209">
              <w:rPr>
                <w:rFonts w:ascii="Verdana" w:eastAsia="Times New Roman" w:hAnsi="Verdana" w:cs="Arial"/>
                <w:color w:val="000000" w:themeColor="text1"/>
                <w:lang w:eastAsia="x-none"/>
              </w:rPr>
              <w:t>.</w:t>
            </w:r>
          </w:p>
          <w:p w14:paraId="256B8560" w14:textId="77777777" w:rsidR="009270B3" w:rsidRPr="00C24209" w:rsidRDefault="009270B3" w:rsidP="00970515">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Adicionalmente, examinados los argumentos de su solicitud, esta Agencia ratifica la tesis expuesta en el Concepto C-1180 de 2026. En este sentido, la fuerza obligatoria de los documentos tipo proviene de la Ley y no de un acto de la Agencia Nacional de Contratación Pública – Colombia Compra Eficiente. Es así como, las resoluciones expedidas por esta Agencia que adoptan documentos tipo</w:t>
            </w:r>
            <w:r>
              <w:rPr>
                <w:rFonts w:ascii="Verdana" w:eastAsia="Calibri" w:hAnsi="Verdana" w:cs="Arial"/>
                <w:color w:val="000000" w:themeColor="text1"/>
              </w:rPr>
              <w:t xml:space="preserve">, </w:t>
            </w:r>
            <w:r w:rsidRPr="00C24209">
              <w:rPr>
                <w:rFonts w:ascii="Verdana" w:eastAsia="Calibri" w:hAnsi="Verdana" w:cs="Arial"/>
                <w:color w:val="000000" w:themeColor="text1"/>
              </w:rPr>
              <w:t>definen el ámbito material, es decir, qué actividades y qué modalidad de selección quedan cubiertas por estos, pero no definen los sujetos obligados considerando que la Agencia no tiene habilitación legal para hacerlo.</w:t>
            </w:r>
          </w:p>
          <w:p w14:paraId="28E8803B" w14:textId="77777777" w:rsidR="009270B3" w:rsidRPr="00C24209" w:rsidRDefault="009270B3" w:rsidP="00970515">
            <w:pPr>
              <w:snapToGrid w:val="0"/>
              <w:spacing w:before="120"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Como se ha venido señalando</w:t>
            </w:r>
            <w:r w:rsidRPr="00C24209">
              <w:rPr>
                <w:rFonts w:ascii="Verdana" w:eastAsia="Calibri" w:hAnsi="Verdana" w:cs="Arial"/>
                <w:color w:val="000000" w:themeColor="text1"/>
              </w:rPr>
              <w:t>, las instituciones estatales de educación superior que no tienen carácter de universidad se organizan como establecimientos públicos y se rigen por el Estatuto General de Contratación de la Administración Pública – EGCAP, mientras que las universidades estatales, como entes universitarios autónomos, contratan con sujeción al derecho privado. De esto se sigue que, una institución universitaria organizada como establecimiento público está dentro del grupo al que se dirige la Ley 2022 de 2020, es decir, su obligación de aplicar los documentos tipo nace de esa ley, de las normas que fijan su naturaleza y de la resolución que delimita el objeto cubierto, y no del artículo 56 de la Ley 2195 de 2022. Por el contrario, las universidades estatales, no estaban obligadas a usar documentos tipo antes de esa Ley, porque la Ley 2022 de 2020 no se dirige a estas.</w:t>
            </w:r>
          </w:p>
          <w:p w14:paraId="7A8C0E6D" w14:textId="77777777" w:rsidR="009270B3" w:rsidRPr="00C24209" w:rsidRDefault="009270B3" w:rsidP="00970515">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Así, el parágrafo del artículo en mención, exceptuó a cuatro clases de entidades “del presente artículo”, únicamente en cuanto a la contratación de su giro ordinario, por lo que, la expresión debe leerse en su sentido literal, es decir que, opera frente a los dos incisos del artículo 56 y no alcanza una obligación que proviene de otra Ley.</w:t>
            </w:r>
          </w:p>
          <w:p w14:paraId="6A12783C" w14:textId="77777777" w:rsidR="009270B3" w:rsidRPr="00C24209" w:rsidRDefault="009270B3" w:rsidP="00970515">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Una excepción no puede ir más allá de la regla de la que se separa, de modo que, para una entidad que ya estaba obligada por la Ley 2022 de 2020, el parágrafo no tiene nada de qué eximirla. Adicionalmente, tampoco existe entre las dos disposiciones una derogación expresa ni una incompatibilidad que permita hablar de derogación tácita, porque cada una regula un supuesto diferente.</w:t>
            </w:r>
          </w:p>
          <w:p w14:paraId="619B93C0" w14:textId="77777777" w:rsidR="009270B3" w:rsidRPr="00C24209" w:rsidRDefault="009270B3" w:rsidP="00970515">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lastRenderedPageBreak/>
              <w:t>La lectura contraria conduce a un resultado que no se puede sostener. Si el parágrafo se aplicara a una institución organizada como establecimiento público, la exceptuaría también del inciso segundo, que es el que ordena aplicar el Estatuto General de Contratación de la Administración Pública – EGCAP. Una entidad sometida a la Ley 80 de 1993 por el artículo 81 de la Ley 489 de 1998 quedaría, en su giro ordinario, fuera del EGCAP por obra de una norma que se expidió para extenderlo. La coherencia de la lista del parágrafo confirma la conclusión, esto es que, las otras tres clases de entidades que nombra –empresas sociales del Estado, sociedades de economía mixta y empresas industriales y comerciales del Estado– tienen, por regla general, un régimen de contratación distinto del EGCAP.</w:t>
            </w:r>
          </w:p>
          <w:p w14:paraId="2880138E" w14:textId="77777777" w:rsidR="009270B3" w:rsidRPr="00C24209" w:rsidRDefault="009270B3" w:rsidP="00970515">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excepción recae sobre las obligaciones que crea el artículo 56 la Ley 2195 de 2022, y esas obligaciones solo tienen sentido frente a quien no estaba obligado antes. Ahora bien, ninguna norma enuncia ese criterio con esas palabras; sin embargo, esta es una conclusión interpretativa de la Agencia Nacional de Contratación Pública – Colombia Compra Eficiente, construida a partir del texto del artículo 56, de su relación con la Ley 2022 de 2020 y de las normas que fijan el régimen de cada clase de institución. Por la misma razón, la segunda oración del parágrafo, según la cual en los casos exceptuados los manuales de contratación fomentarán como buena práctica la aplicación de los pliegos tipo, no produce efecto propio para una institución sometida al Estatuto General de Contratación de la Administración Pública – EGCAP, porque esa institución ya tiene el deber legal de usarlos, y una recomendación no reemplaza un deber legal.</w:t>
            </w:r>
          </w:p>
          <w:p w14:paraId="547AEA27" w14:textId="77777777" w:rsidR="009270B3" w:rsidRPr="00C24209" w:rsidRDefault="009270B3" w:rsidP="00970515">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Así entendido, el criterio no deja sin efecto la expresión “Instituciones de Educación Superior públicas”. La excepción comprende a toda institución de educación superior pública que, por disposición legal, tenga un régimen de contratación distinto del EGCAP, sea o no universidad. Lo determinante no es la denominación sino que la entidad no esté sometida a la Ley 2022 de 2020 y que, por tanto, el artículo 56 sea la norma que le impondría los documentos tipo. La Agencia no lleva un registro del régimen de cada institución, de modo que cada una debe establecerlo a partir de su acto de creación, sus estatutos y la ley que la rige.</w:t>
            </w:r>
          </w:p>
          <w:p w14:paraId="0A75C385" w14:textId="77777777" w:rsidR="009270B3" w:rsidRDefault="009270B3" w:rsidP="00970515">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Por último, se corrige el error de redacción del numeral </w:t>
            </w:r>
            <w:proofErr w:type="spellStart"/>
            <w:r w:rsidRPr="00C24209">
              <w:rPr>
                <w:rFonts w:ascii="Verdana" w:eastAsia="Calibri" w:hAnsi="Verdana" w:cs="Arial"/>
                <w:color w:val="000000" w:themeColor="text1"/>
              </w:rPr>
              <w:t>ii</w:t>
            </w:r>
            <w:proofErr w:type="spellEnd"/>
            <w:r w:rsidRPr="00C24209">
              <w:rPr>
                <w:rFonts w:ascii="Verdana" w:eastAsia="Calibri" w:hAnsi="Verdana" w:cs="Arial"/>
                <w:color w:val="000000" w:themeColor="text1"/>
              </w:rPr>
              <w:t xml:space="preserve">. de las razones del Concepto C-1180 de 2026, en el que se indicó que las entidades del </w:t>
            </w:r>
            <w:r w:rsidRPr="00C24209">
              <w:rPr>
                <w:rFonts w:ascii="Verdana" w:eastAsia="Calibri" w:hAnsi="Verdana" w:cs="Arial"/>
                <w:color w:val="000000" w:themeColor="text1"/>
              </w:rPr>
              <w:lastRenderedPageBreak/>
              <w:t>parágrafo “no tendrán que implementar Documentos Tipo a excepción de aquellos casos en los que la contratación esté relacionada con el giro ordinario de sus asuntos”. El sentido correcto, que es el que sostiene el resto de ese concepto, es que estas entidades “no tendrán que implementar Documentos Tipo por virtud del artículo 56 en los casos en los que la contratación esté relacionada con el giro ordinario de sus asuntos, salvo que los manuales internos de contratación de estas entidades dispongan la obligación de tener en cuenta los Documentos Tipo como una buena práctica contractual”.</w:t>
            </w:r>
          </w:p>
          <w:p w14:paraId="62DA87A0" w14:textId="77777777" w:rsidR="009270B3" w:rsidRPr="00C24209" w:rsidRDefault="009270B3" w:rsidP="00970515">
            <w:pPr>
              <w:spacing w:before="120" w:after="120" w:line="276" w:lineRule="auto"/>
              <w:jc w:val="both"/>
              <w:rPr>
                <w:rFonts w:ascii="Verdana" w:eastAsia="Calibri" w:hAnsi="Verdana" w:cs="Arial"/>
                <w:color w:val="000000" w:themeColor="text1"/>
              </w:rPr>
            </w:pPr>
            <w:r>
              <w:rPr>
                <w:rFonts w:ascii="Verdana" w:eastAsia="Calibri" w:hAnsi="Verdana" w:cs="Arial"/>
                <w:color w:val="000000" w:themeColor="text1"/>
              </w:rPr>
              <w:t xml:space="preserve">II). </w:t>
            </w:r>
            <w:r w:rsidRPr="00C24209">
              <w:rPr>
                <w:rFonts w:ascii="Verdana" w:eastAsia="Calibri" w:hAnsi="Verdana" w:cs="Arial"/>
                <w:color w:val="000000" w:themeColor="text1"/>
              </w:rPr>
              <w:t>El cambio de redacción no autoriza la conclusión que propone la solicitud elevada a esta Agencia. El texto de la ponencia hablaba de “las Universidades” sin calificarlas como públicas, de modo que podía comprender a las universidades privadas, que son personas jurídicas de derecho privado y caben en el inciso primero. El texto aprobado redujo la excepción a las instituciones públicas, y en ese aspecto restringió la categoría en lugar de ampliarla. La expresión “instituciones de educación superior” es, además, la que usa la Ley 30 de 1992 para todas las clases de instituciones. Y la proposición se limitó a indicar las palabras que se eliminaban y las que se agregaban, sin una justificación que permita afirmar que su propósito fue liberar a las instituciones sometidas al Estatuto General de Contratación de la Administración Pública – EGCAP de la Ley 2022 de 2020, ley que no se mencionó en la discusión.</w:t>
            </w:r>
          </w:p>
          <w:p w14:paraId="7491FBCF" w14:textId="77777777" w:rsidR="009270B3" w:rsidRPr="00C24209" w:rsidRDefault="009270B3" w:rsidP="00970515">
            <w:pPr>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respuesta debe leerse junto con la pregunta a la que contesta. Las entidades de las que se hablaba eran aquellas a las que, según la propia intervención, “no les aplica, ni los pliegos tipo”, y “este tipo de entidades” eran las exceptuadas del EGCAP a las que el ponente se había referido antes. Es así como, la Agencia Nacional de Contratación Pública – Colombia Compra Eficiente considera que, la mención de las instituciones universitarias se hizo dentro de ese marco, y no hay en la discusión una referencia a instituciones que ya estuvieran obligadas por la Ley 2022 de 2020.</w:t>
            </w:r>
          </w:p>
          <w:p w14:paraId="1F76299D" w14:textId="77777777" w:rsidR="009270B3" w:rsidRDefault="009270B3" w:rsidP="00970515">
            <w:pPr>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Ninguna de estas intervenciones afirma que las instituciones de educación superior sometidas a la Ley 80 de 1993 dejarían de estar obligadas por la Ley 2022 de 2020. Todas se refieren a entidades con régimen especial de contratación, y el autor de la proposición precisó que no se estaban incluyendo nuevas entidades. El debate, por tanto, no contradice la tesis expuesta por la Agencia Nacional de Contratación Pública – Colombia Compra Eficiente en el  Concepto C–1180 de 2026. Sin embargo, el criterio histórico </w:t>
            </w:r>
            <w:r w:rsidRPr="00C24209">
              <w:rPr>
                <w:rFonts w:ascii="Verdana" w:eastAsia="Calibri" w:hAnsi="Verdana" w:cs="Arial"/>
                <w:color w:val="000000" w:themeColor="text1"/>
              </w:rPr>
              <w:lastRenderedPageBreak/>
              <w:t>sirve para aclarar una expresión oscura, y las opiniones expresadas en la plenaria son un criterio auxiliar que no prevalece sobre el texto aprobado. Aquí ese texto dice que la excepción es “del presente artículo”, y nada en el trámite indica que el Congreso quisiera que el parágrafo modificara la Ley 2022 de 2020.</w:t>
            </w:r>
          </w:p>
          <w:p w14:paraId="132737CA" w14:textId="77777777" w:rsidR="009270B3" w:rsidRPr="00185D8F" w:rsidRDefault="009270B3" w:rsidP="00970515">
            <w:pPr>
              <w:spacing w:before="120"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rPr>
              <w:t>IV). De ac</w:t>
            </w:r>
            <w:proofErr w:type="spellStart"/>
            <w:r w:rsidRPr="00185D8F">
              <w:rPr>
                <w:rFonts w:ascii="Verdana" w:eastAsia="Calibri" w:hAnsi="Verdana" w:cs="Arial"/>
                <w:color w:val="000000" w:themeColor="text1"/>
                <w:lang w:val="es-ES"/>
              </w:rPr>
              <w:t>uerdo</w:t>
            </w:r>
            <w:proofErr w:type="spellEnd"/>
            <w:r w:rsidRPr="00185D8F">
              <w:rPr>
                <w:rFonts w:ascii="Verdana" w:eastAsia="Calibri" w:hAnsi="Verdana" w:cs="Arial"/>
                <w:color w:val="000000" w:themeColor="text1"/>
                <w:lang w:val="es-ES"/>
              </w:rPr>
              <w:t xml:space="preserve">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o a las personas naturales o jurídicas de derecho público o privado que, por mandato legal, estén obligadas a aplicarlos; es decir, aquellas que, de acuerdo con el artículo 56 de la Ley 2195 de 2022, deban implementar estos documentos, de conformidad con lo explicado </w:t>
            </w:r>
            <w:r>
              <w:rPr>
                <w:rFonts w:ascii="Verdana" w:eastAsia="Calibri" w:hAnsi="Verdana" w:cs="Arial"/>
                <w:color w:val="000000" w:themeColor="text1"/>
                <w:lang w:val="es-ES"/>
              </w:rPr>
              <w:t>en</w:t>
            </w:r>
            <w:r w:rsidRPr="00185D8F">
              <w:rPr>
                <w:rFonts w:ascii="Verdana" w:eastAsia="Calibri" w:hAnsi="Verdana" w:cs="Arial"/>
                <w:color w:val="000000" w:themeColor="text1"/>
                <w:lang w:val="es-ES"/>
              </w:rPr>
              <w:t xml:space="preserve"> este concepto.</w:t>
            </w:r>
          </w:p>
          <w:p w14:paraId="62940C5C" w14:textId="77777777" w:rsidR="009270B3" w:rsidRPr="00185D8F" w:rsidRDefault="009270B3" w:rsidP="00970515">
            <w:pPr>
              <w:spacing w:before="120" w:after="120" w:line="276" w:lineRule="auto"/>
              <w:ind w:firstLine="709"/>
              <w:jc w:val="both"/>
              <w:rPr>
                <w:rFonts w:ascii="Verdana" w:eastAsia="Calibri" w:hAnsi="Verdana" w:cs="Arial"/>
                <w:color w:val="000000" w:themeColor="text1"/>
                <w:lang w:val="es-ES"/>
              </w:rPr>
            </w:pPr>
            <w:r w:rsidRPr="00185D8F">
              <w:rPr>
                <w:rFonts w:ascii="Verdana" w:eastAsia="Calibri" w:hAnsi="Verdana" w:cs="Arial"/>
                <w:color w:val="000000" w:themeColor="text1"/>
                <w:lang w:val="es-ES"/>
              </w:rPr>
              <w:t>Sobre el ámbito de aplicación de los Documentos Tipo señalados, el parágrafo segundo del artículo 9 de las Resoluciones 539, 540 y 541 del 21 de agosto de 2025 establece que estos se aplican a los procesos contractuales que correspondan a las actividades definidas en la Matriz 1 – Experiencia del Sector Educativo.</w:t>
            </w:r>
          </w:p>
          <w:p w14:paraId="64AB064D" w14:textId="77777777" w:rsidR="009270B3" w:rsidRPr="00185D8F" w:rsidRDefault="009270B3" w:rsidP="00970515">
            <w:pPr>
              <w:spacing w:before="120" w:after="120" w:line="276" w:lineRule="auto"/>
              <w:ind w:firstLine="709"/>
              <w:jc w:val="both"/>
              <w:rPr>
                <w:rFonts w:ascii="Verdana" w:eastAsia="Calibri" w:hAnsi="Verdana" w:cs="Arial"/>
                <w:color w:val="000000" w:themeColor="text1"/>
                <w:lang w:val="es-ES"/>
              </w:rPr>
            </w:pPr>
            <w:r w:rsidRPr="00185D8F">
              <w:rPr>
                <w:rFonts w:ascii="Verdana" w:eastAsia="Calibri" w:hAnsi="Verdana" w:cs="Arial"/>
                <w:color w:val="000000" w:themeColor="text1"/>
                <w:lang w:val="es-ES"/>
              </w:rPr>
              <w:t>En ese sentido, la Matriz 1 – Experiencia del Sector Educativo, para las modalidades de licitación pública, selección abreviada de menor cuantía y mínima cuantía, contempla determinados tipos de obras y actividades que recaen sobre infraestructura educativa. Esta precisión resulta relevante para delimitar el ámbito de aplicación de los Documentos Tipo del sector educativo adoptados mediante el capítulo II de las referidas resoluciones.</w:t>
            </w:r>
          </w:p>
          <w:p w14:paraId="101DB2DC" w14:textId="77777777" w:rsidR="009270B3" w:rsidRPr="00185D8F" w:rsidRDefault="009270B3" w:rsidP="00970515">
            <w:pPr>
              <w:spacing w:before="120" w:after="120" w:line="276" w:lineRule="auto"/>
              <w:ind w:firstLine="709"/>
              <w:jc w:val="both"/>
              <w:rPr>
                <w:rFonts w:ascii="Verdana" w:eastAsia="Calibri" w:hAnsi="Verdana" w:cs="Arial"/>
                <w:color w:val="000000" w:themeColor="text1"/>
                <w:lang w:val="es-ES"/>
              </w:rPr>
            </w:pPr>
            <w:r w:rsidRPr="00185D8F">
              <w:rPr>
                <w:rFonts w:ascii="Verdana" w:eastAsia="Calibri" w:hAnsi="Verdana" w:cs="Arial"/>
                <w:color w:val="000000" w:themeColor="text1"/>
                <w:lang w:val="es-ES"/>
              </w:rPr>
              <w:t>Al respecto, la nota general 1 de la Matriz 1 – Experiencia del Sector Educativo, en las distintas modalidades de los Documentos Tipo adoptados por esta Agencia,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5E635133" w14:textId="77777777" w:rsidR="009270B3" w:rsidRPr="00185D8F" w:rsidRDefault="009270B3" w:rsidP="00970515">
            <w:pPr>
              <w:spacing w:before="120" w:after="120" w:line="276" w:lineRule="auto"/>
              <w:ind w:firstLine="709"/>
              <w:jc w:val="both"/>
              <w:rPr>
                <w:rFonts w:ascii="Verdana" w:eastAsia="Calibri" w:hAnsi="Verdana" w:cs="Arial"/>
                <w:color w:val="000000" w:themeColor="text1"/>
                <w:lang w:val="es-ES"/>
              </w:rPr>
            </w:pPr>
            <w:r w:rsidRPr="00185D8F">
              <w:rPr>
                <w:rFonts w:ascii="Verdana" w:eastAsia="Calibri" w:hAnsi="Verdana" w:cs="Arial"/>
                <w:color w:val="000000" w:themeColor="text1"/>
                <w:lang w:val="es-ES"/>
              </w:rPr>
              <w:t>De esta forma, considerando que las actividades previstas en la matriz recaen sobre obras en proyectos de infraestructura educativa, para determinar el alcance de este concepto debe acudirse, entre otras disposiciones, a la NSR-</w:t>
            </w:r>
            <w:r w:rsidRPr="00185D8F">
              <w:rPr>
                <w:rFonts w:ascii="Verdana" w:eastAsia="Calibri" w:hAnsi="Verdana" w:cs="Arial"/>
                <w:color w:val="000000" w:themeColor="text1"/>
                <w:lang w:val="es-ES"/>
              </w:rPr>
              <w:lastRenderedPageBreak/>
              <w:t>10. En particular, el Subgrupo de Ocupación Institucional de Educación (I-3) establece que en él “(…) se clasifican las edificaciones o espacios empleados para la reunión de personas con propósitos educativos y de instrucción (…</w:t>
            </w:r>
            <w:proofErr w:type="gramStart"/>
            <w:r w:rsidRPr="00185D8F">
              <w:rPr>
                <w:rFonts w:ascii="Verdana" w:eastAsia="Calibri" w:hAnsi="Verdana" w:cs="Arial"/>
                <w:color w:val="000000" w:themeColor="text1"/>
                <w:lang w:val="es-ES"/>
              </w:rPr>
              <w:t>)”[</w:t>
            </w:r>
            <w:proofErr w:type="gramEnd"/>
            <w:r w:rsidRPr="00185D8F">
              <w:rPr>
                <w:rFonts w:ascii="Verdana" w:eastAsia="Calibri" w:hAnsi="Verdana" w:cs="Arial"/>
                <w:color w:val="000000" w:themeColor="text1"/>
                <w:lang w:val="es-ES"/>
              </w:rPr>
              <w:t>1]. Entre las edificaciones o espacios comprendidos en este subgrupo se encuentran las “Universidades, Colegios, Escuelas, Centros de educación, Academias, Jardines Infantiles, Otras instituciones docentes”.</w:t>
            </w:r>
          </w:p>
          <w:p w14:paraId="232F02F9" w14:textId="77777777" w:rsidR="009270B3" w:rsidRPr="00185D8F" w:rsidRDefault="009270B3" w:rsidP="00970515">
            <w:pPr>
              <w:spacing w:before="120" w:after="120" w:line="276" w:lineRule="auto"/>
              <w:ind w:firstLine="709"/>
              <w:jc w:val="both"/>
              <w:rPr>
                <w:rFonts w:ascii="Verdana" w:eastAsia="Calibri" w:hAnsi="Verdana" w:cs="Arial"/>
                <w:color w:val="000000" w:themeColor="text1"/>
                <w:lang w:val="es-ES"/>
              </w:rPr>
            </w:pPr>
            <w:r w:rsidRPr="00185D8F">
              <w:rPr>
                <w:rFonts w:ascii="Verdana" w:eastAsia="Calibri" w:hAnsi="Verdana" w:cs="Arial"/>
                <w:color w:val="000000" w:themeColor="text1"/>
                <w:lang w:val="es-ES"/>
              </w:rPr>
              <w:t>Ahora bien, la remisión que contiene la Matriz 1 a la NTC 4595 debe interpretarse de manera armónica con la clasificación prevista en la NSR-10. En efecto, ambos referentes cumplen funciones distintas: mientras la NSR-10 permite clasificar las edificaciones o espacios según su ocupación y destinación, la NTC 4595 constituye un referente técnico para el planeamiento y diseño físico-espacial de instalaciones y ambientes educativos, así como para la caracterización de determinados espacios.</w:t>
            </w:r>
          </w:p>
          <w:p w14:paraId="5D91BE15" w14:textId="77777777" w:rsidR="009270B3" w:rsidRPr="00185D8F" w:rsidRDefault="009270B3" w:rsidP="00970515">
            <w:pPr>
              <w:spacing w:before="120" w:after="120" w:line="276" w:lineRule="auto"/>
              <w:ind w:firstLine="709"/>
              <w:jc w:val="both"/>
              <w:rPr>
                <w:rFonts w:ascii="Verdana" w:eastAsia="Calibri" w:hAnsi="Verdana" w:cs="Arial"/>
                <w:color w:val="000000" w:themeColor="text1"/>
                <w:lang w:val="es-ES"/>
              </w:rPr>
            </w:pPr>
            <w:r w:rsidRPr="00185D8F">
              <w:rPr>
                <w:rFonts w:ascii="Verdana" w:eastAsia="Calibri" w:hAnsi="Verdana" w:cs="Arial"/>
                <w:color w:val="000000" w:themeColor="text1"/>
                <w:lang w:val="es-ES"/>
              </w:rPr>
              <w:t>Por consiguiente, la referencia a la NTC 4595 no puede entenderse como una condición para reconocer que las instalaciones de una institución de educación superior constituyen infraestructura educativa, ni como una extensión automática e integral a estas instituciones de todos los parámetros técnicos concebidos para los establecimientos de educación preescolar, básica y media. Sus criterios podrán servir como referentes técnicos en la medida en que resulten pertinentes según las características, destinación y funcionalidad de los espacios objeto de intervención, sin que ello modifique la clasificación que corresponde efectuar conforme a la NSR-10.</w:t>
            </w:r>
          </w:p>
          <w:p w14:paraId="3B360B3D" w14:textId="77777777" w:rsidR="009270B3" w:rsidRPr="00185D8F" w:rsidRDefault="009270B3" w:rsidP="00970515">
            <w:pPr>
              <w:spacing w:before="120" w:after="120" w:line="276" w:lineRule="auto"/>
              <w:ind w:firstLine="709"/>
              <w:jc w:val="both"/>
              <w:rPr>
                <w:rFonts w:ascii="Verdana" w:eastAsia="Calibri" w:hAnsi="Verdana" w:cs="Arial"/>
                <w:color w:val="000000" w:themeColor="text1"/>
                <w:lang w:val="es-ES"/>
              </w:rPr>
            </w:pPr>
            <w:r w:rsidRPr="00185D8F">
              <w:rPr>
                <w:rFonts w:ascii="Verdana" w:eastAsia="Calibri" w:hAnsi="Verdana" w:cs="Arial"/>
                <w:color w:val="000000" w:themeColor="text1"/>
                <w:lang w:val="es-ES"/>
              </w:rPr>
              <w:t>En relación con la consulta, en la que se indaga si los Documentos Tipo complementarios del sector educativo aplican a la ejecución de actividades sobre una institución de educación superior, debe señalarse que el Anexo 5 – Glosario de los Documentos Tipo, en el numeral 3.74, define este tipo de instituciones.</w:t>
            </w:r>
          </w:p>
          <w:p w14:paraId="2359F44F" w14:textId="77777777" w:rsidR="009270B3" w:rsidRPr="00185D8F" w:rsidRDefault="009270B3" w:rsidP="00970515">
            <w:pPr>
              <w:spacing w:before="120" w:after="120" w:line="276" w:lineRule="auto"/>
              <w:ind w:firstLine="709"/>
              <w:jc w:val="both"/>
              <w:rPr>
                <w:rFonts w:ascii="Verdana" w:eastAsia="Calibri" w:hAnsi="Verdana" w:cs="Arial"/>
                <w:color w:val="000000" w:themeColor="text1"/>
                <w:lang w:val="es-ES"/>
              </w:rPr>
            </w:pPr>
            <w:r w:rsidRPr="00185D8F">
              <w:rPr>
                <w:rFonts w:ascii="Verdana" w:eastAsia="Calibri" w:hAnsi="Verdana" w:cs="Arial"/>
                <w:color w:val="000000" w:themeColor="text1"/>
                <w:lang w:val="es-ES"/>
              </w:rPr>
              <w:t>En atención a lo expuesto, una institución de educación superior (IES) debe clasificarse dentro del Subgrupo de Ocupación Institucional de Educación (I-3) de la NSR-10, en la medida en que sus edificaciones están destinadas a la reunión de personas con propósitos educativos y de instrucción, finalidad que corresponde al núcleo de su actividad.</w:t>
            </w:r>
          </w:p>
          <w:p w14:paraId="4CFE49AC" w14:textId="77777777" w:rsidR="009270B3" w:rsidRPr="00185D8F" w:rsidRDefault="009270B3" w:rsidP="00970515">
            <w:pPr>
              <w:spacing w:before="120" w:after="120" w:line="276" w:lineRule="auto"/>
              <w:ind w:firstLine="709"/>
              <w:jc w:val="both"/>
              <w:rPr>
                <w:rFonts w:ascii="Verdana" w:eastAsia="Calibri" w:hAnsi="Verdana" w:cs="Arial"/>
                <w:color w:val="000000" w:themeColor="text1"/>
                <w:lang w:val="es-ES"/>
              </w:rPr>
            </w:pPr>
            <w:r w:rsidRPr="00185D8F">
              <w:rPr>
                <w:rFonts w:ascii="Verdana" w:eastAsia="Calibri" w:hAnsi="Verdana" w:cs="Arial"/>
                <w:color w:val="000000" w:themeColor="text1"/>
                <w:lang w:val="es-ES"/>
              </w:rPr>
              <w:t xml:space="preserve">La NSR-10 incluye expresamente dentro de este subgrupo a las universidades y demás instituciones docentes, y precisa que dicha </w:t>
            </w:r>
            <w:r w:rsidRPr="00185D8F">
              <w:rPr>
                <w:rFonts w:ascii="Verdana" w:eastAsia="Calibri" w:hAnsi="Verdana" w:cs="Arial"/>
                <w:color w:val="000000" w:themeColor="text1"/>
                <w:lang w:val="es-ES"/>
              </w:rPr>
              <w:lastRenderedPageBreak/>
              <w:t xml:space="preserve">enumeración es enunciativa y no taxativa, al emplear la expresión “otras instituciones docentes”. Esto permite comprender las edificaciones cuya naturaleza y finalidad estén orientadas a la prestación del servicio público de educación. En concordancia con el Anexo 5 – Glosario de los Documentos Tipo, las IES —sean instituciones técnicas profesionales, tecnológicas, instituciones universitarias o universidades, conforme a la Ley 30 de 1992 y la Ley 749 de 2002— están habilitadas para prestar el servicio público de educación superior. Por tanto, sus instalaciones constituyen infraestructura educativa y </w:t>
            </w:r>
            <w:proofErr w:type="gramStart"/>
            <w:r w:rsidRPr="00185D8F">
              <w:rPr>
                <w:rFonts w:ascii="Verdana" w:eastAsia="Calibri" w:hAnsi="Verdana" w:cs="Arial"/>
                <w:color w:val="000000" w:themeColor="text1"/>
                <w:lang w:val="es-ES"/>
              </w:rPr>
              <w:t>se enmarcan dentro del</w:t>
            </w:r>
            <w:proofErr w:type="gramEnd"/>
            <w:r w:rsidRPr="00185D8F">
              <w:rPr>
                <w:rFonts w:ascii="Verdana" w:eastAsia="Calibri" w:hAnsi="Verdana" w:cs="Arial"/>
                <w:color w:val="000000" w:themeColor="text1"/>
                <w:lang w:val="es-ES"/>
              </w:rPr>
              <w:t xml:space="preserve"> referido Subgrupo de Ocupación Institucional de Educación (I-3).</w:t>
            </w:r>
          </w:p>
          <w:p w14:paraId="525D368E" w14:textId="77777777" w:rsidR="009270B3" w:rsidRPr="00185D8F" w:rsidRDefault="009270B3" w:rsidP="00970515">
            <w:pPr>
              <w:spacing w:before="120" w:after="120" w:line="276" w:lineRule="auto"/>
              <w:ind w:firstLine="709"/>
              <w:jc w:val="both"/>
              <w:rPr>
                <w:rFonts w:ascii="Verdana" w:eastAsia="Calibri" w:hAnsi="Verdana" w:cs="Arial"/>
                <w:color w:val="000000" w:themeColor="text1"/>
                <w:lang w:val="es-ES"/>
              </w:rPr>
            </w:pPr>
            <w:r w:rsidRPr="00185D8F">
              <w:rPr>
                <w:rFonts w:ascii="Verdana" w:eastAsia="Calibri" w:hAnsi="Verdana" w:cs="Arial"/>
                <w:color w:val="000000" w:themeColor="text1"/>
                <w:lang w:val="es-ES"/>
              </w:rPr>
              <w:t>Por lo anterior, la Agencia Nacional de Contratación Pública – Colombia Compra Eficiente informa que, a partir del 16 de febrero de 2026, si una entidad de aquellas obligadas a utilizar los Documentos Tipo expedidos por esta Agencia adelanta un proceso de contratación cuyo objeto comprenda alguna de las actividades previstas en la Matriz 1 – Experiencia del Sector Educativo y estas recaigan sobre infraestructura educativa —como puede ocurrir con las obras sobre instalaciones de instituciones de educación superior—, deberá implementar los Documentos Tipo adoptados mediante las Resoluciones 539, 540 y 541 de 2025, según corresponda a la modalidad de licitación pública de obra, selección abreviada de menor cuantía o mínima cuantía.</w:t>
            </w:r>
          </w:p>
          <w:p w14:paraId="5D02D514" w14:textId="77777777" w:rsidR="009270B3" w:rsidRPr="00D75512" w:rsidRDefault="009270B3" w:rsidP="00970515">
            <w:pPr>
              <w:spacing w:before="120" w:after="120" w:line="276" w:lineRule="auto"/>
              <w:jc w:val="both"/>
              <w:rPr>
                <w:rFonts w:ascii="Verdana" w:eastAsia="Calibri" w:hAnsi="Verdana" w:cs="Arial"/>
                <w:color w:val="000000" w:themeColor="text1"/>
              </w:rPr>
            </w:pPr>
          </w:p>
        </w:tc>
      </w:tr>
    </w:tbl>
    <w:p w14:paraId="5520DCDB" w14:textId="77777777" w:rsidR="009270B3" w:rsidRPr="0010023F" w:rsidRDefault="009270B3" w:rsidP="009270B3">
      <w:pPr>
        <w:tabs>
          <w:tab w:val="left" w:pos="142"/>
          <w:tab w:val="left" w:pos="284"/>
        </w:tabs>
        <w:spacing w:after="0" w:line="276" w:lineRule="auto"/>
        <w:ind w:left="142" w:hanging="142"/>
        <w:jc w:val="both"/>
        <w:rPr>
          <w:rFonts w:ascii="Verdana" w:eastAsia="Century Gothic" w:hAnsi="Verdana" w:cs="Century Gothic"/>
          <w:b/>
          <w:bCs/>
          <w:lang w:val="es-ES"/>
        </w:rPr>
      </w:pPr>
    </w:p>
    <w:p w14:paraId="68C5AB54" w14:textId="77777777" w:rsidR="009270B3" w:rsidRPr="0010023F" w:rsidRDefault="009270B3" w:rsidP="009270B3">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entury Gothic" w:hAnsi="Verdana" w:cs="Century Gothic"/>
          <w:b/>
          <w:bCs/>
          <w:lang w:val="es-ES"/>
        </w:rPr>
        <w:t>Razones de la respuesta:</w:t>
      </w:r>
    </w:p>
    <w:p w14:paraId="024A9354" w14:textId="77777777" w:rsidR="009270B3" w:rsidRPr="0010023F" w:rsidRDefault="009270B3" w:rsidP="009270B3">
      <w:pPr>
        <w:tabs>
          <w:tab w:val="left" w:pos="142"/>
          <w:tab w:val="left" w:pos="284"/>
        </w:tabs>
        <w:spacing w:after="0" w:line="276" w:lineRule="auto"/>
        <w:contextualSpacing/>
        <w:jc w:val="both"/>
        <w:rPr>
          <w:rFonts w:ascii="Verdana" w:eastAsia="Century Gothic" w:hAnsi="Verdana" w:cs="Century Gothic"/>
          <w:b/>
          <w:bCs/>
          <w:lang w:val="es-ES"/>
        </w:rPr>
      </w:pPr>
    </w:p>
    <w:p w14:paraId="0202C0E1" w14:textId="77777777" w:rsidR="009270B3" w:rsidRPr="0010023F" w:rsidRDefault="009270B3" w:rsidP="009270B3">
      <w:p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alibri" w:hAnsi="Verdana" w:cs="Arial"/>
          <w:lang w:val="es-ES" w:eastAsia="es-MX"/>
        </w:rPr>
        <w:t xml:space="preserve">Lo anterior se sustenta en las siguientes consideraciones: </w:t>
      </w:r>
    </w:p>
    <w:p w14:paraId="3EAE3688" w14:textId="77777777" w:rsidR="009270B3" w:rsidRPr="0010023F" w:rsidRDefault="009270B3" w:rsidP="009270B3">
      <w:pPr>
        <w:spacing w:after="0" w:line="276" w:lineRule="auto"/>
        <w:jc w:val="both"/>
        <w:rPr>
          <w:rFonts w:ascii="Verdana" w:eastAsia="Calibri" w:hAnsi="Verdana" w:cs="Arial"/>
          <w:lang w:val="es-ES" w:eastAsia="es-MX"/>
        </w:rPr>
      </w:pPr>
    </w:p>
    <w:p w14:paraId="3C6ED21F" w14:textId="77777777" w:rsidR="009270B3" w:rsidRPr="00C24209" w:rsidRDefault="009270B3" w:rsidP="009270B3">
      <w:pPr>
        <w:spacing w:after="120" w:line="276" w:lineRule="auto"/>
        <w:jc w:val="both"/>
        <w:rPr>
          <w:rFonts w:ascii="Verdana" w:hAnsi="Verdana" w:cs="Arial"/>
          <w:color w:val="000000" w:themeColor="text1"/>
          <w:shd w:val="clear" w:color="auto" w:fill="FFFFFF"/>
          <w:lang w:val="es-ES_tradnl"/>
        </w:rPr>
      </w:pPr>
      <w:r w:rsidRPr="0010023F">
        <w:rPr>
          <w:rFonts w:ascii="Verdana" w:eastAsia="Aptos" w:hAnsi="Verdana" w:cs="Arial"/>
          <w:lang w:eastAsia="es-MX"/>
        </w:rPr>
        <w:t xml:space="preserve">I). </w:t>
      </w:r>
      <w:r w:rsidRPr="00C24209">
        <w:rPr>
          <w:rFonts w:ascii="Verdana" w:eastAsia="Aptos" w:hAnsi="Verdana" w:cs="Arial"/>
          <w:bCs/>
          <w:color w:val="000000" w:themeColor="text1"/>
        </w:rPr>
        <w:t xml:space="preserve">De forma preliminar a adentrarse en el estudio de los problemas jurídicos planteados, es necesario señalar que, </w:t>
      </w:r>
      <w:r w:rsidRPr="00C24209">
        <w:rPr>
          <w:rFonts w:ascii="Verdana" w:eastAsia="Arial" w:hAnsi="Verdana" w:cs="Arial"/>
          <w:color w:val="000000" w:themeColor="text1"/>
          <w:lang w:val="es-MX"/>
        </w:rPr>
        <w:t xml:space="preserve">en ejercicio de las competencias establecidas en los artículos 3.5 y 11.8 del Decreto Ley 4170 de 2011, la Agencia Nacional de Contratación Pública – Colombia Compra Eficiente resuelve las </w:t>
      </w:r>
      <w:r w:rsidRPr="00C24209">
        <w:rPr>
          <w:rFonts w:ascii="Verdana" w:eastAsia="Arial" w:hAnsi="Verdana" w:cs="Arial"/>
          <w:color w:val="000000" w:themeColor="text1"/>
          <w:lang w:val="es-MX"/>
        </w:rPr>
        <w:lastRenderedPageBreak/>
        <w:t>consultas sobre los asuntos de su competencia, esto es, sobre las temáticas de la contratación estatal y compras públicas relacionadas en los artículos citados</w:t>
      </w:r>
      <w:r w:rsidRPr="00C24209">
        <w:rPr>
          <w:rFonts w:ascii="Verdana" w:eastAsia="Arial" w:hAnsi="Verdana" w:cs="Arial"/>
          <w:color w:val="000000" w:themeColor="text1"/>
          <w:vertAlign w:val="superscript"/>
          <w:lang w:val="es-MX"/>
        </w:rPr>
        <w:footnoteReference w:id="2"/>
      </w:r>
      <w:r w:rsidRPr="00C24209">
        <w:rPr>
          <w:rFonts w:ascii="Verdana" w:eastAsia="Arial" w:hAnsi="Verdana" w:cs="Arial"/>
          <w:color w:val="000000" w:themeColor="text1"/>
          <w:lang w:val="es-MX"/>
        </w:rPr>
        <w:t xml:space="preserve">. </w:t>
      </w:r>
    </w:p>
    <w:p w14:paraId="027FD5D8" w14:textId="77777777" w:rsidR="009270B3" w:rsidRPr="00C24209" w:rsidRDefault="009270B3" w:rsidP="009270B3">
      <w:pPr>
        <w:tabs>
          <w:tab w:val="left" w:pos="426"/>
        </w:tabs>
        <w:spacing w:after="0" w:line="276" w:lineRule="auto"/>
        <w:jc w:val="both"/>
        <w:rPr>
          <w:rFonts w:ascii="Verdana" w:eastAsia="Calibri" w:hAnsi="Verdana" w:cs="Arial"/>
          <w:bCs/>
          <w:color w:val="000000" w:themeColor="text1"/>
          <w:lang w:val="es-ES_tradnl"/>
        </w:rPr>
      </w:pPr>
      <w:r w:rsidRPr="00C24209">
        <w:rPr>
          <w:rFonts w:ascii="Verdana" w:eastAsia="Calibri" w:hAnsi="Verdana" w:cs="Arial"/>
          <w:bCs/>
          <w:color w:val="000000" w:themeColor="text1"/>
          <w:lang w:val="es-ES_tradnl"/>
        </w:rPr>
        <w:tab/>
      </w:r>
      <w:r w:rsidRPr="00C24209">
        <w:rPr>
          <w:rFonts w:ascii="Verdana" w:eastAsia="Calibri" w:hAnsi="Verdana" w:cs="Arial"/>
          <w:bCs/>
          <w:color w:val="000000" w:themeColor="text1"/>
          <w:lang w:val="es-ES_tradnl"/>
        </w:rPr>
        <w:tab/>
        <w:t>Esta competencia consultiva se relaciona con el artículo 28 de la Ley 1437 de 2011, sustituido por el artículo 1 de la Ley 1755, que dispone lo siguiente:</w:t>
      </w:r>
    </w:p>
    <w:p w14:paraId="7D3B6621" w14:textId="77777777" w:rsidR="009270B3" w:rsidRPr="00C24209" w:rsidRDefault="009270B3" w:rsidP="009270B3">
      <w:pPr>
        <w:tabs>
          <w:tab w:val="left" w:pos="426"/>
        </w:tabs>
        <w:spacing w:after="0" w:line="276" w:lineRule="auto"/>
        <w:jc w:val="both"/>
        <w:rPr>
          <w:rFonts w:ascii="Verdana" w:eastAsia="Calibri" w:hAnsi="Verdana" w:cs="Arial"/>
          <w:bCs/>
          <w:color w:val="000000" w:themeColor="text1"/>
          <w:lang w:val="es-ES_tradnl"/>
        </w:rPr>
      </w:pPr>
    </w:p>
    <w:p w14:paraId="6AC9F5B3" w14:textId="77777777" w:rsidR="009270B3" w:rsidRPr="00C24209" w:rsidRDefault="009270B3" w:rsidP="009270B3">
      <w:pPr>
        <w:tabs>
          <w:tab w:val="left" w:pos="426"/>
        </w:tabs>
        <w:spacing w:after="0" w:line="240" w:lineRule="auto"/>
        <w:ind w:left="709" w:right="709"/>
        <w:jc w:val="both"/>
        <w:rPr>
          <w:rFonts w:ascii="Verdana" w:eastAsia="Calibri" w:hAnsi="Verdana" w:cs="Arial"/>
          <w:bCs/>
          <w:color w:val="000000" w:themeColor="text1"/>
          <w:sz w:val="20"/>
          <w:szCs w:val="20"/>
          <w:lang w:val="es-ES_tradnl"/>
        </w:rPr>
      </w:pPr>
      <w:r w:rsidRPr="00C24209">
        <w:rPr>
          <w:rFonts w:ascii="Verdana" w:eastAsia="Calibri" w:hAnsi="Verdana" w:cs="Arial"/>
          <w:bCs/>
          <w:color w:val="000000" w:themeColor="text1"/>
          <w:sz w:val="20"/>
          <w:szCs w:val="20"/>
          <w:lang w:val="es-ES_tradnl"/>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60E3D294" w14:textId="77777777" w:rsidR="009270B3" w:rsidRPr="00C24209" w:rsidRDefault="009270B3" w:rsidP="009270B3">
      <w:pPr>
        <w:tabs>
          <w:tab w:val="left" w:pos="426"/>
        </w:tabs>
        <w:spacing w:after="0" w:line="276" w:lineRule="auto"/>
        <w:jc w:val="both"/>
        <w:rPr>
          <w:rFonts w:ascii="Verdana" w:eastAsia="Calibri" w:hAnsi="Verdana" w:cs="Arial"/>
          <w:bCs/>
          <w:color w:val="000000" w:themeColor="text1"/>
          <w:lang w:val="es-ES_tradnl"/>
        </w:rPr>
      </w:pPr>
    </w:p>
    <w:p w14:paraId="1F127007" w14:textId="77777777" w:rsidR="009270B3" w:rsidRPr="00C24209" w:rsidRDefault="009270B3" w:rsidP="009270B3">
      <w:pPr>
        <w:tabs>
          <w:tab w:val="left" w:pos="709"/>
        </w:tabs>
        <w:spacing w:after="120" w:line="276" w:lineRule="auto"/>
        <w:jc w:val="both"/>
        <w:rPr>
          <w:rFonts w:ascii="Verdana" w:eastAsia="Calibri" w:hAnsi="Verdana" w:cs="Arial"/>
          <w:bCs/>
          <w:color w:val="000000" w:themeColor="text1"/>
          <w:lang w:val="es-ES_tradnl"/>
        </w:rPr>
      </w:pPr>
      <w:r w:rsidRPr="00C24209">
        <w:rPr>
          <w:rFonts w:ascii="Verdana" w:eastAsia="Calibri" w:hAnsi="Verdana" w:cs="Arial"/>
          <w:bCs/>
          <w:color w:val="000000" w:themeColor="text1"/>
          <w:lang w:val="es-ES_tradnl"/>
        </w:rPr>
        <w:tab/>
        <w:t>La ley es clara cuando 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asesorías puntuales a los partícipes de la contratación estatal.</w:t>
      </w:r>
    </w:p>
    <w:p w14:paraId="2160847A" w14:textId="77777777" w:rsidR="009270B3" w:rsidRPr="00C24209" w:rsidRDefault="009270B3" w:rsidP="009270B3">
      <w:pPr>
        <w:tabs>
          <w:tab w:val="left" w:pos="709"/>
        </w:tabs>
        <w:spacing w:after="120" w:line="276" w:lineRule="auto"/>
        <w:jc w:val="both"/>
        <w:rPr>
          <w:rFonts w:ascii="Verdana" w:eastAsia="Calibri" w:hAnsi="Verdana" w:cs="Arial"/>
          <w:bCs/>
          <w:color w:val="000000" w:themeColor="text1"/>
          <w:sz w:val="21"/>
          <w:szCs w:val="21"/>
          <w:lang w:val="es-ES_tradnl"/>
        </w:rPr>
      </w:pPr>
      <w:r w:rsidRPr="00C24209">
        <w:rPr>
          <w:rFonts w:ascii="Verdana" w:eastAsia="Calibri" w:hAnsi="Verdana" w:cs="Arial"/>
          <w:bCs/>
          <w:color w:val="000000" w:themeColor="text1"/>
          <w:lang w:val="es-ES_tradnl"/>
        </w:rPr>
        <w:tab/>
        <w:t>Esta posición es compartida por varias entidades públicas que ejercen la misma función. Por ejemplo,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w:t>
      </w:r>
      <w:r w:rsidRPr="00C24209">
        <w:rPr>
          <w:rFonts w:ascii="Verdana" w:eastAsia="Calibri" w:hAnsi="Verdana" w:cs="Arial"/>
          <w:bCs/>
          <w:color w:val="000000" w:themeColor="text1"/>
          <w:vertAlign w:val="superscript"/>
          <w:lang w:val="es-ES_tradnl"/>
        </w:rPr>
        <w:footnoteReference w:id="3"/>
      </w:r>
      <w:r w:rsidRPr="00C24209">
        <w:rPr>
          <w:rFonts w:ascii="Verdana" w:eastAsia="Calibri" w:hAnsi="Verdana" w:cs="Arial"/>
          <w:bCs/>
          <w:color w:val="000000" w:themeColor="text1"/>
          <w:lang w:val="es-ES_tradnl"/>
        </w:rPr>
        <w:t xml:space="preserve">. </w:t>
      </w:r>
      <w:r w:rsidRPr="00C24209">
        <w:rPr>
          <w:rFonts w:ascii="Verdana" w:eastAsia="Calibri" w:hAnsi="Verdana" w:cs="Arial"/>
          <w:bCs/>
          <w:color w:val="000000" w:themeColor="text1"/>
          <w:lang w:val="es-ES_tradnl"/>
        </w:rPr>
        <w:lastRenderedPageBreak/>
        <w:t>Igualmente, en concepto del año 2017</w:t>
      </w:r>
      <w:r w:rsidRPr="00C24209">
        <w:rPr>
          <w:rFonts w:ascii="Verdana" w:eastAsia="Calibri" w:hAnsi="Verdana" w:cs="Arial"/>
          <w:bCs/>
          <w:color w:val="000000" w:themeColor="text1"/>
          <w:vertAlign w:val="superscript"/>
          <w:lang w:val="es-ES_tradnl"/>
        </w:rPr>
        <w:footnoteReference w:id="4"/>
      </w:r>
      <w:r w:rsidRPr="00C24209">
        <w:rPr>
          <w:rFonts w:ascii="Verdana" w:eastAsia="Calibri" w:hAnsi="Verdana" w:cs="Arial"/>
          <w:bCs/>
          <w:color w:val="000000" w:themeColor="text1"/>
          <w:lang w:val="es-ES_tradnl"/>
        </w:rPr>
        <w:t>,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p>
    <w:p w14:paraId="0EC6FE30" w14:textId="77777777" w:rsidR="009270B3" w:rsidRPr="00C24209" w:rsidRDefault="009270B3" w:rsidP="009270B3">
      <w:pPr>
        <w:tabs>
          <w:tab w:val="left" w:pos="709"/>
        </w:tabs>
        <w:spacing w:after="120" w:line="276" w:lineRule="auto"/>
        <w:jc w:val="both"/>
        <w:rPr>
          <w:rFonts w:ascii="Verdana" w:eastAsia="Calibri" w:hAnsi="Verdana" w:cs="Arial"/>
          <w:bCs/>
          <w:color w:val="000000" w:themeColor="text1"/>
          <w:lang w:val="es-ES_tradnl"/>
        </w:rPr>
      </w:pPr>
      <w:r w:rsidRPr="00C24209">
        <w:rPr>
          <w:rFonts w:ascii="Verdana" w:eastAsia="Calibri" w:hAnsi="Verdana" w:cs="Arial"/>
          <w:bCs/>
          <w:color w:val="000000" w:themeColor="text1"/>
          <w:lang w:val="es-ES_tradnl"/>
        </w:rPr>
        <w:tab/>
        <w:t xml:space="preserve">En términos generales,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o asumir la </w:t>
      </w:r>
      <w:r w:rsidRPr="00C24209">
        <w:rPr>
          <w:rFonts w:ascii="Verdana" w:eastAsia="Calibri" w:hAnsi="Verdana" w:cs="Arial"/>
          <w:bCs/>
          <w:i/>
          <w:iCs/>
          <w:color w:val="000000" w:themeColor="text1"/>
          <w:lang w:val="es-ES_tradnl"/>
        </w:rPr>
        <w:t>única</w:t>
      </w:r>
      <w:r w:rsidRPr="00C24209">
        <w:rPr>
          <w:rFonts w:ascii="Verdana" w:eastAsia="Calibri" w:hAnsi="Verdana" w:cs="Arial"/>
          <w:bCs/>
          <w:color w:val="000000" w:themeColor="text1"/>
          <w:lang w:val="es-ES_tradnl"/>
        </w:rPr>
        <w:t xml:space="preserve">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C24209">
        <w:rPr>
          <w:rFonts w:ascii="Verdana" w:eastAsia="Calibri" w:hAnsi="Verdana" w:cs="Arial"/>
          <w:bCs/>
          <w:color w:val="000000" w:themeColor="text1"/>
          <w:vertAlign w:val="superscript"/>
          <w:lang w:val="es-ES_tradnl"/>
        </w:rPr>
        <w:footnoteReference w:id="5"/>
      </w:r>
      <w:r w:rsidRPr="00C24209">
        <w:rPr>
          <w:rFonts w:ascii="Verdana" w:eastAsia="Calibri" w:hAnsi="Verdana" w:cs="Arial"/>
          <w:bCs/>
          <w:color w:val="000000" w:themeColor="text1"/>
          <w:lang w:val="es-ES_tradnl"/>
        </w:rPr>
        <w:t>.</w:t>
      </w:r>
    </w:p>
    <w:p w14:paraId="03121DF4" w14:textId="77777777" w:rsidR="009270B3" w:rsidRPr="00C24209" w:rsidRDefault="009270B3" w:rsidP="009270B3">
      <w:pPr>
        <w:tabs>
          <w:tab w:val="left" w:pos="709"/>
        </w:tabs>
        <w:spacing w:after="120" w:line="276" w:lineRule="auto"/>
        <w:ind w:firstLine="709"/>
        <w:jc w:val="both"/>
        <w:rPr>
          <w:rFonts w:ascii="Verdana" w:eastAsia="Calibri" w:hAnsi="Verdana" w:cs="Arial"/>
          <w:bCs/>
          <w:color w:val="000000" w:themeColor="text1"/>
          <w:lang w:val="es-ES_tradnl"/>
        </w:rPr>
      </w:pPr>
      <w:r w:rsidRPr="00C24209">
        <w:rPr>
          <w:rFonts w:ascii="Verdana" w:eastAsia="Calibri" w:hAnsi="Verdana" w:cs="Arial"/>
          <w:bCs/>
          <w:color w:val="000000" w:themeColor="text1"/>
          <w:lang w:val="es-ES_tradnl"/>
        </w:rPr>
        <w:t xml:space="preserve">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tal y no adquiere efectos vinculantes, por más que coincida con el de la autoridad judicial, pues, en esa hipótesis, lo que vincula es la decisión del juez, no el de la entidad que ejerció la función consultiva, pues, </w:t>
      </w:r>
      <w:r w:rsidRPr="00C24209">
        <w:rPr>
          <w:rFonts w:ascii="Verdana" w:eastAsia="Calibri" w:hAnsi="Verdana" w:cs="Arial"/>
          <w:bCs/>
          <w:color w:val="000000" w:themeColor="text1"/>
          <w:lang w:val="es-ES_tradnl"/>
        </w:rPr>
        <w:lastRenderedPageBreak/>
        <w:t xml:space="preserve">como se viene diciendo, dicha competencia se enmarca en el artículo 28 de la Ley 1437 de 2011. En otras palabras, los conceptos “no serán de obligatorio cumplimiento o ejecución”. </w:t>
      </w:r>
    </w:p>
    <w:p w14:paraId="6913DB0D" w14:textId="77777777" w:rsidR="009270B3" w:rsidRPr="00C24209" w:rsidRDefault="009270B3" w:rsidP="009270B3">
      <w:pPr>
        <w:tabs>
          <w:tab w:val="left" w:pos="709"/>
        </w:tabs>
        <w:spacing w:before="120" w:after="0" w:line="276" w:lineRule="auto"/>
        <w:jc w:val="both"/>
        <w:rPr>
          <w:rFonts w:ascii="Verdana" w:eastAsia="Calibri" w:hAnsi="Verdana" w:cs="Arial"/>
          <w:bCs/>
          <w:color w:val="000000" w:themeColor="text1"/>
          <w:lang w:val="es-ES_tradnl"/>
        </w:rPr>
      </w:pPr>
      <w:r w:rsidRPr="00C24209">
        <w:rPr>
          <w:rFonts w:ascii="Verdana" w:eastAsia="Calibri" w:hAnsi="Verdana" w:cs="Arial"/>
          <w:bCs/>
          <w:color w:val="000000" w:themeColor="text1"/>
          <w:lang w:val="es-ES_tradnl"/>
        </w:rPr>
        <w:tab/>
        <w:t>En similares términos, el artículo 112 de la Ley 1437 de 2011 establece, en relación con la Sala de Consulta y Servicio Civil, que “los conceptos de la Sala no serán vinculantes, salvo que la ley disponga lo contrario”</w:t>
      </w:r>
      <w:r w:rsidRPr="00C24209">
        <w:rPr>
          <w:rFonts w:ascii="Verdana" w:eastAsia="Calibri" w:hAnsi="Verdana" w:cs="Arial"/>
          <w:bCs/>
          <w:color w:val="000000" w:themeColor="text1"/>
          <w:vertAlign w:val="superscript"/>
          <w:lang w:val="es-ES_tradnl"/>
        </w:rPr>
        <w:footnoteReference w:id="6"/>
      </w:r>
      <w:r w:rsidRPr="00C24209">
        <w:rPr>
          <w:rFonts w:ascii="Verdana" w:eastAsia="Calibri" w:hAnsi="Verdana" w:cs="Arial"/>
          <w:bCs/>
          <w:color w:val="000000" w:themeColor="text1"/>
          <w:lang w:val="es-ES_tradnl"/>
        </w:rPr>
        <w:t xml:space="preserve">. Se trata, </w:t>
      </w:r>
      <w:r w:rsidRPr="00C24209">
        <w:rPr>
          <w:rFonts w:ascii="Verdana" w:eastAsia="Calibri" w:hAnsi="Verdana" w:cs="Arial"/>
          <w:bCs/>
          <w:i/>
          <w:iCs/>
          <w:color w:val="000000" w:themeColor="text1"/>
          <w:lang w:val="es-ES_tradnl"/>
        </w:rPr>
        <w:t>mutatis mutandis</w:t>
      </w:r>
      <w:r w:rsidRPr="00C24209">
        <w:rPr>
          <w:rFonts w:ascii="Verdana" w:eastAsia="Calibri" w:hAnsi="Verdana" w:cs="Arial"/>
          <w:bCs/>
          <w:color w:val="000000" w:themeColor="text1"/>
          <w:lang w:val="es-ES_tradnl"/>
        </w:rPr>
        <w:t>,</w:t>
      </w:r>
      <w:r w:rsidRPr="00C24209">
        <w:rPr>
          <w:rFonts w:ascii="Verdana" w:eastAsia="Calibri" w:hAnsi="Verdana" w:cs="Arial"/>
          <w:bCs/>
          <w:i/>
          <w:iCs/>
          <w:color w:val="000000" w:themeColor="text1"/>
          <w:lang w:val="es-ES_tradnl"/>
        </w:rPr>
        <w:t xml:space="preserve"> </w:t>
      </w:r>
      <w:r w:rsidRPr="00C24209">
        <w:rPr>
          <w:rFonts w:ascii="Verdana" w:eastAsia="Calibri" w:hAnsi="Verdana" w:cs="Arial"/>
          <w:bCs/>
          <w:color w:val="000000" w:themeColor="text1"/>
          <w:lang w:val="es-ES_tradnl"/>
        </w:rPr>
        <w:t>del ejercicio de una función consultiva, cuyos efectos, por ende, serán los mismos: no vinculantes ni de obligatorio cumplimiento. En relación con el tema, la Sala de Consulta y Servicio Civil del Consejo de Estado, se pronunció en los siguientes términos:</w:t>
      </w:r>
    </w:p>
    <w:p w14:paraId="39C77185" w14:textId="77777777" w:rsidR="009270B3" w:rsidRPr="00C24209" w:rsidRDefault="009270B3" w:rsidP="009270B3">
      <w:pPr>
        <w:tabs>
          <w:tab w:val="left" w:pos="426"/>
        </w:tabs>
        <w:spacing w:after="0" w:line="276" w:lineRule="auto"/>
        <w:jc w:val="both"/>
        <w:rPr>
          <w:rFonts w:ascii="Verdana" w:eastAsia="Calibri" w:hAnsi="Verdana" w:cs="Arial"/>
          <w:bCs/>
          <w:color w:val="000000" w:themeColor="text1"/>
          <w:lang w:val="es-ES_tradnl"/>
        </w:rPr>
      </w:pPr>
    </w:p>
    <w:p w14:paraId="335AC619" w14:textId="77777777" w:rsidR="009270B3" w:rsidRPr="00C24209" w:rsidRDefault="009270B3" w:rsidP="009270B3">
      <w:pPr>
        <w:tabs>
          <w:tab w:val="left" w:pos="426"/>
        </w:tabs>
        <w:spacing w:after="0" w:line="240" w:lineRule="auto"/>
        <w:ind w:left="709" w:right="709"/>
        <w:jc w:val="both"/>
        <w:rPr>
          <w:rFonts w:ascii="Verdana" w:eastAsia="Calibri" w:hAnsi="Verdana" w:cs="Arial"/>
          <w:bCs/>
          <w:color w:val="000000" w:themeColor="text1"/>
          <w:sz w:val="20"/>
          <w:szCs w:val="20"/>
          <w:lang w:val="es-ES_tradnl"/>
        </w:rPr>
      </w:pPr>
      <w:r w:rsidRPr="00C24209">
        <w:rPr>
          <w:rFonts w:ascii="Verdana" w:eastAsia="Calibri" w:hAnsi="Verdana" w:cs="Arial"/>
          <w:bCs/>
          <w:color w:val="000000" w:themeColor="text1"/>
          <w:sz w:val="20"/>
          <w:szCs w:val="20"/>
          <w:lang w:val="es-ES_tradnl"/>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3C6E6B33" w14:textId="77777777" w:rsidR="009270B3" w:rsidRPr="00C24209" w:rsidRDefault="009270B3" w:rsidP="009270B3">
      <w:pPr>
        <w:tabs>
          <w:tab w:val="left" w:pos="426"/>
        </w:tabs>
        <w:spacing w:after="0" w:line="240" w:lineRule="auto"/>
        <w:ind w:left="709" w:right="709"/>
        <w:jc w:val="both"/>
        <w:rPr>
          <w:rFonts w:ascii="Verdana" w:eastAsia="Calibri" w:hAnsi="Verdana" w:cs="Arial"/>
          <w:bCs/>
          <w:color w:val="000000" w:themeColor="text1"/>
          <w:sz w:val="20"/>
          <w:szCs w:val="20"/>
          <w:lang w:val="es-ES_tradnl"/>
        </w:rPr>
      </w:pPr>
    </w:p>
    <w:p w14:paraId="73134D41" w14:textId="77777777" w:rsidR="009270B3" w:rsidRPr="00C24209" w:rsidRDefault="009270B3" w:rsidP="009270B3">
      <w:pPr>
        <w:tabs>
          <w:tab w:val="left" w:pos="426"/>
        </w:tabs>
        <w:spacing w:after="0" w:line="240" w:lineRule="auto"/>
        <w:ind w:left="709" w:right="709"/>
        <w:jc w:val="both"/>
        <w:rPr>
          <w:rFonts w:ascii="Verdana" w:eastAsia="Calibri" w:hAnsi="Verdana" w:cs="Arial"/>
          <w:bCs/>
          <w:color w:val="000000" w:themeColor="text1"/>
          <w:sz w:val="20"/>
          <w:szCs w:val="20"/>
          <w:lang w:val="es-ES_tradnl"/>
        </w:rPr>
      </w:pPr>
      <w:r w:rsidRPr="00C24209">
        <w:rPr>
          <w:rFonts w:ascii="Verdana" w:eastAsia="Calibri" w:hAnsi="Verdana" w:cs="Arial"/>
          <w:bCs/>
          <w:color w:val="000000" w:themeColor="text1"/>
          <w:sz w:val="20"/>
          <w:szCs w:val="20"/>
          <w:lang w:val="es-ES_tradnl"/>
        </w:rPr>
        <w:t>No se trata entonces de dar la razón a una u otra posición en temas controvertibles, sino de rendir un concepto jurídico que sirva a la Administración en la búsqueda del cumplimiento de las finalidades esenciales del Estado”</w:t>
      </w:r>
      <w:r w:rsidRPr="00C24209">
        <w:rPr>
          <w:rFonts w:ascii="Verdana" w:eastAsia="Calibri" w:hAnsi="Verdana" w:cs="Arial"/>
          <w:bCs/>
          <w:color w:val="000000" w:themeColor="text1"/>
          <w:sz w:val="20"/>
          <w:szCs w:val="20"/>
          <w:vertAlign w:val="superscript"/>
          <w:lang w:val="es-ES_tradnl"/>
        </w:rPr>
        <w:footnoteReference w:id="7"/>
      </w:r>
      <w:r w:rsidRPr="00C24209">
        <w:rPr>
          <w:rFonts w:ascii="Verdana" w:eastAsia="Calibri" w:hAnsi="Verdana" w:cs="Arial"/>
          <w:bCs/>
          <w:color w:val="000000" w:themeColor="text1"/>
          <w:sz w:val="20"/>
          <w:szCs w:val="20"/>
          <w:lang w:val="es-ES_tradnl"/>
        </w:rPr>
        <w:t>.</w:t>
      </w:r>
    </w:p>
    <w:p w14:paraId="4687ACA0" w14:textId="77777777" w:rsidR="009270B3" w:rsidRPr="00C24209" w:rsidRDefault="009270B3" w:rsidP="009270B3">
      <w:pPr>
        <w:spacing w:after="0" w:line="276" w:lineRule="auto"/>
        <w:ind w:firstLine="709"/>
        <w:jc w:val="both"/>
        <w:rPr>
          <w:rFonts w:ascii="Verdana" w:eastAsia="Calibri" w:hAnsi="Verdana" w:cs="Arial"/>
          <w:color w:val="000000" w:themeColor="text1"/>
          <w:lang w:val="es-ES_tradnl"/>
        </w:rPr>
      </w:pPr>
    </w:p>
    <w:p w14:paraId="5DF65342" w14:textId="77777777" w:rsidR="009270B3" w:rsidRPr="00C24209" w:rsidRDefault="009270B3" w:rsidP="009270B3">
      <w:pPr>
        <w:spacing w:after="120" w:line="276" w:lineRule="auto"/>
        <w:ind w:firstLine="709"/>
        <w:jc w:val="both"/>
        <w:rPr>
          <w:rFonts w:ascii="Verdana" w:eastAsia="Times New Roman" w:hAnsi="Verdana" w:cs="Segoe UI"/>
          <w:color w:val="000000" w:themeColor="text1"/>
          <w:lang w:eastAsia="es-ES_tradnl"/>
        </w:rPr>
      </w:pPr>
      <w:r w:rsidRPr="00C24209">
        <w:rPr>
          <w:rFonts w:ascii="Verdana" w:eastAsia="Times New Roman" w:hAnsi="Verdana" w:cs="Segoe UI"/>
          <w:color w:val="000000" w:themeColor="text1"/>
          <w:lang w:val="es-ES_tradnl" w:eastAsia="es-ES_tradnl"/>
        </w:rPr>
        <w:t xml:space="preserve">Así las cosas, </w:t>
      </w:r>
      <w:r w:rsidRPr="00C24209">
        <w:rPr>
          <w:rFonts w:ascii="Verdana" w:eastAsia="Times New Roman" w:hAnsi="Verdana" w:cs="Segoe UI"/>
          <w:color w:val="000000" w:themeColor="text1"/>
          <w:lang w:eastAsia="es-ES_tradnl"/>
        </w:rPr>
        <w:t xml:space="preserve">debe tenerse en cuenta que los conceptos emitidos por la Agencia Nacional de Contratación Pública – Colombia Compra Eficiente en ejercicio de su función consultiva constituyen criterios de interpretación sobre normas de carácter general aplicables al Sistema de Compra Pública. No obstante, de conformidad con el artículo 28 de la Ley 1437 de 2011, los </w:t>
      </w:r>
      <w:r w:rsidRPr="00C24209">
        <w:rPr>
          <w:rFonts w:ascii="Verdana" w:eastAsia="Times New Roman" w:hAnsi="Verdana" w:cs="Segoe UI"/>
          <w:color w:val="000000" w:themeColor="text1"/>
          <w:lang w:eastAsia="es-ES_tradnl"/>
        </w:rPr>
        <w:lastRenderedPageBreak/>
        <w:t>conceptos emitidos por las autoridades en respuesta a consultas no son de obligatorio cumplimiento o ejecución y, por tanto, carecen de efectos vinculantes. En esa medida, constituyen una posición jurídica institucional que orienta a los partícipes del sistema, sin perjuicio de la autonomía de las entidades para adoptar sus decisiones y de la competencia que corresponde a las autoridades judiciales para resolver definitivamente las controversias sobre interpretación y aplicación del ordenamiento jurídico.</w:t>
      </w:r>
    </w:p>
    <w:p w14:paraId="4DE502B6" w14:textId="77777777" w:rsidR="009270B3" w:rsidRPr="00C24209" w:rsidRDefault="009270B3" w:rsidP="009270B3">
      <w:pPr>
        <w:spacing w:after="120" w:line="276" w:lineRule="auto"/>
        <w:jc w:val="both"/>
        <w:rPr>
          <w:rFonts w:ascii="Verdana" w:eastAsia="Times New Roman" w:hAnsi="Verdana" w:cs="Segoe UI"/>
          <w:color w:val="000000" w:themeColor="text1"/>
          <w:lang w:eastAsia="es-ES_tradnl"/>
        </w:rPr>
      </w:pPr>
      <w:r>
        <w:rPr>
          <w:rFonts w:ascii="Verdana" w:eastAsia="Calibri" w:hAnsi="Verdana" w:cs="Arial"/>
          <w:color w:val="000000" w:themeColor="text1"/>
        </w:rPr>
        <w:t>II)</w:t>
      </w:r>
      <w:r w:rsidRPr="00C24209">
        <w:rPr>
          <w:rFonts w:ascii="Verdana" w:eastAsia="Calibri" w:hAnsi="Verdana" w:cs="Arial"/>
          <w:color w:val="000000" w:themeColor="text1"/>
        </w:rPr>
        <w:t xml:space="preserve">. Para resolver los problemas jurídicos planteados en este concepto, la Agencia reitera en los numerales </w:t>
      </w:r>
      <w:proofErr w:type="spellStart"/>
      <w:r w:rsidRPr="00C24209">
        <w:rPr>
          <w:rFonts w:ascii="Verdana" w:eastAsia="Calibri" w:hAnsi="Verdana" w:cs="Arial"/>
          <w:color w:val="000000" w:themeColor="text1"/>
        </w:rPr>
        <w:t>ii</w:t>
      </w:r>
      <w:proofErr w:type="spellEnd"/>
      <w:r w:rsidRPr="00C24209">
        <w:rPr>
          <w:rFonts w:ascii="Verdana" w:eastAsia="Calibri" w:hAnsi="Verdana" w:cs="Arial"/>
          <w:color w:val="000000" w:themeColor="text1"/>
        </w:rPr>
        <w:t xml:space="preserve">. a </w:t>
      </w:r>
      <w:proofErr w:type="spellStart"/>
      <w:r w:rsidRPr="00C24209">
        <w:rPr>
          <w:rFonts w:ascii="Verdana" w:eastAsia="Calibri" w:hAnsi="Verdana" w:cs="Arial"/>
          <w:color w:val="000000" w:themeColor="text1"/>
        </w:rPr>
        <w:t>iv</w:t>
      </w:r>
      <w:proofErr w:type="spellEnd"/>
      <w:r w:rsidRPr="00C24209">
        <w:rPr>
          <w:rFonts w:ascii="Verdana" w:eastAsia="Calibri" w:hAnsi="Verdana" w:cs="Arial"/>
          <w:color w:val="000000" w:themeColor="text1"/>
        </w:rPr>
        <w:t xml:space="preserve">. las consideraciones del Concepto C–1180 de 2026, con la corrección de redacción indicada en la respuesta; en los numerales v. y vi. examina los argumentos con los que se pide su revisión, y en el numeral </w:t>
      </w:r>
      <w:proofErr w:type="spellStart"/>
      <w:r w:rsidRPr="00C24209">
        <w:rPr>
          <w:rFonts w:ascii="Verdana" w:eastAsia="Calibri" w:hAnsi="Verdana" w:cs="Arial"/>
          <w:color w:val="000000" w:themeColor="text1"/>
        </w:rPr>
        <w:t>vii</w:t>
      </w:r>
      <w:proofErr w:type="spellEnd"/>
      <w:r w:rsidRPr="00C24209">
        <w:rPr>
          <w:rFonts w:ascii="Verdana" w:eastAsia="Calibri" w:hAnsi="Verdana" w:cs="Arial"/>
          <w:color w:val="000000" w:themeColor="text1"/>
        </w:rPr>
        <w:t>. atiende la solicitud relacionada con los antecedentes de la versión 2 de los documentos tipo.</w:t>
      </w:r>
    </w:p>
    <w:p w14:paraId="65A5E3FF" w14:textId="77777777" w:rsidR="009270B3" w:rsidRPr="00C24209" w:rsidRDefault="009270B3" w:rsidP="009270B3">
      <w:pPr>
        <w:spacing w:after="120" w:line="276" w:lineRule="auto"/>
        <w:ind w:firstLine="708"/>
        <w:jc w:val="both"/>
        <w:rPr>
          <w:rFonts w:ascii="Verdana" w:eastAsia="Calibri" w:hAnsi="Verdana" w:cs="Arial"/>
          <w:color w:val="000000" w:themeColor="text1"/>
        </w:rPr>
      </w:pPr>
      <w:r w:rsidRPr="00C24209">
        <w:rPr>
          <w:rFonts w:ascii="Verdana" w:eastAsia="Calibri" w:hAnsi="Verdana" w:cs="Arial"/>
          <w:color w:val="000000" w:themeColor="text1"/>
          <w:lang w:val="es-ES_tradnl" w:eastAsia="es-ES"/>
        </w:rPr>
        <w:t xml:space="preserve">La </w:t>
      </w:r>
      <w:bookmarkStart w:id="2" w:name="_Hlk176876754"/>
      <w:r w:rsidRPr="00C24209">
        <w:rPr>
          <w:rFonts w:ascii="Verdana" w:eastAsia="Calibri" w:hAnsi="Verdana" w:cs="Arial"/>
          <w:color w:val="000000" w:themeColor="text1"/>
          <w:lang w:val="es-ES_tradnl" w:eastAsia="es-ES"/>
        </w:rPr>
        <w:t>Ley 2022 de 2020, modificó el contenido del parágrafo 7 del artículo 2 de la Ley 1150 de 2007, que había sido adicionado por la Ley 1882 de 2018</w:t>
      </w:r>
      <w:bookmarkEnd w:id="2"/>
      <w:r w:rsidRPr="00C24209">
        <w:rPr>
          <w:rFonts w:ascii="Verdana" w:eastAsia="Times New Roman" w:hAnsi="Verdana" w:cs="Times New Roman"/>
          <w:color w:val="000000" w:themeColor="text1"/>
          <w:vertAlign w:val="superscript"/>
          <w:lang w:eastAsia="es-ES"/>
        </w:rPr>
        <w:footnoteReference w:id="8"/>
      </w:r>
      <w:r w:rsidRPr="00C24209">
        <w:rPr>
          <w:rFonts w:ascii="Verdana" w:eastAsia="Calibri" w:hAnsi="Verdana" w:cs="Arial"/>
          <w:color w:val="000000" w:themeColor="text1"/>
          <w:lang w:val="es-ES_tradnl" w:eastAsia="es-ES"/>
        </w:rPr>
        <w:t xml:space="preserve">. </w:t>
      </w:r>
      <w:r w:rsidRPr="00C24209">
        <w:rPr>
          <w:rFonts w:ascii="Verdana" w:eastAsia="Calibri" w:hAnsi="Verdana" w:cs="Arial"/>
          <w:color w:val="000000" w:themeColor="text1"/>
          <w:lang w:val="es-ES_tradnl" w:eastAsia="es-ES"/>
        </w:rPr>
        <w:lastRenderedPageBreak/>
        <w:t xml:space="preserve">Con esta modificación, si bien se mantuvo el mandato de aplicación obligatoria de los Documentos Tipo por parte de las entidades sometidas al </w:t>
      </w:r>
      <w:r w:rsidRPr="00C24209">
        <w:rPr>
          <w:rFonts w:ascii="Verdana" w:eastAsia="Calibri" w:hAnsi="Verdana" w:cs="Arial"/>
          <w:bCs/>
          <w:color w:val="000000" w:themeColor="text1"/>
          <w:lang w:val="es-ES_tradnl" w:eastAsia="es-ES_tradnl"/>
        </w:rPr>
        <w:t>EGCAP</w:t>
      </w:r>
      <w:r w:rsidRPr="00C24209">
        <w:rPr>
          <w:rFonts w:ascii="Verdana" w:eastAsia="Calibri" w:hAnsi="Verdana" w:cs="Arial"/>
          <w:color w:val="000000" w:themeColor="text1"/>
          <w:lang w:val="es-ES_tradnl" w:eastAsia="es-ES"/>
        </w:rPr>
        <w:t xml:space="preserve">, se atribuyó a la </w:t>
      </w:r>
      <w:r w:rsidRPr="00C24209">
        <w:rPr>
          <w:rFonts w:ascii="Verdana" w:eastAsia="Calibri" w:hAnsi="Verdana" w:cs="Arial"/>
          <w:color w:val="000000" w:themeColor="text1"/>
          <w:lang w:val="es-ES_tradnl" w:eastAsia="es-ES_tradnl"/>
        </w:rPr>
        <w:t xml:space="preserve">Agencia Nacional de Contratación Pública – Colombia Compra Eficiente la competencia para su expedición. </w:t>
      </w:r>
    </w:p>
    <w:p w14:paraId="28288C59" w14:textId="77777777" w:rsidR="009270B3" w:rsidRPr="00C24209" w:rsidRDefault="009270B3" w:rsidP="009270B3">
      <w:pPr>
        <w:spacing w:after="120" w:line="276" w:lineRule="auto"/>
        <w:ind w:firstLine="709"/>
        <w:jc w:val="both"/>
        <w:rPr>
          <w:rFonts w:ascii="Verdana" w:eastAsia="Aptos" w:hAnsi="Verdana" w:cs="Arial"/>
          <w:color w:val="000000" w:themeColor="text1"/>
          <w:lang w:val="es-ES" w:eastAsia="es-MX"/>
        </w:rPr>
      </w:pPr>
      <w:r w:rsidRPr="00C24209">
        <w:rPr>
          <w:rFonts w:ascii="Verdana" w:eastAsia="Aptos" w:hAnsi="Verdana" w:cs="Arial"/>
          <w:color w:val="000000" w:themeColor="text1"/>
          <w:lang w:val="es-ES" w:eastAsia="es-MX"/>
        </w:rPr>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 </w:t>
      </w:r>
    </w:p>
    <w:p w14:paraId="369CFC96" w14:textId="77777777" w:rsidR="009270B3" w:rsidRPr="00C24209" w:rsidRDefault="009270B3" w:rsidP="009270B3">
      <w:pPr>
        <w:spacing w:after="120" w:line="276" w:lineRule="auto"/>
        <w:ind w:firstLine="708"/>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ES_tradnl"/>
        </w:rPr>
        <w:t xml:space="preserve">De acuerdo con lo expuesto, </w:t>
      </w:r>
      <w:r w:rsidRPr="00C24209">
        <w:rPr>
          <w:rFonts w:ascii="Verdana" w:eastAsia="Calibri" w:hAnsi="Verdana" w:cs="Arial"/>
          <w:color w:val="000000" w:themeColor="text1"/>
          <w:bdr w:val="none" w:sz="0" w:space="0" w:color="auto" w:frame="1"/>
          <w:lang w:eastAsia="es-ES_tradnl"/>
        </w:rPr>
        <w:t xml:space="preserve">los Documentos Tipo adoptados son obligatorios para las Entidades Estatales regidas por el </w:t>
      </w:r>
      <w:r w:rsidRPr="00C24209">
        <w:rPr>
          <w:rFonts w:ascii="Verdana" w:eastAsia="Calibri" w:hAnsi="Verdana" w:cs="Arial"/>
          <w:bCs/>
          <w:color w:val="000000" w:themeColor="text1"/>
          <w:lang w:val="es-ES_tradnl" w:eastAsia="es-ES_tradnl"/>
        </w:rPr>
        <w:t>EGCAP</w:t>
      </w:r>
      <w:r w:rsidRPr="00C24209">
        <w:rPr>
          <w:rFonts w:ascii="Verdana" w:eastAsia="Calibri" w:hAnsi="Verdana" w:cs="Arial"/>
          <w:color w:val="000000" w:themeColor="text1"/>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C24209">
        <w:rPr>
          <w:rFonts w:ascii="Verdana" w:eastAsia="Calibri" w:hAnsi="Verdana" w:cs="Arial"/>
          <w:color w:val="000000" w:themeColor="text1"/>
          <w:bdr w:val="none" w:sz="0" w:space="0" w:color="auto" w:frame="1"/>
          <w:vertAlign w:val="superscript"/>
          <w:lang w:eastAsia="es-ES_tradnl"/>
        </w:rPr>
        <w:footnoteReference w:id="9"/>
      </w:r>
      <w:r w:rsidRPr="00C24209">
        <w:rPr>
          <w:rFonts w:ascii="Verdana" w:eastAsia="Calibri" w:hAnsi="Verdana" w:cs="Arial"/>
          <w:color w:val="000000" w:themeColor="text1"/>
          <w:bdr w:val="none" w:sz="0" w:space="0" w:color="auto" w:frame="1"/>
          <w:lang w:eastAsia="es-ES_tradnl"/>
        </w:rPr>
        <w:t xml:space="preserve">. </w:t>
      </w:r>
      <w:r w:rsidRPr="00C24209">
        <w:rPr>
          <w:rFonts w:ascii="Verdana" w:eastAsia="Calibri" w:hAnsi="Verdana" w:cs="Arial"/>
          <w:color w:val="000000" w:themeColor="text1"/>
          <w:lang w:eastAsia="es-MX"/>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3F92E08E" w14:textId="77777777" w:rsidR="009270B3" w:rsidRPr="00C24209" w:rsidRDefault="009270B3" w:rsidP="009270B3">
      <w:pPr>
        <w:spacing w:after="120" w:line="276" w:lineRule="auto"/>
        <w:ind w:firstLine="709"/>
        <w:jc w:val="both"/>
        <w:rPr>
          <w:rFonts w:ascii="Verdana" w:eastAsia="Calibri" w:hAnsi="Verdana" w:cs="Arial"/>
          <w:color w:val="000000" w:themeColor="text1"/>
          <w:lang w:val="es-ES" w:eastAsia="es-MX"/>
        </w:rPr>
      </w:pPr>
      <w:r w:rsidRPr="00C24209">
        <w:rPr>
          <w:rFonts w:ascii="Verdana" w:eastAsia="Calibri" w:hAnsi="Verdana" w:cs="Arial"/>
          <w:color w:val="000000" w:themeColor="text1"/>
          <w:shd w:val="clear" w:color="auto" w:fill="FFFFFF"/>
          <w:lang w:val="es-ES" w:eastAsia="es-MX"/>
        </w:rPr>
        <w:lastRenderedPageBreak/>
        <w:t xml:space="preserve">En ese orden, </w:t>
      </w:r>
      <w:r w:rsidRPr="00C24209">
        <w:rPr>
          <w:rFonts w:ascii="Verdana" w:eastAsia="Calibri" w:hAnsi="Verdana" w:cs="Arial"/>
          <w:color w:val="000000" w:themeColor="text1"/>
          <w:lang w:val="es-ES" w:eastAsia="es-MX"/>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00BD8E2B" w14:textId="77777777" w:rsidR="009270B3" w:rsidRPr="00C24209" w:rsidRDefault="009270B3" w:rsidP="009270B3">
      <w:pPr>
        <w:spacing w:after="120" w:line="276" w:lineRule="auto"/>
        <w:ind w:firstLine="709"/>
        <w:jc w:val="both"/>
        <w:rPr>
          <w:rFonts w:ascii="Verdana" w:eastAsia="Calibri" w:hAnsi="Verdana" w:cs="Arial"/>
          <w:color w:val="000000" w:themeColor="text1"/>
          <w:lang w:val="es-ES_tradnl" w:eastAsia="es-MX"/>
        </w:rPr>
      </w:pPr>
      <w:r w:rsidRPr="00C24209">
        <w:rPr>
          <w:rFonts w:ascii="Verdana" w:eastAsia="Calibri" w:hAnsi="Verdana" w:cs="Arial"/>
          <w:color w:val="000000" w:themeColor="text1"/>
          <w:lang w:val="es-ES" w:eastAsia="es-MX"/>
        </w:rPr>
        <w:t>Además del objeto y la modalidad de escogencia aplicable, para delimitar de forma más precisa el ámbito de aplicación de cada uno de los Documentos Tipo será necesario analizar la matriz de experiencia asociada a cada uno de ellos, pues estos aplicarán a los proyectos y/o actividades específicas contempladas en cada una de dichas matrices de experiencia. En este sentido, la matriz de experiencia de cada uno de los Documentos Tipo, además de estandarizar este importante requisito en los procedimientos de selección, delimita o precisa el ámbito de aplicación de estos, por lo que aplicarán a las actividades establecidas en cada una de estas matrices</w:t>
      </w:r>
      <w:r w:rsidRPr="00C24209">
        <w:rPr>
          <w:rFonts w:ascii="Verdana" w:eastAsia="Calibri" w:hAnsi="Verdana" w:cs="Arial"/>
          <w:color w:val="000000" w:themeColor="text1"/>
          <w:vertAlign w:val="superscript"/>
          <w:lang w:val="es-ES" w:eastAsia="es-MX"/>
        </w:rPr>
        <w:footnoteReference w:id="10"/>
      </w:r>
      <w:r w:rsidRPr="00C24209">
        <w:rPr>
          <w:rFonts w:ascii="Verdana" w:eastAsia="Calibri" w:hAnsi="Verdana" w:cs="Arial"/>
          <w:color w:val="000000" w:themeColor="text1"/>
          <w:lang w:val="es-ES" w:eastAsia="es-MX"/>
        </w:rPr>
        <w:t>.</w:t>
      </w:r>
    </w:p>
    <w:p w14:paraId="0303AE4A" w14:textId="77777777" w:rsidR="009270B3" w:rsidRPr="00C24209" w:rsidRDefault="009270B3" w:rsidP="009270B3">
      <w:pPr>
        <w:spacing w:after="120" w:line="276" w:lineRule="auto"/>
        <w:jc w:val="both"/>
        <w:rPr>
          <w:rFonts w:ascii="Verdana" w:eastAsia="Aptos" w:hAnsi="Verdana" w:cs="Arial"/>
          <w:color w:val="000000" w:themeColor="text1"/>
          <w:lang w:val="es-ES" w:eastAsia="es-MX"/>
        </w:rPr>
      </w:pPr>
      <w:r w:rsidRPr="00C24209">
        <w:rPr>
          <w:rFonts w:ascii="Verdana" w:eastAsia="Aptos" w:hAnsi="Verdana" w:cs="Arial"/>
          <w:color w:val="000000" w:themeColor="text1"/>
          <w:lang w:val="es-ES" w:eastAsia="es-MX"/>
        </w:rPr>
        <w:tab/>
      </w:r>
      <w:bookmarkStart w:id="3" w:name="_Hlk104104535"/>
      <w:r w:rsidRPr="00C24209">
        <w:rPr>
          <w:rFonts w:ascii="Verdana" w:eastAsia="Aptos" w:hAnsi="Verdana" w:cs="Arial"/>
          <w:color w:val="000000" w:themeColor="text1"/>
          <w:lang w:val="es-ES" w:eastAsia="es-MX"/>
        </w:rPr>
        <w:t xml:space="preserve">En conclusión, la definición de si a un Proceso de Contratación le aplican los Documentos Tipo radicará en si el contrato a ejecutar </w:t>
      </w:r>
      <w:proofErr w:type="gramStart"/>
      <w:r w:rsidRPr="00C24209">
        <w:rPr>
          <w:rFonts w:ascii="Verdana" w:eastAsia="Aptos" w:hAnsi="Verdana" w:cs="Arial"/>
          <w:color w:val="000000" w:themeColor="text1"/>
          <w:lang w:val="es-ES" w:eastAsia="es-MX"/>
        </w:rPr>
        <w:t>se enmarca dentro de</w:t>
      </w:r>
      <w:proofErr w:type="gramEnd"/>
      <w:r w:rsidRPr="00C24209">
        <w:rPr>
          <w:rFonts w:ascii="Verdana" w:eastAsia="Aptos" w:hAnsi="Verdana" w:cs="Arial"/>
          <w:color w:val="000000" w:themeColor="text1"/>
          <w:lang w:val="es-ES" w:eastAsia="es-MX"/>
        </w:rPr>
        <w:t xml:space="preserve"> 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bookmarkEnd w:id="3"/>
    </w:p>
    <w:p w14:paraId="3F41F5DF" w14:textId="77777777" w:rsidR="009270B3" w:rsidRPr="00C24209" w:rsidRDefault="009270B3" w:rsidP="009270B3">
      <w:pPr>
        <w:spacing w:after="120" w:line="276" w:lineRule="auto"/>
        <w:ind w:firstLine="708"/>
        <w:jc w:val="both"/>
        <w:rPr>
          <w:rFonts w:ascii="Verdana" w:eastAsia="Aptos" w:hAnsi="Verdana" w:cs="Arial"/>
          <w:color w:val="000000" w:themeColor="text1"/>
          <w:lang w:val="es-ES" w:eastAsia="es-MX"/>
        </w:rPr>
      </w:pPr>
      <w:r w:rsidRPr="00C24209">
        <w:rPr>
          <w:rFonts w:ascii="Verdana" w:eastAsia="Calibri" w:hAnsi="Verdana" w:cs="Arial"/>
          <w:bCs/>
          <w:color w:val="000000" w:themeColor="text1"/>
          <w:lang w:val="es-ES_tradnl" w:eastAsia="es-ES_tradnl"/>
        </w:rPr>
        <w:lastRenderedPageBreak/>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608238B2" w14:textId="77777777" w:rsidR="009270B3" w:rsidRPr="00C24209" w:rsidRDefault="009270B3" w:rsidP="009270B3">
      <w:pPr>
        <w:spacing w:after="12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III). </w:t>
      </w:r>
      <w:r w:rsidRPr="00C24209">
        <w:rPr>
          <w:rFonts w:ascii="Verdana" w:eastAsia="Calibri" w:hAnsi="Verdana" w:cs="Arial"/>
          <w:color w:val="000000" w:themeColor="text1"/>
          <w:lang w:val="es-ES" w:eastAsia="es-ES"/>
        </w:rPr>
        <w:t xml:space="preserve">No obstante, este panorama varió con la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7EC5FD98" w14:textId="77777777" w:rsidR="009270B3" w:rsidRPr="00C24209" w:rsidRDefault="009270B3" w:rsidP="009270B3">
      <w:pPr>
        <w:spacing w:after="0" w:line="276" w:lineRule="auto"/>
        <w:ind w:firstLine="708"/>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0C9EB6DE" w14:textId="77777777" w:rsidR="009270B3" w:rsidRPr="00C24209" w:rsidRDefault="009270B3" w:rsidP="009270B3">
      <w:pPr>
        <w:tabs>
          <w:tab w:val="left" w:pos="0"/>
        </w:tabs>
        <w:spacing w:after="0" w:line="276" w:lineRule="auto"/>
        <w:jc w:val="both"/>
        <w:rPr>
          <w:rFonts w:ascii="Arial" w:eastAsia="Calibri" w:hAnsi="Arial" w:cs="Arial"/>
          <w:bCs/>
          <w:color w:val="000000" w:themeColor="text1"/>
          <w:szCs w:val="24"/>
          <w:lang w:val="es-ES_tradnl" w:eastAsia="es-ES_tradnl"/>
        </w:rPr>
      </w:pPr>
    </w:p>
    <w:p w14:paraId="3FDA25DC" w14:textId="77777777" w:rsidR="009270B3" w:rsidRPr="00C24209" w:rsidRDefault="009270B3" w:rsidP="009270B3">
      <w:pPr>
        <w:tabs>
          <w:tab w:val="left" w:pos="0"/>
        </w:tabs>
        <w:spacing w:after="120" w:line="240" w:lineRule="auto"/>
        <w:ind w:left="709" w:right="709"/>
        <w:jc w:val="both"/>
        <w:rPr>
          <w:rFonts w:ascii="Verdana" w:eastAsia="Times New Roman" w:hAnsi="Verdana" w:cs="Arial"/>
          <w:color w:val="000000" w:themeColor="text1"/>
          <w:sz w:val="20"/>
          <w:szCs w:val="20"/>
          <w:lang w:val="es-ES_tradnl" w:eastAsia="es-ES_tradnl"/>
        </w:rPr>
      </w:pPr>
      <w:r w:rsidRPr="00C24209">
        <w:rPr>
          <w:rFonts w:ascii="Verdana" w:eastAsia="Times New Roman" w:hAnsi="Verdana" w:cs="Arial"/>
          <w:color w:val="000000" w:themeColor="text1"/>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2EEB4024" w14:textId="77777777" w:rsidR="009270B3" w:rsidRPr="00C24209" w:rsidRDefault="009270B3" w:rsidP="009270B3">
      <w:pPr>
        <w:tabs>
          <w:tab w:val="left" w:pos="0"/>
        </w:tabs>
        <w:spacing w:after="120" w:line="240" w:lineRule="auto"/>
        <w:ind w:left="709" w:right="709"/>
        <w:jc w:val="both"/>
        <w:rPr>
          <w:rFonts w:ascii="Verdana" w:eastAsia="Times New Roman" w:hAnsi="Verdana" w:cs="Arial"/>
          <w:color w:val="000000" w:themeColor="text1"/>
          <w:sz w:val="20"/>
          <w:szCs w:val="20"/>
          <w:lang w:val="es-ES_tradnl" w:eastAsia="es-ES_tradnl"/>
        </w:rPr>
      </w:pPr>
      <w:r w:rsidRPr="00C24209">
        <w:rPr>
          <w:rFonts w:ascii="Verdana" w:eastAsia="Times New Roman" w:hAnsi="Verdana" w:cs="Arial"/>
          <w:color w:val="000000" w:themeColor="text1"/>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1208690B"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lang w:val="es-ES" w:eastAsia="es-ES"/>
        </w:rPr>
      </w:pPr>
      <w:r w:rsidRPr="00C24209">
        <w:rPr>
          <w:rFonts w:ascii="Verdana" w:eastAsia="Times New Roman" w:hAnsi="Verdana" w:cs="Arial"/>
          <w:color w:val="000000" w:themeColor="text1"/>
          <w:sz w:val="20"/>
          <w:szCs w:val="20"/>
          <w:lang w:val="es-ES" w:eastAsia="es-ES"/>
        </w:rPr>
        <w:t xml:space="preserve">Parágrafo. Se exceptúan del presente artículo las Instituciones de Educación Superior públicas, las empresas sociales del Estado, las </w:t>
      </w:r>
      <w:r w:rsidRPr="00C24209">
        <w:rPr>
          <w:rFonts w:ascii="Verdana" w:eastAsia="Times New Roman" w:hAnsi="Verdana" w:cs="Arial"/>
          <w:color w:val="000000" w:themeColor="text1"/>
          <w:sz w:val="20"/>
          <w:szCs w:val="20"/>
          <w:lang w:val="es-ES" w:eastAsia="es-ES"/>
        </w:rPr>
        <w:lastRenderedPageBreak/>
        <w:t xml:space="preserve">sociedades de economía mixta y las empresas industriales y comerciales del Estado, únicamente en cuanto a la contratación de su </w:t>
      </w:r>
      <w:r w:rsidRPr="00C24209">
        <w:rPr>
          <w:rFonts w:ascii="Verdana" w:eastAsia="Times New Roman" w:hAnsi="Verdana" w:cs="Arial"/>
          <w:i/>
          <w:iCs/>
          <w:color w:val="000000" w:themeColor="text1"/>
          <w:sz w:val="20"/>
          <w:szCs w:val="20"/>
          <w:lang w:val="es-ES" w:eastAsia="es-ES"/>
        </w:rPr>
        <w:t>giro ordinario</w:t>
      </w:r>
      <w:r w:rsidRPr="00C24209">
        <w:rPr>
          <w:rFonts w:ascii="Verdana" w:eastAsia="Times New Roman" w:hAnsi="Verdana" w:cs="Arial"/>
          <w:color w:val="000000" w:themeColor="text1"/>
          <w:sz w:val="20"/>
          <w:szCs w:val="20"/>
          <w:lang w:val="es-ES" w:eastAsia="es-ES"/>
        </w:rPr>
        <w:t>. En estos casos, en los manuales de contratación de estas entidades, se fomentará como buena práctica la aplicación de los pliegos tipo.</w:t>
      </w:r>
    </w:p>
    <w:p w14:paraId="67B274CE" w14:textId="77777777" w:rsidR="009270B3" w:rsidRPr="00C24209" w:rsidRDefault="009270B3" w:rsidP="009270B3">
      <w:pPr>
        <w:tabs>
          <w:tab w:val="left" w:pos="0"/>
        </w:tabs>
        <w:spacing w:after="0" w:line="276" w:lineRule="auto"/>
        <w:jc w:val="both"/>
        <w:rPr>
          <w:rFonts w:ascii="Arial" w:eastAsia="Calibri" w:hAnsi="Arial" w:cs="Arial"/>
          <w:bCs/>
          <w:color w:val="000000" w:themeColor="text1"/>
          <w:szCs w:val="24"/>
          <w:lang w:val="es-ES_tradnl" w:eastAsia="es-ES_tradnl"/>
        </w:rPr>
      </w:pPr>
    </w:p>
    <w:p w14:paraId="4437EA50" w14:textId="77777777" w:rsidR="009270B3" w:rsidRPr="00C24209" w:rsidRDefault="009270B3" w:rsidP="009270B3">
      <w:pPr>
        <w:tabs>
          <w:tab w:val="left" w:pos="0"/>
        </w:tabs>
        <w:spacing w:after="120" w:line="276" w:lineRule="auto"/>
        <w:jc w:val="both"/>
        <w:rPr>
          <w:rFonts w:ascii="Verdana" w:eastAsia="Calibri" w:hAnsi="Verdana" w:cs="Arial"/>
          <w:color w:val="000000" w:themeColor="text1"/>
        </w:rPr>
      </w:pPr>
      <w:r w:rsidRPr="00C24209">
        <w:rPr>
          <w:rFonts w:ascii="Arial" w:eastAsia="Calibri" w:hAnsi="Arial" w:cs="Arial"/>
          <w:bCs/>
          <w:color w:val="000000" w:themeColor="text1"/>
          <w:szCs w:val="24"/>
          <w:lang w:val="es-ES_tradnl" w:eastAsia="es-ES_tradnl"/>
        </w:rPr>
        <w:tab/>
      </w:r>
      <w:r w:rsidRPr="00C24209">
        <w:rPr>
          <w:rFonts w:ascii="Verdana" w:eastAsia="Calibri" w:hAnsi="Verdana" w:cs="Arial"/>
          <w:bCs/>
          <w:color w:val="000000" w:themeColor="text1"/>
          <w:szCs w:val="24"/>
          <w:lang w:val="es-ES_tradnl" w:eastAsia="es-ES_tradnl"/>
        </w:rPr>
        <w:t xml:space="preserve">Las implicaciones de lo establecido en esta norma son variadas y se presentan en múltiples ámbitos de la actividad contractual de las entidades estatales, </w:t>
      </w:r>
      <w:proofErr w:type="gramStart"/>
      <w:r w:rsidRPr="00C24209">
        <w:rPr>
          <w:rFonts w:ascii="Verdana" w:eastAsia="Calibri" w:hAnsi="Verdana" w:cs="Arial"/>
          <w:bCs/>
          <w:color w:val="000000" w:themeColor="text1"/>
          <w:szCs w:val="24"/>
          <w:lang w:val="es-ES_tradnl" w:eastAsia="es-ES_tradnl"/>
        </w:rPr>
        <w:t>que</w:t>
      </w:r>
      <w:proofErr w:type="gramEnd"/>
      <w:r w:rsidRPr="00C24209">
        <w:rPr>
          <w:rFonts w:ascii="Verdana" w:eastAsia="Calibri" w:hAnsi="Verdana" w:cs="Arial"/>
          <w:bCs/>
          <w:color w:val="000000" w:themeColor="text1"/>
          <w:szCs w:val="24"/>
          <w:lang w:val="es-ES_tradnl" w:eastAsia="es-ES_tradnl"/>
        </w:rPr>
        <w:t xml:space="preserve"> como consecuencia de la entrada en vigor de la disposición en cita, ven alterado su régimen jurídico. </w:t>
      </w:r>
      <w:r w:rsidRPr="00C24209">
        <w:rPr>
          <w:rFonts w:ascii="Verdana" w:eastAsia="Calibri" w:hAnsi="Verdana" w:cs="Arial"/>
          <w:color w:val="000000" w:themeColor="text1"/>
        </w:rPr>
        <w:t xml:space="preserve">En tal sentido, para efectos de dar respuesta concreta al problema jurídico planteado y unificar el criterio de esta Subdirección, es importante tener en cuenta las posturas que se han sustentado en torno al alcance del artículo 56 de la Ley 2195 de 2022. </w:t>
      </w:r>
    </w:p>
    <w:p w14:paraId="3024D2FC" w14:textId="77777777" w:rsidR="009270B3" w:rsidRPr="00C24209" w:rsidRDefault="009270B3" w:rsidP="009270B3">
      <w:pPr>
        <w:tabs>
          <w:tab w:val="left" w:pos="0"/>
        </w:tabs>
        <w:spacing w:after="120" w:line="276" w:lineRule="auto"/>
        <w:ind w:firstLine="709"/>
        <w:jc w:val="both"/>
        <w:rPr>
          <w:rFonts w:ascii="Verdana" w:eastAsia="Calibri" w:hAnsi="Verdana" w:cs="Arial"/>
          <w:bCs/>
          <w:color w:val="000000" w:themeColor="text1"/>
          <w:szCs w:val="24"/>
          <w:lang w:val="es-ES_tradnl" w:eastAsia="es-ES_tradnl"/>
        </w:rPr>
      </w:pPr>
      <w:r w:rsidRPr="00C24209">
        <w:rPr>
          <w:rFonts w:ascii="Verdana" w:eastAsia="Calibri" w:hAnsi="Verdana" w:cs="Arial"/>
          <w:color w:val="000000" w:themeColor="text1"/>
        </w:rPr>
        <w:t xml:space="preserve">Así, </w:t>
      </w:r>
      <w:r w:rsidRPr="00C24209">
        <w:rPr>
          <w:rFonts w:ascii="Verdana" w:eastAsia="Times New Roman" w:hAnsi="Verdana" w:cs="Arial"/>
          <w:color w:val="000000" w:themeColor="text1"/>
          <w:lang w:eastAsia="es-ES_tradnl"/>
        </w:rPr>
        <w:t>a partir del concepto C-066 del 28 de enero de 2022</w:t>
      </w:r>
      <w:r w:rsidRPr="00C24209">
        <w:rPr>
          <w:rFonts w:ascii="Verdana" w:eastAsia="Times New Roman" w:hAnsi="Verdana" w:cs="Arial"/>
          <w:color w:val="000000" w:themeColor="text1"/>
          <w:vertAlign w:val="superscript"/>
          <w:lang w:eastAsia="es-ES_tradnl"/>
        </w:rPr>
        <w:footnoteReference w:id="11"/>
      </w:r>
      <w:r w:rsidRPr="00C24209">
        <w:rPr>
          <w:rFonts w:ascii="Verdana" w:eastAsia="Times New Roman" w:hAnsi="Verdana" w:cs="Arial"/>
          <w:color w:val="000000" w:themeColor="text1"/>
          <w:lang w:eastAsia="es-ES_tradnl"/>
        </w:rPr>
        <w:t xml:space="preserve">, esta agencia consideró que </w:t>
      </w:r>
      <w:r w:rsidRPr="00C24209">
        <w:rPr>
          <w:rFonts w:ascii="Verdana" w:eastAsia="Calibri" w:hAnsi="Verdana" w:cs="Arial"/>
          <w:bCs/>
          <w:color w:val="000000" w:themeColor="text1"/>
          <w:lang w:val="es-ES_tradnl" w:eastAsia="es-ES_tradnl"/>
        </w:rPr>
        <w:t xml:space="preserve">el primer y principal mandato de la norma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0FBED1CF" w14:textId="77777777" w:rsidR="009270B3" w:rsidRPr="00C24209" w:rsidRDefault="009270B3" w:rsidP="009270B3">
      <w:pPr>
        <w:spacing w:after="120" w:line="276" w:lineRule="auto"/>
        <w:jc w:val="both"/>
        <w:rPr>
          <w:rFonts w:ascii="Verdana" w:eastAsia="Calibri" w:hAnsi="Verdana" w:cs="Arial"/>
          <w:color w:val="000000" w:themeColor="text1"/>
          <w:lang w:val="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rPr>
        <w:t xml:space="preserve">De acuerdo con esto, se sostuvo que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w:t>
      </w:r>
      <w:r w:rsidRPr="00C24209">
        <w:rPr>
          <w:rFonts w:ascii="Verdana" w:eastAsia="Calibri" w:hAnsi="Verdana" w:cs="Arial"/>
          <w:color w:val="000000" w:themeColor="text1"/>
          <w:lang w:val="es-ES"/>
        </w:rPr>
        <w:lastRenderedPageBreak/>
        <w:t xml:space="preserve">sus efectos no eran los mismos en los procesos de selección adelantados por entidades exceptuadas o con regímenes especiales.  </w:t>
      </w:r>
    </w:p>
    <w:p w14:paraId="2683B7E2" w14:textId="77777777" w:rsidR="009270B3" w:rsidRPr="00C24209" w:rsidRDefault="009270B3" w:rsidP="009270B3">
      <w:pPr>
        <w:spacing w:after="120" w:line="276" w:lineRule="auto"/>
        <w:jc w:val="both"/>
        <w:rPr>
          <w:rFonts w:ascii="Verdana" w:eastAsia="Calibri" w:hAnsi="Verdana" w:cs="Arial"/>
          <w:color w:val="000000" w:themeColor="text1"/>
          <w:lang w:val="es-ES"/>
        </w:rPr>
      </w:pPr>
      <w:r w:rsidRPr="00C24209">
        <w:rPr>
          <w:rFonts w:ascii="Verdana" w:eastAsia="Calibri" w:hAnsi="Verdana" w:cs="Arial"/>
          <w:bCs/>
          <w:color w:val="000000" w:themeColor="text1"/>
          <w:lang w:val="es-ES_tradnl"/>
        </w:rPr>
        <w:tab/>
      </w:r>
      <w:r w:rsidRPr="00C24209">
        <w:rPr>
          <w:rFonts w:ascii="Verdana" w:eastAsia="Calibri" w:hAnsi="Verdana" w:cs="Arial"/>
          <w:color w:val="000000" w:themeColor="text1"/>
          <w:lang w:val="es-ES"/>
        </w:rPr>
        <w:t xml:space="preserve">Antes de la expedición del artículo 56 </w:t>
      </w:r>
      <w:proofErr w:type="spellStart"/>
      <w:r w:rsidRPr="00C24209">
        <w:rPr>
          <w:rFonts w:ascii="Verdana" w:eastAsia="Calibri" w:hAnsi="Verdana" w:cs="Arial"/>
          <w:i/>
          <w:iCs/>
          <w:color w:val="000000" w:themeColor="text1"/>
          <w:lang w:val="es-ES"/>
        </w:rPr>
        <w:t>ibídem</w:t>
      </w:r>
      <w:proofErr w:type="spellEnd"/>
      <w:r w:rsidRPr="00C24209">
        <w:rPr>
          <w:rFonts w:ascii="Verdana" w:eastAsia="Calibri" w:hAnsi="Verdana" w:cs="Arial"/>
          <w:i/>
          <w:iCs/>
          <w:color w:val="000000" w:themeColor="text1"/>
          <w:lang w:val="es-ES"/>
        </w:rPr>
        <w:t>,</w:t>
      </w:r>
      <w:r w:rsidRPr="00C24209">
        <w:rPr>
          <w:rFonts w:ascii="Verdana" w:eastAsia="Calibri" w:hAnsi="Verdana" w:cs="Arial"/>
          <w:color w:val="000000" w:themeColor="text1"/>
          <w:lang w:val="es-ES"/>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les resultaba aplicable los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26323018" w14:textId="77777777" w:rsidR="009270B3" w:rsidRPr="00C24209" w:rsidRDefault="009270B3" w:rsidP="009270B3">
      <w:pPr>
        <w:spacing w:after="120" w:line="276" w:lineRule="auto"/>
        <w:jc w:val="both"/>
        <w:rPr>
          <w:rFonts w:ascii="Verdana" w:eastAsia="Calibri" w:hAnsi="Verdana" w:cs="Arial"/>
          <w:color w:val="000000" w:themeColor="text1"/>
          <w:lang w:val="es-ES"/>
        </w:rPr>
      </w:pPr>
      <w:r w:rsidRPr="00C24209">
        <w:rPr>
          <w:rFonts w:ascii="Verdana" w:eastAsia="Calibri" w:hAnsi="Verdana" w:cs="Arial"/>
          <w:bCs/>
          <w:color w:val="000000" w:themeColor="text1"/>
          <w:lang w:val="es-ES_tradnl"/>
        </w:rPr>
        <w:tab/>
      </w:r>
      <w:r w:rsidRPr="00C24209">
        <w:rPr>
          <w:rFonts w:ascii="Verdana" w:eastAsia="Calibri" w:hAnsi="Verdana" w:cs="Arial"/>
          <w:color w:val="000000" w:themeColor="text1"/>
          <w:lang w:val="es-ES"/>
        </w:rPr>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6E6BDE22" w14:textId="77777777" w:rsidR="009270B3" w:rsidRPr="00C24209" w:rsidRDefault="009270B3" w:rsidP="009270B3">
      <w:pPr>
        <w:spacing w:after="120" w:line="276" w:lineRule="auto"/>
        <w:ind w:firstLine="708"/>
        <w:jc w:val="both"/>
        <w:rPr>
          <w:rFonts w:ascii="Verdana" w:eastAsia="Calibri" w:hAnsi="Verdana" w:cs="Arial"/>
          <w:color w:val="000000" w:themeColor="text1"/>
          <w:lang w:val="es-ES"/>
        </w:rPr>
      </w:pPr>
      <w:r w:rsidRPr="00C24209">
        <w:rPr>
          <w:rFonts w:ascii="Verdana" w:eastAsia="Calibri" w:hAnsi="Verdana" w:cs="Arial"/>
          <w:color w:val="000000" w:themeColor="text1"/>
          <w:lang w:val="es-ES"/>
        </w:rPr>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C24209">
        <w:rPr>
          <w:rFonts w:ascii="Verdana" w:eastAsia="Calibri" w:hAnsi="Verdana" w:cs="Arial"/>
          <w:color w:val="000000" w:themeColor="text1"/>
          <w:lang w:val="es-ES"/>
        </w:rPr>
        <w:t>ii</w:t>
      </w:r>
      <w:proofErr w:type="spellEnd"/>
      <w:r w:rsidRPr="00C24209">
        <w:rPr>
          <w:rFonts w:ascii="Verdana" w:eastAsia="Calibri" w:hAnsi="Verdana" w:cs="Arial"/>
          <w:color w:val="000000" w:themeColor="text1"/>
          <w:lang w:val="es-ES"/>
        </w:rPr>
        <w:t xml:space="preserve">) patrimonios autónomos o </w:t>
      </w:r>
      <w:proofErr w:type="spellStart"/>
      <w:r w:rsidRPr="00C24209">
        <w:rPr>
          <w:rFonts w:ascii="Verdana" w:eastAsia="Calibri" w:hAnsi="Verdana" w:cs="Arial"/>
          <w:color w:val="000000" w:themeColor="text1"/>
          <w:lang w:val="es-ES"/>
        </w:rPr>
        <w:t>iii</w:t>
      </w:r>
      <w:proofErr w:type="spellEnd"/>
      <w:r w:rsidRPr="00C24209">
        <w:rPr>
          <w:rFonts w:ascii="Verdana" w:eastAsia="Calibri" w:hAnsi="Verdana" w:cs="Arial"/>
          <w:color w:val="000000" w:themeColor="text1"/>
          <w:lang w:val="es-ES"/>
        </w:rPr>
        <w:t xml:space="preserve">) con personas naturales o jurídicas de derecho </w:t>
      </w:r>
      <w:r w:rsidRPr="00C24209">
        <w:rPr>
          <w:rFonts w:ascii="Verdana" w:eastAsia="Calibri" w:hAnsi="Verdana" w:cs="Arial"/>
          <w:color w:val="000000" w:themeColor="text1"/>
          <w:lang w:val="es-ES"/>
        </w:rPr>
        <w:lastRenderedPageBreak/>
        <w:t xml:space="preserve">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    </w:t>
      </w:r>
    </w:p>
    <w:p w14:paraId="3B35C140" w14:textId="77777777" w:rsidR="009270B3" w:rsidRPr="00C24209" w:rsidRDefault="009270B3" w:rsidP="009270B3">
      <w:pPr>
        <w:tabs>
          <w:tab w:val="left" w:pos="0"/>
        </w:tabs>
        <w:spacing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eastAsia="es-ES"/>
        </w:rPr>
        <w:t xml:space="preserve"> Sin perjuicio de lo anterior, solo es posible comprender los efectos de lo dispuesto en el artículo 56 de la </w:t>
      </w:r>
      <w:bookmarkStart w:id="5" w:name="_Hlk205276572"/>
      <w:r w:rsidRPr="00C24209">
        <w:rPr>
          <w:rFonts w:ascii="Verdana" w:eastAsia="Calibri" w:hAnsi="Verdana" w:cs="Arial"/>
          <w:color w:val="000000" w:themeColor="text1"/>
          <w:lang w:val="es-ES" w:eastAsia="es-ES"/>
        </w:rPr>
        <w:t xml:space="preserve">Ley 2195 de 2022 </w:t>
      </w:r>
      <w:bookmarkEnd w:id="5"/>
      <w:r w:rsidRPr="00C24209">
        <w:rPr>
          <w:rFonts w:ascii="Verdana" w:eastAsia="Calibri" w:hAnsi="Verdana" w:cs="Arial"/>
          <w:color w:val="000000" w:themeColor="text1"/>
          <w:lang w:val="es-ES" w:eastAsia="es-ES"/>
        </w:rPr>
        <w:t xml:space="preserve">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18439AAE" w14:textId="77777777" w:rsidR="009270B3" w:rsidRPr="00C24209" w:rsidRDefault="009270B3" w:rsidP="009270B3">
      <w:pPr>
        <w:tabs>
          <w:tab w:val="left" w:pos="0"/>
        </w:tabs>
        <w:spacing w:after="120" w:line="276" w:lineRule="auto"/>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C24209">
        <w:rPr>
          <w:rFonts w:ascii="Verdana" w:eastAsia="Calibri" w:hAnsi="Verdana" w:cs="Arial"/>
          <w:color w:val="000000" w:themeColor="text1"/>
          <w:lang w:val="es-ES" w:eastAsia="es-ES"/>
        </w:rPr>
        <w:t>ejusdem</w:t>
      </w:r>
      <w:proofErr w:type="spellEnd"/>
      <w:r w:rsidRPr="00C24209">
        <w:rPr>
          <w:rFonts w:ascii="Verdana" w:eastAsia="Calibri" w:hAnsi="Verdana" w:cs="Arial"/>
          <w:color w:val="000000" w:themeColor="text1"/>
          <w:lang w:val="es-ES" w:eastAsia="es-ES"/>
        </w:rPr>
        <w:t xml:space="preserve">,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7491C44C" w14:textId="77777777" w:rsidR="009270B3" w:rsidRPr="00C24209" w:rsidRDefault="009270B3" w:rsidP="009270B3">
      <w:pPr>
        <w:tabs>
          <w:tab w:val="left" w:pos="0"/>
        </w:tabs>
        <w:spacing w:after="0" w:line="276" w:lineRule="auto"/>
        <w:jc w:val="both"/>
        <w:rPr>
          <w:rFonts w:ascii="Verdana" w:eastAsia="Calibri" w:hAnsi="Verdana" w:cs="Arial"/>
          <w:color w:val="000000" w:themeColor="text1"/>
          <w:lang w:val="es-ES" w:eastAsia="es-ES"/>
        </w:rPr>
      </w:pPr>
      <w:r w:rsidRPr="00C24209">
        <w:rPr>
          <w:rFonts w:ascii="Arial" w:eastAsia="Calibri" w:hAnsi="Arial" w:cs="Arial"/>
          <w:bCs/>
          <w:color w:val="000000" w:themeColor="text1"/>
          <w:lang w:val="es-ES_tradnl"/>
        </w:rPr>
        <w:tab/>
      </w:r>
      <w:r w:rsidRPr="00C24209">
        <w:rPr>
          <w:rFonts w:ascii="Verdana" w:eastAsia="Calibri" w:hAnsi="Verdana" w:cs="Arial"/>
          <w:color w:val="000000" w:themeColor="text1"/>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w:t>
      </w:r>
      <w:r w:rsidRPr="00C24209">
        <w:rPr>
          <w:rFonts w:ascii="Verdana" w:eastAsia="Calibri" w:hAnsi="Verdana" w:cs="Arial"/>
          <w:color w:val="000000" w:themeColor="text1"/>
          <w:lang w:val="es-ES" w:eastAsia="es-ES"/>
        </w:rPr>
        <w:lastRenderedPageBreak/>
        <w:t xml:space="preserve">entidades de régimen especial”, como uno de los propósitos de la Ley.  Conforme se indica en la justificación jurídica del proyecto ley, este: </w:t>
      </w:r>
    </w:p>
    <w:p w14:paraId="17249591" w14:textId="77777777" w:rsidR="009270B3" w:rsidRPr="00C24209" w:rsidRDefault="009270B3" w:rsidP="009270B3">
      <w:pPr>
        <w:tabs>
          <w:tab w:val="left" w:pos="0"/>
        </w:tabs>
        <w:spacing w:after="0" w:line="276" w:lineRule="auto"/>
        <w:jc w:val="both"/>
        <w:rPr>
          <w:rFonts w:ascii="Verdana" w:eastAsia="Calibri" w:hAnsi="Verdana" w:cs="Arial"/>
          <w:color w:val="000000" w:themeColor="text1"/>
          <w:lang w:val="es-ES" w:eastAsia="es-ES"/>
        </w:rPr>
      </w:pPr>
    </w:p>
    <w:p w14:paraId="718A9C30" w14:textId="77777777" w:rsidR="009270B3" w:rsidRPr="00C24209" w:rsidRDefault="009270B3" w:rsidP="009270B3">
      <w:pPr>
        <w:tabs>
          <w:tab w:val="left" w:pos="0"/>
        </w:tabs>
        <w:spacing w:after="0"/>
        <w:ind w:left="709" w:right="709"/>
        <w:jc w:val="both"/>
        <w:rPr>
          <w:rFonts w:ascii="Verdana" w:eastAsia="Calibri" w:hAnsi="Verdana" w:cs="Arial"/>
          <w:bCs/>
          <w:color w:val="000000" w:themeColor="text1"/>
          <w:sz w:val="20"/>
          <w:szCs w:val="20"/>
          <w:lang w:val="es-ES_tradnl"/>
        </w:rPr>
      </w:pPr>
      <w:r w:rsidRPr="00C24209">
        <w:rPr>
          <w:rFonts w:ascii="Verdana" w:eastAsia="Calibri" w:hAnsi="Verdana" w:cs="Arial"/>
          <w:bCs/>
          <w:color w:val="000000" w:themeColor="text1"/>
          <w:sz w:val="20"/>
          <w:szCs w:val="20"/>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C24209">
        <w:rPr>
          <w:rFonts w:ascii="Verdana" w:eastAsia="Calibri" w:hAnsi="Verdana" w:cs="Arial"/>
          <w:color w:val="000000" w:themeColor="text1"/>
          <w:sz w:val="20"/>
          <w:szCs w:val="20"/>
          <w:vertAlign w:val="superscript"/>
        </w:rPr>
        <w:footnoteReference w:id="12"/>
      </w:r>
      <w:r w:rsidRPr="00C24209">
        <w:rPr>
          <w:rFonts w:ascii="Verdana" w:eastAsia="Calibri" w:hAnsi="Verdana" w:cs="Arial"/>
          <w:bCs/>
          <w:color w:val="000000" w:themeColor="text1"/>
          <w:sz w:val="20"/>
          <w:szCs w:val="20"/>
          <w:lang w:val="es-ES_tradnl"/>
        </w:rPr>
        <w:t xml:space="preserve">. </w:t>
      </w:r>
    </w:p>
    <w:p w14:paraId="6D96C656" w14:textId="77777777" w:rsidR="009270B3" w:rsidRPr="00C24209" w:rsidRDefault="009270B3" w:rsidP="009270B3">
      <w:pPr>
        <w:tabs>
          <w:tab w:val="left" w:pos="0"/>
        </w:tabs>
        <w:spacing w:after="0" w:line="276" w:lineRule="auto"/>
        <w:jc w:val="both"/>
        <w:rPr>
          <w:rFonts w:ascii="Arial" w:eastAsia="Calibri" w:hAnsi="Arial" w:cs="Arial"/>
          <w:bCs/>
          <w:color w:val="000000" w:themeColor="text1"/>
          <w:lang w:val="es-ES_tradnl"/>
        </w:rPr>
      </w:pPr>
      <w:r w:rsidRPr="00C24209">
        <w:rPr>
          <w:rFonts w:ascii="Arial" w:eastAsia="Calibri" w:hAnsi="Arial" w:cs="Arial"/>
          <w:bCs/>
          <w:color w:val="000000" w:themeColor="text1"/>
          <w:lang w:val="es-ES_tradnl"/>
        </w:rPr>
        <w:tab/>
        <w:t xml:space="preserve"> </w:t>
      </w:r>
    </w:p>
    <w:p w14:paraId="4C43B678" w14:textId="77777777" w:rsidR="009270B3" w:rsidRPr="00C24209" w:rsidRDefault="009270B3" w:rsidP="009270B3">
      <w:pPr>
        <w:spacing w:after="120" w:line="276" w:lineRule="auto"/>
        <w:jc w:val="both"/>
        <w:rPr>
          <w:rFonts w:ascii="Verdana" w:eastAsia="Calibri" w:hAnsi="Verdana" w:cs="Arial"/>
          <w:color w:val="000000" w:themeColor="text1"/>
          <w:lang w:val="es-ES"/>
        </w:rPr>
      </w:pPr>
      <w:r w:rsidRPr="00C24209">
        <w:rPr>
          <w:rFonts w:ascii="Arial" w:eastAsia="Calibri" w:hAnsi="Arial" w:cs="Arial"/>
          <w:bCs/>
          <w:color w:val="000000" w:themeColor="text1"/>
          <w:lang w:val="es-ES_tradnl"/>
        </w:rPr>
        <w:tab/>
      </w:r>
      <w:r w:rsidRPr="00C24209">
        <w:rPr>
          <w:rFonts w:ascii="Verdana" w:eastAsia="Calibri" w:hAnsi="Verdana" w:cs="Arial"/>
          <w:color w:val="000000" w:themeColor="text1"/>
          <w:lang w:val="es-ES"/>
        </w:rPr>
        <w:t xml:space="preserve">De lo anterior se evidencia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  </w:t>
      </w:r>
    </w:p>
    <w:p w14:paraId="5CBC02B7" w14:textId="77777777" w:rsidR="009270B3" w:rsidRPr="00C24209" w:rsidRDefault="009270B3" w:rsidP="009270B3">
      <w:pPr>
        <w:spacing w:after="120" w:line="276" w:lineRule="auto"/>
        <w:ind w:firstLine="709"/>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w:t>
      </w:r>
      <w:r w:rsidRPr="00C24209">
        <w:rPr>
          <w:rFonts w:ascii="Verdana" w:eastAsia="Calibri" w:hAnsi="Verdana" w:cs="Arial"/>
          <w:color w:val="000000" w:themeColor="text1"/>
          <w:lang w:val="es-ES" w:eastAsia="es-ES"/>
        </w:rPr>
        <w:lastRenderedPageBreak/>
        <w:t>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w:t>
      </w:r>
    </w:p>
    <w:p w14:paraId="33C1209D" w14:textId="77777777" w:rsidR="009270B3" w:rsidRPr="00C24209" w:rsidRDefault="009270B3" w:rsidP="009270B3">
      <w:pPr>
        <w:spacing w:after="120" w:line="276" w:lineRule="auto"/>
        <w:ind w:firstLine="709"/>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 xml:space="preserve">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aplicados a lo dispuesto en esta última norma, se entendía que debía aplicarse el EGCAP y los Documentos Tipo. </w:t>
      </w:r>
    </w:p>
    <w:p w14:paraId="130D03B9" w14:textId="77777777" w:rsidR="009270B3" w:rsidRPr="00C24209" w:rsidRDefault="009270B3" w:rsidP="009270B3">
      <w:pPr>
        <w:spacing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eastAsia="es-ES"/>
        </w:rPr>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75549E21" w14:textId="77777777" w:rsidR="009270B3" w:rsidRPr="00C24209" w:rsidRDefault="009270B3" w:rsidP="009270B3">
      <w:pPr>
        <w:tabs>
          <w:tab w:val="left" w:pos="0"/>
        </w:tabs>
        <w:spacing w:after="120" w:line="276" w:lineRule="auto"/>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4A435498" w14:textId="77777777" w:rsidR="009270B3" w:rsidRPr="00C24209" w:rsidRDefault="009270B3" w:rsidP="009270B3">
      <w:pPr>
        <w:spacing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w:t>
      </w:r>
      <w:r w:rsidRPr="00C24209">
        <w:rPr>
          <w:rFonts w:ascii="Verdana" w:eastAsia="Calibri" w:hAnsi="Verdana" w:cs="Arial"/>
          <w:color w:val="000000" w:themeColor="text1"/>
          <w:lang w:val="es-ES" w:eastAsia="es-ES"/>
        </w:rPr>
        <w:lastRenderedPageBreak/>
        <w:t xml:space="preserve">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r w:rsidRPr="00C24209">
        <w:rPr>
          <w:rFonts w:ascii="Verdana" w:eastAsia="Calibri" w:hAnsi="Verdana" w:cs="Arial"/>
          <w:bCs/>
          <w:color w:val="000000" w:themeColor="text1"/>
          <w:highlight w:val="yellow"/>
          <w:lang w:val="es-ES_tradnl" w:eastAsia="es-ES_tradnl"/>
        </w:rPr>
        <w:t xml:space="preserve"> </w:t>
      </w:r>
    </w:p>
    <w:p w14:paraId="141127C2" w14:textId="77777777" w:rsidR="009270B3" w:rsidRPr="00C24209" w:rsidRDefault="009270B3" w:rsidP="009270B3">
      <w:pPr>
        <w:tabs>
          <w:tab w:val="left" w:pos="0"/>
        </w:tabs>
        <w:spacing w:after="120" w:line="276" w:lineRule="auto"/>
        <w:ind w:firstLine="709"/>
        <w:jc w:val="both"/>
        <w:rPr>
          <w:rFonts w:ascii="Arial" w:eastAsia="Calibri" w:hAnsi="Arial" w:cs="Arial"/>
          <w:bCs/>
          <w:color w:val="000000" w:themeColor="text1"/>
          <w:lang w:val="es-ES_tradnl"/>
        </w:rPr>
      </w:pPr>
      <w:r w:rsidRPr="00C24209">
        <w:rPr>
          <w:rFonts w:ascii="Verdana" w:eastAsia="Calibri" w:hAnsi="Verdana" w:cs="Arial"/>
          <w:color w:val="000000" w:themeColor="text1"/>
        </w:rPr>
        <w:t xml:space="preserve">En este contexto, </w:t>
      </w:r>
      <w:r w:rsidRPr="00C24209">
        <w:rPr>
          <w:rFonts w:ascii="Verdana" w:eastAsia="Calibri" w:hAnsi="Verdana" w:cs="Arial"/>
          <w:bCs/>
          <w:color w:val="000000" w:themeColor="text1"/>
          <w:lang w:val="es-ES_tradnl" w:eastAsia="es-ES_tradnl"/>
        </w:rPr>
        <w:t>de la lectura conjunta de los incisos primero y segundo</w:t>
      </w:r>
      <w:r w:rsidRPr="00C24209">
        <w:rPr>
          <w:rFonts w:ascii="Verdana" w:eastAsia="Calibri" w:hAnsi="Verdana" w:cs="Arial"/>
          <w:bCs/>
          <w:color w:val="000000" w:themeColor="text1"/>
          <w:lang w:eastAsia="es-ES_tradnl"/>
        </w:rPr>
        <w:t xml:space="preserve"> del artículo 56 de la Ley 2195 de 2022,</w:t>
      </w:r>
      <w:r w:rsidRPr="00C24209">
        <w:rPr>
          <w:rFonts w:ascii="Verdana" w:eastAsia="Calibri" w:hAnsi="Verdana" w:cs="Arial"/>
          <w:bCs/>
          <w:color w:val="000000" w:themeColor="text1"/>
          <w:lang w:val="es-ES_tradnl" w:eastAsia="es-ES_tradnl"/>
        </w:rPr>
        <w:t xml:space="preserve"> se desprende que </w:t>
      </w:r>
      <w:r w:rsidRPr="00C24209">
        <w:rPr>
          <w:rFonts w:ascii="Verdana" w:eastAsia="Calibri" w:hAnsi="Verdana" w:cs="Arial"/>
          <w:bCs/>
          <w:color w:val="000000" w:themeColor="text1"/>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C24209">
        <w:rPr>
          <w:rFonts w:ascii="Arial" w:eastAsia="Calibri" w:hAnsi="Arial" w:cs="Arial"/>
          <w:bCs/>
          <w:color w:val="000000" w:themeColor="text1"/>
          <w:lang w:val="es-ES_tradnl"/>
        </w:rPr>
        <w:t xml:space="preserve"> </w:t>
      </w:r>
      <w:r w:rsidRPr="00C24209">
        <w:rPr>
          <w:rFonts w:ascii="Verdana" w:eastAsia="Calibri" w:hAnsi="Verdana" w:cs="Arial"/>
          <w:bCs/>
          <w:color w:val="000000" w:themeColor="text1"/>
          <w:lang w:val="es-ES_tradnl"/>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712EFD76" w14:textId="77777777" w:rsidR="009270B3" w:rsidRPr="00C24209" w:rsidRDefault="009270B3" w:rsidP="009270B3">
      <w:pPr>
        <w:tabs>
          <w:tab w:val="left" w:pos="0"/>
        </w:tabs>
        <w:spacing w:after="120" w:line="276" w:lineRule="auto"/>
        <w:ind w:firstLine="709"/>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Sin perjuicio de lo anterior</w:t>
      </w:r>
      <w:r w:rsidRPr="00C24209">
        <w:rPr>
          <w:rFonts w:ascii="Verdana" w:eastAsia="Times New Roman" w:hAnsi="Verdana" w:cs="Arial"/>
          <w:color w:val="000000" w:themeColor="text1"/>
          <w:lang w:eastAsia="es-ES_tradnl"/>
        </w:rPr>
        <w:t xml:space="preserve">, </w:t>
      </w:r>
      <w:r w:rsidRPr="00C24209">
        <w:rPr>
          <w:rFonts w:ascii="Verdana" w:eastAsia="Calibri" w:hAnsi="Verdana" w:cs="Arial"/>
          <w:bCs/>
          <w:color w:val="000000" w:themeColor="text1"/>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C24209">
        <w:rPr>
          <w:rFonts w:ascii="Verdana" w:eastAsia="Calibri" w:hAnsi="Verdana" w:cs="Arial"/>
          <w:bCs/>
          <w:i/>
          <w:iCs/>
          <w:color w:val="000000" w:themeColor="text1"/>
          <w:lang w:val="es-ES_tradnl" w:eastAsia="es-ES_tradnl"/>
        </w:rPr>
        <w:t>giro ordinario</w:t>
      </w:r>
      <w:r w:rsidRPr="00C24209">
        <w:rPr>
          <w:rFonts w:ascii="Verdana" w:eastAsia="Calibri" w:hAnsi="Verdana" w:cs="Arial"/>
          <w:bCs/>
          <w:color w:val="000000" w:themeColor="text1"/>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C24209">
        <w:rPr>
          <w:rFonts w:ascii="Verdana" w:eastAsia="Calibri" w:hAnsi="Verdana" w:cs="Arial"/>
          <w:bCs/>
          <w:color w:val="000000" w:themeColor="text1"/>
          <w:lang w:val="es-ES_tradnl" w:eastAsia="es-ES_tradnl"/>
        </w:rPr>
        <w:t>ii</w:t>
      </w:r>
      <w:proofErr w:type="spellEnd"/>
      <w:r w:rsidRPr="00C24209">
        <w:rPr>
          <w:rFonts w:ascii="Verdana" w:eastAsia="Calibri" w:hAnsi="Verdana" w:cs="Arial"/>
          <w:bCs/>
          <w:color w:val="000000" w:themeColor="text1"/>
          <w:lang w:val="es-ES_tradnl" w:eastAsia="es-ES_tradnl"/>
        </w:rPr>
        <w:t xml:space="preserve">) las empresas sociales del Estado, </w:t>
      </w:r>
      <w:proofErr w:type="spellStart"/>
      <w:r w:rsidRPr="00C24209">
        <w:rPr>
          <w:rFonts w:ascii="Verdana" w:eastAsia="Calibri" w:hAnsi="Verdana" w:cs="Arial"/>
          <w:bCs/>
          <w:color w:val="000000" w:themeColor="text1"/>
          <w:lang w:val="es-ES_tradnl" w:eastAsia="es-ES_tradnl"/>
        </w:rPr>
        <w:t>iii</w:t>
      </w:r>
      <w:proofErr w:type="spellEnd"/>
      <w:r w:rsidRPr="00C24209">
        <w:rPr>
          <w:rFonts w:ascii="Verdana" w:eastAsia="Calibri" w:hAnsi="Verdana" w:cs="Arial"/>
          <w:bCs/>
          <w:color w:val="000000" w:themeColor="text1"/>
          <w:lang w:val="es-ES_tradnl" w:eastAsia="es-ES_tradnl"/>
        </w:rPr>
        <w:t xml:space="preserve">) las sociedades de economía mixta y </w:t>
      </w:r>
      <w:proofErr w:type="spellStart"/>
      <w:r w:rsidRPr="00C24209">
        <w:rPr>
          <w:rFonts w:ascii="Verdana" w:eastAsia="Calibri" w:hAnsi="Verdana" w:cs="Arial"/>
          <w:bCs/>
          <w:color w:val="000000" w:themeColor="text1"/>
          <w:lang w:val="es-ES_tradnl" w:eastAsia="es-ES_tradnl"/>
        </w:rPr>
        <w:t>iv</w:t>
      </w:r>
      <w:proofErr w:type="spellEnd"/>
      <w:r w:rsidRPr="00C24209">
        <w:rPr>
          <w:rFonts w:ascii="Verdana" w:eastAsia="Calibri" w:hAnsi="Verdana" w:cs="Arial"/>
          <w:bCs/>
          <w:color w:val="000000" w:themeColor="text1"/>
          <w:lang w:val="es-ES_tradnl" w:eastAsia="es-ES_tradnl"/>
        </w:rPr>
        <w:t xml:space="preserve">) las empresas industriales y comerciales del Estado, únicamente, en la contratación relacionada con el </w:t>
      </w:r>
      <w:r w:rsidRPr="00C24209">
        <w:rPr>
          <w:rFonts w:ascii="Verdana" w:eastAsia="Calibri" w:hAnsi="Verdana" w:cs="Arial"/>
          <w:bCs/>
          <w:i/>
          <w:iCs/>
          <w:color w:val="000000" w:themeColor="text1"/>
          <w:lang w:val="es-ES_tradnl" w:eastAsia="es-ES_tradnl"/>
        </w:rPr>
        <w:t>giro ordinario.</w:t>
      </w:r>
      <w:r w:rsidRPr="00C24209">
        <w:rPr>
          <w:rFonts w:ascii="Verdana" w:eastAsia="Calibri" w:hAnsi="Verdana" w:cs="Arial"/>
          <w:bCs/>
          <w:color w:val="000000" w:themeColor="text1"/>
          <w:lang w:val="es-ES_tradnl" w:eastAsia="es-ES_tradnl"/>
        </w:rPr>
        <w:t xml:space="preserve"> Esto significa que, en la contratación asociada a su </w:t>
      </w:r>
      <w:r w:rsidRPr="00C24209">
        <w:rPr>
          <w:rFonts w:ascii="Verdana" w:eastAsia="Calibri" w:hAnsi="Verdana" w:cs="Arial"/>
          <w:bCs/>
          <w:i/>
          <w:iCs/>
          <w:color w:val="000000" w:themeColor="text1"/>
          <w:lang w:val="es-ES_tradnl" w:eastAsia="es-ES_tradnl"/>
        </w:rPr>
        <w:t xml:space="preserve">giro ordinario, </w:t>
      </w:r>
      <w:r w:rsidRPr="00C24209">
        <w:rPr>
          <w:rFonts w:ascii="Verdana" w:eastAsia="Calibri" w:hAnsi="Verdana" w:cs="Arial"/>
          <w:bCs/>
          <w:color w:val="000000" w:themeColor="text1"/>
          <w:lang w:val="es-ES_tradnl" w:eastAsia="es-ES_tradnl"/>
        </w:rPr>
        <w:t>estos tipos de entidades no tendrían que aplicar, de manera obligatoria, los Documentos Tipo, ni tampoco el EGCAP.</w:t>
      </w:r>
      <w:r w:rsidRPr="00C24209">
        <w:rPr>
          <w:rFonts w:ascii="Verdana" w:eastAsia="Times New Roman" w:hAnsi="Verdana" w:cs="Arial"/>
          <w:color w:val="000000" w:themeColor="text1"/>
          <w:lang w:eastAsia="es-ES_tradnl"/>
        </w:rPr>
        <w:t xml:space="preserve"> </w:t>
      </w:r>
      <w:r w:rsidRPr="00C24209">
        <w:rPr>
          <w:rFonts w:ascii="Verdana" w:eastAsia="Calibri" w:hAnsi="Verdana" w:cs="Arial"/>
          <w:bCs/>
          <w:color w:val="000000" w:themeColor="text1"/>
          <w:lang w:val="es-ES_tradnl" w:eastAsia="es-ES_tradnl"/>
        </w:rPr>
        <w:t xml:space="preserve">En este caso, la norma se limita a fomentar la implementación de Documentos Tipo a modo de buena práctica contractual, en los casos en los que se estime conveniente. </w:t>
      </w:r>
    </w:p>
    <w:p w14:paraId="32BE9CB7" w14:textId="77777777" w:rsidR="009270B3" w:rsidRPr="00C24209" w:rsidRDefault="009270B3" w:rsidP="009270B3">
      <w:pPr>
        <w:tabs>
          <w:tab w:val="left" w:pos="0"/>
        </w:tabs>
        <w:spacing w:after="120" w:line="276" w:lineRule="auto"/>
        <w:ind w:firstLine="709"/>
        <w:jc w:val="both"/>
        <w:rPr>
          <w:rFonts w:ascii="Verdana" w:eastAsia="Arial" w:hAnsi="Verdana" w:cs="Arial"/>
          <w:color w:val="000000" w:themeColor="text1"/>
          <w:lang w:val="es-ES_tradnl" w:eastAsia="es-ES_tradnl"/>
        </w:rPr>
      </w:pPr>
      <w:r w:rsidRPr="00C24209">
        <w:rPr>
          <w:rFonts w:ascii="Verdana" w:eastAsia="Calibri" w:hAnsi="Verdana" w:cs="Arial"/>
          <w:bCs/>
          <w:color w:val="000000" w:themeColor="text1"/>
          <w:lang w:val="es-ES_tradnl" w:eastAsia="es-ES_tradnl"/>
        </w:rPr>
        <w:lastRenderedPageBreak/>
        <w:t xml:space="preserve">Es importante tener en cuenta que cuando la norma se refiere a la contratación del </w:t>
      </w:r>
      <w:r w:rsidRPr="00C24209">
        <w:rPr>
          <w:rFonts w:ascii="Verdana" w:eastAsia="Calibri" w:hAnsi="Verdana" w:cs="Arial"/>
          <w:bCs/>
          <w:i/>
          <w:iCs/>
          <w:color w:val="000000" w:themeColor="text1"/>
          <w:lang w:val="es-ES_tradnl" w:eastAsia="es-ES_tradnl"/>
        </w:rPr>
        <w:t>giro ordinario</w:t>
      </w:r>
      <w:r w:rsidRPr="00C24209">
        <w:rPr>
          <w:rFonts w:ascii="Verdana" w:eastAsia="Calibri" w:hAnsi="Verdana" w:cs="Arial"/>
          <w:bCs/>
          <w:color w:val="000000" w:themeColor="text1"/>
          <w:lang w:val="es-ES_tradnl" w:eastAsia="es-ES_tradnl"/>
        </w:rPr>
        <w:t>, emplea un concepto jurídico indeterminado</w:t>
      </w:r>
      <w:r w:rsidRPr="00C24209">
        <w:rPr>
          <w:rFonts w:ascii="Verdana" w:eastAsia="Calibri" w:hAnsi="Verdana" w:cs="Arial"/>
          <w:color w:val="000000" w:themeColor="text1"/>
          <w:vertAlign w:val="superscript"/>
          <w:lang w:eastAsia="es-ES_tradnl"/>
        </w:rPr>
        <w:footnoteReference w:id="13"/>
      </w:r>
      <w:r w:rsidRPr="00C24209">
        <w:rPr>
          <w:rFonts w:ascii="Verdana" w:eastAsia="Calibri" w:hAnsi="Verdana" w:cs="Arial"/>
          <w:bCs/>
          <w:color w:val="000000" w:themeColor="text1"/>
          <w:lang w:val="es-ES_tradnl" w:eastAsia="es-ES_tradnl"/>
        </w:rPr>
        <w:t xml:space="preserve">. </w:t>
      </w:r>
      <w:r w:rsidRPr="00C24209">
        <w:rPr>
          <w:rFonts w:ascii="Verdana" w:eastAsia="Arial" w:hAnsi="Verdana" w:cs="Arial"/>
          <w:color w:val="000000" w:themeColor="text1"/>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C24209">
        <w:rPr>
          <w:rFonts w:ascii="Verdana" w:eastAsia="Arial" w:hAnsi="Verdana" w:cs="Arial"/>
          <w:i/>
          <w:iCs/>
          <w:color w:val="000000" w:themeColor="text1"/>
          <w:lang w:val="es-ES_tradnl" w:eastAsia="es-ES_tradnl"/>
        </w:rPr>
        <w:t>giro ordinario</w:t>
      </w:r>
      <w:r w:rsidRPr="00C24209">
        <w:rPr>
          <w:rFonts w:ascii="Verdana" w:eastAsia="Arial" w:hAnsi="Verdana" w:cs="Arial"/>
          <w:color w:val="000000" w:themeColor="text1"/>
          <w:lang w:val="es-ES_tradnl" w:eastAsia="es-ES_tradnl"/>
        </w:rPr>
        <w:t xml:space="preserve"> de sus negocios. </w:t>
      </w:r>
    </w:p>
    <w:p w14:paraId="558EF444" w14:textId="77777777" w:rsidR="009270B3" w:rsidRPr="00C24209" w:rsidRDefault="009270B3" w:rsidP="009270B3">
      <w:pPr>
        <w:tabs>
          <w:tab w:val="left" w:pos="0"/>
        </w:tabs>
        <w:spacing w:after="120" w:line="276" w:lineRule="auto"/>
        <w:ind w:firstLine="709"/>
        <w:jc w:val="both"/>
        <w:rPr>
          <w:rFonts w:ascii="Verdana" w:eastAsia="Calibri" w:hAnsi="Verdana" w:cs="Arial"/>
          <w:bCs/>
          <w:color w:val="000000" w:themeColor="text1"/>
          <w:lang w:val="es-ES_tradnl" w:eastAsia="es-ES_tradnl"/>
        </w:rPr>
      </w:pPr>
      <w:r w:rsidRPr="00C24209">
        <w:rPr>
          <w:rFonts w:ascii="Verdana" w:eastAsia="Arial" w:hAnsi="Verdana" w:cs="Arial"/>
          <w:color w:val="000000" w:themeColor="text1"/>
          <w:lang w:val="es-ES_tradnl" w:eastAsia="es-ES_tradnl"/>
        </w:rPr>
        <w:t>La Corte Constitucional</w:t>
      </w:r>
      <w:r w:rsidRPr="00C24209">
        <w:rPr>
          <w:rFonts w:ascii="Verdana" w:eastAsia="Arial" w:hAnsi="Verdana" w:cs="Arial"/>
          <w:color w:val="000000" w:themeColor="text1"/>
          <w:vertAlign w:val="superscript"/>
          <w:lang w:eastAsia="es-ES_tradnl"/>
        </w:rPr>
        <w:footnoteReference w:id="14"/>
      </w:r>
      <w:r w:rsidRPr="00C24209">
        <w:rPr>
          <w:rFonts w:ascii="Verdana" w:eastAsia="Arial" w:hAnsi="Verdana" w:cs="Arial"/>
          <w:color w:val="000000" w:themeColor="text1"/>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C24209">
        <w:rPr>
          <w:rFonts w:ascii="Verdana" w:eastAsia="Calibri" w:hAnsi="Verdana" w:cs="Arial"/>
          <w:bCs/>
          <w:color w:val="000000" w:themeColor="text1"/>
          <w:lang w:val="es-ES_tradnl" w:eastAsia="es-ES_tradnl"/>
        </w:rPr>
        <w:t xml:space="preserve"> </w:t>
      </w:r>
    </w:p>
    <w:p w14:paraId="683DC219" w14:textId="77777777" w:rsidR="009270B3" w:rsidRPr="00C24209" w:rsidRDefault="009270B3" w:rsidP="009270B3">
      <w:pPr>
        <w:tabs>
          <w:tab w:val="left" w:pos="0"/>
        </w:tabs>
        <w:spacing w:after="0" w:line="276" w:lineRule="auto"/>
        <w:ind w:firstLine="709"/>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C24209">
        <w:rPr>
          <w:rFonts w:ascii="Verdana" w:eastAsia="Calibri" w:hAnsi="Verdana" w:cs="Arial"/>
          <w:bCs/>
          <w:i/>
          <w:iCs/>
          <w:color w:val="000000" w:themeColor="text1"/>
          <w:lang w:val="es-ES_tradnl" w:eastAsia="es-ES_tradnl"/>
        </w:rPr>
        <w:t xml:space="preserve">giro ordinario </w:t>
      </w:r>
      <w:r w:rsidRPr="00C24209">
        <w:rPr>
          <w:rFonts w:ascii="Verdana" w:eastAsia="Calibri" w:hAnsi="Verdana" w:cs="Arial"/>
          <w:bCs/>
          <w:color w:val="000000" w:themeColor="text1"/>
          <w:lang w:val="es-ES_tradnl" w:eastAsia="es-ES_tradnl"/>
        </w:rPr>
        <w:t>incluida en la redacción original del parágrafo 1° del artículo 32 de la Ley 80 de 1993</w:t>
      </w:r>
      <w:r w:rsidRPr="00C24209">
        <w:rPr>
          <w:rFonts w:ascii="Verdana" w:eastAsia="Calibri" w:hAnsi="Verdana" w:cs="Arial"/>
          <w:color w:val="000000" w:themeColor="text1"/>
          <w:vertAlign w:val="superscript"/>
          <w:lang w:eastAsia="es-ES_tradnl"/>
        </w:rPr>
        <w:footnoteReference w:id="15"/>
      </w:r>
      <w:r w:rsidRPr="00C24209">
        <w:rPr>
          <w:rFonts w:ascii="Verdana" w:eastAsia="Calibri" w:hAnsi="Verdana" w:cs="Arial"/>
          <w:bCs/>
          <w:color w:val="000000" w:themeColor="text1"/>
          <w:lang w:val="es-ES_tradnl" w:eastAsia="es-ES_tradnl"/>
        </w:rPr>
        <w:t xml:space="preserve">, la Sección Tercera manifestó lo siguiente: </w:t>
      </w:r>
    </w:p>
    <w:p w14:paraId="244C1A6A" w14:textId="77777777" w:rsidR="009270B3" w:rsidRPr="00C24209" w:rsidRDefault="009270B3" w:rsidP="009270B3">
      <w:pPr>
        <w:tabs>
          <w:tab w:val="left" w:pos="0"/>
        </w:tabs>
        <w:spacing w:after="0" w:line="276" w:lineRule="auto"/>
        <w:jc w:val="both"/>
        <w:rPr>
          <w:rFonts w:ascii="Verdana" w:eastAsia="Calibri" w:hAnsi="Verdana" w:cs="Arial"/>
          <w:bCs/>
          <w:color w:val="000000" w:themeColor="text1"/>
          <w:lang w:val="es-ES_tradnl" w:eastAsia="es-ES_tradnl"/>
        </w:rPr>
      </w:pPr>
    </w:p>
    <w:p w14:paraId="169E2C7A" w14:textId="77777777" w:rsidR="009270B3" w:rsidRPr="00C24209" w:rsidRDefault="009270B3" w:rsidP="009270B3">
      <w:pPr>
        <w:spacing w:after="0" w:line="240" w:lineRule="auto"/>
        <w:ind w:left="709" w:right="709"/>
        <w:jc w:val="both"/>
        <w:rPr>
          <w:rFonts w:ascii="Verdana" w:eastAsia="Times New Roman" w:hAnsi="Verdana" w:cs="Arial"/>
          <w:color w:val="000000" w:themeColor="text1"/>
          <w:sz w:val="20"/>
          <w:szCs w:val="20"/>
          <w:lang w:val="es-ES_tradnl" w:eastAsia="es-CO"/>
        </w:rPr>
      </w:pPr>
      <w:r w:rsidRPr="00C24209">
        <w:rPr>
          <w:rFonts w:ascii="Verdana" w:eastAsia="Times New Roman" w:hAnsi="Verdana" w:cs="Arial"/>
          <w:color w:val="000000" w:themeColor="text1"/>
          <w:sz w:val="20"/>
          <w:szCs w:val="20"/>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C24209">
        <w:rPr>
          <w:rFonts w:ascii="Verdana" w:eastAsia="Times New Roman" w:hAnsi="Verdana" w:cs="Arial"/>
          <w:color w:val="000000" w:themeColor="text1"/>
          <w:sz w:val="20"/>
          <w:szCs w:val="20"/>
          <w:lang w:val="es-ES_tradnl" w:eastAsia="es-ES_tradnl"/>
        </w:rPr>
        <w:t>Siendo</w:t>
      </w:r>
      <w:proofErr w:type="gramEnd"/>
      <w:r w:rsidRPr="00C24209">
        <w:rPr>
          <w:rFonts w:ascii="Verdana" w:eastAsia="Times New Roman" w:hAnsi="Verdana" w:cs="Arial"/>
          <w:color w:val="000000" w:themeColor="text1"/>
          <w:sz w:val="20"/>
          <w:szCs w:val="20"/>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C24209">
        <w:rPr>
          <w:rFonts w:ascii="Verdana" w:eastAsia="Times New Roman" w:hAnsi="Verdana" w:cs="Arial"/>
          <w:color w:val="000000" w:themeColor="text1"/>
          <w:sz w:val="20"/>
          <w:szCs w:val="20"/>
          <w:vertAlign w:val="superscript"/>
          <w:lang w:eastAsia="es-ES_tradnl"/>
        </w:rPr>
        <w:footnoteReference w:id="16"/>
      </w:r>
      <w:r w:rsidRPr="00C24209">
        <w:rPr>
          <w:rFonts w:ascii="Verdana" w:eastAsia="Times New Roman" w:hAnsi="Verdana" w:cs="Arial"/>
          <w:color w:val="000000" w:themeColor="text1"/>
          <w:sz w:val="20"/>
          <w:szCs w:val="20"/>
          <w:lang w:val="es-ES_tradnl" w:eastAsia="es-ES_tradnl"/>
        </w:rPr>
        <w:t>.</w:t>
      </w:r>
    </w:p>
    <w:p w14:paraId="4D1D013D" w14:textId="77777777" w:rsidR="009270B3" w:rsidRPr="00C24209" w:rsidRDefault="009270B3" w:rsidP="009270B3">
      <w:pPr>
        <w:tabs>
          <w:tab w:val="left" w:pos="0"/>
        </w:tabs>
        <w:spacing w:after="0" w:line="276" w:lineRule="auto"/>
        <w:jc w:val="both"/>
        <w:rPr>
          <w:rFonts w:ascii="Verdana" w:eastAsia="Calibri" w:hAnsi="Verdana" w:cs="Arial"/>
          <w:bCs/>
          <w:i/>
          <w:iCs/>
          <w:color w:val="000000" w:themeColor="text1"/>
          <w:lang w:val="es-ES_tradnl" w:eastAsia="es-ES_tradnl"/>
        </w:rPr>
      </w:pPr>
    </w:p>
    <w:p w14:paraId="6CC54E7C" w14:textId="77777777" w:rsidR="009270B3" w:rsidRPr="00C24209" w:rsidRDefault="009270B3" w:rsidP="009270B3">
      <w:pPr>
        <w:tabs>
          <w:tab w:val="left" w:pos="0"/>
        </w:tabs>
        <w:spacing w:after="120" w:line="276" w:lineRule="auto"/>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ab/>
        <w:t xml:space="preserve">En el mismo sentido se pronunció recientemente el Alto Tribunal de lo Contencioso Administrativo, reiterando las anteriores consideraciones, al expresar que el concepto de </w:t>
      </w:r>
      <w:r w:rsidRPr="00C24209">
        <w:rPr>
          <w:rFonts w:ascii="Verdana" w:eastAsia="Calibri" w:hAnsi="Verdana" w:cs="Arial"/>
          <w:i/>
          <w:color w:val="000000" w:themeColor="text1"/>
          <w:lang w:val="es-ES_tradnl" w:eastAsia="es-ES_tradnl"/>
        </w:rPr>
        <w:t xml:space="preserve">“giro ordinario de los negocios” </w:t>
      </w:r>
      <w:r w:rsidRPr="00C24209">
        <w:rPr>
          <w:rFonts w:ascii="Verdana" w:eastAsia="Calibri" w:hAnsi="Verdana" w:cs="Arial"/>
          <w:bCs/>
          <w:color w:val="000000" w:themeColor="text1"/>
          <w:lang w:val="es-ES_tradnl" w:eastAsia="es-ES_tradnl"/>
        </w:rPr>
        <w:t>se refiere a aquellas actividades compatibles con el objeto social, funciones previstas en la ley, o en las normas de creación y en sus estatutos internos de las personas</w:t>
      </w:r>
      <w:r w:rsidRPr="00C24209">
        <w:rPr>
          <w:rFonts w:ascii="Verdana" w:eastAsia="Calibri" w:hAnsi="Verdana" w:cs="Arial"/>
          <w:color w:val="000000" w:themeColor="text1"/>
          <w:vertAlign w:val="superscript"/>
          <w:lang w:eastAsia="es-ES_tradnl"/>
        </w:rPr>
        <w:footnoteReference w:id="17"/>
      </w:r>
      <w:r w:rsidRPr="00C24209">
        <w:rPr>
          <w:rFonts w:ascii="Verdana" w:eastAsia="Calibri" w:hAnsi="Verdana" w:cs="Arial"/>
          <w:bCs/>
          <w:color w:val="000000" w:themeColor="text1"/>
          <w:lang w:val="es-ES_tradnl" w:eastAsia="es-ES_tradnl"/>
        </w:rPr>
        <w:t xml:space="preserve"> y la doctrina societaria</w:t>
      </w:r>
      <w:r w:rsidRPr="00C24209">
        <w:rPr>
          <w:rFonts w:ascii="Verdana" w:eastAsia="Calibri" w:hAnsi="Verdana" w:cs="Arial"/>
          <w:bCs/>
          <w:color w:val="000000" w:themeColor="text1"/>
          <w:vertAlign w:val="superscript"/>
          <w:lang w:val="es-ES_tradnl" w:eastAsia="es-ES_tradnl"/>
        </w:rPr>
        <w:footnoteReference w:id="18"/>
      </w:r>
      <w:r w:rsidRPr="00C24209">
        <w:rPr>
          <w:rFonts w:ascii="Verdana" w:eastAsia="Calibri" w:hAnsi="Verdana" w:cs="Arial"/>
          <w:bCs/>
          <w:color w:val="000000" w:themeColor="text1"/>
          <w:lang w:val="es-ES_tradnl" w:eastAsia="es-ES_tradnl"/>
        </w:rPr>
        <w:t xml:space="preserve">. </w:t>
      </w:r>
    </w:p>
    <w:p w14:paraId="6860D644" w14:textId="77777777" w:rsidR="009270B3" w:rsidRPr="00C24209" w:rsidRDefault="009270B3" w:rsidP="009270B3">
      <w:pPr>
        <w:spacing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eastAsia="es-ES"/>
        </w:rPr>
        <w:t xml:space="preserve">Conforme con lo expresado, el </w:t>
      </w:r>
      <w:r w:rsidRPr="00C24209">
        <w:rPr>
          <w:rFonts w:ascii="Verdana" w:eastAsia="Calibri" w:hAnsi="Verdana" w:cs="Arial"/>
          <w:i/>
          <w:color w:val="000000" w:themeColor="text1"/>
          <w:lang w:val="es-ES" w:eastAsia="es-ES"/>
        </w:rPr>
        <w:t xml:space="preserve">giro ordinario </w:t>
      </w:r>
      <w:r w:rsidRPr="00C24209">
        <w:rPr>
          <w:rFonts w:ascii="Verdana" w:eastAsia="Calibri" w:hAnsi="Verdana" w:cs="Arial"/>
          <w:color w:val="000000" w:themeColor="text1"/>
          <w:lang w:val="es-ES" w:eastAsia="es-ES"/>
        </w:rPr>
        <w:t xml:space="preserve">involucra los asuntos que integran el desarrollo del objeto social de una sociedad comercial, una empresa o Entidad Pública, lo cual comprende tanto unas actividades directamente </w:t>
      </w:r>
      <w:r w:rsidRPr="00C24209">
        <w:rPr>
          <w:rFonts w:ascii="Verdana" w:eastAsia="Calibri" w:hAnsi="Verdana" w:cs="Arial"/>
          <w:color w:val="000000" w:themeColor="text1"/>
          <w:lang w:val="es-ES" w:eastAsia="es-ES"/>
        </w:rPr>
        <w:lastRenderedPageBreak/>
        <w:t>relacionadas con dicho objeto social, así como otros actos conexos al mismo. Esta interpretación, en principio, es coherente con la regulación de la capacidad de las sociedades comerciales establecida en el Código de Comercio, cuyo artículo 99 dispone que “[</w:t>
      </w:r>
      <w:r w:rsidRPr="00C24209">
        <w:rPr>
          <w:rFonts w:ascii="Verdana" w:eastAsia="Times New Roman" w:hAnsi="Verdana" w:cs="Arial"/>
          <w:color w:val="000000" w:themeColor="text1"/>
          <w:lang w:val="es-ES" w:eastAsia="es-ES"/>
        </w:rPr>
        <w:t>S]e</w:t>
      </w:r>
      <w:r w:rsidRPr="00C24209">
        <w:rPr>
          <w:rFonts w:ascii="Verdana" w:eastAsia="Calibri" w:hAnsi="Verdana" w:cs="Arial"/>
          <w:color w:val="000000" w:themeColor="text1"/>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C24209">
        <w:rPr>
          <w:rFonts w:ascii="Verdana" w:eastAsia="Calibri" w:hAnsi="Verdana" w:cs="Arial"/>
          <w:color w:val="000000" w:themeColor="text1"/>
          <w:vertAlign w:val="superscript"/>
          <w:lang w:eastAsia="es-ES"/>
        </w:rPr>
        <w:footnoteReference w:id="19"/>
      </w:r>
    </w:p>
    <w:p w14:paraId="6608EC35" w14:textId="77777777" w:rsidR="009270B3" w:rsidRPr="00C24209" w:rsidRDefault="009270B3" w:rsidP="009270B3">
      <w:pPr>
        <w:spacing w:before="120"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eastAsia="es-ES"/>
        </w:rPr>
        <w:t xml:space="preserve">En relación con la aplicación de lo dispuesto en el parágrafo del artículo 56 de la Ley 2195 de 2022, conviene aclarar que, a juicio de esta Agencia, la expresión </w:t>
      </w:r>
      <w:r w:rsidRPr="00C24209">
        <w:rPr>
          <w:rFonts w:ascii="Verdana" w:eastAsia="Calibri" w:hAnsi="Verdana" w:cs="Arial"/>
          <w:i/>
          <w:color w:val="000000" w:themeColor="text1"/>
          <w:lang w:val="es-ES" w:eastAsia="es-ES"/>
        </w:rPr>
        <w:t xml:space="preserve">giro ordinario </w:t>
      </w:r>
      <w:r w:rsidRPr="00C24209">
        <w:rPr>
          <w:rFonts w:ascii="Verdana" w:eastAsia="Calibri" w:hAnsi="Verdana" w:cs="Arial"/>
          <w:color w:val="000000" w:themeColor="text1"/>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C24209">
        <w:rPr>
          <w:rFonts w:ascii="Verdana" w:eastAsia="Calibri" w:hAnsi="Verdana" w:cs="Arial"/>
          <w:i/>
          <w:color w:val="000000" w:themeColor="text1"/>
          <w:lang w:val="es-ES" w:eastAsia="es-ES"/>
        </w:rPr>
        <w:t>giro ordinario</w:t>
      </w:r>
      <w:r w:rsidRPr="00C24209">
        <w:rPr>
          <w:rFonts w:ascii="Verdana" w:eastAsia="Calibri" w:hAnsi="Verdana" w:cs="Arial"/>
          <w:color w:val="000000" w:themeColor="text1"/>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C24209">
        <w:rPr>
          <w:rFonts w:ascii="Verdana" w:eastAsia="Calibri" w:hAnsi="Verdana" w:cs="Arial"/>
          <w:i/>
          <w:color w:val="000000" w:themeColor="text1"/>
          <w:lang w:val="es-ES" w:eastAsia="es-ES"/>
        </w:rPr>
        <w:t>ejusdem</w:t>
      </w:r>
      <w:proofErr w:type="spellEnd"/>
      <w:r w:rsidRPr="00C24209">
        <w:rPr>
          <w:rFonts w:ascii="Verdana" w:eastAsia="Calibri" w:hAnsi="Verdana" w:cs="Arial"/>
          <w:color w:val="000000" w:themeColor="text1"/>
          <w:lang w:val="es-ES" w:eastAsia="es-ES"/>
        </w:rPr>
        <w:t xml:space="preserve"> se limita a enunciar algunos tipos de Entidades Estatales, las cuales no solo difieren en su naturaleza jurídica, sino también en las actividades que realizan. </w:t>
      </w:r>
    </w:p>
    <w:p w14:paraId="7F5A909B" w14:textId="77777777" w:rsidR="009270B3" w:rsidRPr="00C24209" w:rsidRDefault="009270B3" w:rsidP="009270B3">
      <w:pPr>
        <w:tabs>
          <w:tab w:val="left" w:pos="0"/>
        </w:tabs>
        <w:spacing w:before="120" w:after="120" w:line="276" w:lineRule="auto"/>
        <w:ind w:firstLine="709"/>
        <w:jc w:val="both"/>
        <w:rPr>
          <w:rFonts w:ascii="Verdana" w:eastAsia="Calibri" w:hAnsi="Verdana" w:cs="Arial"/>
          <w:bCs/>
          <w:color w:val="000000" w:themeColor="text1"/>
          <w:lang w:val="es-ES_tradnl"/>
        </w:rPr>
      </w:pPr>
      <w:r w:rsidRPr="00C24209">
        <w:rPr>
          <w:rFonts w:ascii="Verdana" w:eastAsia="Calibri" w:hAnsi="Verdana" w:cs="Arial"/>
          <w:color w:val="000000" w:themeColor="text1"/>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C24209">
        <w:rPr>
          <w:rFonts w:ascii="Verdana" w:eastAsia="Calibri" w:hAnsi="Verdana" w:cs="Arial"/>
          <w:i/>
          <w:color w:val="000000" w:themeColor="text1"/>
          <w:lang w:val="es-ES" w:eastAsia="es-ES"/>
        </w:rPr>
        <w:t>giro ordinario</w:t>
      </w:r>
      <w:r w:rsidRPr="00C24209">
        <w:rPr>
          <w:rFonts w:ascii="Verdana" w:eastAsia="Calibri" w:hAnsi="Verdana" w:cs="Arial"/>
          <w:color w:val="000000" w:themeColor="text1"/>
          <w:lang w:val="es-ES" w:eastAsia="es-ES"/>
        </w:rPr>
        <w:t xml:space="preserve"> debe hacerse en el caso concreto, empleando un criterio de interpretación restrictiva. Ello en la medida </w:t>
      </w:r>
      <w:r w:rsidRPr="00C24209">
        <w:rPr>
          <w:rFonts w:ascii="Verdana" w:eastAsia="Calibri" w:hAnsi="Verdana" w:cs="Arial"/>
          <w:color w:val="000000" w:themeColor="text1"/>
          <w:lang w:val="es-ES" w:eastAsia="es-ES"/>
        </w:rPr>
        <w:lastRenderedPageBreak/>
        <w:t xml:space="preserve">en que el parágrafo del artículo 56 consagra una excepción a una regla general. </w:t>
      </w:r>
      <w:r w:rsidRPr="00C24209">
        <w:rPr>
          <w:rFonts w:ascii="Verdana" w:eastAsia="Calibri" w:hAnsi="Verdana" w:cs="Arial"/>
          <w:bCs/>
          <w:color w:val="000000" w:themeColor="text1"/>
          <w:lang w:val="es-ES_tradnl"/>
        </w:rPr>
        <w:t>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506A84F7" w14:textId="77777777" w:rsidR="009270B3" w:rsidRDefault="009270B3" w:rsidP="009270B3">
      <w:pPr>
        <w:spacing w:before="120"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rPr>
        <w:t xml:space="preserve"> </w:t>
      </w:r>
      <w:r w:rsidRPr="00C24209">
        <w:rPr>
          <w:rFonts w:ascii="Verdana" w:eastAsia="Calibri" w:hAnsi="Verdana" w:cs="Arial"/>
          <w:color w:val="000000" w:themeColor="text1"/>
          <w:lang w:val="es-ES" w:eastAsia="es-ES"/>
        </w:rPr>
        <w:t xml:space="preserve">En tales términos, lo dispuesto en el parágrafo del artículo 56 implica que las instituciones de educación superior públicas </w:t>
      </w:r>
      <w:r w:rsidRPr="00C24209">
        <w:rPr>
          <w:rFonts w:ascii="Verdana" w:eastAsia="Calibri" w:hAnsi="Verdana" w:cs="Arial"/>
          <w:i/>
          <w:iCs/>
          <w:color w:val="000000" w:themeColor="text1"/>
          <w:u w:val="single"/>
          <w:lang w:val="es-ES" w:eastAsia="es-ES"/>
        </w:rPr>
        <w:t xml:space="preserve">–con las precisiones que se desarrollaran en el punto </w:t>
      </w:r>
      <w:proofErr w:type="spellStart"/>
      <w:r w:rsidRPr="00C24209">
        <w:rPr>
          <w:rFonts w:ascii="Verdana" w:eastAsia="Calibri" w:hAnsi="Verdana" w:cs="Arial"/>
          <w:i/>
          <w:iCs/>
          <w:color w:val="000000" w:themeColor="text1"/>
          <w:u w:val="single"/>
          <w:lang w:val="es-ES" w:eastAsia="es-ES"/>
        </w:rPr>
        <w:t>iv</w:t>
      </w:r>
      <w:proofErr w:type="spellEnd"/>
      <w:r w:rsidRPr="00C24209">
        <w:rPr>
          <w:rFonts w:ascii="Verdana" w:eastAsia="Calibri" w:hAnsi="Verdana" w:cs="Arial"/>
          <w:i/>
          <w:iCs/>
          <w:color w:val="000000" w:themeColor="text1"/>
          <w:u w:val="single"/>
          <w:lang w:val="es-ES" w:eastAsia="es-ES"/>
        </w:rPr>
        <w:t>. de este concepto–</w:t>
      </w:r>
      <w:r w:rsidRPr="00C24209">
        <w:rPr>
          <w:rFonts w:ascii="Verdana" w:eastAsia="Calibri" w:hAnsi="Verdana" w:cs="Arial"/>
          <w:color w:val="000000" w:themeColor="text1"/>
          <w:lang w:val="es-ES" w:eastAsia="es-ES"/>
        </w:rPr>
        <w:t xml:space="preserve">, las empresas sociales del Estado, las sociedades de economía mixta y las empresas industriales y comerciales del Estado, no tendrán que implementar Documentos Tipo por virtud del artículo 56 en los casos en los que la contratación esté </w:t>
      </w:r>
      <w:proofErr w:type="gramStart"/>
      <w:r w:rsidRPr="00C24209">
        <w:rPr>
          <w:rFonts w:ascii="Verdana" w:eastAsia="Calibri" w:hAnsi="Verdana" w:cs="Arial"/>
          <w:color w:val="000000" w:themeColor="text1"/>
          <w:lang w:val="es-ES" w:eastAsia="es-ES"/>
        </w:rPr>
        <w:t>relacionada  con</w:t>
      </w:r>
      <w:proofErr w:type="gramEnd"/>
      <w:r w:rsidRPr="00C24209">
        <w:rPr>
          <w:rFonts w:ascii="Verdana" w:eastAsia="Calibri" w:hAnsi="Verdana" w:cs="Arial"/>
          <w:color w:val="000000" w:themeColor="text1"/>
          <w:lang w:val="es-ES" w:eastAsia="es-ES"/>
        </w:rPr>
        <w:t xml:space="preserve"> el </w:t>
      </w:r>
      <w:r w:rsidRPr="00C24209">
        <w:rPr>
          <w:rFonts w:ascii="Verdana" w:eastAsia="Calibri" w:hAnsi="Verdana" w:cs="Arial"/>
          <w:i/>
          <w:iCs/>
          <w:color w:val="000000" w:themeColor="text1"/>
          <w:lang w:val="es-ES" w:eastAsia="es-ES"/>
        </w:rPr>
        <w:t xml:space="preserve">giro ordinario </w:t>
      </w:r>
      <w:r w:rsidRPr="00C24209">
        <w:rPr>
          <w:rFonts w:ascii="Verdana" w:eastAsia="Calibri" w:hAnsi="Verdana" w:cs="Arial"/>
          <w:color w:val="000000" w:themeColor="text1"/>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C24209">
        <w:rPr>
          <w:rFonts w:ascii="Verdana" w:eastAsia="Calibri" w:hAnsi="Verdana" w:cs="Arial"/>
          <w:i/>
          <w:iCs/>
          <w:color w:val="000000" w:themeColor="text1"/>
          <w:lang w:val="es-ES" w:eastAsia="es-ES"/>
        </w:rPr>
        <w:t>su giro ordinario</w:t>
      </w:r>
      <w:r w:rsidRPr="00C24209">
        <w:rPr>
          <w:rFonts w:ascii="Verdana" w:eastAsia="Calibri" w:hAnsi="Verdana" w:cs="Arial"/>
          <w:color w:val="000000" w:themeColor="text1"/>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C24209">
        <w:rPr>
          <w:rFonts w:ascii="Verdana" w:eastAsia="Calibri" w:hAnsi="Verdana" w:cs="Arial"/>
          <w:i/>
          <w:iCs/>
          <w:color w:val="000000" w:themeColor="text1"/>
          <w:lang w:val="es-ES" w:eastAsia="es-ES"/>
        </w:rPr>
        <w:t>giro ordinario</w:t>
      </w:r>
      <w:r w:rsidRPr="00C24209">
        <w:rPr>
          <w:rFonts w:ascii="Verdana" w:eastAsia="Calibri" w:hAnsi="Verdana" w:cs="Arial"/>
          <w:color w:val="000000" w:themeColor="text1"/>
          <w:lang w:val="es-ES" w:eastAsia="es-ES"/>
        </w:rPr>
        <w:t xml:space="preserve">, a menos que su manual de contratación establezca lo contrario. De hacerlo, primará el principio de inderogabilidad singular del reglamento, que obliga a aplicarlo en las actuaciones concretas.  </w:t>
      </w:r>
    </w:p>
    <w:p w14:paraId="217BDEE9" w14:textId="77777777" w:rsidR="009270B3" w:rsidRPr="00C24209" w:rsidRDefault="009270B3" w:rsidP="009270B3">
      <w:pPr>
        <w:tabs>
          <w:tab w:val="left" w:pos="0"/>
        </w:tabs>
        <w:spacing w:before="120" w:after="120" w:line="276" w:lineRule="auto"/>
        <w:jc w:val="both"/>
        <w:rPr>
          <w:rFonts w:ascii="Verdana" w:eastAsia="Calibri" w:hAnsi="Verdana" w:cs="Arial"/>
          <w:color w:val="000000" w:themeColor="text1"/>
          <w:lang w:val="es-MX"/>
        </w:rPr>
      </w:pPr>
      <w:r>
        <w:rPr>
          <w:rFonts w:ascii="Verdana" w:eastAsia="Calibri" w:hAnsi="Verdana" w:cs="Arial"/>
          <w:color w:val="000000" w:themeColor="text1"/>
          <w:lang w:val="es-ES" w:eastAsia="es-ES"/>
        </w:rPr>
        <w:t xml:space="preserve">IV). </w:t>
      </w:r>
      <w:r w:rsidRPr="00C24209">
        <w:rPr>
          <w:rFonts w:ascii="Verdana" w:eastAsia="Calibri" w:hAnsi="Verdana" w:cs="Arial"/>
          <w:color w:val="000000" w:themeColor="text1"/>
          <w:lang w:val="es-MX"/>
        </w:rPr>
        <w:t xml:space="preserve">En relación con la implementación de los documentos tipo expedidos por la Agencia Nacional de Contratación Pública – Colombia Compra Eficiente, por parte de las instituciones de educación superior públicas, esta Agencia aclara y complementa la postura señalada en los Conceptos C-246 del 12 de marzo de 2026 y C-488 del 18 de junio de 2026, en el sentido de precisar algunos aspectos relativos a su clasificación, puesto que, a juicio de esta Agencia, no todas las instituciones dentro de esta categoría son destinatarias de la excepción del </w:t>
      </w:r>
      <w:r w:rsidRPr="00C24209">
        <w:rPr>
          <w:rFonts w:ascii="Verdana" w:eastAsia="Calibri" w:hAnsi="Verdana" w:cs="Arial"/>
          <w:color w:val="000000" w:themeColor="text1"/>
          <w:lang w:val="es-MX"/>
        </w:rPr>
        <w:lastRenderedPageBreak/>
        <w:t>parágrafo del artículo 56, en razón de su naturaleza jurídica y, particularmente, de su régimen contractual.</w:t>
      </w:r>
    </w:p>
    <w:p w14:paraId="282348B1" w14:textId="77777777" w:rsidR="009270B3" w:rsidRPr="00C24209" w:rsidRDefault="009270B3" w:rsidP="009270B3">
      <w:pPr>
        <w:tabs>
          <w:tab w:val="left" w:pos="0"/>
        </w:tabs>
        <w:spacing w:before="120" w:after="120" w:line="276" w:lineRule="auto"/>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ab/>
        <w:t>En efecto, en el Concepto C-246 del 12 de marzo de 2026, al resolver la pregunta relativa a si una Institución de Educación Superior debe aplicar los documentos tipo expedidos por esta Agencia de conformidad con el artículo 56 de la Ley 2195 de 2022, esta Agencia señaló que “(…) se encuentran exceptuadas de dicha obligación las Instituciones de Educación Superior públicas, las empresas sociales del Estado, las sociedades de economía mixta y las empresas industriales y comerciales del Estado, únicamente en cuanto a la contratación de su giro ordinario, conforme a lo dispuesto en el parágrafo del artículo 56 de la Ley 2195 de 2022”.</w:t>
      </w:r>
    </w:p>
    <w:p w14:paraId="6CA8830B" w14:textId="77777777" w:rsidR="009270B3" w:rsidRPr="00C24209" w:rsidRDefault="009270B3" w:rsidP="009270B3">
      <w:pPr>
        <w:tabs>
          <w:tab w:val="left" w:pos="0"/>
        </w:tabs>
        <w:spacing w:before="120" w:after="120" w:line="276" w:lineRule="auto"/>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ab/>
        <w:t>Por su parte, en el Concepto C-488 del 18 de junio de 2026 –cuya postura fue retomada del concepto de unificación CU-870 del 13 de agosto de 2026–, esta Agencia reiteró y profundizó dicha interpretación, señalando que el parágrafo del artículo 56 de la Ley 2195 de 2022, al constituir una norma de carácter excepcional, debe ser objeto de interpretación restrictiva, esto es, apegada a lo que literalmente se desprende de su texto. Bajo esa lógica, se concluyó que la excepción allí prevista se formula: “(…) respecto de ciertos tipos de Entidades Estatales, las cuales son mencionadas por su naturaleza jurídica, sin que se incluya consideración alguna relacionada con el régimen jurídico al que se encuentren sometidas (…) 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 no resulta extensible a entidades que no cuenten con dicha naturaleza”.</w:t>
      </w:r>
      <w:r w:rsidRPr="00C24209">
        <w:rPr>
          <w:rFonts w:ascii="Verdana" w:eastAsia="Calibri" w:hAnsi="Verdana" w:cs="Arial"/>
          <w:bCs/>
          <w:color w:val="000000" w:themeColor="text1"/>
          <w:kern w:val="2"/>
          <w:sz w:val="24"/>
          <w:szCs w:val="24"/>
          <w:lang w:val="es-ES_tradnl" w:eastAsia="es-ES_tradnl"/>
          <w14:ligatures w14:val="standardContextual"/>
        </w:rPr>
        <w:t xml:space="preserve"> </w:t>
      </w:r>
    </w:p>
    <w:p w14:paraId="17B8278C" w14:textId="77777777" w:rsidR="009270B3" w:rsidRPr="00C24209" w:rsidRDefault="009270B3" w:rsidP="009270B3">
      <w:pPr>
        <w:tabs>
          <w:tab w:val="left" w:pos="0"/>
        </w:tabs>
        <w:spacing w:before="120" w:after="120" w:line="276" w:lineRule="auto"/>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ab/>
        <w:t xml:space="preserve">No obstante lo anterior, esta Agencia advierte que tanto el Concepto C-246 de 2026 como el Concepto C-488 de 2026 centraron su análisis en la denominación o naturaleza jurídica genérica de las entidades mencionadas en el parágrafo del artículo 56 –esto es, en el hecho de que se trate, formalmente, de una “Institución de Educación Superior pública”–, sin detenerse a examinar si, dentro de dicha categoría genérica, existen tipos de instituciones sometidas a regímenes de contratación distintos entre sí. En esa medida, si bien ambos conceptos acertaron al identificar que la excepción del parágrafo del artículo 56 opera en función de la naturaleza jurídica de los sujetos allí enunciados y no en </w:t>
      </w:r>
      <w:r w:rsidRPr="00C24209">
        <w:rPr>
          <w:rFonts w:ascii="Verdana" w:eastAsia="Calibri" w:hAnsi="Verdana" w:cs="Arial"/>
          <w:color w:val="000000" w:themeColor="text1"/>
          <w:lang w:val="es-MX"/>
        </w:rPr>
        <w:lastRenderedPageBreak/>
        <w:t>función de un régimen contractual autónomamente considerado, dicha conclusión no puede entenderse en el sentido de que toda entidad que ostente la denominación genérica de “Institución de Educación Superior pública” resulte, por esa sola razón, cobijada por la excepción del parágrafo del artículo 56 de la Ley 2195 de 2022, con independencia de su régimen de contratación.</w:t>
      </w:r>
    </w:p>
    <w:p w14:paraId="0ED1E494" w14:textId="77777777" w:rsidR="009270B3" w:rsidRPr="00C24209" w:rsidRDefault="009270B3" w:rsidP="009270B3">
      <w:pPr>
        <w:tabs>
          <w:tab w:val="left" w:pos="0"/>
        </w:tabs>
        <w:spacing w:before="120" w:after="120" w:line="276" w:lineRule="auto"/>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ab/>
        <w:t xml:space="preserve">Lo anterior, por cuanto, como se desarrollará a continuación, la categoría “Instituciones de Educación Superior públicas” no es jurídicamente homogénea, sino que comprende, cuando menos, dos tipos de instituciones con naturaleza jurídica y régimen de contratación claramente diferenciados, de una parte: i) las universidades estatales u oficiales organizadas como entes universitarios autónomos, sometidas a un régimen especial de derecho privado; y, de otra, ii) las instituciones estatales u oficiales de educación superior que no ostentan el carácter de universidad, organizadas como establecimientos públicos y sometidas al Estatuto General de Contratación de la Administración Pública. Es esta distinción, ausente en los Conceptos C-246 y C-488 de 2026, la que en esta oportunidad la Subdirección de Gestión Contractual de la Agencia Nacional de Contratación Pública – Colombia Compra Eficiente estima necesario precisar, en la medida en que la naturaleza jurídica de “Institución de Educación Superior pública” no resulta, por sí sola, un criterio suficiente para determinar la procedencia de la excepción prevista en el parágrafo del artículo 56 de la Ley 2195 de 2022, sino que debe complementarse con el examen del régimen de contratación específico al que cada tipo de institución se encuentre sometido. Precisamente, este fue el análisis que esta Agencia realizó en el concepto C-160 del 5 de abril de 2022, el cual se reitera en lo pertinente a continuación. </w:t>
      </w:r>
    </w:p>
    <w:p w14:paraId="253AB684" w14:textId="77777777" w:rsidR="009270B3" w:rsidRPr="00C24209" w:rsidRDefault="009270B3" w:rsidP="009270B3">
      <w:pPr>
        <w:tabs>
          <w:tab w:val="left" w:pos="0"/>
        </w:tabs>
        <w:spacing w:before="120" w:after="120" w:line="276" w:lineRule="auto"/>
        <w:jc w:val="both"/>
        <w:rPr>
          <w:rFonts w:ascii="Verdana" w:eastAsia="Calibri" w:hAnsi="Verdana" w:cs="Arial"/>
          <w:bCs/>
          <w:color w:val="000000" w:themeColor="text1"/>
          <w:lang w:eastAsia="es-ES_tradnl"/>
        </w:rPr>
      </w:pPr>
      <w:r w:rsidRPr="00C24209">
        <w:rPr>
          <w:rFonts w:ascii="Verdana" w:eastAsia="Calibri" w:hAnsi="Verdana" w:cs="Arial"/>
          <w:color w:val="000000" w:themeColor="text1"/>
          <w:lang w:val="es-MX"/>
        </w:rPr>
        <w:tab/>
        <w:t>La Ley 30 de 1992 regula aspectos como la naturaleza jurídica de las universidades estatales y oficiales, la forma de organizarse y su régimen de contratación. En el artículo 57 se evidencia dos tipos de instituciones de educación superior públicas: i) las universidades</w:t>
      </w:r>
      <w:r w:rsidRPr="00C24209">
        <w:rPr>
          <w:rFonts w:ascii="Verdana" w:eastAsia="Calibri" w:hAnsi="Verdana" w:cs="Arial"/>
          <w:bCs/>
          <w:color w:val="000000" w:themeColor="text1"/>
          <w:lang w:eastAsia="es-ES_tradnl"/>
        </w:rPr>
        <w:t xml:space="preserve"> estatales u oficiales que deben organizarse como entes universitarios autónomos, con régimen especial</w:t>
      </w:r>
      <w:r w:rsidRPr="00C24209">
        <w:rPr>
          <w:rFonts w:ascii="Verdana" w:eastAsia="Times New Roman" w:hAnsi="Verdana" w:cs="Open Sans"/>
          <w:color w:val="000000" w:themeColor="text1"/>
          <w:lang w:eastAsia="es-ES_tradnl"/>
        </w:rPr>
        <w:t xml:space="preserve">, </w:t>
      </w:r>
      <w:r w:rsidRPr="00C24209">
        <w:rPr>
          <w:rFonts w:ascii="Verdana" w:eastAsia="Calibri" w:hAnsi="Verdana" w:cs="Arial"/>
          <w:bCs/>
          <w:color w:val="000000" w:themeColor="text1"/>
          <w:lang w:eastAsia="es-ES_tradnl"/>
        </w:rPr>
        <w:t xml:space="preserve">vinculados al Ministerio de Educación Nacional en lo que se refiere a las políticas y la planeación del sector educativo y </w:t>
      </w:r>
      <w:proofErr w:type="spellStart"/>
      <w:r w:rsidRPr="00C24209">
        <w:rPr>
          <w:rFonts w:ascii="Verdana" w:eastAsia="Calibri" w:hAnsi="Verdana" w:cs="Arial"/>
          <w:bCs/>
          <w:color w:val="000000" w:themeColor="text1"/>
          <w:lang w:eastAsia="es-ES_tradnl"/>
        </w:rPr>
        <w:t>ii</w:t>
      </w:r>
      <w:proofErr w:type="spellEnd"/>
      <w:r w:rsidRPr="00C24209">
        <w:rPr>
          <w:rFonts w:ascii="Verdana" w:eastAsia="Calibri" w:hAnsi="Verdana" w:cs="Arial"/>
          <w:bCs/>
          <w:color w:val="000000" w:themeColor="text1"/>
          <w:lang w:eastAsia="es-ES_tradnl"/>
        </w:rPr>
        <w:t xml:space="preserve">) las instituciones estatales u oficiales de educación superior que no tengan el carácter de universidad, que deberán </w:t>
      </w:r>
      <w:r w:rsidRPr="00C24209">
        <w:rPr>
          <w:rFonts w:ascii="Verdana" w:eastAsia="Calibri" w:hAnsi="Verdana" w:cs="Arial"/>
          <w:bCs/>
          <w:color w:val="000000" w:themeColor="text1"/>
          <w:lang w:eastAsia="es-ES_tradnl"/>
        </w:rPr>
        <w:lastRenderedPageBreak/>
        <w:t>organizarse como establecimientos públicos del orden nacional, departamental, distrital o municipal</w:t>
      </w:r>
      <w:r w:rsidRPr="00C24209">
        <w:rPr>
          <w:rFonts w:ascii="Verdana" w:eastAsia="Calibri" w:hAnsi="Verdana" w:cs="Arial"/>
          <w:bCs/>
          <w:color w:val="000000" w:themeColor="text1"/>
          <w:vertAlign w:val="superscript"/>
          <w:lang w:eastAsia="es-ES_tradnl"/>
        </w:rPr>
        <w:footnoteReference w:id="20"/>
      </w:r>
      <w:r w:rsidRPr="00C24209">
        <w:rPr>
          <w:rFonts w:ascii="Verdana" w:eastAsia="Calibri" w:hAnsi="Verdana" w:cs="Arial"/>
          <w:bCs/>
          <w:color w:val="000000" w:themeColor="text1"/>
          <w:lang w:eastAsia="es-ES_tradnl"/>
        </w:rPr>
        <w:t xml:space="preserve">. </w:t>
      </w:r>
    </w:p>
    <w:p w14:paraId="5878BAFF" w14:textId="77777777" w:rsidR="009270B3" w:rsidRPr="00C24209" w:rsidRDefault="009270B3" w:rsidP="009270B3">
      <w:pPr>
        <w:widowControl w:val="0"/>
        <w:autoSpaceDE w:val="0"/>
        <w:autoSpaceDN w:val="0"/>
        <w:spacing w:before="120" w:after="0" w:line="276" w:lineRule="auto"/>
        <w:ind w:firstLine="708"/>
        <w:jc w:val="both"/>
        <w:rPr>
          <w:rFonts w:ascii="Verdana" w:eastAsia="Arial" w:hAnsi="Verdana" w:cs="Arial"/>
          <w:color w:val="000000" w:themeColor="text1"/>
          <w:lang w:val="es-ES"/>
        </w:rPr>
      </w:pPr>
      <w:r w:rsidRPr="00C24209">
        <w:rPr>
          <w:rFonts w:ascii="Verdana" w:eastAsia="Calibri" w:hAnsi="Verdana" w:cs="Arial"/>
          <w:bCs/>
          <w:i/>
          <w:iCs/>
          <w:color w:val="000000" w:themeColor="text1"/>
          <w:lang w:eastAsia="es-ES_tradnl"/>
        </w:rPr>
        <w:t>Las primeras</w:t>
      </w:r>
      <w:r w:rsidRPr="00C24209">
        <w:rPr>
          <w:rFonts w:ascii="Verdana" w:eastAsia="Calibri" w:hAnsi="Verdana" w:cs="Arial"/>
          <w:bCs/>
          <w:color w:val="000000" w:themeColor="text1"/>
          <w:lang w:eastAsia="es-ES_tradnl"/>
        </w:rPr>
        <w:t>, esto es, las universidades estatales u oficiales organizadas como entes autónomos cuentan con régimen especial. En particular, los contratos que para el cumplimiento de sus funciones celebren se regirán por las normas del derecho privado y sus efectos estarán sujetos a las normas civiles y comerciales, según la naturaleza de los contratos</w:t>
      </w:r>
      <w:r w:rsidRPr="00C24209">
        <w:rPr>
          <w:rFonts w:ascii="Verdana" w:eastAsia="Calibri" w:hAnsi="Verdana" w:cs="Arial"/>
          <w:bCs/>
          <w:color w:val="000000" w:themeColor="text1"/>
          <w:vertAlign w:val="superscript"/>
          <w:lang w:eastAsia="es-ES_tradnl"/>
        </w:rPr>
        <w:footnoteReference w:id="21"/>
      </w:r>
      <w:r w:rsidRPr="00C24209">
        <w:rPr>
          <w:rFonts w:ascii="Verdana" w:eastAsia="Calibri" w:hAnsi="Verdana" w:cs="Arial"/>
          <w:bCs/>
          <w:color w:val="000000" w:themeColor="text1"/>
          <w:lang w:eastAsia="es-ES_tradnl"/>
        </w:rPr>
        <w:t>.</w:t>
      </w:r>
      <w:r w:rsidRPr="00C24209">
        <w:rPr>
          <w:rFonts w:ascii="Verdana" w:eastAsia="Arial" w:hAnsi="Verdana" w:cs="Arial"/>
          <w:color w:val="000000" w:themeColor="text1"/>
          <w:lang w:val="es-ES"/>
        </w:rPr>
        <w:t xml:space="preserve"> La Ley 489 de 1998, al desarrollar la estructura y organización de la Administración Pública, establece que los entes universitarios hacen parte integral de esta</w:t>
      </w:r>
      <w:r w:rsidRPr="00C24209">
        <w:rPr>
          <w:rFonts w:ascii="Verdana" w:eastAsia="Arial" w:hAnsi="Verdana" w:cs="Arial"/>
          <w:color w:val="000000" w:themeColor="text1"/>
          <w:vertAlign w:val="superscript"/>
          <w:lang w:val="es-ES"/>
        </w:rPr>
        <w:footnoteReference w:id="22"/>
      </w:r>
      <w:r w:rsidRPr="00C24209">
        <w:rPr>
          <w:rFonts w:ascii="Verdana" w:eastAsia="Arial" w:hAnsi="Verdana" w:cs="Arial"/>
          <w:color w:val="000000" w:themeColor="text1"/>
          <w:lang w:val="es-ES"/>
        </w:rPr>
        <w:t>, catalogándolos como entidades públicas de carácter autónomo a las que aplica un régimen especial</w:t>
      </w:r>
      <w:r w:rsidRPr="00C24209">
        <w:rPr>
          <w:rFonts w:ascii="Verdana" w:eastAsia="Arial" w:hAnsi="Verdana" w:cs="Arial"/>
          <w:color w:val="000000" w:themeColor="text1"/>
          <w:vertAlign w:val="superscript"/>
          <w:lang w:val="es-ES"/>
        </w:rPr>
        <w:footnoteReference w:id="23"/>
      </w:r>
      <w:r w:rsidRPr="00C24209">
        <w:rPr>
          <w:rFonts w:ascii="Verdana" w:eastAsia="Arial" w:hAnsi="Verdana" w:cs="Arial"/>
          <w:color w:val="000000" w:themeColor="text1"/>
          <w:lang w:val="es-ES"/>
        </w:rPr>
        <w:t>.  Al respecto, en la sentencia C-1019 de 2012, la Corte Constitucional señaló:</w:t>
      </w:r>
    </w:p>
    <w:p w14:paraId="2AAAA8B2" w14:textId="77777777" w:rsidR="009270B3" w:rsidRPr="00C24209" w:rsidRDefault="009270B3" w:rsidP="009270B3">
      <w:pPr>
        <w:widowControl w:val="0"/>
        <w:autoSpaceDE w:val="0"/>
        <w:autoSpaceDN w:val="0"/>
        <w:spacing w:before="10" w:after="0" w:line="240" w:lineRule="auto"/>
        <w:rPr>
          <w:rFonts w:ascii="Verdana" w:eastAsia="Arial" w:hAnsi="Verdana" w:cs="Arial"/>
          <w:color w:val="000000" w:themeColor="text1"/>
          <w:sz w:val="19"/>
          <w:lang w:val="es-ES"/>
        </w:rPr>
      </w:pPr>
    </w:p>
    <w:p w14:paraId="70168941" w14:textId="77777777" w:rsidR="009270B3" w:rsidRPr="00C24209" w:rsidRDefault="009270B3" w:rsidP="009270B3">
      <w:pPr>
        <w:widowControl w:val="0"/>
        <w:autoSpaceDE w:val="0"/>
        <w:autoSpaceDN w:val="0"/>
        <w:spacing w:after="120" w:line="240" w:lineRule="auto"/>
        <w:ind w:left="709" w:right="709"/>
        <w:jc w:val="both"/>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 xml:space="preserve">“El régimen especial de las universidades públicas y oficiales se justifica en el hecho de que estas instituciones manejan recursos </w:t>
      </w:r>
      <w:r w:rsidRPr="00C24209">
        <w:rPr>
          <w:rFonts w:ascii="Verdana" w:eastAsia="Arial" w:hAnsi="Verdana" w:cs="Arial"/>
          <w:color w:val="000000" w:themeColor="text1"/>
          <w:sz w:val="21"/>
          <w:szCs w:val="21"/>
          <w:lang w:val="es-ES"/>
        </w:rPr>
        <w:lastRenderedPageBreak/>
        <w:t>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C24209">
        <w:rPr>
          <w:rFonts w:ascii="Verdana" w:eastAsia="Arial" w:hAnsi="Verdana" w:cs="Arial"/>
          <w:color w:val="000000" w:themeColor="text1"/>
          <w:spacing w:val="49"/>
          <w:sz w:val="21"/>
          <w:szCs w:val="21"/>
          <w:lang w:val="es-ES"/>
        </w:rPr>
        <w:t xml:space="preserve"> </w:t>
      </w:r>
      <w:r w:rsidRPr="00C24209">
        <w:rPr>
          <w:rFonts w:ascii="Verdana" w:eastAsia="Arial" w:hAnsi="Verdana" w:cs="Arial"/>
          <w:color w:val="000000" w:themeColor="text1"/>
          <w:sz w:val="21"/>
          <w:szCs w:val="21"/>
          <w:lang w:val="es-ES"/>
        </w:rPr>
        <w:t>exige el cumplimiento de la obligación de colaboración armónica consagrado en el artículo 113 de la C.P. para el cumplimiento de las funciones del Estado.</w:t>
      </w:r>
    </w:p>
    <w:p w14:paraId="2B9C8597" w14:textId="77777777" w:rsidR="009270B3" w:rsidRPr="00C24209" w:rsidRDefault="009270B3" w:rsidP="009270B3">
      <w:pPr>
        <w:widowControl w:val="0"/>
        <w:autoSpaceDE w:val="0"/>
        <w:autoSpaceDN w:val="0"/>
        <w:spacing w:before="120" w:after="0" w:line="240" w:lineRule="auto"/>
        <w:ind w:left="709" w:right="709"/>
        <w:jc w:val="both"/>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C24209">
        <w:rPr>
          <w:rFonts w:ascii="Verdana" w:eastAsia="Arial" w:hAnsi="Verdana" w:cs="Arial"/>
          <w:color w:val="000000" w:themeColor="text1"/>
          <w:sz w:val="21"/>
          <w:szCs w:val="21"/>
          <w:vertAlign w:val="superscript"/>
          <w:lang w:val="es-ES"/>
        </w:rPr>
        <w:footnoteReference w:id="24"/>
      </w:r>
      <w:r w:rsidRPr="00C24209">
        <w:rPr>
          <w:rFonts w:ascii="Verdana" w:eastAsia="Arial" w:hAnsi="Verdana" w:cs="Arial"/>
          <w:color w:val="000000" w:themeColor="text1"/>
          <w:sz w:val="21"/>
          <w:szCs w:val="21"/>
          <w:lang w:val="es-ES"/>
        </w:rPr>
        <w:t>. De esta manera se pretende preservar a las universidades públicas y oficiales, de las injerencias e interferencias arbitrarias e indebidas del poder</w:t>
      </w:r>
      <w:r w:rsidRPr="00C24209">
        <w:rPr>
          <w:rFonts w:ascii="Verdana" w:eastAsia="Arial" w:hAnsi="Verdana" w:cs="Arial"/>
          <w:color w:val="000000" w:themeColor="text1"/>
          <w:spacing w:val="-6"/>
          <w:sz w:val="21"/>
          <w:szCs w:val="21"/>
          <w:lang w:val="es-ES"/>
        </w:rPr>
        <w:t xml:space="preserve"> </w:t>
      </w:r>
      <w:r w:rsidRPr="00C24209">
        <w:rPr>
          <w:rFonts w:ascii="Verdana" w:eastAsia="Arial" w:hAnsi="Verdana" w:cs="Arial"/>
          <w:color w:val="000000" w:themeColor="text1"/>
          <w:sz w:val="21"/>
          <w:szCs w:val="21"/>
          <w:lang w:val="es-ES"/>
        </w:rPr>
        <w:t>político</w:t>
      </w:r>
      <w:r w:rsidRPr="00C24209">
        <w:rPr>
          <w:rFonts w:ascii="Verdana" w:eastAsia="Arial" w:hAnsi="Verdana" w:cs="Arial"/>
          <w:color w:val="000000" w:themeColor="text1"/>
          <w:sz w:val="21"/>
          <w:szCs w:val="21"/>
          <w:vertAlign w:val="superscript"/>
          <w:lang w:val="es-ES"/>
        </w:rPr>
        <w:footnoteReference w:id="25"/>
      </w:r>
      <w:r w:rsidRPr="00C24209">
        <w:rPr>
          <w:rFonts w:ascii="Verdana" w:eastAsia="Arial" w:hAnsi="Verdana" w:cs="Arial"/>
          <w:color w:val="000000" w:themeColor="text1"/>
          <w:sz w:val="21"/>
          <w:szCs w:val="21"/>
          <w:lang w:val="es-ES"/>
        </w:rPr>
        <w:t>”.</w:t>
      </w:r>
    </w:p>
    <w:p w14:paraId="2EBDB8D0" w14:textId="77777777" w:rsidR="009270B3" w:rsidRPr="00C24209" w:rsidRDefault="009270B3" w:rsidP="009270B3">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rPr>
      </w:pPr>
    </w:p>
    <w:p w14:paraId="3F67DDED" w14:textId="77777777" w:rsidR="009270B3" w:rsidRPr="00C24209" w:rsidRDefault="009270B3" w:rsidP="009270B3">
      <w:pPr>
        <w:widowControl w:val="0"/>
        <w:autoSpaceDE w:val="0"/>
        <w:autoSpaceDN w:val="0"/>
        <w:spacing w:after="0" w:line="276" w:lineRule="auto"/>
        <w:ind w:right="108" w:firstLine="527"/>
        <w:jc w:val="both"/>
        <w:rPr>
          <w:rFonts w:ascii="Verdana" w:eastAsia="Arial" w:hAnsi="Verdana" w:cs="Arial"/>
          <w:color w:val="000000" w:themeColor="text1"/>
          <w:lang w:val="es-ES"/>
        </w:rPr>
      </w:pPr>
      <w:r w:rsidRPr="00C24209">
        <w:rPr>
          <w:rFonts w:ascii="Verdana" w:eastAsia="Arial" w:hAnsi="Verdana" w:cs="Arial"/>
          <w:color w:val="000000" w:themeColor="text1"/>
          <w:lang w:val="es-ES"/>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C24209">
        <w:rPr>
          <w:rFonts w:ascii="Verdana" w:eastAsia="Arial" w:hAnsi="Verdana" w:cs="Arial"/>
          <w:color w:val="000000" w:themeColor="text1"/>
          <w:vertAlign w:val="superscript"/>
          <w:lang w:val="es-ES"/>
        </w:rPr>
        <w:footnoteReference w:id="26"/>
      </w:r>
      <w:r w:rsidRPr="00C24209">
        <w:rPr>
          <w:rFonts w:ascii="Verdana" w:eastAsia="Arial" w:hAnsi="Verdana" w:cs="Arial"/>
          <w:color w:val="000000" w:themeColor="text1"/>
          <w:lang w:val="es-ES"/>
        </w:rPr>
        <w:t>:</w:t>
      </w:r>
    </w:p>
    <w:p w14:paraId="0EB9A930" w14:textId="77777777" w:rsidR="009270B3" w:rsidRPr="00C24209" w:rsidRDefault="009270B3" w:rsidP="009270B3">
      <w:pPr>
        <w:widowControl w:val="0"/>
        <w:autoSpaceDE w:val="0"/>
        <w:autoSpaceDN w:val="0"/>
        <w:spacing w:after="0" w:line="240" w:lineRule="auto"/>
        <w:rPr>
          <w:rFonts w:ascii="Verdana" w:eastAsia="Arial" w:hAnsi="Verdana" w:cs="Arial"/>
          <w:color w:val="000000" w:themeColor="text1"/>
          <w:lang w:val="es-ES"/>
        </w:rPr>
      </w:pPr>
    </w:p>
    <w:p w14:paraId="039C52FC" w14:textId="77777777" w:rsidR="009270B3" w:rsidRPr="00C24209" w:rsidRDefault="009270B3" w:rsidP="009270B3">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1F283809" w14:textId="77777777" w:rsidR="009270B3" w:rsidRPr="00C24209" w:rsidRDefault="009270B3" w:rsidP="009270B3">
      <w:pPr>
        <w:widowControl w:val="0"/>
        <w:autoSpaceDE w:val="0"/>
        <w:autoSpaceDN w:val="0"/>
        <w:spacing w:before="1" w:after="120" w:line="240" w:lineRule="auto"/>
        <w:ind w:left="709" w:right="709"/>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lastRenderedPageBreak/>
        <w:t>[…]</w:t>
      </w:r>
    </w:p>
    <w:p w14:paraId="64FA645E" w14:textId="77777777" w:rsidR="009270B3" w:rsidRPr="00C24209" w:rsidRDefault="009270B3" w:rsidP="009270B3">
      <w:pPr>
        <w:widowControl w:val="0"/>
        <w:autoSpaceDE w:val="0"/>
        <w:autoSpaceDN w:val="0"/>
        <w:spacing w:after="120" w:line="240" w:lineRule="auto"/>
        <w:ind w:left="709" w:right="709"/>
        <w:jc w:val="both"/>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74E965B4" w14:textId="77777777" w:rsidR="009270B3" w:rsidRPr="00C24209" w:rsidRDefault="009270B3" w:rsidP="009270B3">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 xml:space="preserve">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 </w:t>
      </w:r>
    </w:p>
    <w:p w14:paraId="38EF9863" w14:textId="77777777" w:rsidR="009270B3" w:rsidRPr="00C24209" w:rsidRDefault="009270B3" w:rsidP="009270B3">
      <w:pPr>
        <w:tabs>
          <w:tab w:val="left" w:pos="0"/>
        </w:tabs>
        <w:spacing w:after="0" w:line="276" w:lineRule="auto"/>
        <w:ind w:firstLine="709"/>
        <w:jc w:val="both"/>
        <w:rPr>
          <w:rFonts w:ascii="Verdana" w:eastAsia="Calibri" w:hAnsi="Verdana" w:cs="Arial"/>
          <w:bCs/>
          <w:color w:val="000000" w:themeColor="text1"/>
          <w:szCs w:val="24"/>
          <w:lang w:eastAsia="es-ES_tradnl"/>
        </w:rPr>
      </w:pPr>
    </w:p>
    <w:p w14:paraId="5AB5DA51" w14:textId="77777777" w:rsidR="009270B3" w:rsidRPr="00C24209" w:rsidRDefault="009270B3" w:rsidP="009270B3">
      <w:pPr>
        <w:tabs>
          <w:tab w:val="left" w:pos="0"/>
        </w:tabs>
        <w:spacing w:after="0" w:line="276" w:lineRule="auto"/>
        <w:ind w:firstLine="709"/>
        <w:jc w:val="both"/>
        <w:rPr>
          <w:rFonts w:ascii="Verdana" w:eastAsia="Calibri" w:hAnsi="Verdana" w:cs="Arial"/>
          <w:bCs/>
          <w:color w:val="000000" w:themeColor="text1"/>
          <w:szCs w:val="24"/>
          <w:lang w:val="es-ES" w:eastAsia="es-ES_tradnl"/>
        </w:rPr>
      </w:pPr>
      <w:r w:rsidRPr="00C24209">
        <w:rPr>
          <w:rFonts w:ascii="Verdana" w:eastAsia="Calibri" w:hAnsi="Verdana" w:cs="Arial"/>
          <w:bCs/>
          <w:i/>
          <w:iCs/>
          <w:color w:val="000000" w:themeColor="text1"/>
          <w:szCs w:val="24"/>
          <w:lang w:eastAsia="es-ES_tradnl"/>
        </w:rPr>
        <w:t>Las segundas</w:t>
      </w:r>
      <w:r w:rsidRPr="00C24209">
        <w:rPr>
          <w:rFonts w:ascii="Verdana" w:eastAsia="Calibri" w:hAnsi="Verdana" w:cs="Arial"/>
          <w:bCs/>
          <w:color w:val="000000" w:themeColor="text1"/>
          <w:szCs w:val="24"/>
          <w:lang w:eastAsia="es-ES_tradnl"/>
        </w:rPr>
        <w:t>, es decir, las instituciones estatales u oficiales de educación superior que no tengan el carácter de universidad organizadas como establecimientos públicos</w:t>
      </w:r>
      <w:r w:rsidRPr="00C24209">
        <w:rPr>
          <w:rFonts w:ascii="Verdana" w:eastAsia="Calibri" w:hAnsi="Verdana" w:cs="Arial"/>
          <w:bCs/>
          <w:color w:val="000000" w:themeColor="text1"/>
          <w:szCs w:val="24"/>
          <w:vertAlign w:val="superscript"/>
          <w:lang w:eastAsia="es-ES_tradnl"/>
        </w:rPr>
        <w:footnoteReference w:id="27"/>
      </w:r>
      <w:r w:rsidRPr="00C24209">
        <w:rPr>
          <w:rFonts w:ascii="Verdana" w:eastAsia="Calibri" w:hAnsi="Verdana" w:cs="Arial"/>
          <w:bCs/>
          <w:color w:val="000000" w:themeColor="text1"/>
          <w:szCs w:val="24"/>
          <w:lang w:eastAsia="es-ES_tradnl"/>
        </w:rPr>
        <w:t>, se rigen por las normas del Estatuto General de Contratación de la Administración Pública, de conformidad con lo señalado por el artículo 81 de la Ley 489 de 1998</w:t>
      </w:r>
      <w:r w:rsidRPr="00C24209">
        <w:rPr>
          <w:rFonts w:ascii="Verdana" w:eastAsia="Calibri" w:hAnsi="Verdana" w:cs="Arial"/>
          <w:bCs/>
          <w:color w:val="000000" w:themeColor="text1"/>
          <w:szCs w:val="24"/>
          <w:vertAlign w:val="superscript"/>
          <w:lang w:eastAsia="es-ES_tradnl"/>
        </w:rPr>
        <w:footnoteReference w:id="28"/>
      </w:r>
      <w:r w:rsidRPr="00C24209">
        <w:rPr>
          <w:rFonts w:ascii="Verdana" w:eastAsia="Calibri" w:hAnsi="Verdana" w:cs="Arial"/>
          <w:bCs/>
          <w:color w:val="000000" w:themeColor="text1"/>
          <w:szCs w:val="24"/>
          <w:lang w:eastAsia="es-ES_tradnl"/>
        </w:rPr>
        <w:t xml:space="preserve">. Esto significa que </w:t>
      </w:r>
      <w:r w:rsidRPr="00C24209">
        <w:rPr>
          <w:rFonts w:ascii="Verdana" w:eastAsia="Calibri" w:hAnsi="Verdana" w:cs="Arial"/>
          <w:bCs/>
          <w:color w:val="000000" w:themeColor="text1"/>
          <w:szCs w:val="24"/>
          <w:lang w:val="es-ES" w:eastAsia="es-ES_tradnl"/>
        </w:rPr>
        <w:t>los establecimientos públicos son entidades estatales para efectos del EGCAP</w:t>
      </w:r>
      <w:r w:rsidRPr="00C24209">
        <w:rPr>
          <w:rFonts w:ascii="Verdana" w:eastAsia="Calibri" w:hAnsi="Verdana" w:cs="Arial"/>
          <w:bCs/>
          <w:color w:val="000000" w:themeColor="text1"/>
          <w:szCs w:val="24"/>
          <w:vertAlign w:val="superscript"/>
          <w:lang w:val="es-ES" w:eastAsia="es-ES_tradnl"/>
        </w:rPr>
        <w:footnoteReference w:id="29"/>
      </w:r>
      <w:r w:rsidRPr="00C24209">
        <w:rPr>
          <w:rFonts w:ascii="Verdana" w:eastAsia="Calibri" w:hAnsi="Verdana" w:cs="Arial"/>
          <w:bCs/>
          <w:color w:val="000000" w:themeColor="text1"/>
          <w:szCs w:val="24"/>
          <w:lang w:val="es-ES" w:eastAsia="es-ES_tradnl"/>
        </w:rPr>
        <w:t xml:space="preserve">, por lo que cualquier </w:t>
      </w:r>
      <w:r w:rsidRPr="00C24209">
        <w:rPr>
          <w:rFonts w:ascii="Verdana" w:eastAsia="Calibri" w:hAnsi="Verdana" w:cs="Arial"/>
          <w:bCs/>
          <w:color w:val="000000" w:themeColor="text1"/>
          <w:szCs w:val="24"/>
          <w:lang w:val="es-ES" w:eastAsia="es-ES_tradnl"/>
        </w:rPr>
        <w:lastRenderedPageBreak/>
        <w:t xml:space="preserve">contrato que celebren deben sujetarse a las normas de la Ley 80 de 1993, Ley 1150 de 2007 y demás normas concordantes. </w:t>
      </w:r>
    </w:p>
    <w:p w14:paraId="0D8532CA" w14:textId="77777777" w:rsidR="009270B3" w:rsidRPr="00C24209" w:rsidRDefault="009270B3" w:rsidP="009270B3">
      <w:pPr>
        <w:tabs>
          <w:tab w:val="left" w:pos="0"/>
        </w:tabs>
        <w:spacing w:before="120" w:after="0" w:line="276" w:lineRule="auto"/>
        <w:ind w:firstLine="709"/>
        <w:jc w:val="both"/>
        <w:rPr>
          <w:rFonts w:ascii="Verdana" w:eastAsia="Calibri" w:hAnsi="Verdana" w:cs="Arial"/>
          <w:bCs/>
          <w:color w:val="000000" w:themeColor="text1"/>
          <w:szCs w:val="24"/>
          <w:lang w:eastAsia="es-ES_tradnl"/>
        </w:rPr>
      </w:pPr>
      <w:r w:rsidRPr="00C24209">
        <w:rPr>
          <w:rFonts w:ascii="Verdana" w:eastAsia="Calibri" w:hAnsi="Verdana" w:cs="Arial"/>
          <w:bCs/>
          <w:color w:val="000000" w:themeColor="text1"/>
          <w:szCs w:val="24"/>
          <w:lang w:eastAsia="es-ES_tradnl"/>
        </w:rPr>
        <w:t xml:space="preserve">Con base en estas consideraciones, es posible concluir que el parágrafo del artículo 56 de la Ley 2195 de 2022 únicamente resulta aplicable a las instituciones de educación superior públicas que cuentan con régimen especial y no a aquellas, como los establecimientos públicos, que tienen un régimen de contratación sometido a la Ley 80 de 1993. Esta postura se estima adecuada y se ajusta al propósito de la norma en la medida en que, como se explicó, </w:t>
      </w:r>
      <w:r w:rsidRPr="00C24209">
        <w:rPr>
          <w:rFonts w:ascii="Verdana" w:eastAsia="Calibri" w:hAnsi="Verdana" w:cs="Arial"/>
          <w:bCs/>
          <w:color w:val="000000" w:themeColor="text1"/>
          <w:szCs w:val="24"/>
          <w:lang w:val="es-ES_tradnl" w:eastAsia="es-ES_tradnl"/>
        </w:rPr>
        <w:t>un efecto importante de esta norma es la ampliación del ámbito de aplicación de los documentos tipo, al hacerlos obligatorios para unos sujetos que, en principio, de acuerdo con la Ley 2022 de 2020, no estarían sometidos a esos documentos</w:t>
      </w:r>
      <w:r w:rsidRPr="00C24209">
        <w:rPr>
          <w:rFonts w:ascii="Verdana" w:eastAsia="Calibri" w:hAnsi="Verdana" w:cs="Arial"/>
          <w:bCs/>
          <w:color w:val="000000" w:themeColor="text1"/>
          <w:szCs w:val="24"/>
          <w:lang w:eastAsia="es-ES_tradnl"/>
        </w:rPr>
        <w:t xml:space="preserve">, tal como se explicó con anterioridad, lo que incluso se deriva del título del artículo 56 de la Ley 2195 de 2022 denominado “aplicación de los documentos tipo a entidades de régimen especial”. </w:t>
      </w:r>
    </w:p>
    <w:p w14:paraId="49FA2F4C" w14:textId="77777777" w:rsidR="009270B3" w:rsidRPr="00C24209" w:rsidRDefault="009270B3" w:rsidP="009270B3">
      <w:pPr>
        <w:tabs>
          <w:tab w:val="left" w:pos="0"/>
        </w:tabs>
        <w:spacing w:before="120" w:after="0" w:line="276" w:lineRule="auto"/>
        <w:ind w:firstLine="709"/>
        <w:jc w:val="both"/>
        <w:rPr>
          <w:rFonts w:ascii="Verdana" w:eastAsia="Calibri" w:hAnsi="Verdana" w:cs="Arial"/>
          <w:bCs/>
          <w:color w:val="000000" w:themeColor="text1"/>
          <w:szCs w:val="24"/>
          <w:lang w:eastAsia="es-ES_tradnl"/>
        </w:rPr>
      </w:pPr>
      <w:r w:rsidRPr="00C24209">
        <w:rPr>
          <w:rFonts w:ascii="Verdana" w:eastAsia="Calibri" w:hAnsi="Verdana" w:cs="Arial"/>
          <w:bCs/>
          <w:color w:val="000000" w:themeColor="text1"/>
          <w:szCs w:val="24"/>
          <w:lang w:eastAsia="es-ES_tradnl"/>
        </w:rPr>
        <w:t>En tal sentido, como se señaló con anterioridad, la finalidad de esta norma consiste precisamente en extender la aplicación de los documentos tipo a las entidades con régimen de contratación especial o privado, cuando se celebren contratos o convenios o de cualquier índole entre estas y las entidades sometidas al EGCAP. Por tanto, la aplicación de este parágrafo debe partir de la base de que los sujetos allí referidos cuenten con un régimen especial de contratación que permite aplicar la excepción de lo dispuesto en los dos incisos del artículo 56. De lo contrario, es decir, de no contar con régimen de contratación especial o de derecho privado, estarían sometidos al EGCAP y tendrían que aplicar los documentos tipo de manera obligatoria, de conformidad con lo establecido en el artículo 1 de la Ley 2022 de 2020, que modificó el parágrafo 7 del artículo 2 de la Ley 1150 de 2007, conforme se explicó en el numeral (</w:t>
      </w:r>
      <w:proofErr w:type="spellStart"/>
      <w:r w:rsidRPr="00C24209">
        <w:rPr>
          <w:rFonts w:ascii="Verdana" w:eastAsia="Calibri" w:hAnsi="Verdana" w:cs="Arial"/>
          <w:bCs/>
          <w:color w:val="000000" w:themeColor="text1"/>
          <w:szCs w:val="24"/>
          <w:lang w:eastAsia="es-ES_tradnl"/>
        </w:rPr>
        <w:t>ii</w:t>
      </w:r>
      <w:proofErr w:type="spellEnd"/>
      <w:r w:rsidRPr="00C24209">
        <w:rPr>
          <w:rFonts w:ascii="Verdana" w:eastAsia="Calibri" w:hAnsi="Verdana" w:cs="Arial"/>
          <w:bCs/>
          <w:color w:val="000000" w:themeColor="text1"/>
          <w:szCs w:val="24"/>
          <w:lang w:eastAsia="es-ES_tradnl"/>
        </w:rPr>
        <w:t xml:space="preserve">.) de este concepto. Una interpretación distinta incluso supondría exceptuar a estas entidades del EGCAP en cuanto a la contratación de su giro ordinario, lo que evidentemente sería un contrasentido con la finalidad de la norma. </w:t>
      </w:r>
    </w:p>
    <w:p w14:paraId="1DF54E21" w14:textId="77777777" w:rsidR="009270B3" w:rsidRPr="00C24209" w:rsidRDefault="009270B3" w:rsidP="009270B3">
      <w:pPr>
        <w:tabs>
          <w:tab w:val="left" w:pos="0"/>
        </w:tabs>
        <w:spacing w:before="120" w:after="120" w:line="276" w:lineRule="auto"/>
        <w:ind w:firstLine="709"/>
        <w:jc w:val="both"/>
        <w:rPr>
          <w:rFonts w:ascii="Verdana" w:eastAsia="Calibri" w:hAnsi="Verdana" w:cs="Arial"/>
          <w:bCs/>
          <w:color w:val="000000" w:themeColor="text1"/>
          <w:szCs w:val="24"/>
          <w:lang w:eastAsia="es-ES_tradnl"/>
        </w:rPr>
      </w:pPr>
      <w:r w:rsidRPr="00C24209">
        <w:rPr>
          <w:rFonts w:ascii="Verdana" w:eastAsia="Calibri" w:hAnsi="Verdana" w:cs="Arial"/>
          <w:bCs/>
          <w:color w:val="000000" w:themeColor="text1"/>
          <w:szCs w:val="24"/>
          <w:lang w:eastAsia="es-ES_tradnl"/>
        </w:rPr>
        <w:t xml:space="preserve">De este modo, cuando el parágrafo del artículo 56 de la Ley 2195 de 2022 se refiere a las instituciones de educación superior públicas, debe interpretarse que su aplicación procede en relación con aquellas entidades que cuenten con régimen especial de contratación, como las universidades estatales u oficiales organizadas como entes autónomos, debido a su régimen de contratación de derecho privado conforme lo disponen los artículos 57 y 93 de la Ley 30 de 1992. </w:t>
      </w:r>
      <w:r w:rsidRPr="00C24209">
        <w:rPr>
          <w:rFonts w:ascii="Verdana" w:eastAsia="Calibri" w:hAnsi="Verdana" w:cs="Arial"/>
          <w:bCs/>
          <w:color w:val="000000" w:themeColor="text1"/>
          <w:szCs w:val="24"/>
          <w:lang w:eastAsia="es-ES_tradnl"/>
        </w:rPr>
        <w:lastRenderedPageBreak/>
        <w:t xml:space="preserve">En contraste, aquellas instituciones de educación superior públicas que no cuentan con un régimen especial, como los establecimientos públicos, deben aplicar la Ley 80 de 1993 y la Ley 2022 de 2020, por lo que no resultaría aplicable el parágrafo del artículo 56 de la Ley 2195 de 2022. </w:t>
      </w:r>
    </w:p>
    <w:p w14:paraId="66C30175" w14:textId="77777777" w:rsidR="009270B3" w:rsidRPr="00C24209" w:rsidRDefault="009270B3" w:rsidP="009270B3">
      <w:pPr>
        <w:tabs>
          <w:tab w:val="left" w:pos="0"/>
        </w:tabs>
        <w:spacing w:before="120" w:after="120" w:line="276" w:lineRule="auto"/>
        <w:ind w:firstLine="709"/>
        <w:jc w:val="both"/>
        <w:rPr>
          <w:rFonts w:ascii="Verdana" w:eastAsia="Calibri" w:hAnsi="Verdana" w:cs="Arial"/>
          <w:bCs/>
          <w:color w:val="000000" w:themeColor="text1"/>
          <w:szCs w:val="24"/>
          <w:lang w:val="es-ES_tradnl" w:eastAsia="es-ES_tradnl"/>
        </w:rPr>
      </w:pPr>
      <w:r w:rsidRPr="00C24209">
        <w:rPr>
          <w:rFonts w:ascii="Verdana" w:eastAsia="Calibri" w:hAnsi="Verdana" w:cs="Arial"/>
          <w:bCs/>
          <w:color w:val="000000" w:themeColor="text1"/>
          <w:szCs w:val="24"/>
          <w:lang w:eastAsia="es-ES_tradnl"/>
        </w:rPr>
        <w:t>Así las cosas</w:t>
      </w:r>
      <w:r w:rsidRPr="00C24209">
        <w:rPr>
          <w:rFonts w:ascii="Verdana" w:eastAsia="Calibri" w:hAnsi="Verdana" w:cs="Arial"/>
          <w:bCs/>
          <w:color w:val="000000" w:themeColor="text1"/>
          <w:lang w:eastAsia="es-ES_tradnl"/>
        </w:rPr>
        <w:t xml:space="preserve">, conforme al artículo 56, cuando se celebra un contrato o convenio interadministrativo o de cualquier otra índole entre una entidad sometida al EGCAP y una institución de educación superior pública organizada como ente universitario autónomo con régimen especial, deberán aplicar los documentos tipo </w:t>
      </w:r>
      <w:r w:rsidRPr="00C24209">
        <w:rPr>
          <w:rFonts w:ascii="Verdana" w:eastAsia="Calibri" w:hAnsi="Verdana" w:cs="Arial"/>
          <w:bCs/>
          <w:color w:val="000000" w:themeColor="text1"/>
          <w:lang w:val="es-ES_tradnl" w:eastAsia="es-ES_tradnl"/>
        </w:rPr>
        <w:t>en los procedimientos de selección y los contratos que realicen en desarrollo de los anteriores negocios jurídico</w:t>
      </w:r>
      <w:r w:rsidRPr="00C24209">
        <w:rPr>
          <w:rFonts w:ascii="Verdana" w:eastAsia="Calibri" w:hAnsi="Verdana" w:cs="Arial"/>
          <w:bCs/>
          <w:color w:val="000000" w:themeColor="text1"/>
          <w:lang w:eastAsia="es-ES_tradnl"/>
        </w:rPr>
        <w:t xml:space="preserve">. Sin embargo, en este caso aplicará la excepción contemplada en el parágrafo del artículo 56, de manera que </w:t>
      </w:r>
      <w:r w:rsidRPr="00C24209">
        <w:rPr>
          <w:rFonts w:ascii="Verdana" w:eastAsia="Calibri" w:hAnsi="Verdana" w:cs="Arial"/>
          <w:bCs/>
          <w:color w:val="000000" w:themeColor="text1"/>
          <w:szCs w:val="24"/>
          <w:lang w:val="es-ES_tradnl" w:eastAsia="es-ES_tradnl"/>
        </w:rPr>
        <w:t>estas instituciones de educación superior pública no tendrán que implementar documentos tipo únicamente para la contratación relacionada con el giro ordinario</w:t>
      </w:r>
      <w:r w:rsidRPr="00C24209">
        <w:rPr>
          <w:rFonts w:ascii="Verdana" w:eastAsia="Calibri" w:hAnsi="Verdana" w:cs="Arial"/>
          <w:bCs/>
          <w:i/>
          <w:iCs/>
          <w:color w:val="000000" w:themeColor="text1"/>
          <w:szCs w:val="24"/>
          <w:lang w:val="es-ES_tradnl" w:eastAsia="es-ES_tradnl"/>
        </w:rPr>
        <w:t xml:space="preserve"> </w:t>
      </w:r>
      <w:r w:rsidRPr="00C24209">
        <w:rPr>
          <w:rFonts w:ascii="Verdana" w:eastAsia="Calibri" w:hAnsi="Verdana" w:cs="Arial"/>
          <w:bCs/>
          <w:color w:val="000000" w:themeColor="text1"/>
          <w:szCs w:val="24"/>
          <w:lang w:val="es-ES_tradnl" w:eastAsia="es-ES_tradnl"/>
        </w:rPr>
        <w:t xml:space="preserve">de sus asuntos, sin perjuicio de que incluso en los casos en que aplique la excepción los manuales internos de contratación de estas entidades dispongan la obligación de tener en cuenta los documentos tipo o parte de ellos como una buena práctica contractual. </w:t>
      </w:r>
    </w:p>
    <w:p w14:paraId="621BCB8E" w14:textId="77777777" w:rsidR="009270B3" w:rsidRPr="00C24209" w:rsidRDefault="009270B3" w:rsidP="009270B3">
      <w:pPr>
        <w:tabs>
          <w:tab w:val="left" w:pos="0"/>
        </w:tabs>
        <w:spacing w:before="120" w:after="120" w:line="276" w:lineRule="auto"/>
        <w:ind w:firstLine="709"/>
        <w:jc w:val="both"/>
        <w:rPr>
          <w:rFonts w:ascii="Verdana" w:eastAsia="Calibri" w:hAnsi="Verdana" w:cs="Arial"/>
          <w:bCs/>
          <w:color w:val="000000" w:themeColor="text1"/>
          <w:szCs w:val="24"/>
          <w:lang w:val="es-ES_tradnl" w:eastAsia="es-ES_tradnl"/>
        </w:rPr>
      </w:pPr>
      <w:r w:rsidRPr="00C24209">
        <w:rPr>
          <w:rFonts w:ascii="Verdana" w:eastAsia="Calibri" w:hAnsi="Verdana" w:cs="Arial"/>
          <w:bCs/>
          <w:color w:val="000000" w:themeColor="text1"/>
          <w:szCs w:val="24"/>
          <w:lang w:val="es-ES_tradnl" w:eastAsia="es-ES_tradnl"/>
        </w:rPr>
        <w:t xml:space="preserve">En conclusión, a juicio de esta Agencia lo dispuesto en el parágrafo del artículo 56 de la Ley 2195 de 2022, es una manifestación de la voluntad del Legislador de relevar a las </w:t>
      </w:r>
      <w:r w:rsidRPr="00C24209">
        <w:rPr>
          <w:rFonts w:ascii="Verdana" w:eastAsia="Calibri" w:hAnsi="Verdana" w:cs="Arial"/>
          <w:bCs/>
          <w:color w:val="000000" w:themeColor="text1"/>
          <w:lang w:val="es-ES_tradnl" w:eastAsia="es-ES_tradnl"/>
        </w:rPr>
        <w:t xml:space="preserve">instituciones de educación superior públicas que cuentan con un régimen especial, y las demás entidades allí mencionadas, de la implementación de documentos tipo y de la aplicación del EGCAP, únicamente en lo que tiene que ver con su giro ordinario. Esto significa que tales entidades, </w:t>
      </w:r>
      <w:r w:rsidRPr="00C24209">
        <w:rPr>
          <w:rFonts w:ascii="Verdana" w:eastAsia="Calibri" w:hAnsi="Verdana" w:cs="Arial"/>
          <w:bCs/>
          <w:color w:val="000000" w:themeColor="text1"/>
          <w:szCs w:val="24"/>
          <w:lang w:val="es-ES_tradnl" w:eastAsia="es-ES_tradnl"/>
        </w:rPr>
        <w:t>cuando en desarrollo de un contrato o un convenio con una entidad sometida al EGCAP, requieran contratar un objeto cobijado por algún documento tipo, que no esté comprendido dentro de su giro ordinario</w:t>
      </w:r>
      <w:r w:rsidRPr="00C24209">
        <w:rPr>
          <w:rFonts w:ascii="Verdana" w:eastAsia="Calibri" w:hAnsi="Verdana" w:cs="Arial"/>
          <w:bCs/>
          <w:i/>
          <w:iCs/>
          <w:color w:val="000000" w:themeColor="text1"/>
          <w:szCs w:val="24"/>
          <w:lang w:val="es-ES_tradnl" w:eastAsia="es-ES_tradnl"/>
        </w:rPr>
        <w:t>,</w:t>
      </w:r>
      <w:r w:rsidRPr="00C24209">
        <w:rPr>
          <w:rFonts w:ascii="Verdana" w:eastAsia="Calibri" w:hAnsi="Verdana" w:cs="Arial"/>
          <w:bCs/>
          <w:color w:val="000000" w:themeColor="text1"/>
          <w:szCs w:val="24"/>
          <w:lang w:val="es-ES_tradnl" w:eastAsia="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5F5CEF8F" w14:textId="77777777" w:rsidR="009270B3" w:rsidRPr="00C24209" w:rsidRDefault="009270B3" w:rsidP="009270B3">
      <w:pPr>
        <w:tabs>
          <w:tab w:val="left" w:pos="0"/>
        </w:tabs>
        <w:spacing w:after="120" w:line="276" w:lineRule="auto"/>
        <w:ind w:firstLine="709"/>
        <w:jc w:val="both"/>
        <w:rPr>
          <w:rFonts w:ascii="Verdana" w:eastAsia="Times New Roman" w:hAnsi="Verdana" w:cs="Arial"/>
          <w:color w:val="000000" w:themeColor="text1"/>
          <w:lang w:eastAsia="x-none"/>
        </w:rPr>
      </w:pPr>
      <w:r w:rsidRPr="00C24209">
        <w:rPr>
          <w:rFonts w:ascii="Verdana" w:eastAsia="Calibri" w:hAnsi="Verdana" w:cs="Arial"/>
          <w:bCs/>
          <w:color w:val="000000" w:themeColor="text1"/>
          <w:lang w:eastAsia="es-ES_tradnl"/>
        </w:rPr>
        <w:t xml:space="preserve">Concretamente, para efectos de su solicitud, le indicamos que, para efectos de responder su consulta es pertinente indicar que el parágrafo del artículo 56 de la Ley 2195 de 2022 se refiere de forma genérica a las instituciones de educación superior públicas. Por tanto, como se indicó en el desarrollo de este concepto, para su aplicación lo importante es determinar que la entidad cuente con la naturaleza de institución de educación superior pública </w:t>
      </w:r>
      <w:r w:rsidRPr="00C24209">
        <w:rPr>
          <w:rFonts w:ascii="Verdana" w:eastAsia="Calibri" w:hAnsi="Verdana" w:cs="Arial"/>
          <w:bCs/>
          <w:color w:val="000000" w:themeColor="text1"/>
          <w:lang w:eastAsia="es-ES_tradnl"/>
        </w:rPr>
        <w:lastRenderedPageBreak/>
        <w:t>con régimen de contratación especial, esto es, exceptuado del EGCAP. De este modo, será cada entidad la</w:t>
      </w:r>
      <w:r w:rsidRPr="00C24209">
        <w:rPr>
          <w:rFonts w:ascii="Verdana" w:eastAsia="Calibri" w:hAnsi="Verdana" w:cs="Arial"/>
          <w:bCs/>
          <w:color w:val="000000" w:themeColor="text1"/>
          <w:lang w:eastAsia="es-CO"/>
        </w:rPr>
        <w:t xml:space="preserve"> que, en ejercicio de su competencia, debe determinar si</w:t>
      </w:r>
      <w:r w:rsidRPr="00C24209">
        <w:rPr>
          <w:rFonts w:ascii="Verdana" w:eastAsia="Calibri" w:hAnsi="Verdana" w:cs="Arial"/>
          <w:bCs/>
          <w:color w:val="000000" w:themeColor="text1"/>
          <w:lang w:eastAsia="es-ES_tradnl"/>
        </w:rPr>
        <w:t xml:space="preserve"> resulta procedente la aplicación del parágrafo del artículo 56 teniendo en cuenta la naturaleza jurídica de esta y lo que establezcan sus normas estatutarias –actos de creación y demás reglamentos–. </w:t>
      </w:r>
      <w:r w:rsidRPr="00C24209">
        <w:rPr>
          <w:rFonts w:ascii="Verdana" w:eastAsia="Calibri" w:hAnsi="Verdana" w:cs="Arial"/>
          <w:bCs/>
          <w:color w:val="000000" w:themeColor="text1"/>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C24209">
        <w:rPr>
          <w:rFonts w:ascii="Verdana" w:eastAsia="Times New Roman" w:hAnsi="Verdana" w:cs="Arial"/>
          <w:color w:val="000000" w:themeColor="text1"/>
          <w:lang w:eastAsia="x-none"/>
        </w:rPr>
        <w:t>.</w:t>
      </w:r>
    </w:p>
    <w:p w14:paraId="0B5F2D26" w14:textId="77777777" w:rsidR="009270B3" w:rsidRPr="00C24209" w:rsidRDefault="009270B3" w:rsidP="009270B3">
      <w:pPr>
        <w:spacing w:after="0" w:line="276" w:lineRule="auto"/>
        <w:jc w:val="both"/>
        <w:rPr>
          <w:rFonts w:ascii="Verdana" w:eastAsia="Calibri" w:hAnsi="Verdana" w:cs="Arial"/>
          <w:color w:val="000000" w:themeColor="text1"/>
          <w:lang w:eastAsia="es-MX"/>
        </w:rPr>
      </w:pPr>
      <w:r>
        <w:rPr>
          <w:rFonts w:ascii="Verdana" w:eastAsia="Calibri" w:hAnsi="Verdana" w:cs="Arial"/>
          <w:color w:val="000000" w:themeColor="text1"/>
          <w:lang w:eastAsia="es-MX"/>
        </w:rPr>
        <w:t>V)</w:t>
      </w:r>
      <w:r w:rsidRPr="00C24209">
        <w:rPr>
          <w:rFonts w:ascii="Verdana" w:eastAsia="Calibri" w:hAnsi="Verdana" w:cs="Arial"/>
          <w:color w:val="000000" w:themeColor="text1"/>
          <w:lang w:eastAsia="es-MX"/>
        </w:rPr>
        <w:t xml:space="preserve">. Particularmente, en relación con su solicitud debe indicarse que, como se explicó en el numeral </w:t>
      </w:r>
      <w:proofErr w:type="spellStart"/>
      <w:r w:rsidRPr="00C24209">
        <w:rPr>
          <w:rFonts w:ascii="Verdana" w:eastAsia="Calibri" w:hAnsi="Verdana" w:cs="Arial"/>
          <w:color w:val="000000" w:themeColor="text1"/>
          <w:lang w:eastAsia="es-MX"/>
        </w:rPr>
        <w:t>ii</w:t>
      </w:r>
      <w:proofErr w:type="spellEnd"/>
      <w:r w:rsidRPr="00C24209">
        <w:rPr>
          <w:rFonts w:ascii="Verdana" w:eastAsia="Calibri" w:hAnsi="Verdana" w:cs="Arial"/>
          <w:color w:val="000000" w:themeColor="text1"/>
          <w:lang w:eastAsia="es-MX"/>
        </w:rPr>
        <w:t>. de las consideraciones de este concepto, la obligación de aplicar los documentos tipo tiene su fuente en el parágrafo 7 del artículo 2 de la Ley 1150 de 2007, que se reitera, señala lo siguiente:</w:t>
      </w:r>
    </w:p>
    <w:p w14:paraId="5D53C95E" w14:textId="77777777" w:rsidR="009270B3" w:rsidRPr="00C24209" w:rsidRDefault="009270B3" w:rsidP="009270B3">
      <w:pPr>
        <w:spacing w:after="0" w:line="276" w:lineRule="auto"/>
        <w:jc w:val="both"/>
        <w:rPr>
          <w:rFonts w:ascii="Verdana" w:eastAsia="Calibri" w:hAnsi="Verdana" w:cs="Arial"/>
          <w:color w:val="000000" w:themeColor="text1"/>
          <w:lang w:eastAsia="es-MX"/>
        </w:rPr>
      </w:pPr>
    </w:p>
    <w:p w14:paraId="72610EAF"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r w:rsidRPr="00C24209">
        <w:rPr>
          <w:rFonts w:ascii="Verdana" w:eastAsia="Calibri" w:hAnsi="Verdana" w:cs="Arial"/>
          <w:color w:val="000000" w:themeColor="text1"/>
          <w:sz w:val="21"/>
          <w:szCs w:val="21"/>
          <w:vertAlign w:val="superscript"/>
        </w:rPr>
        <w:footnoteReference w:id="30"/>
      </w:r>
      <w:r w:rsidRPr="00C24209">
        <w:rPr>
          <w:rFonts w:ascii="Verdana" w:eastAsia="Calibri" w:hAnsi="Verdana" w:cs="Arial"/>
          <w:color w:val="000000" w:themeColor="text1"/>
          <w:sz w:val="21"/>
          <w:szCs w:val="21"/>
        </w:rPr>
        <w:t>.</w:t>
      </w:r>
    </w:p>
    <w:p w14:paraId="107D533A" w14:textId="77777777" w:rsidR="009270B3" w:rsidRPr="00C24209" w:rsidRDefault="009270B3" w:rsidP="009270B3">
      <w:pPr>
        <w:spacing w:after="0" w:line="276" w:lineRule="auto"/>
        <w:jc w:val="both"/>
        <w:rPr>
          <w:rFonts w:ascii="Verdana" w:eastAsia="Calibri" w:hAnsi="Verdana" w:cs="Arial"/>
          <w:color w:val="000000" w:themeColor="text1"/>
          <w:lang w:eastAsia="es-MX"/>
        </w:rPr>
      </w:pPr>
    </w:p>
    <w:p w14:paraId="32EE9118" w14:textId="77777777" w:rsidR="009270B3" w:rsidRPr="00C24209" w:rsidRDefault="009270B3" w:rsidP="009270B3">
      <w:pPr>
        <w:spacing w:after="12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ab/>
        <w:t>En este sentido, la fuerza obligatoria de los documentos tipo proviene de la Ley y no de un acto de la Agencia Nacional de Contratación Pública – Colombia Compra Eficiente</w:t>
      </w:r>
      <w:r w:rsidRPr="00C24209">
        <w:rPr>
          <w:rFonts w:ascii="Verdana" w:eastAsia="Calibri" w:hAnsi="Verdana" w:cs="Arial"/>
          <w:color w:val="000000" w:themeColor="text1"/>
          <w:vertAlign w:val="superscript"/>
          <w:lang w:eastAsia="es-MX"/>
        </w:rPr>
        <w:footnoteReference w:id="31"/>
      </w:r>
      <w:r w:rsidRPr="00C24209">
        <w:rPr>
          <w:rFonts w:ascii="Verdana" w:eastAsia="Calibri" w:hAnsi="Verdana" w:cs="Arial"/>
          <w:color w:val="000000" w:themeColor="text1"/>
          <w:lang w:eastAsia="es-MX"/>
        </w:rPr>
        <w:t xml:space="preserve">. Es así como, las resoluciones expedidas por esta Agencia que adoptan documentos tipo –como la Resolución 539 de 2025–, definen el ámbito material, es decir, qué actividades y qué modalidad de selección quedan cubiertas por estos, pero no definen los sujetos obligados considerando que la Agencia no tiene habilitación legal para hacerlo. </w:t>
      </w:r>
    </w:p>
    <w:p w14:paraId="054101F7" w14:textId="77777777" w:rsidR="009270B3" w:rsidRPr="00C24209" w:rsidRDefault="009270B3" w:rsidP="009270B3">
      <w:pPr>
        <w:spacing w:after="12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ab/>
        <w:t xml:space="preserve">En el numeral </w:t>
      </w:r>
      <w:proofErr w:type="spellStart"/>
      <w:r w:rsidRPr="00C24209">
        <w:rPr>
          <w:rFonts w:ascii="Verdana" w:eastAsia="Calibri" w:hAnsi="Verdana" w:cs="Arial"/>
          <w:color w:val="000000" w:themeColor="text1"/>
          <w:lang w:eastAsia="es-MX"/>
        </w:rPr>
        <w:t>iv</w:t>
      </w:r>
      <w:proofErr w:type="spellEnd"/>
      <w:r w:rsidRPr="00C24209">
        <w:rPr>
          <w:rFonts w:ascii="Verdana" w:eastAsia="Calibri" w:hAnsi="Verdana" w:cs="Arial"/>
          <w:color w:val="000000" w:themeColor="text1"/>
          <w:lang w:eastAsia="es-MX"/>
        </w:rPr>
        <w:t xml:space="preserve">. se señaló que, las instituciones estatales de educación superior que no tienen carácter de universidad se organizan como </w:t>
      </w:r>
      <w:r w:rsidRPr="00C24209">
        <w:rPr>
          <w:rFonts w:ascii="Verdana" w:eastAsia="Calibri" w:hAnsi="Verdana" w:cs="Arial"/>
          <w:color w:val="000000" w:themeColor="text1"/>
          <w:lang w:eastAsia="es-MX"/>
        </w:rPr>
        <w:lastRenderedPageBreak/>
        <w:t xml:space="preserve">establecimientos públicos y se rigen por el Estatuto General de Contratación de la Administración Pública – EGCAP, mientras que las universidades estatales, como entes universitarios autónomos, contratan con sujeción al derecho privado. De esto se sigue que, una institución universitaria organizada como establecimiento público está dentro del grupo al que se dirige la Ley 2022 de 2020, es decir, su obligación de aplicar los documentos tipo nace de esa ley, de las normas que fijan su naturaleza y de la resolución que delimita el objeto cubierto, y no del artículo 56 de la Ley 2195 de 2022. Por el contrario, las universidades estatales, no estaban obligadas a usar documentos tipo antes de esa Ley, porque la Ley 2022 de 2020 no se dirige a estas. </w:t>
      </w:r>
    </w:p>
    <w:p w14:paraId="29F515B5" w14:textId="77777777" w:rsidR="009270B3" w:rsidRPr="00C24209" w:rsidRDefault="009270B3" w:rsidP="009270B3">
      <w:pPr>
        <w:spacing w:after="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ab/>
        <w:t xml:space="preserve">Precisamente, el anterior fue el “vacío” que llenó el artículo 56 de la Ley 2195 de 2022, que como se indicó en el numeral </w:t>
      </w:r>
      <w:proofErr w:type="spellStart"/>
      <w:r w:rsidRPr="00C24209">
        <w:rPr>
          <w:rFonts w:ascii="Verdana" w:eastAsia="Calibri" w:hAnsi="Verdana" w:cs="Arial"/>
          <w:color w:val="000000" w:themeColor="text1"/>
          <w:lang w:eastAsia="es-MX"/>
        </w:rPr>
        <w:t>iii</w:t>
      </w:r>
      <w:proofErr w:type="spellEnd"/>
      <w:r w:rsidRPr="00C24209">
        <w:rPr>
          <w:rFonts w:ascii="Verdana" w:eastAsia="Calibri" w:hAnsi="Verdana" w:cs="Arial"/>
          <w:color w:val="000000" w:themeColor="text1"/>
          <w:lang w:eastAsia="es-MX"/>
        </w:rPr>
        <w:t>. de estas consideraciones, la norma extendió los documentos tipo y Estatuto General de Contratación de la Administración Pública – EGCAP a los negocios que las entidades sometidas a este celebran con sujetos de régimen especial o de derecho privado, y a los procesos que estas adelanten en desarrollo de esos negocios. La exposición de motivos del proyecto lo explicó así:</w:t>
      </w:r>
    </w:p>
    <w:p w14:paraId="3A4E8457" w14:textId="77777777" w:rsidR="009270B3" w:rsidRPr="00C24209" w:rsidRDefault="009270B3" w:rsidP="009270B3">
      <w:pPr>
        <w:spacing w:after="0" w:line="276" w:lineRule="auto"/>
        <w:jc w:val="both"/>
        <w:rPr>
          <w:rFonts w:ascii="Verdana" w:eastAsia="Calibri" w:hAnsi="Verdana" w:cs="Arial"/>
          <w:color w:val="000000" w:themeColor="text1"/>
          <w:lang w:eastAsia="es-MX"/>
        </w:rPr>
      </w:pPr>
    </w:p>
    <w:p w14:paraId="7137D14C"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xml:space="preserve">“Finalmente, se permite que en los contratos del Programa de Alimentación Escolar se puedan pactar cláusulas excepcionales a favor de la administración pública </w:t>
      </w:r>
      <w:r w:rsidRPr="00C24209">
        <w:rPr>
          <w:rFonts w:ascii="Verdana" w:eastAsia="Calibri" w:hAnsi="Verdana" w:cs="Arial"/>
          <w:i/>
          <w:iCs/>
          <w:color w:val="000000" w:themeColor="text1"/>
          <w:sz w:val="20"/>
          <w:szCs w:val="20"/>
        </w:rPr>
        <w:t>y la obligatoriedad de aplicar los documentos tipo, aun si son ejecutados con entidades de régimen especial</w:t>
      </w:r>
      <w:r w:rsidRPr="00C24209">
        <w:rPr>
          <w:rFonts w:ascii="Verdana" w:eastAsia="Calibri" w:hAnsi="Verdana" w:cs="Arial"/>
          <w:color w:val="000000" w:themeColor="text1"/>
          <w:sz w:val="20"/>
          <w:szCs w:val="20"/>
        </w:rPr>
        <w:t>”</w:t>
      </w:r>
      <w:r w:rsidRPr="00C24209">
        <w:rPr>
          <w:rFonts w:ascii="Verdana" w:eastAsia="Calibri" w:hAnsi="Verdana" w:cs="Arial"/>
          <w:color w:val="000000" w:themeColor="text1"/>
          <w:sz w:val="20"/>
          <w:szCs w:val="20"/>
          <w:vertAlign w:val="superscript"/>
        </w:rPr>
        <w:footnoteReference w:id="32"/>
      </w:r>
      <w:r w:rsidRPr="00C24209">
        <w:rPr>
          <w:rFonts w:ascii="Verdana" w:eastAsia="Calibri" w:hAnsi="Verdana" w:cs="Arial"/>
          <w:color w:val="000000" w:themeColor="text1"/>
          <w:sz w:val="20"/>
          <w:szCs w:val="20"/>
        </w:rPr>
        <w:t xml:space="preserve"> (énfasis fuera del texto original). </w:t>
      </w:r>
    </w:p>
    <w:p w14:paraId="05654CB2" w14:textId="77777777" w:rsidR="009270B3" w:rsidRPr="00C24209" w:rsidRDefault="009270B3" w:rsidP="009270B3">
      <w:pPr>
        <w:spacing w:after="0" w:line="276" w:lineRule="auto"/>
        <w:jc w:val="both"/>
        <w:rPr>
          <w:rFonts w:ascii="Verdana" w:eastAsia="Calibri" w:hAnsi="Verdana" w:cs="Arial"/>
          <w:color w:val="000000" w:themeColor="text1"/>
          <w:lang w:eastAsia="es-MX"/>
        </w:rPr>
      </w:pPr>
    </w:p>
    <w:p w14:paraId="1A3BF45A" w14:textId="77777777" w:rsidR="009270B3" w:rsidRPr="00C24209" w:rsidRDefault="009270B3" w:rsidP="009270B3">
      <w:pPr>
        <w:spacing w:after="12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ab/>
        <w:t xml:space="preserve">Precisamente, esa ha sido la posición reiterada de la Agencia Nacional de Contratación Pública – Colombia Compra Eficiente, en el sentido de indicar que, el mandato principal del artículo 56 de la Ley 2195 de 2022 se dirige a las entidades sometidas el EGCAP, con el propósito de que no eludan el estatuto ni los documentos tipo celebrando contratos o convenios con entidades exceptuadas o con particulares sometidos al derecho privado. Así, el parágrafo del artículo en mención, exceptuó a cuatro clases de entidades “del presente artículo”, únicamente en cuanto a la contratación de su giro ordinario, por lo que, la expresión debe leerse en su sentido literal, es decir que, opera frente a </w:t>
      </w:r>
      <w:r w:rsidRPr="00C24209">
        <w:rPr>
          <w:rFonts w:ascii="Verdana" w:eastAsia="Calibri" w:hAnsi="Verdana" w:cs="Arial"/>
          <w:color w:val="000000" w:themeColor="text1"/>
          <w:lang w:eastAsia="es-MX"/>
        </w:rPr>
        <w:lastRenderedPageBreak/>
        <w:t>los dos incisos del artículo 56 y no alcanza una obligación que proviene de otra Ley.</w:t>
      </w:r>
    </w:p>
    <w:p w14:paraId="0919D034" w14:textId="77777777" w:rsidR="009270B3" w:rsidRPr="00C24209" w:rsidRDefault="009270B3" w:rsidP="009270B3">
      <w:pPr>
        <w:spacing w:after="12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ab/>
        <w:t xml:space="preserve">Una excepción no puede ir más allá de la regla de la que se separa, de modo que, para una entidad que ya estaba obligada por la Ley 2022 de 2020, el parágrafo no tiene nada de qué eximirla. Adicionalmente, tampoco existe entre las dos disposiciones una derogación expresa ni una incompatibilidad que permita hablar de derogación tácita, porque cada una regula un supuesto diferente. </w:t>
      </w:r>
    </w:p>
    <w:p w14:paraId="3E551483" w14:textId="77777777" w:rsidR="009270B3" w:rsidRPr="00C24209" w:rsidRDefault="009270B3" w:rsidP="009270B3">
      <w:pPr>
        <w:spacing w:after="120" w:line="276" w:lineRule="auto"/>
        <w:ind w:firstLine="708"/>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 xml:space="preserve">La Agencia Nacional de Contratación Pública – Colombia Compra Eficiente considera que, </w:t>
      </w:r>
      <w:r w:rsidRPr="00C24209">
        <w:rPr>
          <w:rFonts w:ascii="Verdana" w:eastAsia="Calibri" w:hAnsi="Verdana" w:cs="Arial"/>
          <w:color w:val="000000" w:themeColor="text1"/>
        </w:rPr>
        <w:t>el siguiente ejemplo fundamenta el criterio expuesto en el párrafo precedente. Si un municipio celebra un convenio con una universidad estatal para construir una sede educativa, el artículo 56 obligaría a la universidad a usar documentos tipo y el Estatuto General de Contratación de la Administración Pública – EGCAP en los procesos derivados del convenio. Ahora bien, si la obra hace parte de su giro ordinario, el parágrafo la exceptúa. Por otra parte, si una institución universitaria organizada como establecimiento público licita una obra en su propia sede, el artículo 56 no interviene, considerando que, la obligación viene de la Ley 2022 de 2020, siempre que el objeto y la modalidad estén cubiertos por un documento tipo.</w:t>
      </w:r>
    </w:p>
    <w:p w14:paraId="6100B337"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La lectura contraria conduce a un resultado que no se puede sostener. Si el parágrafo se aplicara a una institución organizada como establecimiento público, la exceptuaría también del inciso segundo, que es el que ordena aplicar el Estatuto General de Contratación de la Administración Pública – EGCAP. Una entidad sometida a la Ley 80 de 1993 por el artículo 81 de la Ley 489 de 1998 quedaría, en su giro ordinario, fuera del EGCAP por obra de una norma que se expidió para extenderlo. La coherencia de la lista del parágrafo confirma la conclusión, esto es que, las otras tres clases de entidades que nombra –empresas sociales del Estado, sociedades de economía mixta y empresas </w:t>
      </w:r>
      <w:r w:rsidRPr="00C24209">
        <w:rPr>
          <w:rFonts w:ascii="Verdana" w:eastAsia="Calibri" w:hAnsi="Verdana" w:cs="Arial"/>
          <w:color w:val="000000" w:themeColor="text1"/>
        </w:rPr>
        <w:lastRenderedPageBreak/>
        <w:t>industriales y comerciales del Estado– tienen, por regla general, un régimen de contratación distinto del EGCAP</w:t>
      </w:r>
      <w:r w:rsidRPr="00C24209">
        <w:rPr>
          <w:rFonts w:ascii="Verdana" w:eastAsia="Calibri" w:hAnsi="Verdana" w:cs="Arial"/>
          <w:color w:val="000000" w:themeColor="text1"/>
          <w:vertAlign w:val="superscript"/>
        </w:rPr>
        <w:footnoteReference w:id="33"/>
      </w:r>
      <w:r w:rsidRPr="00C24209">
        <w:rPr>
          <w:rFonts w:ascii="Verdana" w:eastAsia="Calibri" w:hAnsi="Verdana" w:cs="Arial"/>
          <w:color w:val="000000" w:themeColor="text1"/>
          <w:vertAlign w:val="superscript"/>
        </w:rPr>
        <w:footnoteReference w:id="34"/>
      </w:r>
      <w:r w:rsidRPr="00C24209">
        <w:rPr>
          <w:rFonts w:ascii="Verdana" w:eastAsia="Calibri" w:hAnsi="Verdana" w:cs="Arial"/>
          <w:color w:val="000000" w:themeColor="text1"/>
        </w:rPr>
        <w:t>.</w:t>
      </w:r>
    </w:p>
    <w:p w14:paraId="72E825B6"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De lo anterior se sigue que el criterio del régimen especial de contratación no se añade al sujeto de la excepción, aunque el parágrafo mencione a las instituciones de educación superior públicas sin distinguir, esto resulta de su objeto. </w:t>
      </w:r>
    </w:p>
    <w:p w14:paraId="4EFBA410"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excepción recae sobre las obligaciones que crea el artículo 56 la Ley 2195 de 2022, y esas obligaciones solo tienen sentido frente a quien no estaba obligado antes. Ahora bien, ninguna norma enuncia ese criterio con esas palabras; sin embargo, esta es una conclusión interpretativa de la Agencia Nacional de Contratación Pública – Colombia Compra Eficiente, construida a partir del texto del artículo 56, de su relación con la Ley 2022 de 2020 y de las normas que fijan el régimen de cada clase de institución. Por la misma razón, la segunda oración del parágrafo, según la cual en los casos exceptuados los manuales de contratación fomentarán como buena práctica la aplicación de los pliegos tipo, no produce efecto propio para una institución sometida al Estatuto General de Contratación de la Administración Pública – EGCAP, porque esa institución ya tiene el deber legal de usarlos, y una recomendación no reemplaza un deber legal.</w:t>
      </w:r>
    </w:p>
    <w:p w14:paraId="26D1D7B3"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Así entendido, el criterio no deja sin efecto la expresión “Instituciones de Educación Superior públicas”. La excepción comprende a toda institución de educación superior pública que, por disposición legal, tenga un régimen de contratación distinto del EGCAP, sea o no universidad. Lo determinante no es la denominación sino que la entidad no esté sometida a la Ley 2022 de 2020 y que, por tanto, el artículo 56 sea la norma que le impondría los documentos tipo. La Agencia no lleva un registro del régimen de cada institución, de modo que cada </w:t>
      </w:r>
      <w:r w:rsidRPr="00C24209">
        <w:rPr>
          <w:rFonts w:ascii="Verdana" w:eastAsia="Calibri" w:hAnsi="Verdana" w:cs="Arial"/>
          <w:color w:val="000000" w:themeColor="text1"/>
        </w:rPr>
        <w:lastRenderedPageBreak/>
        <w:t>una debe establecerlo a partir de su acto de creación, sus estatutos y la ley que la rige.</w:t>
      </w:r>
    </w:p>
    <w:p w14:paraId="5B4CB85B" w14:textId="77777777" w:rsidR="009270B3" w:rsidRPr="00C24209" w:rsidRDefault="009270B3" w:rsidP="009270B3">
      <w:pPr>
        <w:spacing w:after="0" w:line="276" w:lineRule="auto"/>
        <w:ind w:firstLine="708"/>
        <w:jc w:val="both"/>
        <w:rPr>
          <w:rFonts w:ascii="Verdana" w:eastAsia="Calibri" w:hAnsi="Verdana" w:cs="Arial"/>
          <w:color w:val="000000" w:themeColor="text1"/>
        </w:rPr>
      </w:pPr>
      <w:r w:rsidRPr="00C24209">
        <w:rPr>
          <w:rFonts w:ascii="Verdana" w:eastAsia="Calibri" w:hAnsi="Verdana" w:cs="Arial"/>
          <w:color w:val="000000" w:themeColor="text1"/>
        </w:rPr>
        <w:t>Como su solicitud se apoya principalmente en los antecedentes legislativos del parágrafo de lo que hoy es el artículo 56 de la Ley 2195 de 2022, la Agencia considera pertinente pronunciarse sobre esos documentos. Así, le indicamos que, la redacción del parágrafo cambió a lo largo del trámite. En la ponencia para primer debate en la Cámara de Representantes decía:</w:t>
      </w:r>
    </w:p>
    <w:p w14:paraId="29495C18" w14:textId="77777777" w:rsidR="009270B3" w:rsidRPr="00C24209" w:rsidRDefault="009270B3" w:rsidP="009270B3">
      <w:pPr>
        <w:keepNext/>
        <w:spacing w:after="0" w:line="276" w:lineRule="auto"/>
        <w:ind w:firstLine="708"/>
        <w:jc w:val="both"/>
        <w:rPr>
          <w:rFonts w:ascii="Verdana" w:eastAsia="Calibri" w:hAnsi="Verdana" w:cs="Arial"/>
          <w:bCs/>
          <w:color w:val="000000" w:themeColor="text1"/>
        </w:rPr>
      </w:pPr>
    </w:p>
    <w:p w14:paraId="7E5EC0CF"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“Parágrafo. Se exceptúan del presente artículo las Universidades, las empresas sociales del estado, las sociedades de economía mixta y las empresas industriales y comerciales del Estado en cuanto a las actividades propias del servicio que prestan o de su objeto social. En estas entidades se fomentará como buena práctica la aplicación de los pliegos tipo”</w:t>
      </w:r>
      <w:r w:rsidRPr="00C24209">
        <w:rPr>
          <w:rFonts w:ascii="Verdana" w:eastAsia="Calibri" w:hAnsi="Verdana" w:cs="Arial"/>
          <w:color w:val="000000" w:themeColor="text1"/>
          <w:sz w:val="21"/>
          <w:szCs w:val="21"/>
          <w:vertAlign w:val="superscript"/>
        </w:rPr>
        <w:footnoteReference w:id="35"/>
      </w:r>
      <w:r w:rsidRPr="00C24209">
        <w:rPr>
          <w:rFonts w:ascii="Verdana" w:eastAsia="Calibri" w:hAnsi="Verdana" w:cs="Arial"/>
          <w:color w:val="000000" w:themeColor="text1"/>
          <w:sz w:val="21"/>
          <w:szCs w:val="21"/>
        </w:rPr>
        <w:t xml:space="preserve">. </w:t>
      </w:r>
    </w:p>
    <w:p w14:paraId="1417B8F7"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p>
    <w:p w14:paraId="6D1FA7A1" w14:textId="77777777" w:rsidR="009270B3" w:rsidRPr="00C24209" w:rsidRDefault="009270B3" w:rsidP="009270B3">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En la sesión plenaria del 6 de diciembre de 2021 se leyó una proposición avalada sobre ese artículo. El acta de esa sesión, publicada meses después en la Gaceta del Congreso 519 del 16 de mayo de 2022, la registra en los siguientes términos: </w:t>
      </w:r>
    </w:p>
    <w:p w14:paraId="726ECBC3" w14:textId="77777777" w:rsidR="009270B3" w:rsidRPr="00C24209" w:rsidRDefault="009270B3" w:rsidP="009270B3">
      <w:pPr>
        <w:spacing w:after="0" w:line="276" w:lineRule="auto"/>
        <w:ind w:firstLine="709"/>
        <w:jc w:val="both"/>
        <w:rPr>
          <w:rFonts w:ascii="Verdana" w:eastAsia="Calibri" w:hAnsi="Verdana" w:cs="Arial"/>
          <w:color w:val="000000" w:themeColor="text1"/>
        </w:rPr>
      </w:pPr>
    </w:p>
    <w:p w14:paraId="1F8BF6D8"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“Artículo 55. Aplicación de los documentos tipo a entidades de régimen especial, propone que en el parágrafo de este artículo, donde dice se exceptúan del presente artículo las, propone que se elimine “universidades” y quede las instituciones de educación superior públicas y continúa las empresas sociales del Estado, las sociedades de economía mixta y las empresas industriales y comerciales del Estado y se agregue y se agregue únicamente en cuanto a las contratación de su giro ordinario y se elimina actividades propias del servicio que prestan o de su objeto social y quedaría, de su giro ordinario, en estos casos en los manuales de contratación de estas entidades, se elimina también en estas entidades, se fomentará como buena práctica la aplicación de los pliegos, entonces quedaría la aplicación de los documentos tipo”</w:t>
      </w:r>
      <w:r w:rsidRPr="00C24209">
        <w:rPr>
          <w:rFonts w:ascii="Verdana" w:eastAsia="Calibri" w:hAnsi="Verdana" w:cs="Arial"/>
          <w:color w:val="000000" w:themeColor="text1"/>
          <w:sz w:val="21"/>
          <w:szCs w:val="21"/>
          <w:vertAlign w:val="superscript"/>
        </w:rPr>
        <w:footnoteReference w:id="36"/>
      </w:r>
      <w:r w:rsidRPr="00C24209">
        <w:rPr>
          <w:rFonts w:ascii="Verdana" w:eastAsia="Calibri" w:hAnsi="Verdana" w:cs="Arial"/>
          <w:color w:val="000000" w:themeColor="text1"/>
          <w:sz w:val="21"/>
          <w:szCs w:val="21"/>
        </w:rPr>
        <w:t>.</w:t>
      </w:r>
    </w:p>
    <w:p w14:paraId="578991D0"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p>
    <w:p w14:paraId="53ABAE21" w14:textId="77777777" w:rsidR="009270B3" w:rsidRPr="00C24209" w:rsidRDefault="009270B3" w:rsidP="009270B3">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proposición fue aprobada en esa misma sesión, y el texto definitivo aprobado por la Plenaria de la Cámara el 6 de diciembre de 2021, publicado en la Gaceta del Congreso 1828 del 10 de diciembre de 2021, quedó así:</w:t>
      </w:r>
    </w:p>
    <w:p w14:paraId="7C441275" w14:textId="77777777" w:rsidR="009270B3" w:rsidRPr="00C24209" w:rsidRDefault="009270B3" w:rsidP="009270B3">
      <w:pPr>
        <w:spacing w:after="0" w:line="276" w:lineRule="auto"/>
        <w:ind w:firstLine="709"/>
        <w:jc w:val="both"/>
        <w:rPr>
          <w:rFonts w:ascii="Verdana" w:eastAsia="Calibri" w:hAnsi="Verdana" w:cs="Arial"/>
          <w:color w:val="000000" w:themeColor="text1"/>
        </w:rPr>
      </w:pPr>
    </w:p>
    <w:p w14:paraId="5A8516FA"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“Parágrafo. Se exceptúan del presente artículo las Instituciones de Educación Superior púbicas, las empresas sociales del estado, las sociedades de economía mixta y las empresas industriales y comerciales del Estado, únicamente en cuanto a las contratación de su giro ordinario. En estos casos, en los manuales de contratación de estas entidades, se fomentará como buena práctica la aplicación de los pliegos tipo</w:t>
      </w:r>
      <w:r w:rsidRPr="00C24209">
        <w:rPr>
          <w:rFonts w:ascii="Verdana" w:eastAsia="Calibri" w:hAnsi="Verdana" w:cs="Arial"/>
          <w:color w:val="000000" w:themeColor="text1"/>
          <w:sz w:val="21"/>
          <w:szCs w:val="21"/>
          <w:vertAlign w:val="superscript"/>
        </w:rPr>
        <w:footnoteReference w:id="37"/>
      </w:r>
      <w:r w:rsidRPr="00C24209">
        <w:rPr>
          <w:rFonts w:ascii="Verdana" w:eastAsia="Calibri" w:hAnsi="Verdana" w:cs="Arial"/>
          <w:color w:val="000000" w:themeColor="text1"/>
          <w:sz w:val="21"/>
          <w:szCs w:val="21"/>
        </w:rPr>
        <w:t>”.</w:t>
      </w:r>
    </w:p>
    <w:p w14:paraId="3ECF540E"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p>
    <w:p w14:paraId="32D871C2"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Pocos días después, en el informe de conciliación publicado el 14 de diciembre de 2021, se acogió el texto de la Cámara de Representantes y se modificó el número del artículo, que pasó a ser el 56</w:t>
      </w:r>
      <w:r w:rsidRPr="00C24209">
        <w:rPr>
          <w:rFonts w:ascii="Verdana" w:eastAsia="Calibri" w:hAnsi="Verdana" w:cs="Arial"/>
          <w:color w:val="000000" w:themeColor="text1"/>
          <w:vertAlign w:val="superscript"/>
        </w:rPr>
        <w:footnoteReference w:id="38"/>
      </w:r>
      <w:r w:rsidRPr="00C24209">
        <w:rPr>
          <w:rFonts w:ascii="Verdana" w:eastAsia="Calibri" w:hAnsi="Verdana" w:cs="Arial"/>
          <w:color w:val="000000" w:themeColor="text1"/>
        </w:rPr>
        <w:t>.</w:t>
      </w:r>
    </w:p>
    <w:p w14:paraId="3490DCB2"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El cambio de redacción no autoriza la conclusión que propone la solicitud elevada a esta Agencia. El texto de la ponencia hablaba de “las Universidades” sin calificarlas como públicas, de modo que podía comprender a las universidades privadas, que son personas jurídicas de derecho privado y caben en el inciso primero. El texto aprobado redujo la excepción a las instituciones públicas, y en ese aspecto restringió la categoría en lugar de ampliarla. La expresión “instituciones de educación superior” es, además, la que usa la Ley 30 de 1992 para todas las clases de instituciones. Y la proposición se limitó a indicar las palabras que se eliminaban y las que se agregaban, sin una justificación que permita afirmar que su propósito fue liberar a las instituciones sometidas al Estatuto General de Contratación de la Administración Pública – EGCAP de la Ley 2022 de 2020, ley que no se mencionó en la discusión.</w:t>
      </w:r>
    </w:p>
    <w:p w14:paraId="346F5B80" w14:textId="77777777" w:rsidR="009270B3" w:rsidRPr="00C24209" w:rsidRDefault="009270B3" w:rsidP="009270B3">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La discusión que siguió a la lectura de la proposición confirma esa lectura. La pregunta que la abrió partía de entidades con régimen privado a las que, </w:t>
      </w:r>
      <w:r w:rsidRPr="00C24209">
        <w:rPr>
          <w:rFonts w:ascii="Verdana" w:eastAsia="Calibri" w:hAnsi="Verdana" w:cs="Arial"/>
          <w:color w:val="000000" w:themeColor="text1"/>
        </w:rPr>
        <w:lastRenderedPageBreak/>
        <w:t>según quien intervino, el proyecto les imponía obligaciones que antes no tenían. Al respecto se señaló:</w:t>
      </w:r>
    </w:p>
    <w:p w14:paraId="2F16183D" w14:textId="77777777" w:rsidR="009270B3" w:rsidRPr="00C24209" w:rsidRDefault="009270B3" w:rsidP="009270B3">
      <w:pPr>
        <w:spacing w:after="0" w:line="276" w:lineRule="auto"/>
        <w:ind w:firstLine="709"/>
        <w:jc w:val="both"/>
        <w:rPr>
          <w:rFonts w:ascii="Verdana" w:eastAsia="Calibri" w:hAnsi="Verdana" w:cs="Arial"/>
          <w:color w:val="000000" w:themeColor="text1"/>
        </w:rPr>
      </w:pPr>
    </w:p>
    <w:p w14:paraId="7DACB4B9"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“Gracias Presidenta, es para que el doctor (…), nos clarifique lo del artículo 53 y 55, sobre el cual hice la presentación al inicio cuando estábamos en el informe de ponencia, toda vez que en Colombia hay unas empresas del nivel de central, unas entidades del nivel descentralizado por servicios, allá tenemos pues las industriales y comerciales del Estado, las sociedades de economía mixta, que tienen un régimen privado, aquí con esta norma, se les está obligando a que publiquen en el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y también en principio en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II y también en principio se habla de los pliegos tipo, cuando ella no tenían la obligación, pero a lo último hay una excepción y en esa excepción incluyen las industriales y comerciales del Estado, las de economía mixta, las empresas sociales del Estado y las Universidades, resulta que la Ley 489 en su artículo 38, consagraba también otras entidades, como por ejemplo, las empresas oficiales de servicios públicos domiciliarios y los institutos científicos y tecnológicos</w:t>
      </w:r>
      <w:r w:rsidRPr="00C24209">
        <w:rPr>
          <w:rFonts w:ascii="Verdana" w:eastAsia="Calibri" w:hAnsi="Verdana" w:cs="Arial"/>
          <w:color w:val="000000" w:themeColor="text1"/>
          <w:sz w:val="21"/>
          <w:szCs w:val="21"/>
          <w:vertAlign w:val="superscript"/>
        </w:rPr>
        <w:footnoteReference w:id="39"/>
      </w:r>
      <w:r w:rsidRPr="00C24209">
        <w:rPr>
          <w:rFonts w:ascii="Verdana" w:eastAsia="Calibri" w:hAnsi="Verdana" w:cs="Arial"/>
          <w:color w:val="000000" w:themeColor="text1"/>
          <w:sz w:val="21"/>
          <w:szCs w:val="21"/>
        </w:rPr>
        <w:t>”.</w:t>
      </w:r>
    </w:p>
    <w:p w14:paraId="659E11DE"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p>
    <w:p w14:paraId="7C206ACE" w14:textId="77777777" w:rsidR="009270B3" w:rsidRPr="00C24209" w:rsidRDefault="009270B3" w:rsidP="009270B3">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El ponente respondió que el artículo 53 del proyecto se refería a las entidades exceptuadas del Estatuto General de Contratación y el artículo 55 tanto a esas entidades como a las sometidas a él. En este sentido se indicó:</w:t>
      </w:r>
    </w:p>
    <w:p w14:paraId="02AE5607" w14:textId="77777777" w:rsidR="009270B3" w:rsidRPr="00C24209" w:rsidRDefault="009270B3" w:rsidP="009270B3">
      <w:pPr>
        <w:spacing w:after="0" w:line="276" w:lineRule="auto"/>
        <w:ind w:firstLine="709"/>
        <w:jc w:val="both"/>
        <w:rPr>
          <w:rFonts w:ascii="Verdana" w:eastAsia="Calibri" w:hAnsi="Verdana" w:cs="Arial"/>
          <w:color w:val="000000" w:themeColor="text1"/>
        </w:rPr>
      </w:pPr>
    </w:p>
    <w:p w14:paraId="75270150"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“Gracias, si uno lee el artículo 53, el artículo 53 lo que hace es Modificar el artículo 13 de la Ley 1150 del año 2017 y ese artículo de la Ley 1157 habla de las entidades estatales, que están exceptuadas del Estatuto General de contratación y esas entidades estatales, estatales exceptuadas del Estatuto General de Contratación, son las que hoy basado en lo que precisamente establece el mismo artículo, son las que hoy se les solicita publicar unos documentos en el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es decir, reitero es a las entidades estatales, que estaban anteriormente exceptuadas al Estatuto General de Contratación y siguen exceptuadas, solo que ahora a ellas como consecuencia del de proceso de transparencia, de seguimiento, de llegar al beneficiario último, etcétera, etcétera, incluyendo el conocimiento de su actividad contractual, se le solicita vincularse al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II o a la plataforma transaccional, que haga sus veces, con su parte el artículo 55 refiriéndose a esa misma entidades estatales, pero también a las </w:t>
      </w:r>
      <w:r w:rsidRPr="00C24209">
        <w:rPr>
          <w:rFonts w:ascii="Verdana" w:eastAsia="Calibri" w:hAnsi="Verdana" w:cs="Arial"/>
          <w:color w:val="000000" w:themeColor="text1"/>
          <w:sz w:val="21"/>
          <w:szCs w:val="21"/>
        </w:rPr>
        <w:lastRenderedPageBreak/>
        <w:t>sometidas al estatuto general de contratación, también se le solicita que ajusten sus procedimientos, esa es, una las que no las que estaban exceptuadas y las del 55 que no están exceptuadas”</w:t>
      </w:r>
      <w:r w:rsidRPr="00C24209">
        <w:rPr>
          <w:rFonts w:ascii="Verdana" w:eastAsia="Calibri" w:hAnsi="Verdana" w:cs="Arial"/>
          <w:color w:val="000000" w:themeColor="text1"/>
          <w:sz w:val="21"/>
          <w:szCs w:val="21"/>
          <w:vertAlign w:val="superscript"/>
        </w:rPr>
        <w:footnoteReference w:id="40"/>
      </w:r>
      <w:r w:rsidRPr="00C24209">
        <w:rPr>
          <w:rFonts w:ascii="Verdana" w:eastAsia="Calibri" w:hAnsi="Verdana" w:cs="Arial"/>
          <w:color w:val="000000" w:themeColor="text1"/>
          <w:sz w:val="21"/>
          <w:szCs w:val="21"/>
        </w:rPr>
        <w:t xml:space="preserve">. </w:t>
      </w:r>
    </w:p>
    <w:p w14:paraId="746A51CC"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p>
    <w:p w14:paraId="2DD0F9EB" w14:textId="77777777" w:rsidR="009270B3" w:rsidRPr="00C24209" w:rsidRDefault="009270B3" w:rsidP="009270B3">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El mismo representante insistió en su pregunta, y en esa intervención hizo dos afirmaciones que la solicitud no menciona. Por una parte, entendió que la excepción comprendía a las “universidades que ya están cambiando la frase por instituciones universitarias”. Por otra, precisó que la preocupación se refería a entidades a las que, hasta entonces, no les aplicaban los pliegos tipo, indicando lo siguiente:</w:t>
      </w:r>
    </w:p>
    <w:p w14:paraId="45107B1F" w14:textId="77777777" w:rsidR="009270B3" w:rsidRPr="00C24209" w:rsidRDefault="009270B3" w:rsidP="009270B3">
      <w:pPr>
        <w:spacing w:after="0" w:line="276" w:lineRule="auto"/>
        <w:ind w:firstLine="709"/>
        <w:jc w:val="both"/>
        <w:rPr>
          <w:rFonts w:ascii="Verdana" w:eastAsia="Calibri" w:hAnsi="Verdana" w:cs="Arial"/>
          <w:color w:val="000000" w:themeColor="text1"/>
        </w:rPr>
      </w:pPr>
    </w:p>
    <w:p w14:paraId="24502A6E" w14:textId="77777777" w:rsidR="009270B3" w:rsidRPr="00C24209" w:rsidRDefault="009270B3" w:rsidP="009270B3">
      <w:pPr>
        <w:spacing w:after="12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“Sí, doctor (…), es que la norma que usted invoca, es la que permite los convenios interadministrativos y hace unas excepciones pues porque se estaban utilizando de una forma inadecuada, con respecto a las universidades, pero la que permite la excepción de contratación de régimen público, es la Ley 489 en su artículo 38. </w:t>
      </w:r>
    </w:p>
    <w:p w14:paraId="32789375" w14:textId="77777777" w:rsidR="009270B3" w:rsidRPr="00C24209" w:rsidRDefault="009270B3" w:rsidP="009270B3">
      <w:pPr>
        <w:spacing w:after="12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Entonces la pregunta concreta es ¿por qué se dejan por fuera las empresas oficiales de servicios públicos? ¿por qué se dejan por fuera los institutos científicos y tecnológicos? Esa, esa, esa sería la pregunta puntual y concreta y que usted me aclare, para que quede en las actas de, del Congreso, si estoy interpretando como se debe y como se debe es, para todas las entidades, para todas, absolutamente todas, está la obligación de publicar en el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y los pliegos tipo, se aplican en términos generales, excepto en industriales y comerciales del Estado, en economía mixta, en universidades que ya están cambiando la frase por instituciones universitarias y en empresas sociales del Estado, según la proposición que presenta el doctor (…), que también le pediría que me explicara, porque están cambiando como venía en la ponencia inicial, se abra, se habla según su objeto social. </w:t>
      </w:r>
    </w:p>
    <w:p w14:paraId="56BDACA5"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En la proposición se habla solo de giro ordinario, entonces tenemos que dejar claro, ¿qué es giro ordinario? y ¿qué es objeto social? porque es que cuando hablamos de objeto social, yo entiendo como ese giro ordinario que pueden desarrollar todas las entidades, ¿por qué hago esta pregunta? y ¿por qué quiero dejar claridad? porque con ello habría ha lugar a procesos penales, en contra de funcionarios públicos que malinterpreten la norma, porque no da la claridad suficiente, reitero porque hoy, a esas entidades hablando de industriales y comerciales del Estado, hablando de economía mixta, hablando de las promotoras, </w:t>
      </w:r>
      <w:r w:rsidRPr="00C24209">
        <w:rPr>
          <w:rFonts w:ascii="Verdana" w:eastAsia="Calibri" w:hAnsi="Verdana" w:cs="Arial"/>
          <w:color w:val="000000" w:themeColor="text1"/>
          <w:sz w:val="21"/>
          <w:szCs w:val="21"/>
        </w:rPr>
        <w:lastRenderedPageBreak/>
        <w:t xml:space="preserve">hablando de las ESES, a esas entidades no les aplica, ni los pliegos tipo, ni les aplica la publicación en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II, entonces por eso es que soy reiterativo, en las preguntas y también que nos, que nos contesten la proposición del doctor (…) . Gracias Presidente”</w:t>
      </w:r>
      <w:r w:rsidRPr="00C24209">
        <w:rPr>
          <w:rFonts w:ascii="Verdana" w:eastAsia="Calibri" w:hAnsi="Verdana" w:cs="Arial"/>
          <w:color w:val="000000" w:themeColor="text1"/>
          <w:sz w:val="21"/>
          <w:szCs w:val="21"/>
          <w:vertAlign w:val="superscript"/>
        </w:rPr>
        <w:footnoteReference w:id="41"/>
      </w:r>
      <w:r w:rsidRPr="00C24209">
        <w:rPr>
          <w:rFonts w:ascii="Verdana" w:eastAsia="Calibri" w:hAnsi="Verdana" w:cs="Arial"/>
          <w:color w:val="000000" w:themeColor="text1"/>
          <w:sz w:val="21"/>
          <w:szCs w:val="21"/>
        </w:rPr>
        <w:t>.</w:t>
      </w:r>
    </w:p>
    <w:p w14:paraId="4595182C" w14:textId="77777777" w:rsidR="009270B3" w:rsidRPr="00C24209" w:rsidRDefault="009270B3" w:rsidP="009270B3">
      <w:pPr>
        <w:spacing w:after="0" w:line="240" w:lineRule="auto"/>
        <w:ind w:right="709"/>
        <w:jc w:val="both"/>
        <w:rPr>
          <w:rFonts w:ascii="Verdana" w:eastAsia="Calibri" w:hAnsi="Verdana" w:cs="Arial"/>
          <w:color w:val="000000" w:themeColor="text1"/>
          <w:sz w:val="20"/>
          <w:szCs w:val="20"/>
        </w:rPr>
      </w:pPr>
    </w:p>
    <w:p w14:paraId="03CD2ED9" w14:textId="77777777" w:rsidR="009270B3" w:rsidRPr="00C24209" w:rsidRDefault="009270B3" w:rsidP="009270B3">
      <w:pPr>
        <w:spacing w:after="0" w:line="276" w:lineRule="auto"/>
        <w:ind w:firstLine="708"/>
        <w:jc w:val="both"/>
        <w:rPr>
          <w:rFonts w:ascii="Verdana" w:eastAsia="Calibri" w:hAnsi="Verdana" w:cs="Arial"/>
          <w:color w:val="000000" w:themeColor="text1"/>
        </w:rPr>
      </w:pPr>
      <w:r w:rsidRPr="00C24209">
        <w:rPr>
          <w:rFonts w:ascii="Verdana" w:eastAsia="Calibri" w:hAnsi="Verdana" w:cs="Arial"/>
          <w:color w:val="000000" w:themeColor="text1"/>
        </w:rPr>
        <w:t>A esa intervención respondió el ponente con la frase que cita la solicitud:</w:t>
      </w:r>
    </w:p>
    <w:p w14:paraId="718AECA8" w14:textId="77777777" w:rsidR="009270B3" w:rsidRPr="00C24209" w:rsidRDefault="009270B3" w:rsidP="009270B3">
      <w:pPr>
        <w:spacing w:after="0" w:line="276" w:lineRule="auto"/>
        <w:ind w:firstLine="709"/>
        <w:jc w:val="both"/>
        <w:rPr>
          <w:rFonts w:ascii="Verdana" w:eastAsia="Calibri" w:hAnsi="Verdana" w:cs="Arial"/>
          <w:color w:val="000000" w:themeColor="text1"/>
        </w:rPr>
      </w:pPr>
    </w:p>
    <w:p w14:paraId="79A5E137"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“Yo creo que el doctor (…), tal como él mismo lo explicó, exactamente es así, yo lo único que le agregaría a la intervención de la interpretación, que hace el doctor, el doctor (…), es la, el parágrafo del artículo 55, en donde dice que el caso de los pliegos tipo, para este tipo de entidades y las instituciones de educación superior, empresas de Colombia mixta y empresas industriales, no es una obligación, sino como lo dice el artículo se fomentará que se utilicen esos pliegos tipo”</w:t>
      </w:r>
      <w:r w:rsidRPr="00C24209">
        <w:rPr>
          <w:rFonts w:ascii="Verdana" w:eastAsia="Calibri" w:hAnsi="Verdana" w:cs="Arial"/>
          <w:color w:val="000000" w:themeColor="text1"/>
          <w:sz w:val="21"/>
          <w:szCs w:val="21"/>
          <w:vertAlign w:val="superscript"/>
        </w:rPr>
        <w:footnoteReference w:id="42"/>
      </w:r>
      <w:r w:rsidRPr="00C24209">
        <w:rPr>
          <w:rFonts w:ascii="Verdana" w:eastAsia="Calibri" w:hAnsi="Verdana" w:cs="Arial"/>
          <w:color w:val="000000" w:themeColor="text1"/>
          <w:sz w:val="21"/>
          <w:szCs w:val="21"/>
        </w:rPr>
        <w:t>.</w:t>
      </w:r>
    </w:p>
    <w:p w14:paraId="6BBDE24E"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p>
    <w:p w14:paraId="6E9FB6C1"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respuesta debe leerse junto con la pregunta a la que contesta. Las entidades de las que se hablaba eran aquellas a las que, según la propia intervención, “no les aplica, ni los pliegos tipo”, y “este tipo de entidades” eran las exceptuadas del EGCAP a las que el ponente se había referido antes. Es así como, la Agencia Nacional de Contratación Pública – Colombia Compra Eficiente considera que, la mención de las instituciones universitarias se hizo dentro de ese marco, y no hay en la discusión una referencia a instituciones que ya estuvieran obligadas por la Ley 2022 de 2020.</w:t>
      </w:r>
    </w:p>
    <w:p w14:paraId="00330407" w14:textId="77777777" w:rsidR="009270B3" w:rsidRPr="00C24209" w:rsidRDefault="009270B3" w:rsidP="009270B3">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El autor de la proposición intervino a continuación y explicó la excepción a partir del régimen especial de contratación de ciertas entidades públicas. Al respecto señaló:</w:t>
      </w:r>
    </w:p>
    <w:p w14:paraId="402E2209" w14:textId="77777777" w:rsidR="009270B3" w:rsidRPr="00C24209" w:rsidRDefault="009270B3" w:rsidP="009270B3">
      <w:pPr>
        <w:spacing w:after="0" w:line="276" w:lineRule="auto"/>
        <w:ind w:firstLine="709"/>
        <w:jc w:val="both"/>
        <w:rPr>
          <w:rFonts w:ascii="Verdana" w:eastAsia="Calibri" w:hAnsi="Verdana" w:cs="Arial"/>
          <w:color w:val="000000" w:themeColor="text1"/>
        </w:rPr>
      </w:pPr>
    </w:p>
    <w:p w14:paraId="44DC9487"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“Presidente muchas gracias, buenas noches para usted y para todos los compañeros, los ciudadanos en general, doctor (…) muy importante esa pregunta, o esas preguntas que usted plantea, varias cosas importantes, aquí hay que recordar que en Colombia existen entidades estatales, digamos entidades públicas mejor, que tienen régimen especial de contratación, una de ellas las empresas de Servicios </w:t>
      </w:r>
      <w:r w:rsidRPr="00C24209">
        <w:rPr>
          <w:rFonts w:ascii="Verdana" w:eastAsia="Calibri" w:hAnsi="Verdana" w:cs="Arial"/>
          <w:color w:val="000000" w:themeColor="text1"/>
          <w:sz w:val="21"/>
          <w:szCs w:val="21"/>
        </w:rPr>
        <w:lastRenderedPageBreak/>
        <w:t>Públicos, por expresa disposición de la Ley 142, cierto, una de ellas las entidades que hacen parte del sistema de ciencia y tecnología, eso significa que esas entidades, por expresa disposición legal, porque tienen su régimen especial, pues están excluidas del Régimen de Contratación Pública o Ley 80, no significa que no tengan que respetar los principios de la contratación pública, que es lo que estamos reiterando en el parágrafo”.</w:t>
      </w:r>
    </w:p>
    <w:p w14:paraId="5D3ADE6D"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p>
    <w:p w14:paraId="3673DE34"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Aquí el hecho de que una universidad pública o que una institución de educación superior pública o que una empresa industrial y comercial del Estado, que eventualmente pueda tener para entrar como usted bien lo decía, no significa que no tengan, que no tengan la obligatoriedad, uno de respetar los principios de contratación pública y dos en el caso de ese parágrafo que mencionaba el doctor (…), obviamente una especie de recomendación, de buena práctica para implementar los documentos tipo, ese frente, frente a esa, esa primera inquietud”</w:t>
      </w:r>
      <w:r w:rsidRPr="00C24209">
        <w:rPr>
          <w:rFonts w:ascii="Verdana" w:eastAsia="Calibri" w:hAnsi="Verdana" w:cs="Arial"/>
          <w:color w:val="000000" w:themeColor="text1"/>
          <w:sz w:val="21"/>
          <w:szCs w:val="21"/>
          <w:vertAlign w:val="superscript"/>
        </w:rPr>
        <w:footnoteReference w:id="43"/>
      </w:r>
      <w:r w:rsidRPr="00C24209">
        <w:rPr>
          <w:rFonts w:ascii="Verdana" w:eastAsia="Calibri" w:hAnsi="Verdana" w:cs="Arial"/>
          <w:color w:val="000000" w:themeColor="text1"/>
          <w:sz w:val="21"/>
          <w:szCs w:val="21"/>
        </w:rPr>
        <w:t>.</w:t>
      </w:r>
    </w:p>
    <w:p w14:paraId="16204C3B"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p>
    <w:p w14:paraId="70193704" w14:textId="77777777" w:rsidR="009270B3" w:rsidRPr="00C24209" w:rsidRDefault="009270B3" w:rsidP="009270B3">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Ante la réplica sobre el alcance del inciso segundo, el ponente aclaró que el artículo no cambiaba el régimen de contratación de ninguna entidad:</w:t>
      </w:r>
    </w:p>
    <w:p w14:paraId="12608E84" w14:textId="77777777" w:rsidR="009270B3" w:rsidRPr="00C24209" w:rsidRDefault="009270B3" w:rsidP="009270B3">
      <w:pPr>
        <w:spacing w:after="0" w:line="276" w:lineRule="auto"/>
        <w:ind w:firstLine="709"/>
        <w:jc w:val="both"/>
        <w:rPr>
          <w:rFonts w:ascii="Verdana" w:eastAsia="Calibri" w:hAnsi="Verdana" w:cs="Arial"/>
          <w:color w:val="000000" w:themeColor="text1"/>
        </w:rPr>
      </w:pPr>
    </w:p>
    <w:p w14:paraId="1D480D63"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xml:space="preserve">“Doctor (…) la, el hecho de que se incluyan algunas actividades exceptuadas de régimen de contratación general, no significa que a partir de la fecha, esas entidades están sometidas a ese régimen de contratación, lo que está diciendo el artículo, es que esas entidades que estaban exceptuadas, deben cumplir con la obligación, exceptuadas tienen que cumplir con la obligación de publicar los pliegos en </w:t>
      </w:r>
      <w:proofErr w:type="spellStart"/>
      <w:r w:rsidRPr="00C24209">
        <w:rPr>
          <w:rFonts w:ascii="Verdana" w:eastAsia="Calibri" w:hAnsi="Verdana" w:cs="Arial"/>
          <w:color w:val="000000" w:themeColor="text1"/>
          <w:sz w:val="20"/>
          <w:szCs w:val="20"/>
        </w:rPr>
        <w:t>Secop</w:t>
      </w:r>
      <w:proofErr w:type="spellEnd"/>
      <w:r w:rsidRPr="00C24209">
        <w:rPr>
          <w:rFonts w:ascii="Verdana" w:eastAsia="Calibri" w:hAnsi="Verdana" w:cs="Arial"/>
          <w:color w:val="000000" w:themeColor="text1"/>
          <w:sz w:val="20"/>
          <w:szCs w:val="20"/>
        </w:rPr>
        <w:t>, es decir, no se está diciendo que se le cambia el régimen de contratación, es lo único que habría que agregar y yo sí creo que está bien utilizado, digamos la palabra giro ordinario, porque acuérdate que estamos hablando de un estatuto de anticorrupción o digamos de un proyecto que tiene muchos elementos de constituirse como un estatuto de anticorrupción y entonces lo que interesa para efecto de ese estatuto y en términos de transparencia es el giro ordinario. Gracias Presidenta”</w:t>
      </w:r>
      <w:r w:rsidRPr="00C24209">
        <w:rPr>
          <w:rFonts w:ascii="Verdana" w:eastAsia="Calibri" w:hAnsi="Verdana" w:cs="Arial"/>
          <w:color w:val="000000" w:themeColor="text1"/>
          <w:sz w:val="20"/>
          <w:szCs w:val="20"/>
          <w:vertAlign w:val="superscript"/>
        </w:rPr>
        <w:footnoteReference w:id="44"/>
      </w:r>
      <w:r w:rsidRPr="00C24209">
        <w:rPr>
          <w:rFonts w:ascii="Verdana" w:eastAsia="Calibri" w:hAnsi="Verdana" w:cs="Arial"/>
          <w:color w:val="000000" w:themeColor="text1"/>
          <w:sz w:val="20"/>
          <w:szCs w:val="20"/>
        </w:rPr>
        <w:t>.</w:t>
      </w:r>
    </w:p>
    <w:p w14:paraId="7036419D"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p>
    <w:p w14:paraId="6C801C25" w14:textId="77777777" w:rsidR="009270B3" w:rsidRPr="00C24209" w:rsidRDefault="009270B3" w:rsidP="009270B3">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Y el autor de la proposición cerró la discusión sobre ese punto así:</w:t>
      </w:r>
    </w:p>
    <w:p w14:paraId="09C497E1" w14:textId="77777777" w:rsidR="009270B3" w:rsidRPr="00C24209" w:rsidRDefault="009270B3" w:rsidP="009270B3">
      <w:pPr>
        <w:spacing w:after="0" w:line="276" w:lineRule="auto"/>
        <w:ind w:firstLine="709"/>
        <w:jc w:val="both"/>
        <w:rPr>
          <w:rFonts w:ascii="Verdana" w:eastAsia="Calibri" w:hAnsi="Verdana" w:cs="Arial"/>
          <w:color w:val="000000" w:themeColor="text1"/>
        </w:rPr>
      </w:pPr>
    </w:p>
    <w:p w14:paraId="56033D85"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lastRenderedPageBreak/>
        <w:t>“Muchas gracias, no muy rápido, doctor (…), yo entiendo su inquietud, pero usted no puede leer él, ese inciso no puede leer aisladamente ¿por qué? porque el inciso se está refiriendo a las entidades del régimen del estatuto de contratación pública, en ese sentido aquí no estamos modificando, digamos no estamos incluyendo nuevas entidades como tal, lo que estamos diciendo es reiterando el tema de la adopción, digamos, digamos del objeto del contrato, pero ese inciso a quién se está refiriendo, no a todas las entidades, sino a las del inciso anterior que son las entidades del régimen de contratación pública, en donde claramente esas dos entidades que usted menciona, tienen un régimen especial de contratación, porque así lo dispone su régimen y en esto no lo estamos modificando y eso es muy importante que esta Plenaria lo tenga en cuenta”</w:t>
      </w:r>
      <w:r w:rsidRPr="00C24209">
        <w:rPr>
          <w:rFonts w:ascii="Verdana" w:eastAsia="Calibri" w:hAnsi="Verdana" w:cs="Arial"/>
          <w:color w:val="000000" w:themeColor="text1"/>
          <w:sz w:val="21"/>
          <w:szCs w:val="21"/>
          <w:vertAlign w:val="superscript"/>
        </w:rPr>
        <w:footnoteReference w:id="45"/>
      </w:r>
      <w:r w:rsidRPr="00C24209">
        <w:rPr>
          <w:rFonts w:ascii="Verdana" w:eastAsia="Calibri" w:hAnsi="Verdana" w:cs="Arial"/>
          <w:color w:val="000000" w:themeColor="text1"/>
          <w:sz w:val="21"/>
          <w:szCs w:val="21"/>
        </w:rPr>
        <w:t>.</w:t>
      </w:r>
    </w:p>
    <w:p w14:paraId="555C0CA7"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p>
    <w:p w14:paraId="475E4DBE"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Ninguna de estas intervenciones afirma que las instituciones de educación superior sometidas a la Ley 80 de 1993 dejarían de estar obligadas por la Ley 2022 de 2020. Todas se refieren a entidades con régimen especial de contratación, y el autor de la proposición precisó que no se estaban incluyendo nuevas entidades. El debate, por tanto, no contradice la tesis expuesta por la Agencia Nacional de Contratación Pública – Colombia Compra Eficiente en el  Concepto C–1180 de 2026. Sin embargo, el criterio histórico sirve para aclarar una expresión oscura</w:t>
      </w:r>
      <w:r w:rsidRPr="00C24209">
        <w:rPr>
          <w:rFonts w:ascii="Verdana" w:eastAsia="Calibri" w:hAnsi="Verdana" w:cs="Arial"/>
          <w:color w:val="000000" w:themeColor="text1"/>
          <w:vertAlign w:val="superscript"/>
        </w:rPr>
        <w:footnoteReference w:id="46"/>
      </w:r>
      <w:r w:rsidRPr="00C24209">
        <w:rPr>
          <w:rFonts w:ascii="Verdana" w:eastAsia="Calibri" w:hAnsi="Verdana" w:cs="Arial"/>
          <w:color w:val="000000" w:themeColor="text1"/>
        </w:rPr>
        <w:t>, y las opiniones expresadas en la plenaria son un criterio auxiliar que no prevalece sobre el texto aprobado. Aquí ese texto dice que la excepción es “del presente artículo”, y nada en el trámite indica que el Congreso quisiera que el parágrafo modificara la Ley 2022 de 2020.</w:t>
      </w:r>
    </w:p>
    <w:p w14:paraId="07D93B28" w14:textId="77777777" w:rsidR="009270B3" w:rsidRPr="00C24209" w:rsidRDefault="009270B3" w:rsidP="009270B3">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La solicitud invoca también la autonomía de las instituciones universitarias, en este sentido, esta Agencia considera importante indicarle que,  el artículo 29 de la Ley 30 de 1992 les reconoce autonomía según su campo de acción y en los términos de esa ley. Al respecto, la Corte Constitucional ha explicado que las instituciones de educación superior públicas no universitarias son titulares de la autonomía universitaria en el ámbito académico, pero no </w:t>
      </w:r>
      <w:r w:rsidRPr="00C24209">
        <w:rPr>
          <w:rFonts w:ascii="Verdana" w:eastAsia="Calibri" w:hAnsi="Verdana" w:cs="Arial"/>
          <w:color w:val="000000" w:themeColor="text1"/>
        </w:rPr>
        <w:lastRenderedPageBreak/>
        <w:t>tienen la autonomía presupuestal propia de las universidades públicas, al respecto la Corte indicó:</w:t>
      </w:r>
    </w:p>
    <w:p w14:paraId="33BF2BCC" w14:textId="77777777" w:rsidR="009270B3" w:rsidRPr="00C24209" w:rsidRDefault="009270B3" w:rsidP="009270B3">
      <w:pPr>
        <w:spacing w:after="0" w:line="276" w:lineRule="auto"/>
        <w:ind w:firstLine="709"/>
        <w:jc w:val="both"/>
        <w:rPr>
          <w:rFonts w:ascii="Verdana" w:eastAsia="Calibri" w:hAnsi="Verdana" w:cs="Arial"/>
          <w:color w:val="000000" w:themeColor="text1"/>
        </w:rPr>
      </w:pPr>
    </w:p>
    <w:p w14:paraId="480008C6" w14:textId="77777777" w:rsidR="009270B3" w:rsidRPr="00C24209" w:rsidRDefault="009270B3" w:rsidP="009270B3">
      <w:pPr>
        <w:spacing w:after="0" w:line="240" w:lineRule="auto"/>
        <w:ind w:left="709" w:right="709"/>
        <w:jc w:val="both"/>
        <w:rPr>
          <w:rFonts w:ascii="Verdana" w:eastAsia="Calibri" w:hAnsi="Verdana" w:cs="Arial"/>
          <w:color w:val="000000" w:themeColor="text1"/>
        </w:rPr>
      </w:pPr>
      <w:r w:rsidRPr="00C24209">
        <w:rPr>
          <w:rFonts w:ascii="Verdana" w:hAnsi="Verdana"/>
          <w:color w:val="000000" w:themeColor="text1"/>
          <w:sz w:val="21"/>
          <w:szCs w:val="21"/>
          <w:shd w:val="clear" w:color="auto" w:fill="FFFFFF"/>
        </w:rPr>
        <w:t>“104. El parágrafo 1 de este mismo artículo aclara que las instituciones estatales de educación superior que no tengan el carácter de universidad, es decir, las instituciones técnicas profesionales, las instituciones universitarias o escuelas tecnológicas y las instituciones tecnológicas, deberán organizarse como establecimientos públicos del orden nacional, departamental, distrital o municipal. Las instituciones públicas de educación superior que no son universidades son titulares de la garantía de la autonomía universitaria en el ámbito académico, en concordancia con lo prescrito en el artículo 29 de la Ley 30 de 1992. No obstante, debido a su naturaleza jurídica, no se encuentran autorizadas a «establecer» sus recursos. Esta característica solo se predica de las universidades oficiales y responde a su condición de órganos autónomos</w:t>
      </w:r>
      <w:r w:rsidRPr="00C24209">
        <w:rPr>
          <w:rFonts w:ascii="Verdana" w:eastAsia="Calibri" w:hAnsi="Verdana" w:cs="Arial"/>
          <w:color w:val="000000" w:themeColor="text1"/>
          <w:vertAlign w:val="superscript"/>
        </w:rPr>
        <w:footnoteReference w:id="47"/>
      </w:r>
      <w:r w:rsidRPr="00C24209">
        <w:rPr>
          <w:rFonts w:ascii="Verdana" w:hAnsi="Verdana"/>
          <w:color w:val="000000" w:themeColor="text1"/>
          <w:sz w:val="21"/>
          <w:szCs w:val="21"/>
          <w:shd w:val="clear" w:color="auto" w:fill="FFFFFF"/>
        </w:rPr>
        <w:t>”</w:t>
      </w:r>
      <w:r w:rsidRPr="00C24209">
        <w:rPr>
          <w:rFonts w:ascii="Verdana" w:eastAsia="Calibri" w:hAnsi="Verdana" w:cs="Arial"/>
          <w:color w:val="000000" w:themeColor="text1"/>
        </w:rPr>
        <w:t xml:space="preserve">. </w:t>
      </w:r>
    </w:p>
    <w:p w14:paraId="445D81B3" w14:textId="77777777" w:rsidR="009270B3" w:rsidRPr="00C24209" w:rsidRDefault="009270B3" w:rsidP="009270B3">
      <w:pPr>
        <w:spacing w:after="0" w:line="240" w:lineRule="auto"/>
        <w:ind w:left="709" w:right="709"/>
        <w:jc w:val="both"/>
        <w:rPr>
          <w:rFonts w:ascii="Verdana" w:eastAsia="Calibri" w:hAnsi="Verdana" w:cs="Arial"/>
          <w:color w:val="000000" w:themeColor="text1"/>
        </w:rPr>
      </w:pPr>
    </w:p>
    <w:p w14:paraId="52458DD6" w14:textId="77777777" w:rsidR="009270B3" w:rsidRPr="00C24209" w:rsidRDefault="009270B3" w:rsidP="009270B3">
      <w:pPr>
        <w:spacing w:after="0" w:line="276" w:lineRule="auto"/>
        <w:ind w:firstLine="708"/>
        <w:jc w:val="both"/>
        <w:rPr>
          <w:rFonts w:ascii="Verdana" w:eastAsia="Calibri" w:hAnsi="Verdana" w:cs="Arial"/>
          <w:color w:val="000000" w:themeColor="text1"/>
        </w:rPr>
      </w:pPr>
      <w:r w:rsidRPr="00C24209">
        <w:rPr>
          <w:rFonts w:ascii="Verdana" w:eastAsia="Calibri" w:hAnsi="Verdana" w:cs="Arial"/>
          <w:color w:val="000000" w:themeColor="text1"/>
        </w:rPr>
        <w:t>El régimen de contratación tampoco es materia de autonomía institucional, este lo fija el Congreso al expedir el estatuto general de contratación, además, la Corte también ha concluido que la obligatoriedad de los pliegos tipo no desconoce la autonomía de las entidades territoriales, al respecto indicó que:</w:t>
      </w:r>
    </w:p>
    <w:p w14:paraId="515F3477"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1"/>
          <w:szCs w:val="21"/>
        </w:rPr>
      </w:pPr>
    </w:p>
    <w:p w14:paraId="4C6C9E62" w14:textId="77777777" w:rsidR="009270B3" w:rsidRPr="00C24209" w:rsidRDefault="009270B3" w:rsidP="009270B3">
      <w:pPr>
        <w:spacing w:after="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 </w:t>
      </w:r>
      <w:proofErr w:type="spellStart"/>
      <w:r w:rsidRPr="00C24209">
        <w:rPr>
          <w:rFonts w:ascii="Verdana" w:hAnsi="Verdana"/>
          <w:color w:val="000000" w:themeColor="text1"/>
          <w:sz w:val="21"/>
          <w:szCs w:val="21"/>
        </w:rPr>
        <w:t>Encontro</w:t>
      </w:r>
      <w:proofErr w:type="spellEnd"/>
      <w:r w:rsidRPr="00C24209">
        <w:rPr>
          <w:rFonts w:ascii="Verdana" w:hAnsi="Verdana"/>
          <w:color w:val="000000" w:themeColor="text1"/>
          <w:sz w:val="21"/>
          <w:szCs w:val="21"/>
        </w:rPr>
        <w:t xml:space="preserve">́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 Finalmente, indicó que el respeto de la autonomía de las entidades </w:t>
      </w:r>
      <w:r w:rsidRPr="00C24209">
        <w:rPr>
          <w:rFonts w:ascii="Verdana" w:hAnsi="Verdana"/>
          <w:color w:val="000000" w:themeColor="text1"/>
          <w:sz w:val="21"/>
          <w:szCs w:val="21"/>
        </w:rPr>
        <w:lastRenderedPageBreak/>
        <w:t>territoriales, así como del principio constitucional de eficacia de la función administrativa, se garantiza a través de los mecanismos institucionales de control abstracto de validez de actos administrativos, ante la Jurisdicción de lo Contencioso Administrativo y concreto, mediante la excepción de inconstitucionalidad la que exige la expedición de un acto administrativo motivado e involucra la responsabilidad por su adopción”</w:t>
      </w:r>
      <w:r w:rsidRPr="00C24209">
        <w:rPr>
          <w:rFonts w:ascii="Verdana" w:eastAsia="Calibri" w:hAnsi="Verdana" w:cs="Arial"/>
          <w:color w:val="000000" w:themeColor="text1"/>
          <w:sz w:val="21"/>
          <w:szCs w:val="21"/>
          <w:vertAlign w:val="superscript"/>
        </w:rPr>
        <w:footnoteReference w:id="48"/>
      </w:r>
      <w:r w:rsidRPr="00C24209">
        <w:rPr>
          <w:rFonts w:ascii="Verdana" w:hAnsi="Verdana"/>
          <w:color w:val="000000" w:themeColor="text1"/>
          <w:sz w:val="21"/>
          <w:szCs w:val="21"/>
        </w:rPr>
        <w:t xml:space="preserve">. </w:t>
      </w:r>
    </w:p>
    <w:p w14:paraId="7E04F7AE" w14:textId="77777777" w:rsidR="009270B3" w:rsidRPr="00C24209" w:rsidRDefault="009270B3" w:rsidP="009270B3">
      <w:pPr>
        <w:spacing w:after="0" w:line="240" w:lineRule="auto"/>
        <w:ind w:firstLine="708"/>
        <w:jc w:val="both"/>
        <w:rPr>
          <w:rFonts w:ascii="Verdana" w:hAnsi="Verdana"/>
          <w:color w:val="000000" w:themeColor="text1"/>
          <w:sz w:val="21"/>
          <w:szCs w:val="21"/>
        </w:rPr>
      </w:pPr>
    </w:p>
    <w:p w14:paraId="1F9EC580"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En este sentido, la Corte Constitucional estableció que la circunstancia de que en los documentos tipo se estandaricen los requisitos habilitantes y los factores de escogencia de los contratistas no vulnera la autonomía territorial, puesto que estos criterios son elementos propios del proceso de selección y, por tanto, gozan de reserva de ley. Más aun, este principio de autonomía de las entidades territoriales se garantiza teniendo en cuenta que conservan la discrecionalidad administrativa para identificar sus necesidades, ejecutar su presupuesto y definir los elementos propios del contrato. Mediante el precedente judicial mencionado se dio lugar a la declaratoria de </w:t>
      </w:r>
      <w:proofErr w:type="spellStart"/>
      <w:r w:rsidRPr="00C24209">
        <w:rPr>
          <w:rFonts w:ascii="Verdana" w:eastAsia="Calibri" w:hAnsi="Verdana" w:cs="Arial"/>
          <w:color w:val="000000" w:themeColor="text1"/>
        </w:rPr>
        <w:t>exequibilidad</w:t>
      </w:r>
      <w:proofErr w:type="spellEnd"/>
      <w:r w:rsidRPr="00C24209">
        <w:rPr>
          <w:rFonts w:ascii="Verdana" w:eastAsia="Calibri" w:hAnsi="Verdana" w:cs="Arial"/>
          <w:color w:val="000000" w:themeColor="text1"/>
        </w:rPr>
        <w:t xml:space="preserve"> del artículo 4 de la Ley 1882 de 2018, no obstante, estas razones también son aplicables al artículo 1 de la Ley 2022 de 2020.</w:t>
      </w:r>
    </w:p>
    <w:p w14:paraId="290B7992"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En cuanto a la igualdad, el trato diferente entre una universidad estatal y una institución universitaria pública proviene de decisiones del Constituyente y del Legislador, no de la Agencia. El artículo 69 de la Constitución ordena a la ley establecer un régimen especial para las universidades del Estado. La Ley 30 de 1992 desarrolló ese mandato con dos formas de organización: i) entes universitarios autónomos con contratación de derecho privado –artículos 57 y 93–, y </w:t>
      </w:r>
      <w:proofErr w:type="spellStart"/>
      <w:r w:rsidRPr="00C24209">
        <w:rPr>
          <w:rFonts w:ascii="Verdana" w:eastAsia="Calibri" w:hAnsi="Verdana" w:cs="Arial"/>
          <w:color w:val="000000" w:themeColor="text1"/>
        </w:rPr>
        <w:t>ii</w:t>
      </w:r>
      <w:proofErr w:type="spellEnd"/>
      <w:r w:rsidRPr="00C24209">
        <w:rPr>
          <w:rFonts w:ascii="Verdana" w:eastAsia="Calibri" w:hAnsi="Verdana" w:cs="Arial"/>
          <w:color w:val="000000" w:themeColor="text1"/>
        </w:rPr>
        <w:t>) establecimientos públicos para las demás instituciones –parágrafo 1 del artículo 57–. Es así como, la Ley 489 de 1998 sometió a los establecimientos públicos a la Ley 80 de 1993, y la Ley 2022 de 2020 obliga a todas las entidades del EGCAP a usar documentos tipo. En este sentido, la interpretación de la Agencia Nacional de Contratación Pública – Colombia Compra Eficiente dada en el Concepto C-1180 de 2026 se limita a no extender el parágrafo del artículo 56 a un supuesto que no regula. Valorar si esa diferencia de régimen es compatible con el artículo 13 de la Constitución corresponde a la Corte Constitucional y no a la Agencia en sede consultiva.</w:t>
      </w:r>
    </w:p>
    <w:p w14:paraId="3843A71D" w14:textId="77777777" w:rsidR="009270B3" w:rsidRPr="00C24209" w:rsidRDefault="009270B3" w:rsidP="009270B3">
      <w:pPr>
        <w:spacing w:after="0" w:line="276" w:lineRule="auto"/>
        <w:jc w:val="both"/>
        <w:rPr>
          <w:rFonts w:ascii="Verdana" w:eastAsia="Calibri" w:hAnsi="Verdana" w:cs="Arial"/>
          <w:color w:val="000000" w:themeColor="text1"/>
        </w:rPr>
      </w:pPr>
      <w:r>
        <w:rPr>
          <w:rFonts w:ascii="Verdana" w:eastAsia="Calibri" w:hAnsi="Verdana" w:cs="Arial"/>
          <w:color w:val="000000" w:themeColor="text1"/>
          <w:lang w:eastAsia="es-ES"/>
        </w:rPr>
        <w:lastRenderedPageBreak/>
        <w:t xml:space="preserve">VI). </w:t>
      </w:r>
      <w:r w:rsidRPr="00C24209">
        <w:rPr>
          <w:rFonts w:ascii="Verdana" w:eastAsia="Calibri" w:hAnsi="Verdana" w:cs="Arial"/>
          <w:color w:val="000000" w:themeColor="text1"/>
        </w:rPr>
        <w:t>Queda por precisar la relación entre los pronunciamientos de la Agencia, que la solicitud plantea como un problema de seguridad jurídica. El Concepto C-1180 de 2026 no es obligatorio, conforme al artículo 28 del CPACA, mientras que la Resolución 539 de 2025 es un acto administrativo general que obliga mientras no sea anulado o suspendido</w:t>
      </w:r>
      <w:r w:rsidRPr="00C24209">
        <w:rPr>
          <w:rFonts w:ascii="Verdana" w:eastAsia="Calibri" w:hAnsi="Verdana" w:cs="Arial"/>
          <w:color w:val="000000" w:themeColor="text1"/>
          <w:vertAlign w:val="superscript"/>
        </w:rPr>
        <w:footnoteReference w:id="49"/>
      </w:r>
      <w:r w:rsidRPr="00C24209">
        <w:rPr>
          <w:rFonts w:ascii="Verdana" w:eastAsia="Calibri" w:hAnsi="Verdana" w:cs="Arial"/>
          <w:color w:val="000000" w:themeColor="text1"/>
        </w:rPr>
        <w:t>. Del Concepto C-246 de 2026 se mantiene lo dicho sobre el ámbito material de la versión 2, según el cual las obras en la infraestructura de las instituciones de educación superior pueden estar cubiertas por la Matriz 1, y su análisis sobre el giro ordinario. En ese concepto se afirmó:</w:t>
      </w:r>
    </w:p>
    <w:p w14:paraId="166ECB8B" w14:textId="77777777" w:rsidR="009270B3" w:rsidRPr="00C24209" w:rsidRDefault="009270B3" w:rsidP="009270B3">
      <w:pPr>
        <w:spacing w:after="0" w:line="276" w:lineRule="auto"/>
        <w:jc w:val="both"/>
        <w:rPr>
          <w:rFonts w:ascii="Verdana" w:eastAsia="Calibri" w:hAnsi="Verdana" w:cs="Arial"/>
          <w:color w:val="000000" w:themeColor="text1"/>
        </w:rPr>
      </w:pPr>
    </w:p>
    <w:p w14:paraId="33835C54"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“En otras palabras, ninguna entidad cuya naturaleza jurídica coincida con las mencionadas en el parágrafo del artículo 56, tendrá que someterse de manera obligatoria a los Documentos Tipo o el EGCAP para la contratación de obras o servicios asociadas a su giro ordinario, a menos que su manual de contratación establezca lo contrario”</w:t>
      </w:r>
      <w:r w:rsidRPr="00C24209">
        <w:rPr>
          <w:rFonts w:ascii="Verdana" w:eastAsia="Calibri" w:hAnsi="Verdana" w:cs="Arial"/>
          <w:color w:val="000000" w:themeColor="text1"/>
          <w:sz w:val="20"/>
          <w:szCs w:val="20"/>
          <w:vertAlign w:val="superscript"/>
        </w:rPr>
        <w:footnoteReference w:id="50"/>
      </w:r>
      <w:r w:rsidRPr="00C24209">
        <w:rPr>
          <w:rFonts w:ascii="Verdana" w:eastAsia="Calibri" w:hAnsi="Verdana" w:cs="Arial"/>
          <w:color w:val="000000" w:themeColor="text1"/>
          <w:sz w:val="20"/>
          <w:szCs w:val="20"/>
        </w:rPr>
        <w:t>.</w:t>
      </w:r>
    </w:p>
    <w:p w14:paraId="5179CB45" w14:textId="77777777" w:rsidR="009270B3" w:rsidRPr="00C24209" w:rsidRDefault="009270B3" w:rsidP="009270B3">
      <w:pPr>
        <w:spacing w:after="0" w:line="240" w:lineRule="auto"/>
        <w:ind w:left="709" w:right="709"/>
        <w:jc w:val="both"/>
        <w:rPr>
          <w:rFonts w:ascii="Verdana" w:eastAsia="Calibri" w:hAnsi="Verdana" w:cs="Arial"/>
          <w:color w:val="000000" w:themeColor="text1"/>
          <w:sz w:val="20"/>
          <w:szCs w:val="20"/>
        </w:rPr>
      </w:pPr>
    </w:p>
    <w:p w14:paraId="4877FE37"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Esa afirmación se entiende con la precisión del Concepto C–1180 de 2026, cuando se refiere a las entidades a las que el artículo 56 les impondría la obligación. Del Concepto C–488 de 2026 se mantiene que el parágrafo es una norma excepcional de interpretación restrictiva, y esa misma interpretación restrictiva impide extenderlo más allá del artículo 56. </w:t>
      </w:r>
    </w:p>
    <w:p w14:paraId="3E607041" w14:textId="77777777" w:rsidR="009270B3" w:rsidRPr="00C24209" w:rsidRDefault="009270B3" w:rsidP="009270B3">
      <w:pPr>
        <w:spacing w:after="120" w:line="276" w:lineRule="auto"/>
        <w:ind w:firstLine="709"/>
        <w:jc w:val="both"/>
        <w:rPr>
          <w:rFonts w:ascii="Verdana" w:eastAsia="Calibri" w:hAnsi="Verdana" w:cs="Arial"/>
          <w:b/>
          <w:color w:val="000000" w:themeColor="text1"/>
        </w:rPr>
      </w:pPr>
      <w:r w:rsidRPr="00C24209">
        <w:rPr>
          <w:rFonts w:ascii="Verdana" w:eastAsia="Calibri" w:hAnsi="Verdana" w:cs="Arial"/>
          <w:color w:val="000000" w:themeColor="text1"/>
        </w:rPr>
        <w:t>Los conceptos no son normas y no tienen una fecha de vigencia propia. La obligación de las entidades sometidas al Estatuto General de Contratación de la Administración Pública – EGCAP existe desde la Ley 2022 de 2020, y la cobertura material de las obras en instituciones de educación superior existe desde que la versión 2 de los documentos tipo empezó a regir, el 16 de febrero de 2026</w:t>
      </w:r>
      <w:r w:rsidRPr="00C24209">
        <w:rPr>
          <w:rFonts w:ascii="Verdana" w:eastAsia="Calibri" w:hAnsi="Verdana" w:cs="Arial"/>
          <w:color w:val="000000" w:themeColor="text1"/>
          <w:vertAlign w:val="superscript"/>
        </w:rPr>
        <w:footnoteReference w:id="51"/>
      </w:r>
      <w:r w:rsidRPr="00C24209">
        <w:rPr>
          <w:rFonts w:ascii="Verdana" w:eastAsia="Calibri" w:hAnsi="Verdana" w:cs="Arial"/>
          <w:color w:val="000000" w:themeColor="text1"/>
        </w:rPr>
        <w:t xml:space="preserve">. Por eso el cambio práctico frente a la respuesta que, según indica el </w:t>
      </w:r>
      <w:r w:rsidRPr="00C24209">
        <w:rPr>
          <w:rFonts w:ascii="Verdana" w:eastAsia="Calibri" w:hAnsi="Verdana" w:cs="Arial"/>
          <w:color w:val="000000" w:themeColor="text1"/>
        </w:rPr>
        <w:lastRenderedPageBreak/>
        <w:t>peticionario la Agencia dio al ITFIP el 6 de octubre de 2021 se explica por el ámbito material y no por el subjetivo, es decir que, la entidad ya estaba sometida a la Ley 2022 de 2020, y lo que varió fue la matriz. Para estructurar un proceso, la entidad debe verificar si el objeto está en la Matriz 1, si el documento tipo existe para la modalidad que corresponde y si la entidad está sometida al EGCAP.</w:t>
      </w:r>
    </w:p>
    <w:p w14:paraId="14BF3326" w14:textId="77777777" w:rsidR="009270B3" w:rsidRPr="00C24209" w:rsidRDefault="009270B3" w:rsidP="009270B3">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Es así como, examinados los antecedentes aportados, la Agencia ratifica la tesis expuesta en el Concepto C–1180 de 2026 por las razones expuestas. Rectifica únicamente el error de redacción del numeral </w:t>
      </w:r>
      <w:proofErr w:type="spellStart"/>
      <w:r w:rsidRPr="00C24209">
        <w:rPr>
          <w:rFonts w:ascii="Verdana" w:eastAsia="Calibri" w:hAnsi="Verdana" w:cs="Arial"/>
          <w:color w:val="000000" w:themeColor="text1"/>
        </w:rPr>
        <w:t>ii</w:t>
      </w:r>
      <w:proofErr w:type="spellEnd"/>
      <w:r w:rsidRPr="00C24209">
        <w:rPr>
          <w:rFonts w:ascii="Verdana" w:eastAsia="Calibri" w:hAnsi="Verdana" w:cs="Arial"/>
          <w:color w:val="000000" w:themeColor="text1"/>
        </w:rPr>
        <w:t>. de sus razones, señalado en la respuesta de este concepto, y precisa que el criterio del régimen especial es una conclusión interpretativa basada en el alcance del artículo 56 de la Ley 2195 de 2022 y no un requisito expreso del parágrafo. Con este análisis quedan atendidos los puntos de su solicitud.</w:t>
      </w:r>
    </w:p>
    <w:p w14:paraId="061A01DD" w14:textId="77777777" w:rsidR="009270B3" w:rsidRPr="00C24209" w:rsidRDefault="009270B3" w:rsidP="009270B3">
      <w:pPr>
        <w:spacing w:after="120" w:line="276" w:lineRule="auto"/>
        <w:jc w:val="both"/>
        <w:rPr>
          <w:rFonts w:ascii="Verdana" w:eastAsia="Arial" w:hAnsi="Verdana" w:cs="Arial"/>
          <w:color w:val="000000" w:themeColor="text1"/>
          <w:lang w:eastAsia="es-MX"/>
        </w:rPr>
      </w:pPr>
      <w:r>
        <w:rPr>
          <w:rFonts w:ascii="Verdana" w:eastAsia="Calibri" w:hAnsi="Verdana" w:cs="Arial"/>
          <w:color w:val="000000" w:themeColor="text1"/>
          <w:lang w:eastAsia="es-ES"/>
        </w:rPr>
        <w:t xml:space="preserve">VII). </w:t>
      </w:r>
      <w:r>
        <w:rPr>
          <w:rFonts w:ascii="Verdana" w:eastAsia="Calibri" w:hAnsi="Verdana" w:cs="Arial"/>
          <w:color w:val="000000" w:themeColor="text1"/>
          <w:lang w:eastAsia="es-MX"/>
        </w:rPr>
        <w:t xml:space="preserve">Esta </w:t>
      </w:r>
      <w:r w:rsidRPr="00C24209">
        <w:rPr>
          <w:rFonts w:ascii="Verdana" w:eastAsia="Calibri" w:hAnsi="Verdana" w:cs="Arial"/>
          <w:color w:val="000000" w:themeColor="text1"/>
          <w:lang w:eastAsia="es-MX"/>
        </w:rPr>
        <w:t>Agencia le informa que la inclusión de las edificaciones de las instituciones de educación superior en la versión 2 de los documentos tipo de licitación de obra pública de infraestructura social tiene soporte técnico y jurídico en los documentos que integran el trámite de la Resolución 539 de 2025. Esa inclusión es consecuencia de la delimitación técnica del sector educativo, que se hizo con base en el Reglamento NSR-10 y pasó por mesas de trabajo con las entidades del sector, consulta ciudadana y el trámite de abogacía de la competencia ante la Superintendencia de Industria y Comercio.</w:t>
      </w:r>
    </w:p>
    <w:p w14:paraId="2EC63295" w14:textId="77777777" w:rsidR="009270B3" w:rsidRPr="00C24209" w:rsidRDefault="009270B3" w:rsidP="009270B3">
      <w:pPr>
        <w:spacing w:after="120" w:line="276" w:lineRule="auto"/>
        <w:ind w:firstLine="708"/>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Lo anterior obedece a la forma en que se delimitan los documentos tipo. Su ámbito se define por el objeto de la obra y no por la naturaleza de la entidad que contrata. Quiénes están obligados a aplicarlos lo establece la ley, en concreto el artículo 1 de la Ley 2022 de 2020</w:t>
      </w:r>
      <w:r w:rsidRPr="00C24209">
        <w:rPr>
          <w:rFonts w:ascii="Verdana" w:eastAsia="Arial" w:hAnsi="Verdana" w:cs="Arial"/>
          <w:color w:val="000000" w:themeColor="text1"/>
          <w:vertAlign w:val="superscript"/>
          <w:lang w:eastAsia="es-MX"/>
        </w:rPr>
        <w:footnoteReference w:id="52"/>
      </w:r>
      <w:r w:rsidRPr="00C24209">
        <w:rPr>
          <w:rFonts w:ascii="Verdana" w:eastAsia="Arial" w:hAnsi="Verdana" w:cs="Arial"/>
          <w:color w:val="000000" w:themeColor="text1"/>
          <w:lang w:eastAsia="es-MX"/>
        </w:rPr>
        <w:t xml:space="preserve"> y, dentro de su campo, el artículo 56 de la Ley 2195 de 2022. La Resolución 539 de 2025 no podía ampliar ni reducir ese conjunto de sujetos, y no lo hizo. Su artículo 3 se remite a las entidades sometidas al Estatuto General de Contratación de la Administración Pública y a los patrimonios autónomos o personas naturales o jurídicas de </w:t>
      </w:r>
      <w:r w:rsidRPr="00C24209">
        <w:rPr>
          <w:rFonts w:ascii="Verdana" w:eastAsia="Arial" w:hAnsi="Verdana" w:cs="Arial"/>
          <w:color w:val="000000" w:themeColor="text1"/>
          <w:lang w:eastAsia="es-MX"/>
        </w:rPr>
        <w:lastRenderedPageBreak/>
        <w:t>derecho público o privado “que por mandato legal estén obligadas a su aplicación”</w:t>
      </w:r>
      <w:r w:rsidRPr="00C24209">
        <w:rPr>
          <w:rFonts w:ascii="Verdana" w:eastAsia="Arial" w:hAnsi="Verdana" w:cs="Arial"/>
          <w:color w:val="000000" w:themeColor="text1"/>
          <w:vertAlign w:val="superscript"/>
          <w:lang w:eastAsia="es-MX"/>
        </w:rPr>
        <w:footnoteReference w:id="53"/>
      </w:r>
      <w:r w:rsidRPr="00C24209">
        <w:rPr>
          <w:rFonts w:ascii="Verdana" w:eastAsia="Arial" w:hAnsi="Verdana" w:cs="Arial"/>
          <w:color w:val="000000" w:themeColor="text1"/>
          <w:lang w:eastAsia="es-MX"/>
        </w:rPr>
        <w:t xml:space="preserve">. </w:t>
      </w:r>
    </w:p>
    <w:p w14:paraId="048F59EC" w14:textId="77777777" w:rsidR="009270B3" w:rsidRPr="00C24209" w:rsidRDefault="009270B3" w:rsidP="009270B3">
      <w:pPr>
        <w:spacing w:after="120" w:line="276" w:lineRule="auto"/>
        <w:ind w:firstLine="708"/>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En cuanto al objeto, la Agencia delimitó el sector educativo con base en el Reglamento NSR-10. Su subgrupo de ocupación institucional de educación (I-3) incluye, a título indicativo, universidades, colegios, escuelas, centros de educación, academias y jardines infantiles</w:t>
      </w:r>
      <w:r w:rsidRPr="00C24209">
        <w:rPr>
          <w:rFonts w:ascii="Verdana" w:eastAsia="Arial" w:hAnsi="Verdana" w:cs="Arial"/>
          <w:color w:val="000000" w:themeColor="text1"/>
          <w:vertAlign w:val="superscript"/>
          <w:lang w:eastAsia="es-MX"/>
        </w:rPr>
        <w:footnoteReference w:id="54"/>
      </w:r>
      <w:r w:rsidRPr="00C24209">
        <w:rPr>
          <w:rFonts w:ascii="Verdana" w:eastAsia="Arial" w:hAnsi="Verdana" w:cs="Arial"/>
          <w:color w:val="000000" w:themeColor="text1"/>
          <w:lang w:eastAsia="es-MX"/>
        </w:rPr>
        <w:t>. Por esa razón, una edificación universitaria queda comprendida en la Matriz 1 – Experiencia del Sector Educativo cuando la contrata una entidad que la ley obliga a usar los documentos tipo</w:t>
      </w:r>
      <w:r w:rsidRPr="00C24209">
        <w:rPr>
          <w:rFonts w:ascii="Verdana" w:eastAsia="Arial" w:hAnsi="Verdana" w:cs="Arial"/>
          <w:color w:val="000000" w:themeColor="text1"/>
          <w:vertAlign w:val="superscript"/>
          <w:lang w:eastAsia="es-MX"/>
        </w:rPr>
        <w:footnoteReference w:id="55"/>
      </w:r>
      <w:r w:rsidRPr="00C24209">
        <w:rPr>
          <w:rFonts w:ascii="Verdana" w:eastAsia="Arial" w:hAnsi="Verdana" w:cs="Arial"/>
          <w:color w:val="000000" w:themeColor="text1"/>
          <w:lang w:eastAsia="es-MX"/>
        </w:rPr>
        <w:t>. Esta Agencia ya se había pronunciado en ese sentido en el Concepto C-246 de 2026</w:t>
      </w:r>
      <w:r w:rsidRPr="00C24209">
        <w:rPr>
          <w:rFonts w:ascii="Verdana" w:eastAsia="Arial" w:hAnsi="Verdana" w:cs="Arial"/>
          <w:color w:val="000000" w:themeColor="text1"/>
          <w:vertAlign w:val="superscript"/>
          <w:lang w:eastAsia="es-MX"/>
        </w:rPr>
        <w:footnoteReference w:id="56"/>
      </w:r>
      <w:r w:rsidRPr="00C24209">
        <w:rPr>
          <w:rFonts w:ascii="Verdana" w:eastAsia="Arial" w:hAnsi="Verdana" w:cs="Arial"/>
          <w:color w:val="000000" w:themeColor="text1"/>
          <w:lang w:eastAsia="es-MX"/>
        </w:rPr>
        <w:t>.</w:t>
      </w:r>
    </w:p>
    <w:p w14:paraId="0A795368" w14:textId="77777777" w:rsidR="009270B3" w:rsidRPr="00C24209" w:rsidRDefault="009270B3" w:rsidP="009270B3">
      <w:pPr>
        <w:spacing w:line="276" w:lineRule="auto"/>
        <w:ind w:firstLine="708"/>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 xml:space="preserve">La relación de estos documentos tipo con el artículo 56 de la Ley 2195 de 2022 se analizó en el numeral 10 de la memoria justificativa, al definir los sujetos </w:t>
      </w:r>
      <w:r w:rsidRPr="00C24209">
        <w:rPr>
          <w:rFonts w:ascii="Verdana" w:eastAsia="Arial" w:hAnsi="Verdana" w:cs="Arial"/>
          <w:color w:val="000000" w:themeColor="text1"/>
          <w:lang w:eastAsia="es-MX"/>
        </w:rPr>
        <w:lastRenderedPageBreak/>
        <w:t>a los que se dirigen</w:t>
      </w:r>
      <w:r w:rsidRPr="00C24209">
        <w:rPr>
          <w:rFonts w:ascii="Verdana" w:eastAsia="Arial" w:hAnsi="Verdana" w:cs="Arial"/>
          <w:color w:val="000000" w:themeColor="text1"/>
          <w:vertAlign w:val="superscript"/>
          <w:lang w:eastAsia="es-MX"/>
        </w:rPr>
        <w:footnoteReference w:id="57"/>
      </w:r>
      <w:r w:rsidRPr="00C24209">
        <w:rPr>
          <w:rFonts w:ascii="Verdana" w:eastAsia="Arial" w:hAnsi="Verdana" w:cs="Arial"/>
          <w:color w:val="000000" w:themeColor="text1"/>
          <w:lang w:eastAsia="es-MX"/>
        </w:rPr>
        <w:t>. El Ministerio de Educación Nacional participó en la mesa de trabajo del sector educación</w:t>
      </w:r>
      <w:r w:rsidRPr="00C24209">
        <w:rPr>
          <w:rFonts w:ascii="Verdana" w:eastAsia="Arial" w:hAnsi="Verdana" w:cs="Arial"/>
          <w:color w:val="000000" w:themeColor="text1"/>
          <w:vertAlign w:val="superscript"/>
          <w:lang w:eastAsia="es-MX"/>
        </w:rPr>
        <w:footnoteReference w:id="58"/>
      </w:r>
      <w:r w:rsidRPr="00C24209">
        <w:rPr>
          <w:rFonts w:ascii="Verdana" w:eastAsia="Arial" w:hAnsi="Verdana" w:cs="Arial"/>
          <w:color w:val="000000" w:themeColor="text1"/>
          <w:lang w:eastAsia="es-MX"/>
        </w:rPr>
        <w:t xml:space="preserve"> y presentó observaciones al proyecto</w:t>
      </w:r>
      <w:r w:rsidRPr="00C24209">
        <w:rPr>
          <w:rFonts w:ascii="Verdana" w:eastAsia="Arial" w:hAnsi="Verdana" w:cs="Arial"/>
          <w:color w:val="000000" w:themeColor="text1"/>
          <w:vertAlign w:val="superscript"/>
          <w:lang w:eastAsia="es-MX"/>
        </w:rPr>
        <w:footnoteReference w:id="59"/>
      </w:r>
      <w:r w:rsidRPr="00C24209">
        <w:rPr>
          <w:rFonts w:ascii="Verdana" w:eastAsia="Arial" w:hAnsi="Verdana" w:cs="Arial"/>
          <w:color w:val="000000" w:themeColor="text1"/>
          <w:lang w:eastAsia="es-MX"/>
        </w:rPr>
        <w:t>. No obstante, no emitió un concepto formal sobre las instituciones de educación superior, porque la determinación de los sujetos obligados corresponde a la ley y no a ese Ministerio ni a esta Agencia.</w:t>
      </w:r>
    </w:p>
    <w:p w14:paraId="6B8177BF" w14:textId="77777777" w:rsidR="009270B3" w:rsidRPr="00C24209" w:rsidRDefault="009270B3" w:rsidP="009270B3">
      <w:pPr>
        <w:spacing w:line="276" w:lineRule="auto"/>
        <w:ind w:firstLine="708"/>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Los soportes mencionados pueden consultarse en la sección de documentos tipo del portal de la Agencia (https://www.colombiacompra.gov.co/normativa-y-relatoria/documentos-tipo). Son los siguientes:</w:t>
      </w:r>
    </w:p>
    <w:p w14:paraId="60DBD8B7" w14:textId="77777777" w:rsidR="009270B3" w:rsidRPr="00C24209" w:rsidRDefault="009270B3" w:rsidP="009270B3">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Resolución 539 del 21 de agosto de 2025: artículo 2 (parágrafo 2), artículo 3, artículo 9 y artículo 23</w:t>
      </w:r>
      <w:r w:rsidRPr="00C24209">
        <w:rPr>
          <w:rFonts w:ascii="Verdana" w:eastAsia="Arial" w:hAnsi="Verdana" w:cs="Arial"/>
          <w:color w:val="000000" w:themeColor="text1"/>
          <w:vertAlign w:val="superscript"/>
          <w:lang w:eastAsia="es-MX"/>
        </w:rPr>
        <w:footnoteReference w:id="60"/>
      </w:r>
      <w:r w:rsidRPr="00C24209">
        <w:rPr>
          <w:rFonts w:ascii="Verdana" w:eastAsia="Arial" w:hAnsi="Verdana" w:cs="Arial"/>
          <w:color w:val="000000" w:themeColor="text1"/>
          <w:lang w:eastAsia="es-MX"/>
        </w:rPr>
        <w:t>.</w:t>
      </w:r>
    </w:p>
    <w:p w14:paraId="6D15C7C2" w14:textId="77777777" w:rsidR="009270B3" w:rsidRPr="00C24209" w:rsidRDefault="009270B3" w:rsidP="009270B3">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lastRenderedPageBreak/>
        <w:t>Memoria justificativa, versión 02 del 21 de agosto de 2025, numeral 10, “Ámbito de aplicación y sujetos a los que se dirige” (páginas 73 y 74). Ese numeral fija los destinatarios de los documentos tipo. Su nota al pie 45 transcribe la tesis de los conceptos C-066 de 2022 y C-155 de 2025, entre otros, sobre el artículo 56 de la Ley 2195 de 2022 y la excepción de su parágrafo</w:t>
      </w:r>
      <w:r w:rsidRPr="00C24209">
        <w:rPr>
          <w:rFonts w:ascii="Verdana" w:eastAsia="Arial" w:hAnsi="Verdana" w:cs="Arial"/>
          <w:color w:val="000000" w:themeColor="text1"/>
          <w:vertAlign w:val="superscript"/>
          <w:lang w:eastAsia="es-MX"/>
        </w:rPr>
        <w:footnoteReference w:id="61"/>
      </w:r>
      <w:r w:rsidRPr="00C24209">
        <w:rPr>
          <w:rFonts w:ascii="Verdana" w:eastAsia="Arial" w:hAnsi="Verdana" w:cs="Arial"/>
          <w:color w:val="000000" w:themeColor="text1"/>
          <w:lang w:eastAsia="es-MX"/>
        </w:rPr>
        <w:t>.</w:t>
      </w:r>
    </w:p>
    <w:p w14:paraId="779D512A" w14:textId="77777777" w:rsidR="009270B3" w:rsidRPr="00C24209" w:rsidRDefault="009270B3" w:rsidP="009270B3">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Anexo de la memoria justificativa (informe sectorial):</w:t>
      </w:r>
    </w:p>
    <w:p w14:paraId="693FA37A" w14:textId="77777777" w:rsidR="009270B3" w:rsidRPr="00C24209" w:rsidRDefault="009270B3" w:rsidP="009270B3">
      <w:pPr>
        <w:numPr>
          <w:ilvl w:val="1"/>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Página 148: explica que el ámbito del sector educación se enmarca en el subgrupo I-3 de la NSR-10, que incluye universidades.</w:t>
      </w:r>
    </w:p>
    <w:p w14:paraId="496F7CD3" w14:textId="77777777" w:rsidR="009270B3" w:rsidRPr="00C24209" w:rsidRDefault="009270B3" w:rsidP="009270B3">
      <w:pPr>
        <w:numPr>
          <w:ilvl w:val="1"/>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Página 34: analiza las veinte entidades con mayor valor contratado en el sector educación entre 2021 y el primer semestre de 2024</w:t>
      </w:r>
      <w:r w:rsidRPr="00C24209">
        <w:rPr>
          <w:rFonts w:ascii="Verdana" w:eastAsia="Arial" w:hAnsi="Verdana" w:cs="Arial"/>
          <w:color w:val="000000" w:themeColor="text1"/>
          <w:vertAlign w:val="superscript"/>
          <w:lang w:eastAsia="es-MX"/>
        </w:rPr>
        <w:footnoteReference w:id="62"/>
      </w:r>
      <w:r w:rsidRPr="00C24209">
        <w:rPr>
          <w:rFonts w:ascii="Verdana" w:eastAsia="Arial" w:hAnsi="Verdana" w:cs="Arial"/>
          <w:color w:val="000000" w:themeColor="text1"/>
          <w:lang w:eastAsia="es-MX"/>
        </w:rPr>
        <w:t>.</w:t>
      </w:r>
    </w:p>
    <w:p w14:paraId="55148E02" w14:textId="77777777" w:rsidR="009270B3" w:rsidRPr="00C24209" w:rsidRDefault="009270B3" w:rsidP="009270B3">
      <w:pPr>
        <w:numPr>
          <w:ilvl w:val="1"/>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Tabla 26 (páginas 72 y 73): registra la mesa de trabajo del sector educación del 25 de marzo de 2025, convocada con el Ministerio de Educación Nacional, el SENA, el ICBF y las universidades distritales.</w:t>
      </w:r>
    </w:p>
    <w:p w14:paraId="1098B706" w14:textId="77777777" w:rsidR="009270B3" w:rsidRPr="00C24209" w:rsidRDefault="009270B3" w:rsidP="009270B3">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 xml:space="preserve">Anexo 5 – Glosario: el numeral 109 del glosario técnico general define el grupo de ocupación institucional de educación y menciona la universidad. </w:t>
      </w:r>
      <w:r w:rsidRPr="00C24209">
        <w:rPr>
          <w:rFonts w:ascii="Verdana" w:eastAsia="Arial" w:hAnsi="Verdana" w:cs="Arial"/>
          <w:color w:val="000000" w:themeColor="text1"/>
          <w:lang w:eastAsia="es-MX"/>
        </w:rPr>
        <w:lastRenderedPageBreak/>
        <w:t>El numeral 74 del glosario específico del sector educativo define las instituciones de educación superior conforme al artículo 16 de la Ley 30 de 1992 y a los artículos 1 y 2 de la Ley 749 de 2002</w:t>
      </w:r>
      <w:r w:rsidRPr="00C24209">
        <w:rPr>
          <w:rFonts w:ascii="Verdana" w:eastAsia="Arial" w:hAnsi="Verdana" w:cs="Arial"/>
          <w:color w:val="000000" w:themeColor="text1"/>
          <w:vertAlign w:val="superscript"/>
          <w:lang w:eastAsia="es-MX"/>
        </w:rPr>
        <w:footnoteReference w:id="63"/>
      </w:r>
      <w:r w:rsidRPr="00C24209">
        <w:rPr>
          <w:rFonts w:ascii="Verdana" w:eastAsia="Arial" w:hAnsi="Verdana" w:cs="Arial"/>
          <w:color w:val="000000" w:themeColor="text1"/>
          <w:lang w:eastAsia="es-MX"/>
        </w:rPr>
        <w:t>.</w:t>
      </w:r>
    </w:p>
    <w:p w14:paraId="4DB221EB" w14:textId="77777777" w:rsidR="009270B3" w:rsidRPr="00C24209" w:rsidRDefault="009270B3" w:rsidP="009270B3">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Matriz de respuestas a las observaciones ciudadanas:</w:t>
      </w:r>
    </w:p>
    <w:p w14:paraId="45CC0BD0" w14:textId="77777777" w:rsidR="009270B3" w:rsidRPr="00C24209" w:rsidRDefault="009270B3" w:rsidP="009270B3">
      <w:pPr>
        <w:numPr>
          <w:ilvl w:val="1"/>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El Ministerio de Educación Nacional hizo observaciones sobre el numeral 3.5.1 del documento base y sobre la matriz de experiencia (actividades 3.6 y 4.1, y una nota sobre los ambientes tipo D y F de la NTC 4595). Ninguna se refirió a las instituciones de educación superior ni al artículo 56.</w:t>
      </w:r>
    </w:p>
    <w:p w14:paraId="3FEE036E" w14:textId="77777777" w:rsidR="009270B3" w:rsidRPr="00C24209" w:rsidRDefault="009270B3" w:rsidP="009270B3">
      <w:pPr>
        <w:numPr>
          <w:ilvl w:val="1"/>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La Cámara Colombiana de la Construcción (CAMACOL) sí señaló que las entidades de régimen exceptuado, entre ellas las instituciones de educación superior, concentran más del 40 % de la contratación de obras de infraestructura social, y que el artículo 56 no ha bastado para que apliquen los documentos tipo. La Agencia respondió remitiéndose al artículo 3 de la resolución y aclaró que la observación excedía el alcance del proyecto</w:t>
      </w:r>
      <w:r w:rsidRPr="00C24209">
        <w:rPr>
          <w:rFonts w:ascii="Verdana" w:eastAsia="Arial" w:hAnsi="Verdana" w:cs="Arial"/>
          <w:color w:val="000000" w:themeColor="text1"/>
          <w:vertAlign w:val="superscript"/>
          <w:lang w:eastAsia="es-MX"/>
        </w:rPr>
        <w:footnoteReference w:id="64"/>
      </w:r>
      <w:r w:rsidRPr="00C24209">
        <w:rPr>
          <w:rFonts w:ascii="Verdana" w:eastAsia="Arial" w:hAnsi="Verdana" w:cs="Arial"/>
          <w:color w:val="000000" w:themeColor="text1"/>
          <w:lang w:eastAsia="es-MX"/>
        </w:rPr>
        <w:t>.</w:t>
      </w:r>
    </w:p>
    <w:p w14:paraId="290656C6" w14:textId="77777777" w:rsidR="009270B3" w:rsidRPr="00C24209" w:rsidRDefault="009270B3" w:rsidP="009270B3">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lastRenderedPageBreak/>
        <w:t>Informe global de participación ciudadana del 2 de septiembre de 2025</w:t>
      </w:r>
      <w:r w:rsidRPr="00C24209">
        <w:rPr>
          <w:rFonts w:ascii="Verdana" w:eastAsia="Arial" w:hAnsi="Verdana" w:cs="Arial"/>
          <w:color w:val="000000" w:themeColor="text1"/>
          <w:vertAlign w:val="superscript"/>
          <w:lang w:eastAsia="es-MX"/>
        </w:rPr>
        <w:footnoteReference w:id="65"/>
      </w:r>
      <w:r w:rsidRPr="00C24209">
        <w:rPr>
          <w:rFonts w:ascii="Verdana" w:eastAsia="Arial" w:hAnsi="Verdana" w:cs="Arial"/>
          <w:color w:val="000000" w:themeColor="text1"/>
          <w:lang w:eastAsia="es-MX"/>
        </w:rPr>
        <w:t>.</w:t>
      </w:r>
    </w:p>
    <w:p w14:paraId="733BAC2A" w14:textId="77777777" w:rsidR="009270B3" w:rsidRPr="00C24209" w:rsidRDefault="009270B3" w:rsidP="009270B3">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Pronunciamiento de abogacía de la competencia de la Superintendencia de Industria y Comercio, radicado 25-247334-1-0 del 11 de junio de 2025</w:t>
      </w:r>
      <w:r w:rsidRPr="00C24209">
        <w:rPr>
          <w:rFonts w:ascii="Verdana" w:eastAsia="Arial" w:hAnsi="Verdana" w:cs="Arial"/>
          <w:color w:val="000000" w:themeColor="text1"/>
          <w:vertAlign w:val="superscript"/>
          <w:lang w:eastAsia="es-MX"/>
        </w:rPr>
        <w:footnoteReference w:id="66"/>
      </w:r>
      <w:r w:rsidRPr="00C24209">
        <w:rPr>
          <w:rFonts w:ascii="Verdana" w:eastAsia="Arial" w:hAnsi="Verdana" w:cs="Arial"/>
          <w:color w:val="000000" w:themeColor="text1"/>
          <w:lang w:eastAsia="es-MX"/>
        </w:rPr>
        <w:t>.</w:t>
      </w:r>
    </w:p>
    <w:p w14:paraId="5348B6FA" w14:textId="77777777" w:rsidR="009270B3" w:rsidRPr="008D70C9" w:rsidRDefault="009270B3" w:rsidP="009270B3">
      <w:pPr>
        <w:spacing w:before="120" w:after="120" w:line="276" w:lineRule="auto"/>
        <w:ind w:firstLine="708"/>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En cuanto al control de versiones, los documentos tipo publicados corresponden a la versión 2 del 21 de agosto de 2025 y la memoria justificativa, a su versión 02 de la misma fecha.</w:t>
      </w:r>
    </w:p>
    <w:p w14:paraId="27A06811" w14:textId="77777777" w:rsidR="009270B3" w:rsidRPr="009D5308" w:rsidRDefault="009270B3" w:rsidP="009270B3">
      <w:pPr>
        <w:spacing w:after="120" w:line="276" w:lineRule="auto"/>
        <w:jc w:val="both"/>
        <w:rPr>
          <w:rFonts w:ascii="Verdana" w:eastAsia="Calibri" w:hAnsi="Verdana" w:cs="Times New Roman"/>
          <w:lang w:val="es-ES" w:eastAsia="es-MX"/>
        </w:rPr>
      </w:pPr>
      <w:r>
        <w:rPr>
          <w:rFonts w:ascii="Verdana" w:eastAsia="Times New Roman" w:hAnsi="Verdana" w:cs="Arial"/>
          <w:lang w:val="es-ES" w:eastAsia="x-none"/>
        </w:rPr>
        <w:t xml:space="preserve">VIII). </w:t>
      </w:r>
      <w:r w:rsidRPr="009D5308">
        <w:rPr>
          <w:rFonts w:ascii="Verdana" w:eastAsia="Calibri" w:hAnsi="Verdana" w:cs="Times New Roman"/>
          <w:lang w:val="es-ES" w:eastAsia="es-MX"/>
        </w:rPr>
        <w:t xml:space="preserve">El artículo 8 de las Resoluciones 539, 540 y 541 del 21 de agosto de 2025, adoptan los Documentos Tipo complementarios para los procesos de infraestructura social relacionados con el sector educativo -según la modalidad que corresponda-. De acuerdo con el parágrafo segundo del artículo 9 de las citadas resoluciones, estos documentos aplican a los procesos contractuales que correspondan a las actividades definidas en la Matriz 1 – Experiencia del Sector Educativo. </w:t>
      </w:r>
    </w:p>
    <w:p w14:paraId="4FC52672" w14:textId="77777777" w:rsidR="009270B3" w:rsidRPr="009D5308" w:rsidRDefault="009270B3" w:rsidP="009270B3">
      <w:pPr>
        <w:spacing w:after="120" w:line="276" w:lineRule="auto"/>
        <w:jc w:val="both"/>
        <w:rPr>
          <w:rFonts w:ascii="Verdana" w:eastAsia="Arial" w:hAnsi="Verdana" w:cs="Aptos"/>
          <w:lang w:eastAsia="es-ES"/>
        </w:rPr>
      </w:pPr>
      <w:r w:rsidRPr="009D5308">
        <w:rPr>
          <w:rFonts w:ascii="Verdana" w:eastAsia="Calibri" w:hAnsi="Verdana" w:cs="Times New Roman"/>
          <w:lang w:val="es-ES" w:eastAsia="es-MX"/>
        </w:rPr>
        <w:tab/>
        <w:t xml:space="preserve">La Matriz 1 – Experiencia del Sector Educativo, </w:t>
      </w:r>
      <w:r w:rsidRPr="009D5308">
        <w:rPr>
          <w:rFonts w:ascii="Verdana" w:eastAsia="Times New Roman" w:hAnsi="Verdana" w:cs="Times New Roman"/>
          <w:color w:val="000000"/>
          <w:lang w:eastAsia="es-CO"/>
        </w:rPr>
        <w:t>en la modalidad de licitación pública, selección abreviada de menor cuantía y mínima cuantía dispone de los siguientes cuatro (4) tipos de obras de infraestructura educativa:</w:t>
      </w:r>
      <w:r w:rsidRPr="009D5308">
        <w:rPr>
          <w:rFonts w:ascii="Times New Roman" w:eastAsia="Arial" w:hAnsi="Times New Roman" w:cs="Aptos"/>
          <w:lang w:eastAsia="es-ES"/>
        </w:rPr>
        <w:t xml:space="preserve"> </w:t>
      </w:r>
      <w:r w:rsidRPr="009D5308">
        <w:rPr>
          <w:rFonts w:ascii="Verdana" w:eastAsia="Arial" w:hAnsi="Verdana" w:cs="Aptos"/>
          <w:lang w:eastAsia="es-ES"/>
        </w:rPr>
        <w:t xml:space="preserve">“1. OBRAS EN INFRAESTRUCTURA DE EDUCACIÓN, 2. OBRAS EN INFRAESTRUCTURA RECREODEPORTIVA Y CULTURAL EN INFRAESTRUCTURA EDUCATIVA, 3. OBRAS EN VÍAS DE ACCESO O PARQUEADEROS O ZONAS DE CIRCULACIÓN (VEHICULAR O PEATONAL) O PLAZUELAS O PLAZAS O PLAZUELAS EN INFRAESTRUCTURA EDUCATIVA, y 4. OBRAS PARA ATENCIÓN, PREVENCIÓN O MITIGACIÓN DE EMERGENCIAS DIFERENTES A CONTRATACIÓN DIRECTA PARA EL SECTOR EDUCATIVO. Sobre los tipos de obras señaladas, la Matriz 1 – Experiencia contiene una serie de actividades donde la entidad debe </w:t>
      </w:r>
      <w:r w:rsidRPr="009D5308">
        <w:rPr>
          <w:rFonts w:ascii="Verdana" w:eastAsia="Arial" w:hAnsi="Verdana" w:cs="Aptos"/>
          <w:lang w:eastAsia="es-ES"/>
        </w:rPr>
        <w:lastRenderedPageBreak/>
        <w:t xml:space="preserve">encuadrar el objeto del proceso que pretende ejecutar. Estas actividades se relacionan con proyectos de construcción, ampliación, reconstrucción, adecuación, conservación, intervención, remodelación, mantenimiento, mejoramiento, modificación, optimización, rehabilitación, remodelación, reposición y/o reparación, entre otras actividades, sobre infraestructura educativa. </w:t>
      </w:r>
    </w:p>
    <w:p w14:paraId="5960CE30" w14:textId="77777777" w:rsidR="009270B3" w:rsidRPr="009D5308" w:rsidRDefault="009270B3" w:rsidP="009270B3">
      <w:pPr>
        <w:spacing w:after="120" w:line="276" w:lineRule="auto"/>
        <w:jc w:val="both"/>
        <w:rPr>
          <w:rFonts w:ascii="Verdana" w:eastAsia="Times New Roman" w:hAnsi="Verdana" w:cs="Times New Roman"/>
          <w:color w:val="000000"/>
          <w:lang w:eastAsia="es-CO"/>
        </w:rPr>
      </w:pPr>
      <w:r w:rsidRPr="009D5308">
        <w:rPr>
          <w:rFonts w:ascii="Verdana" w:eastAsia="Arial" w:hAnsi="Verdana" w:cs="Aptos"/>
          <w:lang w:eastAsia="es-ES"/>
        </w:rPr>
        <w:tab/>
        <w:t>De esta forma, los tipos de obras señaladas y las actividades previstas en la Matriz 1</w:t>
      </w:r>
      <w:r w:rsidRPr="009D5308">
        <w:rPr>
          <w:rFonts w:ascii="Verdana" w:eastAsia="Calibri" w:hAnsi="Verdana" w:cs="Times New Roman"/>
          <w:lang w:val="es-ES" w:eastAsia="es-MX"/>
        </w:rPr>
        <w:t xml:space="preserve">– Experiencia del Sector Educativo, </w:t>
      </w:r>
      <w:r w:rsidRPr="009D5308">
        <w:rPr>
          <w:rFonts w:ascii="Verdana" w:eastAsia="Times New Roman" w:hAnsi="Verdana" w:cs="Times New Roman"/>
          <w:color w:val="000000"/>
          <w:lang w:eastAsia="es-CO"/>
        </w:rPr>
        <w:t>en la modalidad de licitación pública, selección abreviada de menor cuantía y mínima cuantía, recaen sobre infraestructura educativa. Esto es importante para precisar el ámbito de aplicación de los Documentos Tipo de este sector adoptados en de las Resoluciones 539, 540 y 541 de 2025.</w:t>
      </w:r>
    </w:p>
    <w:p w14:paraId="71D2DB0E" w14:textId="77777777" w:rsidR="009270B3" w:rsidRPr="009D5308" w:rsidRDefault="009270B3" w:rsidP="009270B3">
      <w:pPr>
        <w:spacing w:after="120" w:line="276" w:lineRule="auto"/>
        <w:jc w:val="both"/>
        <w:rPr>
          <w:rFonts w:ascii="Verdana" w:eastAsia="Calibri" w:hAnsi="Verdana" w:cs="Times New Roman"/>
          <w:lang w:val="es-ES" w:eastAsia="es-MX"/>
        </w:rPr>
      </w:pPr>
      <w:r w:rsidRPr="009D5308">
        <w:rPr>
          <w:rFonts w:ascii="Verdana" w:eastAsia="Times New Roman" w:hAnsi="Verdana" w:cs="Times New Roman"/>
          <w:color w:val="000000"/>
          <w:lang w:eastAsia="es-CO"/>
        </w:rPr>
        <w:tab/>
        <w:t xml:space="preserve">La nota general 1 de la </w:t>
      </w:r>
      <w:r w:rsidRPr="009D5308">
        <w:rPr>
          <w:rFonts w:ascii="Verdana" w:eastAsia="Arial" w:hAnsi="Verdana" w:cs="Aptos"/>
          <w:lang w:eastAsia="es-ES"/>
        </w:rPr>
        <w:t>Matriz 1</w:t>
      </w:r>
      <w:r w:rsidRPr="009D5308">
        <w:rPr>
          <w:rFonts w:ascii="Verdana" w:eastAsia="Calibri" w:hAnsi="Verdana" w:cs="Times New Roman"/>
          <w:lang w:val="es-ES" w:eastAsia="es-MX"/>
        </w:rPr>
        <w:t>– Experiencia del Sector Educativo en las distintas modalidades de los Documentos Tipo adoptados por esta Agencia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412A9D33" w14:textId="77777777" w:rsidR="009270B3" w:rsidRPr="009D5308" w:rsidRDefault="009270B3" w:rsidP="009270B3">
      <w:pPr>
        <w:spacing w:after="120" w:line="276" w:lineRule="auto"/>
        <w:ind w:firstLine="708"/>
        <w:jc w:val="both"/>
        <w:rPr>
          <w:rFonts w:ascii="Verdana" w:eastAsia="Calibri" w:hAnsi="Verdana" w:cs="Arial"/>
          <w:lang w:val="es-ES_tradnl" w:eastAsia="es-MX"/>
        </w:rPr>
      </w:pPr>
      <w:r w:rsidRPr="009D5308">
        <w:rPr>
          <w:rFonts w:ascii="Verdana" w:eastAsia="Calibri" w:hAnsi="Verdana" w:cs="Times New Roman"/>
          <w:lang w:eastAsia="es-MX"/>
        </w:rPr>
        <w:t xml:space="preserve">La nota general 1 contenida en la Matriz 1 – Experiencia de los Documentos Tipo indicados, es congruente con </w:t>
      </w:r>
      <w:r w:rsidRPr="009D5308">
        <w:rPr>
          <w:rFonts w:ascii="Verdana" w:eastAsia="Calibri" w:hAnsi="Verdana" w:cs="Arial"/>
          <w:lang w:val="es-ES_tradnl" w:eastAsia="es-MX"/>
        </w:rPr>
        <w:t>el numeral 1.10 del documento base que dispone que “</w:t>
      </w:r>
      <w:r w:rsidRPr="009D5308">
        <w:rPr>
          <w:rFonts w:ascii="Verdana" w:eastAsia="Calibri" w:hAnsi="Verdana" w:cs="Arial"/>
          <w:lang w:val="es-MX" w:eastAsia="es-MX"/>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9D5308">
        <w:rPr>
          <w:rFonts w:ascii="Verdana" w:eastAsia="Calibri" w:hAnsi="Verdana" w:cs="Arial"/>
          <w:lang w:val="es-ES_tradnl" w:eastAsia="es-MX"/>
        </w:rPr>
        <w:t>”.</w:t>
      </w:r>
    </w:p>
    <w:p w14:paraId="1ADD83C6" w14:textId="77777777" w:rsidR="009270B3" w:rsidRPr="009D5308" w:rsidRDefault="009270B3" w:rsidP="009270B3">
      <w:pPr>
        <w:spacing w:after="120" w:line="276" w:lineRule="auto"/>
        <w:ind w:firstLine="708"/>
        <w:jc w:val="both"/>
        <w:rPr>
          <w:rFonts w:ascii="Verdana" w:eastAsia="Calibri" w:hAnsi="Verdana" w:cs="Arial"/>
          <w:color w:val="0D0D0D"/>
          <w:lang w:eastAsia="es-MX"/>
        </w:rPr>
      </w:pPr>
      <w:r w:rsidRPr="009D5308">
        <w:rPr>
          <w:rFonts w:ascii="Verdana" w:eastAsia="Calibri" w:hAnsi="Verdana" w:cs="Arial"/>
          <w:lang w:val="es-ES_tradnl" w:eastAsia="es-MX"/>
        </w:rPr>
        <w:t xml:space="preserve">De esta forma, considerando que las actividades señaladas recaen sobre </w:t>
      </w:r>
      <w:r w:rsidRPr="009D5308">
        <w:rPr>
          <w:rFonts w:ascii="Verdana" w:eastAsia="Times New Roman" w:hAnsi="Verdana" w:cs="Calibri"/>
          <w:lang w:eastAsia="es-MX"/>
        </w:rPr>
        <w:t xml:space="preserve">obras en proyectos de infraestructura educativa, para determinar qué abarca este tipo de infraestructura, debe indicarse que de conformidad con la norma </w:t>
      </w:r>
      <w:r w:rsidRPr="009D5308">
        <w:rPr>
          <w:rFonts w:ascii="Verdana" w:eastAsia="Calibri" w:hAnsi="Verdana" w:cs="Arial"/>
          <w:color w:val="0D0D0D"/>
          <w:lang w:eastAsia="es-MX"/>
        </w:rPr>
        <w:t xml:space="preserve">NSR-10 en el Subgrupo de Ocupación Institucional de Educación (I-3) </w:t>
      </w:r>
      <w:r w:rsidRPr="009D5308">
        <w:rPr>
          <w:rFonts w:ascii="Verdana" w:eastAsia="Calibri" w:hAnsi="Verdana" w:cs="Arial"/>
          <w:i/>
          <w:iCs/>
          <w:color w:val="0D0D0D"/>
          <w:lang w:eastAsia="es-MX"/>
        </w:rPr>
        <w:t>“(…) se clasifican las edificaciones o espacios empleados para le reunión de personas con propósitos educativos y de instrucción (…)”</w:t>
      </w:r>
      <w:r w:rsidRPr="009D5308">
        <w:rPr>
          <w:rFonts w:ascii="Times New Roman" w:eastAsia="Calibri" w:hAnsi="Times New Roman" w:cs="Times New Roman"/>
          <w:i/>
          <w:iCs/>
          <w:sz w:val="24"/>
          <w:szCs w:val="24"/>
          <w:vertAlign w:val="superscript"/>
          <w:lang w:eastAsia="es-MX"/>
        </w:rPr>
        <w:footnoteReference w:id="67"/>
      </w:r>
      <w:r w:rsidRPr="009D5308">
        <w:rPr>
          <w:rFonts w:ascii="Verdana" w:eastAsia="Calibri" w:hAnsi="Verdana" w:cs="Arial"/>
          <w:i/>
          <w:iCs/>
          <w:color w:val="0D0D0D"/>
          <w:vertAlign w:val="superscript"/>
          <w:lang w:eastAsia="es-MX"/>
        </w:rPr>
        <w:t>.</w:t>
      </w:r>
      <w:r w:rsidRPr="009D5308">
        <w:rPr>
          <w:rFonts w:ascii="Verdana" w:eastAsia="Calibri" w:hAnsi="Verdana" w:cs="Arial"/>
          <w:color w:val="0D0D0D"/>
          <w:lang w:eastAsia="es-MX"/>
        </w:rPr>
        <w:t xml:space="preserve"> Entre las edificaciones o </w:t>
      </w:r>
      <w:r w:rsidRPr="009D5308">
        <w:rPr>
          <w:rFonts w:ascii="Verdana" w:eastAsia="Calibri" w:hAnsi="Verdana" w:cs="Arial"/>
          <w:color w:val="0D0D0D"/>
          <w:lang w:eastAsia="es-MX"/>
        </w:rPr>
        <w:lastRenderedPageBreak/>
        <w:t>espacios que pertenecen a este Subgrupo se encuentran las siguientes: “</w:t>
      </w:r>
      <w:r w:rsidRPr="009D5308">
        <w:rPr>
          <w:rFonts w:ascii="Verdana" w:eastAsia="Calibri" w:hAnsi="Verdana" w:cs="Arial"/>
          <w:i/>
          <w:iCs/>
          <w:color w:val="0D0D0D"/>
          <w:lang w:eastAsia="es-MX"/>
        </w:rPr>
        <w:t>Universidades, Colegios, Escuelas, Centros de educación, Academias, Jardines Infantiles, Otras instituciones docentes</w:t>
      </w:r>
      <w:r w:rsidRPr="009D5308">
        <w:rPr>
          <w:rFonts w:ascii="Verdana" w:eastAsia="Calibri" w:hAnsi="Verdana" w:cs="Arial"/>
          <w:color w:val="0D0D0D"/>
          <w:lang w:eastAsia="es-MX"/>
        </w:rPr>
        <w:t>”</w:t>
      </w:r>
      <w:r w:rsidRPr="009D5308">
        <w:rPr>
          <w:rFonts w:ascii="Verdana" w:eastAsia="Calibri" w:hAnsi="Verdana" w:cs="Arial"/>
          <w:color w:val="0D0D0D"/>
          <w:vertAlign w:val="superscript"/>
          <w:lang w:eastAsia="es-MX"/>
        </w:rPr>
        <w:footnoteReference w:id="68"/>
      </w:r>
      <w:r w:rsidRPr="009D5308">
        <w:rPr>
          <w:rFonts w:ascii="Verdana" w:eastAsia="Calibri" w:hAnsi="Verdana" w:cs="Arial"/>
          <w:color w:val="0D0D0D"/>
          <w:lang w:eastAsia="es-MX"/>
        </w:rPr>
        <w:t>.</w:t>
      </w:r>
    </w:p>
    <w:p w14:paraId="3F14F907" w14:textId="77777777" w:rsidR="009270B3" w:rsidRPr="009D5308" w:rsidRDefault="009270B3" w:rsidP="009270B3">
      <w:pPr>
        <w:spacing w:after="120" w:line="276" w:lineRule="auto"/>
        <w:ind w:firstLine="708"/>
        <w:jc w:val="both"/>
        <w:rPr>
          <w:rFonts w:ascii="Verdana" w:eastAsia="Calibri" w:hAnsi="Verdana" w:cs="Arial"/>
          <w:color w:val="0D0D0D"/>
          <w:lang w:eastAsia="es-MX"/>
        </w:rPr>
      </w:pPr>
      <w:r w:rsidRPr="009D5308">
        <w:rPr>
          <w:rFonts w:ascii="Verdana" w:eastAsia="Calibri" w:hAnsi="Verdana" w:cs="Arial"/>
          <w:color w:val="0D0D0D"/>
          <w:lang w:eastAsia="es-MX"/>
        </w:rPr>
        <w:t xml:space="preserve">En este sentido, el Subgrupo de Ocupación Institucional de Educación corresponde a una categoría de clasificación establecida por la NSR-10 que agrupa a aquellas edificaciones o espacios destinados o empleados para le reunión de personas con propósitos educativos y de instrucción. Este subgrupo comprende Universidades, Colegios, Escuelas, Centros de educación, Academias, Jardines Infantiles, entre otros. La expresión “Otras instituciones docentes” evidencia que la enumeración no es taxativa, sino enunciativa, por lo incluye todas aquellas edificaciones que por su naturaleza y finalidad, se utilizan para propósitos educativos y de instrucción.  </w:t>
      </w:r>
    </w:p>
    <w:p w14:paraId="22A260EE" w14:textId="77777777" w:rsidR="009270B3" w:rsidRPr="009D5308" w:rsidRDefault="009270B3" w:rsidP="009270B3">
      <w:pPr>
        <w:spacing w:after="0" w:line="276" w:lineRule="auto"/>
        <w:ind w:firstLine="708"/>
        <w:jc w:val="both"/>
        <w:rPr>
          <w:rFonts w:ascii="Verdana" w:eastAsia="Calibri" w:hAnsi="Verdana" w:cs="Arial"/>
          <w:color w:val="0D0D0D"/>
          <w:lang w:eastAsia="es-MX"/>
        </w:rPr>
      </w:pPr>
      <w:r w:rsidRPr="009D5308">
        <w:rPr>
          <w:rFonts w:ascii="Verdana" w:eastAsia="Calibri" w:hAnsi="Verdana" w:cs="Arial"/>
          <w:color w:val="0D0D0D"/>
          <w:lang w:eastAsia="es-MX"/>
        </w:rPr>
        <w:t>Para efectos de su solicitud en la que indaga sí los Documentos Tipo complementario del sector educativo, aplican para realizar actividades sobre una institución de educación superior. Para responder al problema jurídico le informamos que, el Anexo 5 – Glosario de los Documentos Tipo señalado, en el numeral 3.74 define este tipo de instituciones en los siguientes términos:</w:t>
      </w:r>
    </w:p>
    <w:p w14:paraId="4A6D46B4" w14:textId="77777777" w:rsidR="009270B3" w:rsidRPr="009D5308" w:rsidRDefault="009270B3" w:rsidP="009270B3">
      <w:pPr>
        <w:spacing w:after="0" w:line="276" w:lineRule="auto"/>
        <w:ind w:firstLine="708"/>
        <w:jc w:val="both"/>
        <w:rPr>
          <w:rFonts w:ascii="Verdana" w:eastAsia="Calibri" w:hAnsi="Verdana" w:cs="Arial"/>
          <w:color w:val="0D0D0D"/>
          <w:lang w:eastAsia="es-MX"/>
        </w:rPr>
      </w:pPr>
    </w:p>
    <w:p w14:paraId="5D3E42BA" w14:textId="77777777" w:rsidR="009270B3" w:rsidRPr="009D5308" w:rsidRDefault="009270B3" w:rsidP="009270B3">
      <w:pPr>
        <w:spacing w:after="0" w:line="240" w:lineRule="auto"/>
        <w:ind w:left="709" w:right="709"/>
        <w:contextualSpacing/>
        <w:jc w:val="both"/>
        <w:rPr>
          <w:rFonts w:ascii="Verdana" w:eastAsia="Times New Roman" w:hAnsi="Verdana" w:cs="Aptos"/>
          <w:sz w:val="21"/>
          <w:szCs w:val="21"/>
          <w:lang w:val="es-ES" w:eastAsia="es-MX"/>
        </w:rPr>
      </w:pPr>
      <w:r w:rsidRPr="009D5308">
        <w:rPr>
          <w:rFonts w:ascii="Verdana" w:eastAsia="Times New Roman" w:hAnsi="Verdana" w:cs="Aptos"/>
          <w:b/>
          <w:bCs/>
          <w:sz w:val="21"/>
          <w:szCs w:val="21"/>
          <w:lang w:val="es-ES" w:eastAsia="es-MX"/>
        </w:rPr>
        <w:t>“Instituciones de Educación Superior (IES):</w:t>
      </w:r>
      <w:r w:rsidRPr="009D5308">
        <w:rPr>
          <w:rFonts w:ascii="Verdana" w:eastAsia="Times New Roman" w:hAnsi="Verdana" w:cs="Aptos"/>
          <w:sz w:val="21"/>
          <w:szCs w:val="21"/>
          <w:lang w:val="es-ES" w:eastAsia="es-MX"/>
        </w:rPr>
        <w:t xml:space="preserve"> se refiere a aquellas instituciones de naturaleza oficial o privada, que están habilitadas para prestar el servicio público de educación superior, y que por su naturaleza jurídica no están destinadas a distribuir utilidades o beneficios entre sus miembros, sino a su reinversión en el desarrollo de la actividad social que les corresponde. En atención a su carácter académico y de acuerdo con los articulas 16 de la Ley 30 de 1992 y 1 y 2 de la Ley 749 de 2002, dichas instituciones pueden ser: i) instituciones técnico-profesionales, </w:t>
      </w:r>
      <w:proofErr w:type="spellStart"/>
      <w:r w:rsidRPr="009D5308">
        <w:rPr>
          <w:rFonts w:ascii="Verdana" w:eastAsia="Times New Roman" w:hAnsi="Verdana" w:cs="Aptos"/>
          <w:sz w:val="21"/>
          <w:szCs w:val="21"/>
          <w:lang w:val="es-ES" w:eastAsia="es-MX"/>
        </w:rPr>
        <w:t>ii</w:t>
      </w:r>
      <w:proofErr w:type="spellEnd"/>
      <w:r w:rsidRPr="009D5308">
        <w:rPr>
          <w:rFonts w:ascii="Verdana" w:eastAsia="Times New Roman" w:hAnsi="Verdana" w:cs="Aptos"/>
          <w:sz w:val="21"/>
          <w:szCs w:val="21"/>
          <w:lang w:val="es-ES" w:eastAsia="es-MX"/>
        </w:rPr>
        <w:t xml:space="preserve">) instituciones tecnológicas, </w:t>
      </w:r>
      <w:proofErr w:type="spellStart"/>
      <w:r w:rsidRPr="009D5308">
        <w:rPr>
          <w:rFonts w:ascii="Verdana" w:eastAsia="Times New Roman" w:hAnsi="Verdana" w:cs="Aptos"/>
          <w:sz w:val="21"/>
          <w:szCs w:val="21"/>
          <w:lang w:val="es-ES" w:eastAsia="es-MX"/>
        </w:rPr>
        <w:t>iii</w:t>
      </w:r>
      <w:proofErr w:type="spellEnd"/>
      <w:r w:rsidRPr="009D5308">
        <w:rPr>
          <w:rFonts w:ascii="Verdana" w:eastAsia="Times New Roman" w:hAnsi="Verdana" w:cs="Aptos"/>
          <w:sz w:val="21"/>
          <w:szCs w:val="21"/>
          <w:lang w:val="es-ES" w:eastAsia="es-MX"/>
        </w:rPr>
        <w:t xml:space="preserve">) instituciones universitarias o escuelas tecnológicas y </w:t>
      </w:r>
      <w:proofErr w:type="spellStart"/>
      <w:r w:rsidRPr="009D5308">
        <w:rPr>
          <w:rFonts w:ascii="Verdana" w:eastAsia="Times New Roman" w:hAnsi="Verdana" w:cs="Aptos"/>
          <w:sz w:val="21"/>
          <w:szCs w:val="21"/>
          <w:lang w:val="es-ES" w:eastAsia="es-MX"/>
        </w:rPr>
        <w:t>iv</w:t>
      </w:r>
      <w:proofErr w:type="spellEnd"/>
      <w:r w:rsidRPr="009D5308">
        <w:rPr>
          <w:rFonts w:ascii="Verdana" w:eastAsia="Times New Roman" w:hAnsi="Verdana" w:cs="Aptos"/>
          <w:sz w:val="21"/>
          <w:szCs w:val="21"/>
          <w:lang w:val="es-ES" w:eastAsia="es-MX"/>
        </w:rPr>
        <w:t xml:space="preserve">) universidades”. </w:t>
      </w:r>
    </w:p>
    <w:p w14:paraId="3892C385" w14:textId="77777777" w:rsidR="009270B3" w:rsidRPr="009D5308" w:rsidRDefault="009270B3" w:rsidP="009270B3">
      <w:pPr>
        <w:spacing w:after="0" w:line="276" w:lineRule="auto"/>
        <w:ind w:firstLine="708"/>
        <w:jc w:val="both"/>
        <w:rPr>
          <w:rFonts w:ascii="Verdana" w:eastAsia="Calibri" w:hAnsi="Verdana" w:cs="Arial"/>
          <w:color w:val="0D0D0D"/>
          <w:lang w:eastAsia="es-MX"/>
        </w:rPr>
      </w:pPr>
    </w:p>
    <w:p w14:paraId="71639902" w14:textId="77777777" w:rsidR="009270B3" w:rsidRPr="009D5308" w:rsidRDefault="009270B3" w:rsidP="009270B3">
      <w:pPr>
        <w:spacing w:after="120" w:line="276" w:lineRule="auto"/>
        <w:ind w:firstLine="709"/>
        <w:jc w:val="both"/>
        <w:rPr>
          <w:rFonts w:ascii="Verdana" w:eastAsia="Calibri" w:hAnsi="Verdana" w:cs="Arial"/>
          <w:color w:val="0D0D0D"/>
          <w:lang w:eastAsia="es-MX"/>
        </w:rPr>
      </w:pPr>
      <w:r w:rsidRPr="009D5308">
        <w:rPr>
          <w:rFonts w:ascii="Verdana" w:eastAsia="Calibri" w:hAnsi="Verdana" w:cs="Arial"/>
          <w:color w:val="0D0D0D"/>
          <w:lang w:eastAsia="es-MX"/>
        </w:rPr>
        <w:t xml:space="preserve">En atención a lo expuesto, una Institución de Educación Superior (IES) debe clasificarse dentro del Subgrupo de Ocupación Institucional de Educación (I-3) de la NSR-10, en la medida en que sus edificaciones están destinadas a la </w:t>
      </w:r>
      <w:r w:rsidRPr="009D5308">
        <w:rPr>
          <w:rFonts w:ascii="Verdana" w:eastAsia="Calibri" w:hAnsi="Verdana" w:cs="Arial"/>
          <w:color w:val="0D0D0D"/>
          <w:lang w:eastAsia="es-MX"/>
        </w:rPr>
        <w:lastRenderedPageBreak/>
        <w:t xml:space="preserve">reunión de personas con propósitos educativos y de instrucción, finalidad que constituye el núcleo esencial de su actividad. </w:t>
      </w:r>
    </w:p>
    <w:p w14:paraId="14F1DDD0" w14:textId="77777777" w:rsidR="009270B3" w:rsidRPr="009D5308" w:rsidRDefault="009270B3" w:rsidP="009270B3">
      <w:pPr>
        <w:spacing w:after="120" w:line="276" w:lineRule="auto"/>
        <w:ind w:firstLine="709"/>
        <w:jc w:val="both"/>
        <w:rPr>
          <w:rFonts w:ascii="Verdana" w:eastAsia="Calibri" w:hAnsi="Verdana" w:cs="Arial"/>
          <w:color w:val="0D0D0D"/>
          <w:lang w:eastAsia="es-MX"/>
        </w:rPr>
      </w:pPr>
      <w:r w:rsidRPr="009D5308">
        <w:rPr>
          <w:rFonts w:ascii="Verdana" w:eastAsia="Calibri" w:hAnsi="Verdana" w:cs="Arial"/>
          <w:color w:val="0D0D0D"/>
          <w:lang w:eastAsia="es-MX"/>
        </w:rPr>
        <w:t>La norma incluye expresamente dentro de este subgrupo a las universidades y demás instituciones docentes, y precisa que dicha enumeración es enunciativa y no taxativa, al emplear la expresión “Otras instituciones docentes”, lo que permite comprender todas aquellas edificaciones cuya naturaleza y finalidad estén orientadas a la prestación del servicio público de educación. En concordancia con el Anexo 5 – Glosario de los Documentos Tipo, las IES -sean instituciones técnico y/o profesionales, tecnológicas, instituciones universitarias o universidades, conforme a la Ley 30 de 1992 y la Ley 749 de 2002- son entidades habilitadas para prestar el servicio público de educación superior, por lo que sus instalaciones constituyen infraestructura educativa y, en consecuencia, se enmarcan dentro del referido Subgrupo de Ocupación Institucional de Educación (I-3).</w:t>
      </w:r>
    </w:p>
    <w:p w14:paraId="1DD72040" w14:textId="77777777" w:rsidR="009270B3" w:rsidRPr="009D5308" w:rsidRDefault="009270B3" w:rsidP="009270B3">
      <w:pPr>
        <w:spacing w:after="120" w:line="276" w:lineRule="auto"/>
        <w:ind w:firstLine="708"/>
        <w:jc w:val="both"/>
        <w:rPr>
          <w:rFonts w:ascii="Verdana" w:eastAsia="Calibri" w:hAnsi="Verdana" w:cs="Arial"/>
          <w:color w:val="0D0D0D"/>
          <w:lang w:eastAsia="es-MX"/>
        </w:rPr>
      </w:pPr>
      <w:r w:rsidRPr="009D5308">
        <w:rPr>
          <w:rFonts w:ascii="Verdana" w:eastAsia="Calibri" w:hAnsi="Verdana" w:cs="Arial"/>
          <w:color w:val="0D0D0D"/>
          <w:lang w:eastAsia="es-MX"/>
        </w:rPr>
        <w:t>Precisamente, con la adopción de los Documentos Tipo complementarios del sector educativo – Versión 2, su ámbito de aplicación se enmarca en lo dispuesto por la norma técnica NSR-10. En este contexto, algunas de las actividades previstas en la Matriz 1 – Experiencia de los Documentos Tipo adoptados mediante la Resolución 220 de 2021 -sector educativo versión 1- fueron actualizadas en la Versión 2 de estos documentos tipo. Por ejemplo, las obras que anteriormente recaían sobre “Instituciones Educativas” pasaron a denominarse “Infraestructura Educativa”, ampliando así el ámbito de aplicación de los referidos Documentos Tipo y alineándolos con la norma técnica mencionada.</w:t>
      </w:r>
    </w:p>
    <w:p w14:paraId="60FCE6C1" w14:textId="77777777" w:rsidR="009270B3" w:rsidRPr="008D70C9" w:rsidRDefault="009270B3" w:rsidP="009270B3">
      <w:pPr>
        <w:spacing w:after="120" w:line="278" w:lineRule="auto"/>
        <w:ind w:firstLine="708"/>
        <w:jc w:val="both"/>
        <w:rPr>
          <w:rFonts w:ascii="Verdana" w:eastAsia="Calibri" w:hAnsi="Verdana" w:cs="Arial"/>
          <w:lang w:val="es-ES" w:eastAsia="es-MX"/>
        </w:rPr>
      </w:pPr>
      <w:r w:rsidRPr="009D5308">
        <w:rPr>
          <w:rFonts w:ascii="Verdana" w:eastAsia="Calibri" w:hAnsi="Verdana" w:cs="Arial"/>
          <w:lang w:val="es-ES" w:eastAsia="es-MX"/>
        </w:rPr>
        <w:t xml:space="preserve">Por lo anterior, la Agencia Nacional de Contratación Pública – Colombia Compra Eficiente le informa que a partir del 16 de febrero de 2026, si una entidad de aquellas obligadas a utilizar los Documentos Tipo expedidos por esta Entidad adelanta un proceso que tenga por objeto la(s) actividad(es) prevista(s) en la Matriz 1 – Experiencia del sector educativo, </w:t>
      </w:r>
      <w:r w:rsidRPr="009D5308">
        <w:rPr>
          <w:rFonts w:ascii="Verdana" w:eastAsia="Times New Roman" w:hAnsi="Verdana" w:cs="Aptos"/>
          <w:lang w:eastAsia="es-MX"/>
        </w:rPr>
        <w:t xml:space="preserve">sobre </w:t>
      </w:r>
      <w:r w:rsidRPr="009D5308">
        <w:rPr>
          <w:rFonts w:ascii="Verdana" w:eastAsia="Arial" w:hAnsi="Verdana" w:cs="Aptos"/>
          <w:i/>
          <w:iCs/>
          <w:lang w:eastAsia="es-ES"/>
        </w:rPr>
        <w:t>infraestructura educativa,</w:t>
      </w:r>
      <w:r w:rsidRPr="009D5308">
        <w:rPr>
          <w:rFonts w:ascii="Verdana" w:eastAsia="Times New Roman" w:hAnsi="Verdana" w:cs="Aptos"/>
          <w:lang w:eastAsia="es-MX"/>
        </w:rPr>
        <w:t xml:space="preserve"> </w:t>
      </w:r>
      <w:r w:rsidRPr="009D5308">
        <w:rPr>
          <w:rFonts w:ascii="Verdana" w:eastAsia="Calibri" w:hAnsi="Verdana" w:cs="Arial"/>
          <w:lang w:val="es-ES" w:eastAsia="es-MX"/>
        </w:rPr>
        <w:t>deberá implementar los Documentos Tipo acogidos mediante las Resoluciones 539, 540 y 541 de 2025, según el proyecto se adelante por la modalidad de licitación de obra pública, selección abreviada de menor cuantía o mínima cuantía.</w:t>
      </w:r>
    </w:p>
    <w:p w14:paraId="612D5A18" w14:textId="77777777" w:rsidR="009270B3" w:rsidRPr="00DB76E6" w:rsidRDefault="009270B3" w:rsidP="009270B3">
      <w:pPr>
        <w:pStyle w:val="paragraph"/>
        <w:spacing w:before="0" w:beforeAutospacing="0" w:after="0" w:afterAutospacing="0" w:line="276" w:lineRule="auto"/>
        <w:jc w:val="both"/>
        <w:textAlignment w:val="baseline"/>
        <w:rPr>
          <w:rFonts w:ascii="Verdana" w:hAnsi="Verdana" w:cs="Segoe UI"/>
          <w:sz w:val="22"/>
          <w:szCs w:val="22"/>
        </w:rPr>
      </w:pPr>
      <w:r w:rsidRPr="00DB76E6">
        <w:rPr>
          <w:rStyle w:val="normaltextrun"/>
          <w:rFonts w:ascii="Verdana" w:hAnsi="Verdana" w:cs="Segoe UI"/>
          <w:sz w:val="22"/>
          <w:szCs w:val="22"/>
          <w:lang w:val="es-ES"/>
        </w:rPr>
        <w:t>I</w:t>
      </w:r>
      <w:r>
        <w:rPr>
          <w:rStyle w:val="normaltextrun"/>
          <w:rFonts w:ascii="Verdana" w:hAnsi="Verdana" w:cs="Segoe UI"/>
          <w:sz w:val="22"/>
          <w:szCs w:val="22"/>
          <w:lang w:val="es-ES"/>
        </w:rPr>
        <w:t>X</w:t>
      </w:r>
      <w:r w:rsidRPr="00DB76E6">
        <w:rPr>
          <w:rStyle w:val="normaltextrun"/>
          <w:rFonts w:ascii="Verdana" w:hAnsi="Verdana" w:cs="Segoe UI"/>
          <w:sz w:val="22"/>
          <w:szCs w:val="22"/>
          <w:lang w:val="es-ES"/>
        </w:rPr>
        <w:t>). </w:t>
      </w:r>
      <w:r w:rsidRPr="00DB76E6">
        <w:rPr>
          <w:rStyle w:val="normaltextrun"/>
          <w:rFonts w:ascii="Verdana" w:hAnsi="Verdana" w:cs="Segoe UI"/>
          <w:color w:val="000000"/>
          <w:sz w:val="22"/>
          <w:szCs w:val="22"/>
        </w:rPr>
        <w:t xml:space="preserve">Al margen de la explicación precedente, debe advertirse que el análisis requerido para resolver problemas específicos en torno a la gestión contractual </w:t>
      </w:r>
      <w:r w:rsidRPr="00DB76E6">
        <w:rPr>
          <w:rStyle w:val="normaltextrun"/>
          <w:rFonts w:ascii="Verdana" w:hAnsi="Verdana" w:cs="Segoe UI"/>
          <w:color w:val="000000"/>
          <w:sz w:val="22"/>
          <w:szCs w:val="22"/>
        </w:rPr>
        <w:lastRenderedPageBreak/>
        <w:t>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3E63EB6" w14:textId="77777777" w:rsidR="009270B3" w:rsidRPr="00DB76E6" w:rsidRDefault="009270B3" w:rsidP="009270B3">
      <w:pPr>
        <w:pStyle w:val="paragraph"/>
        <w:spacing w:before="0" w:beforeAutospacing="0" w:after="0" w:afterAutospacing="0" w:line="276" w:lineRule="auto"/>
        <w:ind w:firstLine="705"/>
        <w:jc w:val="both"/>
        <w:textAlignment w:val="baseline"/>
        <w:rPr>
          <w:rFonts w:ascii="Verdana" w:hAnsi="Verdana" w:cs="Segoe UI"/>
          <w:sz w:val="22"/>
          <w:szCs w:val="22"/>
        </w:rPr>
      </w:pPr>
      <w:r w:rsidRPr="00DB76E6">
        <w:rPr>
          <w:rStyle w:val="normaltextrun"/>
          <w:rFonts w:ascii="Verdana" w:hAnsi="Verdana" w:cs="Segoe UI"/>
          <w:color w:val="000000"/>
          <w:sz w:val="22"/>
          <w:szCs w:val="22"/>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DB76E6">
        <w:rPr>
          <w:rStyle w:val="eop"/>
          <w:rFonts w:ascii="Verdana" w:hAnsi="Verdana" w:cs="Segoe UI"/>
          <w:color w:val="000000"/>
          <w:sz w:val="22"/>
          <w:szCs w:val="22"/>
        </w:rPr>
        <w:t> </w:t>
      </w:r>
    </w:p>
    <w:p w14:paraId="5300867C" w14:textId="77777777" w:rsidR="009270B3" w:rsidRPr="00DB76E6" w:rsidRDefault="009270B3" w:rsidP="009270B3">
      <w:pPr>
        <w:tabs>
          <w:tab w:val="left" w:pos="142"/>
          <w:tab w:val="left" w:pos="284"/>
        </w:tabs>
        <w:snapToGrid w:val="0"/>
        <w:spacing w:after="0" w:line="276" w:lineRule="auto"/>
        <w:jc w:val="both"/>
        <w:rPr>
          <w:rFonts w:ascii="Verdana" w:eastAsia="Century Gothic" w:hAnsi="Verdana" w:cs="Century Gothic"/>
          <w:b/>
          <w:bCs/>
        </w:rPr>
      </w:pPr>
    </w:p>
    <w:p w14:paraId="56342FFE" w14:textId="77777777" w:rsidR="009270B3" w:rsidRPr="00DB76E6" w:rsidRDefault="009270B3" w:rsidP="009270B3">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B76E6">
        <w:rPr>
          <w:rFonts w:ascii="Verdana" w:eastAsia="Century Gothic" w:hAnsi="Verdana" w:cs="Century Gothic"/>
          <w:b/>
          <w:bCs/>
          <w:lang w:val="es-ES_tradnl"/>
        </w:rPr>
        <w:t>Referencias normativas, jurisprudenciales y otras fuentes:</w:t>
      </w:r>
    </w:p>
    <w:p w14:paraId="115EE56D" w14:textId="77777777" w:rsidR="00D92662" w:rsidRDefault="00D92662" w:rsidP="00D92662">
      <w:pPr>
        <w:pStyle w:val="Prrafodelista"/>
        <w:tabs>
          <w:tab w:val="left" w:pos="970"/>
        </w:tabs>
        <w:spacing w:after="0" w:line="276" w:lineRule="auto"/>
        <w:ind w:left="360"/>
        <w:jc w:val="both"/>
        <w:rPr>
          <w:rFonts w:ascii="Verdana" w:eastAsia="Calibri" w:hAnsi="Verdana" w:cs="Arial"/>
          <w:b/>
          <w:bCs/>
        </w:rPr>
      </w:pPr>
    </w:p>
    <w:p w14:paraId="7BCD3D73" w14:textId="77777777" w:rsidR="00D92662" w:rsidRDefault="00D92662" w:rsidP="00D92662">
      <w:pPr>
        <w:pStyle w:val="Prrafodelista"/>
        <w:tabs>
          <w:tab w:val="left" w:pos="970"/>
        </w:tabs>
        <w:spacing w:after="0" w:line="276" w:lineRule="auto"/>
        <w:ind w:left="360"/>
        <w:jc w:val="both"/>
        <w:rPr>
          <w:rFonts w:ascii="Verdana" w:eastAsia="Calibri" w:hAnsi="Verdana" w:cs="Arial"/>
          <w:b/>
          <w:bCs/>
        </w:rPr>
      </w:pPr>
    </w:p>
    <w:p w14:paraId="2F90BDC2" w14:textId="77777777" w:rsidR="00D92662" w:rsidRPr="00D92662" w:rsidRDefault="00D92662" w:rsidP="00D92662">
      <w:pPr>
        <w:pStyle w:val="Prrafodelista"/>
        <w:tabs>
          <w:tab w:val="left" w:pos="970"/>
        </w:tabs>
        <w:spacing w:after="0" w:line="276" w:lineRule="auto"/>
        <w:ind w:left="360"/>
        <w:jc w:val="both"/>
        <w:rPr>
          <w:rFonts w:ascii="Verdana" w:eastAsia="Calibri" w:hAnsi="Verdana" w:cs="Arial"/>
          <w:b/>
          <w:bC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270B3" w:rsidRPr="00601C28" w14:paraId="0DA62165" w14:textId="77777777" w:rsidTr="00970515">
        <w:trPr>
          <w:trHeight w:val="297"/>
        </w:trPr>
        <w:tc>
          <w:tcPr>
            <w:tcW w:w="8647" w:type="dxa"/>
            <w:tcBorders>
              <w:top w:val="dotted" w:sz="4" w:space="0" w:color="auto"/>
              <w:left w:val="dotted" w:sz="4" w:space="0" w:color="auto"/>
              <w:bottom w:val="dotted" w:sz="4" w:space="0" w:color="auto"/>
              <w:right w:val="dotted" w:sz="4" w:space="0" w:color="auto"/>
            </w:tcBorders>
          </w:tcPr>
          <w:p w14:paraId="52934C39" w14:textId="77777777" w:rsidR="009270B3" w:rsidRDefault="009270B3" w:rsidP="00970515">
            <w:pPr>
              <w:contextualSpacing/>
              <w:jc w:val="both"/>
              <w:rPr>
                <w:rFonts w:ascii="Verdana" w:eastAsia="Calibri" w:hAnsi="Verdana" w:cs="Arial"/>
                <w:bCs/>
                <w:lang w:eastAsia="es-MX"/>
              </w:rPr>
            </w:pPr>
          </w:p>
          <w:p w14:paraId="47CB65FB" w14:textId="77777777" w:rsidR="008A563C" w:rsidRPr="00601C28" w:rsidRDefault="008A563C" w:rsidP="00970515">
            <w:pPr>
              <w:contextualSpacing/>
              <w:jc w:val="both"/>
              <w:rPr>
                <w:rFonts w:ascii="Verdana" w:eastAsia="Calibri" w:hAnsi="Verdana" w:cs="Arial"/>
                <w:bCs/>
                <w:lang w:eastAsia="es-MX"/>
              </w:rPr>
            </w:pPr>
          </w:p>
          <w:p w14:paraId="77E007BC" w14:textId="77777777" w:rsidR="009270B3" w:rsidRPr="00601C28" w:rsidRDefault="009270B3" w:rsidP="00970515">
            <w:pPr>
              <w:widowControl w:val="0"/>
              <w:numPr>
                <w:ilvl w:val="0"/>
                <w:numId w:val="17"/>
              </w:numPr>
              <w:autoSpaceDE w:val="0"/>
              <w:autoSpaceDN w:val="0"/>
              <w:spacing w:line="276" w:lineRule="auto"/>
              <w:ind w:left="714" w:hanging="357"/>
              <w:jc w:val="both"/>
              <w:rPr>
                <w:rFonts w:ascii="Verdana" w:eastAsia="Calibri" w:hAnsi="Verdana" w:cs="Arial"/>
                <w:lang w:val="es-ES_tradnl" w:eastAsia="es-MX"/>
              </w:rPr>
            </w:pPr>
            <w:r w:rsidRPr="00601C28">
              <w:rPr>
                <w:rFonts w:ascii="Verdana" w:eastAsia="Calibri" w:hAnsi="Verdana" w:cs="Arial"/>
                <w:lang w:val="es-ES_tradnl" w:eastAsia="es-MX"/>
              </w:rPr>
              <w:t xml:space="preserve">Ley 2022 de 2020, artículo 1. </w:t>
            </w:r>
          </w:p>
          <w:p w14:paraId="6895C01D"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lang w:eastAsia="es-MX"/>
              </w:rPr>
            </w:pPr>
            <w:r w:rsidRPr="00601C28">
              <w:rPr>
                <w:rFonts w:ascii="Verdana" w:eastAsia="Calibri" w:hAnsi="Verdana" w:cs="Arial"/>
                <w:lang w:val="es-ES_tradnl" w:eastAsia="es-MX"/>
              </w:rPr>
              <w:t xml:space="preserve">Documentos Tipo. Disponibles en: </w:t>
            </w:r>
            <w:hyperlink r:id="rId12" w:history="1">
              <w:r w:rsidRPr="00601C28">
                <w:rPr>
                  <w:rFonts w:ascii="Verdana" w:eastAsia="Calibri" w:hAnsi="Verdana" w:cs="Arial"/>
                  <w:color w:val="0000FF"/>
                  <w:u w:val="single"/>
                  <w:lang w:val="es-ES_tradnl" w:eastAsia="es-MX"/>
                </w:rPr>
                <w:t>https://www.colombiacompra.gov.co/documentos-tipo/documentos-tipo</w:t>
              </w:r>
            </w:hyperlink>
            <w:r w:rsidRPr="00601C28">
              <w:rPr>
                <w:rFonts w:ascii="Verdana" w:eastAsia="Calibri" w:hAnsi="Verdana" w:cs="Arial"/>
                <w:lang w:val="es-ES_tradnl" w:eastAsia="es-MX"/>
              </w:rPr>
              <w:t>.</w:t>
            </w:r>
          </w:p>
          <w:p w14:paraId="53F80C4C"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Aptos" w:hAnsi="Verdana" w:cs="Arial"/>
              </w:rPr>
            </w:pPr>
            <w:r w:rsidRPr="00601C28">
              <w:rPr>
                <w:rFonts w:ascii="Verdana" w:eastAsia="Aptos" w:hAnsi="Verdana" w:cs="Arial"/>
              </w:rPr>
              <w:t xml:space="preserve">Ley 1150 de 2007 - </w:t>
            </w:r>
            <w:r w:rsidRPr="00601C28">
              <w:rPr>
                <w:rFonts w:ascii="Verdana" w:eastAsia="Calibri" w:hAnsi="Verdana" w:cs="Arial"/>
                <w:lang w:val="es-ES" w:eastAsia="es-ES"/>
              </w:rPr>
              <w:t>literal c, numeral 4, del artículo 2,</w:t>
            </w:r>
          </w:p>
          <w:p w14:paraId="6DFCB1CC" w14:textId="77777777" w:rsidR="009270B3" w:rsidRPr="00601C28" w:rsidRDefault="009270B3" w:rsidP="00970515">
            <w:pPr>
              <w:widowControl w:val="0"/>
              <w:numPr>
                <w:ilvl w:val="0"/>
                <w:numId w:val="17"/>
              </w:numPr>
              <w:autoSpaceDE w:val="0"/>
              <w:autoSpaceDN w:val="0"/>
              <w:spacing w:line="276" w:lineRule="auto"/>
              <w:ind w:left="714" w:hanging="357"/>
              <w:jc w:val="both"/>
              <w:rPr>
                <w:rFonts w:ascii="Verdana" w:eastAsia="Aptos" w:hAnsi="Verdana" w:cs="Arial"/>
              </w:rPr>
            </w:pPr>
            <w:r w:rsidRPr="00601C28">
              <w:rPr>
                <w:rFonts w:ascii="Verdana" w:eastAsia="Aptos" w:hAnsi="Verdana" w:cs="Arial"/>
              </w:rPr>
              <w:t>Ley 2195 de 2022: Artículo 56.</w:t>
            </w:r>
          </w:p>
          <w:p w14:paraId="123DD86C" w14:textId="77777777" w:rsidR="009270B3" w:rsidRPr="00601C28" w:rsidRDefault="009270B3" w:rsidP="00970515">
            <w:pPr>
              <w:widowControl w:val="0"/>
              <w:numPr>
                <w:ilvl w:val="0"/>
                <w:numId w:val="17"/>
              </w:numPr>
              <w:autoSpaceDE w:val="0"/>
              <w:autoSpaceDN w:val="0"/>
              <w:spacing w:line="276" w:lineRule="auto"/>
              <w:ind w:left="714" w:hanging="357"/>
              <w:jc w:val="both"/>
              <w:rPr>
                <w:rFonts w:ascii="Verdana" w:eastAsia="Aptos" w:hAnsi="Verdana" w:cs="Arial"/>
              </w:rPr>
            </w:pPr>
            <w:r w:rsidRPr="00601C28">
              <w:rPr>
                <w:rFonts w:ascii="Verdana" w:eastAsia="Calibri" w:hAnsi="Verdana" w:cs="Arial"/>
                <w:lang w:val="es-MX"/>
              </w:rPr>
              <w:t>Ley 30 de 1992: Artículo 57.</w:t>
            </w:r>
          </w:p>
          <w:p w14:paraId="69A45DB4" w14:textId="77777777" w:rsidR="009270B3" w:rsidRPr="00601C28" w:rsidRDefault="009270B3" w:rsidP="00970515">
            <w:pPr>
              <w:widowControl w:val="0"/>
              <w:numPr>
                <w:ilvl w:val="0"/>
                <w:numId w:val="17"/>
              </w:numPr>
              <w:autoSpaceDE w:val="0"/>
              <w:autoSpaceDN w:val="0"/>
              <w:spacing w:line="276" w:lineRule="auto"/>
              <w:ind w:left="714" w:hanging="357"/>
              <w:jc w:val="both"/>
              <w:rPr>
                <w:rFonts w:ascii="Verdana" w:eastAsia="Aptos" w:hAnsi="Verdana" w:cs="Arial"/>
              </w:rPr>
            </w:pPr>
            <w:r w:rsidRPr="00601C28">
              <w:rPr>
                <w:rFonts w:ascii="Verdana" w:eastAsia="Arial" w:hAnsi="Verdana" w:cs="Arial"/>
                <w:lang w:val="es-ES"/>
              </w:rPr>
              <w:t>Ley 489 de 1998: Artículo 40, artículo 81</w:t>
            </w:r>
          </w:p>
          <w:p w14:paraId="61ABC49D" w14:textId="77777777" w:rsidR="009270B3" w:rsidRPr="00601C28" w:rsidRDefault="009270B3" w:rsidP="00970515">
            <w:pPr>
              <w:widowControl w:val="0"/>
              <w:numPr>
                <w:ilvl w:val="0"/>
                <w:numId w:val="17"/>
              </w:numPr>
              <w:autoSpaceDE w:val="0"/>
              <w:autoSpaceDN w:val="0"/>
              <w:spacing w:line="276" w:lineRule="auto"/>
              <w:ind w:left="714" w:hanging="357"/>
              <w:jc w:val="both"/>
              <w:rPr>
                <w:rFonts w:ascii="Verdana" w:eastAsia="Aptos" w:hAnsi="Verdana" w:cs="Arial"/>
              </w:rPr>
            </w:pPr>
            <w:r w:rsidRPr="00601C28">
              <w:rPr>
                <w:rFonts w:ascii="Verdana" w:eastAsia="Aptos" w:hAnsi="Verdana" w:cs="Arial"/>
                <w:color w:val="000000"/>
              </w:rPr>
              <w:t xml:space="preserve">CONGRESO DE LA REPÚBLICA. Gaceta </w:t>
            </w:r>
            <w:proofErr w:type="spellStart"/>
            <w:r w:rsidRPr="00601C28">
              <w:rPr>
                <w:rFonts w:ascii="Verdana" w:eastAsia="Aptos" w:hAnsi="Verdana" w:cs="Arial"/>
                <w:color w:val="000000"/>
              </w:rPr>
              <w:t>Nº</w:t>
            </w:r>
            <w:proofErr w:type="spellEnd"/>
            <w:r w:rsidRPr="00601C28">
              <w:rPr>
                <w:rFonts w:ascii="Verdana" w:eastAsia="Aptos" w:hAnsi="Verdana" w:cs="Arial"/>
                <w:color w:val="000000"/>
              </w:rPr>
              <w:t xml:space="preserve"> 1677 del 23 de noviembre de 2021</w:t>
            </w:r>
          </w:p>
          <w:p w14:paraId="15A2AF67" w14:textId="77777777" w:rsidR="009270B3" w:rsidRPr="00601C28" w:rsidRDefault="009270B3" w:rsidP="00970515">
            <w:pPr>
              <w:widowControl w:val="0"/>
              <w:numPr>
                <w:ilvl w:val="0"/>
                <w:numId w:val="17"/>
              </w:numPr>
              <w:autoSpaceDE w:val="0"/>
              <w:autoSpaceDN w:val="0"/>
              <w:spacing w:line="276" w:lineRule="auto"/>
              <w:ind w:left="714" w:hanging="357"/>
              <w:jc w:val="both"/>
              <w:rPr>
                <w:rFonts w:ascii="Verdana" w:eastAsia="Aptos" w:hAnsi="Verdana" w:cs="Arial"/>
              </w:rPr>
            </w:pPr>
            <w:r w:rsidRPr="00601C28">
              <w:rPr>
                <w:rFonts w:ascii="Verdana" w:eastAsia="Aptos" w:hAnsi="Verdana" w:cs="Arial"/>
              </w:rPr>
              <w:t xml:space="preserve">Consejo de Estado. Sección Tercera. Sentencia del 6 de julio de 2005. </w:t>
            </w:r>
            <w:proofErr w:type="spellStart"/>
            <w:r w:rsidRPr="00601C28">
              <w:rPr>
                <w:rFonts w:ascii="Verdana" w:eastAsia="Aptos" w:hAnsi="Verdana" w:cs="Arial"/>
              </w:rPr>
              <w:t>Exp</w:t>
            </w:r>
            <w:proofErr w:type="spellEnd"/>
            <w:r w:rsidRPr="00601C28">
              <w:rPr>
                <w:rFonts w:ascii="Verdana" w:eastAsia="Aptos" w:hAnsi="Verdana" w:cs="Arial"/>
              </w:rPr>
              <w:t>. No. 11575. C.P. Alier E. Hernández Enríquez</w:t>
            </w:r>
          </w:p>
          <w:p w14:paraId="1D2FB945" w14:textId="77777777" w:rsidR="009270B3" w:rsidRPr="00601C28" w:rsidRDefault="009270B3" w:rsidP="00970515">
            <w:pPr>
              <w:widowControl w:val="0"/>
              <w:numPr>
                <w:ilvl w:val="0"/>
                <w:numId w:val="17"/>
              </w:numPr>
              <w:autoSpaceDE w:val="0"/>
              <w:autoSpaceDN w:val="0"/>
              <w:spacing w:line="276" w:lineRule="auto"/>
              <w:ind w:left="714" w:hanging="357"/>
              <w:jc w:val="both"/>
              <w:rPr>
                <w:rFonts w:ascii="Verdana" w:eastAsia="Aptos" w:hAnsi="Verdana" w:cs="Arial"/>
              </w:rPr>
            </w:pPr>
            <w:r w:rsidRPr="00601C28">
              <w:rPr>
                <w:rFonts w:ascii="Verdana" w:eastAsia="Aptos" w:hAnsi="Verdana" w:cs="Arial"/>
              </w:rPr>
              <w:lastRenderedPageBreak/>
              <w:t xml:space="preserve">CONSEJO DE ESTADO. Sección Tercera. Subsección A. Sentencia del 3 de marzo de 2021. </w:t>
            </w:r>
            <w:proofErr w:type="spellStart"/>
            <w:r w:rsidRPr="00601C28">
              <w:rPr>
                <w:rFonts w:ascii="Verdana" w:eastAsia="Aptos" w:hAnsi="Verdana" w:cs="Arial"/>
              </w:rPr>
              <w:t>Exp</w:t>
            </w:r>
            <w:proofErr w:type="spellEnd"/>
            <w:r w:rsidRPr="00601C28">
              <w:rPr>
                <w:rFonts w:ascii="Verdana" w:eastAsia="Aptos" w:hAnsi="Verdana" w:cs="Arial"/>
              </w:rPr>
              <w:t>. No. 51373. C.P. José Roberto Sáchica Méndez.</w:t>
            </w:r>
          </w:p>
          <w:p w14:paraId="4AE33E0B" w14:textId="77777777" w:rsidR="009270B3" w:rsidRPr="00601C28" w:rsidRDefault="009270B3" w:rsidP="00970515">
            <w:pPr>
              <w:widowControl w:val="0"/>
              <w:numPr>
                <w:ilvl w:val="0"/>
                <w:numId w:val="17"/>
              </w:numPr>
              <w:autoSpaceDE w:val="0"/>
              <w:autoSpaceDN w:val="0"/>
              <w:spacing w:line="276" w:lineRule="auto"/>
              <w:ind w:left="714" w:hanging="357"/>
              <w:jc w:val="both"/>
              <w:rPr>
                <w:rFonts w:ascii="Verdana" w:eastAsia="Aptos" w:hAnsi="Verdana" w:cs="Arial"/>
              </w:rPr>
            </w:pPr>
            <w:r w:rsidRPr="00601C28">
              <w:rPr>
                <w:rFonts w:ascii="Verdana" w:eastAsia="Aptos" w:hAnsi="Verdana" w:cs="Arial"/>
              </w:rPr>
              <w:t xml:space="preserve">CONSEJO DE ESTADO. Sección Tercera. Subsección B. Sentencia del 12 de octubre de 2011. </w:t>
            </w:r>
            <w:proofErr w:type="spellStart"/>
            <w:r w:rsidRPr="00601C28">
              <w:rPr>
                <w:rFonts w:ascii="Verdana" w:eastAsia="Aptos" w:hAnsi="Verdana" w:cs="Arial"/>
              </w:rPr>
              <w:t>Exp</w:t>
            </w:r>
            <w:proofErr w:type="spellEnd"/>
            <w:r w:rsidRPr="00601C28">
              <w:rPr>
                <w:rFonts w:ascii="Verdana" w:eastAsia="Aptos" w:hAnsi="Verdana" w:cs="Arial"/>
              </w:rPr>
              <w:t>. No. 20070. C.P. Danilo Rojas Betancourt.</w:t>
            </w:r>
          </w:p>
          <w:p w14:paraId="0AD00BC2"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lang w:eastAsia="es-MX"/>
              </w:rPr>
            </w:pPr>
            <w:r w:rsidRPr="00601C28">
              <w:rPr>
                <w:rFonts w:ascii="Verdana" w:eastAsia="Aptos" w:hAnsi="Verdana" w:cs="Arial"/>
              </w:rPr>
              <w:t>CORTE CONSTITUCIONAL, Sentencia C-382 de 2019, M.P. Alejandro Linares Cantillo.</w:t>
            </w:r>
          </w:p>
          <w:p w14:paraId="6A5FCA32"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Aptos" w:hAnsi="Verdana" w:cs="Arial"/>
              </w:rPr>
            </w:pPr>
            <w:r w:rsidRPr="00601C28">
              <w:rPr>
                <w:rFonts w:ascii="Verdana" w:eastAsia="Aptos" w:hAnsi="Verdana" w:cs="Arial"/>
              </w:rPr>
              <w:t>Corte Constitucional. Sentencia C-121 de 2003. M.P. Clara Inés Vargas Hernández.</w:t>
            </w:r>
          </w:p>
          <w:p w14:paraId="77DCCD42"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Aptos" w:hAnsi="Verdana" w:cs="Arial"/>
              </w:rPr>
            </w:pPr>
            <w:r w:rsidRPr="00601C28">
              <w:rPr>
                <w:rFonts w:ascii="Verdana" w:eastAsia="Aptos" w:hAnsi="Verdana" w:cs="Arial"/>
              </w:rPr>
              <w:t>Corte Constitucional. Sentencia C-1019 del 28 de noviembre de 2012. M.P. Mauricio González.</w:t>
            </w:r>
          </w:p>
          <w:p w14:paraId="6CBB48CC"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Aptos" w:hAnsi="Verdana" w:cs="Arial"/>
              </w:rPr>
            </w:pPr>
            <w:r w:rsidRPr="00601C28">
              <w:rPr>
                <w:rFonts w:ascii="Verdana" w:eastAsia="Aptos" w:hAnsi="Verdana" w:cs="Arial"/>
              </w:rPr>
              <w:t xml:space="preserve">CONSEJO DE ESTADO. Sección Cuarta. Sentencia del 16 de diciembre de 2008. </w:t>
            </w:r>
            <w:proofErr w:type="spellStart"/>
            <w:r w:rsidRPr="00601C28">
              <w:rPr>
                <w:rFonts w:ascii="Verdana" w:eastAsia="Aptos" w:hAnsi="Verdana" w:cs="Arial"/>
              </w:rPr>
              <w:t>Exp</w:t>
            </w:r>
            <w:proofErr w:type="spellEnd"/>
            <w:r w:rsidRPr="00601C28">
              <w:rPr>
                <w:rFonts w:ascii="Verdana" w:eastAsia="Aptos" w:hAnsi="Verdana" w:cs="Arial"/>
              </w:rPr>
              <w:t>. 16.297. C.P. Martha Teresa Briceño de Valencia.</w:t>
            </w:r>
          </w:p>
          <w:p w14:paraId="67E4A2A2"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Constitución Política, artículos 13, 69 y 150.</w:t>
            </w:r>
          </w:p>
          <w:p w14:paraId="494009AD"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Ley 30 de 1992: artículos 16, 29 y 93.</w:t>
            </w:r>
          </w:p>
          <w:p w14:paraId="38C0101C"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Ley 80 de 1993: artículo 2. Ley 100 de 1993: artículo 195. Ley 1150 de 2007: artículo 14.</w:t>
            </w:r>
          </w:p>
          <w:p w14:paraId="3B36C8FB"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Código Civil: artículos 27 y 71. Ley 153 de 1887: artículo 3. CPACA: artículos 28 y 88.</w:t>
            </w:r>
          </w:p>
          <w:p w14:paraId="3FC9119C"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CONGRESO DE LA REPÚBLICA. Gacetas del Congreso 1828, 1860 y 1861 de 2021, y 519 de 2022.</w:t>
            </w:r>
          </w:p>
          <w:p w14:paraId="1FB57201"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 xml:space="preserve">CONSEJO DE ESTADO. Sección Tercera. Sentencia del 11 de abril de 2019. </w:t>
            </w:r>
            <w:proofErr w:type="spellStart"/>
            <w:r w:rsidRPr="00601C28">
              <w:rPr>
                <w:rFonts w:ascii="Verdana" w:eastAsia="Calibri" w:hAnsi="Verdana" w:cs="Arial"/>
              </w:rPr>
              <w:t>Exp</w:t>
            </w:r>
            <w:proofErr w:type="spellEnd"/>
            <w:r w:rsidRPr="00601C28">
              <w:rPr>
                <w:rFonts w:ascii="Verdana" w:eastAsia="Calibri" w:hAnsi="Verdana" w:cs="Arial"/>
              </w:rPr>
              <w:t>. 52.055.</w:t>
            </w:r>
          </w:p>
          <w:p w14:paraId="0EE34C29"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CONSEJO DE ESTADO. Sala de Consulta y Servicio Civil. Concepto del 31 de agosto de 2021. Rad. 11001-03-06-000-2021-00079-00(2468). C.P. Édgar González López.</w:t>
            </w:r>
          </w:p>
          <w:p w14:paraId="40ED726C"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CORTE CONSTITUCIONAL. Sentencia C-119 de 2020.</w:t>
            </w:r>
          </w:p>
          <w:p w14:paraId="704B758B"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CORTE CONSTITUCIONAL. Sentencia C-346 de 2021.</w:t>
            </w:r>
          </w:p>
          <w:p w14:paraId="19E94D4F"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Aptos" w:hAnsi="Verdana" w:cs="Arial"/>
              </w:rPr>
            </w:pPr>
            <w:r w:rsidRPr="00601C28">
              <w:rPr>
                <w:rFonts w:ascii="Verdana" w:eastAsia="Calibri" w:hAnsi="Verdana" w:cs="Arial"/>
              </w:rPr>
              <w:t>AGENCIA NACIONAL DE CONTRATACIÓN PÚBLICA – COLOMBIA COMPRA EFICIENTE. Guía para las Entidades Estatales con régimen especial de contratación, versión 2.</w:t>
            </w:r>
          </w:p>
          <w:p w14:paraId="26479443"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Constitución Política, artículos 113 y 230.</w:t>
            </w:r>
          </w:p>
          <w:p w14:paraId="230F8989"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Decreto Ley 4170 de 2011: artículos 3, numeral 5, y 11, numeral 8.</w:t>
            </w:r>
          </w:p>
          <w:p w14:paraId="261C1347"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Ley 1437 de 2011: artículos 28, 88 y 112. Ley 1755 de 2015: artículo 1.</w:t>
            </w:r>
          </w:p>
          <w:p w14:paraId="1E1C61B6"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 xml:space="preserve">Ley 153 de 1887: artículo 5. Ley 1882 de 2018: artículo 4. Ley 1474 </w:t>
            </w:r>
            <w:r w:rsidRPr="00601C28">
              <w:rPr>
                <w:rFonts w:ascii="Verdana" w:eastAsia="Calibri" w:hAnsi="Verdana" w:cs="Arial"/>
              </w:rPr>
              <w:lastRenderedPageBreak/>
              <w:t>de 2011: artículo 93. Ley 749 de 2002: artículos 1 y 2.</w:t>
            </w:r>
          </w:p>
          <w:p w14:paraId="41DD5191"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Resolución 539 de 2025 de la Agencia Nacional de Contratación Pública – Colombia Compra Eficiente: artículos 2, 3, 9 y 23. Resoluciones 540 y 541 de 2025.</w:t>
            </w:r>
          </w:p>
          <w:p w14:paraId="628F0855"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Reglamento Colombiano de Construcción Sismo Resistente NSR-10.</w:t>
            </w:r>
          </w:p>
          <w:p w14:paraId="243F8ADC"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AGENCIA NACIONAL DE CONTRATACIÓN PÚBLICA – COLOMBIA COMPRA EFICIENTE. Memoria justificativa de la versión 2 de los documentos tipo de licitación de obra pública de infraestructura social, versión 02 del 21 de agosto de 2025, y su anexo (informe sectorial); Anexo 5 – Glosario; matriz de respuestas a las observaciones ciudadanas, e informe global de participación ciudadana del 2 de septiembre de 2025.</w:t>
            </w:r>
          </w:p>
          <w:p w14:paraId="34BED591"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SUPERINTENDENCIA DE INDUSTRIA Y COMERCIO. Concepto de abogacía de la competencia. Radicado 25-247334-1-0 del 11 de junio de 2025.</w:t>
            </w:r>
          </w:p>
          <w:p w14:paraId="1813E5A2"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CONSEJO DE ESTADO. Sala de Consulta y Servicio Civil. Concepto del 5 de octubre de 2009. Rad. 11001-03-06-000-2009-00049-00(1966). C.P. William Zambrano Cetina.</w:t>
            </w:r>
          </w:p>
          <w:p w14:paraId="4E5D360B"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PROCURADURÍA GENERAL DE LA NACIÓN. Procuraduría Delegada para Asuntos Disciplinarios. Concepto del 15 de octubre de 2014. Radicado PAD C-114-2014.</w:t>
            </w:r>
          </w:p>
          <w:p w14:paraId="68EF14B1"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CONTRALORÍA GENERAL DE LA REPÚBLICA. Oficina Jurídica. Concepto 80112-OJ-008 de 2017.</w:t>
            </w:r>
          </w:p>
          <w:p w14:paraId="36F9BC31"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ARBOLEDA PERDOMO, Enrique José. Comentarios al Nuevo Código de Procedimiento Administrativo y de lo Contencioso Administrativo. 2ª ed. Bogotá: Legis, 2012.</w:t>
            </w:r>
          </w:p>
          <w:p w14:paraId="25B5813D" w14:textId="77777777" w:rsidR="009270B3" w:rsidRPr="00601C28" w:rsidRDefault="009270B3" w:rsidP="00970515">
            <w:pPr>
              <w:widowControl w:val="0"/>
              <w:numPr>
                <w:ilvl w:val="0"/>
                <w:numId w:val="17"/>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HERNÁNDEZ BECERRA, Augusto. Función Consultiva y Consejo de Estado en Colombia. III Jornadas Internacionales de la Función Consultiva, Instituto de Investigaciones Jurídicas – UNAM. México, 2012.</w:t>
            </w:r>
          </w:p>
          <w:p w14:paraId="67E3DC2C" w14:textId="77777777" w:rsidR="009270B3" w:rsidRPr="008A563C" w:rsidRDefault="009270B3" w:rsidP="00970515">
            <w:pPr>
              <w:widowControl w:val="0"/>
              <w:numPr>
                <w:ilvl w:val="0"/>
                <w:numId w:val="17"/>
              </w:numPr>
              <w:autoSpaceDE w:val="0"/>
              <w:autoSpaceDN w:val="0"/>
              <w:spacing w:line="276" w:lineRule="auto"/>
              <w:contextualSpacing/>
              <w:jc w:val="both"/>
              <w:rPr>
                <w:rFonts w:ascii="Verdana" w:eastAsia="Aptos" w:hAnsi="Verdana" w:cs="Arial"/>
              </w:rPr>
            </w:pPr>
            <w:r w:rsidRPr="00601C28">
              <w:rPr>
                <w:rFonts w:ascii="Verdana" w:eastAsia="Calibri" w:hAnsi="Verdana" w:cs="Arial"/>
              </w:rPr>
              <w:t xml:space="preserve">GARCÍA DE ENTERRÍA, Eduardo. La lucha contra las inmunidades del poder en el derecho administrativo. 3ª ed. Madrid: </w:t>
            </w:r>
            <w:proofErr w:type="spellStart"/>
            <w:r w:rsidRPr="00601C28">
              <w:rPr>
                <w:rFonts w:ascii="Verdana" w:eastAsia="Calibri" w:hAnsi="Verdana" w:cs="Arial"/>
              </w:rPr>
              <w:t>Civitas</w:t>
            </w:r>
            <w:proofErr w:type="spellEnd"/>
            <w:r w:rsidRPr="00601C28">
              <w:rPr>
                <w:rFonts w:ascii="Verdana" w:eastAsia="Calibri" w:hAnsi="Verdana" w:cs="Arial"/>
              </w:rPr>
              <w:t>, 1983.</w:t>
            </w:r>
          </w:p>
          <w:p w14:paraId="5F474938" w14:textId="49FFE63A" w:rsidR="008A563C" w:rsidRDefault="008A563C" w:rsidP="008A563C">
            <w:pPr>
              <w:widowControl w:val="0"/>
              <w:autoSpaceDE w:val="0"/>
              <w:autoSpaceDN w:val="0"/>
              <w:spacing w:line="276" w:lineRule="auto"/>
              <w:contextualSpacing/>
              <w:jc w:val="both"/>
              <w:rPr>
                <w:rFonts w:ascii="Verdana" w:eastAsia="Aptos" w:hAnsi="Verdana" w:cs="Arial"/>
              </w:rPr>
            </w:pPr>
          </w:p>
          <w:p w14:paraId="458330F4" w14:textId="77777777" w:rsidR="00D92662" w:rsidRDefault="00D92662" w:rsidP="008A563C">
            <w:pPr>
              <w:widowControl w:val="0"/>
              <w:autoSpaceDE w:val="0"/>
              <w:autoSpaceDN w:val="0"/>
              <w:spacing w:line="276" w:lineRule="auto"/>
              <w:contextualSpacing/>
              <w:jc w:val="both"/>
              <w:rPr>
                <w:rFonts w:ascii="Verdana" w:eastAsia="Aptos" w:hAnsi="Verdana" w:cs="Arial"/>
              </w:rPr>
            </w:pPr>
          </w:p>
          <w:p w14:paraId="3F2BC80B" w14:textId="77777777" w:rsidR="008A563C" w:rsidRPr="00601C28" w:rsidRDefault="008A563C" w:rsidP="008A563C">
            <w:pPr>
              <w:widowControl w:val="0"/>
              <w:autoSpaceDE w:val="0"/>
              <w:autoSpaceDN w:val="0"/>
              <w:spacing w:line="276" w:lineRule="auto"/>
              <w:contextualSpacing/>
              <w:jc w:val="both"/>
              <w:rPr>
                <w:rFonts w:ascii="Verdana" w:eastAsia="Aptos" w:hAnsi="Verdana" w:cs="Arial"/>
              </w:rPr>
            </w:pPr>
          </w:p>
        </w:tc>
      </w:tr>
    </w:tbl>
    <w:p w14:paraId="395BD989" w14:textId="77777777" w:rsidR="009270B3" w:rsidRPr="00DB76E6" w:rsidRDefault="009270B3" w:rsidP="009270B3">
      <w:pPr>
        <w:tabs>
          <w:tab w:val="left" w:pos="142"/>
          <w:tab w:val="left" w:pos="284"/>
        </w:tabs>
        <w:spacing w:after="0" w:line="276" w:lineRule="auto"/>
        <w:jc w:val="both"/>
        <w:rPr>
          <w:rFonts w:ascii="Verdana" w:eastAsia="Calibri" w:hAnsi="Verdana" w:cs="Arial"/>
          <w:color w:val="6699FF"/>
        </w:rPr>
      </w:pPr>
    </w:p>
    <w:p w14:paraId="13B53F4E" w14:textId="77777777" w:rsidR="009270B3" w:rsidRDefault="009270B3" w:rsidP="009270B3">
      <w:pPr>
        <w:tabs>
          <w:tab w:val="left" w:pos="142"/>
          <w:tab w:val="left" w:pos="284"/>
        </w:tabs>
        <w:spacing w:after="0" w:line="276" w:lineRule="auto"/>
        <w:jc w:val="both"/>
        <w:rPr>
          <w:rFonts w:ascii="Verdana" w:eastAsia="Century Gothic" w:hAnsi="Verdana" w:cs="Century Gothic"/>
          <w:b/>
          <w:bCs/>
          <w:lang w:val="es-ES"/>
        </w:rPr>
      </w:pPr>
      <w:r w:rsidRPr="00DB76E6">
        <w:rPr>
          <w:rFonts w:ascii="Verdana" w:eastAsia="Calibri" w:hAnsi="Verdana" w:cs="Arial"/>
          <w:b/>
          <w:bCs/>
        </w:rPr>
        <w:lastRenderedPageBreak/>
        <w:t>5</w:t>
      </w:r>
      <w:r w:rsidRPr="00DB76E6">
        <w:rPr>
          <w:rFonts w:ascii="Verdana" w:eastAsia="Calibri" w:hAnsi="Verdana" w:cs="Arial"/>
        </w:rPr>
        <w:t>.</w:t>
      </w:r>
      <w:r w:rsidRPr="00DB76E6">
        <w:rPr>
          <w:rFonts w:ascii="Verdana" w:eastAsia="Century Gothic" w:hAnsi="Verdana" w:cs="Century Gothic"/>
          <w:b/>
          <w:bCs/>
          <w:lang w:val="es-ES"/>
        </w:rPr>
        <w:t>Doctrina de la Agencia Nacional de Contratación Pública:</w:t>
      </w:r>
    </w:p>
    <w:p w14:paraId="2B4A4158" w14:textId="77777777" w:rsidR="009270B3" w:rsidRPr="00DB76E6" w:rsidRDefault="009270B3" w:rsidP="009270B3">
      <w:pPr>
        <w:tabs>
          <w:tab w:val="left" w:pos="142"/>
          <w:tab w:val="left" w:pos="284"/>
        </w:tabs>
        <w:spacing w:after="0" w:line="276" w:lineRule="auto"/>
        <w:jc w:val="both"/>
        <w:rPr>
          <w:rFonts w:ascii="Verdana" w:eastAsia="Century Gothic" w:hAnsi="Verdana" w:cs="Century Gothic"/>
          <w:b/>
          <w:bCs/>
          <w:lang w:val="es-ES"/>
        </w:rPr>
      </w:pPr>
    </w:p>
    <w:p w14:paraId="5AB994AC" w14:textId="77777777" w:rsidR="009270B3" w:rsidRDefault="009270B3" w:rsidP="009270B3">
      <w:pPr>
        <w:widowControl w:val="0"/>
        <w:autoSpaceDE w:val="0"/>
        <w:autoSpaceDN w:val="0"/>
        <w:spacing w:after="0" w:line="276" w:lineRule="auto"/>
        <w:jc w:val="both"/>
        <w:rPr>
          <w:rFonts w:ascii="Verdana" w:eastAsia="Aptos" w:hAnsi="Verdana" w:cs="Times New Roman"/>
          <w:kern w:val="2"/>
          <w14:ligatures w14:val="standardContextual"/>
        </w:rPr>
      </w:pPr>
      <w:r w:rsidRPr="00601C28">
        <w:rPr>
          <w:rFonts w:ascii="Verdana" w:eastAsia="Calibri" w:hAnsi="Verdana" w:cs="Arial"/>
          <w:kern w:val="2"/>
          <w:lang w:val="es-ES" w:eastAsia="es-ES_tradnl"/>
          <w14:ligatures w14:val="standardContextual"/>
        </w:rPr>
        <w:t xml:space="preserve">La </w:t>
      </w:r>
      <w:r w:rsidRPr="00601C28">
        <w:rPr>
          <w:rFonts w:ascii="Verdana" w:eastAsia="Calibri" w:hAnsi="Verdana" w:cs="Arial"/>
          <w:kern w:val="2"/>
          <w:shd w:val="clear" w:color="auto" w:fill="FFFFFF"/>
          <w:lang w:val="es-ES"/>
          <w14:ligatures w14:val="standardContextual"/>
        </w:rPr>
        <w:t xml:space="preserve">Agencia Nacional de Contratación Pública − Colombia Compra Eficiente, </w:t>
      </w:r>
      <w:r w:rsidRPr="00601C28">
        <w:rPr>
          <w:rFonts w:ascii="Verdana" w:eastAsia="Times New Roman" w:hAnsi="Verdana" w:cs="Arial"/>
          <w:kern w:val="2"/>
          <w:lang w:val="es-ES_tradnl" w:eastAsia="es-ES_tradnl"/>
          <w14:ligatures w14:val="standardContextual"/>
        </w:rPr>
        <w:t xml:space="preserve">se ha pronunciado sobre </w:t>
      </w:r>
      <w:r w:rsidRPr="00601C28">
        <w:rPr>
          <w:rFonts w:ascii="Verdana" w:eastAsia="Times New Roman" w:hAnsi="Verdana" w:cs="Arial"/>
          <w:kern w:val="2"/>
          <w:lang w:eastAsia="es-ES_tradnl"/>
          <w14:ligatures w14:val="standardContextual"/>
        </w:rPr>
        <w:t xml:space="preserve">el alcance del artículo 56 de la Ley 2195 de 2022, específicamente, a partir del concepto C-066 del 28 de enero de 2022, cuya tesis se desarrolló y complementó los conceptos </w:t>
      </w:r>
      <w:r w:rsidRPr="00601C28">
        <w:rPr>
          <w:rFonts w:ascii="Verdana" w:eastAsia="Aptos" w:hAnsi="Verdana" w:cs="Times New Roman"/>
          <w:kern w:val="2"/>
          <w14:ligatures w14:val="standardContextual"/>
        </w:rPr>
        <w:t>C-320 del 20 de mayo de 2022, C-160 del 5 de abril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C-808 del 30 de julio de 2025,CU-870 del 13 de agosto de 2026, C-246 del 12 de marzo de 2026, C-464 del 5 de mayo de 2026, C-488 del 18 de junio de 2026, C-095 del 19 de junio de 2024, C-1326 del 23 de octubre de 2025, C-1871 del 5 de febrero de 2026</w:t>
      </w:r>
      <w:r>
        <w:rPr>
          <w:rFonts w:ascii="Verdana" w:eastAsia="Aptos" w:hAnsi="Verdana" w:cs="Times New Roman"/>
          <w:kern w:val="2"/>
          <w14:ligatures w14:val="standardContextual"/>
        </w:rPr>
        <w:t xml:space="preserve">, </w:t>
      </w:r>
      <w:r w:rsidRPr="00601C28">
        <w:rPr>
          <w:rFonts w:ascii="Verdana" w:eastAsia="Aptos" w:hAnsi="Verdana" w:cs="Times New Roman"/>
          <w:kern w:val="2"/>
          <w14:ligatures w14:val="standardContextual"/>
        </w:rPr>
        <w:t>C-1180 del 7 de septiembre de 2026</w:t>
      </w:r>
      <w:r>
        <w:rPr>
          <w:rFonts w:ascii="Verdana" w:eastAsia="Aptos" w:hAnsi="Verdana" w:cs="Times New Roman"/>
          <w:kern w:val="2"/>
          <w14:ligatures w14:val="standardContextual"/>
        </w:rPr>
        <w:t xml:space="preserve"> y C-1481 del </w:t>
      </w:r>
      <w:r>
        <w:rPr>
          <w:rFonts w:ascii="Verdana" w:eastAsia="Verdana" w:hAnsi="Verdana" w:cs="Verdana"/>
          <w:color w:val="000000" w:themeColor="text1"/>
        </w:rPr>
        <w:t>29 de octubre de 2026</w:t>
      </w:r>
      <w:r>
        <w:rPr>
          <w:rFonts w:ascii="Verdana" w:eastAsia="Aptos" w:hAnsi="Verdana" w:cs="Times New Roman"/>
          <w:kern w:val="2"/>
          <w14:ligatures w14:val="standardContextual"/>
        </w:rPr>
        <w:t xml:space="preserve"> </w:t>
      </w:r>
      <w:r w:rsidRPr="00601C28">
        <w:rPr>
          <w:rFonts w:ascii="Verdana" w:eastAsia="Aptos" w:hAnsi="Verdana" w:cs="Times New Roman"/>
          <w:kern w:val="2"/>
          <w14:ligatures w14:val="standardContextual"/>
        </w:rPr>
        <w:t>.</w:t>
      </w:r>
    </w:p>
    <w:p w14:paraId="1C89842C" w14:textId="77777777" w:rsidR="009270B3" w:rsidRPr="009D5308" w:rsidRDefault="009270B3" w:rsidP="009270B3">
      <w:pPr>
        <w:widowControl w:val="0"/>
        <w:autoSpaceDE w:val="0"/>
        <w:autoSpaceDN w:val="0"/>
        <w:spacing w:after="0" w:line="276" w:lineRule="auto"/>
        <w:jc w:val="both"/>
        <w:rPr>
          <w:rFonts w:ascii="Verdana" w:eastAsia="Calibri" w:hAnsi="Verdana" w:cs="Arial"/>
          <w:lang w:eastAsia="es-MX"/>
        </w:rPr>
      </w:pPr>
    </w:p>
    <w:p w14:paraId="62A03EDC" w14:textId="77777777" w:rsidR="009270B3" w:rsidRPr="009D5308" w:rsidRDefault="009270B3" w:rsidP="009270B3">
      <w:pPr>
        <w:spacing w:after="0" w:line="276" w:lineRule="auto"/>
        <w:jc w:val="both"/>
        <w:rPr>
          <w:rFonts w:ascii="Verdana" w:eastAsia="Calibri" w:hAnsi="Verdana" w:cs="Arial"/>
          <w:shd w:val="clear" w:color="auto" w:fill="FFFFFF"/>
          <w:lang w:val="es-ES" w:eastAsia="es-MX"/>
        </w:rPr>
      </w:pPr>
      <w:r>
        <w:rPr>
          <w:rFonts w:ascii="Verdana" w:eastAsia="Calibri" w:hAnsi="Verdana" w:cs="Arial"/>
          <w:shd w:val="clear" w:color="auto" w:fill="FFFFFF"/>
          <w:lang w:eastAsia="es-MX"/>
        </w:rPr>
        <w:t>So</w:t>
      </w:r>
      <w:proofErr w:type="spellStart"/>
      <w:r w:rsidRPr="009D5308">
        <w:rPr>
          <w:rFonts w:ascii="Verdana" w:eastAsia="Calibri" w:hAnsi="Verdana" w:cs="Arial"/>
          <w:shd w:val="clear" w:color="auto" w:fill="FFFFFF"/>
          <w:lang w:val="es-ES" w:eastAsia="es-MX"/>
        </w:rPr>
        <w:t>bre</w:t>
      </w:r>
      <w:proofErr w:type="spellEnd"/>
      <w:r w:rsidRPr="009D5308">
        <w:rPr>
          <w:rFonts w:ascii="Verdana" w:eastAsia="Calibri" w:hAnsi="Verdana" w:cs="Arial"/>
          <w:shd w:val="clear" w:color="auto" w:fill="FFFFFF"/>
          <w:lang w:val="es-ES" w:eastAsia="es-MX"/>
        </w:rPr>
        <w:t xml:space="preserv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9D5308">
        <w:rPr>
          <w:rFonts w:ascii="Verdana" w:eastAsia="Calibri" w:hAnsi="Verdana" w:cs="Arial"/>
          <w:shd w:val="clear" w:color="auto" w:fill="FFFFFF"/>
          <w:lang w:val="es-ES" w:eastAsia="es-MX"/>
        </w:rPr>
        <w:tab/>
        <w:t xml:space="preserve">C-636 del 1 de noviembre de 2024, C-777 del 9 de diciembre de 2024, C-971 del 21 de enero de 2025 y C-1813 del 31 de diciembre de 2025, entre otros. </w:t>
      </w:r>
    </w:p>
    <w:p w14:paraId="38986493" w14:textId="77777777" w:rsidR="009270B3" w:rsidRPr="001E1890" w:rsidRDefault="009270B3" w:rsidP="009270B3">
      <w:pPr>
        <w:widowControl w:val="0"/>
        <w:autoSpaceDE w:val="0"/>
        <w:autoSpaceDN w:val="0"/>
        <w:spacing w:after="0" w:line="276" w:lineRule="auto"/>
        <w:jc w:val="both"/>
        <w:rPr>
          <w:rFonts w:ascii="Verdana" w:eastAsia="Aptos" w:hAnsi="Verdana" w:cs="Times New Roman"/>
          <w:kern w:val="2"/>
          <w:lang w:val="es-ES"/>
          <w14:ligatures w14:val="standardContextual"/>
        </w:rPr>
      </w:pPr>
    </w:p>
    <w:p w14:paraId="49572F66" w14:textId="77777777" w:rsidR="009270B3" w:rsidRDefault="009270B3" w:rsidP="009270B3">
      <w:pPr>
        <w:widowControl w:val="0"/>
        <w:autoSpaceDE w:val="0"/>
        <w:autoSpaceDN w:val="0"/>
        <w:spacing w:after="0" w:line="276" w:lineRule="auto"/>
        <w:jc w:val="both"/>
        <w:rPr>
          <w:rFonts w:ascii="Verdana" w:eastAsia="Calibri" w:hAnsi="Verdana" w:cs="Arial"/>
        </w:rPr>
      </w:pPr>
      <w:r>
        <w:rPr>
          <w:rFonts w:ascii="Verdana" w:eastAsia="Calibri" w:hAnsi="Verdana" w:cs="Arial"/>
          <w:lang w:val="es-ES"/>
        </w:rPr>
        <w:t>En relación con la</w:t>
      </w:r>
      <w:r w:rsidRPr="00601C28">
        <w:rPr>
          <w:rFonts w:ascii="Verdana" w:eastAsia="Calibri" w:hAnsi="Verdana" w:cs="Arial"/>
        </w:rPr>
        <w:t xml:space="preserve"> función consultiva de la Agencia Nacional de Contratación Pública – Colombia Compra Eficiente y el alcance de sus conceptos, de conformidad con el artículo 28 de la Ley 1437 de 2011, esta Agencia se ha pronunciado, entre otros, en los conceptos C-152 del 17 de marzo de 2025, C-483 del 20 de mayo de 2025, C-1089 del 17 de septiembre de 2025, C-1696 del 1 de diciembre de 2025, C-1125 del 25 de agosto de 2026 y C-1430 del 21 de </w:t>
      </w:r>
      <w:r w:rsidRPr="00601C28">
        <w:rPr>
          <w:rFonts w:ascii="Verdana" w:eastAsia="Calibri" w:hAnsi="Verdana" w:cs="Arial"/>
        </w:rPr>
        <w:lastRenderedPageBreak/>
        <w:t>octubre de 2026.</w:t>
      </w:r>
    </w:p>
    <w:p w14:paraId="30C22749" w14:textId="77777777" w:rsidR="009270B3" w:rsidRDefault="009270B3" w:rsidP="009270B3">
      <w:pPr>
        <w:widowControl w:val="0"/>
        <w:autoSpaceDE w:val="0"/>
        <w:autoSpaceDN w:val="0"/>
        <w:spacing w:after="0" w:line="276" w:lineRule="auto"/>
        <w:jc w:val="both"/>
        <w:rPr>
          <w:rFonts w:ascii="Verdana" w:eastAsia="Calibri" w:hAnsi="Verdana" w:cs="Arial"/>
        </w:rPr>
      </w:pPr>
    </w:p>
    <w:p w14:paraId="2369DD15" w14:textId="77777777" w:rsidR="009270B3" w:rsidRPr="00F92814" w:rsidRDefault="009270B3" w:rsidP="009270B3">
      <w:pPr>
        <w:widowControl w:val="0"/>
        <w:autoSpaceDE w:val="0"/>
        <w:autoSpaceDN w:val="0"/>
        <w:spacing w:after="0" w:line="276" w:lineRule="auto"/>
        <w:jc w:val="both"/>
        <w:rPr>
          <w:rFonts w:ascii="Verdana" w:eastAsia="Calibri" w:hAnsi="Verdana" w:cs="Arial"/>
        </w:rPr>
      </w:pPr>
      <w:r w:rsidRPr="00601C28">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601C28">
          <w:rPr>
            <w:rFonts w:ascii="Verdana" w:eastAsia="Calibri" w:hAnsi="Verdana" w:cs="Arial"/>
            <w:color w:val="0000FF"/>
            <w:u w:val="single"/>
            <w:shd w:val="clear" w:color="auto" w:fill="FFFFFF"/>
            <w:lang w:eastAsia="es-MX"/>
          </w:rPr>
          <w:t>https://relatoria.colombiacompra.gov.co/</w:t>
        </w:r>
      </w:hyperlink>
      <w:r w:rsidRPr="00601C28">
        <w:rPr>
          <w:rFonts w:ascii="Verdana" w:eastAsia="Calibri" w:hAnsi="Verdana" w:cs="Arial"/>
          <w:color w:val="0000FF"/>
          <w:u w:val="single"/>
          <w:shd w:val="clear" w:color="auto" w:fill="FFFFFF"/>
          <w:lang w:eastAsia="es-MX"/>
        </w:rPr>
        <w:t> .</w:t>
      </w:r>
    </w:p>
    <w:p w14:paraId="2F5345FF" w14:textId="77777777" w:rsidR="009270B3" w:rsidRPr="00601C28" w:rsidRDefault="009270B3" w:rsidP="009270B3">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28B11989" w14:textId="77777777" w:rsidR="009270B3" w:rsidRPr="00DB76E6" w:rsidRDefault="009270B3" w:rsidP="009270B3">
      <w:pPr>
        <w:spacing w:after="550"/>
        <w:jc w:val="both"/>
        <w:rPr>
          <w:rFonts w:ascii="Verdana" w:eastAsia="Times New Roman" w:hAnsi="Verdana" w:cs="Segoe UI"/>
          <w:color w:val="2B2B2B"/>
          <w:lang w:val="es-ES" w:eastAsia="es-CO"/>
        </w:rPr>
      </w:pPr>
      <w:r w:rsidRPr="00DB76E6">
        <w:rPr>
          <w:rFonts w:ascii="Verdana" w:eastAsia="Calibri" w:hAnsi="Verdana" w:cs="Arial"/>
        </w:rPr>
        <w:t xml:space="preserve">Estos y otros conceptos se encuentran disponibles para consulta en el Sistema de relatoría de la Agencia, al cual se puede acceder a través del siguiente enlace: </w:t>
      </w:r>
      <w:hyperlink r:id="rId14" w:history="1">
        <w:r w:rsidRPr="00DB76E6">
          <w:rPr>
            <w:rStyle w:val="Hipervnculo"/>
            <w:rFonts w:ascii="Verdana" w:eastAsia="Calibri" w:hAnsi="Verdana" w:cs="Arial"/>
          </w:rPr>
          <w:t>https://relatoria.colombiacompra.gov.co/busqueda/conceptos</w:t>
        </w:r>
      </w:hyperlink>
    </w:p>
    <w:p w14:paraId="2D2D64B4" w14:textId="77777777" w:rsidR="009270B3" w:rsidRPr="00A71C0F" w:rsidRDefault="009270B3" w:rsidP="009270B3">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A71C0F">
        <w:rPr>
          <w:rFonts w:ascii="Verdana" w:eastAsia="Calibri" w:hAnsi="Verdana" w:cs="Arial"/>
          <w:kern w:val="2"/>
          <w:shd w:val="clear" w:color="auto" w:fill="FFFFFF"/>
          <w:lang w:val="es-ES_tradnl"/>
          <w14:ligatures w14:val="standardContextual"/>
        </w:rPr>
        <w:t>La</w:t>
      </w:r>
      <w:r w:rsidRPr="00A71C0F">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A71C0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A71C0F">
        <w:rPr>
          <w:rFonts w:ascii="Verdana" w:eastAsia="Calibri" w:hAnsi="Verdana" w:cs="Arial"/>
          <w:b/>
          <w:bCs/>
          <w:kern w:val="2"/>
          <w:shd w:val="clear" w:color="auto" w:fill="FFFFFF"/>
          <w:lang w:val="es-ES_tradnl"/>
          <w14:ligatures w14:val="standardContextual"/>
        </w:rPr>
        <w:t>Documentos Tipo</w:t>
      </w:r>
      <w:r w:rsidRPr="00A71C0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A71C0F">
        <w:rPr>
          <w:rFonts w:ascii="Verdana" w:eastAsia="Calibri" w:hAnsi="Verdana" w:cs="Arial"/>
          <w:b/>
          <w:bCs/>
          <w:kern w:val="2"/>
          <w:shd w:val="clear" w:color="auto" w:fill="FFFFFF"/>
          <w:lang w:val="es-ES_tradnl"/>
          <w14:ligatures w14:val="standardContextual"/>
        </w:rPr>
        <w:t>transparencia</w:t>
      </w:r>
      <w:r w:rsidRPr="00A71C0F">
        <w:rPr>
          <w:rFonts w:ascii="Verdana" w:eastAsia="Calibri" w:hAnsi="Verdana" w:cs="Arial"/>
          <w:kern w:val="2"/>
          <w:shd w:val="clear" w:color="auto" w:fill="FFFFFF"/>
          <w:lang w:val="es-ES_tradnl"/>
          <w14:ligatures w14:val="standardContextual"/>
        </w:rPr>
        <w:t> y promover un proceso de </w:t>
      </w:r>
      <w:r w:rsidRPr="00A71C0F">
        <w:rPr>
          <w:rFonts w:ascii="Verdana" w:eastAsia="Calibri" w:hAnsi="Verdana" w:cs="Arial"/>
          <w:b/>
          <w:bCs/>
          <w:kern w:val="2"/>
          <w:shd w:val="clear" w:color="auto" w:fill="FFFFFF"/>
          <w:lang w:val="es-ES_tradnl"/>
          <w14:ligatures w14:val="standardContextual"/>
        </w:rPr>
        <w:t>selección objetiva</w:t>
      </w:r>
      <w:r w:rsidRPr="00A71C0F">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417D0F41" w14:textId="77777777" w:rsidR="009270B3" w:rsidRPr="00A71C0F" w:rsidRDefault="009270B3" w:rsidP="009270B3">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5BEFD7D" w14:textId="77777777" w:rsidR="009270B3" w:rsidRPr="00E071C4" w:rsidRDefault="009270B3" w:rsidP="009270B3">
      <w:pPr>
        <w:spacing w:after="0" w:line="276" w:lineRule="auto"/>
        <w:jc w:val="both"/>
        <w:rPr>
          <w:rFonts w:ascii="Verdana" w:eastAsia="Aptos" w:hAnsi="Verdana" w:cs="Times New Roman"/>
          <w:kern w:val="2"/>
          <w:lang w:val="it-IT"/>
          <w14:ligatures w14:val="standardContextual"/>
        </w:rPr>
      </w:pPr>
      <w:r w:rsidRPr="00A71C0F">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A71C0F">
        <w:rPr>
          <w:rFonts w:ascii="Verdana" w:eastAsia="Aptos" w:hAnsi="Verdana" w:cs="Times New Roman"/>
          <w:b/>
          <w:bCs/>
          <w:kern w:val="2"/>
          <w14:ligatures w14:val="standardContextual"/>
        </w:rPr>
        <w:t>Guía para la Exigencia y Constitución de Garantías en los Procesos de Contratación</w:t>
      </w:r>
      <w:r w:rsidRPr="00A71C0F">
        <w:rPr>
          <w:rFonts w:ascii="Verdana" w:eastAsia="Aptos" w:hAnsi="Verdana" w:cs="Times New Roman"/>
          <w:kern w:val="2"/>
          <w14:ligatures w14:val="standardContextual"/>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proofErr w:type="spellStart"/>
      <w:r w:rsidRPr="00E071C4">
        <w:rPr>
          <w:rFonts w:ascii="Verdana" w:eastAsia="Aptos" w:hAnsi="Verdana" w:cs="Times New Roman"/>
          <w:kern w:val="2"/>
          <w:lang w:val="it-IT"/>
          <w14:ligatures w14:val="standardContextual"/>
        </w:rPr>
        <w:t>Consúltela</w:t>
      </w:r>
      <w:proofErr w:type="spellEnd"/>
      <w:r w:rsidRPr="00E071C4">
        <w:rPr>
          <w:rFonts w:ascii="Verdana" w:eastAsia="Aptos" w:hAnsi="Verdana" w:cs="Times New Roman"/>
          <w:kern w:val="2"/>
          <w:lang w:val="it-IT"/>
          <w14:ligatures w14:val="standardContextual"/>
        </w:rPr>
        <w:t xml:space="preserve"> aquí: </w:t>
      </w:r>
      <w:hyperlink r:id="rId15" w:tgtFrame="_blank" w:tooltip="Original URL: https://www.colombiacompra.gov.co/archivos/manual/guia-de-garantias-en-procesos-de-contratacion. Click or tap if you trust this link." w:history="1">
        <w:r w:rsidRPr="00E071C4">
          <w:rPr>
            <w:rFonts w:ascii="Verdana" w:eastAsia="Aptos" w:hAnsi="Verdana" w:cs="Times New Roman"/>
            <w:color w:val="0000FF"/>
            <w:kern w:val="2"/>
            <w:u w:val="single"/>
            <w:lang w:val="it-IT"/>
            <w14:ligatures w14:val="standardContextual"/>
          </w:rPr>
          <w:t>https://www.colombiacompra.gov.co/archivos/manual/guia-de-garantias-en-procesos-de-contratacion</w:t>
        </w:r>
      </w:hyperlink>
    </w:p>
    <w:p w14:paraId="3B0F8C30" w14:textId="77777777" w:rsidR="009270B3" w:rsidRPr="00E071C4" w:rsidRDefault="009270B3" w:rsidP="009270B3">
      <w:pPr>
        <w:spacing w:after="0" w:line="276" w:lineRule="auto"/>
        <w:jc w:val="both"/>
        <w:rPr>
          <w:rFonts w:ascii="Verdana" w:eastAsia="Aptos" w:hAnsi="Verdana" w:cs="Times New Roman"/>
          <w:kern w:val="2"/>
          <w:lang w:val="it-IT"/>
          <w14:ligatures w14:val="standardContextual"/>
        </w:rPr>
      </w:pPr>
    </w:p>
    <w:p w14:paraId="5E81D6F1" w14:textId="77777777" w:rsidR="009270B3" w:rsidRPr="00E071C4" w:rsidRDefault="009270B3" w:rsidP="009270B3">
      <w:pPr>
        <w:spacing w:after="0" w:line="276" w:lineRule="auto"/>
        <w:jc w:val="both"/>
        <w:rPr>
          <w:rFonts w:ascii="Verdana" w:eastAsia="Aptos" w:hAnsi="Verdana" w:cs="Times New Roman"/>
          <w:kern w:val="2"/>
          <w:lang w:val="it-IT"/>
          <w14:ligatures w14:val="standardContextual"/>
        </w:rPr>
      </w:pPr>
      <w:r w:rsidRPr="00A71C0F">
        <w:rPr>
          <w:rFonts w:ascii="Verdana" w:eastAsia="Aptos" w:hAnsi="Verdana" w:cs="Times New Roman"/>
          <w:kern w:val="2"/>
          <w14:ligatures w14:val="standardContextual"/>
        </w:rPr>
        <w:t xml:space="preserve">De otro lado, le contamos que el Decreto 287 del 19 de marzo de 2026 sustituyó los artículos 2.2.1.2.4.2.6., 2.2.1.2.4.2.7. y 2.2.1.2.4.2.8. del Decreto 1082 de </w:t>
      </w:r>
      <w:r w:rsidRPr="00A71C0F">
        <w:rPr>
          <w:rFonts w:ascii="Verdana" w:eastAsia="Aptos" w:hAnsi="Verdana" w:cs="Times New Roman"/>
          <w:kern w:val="2"/>
          <w14:ligatures w14:val="standardContextual"/>
        </w:rPr>
        <w:lastRenderedPageBreak/>
        <w:t>2015 y estructuró el </w:t>
      </w:r>
      <w:r w:rsidRPr="00A71C0F">
        <w:rPr>
          <w:rFonts w:ascii="Verdana" w:eastAsia="Aptos" w:hAnsi="Verdana" w:cs="Times New Roman"/>
          <w:b/>
          <w:bCs/>
          <w:kern w:val="2"/>
          <w14:ligatures w14:val="standardContextual"/>
        </w:rPr>
        <w:t>Sistema Integral de Preferencias en favor de las personas con discapacidad</w:t>
      </w:r>
      <w:r w:rsidRPr="00A71C0F">
        <w:rPr>
          <w:rFonts w:ascii="Verdana" w:eastAsia="Aptos" w:hAnsi="Verdana" w:cs="Times New Roman"/>
          <w:kern w:val="2"/>
          <w14:ligatures w14:val="standardContextual"/>
        </w:rPr>
        <w:t>, en cumplimiento del artículo 13 de la Ley Estatutaria 1618 de 2013. Para orientar su aplicación, esta Agencia expidió la </w:t>
      </w:r>
      <w:r w:rsidRPr="00A71C0F">
        <w:rPr>
          <w:rFonts w:ascii="Verdana" w:eastAsia="Aptos" w:hAnsi="Verdana" w:cs="Times New Roman"/>
          <w:b/>
          <w:bCs/>
          <w:kern w:val="2"/>
          <w14:ligatures w14:val="standardContextual"/>
        </w:rPr>
        <w:t>Circular Externa 003 del 12 de mayo de 2026, </w:t>
      </w:r>
      <w:r w:rsidRPr="00A71C0F">
        <w:rPr>
          <w:rFonts w:ascii="Verdana" w:eastAsia="Aptos" w:hAnsi="Verdana" w:cs="Times New Roman"/>
          <w:kern w:val="2"/>
          <w14:ligatures w14:val="standardContextual"/>
        </w:rPr>
        <w:t xml:space="preserve">en la que precisa quiénes son los beneficiarios, las cinco medidas que integran el sistema y su obligatoriedad según la modalidad de selección, y el régimen de transición aplicable a los procesos en curso. </w:t>
      </w:r>
      <w:proofErr w:type="spellStart"/>
      <w:r w:rsidRPr="00E071C4">
        <w:rPr>
          <w:rFonts w:ascii="Verdana" w:eastAsia="Aptos" w:hAnsi="Verdana" w:cs="Times New Roman"/>
          <w:kern w:val="2"/>
          <w:lang w:val="it-IT"/>
          <w14:ligatures w14:val="standardContextual"/>
        </w:rPr>
        <w:t>Consúltela</w:t>
      </w:r>
      <w:proofErr w:type="spellEnd"/>
      <w:r w:rsidRPr="00E071C4">
        <w:rPr>
          <w:rFonts w:ascii="Verdana" w:eastAsia="Aptos" w:hAnsi="Verdana" w:cs="Times New Roman"/>
          <w:kern w:val="2"/>
          <w:lang w:val="it-IT"/>
          <w14:ligatures w14:val="standardContextual"/>
        </w:rPr>
        <w:t xml:space="preserve"> aquí: </w:t>
      </w:r>
      <w:hyperlink r:id="rId16" w:tgtFrame="_blank" w:tooltip="Original URL: https://www.colombiacompra.gov.co/archivos/circular/circular-externa-003-de-2026. Click or tap if you trust this link." w:history="1">
        <w:r w:rsidRPr="00E071C4">
          <w:rPr>
            <w:rFonts w:ascii="Verdana" w:eastAsia="Aptos" w:hAnsi="Verdana" w:cs="Times New Roman"/>
            <w:color w:val="0000FF"/>
            <w:kern w:val="2"/>
            <w:u w:val="single"/>
            <w:lang w:val="it-IT"/>
            <w14:ligatures w14:val="standardContextual"/>
          </w:rPr>
          <w:t>https://www.colombiacompra.gov.co/archivos/circular/circular-externa-003-de-2026</w:t>
        </w:r>
      </w:hyperlink>
    </w:p>
    <w:p w14:paraId="361FBCA9" w14:textId="77777777" w:rsidR="009270B3" w:rsidRPr="00E071C4" w:rsidRDefault="009270B3" w:rsidP="009270B3">
      <w:pPr>
        <w:spacing w:after="0" w:line="276" w:lineRule="auto"/>
        <w:jc w:val="both"/>
        <w:rPr>
          <w:rFonts w:ascii="Verdana" w:eastAsia="Aptos" w:hAnsi="Verdana" w:cs="Times New Roman"/>
          <w:kern w:val="2"/>
          <w:lang w:val="it-IT"/>
          <w14:ligatures w14:val="standardContextual"/>
        </w:rPr>
      </w:pPr>
    </w:p>
    <w:p w14:paraId="7A956274" w14:textId="77777777" w:rsidR="009270B3" w:rsidRPr="00A71C0F" w:rsidRDefault="009270B3" w:rsidP="009270B3">
      <w:pPr>
        <w:spacing w:after="0" w:line="276" w:lineRule="auto"/>
        <w:jc w:val="both"/>
        <w:rPr>
          <w:rFonts w:ascii="Verdana" w:eastAsia="Aptos" w:hAnsi="Verdana" w:cs="Times New Roman"/>
          <w:kern w:val="2"/>
          <w:lang w:val="es-ES_tradnl"/>
          <w14:ligatures w14:val="standardContextual"/>
        </w:rPr>
      </w:pPr>
      <w:r w:rsidRPr="00A71C0F">
        <w:rPr>
          <w:rFonts w:ascii="Verdana" w:eastAsia="Aptos" w:hAnsi="Verdana" w:cs="Times New Roman"/>
          <w:kern w:val="2"/>
          <w14:ligatures w14:val="standardContextual"/>
        </w:rPr>
        <w:t>Recuerde también que la</w:t>
      </w:r>
      <w:r w:rsidRPr="00A71C0F">
        <w:rPr>
          <w:rFonts w:ascii="Verdana" w:eastAsia="Aptos" w:hAnsi="Verdana" w:cs="Times New Roman"/>
          <w:b/>
          <w:bCs/>
          <w:kern w:val="2"/>
          <w14:ligatures w14:val="standardContextual"/>
        </w:rPr>
        <w:t> información sobre sanciones e inhabilidades </w:t>
      </w:r>
      <w:r w:rsidRPr="00A71C0F">
        <w:rPr>
          <w:rFonts w:ascii="Verdana" w:eastAsia="Aptos" w:hAnsi="Verdana" w:cs="Times New Roman"/>
          <w:kern w:val="2"/>
          <w14:ligatures w14:val="standardContextual"/>
        </w:rPr>
        <w:t>solo cumple su función preventiva si llega oportunamente a los registros públicos. Sobre este deber, esta Agencia expidió la </w:t>
      </w:r>
      <w:r w:rsidRPr="00A71C0F">
        <w:rPr>
          <w:rFonts w:ascii="Verdana" w:eastAsia="Aptos" w:hAnsi="Verdana" w:cs="Times New Roman"/>
          <w:b/>
          <w:bCs/>
          <w:kern w:val="2"/>
          <w14:ligatures w14:val="standardContextual"/>
        </w:rPr>
        <w:t>Circular Externa 002 del 5 de mayo de 2026,</w:t>
      </w:r>
      <w:r w:rsidRPr="00A71C0F">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Original URL: https://www.colombiacompra.gov.co/archivos/circular/circular-externa-002-de-2026. Click or tap if you trust this link." w:history="1">
        <w:r w:rsidRPr="00A71C0F">
          <w:rPr>
            <w:rFonts w:ascii="Verdana" w:eastAsia="Aptos" w:hAnsi="Verdana" w:cs="Times New Roman"/>
            <w:color w:val="0000FF"/>
            <w:kern w:val="2"/>
            <w:u w:val="single"/>
            <w14:ligatures w14:val="standardContextual"/>
          </w:rPr>
          <w:t>https://www.colombiacompra.gov.co/archivos/circular/circular-externa-002-de-2026</w:t>
        </w:r>
      </w:hyperlink>
    </w:p>
    <w:p w14:paraId="4FEEEBC8" w14:textId="77777777" w:rsidR="009270B3" w:rsidRPr="00A71C0F" w:rsidRDefault="009270B3" w:rsidP="009270B3">
      <w:pPr>
        <w:spacing w:after="0" w:line="276" w:lineRule="auto"/>
        <w:jc w:val="both"/>
        <w:rPr>
          <w:rFonts w:ascii="Verdana" w:eastAsia="Aptos" w:hAnsi="Verdana" w:cs="Times New Roman"/>
          <w:kern w:val="2"/>
          <w14:ligatures w14:val="standardContextual"/>
        </w:rPr>
      </w:pPr>
    </w:p>
    <w:p w14:paraId="1BD84A39" w14:textId="77777777" w:rsidR="009270B3" w:rsidRPr="00A71C0F" w:rsidRDefault="009270B3" w:rsidP="009270B3">
      <w:pPr>
        <w:spacing w:after="0" w:line="276" w:lineRule="auto"/>
        <w:jc w:val="both"/>
        <w:rPr>
          <w:rFonts w:ascii="Verdana" w:eastAsia="Aptos" w:hAnsi="Verdana" w:cs="Times New Roman"/>
          <w:kern w:val="2"/>
          <w14:ligatures w14:val="standardContextual"/>
        </w:rPr>
      </w:pPr>
      <w:r w:rsidRPr="00A71C0F">
        <w:rPr>
          <w:rFonts w:ascii="Verdana" w:eastAsia="Aptos" w:hAnsi="Verdana" w:cs="Times New Roman"/>
          <w:kern w:val="2"/>
          <w14:ligatures w14:val="standardContextual"/>
        </w:rPr>
        <w:t>Finalmente, si quiere seguir de cerca la actividad de la Agencia, la tercera edición de 2026 del</w:t>
      </w:r>
      <w:r w:rsidRPr="00A71C0F">
        <w:rPr>
          <w:rFonts w:ascii="Verdana" w:eastAsia="Aptos" w:hAnsi="Verdana" w:cs="Times New Roman"/>
          <w:b/>
          <w:bCs/>
          <w:kern w:val="2"/>
          <w14:ligatures w14:val="standardContextual"/>
        </w:rPr>
        <w:t> Radar de la Compra Pública</w:t>
      </w:r>
      <w:r w:rsidRPr="00A71C0F">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8" w:tgtFrame="_blank" w:tooltip="Original URL: https://www.colombiacompra.gov.co/archivos/boletin/boletin-edicion-n-3-de-2026-radar-de-la-compra-publica. Click or tap if you trust this link." w:history="1">
        <w:r w:rsidRPr="00A71C0F">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0DFFEFF0" w14:textId="77777777" w:rsidR="007A2D9F" w:rsidRDefault="007A2D9F" w:rsidP="009270B3">
      <w:pPr>
        <w:spacing w:after="0" w:line="240" w:lineRule="auto"/>
        <w:jc w:val="both"/>
        <w:rPr>
          <w:rFonts w:ascii="Verdana" w:eastAsia="Aptos" w:hAnsi="Verdana" w:cs="Times New Roman"/>
          <w:kern w:val="2"/>
          <w14:ligatures w14:val="standardContextual"/>
        </w:rPr>
      </w:pPr>
    </w:p>
    <w:p w14:paraId="7810ED71" w14:textId="77777777" w:rsidR="007A2D9F" w:rsidRDefault="007A2D9F" w:rsidP="009270B3">
      <w:pPr>
        <w:spacing w:after="0" w:line="240" w:lineRule="auto"/>
        <w:jc w:val="both"/>
        <w:rPr>
          <w:rFonts w:ascii="Verdana" w:eastAsia="Aptos" w:hAnsi="Verdana" w:cs="Times New Roman"/>
          <w:kern w:val="2"/>
          <w14:ligatures w14:val="standardContextual"/>
        </w:rPr>
      </w:pPr>
    </w:p>
    <w:p w14:paraId="53A43C21" w14:textId="2EA481B6" w:rsidR="009270B3" w:rsidRPr="009552C8" w:rsidRDefault="009270B3" w:rsidP="009270B3">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5EA3AC82" w14:textId="77777777" w:rsidR="009270B3" w:rsidRDefault="009270B3" w:rsidP="009270B3">
      <w:pPr>
        <w:spacing w:after="0" w:line="240" w:lineRule="auto"/>
        <w:jc w:val="both"/>
        <w:rPr>
          <w:rFonts w:ascii="Verdana" w:eastAsia="Aptos" w:hAnsi="Verdana" w:cs="Times New Roman"/>
          <w:kern w:val="2"/>
          <w14:ligatures w14:val="standardContextual"/>
        </w:rPr>
      </w:pPr>
    </w:p>
    <w:p w14:paraId="00F38735" w14:textId="77777777" w:rsidR="008A563C" w:rsidRPr="009552C8" w:rsidRDefault="008A563C" w:rsidP="009270B3">
      <w:pPr>
        <w:spacing w:after="0" w:line="240" w:lineRule="auto"/>
        <w:jc w:val="both"/>
        <w:rPr>
          <w:rFonts w:ascii="Verdana" w:eastAsia="Aptos" w:hAnsi="Verdana" w:cs="Times New Roman"/>
          <w:kern w:val="2"/>
          <w14:ligatures w14:val="standardContextual"/>
        </w:rPr>
      </w:pPr>
    </w:p>
    <w:p w14:paraId="481DCDFE" w14:textId="77777777" w:rsidR="009270B3" w:rsidRPr="009552C8" w:rsidRDefault="009270B3" w:rsidP="009270B3">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3A747027" w14:textId="77777777" w:rsidR="009270B3" w:rsidRPr="009552C8" w:rsidRDefault="009270B3" w:rsidP="009270B3">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lastRenderedPageBreak/>
        <w:t xml:space="preserve">Facebook: </w:t>
      </w:r>
      <w:r w:rsidRPr="007603CE">
        <w:rPr>
          <w:rFonts w:ascii="Verdana" w:eastAsia="Calibri" w:hAnsi="Verdana" w:cs="Times New Roman"/>
          <w:color w:val="0000FF"/>
          <w:kern w:val="2"/>
          <w:u w:val="single"/>
          <w14:ligatures w14:val="standardContextual"/>
        </w:rPr>
        <w:t>ColombiaCompraEficiente</w:t>
      </w:r>
    </w:p>
    <w:p w14:paraId="1FFF4AB5" w14:textId="77777777" w:rsidR="009270B3" w:rsidRPr="009552C8" w:rsidRDefault="009270B3" w:rsidP="009270B3">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1FE1C09F" w14:textId="77777777" w:rsidR="009270B3" w:rsidRPr="005D21BF" w:rsidRDefault="009270B3" w:rsidP="009270B3">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32A75673" w14:textId="77777777" w:rsidR="009270B3" w:rsidRDefault="009270B3" w:rsidP="009270B3">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8AC4694" w14:textId="77777777" w:rsidR="009270B3" w:rsidRPr="00EF54B1" w:rsidRDefault="009270B3" w:rsidP="009270B3">
      <w:pPr>
        <w:widowControl w:val="0"/>
        <w:autoSpaceDE w:val="0"/>
        <w:autoSpaceDN w:val="0"/>
        <w:spacing w:after="0" w:line="276" w:lineRule="auto"/>
        <w:jc w:val="both"/>
        <w:rPr>
          <w:rFonts w:ascii="Verdana" w:eastAsia="Calibri" w:hAnsi="Verdana" w:cs="Arial"/>
          <w:color w:val="000000" w:themeColor="text1"/>
        </w:rPr>
      </w:pPr>
    </w:p>
    <w:p w14:paraId="641C7C92" w14:textId="77777777" w:rsidR="009270B3" w:rsidRPr="00EF54B1" w:rsidRDefault="009270B3" w:rsidP="009270B3">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33E3E0F4" w14:textId="77777777" w:rsidR="009270B3" w:rsidRDefault="009270B3" w:rsidP="009270B3">
      <w:pPr>
        <w:tabs>
          <w:tab w:val="left" w:pos="1320"/>
        </w:tabs>
        <w:rPr>
          <w:noProof/>
        </w:rPr>
      </w:pPr>
    </w:p>
    <w:p w14:paraId="0992F7CE" w14:textId="4123968E" w:rsidR="009270B3" w:rsidRPr="00102DF6" w:rsidRDefault="00F21243" w:rsidP="00A957D5">
      <w:pPr>
        <w:tabs>
          <w:tab w:val="left" w:pos="1320"/>
        </w:tabs>
        <w:jc w:val="center"/>
        <w:rPr>
          <w:noProof/>
        </w:rPr>
      </w:pPr>
      <w:r w:rsidRPr="00F21243">
        <w:rPr>
          <w:noProof/>
        </w:rPr>
        <w:drawing>
          <wp:inline distT="0" distB="0" distL="0" distR="0" wp14:anchorId="0D53A6B2" wp14:editId="53F05D80">
            <wp:extent cx="2823630" cy="1051433"/>
            <wp:effectExtent l="0" t="0" r="0" b="3175"/>
            <wp:docPr id="7383773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77341" name=""/>
                    <pic:cNvPicPr/>
                  </pic:nvPicPr>
                  <pic:blipFill>
                    <a:blip r:embed="rId19"/>
                    <a:stretch>
                      <a:fillRect/>
                    </a:stretch>
                  </pic:blipFill>
                  <pic:spPr>
                    <a:xfrm>
                      <a:off x="0" y="0"/>
                      <a:ext cx="2857916" cy="1064200"/>
                    </a:xfrm>
                    <a:prstGeom prst="rect">
                      <a:avLst/>
                    </a:prstGeom>
                  </pic:spPr>
                </pic:pic>
              </a:graphicData>
            </a:graphic>
          </wp:inline>
        </w:drawing>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9270B3" w14:paraId="419A1193" w14:textId="77777777" w:rsidTr="00970515">
        <w:trPr>
          <w:trHeight w:val="315"/>
        </w:trPr>
        <w:tc>
          <w:tcPr>
            <w:tcW w:w="1185" w:type="dxa"/>
            <w:tcBorders>
              <w:top w:val="nil"/>
              <w:left w:val="nil"/>
              <w:bottom w:val="nil"/>
              <w:right w:val="nil"/>
            </w:tcBorders>
            <w:tcMar>
              <w:left w:w="105" w:type="dxa"/>
              <w:right w:w="105" w:type="dxa"/>
            </w:tcMar>
            <w:vAlign w:val="center"/>
          </w:tcPr>
          <w:p w14:paraId="663942BF" w14:textId="77777777" w:rsidR="009270B3" w:rsidRDefault="009270B3" w:rsidP="00970515">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3DC279F8" w14:textId="77777777" w:rsidR="009270B3" w:rsidRDefault="009270B3" w:rsidP="00970515">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68CDFE1A" w14:textId="77777777" w:rsidR="009270B3" w:rsidRDefault="009270B3" w:rsidP="00970515">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9270B3" w14:paraId="0BDCF6D0" w14:textId="77777777" w:rsidTr="00970515">
        <w:trPr>
          <w:trHeight w:val="315"/>
        </w:trPr>
        <w:tc>
          <w:tcPr>
            <w:tcW w:w="1185" w:type="dxa"/>
            <w:tcBorders>
              <w:top w:val="nil"/>
              <w:left w:val="nil"/>
              <w:bottom w:val="nil"/>
              <w:right w:val="nil"/>
            </w:tcBorders>
            <w:tcMar>
              <w:left w:w="105" w:type="dxa"/>
              <w:right w:w="105" w:type="dxa"/>
            </w:tcMar>
            <w:vAlign w:val="center"/>
          </w:tcPr>
          <w:p w14:paraId="4EA0FDFB" w14:textId="77777777" w:rsidR="009270B3" w:rsidRDefault="009270B3" w:rsidP="00970515">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113C6E43" w14:textId="77777777" w:rsidR="009270B3" w:rsidRDefault="009270B3" w:rsidP="00970515">
            <w:pPr>
              <w:rPr>
                <w:rFonts w:ascii="Verdana" w:eastAsia="Verdana" w:hAnsi="Verdana" w:cs="Verdana"/>
                <w:sz w:val="16"/>
                <w:szCs w:val="16"/>
              </w:rPr>
            </w:pPr>
            <w:r>
              <w:rPr>
                <w:rFonts w:ascii="Verdana" w:eastAsia="Verdana" w:hAnsi="Verdana" w:cs="Verdana"/>
                <w:sz w:val="16"/>
                <w:szCs w:val="16"/>
              </w:rPr>
              <w:t>Adriana Katherine López Rodríguez</w:t>
            </w:r>
          </w:p>
          <w:p w14:paraId="565EBF47" w14:textId="77777777" w:rsidR="009270B3" w:rsidRDefault="009270B3" w:rsidP="00970515">
            <w:pPr>
              <w:rPr>
                <w:rFonts w:ascii="Verdana" w:eastAsia="Verdana" w:hAnsi="Verdana" w:cs="Verdana"/>
                <w:sz w:val="16"/>
                <w:szCs w:val="16"/>
              </w:rPr>
            </w:pPr>
            <w:r>
              <w:rPr>
                <w:rFonts w:ascii="Verdana" w:eastAsia="Verdana" w:hAnsi="Verdana" w:cs="Verdana"/>
                <w:sz w:val="16"/>
                <w:szCs w:val="16"/>
              </w:rPr>
              <w:t xml:space="preserve">Contratista </w:t>
            </w:r>
            <w:r w:rsidRPr="3F869DD7">
              <w:rPr>
                <w:rFonts w:ascii="Verdana" w:eastAsia="Verdana" w:hAnsi="Verdana" w:cs="Verdana"/>
                <w:sz w:val="16"/>
                <w:szCs w:val="16"/>
              </w:rPr>
              <w:t>de la Subdirección de Gestión Contractual</w:t>
            </w:r>
          </w:p>
        </w:tc>
      </w:tr>
      <w:tr w:rsidR="009270B3" w14:paraId="6D41E62D" w14:textId="77777777" w:rsidTr="00970515">
        <w:trPr>
          <w:trHeight w:val="300"/>
        </w:trPr>
        <w:tc>
          <w:tcPr>
            <w:tcW w:w="1185" w:type="dxa"/>
            <w:tcBorders>
              <w:top w:val="nil"/>
              <w:left w:val="nil"/>
              <w:bottom w:val="nil"/>
              <w:right w:val="nil"/>
            </w:tcBorders>
            <w:tcMar>
              <w:left w:w="105" w:type="dxa"/>
              <w:right w:w="105" w:type="dxa"/>
            </w:tcMar>
            <w:vAlign w:val="center"/>
          </w:tcPr>
          <w:p w14:paraId="36F5523E" w14:textId="77777777" w:rsidR="009270B3" w:rsidRDefault="009270B3" w:rsidP="00970515">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7C60F5B4" w14:textId="77777777" w:rsidR="009270B3" w:rsidRDefault="009270B3" w:rsidP="00970515">
            <w:pPr>
              <w:rPr>
                <w:rFonts w:ascii="Verdana" w:eastAsia="Verdana" w:hAnsi="Verdana" w:cs="Verdana"/>
                <w:sz w:val="16"/>
                <w:szCs w:val="16"/>
              </w:rPr>
            </w:pPr>
            <w:r>
              <w:rPr>
                <w:rFonts w:ascii="Verdana" w:eastAsia="Verdana" w:hAnsi="Verdana" w:cs="Verdana"/>
                <w:sz w:val="16"/>
                <w:szCs w:val="16"/>
              </w:rPr>
              <w:t>William Javier Murcia Acevedo</w:t>
            </w:r>
          </w:p>
          <w:p w14:paraId="2EBEEAC9" w14:textId="77777777" w:rsidR="009270B3" w:rsidRDefault="009270B3" w:rsidP="00970515">
            <w:pPr>
              <w:rPr>
                <w:rFonts w:ascii="Verdana" w:eastAsia="Verdana" w:hAnsi="Verdana" w:cs="Verdana"/>
                <w:sz w:val="16"/>
                <w:szCs w:val="16"/>
              </w:rPr>
            </w:pPr>
            <w:r w:rsidRPr="3F869DD7">
              <w:rPr>
                <w:rFonts w:ascii="Verdana" w:eastAsia="Verdana" w:hAnsi="Verdana" w:cs="Verdana"/>
                <w:sz w:val="16"/>
                <w:szCs w:val="16"/>
              </w:rPr>
              <w:t>Subdirector de Gestión Contractual ANCP – CCE</w:t>
            </w:r>
            <w:r>
              <w:rPr>
                <w:rFonts w:ascii="Verdana" w:eastAsia="Verdana" w:hAnsi="Verdana" w:cs="Verdana"/>
                <w:sz w:val="16"/>
                <w:szCs w:val="16"/>
              </w:rPr>
              <w:t xml:space="preserve"> (E)</w:t>
            </w:r>
          </w:p>
        </w:tc>
      </w:tr>
    </w:tbl>
    <w:p w14:paraId="14283F4A" w14:textId="77777777" w:rsidR="009270B3" w:rsidRPr="000E2B93" w:rsidRDefault="009270B3" w:rsidP="009270B3">
      <w:pPr>
        <w:spacing w:after="0" w:line="240" w:lineRule="auto"/>
        <w:jc w:val="both"/>
        <w:textAlignment w:val="baseline"/>
        <w:rPr>
          <w:rFonts w:ascii="Verdana" w:eastAsia="Verdana" w:hAnsi="Verdana" w:cs="Verdana"/>
          <w:lang w:eastAsia="es-CO"/>
        </w:rPr>
      </w:pPr>
    </w:p>
    <w:p w14:paraId="6710C5C8" w14:textId="77777777" w:rsidR="009270B3" w:rsidRPr="000E2B93" w:rsidRDefault="009270B3" w:rsidP="009270B3">
      <w:pPr>
        <w:spacing w:after="0" w:line="240" w:lineRule="auto"/>
        <w:textAlignment w:val="baseline"/>
        <w:rPr>
          <w:rFonts w:ascii="Verdana" w:eastAsia="Verdana" w:hAnsi="Verdana" w:cs="Verdana"/>
          <w:lang w:eastAsia="es-CO"/>
        </w:rPr>
      </w:pPr>
    </w:p>
    <w:p w14:paraId="3B27AFCD" w14:textId="77777777" w:rsidR="002A0DD0" w:rsidRPr="009270B3" w:rsidRDefault="002A0DD0" w:rsidP="30821638">
      <w:pPr>
        <w:spacing w:after="0" w:line="240" w:lineRule="auto"/>
        <w:jc w:val="both"/>
        <w:rPr>
          <w:rFonts w:ascii="Verdana" w:eastAsia="Verdana" w:hAnsi="Verdana" w:cs="Verdana"/>
          <w:b/>
          <w:bCs/>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7F5D91D2" w:rsidR="008A563C" w:rsidRPr="0015699B" w:rsidRDefault="00C15139" w:rsidP="008A563C">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5E8F67A4" w:rsidR="00127233" w:rsidRPr="0015699B" w:rsidRDefault="00127233" w:rsidP="008A563C">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D5A9F" w14:textId="77777777" w:rsidR="009A1C6F" w:rsidRDefault="009A1C6F" w:rsidP="004A1847">
      <w:pPr>
        <w:spacing w:after="0" w:line="240" w:lineRule="auto"/>
      </w:pPr>
      <w:r>
        <w:separator/>
      </w:r>
    </w:p>
  </w:endnote>
  <w:endnote w:type="continuationSeparator" w:id="0">
    <w:p w14:paraId="2070F37C" w14:textId="77777777" w:rsidR="009A1C6F" w:rsidRDefault="009A1C6F" w:rsidP="004A1847">
      <w:pPr>
        <w:spacing w:after="0" w:line="240" w:lineRule="auto"/>
      </w:pPr>
      <w:r>
        <w:continuationSeparator/>
      </w:r>
    </w:p>
  </w:endnote>
  <w:endnote w:type="continuationNotice" w:id="1">
    <w:p w14:paraId="0AFE3C52" w14:textId="77777777" w:rsidR="00A957D5" w:rsidRDefault="00A957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Roboto">
    <w:panose1 w:val="02000000000000000000"/>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48E39" w14:textId="77777777" w:rsidR="009A1C6F" w:rsidRDefault="009A1C6F" w:rsidP="004A1847">
      <w:pPr>
        <w:spacing w:after="0" w:line="240" w:lineRule="auto"/>
      </w:pPr>
      <w:r>
        <w:separator/>
      </w:r>
    </w:p>
  </w:footnote>
  <w:footnote w:type="continuationSeparator" w:id="0">
    <w:p w14:paraId="3FD78F12" w14:textId="77777777" w:rsidR="009A1C6F" w:rsidRDefault="009A1C6F" w:rsidP="004A1847">
      <w:pPr>
        <w:spacing w:after="0" w:line="240" w:lineRule="auto"/>
      </w:pPr>
      <w:r>
        <w:continuationSeparator/>
      </w:r>
    </w:p>
  </w:footnote>
  <w:footnote w:type="continuationNotice" w:id="1">
    <w:p w14:paraId="2DA1E4EA" w14:textId="77777777" w:rsidR="00A957D5" w:rsidRDefault="00A957D5">
      <w:pPr>
        <w:spacing w:after="0" w:line="240" w:lineRule="auto"/>
      </w:pPr>
    </w:p>
  </w:footnote>
  <w:footnote w:id="2">
    <w:p w14:paraId="46F2A080" w14:textId="77777777" w:rsidR="009270B3" w:rsidRPr="00524F00" w:rsidRDefault="009270B3" w:rsidP="009270B3">
      <w:pPr>
        <w:pBdr>
          <w:top w:val="nil"/>
          <w:left w:val="nil"/>
          <w:bottom w:val="nil"/>
          <w:right w:val="nil"/>
          <w:between w:val="nil"/>
        </w:pBdr>
        <w:spacing w:before="120" w:after="120"/>
        <w:ind w:firstLine="709"/>
        <w:jc w:val="both"/>
        <w:rPr>
          <w:rFonts w:ascii="Verdana" w:eastAsia="Arial" w:hAnsi="Verdana" w:cs="Arial"/>
          <w:color w:val="000000" w:themeColor="text1"/>
          <w:sz w:val="18"/>
          <w:szCs w:val="18"/>
        </w:rPr>
      </w:pPr>
      <w:r w:rsidRPr="00524F00">
        <w:rPr>
          <w:rFonts w:ascii="Verdana" w:hAnsi="Verdana" w:cs="Arial"/>
          <w:color w:val="000000" w:themeColor="text1"/>
          <w:sz w:val="18"/>
          <w:szCs w:val="18"/>
          <w:vertAlign w:val="superscript"/>
        </w:rPr>
        <w:footnoteRef/>
      </w:r>
      <w:r w:rsidRPr="00524F00">
        <w:rPr>
          <w:rFonts w:ascii="Verdana" w:eastAsia="Arial" w:hAnsi="Verdana" w:cs="Arial"/>
          <w:color w:val="000000" w:themeColor="text1"/>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24F00">
        <w:rPr>
          <w:rFonts w:ascii="Verdana" w:eastAsia="Arial" w:hAnsi="Verdana" w:cs="Arial"/>
          <w:i/>
          <w:color w:val="000000" w:themeColor="text1"/>
          <w:sz w:val="18"/>
          <w:szCs w:val="18"/>
        </w:rPr>
        <w:t xml:space="preserve">ibídem </w:t>
      </w:r>
      <w:r w:rsidRPr="00524F00">
        <w:rPr>
          <w:rFonts w:ascii="Verdana" w:eastAsia="Arial" w:hAnsi="Verdana" w:cs="Arial"/>
          <w:color w:val="000000" w:themeColor="text1"/>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footnote>
  <w:footnote w:id="3">
    <w:p w14:paraId="65041D19" w14:textId="77777777" w:rsidR="009270B3" w:rsidRPr="00524F00" w:rsidRDefault="009270B3" w:rsidP="009270B3">
      <w:pPr>
        <w:pStyle w:val="Textonotapie"/>
        <w:spacing w:before="120" w:after="120"/>
        <w:ind w:firstLine="709"/>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Procuraduría General de la Nación. Concepto del 15 de octubre de 2014. Procuraduría Delegada para Asuntos Disciplinarios. Radicado PAD C-114-2014.</w:t>
      </w:r>
    </w:p>
  </w:footnote>
  <w:footnote w:id="4">
    <w:p w14:paraId="69DD36AD" w14:textId="77777777" w:rsidR="009270B3" w:rsidRPr="00524F00" w:rsidRDefault="009270B3" w:rsidP="009270B3">
      <w:pPr>
        <w:pStyle w:val="Textonotapie"/>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Contraloría General de la República. Oficina Jurídica. Concepto 80112-OJ-008 2017.</w:t>
      </w:r>
    </w:p>
  </w:footnote>
  <w:footnote w:id="5">
    <w:p w14:paraId="66876895" w14:textId="77777777" w:rsidR="009270B3" w:rsidRPr="00524F00" w:rsidRDefault="009270B3" w:rsidP="009270B3">
      <w:pPr>
        <w:pStyle w:val="Textonotapie"/>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ARBOLEDA PERDONO, Enrique José. Comentarios al Nuevo Código de Procedimiento Administrativo y de lo Contencioso Administrativo (2ª ed.). Editorial Legis. Bogotá. 2012. p. 59.</w:t>
      </w:r>
    </w:p>
  </w:footnote>
  <w:footnote w:id="6">
    <w:p w14:paraId="73C3FEE2" w14:textId="77777777" w:rsidR="009270B3" w:rsidRPr="00524F00" w:rsidRDefault="009270B3" w:rsidP="009270B3">
      <w:pPr>
        <w:pStyle w:val="Textonotapie"/>
        <w:spacing w:before="120" w:after="120"/>
        <w:ind w:firstLine="709"/>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1" w:history="1">
        <w:r w:rsidRPr="00524F00">
          <w:rPr>
            <w:rStyle w:val="Hipervnculo"/>
            <w:rFonts w:ascii="Verdana" w:hAnsi="Verdana" w:cs="Arial"/>
            <w:color w:val="000000" w:themeColor="text1"/>
            <w:sz w:val="18"/>
            <w:szCs w:val="18"/>
          </w:rPr>
          <w:t>https://issuu.com/estudiolegalhernandez/docs/ahb._funci__n_consultiva_y_consejo_</w:t>
        </w:r>
      </w:hyperlink>
      <w:r w:rsidRPr="00524F00">
        <w:rPr>
          <w:rFonts w:ascii="Verdana" w:hAnsi="Verdana" w:cs="Arial"/>
          <w:color w:val="000000" w:themeColor="text1"/>
          <w:sz w:val="18"/>
          <w:szCs w:val="18"/>
        </w:rPr>
        <w:t>.</w:t>
      </w:r>
    </w:p>
  </w:footnote>
  <w:footnote w:id="7">
    <w:p w14:paraId="41160D60" w14:textId="77777777" w:rsidR="009270B3" w:rsidRPr="00524F00" w:rsidRDefault="009270B3" w:rsidP="009270B3">
      <w:pPr>
        <w:pStyle w:val="Textonotapie"/>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Consejo de Estado. Sala de Consulta y Servicio Civil. Concepto del 5 de octubre de 2009. Expediente 11001-03-06-000-2009-00049-00(1966). C.P. William Zambrano Cetina.</w:t>
      </w:r>
    </w:p>
  </w:footnote>
  <w:footnote w:id="8">
    <w:p w14:paraId="060BFDA9" w14:textId="77777777" w:rsidR="009270B3" w:rsidRPr="00524F00" w:rsidRDefault="009270B3" w:rsidP="009270B3">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Ley 2022 de 2020: “</w:t>
      </w:r>
      <w:r w:rsidRPr="00524F00">
        <w:rPr>
          <w:rStyle w:val="Textoennegrita"/>
          <w:rFonts w:ascii="Verdana" w:hAnsi="Verdana" w:cs="Arial"/>
          <w:color w:val="000000" w:themeColor="text1"/>
          <w:sz w:val="18"/>
          <w:szCs w:val="18"/>
        </w:rPr>
        <w:t xml:space="preserve">Artículo 1º. </w:t>
      </w:r>
      <w:r w:rsidRPr="00524F00">
        <w:rPr>
          <w:rFonts w:ascii="Verdana" w:hAnsi="Verdana" w:cs="Arial"/>
          <w:color w:val="000000" w:themeColor="text1"/>
          <w:sz w:val="18"/>
          <w:szCs w:val="18"/>
        </w:rPr>
        <w:t>Modifíquese el artículo 4º de la Ley 1882 de 2018, el cual quedará así:</w:t>
      </w:r>
    </w:p>
    <w:p w14:paraId="150EF172" w14:textId="77777777" w:rsidR="009270B3" w:rsidRPr="00524F00" w:rsidRDefault="009270B3" w:rsidP="009270B3">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Style w:val="Textoennegrita"/>
          <w:rFonts w:ascii="Verdana" w:hAnsi="Verdana" w:cs="Arial"/>
          <w:color w:val="000000" w:themeColor="text1"/>
          <w:sz w:val="18"/>
          <w:szCs w:val="18"/>
        </w:rPr>
        <w:t xml:space="preserve">“Artículo 4º. </w:t>
      </w:r>
      <w:r w:rsidRPr="00524F00">
        <w:rPr>
          <w:rFonts w:ascii="Verdana" w:hAnsi="Verdana" w:cs="Arial"/>
          <w:color w:val="000000" w:themeColor="text1"/>
          <w:sz w:val="18"/>
          <w:szCs w:val="18"/>
        </w:rPr>
        <w:t>Adiciónese el siguiente parágrafo al artículo 2º de la Ley 1150 de 2007.</w:t>
      </w:r>
    </w:p>
    <w:p w14:paraId="79516CF7" w14:textId="77777777" w:rsidR="009270B3" w:rsidRPr="00524F00" w:rsidRDefault="009270B3" w:rsidP="009270B3">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Style w:val="Textoennegrita"/>
          <w:rFonts w:ascii="Verdana" w:hAnsi="Verdana" w:cs="Arial"/>
          <w:color w:val="000000" w:themeColor="text1"/>
          <w:sz w:val="18"/>
          <w:szCs w:val="18"/>
        </w:rPr>
        <w:t xml:space="preserve">Parágrafo 7º. </w:t>
      </w:r>
      <w:r w:rsidRPr="00524F00">
        <w:rPr>
          <w:rFonts w:ascii="Verdana" w:hAnsi="Verdana" w:cs="Arial"/>
          <w:color w:val="000000" w:themeColor="text1"/>
          <w:sz w:val="18"/>
          <w:szCs w:val="18"/>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3CE35AB" w14:textId="77777777" w:rsidR="009270B3" w:rsidRPr="00524F00" w:rsidRDefault="009270B3" w:rsidP="009270B3">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Fonts w:ascii="Verdana" w:hAnsi="Verdana" w:cs="Arial"/>
          <w:color w:val="000000" w:themeColor="text1"/>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8EDB736" w14:textId="77777777" w:rsidR="009270B3" w:rsidRPr="00524F00" w:rsidRDefault="009270B3" w:rsidP="009270B3">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Fonts w:ascii="Verdana" w:hAnsi="Verdana" w:cs="Arial"/>
          <w:color w:val="000000" w:themeColor="text1"/>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29A8782" w14:textId="77777777" w:rsidR="009270B3" w:rsidRPr="00524F00" w:rsidRDefault="009270B3" w:rsidP="009270B3">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Fonts w:ascii="Verdana" w:hAnsi="Verdana" w:cs="Arial"/>
          <w:color w:val="000000" w:themeColor="text1"/>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D4D477D" w14:textId="77777777" w:rsidR="009270B3" w:rsidRPr="00524F00" w:rsidRDefault="009270B3" w:rsidP="009270B3">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Fonts w:ascii="Verdana" w:hAnsi="Verdana" w:cs="Arial"/>
          <w:color w:val="000000" w:themeColor="text1"/>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9">
    <w:p w14:paraId="48BC6844" w14:textId="77777777" w:rsidR="009270B3" w:rsidRPr="00524F00" w:rsidRDefault="009270B3" w:rsidP="009270B3">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Los Documentos Tipo expedidos por la Agencia Nacional de Contratación Pública – Colombia Compra Eficiente pueden ser consultados en el siguiente enlace: </w:t>
      </w:r>
      <w:hyperlink r:id="rId2" w:history="1">
        <w:r w:rsidRPr="00524F00">
          <w:rPr>
            <w:rStyle w:val="Hipervnculo"/>
            <w:rFonts w:ascii="Verdana" w:hAnsi="Verdana" w:cs="Arial"/>
            <w:color w:val="000000" w:themeColor="text1"/>
            <w:sz w:val="18"/>
            <w:szCs w:val="18"/>
          </w:rPr>
          <w:t>https://www.colombiacompra.gov.co/documentos-tipo/documentos-tipo</w:t>
        </w:r>
      </w:hyperlink>
      <w:r w:rsidRPr="00524F00">
        <w:rPr>
          <w:rFonts w:ascii="Verdana" w:hAnsi="Verdana" w:cs="Arial"/>
          <w:color w:val="000000" w:themeColor="text1"/>
          <w:sz w:val="18"/>
          <w:szCs w:val="18"/>
        </w:rPr>
        <w:t xml:space="preserve"> </w:t>
      </w:r>
    </w:p>
  </w:footnote>
  <w:footnote w:id="10">
    <w:p w14:paraId="7EF8DB15" w14:textId="77777777" w:rsidR="009270B3" w:rsidRPr="00524F00" w:rsidRDefault="009270B3" w:rsidP="009270B3">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11">
    <w:p w14:paraId="2BF9A16D" w14:textId="77777777" w:rsidR="009270B3" w:rsidRPr="00524F00" w:rsidRDefault="009270B3" w:rsidP="009270B3">
      <w:pPr>
        <w:pStyle w:val="Textonotapie"/>
        <w:snapToGrid w:val="0"/>
        <w:spacing w:before="120" w:after="120"/>
        <w:ind w:firstLine="709"/>
        <w:jc w:val="both"/>
        <w:rPr>
          <w:rFonts w:ascii="Verdana" w:hAnsi="Verdana"/>
          <w:bCs/>
          <w:color w:val="000000" w:themeColor="text1"/>
          <w:sz w:val="18"/>
          <w:szCs w:val="18"/>
          <w:lang w:val="es-ES_tradnl"/>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hAnsi="Verdana"/>
          <w:color w:val="000000" w:themeColor="text1"/>
          <w:sz w:val="18"/>
          <w:szCs w:val="18"/>
          <w:lang w:val="es-CO"/>
        </w:rPr>
        <w:t xml:space="preserve">Esta tesis se desarrolló y complementó, entre otros, en los siguientes conceptos </w:t>
      </w:r>
      <w:bookmarkStart w:id="4" w:name="_Hlk205384358"/>
      <w:r w:rsidRPr="00524F00">
        <w:rPr>
          <w:rFonts w:ascii="Verdana" w:hAnsi="Verdana"/>
          <w:color w:val="000000" w:themeColor="text1"/>
          <w:sz w:val="18"/>
          <w:szCs w:val="18"/>
          <w:lang w:val="es-CO"/>
        </w:rPr>
        <w:t xml:space="preserve">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de2025 </w:t>
      </w:r>
      <w:bookmarkEnd w:id="4"/>
    </w:p>
  </w:footnote>
  <w:footnote w:id="12">
    <w:p w14:paraId="22B2A28C" w14:textId="77777777" w:rsidR="009270B3" w:rsidRPr="00524F00" w:rsidRDefault="009270B3" w:rsidP="009270B3">
      <w:pPr>
        <w:pStyle w:val="Textonotapie"/>
        <w:spacing w:before="120" w:after="120"/>
        <w:ind w:firstLine="709"/>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CONGRESO DE LA REPÚBLICA. Gaceta Nº 1677 del 23 de noviembre de 2021. Justificación jurídica del Proyecto de Ley No. 226 de 2021 Cámara. p. 15.</w:t>
      </w:r>
      <w:r w:rsidRPr="00524F00">
        <w:rPr>
          <w:rFonts w:ascii="Verdana" w:hAnsi="Verdana" w:cs="Arial"/>
          <w:color w:val="000000" w:themeColor="text1"/>
          <w:sz w:val="18"/>
          <w:szCs w:val="18"/>
        </w:rPr>
        <w:cr/>
      </w:r>
    </w:p>
  </w:footnote>
  <w:footnote w:id="13">
    <w:p w14:paraId="3A12A76E" w14:textId="77777777" w:rsidR="009270B3" w:rsidRPr="00524F00" w:rsidRDefault="009270B3" w:rsidP="009270B3">
      <w:pPr>
        <w:pStyle w:val="Textonotapie"/>
        <w:spacing w:before="120" w:after="120"/>
        <w:ind w:firstLine="709"/>
        <w:contextualSpacing/>
        <w:jc w:val="both"/>
        <w:rPr>
          <w:rFonts w:ascii="Verdana" w:hAnsi="Verdana" w:cs="Arial"/>
          <w:color w:val="000000" w:themeColor="text1"/>
          <w:sz w:val="18"/>
          <w:szCs w:val="18"/>
          <w:lang w:val="es-ES"/>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w:t>
      </w:r>
      <w:r w:rsidRPr="00524F00">
        <w:rPr>
          <w:rFonts w:ascii="Verdana" w:hAnsi="Verdana" w:cs="Arial"/>
          <w:color w:val="000000" w:themeColor="text1"/>
          <w:sz w:val="18"/>
          <w:szCs w:val="18"/>
          <w:lang w:val="es-ES"/>
        </w:rPr>
        <w:t xml:space="preserve">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r w:rsidRPr="00524F00">
        <w:rPr>
          <w:rFonts w:ascii="Verdana" w:hAnsi="Verdana" w:cs="Arial"/>
          <w:color w:val="000000" w:themeColor="text1"/>
          <w:sz w:val="18"/>
          <w:szCs w:val="18"/>
          <w:lang w:val="es-ES"/>
        </w:rPr>
        <w:t>Civitas, 1983. pp. 33-34).</w:t>
      </w:r>
    </w:p>
    <w:p w14:paraId="78AE073E" w14:textId="77777777" w:rsidR="009270B3" w:rsidRPr="00524F00" w:rsidRDefault="009270B3" w:rsidP="009270B3">
      <w:pPr>
        <w:pStyle w:val="Textonotapie"/>
        <w:spacing w:before="120" w:after="120"/>
        <w:ind w:firstLine="709"/>
        <w:contextualSpacing/>
        <w:jc w:val="both"/>
        <w:rPr>
          <w:rFonts w:ascii="Verdana" w:hAnsi="Verdana" w:cs="Arial"/>
          <w:color w:val="000000" w:themeColor="text1"/>
          <w:sz w:val="18"/>
          <w:szCs w:val="18"/>
          <w:lang w:val="es-ES"/>
        </w:rPr>
      </w:pPr>
    </w:p>
  </w:footnote>
  <w:footnote w:id="14">
    <w:p w14:paraId="4758BF06" w14:textId="77777777" w:rsidR="009270B3" w:rsidRPr="00524F00" w:rsidRDefault="009270B3" w:rsidP="009270B3">
      <w:pPr>
        <w:pStyle w:val="Textonotapie"/>
        <w:spacing w:before="120" w:after="120"/>
        <w:ind w:firstLine="709"/>
        <w:contextualSpacing/>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CORTE CONSTITUCIONAL, Sentencia C-382 de 2019, M.P. Alejandro Linares Cantillo.</w:t>
      </w:r>
    </w:p>
    <w:p w14:paraId="32A5196E" w14:textId="77777777" w:rsidR="009270B3" w:rsidRPr="00524F00" w:rsidRDefault="009270B3" w:rsidP="009270B3">
      <w:pPr>
        <w:pStyle w:val="Textonotapie"/>
        <w:spacing w:before="120" w:after="120"/>
        <w:ind w:firstLine="709"/>
        <w:contextualSpacing/>
        <w:jc w:val="both"/>
        <w:rPr>
          <w:rFonts w:ascii="Verdana" w:hAnsi="Verdana" w:cs="Arial"/>
          <w:color w:val="000000" w:themeColor="text1"/>
          <w:sz w:val="18"/>
          <w:szCs w:val="18"/>
        </w:rPr>
      </w:pPr>
    </w:p>
  </w:footnote>
  <w:footnote w:id="15">
    <w:p w14:paraId="02CD590C" w14:textId="77777777" w:rsidR="009270B3" w:rsidRPr="00524F00" w:rsidRDefault="009270B3" w:rsidP="009270B3">
      <w:pPr>
        <w:pStyle w:val="Textonotapie"/>
        <w:spacing w:before="120" w:after="120"/>
        <w:ind w:firstLine="709"/>
        <w:contextualSpacing/>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p w14:paraId="1ADDCACC" w14:textId="77777777" w:rsidR="009270B3" w:rsidRPr="00524F00" w:rsidRDefault="009270B3" w:rsidP="009270B3">
      <w:pPr>
        <w:pStyle w:val="Textonotapie"/>
        <w:spacing w:before="120" w:after="120"/>
        <w:ind w:firstLine="709"/>
        <w:contextualSpacing/>
        <w:jc w:val="both"/>
        <w:rPr>
          <w:rFonts w:ascii="Verdana" w:hAnsi="Verdana" w:cs="Arial"/>
          <w:color w:val="000000" w:themeColor="text1"/>
          <w:sz w:val="18"/>
          <w:szCs w:val="18"/>
        </w:rPr>
      </w:pPr>
    </w:p>
  </w:footnote>
  <w:footnote w:id="16">
    <w:p w14:paraId="49B9B8BF" w14:textId="77777777" w:rsidR="009270B3" w:rsidRPr="00524F00" w:rsidRDefault="009270B3" w:rsidP="009270B3">
      <w:pPr>
        <w:pStyle w:val="Textonotapie"/>
        <w:spacing w:before="120" w:after="120"/>
        <w:ind w:firstLine="709"/>
        <w:contextualSpacing/>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CONSEJO DE ESTADO. Sección Tercera. Subsección B. Sentencia del 12 de octubre de 2011. Exp. No. 20070. C.P. Danilo Rojas Betancourt.</w:t>
      </w:r>
    </w:p>
  </w:footnote>
  <w:footnote w:id="17">
    <w:p w14:paraId="74F1508C" w14:textId="77777777" w:rsidR="009270B3" w:rsidRPr="00524F00" w:rsidRDefault="009270B3" w:rsidP="009270B3">
      <w:pPr>
        <w:tabs>
          <w:tab w:val="left" w:pos="0"/>
        </w:tabs>
        <w:spacing w:before="120" w:after="120" w:line="240" w:lineRule="auto"/>
        <w:contextualSpacing/>
        <w:jc w:val="both"/>
        <w:rPr>
          <w:rFonts w:ascii="Verdana" w:eastAsia="Calibri" w:hAnsi="Verdana" w:cs="Arial"/>
          <w:color w:val="000000" w:themeColor="text1"/>
          <w:sz w:val="18"/>
          <w:szCs w:val="18"/>
          <w:lang w:val="es-ES_tradnl" w:eastAsia="es-ES_tradnl"/>
        </w:rPr>
      </w:pPr>
      <w:r w:rsidRPr="00524F00">
        <w:rPr>
          <w:rFonts w:ascii="Verdana" w:hAnsi="Verdana" w:cs="Arial"/>
          <w:color w:val="000000" w:themeColor="text1"/>
          <w:sz w:val="18"/>
          <w:szCs w:val="18"/>
        </w:rPr>
        <w:tab/>
      </w: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CONSEJO DE ESTADO. Sección Tercera. Subsección A. Sentencia del 3 de marzo de 2021. </w:t>
      </w:r>
      <w:r w:rsidRPr="00524F00">
        <w:rPr>
          <w:rFonts w:ascii="Verdana" w:hAnsi="Verdana" w:cs="Arial"/>
          <w:color w:val="000000" w:themeColor="text1"/>
          <w:sz w:val="18"/>
          <w:szCs w:val="18"/>
        </w:rPr>
        <w:t xml:space="preserve">Exp. No. 51373. C.P. José Roberto Sáchica Méndez. </w:t>
      </w:r>
      <w:r w:rsidRPr="00524F00">
        <w:rPr>
          <w:rFonts w:ascii="Verdana" w:eastAsia="Calibri" w:hAnsi="Verdana" w:cs="Arial"/>
          <w:color w:val="000000" w:themeColor="text1"/>
          <w:sz w:val="18"/>
          <w:szCs w:val="18"/>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18">
    <w:p w14:paraId="68AC10E7" w14:textId="77777777" w:rsidR="009270B3" w:rsidRPr="00524F00" w:rsidRDefault="009270B3" w:rsidP="009270B3">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19">
    <w:p w14:paraId="2C116C79" w14:textId="77777777" w:rsidR="009270B3" w:rsidRPr="00524F00" w:rsidRDefault="009270B3" w:rsidP="009270B3">
      <w:pPr>
        <w:pStyle w:val="Textonotapie"/>
        <w:snapToGrid w:val="0"/>
        <w:spacing w:before="120" w:after="120"/>
        <w:ind w:firstLine="709"/>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337B2FC8" w14:textId="77777777" w:rsidR="009270B3" w:rsidRPr="00524F00" w:rsidRDefault="009270B3" w:rsidP="009270B3">
      <w:pPr>
        <w:pStyle w:val="Textonotapie"/>
        <w:spacing w:before="120" w:after="120"/>
        <w:ind w:firstLine="709"/>
        <w:contextualSpacing/>
        <w:jc w:val="both"/>
        <w:rPr>
          <w:rFonts w:ascii="Verdana" w:hAnsi="Verdana" w:cs="Arial"/>
          <w:color w:val="000000" w:themeColor="text1"/>
          <w:sz w:val="18"/>
          <w:szCs w:val="18"/>
        </w:rPr>
      </w:pPr>
      <w:r w:rsidRPr="00524F00">
        <w:rPr>
          <w:rFonts w:ascii="Verdana" w:hAnsi="Verdana" w:cs="Arial"/>
          <w:color w:val="000000" w:themeColor="text1"/>
          <w:sz w:val="18"/>
          <w:szCs w:val="18"/>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20">
    <w:p w14:paraId="17E4CC9F" w14:textId="77777777" w:rsidR="009270B3" w:rsidRPr="00524F00" w:rsidRDefault="009270B3" w:rsidP="009270B3">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hAnsi="Verdana" w:cs="Arial"/>
          <w:color w:val="000000" w:themeColor="text1"/>
          <w:sz w:val="18"/>
          <w:szCs w:val="18"/>
        </w:rPr>
        <w:t>Artículo 57. Las universidades estatales u oficiales deben organizarse como entes universitarios autónomos, con régimen especial y vinculados al Ministerio de Educación Nacional en lo que se refiere a las políticas y la planeación del sector educativo.</w:t>
      </w:r>
    </w:p>
    <w:p w14:paraId="3F8AB5BF" w14:textId="77777777" w:rsidR="009270B3" w:rsidRPr="00524F00" w:rsidRDefault="009270B3" w:rsidP="009270B3">
      <w:pPr>
        <w:pStyle w:val="Textonotapie"/>
        <w:snapToGrid w:val="0"/>
        <w:spacing w:before="120" w:after="120"/>
        <w:ind w:firstLine="708"/>
        <w:jc w:val="both"/>
        <w:rPr>
          <w:rFonts w:ascii="Verdana" w:hAnsi="Verdana" w:cs="Arial"/>
          <w:color w:val="000000" w:themeColor="text1"/>
          <w:sz w:val="18"/>
          <w:szCs w:val="18"/>
        </w:rPr>
      </w:pPr>
      <w:r w:rsidRPr="00524F00">
        <w:rPr>
          <w:rFonts w:ascii="Verdana" w:hAnsi="Verdana" w:cs="Arial"/>
          <w:color w:val="000000" w:themeColor="text1"/>
          <w:sz w:val="18"/>
          <w:szCs w:val="18"/>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476B2CE3" w14:textId="77777777" w:rsidR="009270B3" w:rsidRPr="00524F00" w:rsidRDefault="009270B3" w:rsidP="009270B3">
      <w:pPr>
        <w:pStyle w:val="Textonotapie"/>
        <w:snapToGrid w:val="0"/>
        <w:spacing w:before="120" w:after="120"/>
        <w:jc w:val="both"/>
        <w:rPr>
          <w:rFonts w:ascii="Verdana" w:hAnsi="Verdana" w:cs="Arial"/>
          <w:color w:val="000000" w:themeColor="text1"/>
          <w:sz w:val="18"/>
          <w:szCs w:val="18"/>
          <w:lang w:val="es-CO"/>
        </w:rPr>
      </w:pPr>
      <w:r w:rsidRPr="00524F00">
        <w:rPr>
          <w:rFonts w:ascii="Verdana" w:hAnsi="Verdana" w:cs="Arial"/>
          <w:color w:val="000000" w:themeColor="text1"/>
          <w:sz w:val="18"/>
          <w:szCs w:val="18"/>
        </w:rPr>
        <w:tab/>
      </w:r>
      <w:r w:rsidRPr="00524F00">
        <w:rPr>
          <w:rFonts w:ascii="Verdana" w:hAnsi="Verdana" w:cs="Arial"/>
          <w:color w:val="000000" w:themeColor="text1"/>
          <w:sz w:val="18"/>
          <w:szCs w:val="18"/>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14:paraId="75A5EBC2" w14:textId="77777777" w:rsidR="009270B3" w:rsidRPr="00524F00" w:rsidRDefault="009270B3" w:rsidP="009270B3">
      <w:pPr>
        <w:pStyle w:val="Textonotapie"/>
        <w:snapToGrid w:val="0"/>
        <w:spacing w:before="120" w:after="120"/>
        <w:ind w:firstLine="708"/>
        <w:jc w:val="both"/>
        <w:rPr>
          <w:rFonts w:ascii="Verdana" w:hAnsi="Verdana" w:cs="Arial"/>
          <w:color w:val="000000" w:themeColor="text1"/>
          <w:sz w:val="18"/>
          <w:szCs w:val="18"/>
          <w:lang w:val="es-CO"/>
        </w:rPr>
      </w:pPr>
      <w:r w:rsidRPr="00524F00">
        <w:rPr>
          <w:rFonts w:ascii="Verdana" w:hAnsi="Verdana" w:cs="Arial"/>
          <w:color w:val="000000" w:themeColor="text1"/>
          <w:sz w:val="18"/>
          <w:szCs w:val="18"/>
          <w:lang w:val="es-CO"/>
        </w:rPr>
        <w:t>Parágrafo 1°. Las instituciones estatales u oficiales de Educación Superior que no tengan el carácter de universidad según lo previsto en la presente Ley, deberán organizarse como Establecimientos Públicos del orden Nacional, Departamental, Distrital o Municipal (…)”.</w:t>
      </w:r>
    </w:p>
  </w:footnote>
  <w:footnote w:id="21">
    <w:p w14:paraId="795275DF" w14:textId="77777777" w:rsidR="009270B3" w:rsidRPr="00524F00" w:rsidRDefault="009270B3" w:rsidP="009270B3">
      <w:pPr>
        <w:pStyle w:val="Textonotapie"/>
        <w:snapToGrid w:val="0"/>
        <w:spacing w:before="120" w:after="120"/>
        <w:ind w:firstLine="709"/>
        <w:jc w:val="both"/>
        <w:rPr>
          <w:rFonts w:ascii="Verdana" w:hAnsi="Verdana" w:cs="Arial"/>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hAnsi="Verdana" w:cs="Arial"/>
          <w:color w:val="000000" w:themeColor="text1"/>
          <w:sz w:val="18"/>
          <w:szCs w:val="18"/>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524F00">
        <w:rPr>
          <w:rFonts w:ascii="Verdana" w:hAnsi="Verdana" w:cs="Arial"/>
          <w:color w:val="000000" w:themeColor="text1"/>
          <w:spacing w:val="-16"/>
          <w:sz w:val="18"/>
          <w:szCs w:val="18"/>
        </w:rPr>
        <w:t xml:space="preserve"> </w:t>
      </w:r>
      <w:r w:rsidRPr="00524F00">
        <w:rPr>
          <w:rFonts w:ascii="Verdana" w:hAnsi="Verdana" w:cs="Arial"/>
          <w:color w:val="000000" w:themeColor="text1"/>
          <w:sz w:val="18"/>
          <w:szCs w:val="18"/>
        </w:rPr>
        <w:t>contratos”.</w:t>
      </w:r>
    </w:p>
  </w:footnote>
  <w:footnote w:id="22">
    <w:p w14:paraId="6B80EAB7" w14:textId="77777777" w:rsidR="009270B3" w:rsidRPr="00524F00" w:rsidRDefault="009270B3" w:rsidP="009270B3">
      <w:pPr>
        <w:snapToGrid w:val="0"/>
        <w:spacing w:before="120" w:after="120" w:line="240" w:lineRule="auto"/>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footnote>
  <w:footnote w:id="23">
    <w:p w14:paraId="4BB94E50" w14:textId="77777777" w:rsidR="009270B3" w:rsidRPr="00524F00" w:rsidRDefault="009270B3" w:rsidP="009270B3">
      <w:pPr>
        <w:snapToGrid w:val="0"/>
        <w:spacing w:before="120" w:after="120" w:line="240" w:lineRule="auto"/>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footnote>
  <w:footnote w:id="24">
    <w:p w14:paraId="1EFE3931" w14:textId="77777777" w:rsidR="009270B3" w:rsidRPr="00524F00" w:rsidRDefault="009270B3" w:rsidP="009270B3">
      <w:pPr>
        <w:snapToGrid w:val="0"/>
        <w:spacing w:before="120" w:after="120" w:line="240" w:lineRule="auto"/>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Corte Constitucional. Sentencia C-121 de 2003. M.P. Clara Inés Vargas Hernández.</w:t>
      </w:r>
    </w:p>
  </w:footnote>
  <w:footnote w:id="25">
    <w:p w14:paraId="19E4D662" w14:textId="77777777" w:rsidR="009270B3" w:rsidRPr="00524F00" w:rsidRDefault="009270B3" w:rsidP="009270B3">
      <w:pPr>
        <w:snapToGrid w:val="0"/>
        <w:spacing w:before="120" w:after="120" w:line="240" w:lineRule="auto"/>
        <w:ind w:firstLine="709"/>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Corte</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Constitucional.</w:t>
      </w:r>
      <w:r w:rsidRPr="00524F00">
        <w:rPr>
          <w:rFonts w:ascii="Verdana" w:hAnsi="Verdana" w:cs="Arial"/>
          <w:color w:val="000000" w:themeColor="text1"/>
          <w:spacing w:val="11"/>
          <w:sz w:val="18"/>
          <w:szCs w:val="18"/>
        </w:rPr>
        <w:t xml:space="preserve"> </w:t>
      </w:r>
      <w:r w:rsidRPr="00524F00">
        <w:rPr>
          <w:rFonts w:ascii="Verdana" w:hAnsi="Verdana" w:cs="Arial"/>
          <w:color w:val="000000" w:themeColor="text1"/>
          <w:sz w:val="18"/>
          <w:szCs w:val="18"/>
        </w:rPr>
        <w:t>Sentencia</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C-1019</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del</w:t>
      </w:r>
      <w:r w:rsidRPr="00524F00">
        <w:rPr>
          <w:rFonts w:ascii="Verdana" w:hAnsi="Verdana" w:cs="Arial"/>
          <w:color w:val="000000" w:themeColor="text1"/>
          <w:spacing w:val="9"/>
          <w:sz w:val="18"/>
          <w:szCs w:val="18"/>
        </w:rPr>
        <w:t xml:space="preserve"> </w:t>
      </w:r>
      <w:r w:rsidRPr="00524F00">
        <w:rPr>
          <w:rFonts w:ascii="Verdana" w:hAnsi="Verdana" w:cs="Arial"/>
          <w:color w:val="000000" w:themeColor="text1"/>
          <w:sz w:val="18"/>
          <w:szCs w:val="18"/>
        </w:rPr>
        <w:t>28</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de</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noviembre</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de</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2012.</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M.P.</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Mauricio</w:t>
      </w:r>
      <w:r w:rsidRPr="00524F00">
        <w:rPr>
          <w:rFonts w:ascii="Verdana" w:hAnsi="Verdana" w:cs="Arial"/>
          <w:color w:val="000000" w:themeColor="text1"/>
          <w:spacing w:val="8"/>
          <w:sz w:val="18"/>
          <w:szCs w:val="18"/>
        </w:rPr>
        <w:t xml:space="preserve"> </w:t>
      </w:r>
      <w:r w:rsidRPr="00524F00">
        <w:rPr>
          <w:rFonts w:ascii="Verdana" w:hAnsi="Verdana" w:cs="Arial"/>
          <w:color w:val="000000" w:themeColor="text1"/>
          <w:sz w:val="18"/>
          <w:szCs w:val="18"/>
        </w:rPr>
        <w:t>González.</w:t>
      </w:r>
    </w:p>
  </w:footnote>
  <w:footnote w:id="26">
    <w:p w14:paraId="7B012F4F" w14:textId="77777777" w:rsidR="009270B3" w:rsidRPr="00524F00" w:rsidRDefault="009270B3" w:rsidP="009270B3">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CONSEJO DE ESTADO. Sección Cuarta. Sentencia del 16 de diciembre de 2008. Exp. 16.297. C.P. Martha Teresa Briceño de Valencia.</w:t>
      </w:r>
    </w:p>
    <w:p w14:paraId="7780F55D" w14:textId="77777777" w:rsidR="009270B3" w:rsidRPr="00524F00" w:rsidRDefault="009270B3" w:rsidP="009270B3">
      <w:pPr>
        <w:pStyle w:val="Textonotapie"/>
        <w:snapToGrid w:val="0"/>
        <w:spacing w:before="120" w:after="120"/>
        <w:ind w:firstLine="708"/>
        <w:jc w:val="both"/>
        <w:rPr>
          <w:rFonts w:ascii="Verdana" w:hAnsi="Verdana" w:cs="Arial"/>
          <w:color w:val="000000" w:themeColor="text1"/>
          <w:sz w:val="18"/>
          <w:szCs w:val="18"/>
          <w:lang w:val="es-ES_tradnl"/>
        </w:rPr>
      </w:pPr>
    </w:p>
  </w:footnote>
  <w:footnote w:id="27">
    <w:p w14:paraId="2951E0CE" w14:textId="77777777" w:rsidR="009270B3" w:rsidRPr="00524F00" w:rsidRDefault="009270B3" w:rsidP="009270B3">
      <w:pPr>
        <w:pStyle w:val="Textonotapie"/>
        <w:snapToGrid w:val="0"/>
        <w:spacing w:before="120" w:after="120"/>
        <w:ind w:firstLine="708"/>
        <w:jc w:val="both"/>
        <w:rPr>
          <w:rFonts w:ascii="Verdana" w:hAnsi="Verdana" w:cs="Arial"/>
          <w:color w:val="000000" w:themeColor="text1"/>
          <w:sz w:val="18"/>
          <w:szCs w:val="18"/>
          <w:lang w:val="es-CO"/>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hAnsi="Verdana" w:cs="Arial"/>
          <w:color w:val="000000" w:themeColor="text1"/>
          <w:sz w:val="18"/>
          <w:szCs w:val="18"/>
          <w:lang w:val="es-CO"/>
        </w:rPr>
        <w:t>Así lo establece el parágrafo del artículo 57 de la Ley 30 de 1992: «Parágrafo 1°. Las instituciones estatales u oficiales de Educación Superior que no tengan el carácter de universidad según lo previsto en la presente Ley, deberán organizarse como Establecimientos Públicos del orden Nacional, Departamental, Distrital o Municipal».</w:t>
      </w:r>
    </w:p>
  </w:footnote>
  <w:footnote w:id="28">
    <w:p w14:paraId="452A0797" w14:textId="77777777" w:rsidR="009270B3" w:rsidRPr="00524F00" w:rsidRDefault="009270B3" w:rsidP="009270B3">
      <w:pPr>
        <w:pStyle w:val="Textonotapie"/>
        <w:snapToGrid w:val="0"/>
        <w:spacing w:before="120" w:after="120"/>
        <w:ind w:firstLine="709"/>
        <w:jc w:val="both"/>
        <w:rPr>
          <w:rFonts w:ascii="Verdana" w:hAnsi="Verdana" w:cs="Arial"/>
          <w:color w:val="000000" w:themeColor="text1"/>
          <w:sz w:val="18"/>
          <w:szCs w:val="18"/>
          <w:lang w:val="es-CO"/>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hAnsi="Verdana" w:cs="Arial"/>
          <w:color w:val="000000" w:themeColor="text1"/>
          <w:sz w:val="18"/>
          <w:szCs w:val="18"/>
        </w:rPr>
        <w:t>“</w:t>
      </w:r>
      <w:r w:rsidRPr="00524F00">
        <w:rPr>
          <w:rFonts w:ascii="Verdana" w:hAnsi="Verdana" w:cs="Arial"/>
          <w:color w:val="000000" w:themeColor="text1"/>
          <w:sz w:val="18"/>
          <w:szCs w:val="18"/>
          <w:lang w:val="es-CO"/>
        </w:rPr>
        <w:t>Articulo</w:t>
      </w:r>
      <w:bookmarkStart w:id="6" w:name="81"/>
      <w:bookmarkEnd w:id="6"/>
      <w:r w:rsidRPr="00524F00">
        <w:rPr>
          <w:rFonts w:ascii="Verdana" w:hAnsi="Verdana" w:cs="Arial"/>
          <w:color w:val="000000" w:themeColor="text1"/>
          <w:sz w:val="18"/>
          <w:szCs w:val="18"/>
          <w:lang w:val="es-CO"/>
        </w:rPr>
        <w:t> 81.- Régimen de los actos y contratos</w:t>
      </w:r>
      <w:r w:rsidRPr="00524F00">
        <w:rPr>
          <w:rFonts w:ascii="Verdana" w:hAnsi="Verdana" w:cs="Arial"/>
          <w:b/>
          <w:bCs/>
          <w:i/>
          <w:iCs/>
          <w:color w:val="000000" w:themeColor="text1"/>
          <w:sz w:val="18"/>
          <w:szCs w:val="18"/>
          <w:lang w:val="es-CO"/>
        </w:rPr>
        <w:t>.</w:t>
      </w:r>
      <w:r w:rsidRPr="00524F00">
        <w:rPr>
          <w:rFonts w:ascii="Verdana" w:hAnsi="Verdana" w:cs="Arial"/>
          <w:color w:val="000000" w:themeColor="text1"/>
          <w:sz w:val="18"/>
          <w:szCs w:val="18"/>
          <w:lang w:val="es-CO"/>
        </w:rPr>
        <w:t> Los actos unilaterales que expidan los establecimientos públicos en ejercicio de funciones administrativas son actos administrativos y se sujetan a las disposiciones del Código Contencioso Administrativo.</w:t>
      </w:r>
    </w:p>
    <w:p w14:paraId="78721401" w14:textId="77777777" w:rsidR="009270B3" w:rsidRPr="00524F00" w:rsidRDefault="009270B3" w:rsidP="009270B3">
      <w:pPr>
        <w:pStyle w:val="Textonotapie"/>
        <w:snapToGrid w:val="0"/>
        <w:spacing w:before="120" w:after="120"/>
        <w:ind w:firstLine="709"/>
        <w:jc w:val="both"/>
        <w:rPr>
          <w:rFonts w:ascii="Verdana" w:hAnsi="Verdana" w:cs="Arial"/>
          <w:color w:val="000000" w:themeColor="text1"/>
          <w:sz w:val="18"/>
          <w:szCs w:val="18"/>
          <w:lang w:val="es-CO"/>
        </w:rPr>
      </w:pPr>
      <w:r w:rsidRPr="00524F00">
        <w:rPr>
          <w:rFonts w:ascii="Verdana" w:hAnsi="Verdana" w:cs="Arial"/>
          <w:color w:val="000000" w:themeColor="text1"/>
          <w:sz w:val="18"/>
          <w:szCs w:val="18"/>
          <w:lang w:val="es-CO"/>
        </w:rPr>
        <w:t>Los contratos que celebren los establecimientos públicos se rigen por las normas del Estatuto Contractual de las entidades estatales contenido en la Ley 80 de 1993 y las disposiciones que lo complementen, adicionen o modifiquen, sin perjuicio de lo dispuesto en las normas especiales</w:t>
      </w:r>
      <w:r w:rsidRPr="00524F00">
        <w:rPr>
          <w:rFonts w:ascii="Verdana" w:hAnsi="Verdana" w:cs="Arial"/>
          <w:color w:val="000000" w:themeColor="text1"/>
          <w:sz w:val="18"/>
          <w:szCs w:val="18"/>
        </w:rPr>
        <w:t>”</w:t>
      </w:r>
      <w:r w:rsidRPr="00524F00">
        <w:rPr>
          <w:rFonts w:ascii="Verdana" w:hAnsi="Verdana" w:cs="Arial"/>
          <w:color w:val="000000" w:themeColor="text1"/>
          <w:sz w:val="18"/>
          <w:szCs w:val="18"/>
          <w:lang w:val="es-CO"/>
        </w:rPr>
        <w:t>.</w:t>
      </w:r>
    </w:p>
  </w:footnote>
  <w:footnote w:id="29">
    <w:p w14:paraId="4B7656A2" w14:textId="77777777" w:rsidR="009270B3" w:rsidRPr="00524F00" w:rsidRDefault="009270B3" w:rsidP="009270B3">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Conforme al literal a) del artículo 2.1 de la Ley 80 de 1993, se consideran entidades estatales “La Nación, las regiones, los departamentos, las provincias, el Distrito Capital y los distritos especiales, las áreas metropolitanas, las asociaciones de municipios, los territorios indígenas y los municipios; </w:t>
      </w:r>
      <w:r w:rsidRPr="00524F00">
        <w:rPr>
          <w:rFonts w:ascii="Verdana" w:hAnsi="Verdana" w:cs="Arial"/>
          <w:i/>
          <w:iCs/>
          <w:color w:val="000000" w:themeColor="text1"/>
          <w:sz w:val="18"/>
          <w:szCs w:val="18"/>
        </w:rPr>
        <w:t>los establecimientos públicos</w:t>
      </w:r>
      <w:r w:rsidRPr="00524F00">
        <w:rPr>
          <w:rFonts w:ascii="Verdana" w:hAnsi="Verdana" w:cs="Arial"/>
          <w:color w:val="000000" w:themeColor="text1"/>
          <w:sz w:val="18"/>
          <w:szCs w:val="18"/>
        </w:rPr>
        <w:t>,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 texto).</w:t>
      </w:r>
    </w:p>
  </w:footnote>
  <w:footnote w:id="30">
    <w:p w14:paraId="15E670D3"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Ley 2022 de 2020, artículo 1, que modificó el artículo 4 de la Ley 1882 de 2018, el cual adicionó el parágrafo 7 al artículo 2 de la Ley 1150 de 2007.</w:t>
      </w:r>
    </w:p>
  </w:footnote>
  <w:footnote w:id="31">
    <w:p w14:paraId="44831EAD" w14:textId="77777777" w:rsidR="009270B3" w:rsidRPr="00524F00" w:rsidRDefault="009270B3" w:rsidP="009270B3">
      <w:pPr>
        <w:pStyle w:val="Textonotapie"/>
        <w:spacing w:before="120" w:after="120"/>
        <w:ind w:firstLine="708"/>
        <w:jc w:val="both"/>
        <w:rPr>
          <w:rFonts w:ascii="Verdana" w:hAnsi="Verdana"/>
          <w:color w:val="000000" w:themeColor="text1"/>
          <w:sz w:val="18"/>
          <w:szCs w:val="18"/>
          <w:lang w:val="es-ES_tradnl"/>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eastAsia="Calibri" w:hAnsi="Verdana" w:cs="Arial"/>
          <w:color w:val="000000" w:themeColor="text1"/>
          <w:sz w:val="18"/>
          <w:szCs w:val="18"/>
          <w:lang w:val="es-CO"/>
        </w:rPr>
        <w:t xml:space="preserve">CONSEJO DE ESTADO. Sección Tercera. Sentencia del 11 de abril de 2019. </w:t>
      </w:r>
      <w:r w:rsidRPr="00524F00">
        <w:rPr>
          <w:rFonts w:ascii="Verdana" w:eastAsia="Calibri" w:hAnsi="Verdana" w:cs="Arial"/>
          <w:color w:val="000000" w:themeColor="text1"/>
          <w:sz w:val="18"/>
          <w:szCs w:val="18"/>
          <w:lang w:val="es-CO"/>
        </w:rPr>
        <w:t>Exp. 52.055. La Sala anuló parcialmente el artículo 159 del Decreto 1510 de 2013, que atribuía a Colombia Compra Eficiente la elaboración de pliegos y minutas tipo, por carecer de soporte legal. Desde entonces la fuerza obligatoria de los documentos tipo depende de la ley que la otorga, hoy el parágrafo 7 del artículo 2 de la Ley 1150 de 2007, modificado por la Ley 2022 de 2020.</w:t>
      </w:r>
    </w:p>
  </w:footnote>
  <w:footnote w:id="32">
    <w:p w14:paraId="753CAC62"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 del Congreso 1677 del 23 de noviembre de 2021. Informe de ponencia para primer debate al Proyecto de Ley 369 de 2021 Cámara – 341 de 2020 Senado, p. 8.</w:t>
      </w:r>
    </w:p>
  </w:footnote>
  <w:footnote w:id="33">
    <w:p w14:paraId="33AE2E21"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Ley 100 de 1993, artículo 195, numeral 6, según el cual las empresas sociales del Estado se rigen en materia contractual por el derecho privado, con la facultad de utilizar discrecionalmente las cláusulas excepcionales del estatuto general de contratación.</w:t>
      </w:r>
    </w:p>
  </w:footnote>
  <w:footnote w:id="34">
    <w:p w14:paraId="3C2C6B80"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Ley 1150 de 2007, artículo 14, modificado por el artículo 93 de la Ley 1474 de 2011, según el cual las empresas industriales y comerciales del Estado y las sociedades de economía mixta con participación estatal superior al 50 % se someten al EGCAP, salvo cuando desarrollen actividades comerciales en competencia con el sector privado o público, nacional o internacional, o en mercados regulados.</w:t>
      </w:r>
    </w:p>
  </w:footnote>
  <w:footnote w:id="35">
    <w:p w14:paraId="0F24DA3B"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 del Congreso 1677 del 23 de noviembre de 2021. Texto propuesto para primer debate al Proyecto de Ley 369 de 2021 Cámara – 341 de 2020 Senado, artículo 55, p. 34.</w:t>
      </w:r>
    </w:p>
  </w:footnote>
  <w:footnote w:id="36">
    <w:p w14:paraId="13D4BCEA"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 del Congreso 519 del 16 de mayo de 2022. Acta de Plenaria 289 de la sesión ordinaria del 6 de diciembre de 2021, p. 66. Lectura, por el Secretario General, de la proposición avalada sobre el artículo 55, suscrita por los representantes Gabriel Jaime Vallejo </w:t>
      </w:r>
      <w:r w:rsidRPr="00524F00">
        <w:rPr>
          <w:rFonts w:ascii="Verdana" w:eastAsia="Calibri" w:hAnsi="Verdana" w:cs="Arial"/>
          <w:color w:val="000000" w:themeColor="text1"/>
          <w:sz w:val="18"/>
          <w:szCs w:val="18"/>
          <w:lang w:val="es-CO"/>
        </w:rPr>
        <w:t>Chujfi, Christian Garcés, José Daniel López y Jairo Cristancho.</w:t>
      </w:r>
    </w:p>
  </w:footnote>
  <w:footnote w:id="37">
    <w:p w14:paraId="63600851"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 del Congreso 1828 del 10 de diciembre de 2021. Texto definitivo aprobado por la Plenaria de la Cámara de Representantes el 6 de diciembre de 2021 al Proyecto de Ley 369 de 2021 Cámara – 341 de 2020 Senado, artículo 55, p. 27.</w:t>
      </w:r>
    </w:p>
  </w:footnote>
  <w:footnote w:id="38">
    <w:p w14:paraId="762BE4D0"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Gacetas del Congreso 1860 y 1861 del 14 de diciembre de 2021. Informe de conciliación al Proyecto de Ley 369 de 2021 Cámara – 341 de 2020 Senado, p. 30.</w:t>
      </w:r>
    </w:p>
  </w:footnote>
  <w:footnote w:id="39">
    <w:p w14:paraId="0CF5F428"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 del Congreso 519 de 2022, p. 67. Intervención del representante Juan Diego Echavarría Sánchez, dirigida al ponente, representante César Augusto </w:t>
      </w:r>
      <w:r w:rsidRPr="00524F00">
        <w:rPr>
          <w:rFonts w:ascii="Verdana" w:eastAsia="Calibri" w:hAnsi="Verdana" w:cs="Arial"/>
          <w:color w:val="000000" w:themeColor="text1"/>
          <w:sz w:val="18"/>
          <w:szCs w:val="18"/>
          <w:lang w:val="es-CO"/>
        </w:rPr>
        <w:t xml:space="preserve">Lorduy Maldonado. </w:t>
      </w:r>
    </w:p>
  </w:footnote>
  <w:footnote w:id="40">
    <w:p w14:paraId="52A447EB"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pp. 67 y 68. Intervención del representante César Augusto </w:t>
      </w:r>
      <w:r w:rsidRPr="00524F00">
        <w:rPr>
          <w:rFonts w:ascii="Verdana" w:eastAsia="Calibri" w:hAnsi="Verdana" w:cs="Arial"/>
          <w:color w:val="000000" w:themeColor="text1"/>
          <w:sz w:val="18"/>
          <w:szCs w:val="18"/>
          <w:lang w:val="es-CO"/>
        </w:rPr>
        <w:t xml:space="preserve">Lorduy Maldonado, ponente del proyecto. </w:t>
      </w:r>
    </w:p>
  </w:footnote>
  <w:footnote w:id="41">
    <w:p w14:paraId="0367F4B7"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 68. Intervención del representante Juan Diego Echavarría Sánchez, quien se refiere al ponente, representante César Augusto </w:t>
      </w:r>
      <w:r w:rsidRPr="00524F00">
        <w:rPr>
          <w:rFonts w:ascii="Verdana" w:eastAsia="Calibri" w:hAnsi="Verdana" w:cs="Arial"/>
          <w:color w:val="000000" w:themeColor="text1"/>
          <w:sz w:val="18"/>
          <w:szCs w:val="18"/>
          <w:lang w:val="es-CO"/>
        </w:rPr>
        <w:t xml:space="preserve">Lorduy Maldonado, y al representante Gabriel Jaime Vallejo Chujfi, autor de la proposición. </w:t>
      </w:r>
    </w:p>
  </w:footnote>
  <w:footnote w:id="42">
    <w:p w14:paraId="4623CB00"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 68. Intervención del representante César Augusto </w:t>
      </w:r>
      <w:r w:rsidRPr="00524F00">
        <w:rPr>
          <w:rFonts w:ascii="Verdana" w:eastAsia="Calibri" w:hAnsi="Verdana" w:cs="Arial"/>
          <w:color w:val="000000" w:themeColor="text1"/>
          <w:sz w:val="18"/>
          <w:szCs w:val="18"/>
          <w:lang w:val="es-CO"/>
        </w:rPr>
        <w:t xml:space="preserve">Lorduy Maldonado, ponente, en respuesta al representante Juan Diego Echavarría Sánchez. </w:t>
      </w:r>
    </w:p>
  </w:footnote>
  <w:footnote w:id="43">
    <w:p w14:paraId="662F9384" w14:textId="77777777" w:rsidR="009270B3" w:rsidRPr="00524F00" w:rsidRDefault="009270B3" w:rsidP="009270B3">
      <w:pPr>
        <w:pStyle w:val="Textonotapie"/>
        <w:spacing w:before="120" w:after="120"/>
        <w:ind w:firstLine="709"/>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pp. 68 y 69. Intervención del representante Gabriel Jaime Vallejo </w:t>
      </w:r>
      <w:r w:rsidRPr="00524F00">
        <w:rPr>
          <w:rFonts w:ascii="Verdana" w:eastAsia="Calibri" w:hAnsi="Verdana" w:cs="Arial"/>
          <w:color w:val="000000" w:themeColor="text1"/>
          <w:sz w:val="18"/>
          <w:szCs w:val="18"/>
          <w:lang w:val="es-CO"/>
        </w:rPr>
        <w:t xml:space="preserve">Chujfi, autor de la proposición, en respuesta al representante Juan Diego Echavarría Sánchez. </w:t>
      </w:r>
    </w:p>
  </w:footnote>
  <w:footnote w:id="44">
    <w:p w14:paraId="4A3B2AF6" w14:textId="77777777" w:rsidR="009270B3" w:rsidRPr="00524F00" w:rsidRDefault="009270B3" w:rsidP="009270B3">
      <w:pPr>
        <w:pStyle w:val="Textonotapie"/>
        <w:spacing w:before="120" w:after="120"/>
        <w:ind w:firstLine="709"/>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 69. Intervención del representante César Augusto </w:t>
      </w:r>
      <w:r w:rsidRPr="00524F00">
        <w:rPr>
          <w:rFonts w:ascii="Verdana" w:eastAsia="Calibri" w:hAnsi="Verdana" w:cs="Arial"/>
          <w:color w:val="000000" w:themeColor="text1"/>
          <w:sz w:val="18"/>
          <w:szCs w:val="18"/>
          <w:lang w:val="es-CO"/>
        </w:rPr>
        <w:t xml:space="preserve">Lorduy Maldonado, ponente, en respuesta al representante Juan Diego Echavarría Sánchez. </w:t>
      </w:r>
    </w:p>
  </w:footnote>
  <w:footnote w:id="45">
    <w:p w14:paraId="5AEBEA72" w14:textId="77777777" w:rsidR="009270B3" w:rsidRPr="00524F00" w:rsidRDefault="009270B3" w:rsidP="009270B3">
      <w:pPr>
        <w:pStyle w:val="Textonotapie"/>
        <w:snapToGrid w:val="0"/>
        <w:spacing w:before="120" w:after="120"/>
        <w:ind w:firstLine="709"/>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 70. Intervención del representante Gabriel Jaime Vallejo </w:t>
      </w:r>
      <w:r w:rsidRPr="00524F00">
        <w:rPr>
          <w:rFonts w:ascii="Verdana" w:eastAsia="Calibri" w:hAnsi="Verdana" w:cs="Arial"/>
          <w:color w:val="000000" w:themeColor="text1"/>
          <w:sz w:val="18"/>
          <w:szCs w:val="18"/>
          <w:lang w:val="es-CO"/>
        </w:rPr>
        <w:t xml:space="preserve">Chujfi, autor de la proposición, en respuesta al representante Juan Diego Echavarría Sánchez. </w:t>
      </w:r>
    </w:p>
  </w:footnote>
  <w:footnote w:id="46">
    <w:p w14:paraId="278DF168" w14:textId="77777777" w:rsidR="009270B3" w:rsidRPr="00524F00" w:rsidRDefault="009270B3" w:rsidP="009270B3">
      <w:pPr>
        <w:pStyle w:val="Textonotapie"/>
        <w:snapToGrid w:val="0"/>
        <w:spacing w:before="120" w:after="120"/>
        <w:ind w:firstLine="709"/>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Código Civil, artículo 27: “Cuando el sentido de la ley sea claro, no se desatenderá su tenor literal a pretexto de consultar su espíritu. Pero bien se puede, para interpretar una expresión oscura de la ley, recurrir a su intención o espíritu, claramente manifestados en ella misma o en la historia fidedigna de su establecimiento”.</w:t>
      </w:r>
    </w:p>
  </w:footnote>
  <w:footnote w:id="47">
    <w:p w14:paraId="0B72DC08" w14:textId="77777777" w:rsidR="009270B3" w:rsidRPr="00524F00" w:rsidRDefault="009270B3" w:rsidP="009270B3">
      <w:pPr>
        <w:pStyle w:val="Textonotapie"/>
        <w:snapToGrid w:val="0"/>
        <w:spacing w:before="120" w:after="120"/>
        <w:ind w:firstLine="709"/>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CORTE CONSTITUCIONAL. Sentencia C-346 de 2021, párrafo 104. La Corte explicó que las instituciones de educación superior públicas que no son universidades deben organizarse como establecimientos públicos y, aunque son titulares de la autonomía universitaria en el ámbito académico, no tienen la facultad de establecer sus propios recursos, que corresponde a las universidades públicas como entes autónomos.</w:t>
      </w:r>
    </w:p>
  </w:footnote>
  <w:footnote w:id="48">
    <w:p w14:paraId="506FC9B1"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CORTE CONSTITUCIONAL. Sentencia C-119 de 2020. </w:t>
      </w:r>
    </w:p>
  </w:footnote>
  <w:footnote w:id="49">
    <w:p w14:paraId="6B995A46" w14:textId="77777777" w:rsidR="009270B3" w:rsidRPr="00524F00" w:rsidRDefault="009270B3" w:rsidP="009270B3">
      <w:pPr>
        <w:shd w:val="clear" w:color="auto" w:fill="FFFFFF"/>
        <w:spacing w:before="120" w:after="120" w:line="240" w:lineRule="auto"/>
        <w:ind w:firstLine="708"/>
        <w:jc w:val="both"/>
        <w:rPr>
          <w:rFonts w:ascii="Verdana" w:eastAsia="Times New Roman" w:hAnsi="Verdana" w:cs="Times New Roman"/>
          <w:color w:val="000000" w:themeColor="text1"/>
          <w:sz w:val="18"/>
          <w:szCs w:val="18"/>
          <w:lang w:eastAsia="es-MX"/>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Ley 1437 de 2011 “Por la </w:t>
      </w:r>
      <w:r w:rsidRPr="00524F00">
        <w:rPr>
          <w:rStyle w:val="Textoennegrita"/>
          <w:rFonts w:ascii="Verdana" w:hAnsi="Verdana"/>
          <w:color w:val="000000" w:themeColor="text1"/>
          <w:sz w:val="18"/>
          <w:szCs w:val="18"/>
          <w:shd w:val="clear" w:color="auto" w:fill="FFFFFF"/>
        </w:rPr>
        <w:t xml:space="preserve">Por la cual se expide el Código de Procedimiento Administrativo y de lo Contencioso Administrativo”, </w:t>
      </w:r>
      <w:r w:rsidRPr="00524F00">
        <w:rPr>
          <w:rFonts w:ascii="Verdana" w:eastAsia="Times New Roman" w:hAnsi="Verdana" w:cs="Times New Roman"/>
          <w:color w:val="000000" w:themeColor="text1"/>
          <w:sz w:val="18"/>
          <w:szCs w:val="18"/>
          <w:lang w:eastAsia="es-MX"/>
        </w:rPr>
        <w:t>a</w:t>
      </w:r>
      <w:bookmarkStart w:id="7" w:name="88"/>
      <w:bookmarkEnd w:id="7"/>
      <w:r w:rsidRPr="00524F00">
        <w:rPr>
          <w:rFonts w:ascii="Verdana" w:eastAsia="Times New Roman" w:hAnsi="Verdana" w:cs="Times New Roman"/>
          <w:color w:val="000000" w:themeColor="text1"/>
          <w:sz w:val="18"/>
          <w:szCs w:val="18"/>
          <w:lang w:eastAsia="es-MX"/>
        </w:rPr>
        <w:t>rtículo 88. “</w:t>
      </w:r>
      <w:r w:rsidRPr="00524F00">
        <w:rPr>
          <w:rFonts w:ascii="Verdana" w:eastAsia="Times New Roman" w:hAnsi="Verdana" w:cs="Times New Roman"/>
          <w:i/>
          <w:iCs/>
          <w:color w:val="000000" w:themeColor="text1"/>
          <w:sz w:val="18"/>
          <w:szCs w:val="18"/>
          <w:lang w:eastAsia="es-MX"/>
        </w:rPr>
        <w:t>Presunción de legalidad del acto administrativo.</w:t>
      </w:r>
      <w:r w:rsidRPr="00524F00">
        <w:rPr>
          <w:rFonts w:ascii="Verdana" w:eastAsia="Times New Roman" w:hAnsi="Verdana" w:cs="Times New Roman"/>
          <w:color w:val="000000" w:themeColor="text1"/>
          <w:sz w:val="18"/>
          <w:szCs w:val="18"/>
          <w:lang w:eastAsia="es-MX"/>
        </w:rPr>
        <w:t xml:space="preserve">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footnote>
  <w:footnote w:id="50">
    <w:p w14:paraId="75291A80"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AGENCIA NACIONAL DE CONTRATACIÓN PÚBLICA – COLOMBIA COMPRA EFICIENTE. Concepto C-246 del 12 de marzo de 2026.</w:t>
      </w:r>
    </w:p>
  </w:footnote>
  <w:footnote w:id="51">
    <w:p w14:paraId="44EA9011" w14:textId="77777777" w:rsidR="009270B3" w:rsidRPr="00524F00" w:rsidRDefault="009270B3" w:rsidP="009270B3">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AGENCIA NACIONAL DE CONTRATACIÓN PÚBLICA – COLOMBIA COMPRA EFICIENTE. Concepto C-1871 del 5 de febrero de 2026. La Agencia indicó que, a partir del 16 de febrero de 2026, las entidades obligadas a utilizar los documentos tipo deben aplicar los documentos tipo complementarios del sector educativo adoptados mediante las Resoluciones 539, 540 y 541 de 2025 cuando el proyecto corresponda a las actividades de la matriz, y que la entidad contratante, en la planeación de cada proceso, determina si el contrato se enmarca en ellas.</w:t>
      </w:r>
    </w:p>
  </w:footnote>
  <w:footnote w:id="52">
    <w:p w14:paraId="75A5C7D8"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Ley 2022 de 2020, artículo 1: “[…] la Agencia Nacional de Contratación Pública – Colombia Compra Eficiente, adoptará documentos tipo que serán de obligatorio cumplimiento en la actividad contractual de todas las entidades sometidas al Estatuto General de Contratación de la Administración Pública”.</w:t>
      </w:r>
    </w:p>
  </w:footnote>
  <w:footnote w:id="53">
    <w:p w14:paraId="73F0AA58"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Resolución 539 de 2025, artículo 3: “Inalterabilidad de los documentos tipo. De conformidad con el artículo 1 de la Ley 2022 de 2020,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 En consecuencia, los obligados a su aplicación, al adelantar sus procedimientos de selección, solo podrán modificarlos en los aspectos en que los documentos tipo lo permitan”.</w:t>
      </w:r>
    </w:p>
  </w:footnote>
  <w:footnote w:id="54">
    <w:p w14:paraId="72C3DBFD"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Anexo de la memoria justificativa (informe sectorial), pág. 148: “Educación: Que de conformidad con La normativa vigente como la NSR-10, establece para el Subgrupo de Ocupación Institucional de Educación (I-3), las edificaciones o espacios empleados para la reunión de personas con propósitos educativos y de instrucción, presentando de manera indicativa las edificaciones que deberían clasificarse en este Subgrupo: así: i) Universidades, </w:t>
      </w:r>
      <w:r w:rsidRPr="00524F00">
        <w:rPr>
          <w:rFonts w:ascii="Verdana" w:hAnsi="Verdana"/>
          <w:color w:val="000000" w:themeColor="text1"/>
          <w:sz w:val="18"/>
          <w:szCs w:val="18"/>
        </w:rPr>
        <w:t>ii) Colegios, iii) Escuelas, iv) Centros de Educación, v) Academias, vi) Jardines Infantiles y vii) Otras instituciones docentes”.</w:t>
      </w:r>
    </w:p>
  </w:footnote>
  <w:footnote w:id="55">
    <w:p w14:paraId="5EDB7A03"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Anexo 5 – Glosario, numeral 109 del glosario técnico general del sector social: “Grupo de ocupación de Institucional de educación: En este grupo se clasifican las edificaciones o espacios empleados para la reunión de personas con propósitos educativos y de instrucción, entre los cuales se encuentran, entre otras universidad, colegio, escuela, centros de educación, jardín infantil, instituciones docentes, academias […] y otras instituciones docentes”.</w:t>
      </w:r>
    </w:p>
  </w:footnote>
  <w:footnote w:id="56">
    <w:p w14:paraId="24E49DBB"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Concepto C-246 del 12 de marzo de 2026, radicado de entrada 1_2026_02_18_002113. Sobre el subgrupo de ocupación institucional de educación (I-3) de la NSR-10, la Agencia señaló que “la enumeración no es taxativa, sino enunciativa”, y concluyó que las instalaciones de las instituciones de educación superior, por su finalidad educativa, corresponden a infraestructura del sector educativo a la que se aplican los documentos tipo en los casos previstos por la ley.</w:t>
      </w:r>
    </w:p>
  </w:footnote>
  <w:footnote w:id="57">
    <w:p w14:paraId="7183E433"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Memoria justificativa, versión 02 del 21 de agosto de 2025, numeral 10, págs. 73 y 74: “Las modificaciones a los documentos tipo de infraestructura social para procesos de obra pública adelantados bajo la modalidad de licitación pública, aplicables a los sectores educativo, salud, cultura, recreación y deporte, institucional y vivienda, deben ser observados por todas las entidades sometidas al Estatuto General de la Contratación de la Administración Pública, patrimonios autónomos o personas naturales o jurídicas de derecho público o privado que por mandamiento legal estén obligadas a su aplicación”.</w:t>
      </w:r>
    </w:p>
  </w:footnote>
  <w:footnote w:id="58">
    <w:p w14:paraId="6BD66D7D"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Anexo de la memoria justificativa (informe sectorial), págs. 72 y 73: “Y durante la vigencia 2025 se llevaron a cabo las siguientes citaciones a mesas de trabajo con las entidades especializadas, para socializar las modificaciones propuestas a los Documentos Tipo del sector Social”. En la Tabla 26, bajo el título “Sector Educación”, se relacionan “</w:t>
      </w:r>
      <w:r w:rsidRPr="00524F00">
        <w:rPr>
          <w:rFonts w:ascii="Verdana" w:hAnsi="Verdana"/>
          <w:color w:val="000000" w:themeColor="text1"/>
          <w:sz w:val="18"/>
          <w:szCs w:val="18"/>
        </w:rPr>
        <w:t>Mineducación”, “Servicio Nacional de Aprendizaje (Sena)”, “Instituto Colombiano de Bienestar Familiar (ICBF)” y “Universidades distritales a nivel nacional”</w:t>
      </w:r>
      <w:r>
        <w:rPr>
          <w:rFonts w:ascii="Verdana" w:hAnsi="Verdana"/>
          <w:color w:val="000000" w:themeColor="text1"/>
          <w:sz w:val="18"/>
          <w:szCs w:val="18"/>
        </w:rPr>
        <w:t xml:space="preserve"> (…). </w:t>
      </w:r>
    </w:p>
  </w:footnote>
  <w:footnote w:id="59">
    <w:p w14:paraId="1C334315"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Matriz de respuestas a las observaciones ciudadanas. Observación del Ministerio de Educación Nacional sobre la matriz de experiencia, aceptada por la Agencia: “Es necesario aclarar que si bien dentro de las actividades a contratar se menciona espacios como: Polideportivos, Coliseos, Conchas Acústicas, Espacios recreo deportivos y/o Bibliotecas, estos corresponden a ambientes al interior de instituciones educativas y son considerados como ambientes tipo D y F de acuerdo con la NTC 4595”.</w:t>
      </w:r>
    </w:p>
  </w:footnote>
  <w:footnote w:id="60">
    <w:p w14:paraId="75A13B0B"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Resolución 539 de 2025, artículo 2, parágrafo 2: “Estos documentos tipo aplicarán a los proyectos de infraestructura social, enmarcados dentro del sector educativo, sector salud, sector cultura, recreación y deporte, sector institucional, y sector vivienda, de conformidad con los capítulos II, III, IV, V y VI de esta Resolución, donde se precisará el alcance concreto de estos documentos tipo […]”. Artículo 9: “Los documentos tipo contienen parámetros obligatorios para las entidades estatales sometidas al Estatuto General de Contratación de la Administración Pública, que realicen procedimientos de licitación pública para celebrar contratos de obra relacionados con infraestructura social, asociada al sector educación”. Artículo 23: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footnote>
  <w:footnote w:id="61">
    <w:p w14:paraId="4562FA99"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Memoria justificativa, nota al pie 45, en la que se transcribe la tesis de los conceptos C-066 de 2022 y C-155 de 2025, entre otros: “[…] en atención a lo dispuesto en los dos primeros incisos del artículo 56 de la Ley 2195 de 2022, cuando las entidades estatales regidas por el Estatuto General de Contratación de la Administración Pública suscriban convenios o contratos de cualquier índole con entidades estatales de régimen exceptuado, patrimonios autónomos, personas naturales o jurídicas de derecho privado, el deber de aplicar documentos tipo y las disposiciones del Estatuto General de Contratación de la Administración Pública, se hace extensiva a tales sujetos sometidos por regla general al derecho privado. […] No obstante, se encuentran exceptuadas de dicha obligación las Instituciones de Educación Superior públicas, las empresas sociales del Estado, las sociedades de economía mixta y las empresas industriales y comerciales del Estado, únicamente en cuanto a la contratación de su giro ordinario”.</w:t>
      </w:r>
    </w:p>
  </w:footnote>
  <w:footnote w:id="62">
    <w:p w14:paraId="0134A51D"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Anexo de la memoria justificativa (informe sectorial), pág. 34: “Por otro lado, y con relación a las veinte (20) entidades que mayores cuantías acumulan en contratos celebrados durante las vigencias 2021, 2022, 2023 y 2024-I para el sector educación, se ubica la Secretaría de Educación del Distrito lidera con un valor contratado de $650,522 millones de pesos a través de 36 contratos”.</w:t>
      </w:r>
    </w:p>
  </w:footnote>
  <w:footnote w:id="63">
    <w:p w14:paraId="5BAF01BB"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Anexo 5 – Glosario, numeral 74 del glosario específico del sector educativo: “Instituciones de Educación Superior (IES): se refiere a aquellas instituciones de naturaleza oficial o privada, que están habilitadas para prestar el servicio público de educación superior, y que por su naturaleza jurídica no están destinadas a distribuir utilidades o beneficios entre sus miembros, sino a su reinversión en el desarrollo de la actividad social que les corresponde. En atención a su carácter académico y de acuerdo con los articulas 16 de la Ley 30 de 1992 y 1 y 2 de la Ley 749 de 2002, dichas instituciones pueden ser: i) instituciones técnico-profesionales, </w:t>
      </w:r>
      <w:r w:rsidRPr="00524F00">
        <w:rPr>
          <w:rFonts w:ascii="Verdana" w:hAnsi="Verdana"/>
          <w:color w:val="000000" w:themeColor="text1"/>
          <w:sz w:val="18"/>
          <w:szCs w:val="18"/>
        </w:rPr>
        <w:t>ii) instituciones tecnológicas, iii) instituciones universitarias o escuelas tecnológicas y iv) universidades”.</w:t>
      </w:r>
    </w:p>
  </w:footnote>
  <w:footnote w:id="64">
    <w:p w14:paraId="63E2459D"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Matriz de respuestas a las observaciones ciudadanas. Observación de CAMACOL: “Actualmente, entidades fiduciarias, patrimonios autónomos, empresas sociales, industriales y comerciales del estado, instituciones de educación superior y sociedades de economía mixta de los diferentes ordenes territoriales representan más del cuarenta por ciento (40%) de la contratación de obras de infraestructura social. […] Aunque la Ley 2195 de 2022, en su artículo 56, intentó corregir el manejo de estas contrataciones, dicha disposición no ha resultado suficiente para garantizar la adopción efectiva de los documentos tipo por parte de estas entidades”. Respuesta de la Agencia (aclaración): “Se le aclara al observante que en el artículo 3 de la Resolución […] se incluye lo siguiente: Inalterabilidad de los documentos tipo. De conformidad con el artículo 1 de la Ley 2022 de 2020,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 […]”. En otra de sus observaciones sobre el mismo punto, la Agencia respondió: “Se le aclara al observante que no se </w:t>
      </w:r>
      <w:r w:rsidRPr="00524F00">
        <w:rPr>
          <w:rFonts w:ascii="Verdana" w:hAnsi="Verdana"/>
          <w:color w:val="000000" w:themeColor="text1"/>
          <w:sz w:val="18"/>
          <w:szCs w:val="18"/>
        </w:rPr>
        <w:t>esta en el marco de una observación referente a documento puesto a consideración”.</w:t>
      </w:r>
    </w:p>
  </w:footnote>
  <w:footnote w:id="65">
    <w:p w14:paraId="7A9585CD"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Informe global de participación ciudadana del 2 de septiembre de 2025, objeto: “Exponer y evaluar el impacto de las observaciones y los comentarios presentados por los ciudadanos y grupos de interés al proyecto de Resolución […]”.</w:t>
      </w:r>
    </w:p>
  </w:footnote>
  <w:footnote w:id="66">
    <w:p w14:paraId="553B0DA5" w14:textId="77777777" w:rsidR="009270B3" w:rsidRPr="00524F00" w:rsidRDefault="009270B3" w:rsidP="009270B3">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Resolución 539 de 2025, considerandos: “Que la Superintendencia de Industria y Comercio no realizó recomendaciones al proyecto de Resolución que adopta los documentos tipo objeto de esta Resolución debido a que ‘en su contenido, no identificó elementos que limiten o afecten negativamente la libre competencia económica’”.</w:t>
      </w:r>
    </w:p>
  </w:footnote>
  <w:footnote w:id="67">
    <w:p w14:paraId="55875CAA" w14:textId="77777777" w:rsidR="009270B3" w:rsidRPr="00B1066F" w:rsidRDefault="009270B3" w:rsidP="009270B3">
      <w:pPr>
        <w:pStyle w:val="Textonotapie"/>
        <w:ind w:firstLine="708"/>
        <w:jc w:val="both"/>
        <w:rPr>
          <w:rFonts w:ascii="Verdana" w:hAnsi="Verdana"/>
          <w:sz w:val="19"/>
          <w:szCs w:val="19"/>
        </w:rPr>
      </w:pPr>
      <w:r w:rsidRPr="00B1066F">
        <w:rPr>
          <w:rStyle w:val="Refdenotaalpie"/>
          <w:rFonts w:ascii="Verdana" w:hAnsi="Verdana"/>
          <w:sz w:val="19"/>
          <w:szCs w:val="19"/>
        </w:rPr>
        <w:footnoteRef/>
      </w:r>
      <w:r w:rsidRPr="00B1066F">
        <w:rPr>
          <w:rFonts w:ascii="Verdana" w:hAnsi="Verdana"/>
          <w:sz w:val="19"/>
          <w:szCs w:val="19"/>
        </w:rPr>
        <w:t xml:space="preserve"> Reglamento Colombiano de Construcción Sismo Resistente NSR-10, Título K – Requisitos complementarios. Consultado en: www.idrd.gov.co/sites/default/files/documentos/Construcciones/11titulo-k-nsr-100.pdf </w:t>
      </w:r>
    </w:p>
    <w:p w14:paraId="44FACAE9" w14:textId="77777777" w:rsidR="009270B3" w:rsidRPr="00B1066F" w:rsidRDefault="009270B3" w:rsidP="009270B3">
      <w:pPr>
        <w:pStyle w:val="Textonotapie"/>
        <w:ind w:firstLine="708"/>
        <w:jc w:val="both"/>
        <w:rPr>
          <w:rFonts w:ascii="Verdana" w:hAnsi="Verdana"/>
          <w:sz w:val="19"/>
          <w:szCs w:val="19"/>
          <w:lang w:val="es-ES_tradnl"/>
        </w:rPr>
      </w:pPr>
    </w:p>
  </w:footnote>
  <w:footnote w:id="68">
    <w:p w14:paraId="64472EB9" w14:textId="77777777" w:rsidR="009270B3" w:rsidRPr="00B1066F" w:rsidRDefault="009270B3" w:rsidP="009270B3">
      <w:pPr>
        <w:pStyle w:val="Textonotapie"/>
        <w:ind w:firstLine="708"/>
        <w:jc w:val="both"/>
        <w:rPr>
          <w:rFonts w:ascii="Verdana" w:hAnsi="Verdana"/>
          <w:sz w:val="19"/>
          <w:szCs w:val="19"/>
          <w:lang w:val="es-ES_tradnl"/>
        </w:rPr>
      </w:pPr>
      <w:r w:rsidRPr="00B1066F">
        <w:rPr>
          <w:rStyle w:val="Refdenotaalpie"/>
          <w:rFonts w:ascii="Verdana" w:hAnsi="Verdana"/>
          <w:sz w:val="19"/>
          <w:szCs w:val="19"/>
        </w:rPr>
        <w:footnoteRef/>
      </w:r>
      <w:r w:rsidRPr="00B1066F">
        <w:rPr>
          <w:rFonts w:ascii="Verdana" w:hAnsi="Verdana"/>
          <w:sz w:val="19"/>
          <w:szCs w:val="19"/>
        </w:rPr>
        <w:t xml:space="preserve"> </w:t>
      </w:r>
      <w:r w:rsidRPr="00B1066F">
        <w:rPr>
          <w:rFonts w:ascii="Verdana" w:hAnsi="Verdana"/>
          <w:sz w:val="19"/>
          <w:szCs w:val="19"/>
          <w:lang w:val="es-ES_tradnl"/>
        </w:rPr>
        <w:t xml:space="preserve">Ibidem </w:t>
      </w:r>
    </w:p>
    <w:p w14:paraId="19D8667F" w14:textId="77777777" w:rsidR="009270B3" w:rsidRPr="00B1066F" w:rsidRDefault="009270B3" w:rsidP="009270B3">
      <w:pPr>
        <w:pStyle w:val="Textonotapie"/>
        <w:ind w:firstLine="708"/>
        <w:jc w:val="both"/>
        <w:rPr>
          <w:rFonts w:ascii="Verdana" w:hAnsi="Verdana"/>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40" type="#_x0000_t75" style="width:11.45pt;height:11.4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4A1F5D35"/>
    <w:multiLevelType w:val="hybridMultilevel"/>
    <w:tmpl w:val="F7B80432"/>
    <w:lvl w:ilvl="0" w:tplc="6D9EA1FA">
      <w:start w:val="1"/>
      <w:numFmt w:val="decimal"/>
      <w:lvlText w:val="%1."/>
      <w:lvlJc w:val="left"/>
      <w:pPr>
        <w:ind w:left="720" w:hanging="360"/>
      </w:pPr>
    </w:lvl>
    <w:lvl w:ilvl="1" w:tplc="A560F948">
      <w:start w:val="1"/>
      <w:numFmt w:val="lowerLetter"/>
      <w:lvlText w:val="%2)"/>
      <w:lvlJc w:val="left"/>
      <w:pPr>
        <w:ind w:left="1260" w:hanging="360"/>
      </w:pPr>
    </w:lvl>
    <w:lvl w:ilvl="2" w:tplc="FFCCCA6A">
      <w:numFmt w:val="decimal"/>
      <w:lvlText w:val=""/>
      <w:lvlJc w:val="left"/>
    </w:lvl>
    <w:lvl w:ilvl="3" w:tplc="C8F29E70">
      <w:numFmt w:val="decimal"/>
      <w:lvlText w:val=""/>
      <w:lvlJc w:val="left"/>
    </w:lvl>
    <w:lvl w:ilvl="4" w:tplc="D8889098">
      <w:numFmt w:val="decimal"/>
      <w:lvlText w:val=""/>
      <w:lvlJc w:val="left"/>
    </w:lvl>
    <w:lvl w:ilvl="5" w:tplc="A0D0BA5A">
      <w:numFmt w:val="decimal"/>
      <w:lvlText w:val=""/>
      <w:lvlJc w:val="left"/>
    </w:lvl>
    <w:lvl w:ilvl="6" w:tplc="AE543F5C">
      <w:numFmt w:val="decimal"/>
      <w:lvlText w:val=""/>
      <w:lvlJc w:val="left"/>
    </w:lvl>
    <w:lvl w:ilvl="7" w:tplc="2F5E7D98">
      <w:numFmt w:val="decimal"/>
      <w:lvlText w:val=""/>
      <w:lvlJc w:val="left"/>
    </w:lvl>
    <w:lvl w:ilvl="8" w:tplc="C94C1170">
      <w:numFmt w:val="decimal"/>
      <w:lvlText w:val=""/>
      <w:lvlJc w:val="left"/>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1252273153">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02E1D"/>
    <w:rsid w:val="00116940"/>
    <w:rsid w:val="00125105"/>
    <w:rsid w:val="00127233"/>
    <w:rsid w:val="001277F9"/>
    <w:rsid w:val="0015699B"/>
    <w:rsid w:val="001833D6"/>
    <w:rsid w:val="00196B03"/>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4834"/>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D6961"/>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A599B"/>
    <w:rsid w:val="006D3943"/>
    <w:rsid w:val="00706C16"/>
    <w:rsid w:val="007340C3"/>
    <w:rsid w:val="0075235A"/>
    <w:rsid w:val="00756841"/>
    <w:rsid w:val="007649AB"/>
    <w:rsid w:val="00771D0C"/>
    <w:rsid w:val="007833AC"/>
    <w:rsid w:val="007A2D9F"/>
    <w:rsid w:val="007B268C"/>
    <w:rsid w:val="007B7171"/>
    <w:rsid w:val="007C0C0F"/>
    <w:rsid w:val="007C3DC2"/>
    <w:rsid w:val="007E5497"/>
    <w:rsid w:val="00806F5F"/>
    <w:rsid w:val="00820278"/>
    <w:rsid w:val="008258C9"/>
    <w:rsid w:val="00844AE9"/>
    <w:rsid w:val="00861F35"/>
    <w:rsid w:val="00867F95"/>
    <w:rsid w:val="008843B6"/>
    <w:rsid w:val="00891928"/>
    <w:rsid w:val="008A446D"/>
    <w:rsid w:val="008A563C"/>
    <w:rsid w:val="008B25F1"/>
    <w:rsid w:val="008D180B"/>
    <w:rsid w:val="008F0EA7"/>
    <w:rsid w:val="00923EEF"/>
    <w:rsid w:val="009270B3"/>
    <w:rsid w:val="009419F9"/>
    <w:rsid w:val="0095685E"/>
    <w:rsid w:val="00957347"/>
    <w:rsid w:val="00961B09"/>
    <w:rsid w:val="00965334"/>
    <w:rsid w:val="0097093E"/>
    <w:rsid w:val="009849EE"/>
    <w:rsid w:val="0099273F"/>
    <w:rsid w:val="009A0DFA"/>
    <w:rsid w:val="009A1C6F"/>
    <w:rsid w:val="009B2D26"/>
    <w:rsid w:val="009C71FA"/>
    <w:rsid w:val="009C72E7"/>
    <w:rsid w:val="009C7F7E"/>
    <w:rsid w:val="009D3058"/>
    <w:rsid w:val="009F3A13"/>
    <w:rsid w:val="00A11CBA"/>
    <w:rsid w:val="00A122D3"/>
    <w:rsid w:val="00A14468"/>
    <w:rsid w:val="00A17F13"/>
    <w:rsid w:val="00A20739"/>
    <w:rsid w:val="00A23AF9"/>
    <w:rsid w:val="00A33C78"/>
    <w:rsid w:val="00A957D5"/>
    <w:rsid w:val="00AB0ADB"/>
    <w:rsid w:val="00B00C0E"/>
    <w:rsid w:val="00B01B1A"/>
    <w:rsid w:val="00B0381D"/>
    <w:rsid w:val="00B44A47"/>
    <w:rsid w:val="00B72CD3"/>
    <w:rsid w:val="00B72FFF"/>
    <w:rsid w:val="00B923B1"/>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56F19"/>
    <w:rsid w:val="00D63AC2"/>
    <w:rsid w:val="00D7383B"/>
    <w:rsid w:val="00D7788A"/>
    <w:rsid w:val="00D92662"/>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0EE2"/>
    <w:rsid w:val="00EC38A7"/>
    <w:rsid w:val="00EE1AA8"/>
    <w:rsid w:val="00F21243"/>
    <w:rsid w:val="00F21D47"/>
    <w:rsid w:val="00F23FEA"/>
    <w:rsid w:val="00F31EDC"/>
    <w:rsid w:val="00F462B3"/>
    <w:rsid w:val="00F5664F"/>
    <w:rsid w:val="00F666C4"/>
    <w:rsid w:val="00F76AFC"/>
    <w:rsid w:val="00F870C6"/>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927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270B3"/>
    <w:pPr>
      <w:spacing w:line="240" w:lineRule="exact"/>
    </w:pPr>
    <w:rPr>
      <w:vertAlign w:val="superscript"/>
    </w:rPr>
  </w:style>
  <w:style w:type="character" w:styleId="Textoennegrita">
    <w:name w:val="Strong"/>
    <w:basedOn w:val="Fuentedeprrafopredeter"/>
    <w:uiPriority w:val="22"/>
    <w:qFormat/>
    <w:rsid w:val="009270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dtarra43@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88CC1C2-CE5A-4C33-8531-435063C3D665}"/>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76</Pages>
  <Words>25072</Words>
  <Characters>137902</Characters>
  <Application>Microsoft Office Word</Application>
  <DocSecurity>0</DocSecurity>
  <Lines>1149</Lines>
  <Paragraphs>325</Paragraphs>
  <ScaleCrop>false</ScaleCrop>
  <Company/>
  <LinksUpToDate>false</LinksUpToDate>
  <CharactersWithSpaces>162649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2</cp:revision>
  <cp:lastPrinted>2023-01-10T21:18:00Z</cp:lastPrinted>
  <dcterms:created xsi:type="dcterms:W3CDTF">2026-11-03T20:30:00Z</dcterms:created>
  <dcterms:modified xsi:type="dcterms:W3CDTF">2026-11-03T20:30:00Z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