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5A16E" w14:textId="77777777" w:rsidR="00982852" w:rsidRPr="00AC4498" w:rsidRDefault="00982852" w:rsidP="00982852">
      <w:pPr>
        <w:spacing w:after="0" w:line="240" w:lineRule="auto"/>
        <w:jc w:val="both"/>
        <w:rPr>
          <w:rFonts w:ascii="Verdana" w:hAnsi="Verdana" w:cs="Arial"/>
          <w:lang w:val="es-MX"/>
        </w:rPr>
      </w:pPr>
      <w:r w:rsidRPr="00AC4498">
        <w:rPr>
          <w:rFonts w:ascii="Verdana" w:hAnsi="Verdana" w:cs="Arial"/>
          <w:b/>
          <w:lang w:val="es-MX"/>
        </w:rPr>
        <w:t xml:space="preserve">EXPERIENCIA </w:t>
      </w:r>
      <w:r w:rsidRPr="00AC4498">
        <w:rPr>
          <w:rFonts w:ascii="Verdana" w:eastAsia="Calibri" w:hAnsi="Verdana" w:cs="Arial"/>
          <w:b/>
          <w:lang w:val="es-MX"/>
        </w:rPr>
        <w:t xml:space="preserve">– </w:t>
      </w:r>
      <w:r w:rsidRPr="00AC4498">
        <w:rPr>
          <w:rFonts w:ascii="Verdana" w:hAnsi="Verdana" w:cs="Arial"/>
          <w:b/>
          <w:lang w:val="es-MX"/>
        </w:rPr>
        <w:t xml:space="preserve">Noción </w:t>
      </w:r>
    </w:p>
    <w:p w14:paraId="71BECDA1" w14:textId="77777777" w:rsidR="00982852" w:rsidRPr="00221BD4" w:rsidRDefault="00982852" w:rsidP="00982852">
      <w:pPr>
        <w:spacing w:after="0" w:line="240" w:lineRule="auto"/>
        <w:jc w:val="both"/>
        <w:rPr>
          <w:rFonts w:ascii="Verdana" w:hAnsi="Verdana" w:cs="Arial"/>
          <w:sz w:val="20"/>
          <w:szCs w:val="20"/>
          <w:lang w:val="es-MX"/>
        </w:rPr>
      </w:pPr>
    </w:p>
    <w:p w14:paraId="3FE37D11" w14:textId="77777777" w:rsidR="00982852" w:rsidRDefault="00982852" w:rsidP="00982852">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 La experiencia es </w:t>
      </w:r>
      <w:r w:rsidRPr="00221BD4">
        <w:rPr>
          <w:rFonts w:ascii="Verdana" w:eastAsia="Calibri" w:hAnsi="Verdana" w:cs="Arial"/>
          <w:i/>
          <w:iCs/>
          <w:sz w:val="20"/>
          <w:szCs w:val="20"/>
          <w:lang w:val="es-MX"/>
        </w:rPr>
        <w:t>personal</w:t>
      </w:r>
      <w:r w:rsidRPr="00221BD4">
        <w:rPr>
          <w:rFonts w:ascii="Verdana" w:eastAsia="Calibri" w:hAnsi="Verdana" w:cs="Arial"/>
          <w:sz w:val="20"/>
          <w:szCs w:val="20"/>
          <w:lang w:val="es-MX"/>
        </w:rPr>
        <w:t>, esto es, se adquiere participando, directa o indirectamente, sin que sea posible no hacerlo y tener experiencia.</w:t>
      </w:r>
    </w:p>
    <w:p w14:paraId="1541DE74" w14:textId="77777777" w:rsidR="00982852" w:rsidRPr="00221BD4" w:rsidRDefault="00982852" w:rsidP="00982852">
      <w:pPr>
        <w:spacing w:after="0" w:line="240" w:lineRule="auto"/>
        <w:jc w:val="both"/>
        <w:rPr>
          <w:rFonts w:ascii="Verdana" w:eastAsia="Calibri" w:hAnsi="Verdana" w:cs="Arial"/>
          <w:sz w:val="20"/>
          <w:szCs w:val="20"/>
          <w:lang w:val="es-MX"/>
        </w:rPr>
      </w:pPr>
    </w:p>
    <w:p w14:paraId="1AFFC37D" w14:textId="77777777" w:rsidR="00982852" w:rsidRDefault="00982852" w:rsidP="00982852">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ii) La experiencia se puede </w:t>
      </w:r>
      <w:r w:rsidRPr="00221BD4">
        <w:rPr>
          <w:rFonts w:ascii="Verdana" w:eastAsia="Calibri" w:hAnsi="Verdana" w:cs="Arial"/>
          <w:i/>
          <w:iCs/>
          <w:sz w:val="20"/>
          <w:szCs w:val="20"/>
          <w:lang w:val="es-MX"/>
        </w:rPr>
        <w:t>compartir</w:t>
      </w:r>
      <w:r w:rsidRPr="00221BD4">
        <w:rPr>
          <w:rFonts w:ascii="Verdana" w:eastAsia="Calibri" w:hAnsi="Verdana" w:cs="Arial"/>
          <w:sz w:val="20"/>
          <w:szCs w:val="20"/>
          <w:lang w:val="es-MX"/>
        </w:rPr>
        <w:t xml:space="preserve">, sin que implique que la compartida a una persona se entienda suya, ya que dentro del procedimiento contractual se reflejará que esa persona tiene la experiencia de otra, como es el caso de las figuras asociativas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consorcios y uniones temporales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que se verificará en el documento privado de constitución.</w:t>
      </w:r>
    </w:p>
    <w:p w14:paraId="60FB407D" w14:textId="77777777" w:rsidR="00982852" w:rsidRPr="00221BD4" w:rsidRDefault="00982852" w:rsidP="00982852">
      <w:pPr>
        <w:spacing w:after="0" w:line="240" w:lineRule="auto"/>
        <w:jc w:val="both"/>
        <w:rPr>
          <w:rFonts w:ascii="Verdana" w:eastAsia="Calibri" w:hAnsi="Verdana" w:cs="Arial"/>
          <w:sz w:val="20"/>
          <w:szCs w:val="20"/>
          <w:lang w:val="es-MX"/>
        </w:rPr>
      </w:pPr>
    </w:p>
    <w:p w14:paraId="21E5F073" w14:textId="77777777" w:rsidR="00982852" w:rsidRDefault="00982852" w:rsidP="00982852">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iii) La experiencia se puede </w:t>
      </w:r>
      <w:r w:rsidRPr="00221BD4">
        <w:rPr>
          <w:rFonts w:ascii="Verdana" w:eastAsia="Calibri" w:hAnsi="Verdana" w:cs="Arial"/>
          <w:i/>
          <w:iCs/>
          <w:sz w:val="20"/>
          <w:szCs w:val="20"/>
          <w:lang w:val="es-MX"/>
        </w:rPr>
        <w:t>transferir</w:t>
      </w:r>
      <w:r w:rsidRPr="00221BD4">
        <w:rPr>
          <w:rFonts w:ascii="Verdana" w:eastAsia="Calibri" w:hAnsi="Verdana" w:cs="Arial"/>
          <w:sz w:val="20"/>
          <w:szCs w:val="20"/>
          <w:lang w:val="es-MX"/>
        </w:rPr>
        <w:t xml:space="preserve">, y esto es diferente a compartir, lo que implica que la experiencia de una persona se traslada a otra, y esta última acredita la experiencia como propia, como sucede con la figura que se explicará </w:t>
      </w:r>
      <w:r>
        <w:rPr>
          <w:rFonts w:ascii="Verdana" w:eastAsia="Calibri" w:hAnsi="Verdana" w:cs="Arial"/>
          <w:sz w:val="20"/>
          <w:szCs w:val="20"/>
          <w:lang w:val="es-MX"/>
        </w:rPr>
        <w:t>mas adelante</w:t>
      </w:r>
      <w:r w:rsidRPr="00221BD4">
        <w:rPr>
          <w:rFonts w:ascii="Verdana" w:eastAsia="Calibri" w:hAnsi="Verdana" w:cs="Arial"/>
          <w:sz w:val="20"/>
          <w:szCs w:val="20"/>
          <w:lang w:val="es-MX"/>
        </w:rPr>
        <w:t>.</w:t>
      </w:r>
    </w:p>
    <w:p w14:paraId="0D463AFB" w14:textId="77777777" w:rsidR="00982852" w:rsidRPr="00221BD4" w:rsidRDefault="00982852" w:rsidP="00982852">
      <w:pPr>
        <w:spacing w:after="0" w:line="240" w:lineRule="auto"/>
        <w:jc w:val="both"/>
        <w:rPr>
          <w:rFonts w:ascii="Verdana" w:eastAsia="Calibri" w:hAnsi="Verdana" w:cs="Arial"/>
          <w:sz w:val="20"/>
          <w:szCs w:val="20"/>
          <w:lang w:val="es-MX"/>
        </w:rPr>
      </w:pPr>
    </w:p>
    <w:p w14:paraId="5A51626F" w14:textId="77777777" w:rsidR="00982852" w:rsidRPr="00221BD4" w:rsidRDefault="00982852" w:rsidP="00982852">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iv) Cuando la persona que adquirió la experiencia </w:t>
      </w:r>
      <w:r w:rsidRPr="00221BD4">
        <w:rPr>
          <w:rFonts w:ascii="Verdana" w:eastAsia="Calibri" w:hAnsi="Verdana" w:cs="Arial"/>
          <w:i/>
          <w:iCs/>
          <w:sz w:val="20"/>
          <w:szCs w:val="20"/>
          <w:lang w:val="es-MX"/>
        </w:rPr>
        <w:t>desaparece</w:t>
      </w:r>
      <w:r w:rsidRPr="00221BD4">
        <w:rPr>
          <w:rFonts w:ascii="Verdana" w:eastAsia="Calibri" w:hAnsi="Verdana" w:cs="Arial"/>
          <w:sz w:val="20"/>
          <w:szCs w:val="20"/>
          <w:lang w:val="es-MX"/>
        </w:rPr>
        <w:t xml:space="preserve"> o se liquida no es posible que comparta o transfiera su experiencia, porque al ser personal sigue la suerte de quien la adquirió.</w:t>
      </w:r>
    </w:p>
    <w:p w14:paraId="56C6CB52" w14:textId="77777777" w:rsidR="002C5CCF" w:rsidRPr="00982852" w:rsidRDefault="002C5CCF" w:rsidP="004871BA">
      <w:pPr>
        <w:spacing w:after="0" w:line="240" w:lineRule="auto"/>
        <w:contextualSpacing/>
        <w:rPr>
          <w:rFonts w:ascii="Verdana" w:eastAsia="Calibri" w:hAnsi="Verdana" w:cs="Arial"/>
          <w:lang w:val="es-MX"/>
        </w:rPr>
      </w:pPr>
    </w:p>
    <w:p w14:paraId="5D6C9B12" w14:textId="0AFDC742" w:rsidR="002C5CCF" w:rsidRPr="007D54BD" w:rsidRDefault="00B94969" w:rsidP="004871BA">
      <w:pPr>
        <w:spacing w:after="0" w:line="240" w:lineRule="auto"/>
        <w:contextualSpacing/>
        <w:rPr>
          <w:rFonts w:ascii="Verdana" w:eastAsia="Calibri" w:hAnsi="Verdana" w:cs="Arial"/>
          <w:b/>
          <w:bCs/>
        </w:rPr>
      </w:pPr>
      <w:r w:rsidRPr="007D54BD">
        <w:rPr>
          <w:rFonts w:ascii="Verdana" w:eastAsia="Calibri" w:hAnsi="Verdana" w:cs="Arial"/>
          <w:b/>
          <w:bCs/>
          <w:lang w:val="es-ES_tradnl"/>
        </w:rPr>
        <w:t>SOCIEDADES NUEVAS ‒ Experiencia ‒ Inferior a tres años ‒ Requisitos habilitantes</w:t>
      </w:r>
    </w:p>
    <w:p w14:paraId="6F882404" w14:textId="77777777" w:rsidR="002C5CCF" w:rsidRDefault="002C5CCF" w:rsidP="004871BA">
      <w:pPr>
        <w:spacing w:after="0" w:line="240" w:lineRule="auto"/>
        <w:contextualSpacing/>
        <w:rPr>
          <w:rFonts w:ascii="Verdana" w:eastAsia="Calibri" w:hAnsi="Verdana" w:cs="Arial"/>
        </w:rPr>
      </w:pPr>
    </w:p>
    <w:p w14:paraId="334C035F" w14:textId="77777777" w:rsidR="007D54BD" w:rsidRDefault="007D54BD" w:rsidP="007D54BD">
      <w:pPr>
        <w:spacing w:after="0" w:line="240" w:lineRule="auto"/>
        <w:jc w:val="both"/>
        <w:rPr>
          <w:rFonts w:ascii="Verdana" w:eastAsia="Calibri" w:hAnsi="Verdana" w:cs="Arial"/>
          <w:sz w:val="20"/>
          <w:szCs w:val="20"/>
          <w:lang w:val="es-MX"/>
        </w:rPr>
      </w:pPr>
      <w:r w:rsidRPr="007D54BD">
        <w:rPr>
          <w:rFonts w:ascii="Verdana" w:eastAsia="Calibri" w:hAnsi="Verdana" w:cs="Arial"/>
          <w:sz w:val="20"/>
          <w:szCs w:val="20"/>
          <w:lang w:val="es-MX"/>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4B507B80" w14:textId="77777777" w:rsidR="007D54BD" w:rsidRPr="007D54BD" w:rsidRDefault="007D54BD" w:rsidP="007D54BD">
      <w:pPr>
        <w:spacing w:after="0" w:line="240" w:lineRule="auto"/>
        <w:jc w:val="both"/>
        <w:rPr>
          <w:rFonts w:ascii="Verdana" w:eastAsia="Calibri" w:hAnsi="Verdana" w:cs="Arial"/>
          <w:sz w:val="20"/>
          <w:szCs w:val="20"/>
          <w:lang w:val="es-MX"/>
        </w:rPr>
      </w:pPr>
    </w:p>
    <w:p w14:paraId="062A317A" w14:textId="77777777" w:rsidR="007D54BD" w:rsidRPr="007D54BD" w:rsidRDefault="007D54BD" w:rsidP="007D54BD">
      <w:pPr>
        <w:spacing w:after="0" w:line="240" w:lineRule="auto"/>
        <w:jc w:val="both"/>
        <w:rPr>
          <w:rFonts w:ascii="Verdana" w:eastAsia="Calibri" w:hAnsi="Verdana" w:cs="Arial"/>
          <w:sz w:val="20"/>
          <w:szCs w:val="20"/>
          <w:lang w:val="es-MX"/>
        </w:rPr>
      </w:pPr>
      <w:r w:rsidRPr="007D54BD">
        <w:rPr>
          <w:rFonts w:ascii="Verdana" w:eastAsia="Calibri" w:hAnsi="Verdana"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E4FE2EF" w14:textId="22F624F0" w:rsidR="007D54BD" w:rsidRDefault="007D54BD" w:rsidP="004871BA">
      <w:pPr>
        <w:spacing w:after="0" w:line="240" w:lineRule="auto"/>
        <w:contextualSpacing/>
        <w:rPr>
          <w:rFonts w:ascii="Verdana" w:eastAsia="Calibri" w:hAnsi="Verdana" w:cs="Arial"/>
        </w:rPr>
      </w:pPr>
      <w:r>
        <w:rPr>
          <w:rFonts w:ascii="Verdana" w:eastAsia="Calibri" w:hAnsi="Verdana" w:cs="Arial"/>
        </w:rPr>
        <w:t xml:space="preserve"> </w:t>
      </w:r>
    </w:p>
    <w:p w14:paraId="5C24F41E" w14:textId="4C56C6A0" w:rsidR="00221BDC" w:rsidRPr="00221BDC" w:rsidRDefault="00221BDC" w:rsidP="004871BA">
      <w:pPr>
        <w:spacing w:after="0" w:line="240" w:lineRule="auto"/>
        <w:contextualSpacing/>
        <w:rPr>
          <w:rFonts w:ascii="Verdana" w:eastAsia="Calibri" w:hAnsi="Verdana" w:cs="Arial"/>
          <w:b/>
          <w:bCs/>
        </w:rPr>
      </w:pPr>
      <w:r w:rsidRPr="00221BDC">
        <w:rPr>
          <w:rFonts w:ascii="Verdana" w:eastAsia="Calibri" w:hAnsi="Verdana" w:cs="Arial"/>
          <w:b/>
          <w:bCs/>
          <w:lang w:val="es-ES_tradnl"/>
        </w:rPr>
        <w:t>EXPERIENCIA ‒ Conservación ‒ Renovación RUP ‒ Cesación efectos RUP</w:t>
      </w:r>
      <w:r w:rsidRPr="00221BDC">
        <w:rPr>
          <w:rFonts w:ascii="Verdana" w:eastAsia="Calibri" w:hAnsi="Verdana" w:cs="Arial"/>
          <w:b/>
          <w:bCs/>
          <w:lang w:val="es-ES_tradnl"/>
        </w:rPr>
        <w:t xml:space="preserve"> </w:t>
      </w:r>
    </w:p>
    <w:p w14:paraId="6179180E" w14:textId="77777777" w:rsidR="002C5CCF" w:rsidRDefault="002C5CCF" w:rsidP="004871BA">
      <w:pPr>
        <w:spacing w:after="0" w:line="240" w:lineRule="auto"/>
        <w:contextualSpacing/>
        <w:rPr>
          <w:rFonts w:ascii="Verdana" w:eastAsia="Calibri" w:hAnsi="Verdana" w:cs="Arial"/>
        </w:rPr>
      </w:pPr>
    </w:p>
    <w:p w14:paraId="7EE8B12C" w14:textId="0C6782E6" w:rsidR="002C5CCF" w:rsidRDefault="00F33248" w:rsidP="00221BDC">
      <w:pPr>
        <w:spacing w:after="0" w:line="240" w:lineRule="auto"/>
        <w:jc w:val="both"/>
        <w:rPr>
          <w:rFonts w:ascii="Verdana" w:eastAsia="Calibri" w:hAnsi="Verdana" w:cs="Arial"/>
          <w:sz w:val="20"/>
          <w:szCs w:val="20"/>
        </w:rPr>
      </w:pPr>
      <w:r w:rsidRPr="00F33248">
        <w:rPr>
          <w:rFonts w:ascii="Verdana" w:eastAsia="Calibri" w:hAnsi="Verdana" w:cs="Arial"/>
          <w:sz w:val="20"/>
          <w:szCs w:val="20"/>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w:t>
      </w:r>
      <w:r w:rsidRPr="00F33248">
        <w:rPr>
          <w:rFonts w:ascii="Verdana" w:eastAsia="Calibri" w:hAnsi="Verdana" w:cs="Arial"/>
          <w:sz w:val="20"/>
          <w:szCs w:val="20"/>
        </w:rPr>
        <w:lastRenderedPageBreak/>
        <w:t>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r>
        <w:rPr>
          <w:rFonts w:ascii="Verdana" w:eastAsia="Calibri" w:hAnsi="Verdana" w:cs="Arial"/>
          <w:sz w:val="20"/>
          <w:szCs w:val="20"/>
        </w:rPr>
        <w:t xml:space="preserve"> </w:t>
      </w:r>
    </w:p>
    <w:p w14:paraId="629EDC25" w14:textId="77777777" w:rsidR="00163239" w:rsidRDefault="00163239" w:rsidP="00221BDC">
      <w:pPr>
        <w:spacing w:after="0" w:line="240" w:lineRule="auto"/>
        <w:jc w:val="both"/>
        <w:rPr>
          <w:rFonts w:ascii="Verdana" w:eastAsia="Calibri" w:hAnsi="Verdana" w:cs="Arial"/>
          <w:sz w:val="20"/>
          <w:szCs w:val="20"/>
        </w:rPr>
      </w:pPr>
    </w:p>
    <w:p w14:paraId="1006011B" w14:textId="1A28CEDB" w:rsidR="00163239" w:rsidRPr="00163239" w:rsidRDefault="00163239" w:rsidP="00221BDC">
      <w:pPr>
        <w:spacing w:after="0" w:line="240" w:lineRule="auto"/>
        <w:jc w:val="both"/>
        <w:rPr>
          <w:rFonts w:ascii="Verdana" w:eastAsia="Calibri" w:hAnsi="Verdana" w:cs="Arial"/>
          <w:b/>
          <w:bCs/>
          <w:sz w:val="20"/>
          <w:szCs w:val="20"/>
        </w:rPr>
      </w:pPr>
      <w:r w:rsidRPr="00163239">
        <w:rPr>
          <w:rFonts w:ascii="Verdana" w:eastAsia="Calibri" w:hAnsi="Verdana" w:cs="Arial"/>
          <w:b/>
          <w:bCs/>
          <w:lang w:val="es-ES_tradnl"/>
        </w:rPr>
        <w:t>EXPERIENCIA – Retiro del socio − Sociedades – Menor a 3 años de constitución</w:t>
      </w:r>
      <w:r w:rsidRPr="00163239">
        <w:rPr>
          <w:rFonts w:ascii="Verdana" w:eastAsia="Calibri" w:hAnsi="Verdana" w:cs="Arial"/>
          <w:b/>
          <w:bCs/>
          <w:lang w:val="es-ES_tradnl"/>
        </w:rPr>
        <w:t xml:space="preserve"> </w:t>
      </w:r>
    </w:p>
    <w:p w14:paraId="738A9BD4" w14:textId="77777777" w:rsidR="00163239" w:rsidRDefault="00163239" w:rsidP="00221BDC">
      <w:pPr>
        <w:spacing w:after="0" w:line="240" w:lineRule="auto"/>
        <w:jc w:val="both"/>
        <w:rPr>
          <w:rFonts w:ascii="Verdana" w:eastAsia="Calibri" w:hAnsi="Verdana" w:cs="Arial"/>
          <w:sz w:val="20"/>
          <w:szCs w:val="20"/>
        </w:rPr>
      </w:pPr>
    </w:p>
    <w:p w14:paraId="6CF44CBC" w14:textId="1340B990" w:rsidR="002C5CCF" w:rsidRDefault="000A0888" w:rsidP="000A0888">
      <w:pPr>
        <w:spacing w:after="0" w:line="240" w:lineRule="auto"/>
        <w:jc w:val="both"/>
        <w:rPr>
          <w:rFonts w:ascii="Verdana" w:eastAsia="Calibri" w:hAnsi="Verdana" w:cs="Arial"/>
          <w:sz w:val="20"/>
          <w:szCs w:val="20"/>
        </w:rPr>
      </w:pPr>
      <w:r w:rsidRPr="000A0888">
        <w:rPr>
          <w:rFonts w:ascii="Verdana" w:eastAsia="Calibri" w:hAnsi="Verdana" w:cs="Arial"/>
          <w:sz w:val="20"/>
          <w:szCs w:val="20"/>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27337CE" w14:textId="77777777" w:rsidR="00B501D8" w:rsidRDefault="00B501D8" w:rsidP="000A0888">
      <w:pPr>
        <w:spacing w:after="0" w:line="240" w:lineRule="auto"/>
        <w:jc w:val="both"/>
        <w:rPr>
          <w:rFonts w:ascii="Verdana" w:eastAsia="Calibri" w:hAnsi="Verdana" w:cs="Arial"/>
          <w:sz w:val="20"/>
          <w:szCs w:val="20"/>
        </w:rPr>
      </w:pPr>
    </w:p>
    <w:p w14:paraId="5EFD6532" w14:textId="77777777" w:rsidR="008317C3" w:rsidRPr="006A11D8" w:rsidRDefault="008317C3" w:rsidP="008317C3">
      <w:pPr>
        <w:snapToGrid w:val="0"/>
        <w:spacing w:line="240" w:lineRule="auto"/>
        <w:contextualSpacing/>
        <w:jc w:val="both"/>
        <w:rPr>
          <w:rFonts w:ascii="Verdana" w:eastAsia="Calibri" w:hAnsi="Verdana" w:cs="Arial"/>
          <w:b/>
          <w:bCs/>
          <w:color w:val="000000"/>
          <w:kern w:val="2"/>
          <w14:ligatures w14:val="standardContextual"/>
        </w:rPr>
      </w:pPr>
      <w:r w:rsidRPr="006A11D8">
        <w:rPr>
          <w:rFonts w:ascii="Verdana" w:eastAsia="Calibri" w:hAnsi="Verdana" w:cs="Arial"/>
          <w:b/>
          <w:bCs/>
          <w:color w:val="000000"/>
          <w:kern w:val="2"/>
          <w14:ligatures w14:val="standardContextual"/>
        </w:rPr>
        <w:t>INHABILIDADES E INCOMPATIBILIDADES – Concepto – Principio de legalidad – Interpretación restrictiva</w:t>
      </w:r>
    </w:p>
    <w:p w14:paraId="3A200DF3" w14:textId="77777777" w:rsidR="008317C3" w:rsidRPr="006A11D8" w:rsidRDefault="008317C3" w:rsidP="008317C3">
      <w:pPr>
        <w:widowControl w:val="0"/>
        <w:autoSpaceDE w:val="0"/>
        <w:autoSpaceDN w:val="0"/>
        <w:snapToGrid w:val="0"/>
        <w:spacing w:line="240" w:lineRule="auto"/>
        <w:contextualSpacing/>
        <w:jc w:val="both"/>
        <w:rPr>
          <w:rFonts w:ascii="Verdana" w:eastAsia="Calibri" w:hAnsi="Verdana" w:cs="Arial"/>
          <w:b/>
          <w:bCs/>
          <w:color w:val="000000"/>
          <w:kern w:val="2"/>
          <w:sz w:val="20"/>
          <w:szCs w:val="20"/>
          <w14:ligatures w14:val="standardContextual"/>
        </w:rPr>
      </w:pPr>
    </w:p>
    <w:p w14:paraId="7AC3F47F" w14:textId="77777777" w:rsidR="008317C3" w:rsidRPr="006A11D8" w:rsidRDefault="008317C3" w:rsidP="008317C3">
      <w:pPr>
        <w:widowControl w:val="0"/>
        <w:autoSpaceDE w:val="0"/>
        <w:autoSpaceDN w:val="0"/>
        <w:snapToGrid w:val="0"/>
        <w:spacing w:after="0" w:line="240" w:lineRule="auto"/>
        <w:contextualSpacing/>
        <w:jc w:val="both"/>
        <w:rPr>
          <w:rFonts w:ascii="Verdana" w:eastAsia="Calibri" w:hAnsi="Verdana" w:cs="Arial"/>
          <w:color w:val="000000"/>
          <w:sz w:val="20"/>
          <w:szCs w:val="20"/>
          <w:lang w:val="es-ES_tradnl"/>
        </w:rPr>
      </w:pPr>
      <w:r w:rsidRPr="006A11D8">
        <w:rPr>
          <w:rFonts w:ascii="Verdana" w:eastAsia="Arial" w:hAnsi="Verdana" w:cs="Arial"/>
          <w:sz w:val="20"/>
          <w:szCs w:val="20"/>
        </w:rPr>
        <w:t xml:space="preserve">Con respecto a la aplicación de las inhabilidades o incompatibilidades, es importante resaltar que </w:t>
      </w:r>
      <w:r w:rsidRPr="006A11D8">
        <w:rPr>
          <w:rFonts w:ascii="Verdana" w:eastAsia="Arial MT" w:hAnsi="Verdana" w:cs="Arial"/>
          <w:sz w:val="20"/>
          <w:szCs w:val="20"/>
          <w:lang w:eastAsia="es-ES" w:bidi="es-ES"/>
        </w:rPr>
        <w:t>su aplicación siempre debe estar ajustada a los presupuestos que para cada causal señale el constituyente o el legislador. De este modo, no es posible que las entidades realicen una aplicación extensiva o analógica.</w:t>
      </w:r>
      <w:r w:rsidRPr="006A11D8">
        <w:rPr>
          <w:rFonts w:ascii="Verdana" w:eastAsia="Calibri" w:hAnsi="Verdana" w:cs="Arial"/>
          <w:color w:val="000000"/>
          <w:sz w:val="20"/>
          <w:szCs w:val="20"/>
          <w:lang w:val="es-ES_tradnl"/>
        </w:rPr>
        <w:t xml:space="preserve"> Las inhabilidades e incompatibilidades son restricciones o límites especiales a la capacidad para presentar ofertas y celebrar contratos estatales, en consecuencia, solo pueden tipificarse en la ley y su interpretación debe ser </w:t>
      </w:r>
      <w:r w:rsidRPr="006A11D8">
        <w:rPr>
          <w:rFonts w:ascii="Verdana" w:eastAsia="Calibri" w:hAnsi="Verdana" w:cs="Arial"/>
          <w:i/>
          <w:iCs/>
          <w:color w:val="000000"/>
          <w:sz w:val="20"/>
          <w:szCs w:val="20"/>
          <w:lang w:val="es-ES_tradnl"/>
        </w:rPr>
        <w:t>restrictiva</w:t>
      </w:r>
      <w:r w:rsidRPr="006A11D8">
        <w:rPr>
          <w:rFonts w:ascii="Verdana" w:eastAsia="Calibri" w:hAnsi="Verdana" w:cs="Arial"/>
          <w:color w:val="000000"/>
          <w:sz w:val="20"/>
          <w:szCs w:val="20"/>
          <w:lang w:val="es-ES_tradnl"/>
        </w:rPr>
        <w:t>,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4A87A871" w14:textId="77777777" w:rsidR="008317C3" w:rsidRPr="006A11D8" w:rsidRDefault="008317C3" w:rsidP="008317C3">
      <w:pPr>
        <w:snapToGrid w:val="0"/>
        <w:spacing w:line="240" w:lineRule="auto"/>
        <w:contextualSpacing/>
        <w:jc w:val="both"/>
        <w:rPr>
          <w:rFonts w:ascii="Verdana" w:eastAsia="Calibri" w:hAnsi="Verdana" w:cs="Arial"/>
          <w:color w:val="000000"/>
          <w:sz w:val="20"/>
          <w:szCs w:val="20"/>
          <w:lang w:val="es-ES"/>
        </w:rPr>
      </w:pPr>
    </w:p>
    <w:p w14:paraId="5155DE14" w14:textId="77777777" w:rsidR="008317C3" w:rsidRPr="006A11D8" w:rsidRDefault="008317C3" w:rsidP="008317C3">
      <w:pPr>
        <w:snapToGrid w:val="0"/>
        <w:spacing w:line="240" w:lineRule="auto"/>
        <w:contextualSpacing/>
        <w:jc w:val="both"/>
        <w:rPr>
          <w:rFonts w:ascii="Verdana" w:eastAsia="Calibri" w:hAnsi="Verdana" w:cs="Arial"/>
          <w:color w:val="000000"/>
          <w:sz w:val="20"/>
          <w:szCs w:val="20"/>
          <w:lang w:val="es-ES"/>
        </w:rPr>
      </w:pPr>
      <w:r w:rsidRPr="006A11D8">
        <w:rPr>
          <w:rFonts w:ascii="Verdana" w:eastAsia="Calibri" w:hAnsi="Verdana" w:cs="Arial"/>
          <w:color w:val="000000"/>
          <w:sz w:val="20"/>
          <w:szCs w:val="20"/>
          <w:lang w:val="es-ES"/>
        </w:rPr>
        <w:t xml:space="preserve">Como se aprecia, el principio </w:t>
      </w:r>
      <w:r w:rsidRPr="006A11D8">
        <w:rPr>
          <w:rFonts w:ascii="Verdana" w:eastAsia="Calibri" w:hAnsi="Verdana" w:cs="Arial"/>
          <w:i/>
          <w:color w:val="000000"/>
          <w:sz w:val="20"/>
          <w:szCs w:val="20"/>
          <w:lang w:val="es-ES"/>
        </w:rPr>
        <w:t>pro libertate</w:t>
      </w:r>
      <w:r w:rsidRPr="006A11D8">
        <w:rPr>
          <w:rFonts w:ascii="Verdana" w:eastAsia="Calibri" w:hAnsi="Verdana" w:cs="Arial"/>
          <w:color w:val="000000"/>
          <w:sz w:val="20"/>
          <w:szCs w:val="20"/>
          <w:lang w:val="es-ES"/>
        </w:rPr>
        <w:t xml:space="preserve"> debe dirigir la interpretación de las disposiciones normativas que consagran restricciones de derechos, como sucede con las causales de inhabilidad e incompatibilidad en la contratación estatal. De esta forma, dado que el régimen de inhabilidades e incompatibilidades no se refirió al supuesto objeto de consulta, no será posible que las entidades interpreten la existencia de una inhabilidad que impida participar en un proceso de contratación al consorcio compuesto por una persona natural y por una SAS cuyo único socio y representante legal sea esa misma persona. </w:t>
      </w:r>
    </w:p>
    <w:p w14:paraId="663575BD" w14:textId="77777777" w:rsidR="008317C3" w:rsidRPr="006A11D8" w:rsidRDefault="008317C3" w:rsidP="008317C3">
      <w:pPr>
        <w:spacing w:after="0" w:line="240" w:lineRule="auto"/>
        <w:jc w:val="both"/>
        <w:rPr>
          <w:rFonts w:ascii="Verdana" w:eastAsia="Geomanist Light" w:hAnsi="Verdana" w:cs="Arial"/>
          <w:b/>
          <w:bCs/>
          <w:color w:val="000000"/>
          <w:sz w:val="20"/>
          <w:szCs w:val="20"/>
          <w:highlight w:val="yellow"/>
          <w:lang w:val="es-MX"/>
        </w:rPr>
      </w:pPr>
    </w:p>
    <w:p w14:paraId="2BF2B0A6" w14:textId="77777777" w:rsidR="008317C3" w:rsidRPr="006A11D8" w:rsidRDefault="008317C3" w:rsidP="008317C3">
      <w:pPr>
        <w:snapToGrid w:val="0"/>
        <w:spacing w:after="0" w:line="240" w:lineRule="auto"/>
        <w:contextualSpacing/>
        <w:jc w:val="both"/>
        <w:rPr>
          <w:rFonts w:ascii="Verdana" w:eastAsia="Calibri" w:hAnsi="Verdana" w:cs="Arial"/>
          <w:b/>
          <w:bCs/>
          <w:lang w:val="es-ES" w:eastAsia="es-ES"/>
        </w:rPr>
      </w:pPr>
      <w:r w:rsidRPr="006A11D8">
        <w:rPr>
          <w:rFonts w:ascii="Verdana" w:eastAsia="Calibri" w:hAnsi="Verdana" w:cs="Arial"/>
          <w:b/>
          <w:bCs/>
          <w:lang w:val="es-ES" w:eastAsia="es-ES"/>
        </w:rPr>
        <w:t>SOCIEDADES POR ACCIONES SIMPLIFICADAS – Participación de servidor público – Inaplicación de inhabilidad - Aclaración</w:t>
      </w:r>
    </w:p>
    <w:p w14:paraId="186F93BE" w14:textId="77777777" w:rsidR="008317C3" w:rsidRPr="006A11D8" w:rsidRDefault="008317C3" w:rsidP="008317C3">
      <w:pPr>
        <w:snapToGrid w:val="0"/>
        <w:spacing w:after="0" w:line="240" w:lineRule="auto"/>
        <w:contextualSpacing/>
        <w:jc w:val="both"/>
        <w:rPr>
          <w:rFonts w:ascii="Verdana" w:eastAsia="Calibri" w:hAnsi="Verdana" w:cs="Arial"/>
          <w:lang w:val="es-ES" w:eastAsia="es-ES"/>
        </w:rPr>
      </w:pPr>
    </w:p>
    <w:p w14:paraId="0B83A5C9" w14:textId="77777777" w:rsidR="008317C3" w:rsidRPr="006A11D8" w:rsidRDefault="008317C3" w:rsidP="008317C3">
      <w:pPr>
        <w:spacing w:after="0" w:line="240" w:lineRule="auto"/>
        <w:jc w:val="both"/>
        <w:rPr>
          <w:rFonts w:ascii="Verdana" w:eastAsia="Calibri" w:hAnsi="Verdana" w:cs="Arial"/>
          <w:sz w:val="20"/>
          <w:szCs w:val="20"/>
          <w:lang w:val="es-ES"/>
        </w:rPr>
      </w:pPr>
      <w:r w:rsidRPr="006A11D8">
        <w:rPr>
          <w:rFonts w:ascii="Verdana" w:eastAsia="Calibri" w:hAnsi="Verdana" w:cs="Arial"/>
          <w:sz w:val="20"/>
          <w:szCs w:val="20"/>
          <w:lang w:val="es-ES" w:eastAsia="es-ES"/>
        </w:rPr>
        <w:t>[…]</w:t>
      </w:r>
      <w:r w:rsidRPr="006A11D8">
        <w:rPr>
          <w:rFonts w:ascii="Verdana" w:eastAsia="Calibri" w:hAnsi="Verdana" w:cs="Arial"/>
          <w:sz w:val="20"/>
          <w:szCs w:val="20"/>
          <w:lang w:val="es-ES"/>
        </w:rPr>
        <w:t xml:space="preserve">el literal d) del numeral 2 de la referida norma, como se observa, inhabilita para contratar con una Entidad Estatal a ciertas sociedades en las que un servidor público </w:t>
      </w:r>
      <w:r w:rsidRPr="006A11D8">
        <w:rPr>
          <w:rFonts w:ascii="Verdana" w:eastAsia="Calibri" w:hAnsi="Verdana" w:cs="Arial"/>
          <w:sz w:val="20"/>
          <w:szCs w:val="20"/>
          <w:lang w:val="es-ES"/>
        </w:rPr>
        <w:lastRenderedPageBreak/>
        <w:t>tenga participación o ejerza un cargo de dirección o manejo, esto, siempre y cuando dicho funcionario pertenezca al nivel directivo, asesor, ejecutivo o sea miembro de la junta o consejo directivo de la entidad contratante. Sin embargo, vale la pena aclarar que esta restricción no resulta extensible a las Sociedades por Acciones Simplificadas –SAS– que, de acuerdo con lo indicado en el artículo 3 de la Ley 1258 de 2008 son consideradas como sociedades capitales, por lo que no se encuentran en la singularización que, respecto del tipo de sociedad y denominación, efectúa el referido literal d), ya que sólo limita la capacidad para contratar en dicho supuesto fáctico, a las sociedades anónimas que no tengan el carácter de abiertas, las sociedades de responsabilidad limitada y las demás sociedades de personas.</w:t>
      </w:r>
    </w:p>
    <w:p w14:paraId="547BC79E" w14:textId="77777777" w:rsidR="008317C3" w:rsidRPr="006A11D8" w:rsidRDefault="008317C3" w:rsidP="008317C3">
      <w:pPr>
        <w:snapToGrid w:val="0"/>
        <w:spacing w:after="0" w:line="240" w:lineRule="auto"/>
        <w:contextualSpacing/>
        <w:jc w:val="both"/>
        <w:rPr>
          <w:rFonts w:ascii="Verdana" w:eastAsia="Calibri" w:hAnsi="Verdana" w:cs="Arial"/>
          <w:sz w:val="20"/>
          <w:szCs w:val="20"/>
          <w:lang w:val="es-ES"/>
        </w:rPr>
      </w:pPr>
    </w:p>
    <w:p w14:paraId="2BA5C9B2" w14:textId="77777777" w:rsidR="008317C3" w:rsidRPr="006A11D8" w:rsidRDefault="008317C3" w:rsidP="008317C3">
      <w:pPr>
        <w:snapToGrid w:val="0"/>
        <w:spacing w:after="0" w:line="240" w:lineRule="auto"/>
        <w:contextualSpacing/>
        <w:jc w:val="both"/>
        <w:rPr>
          <w:rFonts w:ascii="Verdana" w:eastAsia="Calibri" w:hAnsi="Verdana" w:cs="Arial"/>
          <w:sz w:val="20"/>
          <w:szCs w:val="20"/>
          <w:lang w:val="es-ES" w:eastAsia="es-ES"/>
        </w:rPr>
      </w:pPr>
      <w:r w:rsidRPr="006A11D8">
        <w:rPr>
          <w:rFonts w:ascii="Verdana" w:eastAsia="Calibri" w:hAnsi="Verdana" w:cs="Arial"/>
          <w:sz w:val="20"/>
          <w:szCs w:val="20"/>
          <w:lang w:val="es-ES"/>
        </w:rPr>
        <w:t>De conformidad con lo anterior, la Superintendencia de Sociedades, en el Oficio. No. 220-087303 del 16 de agosto de 2019, señaló que las inhabilidades son de aplicación excepcional y restrictivo, por lo tanto, no pueden ser impuestas a los socios de una sociedad de capitales como lo es la Sociedad por Acciones Simplificadas –SAS–[…].</w:t>
      </w:r>
    </w:p>
    <w:p w14:paraId="2989E6A1" w14:textId="77777777" w:rsidR="00B501D8" w:rsidRPr="008317C3" w:rsidRDefault="00B501D8" w:rsidP="000A0888">
      <w:pPr>
        <w:spacing w:after="0" w:line="240" w:lineRule="auto"/>
        <w:jc w:val="both"/>
        <w:rPr>
          <w:rFonts w:ascii="Verdana" w:eastAsia="Calibri" w:hAnsi="Verdana" w:cs="Arial"/>
          <w:sz w:val="20"/>
          <w:szCs w:val="20"/>
          <w:lang w:val="es-ES"/>
        </w:rPr>
      </w:pPr>
    </w:p>
    <w:p w14:paraId="2F2FFA48" w14:textId="77777777" w:rsidR="002C5CCF" w:rsidRDefault="002C5CCF" w:rsidP="004871BA">
      <w:pPr>
        <w:spacing w:after="0" w:line="240" w:lineRule="auto"/>
        <w:contextualSpacing/>
        <w:rPr>
          <w:rFonts w:ascii="Verdana" w:eastAsia="Calibri" w:hAnsi="Verdana" w:cs="Arial"/>
        </w:rPr>
      </w:pPr>
    </w:p>
    <w:p w14:paraId="6FB1F1EA" w14:textId="77777777" w:rsidR="002C5CCF" w:rsidRDefault="002C5CCF" w:rsidP="004871BA">
      <w:pPr>
        <w:spacing w:after="0" w:line="240" w:lineRule="auto"/>
        <w:contextualSpacing/>
        <w:rPr>
          <w:rFonts w:ascii="Verdana" w:eastAsia="Calibri" w:hAnsi="Verdana" w:cs="Arial"/>
        </w:rPr>
      </w:pPr>
    </w:p>
    <w:p w14:paraId="7D1661FC" w14:textId="77777777" w:rsidR="002C5CCF" w:rsidRDefault="002C5CCF" w:rsidP="004871BA">
      <w:pPr>
        <w:spacing w:after="0" w:line="240" w:lineRule="auto"/>
        <w:contextualSpacing/>
        <w:rPr>
          <w:rFonts w:ascii="Verdana" w:eastAsia="Calibri" w:hAnsi="Verdana" w:cs="Arial"/>
        </w:rPr>
      </w:pPr>
    </w:p>
    <w:p w14:paraId="1EA7CF80" w14:textId="77777777" w:rsidR="002C5CCF" w:rsidRDefault="002C5CCF" w:rsidP="004871BA">
      <w:pPr>
        <w:spacing w:after="0" w:line="240" w:lineRule="auto"/>
        <w:contextualSpacing/>
        <w:rPr>
          <w:rFonts w:ascii="Verdana" w:eastAsia="Calibri" w:hAnsi="Verdana" w:cs="Arial"/>
        </w:rPr>
      </w:pPr>
    </w:p>
    <w:p w14:paraId="190C1D9F" w14:textId="77777777" w:rsidR="002C5CCF" w:rsidRDefault="002C5CCF" w:rsidP="004871BA">
      <w:pPr>
        <w:spacing w:after="0" w:line="240" w:lineRule="auto"/>
        <w:contextualSpacing/>
        <w:rPr>
          <w:rFonts w:ascii="Verdana" w:eastAsia="Calibri" w:hAnsi="Verdana" w:cs="Arial"/>
        </w:rPr>
      </w:pPr>
    </w:p>
    <w:p w14:paraId="25F6FBCE" w14:textId="77777777" w:rsidR="002C5CCF" w:rsidRDefault="002C5CCF" w:rsidP="004871BA">
      <w:pPr>
        <w:spacing w:after="0" w:line="240" w:lineRule="auto"/>
        <w:contextualSpacing/>
        <w:rPr>
          <w:rFonts w:ascii="Verdana" w:eastAsia="Calibri" w:hAnsi="Verdana" w:cs="Arial"/>
        </w:rPr>
      </w:pPr>
    </w:p>
    <w:p w14:paraId="5D431231" w14:textId="77777777" w:rsidR="002C5CCF" w:rsidRDefault="002C5CCF" w:rsidP="004871BA">
      <w:pPr>
        <w:spacing w:after="0" w:line="240" w:lineRule="auto"/>
        <w:contextualSpacing/>
        <w:rPr>
          <w:rFonts w:ascii="Verdana" w:eastAsia="Calibri" w:hAnsi="Verdana" w:cs="Arial"/>
        </w:rPr>
      </w:pPr>
    </w:p>
    <w:p w14:paraId="1DBE3841" w14:textId="77777777" w:rsidR="002C5CCF" w:rsidRDefault="002C5CCF" w:rsidP="004871BA">
      <w:pPr>
        <w:spacing w:after="0" w:line="240" w:lineRule="auto"/>
        <w:contextualSpacing/>
        <w:rPr>
          <w:rFonts w:ascii="Verdana" w:eastAsia="Calibri" w:hAnsi="Verdana" w:cs="Arial"/>
        </w:rPr>
      </w:pPr>
    </w:p>
    <w:p w14:paraId="5875CB9D" w14:textId="77777777" w:rsidR="002C5CCF" w:rsidRDefault="002C5CCF" w:rsidP="004871BA">
      <w:pPr>
        <w:spacing w:after="0" w:line="240" w:lineRule="auto"/>
        <w:contextualSpacing/>
        <w:rPr>
          <w:rFonts w:ascii="Verdana" w:eastAsia="Calibri" w:hAnsi="Verdana" w:cs="Arial"/>
        </w:rPr>
      </w:pPr>
    </w:p>
    <w:p w14:paraId="3EC9DCFF" w14:textId="77777777" w:rsidR="002C5CCF" w:rsidRDefault="002C5CCF" w:rsidP="004871BA">
      <w:pPr>
        <w:spacing w:after="0" w:line="240" w:lineRule="auto"/>
        <w:contextualSpacing/>
        <w:rPr>
          <w:rFonts w:ascii="Verdana" w:eastAsia="Calibri" w:hAnsi="Verdana" w:cs="Arial"/>
        </w:rPr>
      </w:pPr>
    </w:p>
    <w:p w14:paraId="05E7C92C" w14:textId="77777777" w:rsidR="002C5CCF" w:rsidRDefault="002C5CCF" w:rsidP="004871BA">
      <w:pPr>
        <w:spacing w:after="0" w:line="240" w:lineRule="auto"/>
        <w:contextualSpacing/>
        <w:rPr>
          <w:rFonts w:ascii="Verdana" w:eastAsia="Calibri" w:hAnsi="Verdana" w:cs="Arial"/>
        </w:rPr>
      </w:pPr>
    </w:p>
    <w:p w14:paraId="0A83DF9E" w14:textId="77777777" w:rsidR="002C5CCF" w:rsidRDefault="002C5CCF" w:rsidP="004871BA">
      <w:pPr>
        <w:spacing w:after="0" w:line="240" w:lineRule="auto"/>
        <w:contextualSpacing/>
        <w:rPr>
          <w:rFonts w:ascii="Verdana" w:eastAsia="Calibri" w:hAnsi="Verdana" w:cs="Arial"/>
        </w:rPr>
      </w:pPr>
    </w:p>
    <w:p w14:paraId="5F16D469" w14:textId="77777777" w:rsidR="002C5CCF" w:rsidRDefault="002C5CCF" w:rsidP="004871BA">
      <w:pPr>
        <w:spacing w:after="0" w:line="240" w:lineRule="auto"/>
        <w:contextualSpacing/>
        <w:rPr>
          <w:rFonts w:ascii="Verdana" w:eastAsia="Calibri" w:hAnsi="Verdana" w:cs="Arial"/>
        </w:rPr>
      </w:pPr>
    </w:p>
    <w:p w14:paraId="6653685D" w14:textId="77777777" w:rsidR="002C5CCF" w:rsidRDefault="002C5CCF" w:rsidP="004871BA">
      <w:pPr>
        <w:spacing w:after="0" w:line="240" w:lineRule="auto"/>
        <w:contextualSpacing/>
        <w:rPr>
          <w:rFonts w:ascii="Verdana" w:eastAsia="Calibri" w:hAnsi="Verdana" w:cs="Arial"/>
        </w:rPr>
      </w:pPr>
    </w:p>
    <w:p w14:paraId="758C6429" w14:textId="77777777" w:rsidR="002C5CCF" w:rsidRDefault="002C5CCF" w:rsidP="004871BA">
      <w:pPr>
        <w:spacing w:after="0" w:line="240" w:lineRule="auto"/>
        <w:contextualSpacing/>
        <w:rPr>
          <w:rFonts w:ascii="Verdana" w:eastAsia="Calibri" w:hAnsi="Verdana" w:cs="Arial"/>
        </w:rPr>
      </w:pPr>
    </w:p>
    <w:p w14:paraId="515B9640" w14:textId="77777777" w:rsidR="002C5CCF" w:rsidRDefault="002C5CCF" w:rsidP="004871BA">
      <w:pPr>
        <w:spacing w:after="0" w:line="240" w:lineRule="auto"/>
        <w:contextualSpacing/>
        <w:rPr>
          <w:rFonts w:ascii="Verdana" w:eastAsia="Calibri" w:hAnsi="Verdana" w:cs="Arial"/>
        </w:rPr>
      </w:pPr>
    </w:p>
    <w:p w14:paraId="3133A50D" w14:textId="77777777" w:rsidR="002C5CCF" w:rsidRDefault="002C5CCF" w:rsidP="004871BA">
      <w:pPr>
        <w:spacing w:after="0" w:line="240" w:lineRule="auto"/>
        <w:contextualSpacing/>
        <w:rPr>
          <w:rFonts w:ascii="Verdana" w:eastAsia="Calibri" w:hAnsi="Verdana" w:cs="Arial"/>
        </w:rPr>
      </w:pPr>
    </w:p>
    <w:p w14:paraId="7F7B6B3B" w14:textId="77777777" w:rsidR="002C5CCF" w:rsidRDefault="002C5CCF" w:rsidP="004871BA">
      <w:pPr>
        <w:spacing w:after="0" w:line="240" w:lineRule="auto"/>
        <w:contextualSpacing/>
        <w:rPr>
          <w:rFonts w:ascii="Verdana" w:eastAsia="Calibri" w:hAnsi="Verdana" w:cs="Arial"/>
        </w:rPr>
      </w:pPr>
    </w:p>
    <w:p w14:paraId="3A298572" w14:textId="77777777" w:rsidR="002C5CCF" w:rsidRDefault="002C5CCF" w:rsidP="004871BA">
      <w:pPr>
        <w:spacing w:after="0" w:line="240" w:lineRule="auto"/>
        <w:contextualSpacing/>
        <w:rPr>
          <w:rFonts w:ascii="Verdana" w:eastAsia="Calibri" w:hAnsi="Verdana" w:cs="Arial"/>
        </w:rPr>
      </w:pPr>
    </w:p>
    <w:p w14:paraId="6F669B62" w14:textId="77777777" w:rsidR="002C5CCF" w:rsidRDefault="002C5CCF" w:rsidP="004871BA">
      <w:pPr>
        <w:spacing w:after="0" w:line="240" w:lineRule="auto"/>
        <w:contextualSpacing/>
        <w:rPr>
          <w:rFonts w:ascii="Verdana" w:eastAsia="Calibri" w:hAnsi="Verdana" w:cs="Arial"/>
        </w:rPr>
      </w:pPr>
    </w:p>
    <w:p w14:paraId="6B026FB9" w14:textId="77777777" w:rsidR="002C5CCF" w:rsidRDefault="002C5CCF" w:rsidP="004871BA">
      <w:pPr>
        <w:spacing w:after="0" w:line="240" w:lineRule="auto"/>
        <w:contextualSpacing/>
        <w:rPr>
          <w:rFonts w:ascii="Verdana" w:eastAsia="Calibri" w:hAnsi="Verdana" w:cs="Arial"/>
        </w:rPr>
      </w:pPr>
    </w:p>
    <w:p w14:paraId="25DB0E3C" w14:textId="77777777" w:rsidR="002C5CCF" w:rsidRDefault="002C5CCF" w:rsidP="004871BA">
      <w:pPr>
        <w:spacing w:after="0" w:line="240" w:lineRule="auto"/>
        <w:contextualSpacing/>
        <w:rPr>
          <w:rFonts w:ascii="Verdana" w:eastAsia="Calibri" w:hAnsi="Verdana" w:cs="Arial"/>
        </w:rPr>
      </w:pPr>
    </w:p>
    <w:p w14:paraId="13B9FEBE" w14:textId="77777777" w:rsidR="002C5CCF" w:rsidRDefault="002C5CCF" w:rsidP="004871BA">
      <w:pPr>
        <w:spacing w:after="0" w:line="240" w:lineRule="auto"/>
        <w:contextualSpacing/>
        <w:rPr>
          <w:rFonts w:ascii="Verdana" w:eastAsia="Calibri" w:hAnsi="Verdana" w:cs="Arial"/>
        </w:rPr>
      </w:pPr>
    </w:p>
    <w:p w14:paraId="69169D09" w14:textId="77777777" w:rsidR="002C5CCF" w:rsidRDefault="002C5CCF" w:rsidP="004871BA">
      <w:pPr>
        <w:spacing w:after="0" w:line="240" w:lineRule="auto"/>
        <w:contextualSpacing/>
        <w:rPr>
          <w:rFonts w:ascii="Verdana" w:eastAsia="Calibri" w:hAnsi="Verdana" w:cs="Arial"/>
        </w:rPr>
      </w:pPr>
    </w:p>
    <w:p w14:paraId="6552CEDD" w14:textId="77777777" w:rsidR="002C5CCF" w:rsidRDefault="002C5CCF" w:rsidP="004871BA">
      <w:pPr>
        <w:spacing w:after="0" w:line="240" w:lineRule="auto"/>
        <w:contextualSpacing/>
        <w:rPr>
          <w:rFonts w:ascii="Verdana" w:eastAsia="Calibri" w:hAnsi="Verdana" w:cs="Arial"/>
        </w:rPr>
      </w:pPr>
    </w:p>
    <w:p w14:paraId="331B2BDB" w14:textId="77777777" w:rsidR="002C5CCF" w:rsidRDefault="002C5CCF" w:rsidP="004871BA">
      <w:pPr>
        <w:spacing w:after="0" w:line="240" w:lineRule="auto"/>
        <w:contextualSpacing/>
        <w:rPr>
          <w:rFonts w:ascii="Verdana" w:eastAsia="Calibri" w:hAnsi="Verdana" w:cs="Arial"/>
        </w:rPr>
      </w:pPr>
    </w:p>
    <w:p w14:paraId="4A766B8F" w14:textId="77777777" w:rsidR="008317C3" w:rsidRDefault="008317C3" w:rsidP="004871BA">
      <w:pPr>
        <w:spacing w:after="0" w:line="240" w:lineRule="auto"/>
        <w:contextualSpacing/>
        <w:rPr>
          <w:rFonts w:ascii="Verdana" w:eastAsia="Calibri" w:hAnsi="Verdana" w:cs="Arial"/>
        </w:rPr>
      </w:pPr>
    </w:p>
    <w:p w14:paraId="46834316" w14:textId="4FE6206A" w:rsidR="007B142C" w:rsidRPr="002310F7" w:rsidRDefault="004871BA" w:rsidP="004871BA">
      <w:pPr>
        <w:spacing w:after="0" w:line="240" w:lineRule="auto"/>
        <w:contextualSpacing/>
        <w:rPr>
          <w:rFonts w:ascii="Verdana" w:eastAsia="Calibri" w:hAnsi="Verdana" w:cs="Arial"/>
        </w:rPr>
      </w:pPr>
      <w:r w:rsidRPr="004871BA">
        <w:rPr>
          <w:rFonts w:ascii="Verdana" w:eastAsia="Calibri" w:hAnsi="Verdana" w:cs="Arial"/>
        </w:rPr>
        <w:lastRenderedPageBreak/>
        <w:t xml:space="preserve">Bogotá D.C, 03 </w:t>
      </w:r>
      <w:r w:rsidRPr="004871BA">
        <w:rPr>
          <w:rFonts w:ascii="Verdana" w:eastAsia="Calibri" w:hAnsi="Verdana" w:cs="Arial"/>
        </w:rPr>
        <w:t>noviembre</w:t>
      </w:r>
      <w:r w:rsidRPr="004871BA">
        <w:rPr>
          <w:rFonts w:ascii="Verdana" w:eastAsia="Calibri" w:hAnsi="Verdana" w:cs="Arial"/>
        </w:rPr>
        <w:t xml:space="preserve"> 2026</w:t>
      </w:r>
    </w:p>
    <w:p w14:paraId="157C86AB" w14:textId="54185C72" w:rsidR="007B142C" w:rsidRDefault="004668F9" w:rsidP="007B142C">
      <w:pPr>
        <w:spacing w:after="0" w:line="240" w:lineRule="auto"/>
        <w:jc w:val="both"/>
        <w:rPr>
          <w:rFonts w:ascii="Verdana" w:eastAsia="Calibri" w:hAnsi="Verdana" w:cs="Arial"/>
          <w:lang w:eastAsia="es-ES"/>
        </w:rPr>
      </w:pPr>
      <w:bookmarkStart w:id="0" w:name="_Hlk197462763"/>
      <w:bookmarkStart w:id="1" w:name="_Hlk197529996"/>
      <w:r w:rsidRPr="004668F9">
        <w:rPr>
          <w:rFonts w:ascii="Verdana" w:eastAsia="Calibri" w:hAnsi="Verdana" w:cs="Arial"/>
          <w:lang w:eastAsia="es-ES"/>
        </w:rPr>
        <w:drawing>
          <wp:anchor distT="0" distB="0" distL="114300" distR="114300" simplePos="0" relativeHeight="251658240" behindDoc="1" locked="0" layoutInCell="1" allowOverlap="1" wp14:anchorId="01A4914F" wp14:editId="7CC6CE19">
            <wp:simplePos x="0" y="0"/>
            <wp:positionH relativeFrom="column">
              <wp:posOffset>3365770</wp:posOffset>
            </wp:positionH>
            <wp:positionV relativeFrom="paragraph">
              <wp:posOffset>169545</wp:posOffset>
            </wp:positionV>
            <wp:extent cx="2514600" cy="742950"/>
            <wp:effectExtent l="0" t="0" r="0" b="0"/>
            <wp:wrapTight wrapText="bothSides">
              <wp:wrapPolygon edited="0">
                <wp:start x="0" y="0"/>
                <wp:lineTo x="0" y="21046"/>
                <wp:lineTo x="21436" y="21046"/>
                <wp:lineTo x="21436" y="0"/>
                <wp:lineTo x="0" y="0"/>
              </wp:wrapPolygon>
            </wp:wrapTight>
            <wp:docPr id="728012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12641" name=""/>
                    <pic:cNvPicPr/>
                  </pic:nvPicPr>
                  <pic:blipFill>
                    <a:blip r:embed="rId7">
                      <a:extLst>
                        <a:ext uri="{28A0092B-C50C-407E-A947-70E740481C1C}">
                          <a14:useLocalDpi xmlns:a14="http://schemas.microsoft.com/office/drawing/2010/main" val="0"/>
                        </a:ext>
                      </a:extLst>
                    </a:blip>
                    <a:stretch>
                      <a:fillRect/>
                    </a:stretch>
                  </pic:blipFill>
                  <pic:spPr>
                    <a:xfrm>
                      <a:off x="0" y="0"/>
                      <a:ext cx="2514600" cy="742950"/>
                    </a:xfrm>
                    <a:prstGeom prst="rect">
                      <a:avLst/>
                    </a:prstGeom>
                  </pic:spPr>
                </pic:pic>
              </a:graphicData>
            </a:graphic>
          </wp:anchor>
        </w:drawing>
      </w:r>
    </w:p>
    <w:p w14:paraId="73D82908" w14:textId="5E789C7D" w:rsidR="007B142C" w:rsidRPr="004871BA" w:rsidRDefault="007B142C" w:rsidP="007B142C">
      <w:pPr>
        <w:spacing w:after="0" w:line="240" w:lineRule="auto"/>
        <w:jc w:val="both"/>
        <w:rPr>
          <w:rFonts w:ascii="Verdana" w:eastAsia="Calibri" w:hAnsi="Verdana" w:cs="Arial"/>
          <w:lang w:eastAsia="es-ES"/>
        </w:rPr>
      </w:pPr>
    </w:p>
    <w:p w14:paraId="65471826" w14:textId="7EFD9FC8" w:rsidR="007B142C" w:rsidRPr="004871BA" w:rsidRDefault="007B142C" w:rsidP="007B142C">
      <w:pPr>
        <w:spacing w:after="0" w:line="240" w:lineRule="auto"/>
        <w:jc w:val="both"/>
        <w:rPr>
          <w:rFonts w:ascii="Verdana" w:eastAsia="Calibri" w:hAnsi="Verdana" w:cs="Arial"/>
          <w:lang w:eastAsia="es-ES"/>
        </w:rPr>
      </w:pPr>
      <w:r w:rsidRPr="004871BA">
        <w:rPr>
          <w:rFonts w:ascii="Verdana" w:eastAsia="Calibri" w:hAnsi="Verdana" w:cs="Arial"/>
          <w:lang w:eastAsia="es-ES"/>
        </w:rPr>
        <w:t>Señor</w:t>
      </w:r>
    </w:p>
    <w:p w14:paraId="73765553" w14:textId="77777777" w:rsidR="007B142C" w:rsidRPr="004871BA" w:rsidRDefault="007B142C" w:rsidP="007B142C">
      <w:pPr>
        <w:spacing w:after="0" w:line="240" w:lineRule="auto"/>
        <w:jc w:val="both"/>
        <w:rPr>
          <w:rFonts w:ascii="Verdana" w:eastAsia="Calibri" w:hAnsi="Verdana" w:cs="Arial"/>
          <w:b/>
          <w:lang w:eastAsia="es-ES_tradnl"/>
        </w:rPr>
      </w:pPr>
      <w:r w:rsidRPr="004871BA">
        <w:rPr>
          <w:rFonts w:ascii="Verdana" w:eastAsia="Calibri" w:hAnsi="Verdana" w:cs="Arial"/>
          <w:b/>
          <w:lang w:eastAsia="es-ES_tradnl"/>
        </w:rPr>
        <w:t xml:space="preserve">José Carlos Vergara Mendoza </w:t>
      </w:r>
    </w:p>
    <w:p w14:paraId="1DB44418" w14:textId="77777777" w:rsidR="007B142C" w:rsidRPr="004871BA" w:rsidRDefault="007B142C" w:rsidP="007B142C">
      <w:pPr>
        <w:spacing w:after="0" w:line="240" w:lineRule="auto"/>
        <w:jc w:val="both"/>
        <w:rPr>
          <w:rFonts w:ascii="Verdana" w:eastAsia="Calibri" w:hAnsi="Verdana" w:cs="Arial"/>
          <w:bCs/>
          <w:lang w:eastAsia="es-ES_tradnl"/>
        </w:rPr>
      </w:pPr>
      <w:r w:rsidRPr="004871BA">
        <w:rPr>
          <w:rFonts w:ascii="Verdana" w:eastAsia="Calibri" w:hAnsi="Verdana" w:cs="Arial"/>
          <w:bCs/>
          <w:lang w:eastAsia="es-ES_tradnl"/>
        </w:rPr>
        <w:t xml:space="preserve">Licitaciones Inaldex </w:t>
      </w:r>
    </w:p>
    <w:p w14:paraId="27A518C6" w14:textId="77777777" w:rsidR="007B142C" w:rsidRPr="004871BA" w:rsidRDefault="007B142C" w:rsidP="007B142C">
      <w:pPr>
        <w:spacing w:after="0" w:line="240" w:lineRule="auto"/>
        <w:jc w:val="both"/>
        <w:rPr>
          <w:rFonts w:ascii="Verdana" w:eastAsia="Calibri" w:hAnsi="Verdana" w:cs="Arial"/>
          <w:b/>
          <w:lang w:eastAsia="es-ES_tradnl"/>
        </w:rPr>
      </w:pPr>
      <w:hyperlink r:id="rId8" w:history="1">
        <w:r w:rsidRPr="004871BA">
          <w:rPr>
            <w:rStyle w:val="Hipervnculo"/>
            <w:rFonts w:ascii="Verdana" w:eastAsia="Calibri" w:hAnsi="Verdana" w:cs="Arial"/>
            <w:b/>
            <w:lang w:eastAsia="es-ES_tradnl"/>
          </w:rPr>
          <w:t>licitaciones@inaldex.com</w:t>
        </w:r>
      </w:hyperlink>
      <w:r w:rsidRPr="004871BA">
        <w:rPr>
          <w:rFonts w:ascii="Verdana" w:eastAsia="Calibri" w:hAnsi="Verdana" w:cs="Arial"/>
          <w:b/>
          <w:lang w:eastAsia="es-ES_tradnl"/>
        </w:rPr>
        <w:t xml:space="preserve"> </w:t>
      </w:r>
    </w:p>
    <w:p w14:paraId="03B4256C" w14:textId="77777777" w:rsidR="007B142C" w:rsidRPr="004871BA" w:rsidRDefault="007B142C" w:rsidP="007B142C">
      <w:pPr>
        <w:spacing w:after="0" w:line="240" w:lineRule="auto"/>
        <w:jc w:val="both"/>
        <w:rPr>
          <w:rFonts w:ascii="Verdana" w:eastAsia="Calibri" w:hAnsi="Verdana" w:cs="Arial"/>
          <w:bCs/>
          <w:lang w:eastAsia="es-ES_tradnl"/>
        </w:rPr>
      </w:pPr>
      <w:r w:rsidRPr="004871BA">
        <w:rPr>
          <w:rFonts w:ascii="Verdana" w:eastAsia="Calibri" w:hAnsi="Verdana" w:cs="Arial"/>
          <w:bCs/>
          <w:lang w:eastAsia="es-ES_tradnl"/>
        </w:rPr>
        <w:t xml:space="preserve">Ciudad </w:t>
      </w:r>
    </w:p>
    <w:p w14:paraId="310C4A45" w14:textId="77777777" w:rsidR="007B142C" w:rsidRPr="005B4C57" w:rsidRDefault="007B142C" w:rsidP="007B142C">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B142C" w:rsidRPr="002842E0" w14:paraId="3FA8DFCA" w14:textId="77777777" w:rsidTr="00B665ED">
        <w:trPr>
          <w:trHeight w:val="162"/>
        </w:trPr>
        <w:tc>
          <w:tcPr>
            <w:tcW w:w="3119" w:type="dxa"/>
          </w:tcPr>
          <w:p w14:paraId="3F8A0F16" w14:textId="77777777" w:rsidR="007B142C" w:rsidRPr="005B4C57" w:rsidRDefault="007B142C" w:rsidP="00B665ED">
            <w:pPr>
              <w:jc w:val="both"/>
              <w:rPr>
                <w:rFonts w:ascii="Verdana" w:eastAsia="Calibri" w:hAnsi="Verdana" w:cs="Arial"/>
                <w:b/>
                <w:bCs/>
                <w:color w:val="7030A0"/>
                <w:lang w:val="it-CH" w:eastAsia="es-ES_tradnl"/>
              </w:rPr>
            </w:pPr>
          </w:p>
        </w:tc>
        <w:tc>
          <w:tcPr>
            <w:tcW w:w="5670" w:type="dxa"/>
          </w:tcPr>
          <w:p w14:paraId="2E71868D" w14:textId="77777777" w:rsidR="007B142C" w:rsidRPr="00801462" w:rsidRDefault="007B142C" w:rsidP="00B665ED">
            <w:pPr>
              <w:jc w:val="both"/>
              <w:rPr>
                <w:rFonts w:ascii="Verdana" w:eastAsia="Calibri" w:hAnsi="Verdana" w:cs="Arial"/>
                <w:b/>
                <w:bCs/>
                <w:lang w:eastAsia="es-ES"/>
              </w:rPr>
            </w:pPr>
            <w:r w:rsidRPr="00596158">
              <w:rPr>
                <w:rFonts w:ascii="Verdana" w:eastAsia="Calibri" w:hAnsi="Verdana" w:cs="Arial"/>
                <w:b/>
                <w:bCs/>
                <w:lang w:eastAsia="es-ES"/>
              </w:rPr>
              <w:t>Concepto C- 1</w:t>
            </w:r>
            <w:r>
              <w:rPr>
                <w:rFonts w:ascii="Verdana" w:eastAsia="Calibri" w:hAnsi="Verdana" w:cs="Arial"/>
                <w:b/>
                <w:bCs/>
                <w:lang w:eastAsia="es-ES"/>
              </w:rPr>
              <w:t>512</w:t>
            </w:r>
            <w:r w:rsidRPr="00596158">
              <w:rPr>
                <w:rFonts w:ascii="Verdana" w:eastAsia="Calibri" w:hAnsi="Verdana" w:cs="Arial"/>
                <w:b/>
                <w:bCs/>
                <w:lang w:eastAsia="es-ES"/>
              </w:rPr>
              <w:t xml:space="preserve"> de 202</w:t>
            </w:r>
            <w:r>
              <w:rPr>
                <w:rFonts w:ascii="Verdana" w:eastAsia="Calibri" w:hAnsi="Verdana" w:cs="Arial"/>
                <w:b/>
                <w:bCs/>
                <w:lang w:eastAsia="es-ES"/>
              </w:rPr>
              <w:t>6</w:t>
            </w:r>
          </w:p>
          <w:p w14:paraId="5443949B" w14:textId="77777777" w:rsidR="007B142C" w:rsidRPr="00801462" w:rsidRDefault="007B142C" w:rsidP="00B665ED">
            <w:pPr>
              <w:jc w:val="both"/>
              <w:rPr>
                <w:rFonts w:ascii="Verdana" w:eastAsia="Calibri" w:hAnsi="Verdana" w:cs="Arial"/>
                <w:b/>
                <w:bCs/>
                <w:color w:val="7030A0"/>
                <w:lang w:eastAsia="es-ES"/>
              </w:rPr>
            </w:pPr>
          </w:p>
        </w:tc>
      </w:tr>
      <w:tr w:rsidR="007B142C" w:rsidRPr="002842E0" w14:paraId="53F9DF82" w14:textId="77777777" w:rsidTr="00B665ED">
        <w:trPr>
          <w:trHeight w:val="884"/>
        </w:trPr>
        <w:tc>
          <w:tcPr>
            <w:tcW w:w="3119" w:type="dxa"/>
          </w:tcPr>
          <w:p w14:paraId="4C9E2E49" w14:textId="77777777" w:rsidR="007B142C" w:rsidRPr="00D062C0" w:rsidRDefault="007B142C" w:rsidP="00B665ED">
            <w:pPr>
              <w:jc w:val="both"/>
              <w:rPr>
                <w:rFonts w:ascii="Verdana" w:eastAsia="Calibri" w:hAnsi="Verdana" w:cs="Arial"/>
                <w:color w:val="000000"/>
                <w:lang w:eastAsia="es-ES_tradnl"/>
              </w:rPr>
            </w:pPr>
            <w:r w:rsidRPr="00D062C0">
              <w:rPr>
                <w:rFonts w:ascii="Verdana" w:eastAsia="Calibri" w:hAnsi="Verdana" w:cs="Arial"/>
                <w:b/>
                <w:color w:val="000000"/>
                <w:lang w:eastAsia="es-ES_tradnl"/>
              </w:rPr>
              <w:t>Temas:</w:t>
            </w:r>
            <w:r w:rsidRPr="00D062C0">
              <w:rPr>
                <w:rFonts w:ascii="Verdana" w:eastAsia="Calibri" w:hAnsi="Verdana" w:cs="Arial"/>
                <w:color w:val="000000"/>
                <w:lang w:eastAsia="es-ES_tradnl"/>
              </w:rPr>
              <w:t xml:space="preserve">                   </w:t>
            </w:r>
          </w:p>
        </w:tc>
        <w:tc>
          <w:tcPr>
            <w:tcW w:w="5670" w:type="dxa"/>
          </w:tcPr>
          <w:p w14:paraId="6B62818E" w14:textId="77777777" w:rsidR="007B142C" w:rsidRPr="0083078F" w:rsidRDefault="007B142C" w:rsidP="00B665ED">
            <w:pPr>
              <w:jc w:val="both"/>
              <w:rPr>
                <w:rFonts w:ascii="Verdana" w:eastAsia="Calibri" w:hAnsi="Verdana" w:cs="Arial"/>
                <w:lang w:val="es-ES_tradnl"/>
              </w:rPr>
            </w:pPr>
            <w:r w:rsidRPr="008917BA">
              <w:rPr>
                <w:rFonts w:ascii="Verdana" w:eastAsia="Calibri" w:hAnsi="Verdana" w:cs="Arial"/>
                <w:lang w:val="es-ES_tradnl"/>
              </w:rPr>
              <w:t>EXPERIENCIA – Noción / SOCIEDADES NUEVAS ‒ Experiencia ‒ Inferior a tres años ‒ Requisitos habilitantes / EXPERIENCIA ‒ Conservación ‒ Renovación RUP ‒ Cesación efectos RUP / EXPERIENCIA – Retiro del socio − Sociedades – Menor a 3 años de constitución</w:t>
            </w:r>
            <w:r>
              <w:rPr>
                <w:rFonts w:ascii="Verdana" w:eastAsia="Calibri" w:hAnsi="Verdana" w:cs="Arial"/>
                <w:lang w:val="es-ES_tradnl"/>
              </w:rPr>
              <w:t xml:space="preserve">/ </w:t>
            </w:r>
            <w:r w:rsidRPr="006A11D8">
              <w:rPr>
                <w:rFonts w:ascii="Verdana" w:eastAsia="Calibri" w:hAnsi="Verdana" w:cs="Arial"/>
                <w:lang w:val="es-ES" w:eastAsia="es-ES"/>
              </w:rPr>
              <w:t>INHABILIDADES E INCOMPATIBILIDADES – Concepto – Principio de legalidad – Interpretación restrictva /</w:t>
            </w:r>
            <w:r w:rsidRPr="006A11D8">
              <w:rPr>
                <w:rFonts w:ascii="Aptos" w:eastAsia="Aptos" w:hAnsi="Aptos" w:cs="Arial"/>
              </w:rPr>
              <w:t xml:space="preserve"> </w:t>
            </w:r>
            <w:r w:rsidRPr="006A11D8">
              <w:rPr>
                <w:rFonts w:ascii="Verdana" w:eastAsia="Calibri" w:hAnsi="Verdana" w:cs="Arial"/>
                <w:lang w:val="es-ES" w:eastAsia="es-ES"/>
              </w:rPr>
              <w:t xml:space="preserve">SOCIEDADES POR ACCIONES SIMPLIFICADAS – Participación de servidor público – Inaplicación de inhabilidad </w:t>
            </w:r>
            <w:r>
              <w:rPr>
                <w:rFonts w:ascii="Verdana" w:eastAsia="Calibri" w:hAnsi="Verdana" w:cs="Arial"/>
                <w:lang w:val="es-ES" w:eastAsia="es-ES"/>
              </w:rPr>
              <w:t>–</w:t>
            </w:r>
            <w:r w:rsidRPr="006A11D8">
              <w:rPr>
                <w:rFonts w:ascii="Verdana" w:eastAsia="Calibri" w:hAnsi="Verdana" w:cs="Arial"/>
                <w:lang w:val="es-ES" w:eastAsia="es-ES"/>
              </w:rPr>
              <w:t xml:space="preserve"> Aclaración</w:t>
            </w:r>
            <w:r>
              <w:rPr>
                <w:rFonts w:ascii="Verdana" w:eastAsia="Calibri" w:hAnsi="Verdana" w:cs="Arial"/>
                <w:lang w:val="es-ES" w:eastAsia="es-ES"/>
              </w:rPr>
              <w:t xml:space="preserve"> </w:t>
            </w:r>
          </w:p>
          <w:p w14:paraId="3D111906" w14:textId="77777777" w:rsidR="007B142C" w:rsidRPr="00D062C0" w:rsidRDefault="007B142C" w:rsidP="00B665ED">
            <w:pPr>
              <w:jc w:val="both"/>
              <w:rPr>
                <w:rFonts w:ascii="Verdana" w:eastAsia="Calibri" w:hAnsi="Verdana" w:cs="Arial"/>
                <w:lang w:val="es-ES_tradnl" w:eastAsia="es-ES"/>
              </w:rPr>
            </w:pPr>
          </w:p>
        </w:tc>
      </w:tr>
      <w:tr w:rsidR="007B142C" w:rsidRPr="00596158" w14:paraId="3A686D89" w14:textId="77777777" w:rsidTr="00B665ED">
        <w:tc>
          <w:tcPr>
            <w:tcW w:w="3119" w:type="dxa"/>
          </w:tcPr>
          <w:p w14:paraId="34006062" w14:textId="77777777" w:rsidR="007B142C" w:rsidRPr="00EB42FF" w:rsidRDefault="007B142C" w:rsidP="00B665ED">
            <w:pPr>
              <w:jc w:val="both"/>
              <w:rPr>
                <w:rFonts w:ascii="Verdana" w:eastAsia="Calibri" w:hAnsi="Verdana" w:cs="Arial"/>
                <w:b/>
                <w:lang w:eastAsia="es-ES_tradnl"/>
              </w:rPr>
            </w:pPr>
            <w:r w:rsidRPr="00EB42FF">
              <w:rPr>
                <w:rFonts w:ascii="Verdana" w:eastAsia="Calibri" w:hAnsi="Verdana" w:cs="Arial"/>
                <w:b/>
                <w:lang w:eastAsia="es-ES_tradnl"/>
              </w:rPr>
              <w:t>Radicación:</w:t>
            </w:r>
            <w:r w:rsidRPr="00EB42FF">
              <w:rPr>
                <w:rFonts w:ascii="Verdana" w:eastAsia="Calibri" w:hAnsi="Verdana" w:cs="Arial"/>
                <w:lang w:eastAsia="es-ES_tradnl"/>
              </w:rPr>
              <w:t xml:space="preserve">               </w:t>
            </w:r>
          </w:p>
        </w:tc>
        <w:tc>
          <w:tcPr>
            <w:tcW w:w="5670" w:type="dxa"/>
          </w:tcPr>
          <w:p w14:paraId="0D7E677F" w14:textId="77777777" w:rsidR="007B142C" w:rsidRPr="00FA0C53" w:rsidRDefault="007B142C" w:rsidP="00B665ED">
            <w:pPr>
              <w:jc w:val="both"/>
              <w:rPr>
                <w:rFonts w:ascii="Verdana" w:eastAsia="Calibri" w:hAnsi="Verdana" w:cs="Arial"/>
                <w:lang w:eastAsia="es-ES_tradnl"/>
              </w:rPr>
            </w:pPr>
            <w:r w:rsidRPr="00FA0C53">
              <w:rPr>
                <w:rFonts w:ascii="Verdana" w:eastAsia="Calibri" w:hAnsi="Verdana" w:cs="Arial"/>
                <w:lang w:eastAsia="es-ES_tradnl"/>
              </w:rPr>
              <w:t xml:space="preserve">Respuesta a consulta con radicado </w:t>
            </w:r>
            <w:r w:rsidRPr="00FA0C53">
              <w:rPr>
                <w:rFonts w:ascii="Verdana" w:hAnsi="Verdana"/>
                <w:color w:val="000000"/>
              </w:rPr>
              <w:t>1_2026_09_25_012916</w:t>
            </w:r>
          </w:p>
          <w:p w14:paraId="45552916" w14:textId="77777777" w:rsidR="007B142C" w:rsidRPr="00EB42FF" w:rsidRDefault="007B142C" w:rsidP="00B665ED">
            <w:pPr>
              <w:jc w:val="both"/>
              <w:rPr>
                <w:rFonts w:ascii="Verdana" w:eastAsia="Calibri" w:hAnsi="Verdana" w:cs="Arial"/>
                <w:lang w:eastAsia="es-ES_tradnl"/>
              </w:rPr>
            </w:pPr>
          </w:p>
          <w:p w14:paraId="6F160270" w14:textId="77777777" w:rsidR="007B142C" w:rsidRPr="00EB42FF" w:rsidRDefault="007B142C" w:rsidP="00B665ED">
            <w:pPr>
              <w:jc w:val="both"/>
              <w:rPr>
                <w:rFonts w:ascii="Verdana" w:eastAsia="Calibri" w:hAnsi="Verdana" w:cs="Arial"/>
                <w:lang w:eastAsia="es-ES_tradnl"/>
              </w:rPr>
            </w:pPr>
          </w:p>
        </w:tc>
      </w:tr>
    </w:tbl>
    <w:p w14:paraId="533EFB82" w14:textId="77777777" w:rsidR="007B142C" w:rsidRPr="008E4F36" w:rsidRDefault="007B142C" w:rsidP="007B142C">
      <w:pPr>
        <w:spacing w:after="0" w:line="276" w:lineRule="auto"/>
        <w:jc w:val="both"/>
        <w:rPr>
          <w:rFonts w:ascii="Verdana" w:eastAsia="Calibri" w:hAnsi="Verdana" w:cs="Arial"/>
          <w:lang w:eastAsia="es-ES"/>
        </w:rPr>
      </w:pPr>
      <w:r w:rsidRPr="00596158">
        <w:rPr>
          <w:rFonts w:ascii="Verdana" w:eastAsia="Calibri" w:hAnsi="Verdana" w:cs="Arial"/>
          <w:lang w:eastAsia="es-ES"/>
        </w:rPr>
        <w:t>Estimad</w:t>
      </w:r>
      <w:r>
        <w:rPr>
          <w:rFonts w:ascii="Verdana" w:eastAsia="Calibri" w:hAnsi="Verdana" w:cs="Arial"/>
          <w:lang w:eastAsia="es-ES"/>
        </w:rPr>
        <w:t>o Señor Vergara</w:t>
      </w:r>
      <w:r w:rsidRPr="00596158">
        <w:rPr>
          <w:rFonts w:ascii="Verdana" w:eastAsia="Calibri" w:hAnsi="Verdana" w:cs="Arial"/>
          <w:lang w:eastAsia="es-ES"/>
        </w:rPr>
        <w:t>:</w:t>
      </w:r>
      <w:r w:rsidRPr="008E4F36">
        <w:rPr>
          <w:rFonts w:ascii="Verdana" w:eastAsia="Calibri" w:hAnsi="Verdana" w:cs="Arial"/>
          <w:lang w:eastAsia="es-ES"/>
        </w:rPr>
        <w:t xml:space="preserve"> </w:t>
      </w:r>
    </w:p>
    <w:p w14:paraId="324382CB" w14:textId="77777777" w:rsidR="007B142C" w:rsidRDefault="007B142C" w:rsidP="007B142C">
      <w:pPr>
        <w:tabs>
          <w:tab w:val="left" w:pos="3768"/>
        </w:tabs>
        <w:spacing w:after="0" w:line="240" w:lineRule="auto"/>
        <w:jc w:val="both"/>
        <w:rPr>
          <w:rFonts w:ascii="Verdana" w:eastAsia="Calibri" w:hAnsi="Verdana" w:cs="Arial"/>
          <w:lang w:eastAsia="es-ES"/>
        </w:rPr>
      </w:pPr>
    </w:p>
    <w:p w14:paraId="62FD740B" w14:textId="77777777" w:rsidR="007B142C" w:rsidRPr="008E4F36" w:rsidRDefault="007B142C" w:rsidP="007B142C">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25</w:t>
      </w:r>
      <w:r w:rsidRPr="00596158">
        <w:rPr>
          <w:rFonts w:ascii="Verdana" w:eastAsia="Calibri" w:hAnsi="Verdana" w:cs="Arial"/>
          <w:lang w:eastAsia="es-ES"/>
        </w:rPr>
        <w:t xml:space="preserve"> de</w:t>
      </w:r>
      <w:r>
        <w:rPr>
          <w:rFonts w:ascii="Verdana" w:eastAsia="Calibri" w:hAnsi="Verdana" w:cs="Arial"/>
          <w:lang w:eastAsia="es-ES"/>
        </w:rPr>
        <w:t xml:space="preserve"> septiembre </w:t>
      </w:r>
      <w:r w:rsidRPr="00596158">
        <w:rPr>
          <w:rFonts w:ascii="Verdana" w:eastAsia="Calibri" w:hAnsi="Verdana" w:cs="Arial"/>
          <w:lang w:eastAsia="es-ES"/>
        </w:rPr>
        <w:t>de 202</w:t>
      </w:r>
      <w:r>
        <w:rPr>
          <w:rFonts w:ascii="Verdana" w:eastAsia="Calibri" w:hAnsi="Verdana" w:cs="Arial"/>
          <w:lang w:eastAsia="es-ES"/>
        </w:rPr>
        <w:t>6</w:t>
      </w:r>
      <w:r w:rsidRPr="005961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3059C315" w14:textId="77777777" w:rsidR="007B142C" w:rsidRPr="008E4F36" w:rsidRDefault="007B142C" w:rsidP="007B142C">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E9DC47B" w14:textId="77777777" w:rsidR="007B142C" w:rsidRPr="00FF6A3A" w:rsidRDefault="007B142C" w:rsidP="007B142C">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Pr>
          <w:rFonts w:ascii="Verdana" w:eastAsia="Century Gothic" w:hAnsi="Verdana" w:cs="Century Gothic"/>
          <w:sz w:val="20"/>
          <w:szCs w:val="20"/>
        </w:rPr>
        <w:t>1.</w:t>
      </w:r>
      <w:r w:rsidRPr="00FF6A3A">
        <w:rPr>
          <w:rFonts w:ascii="Verdana" w:eastAsia="Century Gothic" w:hAnsi="Verdana" w:cs="Century Gothic"/>
          <w:sz w:val="20"/>
          <w:szCs w:val="20"/>
        </w:rPr>
        <w:t xml:space="preserve">INALCON SAS aportó su experiencia al Registro Único de Proponentes de INALDEX SAS cuando esta tenía menos de tres (3) años de constituida, y dicha experiencia se ha conservado mediante la renovación oportuna del RUP. ¿La experiencia aportada por INALCON SAS sigue siendo válida y puede ser acreditada por INALDEX SAS en los procesos de contratación estatal, a pesar de que INALCON SAS se encuentra actualmente </w:t>
      </w:r>
      <w:r w:rsidRPr="00FF6A3A">
        <w:rPr>
          <w:rFonts w:ascii="Verdana" w:eastAsia="Century Gothic" w:hAnsi="Verdana" w:cs="Century Gothic"/>
          <w:sz w:val="20"/>
          <w:szCs w:val="20"/>
        </w:rPr>
        <w:lastRenderedPageBreak/>
        <w:t>inhabilitada para contratar con el Estado como consecuencia de un fallo con responsabilidad fiscal?</w:t>
      </w:r>
    </w:p>
    <w:p w14:paraId="0587AA4F" w14:textId="77777777" w:rsidR="007B142C" w:rsidRDefault="007B142C" w:rsidP="007B142C">
      <w:pPr>
        <w:spacing w:after="0" w:line="240" w:lineRule="auto"/>
        <w:ind w:left="709" w:right="709"/>
        <w:jc w:val="both"/>
        <w:rPr>
          <w:rFonts w:ascii="Verdana" w:eastAsia="Century Gothic" w:hAnsi="Verdana" w:cs="Century Gothic"/>
          <w:sz w:val="20"/>
          <w:szCs w:val="20"/>
        </w:rPr>
      </w:pPr>
    </w:p>
    <w:p w14:paraId="409D437C" w14:textId="77777777" w:rsidR="007B142C" w:rsidRPr="009B4725" w:rsidRDefault="007B142C" w:rsidP="007B142C">
      <w:pPr>
        <w:spacing w:after="0" w:line="240" w:lineRule="auto"/>
        <w:ind w:left="709" w:right="709"/>
        <w:jc w:val="both"/>
        <w:rPr>
          <w:rFonts w:ascii="Verdana" w:eastAsia="Century Gothic" w:hAnsi="Verdana" w:cs="Century Gothic"/>
          <w:sz w:val="20"/>
          <w:szCs w:val="20"/>
        </w:rPr>
      </w:pPr>
      <w:r w:rsidRPr="00FF6A3A">
        <w:rPr>
          <w:rFonts w:ascii="Verdana" w:eastAsia="Century Gothic" w:hAnsi="Verdana" w:cs="Century Gothic"/>
          <w:sz w:val="20"/>
          <w:szCs w:val="20"/>
        </w:rPr>
        <w:t>2.Cuando una sociedad por acciones simplificada es accionista de otra sociedad por acciones simplificada y la primera se encuentra inhabilitada para contratar con el Estado por un fallo con responsabilidad fiscal, ¿dicha inhabilidad se extiende a la sociedad de la cual es accionista? En el caso concreto, ¿INALDEX SAS, por tener como accionista a INALCON SAS, queda inhabilitada para contratar con el Estado? Es decir, ¿carece de capacidad jurídica para presentar ofertas, participar en procesos de contratación, ser adjudicataria o suscribir contratos estatales? En caso afirmativo, solicito indicar la disposición legal que establece dicha extensión.</w:t>
      </w:r>
      <w:r>
        <w:rPr>
          <w:rFonts w:ascii="Verdana" w:eastAsia="Century Gothic" w:hAnsi="Verdana" w:cs="Century Gothic"/>
          <w:sz w:val="20"/>
          <w:szCs w:val="20"/>
        </w:rPr>
        <w:t>”</w:t>
      </w:r>
    </w:p>
    <w:p w14:paraId="6C32BB05" w14:textId="77777777" w:rsidR="007B142C" w:rsidRPr="008E4F36" w:rsidRDefault="007B142C" w:rsidP="007B142C">
      <w:pPr>
        <w:spacing w:after="0" w:line="276" w:lineRule="auto"/>
        <w:ind w:right="709"/>
        <w:jc w:val="both"/>
        <w:rPr>
          <w:rFonts w:ascii="Verdana" w:hAnsi="Verdana"/>
          <w:sz w:val="20"/>
          <w:szCs w:val="20"/>
        </w:rPr>
      </w:pPr>
    </w:p>
    <w:p w14:paraId="713D99E3" w14:textId="77777777" w:rsidR="007B142C" w:rsidRDefault="007B142C" w:rsidP="007B142C">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3458908" w14:textId="77777777" w:rsidR="007B142C" w:rsidRPr="00054383" w:rsidRDefault="007B142C" w:rsidP="007B142C">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DA6E393" w14:textId="77777777" w:rsidR="007B142C" w:rsidRPr="008E4F36" w:rsidRDefault="007B142C" w:rsidP="007B142C">
      <w:pPr>
        <w:spacing w:after="0" w:line="276" w:lineRule="auto"/>
        <w:ind w:firstLine="709"/>
        <w:jc w:val="both"/>
        <w:rPr>
          <w:rFonts w:ascii="Verdana" w:eastAsia="Calibri" w:hAnsi="Verdana" w:cs="Arial"/>
          <w:color w:val="000000"/>
          <w:lang w:eastAsia="es-ES"/>
        </w:rPr>
      </w:pPr>
    </w:p>
    <w:p w14:paraId="06757F48" w14:textId="77777777" w:rsidR="007B142C" w:rsidRDefault="007B142C" w:rsidP="007B142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4A0B0D1" w14:textId="77777777" w:rsidR="007B142C" w:rsidRDefault="007B142C" w:rsidP="007B142C">
      <w:pPr>
        <w:pStyle w:val="NormalWeb"/>
        <w:spacing w:before="0" w:beforeAutospacing="0" w:after="0" w:afterAutospacing="0" w:line="276" w:lineRule="auto"/>
        <w:jc w:val="both"/>
        <w:rPr>
          <w:rFonts w:ascii="Verdana" w:eastAsia="Calibri" w:hAnsi="Verdana" w:cs="Arial"/>
          <w:color w:val="000000"/>
          <w:sz w:val="22"/>
          <w:szCs w:val="22"/>
          <w:lang w:eastAsia="es-ES"/>
        </w:rPr>
      </w:pPr>
    </w:p>
    <w:p w14:paraId="03AC1C98" w14:textId="77777777" w:rsidR="007B142C" w:rsidRPr="006A11D8" w:rsidRDefault="007B142C" w:rsidP="007B142C">
      <w:pPr>
        <w:spacing w:after="0"/>
        <w:jc w:val="both"/>
        <w:rPr>
          <w:rFonts w:ascii="Verdana" w:eastAsia="Aptos" w:hAnsi="Verdana" w:cs="Arial"/>
        </w:rPr>
      </w:pPr>
      <w:r w:rsidRPr="007E330B">
        <w:rPr>
          <w:rFonts w:ascii="Verdana" w:eastAsia="Calibri" w:hAnsi="Verdana" w:cs="Arial"/>
          <w:color w:val="000000"/>
          <w:lang w:eastAsia="es-ES"/>
        </w:rPr>
        <w:t>De acuerdo con el contenido de su solicitud, esta Agencia resolverá el siguiente problema jurídico:</w:t>
      </w:r>
      <w:r w:rsidRPr="00C734B6">
        <w:rPr>
          <w:rFonts w:ascii="Verdana" w:eastAsia="Calibri" w:hAnsi="Verdana" w:cs="Arial"/>
          <w:color w:val="000000"/>
          <w:lang w:eastAsia="es-ES"/>
        </w:rPr>
        <w:t xml:space="preserve"> </w:t>
      </w:r>
      <w:r>
        <w:rPr>
          <w:rFonts w:ascii="Verdana" w:eastAsia="Century Gothic" w:hAnsi="Verdana" w:cs="Century Gothic"/>
        </w:rPr>
        <w:t>i) E</w:t>
      </w:r>
      <w:r w:rsidRPr="005E1A68">
        <w:rPr>
          <w:rFonts w:ascii="Verdana" w:eastAsia="Century Gothic" w:hAnsi="Verdana" w:cs="Century Gothic"/>
        </w:rPr>
        <w:t xml:space="preserve">s válida la experiencia aportada por una sociedad a otra en el Registro Único de Proponentes (RUP), cuando esta última tenía menos de tres (3) años de constituida, y puede continuar siendo acreditada en los procesos de contratación estatal, pese a que la sociedad que la aportó se encuentra </w:t>
      </w:r>
      <w:r w:rsidRPr="005E1A68">
        <w:rPr>
          <w:rFonts w:ascii="Verdana" w:eastAsia="Century Gothic" w:hAnsi="Verdana" w:cs="Century Gothic"/>
        </w:rPr>
        <w:lastRenderedPageBreak/>
        <w:t>inhabilitada para contratar con el Estado por un fallo con responsabilidad fiscal?</w:t>
      </w:r>
      <w:r>
        <w:rPr>
          <w:rFonts w:ascii="Verdana" w:eastAsia="Century Gothic" w:hAnsi="Verdana" w:cs="Century Gothic"/>
        </w:rPr>
        <w:t xml:space="preserve"> ii) </w:t>
      </w:r>
      <w:r w:rsidRPr="00821620">
        <w:rPr>
          <w:rFonts w:ascii="Verdana" w:eastAsia="Century Gothic" w:hAnsi="Verdana" w:cs="Century Gothic"/>
        </w:rPr>
        <w:t>¿La inhabilidad para contratar con el Estado derivada de un fallo con responsabilidad fiscal, que recae sobre una sociedad por acciones simplificada (SAS), se extiende a otra sociedad de la misma naturaleza por el solo hecho de que la primera tenga la calidad de accionista de la segunda, afectando su capacidad jurídica para participar en procesos de selección, presentar ofertas, ser adjudicataria y celebrar contratos estatales?</w:t>
      </w:r>
      <w:r>
        <w:rPr>
          <w:rFonts w:ascii="Verdana" w:eastAsia="Century Gothic" w:hAnsi="Verdana" w:cs="Century Gothic"/>
        </w:rPr>
        <w:t xml:space="preserve"> </w:t>
      </w:r>
    </w:p>
    <w:p w14:paraId="7CD19E73" w14:textId="77777777" w:rsidR="007B142C" w:rsidRDefault="007B142C" w:rsidP="007B142C">
      <w:pPr>
        <w:pStyle w:val="NormalWeb"/>
        <w:spacing w:before="0" w:beforeAutospacing="0" w:after="0" w:afterAutospacing="0" w:line="276" w:lineRule="auto"/>
        <w:jc w:val="both"/>
        <w:rPr>
          <w:rFonts w:ascii="Verdana" w:eastAsia="Calibri" w:hAnsi="Verdana" w:cs="Arial"/>
          <w:color w:val="000000"/>
          <w:sz w:val="22"/>
          <w:szCs w:val="22"/>
          <w:lang w:eastAsia="es-ES"/>
        </w:rPr>
      </w:pPr>
      <w:r>
        <w:rPr>
          <w:rFonts w:ascii="Verdana" w:eastAsia="Calibri" w:hAnsi="Verdana" w:cs="Arial"/>
          <w:color w:val="000000"/>
          <w:sz w:val="22"/>
          <w:szCs w:val="22"/>
          <w:lang w:eastAsia="es-ES"/>
        </w:rPr>
        <w:t xml:space="preserve">  </w:t>
      </w:r>
    </w:p>
    <w:p w14:paraId="10B89A91" w14:textId="77777777" w:rsidR="007B142C" w:rsidRPr="00772009" w:rsidRDefault="007B142C" w:rsidP="007B142C">
      <w:pPr>
        <w:pStyle w:val="NormalWeb"/>
        <w:spacing w:before="0" w:beforeAutospacing="0" w:after="0" w:afterAutospacing="0" w:line="276" w:lineRule="auto"/>
        <w:jc w:val="both"/>
        <w:rPr>
          <w:sz w:val="22"/>
          <w:szCs w:val="22"/>
        </w:rPr>
      </w:pPr>
    </w:p>
    <w:p w14:paraId="150E58A9" w14:textId="77777777" w:rsidR="007B142C" w:rsidRPr="008E4F36" w:rsidRDefault="007B142C" w:rsidP="007B142C">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626C16C5" w14:textId="77777777" w:rsidR="007B142C" w:rsidRPr="008E4F36" w:rsidRDefault="007B142C" w:rsidP="007B142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B142C" w:rsidRPr="008E4F36" w14:paraId="0F27E8DD" w14:textId="77777777" w:rsidTr="00B665ED">
        <w:tc>
          <w:tcPr>
            <w:tcW w:w="8828" w:type="dxa"/>
          </w:tcPr>
          <w:p w14:paraId="67B2796D" w14:textId="77777777" w:rsidR="007B142C" w:rsidRPr="00154214" w:rsidRDefault="007B142C" w:rsidP="00B665ED">
            <w:pPr>
              <w:spacing w:after="120" w:line="276" w:lineRule="auto"/>
              <w:jc w:val="both"/>
              <w:rPr>
                <w:rFonts w:ascii="Verdana" w:hAnsi="Verdana"/>
              </w:rPr>
            </w:pPr>
            <w:r w:rsidRPr="00AD217C">
              <w:rPr>
                <w:rFonts w:ascii="Verdana" w:eastAsia="Arial" w:hAnsi="Verdana" w:cs="Arial"/>
                <w:b/>
                <w:bCs/>
              </w:rPr>
              <w:t>i.</w:t>
            </w:r>
            <w:r w:rsidRPr="009435BB">
              <w:rPr>
                <w:rFonts w:ascii="Times New Roman" w:eastAsia="Times New Roman" w:hAnsi="Times New Roman" w:cs="Times New Roman"/>
                <w:sz w:val="24"/>
                <w:szCs w:val="24"/>
                <w:lang w:eastAsia="es-CO"/>
              </w:rPr>
              <w:t xml:space="preserve"> </w:t>
            </w:r>
            <w:r w:rsidRPr="00154214">
              <w:rPr>
                <w:rFonts w:ascii="Verdana" w:hAnsi="Verdana"/>
              </w:rPr>
              <w:t>De conformidad con el numeral 2.5 del artículo 2.2.1.1.1.5.2 del Decreto 1082 de 2015, las personas jurídicas cuya constitución sea inferior a tres (3) años pueden acreditar en el Registro Único de Proponentes (RUP) la experiencia de sus accionistas, socios o constituyentes. Esta disposición contempla una prerrogativa dirigida a promover la participación de empresas de reciente constitución en los procesos de contratación estatal, permitiéndoles acreditar la experiencia adquirida por quienes las integran.</w:t>
            </w:r>
          </w:p>
          <w:p w14:paraId="44E94016" w14:textId="77777777" w:rsidR="007B142C" w:rsidRPr="00154214" w:rsidRDefault="007B142C" w:rsidP="00B665ED">
            <w:pPr>
              <w:spacing w:after="120" w:line="276" w:lineRule="auto"/>
              <w:ind w:firstLine="709"/>
              <w:jc w:val="both"/>
              <w:rPr>
                <w:rFonts w:ascii="Verdana" w:eastAsia="Times New Roman" w:hAnsi="Verdana" w:cs="Times New Roman"/>
                <w:lang w:eastAsia="es-CO"/>
              </w:rPr>
            </w:pPr>
            <w:r w:rsidRPr="00154214">
              <w:rPr>
                <w:rFonts w:ascii="Verdana" w:eastAsia="Times New Roman" w:hAnsi="Verdana" w:cs="Times New Roman"/>
                <w:lang w:eastAsia="es-CO"/>
              </w:rPr>
              <w:t>Sobre el particular, la Agencia Nacional de Contratación Pública – Colombia Compra Eficiente ha sostenido que las personas jurídicas que hayan hecho uso de esta prerrogativa pueden continuar acreditando la experiencia de sus socios, accionistas o constituyentes, incluso después de haber cumplido tres (3) años de constitución, siempre que mantengan vigente su inscripción en el RUP mediante la renovación oportuna y no hayan cesado los efectos del registro. Esta interpretación fue desarrollada, entre otros, en el Concepto con radicado No. 4201913000006797 del 19 de noviembre de 2019, en el que se unificó la posición de la Subdirección de Gestión Contractual sobre la materia.</w:t>
            </w:r>
          </w:p>
          <w:p w14:paraId="434C5EA3" w14:textId="77777777" w:rsidR="007B142C" w:rsidRPr="00154214" w:rsidRDefault="007B142C" w:rsidP="00B665ED">
            <w:pPr>
              <w:spacing w:after="120" w:line="276" w:lineRule="auto"/>
              <w:ind w:firstLine="709"/>
              <w:jc w:val="both"/>
              <w:rPr>
                <w:rFonts w:ascii="Verdana" w:eastAsia="Times New Roman" w:hAnsi="Verdana" w:cs="Times New Roman"/>
                <w:lang w:eastAsia="es-CO"/>
              </w:rPr>
            </w:pPr>
            <w:r w:rsidRPr="00154214">
              <w:rPr>
                <w:rFonts w:ascii="Verdana" w:eastAsia="Times New Roman" w:hAnsi="Verdana" w:cs="Times New Roman"/>
                <w:lang w:eastAsia="es-CO"/>
              </w:rPr>
              <w:t>En ese sentido, la experiencia incorporada al RUP bajo la prerrogativa prevista en la disposición citada puede conservarse y utilizarse en los procedimientos de selección posteriores, siempre que se cumplan las condiciones normativas para su acreditación y permanencia en el registro. Lo anterior, teniendo en cuenta que la renovación del RUP permite mantener los efectos de la información previamente inscrita, sin que la superación del término de tres (3) años de constitución implique, por sí misma, la pérdida de la experiencia acreditada.</w:t>
            </w:r>
          </w:p>
          <w:p w14:paraId="63D77A77" w14:textId="77777777" w:rsidR="007B142C" w:rsidRPr="00154214" w:rsidRDefault="007B142C" w:rsidP="00B665ED">
            <w:pPr>
              <w:spacing w:after="120" w:line="276" w:lineRule="auto"/>
              <w:ind w:firstLine="709"/>
              <w:jc w:val="both"/>
              <w:rPr>
                <w:rFonts w:ascii="Verdana" w:eastAsia="Times New Roman" w:hAnsi="Verdana" w:cs="Times New Roman"/>
                <w:lang w:eastAsia="es-CO"/>
              </w:rPr>
            </w:pPr>
            <w:r w:rsidRPr="00154214">
              <w:rPr>
                <w:rFonts w:ascii="Verdana" w:eastAsia="Times New Roman" w:hAnsi="Verdana" w:cs="Times New Roman"/>
                <w:lang w:eastAsia="es-CO"/>
              </w:rPr>
              <w:lastRenderedPageBreak/>
              <w:t>Ahora bien, es necesario distinguir entre la acreditación de la experiencia y la capacidad jurídica para contratar con el Estado, pues se trata de asuntos sometidos a presupuestos normativos diferentes. Mientras la experiencia constituye un requisito habilitante relacionado con el conocimiento adquirido por el proponente a partir de su participación previa en actividades iguales o similares a las del objeto contractual, las inhabilidades son restricciones legales que limitan la posibilidad de participar en procedimientos de selección y celebrar contratos estatales.</w:t>
            </w:r>
          </w:p>
          <w:p w14:paraId="5C820C9B" w14:textId="77777777" w:rsidR="007B142C" w:rsidRPr="00154214" w:rsidRDefault="007B142C" w:rsidP="00B665ED">
            <w:pPr>
              <w:spacing w:after="120" w:line="276" w:lineRule="auto"/>
              <w:ind w:firstLine="709"/>
              <w:jc w:val="both"/>
              <w:rPr>
                <w:rFonts w:ascii="Verdana" w:eastAsia="Times New Roman" w:hAnsi="Verdana" w:cs="Times New Roman"/>
                <w:lang w:eastAsia="es-CO"/>
              </w:rPr>
            </w:pPr>
            <w:r w:rsidRPr="00154214">
              <w:rPr>
                <w:rFonts w:ascii="Verdana" w:eastAsia="Times New Roman" w:hAnsi="Verdana" w:cs="Times New Roman"/>
                <w:lang w:eastAsia="es-CO"/>
              </w:rPr>
              <w:t>En relación con estas últimas, el artículo 60 de la Ley 610 de 2000 establece que las personas naturales o jurídicas que aparezcan en el Boletín de Responsables Fiscales no podrán celebrar contratos con el Estado cuando exista un fallo con responsabilidad fiscal en firme y ejecutoriado pendiente de pago. Esta disposición establece una restricción respecto de la persona natural o jurídica declarada responsable fiscalmente, en los términos previstos en la ley.</w:t>
            </w:r>
          </w:p>
          <w:p w14:paraId="042A8D4C" w14:textId="77777777" w:rsidR="007B142C" w:rsidRPr="00154214" w:rsidRDefault="007B142C" w:rsidP="00B665ED">
            <w:pPr>
              <w:spacing w:after="120" w:line="276" w:lineRule="auto"/>
              <w:ind w:firstLine="709"/>
              <w:jc w:val="both"/>
              <w:rPr>
                <w:rFonts w:ascii="Verdana" w:eastAsia="Times New Roman" w:hAnsi="Verdana" w:cs="Times New Roman"/>
                <w:lang w:eastAsia="es-CO"/>
              </w:rPr>
            </w:pPr>
            <w:r w:rsidRPr="00154214">
              <w:rPr>
                <w:rFonts w:ascii="Verdana" w:eastAsia="Times New Roman" w:hAnsi="Verdana" w:cs="Times New Roman"/>
                <w:lang w:eastAsia="es-CO"/>
              </w:rPr>
              <w:t>En consecuencia, la circunstancia de que la sociedad que aportó la experiencia se encuentre inhabilitada para contratar con el Estado por un fallo con responsabilidad fiscal no constituye, por sí sola, una causal de pérdida, eliminación o invalidez de la experiencia que previamente fue acreditada por otra persona jurídica en el RUP. Esto obedece a que la inhabilidad para contratar y la conservación de la experiencia registrada son situaciones jurídicas independientes, que no deben confundirse ni producir efectos que no estén expresamente previstos en el ordenamiento jurídico.</w:t>
            </w:r>
          </w:p>
          <w:p w14:paraId="6F7B612B" w14:textId="085377EE" w:rsidR="007B142C" w:rsidRPr="00154214" w:rsidRDefault="007B142C" w:rsidP="00B665ED">
            <w:pPr>
              <w:spacing w:after="120" w:line="276" w:lineRule="auto"/>
              <w:ind w:firstLine="709"/>
              <w:jc w:val="both"/>
              <w:rPr>
                <w:rFonts w:ascii="Verdana" w:eastAsia="Times New Roman" w:hAnsi="Verdana" w:cs="Times New Roman"/>
                <w:lang w:eastAsia="es-CO"/>
              </w:rPr>
            </w:pPr>
            <w:r w:rsidRPr="00D12415">
              <w:rPr>
                <w:rFonts w:ascii="Verdana" w:eastAsia="Times New Roman" w:hAnsi="Verdana" w:cs="Times New Roman"/>
                <w:lang w:eastAsia="es-CO"/>
              </w:rPr>
              <w:t xml:space="preserve">Así las cosas, la inhabilidad que afecta a la sociedad que aportó la experiencia no determina automáticamente que la sociedad beneficiaria deba perder la posibilidad de acreditar dicha experiencia en los procesos de contratación estatal, siempre que aquella hubiera sido incorporada válidamente al RUP conforme al numeral 2.5 del artículo 2.2.1.1.1.5.2 del Decreto 1082 de 2015, que se mantengan los efectos del registro mediante su renovación oportuna y que subsista el vínculo societario que permitió su </w:t>
            </w:r>
            <w:r w:rsidR="003955E8" w:rsidRPr="00D12415">
              <w:rPr>
                <w:rFonts w:ascii="Verdana" w:eastAsia="Times New Roman" w:hAnsi="Verdana" w:cs="Times New Roman"/>
                <w:lang w:eastAsia="es-CO"/>
              </w:rPr>
              <w:t>acreditación</w:t>
            </w:r>
            <w:r w:rsidR="003955E8" w:rsidRPr="00D24D9A">
              <w:rPr>
                <w:rFonts w:ascii="Verdana" w:eastAsia="Times New Roman" w:hAnsi="Verdana" w:cs="Times New Roman"/>
                <w:lang w:eastAsia="es-CO"/>
              </w:rPr>
              <w:t>.</w:t>
            </w:r>
            <w:r w:rsidR="003955E8" w:rsidRPr="00154214">
              <w:rPr>
                <w:rFonts w:ascii="Verdana" w:eastAsia="Times New Roman" w:hAnsi="Verdana" w:cs="Times New Roman"/>
                <w:lang w:eastAsia="es-CO"/>
              </w:rPr>
              <w:t xml:space="preserve"> En</w:t>
            </w:r>
            <w:r w:rsidRPr="00154214">
              <w:rPr>
                <w:rFonts w:ascii="Verdana" w:eastAsia="Times New Roman" w:hAnsi="Verdana" w:cs="Times New Roman"/>
                <w:lang w:eastAsia="es-CO"/>
              </w:rPr>
              <w:t xml:space="preserve"> todo caso, corresponde a las entidades estatales verificar el certificado del RUP y las condiciones habilitantes exigidas en cada procedimiento de selección, sin que lo anterior implique validar situaciones </w:t>
            </w:r>
            <w:r w:rsidRPr="00154214">
              <w:rPr>
                <w:rFonts w:ascii="Verdana" w:eastAsia="Times New Roman" w:hAnsi="Verdana" w:cs="Times New Roman"/>
                <w:lang w:eastAsia="es-CO"/>
              </w:rPr>
              <w:lastRenderedPageBreak/>
              <w:t>particulares ni sustituir las competencias de las cámaras de comercio en materia de verificación de la información registral.</w:t>
            </w:r>
          </w:p>
          <w:p w14:paraId="6B4B902D" w14:textId="77777777" w:rsidR="007B142C" w:rsidRDefault="007B142C" w:rsidP="00B665ED">
            <w:pPr>
              <w:spacing w:after="120" w:line="276" w:lineRule="auto"/>
              <w:jc w:val="both"/>
              <w:rPr>
                <w:rFonts w:ascii="Verdana" w:eastAsia="Arial" w:hAnsi="Verdana" w:cs="Arial"/>
              </w:rPr>
            </w:pPr>
            <w:r w:rsidRPr="00154214">
              <w:rPr>
                <w:rFonts w:ascii="Verdana" w:eastAsia="Arial" w:hAnsi="Verdana" w:cs="Arial"/>
                <w:b/>
                <w:bCs/>
              </w:rPr>
              <w:t>ii.</w:t>
            </w:r>
            <w:r>
              <w:rPr>
                <w:rFonts w:ascii="Verdana" w:eastAsia="Arial" w:hAnsi="Verdana" w:cs="Arial"/>
              </w:rPr>
              <w:t xml:space="preserve"> </w:t>
            </w:r>
            <w:r w:rsidRPr="00C6033C">
              <w:rPr>
                <w:rFonts w:ascii="Verdana" w:eastAsia="Arial" w:hAnsi="Verdana" w:cs="Arial"/>
              </w:rPr>
              <w:t>De manera preliminar, debe precisarse que las inhabilidades e incompatibilidades para contratar con el Estado son restricciones de origen legal que limitan la capacidad jurídica de las personas para participar en procesos de selección y celebrar contratos estatales. Por esta razón, su interpretación debe ser restrictiva y ajustarse a los supuestos expresamente previstos por el legislador, sin que resulte procedente extenderlas por analogía a situaciones no contempladas en la ley.</w:t>
            </w:r>
          </w:p>
          <w:p w14:paraId="4CE6FB5E" w14:textId="77777777" w:rsidR="007B142C" w:rsidRDefault="007B142C" w:rsidP="00B665ED">
            <w:pPr>
              <w:spacing w:after="120" w:line="276" w:lineRule="auto"/>
              <w:ind w:firstLine="709"/>
              <w:jc w:val="both"/>
              <w:rPr>
                <w:rFonts w:ascii="Verdana" w:eastAsia="Arial" w:hAnsi="Verdana" w:cs="Arial"/>
              </w:rPr>
            </w:pPr>
            <w:r w:rsidRPr="0043467E">
              <w:rPr>
                <w:rFonts w:ascii="Verdana" w:eastAsia="Arial" w:hAnsi="Verdana" w:cs="Arial"/>
              </w:rPr>
              <w:t>En relación con la responsabilidad fiscal, el artículo 60 de la Ley 610 de 2000 regula el Boletín de responsables Fiscales, en el que se incluyen las personas naturales o jurídicas a quienes se les haya dictado fallo con responsabilidad fiscal en firme y ejecutoriado, siempre que no hayan satisfecho la obligación correspondiente. La consecuencia jurídica debe examinarse respecto del sujeto declarado responsable fiscalmente, de conformidad con las normas que regulan los efectos de dicha declaración.</w:t>
            </w:r>
          </w:p>
          <w:p w14:paraId="22C90E72" w14:textId="650CE570" w:rsidR="007B142C" w:rsidRPr="0043467E" w:rsidRDefault="007B142C" w:rsidP="003955E8">
            <w:pPr>
              <w:spacing w:after="120" w:line="276" w:lineRule="auto"/>
              <w:ind w:firstLine="709"/>
              <w:jc w:val="both"/>
              <w:rPr>
                <w:rFonts w:ascii="Verdana" w:eastAsia="Arial" w:hAnsi="Verdana" w:cs="Arial"/>
              </w:rPr>
            </w:pPr>
            <w:r w:rsidRPr="0043467E">
              <w:rPr>
                <w:rFonts w:ascii="Verdana" w:eastAsia="Arial" w:hAnsi="Verdana" w:cs="Arial"/>
              </w:rPr>
              <w:t>Por otra parte, las sociedades por acciones simplificadas (SAS), en cuanto personas jurídicas independientes de sus accionistas, tienen capacidad jurídica propia. En consecuencia, la circunstancia de que una SAS sea accionista de otra sociedad de la misma naturaleza no permite concluir, por sí sola, que la inhabilidad que recae sobre la primera se extienda automáticamente a la segunda. Para determinar si existe una restricción que afecte a la sociedad participada, debe identificarse una disposición legal que contemple expresamente ese supuesto.</w:t>
            </w:r>
          </w:p>
          <w:p w14:paraId="163BE257" w14:textId="77777777" w:rsidR="007B142C" w:rsidRPr="0043467E" w:rsidRDefault="007B142C" w:rsidP="00B665ED">
            <w:pPr>
              <w:spacing w:after="120" w:line="276" w:lineRule="auto"/>
              <w:ind w:firstLine="709"/>
              <w:jc w:val="both"/>
              <w:rPr>
                <w:rFonts w:ascii="Verdana" w:eastAsia="Arial" w:hAnsi="Verdana" w:cs="Arial"/>
              </w:rPr>
            </w:pPr>
            <w:r w:rsidRPr="0043467E">
              <w:rPr>
                <w:rFonts w:ascii="Verdana" w:eastAsia="Arial" w:hAnsi="Verdana" w:cs="Arial"/>
              </w:rPr>
              <w:t>En particular, aunque el artículo 8 de la Ley 80 de 1993 contempla determinadas causales de inhabilidad que pueden afectar a sociedades o extender sus efectos a otras personas jurídicas bajo circunstancias específicas, estas hipótesis no pueden aplicarse indistintamente a cualquier clase de inhabilidad. Por ello, no es jurídicamente procedente equiparar la inhabilidad derivada de un fallo con responsabilidad fiscal con otras causales legales que tienen presupuestos y consecuencias diferentes.</w:t>
            </w:r>
          </w:p>
          <w:p w14:paraId="1266DC8E" w14:textId="77777777" w:rsidR="007B142C" w:rsidRPr="001940E6" w:rsidRDefault="007B142C" w:rsidP="00B665ED">
            <w:pPr>
              <w:spacing w:after="120" w:line="276" w:lineRule="auto"/>
              <w:ind w:firstLine="709"/>
              <w:jc w:val="both"/>
              <w:rPr>
                <w:rFonts w:ascii="Verdana" w:eastAsia="Arial" w:hAnsi="Verdana" w:cs="Arial"/>
              </w:rPr>
            </w:pPr>
            <w:r w:rsidRPr="0043467E">
              <w:rPr>
                <w:rFonts w:ascii="Verdana" w:eastAsia="Arial" w:hAnsi="Verdana" w:cs="Arial"/>
              </w:rPr>
              <w:t xml:space="preserve">En consecuencia, el solo hecho de que una SAS declarada responsable fiscalmente sea accionista de otra SAS no determina, por sí mismo, que esta última esté inhabilitada para presentar ofertas, participar en procesos de </w:t>
            </w:r>
            <w:r w:rsidRPr="0043467E">
              <w:rPr>
                <w:rFonts w:ascii="Verdana" w:eastAsia="Arial" w:hAnsi="Verdana" w:cs="Arial"/>
              </w:rPr>
              <w:lastRenderedPageBreak/>
              <w:t>selección, ser adjudicataria o celebrar contratos estatales. La entidad contratante deberá verificar si la sociedad que pretende participar está incursa directamente en alguna causal legal de inhabilidad o si existe una disposición que permita extenderle sus efectos, sin presumir esa consecuencia por la sola relación societaria.</w:t>
            </w:r>
          </w:p>
        </w:tc>
      </w:tr>
    </w:tbl>
    <w:p w14:paraId="091D1F62" w14:textId="77777777" w:rsidR="007B142C" w:rsidRDefault="007B142C" w:rsidP="007B142C">
      <w:pPr>
        <w:tabs>
          <w:tab w:val="left" w:pos="142"/>
          <w:tab w:val="left" w:pos="284"/>
        </w:tabs>
        <w:spacing w:after="0" w:line="276" w:lineRule="auto"/>
        <w:jc w:val="both"/>
        <w:rPr>
          <w:rFonts w:ascii="Verdana" w:eastAsia="Century Gothic" w:hAnsi="Verdana" w:cs="Century Gothic"/>
          <w:b/>
          <w:bCs/>
        </w:rPr>
      </w:pPr>
    </w:p>
    <w:p w14:paraId="3D49B5D0" w14:textId="77777777" w:rsidR="007B142C" w:rsidRPr="008E4F36" w:rsidRDefault="007B142C" w:rsidP="007B142C">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FD0C3C7" w14:textId="77777777" w:rsidR="007B142C" w:rsidRDefault="007B142C" w:rsidP="007B142C">
      <w:pPr>
        <w:pStyle w:val="Prrafodelista"/>
        <w:tabs>
          <w:tab w:val="left" w:pos="142"/>
          <w:tab w:val="left" w:pos="284"/>
        </w:tabs>
        <w:spacing w:after="0" w:line="276" w:lineRule="auto"/>
        <w:ind w:left="0"/>
        <w:contextualSpacing w:val="0"/>
        <w:jc w:val="both"/>
        <w:rPr>
          <w:rFonts w:ascii="Verdana" w:eastAsia="Calibri" w:hAnsi="Verdana" w:cs="Arial"/>
        </w:rPr>
      </w:pPr>
    </w:p>
    <w:p w14:paraId="16F3939E" w14:textId="77777777" w:rsidR="007B142C" w:rsidRDefault="007B142C" w:rsidP="007B142C">
      <w:pPr>
        <w:tabs>
          <w:tab w:val="left" w:pos="142"/>
          <w:tab w:val="left" w:pos="284"/>
        </w:tabs>
        <w:spacing w:after="0" w:line="276" w:lineRule="auto"/>
        <w:jc w:val="both"/>
        <w:rPr>
          <w:rFonts w:ascii="Verdana" w:eastAsia="Calibri" w:hAnsi="Verdana" w:cs="Arial"/>
        </w:rPr>
      </w:pPr>
      <w:r w:rsidRPr="00F54450">
        <w:rPr>
          <w:rFonts w:ascii="Verdana" w:eastAsia="Calibri" w:hAnsi="Verdana" w:cs="Arial"/>
        </w:rPr>
        <w:t xml:space="preserve">Lo anterior se sustenta en las siguientes consideraciones: </w:t>
      </w:r>
    </w:p>
    <w:p w14:paraId="1972E493" w14:textId="77777777" w:rsidR="007B142C" w:rsidRDefault="007B142C" w:rsidP="007B142C">
      <w:pPr>
        <w:tabs>
          <w:tab w:val="left" w:pos="142"/>
          <w:tab w:val="left" w:pos="284"/>
        </w:tabs>
        <w:spacing w:after="0" w:line="276" w:lineRule="auto"/>
        <w:jc w:val="both"/>
        <w:rPr>
          <w:rFonts w:ascii="Verdana" w:eastAsia="Calibri" w:hAnsi="Verdana" w:cs="Arial"/>
        </w:rPr>
      </w:pPr>
    </w:p>
    <w:p w14:paraId="67B79C83" w14:textId="77777777" w:rsidR="007B142C" w:rsidRPr="00EC4DE1" w:rsidRDefault="007B142C" w:rsidP="007B142C">
      <w:pPr>
        <w:spacing w:line="276" w:lineRule="auto"/>
        <w:jc w:val="both"/>
        <w:rPr>
          <w:rFonts w:ascii="Verdana" w:eastAsia="Calibri" w:hAnsi="Verdana" w:cs="Arial"/>
          <w:color w:val="000000" w:themeColor="text1"/>
        </w:rPr>
      </w:pPr>
      <w:r w:rsidRPr="00EC4DE1">
        <w:rPr>
          <w:rFonts w:ascii="Verdana" w:eastAsia="Calibri" w:hAnsi="Verdana" w:cs="Arial"/>
          <w:color w:val="000000" w:themeColor="text1"/>
        </w:rPr>
        <w:t xml:space="preserve">i. El artículo 6 de la Ley 1150 de 2007 señala que el RUP “es plena prueba de las circunstancias que en ella se hagan constar y que hayan sido verificadas por las Cámaras de Comercio”, es decir, estableció una regla probatoria en lo que se refiere a las condiciones de los proponentes contenidas en el registro y asignó la competencia a las cámaras para verificarlas. </w:t>
      </w:r>
    </w:p>
    <w:p w14:paraId="09FC47E0" w14:textId="77777777" w:rsidR="007B142C" w:rsidRPr="00EC4DE1" w:rsidRDefault="007B142C" w:rsidP="007B142C">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E5E20A3" w14:textId="77777777" w:rsidR="007B142C" w:rsidRPr="00EC4DE1" w:rsidRDefault="007B142C" w:rsidP="007B142C">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Asimismo, correlativo a este deber de los proponentes, la norma impuso a las cámaras de comercio la obligación de verificar los requisitos habilitantes de quienes se registren. El inciso 2 del numeral 6.1. de la Ley 1150 de 2007 le otorga carácter de plena prueba a la información contenida en el registro que haya sido verificada por las cámaras de comercio y, además, dispuso que la verificación de las condiciones de que trata el numeral 1 del artículo 5 ibidem se demostrará “exclusivamente con el respectivo certificado del RUP en donde deberán constar dichas condiciones”. </w:t>
      </w:r>
    </w:p>
    <w:p w14:paraId="6C16D2E5" w14:textId="77777777" w:rsidR="007B142C" w:rsidRPr="00EC4DE1" w:rsidRDefault="007B142C" w:rsidP="007B142C">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En consecuencia, la norma dispone que a las entidades les está prohibido exigir otros documentos para efectuar la inscripción en el registro, salvo lo </w:t>
      </w:r>
      <w:r w:rsidRPr="00EC4DE1">
        <w:rPr>
          <w:rFonts w:ascii="Verdana" w:eastAsia="Calibri" w:hAnsi="Verdana" w:cs="Arial"/>
          <w:color w:val="000000" w:themeColor="text1"/>
        </w:rPr>
        <w:lastRenderedPageBreak/>
        <w:t xml:space="preserve">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42A5988C" w14:textId="77777777" w:rsidR="007B142C" w:rsidRPr="00EC4DE1" w:rsidRDefault="007B142C" w:rsidP="007B142C">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RUP.</w:t>
      </w:r>
    </w:p>
    <w:p w14:paraId="65DA085A" w14:textId="77777777" w:rsidR="007B142C" w:rsidRPr="0078009F" w:rsidRDefault="007B142C" w:rsidP="007B142C">
      <w:pPr>
        <w:spacing w:line="276" w:lineRule="auto"/>
        <w:jc w:val="both"/>
        <w:rPr>
          <w:rFonts w:ascii="Verdana" w:eastAsia="Calibri" w:hAnsi="Verdana" w:cs="Arial"/>
          <w:color w:val="000000" w:themeColor="text1"/>
        </w:rPr>
      </w:pPr>
      <w:r>
        <w:rPr>
          <w:rFonts w:ascii="Verdana" w:eastAsia="Calibri" w:hAnsi="Verdana" w:cs="Arial"/>
          <w:color w:val="000000" w:themeColor="text1"/>
        </w:rPr>
        <w:t>ii.</w:t>
      </w:r>
      <w:r w:rsidRPr="0078009F">
        <w:rPr>
          <w:rFonts w:ascii="Verdana" w:eastAsia="Calibri" w:hAnsi="Verdana" w:cs="Arial"/>
          <w:color w:val="000000" w:themeColor="text1"/>
        </w:rPr>
        <w:t>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w:t>
      </w:r>
    </w:p>
    <w:p w14:paraId="787F4832"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w:t>
      </w:r>
      <w:r>
        <w:rPr>
          <w:rFonts w:ascii="Verdana" w:eastAsia="Calibri" w:hAnsi="Verdana" w:cs="Arial"/>
          <w:color w:val="000000" w:themeColor="text1"/>
        </w:rPr>
        <w:t>“</w:t>
      </w:r>
      <w:r w:rsidRPr="0078009F">
        <w:rPr>
          <w:rFonts w:ascii="Verdana" w:eastAsia="Calibri" w:hAnsi="Verdana" w:cs="Arial"/>
          <w:color w:val="000000" w:themeColor="text1"/>
        </w:rPr>
        <w:t>Manual para determinar y verificar requisitos habilitantes en los procesos de contratación</w:t>
      </w:r>
      <w:r>
        <w:rPr>
          <w:rFonts w:ascii="Verdana" w:eastAsia="Calibri" w:hAnsi="Verdana" w:cs="Arial"/>
          <w:color w:val="000000" w:themeColor="text1"/>
        </w:rPr>
        <w:t>”</w:t>
      </w:r>
      <w:r w:rsidRPr="0078009F">
        <w:rPr>
          <w:rFonts w:ascii="Verdana" w:eastAsia="Calibri" w:hAnsi="Verdana" w:cs="Arial"/>
          <w:color w:val="000000" w:themeColor="text1"/>
        </w:rPr>
        <w:t xml:space="preserve"> se define la experiencia como </w:t>
      </w:r>
      <w:r>
        <w:rPr>
          <w:rFonts w:ascii="Verdana" w:eastAsia="Calibri" w:hAnsi="Verdana" w:cs="Arial"/>
          <w:color w:val="000000" w:themeColor="text1"/>
        </w:rPr>
        <w:t>“</w:t>
      </w:r>
      <w:r w:rsidRPr="0078009F">
        <w:rPr>
          <w:rFonts w:ascii="Verdana" w:eastAsia="Calibri" w:hAnsi="Verdana" w:cs="Arial"/>
          <w:color w:val="000000" w:themeColor="text1"/>
        </w:rPr>
        <w:t>el conocimiento del proponente derivado de su participación previa en actividades iguales o similares a las previstas en el objeto del contrato</w:t>
      </w:r>
      <w:r>
        <w:rPr>
          <w:rFonts w:ascii="Verdana" w:eastAsia="Calibri" w:hAnsi="Verdana" w:cs="Arial"/>
          <w:color w:val="000000" w:themeColor="text1"/>
        </w:rPr>
        <w:t>”</w:t>
      </w:r>
      <w:r w:rsidRPr="0078009F">
        <w:rPr>
          <w:rFonts w:ascii="Verdana" w:eastAsia="Calibri" w:hAnsi="Verdana" w:cs="Arial"/>
          <w:color w:val="000000" w:themeColor="text1"/>
        </w:rPr>
        <w:t xml:space="preserve">. </w:t>
      </w:r>
    </w:p>
    <w:p w14:paraId="4601AEC2"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w:t>
      </w:r>
      <w:r w:rsidRPr="0078009F">
        <w:rPr>
          <w:rFonts w:ascii="Verdana" w:eastAsia="Calibri" w:hAnsi="Verdana" w:cs="Arial"/>
          <w:color w:val="000000" w:themeColor="text1"/>
        </w:rPr>
        <w:lastRenderedPageBreak/>
        <w:t>servicios, y deben corresponder a contratos ejecutados o copias de los contratos cuando el interesado no puede obtener tal certificado</w:t>
      </w:r>
      <w:r w:rsidRPr="0078009F">
        <w:rPr>
          <w:rStyle w:val="Refdenotaalpie"/>
          <w:rFonts w:ascii="Verdana" w:eastAsia="Calibri" w:hAnsi="Verdana" w:cs="Arial"/>
          <w:color w:val="000000" w:themeColor="text1"/>
        </w:rPr>
        <w:footnoteReference w:id="1"/>
      </w:r>
      <w:r w:rsidRPr="0078009F">
        <w:rPr>
          <w:rFonts w:ascii="Verdana" w:eastAsia="Calibri" w:hAnsi="Verdana" w:cs="Arial"/>
          <w:color w:val="000000" w:themeColor="text1"/>
        </w:rPr>
        <w:t>.</w:t>
      </w:r>
    </w:p>
    <w:p w14:paraId="499A2769"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78009F">
        <w:rPr>
          <w:rStyle w:val="Refdenotaalpie"/>
          <w:rFonts w:ascii="Verdana" w:eastAsia="Calibri" w:hAnsi="Verdana" w:cs="Arial"/>
          <w:color w:val="000000" w:themeColor="text1"/>
        </w:rPr>
        <w:footnoteReference w:id="2"/>
      </w:r>
      <w:r w:rsidRPr="0078009F">
        <w:rPr>
          <w:rFonts w:ascii="Verdana" w:eastAsia="Calibri" w:hAnsi="Verdana" w:cs="Arial"/>
          <w:color w:val="000000" w:themeColor="text1"/>
        </w:rPr>
        <w:t>.</w:t>
      </w:r>
    </w:p>
    <w:p w14:paraId="39E6C64E"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w:t>
      </w:r>
      <w:r>
        <w:rPr>
          <w:rFonts w:ascii="Verdana" w:eastAsia="Calibri" w:hAnsi="Verdana" w:cs="Arial"/>
          <w:color w:val="000000" w:themeColor="text1"/>
        </w:rPr>
        <w:t>“</w:t>
      </w:r>
      <w:r w:rsidRPr="0078009F">
        <w:rPr>
          <w:rFonts w:ascii="Verdana" w:eastAsia="Calibri" w:hAnsi="Verdana" w:cs="Arial"/>
          <w:color w:val="000000" w:themeColor="text1"/>
        </w:rPr>
        <w:t>Si la constitución del interesado es menor a tres (3) años, puede acreditar la experiencia de sus accionistas, socios o constituyentes</w:t>
      </w:r>
      <w:r>
        <w:rPr>
          <w:rFonts w:ascii="Verdana" w:eastAsia="Calibri" w:hAnsi="Verdana" w:cs="Arial"/>
          <w:color w:val="000000" w:themeColor="text1"/>
        </w:rPr>
        <w:t>”</w:t>
      </w:r>
      <w:r w:rsidRPr="0078009F">
        <w:rPr>
          <w:rFonts w:ascii="Verdana" w:eastAsia="Calibri" w:hAnsi="Verdana" w:cs="Arial"/>
          <w:color w:val="000000" w:themeColor="text1"/>
        </w:rPr>
        <w:t>.</w:t>
      </w:r>
    </w:p>
    <w:p w14:paraId="65526C09"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26077CF9"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A pesar de que la experiencia es inherente a la persona que la ha obtenido, razón por la cual es, en principio, intransferible en virtud de su carácter </w:t>
      </w:r>
      <w:r w:rsidRPr="0078009F">
        <w:rPr>
          <w:rFonts w:ascii="Verdana" w:eastAsia="Calibri" w:hAnsi="Verdana" w:cs="Arial"/>
          <w:color w:val="000000" w:themeColor="text1"/>
        </w:rPr>
        <w:lastRenderedPageBreak/>
        <w:t>personalísimo, por disposición legal o reglamentaria, en casos excepcionales, como el descrito en el artículo mencionado, se aplica de otra manera.</w:t>
      </w:r>
    </w:p>
    <w:p w14:paraId="08521EEC"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 </w:t>
      </w:r>
    </w:p>
    <w:p w14:paraId="5178FBA1"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295A3CA9"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05D5EBD3"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7AC4BB9D"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ii) El Decreto 1082 de 2015 establece que, para la inscripción en el RUP de una persona jurídica si su constitución es menor a tres (3) años, puede acreditar la experiencia de sus accionistas, socios o constituyentes. </w:t>
      </w:r>
    </w:p>
    <w:p w14:paraId="685E7E8D"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lastRenderedPageBreak/>
        <w:t>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0C29E5A1"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iv)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3E5B1560"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474FCD14"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78009F">
        <w:rPr>
          <w:rStyle w:val="Refdenotaalpie"/>
          <w:rFonts w:ascii="Verdana" w:eastAsia="Calibri" w:hAnsi="Verdana" w:cs="Arial"/>
          <w:color w:val="000000" w:themeColor="text1"/>
        </w:rPr>
        <w:footnoteReference w:id="3"/>
      </w:r>
      <w:r w:rsidRPr="0078009F">
        <w:rPr>
          <w:rFonts w:ascii="Verdana" w:eastAsia="Calibri" w:hAnsi="Verdana" w:cs="Arial"/>
          <w:color w:val="000000" w:themeColor="text1"/>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w:t>
      </w:r>
    </w:p>
    <w:p w14:paraId="5B7B63DC"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w:t>
      </w:r>
      <w:r w:rsidRPr="0078009F">
        <w:rPr>
          <w:rFonts w:ascii="Verdana" w:eastAsia="Calibri" w:hAnsi="Verdana" w:cs="Arial"/>
          <w:color w:val="000000" w:themeColor="text1"/>
        </w:rPr>
        <w:lastRenderedPageBreak/>
        <w:t>de lo contrario cesan sus efectos</w:t>
      </w:r>
      <w:r w:rsidRPr="0078009F">
        <w:rPr>
          <w:rStyle w:val="Refdenotaalpie"/>
          <w:rFonts w:ascii="Verdana" w:eastAsia="Calibri" w:hAnsi="Verdana" w:cs="Arial"/>
          <w:color w:val="000000" w:themeColor="text1"/>
        </w:rPr>
        <w:footnoteReference w:id="4"/>
      </w:r>
      <w:r w:rsidRPr="0078009F">
        <w:rPr>
          <w:rFonts w:ascii="Verdana" w:eastAsia="Calibri" w:hAnsi="Verdana" w:cs="Arial"/>
          <w:color w:val="000000" w:themeColor="text1"/>
        </w:rPr>
        <w:t>. 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w:t>
      </w:r>
    </w:p>
    <w:p w14:paraId="27B2E8D5"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cuyo numeral 4.2, sobre el procedimiento para llevar el registro único de proponentes, dispone lo siguiente:</w:t>
      </w:r>
    </w:p>
    <w:p w14:paraId="159AFB2A" w14:textId="77777777" w:rsidR="007B142C" w:rsidRPr="0078009F" w:rsidRDefault="007B142C" w:rsidP="007B142C">
      <w:pPr>
        <w:ind w:left="709" w:right="709"/>
        <w:jc w:val="both"/>
        <w:rPr>
          <w:rFonts w:ascii="Verdana" w:eastAsia="Calibri" w:hAnsi="Verdana" w:cs="Arial"/>
          <w:sz w:val="21"/>
          <w:szCs w:val="21"/>
        </w:rPr>
      </w:pPr>
      <w:r w:rsidRPr="0078009F">
        <w:rPr>
          <w:rFonts w:ascii="Verdana" w:eastAsia="Calibri" w:hAnsi="Verdana"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75A22E2E"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(3)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w:t>
      </w:r>
      <w:r w:rsidRPr="0078009F">
        <w:rPr>
          <w:rFonts w:ascii="Verdana" w:eastAsia="Calibri" w:hAnsi="Verdana" w:cs="Arial"/>
          <w:color w:val="000000" w:themeColor="text1"/>
        </w:rPr>
        <w:lastRenderedPageBreak/>
        <w:t xml:space="preserve">persona jurídica, para esta Subdirección sigue siendo válida, por lo que la entidad la debe tener en cuenta. De esta forma se garantiza la pluralidad de oferentes en los procesos de contratación. </w:t>
      </w:r>
    </w:p>
    <w:p w14:paraId="69D29631" w14:textId="77777777" w:rsidR="007B142C" w:rsidRPr="00476E7A" w:rsidRDefault="007B142C" w:rsidP="007B142C">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w:t>
      </w:r>
      <w:r w:rsidRPr="00476E7A">
        <w:rPr>
          <w:rFonts w:ascii="Verdana" w:eastAsia="Calibri" w:hAnsi="Verdana" w:cs="Arial"/>
          <w:color w:val="000000" w:themeColor="text1"/>
        </w:rPr>
        <w:t xml:space="preserve">prerrogativa. </w:t>
      </w:r>
    </w:p>
    <w:p w14:paraId="4ED8BCD4" w14:textId="77777777" w:rsidR="007B142C" w:rsidRPr="0078009F" w:rsidRDefault="007B142C" w:rsidP="007B142C">
      <w:pPr>
        <w:spacing w:line="276" w:lineRule="auto"/>
        <w:ind w:firstLine="708"/>
        <w:jc w:val="both"/>
        <w:rPr>
          <w:rFonts w:ascii="Verdana" w:eastAsia="Calibri" w:hAnsi="Verdana" w:cs="Arial"/>
          <w:color w:val="000000" w:themeColor="text1"/>
        </w:rPr>
      </w:pPr>
      <w:r w:rsidRPr="00476E7A">
        <w:rPr>
          <w:rFonts w:ascii="Verdana" w:eastAsia="Calibri" w:hAnsi="Verdana" w:cs="Arial"/>
          <w:color w:val="000000" w:themeColor="text1"/>
        </w:rPr>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6BD0E17C" w14:textId="77777777" w:rsidR="007B142C" w:rsidRPr="006A11D8" w:rsidRDefault="007B142C" w:rsidP="007B142C">
      <w:pPr>
        <w:spacing w:after="120" w:line="276" w:lineRule="auto"/>
        <w:jc w:val="both"/>
        <w:rPr>
          <w:rFonts w:ascii="Verdana" w:eastAsia="Calibri" w:hAnsi="Verdana" w:cs="Arial"/>
          <w:lang w:val="es-ES"/>
        </w:rPr>
      </w:pPr>
      <w:r w:rsidRPr="00C03E48">
        <w:rPr>
          <w:rFonts w:ascii="Verdana" w:eastAsia="Calibri" w:hAnsi="Verdana" w:cs="Arial"/>
          <w:b/>
          <w:bCs/>
        </w:rPr>
        <w:t>ii.</w:t>
      </w:r>
      <w:r>
        <w:rPr>
          <w:rFonts w:ascii="Verdana" w:eastAsia="Calibri" w:hAnsi="Verdana" w:cs="Arial"/>
          <w:b/>
          <w:bCs/>
        </w:rPr>
        <w:t xml:space="preserve"> </w:t>
      </w:r>
      <w:r w:rsidRPr="006A11D8">
        <w:rPr>
          <w:rFonts w:ascii="Verdana" w:eastAsia="Calibri" w:hAnsi="Verdana" w:cs="Arial"/>
          <w:lang w:val="es-ES"/>
        </w:rPr>
        <w:t>De manera preliminar debe precisarse que, en la contratación estatal la capacidad constituye uno de los requisitos de validez de los contratos, tanto en los procesos de contractuales adelantados por Entidades Estatales sujetas al Estatuto General de Contratación de la Administración Pública –Ley 80 de 1993, Ley 1150 de 2007, Decreto 1082 de 2015 y demás normas que lo sustituyan y/o complementen–, como en los que desarrollan las Entidades Estatales exceptuadas de este</w:t>
      </w:r>
      <w:r w:rsidRPr="006A11D8">
        <w:rPr>
          <w:rFonts w:ascii="Aptos" w:eastAsia="Aptos" w:hAnsi="Aptos" w:cs="Arial"/>
          <w:vertAlign w:val="superscript"/>
        </w:rPr>
        <w:footnoteReference w:id="5"/>
      </w:r>
      <w:r w:rsidRPr="006A11D8">
        <w:rPr>
          <w:rFonts w:ascii="Verdana" w:eastAsia="Calibri" w:hAnsi="Verdana" w:cs="Arial"/>
          <w:color w:val="000000"/>
          <w:lang w:val="es-ES_tradnl"/>
        </w:rPr>
        <w:t>. Dicha capacidad está sujeta al régimen de inhabilidades e incompatibilidades, definido como el conjunto de normas que imponen restricciones para los sujetos que, eventualmente, pretendan participar en los procesos de selección pública o celebrar contratos con las Entidades Estatales</w:t>
      </w:r>
      <w:r w:rsidRPr="006A11D8">
        <w:rPr>
          <w:rFonts w:ascii="Aptos" w:eastAsia="Aptos" w:hAnsi="Aptos" w:cs="Arial"/>
          <w:vertAlign w:val="superscript"/>
        </w:rPr>
        <w:footnoteReference w:id="6"/>
      </w:r>
      <w:r w:rsidRPr="006A11D8">
        <w:rPr>
          <w:rFonts w:ascii="Verdana" w:eastAsia="Calibri" w:hAnsi="Verdana" w:cs="Arial"/>
          <w:color w:val="000000"/>
          <w:lang w:val="es-ES_tradnl"/>
        </w:rPr>
        <w:t>.</w:t>
      </w:r>
    </w:p>
    <w:p w14:paraId="47675565" w14:textId="77777777" w:rsidR="007B142C" w:rsidRPr="006A11D8" w:rsidRDefault="007B142C" w:rsidP="007B142C">
      <w:pPr>
        <w:spacing w:after="120" w:line="276" w:lineRule="auto"/>
        <w:jc w:val="both"/>
        <w:rPr>
          <w:rFonts w:ascii="Verdana" w:eastAsia="Calibri" w:hAnsi="Verdana" w:cs="Arial"/>
          <w:lang w:val="es-ES"/>
        </w:rPr>
      </w:pPr>
      <w:r w:rsidRPr="006A11D8">
        <w:rPr>
          <w:rFonts w:ascii="Verdana" w:eastAsia="Calibri" w:hAnsi="Verdana" w:cs="Arial"/>
          <w:lang w:val="es-ES"/>
        </w:rPr>
        <w:lastRenderedPageBreak/>
        <w:tab/>
        <w:t>En ese sentido, el régimen de inhabilidades para contratar con el Estado, se traduce en las restricciones establecidas por el Legislador que afectan directamente la capacidad de las personas naturales o jurídicas, para concurrir a los procesos de contratación pública, que se derivan de: i) la existencia de comportamientos reprochables o de sanciones anteriormente impuestas</w:t>
      </w:r>
      <w:r w:rsidRPr="006A11D8">
        <w:rPr>
          <w:rFonts w:ascii="Verdana" w:eastAsia="Calibri" w:hAnsi="Verdana" w:cs="Arial"/>
          <w:color w:val="000000"/>
          <w:vertAlign w:val="superscript"/>
          <w:lang w:val="es-ES"/>
        </w:rPr>
        <w:footnoteReference w:id="7"/>
      </w:r>
      <w:r w:rsidRPr="006A11D8">
        <w:rPr>
          <w:rFonts w:ascii="Verdana" w:eastAsia="Calibri" w:hAnsi="Verdana" w:cs="Arial"/>
          <w:color w:val="000000"/>
          <w:lang w:val="es-ES"/>
        </w:rPr>
        <w:t>; ii) vínculos personales relativos al parentesco o el estado civil</w:t>
      </w:r>
      <w:r w:rsidRPr="006A11D8">
        <w:rPr>
          <w:rFonts w:ascii="Verdana" w:eastAsia="Calibri" w:hAnsi="Verdana" w:cs="Arial"/>
          <w:color w:val="000000"/>
          <w:vertAlign w:val="superscript"/>
          <w:lang w:val="es-ES"/>
        </w:rPr>
        <w:footnoteReference w:id="8"/>
      </w:r>
      <w:r w:rsidRPr="006A11D8">
        <w:rPr>
          <w:rFonts w:ascii="Verdana" w:eastAsia="Calibri" w:hAnsi="Verdana" w:cs="Arial"/>
          <w:color w:val="000000"/>
          <w:lang w:val="es-ES"/>
        </w:rPr>
        <w:t>; o iii) una actividad u oficio que se desempeñó en el pasado</w:t>
      </w:r>
      <w:r w:rsidRPr="006A11D8">
        <w:rPr>
          <w:rFonts w:ascii="Verdana" w:eastAsia="Calibri" w:hAnsi="Verdana" w:cs="Arial"/>
          <w:color w:val="000000"/>
          <w:vertAlign w:val="superscript"/>
          <w:lang w:val="es-ES"/>
        </w:rPr>
        <w:footnoteReference w:id="9"/>
      </w:r>
      <w:r w:rsidRPr="006A11D8">
        <w:rPr>
          <w:rFonts w:ascii="Verdana" w:eastAsia="Calibri" w:hAnsi="Verdana" w:cs="Arial"/>
          <w:color w:val="000000"/>
          <w:lang w:val="es-ES"/>
        </w:rPr>
        <w:t xml:space="preserve">. De otro lado, las incompatibilidades </w:t>
      </w:r>
      <w:r w:rsidRPr="006A11D8">
        <w:rPr>
          <w:rFonts w:ascii="Verdana" w:eastAsia="Calibri" w:hAnsi="Verdana" w:cs="Arial"/>
          <w:color w:val="000000"/>
          <w:lang w:val="es-ES"/>
        </w:rPr>
        <w:lastRenderedPageBreak/>
        <w:t>son prohibiciones para participar en los procesos de contratación pública que se fundamentan en la calidad que ostenta el sujeto interesado en dicho proceso, que impide la coexistencia con el rol de proponente o contratista del Estado</w:t>
      </w:r>
      <w:r w:rsidRPr="006A11D8">
        <w:rPr>
          <w:rFonts w:ascii="Verdana" w:eastAsia="Calibri" w:hAnsi="Verdana" w:cs="Arial"/>
          <w:color w:val="000000"/>
          <w:vertAlign w:val="superscript"/>
          <w:lang w:val="es-ES"/>
        </w:rPr>
        <w:footnoteReference w:id="10"/>
      </w:r>
      <w:r w:rsidRPr="006A11D8">
        <w:rPr>
          <w:rFonts w:ascii="Verdana" w:eastAsia="Calibri" w:hAnsi="Verdana" w:cs="Arial"/>
          <w:color w:val="000000"/>
          <w:lang w:val="es-ES"/>
        </w:rPr>
        <w:t>.</w:t>
      </w:r>
    </w:p>
    <w:p w14:paraId="6243ED90" w14:textId="77777777" w:rsidR="007B142C" w:rsidRPr="006A11D8" w:rsidRDefault="007B142C" w:rsidP="007B142C">
      <w:pPr>
        <w:spacing w:after="120" w:line="276" w:lineRule="auto"/>
        <w:ind w:firstLine="709"/>
        <w:jc w:val="both"/>
        <w:rPr>
          <w:rFonts w:ascii="Verdana" w:eastAsia="Calibri" w:hAnsi="Verdana" w:cs="Arial"/>
          <w:color w:val="000000"/>
          <w:lang w:val="es-ES"/>
        </w:rPr>
      </w:pPr>
      <w:r w:rsidRPr="006A11D8">
        <w:rPr>
          <w:rFonts w:ascii="Verdana" w:eastAsia="Calibri" w:hAnsi="Verdana" w:cs="Arial"/>
          <w:lang w:val="es-ES"/>
        </w:rPr>
        <w:t xml:space="preserve">Con todo, el régimen de inhabilidades e incompatibilidades en la contratación pública, responde a la tendencia de asegurar que la provisión de los bienes, obras y servicios por parte de las Entidades Estatales, se realice cumpliendo con los principios de la función administrativa y de la gestión fiscal, especialmente con probidad y transparencia. Por ello, ha destacado la doctrina, que las inhabilidades e incompatibilidades son herramientas </w:t>
      </w:r>
      <w:r w:rsidRPr="006A11D8">
        <w:rPr>
          <w:rFonts w:ascii="Verdana" w:eastAsia="Calibri" w:hAnsi="Verdana" w:cs="Arial"/>
          <w:color w:val="000000"/>
          <w:lang w:val="es-ES"/>
        </w:rPr>
        <w:t>en la lucha contra la corrupción, adoptando paulatinamente un carácter sancionatorio o “neopunitivo”</w:t>
      </w:r>
      <w:r w:rsidRPr="006A11D8">
        <w:rPr>
          <w:rFonts w:ascii="Verdana" w:eastAsia="Calibri" w:hAnsi="Verdana" w:cs="Arial"/>
          <w:color w:val="000000"/>
          <w:vertAlign w:val="superscript"/>
          <w:lang w:val="es-ES"/>
        </w:rPr>
        <w:footnoteReference w:id="11"/>
      </w:r>
      <w:r w:rsidRPr="006A11D8">
        <w:rPr>
          <w:rFonts w:ascii="Verdana" w:eastAsia="Calibri" w:hAnsi="Verdana" w:cs="Arial"/>
          <w:color w:val="000000"/>
          <w:lang w:val="es-ES"/>
        </w:rPr>
        <w:t xml:space="preserve">.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w:t>
      </w:r>
      <w:r w:rsidRPr="006A11D8">
        <w:rPr>
          <w:rFonts w:ascii="Verdana" w:eastAsia="Calibri" w:hAnsi="Verdana" w:cs="Arial"/>
          <w:color w:val="000000"/>
          <w:lang w:val="es-ES"/>
        </w:rPr>
        <w:lastRenderedPageBreak/>
        <w:t>restricciones a la capacidad contractual, dirigidas a prevenir este tipo de situaciones o a sancionar tales conductas.</w:t>
      </w:r>
    </w:p>
    <w:p w14:paraId="62FDA067" w14:textId="77777777" w:rsidR="007B142C" w:rsidRPr="006A11D8" w:rsidRDefault="007B142C" w:rsidP="007B142C">
      <w:pPr>
        <w:spacing w:after="120" w:line="276" w:lineRule="auto"/>
        <w:ind w:firstLine="709"/>
        <w:jc w:val="both"/>
        <w:rPr>
          <w:rFonts w:ascii="Verdana" w:eastAsia="Calibri" w:hAnsi="Verdana" w:cs="Arial"/>
          <w:color w:val="000000"/>
          <w:lang w:val="es-ES_tradnl"/>
        </w:rPr>
      </w:pPr>
      <w:r w:rsidRPr="006A11D8">
        <w:rPr>
          <w:rFonts w:ascii="Verdana" w:eastAsia="Calibri" w:hAnsi="Verdana" w:cs="Arial"/>
          <w:lang w:val="es-ES"/>
        </w:rPr>
        <w:t xml:space="preserve">Por su parte, resulta a bien aclarar que las inhabilidades e incompatibilidades, como se indicó, al ser restricciones a los límites especiales a la capacidad para presentar ofertas y celebrar contratos estatales, solo pueden tipificarse en la ley, </w:t>
      </w:r>
      <w:r w:rsidRPr="006A11D8">
        <w:rPr>
          <w:rFonts w:ascii="Verdana" w:eastAsia="Calibri" w:hAnsi="Verdana" w:cs="Arial"/>
          <w:color w:val="000000"/>
          <w:lang w:val="es-ES_tradnl"/>
        </w:rPr>
        <w:t xml:space="preserve">–o sea, deben satisfacer el principio de legalidad– y su interpretación debe ser </w:t>
      </w:r>
      <w:r w:rsidRPr="006A11D8">
        <w:rPr>
          <w:rFonts w:ascii="Verdana" w:eastAsia="Calibri" w:hAnsi="Verdana" w:cs="Arial"/>
          <w:i/>
          <w:iCs/>
          <w:color w:val="000000"/>
          <w:lang w:val="es-ES_tradnl"/>
        </w:rPr>
        <w:t>restrictiva</w:t>
      </w:r>
      <w:r w:rsidRPr="006A11D8">
        <w:rPr>
          <w:rFonts w:ascii="Verdana" w:eastAsia="Calibri" w:hAnsi="Verdana" w:cs="Arial"/>
          <w:color w:val="000000"/>
          <w:vertAlign w:val="superscript"/>
          <w:lang w:val="es-ES_tradnl"/>
        </w:rPr>
        <w:footnoteReference w:id="12"/>
      </w:r>
      <w:r w:rsidRPr="006A11D8">
        <w:rPr>
          <w:rFonts w:ascii="Verdana" w:eastAsia="Calibri" w:hAnsi="Verdana" w:cs="Arial"/>
          <w:color w:val="000000"/>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6FF6942" w14:textId="77777777" w:rsidR="007B142C" w:rsidRPr="006A11D8" w:rsidRDefault="007B142C" w:rsidP="007B142C">
      <w:pPr>
        <w:spacing w:after="0" w:line="276" w:lineRule="auto"/>
        <w:ind w:firstLine="709"/>
        <w:jc w:val="both"/>
        <w:rPr>
          <w:rFonts w:ascii="Verdana" w:eastAsia="Calibri" w:hAnsi="Verdana" w:cs="Arial"/>
          <w:color w:val="000000"/>
          <w:lang w:val="es-ES_tradnl"/>
        </w:rPr>
      </w:pPr>
      <w:r w:rsidRPr="006A11D8">
        <w:rPr>
          <w:rFonts w:ascii="Verdana" w:eastAsia="Calibri" w:hAnsi="Verdana" w:cs="Arial"/>
          <w:color w:val="000000"/>
          <w:lang w:val="es-ES_tradnl"/>
        </w:rPr>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6A11D8">
        <w:rPr>
          <w:rFonts w:ascii="Verdana" w:eastAsia="Calibri" w:hAnsi="Verdana" w:cs="Arial"/>
          <w:i/>
          <w:iCs/>
          <w:color w:val="000000"/>
          <w:lang w:val="es-ES_tradnl"/>
        </w:rPr>
        <w:t>prima facie</w:t>
      </w:r>
      <w:r w:rsidRPr="006A11D8">
        <w:rPr>
          <w:rFonts w:ascii="Verdana" w:eastAsia="Calibri" w:hAnsi="Verdana" w:cs="Arial"/>
          <w:color w:val="000000"/>
          <w:lang w:val="es-ES_tradnl"/>
        </w:rPr>
        <w:t xml:space="preserve"> a criterios interpretativos tales como la analogía, la interpretación extensiva para ampliar el alcance de las causales legalmente fijadas”</w:t>
      </w:r>
      <w:r w:rsidRPr="006A11D8">
        <w:rPr>
          <w:rFonts w:ascii="Verdana" w:eastAsia="Calibri" w:hAnsi="Verdana" w:cs="Arial"/>
          <w:color w:val="000000"/>
          <w:vertAlign w:val="superscript"/>
          <w:lang w:val="es-ES_tradnl"/>
        </w:rPr>
        <w:footnoteReference w:id="13"/>
      </w:r>
      <w:r w:rsidRPr="006A11D8">
        <w:rPr>
          <w:rFonts w:ascii="Verdana" w:eastAsia="Calibri" w:hAnsi="Verdana" w:cs="Arial"/>
          <w:color w:val="000000"/>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11D8">
        <w:rPr>
          <w:rFonts w:ascii="Verdana" w:eastAsia="Calibri" w:hAnsi="Verdana" w:cs="Arial"/>
          <w:color w:val="000000"/>
          <w:vertAlign w:val="superscript"/>
          <w:lang w:val="es-ES_tradnl"/>
        </w:rPr>
        <w:footnoteReference w:id="14"/>
      </w:r>
      <w:r w:rsidRPr="006A11D8">
        <w:rPr>
          <w:rFonts w:ascii="Verdana" w:eastAsia="Calibri" w:hAnsi="Verdana" w:cs="Arial"/>
          <w:color w:val="000000"/>
          <w:lang w:val="es-ES_tradnl"/>
        </w:rPr>
        <w:t>. En tal sentido, la Sección Tercera ha señalado que:</w:t>
      </w:r>
    </w:p>
    <w:p w14:paraId="7F75DAA5" w14:textId="77777777" w:rsidR="007B142C" w:rsidRPr="006A11D8" w:rsidRDefault="007B142C" w:rsidP="007B142C">
      <w:pPr>
        <w:spacing w:after="0" w:line="240" w:lineRule="auto"/>
        <w:ind w:firstLine="709"/>
        <w:rPr>
          <w:rFonts w:ascii="Verdana" w:eastAsia="Calibri" w:hAnsi="Verdana" w:cs="Arial"/>
          <w:color w:val="000000"/>
          <w:lang w:val="es-ES_tradnl"/>
        </w:rPr>
      </w:pPr>
    </w:p>
    <w:p w14:paraId="6751EBB1" w14:textId="77777777" w:rsidR="007B142C" w:rsidRPr="006A11D8" w:rsidRDefault="007B142C" w:rsidP="007B142C">
      <w:pPr>
        <w:spacing w:after="0" w:line="240" w:lineRule="auto"/>
        <w:ind w:left="709" w:right="709"/>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 xml:space="preserve">“[…] de conformidad con la jurisprudencia uniforme y reiterada de esta Corporación, la aplicación de las normas que contemplan inhabilidades e </w:t>
      </w:r>
      <w:r w:rsidRPr="006A11D8">
        <w:rPr>
          <w:rFonts w:ascii="Verdana" w:eastAsia="Calibri" w:hAnsi="Verdana" w:cs="Arial"/>
          <w:color w:val="000000"/>
          <w:sz w:val="20"/>
          <w:szCs w:val="20"/>
          <w:lang w:val="es-ES_tradnl"/>
        </w:rPr>
        <w:lastRenderedPageBreak/>
        <w:t>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A11D8">
        <w:rPr>
          <w:rFonts w:ascii="Verdana" w:eastAsia="Calibri" w:hAnsi="Verdana" w:cs="Arial"/>
          <w:color w:val="000000"/>
          <w:sz w:val="20"/>
          <w:szCs w:val="20"/>
          <w:vertAlign w:val="superscript"/>
          <w:lang w:val="es-ES_tradnl"/>
        </w:rPr>
        <w:footnoteReference w:id="15"/>
      </w:r>
      <w:r w:rsidRPr="006A11D8">
        <w:rPr>
          <w:rFonts w:ascii="Verdana" w:eastAsia="Calibri" w:hAnsi="Verdana" w:cs="Arial"/>
          <w:color w:val="000000"/>
          <w:sz w:val="20"/>
          <w:szCs w:val="20"/>
          <w:lang w:val="es-ES_tradnl"/>
        </w:rPr>
        <w:t>.</w:t>
      </w:r>
    </w:p>
    <w:p w14:paraId="4CCBD9F7" w14:textId="77777777" w:rsidR="007B142C" w:rsidRPr="006A11D8" w:rsidRDefault="007B142C" w:rsidP="007B142C">
      <w:pPr>
        <w:spacing w:after="0" w:line="240" w:lineRule="auto"/>
        <w:ind w:left="709" w:right="709"/>
        <w:jc w:val="both"/>
        <w:rPr>
          <w:rFonts w:ascii="Verdana" w:eastAsia="Calibri" w:hAnsi="Verdana" w:cs="Arial"/>
          <w:bCs/>
          <w:color w:val="000000"/>
          <w:sz w:val="20"/>
          <w:szCs w:val="20"/>
          <w:lang w:val="es-ES_tradnl"/>
        </w:rPr>
      </w:pPr>
    </w:p>
    <w:p w14:paraId="4375AB74" w14:textId="77777777" w:rsidR="007B142C" w:rsidRPr="006A11D8" w:rsidRDefault="007B142C" w:rsidP="007B142C">
      <w:pPr>
        <w:spacing w:after="0" w:line="240" w:lineRule="auto"/>
        <w:ind w:firstLine="709"/>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También ha dicho que:</w:t>
      </w:r>
    </w:p>
    <w:p w14:paraId="143F4900" w14:textId="77777777" w:rsidR="007B142C" w:rsidRPr="006A11D8" w:rsidRDefault="007B142C" w:rsidP="007B142C">
      <w:pPr>
        <w:spacing w:after="0" w:line="240" w:lineRule="auto"/>
        <w:ind w:firstLine="709"/>
        <w:jc w:val="both"/>
        <w:rPr>
          <w:rFonts w:ascii="Verdana" w:eastAsia="Calibri" w:hAnsi="Verdana" w:cs="Arial"/>
          <w:color w:val="000000"/>
          <w:sz w:val="20"/>
          <w:szCs w:val="20"/>
          <w:lang w:val="es-ES_tradnl"/>
        </w:rPr>
      </w:pPr>
    </w:p>
    <w:p w14:paraId="5AE03FE4" w14:textId="77777777" w:rsidR="007B142C" w:rsidRPr="006A11D8" w:rsidRDefault="007B142C" w:rsidP="007B142C">
      <w:pPr>
        <w:spacing w:after="0" w:line="240" w:lineRule="auto"/>
        <w:ind w:left="708"/>
        <w:jc w:val="both"/>
        <w:rPr>
          <w:rFonts w:ascii="Verdana" w:eastAsia="Calibri" w:hAnsi="Verdana" w:cs="Arial"/>
          <w:color w:val="000000"/>
          <w:lang w:val="es-ES"/>
        </w:rPr>
      </w:pPr>
      <w:r w:rsidRPr="006A11D8">
        <w:rPr>
          <w:rFonts w:ascii="Verdana" w:eastAsia="Calibri" w:hAnsi="Verdana" w:cs="Arial"/>
          <w:color w:val="000000"/>
          <w:sz w:val="20"/>
          <w:szCs w:val="20"/>
          <w:lang w:val="es-ES"/>
        </w:rPr>
        <w:t xml:space="preserve">“[…] la aplicación de estos preceptos exige una interpretación restrictiva, dado que según el principio hermenéutico </w:t>
      </w:r>
      <w:r w:rsidRPr="006A11D8">
        <w:rPr>
          <w:rFonts w:ascii="Verdana" w:eastAsia="Calibri" w:hAnsi="Verdana" w:cs="Arial"/>
          <w:i/>
          <w:iCs/>
          <w:color w:val="000000"/>
          <w:sz w:val="20"/>
          <w:szCs w:val="20"/>
          <w:lang w:val="es-ES"/>
        </w:rPr>
        <w:t>pro libertate</w:t>
      </w:r>
      <w:r w:rsidRPr="006A11D8">
        <w:rPr>
          <w:rFonts w:ascii="Verdana" w:eastAsia="Calibri" w:hAnsi="Verdana" w:cs="Arial"/>
          <w:color w:val="000000"/>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A11D8">
        <w:rPr>
          <w:rFonts w:ascii="Verdana" w:eastAsia="Calibri" w:hAnsi="Verdana" w:cs="Arial"/>
          <w:color w:val="000000"/>
          <w:sz w:val="20"/>
          <w:szCs w:val="20"/>
          <w:vertAlign w:val="superscript"/>
          <w:lang w:val="es-ES"/>
        </w:rPr>
        <w:footnoteReference w:id="16"/>
      </w:r>
      <w:r w:rsidRPr="006A11D8">
        <w:rPr>
          <w:rFonts w:ascii="Verdana" w:eastAsia="Calibri" w:hAnsi="Verdana" w:cs="Arial"/>
          <w:color w:val="000000"/>
          <w:sz w:val="20"/>
          <w:szCs w:val="20"/>
          <w:lang w:val="es-ES"/>
        </w:rPr>
        <w:t>.</w:t>
      </w:r>
    </w:p>
    <w:p w14:paraId="68000530" w14:textId="77777777" w:rsidR="007B142C" w:rsidRPr="006A11D8" w:rsidRDefault="007B142C" w:rsidP="007B142C">
      <w:pPr>
        <w:spacing w:after="0" w:line="276" w:lineRule="auto"/>
        <w:ind w:firstLine="709"/>
        <w:jc w:val="both"/>
        <w:rPr>
          <w:rFonts w:ascii="Verdana" w:eastAsia="Calibri" w:hAnsi="Verdana" w:cs="Arial"/>
          <w:color w:val="000000"/>
          <w:lang w:val="es-ES"/>
        </w:rPr>
      </w:pPr>
    </w:p>
    <w:p w14:paraId="63D3E9D6" w14:textId="77777777" w:rsidR="007B142C" w:rsidRPr="006A11D8" w:rsidRDefault="007B142C" w:rsidP="007B142C">
      <w:pPr>
        <w:spacing w:after="0" w:line="276" w:lineRule="auto"/>
        <w:ind w:firstLine="709"/>
        <w:jc w:val="both"/>
        <w:rPr>
          <w:rFonts w:ascii="Verdana" w:eastAsia="Calibri" w:hAnsi="Verdana" w:cs="Arial"/>
          <w:color w:val="000000"/>
          <w:lang w:val="es-ES"/>
        </w:rPr>
      </w:pPr>
      <w:r w:rsidRPr="006A11D8">
        <w:rPr>
          <w:rFonts w:ascii="Verdana" w:eastAsia="Calibri" w:hAnsi="Verdana" w:cs="Arial"/>
          <w:color w:val="000000"/>
          <w:lang w:val="es-ES"/>
        </w:rPr>
        <w:t xml:space="preserve">Como se aprecia, el principio </w:t>
      </w:r>
      <w:r w:rsidRPr="006A11D8">
        <w:rPr>
          <w:rFonts w:ascii="Verdana" w:eastAsia="Calibri" w:hAnsi="Verdana" w:cs="Arial"/>
          <w:i/>
          <w:color w:val="000000"/>
          <w:lang w:val="es-ES"/>
        </w:rPr>
        <w:t>pro libertate</w:t>
      </w:r>
      <w:r w:rsidRPr="006A11D8">
        <w:rPr>
          <w:rFonts w:ascii="Verdana" w:eastAsia="Calibri" w:hAnsi="Verdana" w:cs="Arial"/>
          <w:color w:val="000000"/>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53BEAA0E" w14:textId="77777777" w:rsidR="007B142C" w:rsidRPr="006A11D8" w:rsidRDefault="007B142C" w:rsidP="007B142C">
      <w:pPr>
        <w:spacing w:before="120" w:after="0" w:line="276" w:lineRule="auto"/>
        <w:jc w:val="both"/>
        <w:rPr>
          <w:rFonts w:ascii="Verdana" w:eastAsia="Calibri" w:hAnsi="Verdana" w:cs="Arial"/>
          <w:lang w:val="es-ES"/>
        </w:rPr>
      </w:pPr>
      <w:r w:rsidRPr="006A11D8">
        <w:rPr>
          <w:rFonts w:ascii="Verdana" w:eastAsia="Calibri" w:hAnsi="Verdana" w:cs="Arial"/>
          <w:lang w:val="es-ES"/>
        </w:rPr>
        <w:tab/>
        <w:t>Adicionalmente, resulta a bien distinguir entre las fuentes de inhabilidades, las cuales han sido clasificadas en dos grupos: i) inhabilidades-sanción e ii) inhabilidades-requisito. En el primer grupo se encuentran las inhabilidades que surgen como consecuencia de un proceso sancionatorio, en los ámbitos penal, disciplinario, contravencional o de punición por indignidad política – pérdida de investidura–. En el segundo grupo están aquellas que no devienen de un proceso sancionatorio sino de condiciones propias de la persona y buscan garantizar la moralidad, la imparcialidad, la eficacia y la transparencia</w:t>
      </w:r>
      <w:r w:rsidRPr="006A11D8">
        <w:rPr>
          <w:rFonts w:ascii="Verdana" w:eastAsia="Calibri" w:hAnsi="Verdana" w:cs="Arial"/>
          <w:vertAlign w:val="superscript"/>
          <w:lang w:val="es-ES"/>
        </w:rPr>
        <w:footnoteReference w:id="17"/>
      </w:r>
      <w:r w:rsidRPr="006A11D8">
        <w:rPr>
          <w:rFonts w:ascii="Verdana" w:eastAsia="Calibri" w:hAnsi="Verdana" w:cs="Arial"/>
          <w:lang w:val="es-ES"/>
        </w:rPr>
        <w:t>.</w:t>
      </w:r>
    </w:p>
    <w:p w14:paraId="548EC9D4" w14:textId="77777777" w:rsidR="007B142C" w:rsidRPr="006A11D8" w:rsidRDefault="007B142C" w:rsidP="007B142C">
      <w:pPr>
        <w:spacing w:before="120" w:after="0" w:line="276" w:lineRule="auto"/>
        <w:jc w:val="both"/>
        <w:rPr>
          <w:rFonts w:ascii="Verdana" w:eastAsia="Calibri" w:hAnsi="Verdana" w:cs="Arial"/>
          <w:lang w:val="es-ES"/>
        </w:rPr>
      </w:pPr>
      <w:r w:rsidRPr="006A11D8">
        <w:rPr>
          <w:rFonts w:ascii="Verdana" w:eastAsia="Calibri" w:hAnsi="Verdana" w:cs="Arial"/>
          <w:lang w:val="es-ES"/>
        </w:rPr>
        <w:lastRenderedPageBreak/>
        <w:tab/>
        <w:t>De manera ilustrativa, se tiene que en materia contractual los literales c), d) y j) del numeral 1 del artículo de la Ley 80 de 1993, establecen inhabilidades sanción, porque la prohibición para contratar con el Estado en esos eventos es una consecuencia de una declaratoria de responsabilidad que surge luego de un proceso sancionatorio –administrativo, disciplinario o penal–. Por su parte, las inhabilidades de los literales f), g) y h) del numeral 1 del referido artículo, establecen inhabilidades-requisito, pues no se configuran por la comisión previa de una falta o delito que dio lugar a la imposición de una sanción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04E1B5B1" w14:textId="77777777" w:rsidR="007B142C" w:rsidRPr="006A11D8" w:rsidRDefault="007B142C" w:rsidP="007B142C">
      <w:pPr>
        <w:spacing w:before="120" w:after="0" w:line="276" w:lineRule="auto"/>
        <w:ind w:firstLine="708"/>
        <w:jc w:val="both"/>
        <w:rPr>
          <w:rFonts w:ascii="Verdana" w:eastAsia="Calibri" w:hAnsi="Verdana" w:cs="Arial"/>
          <w:lang w:val="es-ES"/>
        </w:rPr>
      </w:pPr>
      <w:r w:rsidRPr="006A11D8">
        <w:rPr>
          <w:rFonts w:ascii="Verdana" w:eastAsia="Calibri" w:hAnsi="Verdana" w:cs="Arial"/>
          <w:lang w:val="es-ES"/>
        </w:rPr>
        <w:t>Ahora bien, se precisa que al estudiar el contenido del artículo 8 de la Ley 80 de 1993, se identificaron las siguientes restricciones que en materia de contratación pública aplican a las sociedades:</w:t>
      </w:r>
    </w:p>
    <w:p w14:paraId="6203FB73" w14:textId="77777777" w:rsidR="007B142C" w:rsidRPr="006A11D8" w:rsidRDefault="007B142C" w:rsidP="007B142C">
      <w:pPr>
        <w:spacing w:after="0" w:line="276" w:lineRule="auto"/>
        <w:jc w:val="both"/>
        <w:rPr>
          <w:rFonts w:ascii="Verdana" w:eastAsia="Calibri" w:hAnsi="Verdana" w:cs="Arial"/>
          <w:lang w:val="es-ES"/>
        </w:rPr>
      </w:pPr>
    </w:p>
    <w:p w14:paraId="4DD254CD"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lang w:val="es-ES"/>
        </w:rPr>
        <w:t>“1</w:t>
      </w:r>
      <w:r w:rsidRPr="006A11D8">
        <w:rPr>
          <w:rFonts w:ascii="Verdana" w:eastAsia="Calibri" w:hAnsi="Verdana" w:cs="Arial"/>
          <w:sz w:val="20"/>
          <w:szCs w:val="20"/>
        </w:rPr>
        <w:t>º. Son inhábiles para participar en licitaciones y para celebrar contratos con las entidades estatales:</w:t>
      </w:r>
    </w:p>
    <w:p w14:paraId="190C1723"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7FE06B4F"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5F81AE7B" w14:textId="77777777" w:rsidR="007B142C" w:rsidRPr="006A11D8" w:rsidRDefault="007B142C" w:rsidP="007B142C">
      <w:pPr>
        <w:spacing w:after="0" w:line="276" w:lineRule="auto"/>
        <w:ind w:left="709" w:right="709"/>
        <w:jc w:val="both"/>
        <w:rPr>
          <w:rFonts w:ascii="Verdana" w:eastAsia="Calibri" w:hAnsi="Verdana" w:cs="Arial"/>
          <w:sz w:val="20"/>
          <w:szCs w:val="20"/>
        </w:rPr>
      </w:pPr>
    </w:p>
    <w:p w14:paraId="0D0F9D66"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i)Los socios de sociedades de personas a las cuales se haya declarado la caducidad, así como las sociedades de personas de las que aquellos formen parte con posterioridad a dicha declaratoria.</w:t>
      </w:r>
    </w:p>
    <w:p w14:paraId="2B15F712"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04B43D0B"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j) Las personas naturales que hayan sido declaradas responsables judicialmente por la comisión de delitos contra Administración pública, o de cualquiera de los delitos o faltas contempladas por la Ley 1474 de 2011[…], así como las personas jurídicas que hayan sido declaradas responsables administrativamente por la conducta de soborno internacional.</w:t>
      </w:r>
    </w:p>
    <w:p w14:paraId="119677C3"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lastRenderedPageBreak/>
        <w:t>[…]</w:t>
      </w:r>
    </w:p>
    <w:p w14:paraId="547D201F"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Asimismo, la inhabilidad se extenderá a las sociedades de las que hagan parte dichas personas en calidad de administradores, representantes legales, miembros de juntas directiva o de socios controlantes, […] a los que estas pertenezcan cuando la conducta delictiva haya sido de una política de grupo […]</w:t>
      </w:r>
    </w:p>
    <w:p w14:paraId="5F462C83"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222682F8"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2º. Tampoco podrán participar en licitaciones ni celebrar contratos estatales con la entidad respectiva:</w:t>
      </w:r>
    </w:p>
    <w:p w14:paraId="3A7B34B8" w14:textId="77777777" w:rsidR="007B142C" w:rsidRPr="006A11D8" w:rsidRDefault="007B142C" w:rsidP="007B142C">
      <w:pPr>
        <w:spacing w:after="0" w:line="276" w:lineRule="auto"/>
        <w:ind w:left="709" w:right="709"/>
        <w:jc w:val="both"/>
        <w:rPr>
          <w:rFonts w:ascii="Verdana" w:eastAsia="Calibri" w:hAnsi="Verdana" w:cs="Arial"/>
          <w:sz w:val="20"/>
          <w:szCs w:val="20"/>
        </w:rPr>
      </w:pPr>
    </w:p>
    <w:p w14:paraId="23A23B68"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 xml:space="preserve">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1CDBFFA" w14:textId="77777777" w:rsidR="007B142C" w:rsidRPr="006A11D8" w:rsidRDefault="007B142C" w:rsidP="007B142C">
      <w:pPr>
        <w:spacing w:after="0" w:line="276" w:lineRule="auto"/>
        <w:ind w:left="709" w:right="709"/>
        <w:jc w:val="both"/>
        <w:rPr>
          <w:rFonts w:ascii="Verdana" w:eastAsia="Calibri" w:hAnsi="Verdana" w:cs="Arial"/>
          <w:sz w:val="20"/>
          <w:szCs w:val="20"/>
        </w:rPr>
      </w:pPr>
      <w:r w:rsidRPr="006A11D8">
        <w:rPr>
          <w:rFonts w:ascii="Verdana" w:eastAsia="Calibri" w:hAnsi="Verdana" w:cs="Arial"/>
          <w:sz w:val="20"/>
          <w:szCs w:val="20"/>
        </w:rPr>
        <w:t>[…]”.</w:t>
      </w:r>
    </w:p>
    <w:p w14:paraId="6D4AA053" w14:textId="77777777" w:rsidR="007B142C" w:rsidRPr="006A11D8" w:rsidRDefault="007B142C" w:rsidP="007B142C">
      <w:pPr>
        <w:spacing w:after="0" w:line="276" w:lineRule="auto"/>
        <w:jc w:val="both"/>
        <w:rPr>
          <w:rFonts w:ascii="Verdana" w:eastAsia="Calibri" w:hAnsi="Verdana" w:cs="Arial"/>
          <w:lang w:val="es-ES"/>
        </w:rPr>
      </w:pPr>
    </w:p>
    <w:p w14:paraId="62F58D6E" w14:textId="77777777" w:rsidR="007B142C" w:rsidRPr="006A11D8" w:rsidRDefault="007B142C" w:rsidP="007B142C">
      <w:pPr>
        <w:spacing w:after="120" w:line="276" w:lineRule="auto"/>
        <w:jc w:val="both"/>
        <w:rPr>
          <w:rFonts w:ascii="Verdana" w:eastAsia="Calibri" w:hAnsi="Verdana" w:cs="Arial"/>
          <w:lang w:val="es-ES"/>
        </w:rPr>
      </w:pPr>
      <w:r w:rsidRPr="006A11D8">
        <w:rPr>
          <w:rFonts w:ascii="Verdana" w:eastAsia="Calibri" w:hAnsi="Verdana" w:cs="Arial"/>
          <w:lang w:val="es-ES"/>
        </w:rPr>
        <w:tab/>
        <w:t xml:space="preserve">Como se observa, el legislador estableció supuestos fácticos que restringen o limitan la capacidad de ciertas sociedades para participar de los procesos de contratación pública y celebrar contratos estatales que se derivan de: i) vínculos de parentesco de sus </w:t>
      </w:r>
      <w:r w:rsidRPr="006A11D8">
        <w:rPr>
          <w:rFonts w:ascii="Verdana" w:eastAsia="Calibri" w:hAnsi="Verdana" w:cs="Arial"/>
          <w:i/>
          <w:iCs/>
          <w:lang w:val="es-ES"/>
        </w:rPr>
        <w:t>representantes legales</w:t>
      </w:r>
      <w:r w:rsidRPr="006A11D8">
        <w:rPr>
          <w:rFonts w:ascii="Verdana" w:eastAsia="Calibri" w:hAnsi="Verdana" w:cs="Arial"/>
          <w:lang w:val="es-ES"/>
        </w:rPr>
        <w:t xml:space="preserve"> o cualquiera de sus </w:t>
      </w:r>
      <w:r w:rsidRPr="006A11D8">
        <w:rPr>
          <w:rFonts w:ascii="Verdana" w:eastAsia="Calibri" w:hAnsi="Verdana" w:cs="Arial"/>
          <w:i/>
          <w:iCs/>
          <w:lang w:val="es-ES"/>
        </w:rPr>
        <w:t>socios</w:t>
      </w:r>
      <w:r w:rsidRPr="006A11D8">
        <w:rPr>
          <w:rFonts w:ascii="Verdana" w:eastAsia="Calibri" w:hAnsi="Verdana" w:cs="Arial"/>
          <w:lang w:val="es-ES"/>
        </w:rPr>
        <w:t xml:space="preserve"> respecto de otras sociedades que participen en el mismo proceso de contratación; ii) antecedentes en la declaratoria de caducidad del contrato a alguno de sus </w:t>
      </w:r>
      <w:r w:rsidRPr="006A11D8">
        <w:rPr>
          <w:rFonts w:ascii="Verdana" w:eastAsia="Calibri" w:hAnsi="Verdana" w:cs="Arial"/>
          <w:i/>
          <w:iCs/>
          <w:lang w:val="es-ES"/>
        </w:rPr>
        <w:t>socios</w:t>
      </w:r>
      <w:r w:rsidRPr="006A11D8">
        <w:rPr>
          <w:rFonts w:ascii="Verdana" w:eastAsia="Calibri" w:hAnsi="Verdana" w:cs="Arial"/>
          <w:lang w:val="es-ES"/>
        </w:rPr>
        <w:t xml:space="preserve">; y iii) responsabilidades penales o administrativas de cualquiera de sus </w:t>
      </w:r>
      <w:r w:rsidRPr="006A11D8">
        <w:rPr>
          <w:rFonts w:ascii="Verdana" w:eastAsia="Calibri" w:hAnsi="Verdana" w:cs="Arial"/>
          <w:i/>
          <w:iCs/>
          <w:lang w:val="es-ES"/>
        </w:rPr>
        <w:t>socios.</w:t>
      </w:r>
      <w:r w:rsidRPr="006A11D8">
        <w:rPr>
          <w:rFonts w:ascii="Verdana" w:eastAsia="Calibri" w:hAnsi="Verdana" w:cs="Arial"/>
          <w:lang w:val="es-ES"/>
        </w:rPr>
        <w:t xml:space="preserve"> </w:t>
      </w:r>
    </w:p>
    <w:p w14:paraId="013FA9C7" w14:textId="77777777" w:rsidR="007B142C" w:rsidRPr="006A11D8" w:rsidRDefault="007B142C" w:rsidP="007B142C">
      <w:pPr>
        <w:spacing w:after="120" w:line="276" w:lineRule="auto"/>
        <w:ind w:firstLine="708"/>
        <w:jc w:val="both"/>
        <w:rPr>
          <w:rFonts w:ascii="Verdana" w:eastAsia="Calibri" w:hAnsi="Verdana" w:cs="Arial"/>
          <w:lang w:val="es-ES"/>
        </w:rPr>
      </w:pPr>
      <w:r w:rsidRPr="006A11D8">
        <w:rPr>
          <w:rFonts w:ascii="Verdana" w:eastAsia="Calibri" w:hAnsi="Verdana" w:cs="Arial"/>
          <w:lang w:val="es-ES"/>
        </w:rPr>
        <w:t xml:space="preserve">Por su parte, el literal d) del numeral 2 de la referida norma, como se observa, inhabilita para contratar con una Entidad Estatal a ciertas sociedades en las que un servidor público tenga participación o ejerza un cargo de dirección o manejo, esto, siempre y cuando dicho funcionario pertenezca al nivel directivo, asesor, ejecutivo o sea miembro de la junta o consejo directivo de la entidad contratante. Sin embargo, vale la pena aclarar que esta restricción no resulta extensible a las Sociedades por Acciones Simplificadas –SAS– que, de acuerdo con lo indicado en el artículo 3 de la Ley 1258 de 2008 son consideradas como sociedades capitales, por lo que no se encuentran en la singularización que, respecto del tipo de sociedad y denominación, efectúa el referido literal d), ya </w:t>
      </w:r>
      <w:r w:rsidRPr="006A11D8">
        <w:rPr>
          <w:rFonts w:ascii="Verdana" w:eastAsia="Calibri" w:hAnsi="Verdana" w:cs="Arial"/>
          <w:lang w:val="es-ES"/>
        </w:rPr>
        <w:lastRenderedPageBreak/>
        <w:t>que sólo limita la capacidad para contratar en dicho supuesto fáctico, a las sociedades anónimas que no tengan el carácter de abiertas, las sociedades de responsabilidad limitada y las demás sociedades de personas.</w:t>
      </w:r>
    </w:p>
    <w:p w14:paraId="0260F197" w14:textId="77777777" w:rsidR="007B142C" w:rsidRPr="006A11D8" w:rsidRDefault="007B142C" w:rsidP="007B142C">
      <w:pPr>
        <w:spacing w:after="0" w:line="276" w:lineRule="auto"/>
        <w:ind w:firstLine="709"/>
        <w:jc w:val="both"/>
        <w:rPr>
          <w:rFonts w:ascii="Verdana" w:eastAsia="Calibri" w:hAnsi="Verdana" w:cs="Arial"/>
          <w:lang w:val="es-ES"/>
        </w:rPr>
      </w:pPr>
      <w:r w:rsidRPr="006A11D8">
        <w:rPr>
          <w:rFonts w:ascii="Verdana" w:eastAsia="Calibri" w:hAnsi="Verdana" w:cs="Arial"/>
          <w:lang w:val="es-ES"/>
        </w:rPr>
        <w:t>De conformidad con lo anterior, la Superintendencia de Sociedades, en el Oficio. No. 220-087303 del 16 de agosto de 2019, señaló que las inhabilidades son de aplicación excepcional y restrictivo, por lo tanto, no pueden ser impuestas a los socios de una sociedad de capitales como lo es la Sociedad por Acciones Simplificadas –SAS–, así:</w:t>
      </w:r>
    </w:p>
    <w:p w14:paraId="5C20ED78" w14:textId="77777777" w:rsidR="007B142C" w:rsidRPr="006A11D8" w:rsidRDefault="007B142C" w:rsidP="007B142C">
      <w:pPr>
        <w:spacing w:after="0" w:line="276" w:lineRule="auto"/>
        <w:ind w:firstLine="709"/>
        <w:jc w:val="both"/>
        <w:rPr>
          <w:rFonts w:ascii="Verdana" w:eastAsia="Calibri" w:hAnsi="Verdana" w:cs="Arial"/>
          <w:lang w:val="es-ES"/>
        </w:rPr>
      </w:pPr>
    </w:p>
    <w:p w14:paraId="76430219" w14:textId="77777777" w:rsidR="007B142C" w:rsidRPr="006A11D8" w:rsidRDefault="007B142C" w:rsidP="007B142C">
      <w:pPr>
        <w:spacing w:after="0" w:line="240" w:lineRule="auto"/>
        <w:ind w:left="709" w:right="709"/>
        <w:jc w:val="both"/>
        <w:rPr>
          <w:rFonts w:ascii="Verdana" w:eastAsia="Calibri" w:hAnsi="Verdana" w:cs="Arial"/>
          <w:sz w:val="20"/>
          <w:szCs w:val="20"/>
          <w:lang w:val="es-ES"/>
        </w:rPr>
      </w:pPr>
      <w:r w:rsidRPr="006A11D8">
        <w:rPr>
          <w:rFonts w:ascii="Verdana" w:eastAsia="Calibri" w:hAnsi="Verdana" w:cs="Arial"/>
          <w:sz w:val="20"/>
          <w:szCs w:val="20"/>
          <w:lang w:val="es-ES"/>
        </w:rPr>
        <w:t>“En estas disposiciones se establece que la sociedad por acciones simplifica es una sociedad de capitales, que constituye una persona jurídica distinta de los socios y por lo tanto, estos son terceros respecto de los contratos que celebre el ente societario; que el régimen de inhabilidades e incompatibilidades para contratar con el Estado es de índole excepcional y aplicación restrictiva, en la medida en que limitan la capacidad jurídica de las personas; que las causales están previstas en el artículo 8 de la Ley 80 de 1993 y en los artículos 5 y 90 de la Ley 1474 de 2011, y que la sanción disciplinaria de suspensión en el ejercicio de la profesión impuesta a uno de los socios no está consagrada como causal de inhabilidad para que la sociedad de capitales participe en procesos de selección y contrate con entidades estatales”.</w:t>
      </w:r>
    </w:p>
    <w:p w14:paraId="03B46116" w14:textId="77777777" w:rsidR="007B142C" w:rsidRPr="006A11D8" w:rsidRDefault="007B142C" w:rsidP="007B142C">
      <w:pPr>
        <w:spacing w:after="0" w:line="276" w:lineRule="auto"/>
        <w:ind w:firstLine="708"/>
        <w:jc w:val="both"/>
        <w:rPr>
          <w:rFonts w:ascii="Verdana" w:eastAsia="Calibri" w:hAnsi="Verdana" w:cs="Arial"/>
          <w:lang w:val="es-ES"/>
        </w:rPr>
      </w:pPr>
    </w:p>
    <w:p w14:paraId="39FD40F7" w14:textId="77777777" w:rsidR="007B142C" w:rsidRPr="006A11D8" w:rsidRDefault="007B142C" w:rsidP="007B142C">
      <w:pPr>
        <w:spacing w:after="0" w:line="276" w:lineRule="auto"/>
        <w:ind w:firstLine="708"/>
        <w:jc w:val="both"/>
        <w:rPr>
          <w:rFonts w:ascii="Verdana" w:eastAsia="Calibri" w:hAnsi="Verdana" w:cs="Arial"/>
          <w:lang w:val="es-ES"/>
        </w:rPr>
      </w:pPr>
      <w:r w:rsidRPr="006A11D8">
        <w:rPr>
          <w:rFonts w:ascii="Verdana" w:eastAsia="Calibri" w:hAnsi="Verdana" w:cs="Arial"/>
          <w:lang w:val="es-ES"/>
        </w:rPr>
        <w:t>En consecuencia, la inhabilidad prevista en el literal d) del numeral 2 del artículo 8 de la Ley 80 de 1993, no le aplica a los socios de las Sociedades por Acciones Simplificadas –SAS–, ni a este tipo de sociedades cuando entre socios por ejemplo, se encuentra una persona inhabilitada. De esta forma, es pertinente reiterar que en materia contractual, el artículo 8 de la Ley 80 de 1993 expresa de manera taxativa los supuestos fácticos que limitan o restringen la capacidad para contratar de ciertas sociedades, singularizándolas respecto de su tipología y denominación.</w:t>
      </w:r>
    </w:p>
    <w:p w14:paraId="43B21182" w14:textId="77777777" w:rsidR="007B142C" w:rsidRPr="006A11D8" w:rsidRDefault="007B142C" w:rsidP="007B142C">
      <w:pPr>
        <w:spacing w:before="120" w:after="120" w:line="276" w:lineRule="auto"/>
        <w:ind w:firstLine="709"/>
        <w:jc w:val="both"/>
        <w:rPr>
          <w:rFonts w:ascii="Verdana" w:eastAsia="Calibri" w:hAnsi="Verdana" w:cs="Arial"/>
        </w:rPr>
      </w:pPr>
      <w:r w:rsidRPr="006A11D8">
        <w:rPr>
          <w:rFonts w:ascii="Verdana" w:eastAsia="Calibri" w:hAnsi="Verdana" w:cs="Arial"/>
          <w:lang w:val="es-ES_tradnl"/>
        </w:rPr>
        <w:t xml:space="preserve">Finalmente, </w:t>
      </w:r>
      <w:r w:rsidRPr="006A11D8">
        <w:rPr>
          <w:rFonts w:ascii="Verdana" w:eastAsia="Calibri" w:hAnsi="Verdana" w:cs="Arial"/>
        </w:rPr>
        <w:t xml:space="preserve">el régimen de inhabilidades en la contratación estatal constituye un conjunto de restricciones de origen legal que limitan la posibilidad de contratar con el Estado, con el fin de salvaguardar principios como la transparencia, la moralidad administrativa, la imparcialidad y la selección objetiva. Estas restricciones, al ser de carácter excepcional y restrictivo, solo pueden estar previstas expresamente en la ley y no admiten interpretaciones extensivas que amplíen su alcance más allá de lo dispuesto por el legislador. En este contexto, Colombia Compra Eficiente, en su calidad de ente rector de la </w:t>
      </w:r>
      <w:r w:rsidRPr="006A11D8">
        <w:rPr>
          <w:rFonts w:ascii="Verdana" w:eastAsia="Calibri" w:hAnsi="Verdana" w:cs="Arial"/>
        </w:rPr>
        <w:lastRenderedPageBreak/>
        <w:t>contratación pública, desempeña un rol eminentemente interpretativo y orientador, mas no decisorio, por lo que no emite conceptos para resolver consultas particulares ni determina la configuración de inhabilidades en casos concretos. Así, la verificación de la existencia de una inhabilidad o incompatibilidad corresponde a las autoridades competentes, quienes deberán analizar caso por caso a la luz de la normatividad aplicable y con observancia estricta del principio de legalidad, garantizando que estas restricciones cumplan su propósito de proteger el interés general sin vulnerar derechos ni limitar indebidamente la participación en los procesos de contratación estatal.</w:t>
      </w:r>
    </w:p>
    <w:p w14:paraId="21567089" w14:textId="77777777" w:rsidR="007B142C" w:rsidRPr="00C51900" w:rsidRDefault="007B142C" w:rsidP="007B142C">
      <w:pPr>
        <w:widowControl w:val="0"/>
        <w:autoSpaceDE w:val="0"/>
        <w:autoSpaceDN w:val="0"/>
        <w:spacing w:before="120" w:after="0" w:line="276" w:lineRule="auto"/>
        <w:ind w:firstLine="709"/>
        <w:jc w:val="both"/>
        <w:rPr>
          <w:rFonts w:ascii="Verdana" w:eastAsia="Calibri" w:hAnsi="Verdana" w:cs="Arial"/>
        </w:rPr>
      </w:pPr>
      <w:r w:rsidRPr="006A11D8">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C27F61D" w14:textId="77777777" w:rsidR="007B142C" w:rsidRDefault="007B142C" w:rsidP="007B142C">
      <w:pPr>
        <w:tabs>
          <w:tab w:val="left" w:pos="426"/>
        </w:tabs>
        <w:spacing w:after="0" w:line="276" w:lineRule="auto"/>
        <w:jc w:val="both"/>
        <w:rPr>
          <w:rFonts w:ascii="Verdana" w:eastAsia="Aptos" w:hAnsi="Verdana" w:cs="Arial"/>
          <w:bCs/>
          <w:color w:val="000000"/>
        </w:rPr>
      </w:pPr>
      <w:bookmarkStart w:id="4" w:name="_Hlk204856061"/>
      <w:bookmarkStart w:id="5" w:name="_Hlk78820161"/>
      <w:bookmarkStart w:id="6" w:name="_Hlk204854194"/>
    </w:p>
    <w:bookmarkEnd w:id="4"/>
    <w:bookmarkEnd w:id="5"/>
    <w:p w14:paraId="74196ECE" w14:textId="77777777" w:rsidR="007B142C" w:rsidRPr="001F283D" w:rsidRDefault="007B142C" w:rsidP="007B142C">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0EBCBE7D" w14:textId="77777777" w:rsidR="007B142C" w:rsidRPr="00593A5F" w:rsidRDefault="007B142C" w:rsidP="007B142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142C" w:rsidRPr="002407CE" w14:paraId="7A2D6789" w14:textId="77777777" w:rsidTr="00B665ED">
        <w:trPr>
          <w:trHeight w:val="870"/>
          <w:jc w:val="center"/>
        </w:trPr>
        <w:tc>
          <w:tcPr>
            <w:tcW w:w="8647" w:type="dxa"/>
          </w:tcPr>
          <w:p w14:paraId="79E47961" w14:textId="77777777" w:rsidR="007B142C" w:rsidRPr="00F11815"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Ley 80 de 1993. Artículo 8, numeral 1 , literales h), i) y j); Artículo 8, numeral 2; literal d).</w:t>
            </w:r>
          </w:p>
          <w:p w14:paraId="4D117260" w14:textId="77777777" w:rsidR="007B142C" w:rsidRPr="005A4D5A" w:rsidRDefault="007B142C" w:rsidP="00B665ED">
            <w:pPr>
              <w:widowControl w:val="0"/>
              <w:numPr>
                <w:ilvl w:val="0"/>
                <w:numId w:val="3"/>
              </w:numPr>
              <w:autoSpaceDE w:val="0"/>
              <w:autoSpaceDN w:val="0"/>
              <w:spacing w:after="255" w:line="276" w:lineRule="auto"/>
              <w:contextualSpacing/>
              <w:jc w:val="both"/>
              <w:rPr>
                <w:rFonts w:ascii="Verdana" w:hAnsi="Verdana" w:cs="Arial"/>
                <w:lang w:val="es-ES"/>
              </w:rPr>
            </w:pPr>
            <w:r w:rsidRPr="005A4D5A">
              <w:rPr>
                <w:rFonts w:ascii="Verdana" w:hAnsi="Verdana" w:cs="Arial"/>
                <w:lang w:val="es-ES"/>
              </w:rPr>
              <w:t>Ley 1150 de 2007. Artículo 5.</w:t>
            </w:r>
          </w:p>
          <w:p w14:paraId="315DBBB2" w14:textId="77777777" w:rsidR="007B142C" w:rsidRPr="005A4D5A" w:rsidRDefault="007B142C" w:rsidP="00B665ED">
            <w:pPr>
              <w:widowControl w:val="0"/>
              <w:numPr>
                <w:ilvl w:val="0"/>
                <w:numId w:val="3"/>
              </w:numPr>
              <w:autoSpaceDE w:val="0"/>
              <w:autoSpaceDN w:val="0"/>
              <w:spacing w:after="255" w:line="276" w:lineRule="auto"/>
              <w:contextualSpacing/>
              <w:jc w:val="both"/>
              <w:rPr>
                <w:rFonts w:ascii="Verdana" w:hAnsi="Verdana" w:cs="Arial"/>
                <w:lang w:val="es-ES"/>
              </w:rPr>
            </w:pPr>
            <w:r w:rsidRPr="005A4D5A">
              <w:rPr>
                <w:rFonts w:ascii="Verdana" w:hAnsi="Verdana" w:cs="Arial"/>
                <w:lang w:val="es-ES"/>
              </w:rPr>
              <w:t>Decreto 1082 de 2015. Numeral 2.5 del artículo 2.2.1.1.1.5.2; artículo 2.2.1.1.1.5.3; artículo 2.2.1.1.1.6.2.</w:t>
            </w:r>
          </w:p>
          <w:p w14:paraId="73F667F0" w14:textId="77777777" w:rsidR="007B142C" w:rsidRPr="005A4D5A" w:rsidRDefault="007B142C" w:rsidP="00B665ED">
            <w:pPr>
              <w:widowControl w:val="0"/>
              <w:numPr>
                <w:ilvl w:val="0"/>
                <w:numId w:val="3"/>
              </w:numPr>
              <w:autoSpaceDE w:val="0"/>
              <w:autoSpaceDN w:val="0"/>
              <w:spacing w:after="255" w:line="276" w:lineRule="auto"/>
              <w:contextualSpacing/>
              <w:jc w:val="both"/>
              <w:rPr>
                <w:rFonts w:ascii="Verdana" w:hAnsi="Verdana" w:cs="Arial"/>
                <w:lang w:val="es-ES"/>
              </w:rPr>
            </w:pPr>
            <w:r w:rsidRPr="005A4D5A">
              <w:rPr>
                <w:rFonts w:ascii="Verdana" w:hAnsi="Verdana" w:cs="Arial"/>
                <w:lang w:val="es-ES"/>
              </w:rPr>
              <w:t>Código de Comercio. Artículo 167 y 180.</w:t>
            </w:r>
          </w:p>
          <w:p w14:paraId="4EFE5EF1" w14:textId="77777777" w:rsidR="007B142C" w:rsidRPr="005A4D5A" w:rsidRDefault="007B142C" w:rsidP="00B665ED">
            <w:pPr>
              <w:widowControl w:val="0"/>
              <w:numPr>
                <w:ilvl w:val="0"/>
                <w:numId w:val="3"/>
              </w:numPr>
              <w:autoSpaceDE w:val="0"/>
              <w:autoSpaceDN w:val="0"/>
              <w:spacing w:after="255" w:line="276" w:lineRule="auto"/>
              <w:contextualSpacing/>
              <w:jc w:val="both"/>
              <w:rPr>
                <w:rFonts w:ascii="Verdana" w:hAnsi="Verdana" w:cs="Arial"/>
                <w:lang w:val="es-ES"/>
              </w:rPr>
            </w:pPr>
            <w:r w:rsidRPr="005A4D5A">
              <w:rPr>
                <w:rFonts w:ascii="Verdana" w:hAnsi="Verdana" w:cs="Arial"/>
                <w:lang w:val="es-ES"/>
              </w:rPr>
              <w:t>Código Civil. Artículo 222.</w:t>
            </w:r>
          </w:p>
          <w:p w14:paraId="0F8D2E07" w14:textId="77777777" w:rsidR="007B142C" w:rsidRDefault="007B142C" w:rsidP="00B665ED">
            <w:pPr>
              <w:widowControl w:val="0"/>
              <w:numPr>
                <w:ilvl w:val="0"/>
                <w:numId w:val="3"/>
              </w:numPr>
              <w:autoSpaceDE w:val="0"/>
              <w:autoSpaceDN w:val="0"/>
              <w:spacing w:after="255" w:line="276" w:lineRule="auto"/>
              <w:contextualSpacing/>
              <w:jc w:val="both"/>
              <w:rPr>
                <w:rFonts w:ascii="Verdana" w:hAnsi="Verdana" w:cs="Arial"/>
                <w:bCs/>
              </w:rPr>
            </w:pPr>
            <w:r w:rsidRPr="005A4D5A">
              <w:rPr>
                <w:rFonts w:ascii="Verdana" w:hAnsi="Verdana" w:cs="Arial"/>
                <w:lang w:val="es-ES"/>
              </w:rPr>
              <w:t>Ley 222 de 1995.</w:t>
            </w:r>
            <w:r w:rsidRPr="00CB5E93">
              <w:rPr>
                <w:rFonts w:ascii="Verdana" w:hAnsi="Verdana" w:cs="Arial"/>
                <w:bCs/>
              </w:rPr>
              <w:t xml:space="preserve"> </w:t>
            </w:r>
          </w:p>
          <w:p w14:paraId="362B7A4A" w14:textId="77777777" w:rsidR="007B142C" w:rsidRPr="006A11D8"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3CFF481E" w14:textId="77777777" w:rsidR="007B142C" w:rsidRPr="006A11D8"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Consejo de Estado. Sala de Consulta y Servicio Civil. Concepto del 30 de abril de 2015. Expediente: 2251. Consejero Ponente: Álvaro Namén Vargas.</w:t>
            </w:r>
          </w:p>
          <w:p w14:paraId="287E7B92" w14:textId="77777777" w:rsidR="007B142C" w:rsidRPr="006A11D8"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lastRenderedPageBreak/>
              <w:t>Consejo de Estado. Sala de lo Contencioso Administrativo. Sección Tercera. Subsección A. Sentencia del 24 de junio de 2015. Exp. 40.635. Consejero Ponente: Hernán Andrade Rincón (E).</w:t>
            </w:r>
          </w:p>
          <w:p w14:paraId="17574D42" w14:textId="77777777" w:rsidR="007B142C" w:rsidRPr="006A11D8"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Consejo de Estado. Sala de lo Contencioso Administrativo. Sección Tercera. Subsección C. Sentencia del 22 de mayo de 2013. Exp. 24.057. Consejera Ponente: Olga Melida Valle De De La Hoz.</w:t>
            </w:r>
          </w:p>
          <w:p w14:paraId="0B3B9FD1" w14:textId="77777777" w:rsidR="007B142C" w:rsidRPr="006A11D8" w:rsidRDefault="007B142C" w:rsidP="00B665ED">
            <w:pPr>
              <w:numPr>
                <w:ilvl w:val="0"/>
                <w:numId w:val="3"/>
              </w:numPr>
              <w:contextualSpacing/>
              <w:jc w:val="both"/>
              <w:rPr>
                <w:rFonts w:ascii="Verdana" w:eastAsia="Geomanist Light" w:hAnsi="Verdana" w:cs="Arial"/>
                <w:color w:val="000000"/>
                <w:lang w:val="es-MX"/>
              </w:rPr>
            </w:pPr>
            <w:r w:rsidRPr="006A11D8">
              <w:rPr>
                <w:rFonts w:ascii="Verdana" w:eastAsia="Geomanist Light" w:hAnsi="Verdana" w:cs="Arial"/>
                <w:color w:val="000000"/>
                <w:lang w:val="es-MX"/>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96EC94E" w14:textId="77777777" w:rsidR="007B142C" w:rsidRPr="00CB5E93" w:rsidRDefault="007B142C" w:rsidP="00B665ED">
            <w:pPr>
              <w:widowControl w:val="0"/>
              <w:numPr>
                <w:ilvl w:val="0"/>
                <w:numId w:val="3"/>
              </w:numPr>
              <w:autoSpaceDE w:val="0"/>
              <w:autoSpaceDN w:val="0"/>
              <w:spacing w:after="255" w:line="276" w:lineRule="auto"/>
              <w:contextualSpacing/>
              <w:jc w:val="both"/>
              <w:rPr>
                <w:rFonts w:ascii="Verdana" w:hAnsi="Verdana" w:cs="Arial"/>
                <w:bCs/>
              </w:rPr>
            </w:pPr>
            <w:r w:rsidRPr="006A11D8">
              <w:rPr>
                <w:rFonts w:ascii="Verdana" w:eastAsia="Geomanist Light" w:hAnsi="Verdana" w:cs="Arial"/>
                <w:color w:val="000000"/>
                <w:lang w:val="es-MX"/>
              </w:rPr>
              <w:t>Superintendencia de Sociedades. Oficio No. 220-087303 del 16 de agosto de 2019.</w:t>
            </w:r>
          </w:p>
        </w:tc>
      </w:tr>
    </w:tbl>
    <w:p w14:paraId="3AE9E76F" w14:textId="77777777" w:rsidR="007B142C" w:rsidRPr="00277E26" w:rsidRDefault="007B142C" w:rsidP="007B142C">
      <w:pPr>
        <w:widowControl w:val="0"/>
        <w:autoSpaceDE w:val="0"/>
        <w:autoSpaceDN w:val="0"/>
        <w:spacing w:after="0" w:line="276" w:lineRule="auto"/>
        <w:jc w:val="both"/>
        <w:rPr>
          <w:rFonts w:ascii="Verdana" w:hAnsi="Verdana" w:cs="Arial"/>
        </w:rPr>
      </w:pPr>
    </w:p>
    <w:p w14:paraId="3A60601F" w14:textId="77777777" w:rsidR="007B142C" w:rsidRPr="001F283D" w:rsidRDefault="007B142C" w:rsidP="007B142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E545417" w14:textId="77777777" w:rsidR="007B142C" w:rsidRDefault="007B142C" w:rsidP="007B142C">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242AAD21" w14:textId="77777777" w:rsidR="007B142C" w:rsidRPr="00353F7D" w:rsidRDefault="007B142C" w:rsidP="007B142C">
      <w:pPr>
        <w:widowControl w:val="0"/>
        <w:autoSpaceDE w:val="0"/>
        <w:autoSpaceDN w:val="0"/>
        <w:spacing w:after="0" w:line="276" w:lineRule="auto"/>
        <w:jc w:val="both"/>
        <w:rPr>
          <w:rFonts w:ascii="Verdana" w:eastAsia="Times New Roman" w:hAnsi="Verdana" w:cs="Arial"/>
          <w:shd w:val="clear" w:color="auto" w:fill="FFFFFF"/>
          <w:lang w:val="es-ES"/>
        </w:rPr>
      </w:pPr>
      <w:r w:rsidRPr="38FACAB2">
        <w:rPr>
          <w:rFonts w:ascii="Verdana" w:eastAsia="Calibri" w:hAnsi="Verdana" w:cs="Arial"/>
          <w:color w:val="000000"/>
          <w:kern w:val="2"/>
          <w:lang w:val="es-ES"/>
          <w14:ligatures w14:val="standardContextual"/>
        </w:rPr>
        <w:t>La Agencia Nacional de Contratación Pública ‒ Colombia Compra Eficiente,</w:t>
      </w:r>
      <w:r>
        <w:rPr>
          <w:rFonts w:ascii="Verdana" w:eastAsia="Calibri" w:hAnsi="Verdana" w:cs="Arial"/>
          <w:color w:val="000000"/>
          <w:kern w:val="2"/>
          <w:lang w:val="es-ES"/>
          <w14:ligatures w14:val="standardContextual"/>
        </w:rPr>
        <w:t xml:space="preserve"> se ha pronunciado </w:t>
      </w:r>
      <w:r w:rsidRPr="38FACAB2">
        <w:rPr>
          <w:rFonts w:ascii="Verdana" w:eastAsia="Calibri" w:hAnsi="Verdana" w:cs="Arial"/>
          <w:color w:val="000000"/>
          <w:kern w:val="2"/>
          <w:lang w:val="es-ES"/>
          <w14:ligatures w14:val="standardContextual"/>
        </w:rPr>
        <w:t>la acreditación de la experiencia de los socios por una sociedad nueva con menos de 3 años de constitución</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C-204 del 26 de marzo de 2025</w:t>
      </w:r>
      <w:r>
        <w:rPr>
          <w:rFonts w:ascii="Verdana" w:eastAsia="Calibri" w:hAnsi="Verdana" w:cs="Arial"/>
          <w:color w:val="000000"/>
          <w:kern w:val="2"/>
          <w:lang w:val="es-ES"/>
          <w14:ligatures w14:val="standardContextual"/>
        </w:rPr>
        <w:t xml:space="preserve"> y C-830 de 2025</w:t>
      </w:r>
      <w:r>
        <w:rPr>
          <w:rFonts w:ascii="Verdana" w:eastAsia="Calibri" w:hAnsi="Verdana" w:cs="Arial"/>
          <w:lang w:val="es-ES_tradnl" w:eastAsia="es-MX"/>
        </w:rPr>
        <w:t>, entre otros</w:t>
      </w:r>
      <w:r>
        <w:rPr>
          <w:rFonts w:ascii="Verdana" w:eastAsia="Aptos" w:hAnsi="Verdana" w:cs="Arial"/>
          <w:shd w:val="clear" w:color="auto" w:fill="FFFFFF"/>
          <w:lang w:val="es-ES"/>
        </w:rPr>
        <w:t>.</w:t>
      </w:r>
      <w:r w:rsidRPr="0047490F">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14409C5D" w14:textId="77777777" w:rsidR="007B142C" w:rsidRPr="00900D7D" w:rsidRDefault="007B142C" w:rsidP="007B142C">
      <w:pPr>
        <w:widowControl w:val="0"/>
        <w:autoSpaceDE w:val="0"/>
        <w:autoSpaceDN w:val="0"/>
        <w:spacing w:after="0" w:line="276" w:lineRule="auto"/>
        <w:jc w:val="both"/>
        <w:rPr>
          <w:rFonts w:ascii="Verdana" w:eastAsia="Calibri" w:hAnsi="Verdana" w:cs="Arial"/>
          <w:color w:val="000000" w:themeColor="text1"/>
          <w:lang w:eastAsia="es-ES_tradnl"/>
        </w:rPr>
      </w:pPr>
    </w:p>
    <w:p w14:paraId="0DBB594E" w14:textId="77777777" w:rsidR="007B142C" w:rsidRPr="00237766" w:rsidRDefault="007B142C" w:rsidP="007B142C">
      <w:pPr>
        <w:spacing w:after="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w:t>
      </w:r>
      <w:r w:rsidRPr="008E4F36">
        <w:rPr>
          <w:rFonts w:ascii="Verdana" w:hAnsi="Verdana"/>
        </w:rPr>
        <w:lastRenderedPageBreak/>
        <w:t xml:space="preserve">atender las peticiones o solicitudes, así como para brindar el apoyo que se requiera en el marco de nuestras funciones a través de nuestros diferentes canales de atención: </w:t>
      </w:r>
    </w:p>
    <w:p w14:paraId="675DBDAE" w14:textId="77777777" w:rsidR="007B142C" w:rsidRPr="008E4F36" w:rsidRDefault="007B142C" w:rsidP="007B142C">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1242ACD5" w14:textId="77777777" w:rsidR="007B142C" w:rsidRPr="008E4F36" w:rsidRDefault="007B142C" w:rsidP="007B142C">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22ED1B15" w14:textId="77777777" w:rsidR="007B142C" w:rsidRPr="008E4F36" w:rsidRDefault="007B142C" w:rsidP="007B142C">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7D34B4D7" w14:textId="77777777" w:rsidR="007B142C" w:rsidRPr="008E4F36" w:rsidRDefault="007B142C" w:rsidP="007B142C">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6A0A8F7E" w14:textId="77777777" w:rsidR="007B142C" w:rsidRPr="008E4F36" w:rsidRDefault="007B142C" w:rsidP="007B142C">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322FCA7D" w14:textId="77777777" w:rsidR="007B142C" w:rsidRPr="008E4F36" w:rsidRDefault="007B142C" w:rsidP="007B142C">
      <w:pPr>
        <w:spacing w:after="0" w:line="276" w:lineRule="auto"/>
        <w:jc w:val="both"/>
        <w:rPr>
          <w:rFonts w:ascii="Verdana" w:hAnsi="Verdana"/>
        </w:rPr>
      </w:pPr>
    </w:p>
    <w:p w14:paraId="6E77DE98" w14:textId="77777777" w:rsidR="007B142C" w:rsidRPr="008E4F36" w:rsidRDefault="007B142C" w:rsidP="007B142C">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7A36E79" w14:textId="77777777" w:rsidR="007B142C" w:rsidRPr="008E4F36" w:rsidRDefault="007B142C" w:rsidP="007B142C">
      <w:pPr>
        <w:spacing w:after="0" w:line="276" w:lineRule="auto"/>
        <w:jc w:val="both"/>
        <w:rPr>
          <w:rFonts w:ascii="Verdana" w:hAnsi="Verdana"/>
        </w:rPr>
      </w:pPr>
      <w:r w:rsidRPr="008E4F36">
        <w:rPr>
          <w:rFonts w:ascii="Verdana" w:hAnsi="Verdana"/>
        </w:rPr>
        <w:t xml:space="preserve">Facebook: </w:t>
      </w:r>
      <w:r w:rsidRPr="008E4F36">
        <w:rPr>
          <w:rStyle w:val="Hipervnculo"/>
          <w:rFonts w:ascii="Verdana" w:hAnsi="Verdana"/>
        </w:rPr>
        <w:t>ColombiaCompraEficiente</w:t>
      </w:r>
    </w:p>
    <w:p w14:paraId="23D1D82C" w14:textId="77777777" w:rsidR="007B142C" w:rsidRPr="008E4F36" w:rsidRDefault="007B142C" w:rsidP="007B142C">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445EDD03" w14:textId="77777777" w:rsidR="007B142C" w:rsidRDefault="007B142C" w:rsidP="007B142C">
      <w:pPr>
        <w:spacing w:after="0" w:line="276" w:lineRule="auto"/>
        <w:jc w:val="both"/>
        <w:rPr>
          <w:rFonts w:ascii="Verdana" w:hAnsi="Verdana"/>
        </w:rPr>
      </w:pPr>
    </w:p>
    <w:p w14:paraId="06518B71" w14:textId="77777777" w:rsidR="007B142C" w:rsidRPr="00FB6C33" w:rsidRDefault="007B142C" w:rsidP="007B142C">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15F2F3E" w14:textId="77777777" w:rsidR="007B142C" w:rsidRPr="008E4F36" w:rsidRDefault="007B142C" w:rsidP="007B142C">
      <w:pPr>
        <w:spacing w:after="0" w:line="276" w:lineRule="auto"/>
        <w:jc w:val="both"/>
        <w:rPr>
          <w:rFonts w:ascii="Verdana" w:eastAsia="Calibri" w:hAnsi="Verdana" w:cs="Times New Roman"/>
        </w:rPr>
      </w:pPr>
    </w:p>
    <w:p w14:paraId="3BA4120C" w14:textId="2CCADEF4" w:rsidR="007B142C" w:rsidRDefault="003955E8" w:rsidP="007B142C">
      <w:pPr>
        <w:spacing w:after="0" w:line="276" w:lineRule="auto"/>
        <w:jc w:val="both"/>
        <w:rPr>
          <w:rFonts w:ascii="Verdana" w:eastAsia="Calibri" w:hAnsi="Verdana" w:cs="Times New Roman"/>
        </w:rPr>
      </w:pPr>
      <w:r>
        <w:rPr>
          <w:rFonts w:ascii="Verdana" w:eastAsia="Times New Roman" w:hAnsi="Verdana" w:cs="Arial"/>
          <w:b/>
          <w:bCs/>
          <w:noProof/>
          <w:sz w:val="20"/>
          <w:szCs w:val="20"/>
          <w:lang w:eastAsia="es-ES"/>
          <w14:ligatures w14:val="standardContextual"/>
        </w:rPr>
        <w:drawing>
          <wp:anchor distT="0" distB="0" distL="114300" distR="114300" simplePos="0" relativeHeight="251659264" behindDoc="1" locked="0" layoutInCell="1" allowOverlap="1" wp14:anchorId="337C5AC9" wp14:editId="3698C302">
            <wp:simplePos x="0" y="0"/>
            <wp:positionH relativeFrom="column">
              <wp:posOffset>1391055</wp:posOffset>
            </wp:positionH>
            <wp:positionV relativeFrom="paragraph">
              <wp:posOffset>194945</wp:posOffset>
            </wp:positionV>
            <wp:extent cx="2944623" cy="1097375"/>
            <wp:effectExtent l="0" t="0" r="8255" b="7620"/>
            <wp:wrapTight wrapText="bothSides">
              <wp:wrapPolygon edited="0">
                <wp:start x="0" y="0"/>
                <wp:lineTo x="0" y="21375"/>
                <wp:lineTo x="21521" y="21375"/>
                <wp:lineTo x="21521" y="0"/>
                <wp:lineTo x="0" y="0"/>
              </wp:wrapPolygon>
            </wp:wrapTight>
            <wp:docPr id="4660616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61679" name="Imagen 466061679"/>
                    <pic:cNvPicPr/>
                  </pic:nvPicPr>
                  <pic:blipFill>
                    <a:blip r:embed="rId11">
                      <a:extLst>
                        <a:ext uri="{28A0092B-C50C-407E-A947-70E740481C1C}">
                          <a14:useLocalDpi xmlns:a14="http://schemas.microsoft.com/office/drawing/2010/main" val="0"/>
                        </a:ext>
                      </a:extLst>
                    </a:blip>
                    <a:stretch>
                      <a:fillRect/>
                    </a:stretch>
                  </pic:blipFill>
                  <pic:spPr>
                    <a:xfrm>
                      <a:off x="0" y="0"/>
                      <a:ext cx="2944623" cy="1097375"/>
                    </a:xfrm>
                    <a:prstGeom prst="rect">
                      <a:avLst/>
                    </a:prstGeom>
                  </pic:spPr>
                </pic:pic>
              </a:graphicData>
            </a:graphic>
          </wp:anchor>
        </w:drawing>
      </w:r>
      <w:r w:rsidR="007B142C" w:rsidRPr="008E4F36">
        <w:rPr>
          <w:rFonts w:ascii="Verdana" w:eastAsia="Calibri" w:hAnsi="Verdana" w:cs="Times New Roman"/>
        </w:rPr>
        <w:t>Atentamente,</w:t>
      </w:r>
    </w:p>
    <w:p w14:paraId="27B34D4A" w14:textId="02B6759E" w:rsidR="007B142C" w:rsidRPr="00263DB0" w:rsidRDefault="007B142C" w:rsidP="007B142C">
      <w:pPr>
        <w:spacing w:after="0"/>
        <w:rPr>
          <w:rFonts w:ascii="Verdana" w:eastAsia="Times New Roman" w:hAnsi="Verdana" w:cs="Arial"/>
          <w:b/>
          <w:bCs/>
          <w:sz w:val="20"/>
          <w:szCs w:val="20"/>
          <w:lang w:eastAsia="es-ES"/>
        </w:rPr>
      </w:pPr>
      <w:r w:rsidRPr="00263DB0">
        <w:rPr>
          <w:rFonts w:ascii="Verdana" w:eastAsia="Times New Roman" w:hAnsi="Verdana" w:cs="Arial"/>
          <w:b/>
          <w:bCs/>
          <w:sz w:val="20"/>
          <w:szCs w:val="20"/>
          <w:lang w:eastAsia="es-ES"/>
        </w:rPr>
        <w:t xml:space="preserve"> </w:t>
      </w:r>
    </w:p>
    <w:bookmarkEnd w:id="0"/>
    <w:bookmarkEnd w:id="1"/>
    <w:p w14:paraId="24A8CD40" w14:textId="77777777" w:rsidR="007B142C" w:rsidRDefault="007B142C" w:rsidP="007B142C">
      <w:pPr>
        <w:spacing w:after="0"/>
        <w:rPr>
          <w:rFonts w:ascii="Verdana" w:hAnsi="Verdana"/>
        </w:rPr>
      </w:pPr>
    </w:p>
    <w:p w14:paraId="7AD6E105" w14:textId="77777777" w:rsidR="007B142C" w:rsidRDefault="007B142C" w:rsidP="007B142C">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544"/>
      </w:tblGrid>
      <w:tr w:rsidR="007B142C" w:rsidRPr="003955E8" w14:paraId="24994AB8" w14:textId="77777777" w:rsidTr="00B665ED">
        <w:trPr>
          <w:trHeight w:val="315"/>
        </w:trPr>
        <w:tc>
          <w:tcPr>
            <w:tcW w:w="893" w:type="dxa"/>
            <w:vAlign w:val="center"/>
            <w:hideMark/>
          </w:tcPr>
          <w:p w14:paraId="208375AE" w14:textId="77777777" w:rsidR="007B142C" w:rsidRPr="003955E8" w:rsidRDefault="007B142C" w:rsidP="00B665ED">
            <w:pPr>
              <w:contextualSpacing/>
              <w:rPr>
                <w:rFonts w:ascii="Verdana" w:hAnsi="Verdana" w:cs="Arial"/>
                <w:color w:val="000000" w:themeColor="text1"/>
                <w:sz w:val="18"/>
                <w:szCs w:val="18"/>
                <w:lang w:val="es-ES" w:eastAsia="es-ES"/>
              </w:rPr>
            </w:pPr>
            <w:r w:rsidRPr="003955E8">
              <w:rPr>
                <w:rFonts w:ascii="Verdana" w:hAnsi="Verdana" w:cs="Arial"/>
                <w:color w:val="000000" w:themeColor="text1"/>
                <w:sz w:val="18"/>
                <w:szCs w:val="18"/>
                <w:lang w:val="es-ES" w:eastAsia="es-ES"/>
              </w:rPr>
              <w:t>Elaboró:</w:t>
            </w:r>
          </w:p>
        </w:tc>
        <w:tc>
          <w:tcPr>
            <w:tcW w:w="5628" w:type="dxa"/>
            <w:tcBorders>
              <w:top w:val="nil"/>
              <w:left w:val="nil"/>
              <w:bottom w:val="dotted" w:sz="4" w:space="0" w:color="7F7F7F" w:themeColor="text1" w:themeTint="80"/>
              <w:right w:val="nil"/>
            </w:tcBorders>
            <w:vAlign w:val="center"/>
            <w:hideMark/>
          </w:tcPr>
          <w:p w14:paraId="6E46473C" w14:textId="77777777" w:rsidR="007B142C" w:rsidRPr="003955E8" w:rsidRDefault="007B142C" w:rsidP="00B665ED">
            <w:pPr>
              <w:contextualSpacing/>
              <w:rPr>
                <w:rFonts w:ascii="Verdana" w:eastAsia="Arial" w:hAnsi="Verdana" w:cs="Arial"/>
                <w:color w:val="000000" w:themeColor="text1"/>
                <w:sz w:val="18"/>
                <w:szCs w:val="18"/>
              </w:rPr>
            </w:pPr>
            <w:r w:rsidRPr="003955E8">
              <w:rPr>
                <w:rFonts w:ascii="Verdana" w:eastAsia="Arial" w:hAnsi="Verdana" w:cs="Arial"/>
                <w:color w:val="000000" w:themeColor="text1"/>
                <w:sz w:val="18"/>
                <w:szCs w:val="18"/>
              </w:rPr>
              <w:t xml:space="preserve">Andreina Cerpa Muñoz   </w:t>
            </w:r>
          </w:p>
          <w:p w14:paraId="1927BD63" w14:textId="77777777" w:rsidR="007B142C" w:rsidRPr="003955E8" w:rsidRDefault="007B142C" w:rsidP="00B665ED">
            <w:pPr>
              <w:contextualSpacing/>
              <w:rPr>
                <w:rFonts w:ascii="Verdana" w:eastAsia="Arial" w:hAnsi="Verdana" w:cs="Arial"/>
                <w:color w:val="000000" w:themeColor="text1"/>
                <w:sz w:val="18"/>
                <w:szCs w:val="18"/>
              </w:rPr>
            </w:pPr>
            <w:r w:rsidRPr="003955E8">
              <w:rPr>
                <w:rStyle w:val="normaltextrun"/>
                <w:rFonts w:ascii="Verdana" w:eastAsia="Arial" w:hAnsi="Verdana" w:cs="Arial"/>
                <w:color w:val="000000" w:themeColor="text1"/>
                <w:sz w:val="18"/>
                <w:szCs w:val="18"/>
              </w:rPr>
              <w:t>Analista T2-02 de la Subdirección de Gestión Contractual</w:t>
            </w:r>
          </w:p>
        </w:tc>
      </w:tr>
      <w:tr w:rsidR="007B142C" w:rsidRPr="003955E8" w14:paraId="26E28782" w14:textId="77777777" w:rsidTr="00B665ED">
        <w:trPr>
          <w:trHeight w:val="330"/>
        </w:trPr>
        <w:tc>
          <w:tcPr>
            <w:tcW w:w="893" w:type="dxa"/>
            <w:vAlign w:val="center"/>
            <w:hideMark/>
          </w:tcPr>
          <w:p w14:paraId="27D440D3" w14:textId="77777777" w:rsidR="007B142C" w:rsidRPr="003955E8" w:rsidRDefault="007B142C" w:rsidP="00B665ED">
            <w:pPr>
              <w:contextualSpacing/>
              <w:rPr>
                <w:rFonts w:ascii="Verdana" w:hAnsi="Verdana" w:cs="Arial"/>
                <w:color w:val="000000" w:themeColor="text1"/>
                <w:sz w:val="18"/>
                <w:szCs w:val="18"/>
                <w:lang w:val="es-ES" w:eastAsia="es-ES"/>
              </w:rPr>
            </w:pPr>
            <w:r w:rsidRPr="003955E8">
              <w:rPr>
                <w:rFonts w:ascii="Verdana" w:hAnsi="Verdana" w:cs="Arial"/>
                <w:color w:val="000000" w:themeColor="text1"/>
                <w:sz w:val="18"/>
                <w:szCs w:val="18"/>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7992D" w14:textId="77777777" w:rsidR="007B142C" w:rsidRPr="003955E8" w:rsidRDefault="007B142C" w:rsidP="00B665ED">
            <w:pPr>
              <w:pStyle w:val="paragraph"/>
              <w:spacing w:before="0" w:beforeAutospacing="0" w:after="0" w:afterAutospacing="0"/>
              <w:contextualSpacing/>
              <w:textAlignment w:val="baseline"/>
              <w:rPr>
                <w:rFonts w:ascii="Verdana" w:hAnsi="Verdana" w:cs="Segoe UI"/>
                <w:color w:val="000000" w:themeColor="text1"/>
                <w:sz w:val="18"/>
                <w:szCs w:val="18"/>
              </w:rPr>
            </w:pPr>
            <w:r w:rsidRPr="003955E8">
              <w:rPr>
                <w:rFonts w:ascii="Verdana" w:hAnsi="Verdana" w:cs="Segoe UI"/>
                <w:color w:val="000000" w:themeColor="text1"/>
                <w:sz w:val="18"/>
                <w:szCs w:val="18"/>
              </w:rPr>
              <w:t xml:space="preserve">Adriana Katherine López Rodríguez </w:t>
            </w:r>
          </w:p>
          <w:p w14:paraId="484C0181" w14:textId="77777777" w:rsidR="007B142C" w:rsidRPr="003955E8" w:rsidRDefault="007B142C" w:rsidP="00B665ED">
            <w:pPr>
              <w:pStyle w:val="paragraph"/>
              <w:spacing w:before="0" w:beforeAutospacing="0" w:after="0" w:afterAutospacing="0"/>
              <w:contextualSpacing/>
              <w:textAlignment w:val="baseline"/>
              <w:rPr>
                <w:rFonts w:ascii="Verdana" w:hAnsi="Verdana" w:cs="Segoe UI"/>
                <w:color w:val="000000" w:themeColor="text1"/>
                <w:sz w:val="18"/>
                <w:szCs w:val="18"/>
              </w:rPr>
            </w:pPr>
            <w:r w:rsidRPr="003955E8">
              <w:rPr>
                <w:rStyle w:val="normaltextrun"/>
                <w:rFonts w:ascii="Verdana" w:hAnsi="Verdana" w:cs="Arial"/>
                <w:color w:val="000000" w:themeColor="text1"/>
                <w:sz w:val="18"/>
                <w:szCs w:val="18"/>
                <w:lang w:val="es-ES"/>
              </w:rPr>
              <w:t>Contratista de la Subdirección de Gestión Contractual</w:t>
            </w:r>
            <w:r w:rsidRPr="003955E8">
              <w:rPr>
                <w:rStyle w:val="eop"/>
                <w:rFonts w:ascii="Verdana" w:hAnsi="Verdana" w:cs="Arial"/>
                <w:color w:val="000000" w:themeColor="text1"/>
                <w:sz w:val="18"/>
                <w:szCs w:val="18"/>
              </w:rPr>
              <w:t> </w:t>
            </w:r>
          </w:p>
        </w:tc>
      </w:tr>
      <w:tr w:rsidR="007B142C" w:rsidRPr="003955E8" w14:paraId="42CEABFD" w14:textId="77777777" w:rsidTr="00B665ED">
        <w:trPr>
          <w:trHeight w:val="300"/>
        </w:trPr>
        <w:tc>
          <w:tcPr>
            <w:tcW w:w="893" w:type="dxa"/>
            <w:vAlign w:val="center"/>
          </w:tcPr>
          <w:p w14:paraId="5B75514E" w14:textId="77777777" w:rsidR="007B142C" w:rsidRPr="003955E8" w:rsidRDefault="007B142C" w:rsidP="00B665ED">
            <w:pPr>
              <w:contextualSpacing/>
              <w:rPr>
                <w:rFonts w:ascii="Verdana" w:hAnsi="Verdana" w:cs="Arial"/>
                <w:color w:val="000000" w:themeColor="text1"/>
                <w:sz w:val="18"/>
                <w:szCs w:val="18"/>
                <w:lang w:val="es-ES" w:eastAsia="es-ES"/>
              </w:rPr>
            </w:pPr>
            <w:r w:rsidRPr="003955E8">
              <w:rPr>
                <w:rFonts w:ascii="Verdana" w:hAnsi="Verdana" w:cs="Arial"/>
                <w:color w:val="000000" w:themeColor="text1"/>
                <w:sz w:val="18"/>
                <w:szCs w:val="18"/>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BCF753" w14:textId="77777777" w:rsidR="007B142C" w:rsidRPr="003955E8" w:rsidRDefault="007B142C" w:rsidP="00B665ED">
            <w:pPr>
              <w:contextualSpacing/>
              <w:rPr>
                <w:rFonts w:ascii="Verdana" w:eastAsia="Calibri" w:hAnsi="Verdana" w:cs="Arial"/>
                <w:color w:val="000000" w:themeColor="text1"/>
                <w:sz w:val="18"/>
                <w:szCs w:val="18"/>
                <w:lang w:val="pt-BR" w:eastAsia="es-ES"/>
              </w:rPr>
            </w:pPr>
            <w:r w:rsidRPr="003955E8">
              <w:rPr>
                <w:rFonts w:ascii="Verdana" w:eastAsia="Calibri" w:hAnsi="Verdana" w:cs="Arial"/>
                <w:color w:val="000000" w:themeColor="text1"/>
                <w:sz w:val="18"/>
                <w:szCs w:val="18"/>
                <w:lang w:val="pt-BR" w:eastAsia="es-ES"/>
              </w:rPr>
              <w:t>William Javier Murcia Acevedo</w:t>
            </w:r>
          </w:p>
          <w:p w14:paraId="72690AC2" w14:textId="77777777" w:rsidR="007B142C" w:rsidRPr="003955E8" w:rsidRDefault="007B142C" w:rsidP="00B665ED">
            <w:pPr>
              <w:contextualSpacing/>
              <w:rPr>
                <w:rFonts w:ascii="Verdana" w:eastAsia="Calibri" w:hAnsi="Verdana" w:cs="Arial"/>
                <w:color w:val="000000" w:themeColor="text1"/>
                <w:sz w:val="18"/>
                <w:szCs w:val="18"/>
                <w:lang w:val="pt-BR" w:eastAsia="es-ES"/>
              </w:rPr>
            </w:pPr>
            <w:r w:rsidRPr="003955E8">
              <w:rPr>
                <w:rFonts w:ascii="Verdana" w:eastAsia="Calibri" w:hAnsi="Verdana" w:cs="Arial"/>
                <w:color w:val="000000" w:themeColor="text1"/>
                <w:sz w:val="18"/>
                <w:szCs w:val="18"/>
                <w:lang w:eastAsia="es-ES"/>
              </w:rPr>
              <w:t>Subdirectora</w:t>
            </w:r>
            <w:r w:rsidRPr="003955E8">
              <w:rPr>
                <w:rFonts w:ascii="Verdana" w:eastAsia="Calibri" w:hAnsi="Verdana" w:cs="Arial"/>
                <w:color w:val="000000" w:themeColor="text1"/>
                <w:sz w:val="18"/>
                <w:szCs w:val="18"/>
                <w:lang w:val="pt-BR" w:eastAsia="es-ES"/>
              </w:rPr>
              <w:t xml:space="preserve"> de Gestión Contractual (E)ANCP – CCE</w:t>
            </w:r>
          </w:p>
        </w:tc>
      </w:tr>
    </w:tbl>
    <w:p w14:paraId="2171C40C" w14:textId="77777777" w:rsidR="007B142C" w:rsidRPr="006C6A36" w:rsidRDefault="007B142C" w:rsidP="007B142C"/>
    <w:p w14:paraId="247AC55F" w14:textId="77777777" w:rsidR="007B142C" w:rsidRDefault="007B142C" w:rsidP="007B142C"/>
    <w:p w14:paraId="14F28C28" w14:textId="77777777" w:rsidR="007B142C" w:rsidRDefault="007B142C" w:rsidP="007B142C"/>
    <w:p w14:paraId="48F603A1" w14:textId="77777777" w:rsidR="000F5A42" w:rsidRPr="00394A09" w:rsidRDefault="000F5A42" w:rsidP="00394A09"/>
    <w:sectPr w:rsidR="000F5A42" w:rsidRPr="00394A09" w:rsidSect="00003390">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3A97F" w14:textId="77777777" w:rsidR="0095129C" w:rsidRDefault="0095129C">
      <w:pPr>
        <w:spacing w:after="0" w:line="240" w:lineRule="auto"/>
      </w:pPr>
      <w:r>
        <w:separator/>
      </w:r>
    </w:p>
  </w:endnote>
  <w:endnote w:type="continuationSeparator" w:id="0">
    <w:p w14:paraId="0F9F9538" w14:textId="77777777" w:rsidR="0095129C" w:rsidRDefault="0095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5291" w14:textId="77777777" w:rsidR="00003390" w:rsidRDefault="00003390">
    <w:pPr>
      <w:pStyle w:val="Piedepgina"/>
    </w:pPr>
  </w:p>
  <w:p w14:paraId="3B7E6350" w14:textId="77777777" w:rsidR="00003390" w:rsidRPr="00174B77" w:rsidRDefault="0000339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AB4B758" w14:textId="77777777" w:rsidR="00003390" w:rsidRDefault="0000339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1EAAF85" w14:textId="77777777" w:rsidR="00003390" w:rsidRPr="00E41027" w:rsidRDefault="00003390" w:rsidP="00D520D8">
    <w:pPr>
      <w:spacing w:after="0"/>
      <w:jc w:val="both"/>
      <w:rPr>
        <w:rFonts w:ascii="Verdana" w:hAnsi="Verdana"/>
        <w:sz w:val="18"/>
        <w:szCs w:val="18"/>
      </w:rPr>
    </w:pPr>
    <w:r w:rsidRPr="00E41027">
      <w:rPr>
        <w:rFonts w:ascii="Verdana" w:hAnsi="Verdana"/>
        <w:sz w:val="18"/>
        <w:szCs w:val="18"/>
      </w:rPr>
      <w:t>Mesa de servicio: (+57) 601 7456788</w:t>
    </w:r>
  </w:p>
  <w:p w14:paraId="235C413B" w14:textId="77777777" w:rsidR="00003390" w:rsidRDefault="00003390"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6FB7A" w14:textId="77777777" w:rsidR="0095129C" w:rsidRDefault="0095129C">
      <w:pPr>
        <w:spacing w:after="0" w:line="240" w:lineRule="auto"/>
      </w:pPr>
      <w:r>
        <w:separator/>
      </w:r>
    </w:p>
  </w:footnote>
  <w:footnote w:type="continuationSeparator" w:id="0">
    <w:p w14:paraId="71B8C0BC" w14:textId="77777777" w:rsidR="0095129C" w:rsidRDefault="0095129C">
      <w:pPr>
        <w:spacing w:after="0" w:line="240" w:lineRule="auto"/>
      </w:pPr>
      <w:r>
        <w:continuationSeparator/>
      </w:r>
    </w:p>
  </w:footnote>
  <w:footnote w:id="1">
    <w:p w14:paraId="65121C49" w14:textId="77777777" w:rsidR="007B142C" w:rsidRPr="00F2390A" w:rsidRDefault="007B142C" w:rsidP="007B142C">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Pr>
          <w:rFonts w:ascii="Arial" w:hAnsi="Arial" w:cs="Arial"/>
          <w:sz w:val="14"/>
          <w:szCs w:val="14"/>
        </w:rPr>
        <w:t>“</w:t>
      </w:r>
      <w:r w:rsidRPr="00F2390A">
        <w:rPr>
          <w:rFonts w:ascii="Arial" w:hAnsi="Arial" w:cs="Arial"/>
          <w:sz w:val="14"/>
          <w:szCs w:val="14"/>
        </w:rPr>
        <w:t xml:space="preserve">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2D4080C" w14:textId="77777777" w:rsidR="007B142C" w:rsidRPr="00F2390A" w:rsidRDefault="007B142C" w:rsidP="007B142C">
      <w:pPr>
        <w:pStyle w:val="Textonotapie"/>
        <w:ind w:firstLine="708"/>
        <w:jc w:val="both"/>
        <w:rPr>
          <w:rFonts w:ascii="Arial" w:hAnsi="Arial" w:cs="Arial"/>
          <w:sz w:val="14"/>
          <w:szCs w:val="14"/>
        </w:rPr>
      </w:pPr>
      <w:r w:rsidRPr="00F2390A">
        <w:rPr>
          <w:rFonts w:ascii="Arial" w:hAnsi="Arial" w:cs="Arial"/>
          <w:sz w:val="14"/>
          <w:szCs w:val="14"/>
        </w:rPr>
        <w:t xml:space="preserve">[…] </w:t>
      </w:r>
    </w:p>
    <w:p w14:paraId="1B455A93" w14:textId="77777777" w:rsidR="007B142C" w:rsidRPr="00F2390A" w:rsidRDefault="007B142C" w:rsidP="007B142C">
      <w:pPr>
        <w:pStyle w:val="Textonotapie"/>
        <w:ind w:firstLine="708"/>
        <w:jc w:val="both"/>
        <w:rPr>
          <w:rFonts w:ascii="Arial" w:hAnsi="Arial" w:cs="Arial"/>
          <w:sz w:val="14"/>
          <w:szCs w:val="14"/>
        </w:rPr>
      </w:pPr>
      <w:r>
        <w:rPr>
          <w:rFonts w:ascii="Arial" w:hAnsi="Arial" w:cs="Arial"/>
          <w:sz w:val="14"/>
          <w:szCs w:val="14"/>
        </w:rPr>
        <w:t>“</w:t>
      </w:r>
      <w:r w:rsidRPr="00F2390A">
        <w:rPr>
          <w:rFonts w:ascii="Arial" w:hAnsi="Arial" w:cs="Arial"/>
          <w:sz w:val="14"/>
          <w:szCs w:val="14"/>
        </w:rPr>
        <w:t>2.1. Bienes, obras y servicios que ofrecerá a las Entidades Estatales, identificados con el Clasificador de Bienes y Servicios en el tercer nivel</w:t>
      </w:r>
      <w:r>
        <w:rPr>
          <w:rFonts w:ascii="Arial" w:hAnsi="Arial" w:cs="Arial"/>
          <w:sz w:val="14"/>
          <w:szCs w:val="14"/>
        </w:rPr>
        <w:t>”</w:t>
      </w:r>
      <w:r w:rsidRPr="00F2390A">
        <w:rPr>
          <w:rFonts w:ascii="Arial" w:hAnsi="Arial" w:cs="Arial"/>
          <w:sz w:val="14"/>
          <w:szCs w:val="14"/>
        </w:rPr>
        <w:t>.</w:t>
      </w:r>
    </w:p>
    <w:p w14:paraId="4EB0854E" w14:textId="77777777" w:rsidR="007B142C" w:rsidRPr="00F2390A" w:rsidRDefault="007B142C" w:rsidP="007B142C">
      <w:pPr>
        <w:pStyle w:val="Textonotapie"/>
        <w:ind w:firstLine="708"/>
        <w:jc w:val="both"/>
        <w:rPr>
          <w:rFonts w:ascii="Arial" w:hAnsi="Arial" w:cs="Arial"/>
          <w:sz w:val="14"/>
          <w:szCs w:val="14"/>
          <w:lang w:val="es-CO"/>
        </w:rPr>
      </w:pPr>
    </w:p>
  </w:footnote>
  <w:footnote w:id="2">
    <w:p w14:paraId="70B8772F" w14:textId="77777777" w:rsidR="007B142C" w:rsidRPr="00F2390A" w:rsidRDefault="007B142C" w:rsidP="007B142C">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Pr>
          <w:rFonts w:ascii="Arial" w:hAnsi="Arial" w:cs="Arial"/>
          <w:sz w:val="14"/>
          <w:szCs w:val="14"/>
        </w:rPr>
        <w:t>“</w:t>
      </w:r>
      <w:r w:rsidRPr="00F2390A">
        <w:rPr>
          <w:rFonts w:ascii="Arial" w:hAnsi="Arial" w:cs="Arial"/>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FC14287" w14:textId="77777777" w:rsidR="007B142C" w:rsidRPr="00F2390A" w:rsidRDefault="007B142C" w:rsidP="007B142C">
      <w:pPr>
        <w:pStyle w:val="Textonotapie"/>
        <w:ind w:firstLine="708"/>
        <w:jc w:val="both"/>
        <w:rPr>
          <w:rFonts w:ascii="Arial" w:hAnsi="Arial" w:cs="Arial"/>
          <w:sz w:val="14"/>
          <w:szCs w:val="14"/>
        </w:rPr>
      </w:pPr>
      <w:r w:rsidRPr="00F2390A">
        <w:rPr>
          <w:rFonts w:ascii="Arial" w:hAnsi="Arial" w:cs="Arial"/>
          <w:sz w:val="14"/>
          <w:szCs w:val="14"/>
        </w:rPr>
        <w:t xml:space="preserve">[…] </w:t>
      </w:r>
    </w:p>
    <w:p w14:paraId="64222A01" w14:textId="77777777" w:rsidR="007B142C" w:rsidRPr="00F2390A" w:rsidRDefault="007B142C" w:rsidP="007B142C">
      <w:pPr>
        <w:pStyle w:val="Textonotapie"/>
        <w:ind w:firstLine="708"/>
        <w:jc w:val="both"/>
        <w:rPr>
          <w:rFonts w:ascii="Arial" w:hAnsi="Arial" w:cs="Arial"/>
          <w:sz w:val="14"/>
          <w:szCs w:val="14"/>
          <w:lang w:val="es-CO"/>
        </w:rPr>
      </w:pPr>
      <w:r>
        <w:rPr>
          <w:rFonts w:ascii="Arial" w:hAnsi="Arial" w:cs="Arial"/>
          <w:sz w:val="14"/>
          <w:szCs w:val="14"/>
        </w:rPr>
        <w:t>“</w:t>
      </w:r>
      <w:r w:rsidRPr="00F2390A">
        <w:rPr>
          <w:rFonts w:ascii="Arial" w:hAnsi="Arial"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Pr>
          <w:rFonts w:ascii="Arial" w:hAnsi="Arial" w:cs="Arial"/>
          <w:sz w:val="14"/>
          <w:szCs w:val="14"/>
        </w:rPr>
        <w:t>”</w:t>
      </w:r>
      <w:r w:rsidRPr="00F2390A">
        <w:rPr>
          <w:rFonts w:ascii="Arial" w:hAnsi="Arial" w:cs="Arial"/>
          <w:sz w:val="14"/>
          <w:szCs w:val="14"/>
        </w:rPr>
        <w:t>.</w:t>
      </w:r>
    </w:p>
  </w:footnote>
  <w:footnote w:id="3">
    <w:p w14:paraId="0DB25709" w14:textId="77777777" w:rsidR="007B142C" w:rsidRPr="00765703" w:rsidRDefault="007B142C" w:rsidP="007B142C">
      <w:pPr>
        <w:pStyle w:val="Textonotapie"/>
        <w:ind w:firstLine="708"/>
        <w:jc w:val="both"/>
        <w:rPr>
          <w:rFonts w:ascii="Verdana" w:hAnsi="Verdana" w:cs="Arial"/>
          <w:sz w:val="14"/>
          <w:szCs w:val="14"/>
        </w:rPr>
      </w:pPr>
      <w:r w:rsidRPr="00765703">
        <w:rPr>
          <w:rStyle w:val="Refdenotaalpie"/>
          <w:rFonts w:ascii="Verdana" w:hAnsi="Verdana" w:cs="Arial"/>
          <w:sz w:val="14"/>
          <w:szCs w:val="14"/>
        </w:rPr>
        <w:footnoteRef/>
      </w:r>
      <w:r w:rsidRPr="00765703">
        <w:rPr>
          <w:rFonts w:ascii="Verdana" w:hAnsi="Verdana" w:cs="Arial"/>
          <w:sz w:val="14"/>
          <w:szCs w:val="14"/>
        </w:rPr>
        <w:t xml:space="preserve"> Colombia Compra Eficiente. Concepto del 7 de febrero de 2018, Rad. 2201813000000954.</w:t>
      </w:r>
    </w:p>
    <w:p w14:paraId="0DC1B29D" w14:textId="77777777" w:rsidR="007B142C" w:rsidRPr="00765703" w:rsidRDefault="007B142C" w:rsidP="007B142C">
      <w:pPr>
        <w:pStyle w:val="Textonotapie"/>
        <w:ind w:firstLine="708"/>
        <w:jc w:val="both"/>
        <w:rPr>
          <w:rFonts w:ascii="Verdana" w:hAnsi="Verdana" w:cs="Arial"/>
          <w:sz w:val="14"/>
          <w:szCs w:val="14"/>
          <w:lang w:val="es-CO"/>
        </w:rPr>
      </w:pPr>
    </w:p>
  </w:footnote>
  <w:footnote w:id="4">
    <w:p w14:paraId="5AEDE94E" w14:textId="77777777" w:rsidR="007B142C" w:rsidRPr="00F2390A" w:rsidRDefault="007B142C" w:rsidP="007B142C">
      <w:pPr>
        <w:pStyle w:val="Textonotapie"/>
        <w:ind w:firstLine="708"/>
        <w:jc w:val="both"/>
        <w:rPr>
          <w:rFonts w:ascii="Arial" w:hAnsi="Arial" w:cs="Arial"/>
          <w:sz w:val="14"/>
          <w:szCs w:val="14"/>
          <w:lang w:val="es-CO"/>
        </w:rPr>
      </w:pPr>
      <w:r w:rsidRPr="00765703">
        <w:rPr>
          <w:rStyle w:val="Refdenotaalpie"/>
          <w:rFonts w:ascii="Verdana" w:hAnsi="Verdana" w:cs="Arial"/>
          <w:sz w:val="14"/>
          <w:szCs w:val="14"/>
        </w:rPr>
        <w:footnoteRef/>
      </w:r>
      <w:r w:rsidRPr="00765703">
        <w:rPr>
          <w:rFonts w:ascii="Verdana" w:hAnsi="Verdana" w:cs="Arial"/>
          <w:sz w:val="14"/>
          <w:szCs w:val="14"/>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5">
    <w:p w14:paraId="741C3EFB" w14:textId="77777777" w:rsidR="007B142C" w:rsidRPr="006A11D8" w:rsidRDefault="007B142C" w:rsidP="007B142C">
      <w:pPr>
        <w:pStyle w:val="Textonotapie"/>
        <w:ind w:firstLine="709"/>
        <w:jc w:val="both"/>
        <w:rPr>
          <w:rFonts w:ascii="Verdana" w:hAnsi="Verdana" w:cs="Arial"/>
          <w:color w:val="000000"/>
          <w:sz w:val="16"/>
          <w:szCs w:val="16"/>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7AA927BA" w14:textId="77777777" w:rsidR="007B142C" w:rsidRPr="006A11D8" w:rsidRDefault="007B142C" w:rsidP="007B142C">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1o.) que sea legalmente capaz.</w:t>
      </w:r>
    </w:p>
    <w:p w14:paraId="46661736" w14:textId="77777777" w:rsidR="007B142C" w:rsidRPr="006A11D8" w:rsidRDefault="007B142C" w:rsidP="007B142C">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w:t>
      </w:r>
    </w:p>
    <w:p w14:paraId="55954A35" w14:textId="77777777" w:rsidR="007B142C" w:rsidRPr="006A11D8" w:rsidRDefault="007B142C" w:rsidP="007B142C">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La capacidad legal de una persona consiste en poderse obligar por sí misma, sin el ministerio o la autorización de otra”.</w:t>
      </w:r>
    </w:p>
  </w:footnote>
  <w:footnote w:id="6">
    <w:p w14:paraId="5B4CBA0E" w14:textId="77777777" w:rsidR="007B142C" w:rsidRPr="006A11D8" w:rsidRDefault="007B142C" w:rsidP="007B142C">
      <w:pPr>
        <w:pStyle w:val="Textonotapie"/>
        <w:jc w:val="both"/>
        <w:rPr>
          <w:rFonts w:ascii="Verdana" w:hAnsi="Verdana" w:cs="Arial"/>
          <w:color w:val="000000"/>
          <w:sz w:val="16"/>
          <w:szCs w:val="16"/>
          <w:lang w:val="es-ES"/>
        </w:rPr>
      </w:pPr>
    </w:p>
  </w:footnote>
  <w:footnote w:id="7">
    <w:p w14:paraId="298A8D05" w14:textId="77777777" w:rsidR="007B142C" w:rsidRPr="006A11D8" w:rsidRDefault="007B142C" w:rsidP="007B142C">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4350BBCD" w14:textId="77777777" w:rsidR="007B142C" w:rsidRPr="006A11D8" w:rsidRDefault="007B142C" w:rsidP="007B142C">
      <w:pPr>
        <w:spacing w:after="0" w:line="240" w:lineRule="auto"/>
        <w:ind w:firstLine="709"/>
        <w:jc w:val="both"/>
        <w:rPr>
          <w:rFonts w:ascii="Verdana" w:hAnsi="Verdana" w:cs="Arial"/>
          <w:color w:val="000000"/>
          <w:sz w:val="16"/>
          <w:szCs w:val="16"/>
          <w:lang w:val="es-ES"/>
        </w:rPr>
      </w:pPr>
    </w:p>
  </w:footnote>
  <w:footnote w:id="8">
    <w:p w14:paraId="0B419027" w14:textId="77777777" w:rsidR="007B142C" w:rsidRPr="006A11D8" w:rsidRDefault="007B142C" w:rsidP="007B142C">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6D43D220" w14:textId="77777777" w:rsidR="007B142C" w:rsidRPr="006A11D8" w:rsidRDefault="007B142C" w:rsidP="007B142C">
      <w:pPr>
        <w:pStyle w:val="Textonotapie"/>
        <w:ind w:firstLine="709"/>
        <w:jc w:val="both"/>
        <w:rPr>
          <w:rFonts w:ascii="Verdana" w:hAnsi="Verdana" w:cs="Arial"/>
          <w:color w:val="000000"/>
          <w:sz w:val="16"/>
          <w:szCs w:val="16"/>
          <w:lang w:val="es-CO"/>
        </w:rPr>
      </w:pPr>
    </w:p>
  </w:footnote>
  <w:footnote w:id="9">
    <w:p w14:paraId="5DE10B09" w14:textId="77777777" w:rsidR="007B142C" w:rsidRPr="006A11D8" w:rsidRDefault="007B142C" w:rsidP="007B142C">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1D714A63" w14:textId="77777777" w:rsidR="007B142C" w:rsidRPr="006A11D8" w:rsidRDefault="007B142C" w:rsidP="007B142C">
      <w:pPr>
        <w:pStyle w:val="Textonotapie"/>
        <w:ind w:firstLine="709"/>
        <w:jc w:val="both"/>
        <w:rPr>
          <w:rFonts w:ascii="Verdana" w:hAnsi="Verdana" w:cs="Arial"/>
          <w:color w:val="000000"/>
          <w:sz w:val="16"/>
          <w:szCs w:val="16"/>
          <w:lang w:val="es-CO"/>
        </w:rPr>
      </w:pPr>
      <w:r w:rsidRPr="006A11D8">
        <w:rPr>
          <w:rFonts w:ascii="Verdana" w:hAnsi="Verdana" w:cs="Arial"/>
          <w:color w:val="000000"/>
          <w:sz w:val="16"/>
          <w:szCs w:val="16"/>
          <w:lang w:val="es-ES"/>
        </w:rPr>
        <w:t xml:space="preserve">  </w:t>
      </w:r>
    </w:p>
  </w:footnote>
  <w:footnote w:id="10">
    <w:p w14:paraId="1E3F83F2" w14:textId="77777777" w:rsidR="007B142C" w:rsidRPr="006A11D8" w:rsidRDefault="007B142C" w:rsidP="007B142C">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05B59570" w14:textId="77777777" w:rsidR="007B142C" w:rsidRPr="006A11D8" w:rsidRDefault="007B142C" w:rsidP="007B142C">
      <w:pPr>
        <w:spacing w:after="0" w:line="240" w:lineRule="auto"/>
        <w:ind w:firstLine="709"/>
        <w:jc w:val="both"/>
        <w:rPr>
          <w:rFonts w:ascii="Verdana" w:hAnsi="Verdana" w:cs="Arial"/>
          <w:color w:val="000000"/>
          <w:sz w:val="16"/>
          <w:szCs w:val="16"/>
          <w:lang w:val="es-ES"/>
        </w:rPr>
      </w:pPr>
    </w:p>
  </w:footnote>
  <w:footnote w:id="11">
    <w:p w14:paraId="223297D8" w14:textId="77777777" w:rsidR="007B142C" w:rsidRPr="006A11D8" w:rsidRDefault="007B142C" w:rsidP="007B142C">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9F80F1E" w14:textId="77777777" w:rsidR="007B142C" w:rsidRPr="006A11D8" w:rsidRDefault="007B142C" w:rsidP="007B142C">
      <w:pPr>
        <w:pStyle w:val="Textonotapie"/>
        <w:ind w:firstLine="709"/>
        <w:jc w:val="both"/>
        <w:rPr>
          <w:rFonts w:ascii="Verdana" w:hAnsi="Verdana" w:cs="Arial"/>
          <w:color w:val="000000"/>
          <w:sz w:val="16"/>
          <w:szCs w:val="16"/>
          <w:lang w:val="es-ES"/>
        </w:rPr>
      </w:pPr>
    </w:p>
  </w:footnote>
  <w:footnote w:id="12">
    <w:p w14:paraId="0C68969E" w14:textId="77777777" w:rsidR="007B142C" w:rsidRPr="003955E8" w:rsidRDefault="007B142C" w:rsidP="007B142C">
      <w:pPr>
        <w:pStyle w:val="Textonotapie"/>
        <w:ind w:firstLine="709"/>
        <w:jc w:val="both"/>
        <w:rPr>
          <w:rFonts w:ascii="Verdana" w:hAnsi="Verdana" w:cs="Arial"/>
          <w:color w:val="000000"/>
          <w:sz w:val="14"/>
          <w:szCs w:val="14"/>
          <w:lang w:val="es-ES"/>
        </w:rPr>
      </w:pPr>
      <w:r w:rsidRPr="003955E8">
        <w:rPr>
          <w:rStyle w:val="Refdenotaalpie"/>
          <w:rFonts w:ascii="Verdana" w:hAnsi="Verdana" w:cs="Arial"/>
          <w:color w:val="000000"/>
          <w:sz w:val="14"/>
          <w:szCs w:val="14"/>
        </w:rPr>
        <w:footnoteRef/>
      </w:r>
      <w:r w:rsidRPr="003955E8">
        <w:rPr>
          <w:rFonts w:ascii="Verdana" w:hAnsi="Verdana" w:cs="Arial"/>
          <w:color w:val="000000"/>
          <w:sz w:val="14"/>
          <w:szCs w:val="14"/>
        </w:rPr>
        <w:t xml:space="preserve"> </w:t>
      </w:r>
      <w:r w:rsidRPr="003955E8">
        <w:rPr>
          <w:rFonts w:ascii="Verdana" w:hAnsi="Verdana" w:cs="Arial"/>
          <w:color w:val="000000"/>
          <w:sz w:val="14"/>
          <w:szCs w:val="14"/>
          <w:lang w:val="es-ES"/>
        </w:rPr>
        <w:t>Ibíd., p. 69.</w:t>
      </w:r>
    </w:p>
    <w:p w14:paraId="2366DF07" w14:textId="77777777" w:rsidR="007B142C" w:rsidRPr="003955E8" w:rsidRDefault="007B142C" w:rsidP="007B142C">
      <w:pPr>
        <w:pStyle w:val="Textonotapie"/>
        <w:ind w:firstLine="709"/>
        <w:jc w:val="both"/>
        <w:rPr>
          <w:rFonts w:ascii="Verdana" w:hAnsi="Verdana" w:cs="Arial"/>
          <w:color w:val="000000"/>
          <w:sz w:val="14"/>
          <w:szCs w:val="14"/>
          <w:lang w:val="es-ES"/>
        </w:rPr>
      </w:pPr>
    </w:p>
  </w:footnote>
  <w:footnote w:id="13">
    <w:p w14:paraId="3C86C8CA" w14:textId="77777777" w:rsidR="007B142C" w:rsidRPr="003955E8" w:rsidRDefault="007B142C" w:rsidP="007B142C">
      <w:pPr>
        <w:pStyle w:val="Textonotapie"/>
        <w:ind w:firstLine="709"/>
        <w:jc w:val="both"/>
        <w:rPr>
          <w:rFonts w:ascii="Verdana" w:hAnsi="Verdana" w:cs="Arial"/>
          <w:color w:val="000000"/>
          <w:sz w:val="14"/>
          <w:szCs w:val="14"/>
          <w:lang w:val="es-ES"/>
        </w:rPr>
      </w:pPr>
      <w:r w:rsidRPr="003955E8">
        <w:rPr>
          <w:rStyle w:val="Refdenotaalpie"/>
          <w:rFonts w:ascii="Verdana" w:hAnsi="Verdana" w:cs="Arial"/>
          <w:color w:val="000000"/>
          <w:sz w:val="14"/>
          <w:szCs w:val="14"/>
        </w:rPr>
        <w:footnoteRef/>
      </w:r>
      <w:r w:rsidRPr="003955E8">
        <w:rPr>
          <w:rFonts w:ascii="Verdana" w:hAnsi="Verdana" w:cs="Arial"/>
          <w:color w:val="000000"/>
          <w:sz w:val="14"/>
          <w:szCs w:val="14"/>
        </w:rPr>
        <w:t xml:space="preserve"> </w:t>
      </w:r>
      <w:r w:rsidRPr="003955E8">
        <w:rPr>
          <w:rFonts w:ascii="Verdana" w:hAnsi="Verdana" w:cs="Arial"/>
          <w:color w:val="000000"/>
          <w:sz w:val="14"/>
          <w:szCs w:val="14"/>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19D1BE88" w14:textId="77777777" w:rsidR="007B142C" w:rsidRPr="003955E8" w:rsidRDefault="007B142C" w:rsidP="007B142C">
      <w:pPr>
        <w:pStyle w:val="Textonotapie"/>
        <w:ind w:firstLine="709"/>
        <w:jc w:val="both"/>
        <w:rPr>
          <w:rFonts w:ascii="Verdana" w:hAnsi="Verdana" w:cs="Arial"/>
          <w:color w:val="000000"/>
          <w:sz w:val="14"/>
          <w:szCs w:val="14"/>
          <w:lang w:val="es-ES"/>
        </w:rPr>
      </w:pPr>
    </w:p>
  </w:footnote>
  <w:footnote w:id="14">
    <w:p w14:paraId="1E873662" w14:textId="77777777" w:rsidR="007B142C" w:rsidRPr="003955E8" w:rsidRDefault="007B142C" w:rsidP="007B142C">
      <w:pPr>
        <w:pStyle w:val="Textonotapie"/>
        <w:ind w:firstLine="709"/>
        <w:jc w:val="both"/>
        <w:rPr>
          <w:rFonts w:ascii="Verdana" w:hAnsi="Verdana" w:cs="Arial"/>
          <w:color w:val="000000"/>
          <w:sz w:val="14"/>
          <w:szCs w:val="14"/>
          <w:lang w:val="es-ES"/>
        </w:rPr>
      </w:pPr>
      <w:r w:rsidRPr="003955E8">
        <w:rPr>
          <w:rStyle w:val="Refdenotaalpie"/>
          <w:rFonts w:ascii="Verdana" w:hAnsi="Verdana" w:cs="Arial"/>
          <w:color w:val="000000"/>
          <w:sz w:val="14"/>
          <w:szCs w:val="14"/>
        </w:rPr>
        <w:footnoteRef/>
      </w:r>
      <w:r w:rsidRPr="003955E8">
        <w:rPr>
          <w:rFonts w:ascii="Verdana" w:hAnsi="Verdana" w:cs="Arial"/>
          <w:color w:val="000000"/>
          <w:sz w:val="14"/>
          <w:szCs w:val="14"/>
        </w:rPr>
        <w:t xml:space="preserve"> </w:t>
      </w:r>
      <w:r w:rsidRPr="003955E8">
        <w:rPr>
          <w:rFonts w:ascii="Verdana" w:hAnsi="Verdana" w:cs="Arial"/>
          <w:color w:val="000000"/>
          <w:sz w:val="14"/>
          <w:szCs w:val="14"/>
          <w:lang w:val="es-ES"/>
        </w:rPr>
        <w:t>Consejo de Estado. Sala de Consulta y Servicio Civil. Concepto del 30 de abril de 2015. Expediente: 2251. Consejero Ponente: Álvaro Namén Vargas.</w:t>
      </w:r>
    </w:p>
    <w:p w14:paraId="443E1250" w14:textId="77777777" w:rsidR="007B142C" w:rsidRPr="000B604E" w:rsidRDefault="007B142C" w:rsidP="007B142C">
      <w:pPr>
        <w:pStyle w:val="Textonotapie"/>
        <w:ind w:firstLine="709"/>
        <w:jc w:val="both"/>
        <w:rPr>
          <w:rFonts w:ascii="Verdana" w:hAnsi="Verdana" w:cs="Arial"/>
          <w:color w:val="000000"/>
          <w:sz w:val="16"/>
          <w:szCs w:val="16"/>
          <w:lang w:val="es-ES"/>
        </w:rPr>
      </w:pPr>
    </w:p>
  </w:footnote>
  <w:footnote w:id="15">
    <w:p w14:paraId="1C515032" w14:textId="77777777" w:rsidR="007B142C" w:rsidRPr="003955E8" w:rsidRDefault="007B142C" w:rsidP="007B142C">
      <w:pPr>
        <w:pStyle w:val="Textonotapie"/>
        <w:ind w:firstLine="709"/>
        <w:jc w:val="both"/>
        <w:rPr>
          <w:rFonts w:ascii="Verdana" w:hAnsi="Verdana" w:cs="Arial"/>
          <w:color w:val="000000"/>
          <w:sz w:val="14"/>
          <w:szCs w:val="14"/>
        </w:rPr>
      </w:pPr>
      <w:r w:rsidRPr="003955E8">
        <w:rPr>
          <w:rStyle w:val="Refdenotaalpie"/>
          <w:rFonts w:ascii="Verdana" w:hAnsi="Verdana" w:cs="Arial"/>
          <w:color w:val="000000"/>
          <w:sz w:val="14"/>
          <w:szCs w:val="14"/>
        </w:rPr>
        <w:footnoteRef/>
      </w:r>
      <w:r w:rsidRPr="003955E8">
        <w:rPr>
          <w:rFonts w:ascii="Verdana" w:hAnsi="Verdana" w:cs="Arial"/>
          <w:color w:val="000000"/>
          <w:sz w:val="14"/>
          <w:szCs w:val="14"/>
        </w:rPr>
        <w:t xml:space="preserve"> Consejo de Estado. Sala de lo Contencioso Administrativo. Sección Tercera. Subsección A. Sentencia del 24 de junio de 2015. Exp. 40.635. Consejero Ponente: Hernán Andrade Rincón (E).</w:t>
      </w:r>
    </w:p>
    <w:p w14:paraId="767E4C6D" w14:textId="77777777" w:rsidR="007B142C" w:rsidRPr="003955E8" w:rsidRDefault="007B142C" w:rsidP="007B142C">
      <w:pPr>
        <w:pStyle w:val="Textonotapie"/>
        <w:ind w:firstLine="709"/>
        <w:jc w:val="both"/>
        <w:rPr>
          <w:rFonts w:ascii="Verdana" w:hAnsi="Verdana" w:cs="Arial"/>
          <w:color w:val="000000"/>
          <w:sz w:val="14"/>
          <w:szCs w:val="14"/>
          <w:lang w:val="es-ES"/>
        </w:rPr>
      </w:pPr>
    </w:p>
  </w:footnote>
  <w:footnote w:id="16">
    <w:p w14:paraId="6646EFA0" w14:textId="77777777" w:rsidR="007B142C" w:rsidRPr="003955E8" w:rsidRDefault="007B142C" w:rsidP="007B142C">
      <w:pPr>
        <w:pStyle w:val="Textonotapie"/>
        <w:ind w:firstLine="709"/>
        <w:jc w:val="both"/>
        <w:rPr>
          <w:rFonts w:ascii="Verdana" w:hAnsi="Verdana" w:cs="Arial"/>
          <w:color w:val="000000"/>
          <w:sz w:val="14"/>
          <w:szCs w:val="14"/>
        </w:rPr>
      </w:pPr>
      <w:r w:rsidRPr="003955E8">
        <w:rPr>
          <w:rStyle w:val="Refdenotaalpie"/>
          <w:rFonts w:ascii="Verdana" w:hAnsi="Verdana" w:cs="Arial"/>
          <w:color w:val="000000"/>
          <w:sz w:val="14"/>
          <w:szCs w:val="14"/>
        </w:rPr>
        <w:footnoteRef/>
      </w:r>
      <w:r w:rsidRPr="003955E8">
        <w:rPr>
          <w:rFonts w:ascii="Verdana" w:hAnsi="Verdana" w:cs="Arial"/>
          <w:color w:val="000000"/>
          <w:sz w:val="14"/>
          <w:szCs w:val="14"/>
        </w:rPr>
        <w:t xml:space="preserve"> Consejo de Estado. Sala de lo Contencioso Administrativo. Sección Tercera. Subsección C. Sentencia del 22 de mayo de 2013. Exp. 24.057. Consejera Ponente: Olga Melida Valle De De La Hoz.</w:t>
      </w:r>
    </w:p>
    <w:p w14:paraId="4A63BB0B" w14:textId="77777777" w:rsidR="007B142C" w:rsidRPr="000B604E" w:rsidRDefault="007B142C" w:rsidP="007B142C">
      <w:pPr>
        <w:pStyle w:val="Textonotapie"/>
        <w:ind w:firstLine="709"/>
        <w:jc w:val="both"/>
        <w:rPr>
          <w:rFonts w:ascii="Verdana" w:hAnsi="Verdana" w:cs="Arial"/>
          <w:color w:val="000000"/>
          <w:sz w:val="16"/>
          <w:szCs w:val="16"/>
          <w:lang w:val="es-ES"/>
        </w:rPr>
      </w:pPr>
    </w:p>
  </w:footnote>
  <w:footnote w:id="17">
    <w:p w14:paraId="6F0B80BE" w14:textId="77777777" w:rsidR="007B142C" w:rsidRPr="00F61A1D" w:rsidRDefault="007B142C" w:rsidP="007B142C">
      <w:pPr>
        <w:pStyle w:val="Textonotapie"/>
        <w:rPr>
          <w:lang w:val="es-CO"/>
        </w:rPr>
      </w:pPr>
      <w:r>
        <w:rPr>
          <w:rStyle w:val="Refdenotaalpi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7BA8" w14:textId="77777777" w:rsidR="00003390" w:rsidRDefault="0000339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3D8187B" wp14:editId="342FDEA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B7DA0CF" wp14:editId="0D8EED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AE395A6" w14:textId="77777777" w:rsidR="00003390" w:rsidRDefault="00003390">
    <w:pPr>
      <w:pStyle w:val="Encabezado"/>
    </w:pPr>
  </w:p>
  <w:p w14:paraId="07F0F54C" w14:textId="77777777" w:rsidR="00003390" w:rsidRPr="004A305D" w:rsidRDefault="00003390" w:rsidP="00B01B1A">
    <w:pPr>
      <w:spacing w:after="0" w:line="120" w:lineRule="auto"/>
      <w:rPr>
        <w:rFonts w:ascii="Century Gothic" w:eastAsia="Geo" w:hAnsi="Century Gothic" w:cs="Geo"/>
        <w:sz w:val="16"/>
        <w:szCs w:val="16"/>
        <w:lang w:eastAsia="es-CO"/>
      </w:rPr>
    </w:pPr>
  </w:p>
  <w:p w14:paraId="41FF1EFB" w14:textId="77777777" w:rsidR="00003390" w:rsidRDefault="00003390" w:rsidP="00844AE9">
    <w:pPr>
      <w:spacing w:after="0" w:line="240" w:lineRule="auto"/>
      <w:rPr>
        <w:rFonts w:ascii="Verdana" w:hAnsi="Verdana"/>
        <w:sz w:val="24"/>
        <w:szCs w:val="24"/>
      </w:rPr>
    </w:pPr>
  </w:p>
  <w:p w14:paraId="735449C3" w14:textId="77777777" w:rsidR="00003390" w:rsidRPr="00C925AC" w:rsidRDefault="00003390" w:rsidP="00844AE9">
    <w:pPr>
      <w:spacing w:after="0" w:line="240" w:lineRule="auto"/>
      <w:rPr>
        <w:rFonts w:ascii="Verdana" w:hAnsi="Verdana"/>
        <w:sz w:val="24"/>
        <w:szCs w:val="24"/>
      </w:rPr>
    </w:pPr>
  </w:p>
  <w:p w14:paraId="039EC218" w14:textId="77777777" w:rsidR="00003390" w:rsidRPr="00C925AC" w:rsidRDefault="0000339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021395840">
    <w:abstractNumId w:val="2"/>
  </w:num>
  <w:num w:numId="2" w16cid:durableId="1178156914">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390"/>
    <w:rsid w:val="00003390"/>
    <w:rsid w:val="00025935"/>
    <w:rsid w:val="00026E8C"/>
    <w:rsid w:val="000A0888"/>
    <w:rsid w:val="000E42E9"/>
    <w:rsid w:val="000F5A42"/>
    <w:rsid w:val="00154214"/>
    <w:rsid w:val="00163239"/>
    <w:rsid w:val="001939A1"/>
    <w:rsid w:val="0021174A"/>
    <w:rsid w:val="002161F3"/>
    <w:rsid w:val="00221BDC"/>
    <w:rsid w:val="00237353"/>
    <w:rsid w:val="00251F75"/>
    <w:rsid w:val="002C5CCF"/>
    <w:rsid w:val="00311CBF"/>
    <w:rsid w:val="00354C4F"/>
    <w:rsid w:val="00375F1C"/>
    <w:rsid w:val="00394A09"/>
    <w:rsid w:val="003955E8"/>
    <w:rsid w:val="0043467E"/>
    <w:rsid w:val="004668F9"/>
    <w:rsid w:val="00476E7A"/>
    <w:rsid w:val="00477290"/>
    <w:rsid w:val="00480C12"/>
    <w:rsid w:val="004871BA"/>
    <w:rsid w:val="004F2419"/>
    <w:rsid w:val="0056374C"/>
    <w:rsid w:val="005A4D5A"/>
    <w:rsid w:val="005E1A68"/>
    <w:rsid w:val="006111A8"/>
    <w:rsid w:val="00785FBD"/>
    <w:rsid w:val="007A328F"/>
    <w:rsid w:val="007B142C"/>
    <w:rsid w:val="007D54BD"/>
    <w:rsid w:val="00821620"/>
    <w:rsid w:val="0083078F"/>
    <w:rsid w:val="008317C3"/>
    <w:rsid w:val="008F0ED2"/>
    <w:rsid w:val="00903B9A"/>
    <w:rsid w:val="009435BB"/>
    <w:rsid w:val="0095129C"/>
    <w:rsid w:val="009615C3"/>
    <w:rsid w:val="00982852"/>
    <w:rsid w:val="009932F2"/>
    <w:rsid w:val="009F30DF"/>
    <w:rsid w:val="00A12218"/>
    <w:rsid w:val="00A90678"/>
    <w:rsid w:val="00B501D8"/>
    <w:rsid w:val="00B85A19"/>
    <w:rsid w:val="00B94969"/>
    <w:rsid w:val="00BE2FAD"/>
    <w:rsid w:val="00C03E48"/>
    <w:rsid w:val="00C51900"/>
    <w:rsid w:val="00C6033C"/>
    <w:rsid w:val="00C95014"/>
    <w:rsid w:val="00CB5E93"/>
    <w:rsid w:val="00D24503"/>
    <w:rsid w:val="00E543E7"/>
    <w:rsid w:val="00E964A1"/>
    <w:rsid w:val="00F11815"/>
    <w:rsid w:val="00F33248"/>
    <w:rsid w:val="00F34915"/>
    <w:rsid w:val="00FA0C53"/>
    <w:rsid w:val="00FF6A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8679"/>
  <w15:chartTrackingRefBased/>
  <w15:docId w15:val="{521F1838-FD88-438A-8F0B-4A0F40C1D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390"/>
    <w:rPr>
      <w:kern w:val="0"/>
      <w14:ligatures w14:val="none"/>
    </w:rPr>
  </w:style>
  <w:style w:type="paragraph" w:styleId="Ttulo1">
    <w:name w:val="heading 1"/>
    <w:basedOn w:val="Normal"/>
    <w:next w:val="Normal"/>
    <w:link w:val="Ttulo1Car"/>
    <w:uiPriority w:val="9"/>
    <w:qFormat/>
    <w:rsid w:val="00003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3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33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33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33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33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33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33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33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33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33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33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33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33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33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33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33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3390"/>
    <w:rPr>
      <w:rFonts w:eastAsiaTheme="majorEastAsia" w:cstheme="majorBidi"/>
      <w:color w:val="272727" w:themeColor="text1" w:themeTint="D8"/>
    </w:rPr>
  </w:style>
  <w:style w:type="paragraph" w:styleId="Ttulo">
    <w:name w:val="Title"/>
    <w:basedOn w:val="Normal"/>
    <w:next w:val="Normal"/>
    <w:link w:val="TtuloCar"/>
    <w:uiPriority w:val="10"/>
    <w:qFormat/>
    <w:rsid w:val="00003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33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33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33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3390"/>
    <w:pPr>
      <w:spacing w:before="160"/>
      <w:jc w:val="center"/>
    </w:pPr>
    <w:rPr>
      <w:i/>
      <w:iCs/>
      <w:color w:val="404040" w:themeColor="text1" w:themeTint="BF"/>
    </w:rPr>
  </w:style>
  <w:style w:type="character" w:customStyle="1" w:styleId="CitaCar">
    <w:name w:val="Cita Car"/>
    <w:basedOn w:val="Fuentedeprrafopredeter"/>
    <w:link w:val="Cita"/>
    <w:uiPriority w:val="29"/>
    <w:rsid w:val="0000339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003390"/>
    <w:pPr>
      <w:ind w:left="720"/>
      <w:contextualSpacing/>
    </w:pPr>
  </w:style>
  <w:style w:type="character" w:styleId="nfasisintenso">
    <w:name w:val="Intense Emphasis"/>
    <w:basedOn w:val="Fuentedeprrafopredeter"/>
    <w:uiPriority w:val="21"/>
    <w:qFormat/>
    <w:rsid w:val="00003390"/>
    <w:rPr>
      <w:i/>
      <w:iCs/>
      <w:color w:val="0F4761" w:themeColor="accent1" w:themeShade="BF"/>
    </w:rPr>
  </w:style>
  <w:style w:type="paragraph" w:styleId="Citadestacada">
    <w:name w:val="Intense Quote"/>
    <w:basedOn w:val="Normal"/>
    <w:next w:val="Normal"/>
    <w:link w:val="CitadestacadaCar"/>
    <w:uiPriority w:val="30"/>
    <w:qFormat/>
    <w:rsid w:val="00003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3390"/>
    <w:rPr>
      <w:i/>
      <w:iCs/>
      <w:color w:val="0F4761" w:themeColor="accent1" w:themeShade="BF"/>
    </w:rPr>
  </w:style>
  <w:style w:type="character" w:styleId="Referenciaintensa">
    <w:name w:val="Intense Reference"/>
    <w:basedOn w:val="Fuentedeprrafopredeter"/>
    <w:uiPriority w:val="32"/>
    <w:qFormat/>
    <w:rsid w:val="00003390"/>
    <w:rPr>
      <w:b/>
      <w:bCs/>
      <w:smallCaps/>
      <w:color w:val="0F4761" w:themeColor="accent1" w:themeShade="BF"/>
      <w:spacing w:val="5"/>
    </w:rPr>
  </w:style>
  <w:style w:type="paragraph" w:styleId="Encabezado">
    <w:name w:val="header"/>
    <w:basedOn w:val="Normal"/>
    <w:link w:val="EncabezadoCar"/>
    <w:uiPriority w:val="99"/>
    <w:unhideWhenUsed/>
    <w:rsid w:val="0000339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3390"/>
    <w:rPr>
      <w:kern w:val="0"/>
      <w14:ligatures w14:val="none"/>
    </w:rPr>
  </w:style>
  <w:style w:type="paragraph" w:styleId="Piedepgina">
    <w:name w:val="footer"/>
    <w:basedOn w:val="Normal"/>
    <w:link w:val="PiedepginaCar"/>
    <w:uiPriority w:val="99"/>
    <w:unhideWhenUsed/>
    <w:rsid w:val="0000339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3390"/>
    <w:rPr>
      <w:kern w:val="0"/>
      <w14:ligatures w14:val="none"/>
    </w:rPr>
  </w:style>
  <w:style w:type="character" w:customStyle="1" w:styleId="normaltextrun">
    <w:name w:val="normaltextrun"/>
    <w:basedOn w:val="Fuentedeprrafopredeter"/>
    <w:rsid w:val="00003390"/>
  </w:style>
  <w:style w:type="table" w:styleId="Tablaconcuadrcula">
    <w:name w:val="Table Grid"/>
    <w:basedOn w:val="Tablanormal"/>
    <w:uiPriority w:val="39"/>
    <w:qFormat/>
    <w:rsid w:val="000033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3390"/>
    <w:rPr>
      <w:color w:val="0000FF"/>
      <w:u w:val="single"/>
    </w:rPr>
  </w:style>
  <w:style w:type="paragraph" w:customStyle="1" w:styleId="paragraph">
    <w:name w:val="paragraph"/>
    <w:basedOn w:val="Normal"/>
    <w:rsid w:val="0000339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003390"/>
  </w:style>
  <w:style w:type="paragraph" w:styleId="NormalWeb">
    <w:name w:val="Normal (Web)"/>
    <w:basedOn w:val="Normal"/>
    <w:link w:val="NormalWebCar"/>
    <w:uiPriority w:val="99"/>
    <w:unhideWhenUsed/>
    <w:rsid w:val="0000339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3390"/>
  </w:style>
  <w:style w:type="character" w:customStyle="1" w:styleId="NormalWebCar">
    <w:name w:val="Normal (Web) Car"/>
    <w:link w:val="NormalWeb"/>
    <w:uiPriority w:val="99"/>
    <w:locked/>
    <w:rsid w:val="00003390"/>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7A328F"/>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932F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932F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932F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932F2"/>
    <w:rPr>
      <w:vertAlign w:val="superscript"/>
    </w:rPr>
  </w:style>
  <w:style w:type="paragraph" w:customStyle="1" w:styleId="Appelnotedebasde">
    <w:name w:val="Appel note de bas de..."/>
    <w:basedOn w:val="Normal"/>
    <w:link w:val="Refdenotaalpie"/>
    <w:uiPriority w:val="99"/>
    <w:rsid w:val="009932F2"/>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inaldex.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214B75-4A46-4D5C-81DB-AFC78E40CD79}"/>
</file>

<file path=customXml/itemProps2.xml><?xml version="1.0" encoding="utf-8"?>
<ds:datastoreItem xmlns:ds="http://schemas.openxmlformats.org/officeDocument/2006/customXml" ds:itemID="{9205EABC-7D8A-465C-B6CB-262F6FCCFB6C}"/>
</file>

<file path=customXml/itemProps3.xml><?xml version="1.0" encoding="utf-8"?>
<ds:datastoreItem xmlns:ds="http://schemas.openxmlformats.org/officeDocument/2006/customXml" ds:itemID="{55A569F4-533C-4C2A-9259-217BC24FD50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204</TotalTime>
  <Pages>25</Pages>
  <Words>7985</Words>
  <Characters>43920</Characters>
  <Application>Microsoft Office Word</Application>
  <DocSecurity>0</DocSecurity>
  <Lines>366</Lines>
  <Paragraphs>103</Paragraphs>
  <ScaleCrop>false</ScaleCrop>
  <Company/>
  <LinksUpToDate>false</LinksUpToDate>
  <CharactersWithSpaces>51802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50</cp:revision>
  <dcterms:created xsi:type="dcterms:W3CDTF">2026-10-22T15:23:00Z</dcterms:created>
  <dcterms:modified xsi:type="dcterms:W3CDTF">2026-11-03T19:56:00Z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