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7AFCD" w14:textId="77777777" w:rsidR="002A0DD0" w:rsidRPr="00E02524" w:rsidRDefault="002A0DD0" w:rsidP="30821638">
      <w:pPr>
        <w:spacing w:after="0" w:line="240" w:lineRule="auto"/>
        <w:jc w:val="both"/>
        <w:rPr>
          <w:rFonts w:ascii="Verdana" w:eastAsia="Verdana" w:hAnsi="Verdana" w:cs="Verdana"/>
          <w:b/>
          <w:bCs/>
          <w:lang w:val="es-MX"/>
        </w:rPr>
      </w:pPr>
      <w:bookmarkStart w:id="0" w:name="_Hlk143780582"/>
    </w:p>
    <w:p w14:paraId="14CEBAD5" w14:textId="77777777" w:rsidR="002C6CD9" w:rsidRDefault="002C6CD9" w:rsidP="002C6CD9">
      <w:pPr>
        <w:jc w:val="both"/>
        <w:rPr>
          <w:rFonts w:ascii="Verdana" w:eastAsiaTheme="minorEastAsia" w:hAnsi="Verdana" w:cs="Arial"/>
          <w:b/>
          <w:bCs/>
          <w:color w:val="000000" w:themeColor="text1"/>
        </w:rPr>
      </w:pPr>
      <w:r w:rsidRPr="006B03A5">
        <w:rPr>
          <w:rFonts w:ascii="Verdana" w:eastAsiaTheme="minorEastAsia" w:hAnsi="Verdana" w:cs="Arial"/>
          <w:b/>
          <w:bCs/>
          <w:color w:val="000000" w:themeColor="text1"/>
        </w:rPr>
        <w:t>SISTEMA DE COMPRAS PÚBLICAS – Principios orientadores</w:t>
      </w:r>
    </w:p>
    <w:p w14:paraId="59E24888" w14:textId="77777777" w:rsidR="002C6CD9" w:rsidRPr="004A1B2C" w:rsidRDefault="002C6CD9" w:rsidP="002C6CD9">
      <w:pPr>
        <w:spacing w:after="120" w:line="240" w:lineRule="auto"/>
        <w:jc w:val="both"/>
        <w:rPr>
          <w:rFonts w:ascii="Verdana" w:eastAsia="Calibri" w:hAnsi="Verdana"/>
          <w:color w:val="000000" w:themeColor="text1"/>
          <w:sz w:val="20"/>
          <w:szCs w:val="20"/>
          <w:lang w:val="es-ES"/>
        </w:rPr>
      </w:pPr>
      <w:r w:rsidRPr="004A1B2C">
        <w:rPr>
          <w:rFonts w:ascii="Verdana" w:eastAsiaTheme="minorEastAsia" w:hAnsi="Verdana" w:cs="Arial"/>
          <w:color w:val="000000" w:themeColor="text1"/>
          <w:sz w:val="20"/>
          <w:szCs w:val="20"/>
        </w:rPr>
        <w:t xml:space="preserve">[…] </w:t>
      </w:r>
      <w:r w:rsidRPr="004A1B2C">
        <w:rPr>
          <w:rFonts w:ascii="Verdana" w:eastAsia="Calibri" w:hAnsi="Verdana"/>
          <w:color w:val="000000" w:themeColor="text1"/>
          <w:sz w:val="20"/>
          <w:szCs w:val="20"/>
          <w:lang w:val="es-ES"/>
        </w:rPr>
        <w:t>el Sistema de Compra Pública se encuentra orientado por principios como la transparencia, economía, responsabilidad y selección objetiva, los cuales constituyen ejes rectores de la actividad contractual del Estado. En virtud de estos principios, las entidades estatales tienen el deber de estructurar procesos de selección con reglas claras, objetivas y previamente definidas, así como de aplicarlas de manera uniforme y razonable, garantizando la transparencia, la eficiencia del gasto público y la igualdad entre los participantes.</w:t>
      </w:r>
    </w:p>
    <w:p w14:paraId="59056A5D" w14:textId="77777777" w:rsidR="002C6CD9" w:rsidRPr="004A1B2C" w:rsidRDefault="002C6CD9" w:rsidP="002C6CD9">
      <w:pPr>
        <w:spacing w:after="120" w:line="240" w:lineRule="auto"/>
        <w:jc w:val="both"/>
        <w:rPr>
          <w:rFonts w:ascii="Verdana" w:eastAsia="Calibri" w:hAnsi="Verdana"/>
          <w:color w:val="000000" w:themeColor="text1"/>
          <w:sz w:val="20"/>
          <w:szCs w:val="20"/>
          <w:lang w:val="es-ES"/>
        </w:rPr>
      </w:pPr>
      <w:r w:rsidRPr="006B03A5">
        <w:rPr>
          <w:rFonts w:ascii="Verdana" w:eastAsiaTheme="minorEastAsia" w:hAnsi="Verdana" w:cs="Arial"/>
          <w:b/>
          <w:bCs/>
          <w:color w:val="000000" w:themeColor="text1"/>
        </w:rPr>
        <w:t>CONTRATO ESTATAL – Concepto</w:t>
      </w:r>
    </w:p>
    <w:p w14:paraId="3FCE4D46" w14:textId="77777777" w:rsidR="002C6CD9" w:rsidRDefault="002C6CD9" w:rsidP="002C6CD9">
      <w:pPr>
        <w:spacing w:after="120" w:line="240" w:lineRule="auto"/>
        <w:jc w:val="both"/>
        <w:rPr>
          <w:rFonts w:ascii="Verdana" w:eastAsia="Times New Roman" w:hAnsi="Verdana" w:cs="Arial"/>
          <w:sz w:val="20"/>
          <w:szCs w:val="20"/>
        </w:rPr>
      </w:pPr>
      <w:r w:rsidRPr="004A1B2C">
        <w:rPr>
          <w:rFonts w:ascii="Verdana" w:eastAsia="Calibri" w:hAnsi="Verdana"/>
          <w:color w:val="000000" w:themeColor="text1"/>
          <w:sz w:val="20"/>
          <w:szCs w:val="20"/>
          <w:lang w:val="es-ES"/>
        </w:rPr>
        <w:t>C</w:t>
      </w:r>
      <w:proofErr w:type="spellStart"/>
      <w:r w:rsidRPr="004A1B2C">
        <w:rPr>
          <w:rFonts w:ascii="Verdana" w:eastAsia="Times New Roman" w:hAnsi="Verdana" w:cs="Arial"/>
          <w:sz w:val="20"/>
          <w:szCs w:val="20"/>
        </w:rPr>
        <w:t>on</w:t>
      </w:r>
      <w:proofErr w:type="spellEnd"/>
      <w:r w:rsidRPr="004A1B2C">
        <w:rPr>
          <w:rFonts w:ascii="Verdana" w:eastAsia="Times New Roman" w:hAnsi="Verdana" w:cs="Arial"/>
          <w:sz w:val="20"/>
          <w:szCs w:val="20"/>
        </w:rPr>
        <w:t xml:space="preserve"> fundamento en el marco normativo que regula la contratación estatal en Colombia, resulta necesario precisar, en primer lugar, que los contratos celebrados por las entidades estatales se rigen principalmente por las disposiciones contenidas en la Ley 80 de 1993 —Estatuto General de Contratación de la Administración Pública—, así como por las normas civiles y comerciales aplicables en aquellos asuntos no regulados expresamente por dicho estatuto, de conformidad con lo dispuesto en su artículo 13. En consecuencia, el contrato estatal no constituye una categoría completamente autónoma frente al derecho privado, sino una modalidad de negocio jurídico sometida a reglas especiales de derecho público, sin perjuicio de la aplicación supletiva de las disposiciones civiles y comerciales.</w:t>
      </w:r>
    </w:p>
    <w:p w14:paraId="687747F3" w14:textId="77777777" w:rsidR="002C6CD9" w:rsidRPr="004A1B2C" w:rsidRDefault="002C6CD9" w:rsidP="002C6CD9">
      <w:pPr>
        <w:spacing w:after="120" w:line="240" w:lineRule="auto"/>
        <w:jc w:val="both"/>
        <w:rPr>
          <w:rFonts w:ascii="Verdana" w:eastAsia="Calibri" w:hAnsi="Verdana"/>
          <w:color w:val="000000" w:themeColor="text1"/>
          <w:sz w:val="20"/>
          <w:szCs w:val="20"/>
          <w:lang w:val="es-ES"/>
        </w:rPr>
      </w:pPr>
      <w:r w:rsidRPr="004A1B2C">
        <w:rPr>
          <w:rFonts w:ascii="Verdana" w:eastAsia="Times New Roman" w:hAnsi="Verdana" w:cs="Arial"/>
          <w:sz w:val="20"/>
          <w:szCs w:val="20"/>
        </w:rPr>
        <w:t xml:space="preserve">En ese sentido, tanto el artículo 1495 del Código Civil como el artículo 864 del Código de Comercio coinciden en definir el contrato como un acuerdo de voluntades encaminado a crear, regular o extinguir relaciones jurídicas obligacionales. A su turno, el artículo 32 de la Ley 80 de 1993 dispone que son contratos estatales “todos los actos jurídicos generadores de obligaciones” que celebren las entidades estatales previstas en el artículo 2 ibidem, ya sea que se encuentren regulados por el derecho privado, por normas especiales o que deriven del ejercicio de la autonomía de la voluntad. Así, la naturaleza estatal del contrato no depende de su tipología o denominación, sino de la </w:t>
      </w:r>
      <w:r w:rsidRPr="004A1B2C">
        <w:rPr>
          <w:rFonts w:ascii="Verdana" w:eastAsia="Calibri" w:hAnsi="Verdana"/>
          <w:color w:val="000000" w:themeColor="text1"/>
          <w:sz w:val="20"/>
          <w:szCs w:val="20"/>
          <w:lang w:val="es-ES"/>
        </w:rPr>
        <w:t>participación de una entidad estatal como parte de la relación jurídico-negocial.</w:t>
      </w:r>
    </w:p>
    <w:p w14:paraId="43102718" w14:textId="77777777" w:rsidR="002C6CD9" w:rsidRDefault="002C6CD9" w:rsidP="002C6CD9">
      <w:pPr>
        <w:spacing w:after="120"/>
        <w:jc w:val="both"/>
        <w:rPr>
          <w:rFonts w:ascii="Verdana" w:eastAsia="Calibri" w:hAnsi="Verdana"/>
          <w:b/>
          <w:bCs/>
          <w:color w:val="000000" w:themeColor="text1"/>
          <w:lang w:val="es-ES"/>
        </w:rPr>
      </w:pPr>
      <w:r w:rsidRPr="00854D45">
        <w:rPr>
          <w:rFonts w:ascii="Verdana" w:eastAsia="Calibri" w:hAnsi="Verdana"/>
          <w:b/>
          <w:bCs/>
          <w:color w:val="000000" w:themeColor="text1"/>
          <w:lang w:val="es-ES"/>
        </w:rPr>
        <w:t>PRINCIPIOS ORIENTADORES – Responsabilidad - Legalidad – Selección Objetiva</w:t>
      </w:r>
    </w:p>
    <w:p w14:paraId="5DB89A2F" w14:textId="77777777" w:rsidR="002C6CD9" w:rsidRPr="008C4776" w:rsidRDefault="002C6CD9" w:rsidP="002C6CD9">
      <w:pPr>
        <w:spacing w:after="120" w:line="240" w:lineRule="auto"/>
        <w:jc w:val="both"/>
        <w:rPr>
          <w:rFonts w:ascii="Verdana" w:eastAsia="Times New Roman" w:hAnsi="Verdana" w:cs="Arial"/>
          <w:sz w:val="20"/>
          <w:szCs w:val="20"/>
        </w:rPr>
      </w:pPr>
      <w:r w:rsidRPr="008C4776">
        <w:rPr>
          <w:rFonts w:ascii="Verdana" w:eastAsia="Times New Roman" w:hAnsi="Verdana" w:cs="Arial"/>
          <w:sz w:val="20"/>
          <w:szCs w:val="20"/>
        </w:rPr>
        <w:t>[…] el principio de responsabilidad previsto en el artículo 26 de la Ley 80 de 1993 impone a los servidores públicos el deber de dirigir la actividad contractual con sujeción a la Constitución, la ley y los fines de la contratación estatal, respondiendo por sus actuaciones y omisiones. En virtud de este principio, las entidades deben ejercer una adecuada planeación contractual, verificar la viabilidad jurídica, técnica y presupuestal de los procesos de contratación y adoptar las medidas necesarias para proteger los recursos públicos y asegurar el cumplimiento de los fines estatales.</w:t>
      </w:r>
    </w:p>
    <w:p w14:paraId="0DFFEE72" w14:textId="77777777" w:rsidR="002C6CD9" w:rsidRDefault="002C6CD9" w:rsidP="002C6CD9">
      <w:pPr>
        <w:spacing w:after="120" w:line="240" w:lineRule="auto"/>
        <w:jc w:val="both"/>
        <w:rPr>
          <w:rFonts w:ascii="Verdana" w:eastAsia="Times New Roman" w:hAnsi="Verdana" w:cs="Arial"/>
          <w:sz w:val="20"/>
          <w:szCs w:val="20"/>
        </w:rPr>
      </w:pPr>
      <w:r w:rsidRPr="008C4776">
        <w:rPr>
          <w:rFonts w:ascii="Verdana" w:eastAsia="Times New Roman" w:hAnsi="Verdana" w:cs="Arial"/>
          <w:sz w:val="20"/>
          <w:szCs w:val="20"/>
        </w:rPr>
        <w:t xml:space="preserve">Así mismo, el principio de legalidad exige que toda actuación administrativa y contractual se encuentre fundada en competencias expresamente atribuidas por el ordenamiento jurídico y se adelante conforme a las reglas previstas en la Constitución, la ley y los reglamentos aplicables. En materia contractual, ello implica que las entidades estatales </w:t>
      </w:r>
      <w:r w:rsidRPr="008C4776">
        <w:rPr>
          <w:rFonts w:ascii="Verdana" w:eastAsia="Times New Roman" w:hAnsi="Verdana" w:cs="Arial"/>
          <w:sz w:val="20"/>
          <w:szCs w:val="20"/>
        </w:rPr>
        <w:lastRenderedPageBreak/>
        <w:t>únicamente pueden acudir a las modalidades de selección expresamente previstas en el ordenamiento jurídico y bajo las causales y condiciones definidas para cada una de ellas.</w:t>
      </w:r>
    </w:p>
    <w:p w14:paraId="2E6B3813" w14:textId="77777777" w:rsidR="002C6CD9" w:rsidRPr="008C4776" w:rsidRDefault="002C6CD9" w:rsidP="002C6CD9">
      <w:pPr>
        <w:spacing w:after="120" w:line="240" w:lineRule="auto"/>
        <w:jc w:val="both"/>
        <w:rPr>
          <w:rFonts w:ascii="Verdana" w:eastAsia="Times New Roman" w:hAnsi="Verdana" w:cs="Arial"/>
          <w:sz w:val="20"/>
          <w:szCs w:val="20"/>
        </w:rPr>
      </w:pPr>
      <w:r w:rsidRPr="008C4776">
        <w:rPr>
          <w:rFonts w:ascii="Verdana" w:eastAsia="Times New Roman" w:hAnsi="Verdana" w:cs="Arial"/>
          <w:sz w:val="20"/>
          <w:szCs w:val="20"/>
        </w:rPr>
        <w:t>En relación con el principio de selección objetiva, actualmente desarrollado en el artículo 5 de la Ley 1150 de 2007, este exige que la escogencia del contratista recaiga sobre el ofrecimiento más favorable para la entidad y para los fines que esta persigue, sin consideración a factores subjetivos o arbitrarios. En consecuencia, los criterios habilitantes y los factores de evaluación deben encontrarse previamente definidos en el pliego de condiciones o documento equivalente, ser proporcionales al objeto contractual y aplicarse de manera uniforme a todos los oferentes.</w:t>
      </w:r>
    </w:p>
    <w:p w14:paraId="6252EE44" w14:textId="77777777" w:rsidR="002C6CD9" w:rsidRPr="006112E4" w:rsidRDefault="002C6CD9" w:rsidP="002C6CD9">
      <w:pPr>
        <w:spacing w:after="120" w:line="240" w:lineRule="auto"/>
        <w:jc w:val="both"/>
        <w:rPr>
          <w:rFonts w:ascii="Verdana" w:eastAsia="Calibri" w:hAnsi="Verdana"/>
          <w:b/>
          <w:bCs/>
          <w:color w:val="000000" w:themeColor="text1"/>
          <w:lang w:val="es-ES"/>
        </w:rPr>
      </w:pPr>
      <w:r w:rsidRPr="006112E4">
        <w:rPr>
          <w:rFonts w:ascii="Verdana" w:eastAsia="Calibri" w:hAnsi="Verdana"/>
          <w:b/>
          <w:bCs/>
          <w:color w:val="000000" w:themeColor="text1"/>
          <w:lang w:val="es-ES"/>
        </w:rPr>
        <w:t>PRINCIPIO DE EFICIENCIA ADMINISTRATIVA</w:t>
      </w:r>
      <w:r>
        <w:rPr>
          <w:rFonts w:ascii="Verdana" w:eastAsia="Calibri" w:hAnsi="Verdana"/>
          <w:b/>
          <w:bCs/>
          <w:color w:val="000000" w:themeColor="text1"/>
          <w:lang w:val="es-ES"/>
        </w:rPr>
        <w:t xml:space="preserve"> – concepto-</w:t>
      </w:r>
    </w:p>
    <w:p w14:paraId="228B9DD7" w14:textId="77777777" w:rsidR="002C6CD9" w:rsidRPr="006112E4" w:rsidRDefault="002C6CD9" w:rsidP="002C6CD9">
      <w:pPr>
        <w:spacing w:after="120" w:line="240" w:lineRule="auto"/>
        <w:jc w:val="both"/>
        <w:rPr>
          <w:rFonts w:ascii="Verdana" w:eastAsia="Calibri" w:hAnsi="Verdana"/>
          <w:color w:val="000000" w:themeColor="text1"/>
          <w:sz w:val="20"/>
          <w:szCs w:val="20"/>
          <w:lang w:val="es-ES"/>
        </w:rPr>
      </w:pPr>
      <w:r w:rsidRPr="006112E4">
        <w:rPr>
          <w:rFonts w:ascii="Verdana" w:eastAsia="Calibri" w:hAnsi="Verdana"/>
          <w:color w:val="000000" w:themeColor="text1"/>
          <w:sz w:val="20"/>
          <w:szCs w:val="20"/>
          <w:lang w:val="es-ES"/>
        </w:rPr>
        <w:t>El principio de eficiencia en la contratación pública busca garantizar el uso óptimo de los recursos del Estado, asegurando que los bienes, servicios y obras sean adquiridos con la mejor relación costo-beneficio y en el menor tiempo posible. Este principio implica Optimización de Recursos agilidad en los procesos y cumplimiento de objetivos públicos contribuyendo el uso de formatos estandarizados a la eficiencia en la contratación pública.</w:t>
      </w:r>
    </w:p>
    <w:p w14:paraId="6133139A" w14:textId="77777777" w:rsidR="002C6CD9" w:rsidRDefault="002C6CD9" w:rsidP="002C6CD9">
      <w:pPr>
        <w:rPr>
          <w:rFonts w:ascii="Verdana" w:eastAsia="Verdana" w:hAnsi="Verdana" w:cs="Verdana"/>
        </w:rPr>
      </w:pPr>
      <w:r>
        <w:rPr>
          <w:rFonts w:ascii="Verdana" w:eastAsia="Verdana" w:hAnsi="Verdana" w:cs="Verdana"/>
        </w:rPr>
        <w:br w:type="page"/>
      </w:r>
    </w:p>
    <w:p w14:paraId="7F83D442" w14:textId="77777777" w:rsidR="002C6CD9" w:rsidRPr="0015699B" w:rsidRDefault="002C6CD9" w:rsidP="002C6CD9">
      <w:pPr>
        <w:spacing w:line="240" w:lineRule="auto"/>
        <w:jc w:val="both"/>
        <w:rPr>
          <w:rFonts w:ascii="Verdana" w:eastAsia="Verdana" w:hAnsi="Verdana" w:cs="Verdana"/>
          <w:color w:val="000000" w:themeColor="text1"/>
          <w:lang w:val="es"/>
        </w:rPr>
      </w:pPr>
      <w:r>
        <w:rPr>
          <w:rFonts w:ascii="Verdana" w:eastAsia="Verdana" w:hAnsi="Verdana" w:cs="Verdana"/>
          <w:color w:val="000000" w:themeColor="text1"/>
          <w:lang w:val="es"/>
        </w:rPr>
        <w:lastRenderedPageBreak/>
        <w:t>B</w:t>
      </w:r>
      <w:r w:rsidRPr="39124533">
        <w:rPr>
          <w:rFonts w:ascii="Verdana" w:eastAsia="Verdana" w:hAnsi="Verdana" w:cs="Verdana"/>
          <w:color w:val="000000" w:themeColor="text1"/>
          <w:lang w:val="es"/>
        </w:rPr>
        <w:t xml:space="preserve">ogotá D.C., </w:t>
      </w:r>
      <w:r>
        <w:rPr>
          <w:rFonts w:ascii="Verdana" w:eastAsia="Verdana" w:hAnsi="Verdana" w:cs="Verdana"/>
          <w:color w:val="000000" w:themeColor="text1"/>
          <w:lang w:val="es"/>
        </w:rPr>
        <w:t xml:space="preserve">30 </w:t>
      </w:r>
      <w:r w:rsidRPr="39124533">
        <w:rPr>
          <w:rFonts w:ascii="Verdana" w:eastAsia="Verdana" w:hAnsi="Verdana" w:cs="Verdana"/>
          <w:color w:val="000000" w:themeColor="text1"/>
          <w:lang w:val="es"/>
        </w:rPr>
        <w:t xml:space="preserve">de </w:t>
      </w:r>
      <w:r>
        <w:rPr>
          <w:rFonts w:ascii="Verdana" w:eastAsia="Verdana" w:hAnsi="Verdana" w:cs="Verdana"/>
          <w:color w:val="000000" w:themeColor="text1"/>
          <w:lang w:val="es"/>
        </w:rPr>
        <w:t>octubre</w:t>
      </w:r>
      <w:r w:rsidRPr="39124533">
        <w:rPr>
          <w:rFonts w:ascii="Verdana" w:eastAsia="Verdana" w:hAnsi="Verdana" w:cs="Verdana"/>
          <w:color w:val="000000" w:themeColor="text1"/>
          <w:lang w:val="es"/>
        </w:rPr>
        <w:t xml:space="preserve"> de 2026</w:t>
      </w:r>
    </w:p>
    <w:p w14:paraId="7F72D598" w14:textId="77777777" w:rsidR="002C6CD9" w:rsidRDefault="002C6CD9" w:rsidP="002C6CD9">
      <w:pPr>
        <w:spacing w:after="0" w:line="240" w:lineRule="auto"/>
        <w:jc w:val="both"/>
        <w:textAlignment w:val="baseline"/>
        <w:rPr>
          <w:rFonts w:ascii="Verdana" w:eastAsia="Verdana" w:hAnsi="Verdana" w:cs="Verdana"/>
          <w:color w:val="000000" w:themeColor="text1"/>
          <w:lang w:val="es"/>
        </w:rPr>
      </w:pPr>
    </w:p>
    <w:p w14:paraId="4AFEE980" w14:textId="3123E7B9" w:rsidR="00432DC5" w:rsidRDefault="00432DC5" w:rsidP="00432DC5">
      <w:pPr>
        <w:spacing w:after="0" w:line="240" w:lineRule="auto"/>
        <w:jc w:val="right"/>
        <w:textAlignment w:val="baseline"/>
        <w:rPr>
          <w:rFonts w:ascii="Verdana" w:eastAsia="Verdana" w:hAnsi="Verdana" w:cs="Verdana"/>
          <w:color w:val="000000" w:themeColor="text1"/>
          <w:lang w:val="es"/>
        </w:rPr>
      </w:pPr>
      <w:r>
        <w:rPr>
          <w:rFonts w:ascii="Verdana" w:eastAsia="Verdana" w:hAnsi="Verdana" w:cs="Verdana"/>
          <w:noProof/>
          <w:color w:val="000000" w:themeColor="text1"/>
          <w:lang w:val="es"/>
        </w:rPr>
        <w:drawing>
          <wp:inline distT="0" distB="0" distL="0" distR="0" wp14:anchorId="00E7A6C5" wp14:editId="57D8BEFD">
            <wp:extent cx="2286000" cy="685800"/>
            <wp:effectExtent l="0" t="0" r="0" b="0"/>
            <wp:docPr id="185202262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0" cy="685800"/>
                    </a:xfrm>
                    <a:prstGeom prst="rect">
                      <a:avLst/>
                    </a:prstGeom>
                    <a:noFill/>
                    <a:ln>
                      <a:noFill/>
                    </a:ln>
                  </pic:spPr>
                </pic:pic>
              </a:graphicData>
            </a:graphic>
          </wp:inline>
        </w:drawing>
      </w:r>
    </w:p>
    <w:p w14:paraId="21A97932" w14:textId="77777777" w:rsidR="00432DC5" w:rsidRDefault="00432DC5" w:rsidP="002C6CD9">
      <w:pPr>
        <w:spacing w:after="0" w:line="240" w:lineRule="auto"/>
        <w:jc w:val="both"/>
        <w:textAlignment w:val="baseline"/>
        <w:rPr>
          <w:rFonts w:ascii="Verdana" w:eastAsia="Verdana" w:hAnsi="Verdana" w:cs="Verdana"/>
          <w:color w:val="000000" w:themeColor="text1"/>
          <w:lang w:val="es"/>
        </w:rPr>
      </w:pPr>
    </w:p>
    <w:p w14:paraId="73791E87" w14:textId="77777777" w:rsidR="002C6CD9" w:rsidRDefault="002C6CD9" w:rsidP="002C6CD9">
      <w:pPr>
        <w:spacing w:after="0" w:line="240" w:lineRule="auto"/>
        <w:jc w:val="both"/>
        <w:textAlignment w:val="baseline"/>
        <w:rPr>
          <w:rFonts w:ascii="Verdana" w:eastAsia="Verdana" w:hAnsi="Verdana" w:cs="Verdana"/>
          <w:color w:val="000000" w:themeColor="text1"/>
          <w:lang w:val="es"/>
        </w:rPr>
      </w:pPr>
      <w:r w:rsidRPr="00842DC4">
        <w:rPr>
          <w:rFonts w:ascii="Verdana" w:eastAsia="Verdana" w:hAnsi="Verdana" w:cs="Verdana"/>
          <w:color w:val="000000" w:themeColor="text1"/>
          <w:lang w:val="es"/>
        </w:rPr>
        <w:t>Señor</w:t>
      </w:r>
      <w:r>
        <w:rPr>
          <w:rFonts w:ascii="Verdana" w:eastAsia="Verdana" w:hAnsi="Verdana" w:cs="Verdana"/>
          <w:color w:val="000000" w:themeColor="text1"/>
          <w:lang w:val="es"/>
        </w:rPr>
        <w:t>(a)</w:t>
      </w:r>
    </w:p>
    <w:p w14:paraId="08951A0E" w14:textId="77777777" w:rsidR="002C6CD9" w:rsidRPr="00705B94" w:rsidRDefault="002C6CD9" w:rsidP="002C6CD9">
      <w:pPr>
        <w:spacing w:after="0" w:line="240" w:lineRule="auto"/>
        <w:jc w:val="both"/>
        <w:textAlignment w:val="baseline"/>
        <w:rPr>
          <w:rFonts w:ascii="Verdana" w:hAnsi="Verdana"/>
        </w:rPr>
      </w:pPr>
      <w:r w:rsidRPr="00705B94">
        <w:rPr>
          <w:rFonts w:ascii="Verdana" w:hAnsi="Verdana"/>
        </w:rPr>
        <w:t>Ciudadano an</w:t>
      </w:r>
      <w:r>
        <w:rPr>
          <w:rFonts w:ascii="Verdana" w:hAnsi="Verdana"/>
        </w:rPr>
        <w:t>ó</w:t>
      </w:r>
      <w:r w:rsidRPr="00705B94">
        <w:rPr>
          <w:rFonts w:ascii="Verdana" w:hAnsi="Verdana"/>
        </w:rPr>
        <w:t>nimo</w:t>
      </w:r>
    </w:p>
    <w:p w14:paraId="5B154C0C" w14:textId="77777777" w:rsidR="002C6CD9" w:rsidRDefault="002C6CD9" w:rsidP="002C6CD9">
      <w:pPr>
        <w:spacing w:after="0" w:line="240" w:lineRule="auto"/>
        <w:jc w:val="both"/>
        <w:textAlignment w:val="baseline"/>
        <w:rPr>
          <w:rFonts w:ascii="Verdana" w:hAnsi="Verdana"/>
        </w:rPr>
      </w:pPr>
      <w:r>
        <w:rPr>
          <w:rFonts w:ascii="Verdana" w:hAnsi="Verdana"/>
        </w:rPr>
        <w:t>Bogotá</w:t>
      </w:r>
      <w:r w:rsidRPr="002167A2">
        <w:rPr>
          <w:rFonts w:ascii="Verdana" w:hAnsi="Verdana"/>
        </w:rPr>
        <w:t xml:space="preserve"> </w:t>
      </w:r>
      <w:r>
        <w:rPr>
          <w:rFonts w:ascii="Verdana" w:hAnsi="Verdana"/>
        </w:rPr>
        <w:t>D.C.</w:t>
      </w:r>
    </w:p>
    <w:p w14:paraId="5B1354B4" w14:textId="77777777" w:rsidR="002C6CD9" w:rsidRPr="003D5882" w:rsidRDefault="002C6CD9" w:rsidP="002C6CD9">
      <w:pPr>
        <w:spacing w:after="0" w:line="240" w:lineRule="auto"/>
        <w:jc w:val="both"/>
        <w:textAlignment w:val="baseline"/>
        <w:rPr>
          <w:rFonts w:ascii="Verdana" w:hAnsi="Verdana"/>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5"/>
        <w:gridCol w:w="6540"/>
      </w:tblGrid>
      <w:tr w:rsidR="002C6CD9" w14:paraId="4BEFC0AE" w14:textId="77777777" w:rsidTr="00927AA4">
        <w:trPr>
          <w:trHeight w:val="615"/>
        </w:trPr>
        <w:tc>
          <w:tcPr>
            <w:tcW w:w="2265" w:type="dxa"/>
            <w:shd w:val="clear" w:color="auto" w:fill="FFFFFF" w:themeFill="background1"/>
            <w:tcMar>
              <w:left w:w="108" w:type="dxa"/>
              <w:right w:w="108" w:type="dxa"/>
            </w:tcMar>
          </w:tcPr>
          <w:p w14:paraId="0FA57042" w14:textId="77777777" w:rsidR="002C6CD9" w:rsidRDefault="002C6CD9" w:rsidP="00927AA4">
            <w:pPr>
              <w:jc w:val="both"/>
              <w:rPr>
                <w:rFonts w:ascii="Verdana" w:eastAsia="Verdana" w:hAnsi="Verdana" w:cs="Verdana"/>
                <w:b/>
                <w:bCs/>
                <w:color w:val="000000" w:themeColor="text1"/>
              </w:rPr>
            </w:pPr>
          </w:p>
        </w:tc>
        <w:tc>
          <w:tcPr>
            <w:tcW w:w="6540" w:type="dxa"/>
            <w:shd w:val="clear" w:color="auto" w:fill="FFFFFF" w:themeFill="background1"/>
            <w:tcMar>
              <w:left w:w="108" w:type="dxa"/>
              <w:right w:w="108" w:type="dxa"/>
            </w:tcMar>
          </w:tcPr>
          <w:p w14:paraId="58D058E9" w14:textId="77777777" w:rsidR="002C6CD9" w:rsidRDefault="002C6CD9" w:rsidP="00927AA4">
            <w:pPr>
              <w:jc w:val="both"/>
            </w:pPr>
            <w:r w:rsidRPr="40A87941">
              <w:rPr>
                <w:rFonts w:ascii="Verdana" w:eastAsia="Verdana" w:hAnsi="Verdana" w:cs="Verdana"/>
                <w:b/>
                <w:bCs/>
                <w:color w:val="000000" w:themeColor="text1"/>
                <w:lang w:val="es"/>
              </w:rPr>
              <w:t xml:space="preserve">Concepto C- </w:t>
            </w:r>
            <w:r>
              <w:rPr>
                <w:rFonts w:ascii="Verdana" w:eastAsia="Verdana" w:hAnsi="Verdana" w:cs="Verdana"/>
                <w:b/>
                <w:bCs/>
                <w:color w:val="000000" w:themeColor="text1"/>
                <w:lang w:val="es"/>
              </w:rPr>
              <w:t xml:space="preserve">1513 </w:t>
            </w:r>
            <w:r w:rsidRPr="40A87941">
              <w:rPr>
                <w:rFonts w:ascii="Verdana" w:eastAsia="Verdana" w:hAnsi="Verdana" w:cs="Verdana"/>
                <w:b/>
                <w:bCs/>
                <w:color w:val="000000" w:themeColor="text1"/>
                <w:lang w:val="es"/>
              </w:rPr>
              <w:t>de 2026</w:t>
            </w:r>
          </w:p>
        </w:tc>
      </w:tr>
      <w:tr w:rsidR="002C6CD9" w:rsidRPr="004F242E" w14:paraId="74923098" w14:textId="77777777" w:rsidTr="00927AA4">
        <w:trPr>
          <w:trHeight w:val="1065"/>
        </w:trPr>
        <w:tc>
          <w:tcPr>
            <w:tcW w:w="2265" w:type="dxa"/>
            <w:shd w:val="clear" w:color="auto" w:fill="FFFFFF" w:themeFill="background1"/>
            <w:tcMar>
              <w:left w:w="108" w:type="dxa"/>
              <w:right w:w="108" w:type="dxa"/>
            </w:tcMar>
          </w:tcPr>
          <w:p w14:paraId="47BFAB7A" w14:textId="77777777" w:rsidR="002C6CD9" w:rsidRDefault="002C6CD9" w:rsidP="00927AA4">
            <w:pPr>
              <w:jc w:val="both"/>
            </w:pPr>
            <w:r w:rsidRPr="40A87941">
              <w:rPr>
                <w:rFonts w:ascii="Verdana" w:eastAsia="Verdana" w:hAnsi="Verdana" w:cs="Verdana"/>
                <w:b/>
                <w:bCs/>
                <w:color w:val="000000" w:themeColor="text1"/>
              </w:rPr>
              <w:t>Temas:</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1F22401D" w14:textId="77777777" w:rsidR="002C6CD9" w:rsidRPr="00AD63D1" w:rsidRDefault="002C6CD9" w:rsidP="00927AA4">
            <w:pPr>
              <w:jc w:val="both"/>
              <w:rPr>
                <w:rFonts w:ascii="Verdana" w:eastAsiaTheme="minorEastAsia" w:hAnsi="Verdana" w:cs="Arial"/>
                <w:color w:val="000000" w:themeColor="text1"/>
                <w:lang w:val="es-ES"/>
              </w:rPr>
            </w:pPr>
            <w:r w:rsidRPr="00AD63D1">
              <w:rPr>
                <w:rFonts w:ascii="Verdana" w:eastAsiaTheme="minorEastAsia" w:hAnsi="Verdana" w:cs="Arial"/>
                <w:color w:val="000000" w:themeColor="text1"/>
              </w:rPr>
              <w:t>SISTEMA DE COMPRAS PÚBLICAS – Principios orientadores / CONTRATO ESTATAL – Concepto / PRINCIPIOS ORIENTADORES – Responsabilidad - Legalidad – Selección Objetiva</w:t>
            </w:r>
            <w:r>
              <w:rPr>
                <w:rFonts w:ascii="Verdana" w:eastAsiaTheme="minorEastAsia" w:hAnsi="Verdana" w:cs="Arial"/>
                <w:color w:val="000000" w:themeColor="text1"/>
              </w:rPr>
              <w:t xml:space="preserve"> / </w:t>
            </w:r>
            <w:r>
              <w:rPr>
                <w:rFonts w:ascii="Verdana" w:hAnsi="Verdana" w:cs="Arial"/>
                <w:bCs/>
                <w:lang w:val="es-MX" w:eastAsia="es-ES"/>
              </w:rPr>
              <w:t xml:space="preserve">PRINCIPIO DE EFICIENCIA ADMINISTRATIVA </w:t>
            </w:r>
            <w:r w:rsidRPr="006112E4">
              <w:rPr>
                <w:rFonts w:ascii="Verdana" w:hAnsi="Verdana" w:cs="Arial"/>
                <w:bCs/>
                <w:lang w:val="es-MX" w:eastAsia="es-ES"/>
              </w:rPr>
              <w:t>– concepto</w:t>
            </w:r>
            <w:r>
              <w:rPr>
                <w:rFonts w:ascii="Verdana" w:hAnsi="Verdana" w:cs="Arial"/>
                <w:bCs/>
                <w:lang w:val="es-MX" w:eastAsia="es-ES"/>
              </w:rPr>
              <w:t xml:space="preserve"> /</w:t>
            </w:r>
          </w:p>
          <w:p w14:paraId="00025562" w14:textId="77777777" w:rsidR="002C6CD9" w:rsidRPr="00967C68" w:rsidRDefault="002C6CD9" w:rsidP="00927AA4">
            <w:pPr>
              <w:spacing w:line="276" w:lineRule="auto"/>
              <w:jc w:val="both"/>
              <w:rPr>
                <w:highlight w:val="yellow"/>
              </w:rPr>
            </w:pPr>
          </w:p>
        </w:tc>
      </w:tr>
      <w:tr w:rsidR="002C6CD9" w14:paraId="17496338" w14:textId="77777777" w:rsidTr="00927AA4">
        <w:trPr>
          <w:trHeight w:val="660"/>
        </w:trPr>
        <w:tc>
          <w:tcPr>
            <w:tcW w:w="2265" w:type="dxa"/>
            <w:shd w:val="clear" w:color="auto" w:fill="FFFFFF" w:themeFill="background1"/>
            <w:tcMar>
              <w:left w:w="108" w:type="dxa"/>
              <w:right w:w="108" w:type="dxa"/>
            </w:tcMar>
          </w:tcPr>
          <w:p w14:paraId="275F2691" w14:textId="77777777" w:rsidR="002C6CD9" w:rsidRDefault="002C6CD9" w:rsidP="00927AA4">
            <w:pPr>
              <w:jc w:val="both"/>
            </w:pPr>
            <w:r w:rsidRPr="40A87941">
              <w:rPr>
                <w:rFonts w:ascii="Verdana" w:eastAsia="Verdana" w:hAnsi="Verdana" w:cs="Verdana"/>
                <w:b/>
                <w:bCs/>
                <w:color w:val="000000" w:themeColor="text1"/>
              </w:rPr>
              <w:t>Radicación:</w:t>
            </w:r>
            <w:r w:rsidRPr="40A87941">
              <w:rPr>
                <w:rFonts w:ascii="Verdana" w:eastAsia="Verdana" w:hAnsi="Verdana" w:cs="Verdana"/>
                <w:color w:val="000000" w:themeColor="text1"/>
              </w:rPr>
              <w:t xml:space="preserve">           </w:t>
            </w:r>
          </w:p>
        </w:tc>
        <w:tc>
          <w:tcPr>
            <w:tcW w:w="6540" w:type="dxa"/>
            <w:shd w:val="clear" w:color="auto" w:fill="FFFFFF" w:themeFill="background1"/>
            <w:tcMar>
              <w:left w:w="108" w:type="dxa"/>
              <w:right w:w="108" w:type="dxa"/>
            </w:tcMar>
          </w:tcPr>
          <w:p w14:paraId="085746F2" w14:textId="77777777" w:rsidR="002C6CD9" w:rsidRDefault="002C6CD9" w:rsidP="00927AA4">
            <w:pPr>
              <w:ind w:right="1"/>
              <w:jc w:val="both"/>
            </w:pPr>
            <w:r w:rsidRPr="39124533">
              <w:rPr>
                <w:rFonts w:ascii="Verdana" w:eastAsia="Verdana" w:hAnsi="Verdana" w:cs="Verdana"/>
                <w:color w:val="000000" w:themeColor="text1"/>
              </w:rPr>
              <w:t xml:space="preserve">Respuesta a consulta con radicado N.º </w:t>
            </w:r>
            <w:r w:rsidRPr="003610D2">
              <w:rPr>
                <w:rFonts w:ascii="Verdana" w:eastAsia="Verdana" w:hAnsi="Verdana" w:cs="Verdana"/>
                <w:color w:val="000000" w:themeColor="text1"/>
              </w:rPr>
              <w:t>1_2026_09_25_012933</w:t>
            </w:r>
            <w:r>
              <w:rPr>
                <w:rFonts w:ascii="Verdana" w:eastAsia="Verdana" w:hAnsi="Verdana" w:cs="Verdana"/>
                <w:color w:val="000000" w:themeColor="text1"/>
              </w:rPr>
              <w:t>.</w:t>
            </w:r>
          </w:p>
        </w:tc>
      </w:tr>
    </w:tbl>
    <w:p w14:paraId="757022BF" w14:textId="77777777" w:rsidR="002C6CD9" w:rsidRPr="001D2321" w:rsidRDefault="002C6CD9" w:rsidP="002C6CD9">
      <w:pPr>
        <w:spacing w:after="0" w:line="276" w:lineRule="auto"/>
        <w:jc w:val="both"/>
        <w:textAlignment w:val="baseline"/>
        <w:rPr>
          <w:rFonts w:ascii="Verdana" w:eastAsia="Verdana" w:hAnsi="Verdana" w:cs="Verdana"/>
          <w:b/>
          <w:bCs/>
          <w:color w:val="000000" w:themeColor="text1"/>
          <w:lang w:val="es"/>
        </w:rPr>
      </w:pPr>
    </w:p>
    <w:p w14:paraId="69F1FD8F" w14:textId="77777777" w:rsidR="002C6CD9" w:rsidRDefault="002C6CD9" w:rsidP="002C6CD9">
      <w:pPr>
        <w:spacing w:after="120" w:line="276" w:lineRule="auto"/>
        <w:jc w:val="both"/>
        <w:textAlignment w:val="baseline"/>
        <w:rPr>
          <w:rFonts w:ascii="Verdana" w:eastAsia="Verdana" w:hAnsi="Verdana" w:cs="Verdana"/>
          <w:color w:val="000000" w:themeColor="text1"/>
          <w:lang w:val="es-ES"/>
        </w:rPr>
      </w:pPr>
      <w:r w:rsidRPr="39124533">
        <w:rPr>
          <w:rFonts w:ascii="Verdana" w:eastAsia="Verdana" w:hAnsi="Verdana" w:cs="Verdana"/>
          <w:color w:val="000000" w:themeColor="text1"/>
          <w:lang w:val="es-ES"/>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a su solicitud radicada ante esta entidad el </w:t>
      </w:r>
      <w:r>
        <w:rPr>
          <w:rFonts w:ascii="Verdana" w:eastAsia="Verdana" w:hAnsi="Verdana" w:cs="Verdana"/>
          <w:color w:val="000000" w:themeColor="text1"/>
          <w:lang w:val="es-ES"/>
        </w:rPr>
        <w:t>25</w:t>
      </w:r>
      <w:r w:rsidRPr="39124533">
        <w:rPr>
          <w:rFonts w:ascii="Verdana" w:eastAsia="Verdana" w:hAnsi="Verdana" w:cs="Verdana"/>
          <w:color w:val="000000" w:themeColor="text1"/>
          <w:lang w:val="es-ES"/>
        </w:rPr>
        <w:t xml:space="preserve"> de </w:t>
      </w:r>
      <w:r>
        <w:rPr>
          <w:rFonts w:ascii="Verdana" w:eastAsia="Verdana" w:hAnsi="Verdana" w:cs="Verdana"/>
          <w:color w:val="000000" w:themeColor="text1"/>
          <w:lang w:val="es-ES"/>
        </w:rPr>
        <w:t>septiembre</w:t>
      </w:r>
      <w:r w:rsidRPr="39124533">
        <w:rPr>
          <w:rFonts w:ascii="Verdana" w:eastAsia="Verdana" w:hAnsi="Verdana" w:cs="Verdana"/>
          <w:color w:val="000000" w:themeColor="text1"/>
          <w:lang w:val="es-ES"/>
        </w:rPr>
        <w:t xml:space="preserve"> de 2026 en la cual manifiesta lo siguiente:</w:t>
      </w:r>
    </w:p>
    <w:p w14:paraId="039940AD" w14:textId="77777777" w:rsidR="002C6CD9" w:rsidRDefault="002C6CD9" w:rsidP="002C6CD9">
      <w:pPr>
        <w:ind w:left="567" w:right="758"/>
        <w:jc w:val="both"/>
        <w:rPr>
          <w:rFonts w:ascii="Verdana" w:hAnsi="Verdana"/>
          <w:sz w:val="21"/>
          <w:szCs w:val="21"/>
        </w:rPr>
      </w:pPr>
      <w:r w:rsidRPr="00161DA1">
        <w:rPr>
          <w:rFonts w:ascii="Verdana" w:hAnsi="Verdana"/>
          <w:sz w:val="21"/>
          <w:szCs w:val="21"/>
        </w:rPr>
        <w:t>“</w:t>
      </w:r>
      <w:r w:rsidRPr="00F4184D">
        <w:rPr>
          <w:rFonts w:ascii="Verdana" w:hAnsi="Verdana"/>
          <w:sz w:val="21"/>
          <w:szCs w:val="21"/>
        </w:rPr>
        <w:t>¿Qué debe entenderse por gasto suntuario en contratación estatal?</w:t>
      </w:r>
      <w:r>
        <w:rPr>
          <w:rFonts w:ascii="Verdana" w:hAnsi="Verdana"/>
          <w:sz w:val="21"/>
          <w:szCs w:val="21"/>
        </w:rPr>
        <w:t>”</w:t>
      </w:r>
    </w:p>
    <w:p w14:paraId="2952EBA4" w14:textId="77777777" w:rsidR="002C6CD9" w:rsidRPr="00633405" w:rsidRDefault="002C6CD9" w:rsidP="002C6CD9">
      <w:pPr>
        <w:ind w:right="49"/>
        <w:jc w:val="both"/>
        <w:rPr>
          <w:rFonts w:ascii="Verdana" w:hAnsi="Verdana"/>
          <w:sz w:val="21"/>
          <w:szCs w:val="21"/>
        </w:rPr>
      </w:pPr>
      <w:r w:rsidRPr="39124533">
        <w:rPr>
          <w:rFonts w:ascii="Verdana" w:eastAsia="Verdana" w:hAnsi="Verdana" w:cs="Verdana"/>
          <w:color w:val="000000" w:themeColor="text1"/>
          <w:lang w:val="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w:t>
      </w:r>
      <w:r w:rsidRPr="39124533">
        <w:rPr>
          <w:rFonts w:ascii="Verdana" w:eastAsia="Verdana" w:hAnsi="Verdana" w:cs="Verdana"/>
          <w:color w:val="000000" w:themeColor="text1"/>
          <w:lang w:val="es"/>
        </w:rPr>
        <w:lastRenderedPageBreak/>
        <w:t>instancia de validación de las actuaciones de las entidades sujetas a la Ley 80 de 1993 o de los demás participantes de la contratación pública.</w:t>
      </w:r>
      <w:r>
        <w:rPr>
          <w:rFonts w:ascii="Verdana" w:eastAsia="Verdana" w:hAnsi="Verdana" w:cs="Verdana"/>
          <w:color w:val="000000" w:themeColor="text1"/>
          <w:lang w:val="es"/>
        </w:rPr>
        <w:t xml:space="preserve"> </w:t>
      </w:r>
      <w:r w:rsidRPr="39124533">
        <w:rPr>
          <w:rFonts w:ascii="Verdana" w:eastAsia="Verdana" w:hAnsi="Verdana" w:cs="Verdana"/>
          <w:color w:val="000000" w:themeColor="text1"/>
          <w:lang w:val="es"/>
        </w:rPr>
        <w:t xml:space="preserve">Esta competencia de interpretación de normas generales, por definición, no puede extenderse a la resolución de controversias, ni a brindar asesorías sobre casos puntuales. </w:t>
      </w:r>
      <w:r w:rsidRPr="39124533">
        <w:rPr>
          <w:rFonts w:ascii="Calibri" w:eastAsia="Calibri" w:hAnsi="Calibri" w:cs="Calibri"/>
          <w:lang w:val="es"/>
        </w:rPr>
        <w:t xml:space="preserve">      </w:t>
      </w:r>
    </w:p>
    <w:p w14:paraId="6D26AE4B" w14:textId="77777777" w:rsidR="002C6CD9" w:rsidRPr="0015699B" w:rsidRDefault="002C6CD9" w:rsidP="002C6CD9">
      <w:pPr>
        <w:spacing w:after="0" w:line="240" w:lineRule="auto"/>
        <w:ind w:right="49" w:firstLine="360"/>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7FF96A87" w14:textId="77777777" w:rsidR="002C6CD9" w:rsidRDefault="002C6CD9" w:rsidP="002C6CD9">
      <w:pPr>
        <w:spacing w:after="0" w:line="276" w:lineRule="auto"/>
        <w:ind w:firstLine="709"/>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1E78C3D7" w14:textId="77777777" w:rsidR="002C6CD9" w:rsidRPr="0015699B" w:rsidRDefault="002C6CD9" w:rsidP="002C6CD9">
      <w:pPr>
        <w:pStyle w:val="Prrafodelista"/>
        <w:numPr>
          <w:ilvl w:val="0"/>
          <w:numId w:val="16"/>
        </w:numPr>
        <w:spacing w:after="0" w:line="276" w:lineRule="auto"/>
        <w:ind w:left="851" w:hanging="567"/>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Problema</w:t>
      </w:r>
      <w:r>
        <w:rPr>
          <w:rFonts w:ascii="Verdana" w:eastAsia="Verdana" w:hAnsi="Verdana" w:cs="Verdana"/>
          <w:b/>
          <w:bCs/>
          <w:color w:val="000000" w:themeColor="text1"/>
          <w:lang w:val="es"/>
        </w:rPr>
        <w:t xml:space="preserve">s </w:t>
      </w:r>
      <w:r w:rsidRPr="40A87941">
        <w:rPr>
          <w:rFonts w:ascii="Verdana" w:eastAsia="Verdana" w:hAnsi="Verdana" w:cs="Verdana"/>
          <w:b/>
          <w:bCs/>
          <w:color w:val="000000" w:themeColor="text1"/>
          <w:lang w:val="es"/>
        </w:rPr>
        <w:t>planteado</w:t>
      </w:r>
      <w:r>
        <w:rPr>
          <w:rFonts w:ascii="Verdana" w:eastAsia="Verdana" w:hAnsi="Verdana" w:cs="Verdana"/>
          <w:b/>
          <w:bCs/>
          <w:color w:val="000000" w:themeColor="text1"/>
          <w:lang w:val="es"/>
        </w:rPr>
        <w:t>s</w:t>
      </w:r>
      <w:r w:rsidRPr="40A87941">
        <w:rPr>
          <w:rFonts w:ascii="Verdana" w:eastAsia="Verdana" w:hAnsi="Verdana" w:cs="Verdana"/>
          <w:b/>
          <w:bCs/>
          <w:color w:val="000000" w:themeColor="text1"/>
          <w:lang w:val="es"/>
        </w:rPr>
        <w:t>:</w:t>
      </w:r>
    </w:p>
    <w:p w14:paraId="19FDE041" w14:textId="77777777" w:rsidR="002C6CD9" w:rsidRPr="0015699B" w:rsidRDefault="002C6CD9" w:rsidP="002C6CD9">
      <w:pPr>
        <w:tabs>
          <w:tab w:val="left" w:pos="426"/>
        </w:tabs>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3B90EC97" w14:textId="77777777" w:rsidR="002C6CD9" w:rsidRPr="008947F8" w:rsidRDefault="002C6CD9" w:rsidP="002C6CD9">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De acuerdo con el contenido de su solicitud</w:t>
      </w:r>
      <w:r>
        <w:rPr>
          <w:rFonts w:ascii="Verdana" w:eastAsia="Verdana" w:hAnsi="Verdana" w:cs="Verdana"/>
          <w:color w:val="000000" w:themeColor="text1"/>
        </w:rPr>
        <w:t xml:space="preserve">, </w:t>
      </w:r>
      <w:r w:rsidRPr="40A87941">
        <w:rPr>
          <w:rFonts w:ascii="Verdana" w:eastAsia="Verdana" w:hAnsi="Verdana" w:cs="Verdana"/>
          <w:color w:val="000000" w:themeColor="text1"/>
          <w:lang w:val="es"/>
        </w:rPr>
        <w:t xml:space="preserve">esta Agencia resolverá </w:t>
      </w:r>
      <w:r>
        <w:rPr>
          <w:rFonts w:ascii="Verdana" w:eastAsia="Verdana" w:hAnsi="Verdana" w:cs="Verdana"/>
          <w:color w:val="000000" w:themeColor="text1"/>
          <w:lang w:val="es"/>
        </w:rPr>
        <w:t xml:space="preserve">el siguiente problema </w:t>
      </w:r>
      <w:r w:rsidRPr="40A87941">
        <w:rPr>
          <w:rFonts w:ascii="Verdana" w:eastAsia="Verdana" w:hAnsi="Verdana" w:cs="Verdana"/>
          <w:color w:val="000000" w:themeColor="text1"/>
          <w:lang w:val="es"/>
        </w:rPr>
        <w:t>jurídico</w:t>
      </w:r>
      <w:r>
        <w:rPr>
          <w:rFonts w:ascii="Verdana" w:eastAsia="Verdana" w:hAnsi="Verdana" w:cs="Verdana"/>
          <w:color w:val="000000" w:themeColor="text1"/>
          <w:lang w:val="es"/>
        </w:rPr>
        <w:t xml:space="preserve">: </w:t>
      </w:r>
      <w:r w:rsidRPr="008947F8">
        <w:rPr>
          <w:rFonts w:ascii="Verdana" w:eastAsia="Verdana" w:hAnsi="Verdana" w:cs="Verdana"/>
          <w:color w:val="000000" w:themeColor="text1"/>
        </w:rPr>
        <w:t>¿</w:t>
      </w:r>
      <w:r w:rsidRPr="00746016">
        <w:rPr>
          <w:rFonts w:ascii="Verdana" w:eastAsia="Verdana" w:hAnsi="Verdana" w:cs="Verdana"/>
          <w:color w:val="000000" w:themeColor="text1"/>
        </w:rPr>
        <w:t>Qué se entiende por gasto suntuario en la contratación estatal y cuáles son los criterios jurídicos para determinar su configuración, conforme a las normas de austeridad del gasto público y los pronunciamientos de Colombia Compra Eficiente?</w:t>
      </w:r>
    </w:p>
    <w:p w14:paraId="41D12191" w14:textId="77777777" w:rsidR="002C6CD9" w:rsidRPr="00023F1B" w:rsidRDefault="002C6CD9" w:rsidP="002C6CD9">
      <w:pPr>
        <w:spacing w:after="0" w:line="276" w:lineRule="auto"/>
        <w:jc w:val="both"/>
        <w:textAlignment w:val="baseline"/>
        <w:rPr>
          <w:rFonts w:ascii="Verdana" w:eastAsia="Verdana" w:hAnsi="Verdana" w:cs="Verdana"/>
          <w:color w:val="000000" w:themeColor="text1"/>
        </w:rPr>
      </w:pPr>
    </w:p>
    <w:p w14:paraId="0F0180CF" w14:textId="77777777" w:rsidR="002C6CD9" w:rsidRDefault="002C6CD9" w:rsidP="002C6CD9">
      <w:pPr>
        <w:pStyle w:val="Prrafodelista"/>
        <w:numPr>
          <w:ilvl w:val="0"/>
          <w:numId w:val="16"/>
        </w:numPr>
        <w:spacing w:after="0" w:line="257"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Respuesta:</w:t>
      </w:r>
    </w:p>
    <w:p w14:paraId="47B74377" w14:textId="77777777" w:rsidR="002C6CD9" w:rsidRPr="0015699B" w:rsidRDefault="002C6CD9" w:rsidP="002C6CD9">
      <w:pPr>
        <w:pStyle w:val="Prrafodelista"/>
        <w:spacing w:after="0" w:line="257" w:lineRule="auto"/>
        <w:ind w:left="1080"/>
        <w:jc w:val="both"/>
        <w:textAlignment w:val="baseline"/>
        <w:rPr>
          <w:rFonts w:ascii="Verdana" w:eastAsia="Verdana" w:hAnsi="Verdana" w:cs="Verdana"/>
          <w:b/>
          <w:bCs/>
          <w:lang w:val="es"/>
        </w:rPr>
      </w:pPr>
    </w:p>
    <w:tbl>
      <w:tblPr>
        <w:tblStyle w:val="Tablaconcuadrcula"/>
        <w:tblW w:w="0" w:type="auto"/>
        <w:tblLook w:val="04A0" w:firstRow="1" w:lastRow="0" w:firstColumn="1" w:lastColumn="0" w:noHBand="0" w:noVBand="1"/>
      </w:tblPr>
      <w:tblGrid>
        <w:gridCol w:w="8818"/>
      </w:tblGrid>
      <w:tr w:rsidR="002C6CD9" w14:paraId="7B8083FB" w14:textId="77777777" w:rsidTr="00927AA4">
        <w:trPr>
          <w:trHeight w:val="780"/>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5CA403E5" w14:textId="77777777" w:rsidR="002C6CD9" w:rsidRPr="00316620" w:rsidRDefault="002C6CD9" w:rsidP="00927AA4">
            <w:pPr>
              <w:spacing w:after="120" w:line="276" w:lineRule="auto"/>
              <w:jc w:val="both"/>
              <w:rPr>
                <w:rFonts w:ascii="Verdana" w:eastAsia="Verdana" w:hAnsi="Verdana" w:cs="Verdana"/>
              </w:rPr>
            </w:pPr>
            <w:r>
              <w:rPr>
                <w:rFonts w:ascii="Verdana" w:eastAsia="Verdana" w:hAnsi="Verdana" w:cs="Verdana"/>
                <w:lang w:val="es-ES"/>
              </w:rPr>
              <w:t xml:space="preserve">           </w:t>
            </w:r>
            <w:r w:rsidRPr="00316620">
              <w:rPr>
                <w:rFonts w:ascii="Verdana" w:eastAsia="Verdana" w:hAnsi="Verdana" w:cs="Verdana"/>
              </w:rPr>
              <w:t>El Sistema de Compra Pública se encuentra orientado por los principios de transparencia, economía, responsabilidad y selección objetiva, los cuales constituyen ejes rectores de la actividad contractual del Estado. En virtud de estos principios, las entidades estatales deben estructurar sus procesos de contratación con reglas claras, objetivas y previamente definidas, y aplicarlas de manera uniforme y razonable, garantizando la igualdad entre los participantes y la adecuada utilización de los recursos públicos.</w:t>
            </w:r>
          </w:p>
          <w:p w14:paraId="1B3655F7" w14:textId="77777777" w:rsidR="002C6CD9" w:rsidRPr="00316620" w:rsidRDefault="002C6CD9" w:rsidP="00927AA4">
            <w:pPr>
              <w:spacing w:after="120" w:line="276" w:lineRule="auto"/>
              <w:jc w:val="both"/>
              <w:rPr>
                <w:rFonts w:ascii="Verdana" w:eastAsia="Verdana" w:hAnsi="Verdana" w:cs="Verdana"/>
              </w:rPr>
            </w:pPr>
            <w:r>
              <w:rPr>
                <w:rFonts w:ascii="Verdana" w:eastAsia="Verdana" w:hAnsi="Verdana" w:cs="Verdana"/>
              </w:rPr>
              <w:t xml:space="preserve">         </w:t>
            </w:r>
            <w:r w:rsidRPr="00316620">
              <w:rPr>
                <w:rFonts w:ascii="Verdana" w:eastAsia="Verdana" w:hAnsi="Verdana" w:cs="Verdana"/>
              </w:rPr>
              <w:t>En este contexto, el principio de eficiencia administrativa en la contratación pública busca promover el uso óptimo de los recursos del Estado, procurando que los bienes, obras y servicios se adquieran con una adecuada relación costo-beneficio, mediante procedimientos oportunos y orientados al cumplimiento de los fines estatales. Esto implica optimizar los recursos disponibles, agilizar los procedimientos contractuales y evitar erogaciones innecesarias. En este sentido, Colombia Compra Eficiente, en el Concepto C-</w:t>
            </w:r>
            <w:r w:rsidRPr="00316620">
              <w:rPr>
                <w:rFonts w:ascii="Verdana" w:eastAsia="Verdana" w:hAnsi="Verdana" w:cs="Verdana"/>
              </w:rPr>
              <w:lastRenderedPageBreak/>
              <w:t>301 de</w:t>
            </w:r>
            <w:r>
              <w:rPr>
                <w:rFonts w:ascii="Verdana" w:eastAsia="Verdana" w:hAnsi="Verdana" w:cs="Verdana"/>
              </w:rPr>
              <w:t>l 26 de febrero</w:t>
            </w:r>
            <w:r w:rsidRPr="00316620">
              <w:rPr>
                <w:rFonts w:ascii="Verdana" w:eastAsia="Verdana" w:hAnsi="Verdana" w:cs="Verdana"/>
              </w:rPr>
              <w:t xml:space="preserve"> 2025, ha abordado la eficiencia administrativa en relación con la estandarización de los procedimientos de contratación, destacando la contribución de los formatos estandarizados a la eficiencia del Sistema de Compra Pública.</w:t>
            </w:r>
          </w:p>
          <w:p w14:paraId="0E8C9C2E" w14:textId="77777777" w:rsidR="002C6CD9" w:rsidRPr="00316620" w:rsidRDefault="002C6CD9" w:rsidP="00927AA4">
            <w:pPr>
              <w:spacing w:after="120" w:line="276" w:lineRule="auto"/>
              <w:jc w:val="both"/>
              <w:rPr>
                <w:rFonts w:ascii="Verdana" w:eastAsia="Verdana" w:hAnsi="Verdana" w:cs="Verdana"/>
              </w:rPr>
            </w:pPr>
            <w:r>
              <w:rPr>
                <w:rFonts w:ascii="Verdana" w:eastAsia="Verdana" w:hAnsi="Verdana" w:cs="Verdana"/>
              </w:rPr>
              <w:t xml:space="preserve">        </w:t>
            </w:r>
            <w:r w:rsidRPr="00316620">
              <w:rPr>
                <w:rFonts w:ascii="Verdana" w:eastAsia="Verdana" w:hAnsi="Verdana" w:cs="Verdana"/>
              </w:rPr>
              <w:t>Ahora bien, en relación con el gasto suntuario, este puede entenderse como aquella erogación destinada a satisfacer necesidades superfluas, de lujo u ornamentación que no se encuentran debidamente justificadas en función de las competencias de la entidad, sus necesidades institucionales o los fines estatales. No obstante, el elevado costo de un bien o servicio, o el hecho de que posea características superiores, no determina por sí solo que constituya un gasto suntuario. Para establecerlo, es necesario examinar la finalidad de la contratación, la necesidad que se pretende satisfacer, las características del bien o servicio, su proporcionalidad y las restricciones normativas aplicables.</w:t>
            </w:r>
          </w:p>
          <w:p w14:paraId="43505412" w14:textId="77777777" w:rsidR="002C6CD9" w:rsidRPr="00316620" w:rsidRDefault="002C6CD9" w:rsidP="00927AA4">
            <w:pPr>
              <w:spacing w:after="120" w:line="276" w:lineRule="auto"/>
              <w:jc w:val="both"/>
              <w:rPr>
                <w:rFonts w:ascii="Verdana" w:eastAsia="Verdana" w:hAnsi="Verdana" w:cs="Verdana"/>
              </w:rPr>
            </w:pPr>
            <w:r>
              <w:rPr>
                <w:rFonts w:ascii="Verdana" w:eastAsia="Verdana" w:hAnsi="Verdana" w:cs="Verdana"/>
              </w:rPr>
              <w:t xml:space="preserve">        </w:t>
            </w:r>
            <w:r w:rsidRPr="00316620">
              <w:rPr>
                <w:rFonts w:ascii="Verdana" w:eastAsia="Verdana" w:hAnsi="Verdana" w:cs="Verdana"/>
              </w:rPr>
              <w:t>Al respecto, el artículo 2.8.4.3.4 del Decreto 1068 de 2015 establece una prohibición específica de iniciar procedimientos de contratación o celebrar contratos cuyo objeto implique la realización de trabajos materiales sobre bienes inmuebles que comporten mejoras útiles o suntuarias, tales como el embellecimiento, la ornamentación o la instalación o adecuación de acabados estéticos. Esta disposición debe observarse en los supuestos comprendidos en ella, sin que la entidad pueda justificar su inobservancia invocando razones de conveniencia administrativa.</w:t>
            </w:r>
          </w:p>
          <w:p w14:paraId="7BB61BB0" w14:textId="77777777" w:rsidR="002C6CD9" w:rsidRPr="00316620" w:rsidRDefault="002C6CD9" w:rsidP="00927AA4">
            <w:pPr>
              <w:spacing w:after="120" w:line="276" w:lineRule="auto"/>
              <w:jc w:val="both"/>
              <w:rPr>
                <w:rFonts w:ascii="Verdana" w:eastAsia="Verdana" w:hAnsi="Verdana" w:cs="Verdana"/>
              </w:rPr>
            </w:pPr>
            <w:r>
              <w:rPr>
                <w:rFonts w:ascii="Verdana" w:eastAsia="Verdana" w:hAnsi="Verdana" w:cs="Verdana"/>
              </w:rPr>
              <w:t xml:space="preserve">        </w:t>
            </w:r>
            <w:r w:rsidRPr="00316620">
              <w:rPr>
                <w:rFonts w:ascii="Verdana" w:eastAsia="Verdana" w:hAnsi="Verdana" w:cs="Verdana"/>
              </w:rPr>
              <w:t>En consecuencia, determinar si una adquisición constituye un gasto suntuario exige analizar las circunstancias particulares de la contratación, justificar su necesidad y proporcionalidad, establecer su relación con las funciones institucionales y verificar el cumplimiento de las prohibiciones específicas y de las medidas de austeridad del gasto público. Así, la eficiencia administrativa no consiste exclusivamente en adquirir bienes o servicios al menor precio, sino en procurar una utilización racional y adecuada de los recursos públicos para satisfacer las necesidades de la entidad y cumplir los fines estatales, sin desconocer las restricciones establecidas en el ordenamiento jurídico.</w:t>
            </w:r>
          </w:p>
          <w:p w14:paraId="14513763" w14:textId="77777777" w:rsidR="002C6CD9" w:rsidRDefault="002C6CD9" w:rsidP="00927AA4">
            <w:pPr>
              <w:spacing w:before="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w:t>
            </w:r>
            <w:r w:rsidRPr="00DB4737">
              <w:rPr>
                <w:rFonts w:ascii="Verdana" w:eastAsia="Calibri" w:hAnsi="Verdana" w:cs="Times New Roman"/>
                <w:lang w:val="es-ES"/>
              </w:rPr>
              <w:lastRenderedPageBreak/>
              <w:t xml:space="preserve">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0AC67B9A" w14:textId="77777777" w:rsidR="002C6CD9" w:rsidRPr="00F87343" w:rsidRDefault="002C6CD9" w:rsidP="00927AA4">
            <w:pPr>
              <w:spacing w:before="120" w:line="276" w:lineRule="auto"/>
              <w:ind w:firstLine="709"/>
              <w:jc w:val="both"/>
              <w:rPr>
                <w:rFonts w:ascii="Verdana" w:hAnsi="Verdana" w:cs="Arial"/>
                <w:lang w:eastAsia="es-ES"/>
              </w:rPr>
            </w:pPr>
            <w:r w:rsidRPr="00AE7E03">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2C6CD9" w14:paraId="137C21F5" w14:textId="77777777" w:rsidTr="00927AA4">
        <w:trPr>
          <w:trHeight w:val="54"/>
        </w:trPr>
        <w:tc>
          <w:tcPr>
            <w:tcW w:w="8818" w:type="dxa"/>
            <w:tcBorders>
              <w:top w:val="dotted" w:sz="8" w:space="0" w:color="auto"/>
              <w:left w:val="dotted" w:sz="8" w:space="0" w:color="auto"/>
              <w:bottom w:val="dotted" w:sz="8" w:space="0" w:color="auto"/>
              <w:right w:val="dotted" w:sz="8" w:space="0" w:color="auto"/>
            </w:tcBorders>
            <w:tcMar>
              <w:left w:w="108" w:type="dxa"/>
              <w:right w:w="108" w:type="dxa"/>
            </w:tcMar>
          </w:tcPr>
          <w:p w14:paraId="0C542780" w14:textId="77777777" w:rsidR="002C6CD9" w:rsidRDefault="002C6CD9" w:rsidP="00927AA4">
            <w:pPr>
              <w:spacing w:after="120" w:line="276" w:lineRule="auto"/>
              <w:jc w:val="both"/>
              <w:rPr>
                <w:rFonts w:ascii="Verdana" w:eastAsia="Verdana" w:hAnsi="Verdana" w:cs="Verdana"/>
                <w:lang w:val="es-ES"/>
              </w:rPr>
            </w:pPr>
          </w:p>
        </w:tc>
      </w:tr>
    </w:tbl>
    <w:p w14:paraId="1C2F8049" w14:textId="77777777" w:rsidR="002C6CD9" w:rsidRPr="0015699B" w:rsidRDefault="002C6CD9" w:rsidP="002C6CD9">
      <w:pPr>
        <w:tabs>
          <w:tab w:val="left" w:pos="142"/>
          <w:tab w:val="left" w:pos="284"/>
        </w:tabs>
        <w:spacing w:after="0" w:line="276" w:lineRule="auto"/>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 xml:space="preserve"> </w:t>
      </w:r>
    </w:p>
    <w:p w14:paraId="6559208C" w14:textId="77777777" w:rsidR="002C6CD9" w:rsidRDefault="002C6CD9" w:rsidP="002C6CD9">
      <w:pPr>
        <w:pStyle w:val="Prrafodelista"/>
        <w:numPr>
          <w:ilvl w:val="0"/>
          <w:numId w:val="16"/>
        </w:numPr>
        <w:spacing w:after="0" w:line="276" w:lineRule="auto"/>
        <w:ind w:left="1080" w:hanging="720"/>
        <w:jc w:val="both"/>
        <w:textAlignment w:val="baseline"/>
        <w:rPr>
          <w:rFonts w:ascii="Verdana" w:eastAsia="Verdana" w:hAnsi="Verdana" w:cs="Verdana"/>
          <w:b/>
          <w:bCs/>
          <w:color w:val="000000" w:themeColor="text1"/>
          <w:lang w:val="es"/>
        </w:rPr>
      </w:pPr>
      <w:r w:rsidRPr="40A87941">
        <w:rPr>
          <w:rFonts w:ascii="Verdana" w:eastAsia="Verdana" w:hAnsi="Verdana" w:cs="Verdana"/>
          <w:b/>
          <w:bCs/>
          <w:color w:val="000000" w:themeColor="text1"/>
          <w:lang w:val="es"/>
        </w:rPr>
        <w:t>Razones de la respuesta:</w:t>
      </w:r>
    </w:p>
    <w:p w14:paraId="27428542" w14:textId="77777777" w:rsidR="002C6CD9" w:rsidRDefault="002C6CD9" w:rsidP="002C6CD9">
      <w:pPr>
        <w:spacing w:after="0" w:line="276" w:lineRule="auto"/>
        <w:jc w:val="both"/>
        <w:textAlignment w:val="baseline"/>
        <w:rPr>
          <w:rFonts w:ascii="Verdana" w:eastAsia="Verdana" w:hAnsi="Verdana" w:cs="Verdana"/>
          <w:b/>
          <w:bCs/>
          <w:color w:val="000000" w:themeColor="text1"/>
          <w:lang w:val="es"/>
        </w:rPr>
      </w:pPr>
    </w:p>
    <w:p w14:paraId="3DFF0C1E" w14:textId="77777777" w:rsidR="002C6CD9" w:rsidRPr="001E1DB9" w:rsidRDefault="002C6CD9" w:rsidP="002C6CD9">
      <w:pPr>
        <w:spacing w:after="0" w:line="276" w:lineRule="auto"/>
        <w:jc w:val="both"/>
        <w:textAlignment w:val="baseline"/>
        <w:rPr>
          <w:rFonts w:ascii="Verdana" w:eastAsia="Verdana" w:hAnsi="Verdana" w:cs="Verdana"/>
          <w:b/>
          <w:bCs/>
          <w:color w:val="000000" w:themeColor="text1"/>
          <w:lang w:val="es"/>
        </w:rPr>
      </w:pPr>
      <w:r w:rsidRPr="001E1DB9">
        <w:rPr>
          <w:rFonts w:ascii="Verdana" w:eastAsia="Verdana" w:hAnsi="Verdana" w:cs="Verdana"/>
          <w:lang w:val="es"/>
        </w:rPr>
        <w:t>Lo anterior se sustenta en las siguientes consideraciones:</w:t>
      </w:r>
    </w:p>
    <w:p w14:paraId="7C80BE40" w14:textId="77777777" w:rsidR="002C6CD9" w:rsidRDefault="002C6CD9" w:rsidP="002C6CD9">
      <w:pPr>
        <w:tabs>
          <w:tab w:val="left" w:pos="142"/>
          <w:tab w:val="left" w:pos="284"/>
        </w:tabs>
        <w:spacing w:after="0" w:line="276" w:lineRule="auto"/>
        <w:jc w:val="both"/>
        <w:textAlignment w:val="baseline"/>
        <w:rPr>
          <w:rFonts w:ascii="Verdana" w:eastAsia="Verdana" w:hAnsi="Verdana" w:cs="Verdana"/>
          <w:b/>
          <w:bCs/>
          <w:color w:val="000000" w:themeColor="text1"/>
          <w:lang w:val="es"/>
        </w:rPr>
      </w:pPr>
    </w:p>
    <w:p w14:paraId="720F97E8" w14:textId="77777777" w:rsidR="002C6CD9" w:rsidRPr="00272F96" w:rsidRDefault="002C6CD9" w:rsidP="002C6CD9">
      <w:pPr>
        <w:spacing w:after="120" w:line="276" w:lineRule="auto"/>
        <w:ind w:firstLine="567"/>
        <w:jc w:val="both"/>
        <w:rPr>
          <w:rFonts w:ascii="Verdana" w:eastAsia="Times New Roman" w:hAnsi="Verdana" w:cs="Arial"/>
        </w:rPr>
      </w:pPr>
      <w:r>
        <w:rPr>
          <w:rFonts w:ascii="Verdana" w:hAnsi="Verdana"/>
        </w:rPr>
        <w:t xml:space="preserve">De manera preliminar es pertinente indicar que </w:t>
      </w:r>
      <w:bookmarkStart w:id="1" w:name="_Hlk35876968"/>
      <w:bookmarkStart w:id="2" w:name="_Hlk98159514"/>
      <w:r w:rsidRPr="00272F96">
        <w:rPr>
          <w:rFonts w:ascii="Verdana" w:eastAsia="Times New Roman" w:hAnsi="Verdana" w:cs="Arial"/>
        </w:rPr>
        <w:t>los artículos 23 y siguientes de la Ley 80 de 1993 disponen que las actuaciones contractuales deben desarrollarse conforme a los principios de transparencia, economía y responsabilidad, a los cuales se suma el principio de selección objetiva previsto expresamente en el artículo 5 de la Ley 1150 de 2007. Así mismo, el artículo 209 de la Constitución Política establece que la función administrativa debe desarrollarse con fundamento en los principios de igualdad, moralidad, eficacia, economía, celeridad, imparcialidad y publicidad.</w:t>
      </w:r>
    </w:p>
    <w:p w14:paraId="5B438675" w14:textId="77777777" w:rsidR="002C6CD9" w:rsidRPr="00272F96" w:rsidRDefault="002C6CD9" w:rsidP="002C6CD9">
      <w:pPr>
        <w:spacing w:before="240" w:after="0" w:line="276" w:lineRule="auto"/>
        <w:ind w:firstLine="709"/>
        <w:jc w:val="both"/>
        <w:rPr>
          <w:rFonts w:ascii="Verdana" w:eastAsia="Times New Roman" w:hAnsi="Verdana" w:cs="Arial"/>
        </w:rPr>
      </w:pPr>
      <w:r w:rsidRPr="00272F96">
        <w:rPr>
          <w:rFonts w:ascii="Verdana" w:eastAsia="Times New Roman" w:hAnsi="Verdana" w:cs="Arial"/>
        </w:rPr>
        <w:t>Estos principios imponen a las entidades estatales el deber de estructurar procesos de selección con reglas claras, objetivas y previamente definidas, evitando decisiones arbitrarias o sustentadas en criterios subjetivos. Particularmente, el principio de selección objetiva exige que la escogencia del contratista recaiga sobre la oferta más favorable para la entidad y para los fines que esta persigue, con fundamento en criterios verificables previamente establecidos en el pliego de condiciones o documento equivalente.</w:t>
      </w:r>
    </w:p>
    <w:p w14:paraId="488A14FD" w14:textId="77777777" w:rsidR="002C6CD9" w:rsidRDefault="002C6CD9" w:rsidP="002C6CD9">
      <w:pPr>
        <w:spacing w:before="240" w:after="0" w:line="276" w:lineRule="auto"/>
        <w:ind w:firstLine="709"/>
        <w:jc w:val="both"/>
        <w:rPr>
          <w:rFonts w:ascii="Verdana" w:eastAsia="Times New Roman" w:hAnsi="Verdana" w:cs="Arial"/>
        </w:rPr>
      </w:pPr>
      <w:r w:rsidRPr="00272F96">
        <w:rPr>
          <w:rFonts w:ascii="Verdana" w:eastAsia="Times New Roman" w:hAnsi="Verdana" w:cs="Arial"/>
        </w:rPr>
        <w:lastRenderedPageBreak/>
        <w:t>De igual forma, el ordenamiento jurídico prevé distintas modalidades de selección de contratistas, entre las cuales se encuentran la licitación pública, la selección abreviada, el concurso de méritos, la mínima cuantía y la contratación directa, cada una con requisitos, procedimientos y reglas particulares definidos en la ley y en sus decretos reglamentarios. En consecuencia, aunque los requisitos esenciales del contrato estatal permanecen invariables, las cargas procedimentales, las etapas del proceso, los requisitos habilitantes, los criterios de evaluación y las actuaciones previas que deben adelantar las entidades estatales dependerán de la modalidad de selección aplicable en cada caso concreto.</w:t>
      </w:r>
    </w:p>
    <w:p w14:paraId="7454099F" w14:textId="77777777" w:rsidR="002C6CD9" w:rsidRDefault="002C6CD9" w:rsidP="002C6CD9">
      <w:pPr>
        <w:spacing w:before="240" w:after="0" w:line="276" w:lineRule="auto"/>
        <w:ind w:firstLine="709"/>
        <w:jc w:val="both"/>
        <w:rPr>
          <w:rFonts w:ascii="Verdana" w:eastAsia="Times New Roman" w:hAnsi="Verdana" w:cs="Arial"/>
        </w:rPr>
      </w:pPr>
      <w:r w:rsidRPr="00AB1A39">
        <w:rPr>
          <w:rFonts w:ascii="Verdana" w:eastAsia="Times New Roman" w:hAnsi="Verdana" w:cs="Arial"/>
        </w:rPr>
        <w:t xml:space="preserve">En ese contexto, la correcta estructuración y </w:t>
      </w:r>
      <w:r>
        <w:rPr>
          <w:rFonts w:ascii="Verdana" w:eastAsia="Times New Roman" w:hAnsi="Verdana" w:cs="Arial"/>
        </w:rPr>
        <w:t>desarrollo</w:t>
      </w:r>
      <w:r w:rsidRPr="00AB1A39">
        <w:rPr>
          <w:rFonts w:ascii="Verdana" w:eastAsia="Times New Roman" w:hAnsi="Verdana" w:cs="Arial"/>
        </w:rPr>
        <w:t xml:space="preserve"> de los procesos de contratación por parte de las entidades no se agota en la verificación de los requisitos esenciales del contrato estatal, sino que exige la observancia integral de los principios que orientan la función administrativa y la actividad contractual del Estado.</w:t>
      </w:r>
    </w:p>
    <w:p w14:paraId="5701FF30" w14:textId="77777777" w:rsidR="002C6CD9" w:rsidRPr="00184DEC" w:rsidRDefault="002C6CD9" w:rsidP="002C6CD9">
      <w:pPr>
        <w:spacing w:before="240" w:after="0" w:line="276" w:lineRule="auto"/>
        <w:ind w:firstLine="709"/>
        <w:jc w:val="both"/>
        <w:rPr>
          <w:rFonts w:ascii="Verdana" w:eastAsia="Times New Roman" w:hAnsi="Verdana" w:cs="Arial"/>
        </w:rPr>
      </w:pPr>
      <w:r>
        <w:rPr>
          <w:rFonts w:ascii="Verdana" w:eastAsia="Times New Roman" w:hAnsi="Verdana" w:cs="Arial"/>
        </w:rPr>
        <w:t>En este contexto, e</w:t>
      </w:r>
      <w:r w:rsidRPr="00845A93">
        <w:rPr>
          <w:rFonts w:ascii="Verdana" w:eastAsia="Calibri" w:hAnsi="Verdana" w:cs="Arial"/>
          <w:bCs/>
        </w:rPr>
        <w:t>l principio de eficiencia en la contratación pública busca garantizar el uso óptimo de los recursos del Estado, asegurando que los bienes, servicios y obras sean adquiridos con la mejor relación costo-beneficio y en el menor tiempo posible. Este principio implica Optimización de Recursos</w:t>
      </w:r>
      <w:r>
        <w:rPr>
          <w:rFonts w:ascii="Verdana" w:eastAsia="Calibri" w:hAnsi="Verdana" w:cs="Arial"/>
          <w:bCs/>
        </w:rPr>
        <w:t xml:space="preserve"> a</w:t>
      </w:r>
      <w:r w:rsidRPr="00845A93">
        <w:rPr>
          <w:rFonts w:ascii="Verdana" w:eastAsia="Calibri" w:hAnsi="Verdana" w:cs="Arial"/>
          <w:bCs/>
        </w:rPr>
        <w:t xml:space="preserve">gilidad en los </w:t>
      </w:r>
      <w:r>
        <w:rPr>
          <w:rFonts w:ascii="Verdana" w:eastAsia="Calibri" w:hAnsi="Verdana" w:cs="Arial"/>
          <w:bCs/>
        </w:rPr>
        <w:t>p</w:t>
      </w:r>
      <w:r w:rsidRPr="00845A93">
        <w:rPr>
          <w:rFonts w:ascii="Verdana" w:eastAsia="Calibri" w:hAnsi="Verdana" w:cs="Arial"/>
          <w:bCs/>
        </w:rPr>
        <w:t>rocesos y cumplimiento de objetivos públicos contribuyendo el uso de formatos estandarizados a la eficiencia en la contratación pública</w:t>
      </w:r>
      <w:r>
        <w:rPr>
          <w:rFonts w:ascii="Verdana" w:eastAsia="Calibri" w:hAnsi="Verdana" w:cs="Arial"/>
          <w:bCs/>
        </w:rPr>
        <w:t>.</w:t>
      </w:r>
    </w:p>
    <w:p w14:paraId="02A7B9F8" w14:textId="77777777" w:rsidR="002C6CD9" w:rsidRDefault="002C6CD9" w:rsidP="002C6CD9">
      <w:pPr>
        <w:spacing w:after="0" w:line="276" w:lineRule="auto"/>
        <w:jc w:val="both"/>
        <w:rPr>
          <w:rFonts w:ascii="Verdana" w:eastAsia="Calibri" w:hAnsi="Verdana" w:cs="Arial"/>
          <w:bCs/>
        </w:rPr>
      </w:pPr>
    </w:p>
    <w:p w14:paraId="77961749" w14:textId="77777777" w:rsidR="002C6CD9" w:rsidRPr="00845A93" w:rsidRDefault="002C6CD9" w:rsidP="002C6CD9">
      <w:pPr>
        <w:spacing w:after="0" w:line="276" w:lineRule="auto"/>
        <w:ind w:firstLine="567"/>
        <w:jc w:val="both"/>
        <w:rPr>
          <w:rFonts w:ascii="Verdana" w:eastAsia="Calibri" w:hAnsi="Verdana" w:cs="Arial"/>
          <w:bCs/>
        </w:rPr>
      </w:pPr>
      <w:r>
        <w:rPr>
          <w:rFonts w:ascii="Verdana" w:eastAsia="Calibri" w:hAnsi="Verdana" w:cs="Arial"/>
          <w:bCs/>
        </w:rPr>
        <w:t>F</w:t>
      </w:r>
      <w:r w:rsidRPr="00845A93">
        <w:rPr>
          <w:rFonts w:ascii="Verdana" w:eastAsia="Calibri" w:hAnsi="Verdana" w:cs="Arial"/>
          <w:bCs/>
        </w:rPr>
        <w:t>rente a la eficiencia administrativa, encontramos que el marco constitucional de esta se encuentra consagrado en el artículo 209 de la constitución Política de Colombia, al respecto la Corte Constitucional, por medio de la sentencia C-816 de 2013, Magistrado Ponente Luis Ernesto Vargas Silva, manifestó</w:t>
      </w:r>
      <w:r>
        <w:rPr>
          <w:rStyle w:val="Refdenotaalpie"/>
          <w:rFonts w:ascii="Verdana" w:eastAsia="Calibri" w:hAnsi="Verdana" w:cs="Arial"/>
          <w:bCs/>
        </w:rPr>
        <w:footnoteReference w:id="1"/>
      </w:r>
      <w:r w:rsidRPr="00845A93">
        <w:rPr>
          <w:rFonts w:ascii="Verdana" w:eastAsia="Calibri" w:hAnsi="Verdana" w:cs="Arial"/>
          <w:bCs/>
        </w:rPr>
        <w:t>:</w:t>
      </w:r>
    </w:p>
    <w:p w14:paraId="54085491" w14:textId="77777777" w:rsidR="002C6CD9" w:rsidRPr="00845A93" w:rsidRDefault="002C6CD9" w:rsidP="002C6CD9">
      <w:pPr>
        <w:spacing w:after="0" w:line="276" w:lineRule="auto"/>
        <w:jc w:val="both"/>
        <w:rPr>
          <w:rFonts w:ascii="Verdana" w:eastAsia="Calibri" w:hAnsi="Verdana" w:cs="Arial"/>
          <w:bCs/>
        </w:rPr>
      </w:pPr>
    </w:p>
    <w:p w14:paraId="5EA1119F" w14:textId="77777777" w:rsidR="002C6CD9" w:rsidRPr="00845A93" w:rsidRDefault="002C6CD9" w:rsidP="002C6CD9">
      <w:pPr>
        <w:spacing w:after="0" w:line="276" w:lineRule="auto"/>
        <w:ind w:left="567" w:right="709"/>
        <w:jc w:val="both"/>
        <w:rPr>
          <w:rFonts w:ascii="Verdana" w:eastAsia="Calibri" w:hAnsi="Verdana" w:cs="Arial"/>
          <w:bCs/>
          <w:sz w:val="20"/>
          <w:szCs w:val="20"/>
        </w:rPr>
      </w:pPr>
      <w:r w:rsidRPr="00845A93">
        <w:rPr>
          <w:rFonts w:ascii="Verdana" w:eastAsia="Calibri" w:hAnsi="Verdana" w:cs="Arial"/>
          <w:bCs/>
        </w:rPr>
        <w:t xml:space="preserve"> </w:t>
      </w:r>
      <w:r w:rsidRPr="00845A93">
        <w:rPr>
          <w:rFonts w:ascii="Verdana" w:eastAsia="Calibri" w:hAnsi="Verdana" w:cs="Arial"/>
          <w:bCs/>
          <w:sz w:val="20"/>
          <w:szCs w:val="20"/>
        </w:rPr>
        <w:t xml:space="preserve">“(…)en lo que atañe al principio de eficiencia la jurisprudencia de este Tribunal ha señalado que se trata de la máxima racionalidad de la relación costos-beneficios, de manera que la administración pública tiene el deber de maximizar el rendimiento o los resultados, con costos menores, por cuanto los recursos financieros de Hacienda, que tienden a limitados, deben ser bien planificados por el Estado para que tengan como fin satisfacer las </w:t>
      </w:r>
      <w:r w:rsidRPr="00845A93">
        <w:rPr>
          <w:rFonts w:ascii="Verdana" w:eastAsia="Calibri" w:hAnsi="Verdana" w:cs="Arial"/>
          <w:bCs/>
          <w:sz w:val="20"/>
          <w:szCs w:val="20"/>
        </w:rPr>
        <w:lastRenderedPageBreak/>
        <w:t>necesidades prioritarias de la comunidad sin el despilfarro del gasto público. Lo anterior significa, que la eficiencia presupone que el Estado, por el interés general, está obligado a tener una planeación adecuada del gasto, y maximizar la relación costos – beneficios.</w:t>
      </w:r>
      <w:r>
        <w:rPr>
          <w:rFonts w:ascii="Verdana" w:eastAsia="Calibri" w:hAnsi="Verdana" w:cs="Arial"/>
          <w:bCs/>
          <w:sz w:val="20"/>
          <w:szCs w:val="20"/>
        </w:rPr>
        <w:t xml:space="preserve"> </w:t>
      </w:r>
      <w:r w:rsidRPr="00845A93">
        <w:rPr>
          <w:rFonts w:ascii="Verdana" w:eastAsia="Calibri" w:hAnsi="Verdana" w:cs="Arial"/>
          <w:bCs/>
          <w:sz w:val="20"/>
          <w:szCs w:val="20"/>
        </w:rPr>
        <w:t>(…)”</w:t>
      </w:r>
    </w:p>
    <w:p w14:paraId="642DDD85" w14:textId="77777777" w:rsidR="002C6CD9" w:rsidRDefault="002C6CD9" w:rsidP="002C6CD9">
      <w:pPr>
        <w:spacing w:after="0" w:line="276" w:lineRule="auto"/>
        <w:jc w:val="both"/>
        <w:rPr>
          <w:rFonts w:ascii="Verdana" w:eastAsia="Calibri" w:hAnsi="Verdana" w:cs="Arial"/>
          <w:bCs/>
        </w:rPr>
      </w:pPr>
    </w:p>
    <w:p w14:paraId="4E983293" w14:textId="77777777" w:rsidR="002C6CD9" w:rsidRPr="00316620" w:rsidRDefault="002C6CD9" w:rsidP="002C6CD9">
      <w:pPr>
        <w:spacing w:after="120" w:line="276" w:lineRule="auto"/>
        <w:jc w:val="both"/>
        <w:rPr>
          <w:rFonts w:ascii="Verdana" w:eastAsia="Verdana" w:hAnsi="Verdana" w:cs="Verdana"/>
        </w:rPr>
      </w:pPr>
      <w:r>
        <w:rPr>
          <w:rFonts w:ascii="Verdana" w:eastAsia="Calibri" w:hAnsi="Verdana" w:cs="Arial"/>
          <w:color w:val="000000"/>
        </w:rPr>
        <w:t xml:space="preserve">Ahora bien,  en atención al problema jurídico planteado </w:t>
      </w:r>
      <w:r w:rsidRPr="00316620">
        <w:rPr>
          <w:rFonts w:ascii="Verdana" w:eastAsia="Verdana" w:hAnsi="Verdana" w:cs="Verdana"/>
        </w:rPr>
        <w:t>el gasto suntuario, puede entenderse como aquella erogación destinada a satisfacer necesidades superfluas, de lujo u ornamentación que no se encuentran debidamente justificadas en función de las competencias de la entidad, sus necesidades institucionales o los fines estatales. No obstante, el elevado costo de un bien o servicio, o el hecho de que posea características superiores, no determina por sí solo que constituya un gasto suntuario. Para establecerlo, es necesario examinar la finalidad de la contratación, la necesidad que se pretende satisfacer, las características del bien o servicio, su proporcionalidad y las restricciones normativas aplicables.</w:t>
      </w:r>
    </w:p>
    <w:p w14:paraId="3FD90386" w14:textId="77777777" w:rsidR="002C6CD9" w:rsidRPr="00316620" w:rsidRDefault="002C6CD9" w:rsidP="002C6CD9">
      <w:pPr>
        <w:spacing w:after="120" w:line="276" w:lineRule="auto"/>
        <w:jc w:val="both"/>
        <w:rPr>
          <w:rFonts w:ascii="Verdana" w:eastAsia="Verdana" w:hAnsi="Verdana" w:cs="Verdana"/>
        </w:rPr>
      </w:pPr>
      <w:r>
        <w:rPr>
          <w:rFonts w:ascii="Verdana" w:eastAsia="Verdana" w:hAnsi="Verdana" w:cs="Verdana"/>
        </w:rPr>
        <w:t xml:space="preserve">        </w:t>
      </w:r>
      <w:r w:rsidRPr="00316620">
        <w:rPr>
          <w:rFonts w:ascii="Verdana" w:eastAsia="Verdana" w:hAnsi="Verdana" w:cs="Verdana"/>
        </w:rPr>
        <w:t>Al respecto, el artículo 2.8.4.3.4 del Decreto 1068 de 2015 establece una prohibición específica de iniciar procedimientos de contratación o celebrar contratos cuyo objeto implique la realización de trabajos materiales sobre bienes inmuebles que comporten mejoras útiles o suntuarias, tales como el embellecimiento, la ornamentación o la instalación o adecuación de acabados estéticos. Esta disposición debe observarse en los supuestos comprendidos en ella, sin que la entidad pueda justificar su inobservancia invocando razones de conveniencia administrativa.</w:t>
      </w:r>
    </w:p>
    <w:p w14:paraId="03690885" w14:textId="77777777" w:rsidR="002C6CD9" w:rsidRPr="00316620" w:rsidRDefault="002C6CD9" w:rsidP="002C6CD9">
      <w:pPr>
        <w:spacing w:after="120" w:line="276" w:lineRule="auto"/>
        <w:jc w:val="both"/>
        <w:rPr>
          <w:rFonts w:ascii="Verdana" w:eastAsia="Verdana" w:hAnsi="Verdana" w:cs="Verdana"/>
        </w:rPr>
      </w:pPr>
      <w:r>
        <w:rPr>
          <w:rFonts w:ascii="Verdana" w:eastAsia="Verdana" w:hAnsi="Verdana" w:cs="Verdana"/>
        </w:rPr>
        <w:t xml:space="preserve">        </w:t>
      </w:r>
      <w:r w:rsidRPr="00316620">
        <w:rPr>
          <w:rFonts w:ascii="Verdana" w:eastAsia="Verdana" w:hAnsi="Verdana" w:cs="Verdana"/>
        </w:rPr>
        <w:t>En consecuencia, determinar si una adquisición constituye un gasto suntuario exige analizar las circunstancias particulares de la contratación, justificar su necesidad y proporcionalidad, establecer su relación con las funciones institucionales y verificar el cumplimiento de las prohibiciones específicas y de las medidas de austeridad del gasto público. Así, la eficiencia administrativa no consiste exclusivamente en adquirir bienes o servicios al menor precio, sino en procurar una utilización racional y adecuada de los recursos públicos para satisfacer las necesidades de la entidad y cumplir los fines estatales, sin desconocer las restricciones establecidas en el ordenamiento jurídico.</w:t>
      </w:r>
    </w:p>
    <w:p w14:paraId="6F788BD0" w14:textId="77777777" w:rsidR="002C6CD9" w:rsidRDefault="002C6CD9" w:rsidP="002C6CD9">
      <w:pPr>
        <w:spacing w:before="120" w:line="276" w:lineRule="auto"/>
        <w:ind w:firstLine="709"/>
        <w:jc w:val="both"/>
        <w:rPr>
          <w:rFonts w:ascii="Verdana" w:eastAsia="Calibri" w:hAnsi="Verdana" w:cs="Times New Roman"/>
          <w:lang w:val="es-ES"/>
        </w:rPr>
      </w:pPr>
      <w:r>
        <w:rPr>
          <w:rFonts w:ascii="Verdana" w:eastAsia="Calibri" w:hAnsi="Verdana" w:cs="Arial"/>
          <w:bCs/>
          <w:color w:val="000000" w:themeColor="text1"/>
        </w:rPr>
        <w:t>Finalmente</w:t>
      </w:r>
      <w:r>
        <w:rPr>
          <w:rFonts w:ascii="Verdana" w:eastAsia="Calibri" w:hAnsi="Verdana" w:cs="Times New Roman"/>
          <w:lang w:val="es-ES"/>
        </w:rPr>
        <w:t>,</w:t>
      </w:r>
      <w:r w:rsidRPr="00DB4737">
        <w:rPr>
          <w:rFonts w:ascii="Verdana" w:eastAsia="Calibri" w:hAnsi="Verdana" w:cs="Times New Roman"/>
          <w:lang w:val="es-ES"/>
        </w:rPr>
        <w:t xml:space="preserve"> debe advertirse que el análisis para resolver problemas en torno </w:t>
      </w:r>
      <w:r>
        <w:rPr>
          <w:rFonts w:ascii="Verdana" w:eastAsia="Calibri" w:hAnsi="Verdana" w:cs="Times New Roman"/>
          <w:lang w:val="es-ES"/>
        </w:rPr>
        <w:t>a un proceso de contratación especifico debe</w:t>
      </w:r>
      <w:r w:rsidRPr="0012388D">
        <w:rPr>
          <w:rFonts w:ascii="Verdana" w:eastAsia="Calibri" w:hAnsi="Verdana" w:cs="Times New Roman"/>
          <w:lang w:val="es-ES"/>
        </w:rPr>
        <w:t xml:space="preserve"> ser realizado por quienes </w:t>
      </w:r>
      <w:r w:rsidRPr="0012388D">
        <w:rPr>
          <w:rFonts w:ascii="Verdana" w:eastAsia="Calibri" w:hAnsi="Verdana" w:cs="Times New Roman"/>
          <w:lang w:val="es-ES"/>
        </w:rPr>
        <w:lastRenderedPageBreak/>
        <w:t>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w:t>
      </w:r>
      <w:r>
        <w:rPr>
          <w:rFonts w:ascii="Verdana" w:eastAsia="Calibri" w:hAnsi="Verdana" w:cs="Times New Roman"/>
          <w:lang w:val="es-ES"/>
        </w:rPr>
        <w:t>en</w:t>
      </w:r>
      <w:r w:rsidRPr="00DB4737">
        <w:rPr>
          <w:rFonts w:ascii="Verdana" w:eastAsia="Calibri" w:hAnsi="Verdana" w:cs="Times New Roman"/>
          <w:lang w:val="es-ES"/>
        </w:rPr>
        <w:t xml:space="preserve"> adoptar la decisión y, en caso de conflicto, a las autoridades judiciales, fiscales y disciplinarias</w:t>
      </w:r>
      <w:r w:rsidRPr="00CD211E">
        <w:rPr>
          <w:rFonts w:ascii="Verdana" w:eastAsia="Calibri" w:hAnsi="Verdana" w:cs="Times New Roman"/>
          <w:lang w:val="es-ES"/>
        </w:rPr>
        <w:t>.</w:t>
      </w:r>
    </w:p>
    <w:p w14:paraId="7E989EEC" w14:textId="77777777" w:rsidR="002C6CD9" w:rsidRPr="00CC5B5E" w:rsidRDefault="002C6CD9" w:rsidP="002C6CD9">
      <w:pPr>
        <w:spacing w:after="0" w:line="276" w:lineRule="auto"/>
        <w:ind w:firstLine="567"/>
        <w:jc w:val="both"/>
        <w:rPr>
          <w:rFonts w:ascii="Verdana" w:hAnsi="Verdana" w:cs="Arial"/>
          <w:bCs/>
          <w:szCs w:val="24"/>
          <w:lang w:val="es-ES_tradnl" w:eastAsia="es-ES_tradnl"/>
        </w:rPr>
      </w:pPr>
      <w:r w:rsidRPr="00276BAB">
        <w:rPr>
          <w:rFonts w:ascii="Verdana" w:eastAsia="Calibri" w:hAnsi="Verdana" w:cs="Arial"/>
          <w:bCs/>
          <w:color w:val="000000"/>
          <w:kern w:val="2"/>
          <w14:ligatures w14:val="standardContextual"/>
        </w:rPr>
        <w:t>Al margen de la explicación precedente debe advertirse que el análisis requerido</w:t>
      </w:r>
      <w:r w:rsidRPr="00BA2580">
        <w:rPr>
          <w:rFonts w:ascii="Verdana" w:eastAsia="Calibri" w:hAnsi="Verdana" w:cs="Arial"/>
          <w:bCs/>
          <w:color w:val="000000"/>
          <w:kern w:val="2"/>
          <w14:ligatures w14:val="standardContextual"/>
        </w:rPr>
        <w:t xml:space="preserve">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4015C762" w14:textId="77777777" w:rsidR="002C6CD9" w:rsidRDefault="002C6CD9" w:rsidP="002C6CD9">
      <w:pPr>
        <w:spacing w:after="0" w:line="276" w:lineRule="auto"/>
        <w:ind w:firstLine="708"/>
        <w:jc w:val="both"/>
        <w:rPr>
          <w:rFonts w:ascii="Verdana" w:eastAsia="Calibri" w:hAnsi="Verdana" w:cs="Arial"/>
          <w:bCs/>
          <w:color w:val="000000"/>
          <w:kern w:val="2"/>
          <w14:ligatures w14:val="standardContextual"/>
        </w:rPr>
      </w:pPr>
      <w:r w:rsidRPr="00BA2580">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bookmarkEnd w:id="1"/>
    <w:bookmarkEnd w:id="2"/>
    <w:p w14:paraId="1E8ED9FD" w14:textId="77777777" w:rsidR="002C6CD9" w:rsidRPr="0015699B" w:rsidRDefault="002C6CD9" w:rsidP="002C6CD9">
      <w:pPr>
        <w:spacing w:after="0" w:line="276" w:lineRule="auto"/>
        <w:ind w:firstLine="357"/>
        <w:jc w:val="both"/>
        <w:rPr>
          <w:rFonts w:ascii="Verdana" w:eastAsia="Verdana" w:hAnsi="Verdana" w:cs="Verdana"/>
          <w:lang w:val="es"/>
        </w:rPr>
      </w:pPr>
      <w:r>
        <w:rPr>
          <w:rFonts w:ascii="Verdana" w:hAnsi="Verdana"/>
        </w:rPr>
        <w:t xml:space="preserve">      </w:t>
      </w:r>
      <w:r w:rsidRPr="39124533">
        <w:rPr>
          <w:rFonts w:ascii="Verdana" w:eastAsia="Verdana" w:hAnsi="Verdana" w:cs="Verdana"/>
          <w:lang w:val="es"/>
        </w:rPr>
        <w:t xml:space="preserve"> </w:t>
      </w:r>
    </w:p>
    <w:p w14:paraId="694D7B26" w14:textId="77777777" w:rsidR="002C6CD9" w:rsidRPr="0015699B" w:rsidRDefault="002C6CD9" w:rsidP="002C6CD9">
      <w:pPr>
        <w:pStyle w:val="Prrafodelista"/>
        <w:numPr>
          <w:ilvl w:val="0"/>
          <w:numId w:val="16"/>
        </w:numPr>
        <w:spacing w:after="0" w:line="240" w:lineRule="auto"/>
        <w:ind w:left="1080" w:hanging="720"/>
        <w:jc w:val="both"/>
        <w:textAlignment w:val="baseline"/>
        <w:rPr>
          <w:rFonts w:ascii="Verdana" w:eastAsia="Verdana" w:hAnsi="Verdana" w:cs="Verdana"/>
          <w:b/>
          <w:bCs/>
          <w:lang w:val="es"/>
        </w:rPr>
      </w:pPr>
      <w:r w:rsidRPr="40A87941">
        <w:rPr>
          <w:rFonts w:ascii="Verdana" w:eastAsia="Verdana" w:hAnsi="Verdana" w:cs="Verdana"/>
          <w:b/>
          <w:bCs/>
          <w:lang w:val="es"/>
        </w:rPr>
        <w:t>Referencias normativas, jurisprudenciales y otras fuentes:</w:t>
      </w:r>
    </w:p>
    <w:p w14:paraId="5C7A6281" w14:textId="77777777" w:rsidR="002C6CD9" w:rsidRPr="0015699B" w:rsidRDefault="002C6CD9" w:rsidP="002C6CD9">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tbl>
      <w:tblPr>
        <w:tblStyle w:val="Tablaconcuadrcula"/>
        <w:tblW w:w="0" w:type="auto"/>
        <w:tblInd w:w="135" w:type="dxa"/>
        <w:tblLook w:val="04A0" w:firstRow="1" w:lastRow="0" w:firstColumn="1" w:lastColumn="0" w:noHBand="0" w:noVBand="1"/>
      </w:tblPr>
      <w:tblGrid>
        <w:gridCol w:w="8640"/>
      </w:tblGrid>
      <w:tr w:rsidR="002C6CD9" w14:paraId="733E75FB" w14:textId="77777777" w:rsidTr="00927AA4">
        <w:trPr>
          <w:trHeight w:val="870"/>
        </w:trPr>
        <w:tc>
          <w:tcPr>
            <w:tcW w:w="8640" w:type="dxa"/>
            <w:tcBorders>
              <w:top w:val="dotted" w:sz="8" w:space="0" w:color="auto"/>
              <w:left w:val="dotted" w:sz="8" w:space="0" w:color="auto"/>
              <w:bottom w:val="dotted" w:sz="8" w:space="0" w:color="auto"/>
              <w:right w:val="dotted" w:sz="8" w:space="0" w:color="auto"/>
            </w:tcBorders>
            <w:tcMar>
              <w:left w:w="108" w:type="dxa"/>
              <w:right w:w="108" w:type="dxa"/>
            </w:tcMar>
          </w:tcPr>
          <w:p w14:paraId="5E21D8CF" w14:textId="77777777" w:rsidR="002C6CD9" w:rsidRPr="004E0949" w:rsidRDefault="002C6CD9" w:rsidP="00927AA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4E0949">
              <w:rPr>
                <w:rFonts w:ascii="Verdana" w:eastAsia="Arial MT" w:hAnsi="Verdana" w:cs="Arial"/>
                <w:lang w:val="es-ES" w:eastAsia="es-ES" w:bidi="es-ES"/>
              </w:rPr>
              <w:t>Constitución Política, artículo 209</w:t>
            </w:r>
          </w:p>
          <w:p w14:paraId="53877742" w14:textId="77777777" w:rsidR="002C6CD9" w:rsidRPr="004E0949" w:rsidRDefault="002C6CD9" w:rsidP="00927AA4">
            <w:pPr>
              <w:widowControl w:val="0"/>
              <w:numPr>
                <w:ilvl w:val="0"/>
                <w:numId w:val="17"/>
              </w:numPr>
              <w:autoSpaceDE w:val="0"/>
              <w:autoSpaceDN w:val="0"/>
              <w:spacing w:before="120" w:after="120" w:line="276" w:lineRule="auto"/>
              <w:jc w:val="both"/>
              <w:rPr>
                <w:rFonts w:ascii="Verdana" w:eastAsia="Arial MT" w:hAnsi="Verdana" w:cs="Arial"/>
                <w:lang w:val="es-ES" w:eastAsia="es-ES" w:bidi="es-ES"/>
              </w:rPr>
            </w:pPr>
            <w:r w:rsidRPr="004E0949">
              <w:rPr>
                <w:rFonts w:ascii="Verdana" w:eastAsia="Arial MT" w:hAnsi="Verdana" w:cs="Arial"/>
                <w:lang w:val="es-ES" w:eastAsia="es-ES" w:bidi="es-ES"/>
              </w:rPr>
              <w:t>Ley 80 de 1993, artículos 23, 24, 25, 26, 32, 39, 41</w:t>
            </w:r>
          </w:p>
          <w:p w14:paraId="0EF6F4B3" w14:textId="77777777" w:rsidR="002C6CD9" w:rsidRPr="004E0949" w:rsidRDefault="002C6CD9" w:rsidP="00927AA4">
            <w:pPr>
              <w:widowControl w:val="0"/>
              <w:numPr>
                <w:ilvl w:val="0"/>
                <w:numId w:val="17"/>
              </w:numPr>
              <w:autoSpaceDE w:val="0"/>
              <w:autoSpaceDN w:val="0"/>
              <w:spacing w:before="120" w:after="120" w:line="276" w:lineRule="auto"/>
              <w:jc w:val="both"/>
              <w:rPr>
                <w:rFonts w:ascii="Verdana" w:eastAsia="Verdana" w:hAnsi="Verdana" w:cs="Verdana"/>
                <w:lang w:val="es"/>
              </w:rPr>
            </w:pPr>
            <w:r w:rsidRPr="004E0949">
              <w:rPr>
                <w:rFonts w:ascii="Verdana" w:eastAsia="Arial MT" w:hAnsi="Verdana" w:cs="Arial"/>
                <w:lang w:val="es-ES" w:eastAsia="es-ES" w:bidi="es-ES"/>
              </w:rPr>
              <w:t>Ley 1150 de 2007, artículo 5, 23</w:t>
            </w:r>
          </w:p>
          <w:p w14:paraId="331622B6" w14:textId="77777777" w:rsidR="002C6CD9" w:rsidRPr="00A24BA3" w:rsidRDefault="002C6CD9" w:rsidP="00927AA4">
            <w:pPr>
              <w:widowControl w:val="0"/>
              <w:numPr>
                <w:ilvl w:val="0"/>
                <w:numId w:val="17"/>
              </w:numPr>
              <w:autoSpaceDE w:val="0"/>
              <w:autoSpaceDN w:val="0"/>
              <w:spacing w:before="120" w:after="120" w:line="276" w:lineRule="auto"/>
              <w:jc w:val="both"/>
              <w:rPr>
                <w:rFonts w:ascii="Verdana" w:eastAsia="Verdana" w:hAnsi="Verdana" w:cs="Verdana"/>
                <w:lang w:val="es"/>
              </w:rPr>
            </w:pPr>
            <w:r w:rsidRPr="00316620">
              <w:rPr>
                <w:rFonts w:ascii="Verdana" w:eastAsia="Verdana" w:hAnsi="Verdana" w:cs="Verdana"/>
              </w:rPr>
              <w:t>Decreto 1068 de 2015</w:t>
            </w:r>
            <w:r>
              <w:rPr>
                <w:rFonts w:ascii="Verdana" w:eastAsia="Verdana" w:hAnsi="Verdana" w:cs="Verdana"/>
              </w:rPr>
              <w:t xml:space="preserve">, </w:t>
            </w:r>
            <w:r w:rsidRPr="00316620">
              <w:rPr>
                <w:rFonts w:ascii="Verdana" w:eastAsia="Verdana" w:hAnsi="Verdana" w:cs="Verdana"/>
              </w:rPr>
              <w:t>artículo 2.8.4.3.4</w:t>
            </w:r>
            <w:r>
              <w:rPr>
                <w:rFonts w:ascii="Verdana" w:eastAsia="Verdana" w:hAnsi="Verdana" w:cs="Verdana"/>
              </w:rPr>
              <w:t>.</w:t>
            </w:r>
          </w:p>
        </w:tc>
      </w:tr>
    </w:tbl>
    <w:p w14:paraId="3E412488" w14:textId="77777777" w:rsidR="002C6CD9" w:rsidRPr="0015699B" w:rsidRDefault="002C6CD9" w:rsidP="002C6CD9">
      <w:pPr>
        <w:spacing w:after="0" w:line="276" w:lineRule="auto"/>
        <w:jc w:val="both"/>
        <w:textAlignment w:val="baseline"/>
        <w:rPr>
          <w:rFonts w:ascii="Verdana" w:eastAsia="Verdana" w:hAnsi="Verdana" w:cs="Verdana"/>
          <w:lang w:val="es"/>
        </w:rPr>
      </w:pPr>
      <w:r w:rsidRPr="40A87941">
        <w:rPr>
          <w:rFonts w:ascii="Verdana" w:eastAsia="Verdana" w:hAnsi="Verdana" w:cs="Verdana"/>
          <w:lang w:val="es"/>
        </w:rPr>
        <w:t xml:space="preserve"> </w:t>
      </w:r>
    </w:p>
    <w:p w14:paraId="6423431B" w14:textId="77777777" w:rsidR="002C6CD9" w:rsidRPr="003D5882" w:rsidRDefault="002C6CD9" w:rsidP="002C6CD9">
      <w:pPr>
        <w:pStyle w:val="Prrafodelista"/>
        <w:numPr>
          <w:ilvl w:val="0"/>
          <w:numId w:val="16"/>
        </w:numPr>
        <w:spacing w:before="1" w:after="0" w:line="240" w:lineRule="auto"/>
        <w:jc w:val="both"/>
        <w:textAlignment w:val="baseline"/>
        <w:rPr>
          <w:rFonts w:ascii="Verdana" w:eastAsia="Verdana" w:hAnsi="Verdana" w:cs="Verdana"/>
          <w:b/>
          <w:bCs/>
          <w:lang w:val="es"/>
        </w:rPr>
      </w:pPr>
      <w:r w:rsidRPr="39124533">
        <w:rPr>
          <w:rFonts w:ascii="Verdana" w:eastAsia="Verdana" w:hAnsi="Verdana" w:cs="Verdana"/>
          <w:b/>
          <w:bCs/>
          <w:lang w:val="es"/>
        </w:rPr>
        <w:t>Doctrina de la Agencia Nacional de Contratación Pública:</w:t>
      </w:r>
    </w:p>
    <w:p w14:paraId="37D24A83" w14:textId="77777777" w:rsidR="002C6CD9" w:rsidRPr="003D5882" w:rsidRDefault="002C6CD9" w:rsidP="002C6CD9">
      <w:pPr>
        <w:pStyle w:val="Prrafodelista"/>
        <w:spacing w:before="1" w:after="0" w:line="240" w:lineRule="auto"/>
        <w:jc w:val="both"/>
        <w:textAlignment w:val="baseline"/>
        <w:rPr>
          <w:rFonts w:ascii="Verdana" w:eastAsia="Verdana" w:hAnsi="Verdana" w:cs="Verdana"/>
          <w:b/>
          <w:bCs/>
          <w:lang w:val="es"/>
        </w:rPr>
      </w:pPr>
    </w:p>
    <w:p w14:paraId="1981460E" w14:textId="77777777" w:rsidR="002C6CD9" w:rsidRPr="005510A2" w:rsidRDefault="002C6CD9" w:rsidP="002C6CD9">
      <w:pPr>
        <w:spacing w:after="0" w:line="276" w:lineRule="auto"/>
        <w:jc w:val="both"/>
        <w:rPr>
          <w:rStyle w:val="normaltextrun"/>
          <w:rFonts w:ascii="Verdana" w:hAnsi="Verdana" w:cs="Arial"/>
          <w:bCs/>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los requisitos esenciales del contrato estatal en los conceptos C-058 de 2024, C-411 de 2025, C-536 de 2025, C-597 de 2025, C-1277 de 2025</w:t>
      </w:r>
      <w:r>
        <w:rPr>
          <w:rFonts w:ascii="Verdana" w:hAnsi="Verdana"/>
        </w:rPr>
        <w:t xml:space="preserve">, C-1335 de octubre 2025 y C-565 del 21 de mayo de 2026, </w:t>
      </w:r>
      <w:r w:rsidRPr="00CF7C16">
        <w:rPr>
          <w:rFonts w:ascii="Verdana" w:hAnsi="Verdana" w:cs="Arial"/>
          <w:shd w:val="clear" w:color="auto" w:fill="FFFFFF"/>
          <w:lang w:val="es-ES"/>
        </w:rPr>
        <w:t>entre otros</w:t>
      </w:r>
      <w:r w:rsidRPr="00AB70DD">
        <w:rPr>
          <w:rFonts w:ascii="Verdana" w:eastAsia="Aptos" w:hAnsi="Verdana" w:cs="Arial"/>
          <w:shd w:val="clear" w:color="auto" w:fill="FFFFFF"/>
          <w:lang w:val="es-ES"/>
        </w:rPr>
        <w:t>.</w:t>
      </w:r>
      <w:r>
        <w:rPr>
          <w:rFonts w:ascii="Verdana" w:eastAsia="Aptos" w:hAnsi="Verdana" w:cs="Arial"/>
          <w:shd w:val="clear" w:color="auto" w:fill="FFFFFF"/>
          <w:lang w:val="es-ES"/>
        </w:rPr>
        <w:t xml:space="preserve"> </w:t>
      </w:r>
      <w:r w:rsidRPr="00C331E4">
        <w:rPr>
          <w:rStyle w:val="normaltextrun"/>
          <w:rFonts w:ascii="Verdana" w:hAnsi="Verdana" w:cs="Arial"/>
          <w:shd w:val="clear" w:color="auto" w:fill="FFFFFF"/>
          <w:lang w:val="es-ES"/>
        </w:rPr>
        <w:t>Es</w:t>
      </w:r>
      <w:r w:rsidRPr="00C331E4">
        <w:rPr>
          <w:rFonts w:ascii="Verdana" w:hAnsi="Verdana"/>
        </w:rPr>
        <w:t>tos y otros conceptos se encuentran</w:t>
      </w:r>
      <w:r w:rsidRPr="005510A2">
        <w:rPr>
          <w:rFonts w:ascii="Verdana" w:hAnsi="Verdana"/>
        </w:rPr>
        <w:t xml:space="preserve"> disponibles para consulta</w:t>
      </w:r>
      <w:r w:rsidRPr="00F766A3">
        <w:rPr>
          <w:rFonts w:ascii="Verdana" w:hAnsi="Verdana"/>
        </w:rPr>
        <w:t xml:space="preserve"> en el Sistema de relatoría de la Agencia, al cual se puede acceder a través del siguiente enlace:</w:t>
      </w:r>
      <w:r w:rsidRPr="00F766A3">
        <w:rPr>
          <w:rStyle w:val="normaltextrun"/>
          <w:rFonts w:ascii="Verdana" w:hAnsi="Verdana" w:cs="Arial"/>
          <w:shd w:val="clear" w:color="auto" w:fill="FFFFFF"/>
          <w:lang w:val="es-ES"/>
        </w:rPr>
        <w:t xml:space="preserve"> </w:t>
      </w:r>
      <w:hyperlink r:id="rId11" w:history="1">
        <w:r w:rsidRPr="006E666F">
          <w:rPr>
            <w:rStyle w:val="Hipervnculo"/>
            <w:rFonts w:ascii="Verdana" w:hAnsi="Verdana" w:cs="Arial"/>
            <w:shd w:val="clear" w:color="auto" w:fill="FFFFFF"/>
            <w:lang w:val="es-ES"/>
          </w:rPr>
          <w:t>https://relatoria.colombiacompra.gov.co/busqueda/conceptos</w:t>
        </w:r>
      </w:hyperlink>
      <w:r w:rsidRPr="00F766A3">
        <w:rPr>
          <w:rStyle w:val="normaltextrun"/>
          <w:rFonts w:ascii="Verdana" w:hAnsi="Verdana" w:cs="Arial"/>
          <w:color w:val="FF0000"/>
          <w:shd w:val="clear" w:color="auto" w:fill="FFFFFF"/>
          <w:lang w:val="es-ES"/>
        </w:rPr>
        <w:t xml:space="preserve">. </w:t>
      </w:r>
    </w:p>
    <w:p w14:paraId="0F693EFC" w14:textId="77777777" w:rsidR="002C6CD9" w:rsidRDefault="002C6CD9" w:rsidP="002C6CD9">
      <w:pPr>
        <w:spacing w:after="0" w:line="276" w:lineRule="auto"/>
        <w:jc w:val="both"/>
        <w:textAlignment w:val="baseline"/>
        <w:rPr>
          <w:rFonts w:ascii="Verdana" w:eastAsia="Verdana" w:hAnsi="Verdana" w:cs="Verdana"/>
        </w:rPr>
      </w:pPr>
    </w:p>
    <w:p w14:paraId="53A2105A" w14:textId="77777777" w:rsidR="002C6CD9" w:rsidRPr="00010A5F" w:rsidRDefault="002C6CD9" w:rsidP="002C6CD9">
      <w:pPr>
        <w:spacing w:after="0" w:line="276" w:lineRule="auto"/>
        <w:jc w:val="both"/>
        <w:textAlignment w:val="baseline"/>
        <w:rPr>
          <w:rFonts w:ascii="Verdana" w:eastAsia="Verdana" w:hAnsi="Verdana" w:cs="Verdana"/>
          <w:color w:val="FF0000"/>
          <w:lang w:val="es"/>
        </w:rPr>
      </w:pPr>
      <w:r w:rsidRPr="39124533">
        <w:rPr>
          <w:rFonts w:ascii="Verdana" w:eastAsia="Verdana" w:hAnsi="Verdana" w:cs="Verdana"/>
        </w:rPr>
        <w:t>Estos se encuentran disponibles para consulta en el Sistema de relatoría de la Agencia, al cual puede accederse a través del siguiente enlace:</w:t>
      </w:r>
      <w:hyperlink r:id="rId12">
        <w:r w:rsidRPr="39124533">
          <w:rPr>
            <w:rStyle w:val="Hipervnculo"/>
            <w:rFonts w:ascii="Verdana" w:hAnsi="Verdana"/>
            <w:lang w:val="es"/>
          </w:rPr>
          <w:t>https://relatoria.colombiacompra.gov.co/busqueda/conceptos</w:t>
        </w:r>
      </w:hyperlink>
      <w:r w:rsidRPr="39124533">
        <w:rPr>
          <w:rFonts w:ascii="Verdana" w:eastAsia="Verdana" w:hAnsi="Verdana" w:cs="Verdana"/>
          <w:color w:val="000000" w:themeColor="text1"/>
          <w:lang w:val="es"/>
        </w:rPr>
        <w:t xml:space="preserve">. </w:t>
      </w:r>
      <w:r w:rsidRPr="39124533">
        <w:rPr>
          <w:rFonts w:ascii="Verdana" w:eastAsia="Verdana" w:hAnsi="Verdana" w:cs="Verdana"/>
          <w:color w:val="FF0000"/>
          <w:lang w:val="es"/>
        </w:rPr>
        <w:t xml:space="preserve"> </w:t>
      </w:r>
    </w:p>
    <w:p w14:paraId="0B5A3F7D" w14:textId="77777777" w:rsidR="002C6CD9" w:rsidRDefault="002C6CD9" w:rsidP="002C6CD9">
      <w:pPr>
        <w:spacing w:after="0" w:line="276"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  </w:t>
      </w:r>
    </w:p>
    <w:p w14:paraId="20425C61" w14:textId="77777777" w:rsidR="002C6CD9" w:rsidRDefault="002C6CD9" w:rsidP="002C6CD9">
      <w:pPr>
        <w:shd w:val="clear" w:color="auto" w:fill="FFFFFF" w:themeFill="background1"/>
        <w:spacing w:after="0"/>
        <w:jc w:val="both"/>
        <w:rPr>
          <w:rFonts w:ascii="Verdana" w:eastAsia="Verdana" w:hAnsi="Verdana" w:cs="Verdana"/>
        </w:rPr>
      </w:pPr>
      <w:r w:rsidRPr="054CF0A3">
        <w:rPr>
          <w:rFonts w:ascii="Verdana" w:eastAsia="Verdana" w:hAnsi="Verdana" w:cs="Verdana"/>
          <w:color w:val="000000" w:themeColor="text1"/>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54CF0A3">
        <w:rPr>
          <w:rFonts w:ascii="Verdana" w:eastAsia="Verdana" w:hAnsi="Verdana" w:cs="Verdana"/>
          <w:b/>
          <w:bCs/>
          <w:color w:val="000000" w:themeColor="text1"/>
        </w:rPr>
        <w:t>Guía para la Exigencia y Constitución de Garantías en los Procesos de Contratación</w:t>
      </w:r>
      <w:r w:rsidRPr="054CF0A3">
        <w:rPr>
          <w:rFonts w:ascii="Verdana" w:eastAsia="Verdana" w:hAnsi="Verdana" w:cs="Verdana"/>
          <w:color w:val="000000" w:themeColor="text1"/>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3">
        <w:r w:rsidRPr="054CF0A3">
          <w:rPr>
            <w:rStyle w:val="Hipervnculo"/>
            <w:rFonts w:ascii="Verdana" w:eastAsia="Verdana" w:hAnsi="Verdana" w:cs="Verdana"/>
            <w:color w:val="000000" w:themeColor="text1"/>
          </w:rPr>
          <w:t>https://www.colombiacompra.gov.co/archivos/manual/guia-de-garantias-en-procesos-de-contratacion</w:t>
        </w:r>
      </w:hyperlink>
    </w:p>
    <w:p w14:paraId="2CDEB108" w14:textId="77777777" w:rsidR="002C6CD9" w:rsidRDefault="002C6CD9" w:rsidP="002C6CD9">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t xml:space="preserve">De otro lado, te contamos que el Decreto 287 del 19 de marzo de 2026 sustituyó los artículos 2.2.1.2.4.2.6., 2.2.1.2.4.2.7. y 2.2.1.2.4.2.8. del Decreto 1082 de 2015 y estructuró el </w:t>
      </w:r>
      <w:r w:rsidRPr="054CF0A3">
        <w:rPr>
          <w:rFonts w:ascii="Verdana" w:eastAsia="Verdana" w:hAnsi="Verdana" w:cs="Verdana"/>
          <w:b/>
          <w:bCs/>
          <w:color w:val="000000" w:themeColor="text1"/>
        </w:rPr>
        <w:t>Sistema Integral de Preferencias en favor de las personas con discapacidad</w:t>
      </w:r>
      <w:r w:rsidRPr="054CF0A3">
        <w:rPr>
          <w:rFonts w:ascii="Verdana" w:eastAsia="Verdana" w:hAnsi="Verdana" w:cs="Verdana"/>
          <w:color w:val="000000" w:themeColor="text1"/>
        </w:rPr>
        <w:t xml:space="preserve">, en cumplimiento del artículo 13 de la Ley Estatutaria 1618 de 2013. Para orientar su aplicación, esta Agencia expidió la </w:t>
      </w:r>
      <w:r w:rsidRPr="054CF0A3">
        <w:rPr>
          <w:rFonts w:ascii="Verdana" w:eastAsia="Verdana" w:hAnsi="Verdana" w:cs="Verdana"/>
          <w:b/>
          <w:bCs/>
          <w:color w:val="000000" w:themeColor="text1"/>
        </w:rPr>
        <w:t xml:space="preserve">Circular Externa 003 del 12 de mayo de 2026, </w:t>
      </w:r>
      <w:r w:rsidRPr="054CF0A3">
        <w:rPr>
          <w:rFonts w:ascii="Verdana" w:eastAsia="Verdana" w:hAnsi="Verdana" w:cs="Verdana"/>
          <w:color w:val="000000" w:themeColor="text1"/>
        </w:rPr>
        <w:t xml:space="preserve">en la que precisa quiénes son los beneficiarios, las cinco medidas que integran el sistema y su obligatoriedad según la modalidad de selección, y el régimen de transición aplicable a los procesos en curso. Consúltala aquí: </w:t>
      </w:r>
      <w:hyperlink r:id="rId14">
        <w:r w:rsidRPr="054CF0A3">
          <w:rPr>
            <w:rStyle w:val="Hipervnculo"/>
            <w:rFonts w:ascii="Verdana" w:eastAsia="Verdana" w:hAnsi="Verdana" w:cs="Verdana"/>
            <w:color w:val="000000" w:themeColor="text1"/>
          </w:rPr>
          <w:t>https://www.colombiacompra.gov.co/archivos/circular/circular-externa-003-de-2026</w:t>
        </w:r>
      </w:hyperlink>
    </w:p>
    <w:p w14:paraId="763A57CB" w14:textId="77777777" w:rsidR="002C6CD9" w:rsidRDefault="002C6CD9" w:rsidP="002C6CD9">
      <w:pPr>
        <w:shd w:val="clear" w:color="auto" w:fill="FFFFFF" w:themeFill="background1"/>
        <w:spacing w:before="220" w:after="220"/>
        <w:jc w:val="both"/>
        <w:rPr>
          <w:rFonts w:ascii="Verdana" w:eastAsia="Verdana" w:hAnsi="Verdana" w:cs="Verdana"/>
        </w:rPr>
      </w:pPr>
      <w:r w:rsidRPr="054CF0A3">
        <w:rPr>
          <w:rFonts w:ascii="Verdana" w:eastAsia="Verdana" w:hAnsi="Verdana" w:cs="Verdana"/>
          <w:color w:val="000000" w:themeColor="text1"/>
        </w:rPr>
        <w:lastRenderedPageBreak/>
        <w:t>Recuerda también que la</w:t>
      </w:r>
      <w:r w:rsidRPr="054CF0A3">
        <w:rPr>
          <w:rFonts w:ascii="Verdana" w:eastAsia="Verdana" w:hAnsi="Verdana" w:cs="Verdana"/>
          <w:b/>
          <w:bCs/>
          <w:color w:val="000000" w:themeColor="text1"/>
        </w:rPr>
        <w:t xml:space="preserve"> información sobre sanciones e inhabilidades </w:t>
      </w:r>
      <w:r w:rsidRPr="054CF0A3">
        <w:rPr>
          <w:rFonts w:ascii="Verdana" w:eastAsia="Verdana" w:hAnsi="Verdana" w:cs="Verdana"/>
          <w:color w:val="000000" w:themeColor="text1"/>
        </w:rPr>
        <w:t xml:space="preserve">solo cumple su función preventiva si llega oportunamente a los registros públicos. Sobre este deber, esta Agencia expidió la </w:t>
      </w:r>
      <w:r w:rsidRPr="054CF0A3">
        <w:rPr>
          <w:rFonts w:ascii="Verdana" w:eastAsia="Verdana" w:hAnsi="Verdana" w:cs="Verdana"/>
          <w:b/>
          <w:bCs/>
          <w:color w:val="000000" w:themeColor="text1"/>
        </w:rPr>
        <w:t>Circular Externa 002 del 5 de mayo de 2026,</w:t>
      </w:r>
      <w:r w:rsidRPr="054CF0A3">
        <w:rPr>
          <w:rFonts w:ascii="Verdana" w:eastAsia="Verdana" w:hAnsi="Verdana" w:cs="Verdana"/>
          <w:color w:val="000000" w:themeColor="text1"/>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5">
        <w:r w:rsidRPr="054CF0A3">
          <w:rPr>
            <w:rStyle w:val="Hipervnculo"/>
            <w:rFonts w:ascii="Verdana" w:eastAsia="Verdana" w:hAnsi="Verdana" w:cs="Verdana"/>
            <w:color w:val="000000" w:themeColor="text1"/>
          </w:rPr>
          <w:t>https://www.colombiacompra.gov.co/archivos/circular/circular-externa-002-de-2026</w:t>
        </w:r>
      </w:hyperlink>
    </w:p>
    <w:p w14:paraId="3747096C" w14:textId="77777777" w:rsidR="002C6CD9" w:rsidRDefault="002C6CD9" w:rsidP="002C6CD9">
      <w:pPr>
        <w:shd w:val="clear" w:color="auto" w:fill="FFFFFF" w:themeFill="background1"/>
        <w:spacing w:before="220" w:after="220"/>
        <w:jc w:val="both"/>
        <w:rPr>
          <w:rFonts w:ascii="Verdana" w:eastAsia="Verdana" w:hAnsi="Verdana" w:cs="Verdana"/>
          <w:color w:val="000000" w:themeColor="text1"/>
        </w:rPr>
      </w:pPr>
      <w:r w:rsidRPr="054CF0A3">
        <w:rPr>
          <w:rFonts w:ascii="Verdana" w:eastAsia="Verdana" w:hAnsi="Verdana" w:cs="Verdana"/>
          <w:color w:val="000000" w:themeColor="text1"/>
        </w:rPr>
        <w:t>Finalmente, si quieres seguir de cerca la actividad de la Agencia, la tercera edición de 2026 del</w:t>
      </w:r>
      <w:r w:rsidRPr="054CF0A3">
        <w:rPr>
          <w:rFonts w:ascii="Verdana" w:eastAsia="Verdana" w:hAnsi="Verdana" w:cs="Verdana"/>
          <w:b/>
          <w:bCs/>
          <w:color w:val="000000" w:themeColor="text1"/>
        </w:rPr>
        <w:t xml:space="preserve"> Radar de la Compra Pública</w:t>
      </w:r>
      <w:r w:rsidRPr="054CF0A3">
        <w:rPr>
          <w:rFonts w:ascii="Verdana" w:eastAsia="Verdana" w:hAnsi="Verdana" w:cs="Verdana"/>
          <w:color w:val="000000" w:themeColor="text1"/>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6">
        <w:r w:rsidRPr="054CF0A3">
          <w:rPr>
            <w:rStyle w:val="Hipervnculo"/>
            <w:rFonts w:ascii="Verdana" w:eastAsia="Verdana" w:hAnsi="Verdana" w:cs="Verdana"/>
            <w:color w:val="000000" w:themeColor="text1"/>
          </w:rPr>
          <w:t>https://www.colombiacompra.gov.co/archivos/boletin/boletin-edicion-n-3-de-2026-radar-de-la-compra-publica</w:t>
        </w:r>
      </w:hyperlink>
    </w:p>
    <w:p w14:paraId="3B4145AF" w14:textId="77777777" w:rsidR="002C6CD9" w:rsidRPr="003D5882" w:rsidRDefault="002C6CD9" w:rsidP="002C6CD9">
      <w:pPr>
        <w:spacing w:after="0" w:line="257" w:lineRule="auto"/>
        <w:jc w:val="both"/>
        <w:textAlignment w:val="baseline"/>
        <w:rPr>
          <w:rFonts w:ascii="Verdana" w:eastAsia="Verdana" w:hAnsi="Verdana" w:cs="Verdana"/>
          <w:color w:val="000000" w:themeColor="text1"/>
          <w:lang w:val="es"/>
        </w:rPr>
      </w:pPr>
      <w:r w:rsidRPr="39124533">
        <w:rPr>
          <w:rFonts w:ascii="Verdana" w:eastAsia="Verdana" w:hAnsi="Verdana" w:cs="Verdana"/>
          <w:color w:val="000000" w:themeColor="text1"/>
          <w:lang w:val="es"/>
        </w:rPr>
        <w:t xml:space="preserve">Lo invitamos a seguirnos en las redes sociales en las cuales se difunde información institucional: </w:t>
      </w:r>
    </w:p>
    <w:p w14:paraId="521B0F0F" w14:textId="77777777" w:rsidR="002C6CD9" w:rsidRPr="0015699B" w:rsidRDefault="002C6CD9" w:rsidP="002C6CD9">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731D8D09" w14:textId="77777777" w:rsidR="002C6CD9" w:rsidRPr="0015699B" w:rsidRDefault="002C6CD9" w:rsidP="002C6CD9">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Twitter: </w:t>
      </w:r>
      <w:r w:rsidRPr="40A87941">
        <w:rPr>
          <w:rFonts w:ascii="Verdana" w:eastAsia="Verdana" w:hAnsi="Verdana" w:cs="Verdana"/>
          <w:color w:val="000000" w:themeColor="text1"/>
          <w:u w:val="single"/>
          <w:lang w:val="es"/>
        </w:rPr>
        <w:t>@colombiacompra</w:t>
      </w:r>
      <w:r w:rsidRPr="40A87941">
        <w:rPr>
          <w:rFonts w:ascii="Verdana" w:eastAsia="Verdana" w:hAnsi="Verdana" w:cs="Verdana"/>
          <w:color w:val="000000" w:themeColor="text1"/>
          <w:lang w:val="es"/>
        </w:rPr>
        <w:t xml:space="preserve"> </w:t>
      </w:r>
    </w:p>
    <w:p w14:paraId="4FB88343" w14:textId="77777777" w:rsidR="002C6CD9" w:rsidRPr="0015699B" w:rsidRDefault="002C6CD9" w:rsidP="002C6CD9">
      <w:pPr>
        <w:spacing w:after="0" w:line="240" w:lineRule="auto"/>
        <w:jc w:val="both"/>
        <w:textAlignment w:val="baseline"/>
        <w:rPr>
          <w:rFonts w:ascii="Verdana" w:eastAsia="Verdana" w:hAnsi="Verdana" w:cs="Verdana"/>
          <w:color w:val="000000" w:themeColor="text1"/>
          <w:u w:val="single"/>
          <w:lang w:val="es-ES"/>
        </w:rPr>
      </w:pPr>
      <w:r w:rsidRPr="40A87941">
        <w:rPr>
          <w:rFonts w:ascii="Verdana" w:eastAsia="Verdana" w:hAnsi="Verdana" w:cs="Verdana"/>
          <w:color w:val="000000" w:themeColor="text1"/>
          <w:lang w:val="es-ES"/>
        </w:rPr>
        <w:t xml:space="preserve">Facebook: </w:t>
      </w:r>
      <w:proofErr w:type="spellStart"/>
      <w:r w:rsidRPr="40A87941">
        <w:rPr>
          <w:rFonts w:ascii="Verdana" w:eastAsia="Verdana" w:hAnsi="Verdana" w:cs="Verdana"/>
          <w:color w:val="000000" w:themeColor="text1"/>
          <w:u w:val="single"/>
          <w:lang w:val="es-ES"/>
        </w:rPr>
        <w:t>ColombiaCompraEficiente</w:t>
      </w:r>
      <w:proofErr w:type="spellEnd"/>
    </w:p>
    <w:p w14:paraId="749077E1" w14:textId="77777777" w:rsidR="002C6CD9" w:rsidRPr="0015699B" w:rsidRDefault="002C6CD9" w:rsidP="002C6CD9">
      <w:pPr>
        <w:spacing w:after="0" w:line="240" w:lineRule="auto"/>
        <w:jc w:val="both"/>
        <w:textAlignment w:val="baseline"/>
        <w:rPr>
          <w:rFonts w:ascii="Verdana" w:eastAsia="Verdana" w:hAnsi="Verdana" w:cs="Verdana"/>
          <w:color w:val="000000" w:themeColor="text1"/>
          <w:u w:val="single"/>
          <w:lang w:val="es"/>
        </w:rPr>
      </w:pPr>
      <w:r w:rsidRPr="40A87941">
        <w:rPr>
          <w:rFonts w:ascii="Verdana" w:eastAsia="Verdana" w:hAnsi="Verdana" w:cs="Verdana"/>
          <w:color w:val="000000" w:themeColor="text1"/>
          <w:lang w:val="es"/>
        </w:rPr>
        <w:t xml:space="preserve">LinkedIn: </w:t>
      </w:r>
      <w:r w:rsidRPr="40A87941">
        <w:rPr>
          <w:rFonts w:ascii="Verdana" w:eastAsia="Verdana" w:hAnsi="Verdana" w:cs="Verdana"/>
          <w:color w:val="000000" w:themeColor="text1"/>
          <w:u w:val="single"/>
          <w:lang w:val="es"/>
        </w:rPr>
        <w:t>Agencia Nacional de Contratación Pública - Colombia Compra Eficiente</w:t>
      </w:r>
      <w:r w:rsidRPr="40A87941">
        <w:rPr>
          <w:rFonts w:ascii="Verdana" w:eastAsia="Verdana" w:hAnsi="Verdana" w:cs="Verdana"/>
          <w:color w:val="000000" w:themeColor="text1"/>
          <w:lang w:val="es"/>
        </w:rPr>
        <w:t xml:space="preserve"> Instagram: </w:t>
      </w:r>
      <w:r w:rsidRPr="40A87941">
        <w:rPr>
          <w:rFonts w:ascii="Verdana" w:eastAsia="Verdana" w:hAnsi="Verdana" w:cs="Verdana"/>
          <w:color w:val="000000" w:themeColor="text1"/>
          <w:u w:val="single"/>
          <w:lang w:val="es"/>
        </w:rPr>
        <w:t>@colombiacompraeficiente_cce</w:t>
      </w:r>
    </w:p>
    <w:p w14:paraId="6553EB12" w14:textId="77777777" w:rsidR="002C6CD9" w:rsidRPr="0015699B" w:rsidRDefault="002C6CD9" w:rsidP="002C6CD9">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5F6E06F3" w14:textId="77777777" w:rsidR="002C6CD9" w:rsidRPr="0015699B" w:rsidRDefault="002C6CD9" w:rsidP="002C6CD9">
      <w:pPr>
        <w:spacing w:after="0" w:line="276"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B0D8A52" w14:textId="77777777" w:rsidR="002C6CD9" w:rsidRPr="0015699B" w:rsidRDefault="002C6CD9" w:rsidP="002C6CD9">
      <w:pPr>
        <w:spacing w:after="0" w:line="240" w:lineRule="auto"/>
        <w:jc w:val="both"/>
        <w:textAlignment w:val="baseline"/>
        <w:rPr>
          <w:rFonts w:ascii="Verdana" w:eastAsia="Verdana" w:hAnsi="Verdana" w:cs="Verdana"/>
          <w:color w:val="000000" w:themeColor="text1"/>
          <w:lang w:val="es"/>
        </w:rPr>
      </w:pPr>
      <w:r w:rsidRPr="40A87941">
        <w:rPr>
          <w:rFonts w:ascii="Verdana" w:eastAsia="Verdana" w:hAnsi="Verdana" w:cs="Verdana"/>
          <w:color w:val="000000" w:themeColor="text1"/>
          <w:lang w:val="es"/>
        </w:rPr>
        <w:t xml:space="preserve"> </w:t>
      </w:r>
    </w:p>
    <w:p w14:paraId="718030CC" w14:textId="77777777" w:rsidR="002C6CD9" w:rsidRPr="0015699B" w:rsidRDefault="002C6CD9" w:rsidP="002C6CD9">
      <w:pPr>
        <w:spacing w:after="0" w:line="240" w:lineRule="auto"/>
        <w:jc w:val="both"/>
        <w:textAlignment w:val="baseline"/>
      </w:pPr>
      <w:r w:rsidRPr="40A87941">
        <w:rPr>
          <w:rFonts w:ascii="Verdana" w:eastAsia="Verdana" w:hAnsi="Verdana" w:cs="Verdana"/>
          <w:color w:val="000000" w:themeColor="text1"/>
          <w:lang w:val="es"/>
        </w:rPr>
        <w:t xml:space="preserve">Atentamente, </w:t>
      </w:r>
    </w:p>
    <w:p w14:paraId="5DDCE71C" w14:textId="152E5A6B" w:rsidR="002C6CD9" w:rsidRDefault="002C6CD9" w:rsidP="002C6CD9">
      <w:pPr>
        <w:spacing w:after="0" w:line="240" w:lineRule="auto"/>
        <w:jc w:val="both"/>
        <w:rPr>
          <w:noProof/>
        </w:rPr>
      </w:pPr>
    </w:p>
    <w:p w14:paraId="3EE90D58" w14:textId="10813796" w:rsidR="002C6CD9" w:rsidRDefault="00432DC5" w:rsidP="00432DC5">
      <w:pPr>
        <w:spacing w:after="0" w:line="240" w:lineRule="auto"/>
        <w:jc w:val="center"/>
        <w:rPr>
          <w:noProof/>
        </w:rPr>
      </w:pPr>
      <w:r>
        <w:rPr>
          <w:noProof/>
        </w:rPr>
        <w:lastRenderedPageBreak/>
        <w:drawing>
          <wp:inline distT="0" distB="0" distL="0" distR="0" wp14:anchorId="23EF4655" wp14:editId="56AB9BB4">
            <wp:extent cx="2847975" cy="1076325"/>
            <wp:effectExtent l="0" t="0" r="9525" b="9525"/>
            <wp:docPr id="177612815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47975" cy="1076325"/>
                    </a:xfrm>
                    <a:prstGeom prst="rect">
                      <a:avLst/>
                    </a:prstGeom>
                    <a:noFill/>
                    <a:ln>
                      <a:noFill/>
                    </a:ln>
                  </pic:spPr>
                </pic:pic>
              </a:graphicData>
            </a:graphic>
          </wp:inline>
        </w:drawing>
      </w:r>
    </w:p>
    <w:p w14:paraId="7E9B17AD" w14:textId="497D68B1" w:rsidR="002C6CD9" w:rsidRDefault="002C6CD9" w:rsidP="002C6CD9">
      <w:pPr>
        <w:spacing w:after="0" w:line="240" w:lineRule="auto"/>
        <w:jc w:val="center"/>
        <w:rPr>
          <w:noProof/>
        </w:rPr>
      </w:pPr>
    </w:p>
    <w:p w14:paraId="1EE84761" w14:textId="77777777" w:rsidR="002C6CD9" w:rsidRDefault="002C6CD9" w:rsidP="002C6CD9">
      <w:pPr>
        <w:spacing w:after="0" w:line="240" w:lineRule="auto"/>
        <w:jc w:val="center"/>
        <w:rPr>
          <w:noProof/>
        </w:rPr>
      </w:pPr>
    </w:p>
    <w:tbl>
      <w:tblPr>
        <w:tblStyle w:val="Tablaconcuadrcula"/>
        <w:tblW w:w="0" w:type="auto"/>
        <w:tblBorders>
          <w:top w:val="none" w:sz="0" w:space="0" w:color="auto"/>
          <w:left w:val="none" w:sz="0" w:space="0" w:color="auto"/>
          <w:bottom w:val="none" w:sz="0" w:space="0" w:color="auto"/>
          <w:right w:val="none" w:sz="0" w:space="0" w:color="auto"/>
          <w:insideH w:val="dotted" w:sz="4" w:space="0" w:color="auto"/>
          <w:insideV w:val="dotted" w:sz="4" w:space="0" w:color="auto"/>
        </w:tblBorders>
        <w:tblLook w:val="04A0" w:firstRow="1" w:lastRow="0" w:firstColumn="1" w:lastColumn="0" w:noHBand="0" w:noVBand="1"/>
      </w:tblPr>
      <w:tblGrid>
        <w:gridCol w:w="893"/>
        <w:gridCol w:w="4727"/>
      </w:tblGrid>
      <w:tr w:rsidR="002C6CD9" w14:paraId="7BFEA6D3" w14:textId="77777777" w:rsidTr="007B63A0">
        <w:trPr>
          <w:trHeight w:val="307"/>
        </w:trPr>
        <w:tc>
          <w:tcPr>
            <w:tcW w:w="893" w:type="dxa"/>
            <w:tcBorders>
              <w:top w:val="nil"/>
              <w:bottom w:val="nil"/>
              <w:right w:val="nil"/>
            </w:tcBorders>
            <w:tcMar>
              <w:left w:w="108" w:type="dxa"/>
              <w:right w:w="108" w:type="dxa"/>
            </w:tcMar>
            <w:vAlign w:val="center"/>
          </w:tcPr>
          <w:p w14:paraId="25A2B64A" w14:textId="77777777" w:rsidR="002C6CD9" w:rsidRDefault="002C6CD9" w:rsidP="00927AA4">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Elaboró:</w:t>
            </w:r>
          </w:p>
        </w:tc>
        <w:tc>
          <w:tcPr>
            <w:tcW w:w="4727" w:type="dxa"/>
            <w:tcBorders>
              <w:left w:val="nil"/>
            </w:tcBorders>
            <w:tcMar>
              <w:left w:w="108" w:type="dxa"/>
              <w:right w:w="108" w:type="dxa"/>
            </w:tcMar>
            <w:vAlign w:val="center"/>
          </w:tcPr>
          <w:p w14:paraId="6E37F0D3" w14:textId="77777777" w:rsidR="002C6CD9" w:rsidRDefault="002C6CD9" w:rsidP="00927AA4">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Daniel Eduardo Rojas Poveda</w:t>
            </w:r>
          </w:p>
          <w:p w14:paraId="731EB47A" w14:textId="77777777" w:rsidR="002C6CD9" w:rsidRDefault="002C6CD9" w:rsidP="00927AA4">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2C6CD9" w14:paraId="303EBC05" w14:textId="77777777" w:rsidTr="007B63A0">
        <w:trPr>
          <w:trHeight w:val="321"/>
        </w:trPr>
        <w:tc>
          <w:tcPr>
            <w:tcW w:w="893" w:type="dxa"/>
            <w:tcBorders>
              <w:top w:val="nil"/>
              <w:bottom w:val="nil"/>
              <w:right w:val="nil"/>
            </w:tcBorders>
            <w:tcMar>
              <w:left w:w="108" w:type="dxa"/>
              <w:right w:w="108" w:type="dxa"/>
            </w:tcMar>
            <w:vAlign w:val="center"/>
          </w:tcPr>
          <w:p w14:paraId="7352EC41" w14:textId="77777777" w:rsidR="002C6CD9" w:rsidRDefault="002C6CD9" w:rsidP="00927AA4">
            <w:pPr>
              <w:spacing w:after="255"/>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Revisó:</w:t>
            </w:r>
          </w:p>
        </w:tc>
        <w:tc>
          <w:tcPr>
            <w:tcW w:w="4727" w:type="dxa"/>
            <w:tcBorders>
              <w:left w:val="nil"/>
            </w:tcBorders>
            <w:tcMar>
              <w:left w:w="108" w:type="dxa"/>
              <w:right w:w="108" w:type="dxa"/>
            </w:tcMar>
            <w:vAlign w:val="center"/>
          </w:tcPr>
          <w:p w14:paraId="4F3E6057" w14:textId="77777777" w:rsidR="002C6CD9" w:rsidRDefault="002C6CD9" w:rsidP="00927AA4">
            <w:pPr>
              <w:rPr>
                <w:rFonts w:ascii="Verdana" w:eastAsia="Verdana" w:hAnsi="Verdana" w:cs="Verdana"/>
                <w:color w:val="000000" w:themeColor="text1"/>
                <w:sz w:val="16"/>
                <w:szCs w:val="16"/>
              </w:rPr>
            </w:pPr>
            <w:r>
              <w:rPr>
                <w:rFonts w:ascii="Verdana" w:eastAsia="Verdana" w:hAnsi="Verdana" w:cs="Verdana"/>
                <w:color w:val="000000" w:themeColor="text1"/>
                <w:sz w:val="16"/>
                <w:szCs w:val="16"/>
              </w:rPr>
              <w:t xml:space="preserve">Juan David Cárdenas Cabezas </w:t>
            </w:r>
          </w:p>
          <w:p w14:paraId="2702C4A5" w14:textId="77777777" w:rsidR="002C6CD9" w:rsidRDefault="002C6CD9" w:rsidP="00927AA4">
            <w:pPr>
              <w:rPr>
                <w:rFonts w:ascii="Verdana" w:eastAsia="Verdana" w:hAnsi="Verdana" w:cs="Verdana"/>
                <w:color w:val="000000" w:themeColor="text1"/>
                <w:sz w:val="16"/>
                <w:szCs w:val="16"/>
              </w:rPr>
            </w:pPr>
            <w:r w:rsidRPr="40A87941">
              <w:rPr>
                <w:rFonts w:ascii="Verdana" w:eastAsia="Verdana" w:hAnsi="Verdana" w:cs="Verdana"/>
                <w:color w:val="000000" w:themeColor="text1"/>
                <w:sz w:val="16"/>
                <w:szCs w:val="16"/>
              </w:rPr>
              <w:t>C</w:t>
            </w:r>
            <w:r w:rsidRPr="40A87941">
              <w:rPr>
                <w:rFonts w:ascii="Verdana" w:eastAsia="Verdana" w:hAnsi="Verdana" w:cs="Verdana"/>
                <w:sz w:val="16"/>
                <w:szCs w:val="16"/>
              </w:rPr>
              <w:t xml:space="preserve">ontratista </w:t>
            </w:r>
            <w:r w:rsidRPr="40A87941">
              <w:rPr>
                <w:rFonts w:ascii="Verdana" w:eastAsia="Verdana" w:hAnsi="Verdana" w:cs="Verdana"/>
                <w:color w:val="000000" w:themeColor="text1"/>
                <w:sz w:val="16"/>
                <w:szCs w:val="16"/>
              </w:rPr>
              <w:t>de la Subdirección de Gestión Contractual</w:t>
            </w:r>
          </w:p>
        </w:tc>
      </w:tr>
      <w:tr w:rsidR="002C6CD9" w14:paraId="5252CC0C" w14:textId="77777777" w:rsidTr="007B63A0">
        <w:trPr>
          <w:trHeight w:val="292"/>
        </w:trPr>
        <w:tc>
          <w:tcPr>
            <w:tcW w:w="893" w:type="dxa"/>
            <w:tcBorders>
              <w:top w:val="nil"/>
              <w:bottom w:val="nil"/>
              <w:right w:val="nil"/>
            </w:tcBorders>
            <w:tcMar>
              <w:left w:w="108" w:type="dxa"/>
              <w:right w:w="108" w:type="dxa"/>
            </w:tcMar>
            <w:vAlign w:val="center"/>
          </w:tcPr>
          <w:p w14:paraId="71BFC9A1" w14:textId="77777777" w:rsidR="002C6CD9" w:rsidRDefault="002C6CD9" w:rsidP="00927AA4">
            <w:pPr>
              <w:rPr>
                <w:rFonts w:ascii="Verdana" w:eastAsia="Verdana" w:hAnsi="Verdana" w:cs="Verdana"/>
                <w:color w:val="000000" w:themeColor="text1"/>
                <w:sz w:val="16"/>
                <w:szCs w:val="16"/>
                <w:lang w:val="es"/>
              </w:rPr>
            </w:pPr>
            <w:r w:rsidRPr="40A87941">
              <w:rPr>
                <w:rFonts w:ascii="Verdana" w:eastAsia="Verdana" w:hAnsi="Verdana" w:cs="Verdana"/>
                <w:color w:val="000000" w:themeColor="text1"/>
                <w:sz w:val="16"/>
                <w:szCs w:val="16"/>
                <w:lang w:val="es"/>
              </w:rPr>
              <w:t>Aprobó:</w:t>
            </w:r>
          </w:p>
        </w:tc>
        <w:tc>
          <w:tcPr>
            <w:tcW w:w="4727" w:type="dxa"/>
            <w:tcBorders>
              <w:left w:val="nil"/>
            </w:tcBorders>
            <w:tcMar>
              <w:left w:w="108" w:type="dxa"/>
              <w:right w:w="108" w:type="dxa"/>
            </w:tcMar>
            <w:vAlign w:val="center"/>
          </w:tcPr>
          <w:p w14:paraId="65A72012" w14:textId="77777777" w:rsidR="002C6CD9" w:rsidRDefault="002C6CD9" w:rsidP="00927AA4">
            <w:pPr>
              <w:rPr>
                <w:rFonts w:ascii="Verdana" w:eastAsia="Verdana" w:hAnsi="Verdana" w:cs="Verdana"/>
                <w:color w:val="000000" w:themeColor="text1"/>
                <w:sz w:val="16"/>
                <w:szCs w:val="16"/>
                <w:lang w:val="pt-BR"/>
              </w:rPr>
            </w:pPr>
            <w:r>
              <w:rPr>
                <w:rFonts w:ascii="Verdana" w:eastAsia="Verdana" w:hAnsi="Verdana" w:cs="Verdana"/>
                <w:color w:val="000000" w:themeColor="text1"/>
                <w:sz w:val="16"/>
                <w:szCs w:val="16"/>
                <w:lang w:val="pt-BR"/>
              </w:rPr>
              <w:t>William Javier Murcia Acevedo</w:t>
            </w:r>
          </w:p>
          <w:p w14:paraId="578632AC" w14:textId="77777777" w:rsidR="002C6CD9" w:rsidRDefault="002C6CD9" w:rsidP="00927AA4">
            <w:pPr>
              <w:rPr>
                <w:rFonts w:ascii="Verdana" w:eastAsia="Verdana" w:hAnsi="Verdana" w:cs="Verdana"/>
                <w:color w:val="000000" w:themeColor="text1"/>
                <w:sz w:val="16"/>
                <w:szCs w:val="16"/>
                <w:lang w:val="pt-BR"/>
              </w:rPr>
            </w:pPr>
            <w:r w:rsidRPr="40A87941">
              <w:rPr>
                <w:rFonts w:ascii="Verdana" w:eastAsia="Verdana" w:hAnsi="Verdana" w:cs="Verdana"/>
                <w:color w:val="000000" w:themeColor="text1"/>
                <w:sz w:val="16"/>
                <w:szCs w:val="16"/>
              </w:rPr>
              <w:t>Subdirector</w:t>
            </w:r>
            <w:r w:rsidRPr="40A87941">
              <w:rPr>
                <w:rFonts w:ascii="Verdana" w:eastAsia="Verdana" w:hAnsi="Verdana" w:cs="Verdana"/>
                <w:color w:val="000000" w:themeColor="text1"/>
                <w:sz w:val="16"/>
                <w:szCs w:val="16"/>
                <w:lang w:val="pt-BR"/>
              </w:rPr>
              <w:t xml:space="preserve"> de Gestión Contratual ANCP – CCE</w:t>
            </w:r>
            <w:r>
              <w:rPr>
                <w:rFonts w:ascii="Verdana" w:eastAsia="Verdana" w:hAnsi="Verdana" w:cs="Verdana"/>
                <w:color w:val="000000" w:themeColor="text1"/>
                <w:sz w:val="16"/>
                <w:szCs w:val="16"/>
                <w:lang w:val="pt-BR"/>
              </w:rPr>
              <w:t xml:space="preserve"> (E)</w:t>
            </w:r>
          </w:p>
        </w:tc>
      </w:tr>
    </w:tbl>
    <w:p w14:paraId="4D6AC0D9" w14:textId="77777777" w:rsidR="002C6CD9" w:rsidRPr="000E1832" w:rsidRDefault="002C6CD9" w:rsidP="002C6CD9">
      <w:pPr>
        <w:spacing w:line="240" w:lineRule="auto"/>
        <w:jc w:val="both"/>
        <w:textAlignment w:val="baseline"/>
        <w:rPr>
          <w:rFonts w:ascii="Verdana" w:eastAsia="Calibri" w:hAnsi="Verdana" w:cs="Calibri"/>
          <w:sz w:val="16"/>
          <w:szCs w:val="16"/>
          <w:lang w:val="es-ES"/>
        </w:rPr>
      </w:pPr>
    </w:p>
    <w:p w14:paraId="13753288" w14:textId="77777777" w:rsidR="002C6CD9" w:rsidRPr="00E02524" w:rsidRDefault="002C6CD9" w:rsidP="002C6CD9">
      <w:pPr>
        <w:spacing w:after="0" w:line="240" w:lineRule="auto"/>
        <w:jc w:val="both"/>
        <w:rPr>
          <w:rFonts w:ascii="Verdana" w:eastAsia="Verdana" w:hAnsi="Verdana" w:cs="Verdana"/>
          <w:b/>
          <w:bCs/>
          <w:lang w:val="es-MX"/>
        </w:rPr>
      </w:pPr>
    </w:p>
    <w:p w14:paraId="12203BE3" w14:textId="77777777" w:rsidR="002C6CD9" w:rsidRPr="000E2B93" w:rsidRDefault="002C6CD9" w:rsidP="002C6CD9">
      <w:pPr>
        <w:spacing w:after="0" w:line="240" w:lineRule="auto"/>
        <w:jc w:val="both"/>
        <w:textAlignment w:val="baseline"/>
        <w:rPr>
          <w:rFonts w:ascii="Verdana" w:eastAsia="Verdana" w:hAnsi="Verdana" w:cs="Verdana"/>
          <w:lang w:eastAsia="es-CO"/>
        </w:rPr>
      </w:pPr>
    </w:p>
    <w:p w14:paraId="79A63AF1" w14:textId="77777777" w:rsidR="002C6CD9" w:rsidRPr="000E2B93" w:rsidRDefault="002C6CD9" w:rsidP="002C6CD9">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0DB1B5D9"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668262" w14:textId="77777777" w:rsidR="00DF4AD4" w:rsidRDefault="00DF4AD4" w:rsidP="004A1847">
      <w:pPr>
        <w:spacing w:after="0" w:line="240" w:lineRule="auto"/>
      </w:pPr>
      <w:r>
        <w:separator/>
      </w:r>
    </w:p>
  </w:endnote>
  <w:endnote w:type="continuationSeparator" w:id="0">
    <w:p w14:paraId="1282F0DF" w14:textId="77777777" w:rsidR="00DF4AD4" w:rsidRDefault="00DF4AD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charset w:val="01"/>
    <w:family w:val="swiss"/>
    <w:pitch w:val="variable"/>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1DD4D" w14:textId="77777777" w:rsidR="00DF4AD4" w:rsidRDefault="00DF4AD4" w:rsidP="004A1847">
      <w:pPr>
        <w:spacing w:after="0" w:line="240" w:lineRule="auto"/>
      </w:pPr>
      <w:r>
        <w:separator/>
      </w:r>
    </w:p>
  </w:footnote>
  <w:footnote w:type="continuationSeparator" w:id="0">
    <w:p w14:paraId="1667D284" w14:textId="77777777" w:rsidR="00DF4AD4" w:rsidRDefault="00DF4AD4" w:rsidP="004A1847">
      <w:pPr>
        <w:spacing w:after="0" w:line="240" w:lineRule="auto"/>
      </w:pPr>
      <w:r>
        <w:continuationSeparator/>
      </w:r>
    </w:p>
  </w:footnote>
  <w:footnote w:id="1">
    <w:p w14:paraId="79303AB1" w14:textId="77777777" w:rsidR="002C6CD9" w:rsidRPr="00900549" w:rsidRDefault="002C6CD9" w:rsidP="002C6CD9">
      <w:pPr>
        <w:pStyle w:val="Textonotapie"/>
        <w:rPr>
          <w:rFonts w:ascii="Verdana" w:hAnsi="Verdana"/>
          <w:sz w:val="16"/>
          <w:szCs w:val="16"/>
          <w:lang w:val="es-ES"/>
        </w:rPr>
      </w:pPr>
      <w:r w:rsidRPr="00900549">
        <w:rPr>
          <w:rStyle w:val="Refdenotaalpie"/>
          <w:rFonts w:ascii="Verdana" w:hAnsi="Verdana"/>
          <w:sz w:val="16"/>
          <w:szCs w:val="16"/>
        </w:rPr>
        <w:footnoteRef/>
      </w:r>
      <w:r>
        <w:rPr>
          <w:rFonts w:ascii="Verdana" w:eastAsia="Calibri" w:hAnsi="Verdana" w:cs="Arial"/>
          <w:bCs/>
          <w:sz w:val="16"/>
          <w:szCs w:val="16"/>
        </w:rPr>
        <w:t xml:space="preserve"> </w:t>
      </w:r>
      <w:r w:rsidRPr="00900549">
        <w:rPr>
          <w:rFonts w:ascii="Verdana" w:eastAsia="Calibri" w:hAnsi="Verdana" w:cs="Arial"/>
          <w:bCs/>
          <w:sz w:val="16"/>
          <w:szCs w:val="16"/>
        </w:rPr>
        <w:t>Corte Constitucional, sentencia C-816 de 2013, Magistrado Ponente Luis Ernesto Vargas Silva</w:t>
      </w:r>
      <w:r>
        <w:rPr>
          <w:rFonts w:ascii="Verdana" w:eastAsia="Calibri" w:hAnsi="Verdana" w:cs="Arial"/>
          <w:bCs/>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FDC893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47CEB590"/>
    <w:multiLevelType w:val="hybridMultilevel"/>
    <w:tmpl w:val="AA841710"/>
    <w:lvl w:ilvl="0" w:tplc="26145AFA">
      <w:start w:val="1"/>
      <w:numFmt w:val="upperRoman"/>
      <w:lvlText w:val="%1."/>
      <w:lvlJc w:val="right"/>
      <w:pPr>
        <w:ind w:left="720" w:hanging="360"/>
      </w:pPr>
    </w:lvl>
    <w:lvl w:ilvl="1" w:tplc="802818A6">
      <w:start w:val="1"/>
      <w:numFmt w:val="lowerLetter"/>
      <w:lvlText w:val="%2."/>
      <w:lvlJc w:val="left"/>
      <w:pPr>
        <w:ind w:left="1440" w:hanging="360"/>
      </w:pPr>
    </w:lvl>
    <w:lvl w:ilvl="2" w:tplc="E98C3A7A">
      <w:start w:val="1"/>
      <w:numFmt w:val="lowerRoman"/>
      <w:lvlText w:val="%3."/>
      <w:lvlJc w:val="right"/>
      <w:pPr>
        <w:ind w:left="2160" w:hanging="180"/>
      </w:pPr>
    </w:lvl>
    <w:lvl w:ilvl="3" w:tplc="ACB8BD72">
      <w:start w:val="1"/>
      <w:numFmt w:val="decimal"/>
      <w:lvlText w:val="%4."/>
      <w:lvlJc w:val="left"/>
      <w:pPr>
        <w:ind w:left="2880" w:hanging="360"/>
      </w:pPr>
    </w:lvl>
    <w:lvl w:ilvl="4" w:tplc="48AE8B9A">
      <w:start w:val="1"/>
      <w:numFmt w:val="lowerLetter"/>
      <w:lvlText w:val="%5."/>
      <w:lvlJc w:val="left"/>
      <w:pPr>
        <w:ind w:left="3600" w:hanging="360"/>
      </w:pPr>
    </w:lvl>
    <w:lvl w:ilvl="5" w:tplc="327293A2">
      <w:start w:val="1"/>
      <w:numFmt w:val="lowerRoman"/>
      <w:lvlText w:val="%6."/>
      <w:lvlJc w:val="right"/>
      <w:pPr>
        <w:ind w:left="4320" w:hanging="180"/>
      </w:pPr>
    </w:lvl>
    <w:lvl w:ilvl="6" w:tplc="1FFC5D48">
      <w:start w:val="1"/>
      <w:numFmt w:val="decimal"/>
      <w:lvlText w:val="%7."/>
      <w:lvlJc w:val="left"/>
      <w:pPr>
        <w:ind w:left="5040" w:hanging="360"/>
      </w:pPr>
    </w:lvl>
    <w:lvl w:ilvl="7" w:tplc="2F589C46">
      <w:start w:val="1"/>
      <w:numFmt w:val="lowerLetter"/>
      <w:lvlText w:val="%8."/>
      <w:lvlJc w:val="left"/>
      <w:pPr>
        <w:ind w:left="5760" w:hanging="360"/>
      </w:pPr>
    </w:lvl>
    <w:lvl w:ilvl="8" w:tplc="AB7C3298">
      <w:start w:val="1"/>
      <w:numFmt w:val="lowerRoman"/>
      <w:lvlText w:val="%9."/>
      <w:lvlJc w:val="right"/>
      <w:pPr>
        <w:ind w:left="6480" w:hanging="18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4"/>
  </w:num>
  <w:num w:numId="8" w16cid:durableId="152644682">
    <w:abstractNumId w:val="12"/>
  </w:num>
  <w:num w:numId="9" w16cid:durableId="1317221377">
    <w:abstractNumId w:val="6"/>
  </w:num>
  <w:num w:numId="10" w16cid:durableId="1471245386">
    <w:abstractNumId w:val="11"/>
  </w:num>
  <w:num w:numId="11" w16cid:durableId="289172385">
    <w:abstractNumId w:val="7"/>
  </w:num>
  <w:num w:numId="12" w16cid:durableId="1470781324">
    <w:abstractNumId w:val="0"/>
  </w:num>
  <w:num w:numId="13" w16cid:durableId="1512908409">
    <w:abstractNumId w:val="2"/>
  </w:num>
  <w:num w:numId="14" w16cid:durableId="895897244">
    <w:abstractNumId w:val="14"/>
  </w:num>
  <w:num w:numId="15" w16cid:durableId="390349800">
    <w:abstractNumId w:val="10"/>
  </w:num>
  <w:num w:numId="16" w16cid:durableId="716197660">
    <w:abstractNumId w:val="9"/>
  </w:num>
  <w:num w:numId="17" w16cid:durableId="8918162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B323C"/>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6CD9"/>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32DC5"/>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63A0"/>
    <w:rsid w:val="007B7171"/>
    <w:rsid w:val="007C0C0F"/>
    <w:rsid w:val="007C3DC2"/>
    <w:rsid w:val="007E5497"/>
    <w:rsid w:val="00806F5F"/>
    <w:rsid w:val="00820278"/>
    <w:rsid w:val="008258C9"/>
    <w:rsid w:val="00844AE9"/>
    <w:rsid w:val="00867F95"/>
    <w:rsid w:val="008732B6"/>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C71FA"/>
    <w:rsid w:val="00B00C0E"/>
    <w:rsid w:val="00B01B1A"/>
    <w:rsid w:val="00B0381D"/>
    <w:rsid w:val="00B44A47"/>
    <w:rsid w:val="00B62772"/>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A404C"/>
    <w:rsid w:val="00DC39FC"/>
    <w:rsid w:val="00DF4AD4"/>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2C6CD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C6CD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archivos%2Fmanual%2Fguia-de-garantias-en-procesos-de-contratacion&amp;data=05%7C02%7Cdaniel.rojas%40colombiacompra.gov.co%7C7128555136e04fa6887d08dee99e1b50%7C7b09041e245149d08cb179d5e3d8c1be%7C0%7C0%7C639205062448593820%7CUnknown%7CTWFpbGZsb3d8eyJFbXB0eU1hcGkiOnRydWUsIlYiOiIwLjAuMDAwMCIsIlAiOiJXaW4zMiIsIkFOIjoiTWFpbCIsIldUIjoyfQ%3D%3D%7C0%7C%7C%7C&amp;sdata=hxIQCfuGUII381yJFYTZLjCTG4dHWk4aCsIlfPWtcGc%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boletin%2Fboletin-edicion-n-3-de-2026-radar-de-la-compra-publica&amp;data=05%7C02%7Cdaniel.rojas%40colombiacompra.gov.co%7C7128555136e04fa6887d08dee99e1b50%7C7b09041e245149d08cb179d5e3d8c1be%7C0%7C0%7C639205062448658089%7CUnknown%7CTWFpbGZsb3d8eyJFbXB0eU1hcGkiOnRydWUsIlYiOiIwLjAuMDAwMCIsIlAiOiJXaW4zMiIsIkFOIjoiTWFpbCIsIldUIjoyfQ%3D%3D%7C0%7C%7C%7C&amp;sdata=hxI7IcssQTDJ1Uyr%2B%2BcRBDJJk7BVdJJW%2B%2F3Jg82WGfI%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latoria.colombiacompra.gov.co/busqueda/conceptos"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2-de-2026&amp;data=05%7C02%7Cdaniel.rojas%40colombiacompra.gov.co%7C7128555136e04fa6887d08dee99e1b50%7C7b09041e245149d08cb179d5e3d8c1be%7C0%7C0%7C639205062448638798%7CUnknown%7CTWFpbGZsb3d8eyJFbXB0eU1hcGkiOnRydWUsIlYiOiIwLjAuMDAwMCIsIlAiOiJXaW4zMiIsIkFOIjoiTWFpbCIsIldUIjoyfQ%3D%3D%7C0%7C%7C%7C&amp;sdata=BleggI38FRKn0jF8DoA8g9HSkP3uDdTrTqkrwcDrB%2Fo%3D&amp;reserved=0"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circular%2Fcircular-externa-003-de-2026&amp;data=05%7C02%7Cdaniel.rojas%40colombiacompra.gov.co%7C7128555136e04fa6887d08dee99e1b50%7C7b09041e245149d08cb179d5e3d8c1be%7C0%7C0%7C639205062448624002%7CUnknown%7CTWFpbGZsb3d8eyJFbXB0eU1hcGkiOnRydWUsIlYiOiIwLjAuMDAwMCIsIlAiOiJXaW4zMiIsIkFOIjoiTWFpbCIsIldUIjoyfQ%3D%3D%7C0%7C%7C%7C&amp;sdata=arzPuE5g9HcDcoQ6XcnrZvrBNmRg7dREpQYdCPBDVI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170767-A5F5-4374-BBA1-4D38AC0797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5</TotalTime>
  <Pages>12</Pages>
  <Words>4009</Words>
  <Characters>22052</Characters>
  <Application>Microsoft Office Word</Application>
  <DocSecurity>0</DocSecurity>
  <Lines>183</Lines>
  <Paragraphs>52</Paragraphs>
  <ScaleCrop>false</ScaleCrop>
  <Company/>
  <LinksUpToDate>false</LinksUpToDate>
  <CharactersWithSpaces>26009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3</cp:revision>
  <cp:lastPrinted>2023-01-10T21:18:00Z</cp:lastPrinted>
  <dcterms:created xsi:type="dcterms:W3CDTF">2026-11-03T21:41:00Z</dcterms:created>
  <dcterms:modified xsi:type="dcterms:W3CDTF">2026-11-04T15:07:00Z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