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3C125" w14:textId="77777777" w:rsidR="00EA1385" w:rsidRPr="00C64A15" w:rsidRDefault="00EA1385" w:rsidP="00EA1385">
      <w:pPr>
        <w:spacing w:after="0" w:line="240" w:lineRule="auto"/>
        <w:jc w:val="both"/>
        <w:rPr>
          <w:rFonts w:ascii="Verdana" w:eastAsia="Calibri" w:hAnsi="Verdana"/>
          <w:b/>
          <w:bCs/>
          <w:lang w:val="es-ES_tradnl" w:eastAsia="es-ES_tradnl"/>
        </w:rPr>
      </w:pPr>
      <w:bookmarkStart w:id="0" w:name="_Hlk143780582"/>
      <w:r w:rsidRPr="00C64A15">
        <w:rPr>
          <w:rFonts w:ascii="Verdana" w:eastAsia="Times New Roman" w:hAnsi="Verdana"/>
          <w:b/>
          <w:bCs/>
          <w:lang w:val="es-ES_tradnl" w:eastAsia="es-ES_tradnl"/>
        </w:rPr>
        <w:t xml:space="preserve">CONTRATOS CON ESAL </w:t>
      </w:r>
      <w:r w:rsidRPr="00C64A15">
        <w:rPr>
          <w:rFonts w:ascii="Verdana" w:eastAsia="Calibri" w:hAnsi="Verdana"/>
          <w:b/>
          <w:bCs/>
          <w:lang w:val="es-ES_tradnl" w:eastAsia="es-ES_tradnl"/>
        </w:rPr>
        <w:t>–</w:t>
      </w:r>
      <w:r w:rsidRPr="00C64A15">
        <w:rPr>
          <w:rFonts w:ascii="Verdana" w:eastAsia="Times New Roman" w:hAnsi="Verdana"/>
          <w:b/>
          <w:bCs/>
          <w:lang w:val="es-ES_tradnl" w:eastAsia="es-ES_tradnl"/>
        </w:rPr>
        <w:t xml:space="preserve"> Artículo 355 </w:t>
      </w:r>
      <w:r w:rsidRPr="00C64A15">
        <w:rPr>
          <w:rFonts w:ascii="Verdana" w:eastAsia="Calibri" w:hAnsi="Verdana"/>
          <w:b/>
          <w:bCs/>
          <w:lang w:val="es-ES_tradnl" w:eastAsia="es-ES_tradnl"/>
        </w:rPr>
        <w:t>–</w:t>
      </w:r>
      <w:r w:rsidRPr="00C64A15">
        <w:rPr>
          <w:rFonts w:ascii="Verdana" w:eastAsia="Times New Roman" w:hAnsi="Verdana"/>
          <w:b/>
          <w:bCs/>
          <w:lang w:val="es-ES_tradnl" w:eastAsia="es-ES_tradnl"/>
        </w:rPr>
        <w:t xml:space="preserve"> Constitución </w:t>
      </w:r>
      <w:r w:rsidRPr="00C64A15">
        <w:rPr>
          <w:rFonts w:ascii="Verdana" w:eastAsia="Calibri" w:hAnsi="Verdana"/>
          <w:b/>
          <w:bCs/>
          <w:lang w:val="es-ES_tradnl" w:eastAsia="es-ES_tradnl"/>
        </w:rPr>
        <w:t xml:space="preserve">– Artículo 96 – Ley 489 – Fundamento </w:t>
      </w:r>
    </w:p>
    <w:p w14:paraId="20855BFF" w14:textId="77777777" w:rsidR="00EA1385" w:rsidRPr="00C64A15" w:rsidRDefault="00EA1385" w:rsidP="00EA1385">
      <w:pPr>
        <w:spacing w:after="0" w:line="240" w:lineRule="auto"/>
        <w:jc w:val="both"/>
        <w:rPr>
          <w:rFonts w:ascii="Verdana" w:eastAsia="Calibri" w:hAnsi="Verdana" w:cs="Arial"/>
          <w:color w:val="000000" w:themeColor="text1"/>
          <w:sz w:val="20"/>
          <w:szCs w:val="20"/>
        </w:rPr>
      </w:pPr>
    </w:p>
    <w:p w14:paraId="3726F7EA" w14:textId="77777777" w:rsidR="00EA1385" w:rsidRPr="00C64A15" w:rsidRDefault="00EA1385" w:rsidP="00EA1385">
      <w:pPr>
        <w:spacing w:after="0" w:line="240" w:lineRule="auto"/>
        <w:jc w:val="both"/>
        <w:rPr>
          <w:rFonts w:ascii="Verdana" w:eastAsia="Calibri" w:hAnsi="Verdana" w:cs="Arial"/>
          <w:sz w:val="20"/>
          <w:szCs w:val="20"/>
        </w:rPr>
      </w:pPr>
      <w:r w:rsidRPr="00C64A15">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D01A146" w14:textId="77777777" w:rsidR="00EA1385" w:rsidRPr="00C64A15" w:rsidRDefault="00EA1385" w:rsidP="00EA1385">
      <w:pPr>
        <w:spacing w:after="0" w:line="240" w:lineRule="auto"/>
        <w:jc w:val="both"/>
        <w:rPr>
          <w:rFonts w:ascii="Verdana" w:eastAsia="Calibri" w:hAnsi="Verdana"/>
          <w:sz w:val="20"/>
          <w:szCs w:val="20"/>
          <w:lang w:eastAsia="es-ES_tradnl"/>
        </w:rPr>
      </w:pPr>
    </w:p>
    <w:p w14:paraId="7294EF64" w14:textId="77777777" w:rsidR="00EA1385" w:rsidRPr="00C64A15" w:rsidRDefault="00EA1385" w:rsidP="00EA1385">
      <w:pPr>
        <w:spacing w:after="0" w:line="240" w:lineRule="auto"/>
        <w:jc w:val="both"/>
        <w:rPr>
          <w:rFonts w:ascii="Verdana" w:eastAsia="Calibri" w:hAnsi="Verdana" w:cs="Arial"/>
          <w:b/>
          <w:color w:val="000000"/>
          <w:lang w:val="es-MX"/>
        </w:rPr>
      </w:pPr>
      <w:r w:rsidRPr="00C64A15">
        <w:rPr>
          <w:rFonts w:ascii="Verdana" w:eastAsia="Calibri" w:hAnsi="Verdana" w:cs="Arial"/>
          <w:b/>
          <w:color w:val="000000"/>
          <w:lang w:val="es-MX"/>
        </w:rPr>
        <w:t xml:space="preserve">CONVENIOS DE ASOCIACIÓN – Objeto – Alcance </w:t>
      </w:r>
      <w:r w:rsidRPr="00877011">
        <w:rPr>
          <w:rFonts w:ascii="Verdana" w:eastAsia="Calibri" w:hAnsi="Verdana" w:cs="Arial"/>
          <w:bCs/>
          <w:color w:val="000000"/>
          <w:lang w:val="es-MX"/>
        </w:rPr>
        <w:t>–</w:t>
      </w:r>
      <w:r w:rsidRPr="00E012F1">
        <w:rPr>
          <w:rFonts w:ascii="Verdana" w:eastAsia="Calibri" w:hAnsi="Verdana" w:cs="Arial"/>
          <w:b/>
          <w:color w:val="000000"/>
          <w:lang w:val="es-MX"/>
        </w:rPr>
        <w:t xml:space="preserve"> Aportes</w:t>
      </w:r>
    </w:p>
    <w:p w14:paraId="56B0BDFF" w14:textId="77777777" w:rsidR="00EA1385" w:rsidRPr="00C64A15" w:rsidRDefault="00EA1385" w:rsidP="00EA1385">
      <w:pPr>
        <w:spacing w:after="0" w:line="240" w:lineRule="auto"/>
        <w:jc w:val="both"/>
        <w:rPr>
          <w:rFonts w:ascii="Verdana" w:eastAsia="Calibri" w:hAnsi="Verdana" w:cs="Arial"/>
          <w:color w:val="000000" w:themeColor="text1"/>
          <w:sz w:val="20"/>
          <w:szCs w:val="20"/>
        </w:rPr>
      </w:pPr>
    </w:p>
    <w:p w14:paraId="5575C46A" w14:textId="77777777" w:rsidR="00EA1385" w:rsidRPr="00C64A15" w:rsidRDefault="00EA1385" w:rsidP="00EA1385">
      <w:pPr>
        <w:spacing w:after="0" w:line="240" w:lineRule="auto"/>
        <w:jc w:val="both"/>
        <w:rPr>
          <w:rFonts w:ascii="Verdana" w:eastAsia="Calibri" w:hAnsi="Verdana" w:cs="Arial"/>
          <w:sz w:val="20"/>
          <w:szCs w:val="20"/>
        </w:rPr>
      </w:pPr>
      <w:r w:rsidRPr="00C64A15">
        <w:rPr>
          <w:rFonts w:ascii="Verdana" w:eastAsia="Calibri" w:hAnsi="Verdana" w:cs="Arial"/>
          <w:color w:val="000000" w:themeColor="text1"/>
          <w:sz w:val="20"/>
          <w:szCs w:val="20"/>
        </w:rPr>
        <w:t xml:space="preserve">De otro lado, los </w:t>
      </w:r>
      <w:r w:rsidRPr="00C64A15">
        <w:rPr>
          <w:rFonts w:ascii="Verdana" w:eastAsia="Calibri" w:hAnsi="Verdana" w:cs="Arial"/>
          <w:i/>
          <w:iCs/>
          <w:color w:val="000000" w:themeColor="text1"/>
          <w:sz w:val="20"/>
          <w:szCs w:val="20"/>
        </w:rPr>
        <w:t xml:space="preserve">convenios de asociación </w:t>
      </w:r>
      <w:r w:rsidRPr="00C64A15">
        <w:rPr>
          <w:rFonts w:ascii="Verdana" w:eastAsia="Calibri" w:hAnsi="Verdana" w:cs="Arial"/>
          <w:color w:val="000000" w:themeColor="text1"/>
          <w:sz w:val="20"/>
          <w:szCs w:val="20"/>
        </w:rPr>
        <w:t xml:space="preserve">–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21FCFC1D" w14:textId="77777777" w:rsidR="00EA1385" w:rsidRPr="00C64A15" w:rsidRDefault="00EA1385" w:rsidP="00EA1385">
      <w:pPr>
        <w:spacing w:after="0" w:line="240" w:lineRule="auto"/>
        <w:jc w:val="both"/>
        <w:rPr>
          <w:rFonts w:ascii="Verdana" w:eastAsia="Calibri" w:hAnsi="Verdana" w:cs="Arial"/>
          <w:bCs/>
          <w:color w:val="000000"/>
          <w:sz w:val="20"/>
          <w:szCs w:val="20"/>
        </w:rPr>
      </w:pPr>
    </w:p>
    <w:p w14:paraId="0160A3B4" w14:textId="77777777" w:rsidR="00EA1385" w:rsidRPr="00C64A15" w:rsidRDefault="00EA1385" w:rsidP="00EA1385">
      <w:pPr>
        <w:spacing w:after="0" w:line="240" w:lineRule="auto"/>
        <w:jc w:val="both"/>
        <w:rPr>
          <w:rFonts w:ascii="Verdana" w:eastAsia="Calibri" w:hAnsi="Verdana"/>
          <w:sz w:val="20"/>
          <w:szCs w:val="20"/>
          <w:lang w:val="es-ES_tradnl" w:eastAsia="es-ES_tradnl"/>
        </w:rPr>
      </w:pPr>
    </w:p>
    <w:p w14:paraId="7374E896" w14:textId="77777777" w:rsidR="00EA1385" w:rsidRPr="00C64A15" w:rsidRDefault="00EA1385" w:rsidP="00EA1385">
      <w:pPr>
        <w:spacing w:after="0" w:line="240" w:lineRule="auto"/>
        <w:jc w:val="both"/>
        <w:rPr>
          <w:rFonts w:ascii="Verdana" w:eastAsia="Calibri" w:hAnsi="Verdana"/>
          <w:b/>
          <w:bCs/>
          <w:lang w:eastAsia="es-ES_tradnl"/>
        </w:rPr>
      </w:pPr>
      <w:r w:rsidRPr="00C64A15">
        <w:rPr>
          <w:rFonts w:ascii="Verdana" w:eastAsia="Calibri" w:hAnsi="Verdana"/>
          <w:b/>
          <w:bCs/>
          <w:lang w:eastAsia="es-ES_tradnl"/>
        </w:rPr>
        <w:t xml:space="preserve">CONVENIOS DE ASOCIACIÓN – Aporte económico de la ESAL – </w:t>
      </w:r>
      <w:r w:rsidRPr="00C64A15">
        <w:rPr>
          <w:rFonts w:ascii="Verdana" w:eastAsia="Calibri" w:hAnsi="Verdana"/>
          <w:b/>
          <w:bCs/>
          <w:lang w:val="es-ES_tradnl" w:eastAsia="es-ES_tradnl"/>
        </w:rPr>
        <w:t xml:space="preserve">Treinta por ciento – Aportes en dinero – Aportes en especie </w:t>
      </w:r>
    </w:p>
    <w:p w14:paraId="670BA52C" w14:textId="77777777" w:rsidR="00EA1385" w:rsidRPr="00C64A15" w:rsidRDefault="00EA1385" w:rsidP="00EA1385">
      <w:pPr>
        <w:spacing w:after="0" w:line="240" w:lineRule="auto"/>
        <w:jc w:val="both"/>
        <w:rPr>
          <w:rFonts w:ascii="Verdana" w:eastAsia="Calibri" w:hAnsi="Verdana" w:cs="Arial"/>
          <w:sz w:val="20"/>
          <w:szCs w:val="20"/>
        </w:rPr>
      </w:pPr>
    </w:p>
    <w:p w14:paraId="44CC76E7" w14:textId="77777777" w:rsidR="00EA1385" w:rsidRPr="00C64A15" w:rsidRDefault="00EA1385" w:rsidP="00EA1385">
      <w:pPr>
        <w:spacing w:after="0" w:line="240" w:lineRule="auto"/>
        <w:jc w:val="both"/>
        <w:rPr>
          <w:rFonts w:ascii="Verdana" w:eastAsia="Calibri" w:hAnsi="Verdana" w:cs="Arial"/>
          <w:i/>
          <w:iCs/>
          <w:sz w:val="20"/>
          <w:szCs w:val="20"/>
        </w:rPr>
      </w:pPr>
      <w:r w:rsidRPr="00C64A15">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Pr="00C64A15">
        <w:rPr>
          <w:rFonts w:ascii="Verdana" w:eastAsia="Calibri" w:hAnsi="Verdana" w:cs="Arial"/>
          <w:i/>
          <w:iCs/>
          <w:sz w:val="20"/>
          <w:szCs w:val="20"/>
        </w:rPr>
        <w:t xml:space="preserve">en dinero </w:t>
      </w:r>
      <w:r w:rsidRPr="00C64A15">
        <w:rPr>
          <w:rFonts w:ascii="Verdana" w:eastAsia="Calibri" w:hAnsi="Verdana" w:cs="Arial"/>
          <w:sz w:val="20"/>
          <w:szCs w:val="20"/>
        </w:rPr>
        <w:t xml:space="preserve">requeridos para la ejecución proyecto, el cual corresponderá al valor por el que se celebrará el </w:t>
      </w:r>
      <w:r w:rsidRPr="00C64A15">
        <w:rPr>
          <w:rFonts w:ascii="Verdana" w:eastAsia="Calibri" w:hAnsi="Verdana" w:cs="Arial"/>
          <w:i/>
          <w:iCs/>
          <w:sz w:val="20"/>
          <w:szCs w:val="20"/>
        </w:rPr>
        <w:t>convenio de asociación”.</w:t>
      </w:r>
    </w:p>
    <w:p w14:paraId="72FA67A9" w14:textId="77777777" w:rsidR="00EA1385" w:rsidRPr="00C64A15" w:rsidRDefault="00EA1385" w:rsidP="00EA1385">
      <w:pPr>
        <w:spacing w:after="0" w:line="240" w:lineRule="auto"/>
        <w:jc w:val="both"/>
        <w:rPr>
          <w:rFonts w:ascii="Verdana" w:eastAsia="Calibri" w:hAnsi="Verdana"/>
          <w:sz w:val="20"/>
          <w:szCs w:val="20"/>
          <w:lang w:eastAsia="es-ES_tradnl"/>
        </w:rPr>
      </w:pPr>
    </w:p>
    <w:p w14:paraId="0B67C63E" w14:textId="77777777" w:rsidR="00EA1385" w:rsidRPr="00C64A15" w:rsidRDefault="00EA1385" w:rsidP="00EA1385">
      <w:pPr>
        <w:spacing w:after="0" w:line="240" w:lineRule="auto"/>
        <w:jc w:val="both"/>
        <w:rPr>
          <w:rFonts w:ascii="Verdana" w:eastAsia="Calibri" w:hAnsi="Verdana"/>
          <w:b/>
          <w:bCs/>
          <w:lang w:val="es-ES_tradnl" w:eastAsia="es-ES_tradnl"/>
        </w:rPr>
      </w:pPr>
      <w:r w:rsidRPr="00C64A15">
        <w:rPr>
          <w:rFonts w:ascii="Verdana" w:eastAsia="Calibri" w:hAnsi="Verdana"/>
          <w:b/>
          <w:bCs/>
          <w:lang w:eastAsia="es-ES_tradnl"/>
        </w:rPr>
        <w:t>CONVENIOS DE ASOCIACIÓN –</w:t>
      </w:r>
      <w:r>
        <w:rPr>
          <w:rFonts w:ascii="Verdana" w:eastAsia="Calibri" w:hAnsi="Verdana"/>
          <w:b/>
          <w:bCs/>
          <w:lang w:eastAsia="es-ES_tradnl"/>
        </w:rPr>
        <w:t>cálculo aporte</w:t>
      </w:r>
      <w:r w:rsidRPr="00C64A15">
        <w:rPr>
          <w:rFonts w:ascii="Verdana" w:eastAsia="Calibri" w:hAnsi="Verdana"/>
          <w:b/>
          <w:bCs/>
          <w:lang w:eastAsia="es-ES_tradnl"/>
        </w:rPr>
        <w:t xml:space="preserve">– Mecanismo de recaudo </w:t>
      </w:r>
    </w:p>
    <w:p w14:paraId="272CF824" w14:textId="77777777" w:rsidR="00EA1385" w:rsidRPr="00C64A15" w:rsidRDefault="00EA1385" w:rsidP="00EA1385">
      <w:pPr>
        <w:spacing w:after="0" w:line="240" w:lineRule="auto"/>
        <w:jc w:val="both"/>
        <w:rPr>
          <w:rFonts w:ascii="Verdana" w:eastAsia="Calibri" w:hAnsi="Verdana" w:cs="Arial"/>
          <w:sz w:val="20"/>
          <w:szCs w:val="20"/>
          <w:lang w:val="es-ES_tradnl" w:eastAsia="es-ES_tradnl"/>
        </w:rPr>
      </w:pPr>
    </w:p>
    <w:p w14:paraId="033838BA" w14:textId="77777777" w:rsidR="00EA1385" w:rsidRDefault="00EA1385" w:rsidP="00EA1385">
      <w:pPr>
        <w:spacing w:after="0" w:line="240" w:lineRule="auto"/>
        <w:jc w:val="both"/>
        <w:rPr>
          <w:rFonts w:ascii="Verdana" w:eastAsia="Calibri" w:hAnsi="Verdana" w:cs="Arial"/>
          <w:color w:val="000000" w:themeColor="text1"/>
          <w:sz w:val="20"/>
          <w:szCs w:val="20"/>
          <w:lang w:val="es-ES"/>
        </w:rPr>
      </w:pPr>
      <w:r w:rsidRPr="00FB34FA">
        <w:rPr>
          <w:rFonts w:ascii="Verdana" w:eastAsia="Calibri" w:hAnsi="Verdana" w:cs="Arial"/>
          <w:sz w:val="20"/>
          <w:szCs w:val="20"/>
          <w:lang w:val="es-ES"/>
        </w:rPr>
        <w:t xml:space="preserve">En </w:t>
      </w:r>
      <w:r w:rsidRPr="00FB34FA">
        <w:rPr>
          <w:rFonts w:ascii="Verdana" w:eastAsia="Calibri" w:hAnsi="Verdana" w:cs="Arial"/>
          <w:color w:val="000000" w:themeColor="text1"/>
          <w:sz w:val="20"/>
          <w:szCs w:val="20"/>
          <w:lang w:val="es-ES"/>
        </w:rPr>
        <w:t xml:space="preserve">todo caso, se precisa que no existe una metodología específica y única para calcular el aporte del treinta por ciento (30%) establecido en el artículo 5 del Decreto 092 de 2017. En consecuencia, la entidad estatal tiene plena autonomía para determinar la fórmula o metodología que considere más adecuada y conveniente para este fin. Sin </w:t>
      </w:r>
      <w:r w:rsidRPr="00FB34FA">
        <w:rPr>
          <w:rFonts w:ascii="Verdana" w:eastAsia="Calibri" w:hAnsi="Verdana" w:cs="Arial"/>
          <w:color w:val="000000" w:themeColor="text1"/>
          <w:sz w:val="20"/>
          <w:szCs w:val="20"/>
          <w:lang w:val="es-ES"/>
        </w:rPr>
        <w:lastRenderedPageBreak/>
        <w:t>embargo, para efectos de la estructuración presupuestal del convenio, es fundamental que la entidad tenga en cuenta los resultados del análisis del sector, así como los demás aspectos inherentes a la planeación, que permitan determinar de manera concreta el valor de ejecución del convenio, asegurando así la viabilidad y eficiencia del mismo en el marco de los recursos disponibles por la entidad.</w:t>
      </w:r>
    </w:p>
    <w:p w14:paraId="1EE4DB2A" w14:textId="77777777" w:rsidR="00EA1385" w:rsidRDefault="00EA1385" w:rsidP="00EA1385">
      <w:pPr>
        <w:spacing w:after="0" w:line="240" w:lineRule="auto"/>
        <w:jc w:val="both"/>
        <w:rPr>
          <w:rFonts w:ascii="Verdana" w:eastAsia="Calibri" w:hAnsi="Verdana" w:cs="Arial"/>
          <w:color w:val="000000" w:themeColor="text1"/>
          <w:sz w:val="20"/>
          <w:szCs w:val="20"/>
          <w:lang w:val="es-ES"/>
        </w:rPr>
      </w:pPr>
    </w:p>
    <w:p w14:paraId="4CB89873" w14:textId="77777777" w:rsidR="00EA1385" w:rsidRPr="00FB34FA" w:rsidRDefault="00EA1385" w:rsidP="00EA1385">
      <w:pPr>
        <w:spacing w:after="0" w:line="240" w:lineRule="auto"/>
        <w:jc w:val="both"/>
        <w:rPr>
          <w:rFonts w:ascii="Verdana" w:eastAsia="Calibri" w:hAnsi="Verdana" w:cs="Arial"/>
          <w:color w:val="000000" w:themeColor="text1"/>
          <w:sz w:val="20"/>
          <w:szCs w:val="20"/>
          <w:lang w:val="es-ES"/>
        </w:rPr>
      </w:pPr>
      <w:r w:rsidRPr="00FB34FA">
        <w:rPr>
          <w:rFonts w:ascii="Verdana" w:eastAsia="Calibri" w:hAnsi="Verdana" w:cs="Arial"/>
          <w:sz w:val="20"/>
          <w:szCs w:val="20"/>
          <w:lang w:val="es-ES_tradnl" w:eastAsia="es-ES_tradnl"/>
        </w:rPr>
        <w:t>[…]</w:t>
      </w:r>
    </w:p>
    <w:p w14:paraId="60BD5B7A" w14:textId="77777777" w:rsidR="00EA1385" w:rsidRPr="00FB34FA" w:rsidRDefault="00EA1385" w:rsidP="00EA1385">
      <w:pPr>
        <w:jc w:val="both"/>
        <w:rPr>
          <w:rFonts w:ascii="Verdana" w:eastAsia="Geomanist Light" w:hAnsi="Verdana" w:cs="Arial"/>
          <w:color w:val="000000" w:themeColor="text1"/>
          <w:sz w:val="20"/>
          <w:szCs w:val="20"/>
        </w:rPr>
      </w:pPr>
      <w:r w:rsidRPr="00FB34FA">
        <w:rPr>
          <w:rFonts w:ascii="Verdana" w:eastAsia="Calibri" w:hAnsi="Verdana" w:cs="Arial"/>
          <w:sz w:val="20"/>
          <w:szCs w:val="20"/>
          <w:lang w:val="es-ES_tradnl" w:eastAsia="es-ES_tradnl"/>
        </w:rPr>
        <w:t>Finalmente, en relación con el recaudo de los aportes, debe señalarse que 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w:t>
      </w:r>
    </w:p>
    <w:p w14:paraId="5B6B4025" w14:textId="77777777" w:rsidR="00EA1385" w:rsidRDefault="00EA1385" w:rsidP="00EA1385">
      <w:pPr>
        <w:rPr>
          <w:rFonts w:ascii="Verdana" w:eastAsia="Geomanist Light" w:hAnsi="Verdana" w:cs="Arial"/>
          <w:color w:val="000000" w:themeColor="text1"/>
        </w:rPr>
      </w:pPr>
    </w:p>
    <w:p w14:paraId="3C88A9B4" w14:textId="77777777" w:rsidR="00EA1385" w:rsidRDefault="00EA1385" w:rsidP="00EA1385">
      <w:pPr>
        <w:rPr>
          <w:rFonts w:ascii="Verdana" w:eastAsia="Geomanist Light" w:hAnsi="Verdana" w:cs="Arial"/>
          <w:color w:val="000000" w:themeColor="text1"/>
        </w:rPr>
      </w:pPr>
    </w:p>
    <w:p w14:paraId="61E32532" w14:textId="77777777" w:rsidR="00EA1385" w:rsidRDefault="00EA1385" w:rsidP="00EA1385">
      <w:pPr>
        <w:rPr>
          <w:rFonts w:ascii="Verdana" w:eastAsia="Geomanist Light" w:hAnsi="Verdana" w:cs="Arial"/>
          <w:color w:val="000000" w:themeColor="text1"/>
        </w:rPr>
      </w:pPr>
    </w:p>
    <w:p w14:paraId="6216E1F4" w14:textId="77777777" w:rsidR="00EA1385" w:rsidRDefault="00EA1385" w:rsidP="00EA1385">
      <w:pPr>
        <w:rPr>
          <w:rFonts w:ascii="Verdana" w:eastAsia="Geomanist Light" w:hAnsi="Verdana" w:cs="Arial"/>
          <w:color w:val="000000" w:themeColor="text1"/>
        </w:rPr>
      </w:pPr>
    </w:p>
    <w:p w14:paraId="22E731F9" w14:textId="77777777" w:rsidR="00EA1385" w:rsidRDefault="00EA1385" w:rsidP="00EA1385">
      <w:pPr>
        <w:rPr>
          <w:rFonts w:ascii="Verdana" w:eastAsia="Geomanist Light" w:hAnsi="Verdana" w:cs="Arial"/>
          <w:color w:val="000000" w:themeColor="text1"/>
        </w:rPr>
      </w:pPr>
    </w:p>
    <w:p w14:paraId="1A74D941" w14:textId="77777777" w:rsidR="00EA1385" w:rsidRDefault="00EA1385" w:rsidP="00EA1385">
      <w:pPr>
        <w:rPr>
          <w:rFonts w:ascii="Verdana" w:eastAsia="Geomanist Light" w:hAnsi="Verdana" w:cs="Arial"/>
          <w:color w:val="000000" w:themeColor="text1"/>
        </w:rPr>
      </w:pPr>
    </w:p>
    <w:p w14:paraId="0FBF4425" w14:textId="77777777" w:rsidR="00EA1385" w:rsidRDefault="00EA1385" w:rsidP="00EA1385">
      <w:pPr>
        <w:rPr>
          <w:rFonts w:ascii="Verdana" w:eastAsia="Geomanist Light" w:hAnsi="Verdana" w:cs="Arial"/>
          <w:color w:val="000000" w:themeColor="text1"/>
        </w:rPr>
      </w:pPr>
    </w:p>
    <w:p w14:paraId="37A5F564" w14:textId="77777777" w:rsidR="00EA1385" w:rsidRDefault="00EA1385" w:rsidP="00EA1385">
      <w:pPr>
        <w:rPr>
          <w:rFonts w:ascii="Verdana" w:eastAsia="Geomanist Light" w:hAnsi="Verdana" w:cs="Arial"/>
          <w:color w:val="000000" w:themeColor="text1"/>
        </w:rPr>
      </w:pPr>
    </w:p>
    <w:p w14:paraId="74C3CEC6" w14:textId="77777777" w:rsidR="00EA1385" w:rsidRDefault="00EA1385" w:rsidP="00EA1385">
      <w:pPr>
        <w:rPr>
          <w:rFonts w:ascii="Verdana" w:eastAsia="Geomanist Light" w:hAnsi="Verdana" w:cs="Arial"/>
          <w:color w:val="000000" w:themeColor="text1"/>
        </w:rPr>
      </w:pPr>
    </w:p>
    <w:p w14:paraId="16E06CC8" w14:textId="77777777" w:rsidR="00EA1385" w:rsidRDefault="00EA1385" w:rsidP="00EA1385">
      <w:pPr>
        <w:rPr>
          <w:rFonts w:ascii="Verdana" w:eastAsia="Geomanist Light" w:hAnsi="Verdana" w:cs="Arial"/>
          <w:color w:val="000000" w:themeColor="text1"/>
        </w:rPr>
      </w:pPr>
    </w:p>
    <w:p w14:paraId="3AB9E908" w14:textId="77777777" w:rsidR="00EA1385" w:rsidRDefault="00EA1385" w:rsidP="00EA1385">
      <w:pPr>
        <w:rPr>
          <w:rFonts w:ascii="Verdana" w:eastAsia="Geomanist Light" w:hAnsi="Verdana" w:cs="Arial"/>
          <w:color w:val="000000" w:themeColor="text1"/>
        </w:rPr>
      </w:pPr>
    </w:p>
    <w:p w14:paraId="092DB07A" w14:textId="77777777" w:rsidR="00EA1385" w:rsidRDefault="00EA1385" w:rsidP="00EA1385">
      <w:pPr>
        <w:rPr>
          <w:rFonts w:ascii="Verdana" w:eastAsia="Geomanist Light" w:hAnsi="Verdana" w:cs="Arial"/>
          <w:color w:val="000000" w:themeColor="text1"/>
        </w:rPr>
      </w:pPr>
    </w:p>
    <w:p w14:paraId="38D7E042" w14:textId="77777777" w:rsidR="00EA1385" w:rsidRDefault="00EA1385" w:rsidP="00EA1385">
      <w:pPr>
        <w:rPr>
          <w:rFonts w:ascii="Verdana" w:eastAsia="Geomanist Light" w:hAnsi="Verdana" w:cs="Arial"/>
          <w:color w:val="000000" w:themeColor="text1"/>
        </w:rPr>
      </w:pPr>
    </w:p>
    <w:p w14:paraId="4CC316B2" w14:textId="77777777" w:rsidR="00EA1385" w:rsidRDefault="00EA1385" w:rsidP="00EA1385">
      <w:pPr>
        <w:rPr>
          <w:rFonts w:ascii="Verdana" w:eastAsia="Geomanist Light" w:hAnsi="Verdana" w:cs="Arial"/>
          <w:color w:val="000000" w:themeColor="text1"/>
        </w:rPr>
      </w:pPr>
    </w:p>
    <w:p w14:paraId="734A98E1" w14:textId="77777777" w:rsidR="00EA1385" w:rsidRDefault="00EA1385" w:rsidP="00EA1385">
      <w:pPr>
        <w:rPr>
          <w:rFonts w:ascii="Verdana" w:eastAsia="Geomanist Light" w:hAnsi="Verdana" w:cs="Arial"/>
          <w:color w:val="000000" w:themeColor="text1"/>
        </w:rPr>
      </w:pPr>
    </w:p>
    <w:p w14:paraId="0FD7F75D" w14:textId="77777777" w:rsidR="00EA1385" w:rsidRDefault="00EA1385" w:rsidP="00EA1385">
      <w:pPr>
        <w:rPr>
          <w:rFonts w:ascii="Verdana" w:eastAsia="Geomanist Light" w:hAnsi="Verdana" w:cs="Arial"/>
          <w:color w:val="000000" w:themeColor="text1"/>
        </w:rPr>
      </w:pPr>
    </w:p>
    <w:p w14:paraId="6B395591" w14:textId="77777777" w:rsidR="00EA1385" w:rsidRDefault="00EA1385" w:rsidP="00EA1385">
      <w:pPr>
        <w:rPr>
          <w:rFonts w:ascii="Verdana" w:eastAsia="Geomanist Light" w:hAnsi="Verdana" w:cs="Arial"/>
          <w:color w:val="000000" w:themeColor="text1"/>
        </w:rPr>
      </w:pPr>
    </w:p>
    <w:p w14:paraId="11949104" w14:textId="78F4CC25" w:rsidR="00EA1385" w:rsidRPr="0015699B" w:rsidRDefault="00EA1385" w:rsidP="00EA1385">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w:t>
      </w:r>
      <w:r w:rsidRPr="39124533">
        <w:rPr>
          <w:rFonts w:ascii="Verdana" w:eastAsia="Verdana" w:hAnsi="Verdana" w:cs="Verdana"/>
          <w:color w:val="000000" w:themeColor="text1"/>
          <w:lang w:val="es"/>
        </w:rPr>
        <w:t xml:space="preserve">ogotá D.C., </w:t>
      </w:r>
      <w:r w:rsidR="005A25B9">
        <w:rPr>
          <w:rFonts w:ascii="Verdana" w:eastAsia="Verdana" w:hAnsi="Verdana" w:cs="Verdana"/>
          <w:color w:val="000000" w:themeColor="text1"/>
          <w:lang w:val="es"/>
        </w:rPr>
        <w:t>03</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de </w:t>
      </w:r>
      <w:r w:rsidR="005A25B9">
        <w:rPr>
          <w:rFonts w:ascii="Verdana" w:eastAsia="Verdana" w:hAnsi="Verdana" w:cs="Verdana"/>
          <w:color w:val="000000" w:themeColor="text1"/>
          <w:lang w:val="es"/>
        </w:rPr>
        <w:t>noviembre</w:t>
      </w:r>
      <w:r w:rsidRPr="39124533">
        <w:rPr>
          <w:rFonts w:ascii="Verdana" w:eastAsia="Verdana" w:hAnsi="Verdana" w:cs="Verdana"/>
          <w:color w:val="000000" w:themeColor="text1"/>
          <w:lang w:val="es"/>
        </w:rPr>
        <w:t xml:space="preserve"> de 2026</w:t>
      </w:r>
    </w:p>
    <w:p w14:paraId="0B8C0B51" w14:textId="77777777" w:rsidR="00EA1385" w:rsidRDefault="00EA1385" w:rsidP="00EA1385">
      <w:pPr>
        <w:spacing w:after="0" w:line="240" w:lineRule="auto"/>
        <w:jc w:val="both"/>
        <w:textAlignment w:val="baseline"/>
        <w:rPr>
          <w:rFonts w:ascii="Verdana" w:eastAsia="Verdana" w:hAnsi="Verdana" w:cs="Verdana"/>
          <w:color w:val="000000" w:themeColor="text1"/>
          <w:lang w:val="es"/>
        </w:rPr>
      </w:pPr>
    </w:p>
    <w:p w14:paraId="175A8A83" w14:textId="1DBA89AE" w:rsidR="00186249" w:rsidRDefault="00186249" w:rsidP="00186249">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03494055" wp14:editId="6AF03F55">
            <wp:extent cx="2076450" cy="561975"/>
            <wp:effectExtent l="0" t="0" r="0" b="9525"/>
            <wp:docPr id="125007299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76450" cy="561975"/>
                    </a:xfrm>
                    <a:prstGeom prst="rect">
                      <a:avLst/>
                    </a:prstGeom>
                    <a:noFill/>
                    <a:ln>
                      <a:noFill/>
                    </a:ln>
                  </pic:spPr>
                </pic:pic>
              </a:graphicData>
            </a:graphic>
          </wp:inline>
        </w:drawing>
      </w:r>
    </w:p>
    <w:p w14:paraId="67A68A5C" w14:textId="77777777" w:rsidR="00186249" w:rsidRDefault="00186249" w:rsidP="00EA1385">
      <w:pPr>
        <w:spacing w:after="0" w:line="240" w:lineRule="auto"/>
        <w:jc w:val="both"/>
        <w:textAlignment w:val="baseline"/>
        <w:rPr>
          <w:rFonts w:ascii="Verdana" w:eastAsia="Verdana" w:hAnsi="Verdana" w:cs="Verdana"/>
          <w:color w:val="000000" w:themeColor="text1"/>
          <w:lang w:val="es"/>
        </w:rPr>
      </w:pPr>
    </w:p>
    <w:p w14:paraId="060B366E" w14:textId="77777777" w:rsidR="00186249" w:rsidRDefault="00186249" w:rsidP="00EA1385">
      <w:pPr>
        <w:spacing w:after="0" w:line="240" w:lineRule="auto"/>
        <w:jc w:val="both"/>
        <w:textAlignment w:val="baseline"/>
        <w:rPr>
          <w:rFonts w:ascii="Verdana" w:eastAsia="Verdana" w:hAnsi="Verdana" w:cs="Verdana"/>
          <w:color w:val="000000" w:themeColor="text1"/>
          <w:lang w:val="es"/>
        </w:rPr>
      </w:pPr>
    </w:p>
    <w:p w14:paraId="169AD322" w14:textId="77777777" w:rsidR="00EA1385" w:rsidRDefault="00EA1385" w:rsidP="00EA1385">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r>
        <w:rPr>
          <w:rFonts w:ascii="Verdana" w:eastAsia="Verdana" w:hAnsi="Verdana" w:cs="Verdana"/>
          <w:color w:val="000000" w:themeColor="text1"/>
          <w:lang w:val="es"/>
        </w:rPr>
        <w:t>(a)</w:t>
      </w:r>
    </w:p>
    <w:p w14:paraId="4CA27560" w14:textId="77777777" w:rsidR="00EA1385" w:rsidRDefault="00EA1385" w:rsidP="00EA1385">
      <w:pPr>
        <w:spacing w:after="0" w:line="240" w:lineRule="auto"/>
        <w:jc w:val="both"/>
        <w:textAlignment w:val="baseline"/>
        <w:rPr>
          <w:rFonts w:ascii="Verdana" w:hAnsi="Verdana"/>
        </w:rPr>
      </w:pPr>
      <w:hyperlink r:id="rId11" w:history="1">
        <w:r w:rsidRPr="00594FA5">
          <w:rPr>
            <w:rStyle w:val="Hipervnculo"/>
            <w:rFonts w:ascii="Verdana" w:hAnsi="Verdana"/>
          </w:rPr>
          <w:t>cristinaaguirre071@gmail.com</w:t>
        </w:r>
      </w:hyperlink>
      <w:r>
        <w:rPr>
          <w:rFonts w:ascii="Verdana" w:hAnsi="Verdana"/>
        </w:rPr>
        <w:t xml:space="preserve"> </w:t>
      </w:r>
    </w:p>
    <w:p w14:paraId="0F7DBC4B" w14:textId="77777777" w:rsidR="00EA1385" w:rsidRDefault="00EA1385" w:rsidP="00EA1385">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65AD499C" w14:textId="77777777" w:rsidR="00EA1385" w:rsidRPr="003D5882" w:rsidRDefault="00EA1385" w:rsidP="00EA1385">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EA1385" w14:paraId="19C0D618" w14:textId="77777777" w:rsidTr="00927AA4">
        <w:trPr>
          <w:trHeight w:val="615"/>
        </w:trPr>
        <w:tc>
          <w:tcPr>
            <w:tcW w:w="2265" w:type="dxa"/>
            <w:shd w:val="clear" w:color="auto" w:fill="FFFFFF" w:themeFill="background1"/>
            <w:tcMar>
              <w:left w:w="108" w:type="dxa"/>
              <w:right w:w="108" w:type="dxa"/>
            </w:tcMar>
          </w:tcPr>
          <w:p w14:paraId="43EDC0A3" w14:textId="77777777" w:rsidR="00EA1385" w:rsidRDefault="00EA1385" w:rsidP="00927AA4">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1303F453" w14:textId="77777777" w:rsidR="00EA1385" w:rsidRDefault="00EA1385" w:rsidP="00927AA4">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1549 </w:t>
            </w:r>
            <w:r w:rsidRPr="40A87941">
              <w:rPr>
                <w:rFonts w:ascii="Verdana" w:eastAsia="Verdana" w:hAnsi="Verdana" w:cs="Verdana"/>
                <w:b/>
                <w:bCs/>
                <w:color w:val="000000" w:themeColor="text1"/>
                <w:lang w:val="es"/>
              </w:rPr>
              <w:t>de 2026</w:t>
            </w:r>
          </w:p>
        </w:tc>
      </w:tr>
      <w:tr w:rsidR="00EA1385" w:rsidRPr="004F242E" w14:paraId="12EB6E5C" w14:textId="77777777" w:rsidTr="00927AA4">
        <w:trPr>
          <w:trHeight w:val="1065"/>
        </w:trPr>
        <w:tc>
          <w:tcPr>
            <w:tcW w:w="2265" w:type="dxa"/>
            <w:shd w:val="clear" w:color="auto" w:fill="FFFFFF" w:themeFill="background1"/>
            <w:tcMar>
              <w:left w:w="108" w:type="dxa"/>
              <w:right w:w="108" w:type="dxa"/>
            </w:tcMar>
          </w:tcPr>
          <w:p w14:paraId="15E20434" w14:textId="77777777" w:rsidR="00EA1385" w:rsidRDefault="00EA1385" w:rsidP="00927AA4">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AC7FC2F" w14:textId="77777777" w:rsidR="00EA1385" w:rsidRPr="00877011" w:rsidRDefault="00EA1385" w:rsidP="00927AA4">
            <w:pPr>
              <w:spacing w:line="276" w:lineRule="auto"/>
              <w:jc w:val="both"/>
              <w:rPr>
                <w:rFonts w:ascii="Verdana" w:eastAsia="Calibri" w:hAnsi="Verdana"/>
                <w:lang w:val="es-ES_tradnl" w:eastAsia="es-ES_tradnl"/>
              </w:rPr>
            </w:pPr>
            <w:r w:rsidRPr="00877011">
              <w:rPr>
                <w:rFonts w:ascii="Verdana" w:eastAsia="Times New Roman" w:hAnsi="Verdana"/>
                <w:lang w:val="es-ES_tradnl" w:eastAsia="es-ES_tradnl"/>
              </w:rPr>
              <w:t xml:space="preserve">CONTRATOS CON ESAL </w:t>
            </w:r>
            <w:r w:rsidRPr="00877011">
              <w:rPr>
                <w:rFonts w:ascii="Verdana" w:eastAsia="Calibri" w:hAnsi="Verdana"/>
                <w:lang w:val="es-ES_tradnl" w:eastAsia="es-ES_tradnl"/>
              </w:rPr>
              <w:t>–</w:t>
            </w:r>
            <w:r w:rsidRPr="00877011">
              <w:rPr>
                <w:rFonts w:ascii="Verdana" w:eastAsia="Times New Roman" w:hAnsi="Verdana"/>
                <w:lang w:val="es-ES_tradnl" w:eastAsia="es-ES_tradnl"/>
              </w:rPr>
              <w:t xml:space="preserve"> Artículo 355 </w:t>
            </w:r>
            <w:r w:rsidRPr="00877011">
              <w:rPr>
                <w:rFonts w:ascii="Verdana" w:eastAsia="Calibri" w:hAnsi="Verdana"/>
                <w:lang w:val="es-ES_tradnl" w:eastAsia="es-ES_tradnl"/>
              </w:rPr>
              <w:t>–</w:t>
            </w:r>
            <w:r w:rsidRPr="00877011">
              <w:rPr>
                <w:rFonts w:ascii="Verdana" w:eastAsia="Times New Roman" w:hAnsi="Verdana"/>
                <w:lang w:val="es-ES_tradnl" w:eastAsia="es-ES_tradnl"/>
              </w:rPr>
              <w:t xml:space="preserve"> Constitución </w:t>
            </w:r>
            <w:r w:rsidRPr="00877011">
              <w:rPr>
                <w:rFonts w:ascii="Verdana" w:eastAsia="Calibri" w:hAnsi="Verdana"/>
                <w:lang w:val="es-ES_tradnl" w:eastAsia="es-ES_tradnl"/>
              </w:rPr>
              <w:t xml:space="preserve">– Artículo 96 – Ley 489 – Fundamento / </w:t>
            </w:r>
            <w:r w:rsidRPr="00877011">
              <w:rPr>
                <w:rFonts w:ascii="Verdana" w:eastAsia="Calibri" w:hAnsi="Verdana" w:cs="Arial"/>
                <w:bCs/>
                <w:color w:val="000000"/>
                <w:lang w:val="es-MX"/>
              </w:rPr>
              <w:t xml:space="preserve">CONVENIOS DE ASOCIACIÓN – Objeto – Alcance – Aportes </w:t>
            </w:r>
            <w:r w:rsidRPr="00877011">
              <w:rPr>
                <w:rFonts w:ascii="Verdana" w:eastAsia="Calibri" w:hAnsi="Verdana"/>
                <w:lang w:val="es-ES_tradnl" w:eastAsia="es-ES_tradnl"/>
              </w:rPr>
              <w:t xml:space="preserve">/ </w:t>
            </w:r>
            <w:r w:rsidRPr="00877011">
              <w:rPr>
                <w:rFonts w:ascii="Verdana" w:eastAsia="Calibri" w:hAnsi="Verdana"/>
                <w:lang w:eastAsia="es-ES_tradnl"/>
              </w:rPr>
              <w:t xml:space="preserve">CONVENIOS DE ASOCIACIÓN – Aporte económico de la ESAL – </w:t>
            </w:r>
            <w:r w:rsidRPr="00877011">
              <w:rPr>
                <w:rFonts w:ascii="Verdana" w:eastAsia="Calibri" w:hAnsi="Verdana"/>
                <w:lang w:val="es-ES_tradnl" w:eastAsia="es-ES_tradnl"/>
              </w:rPr>
              <w:t xml:space="preserve">Treinta por ciento – Aportes en dinero – Aportes en especie </w:t>
            </w:r>
            <w:r w:rsidRPr="00877011">
              <w:rPr>
                <w:rFonts w:ascii="Verdana" w:eastAsia="Calibri" w:hAnsi="Verdana"/>
                <w:lang w:eastAsia="es-ES_tradnl"/>
              </w:rPr>
              <w:t>/ CONVENIOS DE ASOCIACIÓN –</w:t>
            </w:r>
            <w:r>
              <w:rPr>
                <w:rFonts w:ascii="Verdana" w:eastAsia="Calibri" w:hAnsi="Verdana"/>
                <w:lang w:eastAsia="es-ES_tradnl"/>
              </w:rPr>
              <w:t xml:space="preserve">cálculo aporte </w:t>
            </w:r>
            <w:r w:rsidRPr="00877011">
              <w:rPr>
                <w:rFonts w:ascii="Verdana" w:eastAsia="Calibri" w:hAnsi="Verdana"/>
                <w:lang w:eastAsia="es-ES_tradnl"/>
              </w:rPr>
              <w:t xml:space="preserve">– Mecanismo de recaudo </w:t>
            </w:r>
          </w:p>
          <w:p w14:paraId="052260E2" w14:textId="77777777" w:rsidR="00EA1385" w:rsidRPr="00967C68" w:rsidRDefault="00EA1385" w:rsidP="00927AA4">
            <w:pPr>
              <w:spacing w:line="276" w:lineRule="auto"/>
              <w:jc w:val="both"/>
              <w:rPr>
                <w:highlight w:val="yellow"/>
              </w:rPr>
            </w:pPr>
          </w:p>
        </w:tc>
      </w:tr>
      <w:tr w:rsidR="00EA1385" w14:paraId="24AC9AEC" w14:textId="77777777" w:rsidTr="00927AA4">
        <w:trPr>
          <w:trHeight w:val="660"/>
        </w:trPr>
        <w:tc>
          <w:tcPr>
            <w:tcW w:w="2265" w:type="dxa"/>
            <w:shd w:val="clear" w:color="auto" w:fill="FFFFFF" w:themeFill="background1"/>
            <w:tcMar>
              <w:left w:w="108" w:type="dxa"/>
              <w:right w:w="108" w:type="dxa"/>
            </w:tcMar>
          </w:tcPr>
          <w:p w14:paraId="6CF571FF" w14:textId="77777777" w:rsidR="00EA1385" w:rsidRDefault="00EA1385" w:rsidP="00927AA4">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F2334C8" w14:textId="77777777" w:rsidR="00EA1385" w:rsidRDefault="00EA1385" w:rsidP="00927AA4">
            <w:pPr>
              <w:ind w:right="1"/>
              <w:jc w:val="both"/>
            </w:pPr>
            <w:r w:rsidRPr="39124533">
              <w:rPr>
                <w:rFonts w:ascii="Verdana" w:eastAsia="Verdana" w:hAnsi="Verdana" w:cs="Verdana"/>
                <w:color w:val="000000" w:themeColor="text1"/>
              </w:rPr>
              <w:t xml:space="preserve">Respuesta a consulta con radicado N.º </w:t>
            </w:r>
            <w:r w:rsidRPr="00F073F0">
              <w:rPr>
                <w:rFonts w:ascii="Verdana" w:eastAsia="Verdana" w:hAnsi="Verdana" w:cs="Verdana"/>
                <w:color w:val="000000" w:themeColor="text1"/>
              </w:rPr>
              <w:t>1_2026_10_01_013229</w:t>
            </w:r>
            <w:r>
              <w:rPr>
                <w:rFonts w:ascii="Verdana" w:eastAsia="Verdana" w:hAnsi="Verdana" w:cs="Verdana"/>
                <w:color w:val="000000" w:themeColor="text1"/>
              </w:rPr>
              <w:t>.</w:t>
            </w:r>
          </w:p>
        </w:tc>
      </w:tr>
    </w:tbl>
    <w:p w14:paraId="0CC02767" w14:textId="77777777" w:rsidR="00EA1385" w:rsidRPr="001D2321" w:rsidRDefault="00EA1385" w:rsidP="00EA1385">
      <w:pPr>
        <w:spacing w:after="0" w:line="276" w:lineRule="auto"/>
        <w:jc w:val="both"/>
        <w:textAlignment w:val="baseline"/>
        <w:rPr>
          <w:rFonts w:ascii="Verdana" w:eastAsia="Verdana" w:hAnsi="Verdana" w:cs="Verdana"/>
          <w:b/>
          <w:bCs/>
          <w:color w:val="000000" w:themeColor="text1"/>
          <w:lang w:val="es"/>
        </w:rPr>
      </w:pPr>
    </w:p>
    <w:p w14:paraId="42B461D3" w14:textId="77777777" w:rsidR="00EA1385" w:rsidRDefault="00EA1385" w:rsidP="00EA1385">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 xml:space="preserve">01 </w:t>
      </w:r>
      <w:r w:rsidRPr="39124533">
        <w:rPr>
          <w:rFonts w:ascii="Verdana" w:eastAsia="Verdana" w:hAnsi="Verdana" w:cs="Verdana"/>
          <w:color w:val="000000" w:themeColor="text1"/>
          <w:lang w:val="es-ES"/>
        </w:rPr>
        <w:t xml:space="preserve">de </w:t>
      </w:r>
      <w:r>
        <w:rPr>
          <w:rFonts w:ascii="Verdana" w:eastAsia="Verdana" w:hAnsi="Verdana" w:cs="Verdana"/>
          <w:color w:val="000000" w:themeColor="text1"/>
          <w:lang w:val="es-ES"/>
        </w:rPr>
        <w:t>octubre</w:t>
      </w:r>
      <w:r w:rsidRPr="39124533">
        <w:rPr>
          <w:rFonts w:ascii="Verdana" w:eastAsia="Verdana" w:hAnsi="Verdana" w:cs="Verdana"/>
          <w:color w:val="000000" w:themeColor="text1"/>
          <w:lang w:val="es-ES"/>
        </w:rPr>
        <w:t xml:space="preserve"> de 2026 en la cual manifiesta lo siguiente:</w:t>
      </w:r>
    </w:p>
    <w:p w14:paraId="1D19B977" w14:textId="77777777" w:rsidR="00EA1385" w:rsidRPr="00E31C97" w:rsidRDefault="00EA1385" w:rsidP="00EA1385">
      <w:pPr>
        <w:spacing w:after="120" w:line="276" w:lineRule="auto"/>
        <w:ind w:left="567" w:right="760"/>
        <w:jc w:val="both"/>
        <w:rPr>
          <w:rFonts w:ascii="Verdana" w:hAnsi="Verdana"/>
          <w:sz w:val="21"/>
          <w:szCs w:val="21"/>
        </w:rPr>
      </w:pPr>
      <w:r w:rsidRPr="00161DA1">
        <w:rPr>
          <w:rFonts w:ascii="Verdana" w:hAnsi="Verdana"/>
          <w:sz w:val="21"/>
          <w:szCs w:val="21"/>
        </w:rPr>
        <w:t>“</w:t>
      </w:r>
      <w:r w:rsidRPr="00E31C97">
        <w:rPr>
          <w:rFonts w:ascii="Verdana" w:hAnsi="Verdana"/>
          <w:sz w:val="21"/>
          <w:szCs w:val="21"/>
        </w:rPr>
        <w:t xml:space="preserve">Una entidad estatal se encuentra estructurando un proyecto de inversión cuyo presupuesto disponible, de acuerdo con la </w:t>
      </w:r>
      <w:r w:rsidRPr="00E31C97">
        <w:rPr>
          <w:rFonts w:ascii="Verdana" w:hAnsi="Verdana"/>
          <w:b/>
          <w:bCs/>
          <w:sz w:val="21"/>
          <w:szCs w:val="21"/>
        </w:rPr>
        <w:t>Metodología General Ajustada – MGA</w:t>
      </w:r>
      <w:r w:rsidRPr="00E31C97">
        <w:rPr>
          <w:rFonts w:ascii="Verdana" w:hAnsi="Verdana"/>
          <w:sz w:val="21"/>
          <w:szCs w:val="21"/>
        </w:rPr>
        <w:t xml:space="preserve">, asciende a la suma de </w:t>
      </w:r>
      <w:r w:rsidRPr="00E31C97">
        <w:rPr>
          <w:rFonts w:ascii="Verdana" w:hAnsi="Verdana"/>
          <w:b/>
          <w:bCs/>
          <w:sz w:val="21"/>
          <w:szCs w:val="21"/>
        </w:rPr>
        <w:t>SETECIENTOS NOVENTA Y CINCO MILLONES DE PESOS ($795.000.000)</w:t>
      </w:r>
      <w:r w:rsidRPr="00E31C97">
        <w:rPr>
          <w:rFonts w:ascii="Verdana" w:hAnsi="Verdana"/>
          <w:sz w:val="21"/>
          <w:szCs w:val="21"/>
        </w:rPr>
        <w:t xml:space="preserve">, recursos que serían aportados por la entidad pública para la ejecución del proyecto. </w:t>
      </w:r>
    </w:p>
    <w:p w14:paraId="7EECCD96"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lastRenderedPageBreak/>
        <w:t xml:space="preserve">En el marco de la estructuración del proyecto y con fundamento en el </w:t>
      </w:r>
      <w:r w:rsidRPr="00E31C97">
        <w:rPr>
          <w:rFonts w:ascii="Verdana" w:hAnsi="Verdana"/>
          <w:b/>
          <w:bCs/>
          <w:sz w:val="21"/>
          <w:szCs w:val="21"/>
        </w:rPr>
        <w:t>artículo 5 del Decreto 092 de 2017</w:t>
      </w:r>
      <w:r w:rsidRPr="00E31C97">
        <w:rPr>
          <w:rFonts w:ascii="Verdana" w:hAnsi="Verdana"/>
          <w:sz w:val="21"/>
          <w:szCs w:val="21"/>
        </w:rPr>
        <w:t xml:space="preserve">, la entidad estatal pretende adelantar una convocatoria pública dirigida a </w:t>
      </w:r>
      <w:r w:rsidRPr="00E31C97">
        <w:rPr>
          <w:rFonts w:ascii="Verdana" w:hAnsi="Verdana"/>
          <w:b/>
          <w:bCs/>
          <w:sz w:val="21"/>
          <w:szCs w:val="21"/>
        </w:rPr>
        <w:t>Entidades Privadas Sin Ánimo de Lucro – ESAL</w:t>
      </w:r>
      <w:r w:rsidRPr="00E31C97">
        <w:rPr>
          <w:rFonts w:ascii="Verdana" w:hAnsi="Verdana"/>
          <w:sz w:val="21"/>
          <w:szCs w:val="21"/>
        </w:rPr>
        <w:t xml:space="preserve">, con el propósito de identificar aquellas interesadas en asociarse para el desarrollo conjunto de las actividades previstas en el proyecto, mediante la realización de aportes en dinero y/o aportes en especie, tales como bienes y servicios. </w:t>
      </w:r>
    </w:p>
    <w:p w14:paraId="5D97FF02"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En este contexto, se plantean las siguientes inquietudes: </w:t>
      </w:r>
    </w:p>
    <w:p w14:paraId="2B1ED1F6"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b/>
          <w:bCs/>
          <w:sz w:val="21"/>
          <w:szCs w:val="21"/>
        </w:rPr>
        <w:t xml:space="preserve">1. Determinación de la base para calcular el treinta por ciento (30 %). </w:t>
      </w:r>
      <w:r w:rsidRPr="00E31C97">
        <w:rPr>
          <w:rFonts w:ascii="Verdana" w:hAnsi="Verdana"/>
          <w:sz w:val="21"/>
          <w:szCs w:val="21"/>
        </w:rPr>
        <w:t xml:space="preserve">Para efectos de determinar el aporte mínimo del treinta por ciento (30 %) previsto en el artículo 5 del Decreto 092 de 2017, ¿la base de cálculo corresponde a los </w:t>
      </w:r>
      <w:r w:rsidRPr="00E31C97">
        <w:rPr>
          <w:rFonts w:ascii="Verdana" w:hAnsi="Verdana"/>
          <w:b/>
          <w:bCs/>
          <w:sz w:val="21"/>
          <w:szCs w:val="21"/>
        </w:rPr>
        <w:t>$795.000.000 que constituyen el aporte o presupuesto disponible de la entidad estatal</w:t>
      </w:r>
      <w:r w:rsidRPr="00E31C97">
        <w:rPr>
          <w:rFonts w:ascii="Verdana" w:hAnsi="Verdana"/>
          <w:sz w:val="21"/>
          <w:szCs w:val="21"/>
        </w:rPr>
        <w:t xml:space="preserve">, o debe determinarse sobre el </w:t>
      </w:r>
      <w:r w:rsidRPr="00E31C97">
        <w:rPr>
          <w:rFonts w:ascii="Verdana" w:hAnsi="Verdana"/>
          <w:b/>
          <w:bCs/>
          <w:sz w:val="21"/>
          <w:szCs w:val="21"/>
        </w:rPr>
        <w:t>valor total del convenio de asociación</w:t>
      </w:r>
      <w:r w:rsidRPr="00E31C97">
        <w:rPr>
          <w:rFonts w:ascii="Verdana" w:hAnsi="Verdana"/>
          <w:sz w:val="21"/>
          <w:szCs w:val="21"/>
        </w:rPr>
        <w:t xml:space="preserve">, entendido como la suma de los aportes que realizarían tanto la entidad estatal como la ESAL? </w:t>
      </w:r>
    </w:p>
    <w:p w14:paraId="586982DD"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b/>
          <w:bCs/>
          <w:sz w:val="21"/>
          <w:szCs w:val="21"/>
        </w:rPr>
        <w:t xml:space="preserve">2. Ejemplo práctico del cálculo. </w:t>
      </w:r>
      <w:r w:rsidRPr="00E31C97">
        <w:rPr>
          <w:rFonts w:ascii="Verdana" w:hAnsi="Verdana"/>
          <w:sz w:val="21"/>
          <w:szCs w:val="21"/>
        </w:rPr>
        <w:t xml:space="preserve">En caso de que la base para determinar el treinta por ciento (30 %) no corresponda exclusivamente a los </w:t>
      </w:r>
      <w:r w:rsidRPr="00E31C97">
        <w:rPr>
          <w:rFonts w:ascii="Verdana" w:hAnsi="Verdana"/>
          <w:b/>
          <w:bCs/>
          <w:sz w:val="21"/>
          <w:szCs w:val="21"/>
        </w:rPr>
        <w:t>$795.000.000 aportados por la entidad estatal</w:t>
      </w:r>
      <w:r w:rsidRPr="00E31C97">
        <w:rPr>
          <w:rFonts w:ascii="Verdana" w:hAnsi="Verdana"/>
          <w:sz w:val="21"/>
          <w:szCs w:val="21"/>
        </w:rPr>
        <w:t xml:space="preserve">, agradeceríamos indicar, mediante un ejemplo numérico, cuál sería la metodología correcta para determinar: </w:t>
      </w:r>
    </w:p>
    <w:p w14:paraId="62CE3079" w14:textId="77777777" w:rsidR="00EA1385" w:rsidRPr="00E31C97" w:rsidRDefault="00EA1385" w:rsidP="00EA1385">
      <w:pPr>
        <w:spacing w:after="120" w:line="276" w:lineRule="auto"/>
        <w:ind w:left="709" w:right="760"/>
        <w:jc w:val="both"/>
        <w:rPr>
          <w:rFonts w:ascii="Verdana" w:hAnsi="Verdana"/>
          <w:sz w:val="21"/>
          <w:szCs w:val="21"/>
        </w:rPr>
      </w:pPr>
      <w:r>
        <w:rPr>
          <w:rFonts w:ascii="Verdana" w:hAnsi="Verdana"/>
          <w:sz w:val="21"/>
          <w:szCs w:val="21"/>
        </w:rPr>
        <w:t>-</w:t>
      </w:r>
      <w:r w:rsidRPr="00E31C97">
        <w:rPr>
          <w:rFonts w:ascii="Verdana" w:hAnsi="Verdana"/>
          <w:sz w:val="21"/>
          <w:szCs w:val="21"/>
        </w:rPr>
        <w:t xml:space="preserve">el valor total del convenio; </w:t>
      </w:r>
    </w:p>
    <w:p w14:paraId="1B268A25" w14:textId="77777777" w:rsidR="00EA1385" w:rsidRPr="00E31C97" w:rsidRDefault="00EA1385" w:rsidP="00EA1385">
      <w:pPr>
        <w:spacing w:after="120" w:line="276" w:lineRule="auto"/>
        <w:ind w:left="709" w:right="760"/>
        <w:jc w:val="both"/>
        <w:rPr>
          <w:rFonts w:ascii="Verdana" w:hAnsi="Verdana"/>
          <w:sz w:val="21"/>
          <w:szCs w:val="21"/>
        </w:rPr>
      </w:pPr>
      <w:r>
        <w:rPr>
          <w:rFonts w:ascii="Verdana" w:hAnsi="Verdana"/>
          <w:sz w:val="21"/>
          <w:szCs w:val="21"/>
        </w:rPr>
        <w:t>-</w:t>
      </w:r>
      <w:r w:rsidRPr="00E31C97">
        <w:rPr>
          <w:rFonts w:ascii="Verdana" w:hAnsi="Verdana"/>
          <w:sz w:val="21"/>
          <w:szCs w:val="21"/>
        </w:rPr>
        <w:t xml:space="preserve">el aporte que correspondería realizar a la entidad estatal; </w:t>
      </w:r>
    </w:p>
    <w:p w14:paraId="308E6E68" w14:textId="77777777" w:rsidR="00EA1385" w:rsidRPr="00E31C97" w:rsidRDefault="00EA1385" w:rsidP="00EA1385">
      <w:pPr>
        <w:spacing w:after="120" w:line="276" w:lineRule="auto"/>
        <w:ind w:left="709" w:right="760"/>
        <w:jc w:val="both"/>
        <w:rPr>
          <w:rFonts w:ascii="Verdana" w:hAnsi="Verdana"/>
          <w:sz w:val="21"/>
          <w:szCs w:val="21"/>
        </w:rPr>
      </w:pPr>
      <w:r>
        <w:rPr>
          <w:rFonts w:ascii="Verdana" w:hAnsi="Verdana"/>
          <w:sz w:val="21"/>
          <w:szCs w:val="21"/>
        </w:rPr>
        <w:t>-</w:t>
      </w:r>
      <w:r w:rsidRPr="00E31C97">
        <w:rPr>
          <w:rFonts w:ascii="Verdana" w:hAnsi="Verdana"/>
          <w:sz w:val="21"/>
          <w:szCs w:val="21"/>
        </w:rPr>
        <w:t xml:space="preserve">el aporte mínimo del treinta por ciento (30 %) que debería comprometer la ESAL; </w:t>
      </w:r>
    </w:p>
    <w:p w14:paraId="632E51C3" w14:textId="77777777" w:rsidR="00EA1385" w:rsidRPr="00E31C97" w:rsidRDefault="00EA1385" w:rsidP="00EA1385">
      <w:pPr>
        <w:spacing w:after="120" w:line="276" w:lineRule="auto"/>
        <w:ind w:left="709" w:right="760"/>
        <w:jc w:val="both"/>
        <w:rPr>
          <w:rFonts w:ascii="Verdana" w:hAnsi="Verdana"/>
          <w:sz w:val="21"/>
          <w:szCs w:val="21"/>
        </w:rPr>
      </w:pPr>
      <w:r>
        <w:rPr>
          <w:rFonts w:ascii="Verdana" w:hAnsi="Verdana"/>
          <w:sz w:val="21"/>
          <w:szCs w:val="21"/>
        </w:rPr>
        <w:t>-</w:t>
      </w:r>
      <w:r w:rsidRPr="00E31C97">
        <w:rPr>
          <w:rFonts w:ascii="Verdana" w:hAnsi="Verdana"/>
          <w:sz w:val="21"/>
          <w:szCs w:val="21"/>
        </w:rPr>
        <w:t xml:space="preserve">y la forma en que deben tratarse los eventuales aportes en especie. </w:t>
      </w:r>
    </w:p>
    <w:p w14:paraId="030398B5"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Por ejemplo, si la entidad estatal aporta </w:t>
      </w:r>
      <w:r w:rsidRPr="00E31C97">
        <w:rPr>
          <w:rFonts w:ascii="Verdana" w:hAnsi="Verdana"/>
          <w:b/>
          <w:bCs/>
          <w:sz w:val="21"/>
          <w:szCs w:val="21"/>
        </w:rPr>
        <w:t>$795.000.000</w:t>
      </w:r>
      <w:r w:rsidRPr="00E31C97">
        <w:rPr>
          <w:rFonts w:ascii="Verdana" w:hAnsi="Verdana"/>
          <w:sz w:val="21"/>
          <w:szCs w:val="21"/>
        </w:rPr>
        <w:t xml:space="preserve">, ¿cuál sería el valor total del convenio y cuál sería el aporte mínimo que debería realizar la ESAL para cumplir con el porcentaje establecido en el artículo 5 del Decreto 092 de 2017? </w:t>
      </w:r>
    </w:p>
    <w:p w14:paraId="3C061CB0"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b/>
          <w:bCs/>
          <w:sz w:val="21"/>
          <w:szCs w:val="21"/>
        </w:rPr>
        <w:t xml:space="preserve">3. Naturaleza de los aportes de la ESAL. </w:t>
      </w:r>
      <w:r w:rsidRPr="00E31C97">
        <w:rPr>
          <w:rFonts w:ascii="Verdana" w:hAnsi="Verdana"/>
          <w:sz w:val="21"/>
          <w:szCs w:val="21"/>
        </w:rPr>
        <w:t xml:space="preserve">¿Para efectos de acreditar el porcentaje del treinta por ciento (30 %) previsto en el artículo 5 del Decreto 092 de 2017, pueden computarse aportes de la ESAL consistentes en </w:t>
      </w:r>
      <w:r w:rsidRPr="00E31C97">
        <w:rPr>
          <w:rFonts w:ascii="Verdana" w:hAnsi="Verdana"/>
          <w:b/>
          <w:bCs/>
          <w:sz w:val="21"/>
          <w:szCs w:val="21"/>
        </w:rPr>
        <w:t xml:space="preserve">bienes, servicios, personal, equipos, </w:t>
      </w:r>
      <w:r w:rsidRPr="00E31C97">
        <w:rPr>
          <w:rFonts w:ascii="Verdana" w:hAnsi="Verdana"/>
          <w:b/>
          <w:bCs/>
          <w:sz w:val="21"/>
          <w:szCs w:val="21"/>
        </w:rPr>
        <w:lastRenderedPageBreak/>
        <w:t>infraestructura u otros aportes en especie</w:t>
      </w:r>
      <w:r w:rsidRPr="00E31C97">
        <w:rPr>
          <w:rFonts w:ascii="Verdana" w:hAnsi="Verdana"/>
          <w:sz w:val="21"/>
          <w:szCs w:val="21"/>
        </w:rPr>
        <w:t xml:space="preserve">, o dicho porcentaje debe acreditarse exclusivamente mediante </w:t>
      </w:r>
      <w:r w:rsidRPr="00E31C97">
        <w:rPr>
          <w:rFonts w:ascii="Verdana" w:hAnsi="Verdana"/>
          <w:b/>
          <w:bCs/>
          <w:sz w:val="21"/>
          <w:szCs w:val="21"/>
        </w:rPr>
        <w:t>aportes en dinero</w:t>
      </w:r>
      <w:r w:rsidRPr="00E31C97">
        <w:rPr>
          <w:rFonts w:ascii="Verdana" w:hAnsi="Verdana"/>
          <w:sz w:val="21"/>
          <w:szCs w:val="21"/>
        </w:rPr>
        <w:t xml:space="preserve">? </w:t>
      </w:r>
    </w:p>
    <w:p w14:paraId="518769F9"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En caso de que los aportes en especie puedan formar parte de la estructura financiera o presupuestal del convenio, ¿qué tratamiento debe darse a estos para efectos de determinar el cumplimiento del porcentaje mínimo del treinta por ciento (30 %)? </w:t>
      </w:r>
    </w:p>
    <w:p w14:paraId="52F964BA"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b/>
          <w:bCs/>
          <w:sz w:val="21"/>
          <w:szCs w:val="21"/>
        </w:rPr>
        <w:t xml:space="preserve">4. Metodología para estructurar la convocatoria. </w:t>
      </w:r>
      <w:r w:rsidRPr="00E31C97">
        <w:rPr>
          <w:rFonts w:ascii="Verdana" w:hAnsi="Verdana"/>
          <w:sz w:val="21"/>
          <w:szCs w:val="21"/>
        </w:rPr>
        <w:t xml:space="preserve">¿Ha establecido la </w:t>
      </w:r>
      <w:r w:rsidRPr="00E31C97">
        <w:rPr>
          <w:rFonts w:ascii="Verdana" w:hAnsi="Verdana"/>
          <w:b/>
          <w:bCs/>
          <w:sz w:val="21"/>
          <w:szCs w:val="21"/>
        </w:rPr>
        <w:t xml:space="preserve">Agencia Nacional de Contratación Pública – Colombia Compra Eficiente </w:t>
      </w:r>
      <w:r w:rsidRPr="00E31C97">
        <w:rPr>
          <w:rFonts w:ascii="Verdana" w:hAnsi="Verdana"/>
          <w:sz w:val="21"/>
          <w:szCs w:val="21"/>
        </w:rPr>
        <w:t xml:space="preserve">una metodología, fórmula, formato, guía o lineamiento específico y vigente para que las entidades estatales determinen de manera uniforme: </w:t>
      </w:r>
    </w:p>
    <w:p w14:paraId="449A034B"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a) el valor total del convenio de asociación </w:t>
      </w:r>
    </w:p>
    <w:p w14:paraId="637D3846"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b) la base sobre la cual se calcula el treinta por ciento (30 %) </w:t>
      </w:r>
    </w:p>
    <w:p w14:paraId="55E4C213"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c) la valoración de los aportes de las ESAL </w:t>
      </w:r>
    </w:p>
    <w:p w14:paraId="43F63B47" w14:textId="77777777" w:rsidR="00EA1385" w:rsidRPr="00E31C97" w:rsidRDefault="00EA1385" w:rsidP="00EA1385">
      <w:pPr>
        <w:spacing w:after="120" w:line="276" w:lineRule="auto"/>
        <w:ind w:left="567" w:right="760"/>
        <w:jc w:val="both"/>
        <w:rPr>
          <w:rFonts w:ascii="Verdana" w:hAnsi="Verdana"/>
          <w:sz w:val="21"/>
          <w:szCs w:val="21"/>
        </w:rPr>
      </w:pPr>
      <w:r w:rsidRPr="00E31C97">
        <w:rPr>
          <w:rFonts w:ascii="Verdana" w:hAnsi="Verdana"/>
          <w:sz w:val="21"/>
          <w:szCs w:val="21"/>
        </w:rPr>
        <w:t xml:space="preserve">d) la diferencia entre aportes en dinero y aportes en especie; ¿y e) las condiciones que deben incorporarse en el aviso o convocatoria dirigida a las ESAL? </w:t>
      </w:r>
    </w:p>
    <w:p w14:paraId="584CED9B" w14:textId="77777777" w:rsidR="00EA1385" w:rsidRDefault="00EA1385" w:rsidP="00EA1385">
      <w:pPr>
        <w:spacing w:after="120" w:line="276" w:lineRule="auto"/>
        <w:ind w:left="567" w:right="760"/>
        <w:jc w:val="both"/>
        <w:rPr>
          <w:rFonts w:ascii="Verdana" w:hAnsi="Verdana"/>
          <w:sz w:val="21"/>
          <w:szCs w:val="21"/>
        </w:rPr>
      </w:pPr>
      <w:r w:rsidRPr="00E31C97">
        <w:rPr>
          <w:rFonts w:ascii="Verdana" w:hAnsi="Verdana"/>
          <w:b/>
          <w:bCs/>
          <w:sz w:val="21"/>
          <w:szCs w:val="21"/>
        </w:rPr>
        <w:t xml:space="preserve">5. Estructuración del aviso de convocatoria. </w:t>
      </w:r>
      <w:r w:rsidRPr="00E31C97">
        <w:rPr>
          <w:rFonts w:ascii="Verdana" w:hAnsi="Verdana"/>
          <w:sz w:val="21"/>
          <w:szCs w:val="21"/>
        </w:rPr>
        <w:t xml:space="preserve">Finalmente, ¿cuáles son los elementos mínimos que debería contener el </w:t>
      </w:r>
      <w:r w:rsidRPr="00E31C97">
        <w:rPr>
          <w:rFonts w:ascii="Verdana" w:hAnsi="Verdana"/>
          <w:b/>
          <w:bCs/>
          <w:sz w:val="21"/>
          <w:szCs w:val="21"/>
        </w:rPr>
        <w:t>aviso de convocatoria dirigido a las ESAL</w:t>
      </w:r>
      <w:r w:rsidRPr="00E31C97">
        <w:rPr>
          <w:rFonts w:ascii="Verdana" w:hAnsi="Verdana"/>
          <w:sz w:val="21"/>
          <w:szCs w:val="21"/>
        </w:rPr>
        <w:t>, cuando la entidad estatal pretende identificar previamente si existe una ESAL dispuesta a realizar un aporte en dinero igual o superior al treinta por ciento (30 %) del valor total del convenio, con el fin de determinar si resulta procedente celebrar el convenio de asociación sin adelantar un proceso competitivo?</w:t>
      </w:r>
      <w:r>
        <w:rPr>
          <w:rFonts w:ascii="Verdana" w:hAnsi="Verdana"/>
          <w:sz w:val="21"/>
          <w:szCs w:val="21"/>
        </w:rPr>
        <w:t>”</w:t>
      </w:r>
    </w:p>
    <w:p w14:paraId="1A4432D8" w14:textId="77777777" w:rsidR="00EA1385" w:rsidRDefault="00EA1385" w:rsidP="00EA1385">
      <w:pPr>
        <w:spacing w:after="0" w:line="240" w:lineRule="auto"/>
        <w:ind w:left="567" w:right="760"/>
        <w:jc w:val="both"/>
        <w:rPr>
          <w:rFonts w:ascii="Verdana" w:hAnsi="Verdana"/>
          <w:sz w:val="21"/>
          <w:szCs w:val="21"/>
        </w:rPr>
      </w:pPr>
    </w:p>
    <w:p w14:paraId="455F52A6" w14:textId="77777777" w:rsidR="00EA1385" w:rsidRPr="00633405" w:rsidRDefault="00EA1385" w:rsidP="00EA1385">
      <w:pPr>
        <w:ind w:right="49"/>
        <w:jc w:val="both"/>
        <w:rPr>
          <w:rFonts w:ascii="Verdana" w:hAnsi="Verdana"/>
          <w:sz w:val="21"/>
          <w:szCs w:val="21"/>
        </w:rPr>
      </w:pP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w:t>
      </w:r>
      <w:r w:rsidRPr="39124533">
        <w:rPr>
          <w:rFonts w:ascii="Verdana" w:eastAsia="Verdana" w:hAnsi="Verdana" w:cs="Verdana"/>
          <w:color w:val="000000" w:themeColor="text1"/>
          <w:lang w:val="es"/>
        </w:rPr>
        <w:lastRenderedPageBreak/>
        <w:t xml:space="preserve">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74F27D66" w14:textId="77777777" w:rsidR="00EA1385" w:rsidRPr="0015699B" w:rsidRDefault="00EA1385" w:rsidP="00EA1385">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5C19CC1" w14:textId="77777777" w:rsidR="00EA1385" w:rsidRDefault="00EA1385" w:rsidP="00EA1385">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FA764C4" w14:textId="77777777" w:rsidR="00EA1385" w:rsidRPr="0015699B" w:rsidRDefault="00EA1385" w:rsidP="00EA1385">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 </w:t>
      </w:r>
      <w:r w:rsidRPr="40A87941">
        <w:rPr>
          <w:rFonts w:ascii="Verdana" w:eastAsia="Verdana" w:hAnsi="Verdana" w:cs="Verdana"/>
          <w:b/>
          <w:bCs/>
          <w:color w:val="000000" w:themeColor="text1"/>
          <w:lang w:val="es"/>
        </w:rPr>
        <w:t>planteado:</w:t>
      </w:r>
    </w:p>
    <w:p w14:paraId="13D18614" w14:textId="77777777" w:rsidR="00EA1385" w:rsidRPr="0015699B" w:rsidRDefault="00EA1385" w:rsidP="00EA1385">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68115CB1" w14:textId="77777777" w:rsidR="00EA1385" w:rsidRPr="008947F8" w:rsidRDefault="00EA1385" w:rsidP="00EA1385">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De acuerdo con el contenido de su solicitud</w:t>
      </w:r>
      <w:r>
        <w:rPr>
          <w:rFonts w:ascii="Verdana" w:eastAsia="Verdana" w:hAnsi="Verdana" w:cs="Verdana"/>
          <w:color w:val="000000" w:themeColor="text1"/>
        </w:rPr>
        <w:t xml:space="preserve">, </w:t>
      </w:r>
      <w:r w:rsidRPr="40A87941">
        <w:rPr>
          <w:rFonts w:ascii="Verdana" w:eastAsia="Verdana" w:hAnsi="Verdana" w:cs="Verdana"/>
          <w:color w:val="000000" w:themeColor="text1"/>
          <w:lang w:val="es"/>
        </w:rPr>
        <w:t xml:space="preserve">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655AF4">
        <w:rPr>
          <w:rFonts w:ascii="Verdana" w:eastAsia="Verdana" w:hAnsi="Verdana" w:cs="Verdana"/>
          <w:color w:val="000000" w:themeColor="text1"/>
        </w:rPr>
        <w:t>¿Cuál es la base para calcular el aporte mínimo del treinta por ciento (30 %) exigido por el artículo 5 del Decreto 092 de 2017 para la celebración de convenios de asociación con entidades privadas sin ánimo de lucro, y cuáles son los criterios que deben observar las entidades estatales para determinar, valorar y acreditar los aportes de las ESAL</w:t>
      </w:r>
      <w:r w:rsidRPr="00746016">
        <w:rPr>
          <w:rFonts w:ascii="Verdana" w:eastAsia="Verdana" w:hAnsi="Verdana" w:cs="Verdana"/>
          <w:color w:val="000000" w:themeColor="text1"/>
        </w:rPr>
        <w:t>?</w:t>
      </w:r>
    </w:p>
    <w:p w14:paraId="7D1DF1AD" w14:textId="77777777" w:rsidR="00EA1385" w:rsidRPr="00023F1B" w:rsidRDefault="00EA1385" w:rsidP="00EA1385">
      <w:pPr>
        <w:spacing w:after="0" w:line="276" w:lineRule="auto"/>
        <w:jc w:val="both"/>
        <w:textAlignment w:val="baseline"/>
        <w:rPr>
          <w:rFonts w:ascii="Verdana" w:eastAsia="Verdana" w:hAnsi="Verdana" w:cs="Verdana"/>
          <w:color w:val="000000" w:themeColor="text1"/>
        </w:rPr>
      </w:pPr>
    </w:p>
    <w:p w14:paraId="00CD71F6" w14:textId="77777777" w:rsidR="00EA1385" w:rsidRDefault="00EA1385" w:rsidP="00EA1385">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6499A46F" w14:textId="77777777" w:rsidR="00EA1385" w:rsidRPr="0015699B" w:rsidRDefault="00EA1385" w:rsidP="00EA1385">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EA1385" w14:paraId="28D2750C" w14:textId="77777777" w:rsidTr="00927AA4">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75462DC2"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lang w:val="es-ES"/>
              </w:rPr>
              <w:t xml:space="preserve">           </w:t>
            </w:r>
            <w:r w:rsidRPr="00D41BC8">
              <w:rPr>
                <w:rFonts w:ascii="Verdana" w:eastAsia="Verdana" w:hAnsi="Verdana" w:cs="Verdana"/>
              </w:rPr>
              <w:t>El artículo 96 de la Ley 489 de 1998 faculta a las entidades estatales para asociarse con personas jurídicas particulares, mediante la celebración de convenios de asociación, con el propósito de desarrollar conjuntamente actividades relacionadas con los cometidos y funciones que les asigna la ley. Para ello, la disposición exige que se determinen con precisión el objeto, el término, las obligaciones de las partes y los aportes, así como los mecanismos de coordinación y demás aspectos necesarios para el desarrollo de la asociación.</w:t>
            </w:r>
          </w:p>
          <w:p w14:paraId="20566550"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 xml:space="preserve">En concordancia con lo anterior, el artículo 5 del Decreto 092 de 2017 regula la celebración de convenios de asociación y establece que estos no estarán sujetos a competencia cuando la entidad estatal y la ESAL de reconocida idoneidad comprometan recursos en dinero en una proporción no inferior al treinta por ciento (30 %) del valor total del convenio. La misma disposición prevé que, cuando existan varias ESAL que ofrezcan aportes en </w:t>
            </w:r>
            <w:r w:rsidRPr="00D41BC8">
              <w:rPr>
                <w:rFonts w:ascii="Verdana" w:eastAsia="Verdana" w:hAnsi="Verdana" w:cs="Verdana"/>
              </w:rPr>
              <w:lastRenderedPageBreak/>
              <w:t>dinero por un porcentaje igual o superior al exigido, la entidad estatal deberá seleccionar objetivamente a aquella con la cual celebrará el convenio.</w:t>
            </w:r>
          </w:p>
          <w:p w14:paraId="2D796F07"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 xml:space="preserve">Sobre el particular, </w:t>
            </w:r>
            <w:r>
              <w:rPr>
                <w:rFonts w:ascii="Verdana" w:eastAsia="Verdana" w:hAnsi="Verdana" w:cs="Verdana"/>
              </w:rPr>
              <w:t>esta Subdirección Contractual</w:t>
            </w:r>
            <w:r w:rsidRPr="00D41BC8">
              <w:rPr>
                <w:rFonts w:ascii="Verdana" w:eastAsia="Verdana" w:hAnsi="Verdana" w:cs="Verdana"/>
              </w:rPr>
              <w:t>, mediante el Concepto C-269 del 7 de abril de 2025, precisó que las ESAL cuentan con diferentes alternativas jurídicas para participar en la contratación estatal. En primer lugar, pueden intervenir en igualdad de condiciones con los demás proponentes en los procedimientos de selección regulados por el Estatuto General de Contratación de la Administración Pública —Ley 80 de 1993 y Ley 1150 de 2007—, siempre que cumplan los requisitos habilitantes y las condiciones establecidas en cada proceso.</w:t>
            </w:r>
          </w:p>
          <w:p w14:paraId="26A52587"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segundo lugar, pueden celebrar los negocios jurídicos regulados por el Decreto 092 de 2017, siempre que se configuren los supuestos previstos en sus disposiciones. Dentro de estos se encuentran los convenios de asociación del artículo 96 de la Ley 489 de 1998, cuyo propósito es desarrollar conjuntamente actividades relacionadas con las funciones legales de la entidad estatal. En este supuesto, la norma permite prescindir del proceso competitivo cuando la ESAL compromete recursos en dinero por una proporción igual o superior al treinta por ciento (30 %) del valor total del convenio.</w:t>
            </w:r>
          </w:p>
          <w:p w14:paraId="289D788C"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Ahora bien, respecto de la determinación de la base para calcular dicho porcentaje, el citado Concepto C-269 de 2025 señaló expresamente:</w:t>
            </w:r>
          </w:p>
          <w:p w14:paraId="3C2657CB"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El treinta por ciento (30 %) señalado en el artículo 5 del Decreto 092 de 2017, que debe aportar la Entidad Sin Ánimo de Lucro – en adelante ESAL – a efectos de poder celebrar el convenio sin acudir a un proceso competitivo, debe calcularse respecto del monto total de los recursos en dinero requeridos para la ejecución proyecto, el cual corresponderá al valor por el que se celebrará el convenio de asociación. De esta manera, los eventuales aportes en especie no podrán tenerse en cuenta para calcular el referido porcentaje, el cual debe ser en dinero</w:t>
            </w:r>
            <w:r>
              <w:rPr>
                <w:rFonts w:ascii="Verdana" w:eastAsia="Verdana" w:hAnsi="Verdana" w:cs="Verdana"/>
              </w:rPr>
              <w:t>”</w:t>
            </w:r>
            <w:r w:rsidRPr="00D41BC8">
              <w:rPr>
                <w:rFonts w:ascii="Verdana" w:eastAsia="Verdana" w:hAnsi="Verdana" w:cs="Verdana"/>
              </w:rPr>
              <w:t>.</w:t>
            </w:r>
          </w:p>
          <w:p w14:paraId="2602E4C8"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A partir de esta consideración, la Agencia explicó que, si para desarrollar un proyecto conjunto se requiere un total de cien millones de pesos ($100.000.000), la ESAL deberá comprometer, como mínimo, treinta millones de pesos ($30.000.000) en dinero para que resulte procedente celebrar el convenio sin adelantar un proceso competitivo.</w:t>
            </w:r>
          </w:p>
          <w:p w14:paraId="580FA4EC"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lastRenderedPageBreak/>
              <w:t xml:space="preserve">         </w:t>
            </w:r>
            <w:r w:rsidRPr="00D41BC8">
              <w:rPr>
                <w:rFonts w:ascii="Verdana" w:eastAsia="Verdana" w:hAnsi="Verdana" w:cs="Verdana"/>
              </w:rPr>
              <w:t>De esta manera, la base de cálculo del treinta por ciento (30 %) no corresponde exclusivamente al aporte de la entidad estatal, sino al valor total de los recursos en dinero requeridos para ejecutar el proyecto y que conformarán el convenio de asociación. Por consiguiente, el porcentaje debe calcularse sobre el valor total del convenio, entendido para estos efectos como la suma de los recursos dinerarios comprometidos por las partes.</w:t>
            </w:r>
          </w:p>
          <w:p w14:paraId="6B36CA86"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relación con la metodología para determinar dicho porcentaje, Colombia Compra Eficiente indicó en el mismo concepto que no existe una fórmula específica y única para calcular el aporte mínimo del treinta por ciento (30 %). En consecuencia, la entidad estatal cuenta con autonomía para establecer la fórmula o metodología que considere más adecuada, atendiendo las particularidades del proyecto. Sin embargo, para estructurar presupuestalmente el convenio deberá tener en cuenta los resultados del análisis del sector y los demás elementos propios de la planeación contractual, de manera que pueda determinar concretamente el valor de ejecución del convenio y garantizar su viabilidad y eficiencia, conforme a los recursos disponibles.</w:t>
            </w:r>
          </w:p>
          <w:p w14:paraId="300459E3"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cuanto a la naturaleza de los aportes, debe distinguirse entre aquellos que pueden integrar el convenio de asociación y los que son computables para acreditar la condición establecida en el artículo 5 del Decreto 092 de 2017. En efecto, aunque en el marco de la asociación las partes pueden comprometer diferentes tipos de contribuciones para desarrollar las actividades conjuntas, la excepción al proceso competitivo exige que el aporte de la ESAL corresponda a recursos en dinero. Por tanto, los bienes, servicios, personal, equipos, infraestructura u otros aportes en especie pueden formar parte de la estructura del convenio, siempre que se encuentren justificados y valorados, pero no pueden contabilizarse para acreditar el porcentaje mínimo exigido por la disposición.</w:t>
            </w:r>
          </w:p>
          <w:p w14:paraId="31F91FD3"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Sobre este aspecto, el Concepto C-269 de 2025 también aclaró que el artículo 5 del Decreto 092 de 2017 no prohíbe celebrar convenios de asociación en los que la ESAL aporte menos del treinta por ciento (30 %) o realice contribuciones en especie. Lo que establece la norma es que, en tales circunstancias, la entidad estatal debe adelantar un proceso competitivo para seleccionar a la ESAL con la cual celebrará el respectivo convenio.</w:t>
            </w:r>
          </w:p>
          <w:p w14:paraId="3D46AAA2"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lastRenderedPageBreak/>
              <w:t xml:space="preserve">          </w:t>
            </w:r>
            <w:r w:rsidRPr="00D41BC8">
              <w:rPr>
                <w:rFonts w:ascii="Verdana" w:eastAsia="Verdana" w:hAnsi="Verdana" w:cs="Verdana"/>
              </w:rPr>
              <w:t>Adicionalmente, la Agencia precisó que, por regla general, la selección de la ESAL debe estar sometida a competencia, salvo que una de ellas manifieste su compromiso de aportar recursos en dinero por un valor igual o superior al treinta por ciento (30 %) del valor total del convenio, siempre que no existan otras ESAL que ofrezcan aportes iguales o superiores a dicho porcentaje. Si concurren varias organizaciones en esas condiciones, la entidad deberá seleccionar objetivamente a aquella con la cual celebrará el convenio.</w:t>
            </w:r>
          </w:p>
          <w:p w14:paraId="5B0CDF8B"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este último evento, la expresión «seleccionar de forma objetiva», contenida en el artículo 5 del Decreto 092 de 2017, no supone una remisión automática a las modalidades de selección previstas en las Leyes 80 de 1993 y 1150 de 2007. Se refiere, más bien, al deber de la entidad estatal de diseñar herramientas que permitan comparar objetivamente las propuestas de las ESAL y determinar cuál ofrece las mejores condiciones para alcanzar los resultados esperados con el convenio de asociación. Para ello, los criterios de selección deberán definirse en función de los objetivos que se pretenden desarrollar conjuntamente. Sin perjuicio de lo anterior, la entidad conserva la posibilidad de acudir a los procedimientos de selección previstos en el Estatuto General de Contratación de la Administración Pública o al trámite regulado en el inciso segundo del artículo 2 del Decreto 092 de 2017.</w:t>
            </w:r>
          </w:p>
          <w:p w14:paraId="55D0D770" w14:textId="7EDE6D61" w:rsidR="00EA1385" w:rsidRPr="00D41BC8" w:rsidRDefault="00931444" w:rsidP="00927AA4">
            <w:pPr>
              <w:spacing w:after="120" w:line="276" w:lineRule="auto"/>
              <w:jc w:val="both"/>
              <w:rPr>
                <w:rFonts w:ascii="Verdana" w:eastAsia="Verdana" w:hAnsi="Verdana" w:cs="Verdana"/>
              </w:rPr>
            </w:pPr>
            <w:r w:rsidRPr="00931444">
              <w:rPr>
                <w:rFonts w:ascii="Verdana" w:eastAsia="Verdana" w:hAnsi="Verdana" w:cs="Verdana"/>
              </w:rPr>
              <w:t>En ese orden, la convocatoria pública que adelante la entidad estatal debe permitir identificar las ESAL interesadas en participar en el proyecto y verificar si alguna está dispuesta a comprometer recursos en dinero por una proporción igual o superior al treinta por ciento (30 %) del valor total del convenio. Para tal efecto, en el marco de su autonomía y de los principios de planeación y transparencia, la entidad podrá establecer las condiciones que considere pertinentes, tales como el objeto y alcance del proyecto, las actividades que se desarrollarán conjuntamente, el presupuesto estimado, los recursos que aportará la entidad estatal, la metodología empleada para determinar el valor total del convenio, el porcentaje mínimo exigido a la ESAL, las condiciones para acreditar el compromiso de los recursos en dinero y los plazos y medios para presentar las manifestaciones de interés.</w:t>
            </w:r>
            <w:r w:rsidR="00EA1385">
              <w:rPr>
                <w:rFonts w:ascii="Verdana" w:eastAsia="Verdana" w:hAnsi="Verdana" w:cs="Verdana"/>
              </w:rPr>
              <w:t xml:space="preserve">         </w:t>
            </w:r>
            <w:r w:rsidR="00EA1385" w:rsidRPr="00D41BC8">
              <w:rPr>
                <w:rFonts w:ascii="Verdana" w:eastAsia="Verdana" w:hAnsi="Verdana" w:cs="Verdana"/>
              </w:rPr>
              <w:t xml:space="preserve">De igual forma, cuando se contemple la posibilidad de recibir aportes en especie, la entidad deberá establecer las condiciones para su identificación, descripción y valoración, diferenciándolos expresamente de los recursos dinerarios que se tendrán en cuenta para verificar el cumplimiento del porcentaje mínimo. Asimismo, </w:t>
            </w:r>
            <w:r w:rsidR="00EA1385" w:rsidRPr="00D41BC8">
              <w:rPr>
                <w:rFonts w:ascii="Verdana" w:eastAsia="Verdana" w:hAnsi="Verdana" w:cs="Verdana"/>
              </w:rPr>
              <w:lastRenderedPageBreak/>
              <w:t>deberá indicar las reglas de comparación y selección que aplicará si varias ESAL manifiestan su intención de aportar recursos iguales o superiores al treinta por ciento (30 %).</w:t>
            </w:r>
          </w:p>
          <w:p w14:paraId="47E5C88A" w14:textId="77777777" w:rsidR="00EA1385" w:rsidRPr="00D41BC8" w:rsidRDefault="00EA1385" w:rsidP="00927AA4">
            <w:pPr>
              <w:spacing w:after="120" w:line="276" w:lineRule="auto"/>
              <w:jc w:val="both"/>
              <w:rPr>
                <w:rFonts w:ascii="Verdana" w:eastAsia="Verdana" w:hAnsi="Verdana" w:cs="Verdana"/>
              </w:rPr>
            </w:pPr>
            <w:r>
              <w:rPr>
                <w:rFonts w:ascii="Verdana" w:eastAsia="Verdana" w:hAnsi="Verdana" w:cs="Verdana"/>
              </w:rPr>
              <w:t xml:space="preserve">         Así las cosas</w:t>
            </w:r>
            <w:r w:rsidRPr="00D41BC8">
              <w:rPr>
                <w:rFonts w:ascii="Verdana" w:eastAsia="Verdana" w:hAnsi="Verdana" w:cs="Verdana"/>
              </w:rPr>
              <w:t>, se recomienda consultar la Guía para la contratación con entidades privadas sin ánimo de lucro y de reconocida idoneidad</w:t>
            </w:r>
            <w:r>
              <w:rPr>
                <w:rStyle w:val="Refdenotaalpie"/>
                <w:rFonts w:ascii="Verdana" w:eastAsia="Verdana" w:hAnsi="Verdana" w:cs="Verdana"/>
              </w:rPr>
              <w:footnoteReference w:id="1"/>
            </w:r>
            <w:r w:rsidRPr="00D41BC8">
              <w:rPr>
                <w:rFonts w:ascii="Verdana" w:eastAsia="Verdana" w:hAnsi="Verdana" w:cs="Verdana"/>
              </w:rPr>
              <w:t>, expedida por Colombia Compra Eficiente, como instrumento de orientación para la estructuración de los convenios de asociación, la determinación de los aportes de las partes y la aplicación de las reglas previstas en el Decreto 092 de 2017.</w:t>
            </w:r>
          </w:p>
          <w:p w14:paraId="554B42B4" w14:textId="77777777" w:rsidR="00EA1385" w:rsidRDefault="00EA1385" w:rsidP="00927AA4">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434AD4CC" w14:textId="77777777" w:rsidR="00EA1385" w:rsidRPr="00F87343" w:rsidRDefault="00EA1385" w:rsidP="00927AA4">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EA1385" w14:paraId="4FB5FA3B" w14:textId="77777777" w:rsidTr="00927AA4">
        <w:trPr>
          <w:trHeight w:val="54"/>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2CE10628" w14:textId="77777777" w:rsidR="00EA1385" w:rsidRDefault="00EA1385" w:rsidP="00927AA4">
            <w:pPr>
              <w:spacing w:after="120" w:line="276" w:lineRule="auto"/>
              <w:jc w:val="both"/>
              <w:rPr>
                <w:rFonts w:ascii="Verdana" w:eastAsia="Verdana" w:hAnsi="Verdana" w:cs="Verdana"/>
                <w:lang w:val="es-ES"/>
              </w:rPr>
            </w:pPr>
          </w:p>
        </w:tc>
      </w:tr>
    </w:tbl>
    <w:p w14:paraId="134D9123" w14:textId="77777777" w:rsidR="00EA1385" w:rsidRPr="0015699B" w:rsidRDefault="00EA1385" w:rsidP="00EA1385">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21C5AE2E" w14:textId="77777777" w:rsidR="00EA1385" w:rsidRDefault="00EA1385" w:rsidP="00EA1385">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37B7D29C" w14:textId="77777777" w:rsidR="00EA1385" w:rsidRDefault="00EA1385" w:rsidP="00EA1385">
      <w:pPr>
        <w:spacing w:after="0" w:line="276" w:lineRule="auto"/>
        <w:jc w:val="both"/>
        <w:textAlignment w:val="baseline"/>
        <w:rPr>
          <w:rFonts w:ascii="Verdana" w:eastAsia="Verdana" w:hAnsi="Verdana" w:cs="Verdana"/>
          <w:b/>
          <w:bCs/>
          <w:color w:val="000000" w:themeColor="text1"/>
          <w:lang w:val="es"/>
        </w:rPr>
      </w:pPr>
    </w:p>
    <w:p w14:paraId="2217717B" w14:textId="77777777" w:rsidR="00EA1385" w:rsidRPr="001E1DB9" w:rsidRDefault="00EA1385" w:rsidP="00EA1385">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7869481B" w14:textId="77777777" w:rsidR="00EA1385" w:rsidRDefault="00EA1385" w:rsidP="00EA1385">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7A003E7F" w14:textId="77777777" w:rsidR="00EA1385" w:rsidRPr="00877011" w:rsidRDefault="00EA1385" w:rsidP="00EA1385">
      <w:pPr>
        <w:spacing w:after="120" w:line="276" w:lineRule="auto"/>
        <w:ind w:firstLine="708"/>
        <w:jc w:val="both"/>
        <w:rPr>
          <w:rFonts w:ascii="Verdana" w:eastAsia="Calibri" w:hAnsi="Verdana" w:cs="Arial"/>
          <w:lang w:val="es-ES"/>
        </w:rPr>
      </w:pPr>
      <w:r>
        <w:rPr>
          <w:rFonts w:ascii="Verdana" w:hAnsi="Verdana"/>
        </w:rPr>
        <w:t xml:space="preserve">De manera preliminar es pertinente indicar que </w:t>
      </w:r>
      <w:bookmarkStart w:id="1" w:name="_Hlk35876968"/>
      <w:bookmarkStart w:id="2" w:name="_Hlk98159514"/>
      <w:r w:rsidRPr="00272F96">
        <w:rPr>
          <w:rFonts w:ascii="Verdana" w:eastAsia="Times New Roman" w:hAnsi="Verdana" w:cs="Arial"/>
        </w:rPr>
        <w:t xml:space="preserve">los artículos 23 y siguientes de la Ley </w:t>
      </w:r>
      <w:r w:rsidRPr="00877011">
        <w:rPr>
          <w:rFonts w:ascii="Verdana" w:eastAsia="Calibri" w:hAnsi="Verdana" w:cs="Arial"/>
          <w:color w:val="000000" w:themeColor="text1"/>
          <w:lang w:val="es-ES"/>
        </w:rPr>
        <w:t xml:space="preserve">El </w:t>
      </w:r>
      <w:bookmarkStart w:id="3" w:name="_Hlk173063453"/>
      <w:r w:rsidRPr="00877011">
        <w:rPr>
          <w:rFonts w:ascii="Verdana" w:eastAsia="Calibri" w:hAnsi="Verdana" w:cs="Arial"/>
          <w:color w:val="000000" w:themeColor="text1"/>
          <w:lang w:val="es-ES"/>
        </w:rPr>
        <w:t xml:space="preserve">artículo 355 de la Constitución Política </w:t>
      </w:r>
      <w:bookmarkEnd w:id="3"/>
      <w:r w:rsidRPr="00877011">
        <w:rPr>
          <w:rFonts w:ascii="Verdana" w:eastAsia="Calibri" w:hAnsi="Verdana" w:cs="Arial"/>
          <w:color w:val="000000" w:themeColor="text1"/>
          <w:lang w:val="es-ES"/>
        </w:rPr>
        <w:t xml:space="preserve">prohíbe a las ramas y órganos del poder público decretar auxilios o donaciones en favor de personas </w:t>
      </w:r>
      <w:r w:rsidRPr="00877011">
        <w:rPr>
          <w:rFonts w:ascii="Verdana" w:eastAsia="Calibri" w:hAnsi="Verdana" w:cs="Arial"/>
          <w:color w:val="000000" w:themeColor="text1"/>
          <w:lang w:val="es-ES"/>
        </w:rPr>
        <w:lastRenderedPageBreak/>
        <w:t>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877011">
        <w:rPr>
          <w:rFonts w:ascii="Verdana" w:hAnsi="Verdana"/>
          <w:vertAlign w:val="superscript"/>
          <w:lang w:val="es-ES"/>
        </w:rPr>
        <w:footnoteReference w:id="2"/>
      </w:r>
      <w:r w:rsidRPr="00877011">
        <w:rPr>
          <w:rFonts w:ascii="Verdana" w:eastAsia="Calibri" w:hAnsi="Verdana" w:cs="Arial"/>
          <w:color w:val="000000" w:themeColor="text1"/>
          <w:lang w:val="es-ES"/>
        </w:rPr>
        <w:t xml:space="preserve">. </w:t>
      </w:r>
      <w:bookmarkStart w:id="4" w:name="_Hlk164688501"/>
      <w:r w:rsidRPr="00877011">
        <w:rPr>
          <w:rFonts w:ascii="Verdana" w:eastAsia="Calibri" w:hAnsi="Verdana" w:cs="Arial"/>
          <w:color w:val="000000" w:themeColor="text1"/>
          <w:lang w:val="es-ES"/>
        </w:rPr>
        <w:t xml:space="preserve">En concordancia, el </w:t>
      </w:r>
      <w:bookmarkStart w:id="5" w:name="_Hlk173063480"/>
      <w:r w:rsidRPr="00877011">
        <w:rPr>
          <w:rFonts w:ascii="Verdana" w:eastAsia="Calibri" w:hAnsi="Verdana" w:cs="Arial"/>
          <w:color w:val="000000" w:themeColor="text1"/>
          <w:lang w:val="es-ES"/>
        </w:rPr>
        <w:t>artículo 96 de la Ley 489 de 1998</w:t>
      </w:r>
      <w:bookmarkEnd w:id="5"/>
      <w:r w:rsidRPr="00877011">
        <w:rPr>
          <w:rFonts w:ascii="Verdana" w:hAnsi="Verdana"/>
          <w:vertAlign w:val="superscript"/>
          <w:lang w:val="es-ES"/>
        </w:rPr>
        <w:footnoteReference w:id="3"/>
      </w:r>
      <w:r w:rsidRPr="00877011">
        <w:rPr>
          <w:rFonts w:ascii="Verdana" w:eastAsia="Calibri" w:hAnsi="Verdana" w:cs="Arial"/>
          <w:color w:val="000000" w:themeColor="text1"/>
          <w:lang w:val="es-ES"/>
        </w:rPr>
        <w:t xml:space="preserve">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4"/>
      <w:r w:rsidRPr="00877011">
        <w:rPr>
          <w:rFonts w:ascii="Verdana" w:eastAsia="Calibri" w:hAnsi="Verdana" w:cs="Arial"/>
          <w:color w:val="000000" w:themeColor="text1"/>
          <w:lang w:val="es-ES"/>
        </w:rPr>
        <w:t>.</w:t>
      </w:r>
      <w:bookmarkStart w:id="7" w:name="_Hlk38819155"/>
    </w:p>
    <w:p w14:paraId="766A96BA" w14:textId="77777777" w:rsidR="00EA1385" w:rsidRPr="00877011" w:rsidRDefault="00EA1385" w:rsidP="00EA1385">
      <w:pPr>
        <w:spacing w:after="120" w:line="276" w:lineRule="auto"/>
        <w:ind w:firstLine="709"/>
        <w:jc w:val="both"/>
        <w:rPr>
          <w:rFonts w:ascii="Verdana" w:eastAsia="Calibri" w:hAnsi="Verdana" w:cs="Arial"/>
          <w:lang w:val="es-ES"/>
        </w:rPr>
      </w:pPr>
      <w:r w:rsidRPr="00877011">
        <w:rPr>
          <w:rFonts w:ascii="Verdana" w:hAnsi="Verdana" w:cs="Arial"/>
          <w:color w:val="000000" w:themeColor="text1"/>
          <w:lang w:val="es-MX"/>
        </w:rPr>
        <w:t>El Gobierno Nacional, en desarrollo del artículo 355 de la Constitución Política, expidió el Decreto 092 de 2017, el cual</w:t>
      </w:r>
      <w:r w:rsidRPr="00877011">
        <w:rPr>
          <w:rFonts w:ascii="Verdana" w:eastAsia="Calibri" w:hAnsi="Verdana" w:cs="Arial"/>
          <w:color w:val="000000" w:themeColor="text1"/>
          <w:lang w:val="es-MX"/>
        </w:rPr>
        <w:t xml:space="preserve"> dispone </w:t>
      </w:r>
      <w:r w:rsidRPr="00877011">
        <w:rPr>
          <w:rFonts w:ascii="Verdana" w:eastAsia="Calibri" w:hAnsi="Verdana" w:cs="Arial"/>
          <w:lang w:val="es-MX"/>
        </w:rPr>
        <w:t xml:space="preserve">reglas para las contrataciones que realizan las Entidades Estatales con las ESAL. </w:t>
      </w:r>
      <w:r w:rsidRPr="00877011">
        <w:rPr>
          <w:rFonts w:ascii="Verdana" w:eastAsia="Calibri" w:hAnsi="Verdana" w:cs="Arial"/>
          <w:color w:val="000000" w:themeColor="text1"/>
          <w:lang w:val="es-ES"/>
        </w:rPr>
        <w:t xml:space="preserve">El Decreto regula dos (2) eventos: i) </w:t>
      </w:r>
      <w:r w:rsidRPr="00877011">
        <w:rPr>
          <w:rFonts w:ascii="Verdana" w:eastAsia="Calibri" w:hAnsi="Verdana" w:cs="Arial"/>
          <w:lang w:val="es-ES" w:eastAsia="es-ES_tradnl"/>
        </w:rPr>
        <w:t xml:space="preserve">los </w:t>
      </w:r>
      <w:r w:rsidRPr="00877011">
        <w:rPr>
          <w:rFonts w:ascii="Verdana" w:eastAsia="Calibri" w:hAnsi="Verdana" w:cs="Arial"/>
          <w:i/>
          <w:iCs/>
          <w:lang w:val="es-ES" w:eastAsia="es-ES_tradnl"/>
        </w:rPr>
        <w:t>contratos de colaboración</w:t>
      </w:r>
      <w:r w:rsidRPr="00877011">
        <w:rPr>
          <w:rFonts w:ascii="Verdana" w:eastAsia="Calibri"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877011">
        <w:rPr>
          <w:rFonts w:ascii="Verdana" w:eastAsia="Calibri" w:hAnsi="Verdana" w:cs="Arial"/>
          <w:color w:val="000000" w:themeColor="text1"/>
          <w:lang w:val="es-ES"/>
        </w:rPr>
        <w:t xml:space="preserve"> y; ii) los </w:t>
      </w:r>
      <w:r w:rsidRPr="00877011">
        <w:rPr>
          <w:rFonts w:ascii="Verdana" w:eastAsia="Calibri" w:hAnsi="Verdana" w:cs="Arial"/>
          <w:i/>
          <w:iCs/>
          <w:color w:val="000000" w:themeColor="text1"/>
          <w:lang w:val="es-ES"/>
        </w:rPr>
        <w:t>convenios de asociación</w:t>
      </w:r>
      <w:r w:rsidRPr="00877011">
        <w:rPr>
          <w:rFonts w:ascii="Verdana" w:eastAsia="Calibri" w:hAnsi="Verdana" w:cs="Arial"/>
          <w:color w:val="000000" w:themeColor="text1"/>
          <w:lang w:val="es-ES"/>
        </w:rPr>
        <w:t xml:space="preserve">, para el desarrollo conjunto de actividades relacionadas con las funciones de las Entidades Estatales, en desarrollo del artículo 96 de la Ley 489 de 1998. </w:t>
      </w:r>
      <w:r w:rsidRPr="00877011">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877011">
        <w:rPr>
          <w:rFonts w:ascii="Verdana" w:eastAsia="Calibri" w:hAnsi="Verdana" w:cs="Arial"/>
          <w:i/>
          <w:iCs/>
          <w:color w:val="000000"/>
          <w:lang w:val="es-MX" w:eastAsia="es-ES_tradnl"/>
        </w:rPr>
        <w:t>ibidem</w:t>
      </w:r>
      <w:r w:rsidRPr="00877011">
        <w:rPr>
          <w:rFonts w:ascii="Verdana" w:eastAsia="Calibri" w:hAnsi="Verdana" w:cs="Arial"/>
          <w:color w:val="000000"/>
          <w:lang w:val="es-MX" w:eastAsia="es-ES_tradnl"/>
        </w:rPr>
        <w:t xml:space="preserve">. </w:t>
      </w:r>
      <w:bookmarkEnd w:id="7"/>
      <w:r w:rsidRPr="00877011">
        <w:rPr>
          <w:rFonts w:ascii="Verdana" w:eastAsia="Calibri" w:hAnsi="Verdana" w:cs="Arial"/>
          <w:color w:val="000000" w:themeColor="text1"/>
          <w:lang w:val="es-MX" w:eastAsia="es-ES_tradnl"/>
        </w:rPr>
        <w:t xml:space="preserve">Así las cosas, es posible diferenciar los </w:t>
      </w:r>
      <w:r w:rsidRPr="00877011">
        <w:rPr>
          <w:rFonts w:ascii="Verdana" w:eastAsia="Calibri" w:hAnsi="Verdana" w:cs="Arial"/>
          <w:i/>
          <w:iCs/>
          <w:color w:val="000000" w:themeColor="text1"/>
          <w:lang w:val="es-MX" w:eastAsia="es-ES_tradnl"/>
        </w:rPr>
        <w:t>contratos de colaboración</w:t>
      </w:r>
      <w:r w:rsidRPr="00877011">
        <w:rPr>
          <w:rFonts w:ascii="Verdana" w:eastAsia="Calibri" w:hAnsi="Verdana" w:cs="Arial"/>
          <w:color w:val="000000" w:themeColor="text1"/>
          <w:lang w:val="es-MX" w:eastAsia="es-ES_tradnl"/>
        </w:rPr>
        <w:t xml:space="preserve">, establecidos en el artículo 2 del Decreto 092 de 2017, de los </w:t>
      </w:r>
      <w:r w:rsidRPr="00877011">
        <w:rPr>
          <w:rFonts w:ascii="Verdana" w:eastAsia="Calibri" w:hAnsi="Verdana" w:cs="Arial"/>
          <w:i/>
          <w:iCs/>
          <w:color w:val="000000" w:themeColor="text1"/>
          <w:lang w:val="es-MX" w:eastAsia="es-ES_tradnl"/>
        </w:rPr>
        <w:t>convenios de asociación</w:t>
      </w:r>
      <w:r w:rsidRPr="00877011">
        <w:rPr>
          <w:rFonts w:ascii="Verdana" w:eastAsia="Calibri" w:hAnsi="Verdana" w:cs="Arial"/>
          <w:color w:val="000000" w:themeColor="text1"/>
          <w:lang w:val="es-MX" w:eastAsia="es-ES_tradnl"/>
        </w:rPr>
        <w:t>, regulados en el artículo 5.</w:t>
      </w:r>
    </w:p>
    <w:p w14:paraId="722562DD" w14:textId="77777777" w:rsidR="00EA1385" w:rsidRPr="00877011" w:rsidRDefault="00EA1385" w:rsidP="00EA1385">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un lado, los </w:t>
      </w:r>
      <w:r w:rsidRPr="00877011">
        <w:rPr>
          <w:rFonts w:ascii="Verdana" w:eastAsia="Calibri" w:hAnsi="Verdana" w:cs="Arial"/>
          <w:i/>
          <w:iCs/>
          <w:color w:val="000000" w:themeColor="text1"/>
          <w:lang w:val="es-ES"/>
        </w:rPr>
        <w:t>contratos del artículo 355 de la Constitución Política o contratos de colaboración</w:t>
      </w:r>
      <w:r w:rsidRPr="00877011">
        <w:rPr>
          <w:rFonts w:ascii="Verdana" w:eastAsia="Calibri" w:hAnsi="Verdana" w:cs="Arial"/>
          <w:color w:val="000000" w:themeColor="text1"/>
          <w:lang w:val="es-ES"/>
        </w:rPr>
        <w:t xml:space="preserve"> tienen como objeto promover acciones de fomento social en beneficio de los sectores más desprotegidos de la población, siempre </w:t>
      </w:r>
      <w:r w:rsidRPr="00877011">
        <w:rPr>
          <w:rFonts w:ascii="Verdana" w:eastAsia="Calibri" w:hAnsi="Verdana" w:cs="Arial"/>
          <w:color w:val="000000" w:themeColor="text1"/>
          <w:lang w:val="es-ES"/>
        </w:rPr>
        <w:lastRenderedPageBreak/>
        <w:t xml:space="preserve">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1F4EBDE2" w14:textId="77777777" w:rsidR="00EA1385" w:rsidRPr="00877011" w:rsidRDefault="00EA1385" w:rsidP="00EA1385">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otro lado, los </w:t>
      </w:r>
      <w:r w:rsidRPr="00877011">
        <w:rPr>
          <w:rFonts w:ascii="Verdana" w:eastAsia="Calibri" w:hAnsi="Verdana" w:cs="Arial"/>
          <w:i/>
          <w:iCs/>
          <w:color w:val="000000" w:themeColor="text1"/>
          <w:lang w:val="es-ES"/>
        </w:rPr>
        <w:t xml:space="preserve">convenios de asociación </w:t>
      </w:r>
      <w:r w:rsidRPr="00877011">
        <w:rPr>
          <w:rFonts w:ascii="Verdana" w:eastAsia="Calibri" w:hAnsi="Verdana" w:cs="Arial"/>
          <w:color w:val="000000" w:themeColor="text1"/>
          <w:lang w:val="es-ES"/>
        </w:rPr>
        <w:t>–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77011">
        <w:rPr>
          <w:rFonts w:ascii="Verdana" w:hAnsi="Verdana"/>
          <w:vertAlign w:val="superscript"/>
          <w:lang w:val="es-ES"/>
        </w:rPr>
        <w:footnoteReference w:id="4"/>
      </w:r>
      <w:r w:rsidRPr="00877011">
        <w:rPr>
          <w:rFonts w:ascii="Verdana" w:eastAsia="Calibri" w:hAnsi="Verdana" w:cs="Arial"/>
          <w:color w:val="000000" w:themeColor="text1"/>
          <w:lang w:val="es-ES"/>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2AD75BD9" w14:textId="77777777" w:rsidR="00EA1385" w:rsidRPr="00877011" w:rsidRDefault="00EA1385" w:rsidP="00EA1385">
      <w:pPr>
        <w:spacing w:after="120" w:line="276" w:lineRule="auto"/>
        <w:ind w:firstLine="709"/>
        <w:jc w:val="both"/>
        <w:rPr>
          <w:rFonts w:ascii="Verdana" w:eastAsia="Calibri" w:hAnsi="Verdana" w:cs="Arial"/>
          <w:lang w:val="es-ES"/>
        </w:rPr>
      </w:pPr>
      <w:r w:rsidRPr="00877011">
        <w:rPr>
          <w:rFonts w:ascii="Verdana" w:eastAsia="Calibri" w:hAnsi="Verdana" w:cs="Arial"/>
          <w:color w:val="000000"/>
          <w:lang w:val="es-MX" w:eastAsia="es-ES_tradnl"/>
        </w:rPr>
        <w:t xml:space="preserve">De conformidad con el inciso segundo del artículo 96 de la Ley 489 de 1998, en </w:t>
      </w:r>
      <w:r w:rsidRPr="00877011">
        <w:rPr>
          <w:rFonts w:ascii="Verdana" w:eastAsia="Calibri" w:hAnsi="Verdana" w:cs="Arial"/>
          <w:color w:val="000000"/>
          <w:lang w:val="es-ES" w:eastAsia="es-ES_tradnl"/>
        </w:rPr>
        <w:t>los</w:t>
      </w:r>
      <w:r w:rsidRPr="00877011">
        <w:rPr>
          <w:rFonts w:ascii="Verdana" w:eastAsia="Calibri" w:hAnsi="Verdana" w:cs="Arial"/>
          <w:color w:val="000000"/>
          <w:lang w:val="es-MX" w:eastAsia="es-ES_tradnl"/>
        </w:rPr>
        <w:t xml:space="preserve"> convenios</w:t>
      </w:r>
      <w:r w:rsidRPr="00877011">
        <w:rPr>
          <w:rFonts w:ascii="Verdana" w:eastAsia="Calibri" w:hAnsi="Verdana" w:cs="Arial"/>
          <w:color w:val="000000"/>
          <w:lang w:val="es-ES" w:eastAsia="es-ES_tradnl"/>
        </w:rPr>
        <w:t xml:space="preserve"> de asociación</w:t>
      </w:r>
      <w:r w:rsidRPr="00877011">
        <w:rPr>
          <w:rFonts w:ascii="Verdana" w:eastAsia="Calibri"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877011">
        <w:rPr>
          <w:rFonts w:ascii="Verdana" w:eastAsia="Calibri" w:hAnsi="Verdana" w:cs="Arial"/>
          <w:color w:val="000000"/>
          <w:lang w:val="es-ES" w:eastAsia="es-ES_tradnl"/>
        </w:rPr>
        <w:t xml:space="preserve"> del valor total</w:t>
      </w:r>
      <w:r w:rsidRPr="00877011">
        <w:rPr>
          <w:rFonts w:ascii="Verdana" w:eastAsia="Calibri" w:hAnsi="Verdana" w:cs="Arial"/>
          <w:color w:val="000000"/>
          <w:lang w:val="es-MX" w:eastAsia="es-ES_tradnl"/>
        </w:rPr>
        <w:t xml:space="preserve">, o en especie, los cuales deben servir al desarrollo de los objetivos comunes de la asociación. </w:t>
      </w:r>
    </w:p>
    <w:p w14:paraId="22EB5805" w14:textId="77777777" w:rsidR="00EA1385" w:rsidRPr="00877011" w:rsidRDefault="00EA1385" w:rsidP="00EA1385">
      <w:pPr>
        <w:spacing w:after="120" w:line="276" w:lineRule="auto"/>
        <w:ind w:firstLine="709"/>
        <w:jc w:val="both"/>
        <w:rPr>
          <w:rFonts w:ascii="Verdana" w:eastAsia="Calibri" w:hAnsi="Verdana" w:cs="Arial"/>
          <w:lang w:val="es-ES"/>
        </w:rPr>
      </w:pPr>
      <w:r w:rsidRPr="00877011">
        <w:rPr>
          <w:rFonts w:ascii="Verdana" w:eastAsia="Calibri" w:hAnsi="Verdana" w:cs="Arial"/>
          <w:lang w:val="es-ES"/>
        </w:rPr>
        <w:t xml:space="preserve">Respecto a </w:t>
      </w:r>
      <w:r w:rsidRPr="00877011">
        <w:rPr>
          <w:rFonts w:ascii="Verdana" w:eastAsia="Calibri" w:hAnsi="Verdana" w:cs="Arial"/>
          <w:lang w:val="es-ES_tradnl" w:eastAsia="es-ES_tradnl"/>
        </w:rPr>
        <w:t xml:space="preserve">la forma en la cual se debe seleccionar a la ESAL, es menester indicar que, </w:t>
      </w:r>
      <w:bookmarkStart w:id="8" w:name="_Hlk173067283"/>
      <w:r w:rsidRPr="00877011">
        <w:rPr>
          <w:rFonts w:ascii="Verdana" w:eastAsia="Calibri" w:hAnsi="Verdana" w:cs="Arial"/>
          <w:lang w:val="es-ES_tradnl" w:eastAsia="es-ES_tradnl"/>
        </w:rPr>
        <w:t xml:space="preserve">el </w:t>
      </w:r>
      <w:bookmarkStart w:id="9" w:name="_Hlk173065372"/>
      <w:r w:rsidRPr="00877011">
        <w:rPr>
          <w:rFonts w:ascii="Verdana" w:eastAsia="Calibri" w:hAnsi="Verdana" w:cs="Arial"/>
          <w:lang w:val="es-ES_tradnl" w:eastAsia="es-ES_tradnl"/>
        </w:rPr>
        <w:t>artículo 5</w:t>
      </w:r>
      <w:bookmarkEnd w:id="9"/>
      <w:r w:rsidRPr="00877011">
        <w:rPr>
          <w:rFonts w:ascii="Verdana" w:eastAsia="Calibri" w:hAnsi="Verdana" w:cs="Arial"/>
          <w:lang w:val="es-ES_tradnl" w:eastAsia="es-ES_tradnl"/>
        </w:rPr>
        <w:t xml:space="preserve"> del Decreto 092 de 2017</w:t>
      </w:r>
      <w:r w:rsidRPr="00877011">
        <w:rPr>
          <w:rFonts w:ascii="Verdana" w:hAnsi="Verdana"/>
          <w:vertAlign w:val="superscript"/>
          <w:lang w:val="es-ES" w:eastAsia="es-ES_tradnl"/>
        </w:rPr>
        <w:footnoteReference w:id="5"/>
      </w:r>
      <w:r w:rsidRPr="00877011">
        <w:rPr>
          <w:rFonts w:ascii="Verdana" w:eastAsia="Calibri" w:hAnsi="Verdana" w:cs="Arial"/>
          <w:lang w:val="es-ES_tradnl" w:eastAsia="es-ES_tradnl"/>
        </w:rPr>
        <w:t xml:space="preserve"> establece que, </w:t>
      </w:r>
      <w:bookmarkStart w:id="10" w:name="_Hlk77927493"/>
      <w:r w:rsidRPr="00877011">
        <w:rPr>
          <w:rFonts w:ascii="Verdana" w:eastAsia="Calibri" w:hAnsi="Verdana" w:cs="Arial"/>
          <w:lang w:val="es-ES" w:eastAsia="es-ES_tradnl"/>
        </w:rPr>
        <w:t xml:space="preserve">el proceso para la escogencia de la ESAL, por regla general, debe estar sujeto a competencia, salvo en aquellos casos en los que una ESAL manifieste su </w:t>
      </w:r>
      <w:r w:rsidRPr="00877011">
        <w:rPr>
          <w:rFonts w:ascii="Verdana" w:eastAsia="Calibri" w:hAnsi="Verdana" w:cs="Arial"/>
          <w:lang w:val="es-ES" w:eastAsia="es-ES_tradnl"/>
        </w:rPr>
        <w:lastRenderedPageBreak/>
        <w:t>compromiso de aportar recursos en dinero por un valor igual o superior al treinta por ciento (30%) del valor total del convenio, siempre y cuando no existan otras ESAL que ofrezcan aportes en monto igual o superior a dicho porcentaje</w:t>
      </w:r>
      <w:bookmarkEnd w:id="10"/>
      <w:r w:rsidRPr="00877011">
        <w:rPr>
          <w:rFonts w:ascii="Verdana" w:eastAsia="Calibri" w:hAnsi="Verdana" w:cs="Arial"/>
          <w:lang w:val="es-ES" w:eastAsia="es-ES_tradnl"/>
        </w:rPr>
        <w:t xml:space="preserve">, pues en este evento también se tendría que realizar un proceso competitivo. </w:t>
      </w:r>
      <w:bookmarkEnd w:id="8"/>
    </w:p>
    <w:p w14:paraId="399C7688" w14:textId="77777777" w:rsidR="00EA1385" w:rsidRDefault="00EA1385" w:rsidP="00EA1385">
      <w:pPr>
        <w:spacing w:after="120" w:line="276" w:lineRule="auto"/>
        <w:ind w:firstLine="709"/>
        <w:jc w:val="both"/>
        <w:rPr>
          <w:rFonts w:ascii="Verdana" w:eastAsia="Century Gothic" w:hAnsi="Verdana" w:cs="Century Gothic"/>
          <w:color w:val="000000" w:themeColor="text1"/>
        </w:rPr>
      </w:pPr>
      <w:r w:rsidRPr="00877011">
        <w:rPr>
          <w:rFonts w:ascii="Verdana" w:eastAsia="Calibri" w:hAnsi="Verdana"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r w:rsidRPr="00877011">
        <w:rPr>
          <w:rFonts w:ascii="Verdana" w:eastAsia="Calibri" w:hAnsi="Verdana" w:cs="Arial"/>
          <w:lang w:val="es-ES"/>
        </w:rPr>
        <w:t xml:space="preserve"> </w:t>
      </w:r>
      <w:r w:rsidRPr="00877011">
        <w:rPr>
          <w:rFonts w:ascii="Verdana" w:eastAsia="Century Gothic" w:hAnsi="Verdana" w:cs="Century Gothic"/>
          <w:color w:val="000000" w:themeColor="text1"/>
        </w:rPr>
        <w:t xml:space="preserve">Si esta es la única excepción, por tanto, también debe efectuarse la selección objetiva mediante trámite competitivo cuando se pretenda celebrar un convenio que no comprometa recursos en dinero, en la medida en que puede haber varias ESAL interesadas. </w:t>
      </w:r>
    </w:p>
    <w:p w14:paraId="427C1A85" w14:textId="77777777" w:rsidR="00EA1385" w:rsidRDefault="00EA1385" w:rsidP="00EA1385">
      <w:pPr>
        <w:spacing w:after="120" w:line="276" w:lineRule="auto"/>
        <w:ind w:firstLine="709"/>
        <w:jc w:val="both"/>
        <w:rPr>
          <w:rFonts w:ascii="Verdana" w:eastAsia="Century Gothic" w:hAnsi="Verdana" w:cs="Century Gothic"/>
          <w:color w:val="000000" w:themeColor="text1"/>
        </w:rPr>
      </w:pPr>
      <w:r w:rsidRPr="00877011">
        <w:rPr>
          <w:rFonts w:ascii="Verdana" w:eastAsia="Century Gothic" w:hAnsi="Verdana" w:cs="Century Gothic"/>
          <w:color w:val="000000" w:themeColor="text1"/>
        </w:rPr>
        <w:t>En efecto, como indicó la Agencia en la Guía: “El artículo 5 del Decreto 092 de 2017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Pr="00877011">
        <w:rPr>
          <w:rFonts w:ascii="Verdana" w:eastAsia="Century Gothic" w:hAnsi="Verdana" w:cs="Century Gothic"/>
          <w:color w:val="000000" w:themeColor="text1"/>
          <w:vertAlign w:val="superscript"/>
        </w:rPr>
        <w:footnoteReference w:id="6"/>
      </w:r>
      <w:r w:rsidRPr="00877011">
        <w:rPr>
          <w:rFonts w:ascii="Verdana" w:eastAsia="Century Gothic" w:hAnsi="Verdana" w:cs="Century Gothic"/>
          <w:color w:val="000000" w:themeColor="text1"/>
        </w:rPr>
        <w:t xml:space="preserve">. En consecuencia, así ni la Entidad Estatal ni la ESAL vayan a comprometer recursos en dinero, se debe adelantar el proceso competitivo para garantizar la selección objetiva y dejar constancia de ello en los documentos del proceso. </w:t>
      </w:r>
    </w:p>
    <w:p w14:paraId="2E12355D" w14:textId="77777777" w:rsidR="00EA1385" w:rsidRPr="00877011" w:rsidRDefault="00EA1385" w:rsidP="00EA1385">
      <w:pPr>
        <w:spacing w:after="0" w:line="276" w:lineRule="auto"/>
        <w:ind w:firstLine="709"/>
        <w:jc w:val="both"/>
        <w:rPr>
          <w:rFonts w:ascii="Verdana" w:eastAsia="Calibri" w:hAnsi="Verdana" w:cs="Arial"/>
          <w:lang w:val="es-ES_tradnl" w:eastAsia="es-ES_tradnl"/>
        </w:rPr>
      </w:pPr>
      <w:r w:rsidRPr="00877011">
        <w:rPr>
          <w:rFonts w:ascii="Verdana" w:eastAsia="Calibri" w:hAnsi="Verdana" w:cs="Arial"/>
          <w:lang w:val="es-ES_tradnl" w:eastAsia="es-ES_tradnl"/>
        </w:rPr>
        <w:t>En similar sentido, el doctrinante Mauricio Rodríguez Tamayo manifiesta que:</w:t>
      </w:r>
    </w:p>
    <w:p w14:paraId="0B95EA7C" w14:textId="77777777" w:rsidR="00EA1385" w:rsidRPr="00877011" w:rsidRDefault="00EA1385" w:rsidP="00EA1385">
      <w:pPr>
        <w:spacing w:after="0" w:line="276" w:lineRule="auto"/>
        <w:ind w:firstLine="709"/>
        <w:jc w:val="both"/>
        <w:rPr>
          <w:rFonts w:ascii="Verdana" w:eastAsia="Calibri" w:hAnsi="Verdana" w:cs="Arial"/>
          <w:lang w:val="es-ES"/>
        </w:rPr>
      </w:pPr>
    </w:p>
    <w:p w14:paraId="11514548" w14:textId="77777777" w:rsidR="00EA1385" w:rsidRPr="00877011" w:rsidRDefault="00EA1385" w:rsidP="00EA1385">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877011">
        <w:rPr>
          <w:rFonts w:ascii="Verdana" w:eastAsia="Times New Roman" w:hAnsi="Verdana" w:cs="Arial"/>
          <w:sz w:val="20"/>
          <w:szCs w:val="20"/>
          <w:lang w:val="es-ES"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75DB9167" w14:textId="77777777" w:rsidR="00EA1385" w:rsidRPr="00877011" w:rsidRDefault="00EA1385" w:rsidP="00EA1385">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p>
    <w:p w14:paraId="036609BE" w14:textId="77777777" w:rsidR="00EA1385" w:rsidRPr="00877011" w:rsidRDefault="00EA1385" w:rsidP="00EA1385">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 w:eastAsia="es-ES_tradnl"/>
        </w:rPr>
        <w:lastRenderedPageBreak/>
        <w:t>Se podrá contratar directamente por esta causal siempre que esté acreditada cualquiera de las siguientes circunstancias: […] ii) se celebran convenios de asociación a los que hace referencia el artículo 96 de la Ley 489 de 1998 y la ESAL compromete recursos en dinero en una proporción no inferior a 30% del valor total del convenio”</w:t>
      </w:r>
      <w:r w:rsidRPr="00877011">
        <w:rPr>
          <w:rFonts w:ascii="Verdana" w:hAnsi="Verdana"/>
          <w:sz w:val="20"/>
          <w:szCs w:val="20"/>
          <w:vertAlign w:val="superscript"/>
          <w:lang w:val="es-ES" w:eastAsia="es-ES_tradnl"/>
        </w:rPr>
        <w:footnoteReference w:id="7"/>
      </w:r>
      <w:r w:rsidRPr="00877011">
        <w:rPr>
          <w:rFonts w:ascii="Verdana" w:eastAsia="Times New Roman" w:hAnsi="Verdana" w:cs="Arial"/>
          <w:sz w:val="20"/>
          <w:szCs w:val="20"/>
          <w:lang w:val="es-ES" w:eastAsia="es-ES_tradnl"/>
        </w:rPr>
        <w:t>.</w:t>
      </w:r>
    </w:p>
    <w:p w14:paraId="7C907218" w14:textId="77777777" w:rsidR="00EA1385" w:rsidRPr="00877011" w:rsidRDefault="00EA1385" w:rsidP="00EA1385">
      <w:pPr>
        <w:spacing w:after="0" w:line="276" w:lineRule="auto"/>
        <w:ind w:left="360"/>
        <w:jc w:val="both"/>
        <w:textAlignment w:val="baseline"/>
        <w:rPr>
          <w:rFonts w:ascii="Verdana" w:eastAsia="Calibri" w:hAnsi="Verdana" w:cs="Arial"/>
          <w:lang w:val="es-ES_tradnl" w:eastAsia="es-ES_tradnl"/>
        </w:rPr>
      </w:pPr>
    </w:p>
    <w:p w14:paraId="4C760C23" w14:textId="77777777" w:rsidR="00EA1385" w:rsidRPr="00877011" w:rsidRDefault="00EA1385" w:rsidP="00EA1385">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 xml:space="preserve">Ahora bien, es importante resaltar que, </w:t>
      </w:r>
      <w:bookmarkStart w:id="11" w:name="_Hlk173070078"/>
      <w:r w:rsidRPr="00877011">
        <w:rPr>
          <w:rFonts w:ascii="Verdana" w:eastAsia="Calibri" w:hAnsi="Verdana" w:cs="Arial"/>
          <w:lang w:val="es-ES_tradnl" w:eastAsia="es-ES_tradnl"/>
        </w:rPr>
        <w:t xml:space="preserve">según el mismo artículo 5, </w:t>
      </w:r>
      <w:r w:rsidRPr="00877011">
        <w:rPr>
          <w:rFonts w:ascii="Verdana" w:eastAsia="Calibri" w:hAnsi="Verdana" w:cs="Arial"/>
          <w:i/>
          <w:iCs/>
          <w:lang w:val="es-ES_tradnl" w:eastAsia="es-ES_tradnl"/>
        </w:rPr>
        <w:t>si hay más de una ESAL</w:t>
      </w:r>
      <w:r w:rsidRPr="00877011">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tenga las mejores condiciones para alcanzar el resultado esperado con el proyecto de cooperación. </w:t>
      </w:r>
      <w:bookmarkEnd w:id="11"/>
    </w:p>
    <w:p w14:paraId="67BC79A6" w14:textId="77777777" w:rsidR="00EA1385" w:rsidRPr="00877011" w:rsidRDefault="00EA1385" w:rsidP="00EA1385">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color w:val="000000" w:themeColor="text1"/>
          <w:lang w:val="es-ES"/>
        </w:rPr>
        <w:t>Conforme a lo anterior, atendiendo a que los convenios de asociación “[…] no estarán sujetos a competencia cuando la entidad sin ánimo de lucro comprometa recursos en dinero para la ejecución de esas actividades en una proporción no inferior al 30% del valor total del convenio”, las Entidades Estatales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4493B477" w14:textId="77777777" w:rsidR="00EA1385" w:rsidRPr="00877011" w:rsidRDefault="00EA1385" w:rsidP="00EA1385">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color w:val="000000"/>
          <w:lang w:val="es-MX" w:eastAsia="es-ES_tradnl"/>
        </w:rPr>
        <w:t xml:space="preserve">La noción </w:t>
      </w:r>
      <w:r w:rsidRPr="00877011">
        <w:rPr>
          <w:rFonts w:ascii="Verdana" w:eastAsia="Calibri" w:hAnsi="Verdana" w:cs="Arial"/>
          <w:i/>
          <w:iCs/>
          <w:color w:val="000000"/>
          <w:lang w:val="es-MX" w:eastAsia="es-ES_tradnl"/>
        </w:rPr>
        <w:t>“seleccionar de forma objetiva”</w:t>
      </w:r>
      <w:r w:rsidRPr="00877011">
        <w:rPr>
          <w:rFonts w:ascii="Verdana" w:eastAsia="Calibri" w:hAnsi="Verdana" w:cs="Arial"/>
          <w:color w:val="000000"/>
          <w:lang w:val="es-MX" w:eastAsia="es-ES_tradnl"/>
        </w:rPr>
        <w:t xml:space="preserve">, contenida en la disposición </w:t>
      </w:r>
      <w:r w:rsidRPr="00877011">
        <w:rPr>
          <w:rFonts w:ascii="Verdana" w:eastAsia="Calibri" w:hAnsi="Verdana" w:cs="Arial"/>
          <w:i/>
          <w:iCs/>
          <w:color w:val="000000"/>
          <w:lang w:val="es-MX" w:eastAsia="es-ES_tradnl"/>
        </w:rPr>
        <w:t xml:space="preserve">sub examine </w:t>
      </w:r>
      <w:r w:rsidRPr="00877011">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877011">
        <w:rPr>
          <w:rFonts w:ascii="Verdana" w:eastAsia="Calibri" w:hAnsi="Verdana" w:cs="Arial"/>
          <w:lang w:val="es-ES_tradnl" w:eastAsia="es-ES_tradnl"/>
        </w:rPr>
        <w:t xml:space="preserve">la contratación con Entidades </w:t>
      </w:r>
      <w:r w:rsidRPr="00877011">
        <w:rPr>
          <w:rFonts w:ascii="Verdana" w:eastAsia="Calibri" w:hAnsi="Verdana" w:cs="Arial"/>
          <w:lang w:val="es-ES_tradnl" w:eastAsia="es-ES_tradnl"/>
        </w:rPr>
        <w:lastRenderedPageBreak/>
        <w:t>Privadas Sin Ánimo de Lucro y de Reconocida Idoneidad</w:t>
      </w:r>
      <w:r w:rsidRPr="00877011">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717F06EE" w14:textId="77777777" w:rsidR="00EA1385" w:rsidRPr="00877011" w:rsidRDefault="00EA1385" w:rsidP="00EA1385">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Arial" w:hAnsi="Verdana" w:cs="Arial"/>
          <w:color w:val="000000"/>
          <w:lang w:val="es-ES"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877011">
        <w:rPr>
          <w:rFonts w:ascii="Verdana" w:eastAsia="Calibri" w:hAnsi="Verdana" w:cs="Arial"/>
          <w:color w:val="000000"/>
          <w:lang w:val="es-MX" w:eastAsia="es-ES_tradnl"/>
        </w:rPr>
        <w:t>.</w:t>
      </w:r>
      <w:bookmarkStart w:id="12" w:name="_Hlk173070229"/>
    </w:p>
    <w:bookmarkEnd w:id="12"/>
    <w:p w14:paraId="3139C02A" w14:textId="77777777" w:rsidR="00EA1385" w:rsidRPr="00877011" w:rsidRDefault="00EA1385" w:rsidP="00EA1385">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
        </w:rPr>
        <w:t>Ahora bien, en relación con</w:t>
      </w:r>
      <w:r w:rsidRPr="00877011">
        <w:rPr>
          <w:rFonts w:ascii="Verdana" w:eastAsia="Calibri" w:hAnsi="Verdana" w:cs="Arial"/>
        </w:rPr>
        <w:t xml:space="preserve"> los aportes que debe comprometer la ESAL para no someter a un proceso competitivo la selección de la ESAL ha surgido el interrogante si los aportes en especie se deben tener en cuenta para el cálculo del treinta por ciento (30%) del aporte. </w:t>
      </w:r>
      <w:r w:rsidRPr="00877011">
        <w:rPr>
          <w:rFonts w:ascii="Verdana" w:eastAsia="Calibri" w:hAnsi="Verdana" w:cs="Arial"/>
          <w:lang w:val="es-ES"/>
        </w:rPr>
        <w:t xml:space="preserve">Sobre este aspecto,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de los recursos </w:t>
      </w:r>
      <w:r w:rsidRPr="00877011">
        <w:rPr>
          <w:rFonts w:ascii="Verdana" w:eastAsia="Calibri" w:hAnsi="Verdana" w:cs="Arial"/>
          <w:i/>
          <w:iCs/>
          <w:lang w:val="es-ES"/>
        </w:rPr>
        <w:t xml:space="preserve">en dinero </w:t>
      </w:r>
      <w:r w:rsidRPr="00877011">
        <w:rPr>
          <w:rFonts w:ascii="Verdana" w:eastAsia="Calibri" w:hAnsi="Verdana" w:cs="Arial"/>
          <w:lang w:val="es-ES"/>
        </w:rPr>
        <w:t xml:space="preserve">requeridos para la ejecución del proyecto, el cual corresponderá al valor por el que se celebrará el </w:t>
      </w:r>
      <w:r w:rsidRPr="00877011">
        <w:rPr>
          <w:rFonts w:ascii="Verdana" w:eastAsia="Calibri" w:hAnsi="Verdana" w:cs="Arial"/>
          <w:i/>
          <w:iCs/>
          <w:lang w:val="es-ES"/>
        </w:rPr>
        <w:t>convenio de asociación”</w:t>
      </w:r>
      <w:r w:rsidRPr="00877011">
        <w:rPr>
          <w:rFonts w:ascii="Verdana" w:eastAsia="Calibri" w:hAnsi="Verdana" w:cs="Arial"/>
          <w:i/>
          <w:iCs/>
          <w:vertAlign w:val="superscript"/>
          <w:lang w:val="es-ES"/>
        </w:rPr>
        <w:footnoteReference w:id="8"/>
      </w:r>
      <w:r w:rsidRPr="00877011">
        <w:rPr>
          <w:rFonts w:ascii="Verdana" w:eastAsia="Calibri" w:hAnsi="Verdana" w:cs="Arial"/>
          <w:lang w:val="es-ES"/>
        </w:rPr>
        <w:t xml:space="preserve">. </w:t>
      </w:r>
    </w:p>
    <w:p w14:paraId="0F8DCDB9" w14:textId="77777777" w:rsidR="00EA1385" w:rsidRPr="00877011" w:rsidRDefault="00EA1385" w:rsidP="00EA1385">
      <w:pPr>
        <w:spacing w:after="120" w:line="276" w:lineRule="auto"/>
        <w:ind w:firstLine="709"/>
        <w:jc w:val="both"/>
        <w:textAlignment w:val="baseline"/>
        <w:rPr>
          <w:rFonts w:ascii="Verdana" w:eastAsia="Calibri" w:hAnsi="Verdana" w:cs="Arial"/>
          <w:lang w:val="es-ES"/>
        </w:rPr>
      </w:pPr>
      <w:r w:rsidRPr="00877011">
        <w:rPr>
          <w:rFonts w:ascii="Verdana" w:eastAsia="Calibri" w:hAnsi="Verdana" w:cs="Arial"/>
          <w:lang w:val="es-ES"/>
        </w:rPr>
        <w:t xml:space="preserve">En ese sentido, “si, por ejemplo, para desarrollar un proyecto conjunto con una ESAL se requiere un total de $100.000.000, para poder celebrar el convenio de asociación sin proceso competitivo, la Entidad Estatal deberá asociarse con una ESAL dispuesta a aportar por lo menos una suma de $30.000.000, equivalente al treinta por ciento (30%) del que sería el valor del eventual convenio. De esta manera, los eventuales aportes en especie no podrán </w:t>
      </w:r>
      <w:r w:rsidRPr="00877011">
        <w:rPr>
          <w:rFonts w:ascii="Verdana" w:eastAsia="Calibri" w:hAnsi="Verdana" w:cs="Arial"/>
          <w:lang w:val="es-ES"/>
        </w:rPr>
        <w:lastRenderedPageBreak/>
        <w:t>tenerse en cuenta para calcular el referido porcentaje, el cual debe ser en dinero”</w:t>
      </w:r>
      <w:r w:rsidRPr="00877011">
        <w:rPr>
          <w:rFonts w:ascii="Verdana" w:eastAsia="Calibri" w:hAnsi="Verdana" w:cs="Arial"/>
          <w:i/>
          <w:iCs/>
          <w:vertAlign w:val="superscript"/>
          <w:lang w:val="es-ES"/>
        </w:rPr>
        <w:footnoteReference w:id="9"/>
      </w:r>
      <w:r w:rsidRPr="00877011">
        <w:rPr>
          <w:rFonts w:ascii="Verdana" w:eastAsia="Calibri" w:hAnsi="Verdana" w:cs="Arial"/>
          <w:lang w:val="es-ES"/>
        </w:rPr>
        <w:t xml:space="preserve">. </w:t>
      </w:r>
    </w:p>
    <w:p w14:paraId="4E19EA1A" w14:textId="77777777" w:rsidR="00EA1385" w:rsidRPr="00877011" w:rsidRDefault="00EA1385" w:rsidP="00EA1385">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lang w:val="es-ES"/>
        </w:rPr>
        <w:t xml:space="preserve">En </w:t>
      </w:r>
      <w:r w:rsidRPr="00877011">
        <w:rPr>
          <w:rFonts w:ascii="Verdana" w:eastAsia="Calibri" w:hAnsi="Verdana" w:cs="Arial"/>
          <w:color w:val="000000" w:themeColor="text1"/>
          <w:lang w:val="es-ES"/>
        </w:rPr>
        <w:t xml:space="preserve">todo caso, se precisa que no existe una metodología específica y única para calcular el aporte del </w:t>
      </w:r>
      <w:r>
        <w:rPr>
          <w:rFonts w:ascii="Verdana" w:eastAsia="Calibri" w:hAnsi="Verdana" w:cs="Arial"/>
          <w:color w:val="000000" w:themeColor="text1"/>
          <w:lang w:val="es-ES"/>
        </w:rPr>
        <w:t>treinta por ciento (</w:t>
      </w:r>
      <w:r w:rsidRPr="00877011">
        <w:rPr>
          <w:rFonts w:ascii="Verdana" w:eastAsia="Calibri" w:hAnsi="Verdana" w:cs="Arial"/>
          <w:color w:val="000000" w:themeColor="text1"/>
          <w:lang w:val="es-ES"/>
        </w:rPr>
        <w:t>30%</w:t>
      </w:r>
      <w:r>
        <w:rPr>
          <w:rFonts w:ascii="Verdana" w:eastAsia="Calibri" w:hAnsi="Verdana" w:cs="Arial"/>
          <w:color w:val="000000" w:themeColor="text1"/>
          <w:lang w:val="es-ES"/>
        </w:rPr>
        <w:t>)</w:t>
      </w:r>
      <w:r w:rsidRPr="00877011">
        <w:rPr>
          <w:rFonts w:ascii="Verdana" w:eastAsia="Calibri" w:hAnsi="Verdana" w:cs="Arial"/>
          <w:color w:val="000000" w:themeColor="text1"/>
          <w:lang w:val="es-ES"/>
        </w:rPr>
        <w:t xml:space="preserve"> establecido en el artículo 5 del Decreto 092 de 2017. En consecuencia, la entidad estatal tiene plena autonomía para determinar la fórmula o metodología que considere más adecuada y conveniente para este fin. Sin embargo, para efectos de la estructuración presupuestal del convenio, es fundamental que la entidad tenga en cuenta los resultados del análisis del sector, así como los demás aspectos inherentes a la planeación, que permitan determinar de manera concreta el valor de ejecución del convenio, asegurando así la viabilidad y eficiencia del mismo en el marco de los recursos disponibles por la entidad.</w:t>
      </w:r>
    </w:p>
    <w:p w14:paraId="5336D49D" w14:textId="77777777" w:rsidR="00EA1385" w:rsidRPr="00877011" w:rsidRDefault="00EA1385" w:rsidP="00EA1385">
      <w:pPr>
        <w:spacing w:after="120" w:line="276" w:lineRule="auto"/>
        <w:ind w:firstLine="709"/>
        <w:jc w:val="both"/>
        <w:rPr>
          <w:rFonts w:ascii="Verdana" w:eastAsia="Calibri" w:hAnsi="Verdana" w:cs="Arial"/>
          <w:lang w:val="es-ES_tradnl" w:eastAsia="es-ES_tradnl"/>
        </w:rPr>
      </w:pPr>
      <w:r w:rsidRPr="00877011">
        <w:rPr>
          <w:rFonts w:ascii="Verdana" w:eastAsia="Calibri" w:hAnsi="Verdana" w:cs="Arial"/>
          <w:color w:val="000000" w:themeColor="text1"/>
          <w:lang w:val="es-ES"/>
        </w:rPr>
        <w:t>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no se aplicará la regla que determina que si el aporte de recursos en dinero es igual o superior a un treinta por ciento (30%) del valor</w:t>
      </w:r>
      <w:r w:rsidRPr="00877011">
        <w:rPr>
          <w:rFonts w:ascii="Verdana" w:eastAsia="Calibri" w:hAnsi="Verdana" w:cs="Arial"/>
          <w:lang w:val="es-ES" w:eastAsia="es-ES"/>
        </w:rPr>
        <w:t xml:space="preserve"> del convenio, este se podrá celebrar de forma directa, por lo que deberá adelantarse un proceso competitivo. No obstante, </w:t>
      </w:r>
      <w:r w:rsidRPr="00877011">
        <w:rPr>
          <w:rFonts w:ascii="Verdana" w:eastAsia="Calibri" w:hAnsi="Verdana" w:cs="Arial"/>
          <w:lang w:val="es-ES_tradnl" w:eastAsia="es-ES_tradnl"/>
        </w:rPr>
        <w:t xml:space="preserve">debe insistirse </w:t>
      </w:r>
      <w:r w:rsidRPr="00877011">
        <w:rPr>
          <w:rFonts w:ascii="Verdana" w:eastAsia="Calibri" w:hAnsi="Verdana" w:cs="Arial"/>
          <w:lang w:val="es-ES" w:eastAsia="es-ES"/>
        </w:rPr>
        <w:t>que esto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w:t>
      </w:r>
      <w:r w:rsidRPr="00877011">
        <w:rPr>
          <w:rFonts w:ascii="Verdana" w:eastAsia="Calibri" w:hAnsi="Verdana" w:cs="Arial"/>
          <w:i/>
          <w:iCs/>
          <w:vertAlign w:val="superscript"/>
          <w:lang w:val="es-ES"/>
        </w:rPr>
        <w:footnoteReference w:id="10"/>
      </w:r>
      <w:r w:rsidRPr="00877011">
        <w:rPr>
          <w:rFonts w:ascii="Verdana" w:eastAsia="Calibri" w:hAnsi="Verdana" w:cs="Arial"/>
          <w:lang w:val="es-ES" w:eastAsia="es-ES"/>
        </w:rPr>
        <w:t xml:space="preserve">. </w:t>
      </w:r>
    </w:p>
    <w:p w14:paraId="79877DD2" w14:textId="77777777" w:rsidR="00EA1385" w:rsidRPr="00877011" w:rsidRDefault="00EA1385" w:rsidP="00EA1385">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 xml:space="preserve">De este modo, en los convenios de asociación la ESAL debe aportar un treinta por ciento (30%) total del convenio en dinero para que no proceda el proceso competitivo, el cual podrá tener origen en recursos propios o en recursos de cooperación internacional cuya destinación permita la ejecución y el logro de los objetivos comunes del convenio celebrado con la Entidad Estatal asociada, </w:t>
      </w:r>
      <w:r w:rsidRPr="00877011">
        <w:rPr>
          <w:rFonts w:ascii="Verdana" w:eastAsia="Calibri" w:hAnsi="Verdana" w:cs="Arial"/>
          <w:lang w:val="es-ES_tradnl" w:eastAsia="es-ES_tradnl"/>
        </w:rPr>
        <w:lastRenderedPageBreak/>
        <w:t>sin perjuicio de que haya otros aportes en especie que se pacten para la ejecución de las actividades y finalidades de este</w:t>
      </w:r>
      <w:r w:rsidRPr="00877011">
        <w:rPr>
          <w:rFonts w:ascii="Verdana" w:eastAsia="Calibri" w:hAnsi="Verdana" w:cs="Arial"/>
          <w:i/>
          <w:iCs/>
          <w:vertAlign w:val="superscript"/>
          <w:lang w:val="es-ES"/>
        </w:rPr>
        <w:footnoteReference w:id="11"/>
      </w:r>
      <w:r w:rsidRPr="00877011">
        <w:rPr>
          <w:rFonts w:ascii="Verdana" w:eastAsia="Calibri" w:hAnsi="Verdana" w:cs="Arial"/>
          <w:lang w:val="es-ES_tradnl" w:eastAsia="es-ES_tradnl"/>
        </w:rPr>
        <w:t xml:space="preserve">.  </w:t>
      </w:r>
    </w:p>
    <w:p w14:paraId="5DF2EBFB"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Ahora bien, en atención al problema jurídico planteado es de precisar que, </w:t>
      </w:r>
      <w:r w:rsidRPr="00D41BC8">
        <w:rPr>
          <w:rFonts w:ascii="Verdana" w:eastAsia="Verdana" w:hAnsi="Verdana" w:cs="Verdana"/>
        </w:rPr>
        <w:t>respecto de la determinación de la base para calcular dicho porcentaje, el citado Concepto C-269 de</w:t>
      </w:r>
      <w:r>
        <w:rPr>
          <w:rFonts w:ascii="Verdana" w:eastAsia="Verdana" w:hAnsi="Verdana" w:cs="Verdana"/>
        </w:rPr>
        <w:t>l 07 de abril de</w:t>
      </w:r>
      <w:r w:rsidRPr="00D41BC8">
        <w:rPr>
          <w:rFonts w:ascii="Verdana" w:eastAsia="Verdana" w:hAnsi="Verdana" w:cs="Verdana"/>
        </w:rPr>
        <w:t xml:space="preserve"> 2025 señaló expresamente:</w:t>
      </w:r>
    </w:p>
    <w:p w14:paraId="4B53DE6A"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El treinta por ciento (30 %) señalado en el artículo 5 del Decreto 092 de 2017, que debe aportar la Entidad Sin Ánimo de Lucro – en adelante ESAL – a efectos de poder celebrar el convenio sin acudir a un proceso competitivo, debe calcularse respecto del monto total de los recursos en dinero requeridos para la ejecución proyecto, el cual corresponderá al valor por el que se celebrará el convenio de asociación. De esta manera, los eventuales aportes en especie no podrán tenerse en cuenta para calcular el referido porcentaje, el cual debe ser en dinero</w:t>
      </w:r>
      <w:r>
        <w:rPr>
          <w:rFonts w:ascii="Verdana" w:eastAsia="Verdana" w:hAnsi="Verdana" w:cs="Verdana"/>
        </w:rPr>
        <w:t>”</w:t>
      </w:r>
      <w:r w:rsidRPr="00D41BC8">
        <w:rPr>
          <w:rFonts w:ascii="Verdana" w:eastAsia="Verdana" w:hAnsi="Verdana" w:cs="Verdana"/>
        </w:rPr>
        <w:t>.</w:t>
      </w:r>
    </w:p>
    <w:p w14:paraId="6B88675D"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A partir de esta consideración, la Agencia explicó que, si para desarrollar un proyecto conjunto se requiere un total de cien millones de pesos ($100.000.000), la ESAL deberá comprometer, como mínimo, treinta millones de pesos ($30.000.000) en dinero para que resulte procedente celebrar el convenio sin adelantar un proceso competitivo.</w:t>
      </w:r>
    </w:p>
    <w:p w14:paraId="6AF25956"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De esta manera, la base de cálculo del treinta por ciento (30 %) no corresponde exclusivamente al aporte de la entidad estatal, sino al valor total de los recursos en dinero requeridos para ejecutar el proyecto y que conformarán el convenio de asociación. Por consiguiente, el porcentaje debe calcularse sobre el valor total del convenio, entendido para estos efectos como la suma de los recursos dinerarios comprometidos por las partes.</w:t>
      </w:r>
    </w:p>
    <w:p w14:paraId="6E5A3080"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 xml:space="preserve">En relación con la metodología para determinar dicho porcentaje, Colombia Compra Eficiente indicó en el mismo concepto que no existe una fórmula específica y única para calcular el aporte mínimo del treinta por ciento (30 %). En consecuencia, la entidad estatal cuenta con autonomía para establecer la fórmula o metodología que considere más adecuada, atendiendo las particularidades del proyecto. Sin embargo, para estructurar presupuestalmente el convenio deberá tener en cuenta los resultados del análisis </w:t>
      </w:r>
      <w:r w:rsidRPr="00D41BC8">
        <w:rPr>
          <w:rFonts w:ascii="Verdana" w:eastAsia="Verdana" w:hAnsi="Verdana" w:cs="Verdana"/>
        </w:rPr>
        <w:lastRenderedPageBreak/>
        <w:t>del sector y los demás elementos propios de la planeación contractual, de manera que pueda determinar concretamente el valor de ejecución del convenio y garantizar su viabilidad y eficiencia, conforme a los recursos disponibles.</w:t>
      </w:r>
    </w:p>
    <w:p w14:paraId="15038CDF"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cuanto a la naturaleza de los aportes, debe distinguirse entre aquellos que pueden integrar el convenio de asociación y los que son computables para acreditar la condición establecida en el artículo 5 del Decreto 092 de 2017. En efecto, aunque en el marco de la asociación las partes pueden comprometer diferentes tipos de contribuciones para desarrollar las actividades conjuntas, la excepción al proceso competitivo exige que el aporte de la ESAL corresponda a recursos en dinero. Por tanto, los bienes, servicios, personal, equipos, infraestructura u otros aportes en especie pueden formar parte de la estructura del convenio, siempre que se encuentren justificados y valorados, pero no pueden contabilizarse para acreditar el porcentaje mínimo exigido por la disposición.</w:t>
      </w:r>
    </w:p>
    <w:p w14:paraId="44400FEB"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Sobre este aspecto, el Concepto C-269 de 2025 también aclaró que el artículo 5 del Decreto 092 de 2017 no prohíbe celebrar convenios de asociación en los que la ESAL aporte menos del treinta por ciento (30 %) o realice contribuciones en especie. Lo que establece la norma es que, en tales circunstancias, la entidad estatal debe adelantar un proceso competitivo para seleccionar a la ESAL con la cual celebrará el respectivo convenio.</w:t>
      </w:r>
    </w:p>
    <w:p w14:paraId="68AF7A18"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Adicionalmente, la Agencia precisó que, por regla general, la selección de la ESAL debe estar sometida a competencia, salvo que una de ellas manifieste su compromiso de aportar recursos en dinero por un valor igual o superior al treinta por ciento (30 %) del valor total del convenio, siempre que no existan otras ESAL que ofrezcan aportes iguales o superiores a dicho porcentaje. Si concurren varias organizaciones en esas condiciones, la entidad deberá seleccionar objetivamente a aquella con la cual celebrará el convenio.</w:t>
      </w:r>
    </w:p>
    <w:p w14:paraId="2EEBCEC0"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 xml:space="preserve">En este último evento, la expresión «seleccionar de forma objetiva», contenida en el artículo 5 del Decreto 092 de 2017, no supone una remisión automática a las modalidades de selección previstas en las Leyes 80 de 1993 y 1150 de 2007. Se refiere, más bien, al deber de la entidad estatal de diseñar herramientas que permitan comparar objetivamente las propuestas de las ESAL y determinar cuál ofrece las mejores condiciones para alcanzar los resultados esperados con el convenio de asociación. Para ello, los criterios de selección deberán definirse en función de los objetivos que se pretenden desarrollar </w:t>
      </w:r>
      <w:r w:rsidRPr="00D41BC8">
        <w:rPr>
          <w:rFonts w:ascii="Verdana" w:eastAsia="Verdana" w:hAnsi="Verdana" w:cs="Verdana"/>
        </w:rPr>
        <w:lastRenderedPageBreak/>
        <w:t>conjuntamente. Sin perjuicio de lo anterior, la entidad conserva la posibilidad de acudir a los procedimientos de selección previstos en el Estatuto General de Contratación de la Administración Pública o al trámite regulado en el inciso segundo del artículo 2 del Decreto 092 de 2017.</w:t>
      </w:r>
    </w:p>
    <w:p w14:paraId="27676209"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En ese orden, la convocatoria pública que adelante la entidad estatal debe permitir identificar las ESAL interesadas en participar en el proyecto y verificar si alguna está dispuesta a comprometer recursos en dinero por una proporción igual o superior al treinta por ciento (30 %) del valor total del convenio. Para tal efecto, resulta necesario que la entidad informe, como mínimo, el objeto y alcance del proyecto, las actividades que se desarrollarán conjuntamente, el presupuesto estimado, los recursos que aportará la entidad estatal, la metodología empleada para determinar el valor total del convenio, el porcentaje mínimo exigido a la ESAL, las condiciones para acreditar el compromiso de los recursos en dinero y los plazos y medios para presentar las manifestaciones de interés.</w:t>
      </w:r>
    </w:p>
    <w:p w14:paraId="4428B548"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w:t>
      </w:r>
      <w:r w:rsidRPr="00D41BC8">
        <w:rPr>
          <w:rFonts w:ascii="Verdana" w:eastAsia="Verdana" w:hAnsi="Verdana" w:cs="Verdana"/>
        </w:rPr>
        <w:t>De igual forma, cuando se contemple la posibilidad de recibir aportes en especie, la entidad deberá establecer las condiciones para su identificación, descripción y valoración, diferenciándolos expresamente de los recursos dinerarios que se tendrán en cuenta para verificar el cumplimiento del porcentaje mínimo. Asimismo, deberá indicar las reglas de comparación y selección que aplicará si varias ESAL manifiestan su intención de aportar recursos iguales o superiores al treinta por ciento (30 %).</w:t>
      </w:r>
    </w:p>
    <w:p w14:paraId="68BF65F8" w14:textId="77777777" w:rsidR="00EA1385" w:rsidRPr="00D41BC8" w:rsidRDefault="00EA1385" w:rsidP="00EA1385">
      <w:pPr>
        <w:spacing w:after="120" w:line="276" w:lineRule="auto"/>
        <w:jc w:val="both"/>
        <w:rPr>
          <w:rFonts w:ascii="Verdana" w:eastAsia="Verdana" w:hAnsi="Verdana" w:cs="Verdana"/>
        </w:rPr>
      </w:pPr>
      <w:r>
        <w:rPr>
          <w:rFonts w:ascii="Verdana" w:eastAsia="Verdana" w:hAnsi="Verdana" w:cs="Verdana"/>
        </w:rPr>
        <w:t xml:space="preserve">         Así las cosas</w:t>
      </w:r>
      <w:r w:rsidRPr="00D41BC8">
        <w:rPr>
          <w:rFonts w:ascii="Verdana" w:eastAsia="Verdana" w:hAnsi="Verdana" w:cs="Verdana"/>
        </w:rPr>
        <w:t>, se recomienda consultar la Guía para la contratación con entidades privadas sin ánimo de lucro y de reconocida idoneidad, expedida por Colombia Compra Eficiente, como instrumento de orientación para la estructuración de los convenios de asociación, la determinación de los aportes de las partes y la aplicación de las reglas previstas en el Decreto 092 de 2017.</w:t>
      </w:r>
    </w:p>
    <w:p w14:paraId="11B7BAA1" w14:textId="77777777" w:rsidR="00EA1385" w:rsidRDefault="00EA1385" w:rsidP="00EA1385">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507F7CAB" w14:textId="77777777" w:rsidR="00EA1385" w:rsidRPr="00CC5B5E" w:rsidRDefault="00EA1385" w:rsidP="00EA1385">
      <w:pPr>
        <w:spacing w:after="0" w:line="276" w:lineRule="auto"/>
        <w:ind w:firstLine="567"/>
        <w:jc w:val="both"/>
        <w:rPr>
          <w:rFonts w:ascii="Verdana" w:hAnsi="Verdana" w:cs="Arial"/>
          <w:bCs/>
          <w:szCs w:val="24"/>
          <w:lang w:val="es-ES_tradnl" w:eastAsia="es-ES_tradnl"/>
        </w:rPr>
      </w:pPr>
      <w:r w:rsidRPr="00276BAB">
        <w:rPr>
          <w:rFonts w:ascii="Verdana" w:eastAsia="Calibri" w:hAnsi="Verdana" w:cs="Arial"/>
          <w:bCs/>
          <w:color w:val="000000"/>
          <w:kern w:val="2"/>
          <w14:ligatures w14:val="standardContextual"/>
        </w:rPr>
        <w:lastRenderedPageBreak/>
        <w:t>Al margen de la explicación precedente debe advertirse que el análisis requerido</w:t>
      </w:r>
      <w:r w:rsidRPr="00BA2580">
        <w:rPr>
          <w:rFonts w:ascii="Verdana" w:eastAsia="Calibri" w:hAnsi="Verdana" w:cs="Arial"/>
          <w:bCs/>
          <w:color w:val="000000"/>
          <w:kern w:val="2"/>
          <w14:ligatures w14:val="standardContextual"/>
        </w:rPr>
        <w:t xml:space="preserve">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5DE7F37" w14:textId="77777777" w:rsidR="00EA1385" w:rsidRDefault="00EA1385" w:rsidP="00EA1385">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03C34BAF" w14:textId="77777777" w:rsidR="00EA1385" w:rsidRPr="0015699B" w:rsidRDefault="00EA1385" w:rsidP="00EA1385">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763B1EDC" w14:textId="77777777" w:rsidR="00EA1385" w:rsidRPr="0015699B" w:rsidRDefault="00EA1385" w:rsidP="00EA1385">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551BD728" w14:textId="77777777" w:rsidR="00EA1385" w:rsidRPr="0015699B" w:rsidRDefault="00EA1385" w:rsidP="00EA1385">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EA1385" w14:paraId="126A2178" w14:textId="77777777" w:rsidTr="00927AA4">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2819EF7A" w14:textId="77777777" w:rsidR="00EA1385" w:rsidRPr="0038369F"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38369F">
              <w:rPr>
                <w:rFonts w:ascii="Verdana" w:hAnsi="Verdana" w:cs="Arial"/>
                <w:color w:val="000000" w:themeColor="text1"/>
              </w:rPr>
              <w:t>Constitución Política de 1991, artículos 150 y 355.</w:t>
            </w:r>
          </w:p>
          <w:p w14:paraId="0604DBEA" w14:textId="77777777" w:rsidR="00EA1385" w:rsidRPr="008E2432"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8E2432">
              <w:rPr>
                <w:rFonts w:ascii="Verdana" w:hAnsi="Verdana" w:cs="Arial"/>
                <w:color w:val="000000" w:themeColor="text1"/>
              </w:rPr>
              <w:t xml:space="preserve">Código Civil, artículo 1495.  </w:t>
            </w:r>
          </w:p>
          <w:p w14:paraId="03754327" w14:textId="77777777" w:rsidR="00EA1385" w:rsidRPr="0038369F"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38369F">
              <w:rPr>
                <w:rFonts w:ascii="Verdana" w:hAnsi="Verdana" w:cs="Arial"/>
                <w:color w:val="000000" w:themeColor="text1"/>
              </w:rPr>
              <w:t xml:space="preserve">Ley 80 de 1993, artículos 3, 4, 5, </w:t>
            </w:r>
            <w:r>
              <w:rPr>
                <w:rFonts w:ascii="Verdana" w:hAnsi="Verdana" w:cs="Arial"/>
                <w:color w:val="000000" w:themeColor="text1"/>
              </w:rPr>
              <w:t xml:space="preserve">6, </w:t>
            </w:r>
            <w:r w:rsidRPr="0038369F">
              <w:rPr>
                <w:rFonts w:ascii="Verdana" w:hAnsi="Verdana" w:cs="Arial"/>
                <w:color w:val="000000" w:themeColor="text1"/>
              </w:rPr>
              <w:t>7, 8, 13, 14, 23, 24, 25, 26, 32, 40, 41, 44, 50 y 60.</w:t>
            </w:r>
          </w:p>
          <w:p w14:paraId="449DE9E9" w14:textId="77777777" w:rsidR="00EA1385" w:rsidRPr="0038369F"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38369F">
              <w:rPr>
                <w:rFonts w:ascii="Verdana" w:hAnsi="Verdana" w:cs="Arial"/>
                <w:color w:val="000000" w:themeColor="text1"/>
              </w:rPr>
              <w:t>Ley 489 de 1998, artículo 96.</w:t>
            </w:r>
          </w:p>
          <w:p w14:paraId="79237911" w14:textId="77777777" w:rsidR="00EA1385" w:rsidRPr="0038369F"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38369F">
              <w:rPr>
                <w:rFonts w:ascii="Verdana" w:hAnsi="Verdana" w:cs="Arial"/>
                <w:color w:val="000000" w:themeColor="text1"/>
              </w:rPr>
              <w:t>Ley 1150 de 2007, artículos 13 y 17.</w:t>
            </w:r>
          </w:p>
          <w:p w14:paraId="60E870D1" w14:textId="77777777" w:rsidR="00EA1385" w:rsidRPr="001165E2" w:rsidRDefault="00EA1385" w:rsidP="00927AA4">
            <w:pPr>
              <w:numPr>
                <w:ilvl w:val="0"/>
                <w:numId w:val="17"/>
              </w:numPr>
              <w:spacing w:line="276" w:lineRule="auto"/>
              <w:contextualSpacing/>
              <w:jc w:val="both"/>
              <w:rPr>
                <w:rFonts w:ascii="Verdana" w:hAnsi="Verdana" w:cs="Arial"/>
                <w:lang w:val="es-ES"/>
              </w:rPr>
            </w:pPr>
            <w:r w:rsidRPr="000E39A3">
              <w:rPr>
                <w:rFonts w:ascii="Verdana" w:hAnsi="Verdana" w:cs="Arial"/>
                <w:lang w:val="es-ES"/>
              </w:rPr>
              <w:t>Ley 2294 de 2023</w:t>
            </w:r>
            <w:r>
              <w:rPr>
                <w:rFonts w:ascii="Verdana" w:hAnsi="Verdana" w:cs="Arial"/>
                <w:lang w:val="es-ES"/>
              </w:rPr>
              <w:t>,</w:t>
            </w:r>
            <w:r w:rsidRPr="000E39A3">
              <w:rPr>
                <w:rFonts w:ascii="Verdana" w:hAnsi="Verdana" w:cs="Arial"/>
                <w:lang w:val="es-ES"/>
              </w:rPr>
              <w:t xml:space="preserve"> Artículo 100</w:t>
            </w:r>
            <w:r>
              <w:rPr>
                <w:rFonts w:ascii="Verdana" w:hAnsi="Verdana" w:cs="Arial"/>
                <w:lang w:val="es-ES"/>
              </w:rPr>
              <w:t xml:space="preserve"> y 101</w:t>
            </w:r>
            <w:r w:rsidRPr="000E39A3">
              <w:rPr>
                <w:rFonts w:ascii="Verdana" w:hAnsi="Verdana" w:cs="Arial"/>
                <w:lang w:val="es-ES"/>
              </w:rPr>
              <w:t xml:space="preserve">. </w:t>
            </w:r>
          </w:p>
          <w:p w14:paraId="503CF4A4" w14:textId="77777777" w:rsidR="00EA1385"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38369F">
              <w:rPr>
                <w:rFonts w:ascii="Verdana" w:hAnsi="Verdana" w:cs="Arial"/>
                <w:color w:val="000000" w:themeColor="text1"/>
              </w:rPr>
              <w:t xml:space="preserve">Decreto 092 de 2017, artículos 2, 3, 5, 6, 7, 8, 9 y 10. </w:t>
            </w:r>
          </w:p>
          <w:p w14:paraId="4D8214F0" w14:textId="77777777" w:rsidR="00EA1385" w:rsidRPr="00014488" w:rsidRDefault="00EA1385" w:rsidP="00927AA4">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014488">
              <w:rPr>
                <w:rFonts w:ascii="Verdana" w:hAnsi="Verdana" w:cs="Arial"/>
              </w:rPr>
              <w:t>Consejo de Estado. Sentencia No. 1444 del 6 de febrero de 1987, M.P. Policarpo Castillo Dávila.</w:t>
            </w:r>
          </w:p>
        </w:tc>
      </w:tr>
    </w:tbl>
    <w:p w14:paraId="0C92A9C0" w14:textId="77777777" w:rsidR="00EA1385" w:rsidRPr="0015699B" w:rsidRDefault="00EA1385" w:rsidP="00EA1385">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7186E438" w14:textId="77777777" w:rsidR="00EA1385" w:rsidRPr="003D5882" w:rsidRDefault="00EA1385" w:rsidP="00EA1385">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5EEE1E65" w14:textId="77777777" w:rsidR="00EA1385" w:rsidRPr="003D5882" w:rsidRDefault="00EA1385" w:rsidP="00EA1385">
      <w:pPr>
        <w:pStyle w:val="Prrafodelista"/>
        <w:spacing w:before="1" w:after="0" w:line="240" w:lineRule="auto"/>
        <w:jc w:val="both"/>
        <w:textAlignment w:val="baseline"/>
        <w:rPr>
          <w:rFonts w:ascii="Verdana" w:eastAsia="Verdana" w:hAnsi="Verdana" w:cs="Verdana"/>
          <w:b/>
          <w:bCs/>
          <w:lang w:val="es"/>
        </w:rPr>
      </w:pPr>
    </w:p>
    <w:p w14:paraId="7010F1D0" w14:textId="77777777" w:rsidR="00EA1385" w:rsidRPr="005510A2" w:rsidRDefault="00EA1385" w:rsidP="00EA1385">
      <w:pPr>
        <w:spacing w:after="0" w:line="276" w:lineRule="auto"/>
        <w:jc w:val="both"/>
        <w:rPr>
          <w:rStyle w:val="normaltextrun"/>
          <w:rFonts w:ascii="Verdana" w:hAnsi="Verdana" w:cs="Arial"/>
          <w:bCs/>
          <w:shd w:val="clear" w:color="auto" w:fill="FFFFFF"/>
        </w:rPr>
      </w:pPr>
      <w:r w:rsidRPr="00877011">
        <w:rPr>
          <w:rFonts w:ascii="Verdana" w:eastAsia="Calibri" w:hAnsi="Verdana" w:cs="Arial"/>
          <w:color w:val="000000" w:themeColor="text1"/>
          <w:lang w:val="es-ES_tradnl" w:eastAsia="es-ES_tradnl"/>
        </w:rPr>
        <w:t xml:space="preserve">La Agencia Nacional de Contratación Pública – Colombia Compra Eficiente analizó </w:t>
      </w:r>
      <w:r w:rsidRPr="00877011">
        <w:rPr>
          <w:rFonts w:ascii="Verdana" w:eastAsia="Calibri" w:hAnsi="Verdana" w:cs="Arial"/>
          <w:bCs/>
          <w:color w:val="000000" w:themeColor="text1"/>
          <w:lang w:val="es-ES_tradnl" w:eastAsia="es-ES_tradnl"/>
        </w:rPr>
        <w:t xml:space="preserve">el régimen de los convenios de asociación regulados en el artículo 355 de la </w:t>
      </w:r>
      <w:r w:rsidRPr="00877011">
        <w:rPr>
          <w:rFonts w:ascii="Verdana" w:eastAsia="Calibri" w:hAnsi="Verdana" w:cs="Arial"/>
          <w:bCs/>
          <w:color w:val="000000" w:themeColor="text1"/>
          <w:lang w:val="es-ES_tradnl" w:eastAsia="es-ES_tradnl"/>
        </w:rPr>
        <w:lastRenderedPageBreak/>
        <w:t>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w:t>
      </w:r>
      <w:r>
        <w:rPr>
          <w:rFonts w:ascii="Verdana" w:eastAsia="Calibri" w:hAnsi="Verdana" w:cs="Arial"/>
          <w:bCs/>
          <w:color w:val="000000" w:themeColor="text1"/>
          <w:lang w:val="es-ES_tradnl" w:eastAsia="es-ES_tradnl"/>
        </w:rPr>
        <w:t xml:space="preserve">, </w:t>
      </w:r>
      <w:r w:rsidRPr="00377ED6">
        <w:rPr>
          <w:rFonts w:ascii="Verdana" w:hAnsi="Verdana" w:cs="Arial"/>
          <w:shd w:val="clear" w:color="auto" w:fill="FFFFFF"/>
          <w:lang w:val="es-ES"/>
        </w:rPr>
        <w:t>C-351 del 6 de octubre de 2023, C-054 del 24 de abril de 2024, C-064 del 24 de abril de 2024, C-080 del 7 de mayo de 2024</w:t>
      </w:r>
      <w:r>
        <w:rPr>
          <w:rFonts w:ascii="Verdana" w:hAnsi="Verdana" w:cs="Arial"/>
          <w:shd w:val="clear" w:color="auto" w:fill="FFFFFF"/>
          <w:lang w:val="es-ES"/>
        </w:rPr>
        <w:t>,</w:t>
      </w:r>
      <w:r w:rsidRPr="00377ED6">
        <w:rPr>
          <w:rFonts w:ascii="Verdana" w:hAnsi="Verdana" w:cs="Arial"/>
          <w:shd w:val="clear" w:color="auto" w:fill="FFFFFF"/>
          <w:lang w:val="es-ES"/>
        </w:rPr>
        <w:t xml:space="preserve"> C-281 del 29 de octubre de 2024</w:t>
      </w:r>
      <w:r>
        <w:rPr>
          <w:rFonts w:ascii="Verdana" w:hAnsi="Verdana" w:cs="Arial"/>
          <w:shd w:val="clear" w:color="auto" w:fill="FFFFFF"/>
          <w:lang w:val="es-ES"/>
        </w:rPr>
        <w:t xml:space="preserve">, C-1019 del 31 de diciembre de 2024, </w:t>
      </w:r>
      <w:r w:rsidRPr="007D5E16">
        <w:rPr>
          <w:rFonts w:ascii="Verdana" w:eastAsia="Calibri" w:hAnsi="Verdana" w:cs="Arial"/>
          <w:lang w:eastAsia="es-ES"/>
        </w:rPr>
        <w:t>C–269 del 7 de abril de 2025,</w:t>
      </w:r>
      <w:r>
        <w:rPr>
          <w:rFonts w:ascii="Verdana" w:eastAsia="Calibri" w:hAnsi="Verdana" w:cs="Arial"/>
          <w:b/>
          <w:bCs/>
          <w:lang w:eastAsia="es-ES"/>
        </w:rPr>
        <w:t xml:space="preserve"> </w:t>
      </w:r>
      <w:r>
        <w:rPr>
          <w:rFonts w:ascii="Verdana" w:hAnsi="Verdana" w:cs="Arial"/>
          <w:shd w:val="clear" w:color="auto" w:fill="FFFFFF"/>
          <w:lang w:val="es-ES"/>
        </w:rPr>
        <w:t xml:space="preserve">C-373 del  6 de mayo de 2025, C-407 del 8 de mayo de 202 y C-576 del 26 de mayo de 2025. </w:t>
      </w: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6E666F">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5519B2B2" w14:textId="77777777" w:rsidR="00EA1385" w:rsidRDefault="00EA1385" w:rsidP="00EA1385">
      <w:pPr>
        <w:spacing w:after="0" w:line="276" w:lineRule="auto"/>
        <w:jc w:val="both"/>
        <w:textAlignment w:val="baseline"/>
        <w:rPr>
          <w:rFonts w:ascii="Verdana" w:eastAsia="Verdana" w:hAnsi="Verdana" w:cs="Verdana"/>
        </w:rPr>
      </w:pPr>
    </w:p>
    <w:p w14:paraId="55E93380" w14:textId="77777777" w:rsidR="00EA1385" w:rsidRPr="00010A5F" w:rsidRDefault="00EA1385" w:rsidP="00EA1385">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3">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6E69915C" w14:textId="77777777" w:rsidR="00EA1385" w:rsidRDefault="00EA1385" w:rsidP="00EA1385">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62FA6AC9" w14:textId="77777777" w:rsidR="00EA1385" w:rsidRDefault="00EA1385" w:rsidP="00EA1385">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r w:rsidRPr="054CF0A3">
          <w:rPr>
            <w:rStyle w:val="Hipervnculo"/>
            <w:rFonts w:ascii="Verdana" w:eastAsia="Verdana" w:hAnsi="Verdana" w:cs="Verdana"/>
            <w:color w:val="000000" w:themeColor="text1"/>
          </w:rPr>
          <w:t>https://www.colombiacompra.gov.co/archivos/manual/guia-de-garantias-en-procesos-de-contratacion</w:t>
        </w:r>
      </w:hyperlink>
    </w:p>
    <w:p w14:paraId="3BDF7E4E" w14:textId="77777777" w:rsidR="00EA1385" w:rsidRDefault="00EA1385" w:rsidP="00EA1385">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lastRenderedPageBreak/>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5">
        <w:r w:rsidRPr="054CF0A3">
          <w:rPr>
            <w:rStyle w:val="Hipervnculo"/>
            <w:rFonts w:ascii="Verdana" w:eastAsia="Verdana" w:hAnsi="Verdana" w:cs="Verdana"/>
            <w:color w:val="000000" w:themeColor="text1"/>
          </w:rPr>
          <w:t>https://www.colombiacompra.gov.co/archivos/circular/circular-externa-003-de-2026</w:t>
        </w:r>
      </w:hyperlink>
    </w:p>
    <w:p w14:paraId="07FD55A6" w14:textId="77777777" w:rsidR="00EA1385" w:rsidRDefault="00EA1385" w:rsidP="00EA1385">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r w:rsidRPr="054CF0A3">
          <w:rPr>
            <w:rStyle w:val="Hipervnculo"/>
            <w:rFonts w:ascii="Verdana" w:eastAsia="Verdana" w:hAnsi="Verdana" w:cs="Verdana"/>
            <w:color w:val="000000" w:themeColor="text1"/>
          </w:rPr>
          <w:t>https://www.colombiacompra.gov.co/archivos/circular/circular-externa-002-de-2026</w:t>
        </w:r>
      </w:hyperlink>
    </w:p>
    <w:p w14:paraId="1CCB7695" w14:textId="77777777" w:rsidR="00EA1385" w:rsidRDefault="00EA1385" w:rsidP="00EA1385">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r w:rsidRPr="054CF0A3">
          <w:rPr>
            <w:rStyle w:val="Hipervnculo"/>
            <w:rFonts w:ascii="Verdana" w:eastAsia="Verdana" w:hAnsi="Verdana" w:cs="Verdana"/>
            <w:color w:val="000000" w:themeColor="text1"/>
          </w:rPr>
          <w:t>https://www.colombiacompra.gov.co/archivos/boletin/boletin-edicion-n-3-de-2026-radar-de-la-compra-publica</w:t>
        </w:r>
      </w:hyperlink>
    </w:p>
    <w:p w14:paraId="4490EB39" w14:textId="77777777" w:rsidR="00EA1385" w:rsidRPr="003D5882" w:rsidRDefault="00EA1385" w:rsidP="00EA1385">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069CD349" w14:textId="77777777" w:rsidR="00EA1385" w:rsidRPr="0015699B" w:rsidRDefault="00EA1385" w:rsidP="00EA1385">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4962485F" w14:textId="77777777" w:rsidR="00EA1385" w:rsidRPr="0015699B" w:rsidRDefault="00EA1385" w:rsidP="00EA1385">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5A7F4ED5" w14:textId="77777777" w:rsidR="00EA1385" w:rsidRPr="0015699B" w:rsidRDefault="00EA1385" w:rsidP="00EA1385">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r w:rsidRPr="40A87941">
        <w:rPr>
          <w:rFonts w:ascii="Verdana" w:eastAsia="Verdana" w:hAnsi="Verdana" w:cs="Verdana"/>
          <w:color w:val="000000" w:themeColor="text1"/>
          <w:u w:val="single"/>
          <w:lang w:val="es-ES"/>
        </w:rPr>
        <w:t>ColombiaCompraEficiente</w:t>
      </w:r>
    </w:p>
    <w:p w14:paraId="610037EA" w14:textId="77777777" w:rsidR="00EA1385" w:rsidRPr="0015699B" w:rsidRDefault="00EA1385" w:rsidP="00EA1385">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606DF37B" w14:textId="77777777" w:rsidR="00EA1385" w:rsidRPr="0015699B" w:rsidRDefault="00EA1385" w:rsidP="00EA1385">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lastRenderedPageBreak/>
        <w:t xml:space="preserve"> </w:t>
      </w:r>
    </w:p>
    <w:p w14:paraId="7522AFF7" w14:textId="77777777" w:rsidR="00EA1385" w:rsidRPr="0015699B" w:rsidRDefault="00EA1385" w:rsidP="00EA1385">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EC5815A" w14:textId="77777777" w:rsidR="00EA1385" w:rsidRPr="0015699B" w:rsidRDefault="00EA1385" w:rsidP="00EA1385">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0A0045D2" w14:textId="77777777" w:rsidR="00EA1385" w:rsidRPr="0015699B" w:rsidRDefault="00EA1385" w:rsidP="00EA1385">
      <w:pPr>
        <w:spacing w:after="0" w:line="240" w:lineRule="auto"/>
        <w:jc w:val="both"/>
        <w:textAlignment w:val="baseline"/>
      </w:pPr>
      <w:r w:rsidRPr="40A87941">
        <w:rPr>
          <w:rFonts w:ascii="Verdana" w:eastAsia="Verdana" w:hAnsi="Verdana" w:cs="Verdana"/>
          <w:color w:val="000000" w:themeColor="text1"/>
          <w:lang w:val="es"/>
        </w:rPr>
        <w:t xml:space="preserve">Atentamente, </w:t>
      </w:r>
    </w:p>
    <w:p w14:paraId="478340E3" w14:textId="77777777" w:rsidR="00EA1385" w:rsidRDefault="00EA1385" w:rsidP="00EA1385">
      <w:pPr>
        <w:spacing w:after="0" w:line="240" w:lineRule="auto"/>
        <w:jc w:val="both"/>
        <w:rPr>
          <w:noProof/>
        </w:rPr>
      </w:pPr>
    </w:p>
    <w:p w14:paraId="115D15C4" w14:textId="77777777" w:rsidR="00EA1385" w:rsidRDefault="00EA1385" w:rsidP="00EA1385">
      <w:pPr>
        <w:spacing w:after="0" w:line="240" w:lineRule="auto"/>
        <w:jc w:val="both"/>
        <w:rPr>
          <w:noProof/>
        </w:rPr>
      </w:pPr>
    </w:p>
    <w:p w14:paraId="3B18B6C0" w14:textId="5750069D" w:rsidR="00EA1385" w:rsidRDefault="00EA1385" w:rsidP="00EA1385">
      <w:pPr>
        <w:spacing w:after="0" w:line="240" w:lineRule="auto"/>
        <w:jc w:val="center"/>
        <w:rPr>
          <w:noProof/>
        </w:rPr>
      </w:pPr>
    </w:p>
    <w:p w14:paraId="3E27C695" w14:textId="331C8131" w:rsidR="00EA1385" w:rsidRDefault="000C6A83" w:rsidP="000C6A83">
      <w:pPr>
        <w:spacing w:after="0" w:line="240" w:lineRule="auto"/>
        <w:jc w:val="center"/>
        <w:rPr>
          <w:noProof/>
        </w:rPr>
      </w:pPr>
      <w:r>
        <w:rPr>
          <w:noProof/>
        </w:rPr>
        <w:drawing>
          <wp:inline distT="0" distB="0" distL="0" distR="0" wp14:anchorId="7DDB37AC" wp14:editId="25F7EBC4">
            <wp:extent cx="2847975" cy="1076325"/>
            <wp:effectExtent l="0" t="0" r="9525" b="9525"/>
            <wp:docPr id="20445252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16FA0C03" w14:textId="77777777" w:rsidR="00EA1385" w:rsidRPr="00716B04" w:rsidRDefault="00EA1385" w:rsidP="00EA1385">
      <w:pPr>
        <w:spacing w:after="0" w:line="240" w:lineRule="auto"/>
        <w:jc w:val="both"/>
        <w:rPr>
          <w:rFonts w:ascii="Verdana" w:eastAsia="Verdana" w:hAnsi="Verdana" w:cs="Verdana"/>
          <w:b/>
          <w:bCs/>
          <w:color w:val="000000" w:themeColor="text1"/>
          <w:lang w:val="es"/>
        </w:rPr>
      </w:pPr>
    </w:p>
    <w:p w14:paraId="4ED3CC74" w14:textId="77777777" w:rsidR="00EA1385" w:rsidRDefault="00EA1385" w:rsidP="00EA1385">
      <w:pPr>
        <w:spacing w:after="0" w:line="240" w:lineRule="auto"/>
        <w:ind w:left="2340"/>
        <w:jc w:val="both"/>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EA1385" w14:paraId="7260DD8C" w14:textId="77777777" w:rsidTr="00927AA4">
        <w:trPr>
          <w:trHeight w:val="307"/>
        </w:trPr>
        <w:tc>
          <w:tcPr>
            <w:tcW w:w="858" w:type="dxa"/>
            <w:tcBorders>
              <w:top w:val="nil"/>
              <w:bottom w:val="nil"/>
              <w:right w:val="nil"/>
            </w:tcBorders>
            <w:tcMar>
              <w:left w:w="108" w:type="dxa"/>
              <w:right w:w="108" w:type="dxa"/>
            </w:tcMar>
            <w:vAlign w:val="center"/>
          </w:tcPr>
          <w:p w14:paraId="2E577055" w14:textId="77777777" w:rsidR="00EA1385" w:rsidRDefault="00EA1385" w:rsidP="00927AA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6B7D3FD2" w14:textId="77777777" w:rsidR="00EA1385" w:rsidRDefault="00EA1385" w:rsidP="00927AA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3F065E6A" w14:textId="77777777" w:rsidR="00EA1385" w:rsidRDefault="00EA1385" w:rsidP="00927AA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A1385" w14:paraId="0075E487" w14:textId="77777777" w:rsidTr="00927AA4">
        <w:trPr>
          <w:trHeight w:val="321"/>
        </w:trPr>
        <w:tc>
          <w:tcPr>
            <w:tcW w:w="858" w:type="dxa"/>
            <w:tcBorders>
              <w:top w:val="nil"/>
              <w:bottom w:val="nil"/>
              <w:right w:val="nil"/>
            </w:tcBorders>
            <w:tcMar>
              <w:left w:w="108" w:type="dxa"/>
              <w:right w:w="108" w:type="dxa"/>
            </w:tcMar>
            <w:vAlign w:val="center"/>
          </w:tcPr>
          <w:p w14:paraId="09204A49" w14:textId="77777777" w:rsidR="00EA1385" w:rsidRDefault="00EA1385" w:rsidP="00927AA4">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36CE80E7" w14:textId="77777777" w:rsidR="00EA1385" w:rsidRDefault="00EA1385" w:rsidP="00927AA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Adriana Katerine López Rodríguez</w:t>
            </w:r>
          </w:p>
          <w:p w14:paraId="2B33E21B" w14:textId="77777777" w:rsidR="00EA1385" w:rsidRDefault="00EA1385" w:rsidP="00927AA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EA1385" w14:paraId="748D0FDB" w14:textId="77777777" w:rsidTr="00927AA4">
        <w:trPr>
          <w:trHeight w:val="292"/>
        </w:trPr>
        <w:tc>
          <w:tcPr>
            <w:tcW w:w="858" w:type="dxa"/>
            <w:tcBorders>
              <w:top w:val="nil"/>
              <w:bottom w:val="nil"/>
              <w:right w:val="nil"/>
            </w:tcBorders>
            <w:tcMar>
              <w:left w:w="108" w:type="dxa"/>
              <w:right w:w="108" w:type="dxa"/>
            </w:tcMar>
            <w:vAlign w:val="center"/>
          </w:tcPr>
          <w:p w14:paraId="45CCC3CB" w14:textId="77777777" w:rsidR="00EA1385" w:rsidRDefault="00EA1385" w:rsidP="00927AA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5B8017CA" w14:textId="77777777" w:rsidR="00EA1385" w:rsidRDefault="00EA1385" w:rsidP="00927AA4">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William Javier Murcia Acevedo</w:t>
            </w:r>
          </w:p>
          <w:p w14:paraId="5C1D8BE7" w14:textId="77777777" w:rsidR="00EA1385" w:rsidRDefault="00EA1385" w:rsidP="00927AA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Contratual ANCP – CCE</w:t>
            </w:r>
            <w:r>
              <w:rPr>
                <w:rFonts w:ascii="Verdana" w:eastAsia="Verdana" w:hAnsi="Verdana" w:cs="Verdana"/>
                <w:color w:val="000000" w:themeColor="text1"/>
                <w:sz w:val="16"/>
                <w:szCs w:val="16"/>
                <w:lang w:val="pt-BR"/>
              </w:rPr>
              <w:t xml:space="preserve"> (E)</w:t>
            </w:r>
          </w:p>
        </w:tc>
      </w:tr>
    </w:tbl>
    <w:p w14:paraId="62A636D3" w14:textId="77777777" w:rsidR="00EA1385" w:rsidRPr="000E1832" w:rsidRDefault="00EA1385" w:rsidP="00EA1385">
      <w:pPr>
        <w:spacing w:line="240" w:lineRule="auto"/>
        <w:jc w:val="both"/>
        <w:textAlignment w:val="baseline"/>
        <w:rPr>
          <w:rFonts w:ascii="Verdana" w:eastAsia="Calibri" w:hAnsi="Verdana" w:cs="Calibri"/>
          <w:sz w:val="16"/>
          <w:szCs w:val="16"/>
          <w:lang w:val="es-ES"/>
        </w:rPr>
      </w:pPr>
    </w:p>
    <w:p w14:paraId="1D9216A5" w14:textId="77777777" w:rsidR="00EA1385" w:rsidRPr="00E02524" w:rsidRDefault="00EA1385" w:rsidP="00EA1385">
      <w:pPr>
        <w:spacing w:after="0" w:line="240" w:lineRule="auto"/>
        <w:jc w:val="both"/>
        <w:rPr>
          <w:rFonts w:ascii="Verdana" w:eastAsia="Verdana" w:hAnsi="Verdana" w:cs="Verdana"/>
          <w:b/>
          <w:bCs/>
          <w:lang w:val="es-MX"/>
        </w:rPr>
      </w:pPr>
    </w:p>
    <w:p w14:paraId="087B7131" w14:textId="77777777" w:rsidR="00EA1385" w:rsidRPr="000E2B93" w:rsidRDefault="00EA1385" w:rsidP="00EA1385">
      <w:pPr>
        <w:spacing w:after="0" w:line="240" w:lineRule="auto"/>
        <w:jc w:val="both"/>
        <w:textAlignment w:val="baseline"/>
        <w:rPr>
          <w:rFonts w:ascii="Verdana" w:eastAsia="Verdana" w:hAnsi="Verdana" w:cs="Verdana"/>
          <w:lang w:eastAsia="es-CO"/>
        </w:rPr>
      </w:pPr>
    </w:p>
    <w:p w14:paraId="02B20F97" w14:textId="77777777" w:rsidR="00EA1385" w:rsidRPr="000E2B93" w:rsidRDefault="00EA1385" w:rsidP="00EA1385">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3B27AFCD" w14:textId="77777777" w:rsidR="002A0DD0" w:rsidRPr="00E02524" w:rsidRDefault="002A0DD0" w:rsidP="30821638">
      <w:pPr>
        <w:spacing w:after="0" w:line="240" w:lineRule="auto"/>
        <w:jc w:val="both"/>
        <w:rPr>
          <w:rFonts w:ascii="Verdana" w:eastAsia="Verdana" w:hAnsi="Verdana" w:cs="Verdana"/>
          <w:b/>
          <w:bCs/>
          <w:lang w:val="es-MX"/>
        </w:rPr>
      </w:pP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6A0E64A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BEA15" w14:textId="77777777" w:rsidR="006A353F" w:rsidRDefault="006A353F" w:rsidP="004A1847">
      <w:pPr>
        <w:spacing w:after="0" w:line="240" w:lineRule="auto"/>
      </w:pPr>
      <w:r>
        <w:separator/>
      </w:r>
    </w:p>
  </w:endnote>
  <w:endnote w:type="continuationSeparator" w:id="0">
    <w:p w14:paraId="4858F257" w14:textId="77777777" w:rsidR="006A353F" w:rsidRDefault="006A353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C438F" w14:textId="77777777" w:rsidR="006A353F" w:rsidRDefault="006A353F" w:rsidP="004A1847">
      <w:pPr>
        <w:spacing w:after="0" w:line="240" w:lineRule="auto"/>
      </w:pPr>
      <w:r>
        <w:separator/>
      </w:r>
    </w:p>
  </w:footnote>
  <w:footnote w:type="continuationSeparator" w:id="0">
    <w:p w14:paraId="1A11CB16" w14:textId="77777777" w:rsidR="006A353F" w:rsidRDefault="006A353F" w:rsidP="004A1847">
      <w:pPr>
        <w:spacing w:after="0" w:line="240" w:lineRule="auto"/>
      </w:pPr>
      <w:r>
        <w:continuationSeparator/>
      </w:r>
    </w:p>
  </w:footnote>
  <w:footnote w:id="1">
    <w:p w14:paraId="040CBC78" w14:textId="77777777" w:rsidR="00EA1385" w:rsidRPr="001A14A8" w:rsidRDefault="00EA1385" w:rsidP="00EA1385">
      <w:pPr>
        <w:pStyle w:val="Textonotapie"/>
        <w:rPr>
          <w:lang w:val="es-ES"/>
        </w:rPr>
      </w:pPr>
      <w:r>
        <w:rPr>
          <w:rStyle w:val="Refdenotaalpie"/>
        </w:rPr>
        <w:footnoteRef/>
      </w:r>
      <w:r>
        <w:t xml:space="preserve"> </w:t>
      </w:r>
      <w:hyperlink r:id="rId1" w:history="1">
        <w:r w:rsidRPr="00594FA5">
          <w:rPr>
            <w:rStyle w:val="Hipervnculo"/>
          </w:rPr>
          <w:t>https://www.colombiacompra.gov.co/wp-content/uploads/2024/08/Guia-ESALES-CCE-V2_2025.pdf</w:t>
        </w:r>
      </w:hyperlink>
      <w:r>
        <w:t xml:space="preserve"> </w:t>
      </w:r>
    </w:p>
  </w:footnote>
  <w:footnote w:id="2">
    <w:p w14:paraId="77A70C4D" w14:textId="77777777" w:rsidR="00EA1385" w:rsidRPr="009A2D37" w:rsidRDefault="00EA1385" w:rsidP="00EA1385">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5E8FEC75" w14:textId="77777777" w:rsidR="00EA1385" w:rsidRPr="009A2D37" w:rsidRDefault="00EA1385" w:rsidP="00EA1385">
      <w:pPr>
        <w:pStyle w:val="Textonotapie"/>
        <w:ind w:firstLine="709"/>
        <w:jc w:val="both"/>
        <w:rPr>
          <w:rFonts w:ascii="Verdana" w:hAnsi="Verdana" w:cs="Arial"/>
          <w:color w:val="000000" w:themeColor="text1"/>
          <w:sz w:val="16"/>
          <w:szCs w:val="16"/>
          <w:lang w:val="es-ES"/>
        </w:rPr>
      </w:pPr>
    </w:p>
  </w:footnote>
  <w:footnote w:id="3">
    <w:p w14:paraId="526F3738" w14:textId="77777777" w:rsidR="00EA1385" w:rsidRPr="009A2D37" w:rsidRDefault="00EA1385" w:rsidP="00EA1385">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0FA63CB5" w14:textId="77777777" w:rsidR="00EA1385" w:rsidRPr="009A2D37" w:rsidRDefault="00EA1385" w:rsidP="00EA1385">
      <w:pPr>
        <w:pStyle w:val="Textonotapie"/>
        <w:ind w:firstLine="709"/>
        <w:jc w:val="both"/>
        <w:rPr>
          <w:rFonts w:ascii="Verdana" w:hAnsi="Verdana" w:cs="Arial"/>
          <w:color w:val="000000" w:themeColor="text1"/>
          <w:sz w:val="16"/>
          <w:szCs w:val="16"/>
        </w:rPr>
      </w:pPr>
    </w:p>
    <w:p w14:paraId="7773ABAA" w14:textId="77777777" w:rsidR="00EA1385" w:rsidRPr="009A2D37" w:rsidRDefault="00EA1385" w:rsidP="00EA1385">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6" w:name="_Hlk36023315"/>
      <w:r w:rsidRPr="009A2D37">
        <w:rPr>
          <w:rFonts w:ascii="Verdana" w:hAnsi="Verdana" w:cs="Arial"/>
          <w:color w:val="000000" w:themeColor="text1"/>
          <w:sz w:val="16"/>
          <w:szCs w:val="16"/>
        </w:rPr>
        <w:t>se celebrarán de conformidad con lo dispuesto en el artículo 355 de la Constitución Política</w:t>
      </w:r>
      <w:bookmarkEnd w:id="6"/>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2B8D96A4" w14:textId="77777777" w:rsidR="00EA1385" w:rsidRPr="009A2D37" w:rsidRDefault="00EA1385" w:rsidP="00EA1385">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4">
    <w:p w14:paraId="71D8CB0C" w14:textId="77777777" w:rsidR="00EA1385" w:rsidRPr="009A2D37" w:rsidRDefault="00EA1385" w:rsidP="00EA1385">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24F2716A" w14:textId="77777777" w:rsidR="00EA1385" w:rsidRPr="009A2D37" w:rsidRDefault="00EA1385" w:rsidP="00EA1385">
      <w:pPr>
        <w:pStyle w:val="Textonotapie"/>
        <w:ind w:firstLine="709"/>
        <w:jc w:val="both"/>
        <w:rPr>
          <w:rFonts w:ascii="Verdana" w:hAnsi="Verdana" w:cs="Arial"/>
          <w:color w:val="000000" w:themeColor="text1"/>
          <w:sz w:val="16"/>
          <w:szCs w:val="16"/>
        </w:rPr>
      </w:pPr>
    </w:p>
  </w:footnote>
  <w:footnote w:id="5">
    <w:p w14:paraId="03F5B246" w14:textId="77777777" w:rsidR="00EA1385" w:rsidRPr="009A2D37" w:rsidRDefault="00EA1385" w:rsidP="00EA1385">
      <w:pPr>
        <w:pStyle w:val="Textonotapie"/>
        <w:ind w:firstLine="708"/>
        <w:jc w:val="both"/>
        <w:rPr>
          <w:rFonts w:ascii="Verdana" w:hAnsi="Verdana" w:cs="Arial"/>
          <w:color w:val="000000"/>
          <w:sz w:val="16"/>
          <w:szCs w:val="16"/>
        </w:rPr>
      </w:pPr>
      <w:r w:rsidRPr="009A2D37">
        <w:rPr>
          <w:rStyle w:val="Refdenotaalpie"/>
          <w:rFonts w:ascii="Verdana" w:hAnsi="Verdana" w:cs="Arial"/>
          <w:color w:val="000000"/>
          <w:sz w:val="16"/>
          <w:szCs w:val="16"/>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03C4D4D7" w14:textId="77777777" w:rsidR="00EA1385" w:rsidRPr="009A2D37" w:rsidRDefault="00EA1385" w:rsidP="00EA1385">
      <w:pPr>
        <w:pStyle w:val="Textonotapie"/>
        <w:ind w:firstLine="708"/>
        <w:jc w:val="both"/>
        <w:rPr>
          <w:rFonts w:ascii="Verdana" w:hAnsi="Verdana" w:cs="Arial"/>
          <w:color w:val="000000"/>
          <w:sz w:val="16"/>
          <w:szCs w:val="16"/>
        </w:rPr>
      </w:pPr>
    </w:p>
  </w:footnote>
  <w:footnote w:id="6">
    <w:p w14:paraId="3125F26E" w14:textId="77777777" w:rsidR="00EA1385" w:rsidRPr="00FC0E25" w:rsidRDefault="00EA1385" w:rsidP="00EA1385">
      <w:pPr>
        <w:pStyle w:val="Textonotapie"/>
        <w:ind w:firstLine="709"/>
        <w:jc w:val="both"/>
        <w:rPr>
          <w:rFonts w:ascii="Verdana" w:hAnsi="Verdana"/>
          <w:sz w:val="16"/>
          <w:szCs w:val="16"/>
          <w:lang w:val="es-ES_tradnl"/>
        </w:rPr>
      </w:pPr>
      <w:r w:rsidRPr="00FC0E25">
        <w:rPr>
          <w:rStyle w:val="Refdenotaalpie"/>
          <w:rFonts w:ascii="Verdana" w:hAnsi="Verdana"/>
          <w:sz w:val="16"/>
          <w:szCs w:val="16"/>
        </w:rPr>
        <w:footnoteRef/>
      </w:r>
      <w:r w:rsidRPr="00FC0E25">
        <w:rPr>
          <w:rFonts w:ascii="Verdana" w:hAnsi="Verdana"/>
          <w:sz w:val="16"/>
          <w:szCs w:val="16"/>
        </w:rPr>
        <w:t xml:space="preserve"> </w:t>
      </w:r>
      <w:r w:rsidRPr="00FC0E25">
        <w:rPr>
          <w:rFonts w:ascii="Verdana" w:hAnsi="Verdana"/>
          <w:sz w:val="16"/>
          <w:szCs w:val="16"/>
          <w:lang w:val="es-ES_tradnl"/>
        </w:rPr>
        <w:t>AGENCIA NACIONAL DE CONTRATACIÓN PÚBLICA – COLOMBIA COMPRA EFICIENTE. Guía para la contratación con entidades privadas sin ánimo de lucro y de reconocida idoneidad. Disponible en: https://www.colombiacompra.gov.co/sites/cce_public/files/cce_documents/cce_guia_esal.pdf</w:t>
      </w:r>
    </w:p>
  </w:footnote>
  <w:footnote w:id="7">
    <w:p w14:paraId="17D233E4" w14:textId="77777777" w:rsidR="00EA1385" w:rsidRPr="009A2D37" w:rsidRDefault="00EA1385" w:rsidP="00EA1385">
      <w:pPr>
        <w:pStyle w:val="Textonotapie"/>
        <w:ind w:firstLine="708"/>
        <w:jc w:val="both"/>
        <w:rPr>
          <w:rFonts w:ascii="Verdana" w:hAnsi="Verdana" w:cs="Arial"/>
          <w:sz w:val="16"/>
          <w:szCs w:val="16"/>
        </w:rPr>
      </w:pPr>
      <w:r w:rsidRPr="009A2D37">
        <w:rPr>
          <w:rStyle w:val="Refdenotaalpie"/>
          <w:rFonts w:ascii="Verdana" w:hAnsi="Verdana" w:cs="Arial"/>
          <w:sz w:val="16"/>
          <w:szCs w:val="16"/>
        </w:rPr>
        <w:footnoteRef/>
      </w:r>
      <w:r w:rsidRPr="009A2D37">
        <w:rPr>
          <w:rFonts w:ascii="Verdana" w:hAnsi="Verdana" w:cs="Arial"/>
          <w:sz w:val="16"/>
          <w:szCs w:val="16"/>
        </w:rPr>
        <w:t xml:space="preserve"> RODRÍGUEZ TAMAYO, Mauricio. Contratación pública con Entidades sin ánimo de lucro. Bogotá: Legis Editores, 2017. </w:t>
      </w:r>
      <w:r>
        <w:rPr>
          <w:rFonts w:ascii="Verdana" w:hAnsi="Verdana" w:cs="Arial"/>
          <w:sz w:val="16"/>
          <w:szCs w:val="16"/>
        </w:rPr>
        <w:t>Página</w:t>
      </w:r>
      <w:r w:rsidRPr="009A2D37">
        <w:rPr>
          <w:rFonts w:ascii="Verdana" w:hAnsi="Verdana" w:cs="Arial"/>
          <w:sz w:val="16"/>
          <w:szCs w:val="16"/>
        </w:rPr>
        <w:t xml:space="preserve"> 28. </w:t>
      </w:r>
    </w:p>
    <w:p w14:paraId="761D61B4" w14:textId="77777777" w:rsidR="00EA1385" w:rsidRPr="009A2D37" w:rsidRDefault="00EA1385" w:rsidP="00EA1385">
      <w:pPr>
        <w:pStyle w:val="Textonotapie"/>
        <w:ind w:firstLine="708"/>
        <w:jc w:val="both"/>
        <w:rPr>
          <w:rFonts w:ascii="Verdana" w:hAnsi="Verdana" w:cs="Arial"/>
          <w:sz w:val="16"/>
          <w:szCs w:val="16"/>
        </w:rPr>
      </w:pPr>
    </w:p>
  </w:footnote>
  <w:footnote w:id="8">
    <w:p w14:paraId="603A3937" w14:textId="77777777" w:rsidR="00EA1385" w:rsidRPr="009A2D37" w:rsidRDefault="00EA1385" w:rsidP="00EA1385">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footnote>
  <w:footnote w:id="9">
    <w:p w14:paraId="34B1D284" w14:textId="77777777" w:rsidR="00EA1385" w:rsidRDefault="00EA1385" w:rsidP="00EA1385">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24E5DC22" w14:textId="77777777" w:rsidR="00EA1385" w:rsidRPr="009A2D37" w:rsidRDefault="00EA1385" w:rsidP="00EA1385">
      <w:pPr>
        <w:pStyle w:val="Textonotapie"/>
        <w:ind w:firstLine="708"/>
        <w:rPr>
          <w:rFonts w:ascii="Verdana" w:hAnsi="Verdana"/>
          <w:sz w:val="16"/>
          <w:szCs w:val="16"/>
        </w:rPr>
      </w:pPr>
    </w:p>
  </w:footnote>
  <w:footnote w:id="10">
    <w:p w14:paraId="213AD773" w14:textId="77777777" w:rsidR="00EA1385" w:rsidRPr="009A2D37" w:rsidRDefault="00EA1385" w:rsidP="00EA1385">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footnote>
  <w:footnote w:id="11">
    <w:p w14:paraId="69681B1C" w14:textId="77777777" w:rsidR="00EA1385" w:rsidRDefault="00EA1385" w:rsidP="00EA1385">
      <w:pPr>
        <w:pStyle w:val="Textonotapie"/>
        <w:ind w:firstLine="708"/>
        <w:rPr>
          <w:rFonts w:ascii="Verdana" w:hAnsi="Verdana"/>
          <w:sz w:val="16"/>
          <w:szCs w:val="16"/>
        </w:rPr>
      </w:pPr>
      <w:r w:rsidRPr="009A2D37">
        <w:rPr>
          <w:rStyle w:val="Refdenotaalpie"/>
          <w:rFonts w:ascii="Verdana" w:hAnsi="Verdana"/>
          <w:sz w:val="16"/>
          <w:szCs w:val="16"/>
        </w:rPr>
        <w:footnoteRef/>
      </w:r>
      <w:r w:rsidRPr="009A2D37">
        <w:rPr>
          <w:rFonts w:ascii="Verdana" w:hAnsi="Verdana"/>
          <w:sz w:val="16"/>
          <w:szCs w:val="16"/>
        </w:rPr>
        <w:t xml:space="preserve"> </w:t>
      </w:r>
      <w:r>
        <w:rPr>
          <w:rFonts w:ascii="Verdana" w:hAnsi="Verdana"/>
          <w:sz w:val="16"/>
          <w:szCs w:val="16"/>
        </w:rPr>
        <w:t xml:space="preserve">Agencia Nacional de Contratación Pública – Colombia Compra Eficiente. </w:t>
      </w:r>
      <w:r w:rsidRPr="009A2D37">
        <w:rPr>
          <w:rFonts w:ascii="Verdana" w:hAnsi="Verdana"/>
          <w:sz w:val="16"/>
          <w:szCs w:val="16"/>
        </w:rPr>
        <w:t>Concepto C-560 de</w:t>
      </w:r>
      <w:r>
        <w:rPr>
          <w:rFonts w:ascii="Verdana" w:hAnsi="Verdana"/>
          <w:sz w:val="16"/>
          <w:szCs w:val="16"/>
        </w:rPr>
        <w:t>l 7 de septiembre de</w:t>
      </w:r>
      <w:r w:rsidRPr="009A2D37">
        <w:rPr>
          <w:rFonts w:ascii="Verdana" w:hAnsi="Verdana"/>
          <w:sz w:val="16"/>
          <w:szCs w:val="16"/>
        </w:rPr>
        <w:t xml:space="preserve"> 2022.</w:t>
      </w:r>
    </w:p>
    <w:p w14:paraId="59E4F42F" w14:textId="77777777" w:rsidR="00EA1385" w:rsidRPr="009A2D37" w:rsidRDefault="00EA1385" w:rsidP="00EA1385">
      <w:pPr>
        <w:pStyle w:val="Textonotapie"/>
        <w:ind w:firstLine="708"/>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9271772">
    <w:abstractNumId w:val="5"/>
  </w:num>
  <w:num w:numId="2" w16cid:durableId="1892224747">
    <w:abstractNumId w:val="1"/>
  </w:num>
  <w:num w:numId="3" w16cid:durableId="899947585">
    <w:abstractNumId w:val="3"/>
  </w:num>
  <w:num w:numId="4" w16cid:durableId="12409903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4455950">
    <w:abstractNumId w:val="1"/>
  </w:num>
  <w:num w:numId="6" w16cid:durableId="2137602505">
    <w:abstractNumId w:val="13"/>
  </w:num>
  <w:num w:numId="7" w16cid:durableId="1011614415">
    <w:abstractNumId w:val="4"/>
  </w:num>
  <w:num w:numId="8" w16cid:durableId="13504066">
    <w:abstractNumId w:val="12"/>
  </w:num>
  <w:num w:numId="9" w16cid:durableId="1820148819">
    <w:abstractNumId w:val="6"/>
  </w:num>
  <w:num w:numId="10" w16cid:durableId="1795516200">
    <w:abstractNumId w:val="11"/>
  </w:num>
  <w:num w:numId="11" w16cid:durableId="1621298109">
    <w:abstractNumId w:val="7"/>
  </w:num>
  <w:num w:numId="12" w16cid:durableId="276526925">
    <w:abstractNumId w:val="0"/>
  </w:num>
  <w:num w:numId="13" w16cid:durableId="2089450488">
    <w:abstractNumId w:val="2"/>
  </w:num>
  <w:num w:numId="14" w16cid:durableId="1469516629">
    <w:abstractNumId w:val="14"/>
  </w:num>
  <w:num w:numId="15" w16cid:durableId="490412032">
    <w:abstractNumId w:val="10"/>
  </w:num>
  <w:num w:numId="16" w16cid:durableId="705712215">
    <w:abstractNumId w:val="9"/>
  </w:num>
  <w:num w:numId="17" w16cid:durableId="11104421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6A83"/>
    <w:rsid w:val="000D0334"/>
    <w:rsid w:val="000D5DA7"/>
    <w:rsid w:val="000F6486"/>
    <w:rsid w:val="00116940"/>
    <w:rsid w:val="00125105"/>
    <w:rsid w:val="00127233"/>
    <w:rsid w:val="0015699B"/>
    <w:rsid w:val="00186249"/>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4374"/>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4867"/>
    <w:rsid w:val="00591460"/>
    <w:rsid w:val="005A25B9"/>
    <w:rsid w:val="005A65E0"/>
    <w:rsid w:val="005C3777"/>
    <w:rsid w:val="005C5CDC"/>
    <w:rsid w:val="005D476C"/>
    <w:rsid w:val="006200BF"/>
    <w:rsid w:val="006219F8"/>
    <w:rsid w:val="006302F7"/>
    <w:rsid w:val="00646B9F"/>
    <w:rsid w:val="00665D70"/>
    <w:rsid w:val="006900D9"/>
    <w:rsid w:val="006A353F"/>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32B6"/>
    <w:rsid w:val="008843B6"/>
    <w:rsid w:val="00891928"/>
    <w:rsid w:val="008A446D"/>
    <w:rsid w:val="008B25F1"/>
    <w:rsid w:val="008D180B"/>
    <w:rsid w:val="008F0EA7"/>
    <w:rsid w:val="00923EEF"/>
    <w:rsid w:val="00931444"/>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64872"/>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1385"/>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A138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A138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ristinaaguirre071@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Guia-ESALES-CCE-V2_202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3B61890-143E-4CC1-AF00-FB83D50D207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23</Pages>
  <Words>7875</Words>
  <Characters>43316</Characters>
  <Application>Microsoft Office Word</Application>
  <DocSecurity>0</DocSecurity>
  <Lines>360</Lines>
  <Paragraphs>102</Paragraphs>
  <ScaleCrop>false</ScaleCrop>
  <Company/>
  <LinksUpToDate>false</LinksUpToDate>
  <CharactersWithSpaces>51089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2026-11-03T21:47:00Z</dcterms:created>
  <dcterms:modified xsi:type="dcterms:W3CDTF">2026-11-03T21:50:00Z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