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CF800" w14:textId="00839C98" w:rsidR="002B133F" w:rsidRPr="002B133F" w:rsidRDefault="002B133F" w:rsidP="002B133F">
      <w:pPr>
        <w:rPr>
          <w:rFonts w:ascii="Verdana" w:eastAsia="Verdana" w:hAnsi="Verdana" w:cs="Verdana"/>
          <w:b/>
          <w:bCs/>
          <w:sz w:val="24"/>
          <w:szCs w:val="24"/>
        </w:rPr>
      </w:pPr>
      <w:bookmarkStart w:id="0" w:name="_Hlk143780582"/>
      <w:r w:rsidRPr="002B133F">
        <w:rPr>
          <w:rFonts w:ascii="Verdana" w:eastAsia="Verdana" w:hAnsi="Verdana" w:cs="Verdana"/>
          <w:b/>
          <w:bCs/>
        </w:rPr>
        <w:t>CONTRATO ESTATAL – Perfeccionamiento del contrato</w:t>
      </w:r>
    </w:p>
    <w:p w14:paraId="3EC3089E"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que el uso transaccional del SECOP II sea obligatorio no convierte a la plataforma en un elemento de perfeccionamiento. Los elementos siguen siendo los señalados en el artículo 41 de la Ley 80 de 1993, estos son: acuerdo sobre el objeto y contraprestación y que este acuerdo sea elevado a escrito. Así, el deber de tramitar la actuación opera en un plano distinto, esto es el cumplimiento de un deber funcionar, cuya inobservancia genera responsabilidad y no la inexistencia del negocio jurídico.</w:t>
      </w:r>
    </w:p>
    <w:p w14:paraId="54FB57AB" w14:textId="77777777" w:rsidR="002B133F" w:rsidRPr="002B133F" w:rsidRDefault="002B133F" w:rsidP="002B133F">
      <w:pPr>
        <w:spacing w:after="0"/>
        <w:jc w:val="both"/>
        <w:rPr>
          <w:rFonts w:ascii="Verdana" w:eastAsia="Verdana" w:hAnsi="Verdana" w:cs="Verdana"/>
          <w:sz w:val="20"/>
          <w:szCs w:val="20"/>
        </w:rPr>
      </w:pPr>
    </w:p>
    <w:p w14:paraId="5B2E6F89" w14:textId="77777777" w:rsidR="002B133F" w:rsidRPr="002B133F" w:rsidRDefault="002B133F" w:rsidP="002B133F">
      <w:pPr>
        <w:spacing w:after="0"/>
        <w:jc w:val="both"/>
        <w:rPr>
          <w:rFonts w:ascii="Verdana" w:eastAsia="Verdana" w:hAnsi="Verdana" w:cs="Verdana"/>
          <w:b/>
          <w:bCs/>
        </w:rPr>
      </w:pPr>
      <w:r w:rsidRPr="002B133F">
        <w:rPr>
          <w:rFonts w:ascii="Verdana" w:eastAsia="Verdana" w:hAnsi="Verdana" w:cs="Verdana"/>
          <w:b/>
          <w:bCs/>
        </w:rPr>
        <w:t>MODIFICACIÓN DEL CONTRATO – Modificación bilateral – Perfeccionamiento – Acuerdo de voluntades – Formalización escrita – Prorroga del plazo de ejecución – Límites temporales de modificación</w:t>
      </w:r>
    </w:p>
    <w:p w14:paraId="5F4F5790" w14:textId="77777777" w:rsidR="002B133F" w:rsidRPr="002B133F" w:rsidRDefault="002B133F" w:rsidP="002B133F">
      <w:pPr>
        <w:spacing w:after="0"/>
        <w:jc w:val="both"/>
        <w:rPr>
          <w:rFonts w:ascii="Verdana" w:eastAsia="Verdana" w:hAnsi="Verdana" w:cs="Verdana"/>
          <w:sz w:val="20"/>
          <w:szCs w:val="20"/>
        </w:rPr>
      </w:pPr>
    </w:p>
    <w:p w14:paraId="68BBDD4E"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esta regla de perfeccionamiento es aplicable a las modificaciones contractuales, en consideración a que estas gozan de naturaleza convencional y constituyen acuerdos dirigidos a alterar, de común acuerdo, las estipulaciones de un contrato estatal previamente</w:t>
      </w:r>
    </w:p>
    <w:p w14:paraId="128127CA"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xml:space="preserve"> celebrado.</w:t>
      </w:r>
    </w:p>
    <w:p w14:paraId="1F79C851" w14:textId="328E2729"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br/>
        <w:t>En consecuencia, el momento en que se perfecciona la modificación debe determinarse atendiendo al instrumento a través del cual las partes formalizaron su consentimiento. Cuando la modificación se instrumenta mediante un documento físico elaborado y suscrito por fuera del SECOP II, el acuerdo se perfecciona cuando concurren las manifestaciones de voluntad de ambas partes en el documento escrito. Por su parte, cuando la modificación se tramita y formaliza directamente en el SECOP II, el perfeccionamiento se produce con la culminación de las actuaciones electrónicas necesarias para consolidar el consentimiento bilateral, esto es, con la suscripción electrónica del acuerdo en la plataforma. Conforme a lo anterior, se concluye que la fecha de perfeccionamiento de la modificación tratándose de trámites realizados a través de SECOP II cuando su uso es transaccional coincide con la fecha de aprobación en la plataforma. […]</w:t>
      </w:r>
    </w:p>
    <w:p w14:paraId="6CFFF606" w14:textId="77777777" w:rsidR="002B133F" w:rsidRPr="002B133F" w:rsidRDefault="002B133F" w:rsidP="002B133F">
      <w:pPr>
        <w:spacing w:after="0"/>
        <w:jc w:val="both"/>
        <w:rPr>
          <w:rFonts w:ascii="Verdana" w:eastAsia="Verdana" w:hAnsi="Verdana" w:cs="Verdana"/>
          <w:sz w:val="20"/>
          <w:szCs w:val="20"/>
        </w:rPr>
      </w:pPr>
    </w:p>
    <w:p w14:paraId="1E069455"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en los casos en que la modificación tiene por objeto prorrogar el plazo de ejecución, adicionalmente debe observarse el límite temporal que rige la modificación de los contratos estatales. En particular, el acuerdo modificatorio debe perfeccionarse antes de que finalice el plazo de ejecución vigente, pues la modificación contractual no puede emplearse para extender retroactivamente un contrato cuyo plazo ha culminado. […]</w:t>
      </w:r>
    </w:p>
    <w:p w14:paraId="552B5C53" w14:textId="77777777" w:rsidR="002B133F" w:rsidRPr="002B133F" w:rsidRDefault="002B133F" w:rsidP="002B133F">
      <w:pPr>
        <w:spacing w:after="0"/>
        <w:jc w:val="both"/>
        <w:rPr>
          <w:rFonts w:ascii="Verdana" w:eastAsia="Verdana" w:hAnsi="Verdana" w:cs="Verdana"/>
          <w:sz w:val="20"/>
          <w:szCs w:val="20"/>
        </w:rPr>
      </w:pPr>
    </w:p>
    <w:p w14:paraId="7D755099" w14:textId="77777777" w:rsidR="002B133F" w:rsidRPr="00CF60F9" w:rsidRDefault="002B133F" w:rsidP="002B133F">
      <w:pPr>
        <w:spacing w:after="0"/>
        <w:jc w:val="both"/>
        <w:rPr>
          <w:rFonts w:ascii="Verdana" w:eastAsia="Verdana" w:hAnsi="Verdana" w:cs="Verdana"/>
          <w:b/>
          <w:bCs/>
        </w:rPr>
      </w:pPr>
      <w:r w:rsidRPr="00CF60F9">
        <w:rPr>
          <w:rFonts w:ascii="Verdana" w:eastAsia="Verdana" w:hAnsi="Verdana" w:cs="Verdana"/>
          <w:b/>
          <w:bCs/>
        </w:rPr>
        <w:t>SISTEMA ELECTRONICO PARA LA CONTRATACIÓN PÚBLICA SECOP II – Plataforma transaccional – Formalización electrónica de modificaciones contractuales – Aprobación – Suscripción – Incorporación de documentos al expediente</w:t>
      </w:r>
    </w:p>
    <w:p w14:paraId="3CBF0576" w14:textId="77777777" w:rsidR="002B133F" w:rsidRPr="002B133F" w:rsidRDefault="002B133F" w:rsidP="002B133F">
      <w:pPr>
        <w:spacing w:after="0"/>
        <w:jc w:val="both"/>
        <w:rPr>
          <w:rFonts w:ascii="Verdana" w:eastAsia="Verdana" w:hAnsi="Verdana" w:cs="Verdana"/>
          <w:sz w:val="20"/>
          <w:szCs w:val="20"/>
        </w:rPr>
      </w:pPr>
    </w:p>
    <w:p w14:paraId="18A207FA"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las entidades estatales obligadas deben gestionar sus procesos de contratación de manera transaccional en SECOP II; en ese escenario, cuando la modificación se formaliza directamente en la plataforma, las actuaciones de trámite, suscripción y publicidad se desarrollan mediante el flujo electrónico correspondiente. Por consiguiente, para establecer la fecha de perfeccionamiento debe identificarse el momento en que se consolidó el consentimiento bilateral, sin confundirlo con la elaboración del documento, su remisión para aprobación o la manifestación de voluntad de uno solo de los intervinientes.</w:t>
      </w:r>
    </w:p>
    <w:p w14:paraId="6E3B6788" w14:textId="77777777" w:rsidR="002B133F" w:rsidRPr="002B133F" w:rsidRDefault="002B133F" w:rsidP="002B133F">
      <w:pPr>
        <w:spacing w:after="0"/>
        <w:jc w:val="both"/>
        <w:rPr>
          <w:rFonts w:ascii="Verdana" w:eastAsia="Verdana" w:hAnsi="Verdana" w:cs="Verdana"/>
          <w:sz w:val="20"/>
          <w:szCs w:val="20"/>
        </w:rPr>
      </w:pPr>
    </w:p>
    <w:p w14:paraId="1B18C82E"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cuando las partes formalizan la modificación mediante un documento escrito suscrito por fuera de la plataforma, su posterior incorporación al SECOP II cumple una función de publicidad e integración al expediente electrónico. Bajo ese supuesto, si el acuerdo bilateral quedó debidamente perfeccionado antes del vencimiento del plazo contractual inicial, el hecho de que su cargue, reconocimiento o publicación al SECOP II se produzca posteriormente no modifica, por sí solo, la fecha de perfeccionamiento, ni tampoco invalida la prórroga.</w:t>
      </w:r>
    </w:p>
    <w:p w14:paraId="2868304E" w14:textId="77777777" w:rsidR="002B133F" w:rsidRPr="002B133F" w:rsidRDefault="002B133F" w:rsidP="002B133F">
      <w:pPr>
        <w:spacing w:after="0"/>
        <w:jc w:val="both"/>
        <w:rPr>
          <w:rFonts w:ascii="Verdana" w:eastAsia="Verdana" w:hAnsi="Verdana" w:cs="Verdana"/>
          <w:sz w:val="20"/>
          <w:szCs w:val="20"/>
        </w:rPr>
      </w:pPr>
    </w:p>
    <w:p w14:paraId="20C455B1" w14:textId="77777777" w:rsidR="002B133F" w:rsidRPr="002B133F" w:rsidRDefault="002B133F" w:rsidP="002B133F">
      <w:pPr>
        <w:spacing w:after="0"/>
        <w:jc w:val="both"/>
        <w:rPr>
          <w:rFonts w:ascii="Verdana" w:eastAsia="Verdana" w:hAnsi="Verdana" w:cs="Verdana"/>
          <w:b/>
          <w:bCs/>
        </w:rPr>
      </w:pPr>
      <w:r w:rsidRPr="002B133F">
        <w:rPr>
          <w:rFonts w:ascii="Verdana" w:eastAsia="Verdana" w:hAnsi="Verdana" w:cs="Verdana"/>
          <w:b/>
          <w:bCs/>
        </w:rPr>
        <w:t>PUBLICIDAD CONTRACTUAL – Publicación de modificaciones contractuales – Deber de publicidad – Término de publicación – Publicación extemporánea – Efectos jurídicos</w:t>
      </w:r>
    </w:p>
    <w:p w14:paraId="08C94F4A" w14:textId="77777777" w:rsidR="002B133F" w:rsidRPr="002B133F" w:rsidRDefault="002B133F" w:rsidP="002B133F">
      <w:pPr>
        <w:spacing w:after="0"/>
        <w:jc w:val="both"/>
        <w:rPr>
          <w:rFonts w:ascii="Verdana" w:eastAsia="Verdana" w:hAnsi="Verdana" w:cs="Verdana"/>
          <w:sz w:val="20"/>
          <w:szCs w:val="20"/>
        </w:rPr>
      </w:pPr>
    </w:p>
    <w:p w14:paraId="27183DFF" w14:textId="77777777" w:rsid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el artículo 2.2.1.1.1.7.1 del Decreto 1082 de 2015 establece que la entidad estatal está obligada a publicar en el SECOP los documentos del proceso y los actos administrativos del proceso de contratación dentro de los tres (3) días siguientes a su expedición. Esta obligación se enmarca en los principios de publicidad y transparencia que orientan la contratación estatal y busca permitir que los interesados y la ciudadanía conozcan las actuaciones desarrolladas por las entidades en los procesos de contratación.</w:t>
      </w:r>
    </w:p>
    <w:p w14:paraId="6EBB9F82" w14:textId="77777777" w:rsidR="002B133F" w:rsidRPr="002B133F" w:rsidRDefault="002B133F" w:rsidP="002B133F">
      <w:pPr>
        <w:spacing w:after="0"/>
        <w:jc w:val="both"/>
        <w:rPr>
          <w:rFonts w:ascii="Verdana" w:eastAsia="Verdana" w:hAnsi="Verdana" w:cs="Verdana"/>
          <w:sz w:val="20"/>
          <w:szCs w:val="20"/>
        </w:rPr>
      </w:pPr>
    </w:p>
    <w:p w14:paraId="680F192E" w14:textId="77777777" w:rsidR="002B133F" w:rsidRPr="002B133F" w:rsidRDefault="002B133F" w:rsidP="002B133F">
      <w:pPr>
        <w:spacing w:after="0"/>
        <w:jc w:val="both"/>
        <w:rPr>
          <w:rFonts w:ascii="Verdana" w:eastAsia="Verdana" w:hAnsi="Verdana" w:cs="Verdana"/>
          <w:sz w:val="20"/>
          <w:szCs w:val="20"/>
        </w:rPr>
      </w:pPr>
      <w:r w:rsidRPr="002B133F">
        <w:rPr>
          <w:rFonts w:ascii="Verdana" w:eastAsia="Verdana" w:hAnsi="Verdana" w:cs="Verdana"/>
          <w:sz w:val="20"/>
          <w:szCs w:val="20"/>
        </w:rPr>
        <w:t>[…] Así las cosas, la publicación en el SECOP II constituye un deber legal cuyo incumplimiento puede generar responsabilidad, pero no un requisito de existencia, validez o perfeccionamiento del documento publicado; esta interpretación también armoniza con el artículo 13 de la Ley 1150 de 2007, adicionado por el artículo 53 de la Ley 2195 de 2022, en cuanto establece obligaciones de publicidad en el sistema de contratación pública. En ese contexto, las consecuencias jurídicas de la publicación posterior deben determinarse a partir de la distinción entre las actuaciones que formalizan el acuerdo y aquellas que permiten su divulgación.</w:t>
      </w:r>
    </w:p>
    <w:p w14:paraId="7681C6E4" w14:textId="1FACAEC1" w:rsidR="002B133F" w:rsidRDefault="002B133F" w:rsidP="691E4219">
      <w:pPr>
        <w:spacing w:after="0"/>
        <w:rPr>
          <w:rFonts w:ascii="Verdana" w:eastAsia="Verdana" w:hAnsi="Verdana" w:cs="Verdana"/>
          <w:sz w:val="20"/>
          <w:szCs w:val="20"/>
        </w:rPr>
      </w:pPr>
    </w:p>
    <w:p w14:paraId="1EB994A2" w14:textId="77777777" w:rsidR="002B133F" w:rsidRDefault="002B133F" w:rsidP="691E4219">
      <w:pPr>
        <w:spacing w:after="0"/>
        <w:rPr>
          <w:rFonts w:ascii="Verdana" w:eastAsia="Verdana" w:hAnsi="Verdana" w:cs="Verdana"/>
          <w:sz w:val="20"/>
          <w:szCs w:val="20"/>
        </w:rPr>
      </w:pPr>
    </w:p>
    <w:p w14:paraId="067481F6" w14:textId="77777777" w:rsidR="002B133F" w:rsidRDefault="002B133F" w:rsidP="691E4219">
      <w:pPr>
        <w:spacing w:after="0"/>
        <w:rPr>
          <w:rFonts w:ascii="Verdana" w:eastAsia="Verdana" w:hAnsi="Verdana" w:cs="Verdana"/>
        </w:rPr>
      </w:pPr>
    </w:p>
    <w:p w14:paraId="0C948879" w14:textId="77777777" w:rsidR="002B133F" w:rsidRDefault="002B133F" w:rsidP="691E4219">
      <w:pPr>
        <w:spacing w:after="0"/>
        <w:rPr>
          <w:rFonts w:ascii="Verdana" w:eastAsia="Verdana" w:hAnsi="Verdana" w:cs="Verdana"/>
        </w:rPr>
      </w:pPr>
    </w:p>
    <w:p w14:paraId="0A4BD91F" w14:textId="77777777" w:rsidR="002B133F" w:rsidRDefault="002B133F" w:rsidP="691E4219">
      <w:pPr>
        <w:spacing w:after="0"/>
        <w:rPr>
          <w:rFonts w:ascii="Verdana" w:eastAsia="Verdana" w:hAnsi="Verdana" w:cs="Verdana"/>
        </w:rPr>
      </w:pPr>
    </w:p>
    <w:p w14:paraId="7C9026E2" w14:textId="34C83591" w:rsidR="002A0DD0" w:rsidRPr="004940D5" w:rsidRDefault="00C15139" w:rsidP="691E4219">
      <w:pPr>
        <w:spacing w:after="0"/>
        <w:rPr>
          <w:rFonts w:ascii="Verdana" w:eastAsia="Verdana" w:hAnsi="Verdana" w:cs="Verdana"/>
          <w:lang w:val="es-MX"/>
        </w:rPr>
      </w:pPr>
      <w:r w:rsidRPr="691E4219">
        <w:rPr>
          <w:rFonts w:ascii="Verdana" w:eastAsia="Verdana" w:hAnsi="Verdana" w:cs="Verdana"/>
        </w:rPr>
        <w:t>Bogotá D.C.,</w:t>
      </w:r>
      <w:r w:rsidR="00942F04" w:rsidRPr="691E4219">
        <w:rPr>
          <w:rFonts w:ascii="Verdana" w:eastAsia="Verdana" w:hAnsi="Verdana" w:cs="Verdana"/>
        </w:rPr>
        <w:t xml:space="preserve"> </w:t>
      </w:r>
      <w:r w:rsidR="000F20F5">
        <w:rPr>
          <w:rFonts w:ascii="Verdana" w:eastAsia="Times New Roman" w:hAnsi="Verdana" w:cs="Arial"/>
          <w:lang w:val="es-ES" w:eastAsia="es-ES"/>
        </w:rPr>
        <w:t xml:space="preserve">03 </w:t>
      </w:r>
      <w:r w:rsidR="00CF60F9">
        <w:rPr>
          <w:rFonts w:ascii="Verdana" w:eastAsia="Times New Roman" w:hAnsi="Verdana" w:cs="Arial"/>
          <w:lang w:val="es-ES" w:eastAsia="es-ES"/>
        </w:rPr>
        <w:t>de noviembre de</w:t>
      </w:r>
      <w:r w:rsidR="000F20F5">
        <w:rPr>
          <w:rFonts w:ascii="Verdana" w:eastAsia="Times New Roman" w:hAnsi="Verdana" w:cs="Arial"/>
          <w:lang w:val="es-ES" w:eastAsia="es-ES"/>
        </w:rPr>
        <w:t xml:space="preserve"> 2026</w:t>
      </w:r>
      <w:r w:rsidR="00D02EE0">
        <w:tab/>
      </w:r>
    </w:p>
    <w:p w14:paraId="7F1C988F" w14:textId="209BD9ED" w:rsidR="00A575B5" w:rsidRPr="004940D5" w:rsidRDefault="00A575B5" w:rsidP="00A575B5">
      <w:pPr>
        <w:spacing w:after="0" w:line="240" w:lineRule="auto"/>
        <w:jc w:val="right"/>
        <w:rPr>
          <w:rFonts w:ascii="Verdana" w:eastAsia="Calibri" w:hAnsi="Verdana" w:cs="Arial"/>
          <w:b/>
          <w:bCs/>
          <w:lang w:val="es-ES" w:eastAsia="es-ES"/>
        </w:rPr>
      </w:pPr>
    </w:p>
    <w:bookmarkEnd w:id="0"/>
    <w:p w14:paraId="556417CB" w14:textId="0076155D" w:rsidR="004519C2" w:rsidRDefault="00CF60F9" w:rsidP="004519C2">
      <w:pPr>
        <w:spacing w:after="0" w:line="240" w:lineRule="auto"/>
        <w:jc w:val="both"/>
        <w:rPr>
          <w:rFonts w:ascii="Verdana" w:eastAsia="Calibri" w:hAnsi="Verdana" w:cs="Arial"/>
          <w:b/>
          <w:bCs/>
          <w:lang w:val="es-ES" w:eastAsia="es-ES"/>
        </w:rPr>
      </w:pPr>
      <w:r w:rsidRPr="000E601C">
        <w:rPr>
          <w:noProof/>
        </w:rPr>
        <w:drawing>
          <wp:anchor distT="0" distB="0" distL="114300" distR="114300" simplePos="0" relativeHeight="251658240" behindDoc="0" locked="0" layoutInCell="1" allowOverlap="1" wp14:anchorId="2CB9A48C" wp14:editId="1258A15A">
            <wp:simplePos x="0" y="0"/>
            <wp:positionH relativeFrom="margin">
              <wp:posOffset>2632710</wp:posOffset>
            </wp:positionH>
            <wp:positionV relativeFrom="paragraph">
              <wp:posOffset>5715</wp:posOffset>
            </wp:positionV>
            <wp:extent cx="2975610" cy="897890"/>
            <wp:effectExtent l="0" t="0" r="0" b="0"/>
            <wp:wrapSquare wrapText="bothSides"/>
            <wp:docPr id="2053706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06160" name=""/>
                    <pic:cNvPicPr/>
                  </pic:nvPicPr>
                  <pic:blipFill>
                    <a:blip r:embed="rId11">
                      <a:extLst>
                        <a:ext uri="{28A0092B-C50C-407E-A947-70E740481C1C}">
                          <a14:useLocalDpi xmlns:a14="http://schemas.microsoft.com/office/drawing/2010/main" val="0"/>
                        </a:ext>
                      </a:extLst>
                    </a:blip>
                    <a:stretch>
                      <a:fillRect/>
                    </a:stretch>
                  </pic:blipFill>
                  <pic:spPr>
                    <a:xfrm>
                      <a:off x="0" y="0"/>
                      <a:ext cx="2975610" cy="897890"/>
                    </a:xfrm>
                    <a:prstGeom prst="rect">
                      <a:avLst/>
                    </a:prstGeom>
                  </pic:spPr>
                </pic:pic>
              </a:graphicData>
            </a:graphic>
            <wp14:sizeRelH relativeFrom="margin">
              <wp14:pctWidth>0</wp14:pctWidth>
            </wp14:sizeRelH>
            <wp14:sizeRelV relativeFrom="margin">
              <wp14:pctHeight>0</wp14:pctHeight>
            </wp14:sizeRelV>
          </wp:anchor>
        </w:drawing>
      </w:r>
      <w:r w:rsidR="004519C2" w:rsidRPr="7FD69A16">
        <w:rPr>
          <w:rFonts w:ascii="Verdana" w:eastAsia="Calibri" w:hAnsi="Verdana" w:cs="Arial"/>
          <w:b/>
          <w:bCs/>
          <w:lang w:val="es-ES" w:eastAsia="es-ES"/>
        </w:rPr>
        <w:t>Señor</w:t>
      </w:r>
    </w:p>
    <w:p w14:paraId="7BF1B03E" w14:textId="0763A890" w:rsidR="004519C2" w:rsidRDefault="004519C2" w:rsidP="004519C2">
      <w:pPr>
        <w:spacing w:after="0" w:line="240" w:lineRule="auto"/>
      </w:pPr>
      <w:r w:rsidRPr="7FD69A16">
        <w:rPr>
          <w:rFonts w:ascii="Verdana" w:eastAsia="Calibri" w:hAnsi="Verdana" w:cs="Arial"/>
          <w:b/>
          <w:bCs/>
          <w:lang w:val="es-ES" w:eastAsia="es-ES"/>
        </w:rPr>
        <w:t>Martín Mateo Duque Ocampo</w:t>
      </w:r>
    </w:p>
    <w:p w14:paraId="02033124" w14:textId="77777777" w:rsidR="004519C2" w:rsidRDefault="004519C2" w:rsidP="004519C2">
      <w:pPr>
        <w:spacing w:after="0" w:line="240" w:lineRule="auto"/>
        <w:rPr>
          <w:rFonts w:ascii="Verdana" w:eastAsia="Verdana" w:hAnsi="Verdana" w:cs="Verdana"/>
          <w:b/>
          <w:bCs/>
          <w:lang w:val="es-ES" w:eastAsia="es-ES"/>
        </w:rPr>
      </w:pPr>
      <w:hyperlink r:id="rId12">
        <w:r w:rsidRPr="7FD69A16">
          <w:rPr>
            <w:rStyle w:val="Hipervnculo"/>
            <w:rFonts w:ascii="Verdana" w:eastAsia="Verdana" w:hAnsi="Verdana" w:cs="Verdana"/>
            <w:b/>
            <w:bCs/>
            <w:lang w:val="es-ES" w:eastAsia="es-ES"/>
          </w:rPr>
          <w:t>Duquejuanchi@gmail.com</w:t>
        </w:r>
      </w:hyperlink>
      <w:r w:rsidRPr="7FD69A16">
        <w:rPr>
          <w:rFonts w:ascii="Verdana" w:eastAsia="Verdana" w:hAnsi="Verdana" w:cs="Verdana"/>
          <w:b/>
          <w:bCs/>
          <w:lang w:val="es-ES" w:eastAsia="es-ES"/>
        </w:rPr>
        <w:t xml:space="preserve"> </w:t>
      </w:r>
    </w:p>
    <w:p w14:paraId="4F80D3DF" w14:textId="6D32C12D" w:rsidR="004519C2" w:rsidRDefault="004519C2" w:rsidP="004519C2">
      <w:pPr>
        <w:rPr>
          <w:rFonts w:ascii="Verdana" w:eastAsia="Verdana" w:hAnsi="Verdana" w:cs="Verdana"/>
          <w:lang w:val="es-ES"/>
        </w:rPr>
      </w:pPr>
      <w:r w:rsidRPr="7FD69A16">
        <w:rPr>
          <w:rFonts w:ascii="Verdana" w:eastAsia="Verdana" w:hAnsi="Verdana" w:cs="Verdana"/>
          <w:lang w:val="es-ES"/>
        </w:rPr>
        <w:t>Medellín, Antioquia</w:t>
      </w:r>
    </w:p>
    <w:p w14:paraId="1FAD60D3" w14:textId="211A13CB" w:rsidR="000E601C" w:rsidRDefault="000E601C" w:rsidP="000E601C">
      <w:pPr>
        <w:jc w:val="right"/>
      </w:pPr>
    </w:p>
    <w:p w14:paraId="1C4CE8C9" w14:textId="77777777" w:rsidR="004519C2" w:rsidRPr="004940D5" w:rsidRDefault="004519C2" w:rsidP="004519C2">
      <w:pPr>
        <w:spacing w:after="0" w:line="240" w:lineRule="auto"/>
        <w:rPr>
          <w:rFonts w:ascii="Verdana" w:eastAsia="Calibri" w:hAnsi="Verdana" w:cs="Arial"/>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19C2" w:rsidRPr="004940D5" w14:paraId="4FD64AFA" w14:textId="77777777" w:rsidTr="00C65553">
        <w:trPr>
          <w:trHeight w:val="989"/>
        </w:trPr>
        <w:tc>
          <w:tcPr>
            <w:tcW w:w="2689" w:type="dxa"/>
          </w:tcPr>
          <w:p w14:paraId="4D8B182C" w14:textId="77777777" w:rsidR="004519C2" w:rsidRPr="00244D0A" w:rsidRDefault="004519C2" w:rsidP="00C65553">
            <w:pPr>
              <w:jc w:val="both"/>
              <w:rPr>
                <w:rFonts w:ascii="Verdana" w:eastAsia="Calibri" w:hAnsi="Verdana" w:cs="Arial"/>
                <w:b/>
                <w:bCs/>
                <w:color w:val="7030A0"/>
                <w:lang w:val="es-ES" w:eastAsia="es-ES"/>
              </w:rPr>
            </w:pPr>
          </w:p>
        </w:tc>
        <w:tc>
          <w:tcPr>
            <w:tcW w:w="6100" w:type="dxa"/>
          </w:tcPr>
          <w:p w14:paraId="6C2B2FD1" w14:textId="77777777" w:rsidR="004519C2" w:rsidRPr="00244D0A" w:rsidRDefault="004519C2" w:rsidP="00C65553">
            <w:pPr>
              <w:jc w:val="both"/>
              <w:rPr>
                <w:rFonts w:ascii="Verdana" w:eastAsia="Calibri" w:hAnsi="Verdana" w:cs="Arial"/>
                <w:b/>
                <w:bCs/>
                <w:lang w:val="es-ES" w:eastAsia="es-ES"/>
              </w:rPr>
            </w:pPr>
            <w:r w:rsidRPr="00244D0A">
              <w:rPr>
                <w:rFonts w:ascii="Verdana" w:eastAsia="Calibri" w:hAnsi="Verdana" w:cs="Arial"/>
                <w:b/>
                <w:bCs/>
                <w:lang w:val="es-ES" w:eastAsia="es-ES"/>
              </w:rPr>
              <w:t xml:space="preserve"> Concepto </w:t>
            </w:r>
            <w:r w:rsidRPr="00244D0A">
              <w:rPr>
                <w:rFonts w:ascii="Verdana" w:eastAsia="Calibri" w:hAnsi="Verdana" w:cs="Arial"/>
                <w:b/>
                <w:bCs/>
                <w:lang w:eastAsia="es-ES"/>
              </w:rPr>
              <w:t xml:space="preserve">C-1556 de </w:t>
            </w:r>
            <w:r w:rsidRPr="00244D0A">
              <w:rPr>
                <w:rFonts w:ascii="Verdana" w:eastAsia="Calibri" w:hAnsi="Verdana" w:cs="Arial"/>
                <w:b/>
                <w:bCs/>
                <w:lang w:val="es-ES" w:eastAsia="es-ES"/>
              </w:rPr>
              <w:t xml:space="preserve">2026 </w:t>
            </w:r>
          </w:p>
        </w:tc>
      </w:tr>
      <w:tr w:rsidR="004519C2" w:rsidRPr="004940D5" w14:paraId="5B05EA01" w14:textId="77777777" w:rsidTr="00C65553">
        <w:trPr>
          <w:trHeight w:val="1967"/>
        </w:trPr>
        <w:tc>
          <w:tcPr>
            <w:tcW w:w="2689" w:type="dxa"/>
          </w:tcPr>
          <w:p w14:paraId="6B0741F1" w14:textId="77777777" w:rsidR="004519C2" w:rsidRPr="00244D0A" w:rsidRDefault="004519C2" w:rsidP="00C65553">
            <w:pPr>
              <w:jc w:val="both"/>
              <w:rPr>
                <w:rFonts w:ascii="Verdana" w:eastAsia="Calibri" w:hAnsi="Verdana" w:cs="Arial"/>
                <w:color w:val="000000"/>
                <w:lang w:val="es-ES" w:eastAsia="es-ES"/>
              </w:rPr>
            </w:pPr>
            <w:r w:rsidRPr="00244D0A">
              <w:rPr>
                <w:rFonts w:ascii="Verdana" w:eastAsia="Calibri" w:hAnsi="Verdana" w:cs="Arial"/>
                <w:b/>
                <w:bCs/>
                <w:color w:val="000000" w:themeColor="text1"/>
                <w:lang w:val="es-ES" w:eastAsia="es-ES"/>
              </w:rPr>
              <w:t>Temas:</w:t>
            </w:r>
            <w:r w:rsidRPr="00244D0A">
              <w:rPr>
                <w:rFonts w:ascii="Verdana" w:eastAsia="Calibri" w:hAnsi="Verdana" w:cs="Arial"/>
                <w:color w:val="000000" w:themeColor="text1"/>
                <w:lang w:val="es-ES" w:eastAsia="es-ES"/>
              </w:rPr>
              <w:t xml:space="preserve">                   </w:t>
            </w:r>
          </w:p>
        </w:tc>
        <w:tc>
          <w:tcPr>
            <w:tcW w:w="6100" w:type="dxa"/>
          </w:tcPr>
          <w:p w14:paraId="1079B4B0" w14:textId="77777777" w:rsidR="004519C2" w:rsidRPr="00244D0A" w:rsidRDefault="004519C2" w:rsidP="00C65553">
            <w:pPr>
              <w:jc w:val="both"/>
              <w:rPr>
                <w:rFonts w:ascii="Verdana" w:eastAsia="Times New Roman" w:hAnsi="Verdana" w:cs="Arial"/>
                <w:lang w:eastAsia="es-ES"/>
              </w:rPr>
            </w:pPr>
            <w:r w:rsidRPr="00244D0A">
              <w:rPr>
                <w:rFonts w:ascii="Verdana" w:eastAsia="Times New Roman" w:hAnsi="Verdana" w:cs="Arial"/>
                <w:lang w:eastAsia="es-ES"/>
              </w:rPr>
              <w:t xml:space="preserve">CONTRATO ESTATAL – Perfeccionamiento del contrato / MODIFICACIÓN DEL CONTRATO – Modificación bilateral – Perfeccionamiento – Acuerdo de voluntades – Formalización escrita – Prorroga del plazo de ejecución – Límites temporales de modificación / SISTEMA ELECTRONICO PARA LA CONTRATACIÓN PÚBLICA SECOP II – Plataforma transaccional – Formalización electrónica de modificaciones contractuales – Aprobación – Suscripción – Incorporación de documentos al expediente / PUBLICIDAD CONTRACTUAL – Publicación de modificaciones contractuales – Deber de publicidad – Término de publicación – Publicación extemporánea – Efectos jurídicos </w:t>
            </w:r>
          </w:p>
          <w:p w14:paraId="28157A6A" w14:textId="77777777" w:rsidR="004519C2" w:rsidRPr="00244D0A" w:rsidRDefault="004519C2" w:rsidP="00C65553">
            <w:pPr>
              <w:jc w:val="both"/>
              <w:textAlignment w:val="baseline"/>
              <w:rPr>
                <w:rFonts w:ascii="Verdana" w:eastAsia="Times New Roman" w:hAnsi="Verdana" w:cs="Arial"/>
                <w:lang w:eastAsia="es-ES"/>
              </w:rPr>
            </w:pPr>
          </w:p>
        </w:tc>
      </w:tr>
      <w:tr w:rsidR="004519C2" w:rsidRPr="004940D5" w14:paraId="4441D7C7" w14:textId="77777777" w:rsidTr="00C65553">
        <w:trPr>
          <w:trHeight w:val="328"/>
        </w:trPr>
        <w:tc>
          <w:tcPr>
            <w:tcW w:w="2689" w:type="dxa"/>
          </w:tcPr>
          <w:p w14:paraId="0CEF1CBB" w14:textId="77777777" w:rsidR="004519C2" w:rsidRPr="004940D5" w:rsidRDefault="004519C2" w:rsidP="00C65553">
            <w:pPr>
              <w:jc w:val="both"/>
              <w:rPr>
                <w:rFonts w:ascii="Verdana" w:eastAsia="Calibri" w:hAnsi="Verdana" w:cs="Arial"/>
                <w:b/>
                <w:lang w:val="es-ES_tradnl" w:eastAsia="es-ES_tradnl"/>
              </w:rPr>
            </w:pPr>
            <w:r w:rsidRPr="004940D5">
              <w:rPr>
                <w:rFonts w:ascii="Verdana" w:eastAsia="Calibri" w:hAnsi="Verdana" w:cs="Arial"/>
                <w:b/>
                <w:lang w:val="es-ES_tradnl" w:eastAsia="es-ES_tradnl"/>
              </w:rPr>
              <w:t xml:space="preserve"> Radicación:               </w:t>
            </w:r>
          </w:p>
        </w:tc>
        <w:tc>
          <w:tcPr>
            <w:tcW w:w="6100" w:type="dxa"/>
          </w:tcPr>
          <w:p w14:paraId="4C2DE8C8" w14:textId="6282783B" w:rsidR="004519C2" w:rsidRPr="004940D5" w:rsidRDefault="004519C2" w:rsidP="00C65553">
            <w:pPr>
              <w:jc w:val="both"/>
            </w:pPr>
            <w:r w:rsidRPr="7FD69A16">
              <w:rPr>
                <w:rFonts w:ascii="Verdana" w:eastAsia="Calibri" w:hAnsi="Verdana" w:cs="Arial"/>
                <w:lang w:val="es-ES" w:eastAsia="es-ES"/>
              </w:rPr>
              <w:t xml:space="preserve">Respuesta a consulta con radicado No. </w:t>
            </w:r>
            <w:r w:rsidRPr="7FD69A16">
              <w:rPr>
                <w:rFonts w:ascii="Verdana" w:eastAsia="Verdana" w:hAnsi="Verdana" w:cs="Verdana"/>
                <w:lang w:val="es-ES"/>
              </w:rPr>
              <w:t>1_2026_10_02_013300</w:t>
            </w:r>
          </w:p>
          <w:p w14:paraId="18481900" w14:textId="77777777" w:rsidR="004519C2" w:rsidRPr="004940D5" w:rsidRDefault="004519C2" w:rsidP="00C65553">
            <w:pPr>
              <w:jc w:val="both"/>
              <w:rPr>
                <w:rFonts w:ascii="Verdana" w:eastAsia="Calibri" w:hAnsi="Verdana" w:cs="Arial"/>
                <w:bCs/>
                <w:lang w:eastAsia="es-ES_tradnl"/>
              </w:rPr>
            </w:pPr>
          </w:p>
          <w:p w14:paraId="20F3CE66" w14:textId="77777777" w:rsidR="004519C2" w:rsidRPr="004940D5" w:rsidRDefault="004519C2" w:rsidP="00C65553">
            <w:pPr>
              <w:jc w:val="both"/>
              <w:rPr>
                <w:rFonts w:ascii="Verdana" w:eastAsia="Calibri" w:hAnsi="Verdana" w:cs="Arial"/>
                <w:bCs/>
                <w:lang w:val="es-ES_tradnl" w:eastAsia="es-ES_tradnl"/>
              </w:rPr>
            </w:pPr>
          </w:p>
        </w:tc>
      </w:tr>
    </w:tbl>
    <w:p w14:paraId="2CFFB407" w14:textId="77777777" w:rsidR="004519C2" w:rsidRPr="004940D5" w:rsidRDefault="004519C2" w:rsidP="004519C2">
      <w:pPr>
        <w:spacing w:after="0" w:line="276" w:lineRule="auto"/>
        <w:jc w:val="both"/>
        <w:rPr>
          <w:rFonts w:ascii="Verdana" w:eastAsia="Calibri" w:hAnsi="Verdana" w:cs="Arial"/>
          <w:color w:val="000000" w:themeColor="text1"/>
          <w:lang w:val="es-ES" w:eastAsia="es-ES"/>
        </w:rPr>
      </w:pPr>
      <w:r w:rsidRPr="7FD69A16">
        <w:rPr>
          <w:rFonts w:ascii="Verdana" w:eastAsia="Calibri" w:hAnsi="Verdana" w:cs="Arial"/>
          <w:color w:val="000000" w:themeColor="text1"/>
          <w:lang w:val="es-ES" w:eastAsia="es-ES"/>
        </w:rPr>
        <w:t xml:space="preserve">Estimado Señor Duque, Cordial saludo, </w:t>
      </w:r>
    </w:p>
    <w:p w14:paraId="68AA3600" w14:textId="77777777" w:rsidR="004519C2" w:rsidRPr="004940D5" w:rsidRDefault="004519C2" w:rsidP="004519C2">
      <w:pPr>
        <w:spacing w:after="0" w:line="276" w:lineRule="auto"/>
        <w:jc w:val="both"/>
        <w:rPr>
          <w:rFonts w:ascii="Verdana" w:eastAsia="Calibri" w:hAnsi="Verdana" w:cs="Arial"/>
          <w:color w:val="000000" w:themeColor="text1"/>
          <w:lang w:val="es-ES" w:eastAsia="es-ES"/>
        </w:rPr>
      </w:pPr>
    </w:p>
    <w:p w14:paraId="64E68673" w14:textId="77777777" w:rsidR="004519C2" w:rsidRPr="004940D5" w:rsidRDefault="004519C2" w:rsidP="004519C2">
      <w:pPr>
        <w:spacing w:after="0" w:line="276" w:lineRule="auto"/>
        <w:jc w:val="both"/>
        <w:rPr>
          <w:rFonts w:ascii="Verdana" w:eastAsia="Calibri" w:hAnsi="Verdana" w:cs="Arial"/>
          <w:lang w:val="es-ES" w:eastAsia="es-ES"/>
        </w:rPr>
      </w:pPr>
      <w:r w:rsidRPr="7FD69A16">
        <w:rPr>
          <w:rFonts w:ascii="Verdana" w:eastAsia="Calibri" w:hAnsi="Verdana" w:cs="Arial"/>
          <w:color w:val="000000" w:themeColor="text1"/>
          <w:lang w:val="es-ES" w:eastAsia="es-ES"/>
        </w:rPr>
        <w:t>En ejercicio de la competencia otorgada por los artículos 3, numeral 5º, y 11, numeral 8º, del Decreto Ley 4170 de 2011,</w:t>
      </w:r>
      <w:r w:rsidRPr="7FD69A16">
        <w:rPr>
          <w:rFonts w:ascii="Verdana" w:eastAsia="Arial MT" w:hAnsi="Verdana" w:cs="Arial MT"/>
          <w:lang w:val="es-ES" w:eastAsia="es-ES"/>
        </w:rPr>
        <w:t xml:space="preserve"> </w:t>
      </w:r>
      <w:r w:rsidRPr="7FD69A16">
        <w:rPr>
          <w:rFonts w:ascii="Verdana" w:hAnsi="Verdana" w:cs="Arial"/>
        </w:rPr>
        <w:t xml:space="preserve">así como lo establecido la </w:t>
      </w:r>
      <w:r w:rsidRPr="7FD69A16">
        <w:rPr>
          <w:rFonts w:ascii="Verdana" w:eastAsia="Verdana" w:hAnsi="Verdana" w:cs="Verdana"/>
          <w:color w:val="000000" w:themeColor="text1"/>
        </w:rPr>
        <w:t>Resolución 469 de 2025</w:t>
      </w:r>
      <w:r w:rsidRPr="7FD69A16">
        <w:rPr>
          <w:rFonts w:ascii="Verdana" w:hAnsi="Verdana" w:cs="Arial"/>
        </w:rPr>
        <w:t xml:space="preserve"> expedida por esta Entidad, </w:t>
      </w:r>
      <w:r w:rsidRPr="7FD69A1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7FD69A16">
        <w:rPr>
          <w:rFonts w:ascii="Verdana" w:eastAsia="Calibri" w:hAnsi="Verdana" w:cs="Arial"/>
          <w:lang w:val="es-ES" w:eastAsia="es-ES"/>
        </w:rPr>
        <w:t xml:space="preserve">02 de octubre de 2026, en la cual manifiesta lo siguiente: </w:t>
      </w:r>
    </w:p>
    <w:p w14:paraId="7AC0CB8E" w14:textId="77777777" w:rsidR="004519C2" w:rsidRPr="004940D5" w:rsidRDefault="004519C2" w:rsidP="004519C2">
      <w:pPr>
        <w:spacing w:after="0" w:line="276" w:lineRule="auto"/>
        <w:jc w:val="both"/>
        <w:rPr>
          <w:rFonts w:ascii="Verdana" w:eastAsia="Calibri" w:hAnsi="Verdana" w:cs="Arial"/>
          <w:color w:val="7030A0"/>
          <w:lang w:val="es-ES" w:eastAsia="es-ES"/>
        </w:rPr>
      </w:pPr>
    </w:p>
    <w:p w14:paraId="514E085C" w14:textId="77777777" w:rsidR="004519C2" w:rsidRPr="005865AC" w:rsidRDefault="004519C2" w:rsidP="004519C2">
      <w:pPr>
        <w:pStyle w:val="Prrafodelista"/>
        <w:spacing w:after="0" w:line="240" w:lineRule="auto"/>
        <w:ind w:left="709" w:right="709"/>
        <w:jc w:val="both"/>
      </w:pPr>
      <w:r w:rsidRPr="7FD69A16">
        <w:rPr>
          <w:rFonts w:ascii="Verdana" w:eastAsia="Calibri" w:hAnsi="Verdana" w:cs="Arial"/>
          <w:i/>
          <w:iCs/>
          <w:color w:val="000000" w:themeColor="text1"/>
          <w:sz w:val="20"/>
          <w:szCs w:val="20"/>
          <w:lang w:eastAsia="es-ES"/>
        </w:rPr>
        <w:t>“Asunto: Solicitud de concepto sobre el perfeccionamiento, aprobación y</w:t>
      </w:r>
    </w:p>
    <w:p w14:paraId="39A3A257" w14:textId="77777777" w:rsidR="004519C2" w:rsidRPr="005865AC" w:rsidRDefault="004519C2" w:rsidP="004519C2">
      <w:pPr>
        <w:pStyle w:val="Prrafodelista"/>
        <w:spacing w:after="0" w:line="240" w:lineRule="auto"/>
        <w:ind w:left="709" w:right="709"/>
        <w:jc w:val="both"/>
      </w:pPr>
      <w:r w:rsidRPr="7FD69A16">
        <w:rPr>
          <w:rFonts w:ascii="Verdana" w:eastAsia="Calibri" w:hAnsi="Verdana" w:cs="Arial"/>
          <w:i/>
          <w:iCs/>
          <w:color w:val="000000" w:themeColor="text1"/>
          <w:sz w:val="20"/>
          <w:szCs w:val="20"/>
          <w:lang w:eastAsia="es-ES"/>
        </w:rPr>
        <w:t>publicación de modificaciones contractuales y prórrogas en SECOP II</w:t>
      </w:r>
    </w:p>
    <w:p w14:paraId="5597B32E" w14:textId="77777777" w:rsidR="004519C2" w:rsidRPr="005865AC" w:rsidRDefault="004519C2" w:rsidP="004519C2">
      <w:pPr>
        <w:pStyle w:val="Prrafodelista"/>
        <w:spacing w:after="0" w:line="240" w:lineRule="auto"/>
        <w:ind w:left="709" w:right="709"/>
        <w:jc w:val="both"/>
        <w:rPr>
          <w:rFonts w:ascii="Verdana" w:eastAsia="Calibri" w:hAnsi="Verdana" w:cs="Arial"/>
          <w:i/>
          <w:iCs/>
          <w:color w:val="000000" w:themeColor="text1"/>
          <w:sz w:val="20"/>
          <w:szCs w:val="20"/>
          <w:lang w:eastAsia="es-ES"/>
        </w:rPr>
      </w:pPr>
    </w:p>
    <w:p w14:paraId="37C1C1CE" w14:textId="77777777" w:rsidR="004519C2" w:rsidRPr="005865AC" w:rsidRDefault="004519C2" w:rsidP="004519C2">
      <w:pPr>
        <w:pStyle w:val="Prrafodelista"/>
        <w:spacing w:after="0" w:line="240" w:lineRule="auto"/>
        <w:ind w:left="709" w:right="709"/>
        <w:jc w:val="both"/>
      </w:pPr>
      <w:r w:rsidRPr="7FD69A16">
        <w:rPr>
          <w:rFonts w:ascii="Verdana" w:eastAsia="Calibri" w:hAnsi="Verdana" w:cs="Arial"/>
          <w:i/>
          <w:iCs/>
          <w:color w:val="000000" w:themeColor="text1"/>
          <w:sz w:val="20"/>
          <w:szCs w:val="20"/>
          <w:lang w:eastAsia="es-ES"/>
        </w:rPr>
        <w:t>Respetados señores:</w:t>
      </w:r>
    </w:p>
    <w:p w14:paraId="1F34CA5D" w14:textId="77777777" w:rsidR="004519C2" w:rsidRPr="005865AC" w:rsidRDefault="004519C2" w:rsidP="004519C2">
      <w:pPr>
        <w:pStyle w:val="Prrafodelista"/>
        <w:spacing w:after="0" w:line="240" w:lineRule="auto"/>
        <w:ind w:left="709" w:right="709"/>
        <w:jc w:val="both"/>
      </w:pPr>
      <w:r w:rsidRPr="7FD69A16">
        <w:rPr>
          <w:rFonts w:ascii="Verdana" w:eastAsia="Calibri" w:hAnsi="Verdana" w:cs="Arial"/>
          <w:i/>
          <w:iCs/>
          <w:color w:val="000000" w:themeColor="text1"/>
          <w:sz w:val="20"/>
          <w:szCs w:val="20"/>
          <w:lang w:eastAsia="es-ES"/>
        </w:rPr>
        <w:t>De manera atenta, se solicita a la Agencia Nacional de Contratación Pública – Colombia Compra Eficiente emitir concepto jurídico de carácter general respecto del momento en que se entiende perfeccionada una modificación bilateral de un contrato estatal, particularmente cuando esta tiene por objeto prorrogar el plazo de ejecución, así como sobre los efectos jurídicos que tiene la aprobación y publicación de dicha modificación en la plataforma SECOP II.</w:t>
      </w:r>
    </w:p>
    <w:p w14:paraId="4744130C" w14:textId="77777777" w:rsidR="004519C2" w:rsidRPr="005865AC" w:rsidRDefault="004519C2" w:rsidP="004519C2">
      <w:pPr>
        <w:pStyle w:val="Prrafodelista"/>
        <w:spacing w:after="0" w:line="240" w:lineRule="auto"/>
        <w:ind w:left="709" w:right="709"/>
        <w:jc w:val="both"/>
        <w:rPr>
          <w:rFonts w:ascii="Verdana" w:eastAsia="Calibri" w:hAnsi="Verdana" w:cs="Arial"/>
          <w:i/>
          <w:iCs/>
          <w:color w:val="000000" w:themeColor="text1"/>
          <w:sz w:val="20"/>
          <w:szCs w:val="20"/>
          <w:lang w:eastAsia="es-ES"/>
        </w:rPr>
      </w:pPr>
    </w:p>
    <w:p w14:paraId="199B9538" w14:textId="77777777" w:rsidR="004519C2" w:rsidRPr="00334B7E" w:rsidRDefault="004519C2" w:rsidP="004519C2">
      <w:pPr>
        <w:pStyle w:val="Prrafodelista"/>
        <w:spacing w:after="0" w:line="240" w:lineRule="auto"/>
        <w:ind w:left="709" w:right="709"/>
        <w:jc w:val="both"/>
        <w:rPr>
          <w:rFonts w:ascii="Verdana" w:eastAsia="Verdana" w:hAnsi="Verdana" w:cs="Verdana"/>
          <w:color w:val="000000" w:themeColor="text1"/>
          <w:sz w:val="20"/>
          <w:szCs w:val="20"/>
        </w:rPr>
      </w:pPr>
      <w:r w:rsidRPr="7FD69A16">
        <w:rPr>
          <w:rFonts w:ascii="Verdana" w:eastAsia="Calibri" w:hAnsi="Verdana" w:cs="Arial"/>
          <w:i/>
          <w:iCs/>
          <w:color w:val="000000" w:themeColor="text1"/>
          <w:sz w:val="20"/>
          <w:szCs w:val="20"/>
          <w:lang w:eastAsia="es-ES"/>
        </w:rPr>
        <w:t>La consulta se formula con el propósito de precisar la diferencia existente entre la formación y perfeccionamiento del acuerdo modificatorio, su aprobación mediante los mecanismos electrónicos dispuestos en SECOP II y el cumplimiento posterior del deber de publicidad, especialmente cuando alguno de estos hitos ocurre en una fecha u hora posterior al vencimiento del plazo inicialmente:</w:t>
      </w:r>
      <w:r w:rsidRPr="7FD69A16">
        <w:rPr>
          <w:rFonts w:ascii="Verdana" w:eastAsia="Verdana" w:hAnsi="Verdana" w:cs="Verdana"/>
          <w:i/>
          <w:iCs/>
          <w:color w:val="000000" w:themeColor="text1"/>
          <w:sz w:val="20"/>
          <w:szCs w:val="20"/>
          <w:lang w:val="es-CO"/>
        </w:rPr>
        <w:t>”</w:t>
      </w:r>
    </w:p>
    <w:p w14:paraId="00B8415E" w14:textId="77777777" w:rsidR="004519C2" w:rsidRPr="004940D5" w:rsidRDefault="004519C2" w:rsidP="004519C2">
      <w:pPr>
        <w:spacing w:after="0" w:line="240" w:lineRule="auto"/>
        <w:ind w:left="709" w:right="709"/>
        <w:jc w:val="both"/>
        <w:rPr>
          <w:rFonts w:ascii="Verdana" w:eastAsia="Calibri" w:hAnsi="Verdana" w:cs="Arial"/>
          <w:i/>
          <w:iCs/>
          <w:color w:val="000000"/>
          <w:sz w:val="20"/>
          <w:szCs w:val="20"/>
          <w:lang w:eastAsia="es-ES"/>
        </w:rPr>
      </w:pPr>
    </w:p>
    <w:p w14:paraId="37B05338" w14:textId="77777777" w:rsidR="004519C2" w:rsidRPr="004940D5" w:rsidRDefault="004519C2" w:rsidP="004519C2">
      <w:pPr>
        <w:spacing w:after="120" w:line="276" w:lineRule="auto"/>
        <w:ind w:firstLine="709"/>
        <w:jc w:val="both"/>
        <w:rPr>
          <w:rFonts w:ascii="Verdana" w:eastAsia="Calibri" w:hAnsi="Verdana" w:cs="Arial"/>
          <w:color w:val="000000"/>
          <w:szCs w:val="24"/>
          <w:lang w:val="es-ES_tradnl" w:eastAsia="es-ES_tradnl"/>
        </w:rPr>
      </w:pPr>
      <w:r w:rsidRPr="004940D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940D5">
        <w:rPr>
          <w:rFonts w:ascii="Verdana" w:eastAsia="Calibri" w:hAnsi="Verdana" w:cs="Arial"/>
          <w:color w:val="000000"/>
          <w:szCs w:val="24"/>
          <w:lang w:val="es-ES_tradnl" w:eastAsia="es-ES_tradnl"/>
        </w:rPr>
        <w:tab/>
      </w:r>
    </w:p>
    <w:p w14:paraId="02755B4C" w14:textId="77777777" w:rsidR="004519C2" w:rsidRPr="004940D5" w:rsidRDefault="004519C2" w:rsidP="004519C2">
      <w:pPr>
        <w:spacing w:after="0" w:line="276" w:lineRule="auto"/>
        <w:ind w:firstLine="709"/>
        <w:jc w:val="both"/>
        <w:rPr>
          <w:rFonts w:ascii="Verdana" w:eastAsia="Calibri" w:hAnsi="Verdana" w:cs="Arial"/>
          <w:color w:val="000000"/>
          <w:lang w:val="es-ES" w:eastAsia="es-ES"/>
        </w:rPr>
      </w:pPr>
      <w:r w:rsidRPr="004940D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4940D5">
        <w:rPr>
          <w:rFonts w:ascii="Verdana" w:eastAsia="Calibri" w:hAnsi="Verdana" w:cs="Arial"/>
          <w:lang w:val="es-ES" w:eastAsia="es-ES"/>
        </w:rPr>
        <w:t xml:space="preserve">el problema </w:t>
      </w:r>
      <w:r w:rsidRPr="004940D5">
        <w:rPr>
          <w:rFonts w:ascii="Verdana" w:eastAsia="Calibri" w:hAnsi="Verdana" w:cs="Arial"/>
          <w:color w:val="000000"/>
          <w:lang w:val="es-ES" w:eastAsia="es-ES"/>
        </w:rPr>
        <w:t xml:space="preserve">jurídico de su consulta. </w:t>
      </w:r>
    </w:p>
    <w:p w14:paraId="6B3C2A47" w14:textId="77777777" w:rsidR="004519C2" w:rsidRPr="004940D5" w:rsidRDefault="004519C2" w:rsidP="004519C2">
      <w:pPr>
        <w:spacing w:after="0" w:line="276" w:lineRule="auto"/>
        <w:jc w:val="both"/>
        <w:rPr>
          <w:rFonts w:ascii="Verdana" w:eastAsia="Calibri" w:hAnsi="Verdana" w:cs="Arial"/>
          <w:color w:val="000000"/>
          <w:lang w:val="es-ES" w:eastAsia="es-ES"/>
        </w:rPr>
      </w:pPr>
    </w:p>
    <w:p w14:paraId="7E2EE46C" w14:textId="77777777" w:rsidR="004519C2" w:rsidRPr="004940D5" w:rsidRDefault="004519C2" w:rsidP="004519C2">
      <w:pPr>
        <w:pStyle w:val="Prrafodelista"/>
        <w:numPr>
          <w:ilvl w:val="0"/>
          <w:numId w:val="5"/>
        </w:numPr>
        <w:tabs>
          <w:tab w:val="left" w:pos="142"/>
          <w:tab w:val="left" w:pos="284"/>
        </w:tabs>
        <w:spacing w:after="0" w:line="276" w:lineRule="auto"/>
        <w:ind w:left="0" w:firstLine="0"/>
        <w:jc w:val="both"/>
        <w:rPr>
          <w:rFonts w:ascii="Verdana" w:eastAsia="Century Gothic" w:hAnsi="Verdana" w:cs="Century Gothic"/>
          <w:b/>
          <w:bCs/>
        </w:rPr>
      </w:pPr>
      <w:r w:rsidRPr="004940D5">
        <w:rPr>
          <w:rFonts w:ascii="Verdana" w:eastAsia="Century Gothic" w:hAnsi="Verdana" w:cs="Century Gothic"/>
          <w:b/>
          <w:bCs/>
        </w:rPr>
        <w:t>Problema planteado:</w:t>
      </w:r>
    </w:p>
    <w:p w14:paraId="67FDF31A" w14:textId="77777777" w:rsidR="004519C2" w:rsidRPr="004940D5" w:rsidRDefault="004519C2" w:rsidP="004519C2">
      <w:pPr>
        <w:spacing w:after="0" w:line="276" w:lineRule="auto"/>
        <w:jc w:val="both"/>
        <w:rPr>
          <w:rFonts w:ascii="Verdana" w:eastAsia="Century Gothic" w:hAnsi="Verdana" w:cs="Century Gothic"/>
        </w:rPr>
      </w:pPr>
    </w:p>
    <w:p w14:paraId="14640DA1" w14:textId="77777777" w:rsidR="004519C2" w:rsidRDefault="004519C2" w:rsidP="004519C2">
      <w:pPr>
        <w:spacing w:after="0" w:line="276" w:lineRule="auto"/>
        <w:jc w:val="both"/>
        <w:rPr>
          <w:rFonts w:ascii="Verdana" w:eastAsia="Century Gothic" w:hAnsi="Verdana" w:cs="Century Gothic"/>
        </w:rPr>
      </w:pPr>
      <w:r w:rsidRPr="7FD69A16">
        <w:rPr>
          <w:rFonts w:ascii="Verdana" w:eastAsia="Century Gothic" w:hAnsi="Verdana" w:cs="Century Gothic"/>
        </w:rPr>
        <w:t xml:space="preserve">De acuerdo con el contenido de su solicitud, esta Agencia abordará el siguiente problema jurídico: </w:t>
      </w:r>
      <w:r w:rsidRPr="7FD69A16">
        <w:rPr>
          <w:rFonts w:ascii="Verdana" w:eastAsia="Century Gothic" w:hAnsi="Verdana" w:cs="Century Gothic"/>
          <w:b/>
          <w:bCs/>
        </w:rPr>
        <w:t>i)</w:t>
      </w:r>
      <w:r w:rsidRPr="7FD69A16">
        <w:rPr>
          <w:rFonts w:ascii="Verdana" w:eastAsia="Century Gothic" w:hAnsi="Verdana" w:cs="Century Gothic"/>
        </w:rPr>
        <w:t xml:space="preserve"> ¿En qué momento se entiende perfeccionada una modificación bilateral de un contrato estatal que tiene por objeto prorrogar el plazo de ejecución? </w:t>
      </w:r>
      <w:r w:rsidRPr="7FD69A16">
        <w:rPr>
          <w:rFonts w:ascii="Verdana" w:eastAsia="Century Gothic" w:hAnsi="Verdana" w:cs="Century Gothic"/>
          <w:b/>
          <w:bCs/>
        </w:rPr>
        <w:t>ii)</w:t>
      </w:r>
      <w:r w:rsidRPr="7FD69A16">
        <w:rPr>
          <w:rFonts w:ascii="Verdana" w:eastAsia="Century Gothic" w:hAnsi="Verdana" w:cs="Century Gothic"/>
        </w:rPr>
        <w:t xml:space="preserve"> ¿Cuáles son los efectos jurídicos de su aprobación mediante mecanismos electrónicos dispuestos en SECOP II y de su posterior publicación, particularmente cuando alguno de estos hitos tiene lugar después del vencimiento del plazo inicialmente pactado?</w:t>
      </w:r>
    </w:p>
    <w:p w14:paraId="5D6BA384" w14:textId="77777777" w:rsidR="004519C2" w:rsidRPr="00244D0A" w:rsidRDefault="004519C2" w:rsidP="004519C2">
      <w:pPr>
        <w:spacing w:after="0" w:line="276" w:lineRule="auto"/>
        <w:jc w:val="both"/>
        <w:rPr>
          <w:rFonts w:ascii="Verdana" w:eastAsia="Century Gothic" w:hAnsi="Verdana" w:cs="Century Gothic"/>
        </w:rPr>
      </w:pPr>
    </w:p>
    <w:p w14:paraId="056CEA7B" w14:textId="77777777" w:rsidR="004519C2" w:rsidRPr="00244D0A" w:rsidRDefault="004519C2" w:rsidP="004519C2">
      <w:pPr>
        <w:pStyle w:val="Prrafodelista"/>
        <w:numPr>
          <w:ilvl w:val="0"/>
          <w:numId w:val="5"/>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44D0A">
        <w:rPr>
          <w:rFonts w:ascii="Verdana" w:eastAsia="Century Gothic" w:hAnsi="Verdana" w:cs="Century Gothic"/>
          <w:b/>
          <w:bCs/>
        </w:rPr>
        <w:t>Respuesta:</w:t>
      </w:r>
    </w:p>
    <w:p w14:paraId="3E6C16E6" w14:textId="77777777" w:rsidR="004519C2" w:rsidRPr="00244D0A" w:rsidRDefault="004519C2" w:rsidP="004519C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519C2" w:rsidRPr="00244D0A" w14:paraId="4547D7FD" w14:textId="77777777" w:rsidTr="00C65553">
        <w:tc>
          <w:tcPr>
            <w:tcW w:w="8828" w:type="dxa"/>
          </w:tcPr>
          <w:p w14:paraId="53B74175" w14:textId="77777777" w:rsidR="004519C2" w:rsidRPr="00244D0A" w:rsidRDefault="004519C2" w:rsidP="00C65553">
            <w:pPr>
              <w:spacing w:after="120" w:line="276" w:lineRule="auto"/>
              <w:jc w:val="both"/>
              <w:rPr>
                <w:rFonts w:ascii="Verdana" w:eastAsia="Calibri" w:hAnsi="Verdana" w:cs="Arial"/>
              </w:rPr>
            </w:pPr>
            <w:r w:rsidRPr="00244D0A">
              <w:rPr>
                <w:rFonts w:ascii="Verdana" w:eastAsia="Calibri" w:hAnsi="Verdana" w:cs="Arial"/>
                <w:b/>
                <w:bCs/>
              </w:rPr>
              <w:t>i.</w:t>
            </w:r>
            <w:r w:rsidRPr="00244D0A">
              <w:rPr>
                <w:rFonts w:ascii="Verdana" w:eastAsia="Calibri" w:hAnsi="Verdana" w:cs="Arial"/>
              </w:rPr>
              <w:t xml:space="preserve"> Antes de responder en concreto el primer problema jurídico planteado es necesario abordar la regla general, consistente en que las actuaciones del proceso de contratación de las entidades deben surtirse en el SECOP II y de manera transaccional. En ejercicio de las funciones que le confieren los numerales 2, 5 y 8 del artículo 3 del Decreto Ley 4170 de 2011, esta Agencia ha dispuesto mediante circulares externas de obligatorio cumplimiento, que los procesos de contratación de las entidades allí relacionadas “deberán gestionarse, exclusivamente en el SECOP II”, medida que cobija todas las modalidades de selección del Estatuto General de Contratación de la Administración Pública y también los procesos sujetos a un régimen especial de contratación. El uso meramente publicitario de la plataforma es, por tanto, excepcional.</w:t>
            </w:r>
            <w:r w:rsidRPr="00244D0A">
              <w:rPr>
                <w:rStyle w:val="Refdenotaalpie"/>
                <w:rFonts w:ascii="Verdana" w:eastAsia="Calibri" w:hAnsi="Verdana" w:cs="Arial"/>
              </w:rPr>
              <w:footnoteReference w:id="1"/>
            </w:r>
            <w:r w:rsidRPr="00244D0A">
              <w:rPr>
                <w:rFonts w:ascii="Verdana" w:eastAsia="Calibri" w:hAnsi="Verdana" w:cs="Arial"/>
              </w:rPr>
              <w:t xml:space="preserve"> En ese orden de ideas, si la entidad está sujeta al uso transaccional del SECOP II, la modificación contractual debe acordarse y suscribirse en la plataforma, de modo que el requisito de elevar el acuerdo a escrito se satisface allí mismo. En ese escenario – que es la regla general en materia contractual – la fecha de suscripción y la de registro coinciden. </w:t>
            </w:r>
          </w:p>
          <w:p w14:paraId="3856FF6B"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Ahora bien, aterrizando en el primer problema jurídico, que el uso transaccional del SECOP II sea obligatorio no convierte a la plataforma en un elemento de perfeccionamiento. Los elementos siguen siendo los señalados en el artículo 41 de la Ley 80 de 1993, estos son: acuerdo sobre el objeto y </w:t>
            </w:r>
            <w:r w:rsidRPr="00244D0A">
              <w:rPr>
                <w:rFonts w:ascii="Verdana" w:eastAsia="Calibri" w:hAnsi="Verdana" w:cs="Arial"/>
              </w:rPr>
              <w:lastRenderedPageBreak/>
              <w:t xml:space="preserve">contraprestación y que este acuerdo sea elevado a escrito. Así, el deber de tramitar la actuación opera en un plano distinto, esto es el cumplimiento de un deber funcionar, cuya inobservancia genera responsabilidad y no la inexistencia del negocio jurídico. </w:t>
            </w:r>
          </w:p>
          <w:p w14:paraId="7C918482"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Así las cosas, esta regla de perfeccionamiento es aplicable a las modificaciones contractuales, en consideración a que estas gozan de naturaleza convencional y constituyen acuerdos dirigidos a alterar, de común acuerdo, las estipulaciones de un contrato estatal previamente celebrado. </w:t>
            </w:r>
          </w:p>
          <w:p w14:paraId="75956ADB"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En consecuencia, el momento en que se perfecciona la modificación debe determinarse atendiendo al instrumento a través del cual las partes formalizaron su consentimiento. Cuando la modificación se instrumenta mediante un documento físico elaborado y suscrito por fuera del SECOP II, el acuerdo se perfecciona cuando concurren las manifestaciones de voluntad de ambas partes en el documento escrito. Por su parte, cuando la modificación se tramita y formaliza directamente en el SECOP II, el perfeccionamiento se produce con la culminación de las actuaciones electrónicas necesarias para consolidar el consentimiento bilateral, esto es, con la suscripción electrónica del acuerdo en la plataforma. </w:t>
            </w:r>
            <w:r w:rsidRPr="00244D0A">
              <w:rPr>
                <w:rFonts w:ascii="Verdana" w:eastAsia="Times New Roman" w:hAnsi="Verdana" w:cs="Arial"/>
                <w:lang w:val="es-ES" w:eastAsia="es-ES"/>
              </w:rPr>
              <w:t xml:space="preserve">Conforme a lo anterior, se concluye que la fecha de perfeccionamiento de la modificación tratándose de trámites realizados a través de SECOP II cuando su uso es transaccional coincide con la fecha de aprobación en la plataforma. Diferente es tratándose del uso publicitario, en dicho caso la fecha de la modificación es aquella en la cual las partes hayan suscrito el documento.   </w:t>
            </w:r>
          </w:p>
          <w:p w14:paraId="003148AD"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Ahora bien, en los casos en que la modificación tiene por objeto prorrogar el plazo de ejecución, adicionalmente debe observarse el límite temporal que rige la modificación de los contratos estatales. En particular, el acuerdo modificatorio debe perfeccionarse antes de que finalice el plazo de ejecución vigente, pues la modificación contractual no puede emplearse para extender retroactivamente un contrato cuyo plazo ha culminado.  </w:t>
            </w:r>
            <w:r w:rsidRPr="00244D0A">
              <w:rPr>
                <w:rFonts w:ascii="Verdana" w:eastAsia="Times New Roman" w:hAnsi="Verdana" w:cs="Arial"/>
                <w:lang w:val="es-ES" w:eastAsia="es-ES"/>
              </w:rPr>
              <w:t xml:space="preserve">Al respecto, si las partes suscribieron la modificación por fuera del SECOP II, quedó perfeccionada en esa fecha, y el cargue posterior cumple una función de publicidad e incorporación al expediente electrónico. Si, en cambio, las partes </w:t>
            </w:r>
            <w:r w:rsidRPr="00244D0A">
              <w:rPr>
                <w:rFonts w:ascii="Verdana" w:eastAsia="Times New Roman" w:hAnsi="Verdana" w:cs="Arial"/>
                <w:lang w:val="es-ES" w:eastAsia="es-ES"/>
              </w:rPr>
              <w:lastRenderedPageBreak/>
              <w:t>optaron por instrumentarla en línea, el escrito es el documento electrónico y el perfeccionamiento coincide con la suscripción electrónica en la plataforma</w:t>
            </w:r>
            <w:r w:rsidRPr="00244D0A">
              <w:rPr>
                <w:rStyle w:val="Refdenotaalpie"/>
                <w:rFonts w:ascii="Verdana" w:hAnsi="Verdana"/>
                <w:sz w:val="20"/>
              </w:rPr>
              <w:footnoteReference w:id="2"/>
            </w:r>
            <w:r w:rsidRPr="00244D0A">
              <w:rPr>
                <w:rFonts w:ascii="Verdana" w:eastAsia="Times New Roman" w:hAnsi="Verdana" w:cs="Arial"/>
                <w:lang w:val="es-ES" w:eastAsia="es-ES"/>
              </w:rPr>
              <w:t>.</w:t>
            </w:r>
          </w:p>
          <w:p w14:paraId="7DBDC4B9"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b/>
                <w:bCs/>
              </w:rPr>
              <w:t>ii.</w:t>
            </w:r>
            <w:r w:rsidRPr="00244D0A">
              <w:rPr>
                <w:rFonts w:ascii="Verdana" w:eastAsia="Calibri" w:hAnsi="Verdana" w:cs="Arial"/>
              </w:rPr>
              <w:t xml:space="preserve"> Para responder el segundo problema jurídico planteado, es necesario distinguir entre la formalización del acuerdo modificatorio, las actuaciones electrónicas que se adelantan en el SECOP II y la publicidad de la modificación contractual, en la medida en que se tratan de actuaciones diferenciadas cuyos efectos jurídicos dependen de la forma en que se instrumentó el acuerdo. </w:t>
            </w:r>
          </w:p>
          <w:p w14:paraId="7430F008"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Por regla general, las entidades estatales obligadas deben gestionar sus procesos de contratación de manera transaccional en SECOP II; en ese escenario, cuando la modificación se formaliza directamente en la plataforma, las actuaciones de trámite, suscripción y publicidad se desarrollan mediante el flujo electrónico correspondiente. Por consiguiente, para establecer la fecha de perfeccionamiento debe identificarse el momento en que se consolidó el consentimiento bilateral, sin confundirlo con la elaboración del documento, su remisión para aprobación o la manifestación de voluntad de uno solo de los intervinientes. </w:t>
            </w:r>
          </w:p>
          <w:p w14:paraId="147550AE"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En cambio, cuando las partes formalizan la modificación mediante un documento escrito suscrito por fuera de la plataforma, su posterior incorporación al SECOP II cumple una función de publicidad e integración al expediente electrónico. Bajo ese supuesto, si el acuerdo bilateral quedó debidamente perfeccionado antes del vencimiento del plazo contractual inicial, el hecho de que su cargue, reconocimiento o publicación al SECOP II se produzca posteriormente no modifica, por sí solo, la fecha de perfeccionamiento, ni tampoco invalida la prórroga. </w:t>
            </w:r>
          </w:p>
          <w:p w14:paraId="73A4DABB" w14:textId="77777777" w:rsidR="004519C2" w:rsidRPr="00244D0A" w:rsidRDefault="004519C2" w:rsidP="00C65553">
            <w:pPr>
              <w:spacing w:after="120" w:line="276" w:lineRule="auto"/>
              <w:ind w:firstLine="709"/>
              <w:jc w:val="both"/>
              <w:rPr>
                <w:rFonts w:ascii="Verdana" w:eastAsia="Calibri" w:hAnsi="Verdana" w:cs="Arial"/>
              </w:rPr>
            </w:pPr>
            <w:r w:rsidRPr="00244D0A">
              <w:rPr>
                <w:rFonts w:ascii="Verdana" w:eastAsia="Calibri" w:hAnsi="Verdana" w:cs="Arial"/>
              </w:rPr>
              <w:t xml:space="preserve">En consecuencia, si la modificación se perfeccionó oportunamente y la aprobación operativa o publicación electrónica se produce después del vencimiento del plazo inicial, esa circunstancia no afecta la validez del acto jurídico. Caso contrario se presenta si la modificación se instrumentó directamente en la plataforma SECOP II, y el consentimiento bilateral solo quedó formalizado después de culminado el plazo contractual vigente, ahí no es jurídicamente procedente atribuirle efectos retroactivos para prorrogar un </w:t>
            </w:r>
            <w:r w:rsidRPr="00244D0A">
              <w:rPr>
                <w:rFonts w:ascii="Verdana" w:eastAsia="Calibri" w:hAnsi="Verdana" w:cs="Arial"/>
              </w:rPr>
              <w:lastRenderedPageBreak/>
              <w:t xml:space="preserve">contrato cuyo plazo ha expirado. En este último escenario, la actuación electrónica posterior no subsana la falta del perfeccionamiento oportuno de la modificación. </w:t>
            </w:r>
          </w:p>
          <w:p w14:paraId="166828A1" w14:textId="77777777" w:rsidR="004519C2" w:rsidRPr="00244D0A" w:rsidRDefault="004519C2" w:rsidP="00C65553">
            <w:pPr>
              <w:spacing w:line="276" w:lineRule="auto"/>
              <w:jc w:val="both"/>
              <w:rPr>
                <w:rFonts w:ascii="Verdana" w:eastAsia="Times New Roman" w:hAnsi="Verdana" w:cs="Arial"/>
                <w:lang w:val="es-ES" w:eastAsia="es-ES"/>
              </w:rPr>
            </w:pPr>
            <w:r w:rsidRPr="00244D0A">
              <w:rPr>
                <w:rFonts w:ascii="Verdana" w:eastAsia="Calibri" w:hAnsi="Verdana" w:cs="Arial"/>
              </w:rPr>
              <w:t xml:space="preserve">Finalmente, se precisa que, entre las partes la modificación produce efectos jurídicos desde su perfeccionamiento; frente a terceros, la publicidad cumple una función de cognoscibilidad, es decir, su omisión o retardo, no privan al acto de existencia ni de validez, pero pueden impedir que se oponga a quien </w:t>
            </w:r>
            <w:r w:rsidRPr="00244D0A">
              <w:rPr>
                <w:rFonts w:ascii="Verdana" w:eastAsia="Times New Roman" w:hAnsi="Verdana" w:cs="Arial"/>
                <w:lang w:val="es-ES" w:eastAsia="es-ES"/>
              </w:rPr>
              <w:t xml:space="preserve">obrando de buena fe, no estuvo en condiciones de conocerlo, y comprometen la responsabilidad de la entidad obligada a publicar. </w:t>
            </w:r>
          </w:p>
          <w:p w14:paraId="34EB6328" w14:textId="77777777" w:rsidR="004519C2" w:rsidRPr="00244D0A" w:rsidRDefault="004519C2" w:rsidP="00C65553">
            <w:pPr>
              <w:spacing w:line="276" w:lineRule="auto"/>
              <w:ind w:firstLine="709"/>
              <w:jc w:val="both"/>
              <w:rPr>
                <w:rFonts w:ascii="Verdana" w:eastAsia="Times New Roman" w:hAnsi="Verdana" w:cs="Arial"/>
                <w:lang w:val="es-ES" w:eastAsia="es-ES"/>
              </w:rPr>
            </w:pPr>
            <w:r w:rsidRPr="00244D0A">
              <w:rPr>
                <w:rFonts w:ascii="Verdana" w:eastAsia="Calibri" w:hAnsi="Verdana" w:cs="Arial"/>
              </w:rPr>
              <w:t>Para concluir se advierte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dentro del marco de sus competencias, sin que corresponda a Colombia Compra Eficiente validar o avalar sus actuaciones.</w:t>
            </w:r>
          </w:p>
        </w:tc>
      </w:tr>
    </w:tbl>
    <w:p w14:paraId="7035D24F" w14:textId="77777777" w:rsidR="004519C2" w:rsidRPr="00244D0A" w:rsidRDefault="004519C2" w:rsidP="004519C2">
      <w:pPr>
        <w:tabs>
          <w:tab w:val="left" w:pos="142"/>
          <w:tab w:val="left" w:pos="284"/>
        </w:tabs>
        <w:spacing w:after="0" w:line="276" w:lineRule="auto"/>
        <w:jc w:val="both"/>
        <w:rPr>
          <w:rFonts w:ascii="Verdana" w:eastAsia="Century Gothic" w:hAnsi="Verdana" w:cs="Century Gothic"/>
          <w:b/>
          <w:bCs/>
          <w:lang w:val="es-ES"/>
        </w:rPr>
      </w:pPr>
    </w:p>
    <w:p w14:paraId="5BD212E3" w14:textId="77777777" w:rsidR="004519C2" w:rsidRPr="00244D0A" w:rsidRDefault="004519C2" w:rsidP="004519C2">
      <w:pPr>
        <w:pStyle w:val="Prrafodelista"/>
        <w:numPr>
          <w:ilvl w:val="0"/>
          <w:numId w:val="5"/>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44D0A">
        <w:rPr>
          <w:rFonts w:ascii="Verdana" w:eastAsia="Century Gothic" w:hAnsi="Verdana" w:cs="Century Gothic"/>
          <w:b/>
          <w:bCs/>
        </w:rPr>
        <w:t>Razones de la respuesta:</w:t>
      </w:r>
    </w:p>
    <w:p w14:paraId="252B87C7" w14:textId="77777777" w:rsidR="004519C2" w:rsidRPr="00244D0A" w:rsidRDefault="004519C2" w:rsidP="004519C2">
      <w:pPr>
        <w:spacing w:after="0" w:line="276" w:lineRule="auto"/>
        <w:jc w:val="both"/>
        <w:rPr>
          <w:rFonts w:ascii="Verdana" w:eastAsia="Calibri" w:hAnsi="Verdana" w:cs="Arial"/>
          <w:lang w:val="es-ES"/>
        </w:rPr>
      </w:pPr>
    </w:p>
    <w:p w14:paraId="120493B2" w14:textId="77777777" w:rsidR="004519C2" w:rsidRPr="00244D0A" w:rsidRDefault="004519C2" w:rsidP="004519C2">
      <w:pPr>
        <w:spacing w:after="0" w:line="276" w:lineRule="auto"/>
        <w:jc w:val="both"/>
        <w:rPr>
          <w:rFonts w:ascii="Verdana" w:eastAsia="Calibri" w:hAnsi="Verdana" w:cs="Arial"/>
          <w:lang w:val="es-ES"/>
        </w:rPr>
      </w:pPr>
      <w:r w:rsidRPr="00244D0A">
        <w:rPr>
          <w:rFonts w:ascii="Verdana" w:eastAsia="Calibri" w:hAnsi="Verdana" w:cs="Arial"/>
          <w:lang w:val="es-ES"/>
        </w:rPr>
        <w:t>Lo anterior se sustenta en las siguientes consideraciones:</w:t>
      </w:r>
    </w:p>
    <w:p w14:paraId="54A2C232" w14:textId="77777777" w:rsidR="004519C2" w:rsidRPr="00244D0A" w:rsidRDefault="004519C2" w:rsidP="004519C2">
      <w:pPr>
        <w:spacing w:after="0" w:line="276" w:lineRule="auto"/>
        <w:jc w:val="both"/>
        <w:rPr>
          <w:rFonts w:ascii="Verdana" w:eastAsia="Calibri" w:hAnsi="Verdana" w:cs="Arial"/>
          <w:lang w:val="es-ES"/>
        </w:rPr>
      </w:pPr>
    </w:p>
    <w:p w14:paraId="0300CA4A" w14:textId="77777777" w:rsidR="004519C2" w:rsidRPr="00244D0A" w:rsidRDefault="004519C2" w:rsidP="004519C2">
      <w:pPr>
        <w:spacing w:after="120" w:line="276" w:lineRule="auto"/>
        <w:jc w:val="both"/>
        <w:rPr>
          <w:rFonts w:ascii="Verdana" w:eastAsia="Calibri" w:hAnsi="Verdana" w:cs="Arial"/>
          <w:lang w:val="es-ES"/>
        </w:rPr>
      </w:pPr>
      <w:r w:rsidRPr="00244D0A">
        <w:rPr>
          <w:rFonts w:ascii="Verdana" w:eastAsia="Calibri" w:hAnsi="Verdana" w:cs="Arial"/>
          <w:b/>
          <w:bCs/>
        </w:rPr>
        <w:t>i.</w:t>
      </w:r>
      <w:r w:rsidRPr="00244D0A">
        <w:rPr>
          <w:rFonts w:ascii="Verdana" w:eastAsia="Calibri" w:hAnsi="Verdana" w:cs="Arial"/>
        </w:rPr>
        <w:t xml:space="preserve"> </w:t>
      </w:r>
      <w:r w:rsidRPr="00244D0A">
        <w:rPr>
          <w:rFonts w:ascii="Verdana" w:hAnsi="Verdana"/>
          <w:lang w:val="es-ES"/>
        </w:rPr>
        <w:t xml:space="preserve"> </w:t>
      </w:r>
      <w:r w:rsidRPr="00244D0A">
        <w:rPr>
          <w:rFonts w:ascii="Verdana" w:hAnsi="Verdana" w:cs="Arial"/>
          <w:bCs/>
          <w:szCs w:val="24"/>
          <w:lang w:val="es-ES_tradnl" w:eastAsia="es-ES_tradnl"/>
        </w:rPr>
        <w:t>La regla general en materia de gestión contractual es el uso transaccional del SECOP II, al respecto es la ANCP – CCE la encargada de administrar el Sistema Electrónico para la Contratación Pública y está facultada para expedir circulares externas en materia de compras y contratación pública, actos administrativos que contienen instrucciones dirigidas a las entidades estatales y al público en general y que son de obligatorio cumplimiento. Con ese fundamento ha venido fijando por fases, el uso obligatorio de la plataforma</w:t>
      </w:r>
      <w:r w:rsidRPr="00244D0A">
        <w:rPr>
          <w:rStyle w:val="Refdenotaalpie"/>
          <w:rFonts w:ascii="Verdana" w:hAnsi="Verdana"/>
          <w:sz w:val="20"/>
        </w:rPr>
        <w:footnoteReference w:id="3"/>
      </w:r>
      <w:r w:rsidRPr="00244D0A">
        <w:rPr>
          <w:rFonts w:ascii="Verdana" w:hAnsi="Verdana" w:cs="Arial"/>
          <w:bCs/>
          <w:szCs w:val="24"/>
          <w:lang w:val="es-ES_tradnl" w:eastAsia="es-ES_tradnl"/>
        </w:rPr>
        <w:t>.</w:t>
      </w:r>
    </w:p>
    <w:p w14:paraId="505D2F5B" w14:textId="77777777" w:rsidR="004519C2" w:rsidRPr="00244D0A" w:rsidRDefault="004519C2" w:rsidP="004519C2">
      <w:pPr>
        <w:spacing w:after="120" w:line="276" w:lineRule="auto"/>
        <w:ind w:firstLine="567"/>
        <w:jc w:val="both"/>
        <w:rPr>
          <w:rFonts w:ascii="Verdana" w:eastAsia="Calibri" w:hAnsi="Verdana" w:cs="Arial"/>
          <w:lang w:val="es-ES"/>
        </w:rPr>
      </w:pPr>
      <w:r w:rsidRPr="00244D0A">
        <w:rPr>
          <w:rFonts w:ascii="Verdana" w:hAnsi="Verdana" w:cs="Arial"/>
          <w:bCs/>
          <w:szCs w:val="24"/>
          <w:lang w:val="es-ES_tradnl" w:eastAsia="es-ES_tradnl"/>
        </w:rPr>
        <w:lastRenderedPageBreak/>
        <w:t>Así, la Circular Externa No. 003 del 18 de septiembre de 2024 instruyó a las entidades relacionadas en su Anexo No. 1 para que sus procesos de contratación se gestionen “exclusivamente en el SECOP II”, y precisó que “la medida aplica para todas las modalidades de selección del Estatuto General de Contratación de la Administración Pública […] Asimismo, es aplicable para los procesos que cuenten con un régimen especial de contratación”. La obligatoriedad se distribuyó en fases, con entrada en vigor el 31 de octubre y el 31 de diciembre de 2024 y el 1 de marzo y el 1 de mayo de 2025, y la Circular Externa No. 001 del 28 de febrero de 2025 reiteró su exigibilidad</w:t>
      </w:r>
      <w:r w:rsidRPr="00244D0A">
        <w:rPr>
          <w:rStyle w:val="Refdenotaalpie"/>
          <w:rFonts w:ascii="Verdana" w:hAnsi="Verdana"/>
          <w:sz w:val="20"/>
        </w:rPr>
        <w:footnoteReference w:id="4"/>
      </w:r>
      <w:r w:rsidRPr="00244D0A">
        <w:rPr>
          <w:rFonts w:ascii="Verdana" w:hAnsi="Verdana" w:cs="Arial"/>
          <w:bCs/>
          <w:szCs w:val="24"/>
          <w:lang w:val="es-ES_tradnl" w:eastAsia="es-ES_tradnl"/>
        </w:rPr>
        <w:t>.</w:t>
      </w:r>
    </w:p>
    <w:p w14:paraId="21EE91ED" w14:textId="77777777" w:rsidR="004519C2" w:rsidRPr="00244D0A" w:rsidRDefault="004519C2" w:rsidP="004519C2">
      <w:pPr>
        <w:spacing w:after="120" w:line="276" w:lineRule="auto"/>
        <w:ind w:firstLine="567"/>
        <w:jc w:val="both"/>
        <w:rPr>
          <w:rFonts w:ascii="Verdana" w:eastAsia="Calibri" w:hAnsi="Verdana" w:cs="Arial"/>
          <w:lang w:val="es-ES"/>
        </w:rPr>
      </w:pPr>
      <w:r w:rsidRPr="00244D0A">
        <w:rPr>
          <w:rFonts w:ascii="Verdana" w:hAnsi="Verdana" w:cs="Arial"/>
          <w:bCs/>
          <w:szCs w:val="24"/>
          <w:lang w:val="es-ES_tradnl" w:eastAsia="es-ES_tradnl"/>
        </w:rPr>
        <w:t>El criterio con el que se han definido esas fases explica por qué la regla admite excepciones, así, la Agencia identificó las entidades que ingresarían al uso obligatorio a partir de los boletines del sector TIC sobre uso de internet fijo en los municipios y del análisis del comportamiento histórico de la contratación, porque “para adelantar una efectiva transición hacia los sistemas transaccionales, las entidades estatales deben garantizar las condiciones técnicas mínimas, así como, contar con disponibilidad y calidad de conectividad con un ancho de banda superior o igual a los 10 Mbps […] de internet dedicado”. De ahí que la Circular Externa Única califique la obligatoriedad como “un proceso gradual y coordinado que implica la formación para el uso de la herramienta y el alistamiento de la infraestructura tecnológica”</w:t>
      </w:r>
      <w:r w:rsidRPr="00244D0A">
        <w:rPr>
          <w:rStyle w:val="Refdenotaalpie"/>
          <w:rFonts w:ascii="Verdana" w:hAnsi="Verdana"/>
          <w:sz w:val="20"/>
        </w:rPr>
        <w:footnoteReference w:id="5"/>
      </w:r>
      <w:r w:rsidRPr="00244D0A">
        <w:rPr>
          <w:rFonts w:ascii="Verdana" w:hAnsi="Verdana" w:cs="Arial"/>
          <w:bCs/>
          <w:szCs w:val="24"/>
          <w:lang w:val="es-ES_tradnl" w:eastAsia="es-ES_tradnl"/>
        </w:rPr>
        <w:t>.</w:t>
      </w:r>
    </w:p>
    <w:p w14:paraId="5860EFBD" w14:textId="77777777" w:rsidR="004519C2" w:rsidRPr="00244D0A" w:rsidRDefault="004519C2" w:rsidP="004519C2">
      <w:pPr>
        <w:spacing w:after="120" w:line="276" w:lineRule="auto"/>
        <w:ind w:firstLine="567"/>
        <w:jc w:val="both"/>
        <w:rPr>
          <w:rFonts w:ascii="Verdana" w:eastAsia="Calibri" w:hAnsi="Verdana" w:cs="Arial"/>
          <w:lang w:val="es-ES"/>
        </w:rPr>
      </w:pPr>
      <w:r w:rsidRPr="00244D0A">
        <w:rPr>
          <w:rFonts w:ascii="Verdana" w:hAnsi="Verdana" w:cs="Arial"/>
          <w:bCs/>
          <w:szCs w:val="24"/>
          <w:lang w:val="es-ES_tradnl" w:eastAsia="es-ES_tradnl"/>
        </w:rPr>
        <w:t>En ese orden de ideas, son tres los supuestos en los que la plataforma se emplea con alcance publicitario y no transaccional: 1. El de las entidades a las que aún no les ha entrado a regir la obligatoriedad, que continúan gestionando y publicando en el SECOP I; 2) El de las entidades de régimen exceptuado, sobre las que pesa el deber de publicar en el SECOP II los documentos de su actividad contractual, en los términos del artículo 13 de la Ley 1150 de 2007; y 3) El de las actuaciones expresamente excluidas de la medida —las asociaciones público–privadas de la Ley 1508 de 2012, los contratos donde existan más de dos partes, los concursos de arquitectura y la enajenación de bienes a título gratuito—, que deben publicarse en el SECOP I</w:t>
      </w:r>
      <w:r w:rsidRPr="00244D0A">
        <w:rPr>
          <w:rStyle w:val="Refdenotaalpie"/>
          <w:rFonts w:ascii="Verdana" w:hAnsi="Verdana"/>
          <w:bCs/>
          <w:sz w:val="20"/>
        </w:rPr>
        <w:footnoteReference w:id="6"/>
      </w:r>
      <w:r w:rsidRPr="00244D0A">
        <w:rPr>
          <w:rFonts w:ascii="Verdana" w:hAnsi="Verdana" w:cs="Arial"/>
          <w:bCs/>
          <w:szCs w:val="24"/>
          <w:lang w:val="es-ES_tradnl" w:eastAsia="es-ES_tradnl"/>
        </w:rPr>
        <w:t>.</w:t>
      </w:r>
    </w:p>
    <w:p w14:paraId="19D9F9CF" w14:textId="77777777" w:rsidR="004519C2" w:rsidRPr="00244D0A" w:rsidRDefault="004519C2" w:rsidP="004519C2">
      <w:pPr>
        <w:spacing w:after="120" w:line="276" w:lineRule="auto"/>
        <w:ind w:firstLine="709"/>
        <w:jc w:val="both"/>
        <w:rPr>
          <w:rFonts w:ascii="Verdana" w:eastAsia="Verdana" w:hAnsi="Verdana" w:cs="Verdana"/>
        </w:rPr>
      </w:pPr>
      <w:r w:rsidRPr="00244D0A">
        <w:rPr>
          <w:rFonts w:ascii="Verdana" w:eastAsia="Verdana" w:hAnsi="Verdana" w:cs="Verdana"/>
          <w:b/>
          <w:bCs/>
        </w:rPr>
        <w:lastRenderedPageBreak/>
        <w:t>ii.</w:t>
      </w:r>
      <w:r w:rsidRPr="00244D0A">
        <w:rPr>
          <w:rFonts w:ascii="Verdana" w:eastAsia="Verdana" w:hAnsi="Verdana" w:cs="Verdana"/>
        </w:rPr>
        <w:t xml:space="preserve"> El inciso primero del artículo 41 de la Ley 80 de 1993 dispone que “los contratos del Estado se perfeccionan cuando se logre acuerdo sobre el objeto y la contraprestación y este se eleve a escrito”. A esa disposición se le suma el artículo 39, según el cual los contratos estatales “constarán por escrito y no requerirán ser elevados a escritura pública”, salvo las excepciones que allí se indican.  </w:t>
      </w:r>
      <w:r w:rsidRPr="00244D0A">
        <w:rPr>
          <w:rFonts w:ascii="Verdana" w:hAnsi="Verdana" w:cs="Arial"/>
          <w:bCs/>
          <w:szCs w:val="24"/>
          <w:lang w:val="es-ES_tradnl" w:eastAsia="es-ES_tradnl"/>
        </w:rPr>
        <w:t xml:space="preserve">De esos preceptos se sigue que el perfeccionamiento reposa sobre tres elementos: el acuerdo sobre el objeto, el acuerdo sobre la contraprestación y la constancia escrita de ese acuerdo. El inciso segundo del mismo artículo 41 añade requisitos, pero los refiere expresamente a la ejecución —aprobación de la garantía y existencia de las disponibilidades presupuestales, no al perfeccionamiento. </w:t>
      </w:r>
    </w:p>
    <w:p w14:paraId="5A512D00"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La norma citada debe interpretarse en concordancia con la naturaleza jurídica de las modificaciones contractuales, aunque el ordenamiento jurídico no contiene una regulación integral y autónoma de todos los aspectos concernientes a la modificación de los contratos estatales, estas actuaciones se fundamentan en el acuerdo de voluntades de las partes y están sujetas a los principios, requisitos y límites propios de la contratación pública. En efecto, una modificación bilateral no constituye un acto unilateral de la entidad contratante ni una actuación que pueda perfeccionarse exclusivamente a partir de la voluntad del contratista. Por el contrario, se trata de un acuerdo mediante el cual las partes convienen en alterar una o varias estipulaciones del negocio jurídico original, de manera que su perfeccionamiento exige la concurrencia de las manifestaciones de voluntad correspondientes y su formalización escrita.</w:t>
      </w:r>
    </w:p>
    <w:p w14:paraId="773838AE" w14:textId="77777777" w:rsidR="004519C2" w:rsidRPr="00244D0A" w:rsidRDefault="004519C2" w:rsidP="004519C2">
      <w:pPr>
        <w:spacing w:after="120" w:line="276" w:lineRule="auto"/>
        <w:ind w:firstLine="709"/>
        <w:jc w:val="both"/>
        <w:rPr>
          <w:rFonts w:ascii="Verdana" w:hAnsi="Verdana" w:cs="Arial"/>
          <w:bCs/>
          <w:szCs w:val="24"/>
          <w:lang w:val="es-ES_tradnl" w:eastAsia="es-ES_tradnl"/>
        </w:rPr>
      </w:pPr>
      <w:r w:rsidRPr="00244D0A">
        <w:rPr>
          <w:rFonts w:ascii="Verdana" w:hAnsi="Verdana" w:cs="Arial"/>
          <w:bCs/>
          <w:szCs w:val="24"/>
          <w:lang w:val="es-ES_tradnl" w:eastAsia="es-ES_tradnl"/>
        </w:rPr>
        <w:t>Las modificaciones bilaterales del contrato participan de su naturaleza convencional: son acuerdos de voluntades que alteran el contenido de un negocio jurídico preexistente y se rigen, en cuanto a su formación, por las mismas reglas. La terminación anticipada y la liquidación bilateral que menciona la consulta son, precisamente, acuerdos de esa clase. Por tanto, se perfeccionan cuando las partes convienen y elevan a escrito lo convenido</w:t>
      </w:r>
      <w:r w:rsidRPr="00244D0A">
        <w:rPr>
          <w:rStyle w:val="Refdenotaalpie"/>
          <w:rFonts w:ascii="Verdana" w:hAnsi="Verdana"/>
          <w:sz w:val="20"/>
        </w:rPr>
        <w:footnoteReference w:id="7"/>
      </w:r>
      <w:r w:rsidRPr="00244D0A">
        <w:rPr>
          <w:rFonts w:ascii="Verdana" w:hAnsi="Verdana" w:cs="Arial"/>
          <w:bCs/>
          <w:szCs w:val="24"/>
          <w:lang w:val="es-ES_tradnl" w:eastAsia="es-ES_tradnl"/>
        </w:rPr>
        <w:t>.</w:t>
      </w:r>
    </w:p>
    <w:p w14:paraId="42E369B1"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 xml:space="preserve">De esta manera, para establecer cuándo se perfeccionó una modificación contractual deben verificarse dos elementos: 1) La existencia de un acuerdo de </w:t>
      </w:r>
      <w:r w:rsidRPr="00244D0A">
        <w:rPr>
          <w:rFonts w:ascii="Verdana" w:hAnsi="Verdana" w:cs="Arial"/>
          <w:bCs/>
          <w:szCs w:val="24"/>
          <w:lang w:eastAsia="es-ES_tradnl"/>
        </w:rPr>
        <w:lastRenderedPageBreak/>
        <w:t>voluntades sobre la modificación que se pretende introducir y 2) La formalización escrita de ese acuerdo. La sola elaboración de un proyecto de modificación, la aprobación interna de sus condiciones por parte de la entidad, el envío del documento al contratista o la manifestación unilateral de aceptación no son suficientes para acreditar el perfeccionamiento, si aún no se ha consolidado el consentimiento de ambas partes. Esta conclusión resulta particularmente relevante cuando la modificación tiene por objeto prorrogar el plazo de ejecución, pues la intención de las partes de extender el término contractual no equivale, por sí misma, a una prórroga perfeccionada. Para que esta produzca los efectos jurídicos correspondientes, el acuerdo debe haberse formalizado oportunamente y respetar los límites temporales aplicables.</w:t>
      </w:r>
    </w:p>
    <w:p w14:paraId="295A7628"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Ahora bien, en el marco el perfeccionamiento debe distinguirse de los requisitos exigidos para la ejecución del contrato. El inciso segundo del artículo 41 de la Ley 80 de 1993, modificado por el artículo 23 de la Ley 1150 de 2007, establece que para la ejecución se requiere la aprobación de la garantía y la existencia de las disponibilidades presupuestales correspondientes, salvo las excepciones legales allí previstas.</w:t>
      </w:r>
      <w:r w:rsidRPr="00244D0A">
        <w:rPr>
          <w:rFonts w:ascii="Verdana" w:hAnsi="Verdana"/>
        </w:rPr>
        <w:t xml:space="preserve"> </w:t>
      </w:r>
      <w:r w:rsidRPr="00244D0A">
        <w:rPr>
          <w:rFonts w:ascii="Verdana" w:hAnsi="Verdana" w:cs="Arial"/>
          <w:bCs/>
          <w:szCs w:val="24"/>
          <w:lang w:eastAsia="es-ES_tradnl"/>
        </w:rPr>
        <w:t>Por consiguiente, el perfeccionamiento del acuerdo modificatorio no debe confundirse con la aprobación de las garantías que deban ajustarse a la modificación, ni con las demás actuaciones necesarias para su ejecución. Así, cuando la prórroga implique extender la cobertura temporal de las garantías, deberán adelantarse los ajustes correspondientes y obtenerse su aprobación cuando resulte exigible. Estas actuaciones responden a una finalidad distinta de la formalización del consentimiento bilateral y deben examinarse conforme a las disposiciones aplicables.</w:t>
      </w:r>
    </w:p>
    <w:p w14:paraId="0E73A19E"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 xml:space="preserve">Sobre el particular, la modificación contractual se encuentra sujeta a límites de orden temporal, formal, material y axiológico. Entre los </w:t>
      </w:r>
      <w:proofErr w:type="spellStart"/>
      <w:r w:rsidRPr="00244D0A">
        <w:rPr>
          <w:rFonts w:ascii="Verdana" w:hAnsi="Verdana" w:cs="Arial"/>
          <w:bCs/>
          <w:szCs w:val="24"/>
          <w:lang w:eastAsia="es-ES_tradnl"/>
        </w:rPr>
        <w:t>limites</w:t>
      </w:r>
      <w:proofErr w:type="spellEnd"/>
      <w:r w:rsidRPr="00244D0A">
        <w:rPr>
          <w:rFonts w:ascii="Verdana" w:hAnsi="Verdana" w:cs="Arial"/>
          <w:bCs/>
          <w:szCs w:val="24"/>
          <w:lang w:eastAsia="es-ES_tradnl"/>
        </w:rPr>
        <w:t xml:space="preserve"> temporales se encuentra la vigencia del contrato, de manera que no es jurídicamente posible modificar un contrato cuyo plazo ha culminado. De lo anterior se desprende que, la prórroga constituye una modificación dirigida a extender el plazo de ejecución contractual y, por tanto, debe acordarse y perfeccionarse durante la vigencia de dicho plazo. La circunstancia de que las partes hubieran iniciado conversaciones, elaborado un documento o manifestado su intención de extender la ejecución antes del vencimiento no permite suplir la falta de un acuerdo bilateral perfeccionado oportunamente.</w:t>
      </w:r>
    </w:p>
    <w:p w14:paraId="050BF003"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
          <w:szCs w:val="24"/>
          <w:lang w:eastAsia="es-ES_tradnl"/>
        </w:rPr>
        <w:lastRenderedPageBreak/>
        <w:t>iii.</w:t>
      </w:r>
      <w:r w:rsidRPr="00244D0A">
        <w:rPr>
          <w:rFonts w:ascii="Verdana" w:hAnsi="Verdana" w:cs="Arial"/>
          <w:bCs/>
          <w:szCs w:val="24"/>
          <w:lang w:eastAsia="es-ES_tradnl"/>
        </w:rPr>
        <w:t xml:space="preserve"> En este punto corresponde analizar la utilización de los medios electrónicos en la contratación estatal y la incidencia que tiene el uso del SECOP II en la formalización de las modificaciones contractuales. Puntualmente el artículo 3 de la Ley 1150 de 2007 permite que las actuaciones, los documentos y los contratos derivados de la actividad precontractual y contractual se tramiten o celebren por medios electrónicos. Esta habilitación debe interpretarse conforme al principio de equivalencia funcional, según el cual el cumplimiento de los requisitos jurídicos relativos a la forma escrita y a la manifestación de voluntad puede realizarse a través de medios electrónicos, siempre que se satisfagan las condiciones legalmente exigibles.</w:t>
      </w:r>
    </w:p>
    <w:p w14:paraId="36034CC0"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En este sentido, el uso de un documento electrónico no afecta, por sí mismo, la validez del acuerdo ni impide su perfeccionamiento. Lo determinante es que el instrumento permita acreditar el contenido del acuerdo y la manifestación de voluntad de las partes. Por ello, el análisis jurídico no debe concentrarse exclusivamente en el soporte físico o tecnológico del documento, sino en la forma en que se produjo y formalizó el consentimiento contractual.</w:t>
      </w:r>
    </w:p>
    <w:p w14:paraId="37A43B4A"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Ahora bien, la utilización del SECOP II requiere distinguir entre su carácter transaccional y su función de publicidad. De acuerdo con los lineamientos de esta Agencia, el SECOP II es una plataforma transaccional que permite gestionar electrónicamente los procesos de contratación y dar publicidad a las actuaciones que se desarrollan en ella. Por regla general, las entidades sometidas a la obligación correspondiente deben gestionar los procesos de contratación de forma transaccional, sin perjuicio de las excepciones y de las actuaciones que puedan documentarse por fuera de la plataforma para su posterior incorporación al expediente.</w:t>
      </w:r>
    </w:p>
    <w:p w14:paraId="3283620C"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 xml:space="preserve">Sobre este aspecto, la caracterización del SECOP II como plataforma transaccional describe una capacidad operativa, consistente en que las actuaciones contractuales se adelanten electrónicamente y que su publicidad se produzca de manera concomitante. Sin embargo, esta característica no constituye una regla autónoma sobre el nacimiento de los actos jurídicos ni altera los requisitos de perfeccionamiento establecidos en la ley. La propia regulación operativa de la plataforma contempla la posibilidad de que determinados documentos sean elaborados por fuera de ella y posteriormente incorporados al expediente electrónico. </w:t>
      </w:r>
    </w:p>
    <w:p w14:paraId="755529DE"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lastRenderedPageBreak/>
        <w:t xml:space="preserve">A partir de lo anterior, la fecha de perfeccionamiento de una modificación bilateral debe establecerse atendiendo al instrumento mediante el cual las partes elevaron a escrito su acuerdo. En términos concretos, deben distinguirse los siguientes supuestos: </w:t>
      </w:r>
    </w:p>
    <w:p w14:paraId="5F341CBD"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Por un lado, cuando las partes suscriben un documento físico o electrónico por fuera de la plataforma, debe verificarse la fecha en que quedó formalizado el consentimiento bilateral en dicho documento. Si ambas partes lo suscribieron antes del vencimiento del plazo contractual vigente, la modificación se entiende perfeccionada en esa fecha, siempre que se hayan satisfecho los demás requisitos legales aplicables.</w:t>
      </w:r>
      <w:r w:rsidRPr="00244D0A">
        <w:rPr>
          <w:rFonts w:ascii="Verdana" w:hAnsi="Verdana"/>
        </w:rPr>
        <w:t xml:space="preserve"> </w:t>
      </w:r>
      <w:r w:rsidRPr="00244D0A">
        <w:rPr>
          <w:rFonts w:ascii="Verdana" w:hAnsi="Verdana" w:cs="Arial"/>
          <w:bCs/>
          <w:szCs w:val="24"/>
          <w:lang w:eastAsia="es-ES_tradnl"/>
        </w:rPr>
        <w:t xml:space="preserve">En este escenario, el cargue posterior del documento en SECOP II tiene por finalidad garantizar su publicidad y su incorporación al expediente electrónico de la contratación. Por consiguiente, la fecha de ese cargue no reemplaza la fecha en que se perfeccionó el acuerdo. </w:t>
      </w:r>
    </w:p>
    <w:p w14:paraId="6D3F587F"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En particular, cuando la incorporación del documento exige adelantar actuaciones electrónicas de reconocimiento o aprobación por parte de la contraparte, es necesario establecer la finalidad de dichas actuaciones. Si el documento externo ya contiene el acuerdo escrito y las manifestaciones de voluntad de ambas partes, el flujo posterior de aprobación destinado a permitir su cargue constituye una actuación operativa de incorporación, no un nuevo requisito de perfeccionamiento. No obstante, esta conclusión presupone que el documento externo efectivamente quedó suscrito por ambas partes antes del vencimiento del plazo. Si únicamente fue firmado por una de ellas y la manifestación de voluntad de la otra solo se produce posteriormente, no podría afirmarse que el acuerdo bilateral quedó perfeccionado en la fecha de la primera firma. En tal supuesto, será necesario determinar cuándo se consolidó realmente el consentimiento de ambas partes.</w:t>
      </w:r>
    </w:p>
    <w:p w14:paraId="3232F82C"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 xml:space="preserve">Por otro lado, cuando las partes deciden instrumentar la modificación mediante el trámite transaccional dispuesto en SECOP II, el documento electrónico constituye el soporte escrito del acuerdo. En consecuencia, la fecha de perfeccionamiento corresponde al momento en que culminan las actuaciones electrónicas necesarias para formalizar la voluntad de ambas partes, lo cual debe establecerse a partir de la trazabilidad del procedimiento adelantado en la plataforma. En este escenario, la elaboración del documento por parte de la entidad, su envío al contratista o la aprobación de uno de los intervinientes no permiten afirmar, de manera aislada, que la modificación se encuentre </w:t>
      </w:r>
      <w:r w:rsidRPr="00244D0A">
        <w:rPr>
          <w:rFonts w:ascii="Verdana" w:hAnsi="Verdana" w:cs="Arial"/>
          <w:bCs/>
          <w:szCs w:val="24"/>
          <w:lang w:eastAsia="es-ES_tradnl"/>
        </w:rPr>
        <w:lastRenderedPageBreak/>
        <w:t>perfeccionada. Para ello, es indispensable que se consolide la aceptación bilateral conforme al flujo electrónico utilizado.</w:t>
      </w:r>
    </w:p>
    <w:p w14:paraId="68678986"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En consecuencia, cuando se pretenda determinar si una prórroga fue perfeccionada antes del vencimiento del plazo contractual, deberán examinarse los registros electrónicos que permitan identificar las actuaciones de los intervinientes y el momento en que quedó formalizado el consentimiento bilateral. Es decir, no basta con verificar la fecha en que se generó el borrador ni con atender únicamente a la fecha en que el documento aparece visible para consulta pública. La distinción entre estos dos escenarios permite concluir que la fecha de perfeccionamiento no se determina en abstracto escogiendo entre la fecha del documento y la fecha de la plataforma. Por el contrario, debe identificarse cuál fue el instrumento que efectivamente formalizó el acuerdo: si fue un documento externo, la fecha relevante será la de su suscripción bilateral; si fue el documento electrónico generado y suscrito en SECOP II, será la fecha en que culminó el proceso de suscripción electrónica.</w:t>
      </w:r>
    </w:p>
    <w:p w14:paraId="6713B5D7"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
          <w:szCs w:val="24"/>
          <w:lang w:val="es-ES_tradnl" w:eastAsia="es-ES_tradnl"/>
        </w:rPr>
        <w:t xml:space="preserve">iv. </w:t>
      </w:r>
      <w:r w:rsidRPr="00244D0A">
        <w:rPr>
          <w:rFonts w:ascii="Verdana" w:hAnsi="Verdana" w:cs="Arial"/>
          <w:bCs/>
          <w:szCs w:val="24"/>
          <w:lang w:val="es-ES_tradnl" w:eastAsia="es-ES_tradnl"/>
        </w:rPr>
        <w:t>Corresponde examinar la naturaleza jurídica de la publicación de los documentos contractuales y su relación con el perfeccionamiento de las modificaciones bilaterales. En particular, e</w:t>
      </w:r>
      <w:r w:rsidRPr="00244D0A">
        <w:rPr>
          <w:rFonts w:ascii="Verdana" w:hAnsi="Verdana" w:cs="Arial"/>
          <w:bCs/>
          <w:szCs w:val="24"/>
          <w:lang w:eastAsia="es-ES_tradnl"/>
        </w:rPr>
        <w:t>l artículo 2.2.1.1.1.7.1 del Decreto 1082 de 2015 establece que la entidad estatal está obligada a publicar en el SECOP los documentos del proceso y los actos administrativos del proceso de contratación dentro de los tres (3) días siguientes a su expedición. Esta obligación se enmarca en los principios de publicidad y transparencia que orientan la contratación estatal y busca permitir que los interesados y la ciudadanía conozcan las actuaciones desarrolladas por las entidades en los procesos de contratación.</w:t>
      </w:r>
    </w:p>
    <w:p w14:paraId="7A33E2FA"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 xml:space="preserve">La estructura de la disposición permite distinguir entre la expedición del documento y su publicación. En efecto, el término previsto por la norma comienza a contarse a partir de la expedición, lo que presupone que el documento existe antes de ser publicado. Por lo tanto, la publicación no constituye, como regla general, el acto mediante el cual nace o se perfecciona el acuerdo contractual, sino una actuación posterior dirigida a garantizar su publicidad. Así las cosas, la publicación en el SECOP II constituye un deber legal cuyo incumplimiento puede generar responsabilidad, pero no un requisito de existencia, validez o perfeccionamiento del documento publicado; esta interpretación también armoniza con el artículo 13 de la Ley 1150 de 2007, </w:t>
      </w:r>
      <w:r w:rsidRPr="00244D0A">
        <w:rPr>
          <w:rFonts w:ascii="Verdana" w:hAnsi="Verdana" w:cs="Arial"/>
          <w:bCs/>
          <w:szCs w:val="24"/>
          <w:lang w:eastAsia="es-ES_tradnl"/>
        </w:rPr>
        <w:lastRenderedPageBreak/>
        <w:t>adicionado por el artículo 53 de la Ley 2195 de 2022, en cuanto establece obligaciones de publicidad en el sistema de contratación pública. En ese contexto, las consecuencias jurídicas de la publicación posterior deben determinarse a partir de la distinción entre las actuaciones que formalizan el acuerdo y aquellas que permiten su divulgación.</w:t>
      </w:r>
    </w:p>
    <w:p w14:paraId="339783E9"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Por una parte, cuando el documento modificatorio se perfeccionó por fuera de SECOP II, la publicación posterior no modifica la fecha de perfeccionamiento. Así, si el acuerdo se suscribió bilateralmente antes del vencimiento del plazo de ejecución, la publicación posterior no determina, por sí misma, la invalidez de la prórroga. Sin embargo, la entidad debe cumplir el deber de publicidad dentro del término legal aplicable, sin que la necesidad de adelantar un procedimiento de incorporación electrónica permita, por sí sola, suspender o ampliar dicho término.</w:t>
      </w:r>
    </w:p>
    <w:p w14:paraId="56AC5B7C"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Por otra parte, cuando la modificación se tramita directamente en SECOP II, las actuaciones electrónicas de formalización y publicidad son por regla general, concomitantes. En tal caso, el problema no consiste en determinar si una publicación posterior afecta un acuerdo que ya estaba perfeccionado por fuera de la plataforma, sino en establecer cuándo culminó el trámite electrónico que permitió consolidar el consentimiento bilateral.</w:t>
      </w:r>
    </w:p>
    <w:p w14:paraId="2D3E75B8" w14:textId="77777777" w:rsidR="004519C2" w:rsidRPr="00244D0A" w:rsidRDefault="004519C2" w:rsidP="004519C2">
      <w:pPr>
        <w:spacing w:after="120" w:line="276" w:lineRule="auto"/>
        <w:ind w:firstLine="709"/>
        <w:jc w:val="both"/>
        <w:rPr>
          <w:rFonts w:ascii="Verdana" w:hAnsi="Verdana" w:cs="Arial"/>
          <w:bCs/>
          <w:szCs w:val="24"/>
          <w:lang w:eastAsia="es-ES_tradnl"/>
        </w:rPr>
      </w:pPr>
      <w:r w:rsidRPr="00244D0A">
        <w:rPr>
          <w:rFonts w:ascii="Verdana" w:hAnsi="Verdana" w:cs="Arial"/>
          <w:bCs/>
          <w:szCs w:val="24"/>
          <w:lang w:eastAsia="es-ES_tradnl"/>
        </w:rPr>
        <w:t>Esta diferencia es relevante porque la fecha de perfeccionamiento no puede deducirse exclusivamente de la fecha en que el documento fue publicado o quedó disponible en la vista pública. Debe establecerse a partir de la modalidad de formalización empleada y de las actuaciones que efectivamente dieron lugar al acuerdo escrito. En consecuencia, deben diferenciarse dos situaciones: si el acuerdo se perfeccionó antes del vencimiento y su publicación tuvo lugar después, podrá existir un incumplimiento del deber de publicidad, pero no una invalidez automática de la modificación por esa sola circunstancia. En cambio, si el acuerdo solo se perfeccionó una vez vencido el plazo contractual, la publicación posterior no subsana la falta de una prórroga oportunamente perfeccionada.</w:t>
      </w:r>
    </w:p>
    <w:p w14:paraId="5036ED3C" w14:textId="77777777" w:rsidR="004519C2" w:rsidRPr="00244D0A" w:rsidRDefault="004519C2" w:rsidP="004519C2">
      <w:pPr>
        <w:widowControl w:val="0"/>
        <w:autoSpaceDE w:val="0"/>
        <w:autoSpaceDN w:val="0"/>
        <w:spacing w:after="120" w:line="276" w:lineRule="auto"/>
        <w:ind w:firstLine="709"/>
        <w:jc w:val="both"/>
        <w:rPr>
          <w:rFonts w:ascii="Verdana" w:eastAsia="Calibri" w:hAnsi="Verdana" w:cs="Arial"/>
        </w:rPr>
      </w:pPr>
      <w:r w:rsidRPr="00244D0A">
        <w:rPr>
          <w:rFonts w:ascii="Verdana" w:eastAsia="Calibri" w:hAnsi="Verdana" w:cs="Arial"/>
          <w:b/>
          <w:bCs/>
        </w:rPr>
        <w:t>iv.</w:t>
      </w:r>
      <w:r w:rsidRPr="00244D0A">
        <w:rPr>
          <w:rFonts w:ascii="Verdana" w:eastAsia="Calibri" w:hAnsi="Verdana" w:cs="Arial"/>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w:t>
      </w:r>
      <w:r w:rsidRPr="00244D0A">
        <w:rPr>
          <w:rFonts w:ascii="Verdana" w:eastAsia="Calibri" w:hAnsi="Verdana" w:cs="Arial"/>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637E505" w14:textId="77777777" w:rsidR="004519C2" w:rsidRPr="00244D0A" w:rsidRDefault="004519C2" w:rsidP="004519C2">
      <w:pPr>
        <w:spacing w:after="0" w:line="276" w:lineRule="auto"/>
        <w:ind w:firstLine="708"/>
        <w:jc w:val="both"/>
        <w:rPr>
          <w:rFonts w:ascii="Verdana" w:hAnsi="Verdana"/>
        </w:rPr>
      </w:pPr>
      <w:r w:rsidRPr="00244D0A">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959E2F0" w14:textId="77777777" w:rsidR="004519C2" w:rsidRPr="00244D0A" w:rsidRDefault="004519C2" w:rsidP="004519C2">
      <w:pPr>
        <w:spacing w:after="0" w:line="276" w:lineRule="auto"/>
        <w:ind w:firstLine="708"/>
        <w:jc w:val="both"/>
        <w:rPr>
          <w:rFonts w:ascii="Verdana" w:eastAsia="Calibri" w:hAnsi="Verdana" w:cs="Arial"/>
        </w:rPr>
      </w:pPr>
    </w:p>
    <w:p w14:paraId="5863B6CD" w14:textId="77777777" w:rsidR="004519C2" w:rsidRPr="00244D0A" w:rsidRDefault="004519C2" w:rsidP="004519C2">
      <w:pPr>
        <w:pStyle w:val="Prrafodelista"/>
        <w:numPr>
          <w:ilvl w:val="0"/>
          <w:numId w:val="5"/>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44D0A">
        <w:rPr>
          <w:rFonts w:ascii="Verdana" w:eastAsia="Century Gothic" w:hAnsi="Verdana" w:cs="Century Gothic"/>
          <w:b/>
          <w:bCs/>
        </w:rPr>
        <w:t>Referencias normativas, jurisprudenciales y otras fuentes:</w:t>
      </w:r>
    </w:p>
    <w:p w14:paraId="0468B75C" w14:textId="77777777" w:rsidR="004519C2" w:rsidRPr="00244D0A" w:rsidRDefault="004519C2" w:rsidP="004519C2">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19C2" w:rsidRPr="00244D0A" w14:paraId="1F6A07B1" w14:textId="77777777" w:rsidTr="00C65553">
        <w:trPr>
          <w:trHeight w:val="716"/>
        </w:trPr>
        <w:tc>
          <w:tcPr>
            <w:tcW w:w="8647" w:type="dxa"/>
          </w:tcPr>
          <w:p w14:paraId="404EF294"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Decreto Ley 4170 de 2011, artículo 3.</w:t>
            </w:r>
          </w:p>
          <w:p w14:paraId="2FBCED69"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Ley 80 de 1993, artículos 39 y 41.</w:t>
            </w:r>
          </w:p>
          <w:p w14:paraId="7DECA038"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Ley 1150 de 2007, artículo 3, 13</w:t>
            </w:r>
          </w:p>
          <w:p w14:paraId="79CB84B1"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Constitución Política, artículo 209.</w:t>
            </w:r>
          </w:p>
          <w:p w14:paraId="0FAE805A"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Ley 1437 de 2011, artículos 3, numerales 4 y 8.</w:t>
            </w:r>
          </w:p>
          <w:p w14:paraId="347EAE86"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Decreto 1082 de 2015, artículo 2.2.1.1.1.7.1.</w:t>
            </w:r>
          </w:p>
          <w:p w14:paraId="7AFA1C80"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Ley 2195 de 2022, artículo 53.</w:t>
            </w:r>
          </w:p>
          <w:p w14:paraId="682441D3"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ANCP - CCE. Circular Externa No. 003 del 18 de septiembre de 2024.</w:t>
            </w:r>
          </w:p>
          <w:p w14:paraId="51FE2813"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ANCP - CCE. Circular Externa No. 001 del 28 de febrero de 2025.</w:t>
            </w:r>
          </w:p>
          <w:p w14:paraId="1E543460" w14:textId="77777777" w:rsidR="004519C2" w:rsidRPr="00244D0A" w:rsidRDefault="004519C2" w:rsidP="004519C2">
            <w:pPr>
              <w:numPr>
                <w:ilvl w:val="0"/>
                <w:numId w:val="6"/>
              </w:numPr>
              <w:spacing w:before="100" w:beforeAutospacing="1" w:after="100" w:afterAutospacing="1" w:line="276" w:lineRule="auto"/>
              <w:jc w:val="both"/>
              <w:rPr>
                <w:rFonts w:ascii="Verdana" w:eastAsia="Verdana" w:hAnsi="Verdana" w:cs="Verdana"/>
                <w:lang w:val="es-ES"/>
              </w:rPr>
            </w:pPr>
            <w:r w:rsidRPr="00244D0A">
              <w:rPr>
                <w:rFonts w:ascii="Verdana" w:eastAsia="Verdana" w:hAnsi="Verdana" w:cs="Verdana"/>
                <w:lang w:val="es-ES"/>
              </w:rPr>
              <w:t>ANCP - CCE. Circular Externa Única, numeral 3.</w:t>
            </w:r>
          </w:p>
        </w:tc>
      </w:tr>
    </w:tbl>
    <w:p w14:paraId="41B5C959" w14:textId="77777777" w:rsidR="004519C2" w:rsidRPr="00244D0A" w:rsidRDefault="004519C2" w:rsidP="004519C2">
      <w:pPr>
        <w:widowControl w:val="0"/>
        <w:autoSpaceDE w:val="0"/>
        <w:autoSpaceDN w:val="0"/>
        <w:spacing w:after="0" w:line="276" w:lineRule="auto"/>
        <w:jc w:val="both"/>
        <w:rPr>
          <w:rFonts w:ascii="Verdana" w:hAnsi="Verdana" w:cs="Arial"/>
        </w:rPr>
      </w:pPr>
    </w:p>
    <w:p w14:paraId="75FA3013" w14:textId="77777777" w:rsidR="004519C2" w:rsidRPr="00244D0A" w:rsidRDefault="004519C2" w:rsidP="004519C2">
      <w:pPr>
        <w:pStyle w:val="Prrafodelista"/>
        <w:numPr>
          <w:ilvl w:val="0"/>
          <w:numId w:val="5"/>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44D0A">
        <w:rPr>
          <w:rFonts w:ascii="Verdana" w:eastAsia="Century Gothic" w:hAnsi="Verdana" w:cs="Century Gothic"/>
          <w:b/>
          <w:bCs/>
        </w:rPr>
        <w:t>Doctrina de la Agencia Nacional de Contratación Pública:</w:t>
      </w:r>
    </w:p>
    <w:p w14:paraId="1A133374" w14:textId="77777777" w:rsidR="004519C2" w:rsidRPr="00244D0A" w:rsidRDefault="004519C2" w:rsidP="004519C2">
      <w:pPr>
        <w:widowControl w:val="0"/>
        <w:autoSpaceDE w:val="0"/>
        <w:autoSpaceDN w:val="0"/>
        <w:spacing w:after="0" w:line="276" w:lineRule="auto"/>
        <w:jc w:val="both"/>
        <w:rPr>
          <w:rFonts w:ascii="Verdana" w:hAnsi="Verdana" w:cs="Arial"/>
          <w:highlight w:val="yellow"/>
        </w:rPr>
      </w:pPr>
    </w:p>
    <w:p w14:paraId="6DA9A801" w14:textId="77777777" w:rsidR="004519C2" w:rsidRPr="00244D0A" w:rsidRDefault="004519C2" w:rsidP="004519C2">
      <w:pPr>
        <w:widowControl w:val="0"/>
        <w:autoSpaceDE w:val="0"/>
        <w:autoSpaceDN w:val="0"/>
        <w:spacing w:after="0" w:line="276" w:lineRule="auto"/>
        <w:jc w:val="both"/>
        <w:rPr>
          <w:rFonts w:ascii="Verdana" w:hAnsi="Verdana" w:cs="Arial"/>
          <w:shd w:val="clear" w:color="auto" w:fill="FFFFFF"/>
        </w:rPr>
      </w:pPr>
      <w:r w:rsidRPr="00244D0A">
        <w:rPr>
          <w:rFonts w:ascii="Verdana" w:hAnsi="Verdana"/>
        </w:rPr>
        <w:t xml:space="preserve">En lo relacionado con el ámbito de la consulta, esta Subdirección se ha pronunciado </w:t>
      </w:r>
      <w:r w:rsidRPr="00244D0A">
        <w:rPr>
          <w:rFonts w:ascii="Verdana" w:hAnsi="Verdana" w:cs="Arial"/>
        </w:rPr>
        <w:t>sobre</w:t>
      </w:r>
      <w:r w:rsidRPr="00244D0A">
        <w:rPr>
          <w:rFonts w:ascii="Verdana" w:hAnsi="Verdana" w:cs="Arial"/>
          <w:shd w:val="clear" w:color="auto" w:fill="FFFFFF"/>
        </w:rPr>
        <w:t xml:space="preserve"> los componentes del SECOP, el deber de publicidad y el módulo de gestión contractual del SECOP II en el Concepto C-1218 del 3 de septiembre de 2026; sobre las materias reservadas al legislador, entre ellas los requisitos de existencia y validez del contrato, en los Conceptos C-892 de 2026 </w:t>
      </w:r>
      <w:r w:rsidRPr="00244D0A">
        <w:rPr>
          <w:rFonts w:ascii="Verdana" w:hAnsi="Verdana" w:cs="Arial"/>
          <w:shd w:val="clear" w:color="auto" w:fill="FFFFFF"/>
        </w:rPr>
        <w:lastRenderedPageBreak/>
        <w:t xml:space="preserve">y C-1633 de 2025; sobre la modificación de los contratos estatales, en el Concepto C-1172 de 2026; sobre la equivalencia funcional de los documentos electrónicos, en el Concepto C-420 de 2026; y sobre los contratos en ejecución como requisito habilitante y las causales de rechazo, en el Concepto C-1008 del 31 de julio de 2026. </w:t>
      </w:r>
      <w:r w:rsidRPr="00244D0A">
        <w:rPr>
          <w:rFonts w:ascii="Verdana" w:eastAsia="Calibri" w:hAnsi="Verdana" w:cs="Arial"/>
        </w:rPr>
        <w:t xml:space="preserve">Los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r w:rsidRPr="00244D0A">
          <w:rPr>
            <w:rFonts w:ascii="Verdana" w:eastAsia="Aptos" w:hAnsi="Verdana" w:cs="Arial"/>
            <w:color w:val="0000FF"/>
            <w:u w:val="single"/>
          </w:rPr>
          <w:t>https://relatoria.colombiacompra.gov.co/busqueda/conceptos</w:t>
        </w:r>
      </w:hyperlink>
      <w:r w:rsidRPr="00244D0A">
        <w:rPr>
          <w:rFonts w:ascii="Verdana" w:eastAsia="Aptos" w:hAnsi="Verdana" w:cs="Arial"/>
          <w:color w:val="0000FF"/>
        </w:rPr>
        <w:t>.</w:t>
      </w:r>
      <w:r w:rsidRPr="00244D0A">
        <w:rPr>
          <w:rFonts w:ascii="Verdana" w:eastAsia="Aptos" w:hAnsi="Verdana" w:cs="Arial"/>
        </w:rPr>
        <w:t xml:space="preserve"> </w:t>
      </w:r>
      <w:r w:rsidRPr="00244D0A">
        <w:rPr>
          <w:rFonts w:ascii="Verdana" w:eastAsia="Aptos" w:hAnsi="Verdana" w:cs="Arial"/>
          <w:lang w:val="es-ES"/>
        </w:rPr>
        <w:t xml:space="preserve">  </w:t>
      </w:r>
    </w:p>
    <w:p w14:paraId="209F176A" w14:textId="77777777" w:rsidR="004519C2" w:rsidRPr="00244D0A" w:rsidRDefault="004519C2" w:rsidP="004519C2">
      <w:pPr>
        <w:widowControl w:val="0"/>
        <w:autoSpaceDE w:val="0"/>
        <w:autoSpaceDN w:val="0"/>
        <w:spacing w:after="0" w:line="276" w:lineRule="auto"/>
        <w:jc w:val="both"/>
        <w:rPr>
          <w:rFonts w:ascii="Verdana" w:hAnsi="Verdana" w:cs="Arial"/>
          <w:shd w:val="clear" w:color="auto" w:fill="FFFFFF"/>
          <w:lang w:val="es-ES"/>
        </w:rPr>
      </w:pPr>
    </w:p>
    <w:p w14:paraId="12520A76" w14:textId="77777777" w:rsidR="004519C2" w:rsidRPr="00244D0A" w:rsidRDefault="004519C2" w:rsidP="004519C2">
      <w:pPr>
        <w:spacing w:after="0" w:line="276" w:lineRule="auto"/>
        <w:jc w:val="both"/>
        <w:rPr>
          <w:rFonts w:ascii="Verdana" w:hAnsi="Verdana"/>
        </w:rPr>
      </w:pPr>
      <w:r w:rsidRPr="00244D0A">
        <w:rPr>
          <w:rFonts w:ascii="Verdana" w:hAnsi="Verdana"/>
        </w:rPr>
        <w:t xml:space="preserve">Por último, lo invitamos a seguirnos en las redes sociales en las cuales se difunde información institucional: </w:t>
      </w:r>
    </w:p>
    <w:p w14:paraId="7068193F" w14:textId="77777777" w:rsidR="004519C2" w:rsidRPr="00244D0A" w:rsidRDefault="004519C2" w:rsidP="004519C2">
      <w:pPr>
        <w:spacing w:after="0" w:line="276" w:lineRule="auto"/>
        <w:jc w:val="both"/>
        <w:rPr>
          <w:rFonts w:ascii="Verdana" w:hAnsi="Verdana"/>
        </w:rPr>
      </w:pPr>
    </w:p>
    <w:p w14:paraId="649D718F" w14:textId="77777777" w:rsidR="004519C2" w:rsidRPr="00244D0A" w:rsidRDefault="004519C2" w:rsidP="004519C2">
      <w:pPr>
        <w:spacing w:after="0" w:line="276" w:lineRule="auto"/>
        <w:jc w:val="both"/>
        <w:rPr>
          <w:rFonts w:ascii="Verdana" w:hAnsi="Verdana"/>
        </w:rPr>
      </w:pPr>
      <w:r w:rsidRPr="00244D0A">
        <w:rPr>
          <w:rFonts w:ascii="Verdana" w:hAnsi="Verdana"/>
        </w:rPr>
        <w:t xml:space="preserve">Twitter: </w:t>
      </w:r>
      <w:r w:rsidRPr="00244D0A">
        <w:rPr>
          <w:rStyle w:val="Hipervnculo"/>
          <w:rFonts w:ascii="Verdana" w:hAnsi="Verdana"/>
        </w:rPr>
        <w:t>@colombiacompra</w:t>
      </w:r>
      <w:r w:rsidRPr="00244D0A">
        <w:rPr>
          <w:rFonts w:ascii="Verdana" w:hAnsi="Verdana"/>
          <w:color w:val="0000FF"/>
        </w:rPr>
        <w:t xml:space="preserve"> </w:t>
      </w:r>
    </w:p>
    <w:p w14:paraId="071A558B" w14:textId="77777777" w:rsidR="004519C2" w:rsidRPr="00244D0A" w:rsidRDefault="004519C2" w:rsidP="004519C2">
      <w:pPr>
        <w:spacing w:after="0" w:line="276" w:lineRule="auto"/>
        <w:jc w:val="both"/>
        <w:rPr>
          <w:rFonts w:ascii="Verdana" w:hAnsi="Verdana"/>
        </w:rPr>
      </w:pPr>
      <w:r w:rsidRPr="00244D0A">
        <w:rPr>
          <w:rFonts w:ascii="Verdana" w:hAnsi="Verdana"/>
        </w:rPr>
        <w:t xml:space="preserve">Facebook: </w:t>
      </w:r>
      <w:proofErr w:type="spellStart"/>
      <w:r w:rsidRPr="00244D0A">
        <w:rPr>
          <w:rStyle w:val="Hipervnculo"/>
          <w:rFonts w:ascii="Verdana" w:hAnsi="Verdana"/>
        </w:rPr>
        <w:t>ColombiaCompraEficiente</w:t>
      </w:r>
      <w:proofErr w:type="spellEnd"/>
    </w:p>
    <w:p w14:paraId="185059C4" w14:textId="77777777" w:rsidR="004519C2" w:rsidRPr="00244D0A" w:rsidRDefault="004519C2" w:rsidP="004519C2">
      <w:pPr>
        <w:spacing w:after="0" w:line="276" w:lineRule="auto"/>
        <w:jc w:val="both"/>
        <w:rPr>
          <w:rFonts w:ascii="Verdana" w:hAnsi="Verdana"/>
        </w:rPr>
      </w:pPr>
      <w:r w:rsidRPr="00244D0A">
        <w:rPr>
          <w:rFonts w:ascii="Verdana" w:hAnsi="Verdana"/>
        </w:rPr>
        <w:t xml:space="preserve">LinkedIn: </w:t>
      </w:r>
      <w:r w:rsidRPr="00244D0A">
        <w:rPr>
          <w:rStyle w:val="Hipervnculo"/>
          <w:rFonts w:ascii="Verdana" w:hAnsi="Verdana"/>
        </w:rPr>
        <w:t>Agencia Nacional de Contratación Pública - Colombia Compra Eficiente</w:t>
      </w:r>
      <w:r w:rsidRPr="00244D0A">
        <w:rPr>
          <w:rFonts w:ascii="Verdana" w:hAnsi="Verdana"/>
          <w:color w:val="0000FF"/>
        </w:rPr>
        <w:t xml:space="preserve"> </w:t>
      </w:r>
      <w:r w:rsidRPr="00244D0A">
        <w:rPr>
          <w:rFonts w:ascii="Verdana" w:hAnsi="Verdana"/>
        </w:rPr>
        <w:t xml:space="preserve">Instagram: </w:t>
      </w:r>
      <w:r w:rsidRPr="00244D0A">
        <w:rPr>
          <w:rStyle w:val="Hipervnculo"/>
          <w:rFonts w:ascii="Verdana" w:hAnsi="Verdana"/>
        </w:rPr>
        <w:t>@colombiacompraeficiente_cce</w:t>
      </w:r>
    </w:p>
    <w:p w14:paraId="5D906461" w14:textId="77777777" w:rsidR="004519C2" w:rsidRPr="00244D0A" w:rsidRDefault="004519C2" w:rsidP="004519C2">
      <w:pPr>
        <w:widowControl w:val="0"/>
        <w:autoSpaceDE w:val="0"/>
        <w:autoSpaceDN w:val="0"/>
        <w:spacing w:after="0" w:line="276" w:lineRule="auto"/>
        <w:jc w:val="both"/>
        <w:rPr>
          <w:rFonts w:ascii="Verdana" w:hAnsi="Verdana" w:cs="Arial"/>
        </w:rPr>
      </w:pPr>
    </w:p>
    <w:p w14:paraId="0767D594" w14:textId="77777777" w:rsidR="004519C2" w:rsidRPr="00244D0A" w:rsidRDefault="004519C2" w:rsidP="004519C2">
      <w:pPr>
        <w:widowControl w:val="0"/>
        <w:autoSpaceDE w:val="0"/>
        <w:autoSpaceDN w:val="0"/>
        <w:spacing w:after="0" w:line="276" w:lineRule="auto"/>
        <w:jc w:val="both"/>
        <w:rPr>
          <w:rFonts w:ascii="Verdana" w:hAnsi="Verdana" w:cs="Arial"/>
          <w:lang w:val="es-ES_tradnl"/>
        </w:rPr>
      </w:pPr>
      <w:r w:rsidRPr="00244D0A">
        <w:rPr>
          <w:rFonts w:ascii="Verdana" w:hAnsi="Verdana" w:cs="Arial"/>
        </w:rPr>
        <w:t xml:space="preserve">Este concepto tiene el alcance previsto en el artículo 28 del Código de Procedimiento Administrativo y de lo Contencioso Administrativo </w:t>
      </w:r>
      <w:r w:rsidRPr="00244D0A">
        <w:rPr>
          <w:rFonts w:ascii="Verdana" w:hAnsi="Verdana" w:cs="Arial"/>
          <w:lang w:val="es-ES_tradnl"/>
        </w:rPr>
        <w:t>y las expresiones aquí utilizadas con mayúscula inicial deben ser entendidas con el significado que les otorga el artículo 2.2.1.1.1.3.1. del Decreto 1082 de 2015.</w:t>
      </w:r>
    </w:p>
    <w:p w14:paraId="3579374E" w14:textId="77777777" w:rsidR="004519C2" w:rsidRPr="00244D0A" w:rsidRDefault="004519C2" w:rsidP="004519C2">
      <w:pPr>
        <w:widowControl w:val="0"/>
        <w:autoSpaceDE w:val="0"/>
        <w:autoSpaceDN w:val="0"/>
        <w:spacing w:after="0" w:line="276" w:lineRule="auto"/>
        <w:jc w:val="both"/>
        <w:rPr>
          <w:rFonts w:ascii="Verdana" w:hAnsi="Verdana" w:cs="Arial"/>
        </w:rPr>
      </w:pPr>
    </w:p>
    <w:p w14:paraId="064B6915" w14:textId="77777777" w:rsidR="004519C2" w:rsidRDefault="004519C2" w:rsidP="004519C2">
      <w:pPr>
        <w:spacing w:after="0" w:line="276" w:lineRule="auto"/>
        <w:rPr>
          <w:rFonts w:ascii="Verdana" w:hAnsi="Verdana" w:cs="Arial"/>
          <w:lang w:eastAsia="es-CO"/>
        </w:rPr>
      </w:pPr>
      <w:r w:rsidRPr="00244D0A">
        <w:rPr>
          <w:rFonts w:ascii="Verdana" w:eastAsia="Times New Roman" w:hAnsi="Verdana" w:cs="Arial"/>
          <w:lang w:eastAsia="es-CO"/>
        </w:rPr>
        <w:t>Atentamente,</w:t>
      </w:r>
      <w:r w:rsidRPr="00244D0A">
        <w:rPr>
          <w:rFonts w:ascii="Verdana" w:hAnsi="Verdana" w:cs="Arial"/>
          <w:lang w:eastAsia="es-CO"/>
        </w:rPr>
        <w:t xml:space="preserve"> </w:t>
      </w:r>
    </w:p>
    <w:p w14:paraId="6515A810" w14:textId="3CE5D27C" w:rsidR="004519C2" w:rsidRPr="000A4F59" w:rsidRDefault="000A4F59" w:rsidP="000A4F59">
      <w:pPr>
        <w:spacing w:after="0" w:line="276" w:lineRule="auto"/>
        <w:jc w:val="center"/>
        <w:rPr>
          <w:rFonts w:ascii="Verdana" w:hAnsi="Verdana" w:cs="Arial"/>
          <w:lang w:eastAsia="es-CO"/>
        </w:rPr>
      </w:pPr>
      <w:r w:rsidRPr="000A4F59">
        <w:rPr>
          <w:rFonts w:ascii="Verdana" w:hAnsi="Verdana" w:cs="Arial"/>
          <w:noProof/>
          <w:lang w:eastAsia="es-CO"/>
        </w:rPr>
        <w:drawing>
          <wp:inline distT="0" distB="0" distL="0" distR="0" wp14:anchorId="3F587B1C" wp14:editId="39C506C2">
            <wp:extent cx="2720827" cy="1013238"/>
            <wp:effectExtent l="0" t="0" r="3810" b="0"/>
            <wp:docPr id="15384688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9587" cy="101650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519C2" w:rsidRPr="00244D0A" w14:paraId="138D28D0" w14:textId="77777777" w:rsidTr="00C65553">
        <w:trPr>
          <w:trHeight w:val="315"/>
        </w:trPr>
        <w:tc>
          <w:tcPr>
            <w:tcW w:w="893" w:type="dxa"/>
            <w:vAlign w:val="center"/>
            <w:hideMark/>
          </w:tcPr>
          <w:p w14:paraId="0ADD49C1" w14:textId="77777777" w:rsidR="004519C2" w:rsidRPr="00244D0A" w:rsidRDefault="004519C2" w:rsidP="00C65553">
            <w:pPr>
              <w:contextualSpacing/>
              <w:rPr>
                <w:rFonts w:ascii="Verdana" w:hAnsi="Verdana" w:cs="Arial"/>
                <w:sz w:val="16"/>
                <w:szCs w:val="16"/>
                <w:lang w:val="es-ES" w:eastAsia="es-ES"/>
              </w:rPr>
            </w:pPr>
            <w:r w:rsidRPr="00244D0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632B2E" w14:textId="77777777" w:rsidR="004519C2" w:rsidRPr="00244D0A" w:rsidRDefault="004519C2" w:rsidP="00C65553">
            <w:pPr>
              <w:contextualSpacing/>
              <w:rPr>
                <w:rFonts w:ascii="Verdana" w:eastAsia="Arial" w:hAnsi="Verdana" w:cs="Arial"/>
                <w:sz w:val="16"/>
                <w:szCs w:val="16"/>
              </w:rPr>
            </w:pPr>
            <w:r w:rsidRPr="00244D0A">
              <w:rPr>
                <w:rFonts w:ascii="Verdana" w:eastAsia="Arial" w:hAnsi="Verdana" w:cs="Arial"/>
                <w:sz w:val="16"/>
                <w:szCs w:val="16"/>
              </w:rPr>
              <w:t>Andrea Camila Polo Paz</w:t>
            </w:r>
          </w:p>
          <w:p w14:paraId="057C7B27" w14:textId="77777777" w:rsidR="004519C2" w:rsidRPr="00244D0A" w:rsidRDefault="004519C2" w:rsidP="00C65553">
            <w:pPr>
              <w:contextualSpacing/>
              <w:rPr>
                <w:rFonts w:ascii="Verdana" w:eastAsia="Arial" w:hAnsi="Verdana" w:cs="Arial"/>
                <w:sz w:val="16"/>
                <w:szCs w:val="16"/>
              </w:rPr>
            </w:pPr>
            <w:r w:rsidRPr="00244D0A">
              <w:rPr>
                <w:rStyle w:val="normaltextrun"/>
                <w:rFonts w:ascii="Verdana" w:eastAsia="Arial" w:hAnsi="Verdana" w:cs="Arial"/>
                <w:sz w:val="16"/>
                <w:szCs w:val="16"/>
              </w:rPr>
              <w:t>Analista T02-1 de la Subdirección de Gestión Contractual</w:t>
            </w:r>
          </w:p>
        </w:tc>
      </w:tr>
      <w:tr w:rsidR="004519C2" w:rsidRPr="00244D0A" w14:paraId="5ED15895" w14:textId="77777777" w:rsidTr="00C65553">
        <w:trPr>
          <w:trHeight w:val="330"/>
        </w:trPr>
        <w:tc>
          <w:tcPr>
            <w:tcW w:w="893" w:type="dxa"/>
            <w:vAlign w:val="center"/>
            <w:hideMark/>
          </w:tcPr>
          <w:p w14:paraId="29637C65" w14:textId="77777777" w:rsidR="004519C2" w:rsidRPr="00244D0A" w:rsidRDefault="004519C2" w:rsidP="00C65553">
            <w:pPr>
              <w:contextualSpacing/>
              <w:rPr>
                <w:rFonts w:ascii="Verdana" w:hAnsi="Verdana" w:cs="Arial"/>
                <w:sz w:val="16"/>
                <w:szCs w:val="16"/>
                <w:lang w:val="es-ES" w:eastAsia="es-ES"/>
              </w:rPr>
            </w:pPr>
            <w:r w:rsidRPr="00244D0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A7F772" w14:textId="77777777" w:rsidR="004519C2" w:rsidRPr="00244D0A" w:rsidRDefault="004519C2" w:rsidP="00C65553">
            <w:pPr>
              <w:pStyle w:val="paragraph"/>
              <w:spacing w:before="0" w:beforeAutospacing="0" w:after="0" w:afterAutospacing="0"/>
              <w:contextualSpacing/>
              <w:textAlignment w:val="baseline"/>
              <w:rPr>
                <w:rStyle w:val="normaltextrun"/>
                <w:rFonts w:ascii="Verdana" w:hAnsi="Verdana" w:cs="Arial"/>
                <w:sz w:val="16"/>
                <w:szCs w:val="16"/>
                <w:lang w:val="es-ES"/>
              </w:rPr>
            </w:pPr>
            <w:r w:rsidRPr="00244D0A">
              <w:rPr>
                <w:rStyle w:val="normaltextrun"/>
                <w:rFonts w:ascii="Verdana" w:hAnsi="Verdana" w:cs="Arial"/>
                <w:sz w:val="16"/>
                <w:szCs w:val="16"/>
                <w:lang w:val="es-ES"/>
              </w:rPr>
              <w:t xml:space="preserve">Adriana López Rodríguez </w:t>
            </w:r>
          </w:p>
          <w:p w14:paraId="0ECCB891" w14:textId="77777777" w:rsidR="004519C2" w:rsidRPr="00244D0A" w:rsidRDefault="004519C2" w:rsidP="00C65553">
            <w:pPr>
              <w:pStyle w:val="paragraph"/>
              <w:spacing w:before="0" w:beforeAutospacing="0" w:after="0" w:afterAutospacing="0"/>
              <w:contextualSpacing/>
              <w:textAlignment w:val="baseline"/>
              <w:rPr>
                <w:rFonts w:ascii="Verdana" w:hAnsi="Verdana" w:cs="Arial"/>
                <w:sz w:val="16"/>
                <w:szCs w:val="16"/>
                <w:lang w:val="es-ES"/>
              </w:rPr>
            </w:pPr>
            <w:r w:rsidRPr="00244D0A">
              <w:rPr>
                <w:rStyle w:val="normaltextrun"/>
                <w:rFonts w:ascii="Verdana" w:hAnsi="Verdana" w:cs="Arial"/>
                <w:sz w:val="16"/>
                <w:szCs w:val="16"/>
                <w:lang w:val="es-ES"/>
              </w:rPr>
              <w:t>Contratista de la Subdirección de Gestión Contractual</w:t>
            </w:r>
            <w:r w:rsidRPr="00244D0A">
              <w:rPr>
                <w:rStyle w:val="eop"/>
                <w:rFonts w:ascii="Verdana" w:hAnsi="Verdana" w:cs="Arial"/>
                <w:sz w:val="16"/>
                <w:szCs w:val="16"/>
              </w:rPr>
              <w:t> </w:t>
            </w:r>
          </w:p>
        </w:tc>
      </w:tr>
      <w:tr w:rsidR="004519C2" w:rsidRPr="00244D0A" w14:paraId="1B573A50" w14:textId="77777777" w:rsidTr="00C65553">
        <w:trPr>
          <w:trHeight w:val="300"/>
        </w:trPr>
        <w:tc>
          <w:tcPr>
            <w:tcW w:w="893" w:type="dxa"/>
            <w:vAlign w:val="center"/>
          </w:tcPr>
          <w:p w14:paraId="20403807" w14:textId="77777777" w:rsidR="004519C2" w:rsidRPr="00244D0A" w:rsidRDefault="004519C2" w:rsidP="00C65553">
            <w:pPr>
              <w:contextualSpacing/>
              <w:rPr>
                <w:rFonts w:ascii="Verdana" w:hAnsi="Verdana" w:cs="Arial"/>
                <w:sz w:val="16"/>
                <w:szCs w:val="16"/>
                <w:lang w:val="es-ES" w:eastAsia="es-ES"/>
              </w:rPr>
            </w:pPr>
            <w:r w:rsidRPr="00244D0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B22D99" w14:textId="77777777" w:rsidR="004519C2" w:rsidRPr="00244D0A" w:rsidRDefault="004519C2" w:rsidP="00C65553">
            <w:pPr>
              <w:contextualSpacing/>
              <w:rPr>
                <w:rFonts w:ascii="Verdana" w:eastAsia="Calibri" w:hAnsi="Verdana" w:cs="Arial"/>
                <w:sz w:val="16"/>
                <w:szCs w:val="16"/>
                <w:lang w:val="pt-BR" w:eastAsia="es-ES"/>
              </w:rPr>
            </w:pPr>
            <w:r w:rsidRPr="00244D0A">
              <w:rPr>
                <w:rFonts w:ascii="Verdana" w:eastAsia="Calibri" w:hAnsi="Verdana" w:cs="Arial"/>
                <w:sz w:val="16"/>
                <w:szCs w:val="16"/>
                <w:lang w:val="pt-BR" w:eastAsia="es-ES"/>
              </w:rPr>
              <w:t>William Javier Murcia Acevedo</w:t>
            </w:r>
          </w:p>
          <w:p w14:paraId="008C243F" w14:textId="77777777" w:rsidR="004519C2" w:rsidRPr="00244D0A" w:rsidRDefault="004519C2" w:rsidP="00C65553">
            <w:pPr>
              <w:contextualSpacing/>
              <w:rPr>
                <w:rFonts w:ascii="Verdana" w:eastAsia="Calibri" w:hAnsi="Verdana" w:cs="Arial"/>
                <w:sz w:val="16"/>
                <w:szCs w:val="16"/>
                <w:lang w:val="pt-BR" w:eastAsia="es-ES"/>
              </w:rPr>
            </w:pPr>
            <w:r w:rsidRPr="00244D0A">
              <w:rPr>
                <w:rFonts w:ascii="Verdana" w:eastAsia="Calibri" w:hAnsi="Verdana" w:cs="Arial"/>
                <w:sz w:val="16"/>
                <w:szCs w:val="16"/>
                <w:lang w:eastAsia="es-ES"/>
              </w:rPr>
              <w:t>Subdirector</w:t>
            </w:r>
            <w:r w:rsidRPr="00244D0A">
              <w:rPr>
                <w:rFonts w:ascii="Verdana" w:eastAsia="Calibri" w:hAnsi="Verdana" w:cs="Arial"/>
                <w:sz w:val="16"/>
                <w:szCs w:val="16"/>
                <w:lang w:val="pt-BR" w:eastAsia="es-ES"/>
              </w:rPr>
              <w:t xml:space="preserve"> de Gestión Contractual ANCP – CCE (E) </w:t>
            </w:r>
          </w:p>
        </w:tc>
      </w:tr>
    </w:tbl>
    <w:p w14:paraId="7C64D618" w14:textId="77777777" w:rsidR="004519C2" w:rsidRPr="00E02524" w:rsidRDefault="004519C2" w:rsidP="004519C2">
      <w:pPr>
        <w:spacing w:after="0" w:line="240" w:lineRule="auto"/>
        <w:jc w:val="both"/>
        <w:rPr>
          <w:rFonts w:ascii="Verdana" w:eastAsia="Verdana" w:hAnsi="Verdana" w:cs="Verdana"/>
          <w:b/>
          <w:bCs/>
          <w:lang w:val="es-MX"/>
        </w:rPr>
      </w:pPr>
    </w:p>
    <w:p w14:paraId="03E95BC7" w14:textId="6387375F" w:rsidR="001F51B9" w:rsidRPr="00244D0A" w:rsidRDefault="001F51B9" w:rsidP="004519C2">
      <w:pPr>
        <w:spacing w:after="0" w:line="240" w:lineRule="auto"/>
        <w:jc w:val="both"/>
        <w:rPr>
          <w:rFonts w:ascii="Verdana" w:eastAsia="Verdana" w:hAnsi="Verdana" w:cs="Verdana"/>
          <w:lang w:eastAsia="es-CO"/>
        </w:rPr>
      </w:pPr>
    </w:p>
    <w:sectPr w:rsidR="001F51B9" w:rsidRPr="00244D0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361D" w14:textId="77777777" w:rsidR="009C7565" w:rsidRDefault="009C7565" w:rsidP="004A1847">
      <w:pPr>
        <w:spacing w:after="0" w:line="240" w:lineRule="auto"/>
      </w:pPr>
      <w:r>
        <w:separator/>
      </w:r>
    </w:p>
  </w:endnote>
  <w:endnote w:type="continuationSeparator" w:id="0">
    <w:p w14:paraId="352C4B63" w14:textId="77777777" w:rsidR="009C7565" w:rsidRDefault="009C75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34A4C" w14:textId="77777777" w:rsidR="009C7565" w:rsidRDefault="009C7565" w:rsidP="004A1847">
      <w:pPr>
        <w:spacing w:after="0" w:line="240" w:lineRule="auto"/>
      </w:pPr>
      <w:r>
        <w:separator/>
      </w:r>
    </w:p>
  </w:footnote>
  <w:footnote w:type="continuationSeparator" w:id="0">
    <w:p w14:paraId="14B91E91" w14:textId="77777777" w:rsidR="009C7565" w:rsidRDefault="009C7565" w:rsidP="004A1847">
      <w:pPr>
        <w:spacing w:after="0" w:line="240" w:lineRule="auto"/>
      </w:pPr>
      <w:r>
        <w:continuationSeparator/>
      </w:r>
    </w:p>
  </w:footnote>
  <w:footnote w:id="1">
    <w:p w14:paraId="60C3F0A1" w14:textId="77777777" w:rsidR="004519C2" w:rsidRPr="00FF67F9" w:rsidRDefault="004519C2" w:rsidP="004519C2">
      <w:pPr>
        <w:pStyle w:val="Textonotapie"/>
        <w:ind w:firstLine="709"/>
        <w:jc w:val="both"/>
        <w:rPr>
          <w:rFonts w:ascii="Verdana" w:hAnsi="Verdana"/>
          <w:sz w:val="16"/>
          <w:szCs w:val="16"/>
          <w:lang w:val="es-ES_tradnl"/>
        </w:rPr>
      </w:pPr>
      <w:r>
        <w:rPr>
          <w:rStyle w:val="Refdenotaalpie"/>
        </w:rPr>
        <w:footnoteRef/>
      </w:r>
      <w:r>
        <w:t xml:space="preserve"> </w:t>
      </w:r>
      <w:r w:rsidRPr="00FF67F9">
        <w:rPr>
          <w:rFonts w:ascii="Verdana" w:hAnsi="Verdana"/>
          <w:sz w:val="16"/>
          <w:szCs w:val="16"/>
          <w:lang w:val="es-ES_tradnl"/>
        </w:rPr>
        <w:t>AGENCIA NACIONAL DE CONTRATACIÓN PÚBLICA – COLOMBIA COMPRA EFICIENTE. Circular Externa No. 003 del 18 de septiembre de 2024, “Obligatoriedad del SECOP II para la vigencia 2024 y primer semestre del 2025”, numeral 1, reiterada por la Circular Externa No. 001 del 28 de febrero de 2025. Decreto Ley 4170 de 2011, artículo 3, numerales 2, 5 y 8. AGENCIA NACIONAL DE CONTRATACIÓN PÚBLICA – COLOMBIA COMPRA EFICIENTE. Circular Externa Única, numeral 3.</w:t>
      </w:r>
    </w:p>
    <w:p w14:paraId="57F338CA" w14:textId="77777777" w:rsidR="004519C2" w:rsidRDefault="004519C2" w:rsidP="004519C2">
      <w:pPr>
        <w:pStyle w:val="Textonotapie"/>
      </w:pPr>
    </w:p>
  </w:footnote>
  <w:footnote w:id="2">
    <w:p w14:paraId="45C2A1BA" w14:textId="77777777" w:rsidR="004519C2"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Ley 1150 de 2007, artículo 3, conforme al cual los documentos y contratos derivados de la actividad contractual “podrán” tener lugar por medios electrónicos, de conformidad con la Ley 527 de 1999.</w:t>
      </w:r>
    </w:p>
    <w:p w14:paraId="56C32660" w14:textId="77777777" w:rsidR="004519C2" w:rsidRPr="00FF67F9" w:rsidRDefault="004519C2" w:rsidP="004519C2">
      <w:pPr>
        <w:pStyle w:val="Textonotapie"/>
        <w:ind w:firstLine="709"/>
        <w:jc w:val="both"/>
        <w:rPr>
          <w:rFonts w:ascii="Verdana" w:hAnsi="Verdana"/>
          <w:sz w:val="16"/>
          <w:szCs w:val="16"/>
          <w:lang w:val="es-ES_tradnl"/>
        </w:rPr>
      </w:pPr>
      <w:r>
        <w:rPr>
          <w:rFonts w:ascii="Verdana" w:hAnsi="Verdana"/>
          <w:sz w:val="16"/>
          <w:szCs w:val="16"/>
          <w:lang w:val="es-ES_tradnl"/>
        </w:rPr>
        <w:t xml:space="preserve"> </w:t>
      </w:r>
      <w:r w:rsidRPr="00FF67F9">
        <w:rPr>
          <w:rFonts w:ascii="Verdana" w:hAnsi="Verdana"/>
          <w:sz w:val="16"/>
          <w:szCs w:val="16"/>
          <w:lang w:val="es-ES_tradnl"/>
        </w:rPr>
        <w:t>Sobre el principio de equivalencia funcional, AGENCIA NACIONAL DE CONTRATACIÓN PÚBLICA – COLOMBIA COMPRA EFICIENTE. Subdirección de Gestión Contractual. Concepto C-420 de 2026.</w:t>
      </w:r>
    </w:p>
  </w:footnote>
  <w:footnote w:id="3">
    <w:p w14:paraId="17A4077F" w14:textId="77777777" w:rsidR="004519C2"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Decreto Ley 4170 de 2011, artículo 3, numerales 2, 5 y 8. </w:t>
      </w:r>
    </w:p>
    <w:p w14:paraId="0AC045B8" w14:textId="77777777" w:rsidR="004519C2" w:rsidRPr="00FF67F9" w:rsidRDefault="004519C2" w:rsidP="004519C2">
      <w:pPr>
        <w:pStyle w:val="Textonotapie"/>
        <w:ind w:firstLine="709"/>
        <w:jc w:val="both"/>
        <w:rPr>
          <w:rFonts w:ascii="Verdana" w:hAnsi="Verdana"/>
          <w:sz w:val="16"/>
          <w:szCs w:val="16"/>
          <w:lang w:val="es-ES_tradnl"/>
        </w:rPr>
      </w:pPr>
      <w:r w:rsidRPr="00FF67F9">
        <w:rPr>
          <w:rFonts w:ascii="Verdana" w:hAnsi="Verdana"/>
          <w:sz w:val="16"/>
          <w:szCs w:val="16"/>
          <w:lang w:val="es-ES_tradnl"/>
        </w:rPr>
        <w:t>AGENCIA NACIONAL DE CONTRATACIÓN PÚBLICA – COLOMBIA COMPRA EFICIENTE. Circular Externa Única, numeral 3.</w:t>
      </w:r>
    </w:p>
  </w:footnote>
  <w:footnote w:id="4">
    <w:p w14:paraId="0D3F4843" w14:textId="77777777" w:rsidR="004519C2" w:rsidRPr="00FF67F9"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del 18 de septiembre de 2024, numerales 1 y 3; Circular Externa No. 001 del 28 de febrero de 2025.</w:t>
      </w:r>
    </w:p>
  </w:footnote>
  <w:footnote w:id="5">
    <w:p w14:paraId="4FC3F074" w14:textId="77777777" w:rsidR="004519C2" w:rsidRPr="00FF67F9"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consideraciones; Circular Externa Única, numeral 3.</w:t>
      </w:r>
    </w:p>
  </w:footnote>
  <w:footnote w:id="6">
    <w:p w14:paraId="2AEC823C" w14:textId="77777777" w:rsidR="004519C2" w:rsidRPr="00FF67F9"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Circular Externa No. 003 de 2024, numeral 2. Ley 1150 de 2007, artículo 13, adicionado por el artículo 53 de la Ley 2195 de 2022. AGENCIA NACIONAL DE CONTRATACIÓN PÚBLICA – COLOMBIA COMPRA EFICIENTE. Circular Externa Única, numeral 3.</w:t>
      </w:r>
    </w:p>
  </w:footnote>
  <w:footnote w:id="7">
    <w:p w14:paraId="4E4D0772" w14:textId="77777777" w:rsidR="004519C2" w:rsidRPr="00FF67F9" w:rsidRDefault="004519C2" w:rsidP="004519C2">
      <w:pPr>
        <w:pStyle w:val="Textonotapie"/>
        <w:ind w:firstLine="709"/>
        <w:jc w:val="both"/>
        <w:rPr>
          <w:rFonts w:ascii="Verdana" w:hAnsi="Verdana"/>
          <w:sz w:val="16"/>
          <w:szCs w:val="16"/>
          <w:lang w:val="es-ES_tradnl"/>
        </w:rPr>
      </w:pPr>
      <w:r w:rsidRPr="00FF67F9">
        <w:rPr>
          <w:rStyle w:val="Refdenotaalpie"/>
          <w:rFonts w:ascii="Verdana" w:hAnsi="Verdana"/>
          <w:sz w:val="16"/>
          <w:szCs w:val="16"/>
        </w:rPr>
        <w:footnoteRef/>
      </w:r>
      <w:r w:rsidRPr="00FF67F9">
        <w:rPr>
          <w:rFonts w:ascii="Verdana" w:hAnsi="Verdana"/>
          <w:sz w:val="16"/>
          <w:szCs w:val="16"/>
          <w:lang w:val="es-ES_tradnl"/>
        </w:rPr>
        <w:t xml:space="preserve"> AGENCIA NACIONAL DE CONTRATACIÓN PÚBLICA – COLOMBIA COMPRA EFICIENTE. Subdirección de Gestión Contractual. Concepto C-1172 de 2026, sobre la modificación de los contratos estatales y la irrelevancia de la denominación que las partes le den al acuerdo.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8B22A7"/>
    <w:multiLevelType w:val="hybridMultilevel"/>
    <w:tmpl w:val="5DD29D38"/>
    <w:lvl w:ilvl="0" w:tplc="DD1C201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30503"/>
    <w:multiLevelType w:val="hybridMultilevel"/>
    <w:tmpl w:val="68AC15D2"/>
    <w:lvl w:ilvl="0" w:tplc="1DD624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9EB0ECC"/>
    <w:multiLevelType w:val="hybridMultilevel"/>
    <w:tmpl w:val="EA348DE8"/>
    <w:lvl w:ilvl="0" w:tplc="AA9E0606">
      <w:start w:val="5"/>
      <w:numFmt w:val="decimal"/>
      <w:lvlText w:val="%1."/>
      <w:lvlJc w:val="left"/>
      <w:pPr>
        <w:ind w:left="720" w:hanging="360"/>
      </w:pPr>
      <w:rPr>
        <w:rFonts w:ascii="Verdana" w:hAnsi="Verdana" w:hint="default"/>
      </w:rPr>
    </w:lvl>
    <w:lvl w:ilvl="1" w:tplc="4E301BBA">
      <w:start w:val="1"/>
      <w:numFmt w:val="lowerLetter"/>
      <w:lvlText w:val="%2."/>
      <w:lvlJc w:val="left"/>
      <w:pPr>
        <w:ind w:left="1440" w:hanging="360"/>
      </w:pPr>
    </w:lvl>
    <w:lvl w:ilvl="2" w:tplc="311C5C4C">
      <w:start w:val="1"/>
      <w:numFmt w:val="lowerRoman"/>
      <w:lvlText w:val="%3."/>
      <w:lvlJc w:val="right"/>
      <w:pPr>
        <w:ind w:left="2160" w:hanging="180"/>
      </w:pPr>
    </w:lvl>
    <w:lvl w:ilvl="3" w:tplc="29E8020E">
      <w:start w:val="1"/>
      <w:numFmt w:val="decimal"/>
      <w:lvlText w:val="%4."/>
      <w:lvlJc w:val="left"/>
      <w:pPr>
        <w:ind w:left="2880" w:hanging="360"/>
      </w:pPr>
    </w:lvl>
    <w:lvl w:ilvl="4" w:tplc="4FE204FC">
      <w:start w:val="1"/>
      <w:numFmt w:val="lowerLetter"/>
      <w:lvlText w:val="%5."/>
      <w:lvlJc w:val="left"/>
      <w:pPr>
        <w:ind w:left="3600" w:hanging="360"/>
      </w:pPr>
    </w:lvl>
    <w:lvl w:ilvl="5" w:tplc="72BE5C08">
      <w:start w:val="1"/>
      <w:numFmt w:val="lowerRoman"/>
      <w:lvlText w:val="%6."/>
      <w:lvlJc w:val="right"/>
      <w:pPr>
        <w:ind w:left="4320" w:hanging="180"/>
      </w:pPr>
    </w:lvl>
    <w:lvl w:ilvl="6" w:tplc="30C8C728">
      <w:start w:val="1"/>
      <w:numFmt w:val="decimal"/>
      <w:lvlText w:val="%7."/>
      <w:lvlJc w:val="left"/>
      <w:pPr>
        <w:ind w:left="5040" w:hanging="360"/>
      </w:pPr>
    </w:lvl>
    <w:lvl w:ilvl="7" w:tplc="E4483260">
      <w:start w:val="1"/>
      <w:numFmt w:val="lowerLetter"/>
      <w:lvlText w:val="%8."/>
      <w:lvlJc w:val="left"/>
      <w:pPr>
        <w:ind w:left="5760" w:hanging="360"/>
      </w:pPr>
    </w:lvl>
    <w:lvl w:ilvl="8" w:tplc="19203250">
      <w:start w:val="1"/>
      <w:numFmt w:val="lowerRoman"/>
      <w:lvlText w:val="%9."/>
      <w:lvlJc w:val="right"/>
      <w:pPr>
        <w:ind w:left="6480" w:hanging="180"/>
      </w:pPr>
    </w:lvl>
  </w:abstractNum>
  <w:abstractNum w:abstractNumId="4" w15:restartNumberingAfterBreak="0">
    <w:nsid w:val="17C47CB7"/>
    <w:multiLevelType w:val="hybridMultilevel"/>
    <w:tmpl w:val="DB3C09A4"/>
    <w:lvl w:ilvl="0" w:tplc="02E2EE3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1F5B195B"/>
    <w:multiLevelType w:val="hybridMultilevel"/>
    <w:tmpl w:val="23F4B1C8"/>
    <w:lvl w:ilvl="0" w:tplc="A12C7D30">
      <w:start w:val="1"/>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216C5E2A"/>
    <w:multiLevelType w:val="hybridMultilevel"/>
    <w:tmpl w:val="84A65E5C"/>
    <w:lvl w:ilvl="0" w:tplc="73AE5EE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9D73AE1"/>
    <w:multiLevelType w:val="hybridMultilevel"/>
    <w:tmpl w:val="CCEACA5E"/>
    <w:lvl w:ilvl="0" w:tplc="648CB2F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3CAE2B8B"/>
    <w:multiLevelType w:val="hybridMultilevel"/>
    <w:tmpl w:val="AC443630"/>
    <w:lvl w:ilvl="0" w:tplc="260E7248">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414352C7"/>
    <w:multiLevelType w:val="hybridMultilevel"/>
    <w:tmpl w:val="6B4E31E2"/>
    <w:lvl w:ilvl="0" w:tplc="F2B013FC">
      <w:start w:val="1"/>
      <w:numFmt w:val="decimal"/>
      <w:lvlText w:val="%1."/>
      <w:lvlJc w:val="left"/>
      <w:pPr>
        <w:ind w:left="720" w:hanging="360"/>
      </w:pPr>
      <w:rPr>
        <w:rFonts w:ascii="Verdana" w:hAnsi="Verdana" w:hint="default"/>
      </w:rPr>
    </w:lvl>
    <w:lvl w:ilvl="1" w:tplc="FDF6850C">
      <w:start w:val="1"/>
      <w:numFmt w:val="lowerLetter"/>
      <w:lvlText w:val="%2."/>
      <w:lvlJc w:val="left"/>
      <w:pPr>
        <w:ind w:left="1440" w:hanging="360"/>
      </w:pPr>
    </w:lvl>
    <w:lvl w:ilvl="2" w:tplc="A84E3998">
      <w:start w:val="1"/>
      <w:numFmt w:val="lowerRoman"/>
      <w:lvlText w:val="%3."/>
      <w:lvlJc w:val="right"/>
      <w:pPr>
        <w:ind w:left="2160" w:hanging="180"/>
      </w:pPr>
    </w:lvl>
    <w:lvl w:ilvl="3" w:tplc="E15877D8">
      <w:start w:val="1"/>
      <w:numFmt w:val="decimal"/>
      <w:lvlText w:val="%4."/>
      <w:lvlJc w:val="left"/>
      <w:pPr>
        <w:ind w:left="2880" w:hanging="360"/>
      </w:pPr>
    </w:lvl>
    <w:lvl w:ilvl="4" w:tplc="04822700">
      <w:start w:val="1"/>
      <w:numFmt w:val="lowerLetter"/>
      <w:lvlText w:val="%5."/>
      <w:lvlJc w:val="left"/>
      <w:pPr>
        <w:ind w:left="3600" w:hanging="360"/>
      </w:pPr>
    </w:lvl>
    <w:lvl w:ilvl="5" w:tplc="992CB880">
      <w:start w:val="1"/>
      <w:numFmt w:val="lowerRoman"/>
      <w:lvlText w:val="%6."/>
      <w:lvlJc w:val="right"/>
      <w:pPr>
        <w:ind w:left="4320" w:hanging="180"/>
      </w:pPr>
    </w:lvl>
    <w:lvl w:ilvl="6" w:tplc="B47ED0F2">
      <w:start w:val="1"/>
      <w:numFmt w:val="decimal"/>
      <w:lvlText w:val="%7."/>
      <w:lvlJc w:val="left"/>
      <w:pPr>
        <w:ind w:left="5040" w:hanging="360"/>
      </w:pPr>
    </w:lvl>
    <w:lvl w:ilvl="7" w:tplc="8C6EB97C">
      <w:start w:val="1"/>
      <w:numFmt w:val="lowerLetter"/>
      <w:lvlText w:val="%8."/>
      <w:lvlJc w:val="left"/>
      <w:pPr>
        <w:ind w:left="5760" w:hanging="360"/>
      </w:pPr>
    </w:lvl>
    <w:lvl w:ilvl="8" w:tplc="7102DBEC">
      <w:start w:val="1"/>
      <w:numFmt w:val="lowerRoman"/>
      <w:lvlText w:val="%9."/>
      <w:lvlJc w:val="right"/>
      <w:pPr>
        <w:ind w:left="6480" w:hanging="180"/>
      </w:pPr>
    </w:lvl>
  </w:abstractNum>
  <w:abstractNum w:abstractNumId="10" w15:restartNumberingAfterBreak="0">
    <w:nsid w:val="4646C5DC"/>
    <w:multiLevelType w:val="hybridMultilevel"/>
    <w:tmpl w:val="B2F4B7AA"/>
    <w:lvl w:ilvl="0" w:tplc="7B780DE2">
      <w:start w:val="4"/>
      <w:numFmt w:val="decimal"/>
      <w:lvlText w:val="%1."/>
      <w:lvlJc w:val="left"/>
      <w:pPr>
        <w:ind w:left="720" w:hanging="360"/>
      </w:pPr>
      <w:rPr>
        <w:rFonts w:ascii="Verdana" w:hAnsi="Verdana" w:hint="default"/>
      </w:rPr>
    </w:lvl>
    <w:lvl w:ilvl="1" w:tplc="E26CD3FE">
      <w:start w:val="1"/>
      <w:numFmt w:val="lowerLetter"/>
      <w:lvlText w:val="%2."/>
      <w:lvlJc w:val="left"/>
      <w:pPr>
        <w:ind w:left="1440" w:hanging="360"/>
      </w:pPr>
    </w:lvl>
    <w:lvl w:ilvl="2" w:tplc="45FE861A">
      <w:start w:val="1"/>
      <w:numFmt w:val="lowerRoman"/>
      <w:lvlText w:val="%3."/>
      <w:lvlJc w:val="right"/>
      <w:pPr>
        <w:ind w:left="2160" w:hanging="180"/>
      </w:pPr>
    </w:lvl>
    <w:lvl w:ilvl="3" w:tplc="F754D6A0">
      <w:start w:val="1"/>
      <w:numFmt w:val="decimal"/>
      <w:lvlText w:val="%4."/>
      <w:lvlJc w:val="left"/>
      <w:pPr>
        <w:ind w:left="2880" w:hanging="360"/>
      </w:pPr>
    </w:lvl>
    <w:lvl w:ilvl="4" w:tplc="4E58FC1E">
      <w:start w:val="1"/>
      <w:numFmt w:val="lowerLetter"/>
      <w:lvlText w:val="%5."/>
      <w:lvlJc w:val="left"/>
      <w:pPr>
        <w:ind w:left="3600" w:hanging="360"/>
      </w:pPr>
    </w:lvl>
    <w:lvl w:ilvl="5" w:tplc="C7660DA8">
      <w:start w:val="1"/>
      <w:numFmt w:val="lowerRoman"/>
      <w:lvlText w:val="%6."/>
      <w:lvlJc w:val="right"/>
      <w:pPr>
        <w:ind w:left="4320" w:hanging="180"/>
      </w:pPr>
    </w:lvl>
    <w:lvl w:ilvl="6" w:tplc="3C8C391E">
      <w:start w:val="1"/>
      <w:numFmt w:val="decimal"/>
      <w:lvlText w:val="%7."/>
      <w:lvlJc w:val="left"/>
      <w:pPr>
        <w:ind w:left="5040" w:hanging="360"/>
      </w:pPr>
    </w:lvl>
    <w:lvl w:ilvl="7" w:tplc="7BA4DC90">
      <w:start w:val="1"/>
      <w:numFmt w:val="lowerLetter"/>
      <w:lvlText w:val="%8."/>
      <w:lvlJc w:val="left"/>
      <w:pPr>
        <w:ind w:left="5760" w:hanging="360"/>
      </w:pPr>
    </w:lvl>
    <w:lvl w:ilvl="8" w:tplc="FECA1886">
      <w:start w:val="1"/>
      <w:numFmt w:val="lowerRoman"/>
      <w:lvlText w:val="%9."/>
      <w:lvlJc w:val="right"/>
      <w:pPr>
        <w:ind w:left="6480" w:hanging="180"/>
      </w:pPr>
    </w:lvl>
  </w:abstractNum>
  <w:abstractNum w:abstractNumId="11" w15:restartNumberingAfterBreak="0">
    <w:nsid w:val="5054AFCE"/>
    <w:multiLevelType w:val="hybridMultilevel"/>
    <w:tmpl w:val="968287AE"/>
    <w:lvl w:ilvl="0" w:tplc="817A86D4">
      <w:start w:val="1"/>
      <w:numFmt w:val="bullet"/>
      <w:lvlText w:val=""/>
      <w:lvlJc w:val="left"/>
      <w:pPr>
        <w:ind w:left="720" w:hanging="360"/>
      </w:pPr>
      <w:rPr>
        <w:rFonts w:ascii="Symbol" w:hAnsi="Symbol" w:hint="default"/>
      </w:rPr>
    </w:lvl>
    <w:lvl w:ilvl="1" w:tplc="D1F65218">
      <w:start w:val="1"/>
      <w:numFmt w:val="bullet"/>
      <w:lvlText w:val="o"/>
      <w:lvlJc w:val="left"/>
      <w:pPr>
        <w:ind w:left="1440" w:hanging="360"/>
      </w:pPr>
      <w:rPr>
        <w:rFonts w:ascii="Courier New" w:hAnsi="Courier New" w:hint="default"/>
      </w:rPr>
    </w:lvl>
    <w:lvl w:ilvl="2" w:tplc="DDB6410A">
      <w:start w:val="1"/>
      <w:numFmt w:val="bullet"/>
      <w:lvlText w:val=""/>
      <w:lvlJc w:val="left"/>
      <w:pPr>
        <w:ind w:left="2160" w:hanging="360"/>
      </w:pPr>
      <w:rPr>
        <w:rFonts w:ascii="Wingdings" w:hAnsi="Wingdings" w:hint="default"/>
      </w:rPr>
    </w:lvl>
    <w:lvl w:ilvl="3" w:tplc="6F8E2A10">
      <w:start w:val="1"/>
      <w:numFmt w:val="bullet"/>
      <w:lvlText w:val=""/>
      <w:lvlJc w:val="left"/>
      <w:pPr>
        <w:ind w:left="2880" w:hanging="360"/>
      </w:pPr>
      <w:rPr>
        <w:rFonts w:ascii="Symbol" w:hAnsi="Symbol" w:hint="default"/>
      </w:rPr>
    </w:lvl>
    <w:lvl w:ilvl="4" w:tplc="FD065DA0">
      <w:start w:val="1"/>
      <w:numFmt w:val="bullet"/>
      <w:lvlText w:val="o"/>
      <w:lvlJc w:val="left"/>
      <w:pPr>
        <w:ind w:left="3600" w:hanging="360"/>
      </w:pPr>
      <w:rPr>
        <w:rFonts w:ascii="Courier New" w:hAnsi="Courier New" w:hint="default"/>
      </w:rPr>
    </w:lvl>
    <w:lvl w:ilvl="5" w:tplc="1CAEA60A">
      <w:start w:val="1"/>
      <w:numFmt w:val="bullet"/>
      <w:lvlText w:val=""/>
      <w:lvlJc w:val="left"/>
      <w:pPr>
        <w:ind w:left="4320" w:hanging="360"/>
      </w:pPr>
      <w:rPr>
        <w:rFonts w:ascii="Wingdings" w:hAnsi="Wingdings" w:hint="default"/>
      </w:rPr>
    </w:lvl>
    <w:lvl w:ilvl="6" w:tplc="72F6D9BE">
      <w:start w:val="1"/>
      <w:numFmt w:val="bullet"/>
      <w:lvlText w:val=""/>
      <w:lvlJc w:val="left"/>
      <w:pPr>
        <w:ind w:left="5040" w:hanging="360"/>
      </w:pPr>
      <w:rPr>
        <w:rFonts w:ascii="Symbol" w:hAnsi="Symbol" w:hint="default"/>
      </w:rPr>
    </w:lvl>
    <w:lvl w:ilvl="7" w:tplc="0D944FE2">
      <w:start w:val="1"/>
      <w:numFmt w:val="bullet"/>
      <w:lvlText w:val="o"/>
      <w:lvlJc w:val="left"/>
      <w:pPr>
        <w:ind w:left="5760" w:hanging="360"/>
      </w:pPr>
      <w:rPr>
        <w:rFonts w:ascii="Courier New" w:hAnsi="Courier New" w:hint="default"/>
      </w:rPr>
    </w:lvl>
    <w:lvl w:ilvl="8" w:tplc="2B3ADB94">
      <w:start w:val="1"/>
      <w:numFmt w:val="bullet"/>
      <w:lvlText w:val=""/>
      <w:lvlJc w:val="left"/>
      <w:pPr>
        <w:ind w:left="6480" w:hanging="360"/>
      </w:pPr>
      <w:rPr>
        <w:rFonts w:ascii="Wingdings" w:hAnsi="Wingdings" w:hint="default"/>
      </w:rPr>
    </w:lvl>
  </w:abstractNum>
  <w:abstractNum w:abstractNumId="12" w15:restartNumberingAfterBreak="0">
    <w:nsid w:val="600A2B0A"/>
    <w:multiLevelType w:val="hybridMultilevel"/>
    <w:tmpl w:val="3FCCC40E"/>
    <w:lvl w:ilvl="0" w:tplc="DAB4E8A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C6073E5"/>
    <w:multiLevelType w:val="hybridMultilevel"/>
    <w:tmpl w:val="3A0416E6"/>
    <w:lvl w:ilvl="0" w:tplc="915630B0">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70CA3CE7"/>
    <w:multiLevelType w:val="hybridMultilevel"/>
    <w:tmpl w:val="2C204EBC"/>
    <w:lvl w:ilvl="0" w:tplc="E1D686D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2CE15DE"/>
    <w:multiLevelType w:val="hybridMultilevel"/>
    <w:tmpl w:val="555E5994"/>
    <w:lvl w:ilvl="0" w:tplc="74882504">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76A202FD"/>
    <w:multiLevelType w:val="hybridMultilevel"/>
    <w:tmpl w:val="1534EE44"/>
    <w:lvl w:ilvl="0" w:tplc="2A04452C">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8" w15:restartNumberingAfterBreak="0">
    <w:nsid w:val="7D3B0657"/>
    <w:multiLevelType w:val="hybridMultilevel"/>
    <w:tmpl w:val="0DA022EA"/>
    <w:lvl w:ilvl="0" w:tplc="B896C8AA">
      <w:start w:val="1"/>
      <w:numFmt w:val="upperRoman"/>
      <w:lvlText w:val="%1."/>
      <w:lvlJc w:val="left"/>
      <w:pPr>
        <w:ind w:left="1429" w:hanging="720"/>
      </w:pPr>
      <w:rPr>
        <w:rFonts w:ascii="Verdana" w:eastAsia="Calibri" w:hAnsi="Verdana" w:cs="Arial"/>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45903504">
    <w:abstractNumId w:val="3"/>
  </w:num>
  <w:num w:numId="2" w16cid:durableId="1683782807">
    <w:abstractNumId w:val="10"/>
  </w:num>
  <w:num w:numId="3" w16cid:durableId="1942182878">
    <w:abstractNumId w:val="9"/>
  </w:num>
  <w:num w:numId="4" w16cid:durableId="295568132">
    <w:abstractNumId w:val="11"/>
  </w:num>
  <w:num w:numId="5" w16cid:durableId="1227110730">
    <w:abstractNumId w:val="0"/>
  </w:num>
  <w:num w:numId="6" w16cid:durableId="1144280152">
    <w:abstractNumId w:val="15"/>
  </w:num>
  <w:num w:numId="7" w16cid:durableId="1247350533">
    <w:abstractNumId w:val="14"/>
  </w:num>
  <w:num w:numId="8" w16cid:durableId="363215774">
    <w:abstractNumId w:val="12"/>
  </w:num>
  <w:num w:numId="9" w16cid:durableId="2120054956">
    <w:abstractNumId w:val="16"/>
  </w:num>
  <w:num w:numId="10" w16cid:durableId="694617109">
    <w:abstractNumId w:val="13"/>
  </w:num>
  <w:num w:numId="11" w16cid:durableId="1238325010">
    <w:abstractNumId w:val="8"/>
  </w:num>
  <w:num w:numId="12" w16cid:durableId="1108045127">
    <w:abstractNumId w:val="4"/>
  </w:num>
  <w:num w:numId="13" w16cid:durableId="436173511">
    <w:abstractNumId w:val="1"/>
  </w:num>
  <w:num w:numId="14" w16cid:durableId="1502501887">
    <w:abstractNumId w:val="2"/>
  </w:num>
  <w:num w:numId="15" w16cid:durableId="962733694">
    <w:abstractNumId w:val="18"/>
  </w:num>
  <w:num w:numId="16" w16cid:durableId="545869699">
    <w:abstractNumId w:val="17"/>
  </w:num>
  <w:num w:numId="17" w16cid:durableId="493254181">
    <w:abstractNumId w:val="7"/>
  </w:num>
  <w:num w:numId="18" w16cid:durableId="546141977">
    <w:abstractNumId w:val="5"/>
  </w:num>
  <w:num w:numId="19" w16cid:durableId="134736169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128"/>
    <w:rsid w:val="00002C09"/>
    <w:rsid w:val="00003541"/>
    <w:rsid w:val="00006513"/>
    <w:rsid w:val="00006CF5"/>
    <w:rsid w:val="0001041A"/>
    <w:rsid w:val="000114BB"/>
    <w:rsid w:val="000119B3"/>
    <w:rsid w:val="00011CDF"/>
    <w:rsid w:val="00012F97"/>
    <w:rsid w:val="0001337E"/>
    <w:rsid w:val="0001376B"/>
    <w:rsid w:val="00014E51"/>
    <w:rsid w:val="00015BF9"/>
    <w:rsid w:val="000168FE"/>
    <w:rsid w:val="00016D6A"/>
    <w:rsid w:val="00016F78"/>
    <w:rsid w:val="00016FCA"/>
    <w:rsid w:val="00017171"/>
    <w:rsid w:val="0001721D"/>
    <w:rsid w:val="00017468"/>
    <w:rsid w:val="0001755B"/>
    <w:rsid w:val="00017CF4"/>
    <w:rsid w:val="000201D9"/>
    <w:rsid w:val="000208DF"/>
    <w:rsid w:val="00021918"/>
    <w:rsid w:val="00021A47"/>
    <w:rsid w:val="00021D57"/>
    <w:rsid w:val="00022B39"/>
    <w:rsid w:val="0002364B"/>
    <w:rsid w:val="00023FFF"/>
    <w:rsid w:val="00024220"/>
    <w:rsid w:val="0002566E"/>
    <w:rsid w:val="00025BDE"/>
    <w:rsid w:val="000271E3"/>
    <w:rsid w:val="0002754A"/>
    <w:rsid w:val="00027585"/>
    <w:rsid w:val="00027F95"/>
    <w:rsid w:val="000310FC"/>
    <w:rsid w:val="00034FE9"/>
    <w:rsid w:val="000355EC"/>
    <w:rsid w:val="00035932"/>
    <w:rsid w:val="000412BB"/>
    <w:rsid w:val="00043D21"/>
    <w:rsid w:val="0004498F"/>
    <w:rsid w:val="00044A09"/>
    <w:rsid w:val="00044F37"/>
    <w:rsid w:val="00045A4D"/>
    <w:rsid w:val="00045EDD"/>
    <w:rsid w:val="00046945"/>
    <w:rsid w:val="00046DB1"/>
    <w:rsid w:val="0005058E"/>
    <w:rsid w:val="000506AD"/>
    <w:rsid w:val="00050D7F"/>
    <w:rsid w:val="000516C9"/>
    <w:rsid w:val="00053986"/>
    <w:rsid w:val="0005460B"/>
    <w:rsid w:val="00054748"/>
    <w:rsid w:val="000551B1"/>
    <w:rsid w:val="000556E7"/>
    <w:rsid w:val="00055826"/>
    <w:rsid w:val="000559A6"/>
    <w:rsid w:val="00056B17"/>
    <w:rsid w:val="000571C3"/>
    <w:rsid w:val="0005798A"/>
    <w:rsid w:val="00060794"/>
    <w:rsid w:val="000612FD"/>
    <w:rsid w:val="00061B2A"/>
    <w:rsid w:val="00061F0A"/>
    <w:rsid w:val="00063B8B"/>
    <w:rsid w:val="00063D59"/>
    <w:rsid w:val="000642C7"/>
    <w:rsid w:val="00064366"/>
    <w:rsid w:val="0006474D"/>
    <w:rsid w:val="00064813"/>
    <w:rsid w:val="000655CC"/>
    <w:rsid w:val="00065BE6"/>
    <w:rsid w:val="000661E9"/>
    <w:rsid w:val="00066A56"/>
    <w:rsid w:val="000675E2"/>
    <w:rsid w:val="0006788D"/>
    <w:rsid w:val="0007047A"/>
    <w:rsid w:val="000706EA"/>
    <w:rsid w:val="000719B9"/>
    <w:rsid w:val="00071AD1"/>
    <w:rsid w:val="000720DF"/>
    <w:rsid w:val="00073ECA"/>
    <w:rsid w:val="000748DD"/>
    <w:rsid w:val="000755DA"/>
    <w:rsid w:val="00075975"/>
    <w:rsid w:val="00076A6E"/>
    <w:rsid w:val="00081452"/>
    <w:rsid w:val="00081AA3"/>
    <w:rsid w:val="00081F35"/>
    <w:rsid w:val="00082362"/>
    <w:rsid w:val="00082625"/>
    <w:rsid w:val="00083164"/>
    <w:rsid w:val="00084251"/>
    <w:rsid w:val="000853D3"/>
    <w:rsid w:val="00085500"/>
    <w:rsid w:val="00085661"/>
    <w:rsid w:val="00086095"/>
    <w:rsid w:val="00086CF8"/>
    <w:rsid w:val="00086E84"/>
    <w:rsid w:val="000876E5"/>
    <w:rsid w:val="000905F3"/>
    <w:rsid w:val="0009218C"/>
    <w:rsid w:val="000931CA"/>
    <w:rsid w:val="00093C32"/>
    <w:rsid w:val="0009482E"/>
    <w:rsid w:val="00094F7E"/>
    <w:rsid w:val="0009582C"/>
    <w:rsid w:val="00095DBC"/>
    <w:rsid w:val="000A0436"/>
    <w:rsid w:val="000A0B60"/>
    <w:rsid w:val="000A3C20"/>
    <w:rsid w:val="000A4F59"/>
    <w:rsid w:val="000A65D1"/>
    <w:rsid w:val="000A683E"/>
    <w:rsid w:val="000A6D0D"/>
    <w:rsid w:val="000A79E8"/>
    <w:rsid w:val="000B0CDE"/>
    <w:rsid w:val="000B1665"/>
    <w:rsid w:val="000B19B9"/>
    <w:rsid w:val="000B1BEE"/>
    <w:rsid w:val="000B1E2A"/>
    <w:rsid w:val="000B2ABB"/>
    <w:rsid w:val="000B2CAB"/>
    <w:rsid w:val="000B3888"/>
    <w:rsid w:val="000B4761"/>
    <w:rsid w:val="000B5BB8"/>
    <w:rsid w:val="000B6003"/>
    <w:rsid w:val="000C1FB9"/>
    <w:rsid w:val="000C3226"/>
    <w:rsid w:val="000C3919"/>
    <w:rsid w:val="000C3BF9"/>
    <w:rsid w:val="000C432E"/>
    <w:rsid w:val="000C5735"/>
    <w:rsid w:val="000C6236"/>
    <w:rsid w:val="000C77C2"/>
    <w:rsid w:val="000D0334"/>
    <w:rsid w:val="000D1672"/>
    <w:rsid w:val="000D241D"/>
    <w:rsid w:val="000D3858"/>
    <w:rsid w:val="000D5A63"/>
    <w:rsid w:val="000D5DA7"/>
    <w:rsid w:val="000D606C"/>
    <w:rsid w:val="000D7703"/>
    <w:rsid w:val="000E036B"/>
    <w:rsid w:val="000E03CA"/>
    <w:rsid w:val="000E04B2"/>
    <w:rsid w:val="000E06D3"/>
    <w:rsid w:val="000E0836"/>
    <w:rsid w:val="000E115D"/>
    <w:rsid w:val="000E161C"/>
    <w:rsid w:val="000E1B7C"/>
    <w:rsid w:val="000E2CB4"/>
    <w:rsid w:val="000E2E1D"/>
    <w:rsid w:val="000E408A"/>
    <w:rsid w:val="000E5891"/>
    <w:rsid w:val="000E601C"/>
    <w:rsid w:val="000E6B6C"/>
    <w:rsid w:val="000E6E84"/>
    <w:rsid w:val="000F004C"/>
    <w:rsid w:val="000F030F"/>
    <w:rsid w:val="000F20F5"/>
    <w:rsid w:val="000F3503"/>
    <w:rsid w:val="000F3573"/>
    <w:rsid w:val="000F3859"/>
    <w:rsid w:val="000F39D9"/>
    <w:rsid w:val="000F6486"/>
    <w:rsid w:val="000F7546"/>
    <w:rsid w:val="000F77CB"/>
    <w:rsid w:val="0010054E"/>
    <w:rsid w:val="0010084B"/>
    <w:rsid w:val="00100876"/>
    <w:rsid w:val="00100A83"/>
    <w:rsid w:val="00100D82"/>
    <w:rsid w:val="00101496"/>
    <w:rsid w:val="00101F6A"/>
    <w:rsid w:val="00102C27"/>
    <w:rsid w:val="001044DC"/>
    <w:rsid w:val="0010594F"/>
    <w:rsid w:val="001059FB"/>
    <w:rsid w:val="00106C74"/>
    <w:rsid w:val="00110B91"/>
    <w:rsid w:val="00111A3D"/>
    <w:rsid w:val="00111A53"/>
    <w:rsid w:val="0011367F"/>
    <w:rsid w:val="00114EDD"/>
    <w:rsid w:val="00115EF5"/>
    <w:rsid w:val="001160B5"/>
    <w:rsid w:val="00116491"/>
    <w:rsid w:val="00116940"/>
    <w:rsid w:val="00116E26"/>
    <w:rsid w:val="001200E6"/>
    <w:rsid w:val="00120D79"/>
    <w:rsid w:val="00121184"/>
    <w:rsid w:val="00121A4F"/>
    <w:rsid w:val="00122859"/>
    <w:rsid w:val="00122AE8"/>
    <w:rsid w:val="00122C77"/>
    <w:rsid w:val="001235F9"/>
    <w:rsid w:val="001239F0"/>
    <w:rsid w:val="0012459F"/>
    <w:rsid w:val="001249F9"/>
    <w:rsid w:val="00125105"/>
    <w:rsid w:val="00126785"/>
    <w:rsid w:val="001268C0"/>
    <w:rsid w:val="001268C9"/>
    <w:rsid w:val="0012714F"/>
    <w:rsid w:val="00127233"/>
    <w:rsid w:val="001272F9"/>
    <w:rsid w:val="001279A7"/>
    <w:rsid w:val="001301E4"/>
    <w:rsid w:val="00131B48"/>
    <w:rsid w:val="00132271"/>
    <w:rsid w:val="001324FB"/>
    <w:rsid w:val="00132EC2"/>
    <w:rsid w:val="0013359B"/>
    <w:rsid w:val="00135D88"/>
    <w:rsid w:val="00136760"/>
    <w:rsid w:val="00136E43"/>
    <w:rsid w:val="0013718D"/>
    <w:rsid w:val="00140741"/>
    <w:rsid w:val="001425B2"/>
    <w:rsid w:val="00142853"/>
    <w:rsid w:val="00143737"/>
    <w:rsid w:val="00144EB9"/>
    <w:rsid w:val="00144F0A"/>
    <w:rsid w:val="00145A7F"/>
    <w:rsid w:val="001470A5"/>
    <w:rsid w:val="00147244"/>
    <w:rsid w:val="001508C2"/>
    <w:rsid w:val="0015091A"/>
    <w:rsid w:val="00153AA8"/>
    <w:rsid w:val="00155B23"/>
    <w:rsid w:val="00155C47"/>
    <w:rsid w:val="0015699B"/>
    <w:rsid w:val="0016117A"/>
    <w:rsid w:val="00161259"/>
    <w:rsid w:val="0016152E"/>
    <w:rsid w:val="00162602"/>
    <w:rsid w:val="0016296B"/>
    <w:rsid w:val="0016296D"/>
    <w:rsid w:val="00163847"/>
    <w:rsid w:val="00163859"/>
    <w:rsid w:val="00164553"/>
    <w:rsid w:val="00164BED"/>
    <w:rsid w:val="00165403"/>
    <w:rsid w:val="001662E9"/>
    <w:rsid w:val="00166D3E"/>
    <w:rsid w:val="00167F56"/>
    <w:rsid w:val="00167F88"/>
    <w:rsid w:val="0017097B"/>
    <w:rsid w:val="00171DAC"/>
    <w:rsid w:val="001727F6"/>
    <w:rsid w:val="00175917"/>
    <w:rsid w:val="0017657C"/>
    <w:rsid w:val="00176D89"/>
    <w:rsid w:val="001773E2"/>
    <w:rsid w:val="001803C9"/>
    <w:rsid w:val="00180C54"/>
    <w:rsid w:val="0018173F"/>
    <w:rsid w:val="00182FF0"/>
    <w:rsid w:val="001830CB"/>
    <w:rsid w:val="001842D2"/>
    <w:rsid w:val="00185005"/>
    <w:rsid w:val="001855E2"/>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ABD"/>
    <w:rsid w:val="001A1C4B"/>
    <w:rsid w:val="001A222D"/>
    <w:rsid w:val="001A33BF"/>
    <w:rsid w:val="001A3B14"/>
    <w:rsid w:val="001A4606"/>
    <w:rsid w:val="001A4678"/>
    <w:rsid w:val="001A48E6"/>
    <w:rsid w:val="001A49BB"/>
    <w:rsid w:val="001A5032"/>
    <w:rsid w:val="001A628E"/>
    <w:rsid w:val="001B1695"/>
    <w:rsid w:val="001B1C5D"/>
    <w:rsid w:val="001B1E40"/>
    <w:rsid w:val="001B2989"/>
    <w:rsid w:val="001B3B12"/>
    <w:rsid w:val="001B422E"/>
    <w:rsid w:val="001B42FC"/>
    <w:rsid w:val="001B5B2E"/>
    <w:rsid w:val="001B6CD1"/>
    <w:rsid w:val="001B797F"/>
    <w:rsid w:val="001B7BFE"/>
    <w:rsid w:val="001C0D62"/>
    <w:rsid w:val="001C1005"/>
    <w:rsid w:val="001C1579"/>
    <w:rsid w:val="001C1E35"/>
    <w:rsid w:val="001C1F19"/>
    <w:rsid w:val="001C208C"/>
    <w:rsid w:val="001C2183"/>
    <w:rsid w:val="001C3D92"/>
    <w:rsid w:val="001C47A4"/>
    <w:rsid w:val="001C4852"/>
    <w:rsid w:val="001C4E7B"/>
    <w:rsid w:val="001C7C9D"/>
    <w:rsid w:val="001C7F45"/>
    <w:rsid w:val="001D0189"/>
    <w:rsid w:val="001D035F"/>
    <w:rsid w:val="001D04AE"/>
    <w:rsid w:val="001D113F"/>
    <w:rsid w:val="001D1415"/>
    <w:rsid w:val="001D2195"/>
    <w:rsid w:val="001D2F32"/>
    <w:rsid w:val="001D309A"/>
    <w:rsid w:val="001D5365"/>
    <w:rsid w:val="001D5492"/>
    <w:rsid w:val="001D58D7"/>
    <w:rsid w:val="001D5A4E"/>
    <w:rsid w:val="001D5D34"/>
    <w:rsid w:val="001D5D52"/>
    <w:rsid w:val="001D638B"/>
    <w:rsid w:val="001D6AE3"/>
    <w:rsid w:val="001D6C49"/>
    <w:rsid w:val="001E0D84"/>
    <w:rsid w:val="001E136F"/>
    <w:rsid w:val="001E17F3"/>
    <w:rsid w:val="001E2A7A"/>
    <w:rsid w:val="001E369F"/>
    <w:rsid w:val="001E406C"/>
    <w:rsid w:val="001E4177"/>
    <w:rsid w:val="001E489D"/>
    <w:rsid w:val="001E5022"/>
    <w:rsid w:val="001E672E"/>
    <w:rsid w:val="001E6873"/>
    <w:rsid w:val="001F0B24"/>
    <w:rsid w:val="001F0FE6"/>
    <w:rsid w:val="001F18D9"/>
    <w:rsid w:val="001F1955"/>
    <w:rsid w:val="001F247C"/>
    <w:rsid w:val="001F4AF4"/>
    <w:rsid w:val="001F51B9"/>
    <w:rsid w:val="001F6190"/>
    <w:rsid w:val="001F7DC6"/>
    <w:rsid w:val="002001ED"/>
    <w:rsid w:val="0020050D"/>
    <w:rsid w:val="00200FF8"/>
    <w:rsid w:val="002016E0"/>
    <w:rsid w:val="00204285"/>
    <w:rsid w:val="00204D7B"/>
    <w:rsid w:val="002052AA"/>
    <w:rsid w:val="0020549B"/>
    <w:rsid w:val="002058AC"/>
    <w:rsid w:val="00207433"/>
    <w:rsid w:val="00210F03"/>
    <w:rsid w:val="00210F23"/>
    <w:rsid w:val="00211AE1"/>
    <w:rsid w:val="002137F4"/>
    <w:rsid w:val="00213EDE"/>
    <w:rsid w:val="002144DC"/>
    <w:rsid w:val="002144E5"/>
    <w:rsid w:val="002164D3"/>
    <w:rsid w:val="00216FF4"/>
    <w:rsid w:val="00217415"/>
    <w:rsid w:val="002222AC"/>
    <w:rsid w:val="002223BA"/>
    <w:rsid w:val="00222D0C"/>
    <w:rsid w:val="002230B1"/>
    <w:rsid w:val="002234DB"/>
    <w:rsid w:val="00223D69"/>
    <w:rsid w:val="00223F2E"/>
    <w:rsid w:val="0022400B"/>
    <w:rsid w:val="0022405D"/>
    <w:rsid w:val="00224A93"/>
    <w:rsid w:val="00225EAF"/>
    <w:rsid w:val="002267FC"/>
    <w:rsid w:val="002276D8"/>
    <w:rsid w:val="002305D6"/>
    <w:rsid w:val="00230A27"/>
    <w:rsid w:val="00231D69"/>
    <w:rsid w:val="0023261B"/>
    <w:rsid w:val="00233874"/>
    <w:rsid w:val="00233CB5"/>
    <w:rsid w:val="0023530A"/>
    <w:rsid w:val="00236CD9"/>
    <w:rsid w:val="00236F51"/>
    <w:rsid w:val="00240B28"/>
    <w:rsid w:val="00241A72"/>
    <w:rsid w:val="00241CFC"/>
    <w:rsid w:val="00241F9B"/>
    <w:rsid w:val="002421BB"/>
    <w:rsid w:val="00242295"/>
    <w:rsid w:val="002422E4"/>
    <w:rsid w:val="002429DC"/>
    <w:rsid w:val="00243674"/>
    <w:rsid w:val="00243DE9"/>
    <w:rsid w:val="00243F1E"/>
    <w:rsid w:val="00244D0A"/>
    <w:rsid w:val="00244D68"/>
    <w:rsid w:val="00246255"/>
    <w:rsid w:val="002467B6"/>
    <w:rsid w:val="002518AD"/>
    <w:rsid w:val="00252165"/>
    <w:rsid w:val="00254014"/>
    <w:rsid w:val="00254843"/>
    <w:rsid w:val="00255011"/>
    <w:rsid w:val="002550D7"/>
    <w:rsid w:val="00255750"/>
    <w:rsid w:val="00256219"/>
    <w:rsid w:val="002576DC"/>
    <w:rsid w:val="0025796E"/>
    <w:rsid w:val="002601DE"/>
    <w:rsid w:val="00260BCC"/>
    <w:rsid w:val="00261BC5"/>
    <w:rsid w:val="00263AC8"/>
    <w:rsid w:val="002649A5"/>
    <w:rsid w:val="00267882"/>
    <w:rsid w:val="00270034"/>
    <w:rsid w:val="002707A2"/>
    <w:rsid w:val="00270B8D"/>
    <w:rsid w:val="00270C1A"/>
    <w:rsid w:val="00274519"/>
    <w:rsid w:val="00275543"/>
    <w:rsid w:val="00275671"/>
    <w:rsid w:val="00275975"/>
    <w:rsid w:val="002766CB"/>
    <w:rsid w:val="00277203"/>
    <w:rsid w:val="002774CB"/>
    <w:rsid w:val="00277DDC"/>
    <w:rsid w:val="002809C5"/>
    <w:rsid w:val="00282002"/>
    <w:rsid w:val="00282862"/>
    <w:rsid w:val="00282D17"/>
    <w:rsid w:val="0028359F"/>
    <w:rsid w:val="00283976"/>
    <w:rsid w:val="0028468B"/>
    <w:rsid w:val="002851EA"/>
    <w:rsid w:val="00285437"/>
    <w:rsid w:val="00285E78"/>
    <w:rsid w:val="00286ABC"/>
    <w:rsid w:val="002870CE"/>
    <w:rsid w:val="002873C7"/>
    <w:rsid w:val="0028756D"/>
    <w:rsid w:val="00291115"/>
    <w:rsid w:val="00291B62"/>
    <w:rsid w:val="00293084"/>
    <w:rsid w:val="002930FD"/>
    <w:rsid w:val="002951A0"/>
    <w:rsid w:val="002962BC"/>
    <w:rsid w:val="002963B3"/>
    <w:rsid w:val="00296783"/>
    <w:rsid w:val="002970C5"/>
    <w:rsid w:val="00297E52"/>
    <w:rsid w:val="002A015E"/>
    <w:rsid w:val="002A0856"/>
    <w:rsid w:val="002A093D"/>
    <w:rsid w:val="002A0DD0"/>
    <w:rsid w:val="002A0E5D"/>
    <w:rsid w:val="002A1B48"/>
    <w:rsid w:val="002A49AC"/>
    <w:rsid w:val="002A4E49"/>
    <w:rsid w:val="002A5C71"/>
    <w:rsid w:val="002A6016"/>
    <w:rsid w:val="002A6158"/>
    <w:rsid w:val="002A64FD"/>
    <w:rsid w:val="002A65E8"/>
    <w:rsid w:val="002A68CD"/>
    <w:rsid w:val="002A7892"/>
    <w:rsid w:val="002A7A13"/>
    <w:rsid w:val="002A7D0D"/>
    <w:rsid w:val="002B0B20"/>
    <w:rsid w:val="002B133F"/>
    <w:rsid w:val="002B18C1"/>
    <w:rsid w:val="002B1D63"/>
    <w:rsid w:val="002B2D20"/>
    <w:rsid w:val="002B2EFB"/>
    <w:rsid w:val="002B3FE5"/>
    <w:rsid w:val="002B400F"/>
    <w:rsid w:val="002B4237"/>
    <w:rsid w:val="002B4500"/>
    <w:rsid w:val="002B5B71"/>
    <w:rsid w:val="002B5BF5"/>
    <w:rsid w:val="002B6240"/>
    <w:rsid w:val="002B668A"/>
    <w:rsid w:val="002B6711"/>
    <w:rsid w:val="002B6AB0"/>
    <w:rsid w:val="002B72E5"/>
    <w:rsid w:val="002B7B70"/>
    <w:rsid w:val="002B7BBB"/>
    <w:rsid w:val="002B7E3D"/>
    <w:rsid w:val="002B7ECD"/>
    <w:rsid w:val="002C0C9D"/>
    <w:rsid w:val="002C14B8"/>
    <w:rsid w:val="002C1D40"/>
    <w:rsid w:val="002C28E5"/>
    <w:rsid w:val="002C2DF2"/>
    <w:rsid w:val="002C376B"/>
    <w:rsid w:val="002C37F3"/>
    <w:rsid w:val="002C3C40"/>
    <w:rsid w:val="002C4290"/>
    <w:rsid w:val="002C548B"/>
    <w:rsid w:val="002C5722"/>
    <w:rsid w:val="002C5FF6"/>
    <w:rsid w:val="002C6605"/>
    <w:rsid w:val="002C66B8"/>
    <w:rsid w:val="002C7A84"/>
    <w:rsid w:val="002D3148"/>
    <w:rsid w:val="002D321C"/>
    <w:rsid w:val="002D3B15"/>
    <w:rsid w:val="002D7D4E"/>
    <w:rsid w:val="002E0D92"/>
    <w:rsid w:val="002E2BF8"/>
    <w:rsid w:val="002E37B2"/>
    <w:rsid w:val="002E38C5"/>
    <w:rsid w:val="002E4FD9"/>
    <w:rsid w:val="002E58E6"/>
    <w:rsid w:val="002E5A00"/>
    <w:rsid w:val="002E5CCD"/>
    <w:rsid w:val="002E5F50"/>
    <w:rsid w:val="002E62CC"/>
    <w:rsid w:val="002E6369"/>
    <w:rsid w:val="002E6C4C"/>
    <w:rsid w:val="002E71DA"/>
    <w:rsid w:val="002F00A7"/>
    <w:rsid w:val="002F0290"/>
    <w:rsid w:val="002F0D6B"/>
    <w:rsid w:val="002F0D8C"/>
    <w:rsid w:val="002F4067"/>
    <w:rsid w:val="002F43F1"/>
    <w:rsid w:val="002F5F9F"/>
    <w:rsid w:val="002F621B"/>
    <w:rsid w:val="002F6DF7"/>
    <w:rsid w:val="002F7C68"/>
    <w:rsid w:val="00301B67"/>
    <w:rsid w:val="00301B8A"/>
    <w:rsid w:val="00301C94"/>
    <w:rsid w:val="00302A1F"/>
    <w:rsid w:val="003049E8"/>
    <w:rsid w:val="003061A3"/>
    <w:rsid w:val="0030657A"/>
    <w:rsid w:val="00306788"/>
    <w:rsid w:val="00307CCC"/>
    <w:rsid w:val="00310057"/>
    <w:rsid w:val="003100CB"/>
    <w:rsid w:val="00312FB8"/>
    <w:rsid w:val="00313696"/>
    <w:rsid w:val="003144F7"/>
    <w:rsid w:val="003148E3"/>
    <w:rsid w:val="00315223"/>
    <w:rsid w:val="00315308"/>
    <w:rsid w:val="00315DB7"/>
    <w:rsid w:val="00317143"/>
    <w:rsid w:val="00317B48"/>
    <w:rsid w:val="00317E5C"/>
    <w:rsid w:val="003201DF"/>
    <w:rsid w:val="00321155"/>
    <w:rsid w:val="00321641"/>
    <w:rsid w:val="003217D3"/>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34B7E"/>
    <w:rsid w:val="00340F52"/>
    <w:rsid w:val="00342395"/>
    <w:rsid w:val="00342BE5"/>
    <w:rsid w:val="003448F4"/>
    <w:rsid w:val="00344D47"/>
    <w:rsid w:val="00345B76"/>
    <w:rsid w:val="003474E8"/>
    <w:rsid w:val="00347D8F"/>
    <w:rsid w:val="00351C8B"/>
    <w:rsid w:val="00352510"/>
    <w:rsid w:val="0035361B"/>
    <w:rsid w:val="00354BAB"/>
    <w:rsid w:val="003568BE"/>
    <w:rsid w:val="00360077"/>
    <w:rsid w:val="00361D7C"/>
    <w:rsid w:val="00363E43"/>
    <w:rsid w:val="00364B0C"/>
    <w:rsid w:val="003651FC"/>
    <w:rsid w:val="003652FF"/>
    <w:rsid w:val="003656D6"/>
    <w:rsid w:val="003657DA"/>
    <w:rsid w:val="003666EA"/>
    <w:rsid w:val="0036791E"/>
    <w:rsid w:val="00367A2F"/>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47A"/>
    <w:rsid w:val="00381802"/>
    <w:rsid w:val="00381C41"/>
    <w:rsid w:val="00383059"/>
    <w:rsid w:val="00384184"/>
    <w:rsid w:val="00384F08"/>
    <w:rsid w:val="003861F1"/>
    <w:rsid w:val="00387A19"/>
    <w:rsid w:val="00387E62"/>
    <w:rsid w:val="00387F6E"/>
    <w:rsid w:val="00391765"/>
    <w:rsid w:val="003919F9"/>
    <w:rsid w:val="00392002"/>
    <w:rsid w:val="0039200C"/>
    <w:rsid w:val="003927CC"/>
    <w:rsid w:val="00393750"/>
    <w:rsid w:val="00393940"/>
    <w:rsid w:val="00393F49"/>
    <w:rsid w:val="00394B04"/>
    <w:rsid w:val="00394F13"/>
    <w:rsid w:val="00395D79"/>
    <w:rsid w:val="00396780"/>
    <w:rsid w:val="0039743D"/>
    <w:rsid w:val="003A15AD"/>
    <w:rsid w:val="003A17BE"/>
    <w:rsid w:val="003A27B6"/>
    <w:rsid w:val="003A3F55"/>
    <w:rsid w:val="003A57CE"/>
    <w:rsid w:val="003A6587"/>
    <w:rsid w:val="003A779E"/>
    <w:rsid w:val="003A795E"/>
    <w:rsid w:val="003B0923"/>
    <w:rsid w:val="003B0C59"/>
    <w:rsid w:val="003B3478"/>
    <w:rsid w:val="003B5ABB"/>
    <w:rsid w:val="003B68D9"/>
    <w:rsid w:val="003B6C51"/>
    <w:rsid w:val="003B76B6"/>
    <w:rsid w:val="003C1DE4"/>
    <w:rsid w:val="003C20F3"/>
    <w:rsid w:val="003C2150"/>
    <w:rsid w:val="003C2ECA"/>
    <w:rsid w:val="003C3853"/>
    <w:rsid w:val="003D0DBC"/>
    <w:rsid w:val="003D0E35"/>
    <w:rsid w:val="003D0F4D"/>
    <w:rsid w:val="003D14FF"/>
    <w:rsid w:val="003D1F47"/>
    <w:rsid w:val="003D1F7A"/>
    <w:rsid w:val="003D2711"/>
    <w:rsid w:val="003D28CC"/>
    <w:rsid w:val="003D32EF"/>
    <w:rsid w:val="003D4114"/>
    <w:rsid w:val="003D4F6B"/>
    <w:rsid w:val="003D5025"/>
    <w:rsid w:val="003D5B0D"/>
    <w:rsid w:val="003E0499"/>
    <w:rsid w:val="003E0B1D"/>
    <w:rsid w:val="003E0F5C"/>
    <w:rsid w:val="003E17D1"/>
    <w:rsid w:val="003E187F"/>
    <w:rsid w:val="003E322E"/>
    <w:rsid w:val="003E3CE7"/>
    <w:rsid w:val="003E3EEC"/>
    <w:rsid w:val="003E4993"/>
    <w:rsid w:val="003E4F80"/>
    <w:rsid w:val="003E5185"/>
    <w:rsid w:val="003E5254"/>
    <w:rsid w:val="003E5686"/>
    <w:rsid w:val="003E5BE4"/>
    <w:rsid w:val="003E5C56"/>
    <w:rsid w:val="003E641E"/>
    <w:rsid w:val="003E6439"/>
    <w:rsid w:val="003E76AD"/>
    <w:rsid w:val="003E7CF4"/>
    <w:rsid w:val="003F1839"/>
    <w:rsid w:val="003F1BCC"/>
    <w:rsid w:val="003F236B"/>
    <w:rsid w:val="003F2E08"/>
    <w:rsid w:val="003F3941"/>
    <w:rsid w:val="003F39A2"/>
    <w:rsid w:val="003F4436"/>
    <w:rsid w:val="003F47D7"/>
    <w:rsid w:val="003F581C"/>
    <w:rsid w:val="003F6E33"/>
    <w:rsid w:val="00400267"/>
    <w:rsid w:val="004012F3"/>
    <w:rsid w:val="00401A84"/>
    <w:rsid w:val="0040210A"/>
    <w:rsid w:val="00402F6A"/>
    <w:rsid w:val="00403964"/>
    <w:rsid w:val="00405DF3"/>
    <w:rsid w:val="004063FC"/>
    <w:rsid w:val="00406424"/>
    <w:rsid w:val="00406575"/>
    <w:rsid w:val="0040791F"/>
    <w:rsid w:val="00411024"/>
    <w:rsid w:val="004116A2"/>
    <w:rsid w:val="00411937"/>
    <w:rsid w:val="00414C74"/>
    <w:rsid w:val="00414C9A"/>
    <w:rsid w:val="00416F20"/>
    <w:rsid w:val="004176E9"/>
    <w:rsid w:val="00417D8C"/>
    <w:rsid w:val="0042013C"/>
    <w:rsid w:val="00420485"/>
    <w:rsid w:val="00420C6E"/>
    <w:rsid w:val="00421A81"/>
    <w:rsid w:val="00421E5B"/>
    <w:rsid w:val="00422A6C"/>
    <w:rsid w:val="00423ED2"/>
    <w:rsid w:val="00424572"/>
    <w:rsid w:val="00424940"/>
    <w:rsid w:val="00425D4E"/>
    <w:rsid w:val="0042722E"/>
    <w:rsid w:val="00427BA1"/>
    <w:rsid w:val="00427DE5"/>
    <w:rsid w:val="004300DB"/>
    <w:rsid w:val="00430F93"/>
    <w:rsid w:val="00431D30"/>
    <w:rsid w:val="0043241A"/>
    <w:rsid w:val="0043641A"/>
    <w:rsid w:val="004373B4"/>
    <w:rsid w:val="0044043F"/>
    <w:rsid w:val="00440821"/>
    <w:rsid w:val="004409D0"/>
    <w:rsid w:val="004411FE"/>
    <w:rsid w:val="00441E4A"/>
    <w:rsid w:val="00441FEF"/>
    <w:rsid w:val="004426E1"/>
    <w:rsid w:val="004443F7"/>
    <w:rsid w:val="00444B50"/>
    <w:rsid w:val="00444E8A"/>
    <w:rsid w:val="0044528D"/>
    <w:rsid w:val="004453F9"/>
    <w:rsid w:val="0044555D"/>
    <w:rsid w:val="00446E0A"/>
    <w:rsid w:val="00447251"/>
    <w:rsid w:val="00450AE0"/>
    <w:rsid w:val="004512D7"/>
    <w:rsid w:val="004519C2"/>
    <w:rsid w:val="00451BD9"/>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476D"/>
    <w:rsid w:val="00465E70"/>
    <w:rsid w:val="00466A1C"/>
    <w:rsid w:val="00466E39"/>
    <w:rsid w:val="00470576"/>
    <w:rsid w:val="00470E53"/>
    <w:rsid w:val="00470EB4"/>
    <w:rsid w:val="00470FED"/>
    <w:rsid w:val="004718B1"/>
    <w:rsid w:val="004719CB"/>
    <w:rsid w:val="00471DAE"/>
    <w:rsid w:val="0047440E"/>
    <w:rsid w:val="00474C55"/>
    <w:rsid w:val="004761A4"/>
    <w:rsid w:val="00477A70"/>
    <w:rsid w:val="00481649"/>
    <w:rsid w:val="004819DB"/>
    <w:rsid w:val="00481C55"/>
    <w:rsid w:val="00482B87"/>
    <w:rsid w:val="00483055"/>
    <w:rsid w:val="00483C5B"/>
    <w:rsid w:val="00483D74"/>
    <w:rsid w:val="00484B18"/>
    <w:rsid w:val="00485994"/>
    <w:rsid w:val="00485BCA"/>
    <w:rsid w:val="0048645C"/>
    <w:rsid w:val="0048678D"/>
    <w:rsid w:val="004871EA"/>
    <w:rsid w:val="00487DA9"/>
    <w:rsid w:val="00487E29"/>
    <w:rsid w:val="004900D5"/>
    <w:rsid w:val="004902AB"/>
    <w:rsid w:val="00490CBF"/>
    <w:rsid w:val="00492882"/>
    <w:rsid w:val="00492A71"/>
    <w:rsid w:val="004940D5"/>
    <w:rsid w:val="00494EEF"/>
    <w:rsid w:val="00495476"/>
    <w:rsid w:val="0049555B"/>
    <w:rsid w:val="004A1847"/>
    <w:rsid w:val="004A1A92"/>
    <w:rsid w:val="004A2494"/>
    <w:rsid w:val="004A2848"/>
    <w:rsid w:val="004A305D"/>
    <w:rsid w:val="004A3144"/>
    <w:rsid w:val="004A5086"/>
    <w:rsid w:val="004A5E22"/>
    <w:rsid w:val="004A7B34"/>
    <w:rsid w:val="004A7E07"/>
    <w:rsid w:val="004B0070"/>
    <w:rsid w:val="004B0501"/>
    <w:rsid w:val="004B0599"/>
    <w:rsid w:val="004B275C"/>
    <w:rsid w:val="004B27A0"/>
    <w:rsid w:val="004B3B71"/>
    <w:rsid w:val="004B4BBB"/>
    <w:rsid w:val="004B4F6B"/>
    <w:rsid w:val="004B509B"/>
    <w:rsid w:val="004B590E"/>
    <w:rsid w:val="004B64E8"/>
    <w:rsid w:val="004B6907"/>
    <w:rsid w:val="004B7CBF"/>
    <w:rsid w:val="004C0E21"/>
    <w:rsid w:val="004C1776"/>
    <w:rsid w:val="004C1792"/>
    <w:rsid w:val="004C1F3D"/>
    <w:rsid w:val="004C22C6"/>
    <w:rsid w:val="004C2950"/>
    <w:rsid w:val="004C2A39"/>
    <w:rsid w:val="004C45AA"/>
    <w:rsid w:val="004C4B36"/>
    <w:rsid w:val="004C52B7"/>
    <w:rsid w:val="004C5AC4"/>
    <w:rsid w:val="004C62E0"/>
    <w:rsid w:val="004C713E"/>
    <w:rsid w:val="004C749E"/>
    <w:rsid w:val="004C7D77"/>
    <w:rsid w:val="004D1959"/>
    <w:rsid w:val="004D24AB"/>
    <w:rsid w:val="004D269A"/>
    <w:rsid w:val="004D340B"/>
    <w:rsid w:val="004D3D1B"/>
    <w:rsid w:val="004D75BE"/>
    <w:rsid w:val="004E17E7"/>
    <w:rsid w:val="004E1EE4"/>
    <w:rsid w:val="004E397D"/>
    <w:rsid w:val="004E409F"/>
    <w:rsid w:val="004E5211"/>
    <w:rsid w:val="004E61A2"/>
    <w:rsid w:val="004E687B"/>
    <w:rsid w:val="004E68DE"/>
    <w:rsid w:val="004E7C29"/>
    <w:rsid w:val="004F0E7A"/>
    <w:rsid w:val="004F1C23"/>
    <w:rsid w:val="004F21C4"/>
    <w:rsid w:val="004F3F00"/>
    <w:rsid w:val="004F4148"/>
    <w:rsid w:val="004F41B2"/>
    <w:rsid w:val="004F4678"/>
    <w:rsid w:val="004F518D"/>
    <w:rsid w:val="004F6083"/>
    <w:rsid w:val="004F685F"/>
    <w:rsid w:val="004F71AA"/>
    <w:rsid w:val="004F7F63"/>
    <w:rsid w:val="005023DD"/>
    <w:rsid w:val="0050261D"/>
    <w:rsid w:val="005037CD"/>
    <w:rsid w:val="005038DE"/>
    <w:rsid w:val="00503E8D"/>
    <w:rsid w:val="00505C4B"/>
    <w:rsid w:val="00507032"/>
    <w:rsid w:val="00507B0C"/>
    <w:rsid w:val="00507C0E"/>
    <w:rsid w:val="0051099C"/>
    <w:rsid w:val="005132B4"/>
    <w:rsid w:val="00514008"/>
    <w:rsid w:val="00516DCB"/>
    <w:rsid w:val="00520255"/>
    <w:rsid w:val="005202E7"/>
    <w:rsid w:val="00523581"/>
    <w:rsid w:val="005239B3"/>
    <w:rsid w:val="0052401B"/>
    <w:rsid w:val="00524052"/>
    <w:rsid w:val="005243F7"/>
    <w:rsid w:val="0052473B"/>
    <w:rsid w:val="00524AA4"/>
    <w:rsid w:val="00526744"/>
    <w:rsid w:val="00526B11"/>
    <w:rsid w:val="00527383"/>
    <w:rsid w:val="005276DE"/>
    <w:rsid w:val="00527D37"/>
    <w:rsid w:val="00527D60"/>
    <w:rsid w:val="00533921"/>
    <w:rsid w:val="005339DB"/>
    <w:rsid w:val="00533BA6"/>
    <w:rsid w:val="00535309"/>
    <w:rsid w:val="00536987"/>
    <w:rsid w:val="0054008D"/>
    <w:rsid w:val="0054061F"/>
    <w:rsid w:val="00543107"/>
    <w:rsid w:val="00544E93"/>
    <w:rsid w:val="00545129"/>
    <w:rsid w:val="00545F5A"/>
    <w:rsid w:val="00546550"/>
    <w:rsid w:val="00546EF2"/>
    <w:rsid w:val="00547502"/>
    <w:rsid w:val="0055013B"/>
    <w:rsid w:val="005521AB"/>
    <w:rsid w:val="005521FA"/>
    <w:rsid w:val="00552281"/>
    <w:rsid w:val="0055254C"/>
    <w:rsid w:val="00553237"/>
    <w:rsid w:val="00554615"/>
    <w:rsid w:val="00555F30"/>
    <w:rsid w:val="005566E8"/>
    <w:rsid w:val="005567B6"/>
    <w:rsid w:val="0055795B"/>
    <w:rsid w:val="00561DE2"/>
    <w:rsid w:val="0056224E"/>
    <w:rsid w:val="00562AD6"/>
    <w:rsid w:val="00562AFB"/>
    <w:rsid w:val="00563230"/>
    <w:rsid w:val="00563416"/>
    <w:rsid w:val="00563BB5"/>
    <w:rsid w:val="00564599"/>
    <w:rsid w:val="005658E9"/>
    <w:rsid w:val="00570B99"/>
    <w:rsid w:val="005712D7"/>
    <w:rsid w:val="00572244"/>
    <w:rsid w:val="005724CE"/>
    <w:rsid w:val="00573921"/>
    <w:rsid w:val="00573AA6"/>
    <w:rsid w:val="00574867"/>
    <w:rsid w:val="0057496A"/>
    <w:rsid w:val="005756AF"/>
    <w:rsid w:val="00575C7B"/>
    <w:rsid w:val="00575D3B"/>
    <w:rsid w:val="00577B38"/>
    <w:rsid w:val="005804BD"/>
    <w:rsid w:val="00580776"/>
    <w:rsid w:val="005808F2"/>
    <w:rsid w:val="005822BD"/>
    <w:rsid w:val="00583DE0"/>
    <w:rsid w:val="00584291"/>
    <w:rsid w:val="00584894"/>
    <w:rsid w:val="00584910"/>
    <w:rsid w:val="00585280"/>
    <w:rsid w:val="005865AC"/>
    <w:rsid w:val="00586E32"/>
    <w:rsid w:val="005877F8"/>
    <w:rsid w:val="00587BCD"/>
    <w:rsid w:val="0059032F"/>
    <w:rsid w:val="00591460"/>
    <w:rsid w:val="005930DC"/>
    <w:rsid w:val="00593A2E"/>
    <w:rsid w:val="00595E67"/>
    <w:rsid w:val="005968E3"/>
    <w:rsid w:val="005979D9"/>
    <w:rsid w:val="005A02AB"/>
    <w:rsid w:val="005A0AA6"/>
    <w:rsid w:val="005A2B76"/>
    <w:rsid w:val="005A2F25"/>
    <w:rsid w:val="005A4075"/>
    <w:rsid w:val="005A609D"/>
    <w:rsid w:val="005A65E0"/>
    <w:rsid w:val="005A6C25"/>
    <w:rsid w:val="005A6FF3"/>
    <w:rsid w:val="005A7E77"/>
    <w:rsid w:val="005B08D2"/>
    <w:rsid w:val="005B0A81"/>
    <w:rsid w:val="005B0B23"/>
    <w:rsid w:val="005B2D44"/>
    <w:rsid w:val="005B403B"/>
    <w:rsid w:val="005B4C54"/>
    <w:rsid w:val="005B5CA6"/>
    <w:rsid w:val="005B5E1E"/>
    <w:rsid w:val="005B5E23"/>
    <w:rsid w:val="005B5FE4"/>
    <w:rsid w:val="005B758B"/>
    <w:rsid w:val="005C0FBC"/>
    <w:rsid w:val="005C146F"/>
    <w:rsid w:val="005C17E3"/>
    <w:rsid w:val="005C1C2A"/>
    <w:rsid w:val="005C2AE6"/>
    <w:rsid w:val="005C2D83"/>
    <w:rsid w:val="005C2FA8"/>
    <w:rsid w:val="005C2FF9"/>
    <w:rsid w:val="005C34C4"/>
    <w:rsid w:val="005C3512"/>
    <w:rsid w:val="005C356C"/>
    <w:rsid w:val="005C3777"/>
    <w:rsid w:val="005C3AE5"/>
    <w:rsid w:val="005C598D"/>
    <w:rsid w:val="005C5CDC"/>
    <w:rsid w:val="005C6FAB"/>
    <w:rsid w:val="005C71EE"/>
    <w:rsid w:val="005C79E1"/>
    <w:rsid w:val="005D0AA9"/>
    <w:rsid w:val="005D0D47"/>
    <w:rsid w:val="005D1955"/>
    <w:rsid w:val="005D3C7C"/>
    <w:rsid w:val="005D476C"/>
    <w:rsid w:val="005D546D"/>
    <w:rsid w:val="005D56F2"/>
    <w:rsid w:val="005D5CAE"/>
    <w:rsid w:val="005D7768"/>
    <w:rsid w:val="005E0CCE"/>
    <w:rsid w:val="005E1F8F"/>
    <w:rsid w:val="005E247F"/>
    <w:rsid w:val="005E2E33"/>
    <w:rsid w:val="005E3AD2"/>
    <w:rsid w:val="005E5077"/>
    <w:rsid w:val="005E650C"/>
    <w:rsid w:val="005E701A"/>
    <w:rsid w:val="005E7759"/>
    <w:rsid w:val="005F0572"/>
    <w:rsid w:val="005F2CC8"/>
    <w:rsid w:val="005F36B5"/>
    <w:rsid w:val="005F3D0B"/>
    <w:rsid w:val="005F3F7B"/>
    <w:rsid w:val="005F4EAC"/>
    <w:rsid w:val="005F4F85"/>
    <w:rsid w:val="005F5028"/>
    <w:rsid w:val="005F6567"/>
    <w:rsid w:val="005F6C64"/>
    <w:rsid w:val="005F7731"/>
    <w:rsid w:val="005F7734"/>
    <w:rsid w:val="005F7BC6"/>
    <w:rsid w:val="005F7DC0"/>
    <w:rsid w:val="005F7FC5"/>
    <w:rsid w:val="00600BBB"/>
    <w:rsid w:val="00600FB4"/>
    <w:rsid w:val="00601412"/>
    <w:rsid w:val="006015F9"/>
    <w:rsid w:val="00601EB8"/>
    <w:rsid w:val="006021E3"/>
    <w:rsid w:val="00602549"/>
    <w:rsid w:val="00602B9E"/>
    <w:rsid w:val="00605A65"/>
    <w:rsid w:val="00606F06"/>
    <w:rsid w:val="00607ED6"/>
    <w:rsid w:val="00610C7D"/>
    <w:rsid w:val="00612CEE"/>
    <w:rsid w:val="00613205"/>
    <w:rsid w:val="0061342E"/>
    <w:rsid w:val="006136FB"/>
    <w:rsid w:val="00613EC1"/>
    <w:rsid w:val="00614C1B"/>
    <w:rsid w:val="00615803"/>
    <w:rsid w:val="00615FAA"/>
    <w:rsid w:val="00616A59"/>
    <w:rsid w:val="00616FA1"/>
    <w:rsid w:val="00617596"/>
    <w:rsid w:val="00617CDD"/>
    <w:rsid w:val="006200BF"/>
    <w:rsid w:val="00620665"/>
    <w:rsid w:val="00621037"/>
    <w:rsid w:val="00621157"/>
    <w:rsid w:val="006219F8"/>
    <w:rsid w:val="006227BA"/>
    <w:rsid w:val="006236B1"/>
    <w:rsid w:val="006246CA"/>
    <w:rsid w:val="00624E3E"/>
    <w:rsid w:val="00625A4E"/>
    <w:rsid w:val="00625A54"/>
    <w:rsid w:val="00625F39"/>
    <w:rsid w:val="006266D7"/>
    <w:rsid w:val="0062768F"/>
    <w:rsid w:val="00627DD0"/>
    <w:rsid w:val="00627ED2"/>
    <w:rsid w:val="006302F7"/>
    <w:rsid w:val="0063082D"/>
    <w:rsid w:val="00630DE0"/>
    <w:rsid w:val="0063164D"/>
    <w:rsid w:val="006319B7"/>
    <w:rsid w:val="00631F45"/>
    <w:rsid w:val="0063239D"/>
    <w:rsid w:val="00633C47"/>
    <w:rsid w:val="00634853"/>
    <w:rsid w:val="00635CDF"/>
    <w:rsid w:val="006362D5"/>
    <w:rsid w:val="0063693A"/>
    <w:rsid w:val="00637DC2"/>
    <w:rsid w:val="00637E71"/>
    <w:rsid w:val="00637F06"/>
    <w:rsid w:val="00640E35"/>
    <w:rsid w:val="0064199E"/>
    <w:rsid w:val="00643F93"/>
    <w:rsid w:val="006446CE"/>
    <w:rsid w:val="00644C73"/>
    <w:rsid w:val="00645367"/>
    <w:rsid w:val="006454C8"/>
    <w:rsid w:val="00645CB4"/>
    <w:rsid w:val="00646B9F"/>
    <w:rsid w:val="00650DF3"/>
    <w:rsid w:val="00651203"/>
    <w:rsid w:val="0065292E"/>
    <w:rsid w:val="00652ADB"/>
    <w:rsid w:val="00653119"/>
    <w:rsid w:val="00653374"/>
    <w:rsid w:val="00653382"/>
    <w:rsid w:val="006541BF"/>
    <w:rsid w:val="00657665"/>
    <w:rsid w:val="006605CE"/>
    <w:rsid w:val="00660661"/>
    <w:rsid w:val="006615FE"/>
    <w:rsid w:val="00662204"/>
    <w:rsid w:val="006626EB"/>
    <w:rsid w:val="006633C2"/>
    <w:rsid w:val="00664BFB"/>
    <w:rsid w:val="006650A3"/>
    <w:rsid w:val="00665CAC"/>
    <w:rsid w:val="00665D70"/>
    <w:rsid w:val="006665EC"/>
    <w:rsid w:val="006668EF"/>
    <w:rsid w:val="0066742B"/>
    <w:rsid w:val="00670E33"/>
    <w:rsid w:val="00671D7C"/>
    <w:rsid w:val="00671E4E"/>
    <w:rsid w:val="0067236F"/>
    <w:rsid w:val="006724F0"/>
    <w:rsid w:val="00673B27"/>
    <w:rsid w:val="00675B05"/>
    <w:rsid w:val="00675EAB"/>
    <w:rsid w:val="006770D6"/>
    <w:rsid w:val="0068070F"/>
    <w:rsid w:val="006809A8"/>
    <w:rsid w:val="00681959"/>
    <w:rsid w:val="00681A6F"/>
    <w:rsid w:val="00681D9F"/>
    <w:rsid w:val="00682F26"/>
    <w:rsid w:val="00683739"/>
    <w:rsid w:val="00684132"/>
    <w:rsid w:val="0068513A"/>
    <w:rsid w:val="006900D9"/>
    <w:rsid w:val="00692779"/>
    <w:rsid w:val="00693479"/>
    <w:rsid w:val="00693847"/>
    <w:rsid w:val="00695650"/>
    <w:rsid w:val="00695D4C"/>
    <w:rsid w:val="00696277"/>
    <w:rsid w:val="00697429"/>
    <w:rsid w:val="006A00C7"/>
    <w:rsid w:val="006A193A"/>
    <w:rsid w:val="006A19A5"/>
    <w:rsid w:val="006A1AE2"/>
    <w:rsid w:val="006A35A8"/>
    <w:rsid w:val="006A37FE"/>
    <w:rsid w:val="006A3B3C"/>
    <w:rsid w:val="006A443D"/>
    <w:rsid w:val="006A4739"/>
    <w:rsid w:val="006A5D7B"/>
    <w:rsid w:val="006A5F94"/>
    <w:rsid w:val="006A68EE"/>
    <w:rsid w:val="006B0207"/>
    <w:rsid w:val="006B0734"/>
    <w:rsid w:val="006B0BB9"/>
    <w:rsid w:val="006B1780"/>
    <w:rsid w:val="006B1D6D"/>
    <w:rsid w:val="006B3613"/>
    <w:rsid w:val="006B396E"/>
    <w:rsid w:val="006B3F11"/>
    <w:rsid w:val="006B4AB2"/>
    <w:rsid w:val="006B6190"/>
    <w:rsid w:val="006B6A1F"/>
    <w:rsid w:val="006B6DC6"/>
    <w:rsid w:val="006B7EE1"/>
    <w:rsid w:val="006C08D1"/>
    <w:rsid w:val="006C1155"/>
    <w:rsid w:val="006C16E3"/>
    <w:rsid w:val="006C18B6"/>
    <w:rsid w:val="006C1D3F"/>
    <w:rsid w:val="006C35D8"/>
    <w:rsid w:val="006C6AAE"/>
    <w:rsid w:val="006C7B31"/>
    <w:rsid w:val="006D0B3D"/>
    <w:rsid w:val="006D12AD"/>
    <w:rsid w:val="006D3567"/>
    <w:rsid w:val="006D36D7"/>
    <w:rsid w:val="006D4564"/>
    <w:rsid w:val="006D4CFA"/>
    <w:rsid w:val="006D4E9B"/>
    <w:rsid w:val="006D6298"/>
    <w:rsid w:val="006D6332"/>
    <w:rsid w:val="006D7341"/>
    <w:rsid w:val="006D747D"/>
    <w:rsid w:val="006E05CA"/>
    <w:rsid w:val="006E2B9C"/>
    <w:rsid w:val="006E2FD3"/>
    <w:rsid w:val="006E3A2D"/>
    <w:rsid w:val="006E3CD9"/>
    <w:rsid w:val="006E3D96"/>
    <w:rsid w:val="006E43E6"/>
    <w:rsid w:val="006E442A"/>
    <w:rsid w:val="006E4594"/>
    <w:rsid w:val="006E4791"/>
    <w:rsid w:val="006E4C10"/>
    <w:rsid w:val="006E57E3"/>
    <w:rsid w:val="006E64D4"/>
    <w:rsid w:val="006E7DE2"/>
    <w:rsid w:val="006F133B"/>
    <w:rsid w:val="006F3430"/>
    <w:rsid w:val="006F3EFA"/>
    <w:rsid w:val="006F50AC"/>
    <w:rsid w:val="006F6686"/>
    <w:rsid w:val="006F6E5F"/>
    <w:rsid w:val="00700666"/>
    <w:rsid w:val="00701C46"/>
    <w:rsid w:val="00702B76"/>
    <w:rsid w:val="00702D26"/>
    <w:rsid w:val="00702EA2"/>
    <w:rsid w:val="007068D9"/>
    <w:rsid w:val="00706C16"/>
    <w:rsid w:val="007071A9"/>
    <w:rsid w:val="00707957"/>
    <w:rsid w:val="007102E1"/>
    <w:rsid w:val="007159EA"/>
    <w:rsid w:val="00716BB2"/>
    <w:rsid w:val="00717982"/>
    <w:rsid w:val="00717AAE"/>
    <w:rsid w:val="00720112"/>
    <w:rsid w:val="00720173"/>
    <w:rsid w:val="00721362"/>
    <w:rsid w:val="00721F28"/>
    <w:rsid w:val="007227D2"/>
    <w:rsid w:val="00722ECC"/>
    <w:rsid w:val="007237A7"/>
    <w:rsid w:val="00724C4B"/>
    <w:rsid w:val="00724D03"/>
    <w:rsid w:val="00726B9B"/>
    <w:rsid w:val="00727638"/>
    <w:rsid w:val="00727928"/>
    <w:rsid w:val="007279E5"/>
    <w:rsid w:val="00730627"/>
    <w:rsid w:val="007318B0"/>
    <w:rsid w:val="00732982"/>
    <w:rsid w:val="007334CB"/>
    <w:rsid w:val="00733684"/>
    <w:rsid w:val="007336A5"/>
    <w:rsid w:val="007340C3"/>
    <w:rsid w:val="00736CAD"/>
    <w:rsid w:val="00740F02"/>
    <w:rsid w:val="00742424"/>
    <w:rsid w:val="00743301"/>
    <w:rsid w:val="00743CA3"/>
    <w:rsid w:val="0074497E"/>
    <w:rsid w:val="00744A64"/>
    <w:rsid w:val="007463FD"/>
    <w:rsid w:val="007465F6"/>
    <w:rsid w:val="00746C57"/>
    <w:rsid w:val="007475E5"/>
    <w:rsid w:val="0075036D"/>
    <w:rsid w:val="00750485"/>
    <w:rsid w:val="00750578"/>
    <w:rsid w:val="0075074C"/>
    <w:rsid w:val="00750CAE"/>
    <w:rsid w:val="00751E4C"/>
    <w:rsid w:val="00752103"/>
    <w:rsid w:val="0075235A"/>
    <w:rsid w:val="0075276E"/>
    <w:rsid w:val="0075463C"/>
    <w:rsid w:val="00754994"/>
    <w:rsid w:val="00754A7B"/>
    <w:rsid w:val="00756009"/>
    <w:rsid w:val="00756841"/>
    <w:rsid w:val="007573F0"/>
    <w:rsid w:val="00757A07"/>
    <w:rsid w:val="00761558"/>
    <w:rsid w:val="00761ADC"/>
    <w:rsid w:val="00761CC9"/>
    <w:rsid w:val="00761DED"/>
    <w:rsid w:val="007622DD"/>
    <w:rsid w:val="007649AB"/>
    <w:rsid w:val="00764A33"/>
    <w:rsid w:val="00765B95"/>
    <w:rsid w:val="00765FD8"/>
    <w:rsid w:val="00767637"/>
    <w:rsid w:val="007706DC"/>
    <w:rsid w:val="00770A48"/>
    <w:rsid w:val="007712AC"/>
    <w:rsid w:val="00771D0C"/>
    <w:rsid w:val="00772878"/>
    <w:rsid w:val="00774618"/>
    <w:rsid w:val="00775501"/>
    <w:rsid w:val="00775C16"/>
    <w:rsid w:val="00775F68"/>
    <w:rsid w:val="007760AB"/>
    <w:rsid w:val="00776E55"/>
    <w:rsid w:val="007802F0"/>
    <w:rsid w:val="007804D0"/>
    <w:rsid w:val="00780601"/>
    <w:rsid w:val="00781ECB"/>
    <w:rsid w:val="007833AC"/>
    <w:rsid w:val="007836CA"/>
    <w:rsid w:val="00783E3C"/>
    <w:rsid w:val="00784AAC"/>
    <w:rsid w:val="00787D73"/>
    <w:rsid w:val="00787E3D"/>
    <w:rsid w:val="00790304"/>
    <w:rsid w:val="00791BB4"/>
    <w:rsid w:val="007937B7"/>
    <w:rsid w:val="00794B97"/>
    <w:rsid w:val="00795B41"/>
    <w:rsid w:val="007961E8"/>
    <w:rsid w:val="007968B6"/>
    <w:rsid w:val="00796FE4"/>
    <w:rsid w:val="007975D0"/>
    <w:rsid w:val="007A059E"/>
    <w:rsid w:val="007A13D2"/>
    <w:rsid w:val="007A3076"/>
    <w:rsid w:val="007A3A1F"/>
    <w:rsid w:val="007A3B94"/>
    <w:rsid w:val="007A44C4"/>
    <w:rsid w:val="007A6978"/>
    <w:rsid w:val="007A6B57"/>
    <w:rsid w:val="007A710E"/>
    <w:rsid w:val="007B00B8"/>
    <w:rsid w:val="007B14A1"/>
    <w:rsid w:val="007B17D0"/>
    <w:rsid w:val="007B1C03"/>
    <w:rsid w:val="007B268C"/>
    <w:rsid w:val="007B3388"/>
    <w:rsid w:val="007B4834"/>
    <w:rsid w:val="007B4C79"/>
    <w:rsid w:val="007B5340"/>
    <w:rsid w:val="007B7171"/>
    <w:rsid w:val="007B7B08"/>
    <w:rsid w:val="007C0118"/>
    <w:rsid w:val="007C0335"/>
    <w:rsid w:val="007C0C0F"/>
    <w:rsid w:val="007C10C7"/>
    <w:rsid w:val="007C15D4"/>
    <w:rsid w:val="007C3C01"/>
    <w:rsid w:val="007C3D3B"/>
    <w:rsid w:val="007C3DC2"/>
    <w:rsid w:val="007C44AC"/>
    <w:rsid w:val="007C62BA"/>
    <w:rsid w:val="007C731A"/>
    <w:rsid w:val="007D0AFB"/>
    <w:rsid w:val="007D1369"/>
    <w:rsid w:val="007D2458"/>
    <w:rsid w:val="007D307B"/>
    <w:rsid w:val="007D3290"/>
    <w:rsid w:val="007D3999"/>
    <w:rsid w:val="007D4218"/>
    <w:rsid w:val="007D4ED0"/>
    <w:rsid w:val="007D601A"/>
    <w:rsid w:val="007D63B5"/>
    <w:rsid w:val="007D63CC"/>
    <w:rsid w:val="007D6933"/>
    <w:rsid w:val="007D7802"/>
    <w:rsid w:val="007E01FD"/>
    <w:rsid w:val="007E1A66"/>
    <w:rsid w:val="007E21A4"/>
    <w:rsid w:val="007E2352"/>
    <w:rsid w:val="007E253B"/>
    <w:rsid w:val="007E36B6"/>
    <w:rsid w:val="007E3C7C"/>
    <w:rsid w:val="007E5019"/>
    <w:rsid w:val="007E52A1"/>
    <w:rsid w:val="007E5497"/>
    <w:rsid w:val="007E58D9"/>
    <w:rsid w:val="007E5D2E"/>
    <w:rsid w:val="007E6E6B"/>
    <w:rsid w:val="007E70DA"/>
    <w:rsid w:val="007E756B"/>
    <w:rsid w:val="007E7679"/>
    <w:rsid w:val="007E7855"/>
    <w:rsid w:val="007F00B5"/>
    <w:rsid w:val="007F0574"/>
    <w:rsid w:val="007F230E"/>
    <w:rsid w:val="007F33F8"/>
    <w:rsid w:val="007F440C"/>
    <w:rsid w:val="007F57C1"/>
    <w:rsid w:val="007F6708"/>
    <w:rsid w:val="007F7121"/>
    <w:rsid w:val="007F765B"/>
    <w:rsid w:val="007F7759"/>
    <w:rsid w:val="007F77A0"/>
    <w:rsid w:val="007F7963"/>
    <w:rsid w:val="008006C5"/>
    <w:rsid w:val="00801D96"/>
    <w:rsid w:val="00803B32"/>
    <w:rsid w:val="00803F5A"/>
    <w:rsid w:val="008047AC"/>
    <w:rsid w:val="00806162"/>
    <w:rsid w:val="00806537"/>
    <w:rsid w:val="0080673C"/>
    <w:rsid w:val="00806F5F"/>
    <w:rsid w:val="00810309"/>
    <w:rsid w:val="00810EBA"/>
    <w:rsid w:val="00811376"/>
    <w:rsid w:val="008123D1"/>
    <w:rsid w:val="0081305D"/>
    <w:rsid w:val="00813702"/>
    <w:rsid w:val="00814CC6"/>
    <w:rsid w:val="008168C0"/>
    <w:rsid w:val="008168F9"/>
    <w:rsid w:val="00816C32"/>
    <w:rsid w:val="008179EA"/>
    <w:rsid w:val="00820278"/>
    <w:rsid w:val="00820937"/>
    <w:rsid w:val="00820FAD"/>
    <w:rsid w:val="008218C2"/>
    <w:rsid w:val="0082340A"/>
    <w:rsid w:val="00823695"/>
    <w:rsid w:val="00825056"/>
    <w:rsid w:val="0082513D"/>
    <w:rsid w:val="00825310"/>
    <w:rsid w:val="008258C9"/>
    <w:rsid w:val="00825E89"/>
    <w:rsid w:val="00827319"/>
    <w:rsid w:val="0082799E"/>
    <w:rsid w:val="008309C6"/>
    <w:rsid w:val="00833D53"/>
    <w:rsid w:val="008342D3"/>
    <w:rsid w:val="0083506B"/>
    <w:rsid w:val="00835ADC"/>
    <w:rsid w:val="00835F22"/>
    <w:rsid w:val="0083635B"/>
    <w:rsid w:val="008404F8"/>
    <w:rsid w:val="00840CAE"/>
    <w:rsid w:val="0084347C"/>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53FA"/>
    <w:rsid w:val="00855493"/>
    <w:rsid w:val="00856545"/>
    <w:rsid w:val="00856E3E"/>
    <w:rsid w:val="00856ED3"/>
    <w:rsid w:val="0085722E"/>
    <w:rsid w:val="008576E2"/>
    <w:rsid w:val="0086043A"/>
    <w:rsid w:val="008618C5"/>
    <w:rsid w:val="00861CA3"/>
    <w:rsid w:val="00862FC1"/>
    <w:rsid w:val="0086309E"/>
    <w:rsid w:val="0086480A"/>
    <w:rsid w:val="00864B05"/>
    <w:rsid w:val="00865247"/>
    <w:rsid w:val="00865553"/>
    <w:rsid w:val="0086765C"/>
    <w:rsid w:val="00867CB5"/>
    <w:rsid w:val="00867E9D"/>
    <w:rsid w:val="00867F95"/>
    <w:rsid w:val="0087045E"/>
    <w:rsid w:val="0087048D"/>
    <w:rsid w:val="00871188"/>
    <w:rsid w:val="008738C5"/>
    <w:rsid w:val="00874C68"/>
    <w:rsid w:val="00875213"/>
    <w:rsid w:val="00875781"/>
    <w:rsid w:val="008813A3"/>
    <w:rsid w:val="00881DDA"/>
    <w:rsid w:val="00881FAE"/>
    <w:rsid w:val="0088204F"/>
    <w:rsid w:val="00882D30"/>
    <w:rsid w:val="0088424C"/>
    <w:rsid w:val="008843B6"/>
    <w:rsid w:val="008848D2"/>
    <w:rsid w:val="008851B0"/>
    <w:rsid w:val="00885A1B"/>
    <w:rsid w:val="00887CA3"/>
    <w:rsid w:val="00890CB2"/>
    <w:rsid w:val="00891928"/>
    <w:rsid w:val="00893F49"/>
    <w:rsid w:val="00893FEB"/>
    <w:rsid w:val="00894872"/>
    <w:rsid w:val="00895F6F"/>
    <w:rsid w:val="00896C0C"/>
    <w:rsid w:val="008979ED"/>
    <w:rsid w:val="008A040C"/>
    <w:rsid w:val="008A08C2"/>
    <w:rsid w:val="008A13C7"/>
    <w:rsid w:val="008A446D"/>
    <w:rsid w:val="008A4B0C"/>
    <w:rsid w:val="008A57DF"/>
    <w:rsid w:val="008A618B"/>
    <w:rsid w:val="008A6637"/>
    <w:rsid w:val="008A73B7"/>
    <w:rsid w:val="008A7784"/>
    <w:rsid w:val="008B08F1"/>
    <w:rsid w:val="008B1F5D"/>
    <w:rsid w:val="008B25F1"/>
    <w:rsid w:val="008B3A06"/>
    <w:rsid w:val="008B412F"/>
    <w:rsid w:val="008B5A0C"/>
    <w:rsid w:val="008B5F50"/>
    <w:rsid w:val="008B6F9B"/>
    <w:rsid w:val="008B7C43"/>
    <w:rsid w:val="008C017D"/>
    <w:rsid w:val="008C01F4"/>
    <w:rsid w:val="008C0348"/>
    <w:rsid w:val="008C13C8"/>
    <w:rsid w:val="008C15C0"/>
    <w:rsid w:val="008C1D74"/>
    <w:rsid w:val="008C1E63"/>
    <w:rsid w:val="008C2148"/>
    <w:rsid w:val="008C2A86"/>
    <w:rsid w:val="008C2EB8"/>
    <w:rsid w:val="008C522F"/>
    <w:rsid w:val="008C57C3"/>
    <w:rsid w:val="008D0406"/>
    <w:rsid w:val="008D065A"/>
    <w:rsid w:val="008D0794"/>
    <w:rsid w:val="008D093E"/>
    <w:rsid w:val="008D0FF5"/>
    <w:rsid w:val="008D1068"/>
    <w:rsid w:val="008D180B"/>
    <w:rsid w:val="008D1C1D"/>
    <w:rsid w:val="008D23BB"/>
    <w:rsid w:val="008D34F2"/>
    <w:rsid w:val="008D35DD"/>
    <w:rsid w:val="008D533E"/>
    <w:rsid w:val="008D568F"/>
    <w:rsid w:val="008E06C4"/>
    <w:rsid w:val="008E07F1"/>
    <w:rsid w:val="008E0B6F"/>
    <w:rsid w:val="008E1905"/>
    <w:rsid w:val="008E247B"/>
    <w:rsid w:val="008E318F"/>
    <w:rsid w:val="008E405F"/>
    <w:rsid w:val="008E4B11"/>
    <w:rsid w:val="008E4BE6"/>
    <w:rsid w:val="008E4D2A"/>
    <w:rsid w:val="008E6467"/>
    <w:rsid w:val="008E7033"/>
    <w:rsid w:val="008E73E1"/>
    <w:rsid w:val="008F0E48"/>
    <w:rsid w:val="008F0EA7"/>
    <w:rsid w:val="008F2279"/>
    <w:rsid w:val="008F297F"/>
    <w:rsid w:val="008F5E43"/>
    <w:rsid w:val="008F5F7C"/>
    <w:rsid w:val="008F6CB9"/>
    <w:rsid w:val="008F7DFC"/>
    <w:rsid w:val="00901378"/>
    <w:rsid w:val="00901E9B"/>
    <w:rsid w:val="00904F2B"/>
    <w:rsid w:val="00905649"/>
    <w:rsid w:val="00905657"/>
    <w:rsid w:val="0090675F"/>
    <w:rsid w:val="00907C4B"/>
    <w:rsid w:val="009103B3"/>
    <w:rsid w:val="0091287E"/>
    <w:rsid w:val="00912EA0"/>
    <w:rsid w:val="0091389F"/>
    <w:rsid w:val="009139FA"/>
    <w:rsid w:val="00914159"/>
    <w:rsid w:val="00914466"/>
    <w:rsid w:val="00914E0D"/>
    <w:rsid w:val="00914E25"/>
    <w:rsid w:val="009157FB"/>
    <w:rsid w:val="00916099"/>
    <w:rsid w:val="00916CF5"/>
    <w:rsid w:val="00917D08"/>
    <w:rsid w:val="00917D7C"/>
    <w:rsid w:val="00920683"/>
    <w:rsid w:val="009206C3"/>
    <w:rsid w:val="00923EEF"/>
    <w:rsid w:val="00924558"/>
    <w:rsid w:val="00926AFB"/>
    <w:rsid w:val="0093086E"/>
    <w:rsid w:val="00931914"/>
    <w:rsid w:val="009320B4"/>
    <w:rsid w:val="00933F65"/>
    <w:rsid w:val="009347E9"/>
    <w:rsid w:val="00934B3C"/>
    <w:rsid w:val="0093642D"/>
    <w:rsid w:val="00940B23"/>
    <w:rsid w:val="00940E3A"/>
    <w:rsid w:val="009419F9"/>
    <w:rsid w:val="00942E37"/>
    <w:rsid w:val="00942F04"/>
    <w:rsid w:val="009435AC"/>
    <w:rsid w:val="00944727"/>
    <w:rsid w:val="00945103"/>
    <w:rsid w:val="009459FA"/>
    <w:rsid w:val="00947432"/>
    <w:rsid w:val="00947764"/>
    <w:rsid w:val="00947C24"/>
    <w:rsid w:val="009507C2"/>
    <w:rsid w:val="00952228"/>
    <w:rsid w:val="009532D0"/>
    <w:rsid w:val="00955E25"/>
    <w:rsid w:val="0095685E"/>
    <w:rsid w:val="00956910"/>
    <w:rsid w:val="00957681"/>
    <w:rsid w:val="009579CF"/>
    <w:rsid w:val="00961B09"/>
    <w:rsid w:val="00961DC5"/>
    <w:rsid w:val="00961F76"/>
    <w:rsid w:val="00962B17"/>
    <w:rsid w:val="0096331A"/>
    <w:rsid w:val="00963A43"/>
    <w:rsid w:val="00965092"/>
    <w:rsid w:val="00965334"/>
    <w:rsid w:val="0096541C"/>
    <w:rsid w:val="00965DDA"/>
    <w:rsid w:val="0096783E"/>
    <w:rsid w:val="00967B46"/>
    <w:rsid w:val="00967D67"/>
    <w:rsid w:val="00967DE3"/>
    <w:rsid w:val="0097093E"/>
    <w:rsid w:val="009712CF"/>
    <w:rsid w:val="0097530E"/>
    <w:rsid w:val="009754CF"/>
    <w:rsid w:val="009759F9"/>
    <w:rsid w:val="00975D9C"/>
    <w:rsid w:val="00975E5D"/>
    <w:rsid w:val="00976CEB"/>
    <w:rsid w:val="00976F85"/>
    <w:rsid w:val="0098061E"/>
    <w:rsid w:val="00980D0A"/>
    <w:rsid w:val="00983772"/>
    <w:rsid w:val="009848AC"/>
    <w:rsid w:val="0098514C"/>
    <w:rsid w:val="0098774A"/>
    <w:rsid w:val="00990ED6"/>
    <w:rsid w:val="009910E2"/>
    <w:rsid w:val="009926DC"/>
    <w:rsid w:val="00992B1A"/>
    <w:rsid w:val="00993E2C"/>
    <w:rsid w:val="00993FF1"/>
    <w:rsid w:val="00994367"/>
    <w:rsid w:val="00994DAD"/>
    <w:rsid w:val="0099598A"/>
    <w:rsid w:val="00996FCF"/>
    <w:rsid w:val="009A0DFA"/>
    <w:rsid w:val="009A0F74"/>
    <w:rsid w:val="009A1C6F"/>
    <w:rsid w:val="009A2C7A"/>
    <w:rsid w:val="009A3AC6"/>
    <w:rsid w:val="009A46DF"/>
    <w:rsid w:val="009A520B"/>
    <w:rsid w:val="009A63B1"/>
    <w:rsid w:val="009A6D45"/>
    <w:rsid w:val="009A7834"/>
    <w:rsid w:val="009A7CA2"/>
    <w:rsid w:val="009A7F82"/>
    <w:rsid w:val="009B0163"/>
    <w:rsid w:val="009B090A"/>
    <w:rsid w:val="009B2D26"/>
    <w:rsid w:val="009B4962"/>
    <w:rsid w:val="009B5559"/>
    <w:rsid w:val="009B6C9A"/>
    <w:rsid w:val="009B6F6E"/>
    <w:rsid w:val="009B7070"/>
    <w:rsid w:val="009C0B43"/>
    <w:rsid w:val="009C0FF0"/>
    <w:rsid w:val="009C1939"/>
    <w:rsid w:val="009C20F9"/>
    <w:rsid w:val="009C2AC9"/>
    <w:rsid w:val="009C3311"/>
    <w:rsid w:val="009C4B09"/>
    <w:rsid w:val="009C4DE6"/>
    <w:rsid w:val="009C5ADB"/>
    <w:rsid w:val="009C67CE"/>
    <w:rsid w:val="009C6878"/>
    <w:rsid w:val="009C71FA"/>
    <w:rsid w:val="009C72E7"/>
    <w:rsid w:val="009C7565"/>
    <w:rsid w:val="009C7F7E"/>
    <w:rsid w:val="009D2A2F"/>
    <w:rsid w:val="009D2B0C"/>
    <w:rsid w:val="009D3058"/>
    <w:rsid w:val="009D3F56"/>
    <w:rsid w:val="009D6229"/>
    <w:rsid w:val="009D7A1B"/>
    <w:rsid w:val="009D7F39"/>
    <w:rsid w:val="009E04BE"/>
    <w:rsid w:val="009E109D"/>
    <w:rsid w:val="009E28AD"/>
    <w:rsid w:val="009E2B38"/>
    <w:rsid w:val="009E2C70"/>
    <w:rsid w:val="009E3C33"/>
    <w:rsid w:val="009E4DE7"/>
    <w:rsid w:val="009E75C5"/>
    <w:rsid w:val="009E763C"/>
    <w:rsid w:val="009F00B8"/>
    <w:rsid w:val="009F0380"/>
    <w:rsid w:val="009F1284"/>
    <w:rsid w:val="009F1E08"/>
    <w:rsid w:val="009F244D"/>
    <w:rsid w:val="009F2815"/>
    <w:rsid w:val="009F3A13"/>
    <w:rsid w:val="009F3CFE"/>
    <w:rsid w:val="009F4095"/>
    <w:rsid w:val="009F6918"/>
    <w:rsid w:val="009F6C21"/>
    <w:rsid w:val="00A009AF"/>
    <w:rsid w:val="00A00EF7"/>
    <w:rsid w:val="00A01980"/>
    <w:rsid w:val="00A03AF3"/>
    <w:rsid w:val="00A04214"/>
    <w:rsid w:val="00A049FD"/>
    <w:rsid w:val="00A04B86"/>
    <w:rsid w:val="00A06DFC"/>
    <w:rsid w:val="00A06FFF"/>
    <w:rsid w:val="00A10174"/>
    <w:rsid w:val="00A1053D"/>
    <w:rsid w:val="00A122D3"/>
    <w:rsid w:val="00A1233B"/>
    <w:rsid w:val="00A12B6D"/>
    <w:rsid w:val="00A134A4"/>
    <w:rsid w:val="00A14468"/>
    <w:rsid w:val="00A14984"/>
    <w:rsid w:val="00A16B49"/>
    <w:rsid w:val="00A16D4A"/>
    <w:rsid w:val="00A17406"/>
    <w:rsid w:val="00A17F13"/>
    <w:rsid w:val="00A20145"/>
    <w:rsid w:val="00A20739"/>
    <w:rsid w:val="00A21A2E"/>
    <w:rsid w:val="00A236AD"/>
    <w:rsid w:val="00A23AF9"/>
    <w:rsid w:val="00A25A8E"/>
    <w:rsid w:val="00A27052"/>
    <w:rsid w:val="00A2F2DE"/>
    <w:rsid w:val="00A3074D"/>
    <w:rsid w:val="00A30843"/>
    <w:rsid w:val="00A30A39"/>
    <w:rsid w:val="00A310A0"/>
    <w:rsid w:val="00A314D0"/>
    <w:rsid w:val="00A31731"/>
    <w:rsid w:val="00A31B65"/>
    <w:rsid w:val="00A31D3A"/>
    <w:rsid w:val="00A335C1"/>
    <w:rsid w:val="00A33C78"/>
    <w:rsid w:val="00A345DD"/>
    <w:rsid w:val="00A35844"/>
    <w:rsid w:val="00A372F5"/>
    <w:rsid w:val="00A37E4A"/>
    <w:rsid w:val="00A40153"/>
    <w:rsid w:val="00A40A51"/>
    <w:rsid w:val="00A41112"/>
    <w:rsid w:val="00A42E16"/>
    <w:rsid w:val="00A4305C"/>
    <w:rsid w:val="00A43908"/>
    <w:rsid w:val="00A45E34"/>
    <w:rsid w:val="00A50128"/>
    <w:rsid w:val="00A50B12"/>
    <w:rsid w:val="00A51A78"/>
    <w:rsid w:val="00A51D44"/>
    <w:rsid w:val="00A54A64"/>
    <w:rsid w:val="00A54E14"/>
    <w:rsid w:val="00A556A8"/>
    <w:rsid w:val="00A55B30"/>
    <w:rsid w:val="00A56D60"/>
    <w:rsid w:val="00A57381"/>
    <w:rsid w:val="00A575B5"/>
    <w:rsid w:val="00A57A60"/>
    <w:rsid w:val="00A57D6F"/>
    <w:rsid w:val="00A60350"/>
    <w:rsid w:val="00A604D4"/>
    <w:rsid w:val="00A60FF1"/>
    <w:rsid w:val="00A62034"/>
    <w:rsid w:val="00A637F4"/>
    <w:rsid w:val="00A63AC5"/>
    <w:rsid w:val="00A654FE"/>
    <w:rsid w:val="00A65601"/>
    <w:rsid w:val="00A6650D"/>
    <w:rsid w:val="00A67131"/>
    <w:rsid w:val="00A67369"/>
    <w:rsid w:val="00A67789"/>
    <w:rsid w:val="00A70219"/>
    <w:rsid w:val="00A70A6B"/>
    <w:rsid w:val="00A72101"/>
    <w:rsid w:val="00A72864"/>
    <w:rsid w:val="00A72A63"/>
    <w:rsid w:val="00A72F4B"/>
    <w:rsid w:val="00A73630"/>
    <w:rsid w:val="00A744AA"/>
    <w:rsid w:val="00A74641"/>
    <w:rsid w:val="00A7477F"/>
    <w:rsid w:val="00A75061"/>
    <w:rsid w:val="00A751E5"/>
    <w:rsid w:val="00A76340"/>
    <w:rsid w:val="00A76DB5"/>
    <w:rsid w:val="00A77BE4"/>
    <w:rsid w:val="00A80A75"/>
    <w:rsid w:val="00A80D8D"/>
    <w:rsid w:val="00A8192E"/>
    <w:rsid w:val="00A81AB4"/>
    <w:rsid w:val="00A822FD"/>
    <w:rsid w:val="00A82DB0"/>
    <w:rsid w:val="00A83154"/>
    <w:rsid w:val="00A83677"/>
    <w:rsid w:val="00A851F8"/>
    <w:rsid w:val="00A858CF"/>
    <w:rsid w:val="00A859B6"/>
    <w:rsid w:val="00A873BA"/>
    <w:rsid w:val="00A873EF"/>
    <w:rsid w:val="00A902BF"/>
    <w:rsid w:val="00A92112"/>
    <w:rsid w:val="00A92D03"/>
    <w:rsid w:val="00A93206"/>
    <w:rsid w:val="00A93345"/>
    <w:rsid w:val="00A94E42"/>
    <w:rsid w:val="00A95F2C"/>
    <w:rsid w:val="00A95F32"/>
    <w:rsid w:val="00A963DF"/>
    <w:rsid w:val="00A9674D"/>
    <w:rsid w:val="00A97A39"/>
    <w:rsid w:val="00A97BFC"/>
    <w:rsid w:val="00AA02B7"/>
    <w:rsid w:val="00AA0485"/>
    <w:rsid w:val="00AA0670"/>
    <w:rsid w:val="00AA3482"/>
    <w:rsid w:val="00AA38F0"/>
    <w:rsid w:val="00AA3B60"/>
    <w:rsid w:val="00AA3D82"/>
    <w:rsid w:val="00AA4478"/>
    <w:rsid w:val="00AA4DDC"/>
    <w:rsid w:val="00AA4FB7"/>
    <w:rsid w:val="00AA61BA"/>
    <w:rsid w:val="00AA6777"/>
    <w:rsid w:val="00AA6FA8"/>
    <w:rsid w:val="00AA7CE0"/>
    <w:rsid w:val="00AB0180"/>
    <w:rsid w:val="00AB0378"/>
    <w:rsid w:val="00AB0ADB"/>
    <w:rsid w:val="00AB1FF8"/>
    <w:rsid w:val="00AB2267"/>
    <w:rsid w:val="00AB24C2"/>
    <w:rsid w:val="00AB3343"/>
    <w:rsid w:val="00AB600A"/>
    <w:rsid w:val="00AB6E30"/>
    <w:rsid w:val="00AB6EB6"/>
    <w:rsid w:val="00AB7520"/>
    <w:rsid w:val="00AB7876"/>
    <w:rsid w:val="00AC1693"/>
    <w:rsid w:val="00AC2486"/>
    <w:rsid w:val="00AC270B"/>
    <w:rsid w:val="00AC33B9"/>
    <w:rsid w:val="00AC353D"/>
    <w:rsid w:val="00AC407F"/>
    <w:rsid w:val="00AC5426"/>
    <w:rsid w:val="00AC5D3B"/>
    <w:rsid w:val="00AC5DA8"/>
    <w:rsid w:val="00AD09F0"/>
    <w:rsid w:val="00AD221E"/>
    <w:rsid w:val="00AD2ACC"/>
    <w:rsid w:val="00AD33F1"/>
    <w:rsid w:val="00AD55D9"/>
    <w:rsid w:val="00AD6163"/>
    <w:rsid w:val="00AD7D06"/>
    <w:rsid w:val="00ADADF9"/>
    <w:rsid w:val="00AE0294"/>
    <w:rsid w:val="00AE17D2"/>
    <w:rsid w:val="00AE1821"/>
    <w:rsid w:val="00AE189B"/>
    <w:rsid w:val="00AE329C"/>
    <w:rsid w:val="00AE45AC"/>
    <w:rsid w:val="00AE4CCF"/>
    <w:rsid w:val="00AE5171"/>
    <w:rsid w:val="00AE51E9"/>
    <w:rsid w:val="00AE521A"/>
    <w:rsid w:val="00AE574C"/>
    <w:rsid w:val="00AE595A"/>
    <w:rsid w:val="00AE5B06"/>
    <w:rsid w:val="00AE6399"/>
    <w:rsid w:val="00AE64D7"/>
    <w:rsid w:val="00AE6D51"/>
    <w:rsid w:val="00AE7395"/>
    <w:rsid w:val="00AE7608"/>
    <w:rsid w:val="00AF047A"/>
    <w:rsid w:val="00AF247C"/>
    <w:rsid w:val="00AF3015"/>
    <w:rsid w:val="00AF3A3E"/>
    <w:rsid w:val="00AF5075"/>
    <w:rsid w:val="00AF6CBA"/>
    <w:rsid w:val="00AF7475"/>
    <w:rsid w:val="00B00550"/>
    <w:rsid w:val="00B00A6E"/>
    <w:rsid w:val="00B00C0E"/>
    <w:rsid w:val="00B01063"/>
    <w:rsid w:val="00B01805"/>
    <w:rsid w:val="00B01B1A"/>
    <w:rsid w:val="00B021AC"/>
    <w:rsid w:val="00B02B56"/>
    <w:rsid w:val="00B02C71"/>
    <w:rsid w:val="00B036E9"/>
    <w:rsid w:val="00B0381D"/>
    <w:rsid w:val="00B03D3C"/>
    <w:rsid w:val="00B03F9C"/>
    <w:rsid w:val="00B04C46"/>
    <w:rsid w:val="00B07447"/>
    <w:rsid w:val="00B07EE8"/>
    <w:rsid w:val="00B1022F"/>
    <w:rsid w:val="00B10634"/>
    <w:rsid w:val="00B110E3"/>
    <w:rsid w:val="00B11F11"/>
    <w:rsid w:val="00B121F7"/>
    <w:rsid w:val="00B134A2"/>
    <w:rsid w:val="00B13C2A"/>
    <w:rsid w:val="00B13E5A"/>
    <w:rsid w:val="00B13E8D"/>
    <w:rsid w:val="00B147A4"/>
    <w:rsid w:val="00B14D66"/>
    <w:rsid w:val="00B14EED"/>
    <w:rsid w:val="00B16E45"/>
    <w:rsid w:val="00B16F9E"/>
    <w:rsid w:val="00B17102"/>
    <w:rsid w:val="00B17233"/>
    <w:rsid w:val="00B1793F"/>
    <w:rsid w:val="00B202C3"/>
    <w:rsid w:val="00B2155F"/>
    <w:rsid w:val="00B218A9"/>
    <w:rsid w:val="00B218BD"/>
    <w:rsid w:val="00B224F8"/>
    <w:rsid w:val="00B22BDC"/>
    <w:rsid w:val="00B233B9"/>
    <w:rsid w:val="00B23EE7"/>
    <w:rsid w:val="00B25047"/>
    <w:rsid w:val="00B25613"/>
    <w:rsid w:val="00B257CB"/>
    <w:rsid w:val="00B25F8C"/>
    <w:rsid w:val="00B26F7C"/>
    <w:rsid w:val="00B30E7B"/>
    <w:rsid w:val="00B32531"/>
    <w:rsid w:val="00B33ED6"/>
    <w:rsid w:val="00B36AF7"/>
    <w:rsid w:val="00B36E41"/>
    <w:rsid w:val="00B37401"/>
    <w:rsid w:val="00B375EC"/>
    <w:rsid w:val="00B3763A"/>
    <w:rsid w:val="00B37CC1"/>
    <w:rsid w:val="00B37F8C"/>
    <w:rsid w:val="00B41D4C"/>
    <w:rsid w:val="00B426FA"/>
    <w:rsid w:val="00B4397C"/>
    <w:rsid w:val="00B439AA"/>
    <w:rsid w:val="00B43F8B"/>
    <w:rsid w:val="00B44A47"/>
    <w:rsid w:val="00B44E76"/>
    <w:rsid w:val="00B457C2"/>
    <w:rsid w:val="00B45D54"/>
    <w:rsid w:val="00B4691A"/>
    <w:rsid w:val="00B46A2C"/>
    <w:rsid w:val="00B50C2D"/>
    <w:rsid w:val="00B5204F"/>
    <w:rsid w:val="00B5246B"/>
    <w:rsid w:val="00B524C9"/>
    <w:rsid w:val="00B52710"/>
    <w:rsid w:val="00B52721"/>
    <w:rsid w:val="00B535D7"/>
    <w:rsid w:val="00B5375E"/>
    <w:rsid w:val="00B53E33"/>
    <w:rsid w:val="00B54A46"/>
    <w:rsid w:val="00B55827"/>
    <w:rsid w:val="00B55864"/>
    <w:rsid w:val="00B56A6D"/>
    <w:rsid w:val="00B5789D"/>
    <w:rsid w:val="00B57B01"/>
    <w:rsid w:val="00B60492"/>
    <w:rsid w:val="00B60A2B"/>
    <w:rsid w:val="00B63AA4"/>
    <w:rsid w:val="00B63C39"/>
    <w:rsid w:val="00B6619A"/>
    <w:rsid w:val="00B66AA8"/>
    <w:rsid w:val="00B66E67"/>
    <w:rsid w:val="00B67B66"/>
    <w:rsid w:val="00B70323"/>
    <w:rsid w:val="00B7172B"/>
    <w:rsid w:val="00B72CD3"/>
    <w:rsid w:val="00B72FFF"/>
    <w:rsid w:val="00B73CF4"/>
    <w:rsid w:val="00B75769"/>
    <w:rsid w:val="00B75B45"/>
    <w:rsid w:val="00B76D46"/>
    <w:rsid w:val="00B76FAE"/>
    <w:rsid w:val="00B77F30"/>
    <w:rsid w:val="00B80E3C"/>
    <w:rsid w:val="00B81959"/>
    <w:rsid w:val="00B82148"/>
    <w:rsid w:val="00B82B4A"/>
    <w:rsid w:val="00B83594"/>
    <w:rsid w:val="00B838B8"/>
    <w:rsid w:val="00B8490B"/>
    <w:rsid w:val="00B87283"/>
    <w:rsid w:val="00B8795D"/>
    <w:rsid w:val="00B908A3"/>
    <w:rsid w:val="00B90A92"/>
    <w:rsid w:val="00B9186D"/>
    <w:rsid w:val="00B91FB6"/>
    <w:rsid w:val="00B92050"/>
    <w:rsid w:val="00B9341C"/>
    <w:rsid w:val="00B93D25"/>
    <w:rsid w:val="00B93F50"/>
    <w:rsid w:val="00B93F9E"/>
    <w:rsid w:val="00B95551"/>
    <w:rsid w:val="00B96118"/>
    <w:rsid w:val="00B9760C"/>
    <w:rsid w:val="00B97977"/>
    <w:rsid w:val="00BA0249"/>
    <w:rsid w:val="00BA0F7F"/>
    <w:rsid w:val="00BA189C"/>
    <w:rsid w:val="00BA2001"/>
    <w:rsid w:val="00BA310B"/>
    <w:rsid w:val="00BA3C86"/>
    <w:rsid w:val="00BA6396"/>
    <w:rsid w:val="00BA67CE"/>
    <w:rsid w:val="00BA69B1"/>
    <w:rsid w:val="00BB223F"/>
    <w:rsid w:val="00BB33BD"/>
    <w:rsid w:val="00BB3C1F"/>
    <w:rsid w:val="00BB4635"/>
    <w:rsid w:val="00BB6ED9"/>
    <w:rsid w:val="00BB7178"/>
    <w:rsid w:val="00BB7F21"/>
    <w:rsid w:val="00BC20B3"/>
    <w:rsid w:val="00BC3A61"/>
    <w:rsid w:val="00BC3D36"/>
    <w:rsid w:val="00BC4D68"/>
    <w:rsid w:val="00BC5F0F"/>
    <w:rsid w:val="00BC7A94"/>
    <w:rsid w:val="00BC7C12"/>
    <w:rsid w:val="00BD0376"/>
    <w:rsid w:val="00BD0738"/>
    <w:rsid w:val="00BD0BDC"/>
    <w:rsid w:val="00BD262C"/>
    <w:rsid w:val="00BD3696"/>
    <w:rsid w:val="00BD3F83"/>
    <w:rsid w:val="00BD54A6"/>
    <w:rsid w:val="00BD5710"/>
    <w:rsid w:val="00BD6409"/>
    <w:rsid w:val="00BD6EA3"/>
    <w:rsid w:val="00BD7737"/>
    <w:rsid w:val="00BD7F72"/>
    <w:rsid w:val="00BE2378"/>
    <w:rsid w:val="00BE2793"/>
    <w:rsid w:val="00BE348B"/>
    <w:rsid w:val="00BE4DF7"/>
    <w:rsid w:val="00BE53C6"/>
    <w:rsid w:val="00BE56D2"/>
    <w:rsid w:val="00BE58F0"/>
    <w:rsid w:val="00BE64E9"/>
    <w:rsid w:val="00BE68E7"/>
    <w:rsid w:val="00BE6D2E"/>
    <w:rsid w:val="00BE7AB7"/>
    <w:rsid w:val="00BE7FDF"/>
    <w:rsid w:val="00BF032F"/>
    <w:rsid w:val="00BF3773"/>
    <w:rsid w:val="00BF4440"/>
    <w:rsid w:val="00BF590D"/>
    <w:rsid w:val="00BF7425"/>
    <w:rsid w:val="00BF7FD2"/>
    <w:rsid w:val="00C00584"/>
    <w:rsid w:val="00C01FD7"/>
    <w:rsid w:val="00C02DC4"/>
    <w:rsid w:val="00C030C0"/>
    <w:rsid w:val="00C037FD"/>
    <w:rsid w:val="00C03868"/>
    <w:rsid w:val="00C03B63"/>
    <w:rsid w:val="00C03FDF"/>
    <w:rsid w:val="00C04B2B"/>
    <w:rsid w:val="00C04FB3"/>
    <w:rsid w:val="00C05773"/>
    <w:rsid w:val="00C05F2E"/>
    <w:rsid w:val="00C064F1"/>
    <w:rsid w:val="00C06C84"/>
    <w:rsid w:val="00C07ACF"/>
    <w:rsid w:val="00C10BC3"/>
    <w:rsid w:val="00C11D8B"/>
    <w:rsid w:val="00C11E21"/>
    <w:rsid w:val="00C12B94"/>
    <w:rsid w:val="00C13031"/>
    <w:rsid w:val="00C138F9"/>
    <w:rsid w:val="00C15139"/>
    <w:rsid w:val="00C16EAC"/>
    <w:rsid w:val="00C174DD"/>
    <w:rsid w:val="00C17FBE"/>
    <w:rsid w:val="00C201FD"/>
    <w:rsid w:val="00C20945"/>
    <w:rsid w:val="00C240C9"/>
    <w:rsid w:val="00C24254"/>
    <w:rsid w:val="00C24347"/>
    <w:rsid w:val="00C25563"/>
    <w:rsid w:val="00C26510"/>
    <w:rsid w:val="00C265C5"/>
    <w:rsid w:val="00C269CA"/>
    <w:rsid w:val="00C270A3"/>
    <w:rsid w:val="00C27470"/>
    <w:rsid w:val="00C308D2"/>
    <w:rsid w:val="00C309C9"/>
    <w:rsid w:val="00C30E23"/>
    <w:rsid w:val="00C31C72"/>
    <w:rsid w:val="00C31D52"/>
    <w:rsid w:val="00C330EB"/>
    <w:rsid w:val="00C33B21"/>
    <w:rsid w:val="00C34624"/>
    <w:rsid w:val="00C35AEC"/>
    <w:rsid w:val="00C35F41"/>
    <w:rsid w:val="00C400A9"/>
    <w:rsid w:val="00C40E96"/>
    <w:rsid w:val="00C41643"/>
    <w:rsid w:val="00C416B1"/>
    <w:rsid w:val="00C41919"/>
    <w:rsid w:val="00C42A09"/>
    <w:rsid w:val="00C452B1"/>
    <w:rsid w:val="00C4562A"/>
    <w:rsid w:val="00C45A9E"/>
    <w:rsid w:val="00C45FDE"/>
    <w:rsid w:val="00C46298"/>
    <w:rsid w:val="00C46593"/>
    <w:rsid w:val="00C4752A"/>
    <w:rsid w:val="00C5070A"/>
    <w:rsid w:val="00C50C16"/>
    <w:rsid w:val="00C50D69"/>
    <w:rsid w:val="00C50E70"/>
    <w:rsid w:val="00C51189"/>
    <w:rsid w:val="00C512EC"/>
    <w:rsid w:val="00C5287E"/>
    <w:rsid w:val="00C531CB"/>
    <w:rsid w:val="00C5365C"/>
    <w:rsid w:val="00C53F7B"/>
    <w:rsid w:val="00C5441A"/>
    <w:rsid w:val="00C54F0D"/>
    <w:rsid w:val="00C55450"/>
    <w:rsid w:val="00C61D09"/>
    <w:rsid w:val="00C62673"/>
    <w:rsid w:val="00C62D97"/>
    <w:rsid w:val="00C62FC1"/>
    <w:rsid w:val="00C645F4"/>
    <w:rsid w:val="00C67E80"/>
    <w:rsid w:val="00C70581"/>
    <w:rsid w:val="00C71D88"/>
    <w:rsid w:val="00C725FA"/>
    <w:rsid w:val="00C73DC3"/>
    <w:rsid w:val="00C745F5"/>
    <w:rsid w:val="00C752D5"/>
    <w:rsid w:val="00C754BE"/>
    <w:rsid w:val="00C76786"/>
    <w:rsid w:val="00C76877"/>
    <w:rsid w:val="00C76B1C"/>
    <w:rsid w:val="00C82AEE"/>
    <w:rsid w:val="00C84F5D"/>
    <w:rsid w:val="00C85433"/>
    <w:rsid w:val="00C8652C"/>
    <w:rsid w:val="00C87027"/>
    <w:rsid w:val="00C876B2"/>
    <w:rsid w:val="00C90617"/>
    <w:rsid w:val="00C925AC"/>
    <w:rsid w:val="00C92712"/>
    <w:rsid w:val="00C93B9A"/>
    <w:rsid w:val="00C93CE4"/>
    <w:rsid w:val="00C93F64"/>
    <w:rsid w:val="00C95660"/>
    <w:rsid w:val="00C95EB7"/>
    <w:rsid w:val="00C96960"/>
    <w:rsid w:val="00CA0CB0"/>
    <w:rsid w:val="00CA2A60"/>
    <w:rsid w:val="00CA3A63"/>
    <w:rsid w:val="00CA3EED"/>
    <w:rsid w:val="00CA3F11"/>
    <w:rsid w:val="00CA4878"/>
    <w:rsid w:val="00CA4B66"/>
    <w:rsid w:val="00CA77CB"/>
    <w:rsid w:val="00CB086E"/>
    <w:rsid w:val="00CB2464"/>
    <w:rsid w:val="00CB2DFB"/>
    <w:rsid w:val="00CB33B3"/>
    <w:rsid w:val="00CB3F16"/>
    <w:rsid w:val="00CB4038"/>
    <w:rsid w:val="00CB496F"/>
    <w:rsid w:val="00CB4E73"/>
    <w:rsid w:val="00CB4F99"/>
    <w:rsid w:val="00CB5DAF"/>
    <w:rsid w:val="00CB6357"/>
    <w:rsid w:val="00CB69A0"/>
    <w:rsid w:val="00CB6C86"/>
    <w:rsid w:val="00CC028B"/>
    <w:rsid w:val="00CC04F3"/>
    <w:rsid w:val="00CC07E9"/>
    <w:rsid w:val="00CC0DB5"/>
    <w:rsid w:val="00CC0E60"/>
    <w:rsid w:val="00CC1AF0"/>
    <w:rsid w:val="00CC1B26"/>
    <w:rsid w:val="00CC2530"/>
    <w:rsid w:val="00CC3403"/>
    <w:rsid w:val="00CC424E"/>
    <w:rsid w:val="00CC4DE2"/>
    <w:rsid w:val="00CC55E8"/>
    <w:rsid w:val="00CC5E82"/>
    <w:rsid w:val="00CC5ED7"/>
    <w:rsid w:val="00CC66D7"/>
    <w:rsid w:val="00CC6EA4"/>
    <w:rsid w:val="00CC703E"/>
    <w:rsid w:val="00CC7CF8"/>
    <w:rsid w:val="00CC7EA9"/>
    <w:rsid w:val="00CD09A7"/>
    <w:rsid w:val="00CD12FA"/>
    <w:rsid w:val="00CD184C"/>
    <w:rsid w:val="00CD3C72"/>
    <w:rsid w:val="00CD7A86"/>
    <w:rsid w:val="00CD7E83"/>
    <w:rsid w:val="00CE0226"/>
    <w:rsid w:val="00CE07D1"/>
    <w:rsid w:val="00CE1DA6"/>
    <w:rsid w:val="00CE32BF"/>
    <w:rsid w:val="00CE5193"/>
    <w:rsid w:val="00CE5629"/>
    <w:rsid w:val="00CE5FB0"/>
    <w:rsid w:val="00CE6662"/>
    <w:rsid w:val="00CE72F5"/>
    <w:rsid w:val="00CF0A77"/>
    <w:rsid w:val="00CF2B6C"/>
    <w:rsid w:val="00CF55CF"/>
    <w:rsid w:val="00CF60F9"/>
    <w:rsid w:val="00CF7742"/>
    <w:rsid w:val="00CF7BE4"/>
    <w:rsid w:val="00D01D2B"/>
    <w:rsid w:val="00D02950"/>
    <w:rsid w:val="00D02EE0"/>
    <w:rsid w:val="00D05625"/>
    <w:rsid w:val="00D05962"/>
    <w:rsid w:val="00D10991"/>
    <w:rsid w:val="00D12D62"/>
    <w:rsid w:val="00D15152"/>
    <w:rsid w:val="00D161BE"/>
    <w:rsid w:val="00D16223"/>
    <w:rsid w:val="00D166B2"/>
    <w:rsid w:val="00D16F3C"/>
    <w:rsid w:val="00D20E76"/>
    <w:rsid w:val="00D216E3"/>
    <w:rsid w:val="00D21A83"/>
    <w:rsid w:val="00D220D8"/>
    <w:rsid w:val="00D231AD"/>
    <w:rsid w:val="00D24086"/>
    <w:rsid w:val="00D24123"/>
    <w:rsid w:val="00D24D67"/>
    <w:rsid w:val="00D252C7"/>
    <w:rsid w:val="00D26F18"/>
    <w:rsid w:val="00D302C4"/>
    <w:rsid w:val="00D34887"/>
    <w:rsid w:val="00D358E4"/>
    <w:rsid w:val="00D361FD"/>
    <w:rsid w:val="00D36581"/>
    <w:rsid w:val="00D36F1B"/>
    <w:rsid w:val="00D375A2"/>
    <w:rsid w:val="00D37CC0"/>
    <w:rsid w:val="00D40244"/>
    <w:rsid w:val="00D41308"/>
    <w:rsid w:val="00D4178A"/>
    <w:rsid w:val="00D422B1"/>
    <w:rsid w:val="00D423A2"/>
    <w:rsid w:val="00D42565"/>
    <w:rsid w:val="00D42CB2"/>
    <w:rsid w:val="00D43661"/>
    <w:rsid w:val="00D43D61"/>
    <w:rsid w:val="00D44204"/>
    <w:rsid w:val="00D44E26"/>
    <w:rsid w:val="00D45292"/>
    <w:rsid w:val="00D455D6"/>
    <w:rsid w:val="00D46C3C"/>
    <w:rsid w:val="00D47A94"/>
    <w:rsid w:val="00D47DD6"/>
    <w:rsid w:val="00D47E0F"/>
    <w:rsid w:val="00D47EFA"/>
    <w:rsid w:val="00D50713"/>
    <w:rsid w:val="00D50A51"/>
    <w:rsid w:val="00D51480"/>
    <w:rsid w:val="00D520D8"/>
    <w:rsid w:val="00D52344"/>
    <w:rsid w:val="00D52A6D"/>
    <w:rsid w:val="00D52D09"/>
    <w:rsid w:val="00D54C42"/>
    <w:rsid w:val="00D5525A"/>
    <w:rsid w:val="00D55781"/>
    <w:rsid w:val="00D55BD8"/>
    <w:rsid w:val="00D57FE8"/>
    <w:rsid w:val="00D6057E"/>
    <w:rsid w:val="00D60B0B"/>
    <w:rsid w:val="00D61FDD"/>
    <w:rsid w:val="00D62A30"/>
    <w:rsid w:val="00D63AC2"/>
    <w:rsid w:val="00D64BE0"/>
    <w:rsid w:val="00D66038"/>
    <w:rsid w:val="00D67C2C"/>
    <w:rsid w:val="00D70286"/>
    <w:rsid w:val="00D70B82"/>
    <w:rsid w:val="00D7112D"/>
    <w:rsid w:val="00D72446"/>
    <w:rsid w:val="00D72B1D"/>
    <w:rsid w:val="00D7369D"/>
    <w:rsid w:val="00D7383B"/>
    <w:rsid w:val="00D74D6B"/>
    <w:rsid w:val="00D74DEB"/>
    <w:rsid w:val="00D752ED"/>
    <w:rsid w:val="00D75B26"/>
    <w:rsid w:val="00D75CEF"/>
    <w:rsid w:val="00D762D7"/>
    <w:rsid w:val="00D76834"/>
    <w:rsid w:val="00D768E0"/>
    <w:rsid w:val="00D7788A"/>
    <w:rsid w:val="00D77C81"/>
    <w:rsid w:val="00D80C82"/>
    <w:rsid w:val="00D81801"/>
    <w:rsid w:val="00D8568F"/>
    <w:rsid w:val="00D86675"/>
    <w:rsid w:val="00D87741"/>
    <w:rsid w:val="00D87A02"/>
    <w:rsid w:val="00D9012C"/>
    <w:rsid w:val="00D90D23"/>
    <w:rsid w:val="00D91B3F"/>
    <w:rsid w:val="00D91F3F"/>
    <w:rsid w:val="00D92711"/>
    <w:rsid w:val="00D92DDB"/>
    <w:rsid w:val="00D93290"/>
    <w:rsid w:val="00D9381B"/>
    <w:rsid w:val="00D93CAF"/>
    <w:rsid w:val="00D94F67"/>
    <w:rsid w:val="00D95C4F"/>
    <w:rsid w:val="00D965EF"/>
    <w:rsid w:val="00DA03E0"/>
    <w:rsid w:val="00DA0544"/>
    <w:rsid w:val="00DA0612"/>
    <w:rsid w:val="00DA0795"/>
    <w:rsid w:val="00DA147E"/>
    <w:rsid w:val="00DA1516"/>
    <w:rsid w:val="00DA231B"/>
    <w:rsid w:val="00DA2AC2"/>
    <w:rsid w:val="00DA37C5"/>
    <w:rsid w:val="00DA4941"/>
    <w:rsid w:val="00DA5246"/>
    <w:rsid w:val="00DA5E65"/>
    <w:rsid w:val="00DA6B9A"/>
    <w:rsid w:val="00DA7381"/>
    <w:rsid w:val="00DB094E"/>
    <w:rsid w:val="00DB2934"/>
    <w:rsid w:val="00DB29CC"/>
    <w:rsid w:val="00DB514F"/>
    <w:rsid w:val="00DB5EC7"/>
    <w:rsid w:val="00DB6161"/>
    <w:rsid w:val="00DB62F2"/>
    <w:rsid w:val="00DB6E36"/>
    <w:rsid w:val="00DC031E"/>
    <w:rsid w:val="00DC06A4"/>
    <w:rsid w:val="00DC0AC2"/>
    <w:rsid w:val="00DC14CB"/>
    <w:rsid w:val="00DC1B3A"/>
    <w:rsid w:val="00DC39FC"/>
    <w:rsid w:val="00DC4016"/>
    <w:rsid w:val="00DC40BC"/>
    <w:rsid w:val="00DC5597"/>
    <w:rsid w:val="00DC6023"/>
    <w:rsid w:val="00DC63B5"/>
    <w:rsid w:val="00DC6CD3"/>
    <w:rsid w:val="00DD02DD"/>
    <w:rsid w:val="00DD080C"/>
    <w:rsid w:val="00DD1553"/>
    <w:rsid w:val="00DD1D99"/>
    <w:rsid w:val="00DD2AF4"/>
    <w:rsid w:val="00DD41FA"/>
    <w:rsid w:val="00DD6021"/>
    <w:rsid w:val="00DD6BDC"/>
    <w:rsid w:val="00DE0061"/>
    <w:rsid w:val="00DE04AD"/>
    <w:rsid w:val="00DE05DD"/>
    <w:rsid w:val="00DE0B58"/>
    <w:rsid w:val="00DE0EEC"/>
    <w:rsid w:val="00DE2CC5"/>
    <w:rsid w:val="00DE3065"/>
    <w:rsid w:val="00DE3BA7"/>
    <w:rsid w:val="00DE4DA1"/>
    <w:rsid w:val="00DE5315"/>
    <w:rsid w:val="00DE5F1D"/>
    <w:rsid w:val="00DE6C46"/>
    <w:rsid w:val="00DF24E4"/>
    <w:rsid w:val="00DF2EE2"/>
    <w:rsid w:val="00DF405C"/>
    <w:rsid w:val="00DF4613"/>
    <w:rsid w:val="00DF4DDC"/>
    <w:rsid w:val="00DF51B8"/>
    <w:rsid w:val="00DF5254"/>
    <w:rsid w:val="00DF56F4"/>
    <w:rsid w:val="00DF645C"/>
    <w:rsid w:val="00DF6FC3"/>
    <w:rsid w:val="00DF72D8"/>
    <w:rsid w:val="00E000C6"/>
    <w:rsid w:val="00E0055C"/>
    <w:rsid w:val="00E00EC8"/>
    <w:rsid w:val="00E010CA"/>
    <w:rsid w:val="00E010FA"/>
    <w:rsid w:val="00E0139E"/>
    <w:rsid w:val="00E01C56"/>
    <w:rsid w:val="00E02524"/>
    <w:rsid w:val="00E03BB4"/>
    <w:rsid w:val="00E03FF3"/>
    <w:rsid w:val="00E045F0"/>
    <w:rsid w:val="00E07C84"/>
    <w:rsid w:val="00E12290"/>
    <w:rsid w:val="00E12F1D"/>
    <w:rsid w:val="00E1378A"/>
    <w:rsid w:val="00E13ED9"/>
    <w:rsid w:val="00E14270"/>
    <w:rsid w:val="00E14486"/>
    <w:rsid w:val="00E15C55"/>
    <w:rsid w:val="00E16408"/>
    <w:rsid w:val="00E17720"/>
    <w:rsid w:val="00E17CA3"/>
    <w:rsid w:val="00E20379"/>
    <w:rsid w:val="00E2043A"/>
    <w:rsid w:val="00E20894"/>
    <w:rsid w:val="00E20A34"/>
    <w:rsid w:val="00E20E5A"/>
    <w:rsid w:val="00E20F66"/>
    <w:rsid w:val="00E21C84"/>
    <w:rsid w:val="00E22A31"/>
    <w:rsid w:val="00E23D03"/>
    <w:rsid w:val="00E23D37"/>
    <w:rsid w:val="00E245AB"/>
    <w:rsid w:val="00E248AD"/>
    <w:rsid w:val="00E24F78"/>
    <w:rsid w:val="00E25C5C"/>
    <w:rsid w:val="00E25FCA"/>
    <w:rsid w:val="00E26C46"/>
    <w:rsid w:val="00E2764C"/>
    <w:rsid w:val="00E27880"/>
    <w:rsid w:val="00E27F2E"/>
    <w:rsid w:val="00E301D9"/>
    <w:rsid w:val="00E30F08"/>
    <w:rsid w:val="00E313CE"/>
    <w:rsid w:val="00E33E17"/>
    <w:rsid w:val="00E34184"/>
    <w:rsid w:val="00E34552"/>
    <w:rsid w:val="00E34EDF"/>
    <w:rsid w:val="00E34FE0"/>
    <w:rsid w:val="00E35D1B"/>
    <w:rsid w:val="00E372B8"/>
    <w:rsid w:val="00E37429"/>
    <w:rsid w:val="00E37D67"/>
    <w:rsid w:val="00E41A71"/>
    <w:rsid w:val="00E4386E"/>
    <w:rsid w:val="00E44D3D"/>
    <w:rsid w:val="00E451D2"/>
    <w:rsid w:val="00E45963"/>
    <w:rsid w:val="00E45CF7"/>
    <w:rsid w:val="00E4790A"/>
    <w:rsid w:val="00E50AFE"/>
    <w:rsid w:val="00E50B85"/>
    <w:rsid w:val="00E51DEE"/>
    <w:rsid w:val="00E51F9F"/>
    <w:rsid w:val="00E5323C"/>
    <w:rsid w:val="00E56386"/>
    <w:rsid w:val="00E56B7B"/>
    <w:rsid w:val="00E574F5"/>
    <w:rsid w:val="00E57F98"/>
    <w:rsid w:val="00E603C8"/>
    <w:rsid w:val="00E60756"/>
    <w:rsid w:val="00E60A37"/>
    <w:rsid w:val="00E61507"/>
    <w:rsid w:val="00E62D85"/>
    <w:rsid w:val="00E63662"/>
    <w:rsid w:val="00E63A4C"/>
    <w:rsid w:val="00E6428D"/>
    <w:rsid w:val="00E65011"/>
    <w:rsid w:val="00E65215"/>
    <w:rsid w:val="00E65592"/>
    <w:rsid w:val="00E66EA4"/>
    <w:rsid w:val="00E7036C"/>
    <w:rsid w:val="00E70407"/>
    <w:rsid w:val="00E70587"/>
    <w:rsid w:val="00E716AF"/>
    <w:rsid w:val="00E72669"/>
    <w:rsid w:val="00E73773"/>
    <w:rsid w:val="00E73EC3"/>
    <w:rsid w:val="00E7405E"/>
    <w:rsid w:val="00E74ADA"/>
    <w:rsid w:val="00E7503D"/>
    <w:rsid w:val="00E75208"/>
    <w:rsid w:val="00E75C89"/>
    <w:rsid w:val="00E75C92"/>
    <w:rsid w:val="00E766EE"/>
    <w:rsid w:val="00E767E7"/>
    <w:rsid w:val="00E771DC"/>
    <w:rsid w:val="00E80EBB"/>
    <w:rsid w:val="00E8224A"/>
    <w:rsid w:val="00E82272"/>
    <w:rsid w:val="00E84424"/>
    <w:rsid w:val="00E863A3"/>
    <w:rsid w:val="00E8772A"/>
    <w:rsid w:val="00E87AE9"/>
    <w:rsid w:val="00E90F6B"/>
    <w:rsid w:val="00E912DA"/>
    <w:rsid w:val="00E9159B"/>
    <w:rsid w:val="00E9173D"/>
    <w:rsid w:val="00E91CA9"/>
    <w:rsid w:val="00E924C0"/>
    <w:rsid w:val="00E92C27"/>
    <w:rsid w:val="00E92E48"/>
    <w:rsid w:val="00E93964"/>
    <w:rsid w:val="00E93B3A"/>
    <w:rsid w:val="00E943FF"/>
    <w:rsid w:val="00E94439"/>
    <w:rsid w:val="00E961CC"/>
    <w:rsid w:val="00E96B22"/>
    <w:rsid w:val="00EA0E3D"/>
    <w:rsid w:val="00EA1411"/>
    <w:rsid w:val="00EA1604"/>
    <w:rsid w:val="00EA178E"/>
    <w:rsid w:val="00EA216F"/>
    <w:rsid w:val="00EA49E5"/>
    <w:rsid w:val="00EA4A3D"/>
    <w:rsid w:val="00EA5A1E"/>
    <w:rsid w:val="00EA5C73"/>
    <w:rsid w:val="00EA5D64"/>
    <w:rsid w:val="00EA68EA"/>
    <w:rsid w:val="00EA6E8F"/>
    <w:rsid w:val="00EA71F6"/>
    <w:rsid w:val="00EA74F9"/>
    <w:rsid w:val="00EB0ABB"/>
    <w:rsid w:val="00EB1343"/>
    <w:rsid w:val="00EB17E3"/>
    <w:rsid w:val="00EB1C21"/>
    <w:rsid w:val="00EB22ED"/>
    <w:rsid w:val="00EB24E4"/>
    <w:rsid w:val="00EB2E75"/>
    <w:rsid w:val="00EB4EA8"/>
    <w:rsid w:val="00EC1784"/>
    <w:rsid w:val="00EC196E"/>
    <w:rsid w:val="00EC1BC2"/>
    <w:rsid w:val="00EC1EA1"/>
    <w:rsid w:val="00EC2EAD"/>
    <w:rsid w:val="00EC38A7"/>
    <w:rsid w:val="00EC3DCF"/>
    <w:rsid w:val="00EC403A"/>
    <w:rsid w:val="00EC65F9"/>
    <w:rsid w:val="00EC7095"/>
    <w:rsid w:val="00ED01FA"/>
    <w:rsid w:val="00ED0D7C"/>
    <w:rsid w:val="00ED1F31"/>
    <w:rsid w:val="00ED2182"/>
    <w:rsid w:val="00ED2AFA"/>
    <w:rsid w:val="00ED44BE"/>
    <w:rsid w:val="00ED5296"/>
    <w:rsid w:val="00ED6707"/>
    <w:rsid w:val="00EE0612"/>
    <w:rsid w:val="00EE093F"/>
    <w:rsid w:val="00EE0C24"/>
    <w:rsid w:val="00EE1807"/>
    <w:rsid w:val="00EE1AA8"/>
    <w:rsid w:val="00EE2ECC"/>
    <w:rsid w:val="00EE444D"/>
    <w:rsid w:val="00EE4660"/>
    <w:rsid w:val="00EE4810"/>
    <w:rsid w:val="00EE6152"/>
    <w:rsid w:val="00EE6224"/>
    <w:rsid w:val="00EE6FA1"/>
    <w:rsid w:val="00EF0894"/>
    <w:rsid w:val="00EF0BC6"/>
    <w:rsid w:val="00EF12E6"/>
    <w:rsid w:val="00EF263C"/>
    <w:rsid w:val="00EF2D8B"/>
    <w:rsid w:val="00EF335D"/>
    <w:rsid w:val="00EF34DC"/>
    <w:rsid w:val="00EF3663"/>
    <w:rsid w:val="00EF4A0F"/>
    <w:rsid w:val="00EF60B2"/>
    <w:rsid w:val="00EF6C6B"/>
    <w:rsid w:val="00EF74EA"/>
    <w:rsid w:val="00EF77B5"/>
    <w:rsid w:val="00F000DA"/>
    <w:rsid w:val="00F01300"/>
    <w:rsid w:val="00F0367F"/>
    <w:rsid w:val="00F039DE"/>
    <w:rsid w:val="00F04D35"/>
    <w:rsid w:val="00F058D8"/>
    <w:rsid w:val="00F05A4A"/>
    <w:rsid w:val="00F05B95"/>
    <w:rsid w:val="00F072DC"/>
    <w:rsid w:val="00F07358"/>
    <w:rsid w:val="00F07E0F"/>
    <w:rsid w:val="00F10501"/>
    <w:rsid w:val="00F10ACB"/>
    <w:rsid w:val="00F10D2A"/>
    <w:rsid w:val="00F113DE"/>
    <w:rsid w:val="00F12C1C"/>
    <w:rsid w:val="00F139EC"/>
    <w:rsid w:val="00F14A34"/>
    <w:rsid w:val="00F151FA"/>
    <w:rsid w:val="00F17503"/>
    <w:rsid w:val="00F17579"/>
    <w:rsid w:val="00F17B5A"/>
    <w:rsid w:val="00F17FBD"/>
    <w:rsid w:val="00F207DB"/>
    <w:rsid w:val="00F229F4"/>
    <w:rsid w:val="00F23FEA"/>
    <w:rsid w:val="00F259C7"/>
    <w:rsid w:val="00F265AA"/>
    <w:rsid w:val="00F26749"/>
    <w:rsid w:val="00F27F25"/>
    <w:rsid w:val="00F27F47"/>
    <w:rsid w:val="00F30351"/>
    <w:rsid w:val="00F30BA5"/>
    <w:rsid w:val="00F31166"/>
    <w:rsid w:val="00F31EDC"/>
    <w:rsid w:val="00F332E4"/>
    <w:rsid w:val="00F33AC4"/>
    <w:rsid w:val="00F33C31"/>
    <w:rsid w:val="00F34405"/>
    <w:rsid w:val="00F40482"/>
    <w:rsid w:val="00F40ACA"/>
    <w:rsid w:val="00F415FC"/>
    <w:rsid w:val="00F4311A"/>
    <w:rsid w:val="00F43602"/>
    <w:rsid w:val="00F43BFB"/>
    <w:rsid w:val="00F4564D"/>
    <w:rsid w:val="00F462B3"/>
    <w:rsid w:val="00F47D7E"/>
    <w:rsid w:val="00F5069C"/>
    <w:rsid w:val="00F52B54"/>
    <w:rsid w:val="00F53CF9"/>
    <w:rsid w:val="00F541FE"/>
    <w:rsid w:val="00F5506F"/>
    <w:rsid w:val="00F553E0"/>
    <w:rsid w:val="00F55447"/>
    <w:rsid w:val="00F56184"/>
    <w:rsid w:val="00F5664F"/>
    <w:rsid w:val="00F57E2E"/>
    <w:rsid w:val="00F60022"/>
    <w:rsid w:val="00F608E2"/>
    <w:rsid w:val="00F6242D"/>
    <w:rsid w:val="00F62770"/>
    <w:rsid w:val="00F62BB0"/>
    <w:rsid w:val="00F633BE"/>
    <w:rsid w:val="00F63CDC"/>
    <w:rsid w:val="00F640B9"/>
    <w:rsid w:val="00F641F7"/>
    <w:rsid w:val="00F64C52"/>
    <w:rsid w:val="00F6513D"/>
    <w:rsid w:val="00F66684"/>
    <w:rsid w:val="00F666C4"/>
    <w:rsid w:val="00F66A43"/>
    <w:rsid w:val="00F66A92"/>
    <w:rsid w:val="00F67842"/>
    <w:rsid w:val="00F7349B"/>
    <w:rsid w:val="00F734CB"/>
    <w:rsid w:val="00F73C75"/>
    <w:rsid w:val="00F7400A"/>
    <w:rsid w:val="00F74D7D"/>
    <w:rsid w:val="00F75E6C"/>
    <w:rsid w:val="00F75F87"/>
    <w:rsid w:val="00F76AFC"/>
    <w:rsid w:val="00F76C31"/>
    <w:rsid w:val="00F770C2"/>
    <w:rsid w:val="00F77AD8"/>
    <w:rsid w:val="00F81776"/>
    <w:rsid w:val="00F8282B"/>
    <w:rsid w:val="00F82A51"/>
    <w:rsid w:val="00F82BB9"/>
    <w:rsid w:val="00F82EBA"/>
    <w:rsid w:val="00F832D4"/>
    <w:rsid w:val="00F833DB"/>
    <w:rsid w:val="00F835F4"/>
    <w:rsid w:val="00F83A33"/>
    <w:rsid w:val="00F83CC9"/>
    <w:rsid w:val="00F8463E"/>
    <w:rsid w:val="00F84F44"/>
    <w:rsid w:val="00F853D3"/>
    <w:rsid w:val="00F862F0"/>
    <w:rsid w:val="00F862FA"/>
    <w:rsid w:val="00F87648"/>
    <w:rsid w:val="00F90A20"/>
    <w:rsid w:val="00F90F18"/>
    <w:rsid w:val="00F91FFA"/>
    <w:rsid w:val="00F92476"/>
    <w:rsid w:val="00F92EA3"/>
    <w:rsid w:val="00F93394"/>
    <w:rsid w:val="00F93C50"/>
    <w:rsid w:val="00F940FA"/>
    <w:rsid w:val="00F95106"/>
    <w:rsid w:val="00F96570"/>
    <w:rsid w:val="00F97702"/>
    <w:rsid w:val="00FA03B0"/>
    <w:rsid w:val="00FA1A18"/>
    <w:rsid w:val="00FA281B"/>
    <w:rsid w:val="00FA2CDA"/>
    <w:rsid w:val="00FA3B21"/>
    <w:rsid w:val="00FA3DD7"/>
    <w:rsid w:val="00FA47C0"/>
    <w:rsid w:val="00FA55F4"/>
    <w:rsid w:val="00FA5B39"/>
    <w:rsid w:val="00FA66AB"/>
    <w:rsid w:val="00FA71FD"/>
    <w:rsid w:val="00FA740D"/>
    <w:rsid w:val="00FA7E97"/>
    <w:rsid w:val="00FB0273"/>
    <w:rsid w:val="00FB28DE"/>
    <w:rsid w:val="00FB44C9"/>
    <w:rsid w:val="00FB5DD1"/>
    <w:rsid w:val="00FB69EF"/>
    <w:rsid w:val="00FB7209"/>
    <w:rsid w:val="00FC021D"/>
    <w:rsid w:val="00FC1AC0"/>
    <w:rsid w:val="00FC285E"/>
    <w:rsid w:val="00FC2B5D"/>
    <w:rsid w:val="00FC3B9F"/>
    <w:rsid w:val="00FC601A"/>
    <w:rsid w:val="00FC63F8"/>
    <w:rsid w:val="00FC7F7A"/>
    <w:rsid w:val="00FD0113"/>
    <w:rsid w:val="00FD0667"/>
    <w:rsid w:val="00FD48DD"/>
    <w:rsid w:val="00FD5E64"/>
    <w:rsid w:val="00FD7443"/>
    <w:rsid w:val="00FE029B"/>
    <w:rsid w:val="00FE170A"/>
    <w:rsid w:val="00FE1C78"/>
    <w:rsid w:val="00FE3E60"/>
    <w:rsid w:val="00FE4210"/>
    <w:rsid w:val="00FE4854"/>
    <w:rsid w:val="00FE58BB"/>
    <w:rsid w:val="00FE5D66"/>
    <w:rsid w:val="00FE6038"/>
    <w:rsid w:val="00FE6ECA"/>
    <w:rsid w:val="00FE77D2"/>
    <w:rsid w:val="00FF021F"/>
    <w:rsid w:val="00FF0CD3"/>
    <w:rsid w:val="00FF1116"/>
    <w:rsid w:val="00FF1449"/>
    <w:rsid w:val="00FF2045"/>
    <w:rsid w:val="00FF25AD"/>
    <w:rsid w:val="00FF2E7A"/>
    <w:rsid w:val="00FF2F36"/>
    <w:rsid w:val="00FF3376"/>
    <w:rsid w:val="00FF358C"/>
    <w:rsid w:val="00FF38CA"/>
    <w:rsid w:val="00FF390E"/>
    <w:rsid w:val="00FF395F"/>
    <w:rsid w:val="00FF465C"/>
    <w:rsid w:val="00FF48ED"/>
    <w:rsid w:val="00FF507A"/>
    <w:rsid w:val="00FF74A8"/>
    <w:rsid w:val="00FF7963"/>
    <w:rsid w:val="03ED41D4"/>
    <w:rsid w:val="054B530C"/>
    <w:rsid w:val="063046C5"/>
    <w:rsid w:val="06FF9A3E"/>
    <w:rsid w:val="071B8F93"/>
    <w:rsid w:val="07C73DD1"/>
    <w:rsid w:val="088A7E96"/>
    <w:rsid w:val="08F8C963"/>
    <w:rsid w:val="0949A5E4"/>
    <w:rsid w:val="09908A09"/>
    <w:rsid w:val="09916725"/>
    <w:rsid w:val="09BE0114"/>
    <w:rsid w:val="0A6EF478"/>
    <w:rsid w:val="0AD617A2"/>
    <w:rsid w:val="0AF3003C"/>
    <w:rsid w:val="0B074AC0"/>
    <w:rsid w:val="0B48B86A"/>
    <w:rsid w:val="0BECF61A"/>
    <w:rsid w:val="0C5B5FF7"/>
    <w:rsid w:val="0C7D236B"/>
    <w:rsid w:val="0D0B1998"/>
    <w:rsid w:val="0D689755"/>
    <w:rsid w:val="0E894EF0"/>
    <w:rsid w:val="0EA8DE7F"/>
    <w:rsid w:val="0EFE6349"/>
    <w:rsid w:val="0FF4CCA8"/>
    <w:rsid w:val="1000D759"/>
    <w:rsid w:val="101BFBAB"/>
    <w:rsid w:val="106473AD"/>
    <w:rsid w:val="11553D83"/>
    <w:rsid w:val="11DEFC7A"/>
    <w:rsid w:val="12189E7C"/>
    <w:rsid w:val="129ECC8F"/>
    <w:rsid w:val="12C0ED24"/>
    <w:rsid w:val="12CF5A6F"/>
    <w:rsid w:val="13C01AFA"/>
    <w:rsid w:val="13CE7791"/>
    <w:rsid w:val="13CFC91B"/>
    <w:rsid w:val="13EEBBA8"/>
    <w:rsid w:val="140467B6"/>
    <w:rsid w:val="16675672"/>
    <w:rsid w:val="16E9B929"/>
    <w:rsid w:val="16ED2B9D"/>
    <w:rsid w:val="17038D75"/>
    <w:rsid w:val="17B0E4F8"/>
    <w:rsid w:val="180758E5"/>
    <w:rsid w:val="18B900C2"/>
    <w:rsid w:val="18C9C9BE"/>
    <w:rsid w:val="18D04172"/>
    <w:rsid w:val="18D738E9"/>
    <w:rsid w:val="196E72D4"/>
    <w:rsid w:val="19A2EC2C"/>
    <w:rsid w:val="19C076A5"/>
    <w:rsid w:val="1A1E2C2F"/>
    <w:rsid w:val="1A7C4E25"/>
    <w:rsid w:val="1ABD6C9D"/>
    <w:rsid w:val="1B7299EF"/>
    <w:rsid w:val="1BDA5222"/>
    <w:rsid w:val="1BED01F0"/>
    <w:rsid w:val="1C039C26"/>
    <w:rsid w:val="1C408319"/>
    <w:rsid w:val="1DA6F0F4"/>
    <w:rsid w:val="1E44F268"/>
    <w:rsid w:val="1F40DA65"/>
    <w:rsid w:val="1F9EB556"/>
    <w:rsid w:val="1FD9F278"/>
    <w:rsid w:val="1FE71D8C"/>
    <w:rsid w:val="1FF00791"/>
    <w:rsid w:val="203E85B4"/>
    <w:rsid w:val="20F1D071"/>
    <w:rsid w:val="2126A4FA"/>
    <w:rsid w:val="21779BE6"/>
    <w:rsid w:val="23D505D5"/>
    <w:rsid w:val="242F35BD"/>
    <w:rsid w:val="25F0EAC7"/>
    <w:rsid w:val="2658E131"/>
    <w:rsid w:val="2661CEDA"/>
    <w:rsid w:val="26838868"/>
    <w:rsid w:val="2773C2D8"/>
    <w:rsid w:val="27949BA6"/>
    <w:rsid w:val="27953057"/>
    <w:rsid w:val="2859CA1B"/>
    <w:rsid w:val="285B98D4"/>
    <w:rsid w:val="29DFE1E2"/>
    <w:rsid w:val="2A3F8534"/>
    <w:rsid w:val="2A794B53"/>
    <w:rsid w:val="2AF3A5C9"/>
    <w:rsid w:val="2B165DF1"/>
    <w:rsid w:val="2BB630FD"/>
    <w:rsid w:val="2C4B3B5D"/>
    <w:rsid w:val="2C4D2425"/>
    <w:rsid w:val="2C4F87A5"/>
    <w:rsid w:val="2D0F4C8C"/>
    <w:rsid w:val="2DA5F340"/>
    <w:rsid w:val="2DB65368"/>
    <w:rsid w:val="2EE1E026"/>
    <w:rsid w:val="2F44F38F"/>
    <w:rsid w:val="304330C9"/>
    <w:rsid w:val="30619459"/>
    <w:rsid w:val="30821638"/>
    <w:rsid w:val="30A840C3"/>
    <w:rsid w:val="318615AF"/>
    <w:rsid w:val="32A4F9CF"/>
    <w:rsid w:val="32DAAB58"/>
    <w:rsid w:val="33269DC4"/>
    <w:rsid w:val="33A1FF93"/>
    <w:rsid w:val="33A6C477"/>
    <w:rsid w:val="3436EF99"/>
    <w:rsid w:val="3462FCA3"/>
    <w:rsid w:val="352D6D48"/>
    <w:rsid w:val="356CEDFD"/>
    <w:rsid w:val="35EEBF68"/>
    <w:rsid w:val="36003AE5"/>
    <w:rsid w:val="36A20AE0"/>
    <w:rsid w:val="36B7AAF9"/>
    <w:rsid w:val="38A46003"/>
    <w:rsid w:val="38AB7A71"/>
    <w:rsid w:val="38E9E30C"/>
    <w:rsid w:val="3B5B9952"/>
    <w:rsid w:val="3C591AFD"/>
    <w:rsid w:val="3D09A686"/>
    <w:rsid w:val="3D14B93A"/>
    <w:rsid w:val="3E0235B3"/>
    <w:rsid w:val="3F19A286"/>
    <w:rsid w:val="3F479C6A"/>
    <w:rsid w:val="3FE126CE"/>
    <w:rsid w:val="40374312"/>
    <w:rsid w:val="40490EA1"/>
    <w:rsid w:val="404ED25B"/>
    <w:rsid w:val="412C6D62"/>
    <w:rsid w:val="415AB3E3"/>
    <w:rsid w:val="417F09EF"/>
    <w:rsid w:val="41B40D81"/>
    <w:rsid w:val="420399DF"/>
    <w:rsid w:val="42183F0A"/>
    <w:rsid w:val="42C365E1"/>
    <w:rsid w:val="42FD13E9"/>
    <w:rsid w:val="431DC737"/>
    <w:rsid w:val="431E0576"/>
    <w:rsid w:val="439D34D3"/>
    <w:rsid w:val="43E32D4F"/>
    <w:rsid w:val="44209F85"/>
    <w:rsid w:val="44789380"/>
    <w:rsid w:val="4518A4C0"/>
    <w:rsid w:val="46577A16"/>
    <w:rsid w:val="47BF8B64"/>
    <w:rsid w:val="490B1132"/>
    <w:rsid w:val="49255BBE"/>
    <w:rsid w:val="49441A8D"/>
    <w:rsid w:val="495D6B87"/>
    <w:rsid w:val="49C5F8C9"/>
    <w:rsid w:val="49EE1410"/>
    <w:rsid w:val="4A0AB098"/>
    <w:rsid w:val="4AC22EE9"/>
    <w:rsid w:val="4AFAAADE"/>
    <w:rsid w:val="4AFE60CF"/>
    <w:rsid w:val="4B5F8AD0"/>
    <w:rsid w:val="4C0D4C25"/>
    <w:rsid w:val="4C9E3A7D"/>
    <w:rsid w:val="4E5A16D2"/>
    <w:rsid w:val="4EA73B7E"/>
    <w:rsid w:val="514AE242"/>
    <w:rsid w:val="518FD2A1"/>
    <w:rsid w:val="51B5842F"/>
    <w:rsid w:val="52156F04"/>
    <w:rsid w:val="524DB5F9"/>
    <w:rsid w:val="5301AC59"/>
    <w:rsid w:val="53124B4B"/>
    <w:rsid w:val="5329DDDF"/>
    <w:rsid w:val="535A317B"/>
    <w:rsid w:val="545B112A"/>
    <w:rsid w:val="546F38FC"/>
    <w:rsid w:val="559BBBCA"/>
    <w:rsid w:val="55DCF652"/>
    <w:rsid w:val="5633C3E4"/>
    <w:rsid w:val="568DC241"/>
    <w:rsid w:val="573E599B"/>
    <w:rsid w:val="58B21B82"/>
    <w:rsid w:val="59D99193"/>
    <w:rsid w:val="59F48EF3"/>
    <w:rsid w:val="5B8E3DF1"/>
    <w:rsid w:val="5BA1235E"/>
    <w:rsid w:val="5BBEB478"/>
    <w:rsid w:val="5BEB1497"/>
    <w:rsid w:val="5BF4A212"/>
    <w:rsid w:val="5C8219F1"/>
    <w:rsid w:val="5C986EBE"/>
    <w:rsid w:val="5D4565DC"/>
    <w:rsid w:val="5D846221"/>
    <w:rsid w:val="5D975D33"/>
    <w:rsid w:val="5E090B5D"/>
    <w:rsid w:val="5E410B8A"/>
    <w:rsid w:val="5F05D6AC"/>
    <w:rsid w:val="5F3519DA"/>
    <w:rsid w:val="60EBF3FC"/>
    <w:rsid w:val="6140DB41"/>
    <w:rsid w:val="61D6F16A"/>
    <w:rsid w:val="61E4C918"/>
    <w:rsid w:val="620285FB"/>
    <w:rsid w:val="62056EAD"/>
    <w:rsid w:val="621032C1"/>
    <w:rsid w:val="629A280D"/>
    <w:rsid w:val="63759BE6"/>
    <w:rsid w:val="63985A5E"/>
    <w:rsid w:val="63BDA61E"/>
    <w:rsid w:val="63CBD661"/>
    <w:rsid w:val="6439A7B1"/>
    <w:rsid w:val="646CEFBF"/>
    <w:rsid w:val="660F9AB7"/>
    <w:rsid w:val="670BD482"/>
    <w:rsid w:val="6725EA60"/>
    <w:rsid w:val="6747B0BE"/>
    <w:rsid w:val="6850645B"/>
    <w:rsid w:val="691E4219"/>
    <w:rsid w:val="6951A4C9"/>
    <w:rsid w:val="69614A15"/>
    <w:rsid w:val="69BDEDCF"/>
    <w:rsid w:val="6A44D731"/>
    <w:rsid w:val="6AAD9E02"/>
    <w:rsid w:val="6AC3BFBF"/>
    <w:rsid w:val="6C1D02DE"/>
    <w:rsid w:val="6CB31E71"/>
    <w:rsid w:val="6DA4B099"/>
    <w:rsid w:val="6F6D03CA"/>
    <w:rsid w:val="6FE9BC27"/>
    <w:rsid w:val="703F0C15"/>
    <w:rsid w:val="7210DF3C"/>
    <w:rsid w:val="737AD607"/>
    <w:rsid w:val="739C793E"/>
    <w:rsid w:val="74A6F4F3"/>
    <w:rsid w:val="74B20BBA"/>
    <w:rsid w:val="74BA017B"/>
    <w:rsid w:val="75122E3A"/>
    <w:rsid w:val="753C81B9"/>
    <w:rsid w:val="759692F9"/>
    <w:rsid w:val="762D63E5"/>
    <w:rsid w:val="7677286E"/>
    <w:rsid w:val="76EE6C82"/>
    <w:rsid w:val="770218FE"/>
    <w:rsid w:val="782B7EBF"/>
    <w:rsid w:val="783956C6"/>
    <w:rsid w:val="788F65C5"/>
    <w:rsid w:val="7991A6F0"/>
    <w:rsid w:val="79A64A20"/>
    <w:rsid w:val="7A909858"/>
    <w:rsid w:val="7B072B5B"/>
    <w:rsid w:val="7B810979"/>
    <w:rsid w:val="7B830803"/>
    <w:rsid w:val="7BB183BC"/>
    <w:rsid w:val="7C272202"/>
    <w:rsid w:val="7D7EB406"/>
    <w:rsid w:val="7DB6D0DD"/>
    <w:rsid w:val="7E5D85A2"/>
    <w:rsid w:val="7E941CB9"/>
    <w:rsid w:val="7ED84718"/>
    <w:rsid w:val="7F79F833"/>
    <w:rsid w:val="7FD69A16"/>
    <w:rsid w:val="7FE730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 w:type="paragraph" w:styleId="Asuntodelcomentario">
    <w:name w:val="annotation subject"/>
    <w:basedOn w:val="Textocomentario"/>
    <w:next w:val="Textocomentario"/>
    <w:link w:val="AsuntodelcomentarioCar"/>
    <w:uiPriority w:val="99"/>
    <w:semiHidden/>
    <w:unhideWhenUsed/>
    <w:rsid w:val="00387F6E"/>
    <w:rPr>
      <w:b/>
      <w:bCs/>
    </w:rPr>
  </w:style>
  <w:style w:type="character" w:customStyle="1" w:styleId="AsuntodelcomentarioCar">
    <w:name w:val="Asunto del comentario Car"/>
    <w:basedOn w:val="TextocomentarioCar"/>
    <w:link w:val="Asuntodelcomentario"/>
    <w:uiPriority w:val="99"/>
    <w:semiHidden/>
    <w:rsid w:val="00387F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630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uquejuanchi@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84F635B-1555-4D02-84D8-54CD9FF88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231</TotalTime>
  <Pages>17</Pages>
  <Words>5895</Words>
  <Characters>32426</Characters>
  <Application>Microsoft Office Word</Application>
  <DocSecurity>0</DocSecurity>
  <Lines>270</Lines>
  <Paragraphs>76</Paragraphs>
  <ScaleCrop>false</ScaleCrop>
  <Company/>
  <LinksUpToDate>false</LinksUpToDate>
  <CharactersWithSpaces>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2460</cp:revision>
  <cp:lastPrinted>2023-01-10T21:18:00Z</cp:lastPrinted>
  <dcterms:created xsi:type="dcterms:W3CDTF">2026-05-25T13:41:00Z</dcterms:created>
  <dcterms:modified xsi:type="dcterms:W3CDTF">2026-11-03T23:44:00Z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