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19C17" w14:textId="5D9467CE" w:rsidR="007F5721" w:rsidRPr="007F5721" w:rsidRDefault="007F5721" w:rsidP="007F5721">
      <w:pPr>
        <w:jc w:val="both"/>
        <w:rPr>
          <w:rFonts w:ascii="Verdana" w:hAnsi="Verdana" w:cs="Arial"/>
          <w:b/>
          <w:bCs/>
          <w:color w:val="000000"/>
          <w:sz w:val="20"/>
          <w:szCs w:val="20"/>
          <w:lang w:val="es-ES" w:eastAsia="es-ES"/>
        </w:rPr>
      </w:pPr>
      <w:bookmarkStart w:id="0" w:name="_Hlk143780582"/>
      <w:r w:rsidRPr="007F5721">
        <w:rPr>
          <w:rFonts w:ascii="Verdana" w:hAnsi="Verdana" w:cs="Arial"/>
          <w:b/>
          <w:bCs/>
          <w:color w:val="000000"/>
          <w:sz w:val="20"/>
          <w:szCs w:val="20"/>
          <w:lang w:val="es-ES" w:eastAsia="es-ES"/>
        </w:rPr>
        <w:t xml:space="preserve">GARANTÍA ÚNICA DE CUMPLIMIENTO – Definición – Fundamento normativo </w:t>
      </w:r>
    </w:p>
    <w:p w14:paraId="29F741FF" w14:textId="05F13440" w:rsidR="00050CCC" w:rsidRPr="00BB6175" w:rsidRDefault="009C5525" w:rsidP="00BB6175">
      <w:pPr>
        <w:spacing w:after="120" w:line="240" w:lineRule="auto"/>
        <w:jc w:val="both"/>
        <w:rPr>
          <w:rFonts w:ascii="Verdana" w:eastAsia="Times New Roman" w:hAnsi="Verdana" w:cs="Arial"/>
          <w:bCs/>
          <w:color w:val="000000"/>
          <w:sz w:val="20"/>
          <w:szCs w:val="20"/>
          <w:lang w:val="es-ES_tradnl" w:eastAsia="es-ES_tradnl"/>
        </w:rPr>
      </w:pPr>
      <w:r w:rsidRPr="00BB6175">
        <w:rPr>
          <w:rFonts w:ascii="Verdana" w:eastAsia="Times New Roman" w:hAnsi="Verdana" w:cs="Arial"/>
          <w:bCs/>
          <w:color w:val="000000"/>
          <w:sz w:val="20"/>
          <w:szCs w:val="20"/>
          <w:lang w:val="es-ES_tradnl" w:eastAsia="es-ES_tradnl"/>
        </w:rPr>
        <w:t xml:space="preserve">[…] </w:t>
      </w:r>
      <w:r w:rsidR="00050CCC" w:rsidRPr="00BB6175">
        <w:rPr>
          <w:rFonts w:ascii="Verdana" w:eastAsia="Times New Roman" w:hAnsi="Verdana" w:cs="Arial"/>
          <w:bCs/>
          <w:color w:val="000000"/>
          <w:sz w:val="20"/>
          <w:szCs w:val="20"/>
          <w:lang w:val="es-ES_tradnl" w:eastAsia="es-ES_tradnl"/>
        </w:rPr>
        <w:t>según lo dispuesto en el artículo 2.2.1.2.3.1.7. del Decreto 1082 de 201</w:t>
      </w:r>
      <w:r w:rsidR="00BB6175" w:rsidRPr="00BB6175">
        <w:rPr>
          <w:rFonts w:ascii="Verdana" w:eastAsia="Times New Roman" w:hAnsi="Verdana" w:cs="Arial"/>
          <w:bCs/>
          <w:color w:val="000000"/>
          <w:sz w:val="20"/>
          <w:szCs w:val="20"/>
          <w:lang w:val="es-ES_tradnl" w:eastAsia="es-ES_tradnl"/>
        </w:rPr>
        <w:t>5</w:t>
      </w:r>
      <w:r w:rsidR="00050CCC" w:rsidRPr="00BB6175">
        <w:rPr>
          <w:rFonts w:ascii="Verdana" w:eastAsia="Times New Roman" w:hAnsi="Verdana" w:cs="Arial"/>
          <w:bCs/>
          <w:color w:val="000000"/>
          <w:sz w:val="20"/>
          <w:szCs w:val="20"/>
          <w:lang w:val="es-ES_tradnl" w:eastAsia="es-ES_tradnl"/>
        </w:rPr>
        <w:t>, la garantía única de cumplimiento cuenta con varios amparos, que incluyen el de buen manejo y correcta inversión del anticipo; la devolución del pago anticipado; el amparo de cumplimiento del contrato; la garantía de pago de salarios, prestaciones sociales legales e indemnizaciones laborales, entre otros.</w:t>
      </w:r>
    </w:p>
    <w:p w14:paraId="0DAB98E0" w14:textId="77777777" w:rsidR="00050CCC" w:rsidRPr="00BB6175" w:rsidRDefault="00050CCC" w:rsidP="00BB6175">
      <w:pPr>
        <w:spacing w:after="120" w:line="240" w:lineRule="auto"/>
        <w:jc w:val="both"/>
        <w:rPr>
          <w:rFonts w:ascii="Verdana" w:eastAsia="Times New Roman" w:hAnsi="Verdana" w:cs="Arial"/>
          <w:color w:val="000000"/>
          <w:sz w:val="20"/>
          <w:szCs w:val="20"/>
          <w:lang w:val="es-ES" w:eastAsia="es-ES"/>
        </w:rPr>
      </w:pPr>
      <w:r w:rsidRPr="00BB6175">
        <w:rPr>
          <w:rFonts w:ascii="Verdana" w:eastAsia="Times New Roman" w:hAnsi="Verdana" w:cs="Arial"/>
          <w:color w:val="000000" w:themeColor="text1"/>
          <w:sz w:val="20"/>
          <w:szCs w:val="20"/>
          <w:lang w:val="es-ES" w:eastAsia="es-ES"/>
        </w:rPr>
        <w:t xml:space="preserve">Por tanto, el amparo de cumplimiento es uno de los múltiples amparos que conforman la garantía única de cumplimiento. Al tenor de lo preceptuado en el artículo 2.2.1.2.3.1.7. </w:t>
      </w:r>
      <w:proofErr w:type="spellStart"/>
      <w:r w:rsidRPr="00BB6175">
        <w:rPr>
          <w:rFonts w:ascii="Verdana" w:eastAsia="Times New Roman" w:hAnsi="Verdana" w:cs="Arial"/>
          <w:i/>
          <w:iCs/>
          <w:color w:val="000000" w:themeColor="text1"/>
          <w:sz w:val="20"/>
          <w:szCs w:val="20"/>
          <w:lang w:val="es-ES" w:eastAsia="es-ES"/>
        </w:rPr>
        <w:t>ibídem</w:t>
      </w:r>
      <w:proofErr w:type="spellEnd"/>
      <w:r w:rsidRPr="00BB6175">
        <w:rPr>
          <w:rFonts w:ascii="Verdana" w:eastAsia="Times New Roman" w:hAnsi="Verdana" w:cs="Arial"/>
          <w:color w:val="000000" w:themeColor="text1"/>
          <w:sz w:val="20"/>
          <w:szCs w:val="20"/>
          <w:lang w:val="es-ES" w:eastAsia="es-ES"/>
        </w:rPr>
        <w:t xml:space="preserve"> la garantía de cumplimiento debe proteger a la entidad de los perjuicios que se puedan ocasionar con el incumplimiento, total o parcial del contrato, del cumplimiento tardío o defectuoso, de los daños por entregas parciales de la obra, cuando el contrato no prevé entregas parciales, y del valor de las multas y de la cláusula penal pecuniaria. De lo anterior se advierte que el amparo de cumplimiento tiene como objeto proteger a la entidad de los riesgos que puedan concretarse durante la etapa de ejecución del contrato y, más claramente, aquellos derivados de incumplimientos o conductas imputables al contratista. </w:t>
      </w:r>
    </w:p>
    <w:p w14:paraId="0B14768F" w14:textId="77777777" w:rsidR="00050CCC" w:rsidRPr="00BB6175" w:rsidRDefault="00050CCC" w:rsidP="00BB6175">
      <w:pPr>
        <w:spacing w:after="120" w:line="240" w:lineRule="auto"/>
        <w:jc w:val="both"/>
        <w:rPr>
          <w:rFonts w:ascii="Verdana" w:eastAsia="Times New Roman" w:hAnsi="Verdana" w:cs="Arial"/>
          <w:bCs/>
          <w:color w:val="000000"/>
          <w:sz w:val="20"/>
          <w:szCs w:val="20"/>
          <w:lang w:val="es-ES_tradnl" w:eastAsia="es-ES_tradnl"/>
        </w:rPr>
      </w:pPr>
      <w:r w:rsidRPr="00BB6175">
        <w:rPr>
          <w:rFonts w:ascii="Verdana" w:eastAsia="Times New Roman" w:hAnsi="Verdana" w:cs="Arial"/>
          <w:bCs/>
          <w:color w:val="000000"/>
          <w:sz w:val="20"/>
          <w:szCs w:val="20"/>
          <w:lang w:val="es-ES_tradnl" w:eastAsia="es-ES_tradnl"/>
        </w:rPr>
        <w:t xml:space="preserve">De otra parte, en relación con la vigencia de las garantías, el artículo 2.2.1.2.3.1.12. del citado Decreto señala expresamente que </w:t>
      </w:r>
      <w:r w:rsidRPr="00BB6175">
        <w:rPr>
          <w:rFonts w:ascii="Verdana" w:eastAsia="Times New Roman" w:hAnsi="Verdana" w:cs="Arial"/>
          <w:bCs/>
          <w:i/>
          <w:iCs/>
          <w:color w:val="000000"/>
          <w:sz w:val="20"/>
          <w:szCs w:val="20"/>
          <w:lang w:val="es-ES_tradnl" w:eastAsia="es-ES_tradnl"/>
        </w:rPr>
        <w:t>“[l]a garantía de cumplimiento del contrato debe tener una vigencia mínima hasta la liquidación del contrato”.</w:t>
      </w:r>
      <w:r w:rsidRPr="00BB6175">
        <w:rPr>
          <w:rFonts w:ascii="Verdana" w:eastAsia="Times New Roman" w:hAnsi="Verdana" w:cs="Arial"/>
          <w:bCs/>
          <w:color w:val="000000"/>
          <w:sz w:val="20"/>
          <w:szCs w:val="20"/>
          <w:lang w:val="es-ES_tradnl" w:eastAsia="es-ES_tradnl"/>
        </w:rPr>
        <w:t xml:space="preserve"> </w:t>
      </w:r>
    </w:p>
    <w:p w14:paraId="559E4EC2" w14:textId="19E90A6C" w:rsidR="007F5721" w:rsidRDefault="007F5721" w:rsidP="007F5721">
      <w:pPr>
        <w:jc w:val="both"/>
        <w:rPr>
          <w:rFonts w:ascii="Verdana" w:hAnsi="Verdana" w:cs="Arial"/>
          <w:b/>
          <w:bCs/>
          <w:color w:val="000000"/>
          <w:sz w:val="20"/>
          <w:szCs w:val="20"/>
          <w:lang w:val="es-ES" w:eastAsia="es-ES"/>
        </w:rPr>
      </w:pPr>
      <w:r w:rsidRPr="007F5721">
        <w:rPr>
          <w:rFonts w:ascii="Verdana" w:hAnsi="Verdana" w:cs="Arial"/>
          <w:b/>
          <w:bCs/>
          <w:color w:val="000000"/>
          <w:sz w:val="20"/>
          <w:szCs w:val="20"/>
          <w:lang w:val="es-ES" w:eastAsia="es-ES"/>
        </w:rPr>
        <w:t>GARANTÍA ÚNICA DE CUMPLIMIENTO – Vigencia – Liquidación del contrato – Falta de ampliación</w:t>
      </w:r>
    </w:p>
    <w:p w14:paraId="5919AD54" w14:textId="3A9BA941" w:rsidR="00BA4B0F" w:rsidRDefault="00BA4B0F" w:rsidP="00BA4B0F">
      <w:pPr>
        <w:spacing w:line="240" w:lineRule="auto"/>
        <w:jc w:val="both"/>
        <w:rPr>
          <w:rFonts w:ascii="Verdana" w:eastAsia="Calibri" w:hAnsi="Verdana" w:cs="Arial"/>
          <w:sz w:val="20"/>
          <w:szCs w:val="20"/>
          <w:lang w:val="es-ES"/>
        </w:rPr>
      </w:pPr>
      <w:r w:rsidRPr="00BA4B0F">
        <w:rPr>
          <w:rFonts w:ascii="Verdana" w:eastAsia="Calibri" w:hAnsi="Verdana" w:cs="Arial"/>
          <w:sz w:val="20"/>
          <w:szCs w:val="20"/>
          <w:lang w:val="es-ES"/>
        </w:rPr>
        <w:t xml:space="preserve">La liquidación del contrato estatal es el momento en el cual, una vez concluido el contrato las partes efectúan el ajuste de cuentas para determinar el balance económico, técnico y jurídico del negocio. Así lo manifestó el Consejo de Estado en la sentencia del 20 de octubre de 2014, en la que consideró, por un lado, que </w:t>
      </w:r>
      <w:r w:rsidRPr="00BA4B0F">
        <w:rPr>
          <w:rFonts w:ascii="Verdana" w:eastAsia="Calibri" w:hAnsi="Verdana" w:cs="Arial"/>
          <w:i/>
          <w:sz w:val="20"/>
          <w:szCs w:val="20"/>
          <w:lang w:val="es-ES"/>
        </w:rPr>
        <w:t>liquidar</w:t>
      </w:r>
      <w:r w:rsidRPr="00BA4B0F">
        <w:rPr>
          <w:rFonts w:ascii="Verdana" w:eastAsia="Calibri" w:hAnsi="Verdana" w:cs="Arial"/>
          <w:sz w:val="20"/>
          <w:szCs w:val="20"/>
          <w:lang w:val="es-ES"/>
        </w:rPr>
        <w:t xml:space="preserve"> supone un ajuste en relación con las cuentas y el estado de cumplimiento del contrato estatal y, por otro, que la </w:t>
      </w:r>
      <w:r w:rsidRPr="00BA4B0F">
        <w:rPr>
          <w:rFonts w:ascii="Verdana" w:eastAsia="Calibri" w:hAnsi="Verdana" w:cs="Arial"/>
          <w:i/>
          <w:sz w:val="20"/>
          <w:szCs w:val="20"/>
          <w:lang w:val="es-ES"/>
        </w:rPr>
        <w:t>liquidación</w:t>
      </w:r>
      <w:r w:rsidRPr="00BA4B0F">
        <w:rPr>
          <w:rFonts w:ascii="Verdana" w:eastAsia="Calibri" w:hAnsi="Verdana" w:cs="Arial"/>
          <w:sz w:val="20"/>
          <w:szCs w:val="20"/>
          <w:lang w:val="es-ES"/>
        </w:rPr>
        <w:t xml:space="preserve"> debe incluir el análisis de las condiciones de calidad y oportunidad en la entrega de los bienes, obras o servicios, así como el balance económico y el comportamiento financiero del negocio</w:t>
      </w:r>
      <w:r w:rsidRPr="00BA4B0F">
        <w:rPr>
          <w:rFonts w:ascii="Verdana" w:eastAsia="Calibri" w:hAnsi="Verdana" w:cs="Arial"/>
          <w:sz w:val="20"/>
          <w:szCs w:val="20"/>
          <w:lang w:val="es-ES"/>
        </w:rPr>
        <w:t>.</w:t>
      </w:r>
    </w:p>
    <w:p w14:paraId="5C50F3BA" w14:textId="279CB8CC" w:rsidR="00BA4B0F" w:rsidRPr="002E1D1C" w:rsidRDefault="00BA4B0F" w:rsidP="002E1D1C">
      <w:pPr>
        <w:spacing w:line="240" w:lineRule="auto"/>
        <w:jc w:val="both"/>
        <w:rPr>
          <w:rFonts w:ascii="Verdana" w:eastAsia="Calibri" w:hAnsi="Verdana" w:cs="Arial"/>
          <w:sz w:val="20"/>
          <w:szCs w:val="20"/>
          <w:lang w:val="es-ES"/>
        </w:rPr>
      </w:pPr>
      <w:r w:rsidRPr="002E1D1C">
        <w:rPr>
          <w:rFonts w:ascii="Verdana" w:eastAsia="Calibri" w:hAnsi="Verdana" w:cs="Arial"/>
          <w:sz w:val="20"/>
          <w:szCs w:val="20"/>
          <w:lang w:val="es-ES"/>
        </w:rPr>
        <w:t>[…]</w:t>
      </w:r>
    </w:p>
    <w:p w14:paraId="5C25052E" w14:textId="77777777" w:rsidR="002E1D1C" w:rsidRPr="002E1D1C" w:rsidRDefault="002E1D1C" w:rsidP="002E1D1C">
      <w:pPr>
        <w:spacing w:after="120" w:line="240" w:lineRule="auto"/>
        <w:jc w:val="both"/>
        <w:rPr>
          <w:rFonts w:ascii="Verdana" w:hAnsi="Verdana"/>
          <w:color w:val="000000" w:themeColor="text1"/>
          <w:sz w:val="20"/>
          <w:szCs w:val="20"/>
        </w:rPr>
      </w:pPr>
      <w:r w:rsidRPr="002E1D1C">
        <w:rPr>
          <w:rFonts w:ascii="Verdana" w:eastAsia="Calibri" w:hAnsi="Verdana" w:cs="Arial"/>
          <w:sz w:val="20"/>
          <w:szCs w:val="20"/>
          <w:lang w:val="es-ES"/>
        </w:rPr>
        <w:t xml:space="preserve">[…] </w:t>
      </w:r>
      <w:r w:rsidRPr="002E1D1C">
        <w:rPr>
          <w:rFonts w:ascii="Verdana" w:hAnsi="Verdana"/>
          <w:color w:val="000000" w:themeColor="text1"/>
          <w:sz w:val="20"/>
          <w:szCs w:val="20"/>
        </w:rPr>
        <w:t>la garantía de cumplimiento debe permanecer vigente hasta la liquidación del contrato y la entidad estatal tiene el deber de verificar y exigir el cumplimiento de esta obligación. Sin embargo, la falta de ampliación de la garantía no constituye, por sí sola, un impedimento legal automático para efectuar la liquidación bilateral, dado que dicha consecuencia no se encuentra expresamente prevista en la normativa aplicable. Por tanto, la entidad deberá determinar la procedencia de la liquidación y las medidas que correspondan atendiendo a las particularidades del contrato, las obligaciones pendientes y los riesgos jurídicos y contractuales identificados.</w:t>
      </w:r>
    </w:p>
    <w:p w14:paraId="556F2048" w14:textId="134497CC" w:rsidR="002E1D1C" w:rsidRDefault="002E1D1C" w:rsidP="00BA4B0F">
      <w:pPr>
        <w:spacing w:line="240" w:lineRule="auto"/>
        <w:jc w:val="both"/>
        <w:rPr>
          <w:rFonts w:ascii="Verdana" w:eastAsia="Calibri" w:hAnsi="Verdana" w:cs="Arial"/>
          <w:sz w:val="20"/>
          <w:szCs w:val="20"/>
          <w:lang w:val="es-ES"/>
        </w:rPr>
      </w:pPr>
    </w:p>
    <w:p w14:paraId="7D344732" w14:textId="77777777" w:rsidR="00BA4B0F" w:rsidRPr="00BA4B0F" w:rsidRDefault="00BA4B0F" w:rsidP="00BA4B0F">
      <w:pPr>
        <w:spacing w:line="240" w:lineRule="auto"/>
        <w:jc w:val="both"/>
        <w:rPr>
          <w:rFonts w:ascii="Verdana" w:eastAsia="Verdana" w:hAnsi="Verdana" w:cs="Verdana"/>
          <w:b/>
          <w:bCs/>
          <w:sz w:val="20"/>
          <w:szCs w:val="20"/>
        </w:rPr>
      </w:pPr>
    </w:p>
    <w:p w14:paraId="03813740" w14:textId="77777777" w:rsidR="0065717C" w:rsidRDefault="007F5721" w:rsidP="0065717C">
      <w:pPr>
        <w:pStyle w:val="Sinespaciado"/>
        <w:jc w:val="both"/>
        <w:rPr>
          <w:rFonts w:ascii="Verdana" w:hAnsi="Verdana" w:cs="Times New Roman"/>
        </w:rPr>
      </w:pPr>
      <w:r>
        <w:rPr>
          <w:rFonts w:ascii="Verdana" w:eastAsia="Verdana" w:hAnsi="Verdana" w:cs="Verdana"/>
        </w:rPr>
        <w:br w:type="page"/>
      </w:r>
      <w:r w:rsidR="00150747" w:rsidRPr="0065717C">
        <w:rPr>
          <w:rFonts w:ascii="Verdana" w:hAnsi="Verdana" w:cs="Times New Roman"/>
        </w:rPr>
        <w:lastRenderedPageBreak/>
        <w:drawing>
          <wp:anchor distT="0" distB="0" distL="114300" distR="114300" simplePos="0" relativeHeight="251659264" behindDoc="1" locked="0" layoutInCell="1" allowOverlap="1" wp14:anchorId="26E2DB27" wp14:editId="7D45A0BE">
            <wp:simplePos x="0" y="0"/>
            <wp:positionH relativeFrom="margin">
              <wp:align>right</wp:align>
            </wp:positionH>
            <wp:positionV relativeFrom="paragraph">
              <wp:posOffset>-17025</wp:posOffset>
            </wp:positionV>
            <wp:extent cx="2379887" cy="638355"/>
            <wp:effectExtent l="0" t="0" r="1905" b="9525"/>
            <wp:wrapNone/>
            <wp:docPr id="20166797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679798" name=""/>
                    <pic:cNvPicPr/>
                  </pic:nvPicPr>
                  <pic:blipFill>
                    <a:blip r:embed="rId10">
                      <a:extLst>
                        <a:ext uri="{28A0092B-C50C-407E-A947-70E740481C1C}">
                          <a14:useLocalDpi xmlns:a14="http://schemas.microsoft.com/office/drawing/2010/main" val="0"/>
                        </a:ext>
                      </a:extLst>
                    </a:blip>
                    <a:stretch>
                      <a:fillRect/>
                    </a:stretch>
                  </pic:blipFill>
                  <pic:spPr>
                    <a:xfrm>
                      <a:off x="0" y="0"/>
                      <a:ext cx="2379887" cy="638355"/>
                    </a:xfrm>
                    <a:prstGeom prst="rect">
                      <a:avLst/>
                    </a:prstGeom>
                  </pic:spPr>
                </pic:pic>
              </a:graphicData>
            </a:graphic>
            <wp14:sizeRelH relativeFrom="margin">
              <wp14:pctWidth>0</wp14:pctWidth>
            </wp14:sizeRelH>
            <wp14:sizeRelV relativeFrom="margin">
              <wp14:pctHeight>0</wp14:pctHeight>
            </wp14:sizeRelV>
          </wp:anchor>
        </w:drawing>
      </w:r>
      <w:r w:rsidR="001D7BA9" w:rsidRPr="0065717C">
        <w:rPr>
          <w:rFonts w:ascii="Verdana" w:hAnsi="Verdana" w:cs="Times New Roman"/>
        </w:rPr>
        <w:t xml:space="preserve">Bogotá D.C., </w:t>
      </w:r>
      <w:r w:rsidR="00502F9F" w:rsidRPr="0065717C">
        <w:rPr>
          <w:rFonts w:ascii="Verdana" w:hAnsi="Verdana" w:cs="Times New Roman"/>
        </w:rPr>
        <w:t>30 Octubre 2026</w:t>
      </w:r>
      <w:r w:rsidR="001D7BA9" w:rsidRPr="0065717C">
        <w:rPr>
          <w:rFonts w:ascii="Verdana" w:hAnsi="Verdana" w:cs="Times New Roman"/>
        </w:rPr>
        <w:tab/>
      </w:r>
      <w:r w:rsidR="001D7BA9" w:rsidRPr="0065717C">
        <w:rPr>
          <w:rFonts w:ascii="Verdana" w:hAnsi="Verdana" w:cs="Times New Roman"/>
        </w:rPr>
        <w:br/>
      </w:r>
    </w:p>
    <w:p w14:paraId="73B6B444" w14:textId="17E33BFE" w:rsidR="001D7BA9" w:rsidRPr="0065717C" w:rsidRDefault="001D7BA9" w:rsidP="0065717C">
      <w:pPr>
        <w:pStyle w:val="Sinespaciado"/>
        <w:jc w:val="both"/>
        <w:rPr>
          <w:rFonts w:ascii="Verdana" w:hAnsi="Verdana" w:cs="Times New Roman"/>
        </w:rPr>
      </w:pPr>
      <w:r w:rsidRPr="0065717C">
        <w:rPr>
          <w:rFonts w:ascii="Verdana" w:hAnsi="Verdana" w:cs="Times New Roman"/>
        </w:rPr>
        <w:t>Señor</w:t>
      </w:r>
    </w:p>
    <w:p w14:paraId="432E8EFC" w14:textId="77777777" w:rsidR="001D7BA9" w:rsidRDefault="001D7BA9" w:rsidP="001D7BA9">
      <w:pPr>
        <w:pStyle w:val="Sinespaciado"/>
        <w:jc w:val="both"/>
        <w:rPr>
          <w:rFonts w:ascii="Verdana" w:hAnsi="Verdana" w:cs="Times New Roman"/>
          <w:b/>
          <w:bCs/>
        </w:rPr>
      </w:pPr>
      <w:r>
        <w:rPr>
          <w:rFonts w:ascii="Verdana" w:hAnsi="Verdana" w:cs="Times New Roman"/>
          <w:b/>
          <w:bCs/>
        </w:rPr>
        <w:t>Hermes Andrés Balaguera Valiente</w:t>
      </w:r>
    </w:p>
    <w:p w14:paraId="6C30442B" w14:textId="77777777" w:rsidR="001D7BA9" w:rsidRPr="00A37365" w:rsidRDefault="001D7BA9" w:rsidP="001D7BA9">
      <w:pPr>
        <w:pStyle w:val="Sinespaciado"/>
        <w:jc w:val="both"/>
        <w:rPr>
          <w:rFonts w:ascii="Verdana" w:hAnsi="Verdana"/>
        </w:rPr>
      </w:pPr>
      <w:hyperlink r:id="rId11" w:history="1">
        <w:r>
          <w:rPr>
            <w:rStyle w:val="Hipervnculo"/>
            <w:rFonts w:ascii="Verdana" w:hAnsi="Verdana"/>
          </w:rPr>
          <w:t>balagueravaliente@gmail.com</w:t>
        </w:r>
      </w:hyperlink>
    </w:p>
    <w:p w14:paraId="12B411AC" w14:textId="77777777" w:rsidR="001D7BA9" w:rsidRPr="00700F79" w:rsidRDefault="001D7BA9" w:rsidP="001D7BA9">
      <w:pPr>
        <w:pStyle w:val="Sinespaciado"/>
        <w:jc w:val="both"/>
        <w:rPr>
          <w:rFonts w:ascii="Verdana" w:hAnsi="Verdana" w:cs="Times New Roman"/>
        </w:rPr>
      </w:pPr>
      <w:r>
        <w:rPr>
          <w:rFonts w:ascii="Verdana" w:hAnsi="Verdana" w:cs="Times New Roman"/>
        </w:rPr>
        <w:t>Ciudad</w:t>
      </w:r>
    </w:p>
    <w:p w14:paraId="2116A444" w14:textId="77777777" w:rsidR="001D7BA9" w:rsidRDefault="001D7BA9" w:rsidP="001D7BA9">
      <w:pPr>
        <w:pStyle w:val="Sinespaciado"/>
        <w:jc w:val="both"/>
        <w:rPr>
          <w:rFonts w:ascii="Verdana" w:hAnsi="Verdana" w:cs="Times New Roman"/>
          <w:b/>
          <w:bCs/>
        </w:rPr>
      </w:pPr>
    </w:p>
    <w:p w14:paraId="7CA881B1" w14:textId="77777777" w:rsidR="001D7BA9" w:rsidRPr="00A77871" w:rsidRDefault="001D7BA9" w:rsidP="001D7BA9">
      <w:pPr>
        <w:spacing w:line="276" w:lineRule="auto"/>
        <w:jc w:val="both"/>
        <w:rPr>
          <w:rFonts w:ascii="Verdana" w:eastAsia="Calibri" w:hAnsi="Verdana" w:cs="Arial"/>
          <w:b/>
          <w:bCs/>
          <w:lang w:eastAsia="es-ES"/>
        </w:rPr>
      </w:pPr>
      <w:r>
        <w:rPr>
          <w:rFonts w:ascii="Verdana" w:eastAsia="Calibri" w:hAnsi="Verdana" w:cs="Arial"/>
          <w:b/>
          <w:bCs/>
          <w:lang w:eastAsia="es-ES"/>
        </w:rPr>
        <w:t xml:space="preserve">                                    Concepto C-1570 de 2026</w:t>
      </w: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D7BA9" w:rsidRPr="00A77871" w14:paraId="530A3001" w14:textId="77777777" w:rsidTr="00D53F6C">
        <w:trPr>
          <w:trHeight w:val="884"/>
        </w:trPr>
        <w:tc>
          <w:tcPr>
            <w:tcW w:w="2689" w:type="dxa"/>
          </w:tcPr>
          <w:p w14:paraId="67845DF5" w14:textId="77777777" w:rsidR="001D7BA9" w:rsidRPr="00A77871" w:rsidRDefault="001D7BA9" w:rsidP="00D53F6C">
            <w:pPr>
              <w:spacing w:line="276" w:lineRule="auto"/>
              <w:jc w:val="both"/>
              <w:rPr>
                <w:rFonts w:ascii="Verdana" w:eastAsia="Calibri" w:hAnsi="Verdana" w:cs="Arial"/>
                <w:color w:val="000000"/>
                <w:lang w:eastAsia="es-ES_tradnl"/>
              </w:rPr>
            </w:pPr>
            <w:r>
              <w:rPr>
                <w:rFonts w:ascii="Verdana" w:eastAsia="Calibri" w:hAnsi="Verdana" w:cs="Arial"/>
                <w:b/>
                <w:color w:val="000000"/>
                <w:lang w:eastAsia="es-ES_tradnl"/>
              </w:rPr>
              <w:t>Temas:</w:t>
            </w:r>
            <w:r>
              <w:rPr>
                <w:rFonts w:ascii="Verdana" w:eastAsia="Calibri" w:hAnsi="Verdana" w:cs="Arial"/>
                <w:color w:val="000000"/>
                <w:lang w:eastAsia="es-ES_tradnl"/>
              </w:rPr>
              <w:t xml:space="preserve">                   </w:t>
            </w:r>
          </w:p>
        </w:tc>
        <w:tc>
          <w:tcPr>
            <w:tcW w:w="6100" w:type="dxa"/>
          </w:tcPr>
          <w:p w14:paraId="5C15672E" w14:textId="77777777" w:rsidR="001D7BA9" w:rsidRPr="004206B7" w:rsidRDefault="001D7BA9" w:rsidP="006B2D5C">
            <w:pPr>
              <w:spacing w:line="276" w:lineRule="auto"/>
              <w:jc w:val="both"/>
              <w:rPr>
                <w:rFonts w:ascii="Verdana" w:hAnsi="Verdana" w:cs="Arial"/>
                <w:color w:val="000000"/>
                <w:lang w:val="es-ES" w:eastAsia="es-ES"/>
              </w:rPr>
            </w:pPr>
            <w:r>
              <w:rPr>
                <w:rFonts w:ascii="Verdana" w:hAnsi="Verdana" w:cs="Arial"/>
                <w:color w:val="000000"/>
                <w:lang w:val="es-ES" w:eastAsia="es-ES"/>
              </w:rPr>
              <w:t>GARANTÍA ÚNICA DE CUMPLIMIENTO – Definición – Fundamento normativo / GARANTÍA ÚNICA DE CUMPLIMIENTO – Vigencia – Liquidación del contrato – Falta de ampliación</w:t>
            </w:r>
          </w:p>
          <w:p w14:paraId="3C242E1F" w14:textId="77777777" w:rsidR="001D7BA9" w:rsidRPr="00EB7DC9" w:rsidRDefault="001D7BA9" w:rsidP="00D53F6C">
            <w:pPr>
              <w:jc w:val="both"/>
              <w:rPr>
                <w:rFonts w:ascii="Verdana" w:eastAsia="Calibri" w:hAnsi="Verdana" w:cs="Arial"/>
                <w:lang w:eastAsia="es-ES"/>
              </w:rPr>
            </w:pPr>
          </w:p>
        </w:tc>
      </w:tr>
      <w:tr w:rsidR="001D7BA9" w:rsidRPr="00A77871" w14:paraId="0B054753" w14:textId="77777777" w:rsidTr="00D53F6C">
        <w:tc>
          <w:tcPr>
            <w:tcW w:w="2689" w:type="dxa"/>
          </w:tcPr>
          <w:p w14:paraId="48E080E9" w14:textId="77777777" w:rsidR="001D7BA9" w:rsidRPr="00A77871" w:rsidRDefault="001D7BA9" w:rsidP="00D53F6C">
            <w:pPr>
              <w:spacing w:line="276" w:lineRule="auto"/>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67BE4FB8" w14:textId="77777777" w:rsidR="001D7BA9" w:rsidRPr="00A77871" w:rsidRDefault="001D7BA9" w:rsidP="00D53F6C">
            <w:pPr>
              <w:spacing w:line="276" w:lineRule="auto"/>
              <w:jc w:val="both"/>
              <w:rPr>
                <w:rFonts w:ascii="Verdana" w:eastAsia="Calibri" w:hAnsi="Verdana" w:cs="Arial"/>
                <w:lang w:eastAsia="es-ES_tradnl"/>
              </w:rPr>
            </w:pPr>
            <w:r>
              <w:rPr>
                <w:rFonts w:ascii="Verdana" w:eastAsia="Calibri" w:hAnsi="Verdana" w:cs="Arial"/>
                <w:lang w:eastAsia="es-ES_tradnl"/>
              </w:rPr>
              <w:t>Respuesta a consultas con radicado No. 1_2026_10_06_013438</w:t>
            </w:r>
          </w:p>
        </w:tc>
      </w:tr>
    </w:tbl>
    <w:p w14:paraId="648DE9D5" w14:textId="77777777" w:rsidR="001D7BA9" w:rsidRPr="00A77871" w:rsidRDefault="001D7BA9" w:rsidP="001D7BA9">
      <w:pPr>
        <w:spacing w:after="0" w:line="276" w:lineRule="auto"/>
        <w:jc w:val="both"/>
        <w:rPr>
          <w:rFonts w:ascii="Verdana" w:eastAsia="Calibri" w:hAnsi="Verdana" w:cs="Arial"/>
          <w:color w:val="000000"/>
          <w:lang w:eastAsia="es-ES_tradnl"/>
        </w:rPr>
      </w:pPr>
    </w:p>
    <w:p w14:paraId="33507070" w14:textId="4F9FA9E2" w:rsidR="001D7BA9" w:rsidRPr="00A77871" w:rsidRDefault="001D7BA9" w:rsidP="001D7BA9">
      <w:pPr>
        <w:spacing w:line="276" w:lineRule="auto"/>
        <w:jc w:val="both"/>
        <w:rPr>
          <w:rFonts w:ascii="Verdana" w:eastAsia="Calibri" w:hAnsi="Verdana" w:cs="Arial"/>
          <w:color w:val="000000"/>
          <w:lang w:eastAsia="es-ES"/>
        </w:rPr>
      </w:pPr>
      <w:r>
        <w:rPr>
          <w:rFonts w:ascii="Verdana" w:eastAsia="Calibri" w:hAnsi="Verdana" w:cs="Arial"/>
          <w:lang w:eastAsia="es-ES"/>
        </w:rPr>
        <w:t>Estimado señor Balaguera:</w:t>
      </w:r>
      <w:r>
        <w:rPr>
          <w:rFonts w:ascii="Verdana" w:eastAsia="Calibri" w:hAnsi="Verdana" w:cs="Arial"/>
          <w:color w:val="000000"/>
          <w:lang w:eastAsia="es-ES"/>
        </w:rPr>
        <w:tab/>
      </w:r>
    </w:p>
    <w:p w14:paraId="2FF64D48" w14:textId="77777777" w:rsidR="001D7BA9" w:rsidRDefault="001D7BA9" w:rsidP="001D7BA9">
      <w:pPr>
        <w:spacing w:line="276" w:lineRule="auto"/>
        <w:jc w:val="both"/>
        <w:rPr>
          <w:rFonts w:ascii="Verdana" w:eastAsia="Calibri" w:hAnsi="Verdana" w:cs="Arial"/>
          <w:i/>
          <w:iCs/>
          <w:lang w:eastAsia="es-ES"/>
        </w:rPr>
      </w:pPr>
      <w:r>
        <w:rPr>
          <w:rFonts w:ascii="Verdana" w:eastAsia="Calibri" w:hAnsi="Verdana" w:cs="Arial"/>
          <w:color w:val="000000"/>
          <w:lang w:eastAsia="es-ES"/>
        </w:rPr>
        <w:t>En ejercicio de la competencia otorgada por los artículos 3, numeral 5º, y 11, numeral 8º, del Decreto Ley 4170 de 2011,</w:t>
      </w:r>
      <w:r>
        <w:rPr>
          <w:rFonts w:ascii="Verdana" w:eastAsia="Arial MT" w:hAnsi="Verdana" w:cs="Arial MT"/>
          <w:lang w:eastAsia="es-ES"/>
        </w:rPr>
        <w:t xml:space="preserve"> </w:t>
      </w:r>
      <w:r>
        <w:rPr>
          <w:rFonts w:ascii="Verdana" w:eastAsia="Calibri" w:hAnsi="Verdana" w:cs="Arial"/>
        </w:rPr>
        <w:t xml:space="preserve">así como lo establecido en el artículo 4 de la Resolución 1707 de 2018 expedida por esta Entidad, </w:t>
      </w:r>
      <w:r>
        <w:rPr>
          <w:rFonts w:ascii="Verdana" w:eastAsia="Calibri" w:hAnsi="Verdana" w:cs="Arial"/>
          <w:color w:val="000000"/>
          <w:lang w:eastAsia="es-ES"/>
        </w:rPr>
        <w:t>la Agencia Nacional de Contratación Pública – Colombia Compra Eficiente responde su solicitud de concepto del 06 de octubre de 2026,</w:t>
      </w:r>
      <w:r>
        <w:rPr>
          <w:rFonts w:ascii="Verdana" w:eastAsia="Calibri" w:hAnsi="Verdana" w:cs="Arial"/>
          <w:lang w:eastAsia="es-ES"/>
        </w:rPr>
        <w:t xml:space="preserve"> en la que manifiesta lo siguiente:</w:t>
      </w:r>
      <w:r>
        <w:rPr>
          <w:rFonts w:ascii="Verdana" w:eastAsia="Calibri" w:hAnsi="Verdana" w:cs="Arial"/>
          <w:i/>
          <w:iCs/>
          <w:lang w:eastAsia="es-ES"/>
        </w:rPr>
        <w:t xml:space="preserve"> </w:t>
      </w:r>
      <w:bookmarkStart w:id="1" w:name="_Hlk95313578"/>
    </w:p>
    <w:p w14:paraId="16FF9FC5" w14:textId="77777777" w:rsidR="001D7BA9" w:rsidRPr="00D430E3" w:rsidRDefault="001D7BA9" w:rsidP="001D7BA9">
      <w:pPr>
        <w:spacing w:after="0" w:line="240" w:lineRule="auto"/>
        <w:ind w:left="709" w:right="709"/>
        <w:jc w:val="both"/>
        <w:rPr>
          <w:rFonts w:ascii="Verdana" w:hAnsi="Verdana" w:cs="Arial"/>
          <w:i/>
          <w:iCs/>
          <w:sz w:val="20"/>
          <w:szCs w:val="20"/>
          <w:shd w:val="clear" w:color="auto" w:fill="FFFFFF"/>
        </w:rPr>
      </w:pPr>
      <w:r>
        <w:rPr>
          <w:rFonts w:ascii="Verdana" w:hAnsi="Verdana" w:cs="Arial"/>
          <w:i/>
          <w:iCs/>
          <w:sz w:val="20"/>
          <w:szCs w:val="20"/>
          <w:shd w:val="clear" w:color="auto" w:fill="FFFFFF"/>
          <w:lang w:val="es-ES"/>
        </w:rPr>
        <w:t>“(…)</w:t>
      </w:r>
      <w:bookmarkEnd w:id="1"/>
      <w:r>
        <w:rPr>
          <w:rFonts w:ascii="Verdana" w:hAnsi="Verdana" w:cs="Arial"/>
          <w:i/>
          <w:iCs/>
          <w:sz w:val="20"/>
          <w:szCs w:val="20"/>
          <w:shd w:val="clear" w:color="auto" w:fill="FFFFFF"/>
          <w:lang w:val="es-ES"/>
        </w:rPr>
        <w:t xml:space="preserve"> </w:t>
      </w:r>
      <w:r>
        <w:rPr>
          <w:rFonts w:ascii="Verdana" w:hAnsi="Verdana" w:cs="Arial"/>
          <w:i/>
          <w:iCs/>
          <w:sz w:val="20"/>
          <w:szCs w:val="20"/>
          <w:shd w:val="clear" w:color="auto" w:fill="FFFFFF"/>
        </w:rPr>
        <w:t>¿Puede la entidad efectuar la liquidación bilateral del contrato sin contar con la póliza ampliada hasta la fecha de liquidación?</w:t>
      </w:r>
    </w:p>
    <w:p w14:paraId="67A10F85" w14:textId="77777777" w:rsidR="001D7BA9" w:rsidRDefault="001D7BA9" w:rsidP="001D7BA9">
      <w:pPr>
        <w:spacing w:after="0" w:line="240" w:lineRule="auto"/>
        <w:ind w:left="709" w:right="709"/>
        <w:jc w:val="both"/>
        <w:rPr>
          <w:rFonts w:ascii="Verdana" w:hAnsi="Verdana" w:cs="Arial"/>
          <w:i/>
          <w:iCs/>
          <w:sz w:val="20"/>
          <w:szCs w:val="20"/>
          <w:shd w:val="clear" w:color="auto" w:fill="FFFFFF"/>
        </w:rPr>
      </w:pPr>
    </w:p>
    <w:p w14:paraId="28DD620C" w14:textId="77777777" w:rsidR="001D7BA9" w:rsidRPr="002D1241" w:rsidRDefault="001D7BA9" w:rsidP="001D7BA9">
      <w:pPr>
        <w:spacing w:after="0" w:line="240" w:lineRule="auto"/>
        <w:ind w:left="709" w:right="709"/>
        <w:jc w:val="both"/>
        <w:rPr>
          <w:rFonts w:ascii="Verdana" w:hAnsi="Verdana" w:cs="Arial"/>
          <w:i/>
          <w:iCs/>
          <w:sz w:val="20"/>
          <w:szCs w:val="20"/>
          <w:shd w:val="clear" w:color="auto" w:fill="FFFFFF"/>
        </w:rPr>
      </w:pPr>
      <w:r>
        <w:rPr>
          <w:rFonts w:ascii="Verdana" w:hAnsi="Verdana" w:cs="Arial"/>
          <w:i/>
          <w:iCs/>
          <w:sz w:val="20"/>
          <w:szCs w:val="20"/>
          <w:shd w:val="clear" w:color="auto" w:fill="FFFFFF"/>
        </w:rPr>
        <w:t>De acuerdo con lo establecido en la normativa aplicable, ¿es jurídicamente procedente realizar la liquidación bilateral en estas condiciones? En ese sentido, agradecería precisar si la entidad puede o no puede efectuar la liquidación bilateral sin la póliza ampliada, indicando las razones jurídicas que sustentan dicha conclusión.”</w:t>
      </w:r>
    </w:p>
    <w:p w14:paraId="50071C15" w14:textId="77777777" w:rsidR="001D7BA9" w:rsidRPr="00A77871" w:rsidRDefault="001D7BA9" w:rsidP="001D7BA9">
      <w:pPr>
        <w:spacing w:before="240" w:after="120" w:line="276" w:lineRule="auto"/>
        <w:jc w:val="both"/>
        <w:rPr>
          <w:rFonts w:ascii="Verdana" w:eastAsia="Calibri" w:hAnsi="Verdana" w:cs="Arial"/>
          <w:color w:val="000000"/>
          <w:lang w:eastAsia="es-ES"/>
        </w:rPr>
      </w:pPr>
      <w:r>
        <w:rPr>
          <w:rFonts w:ascii="Verdana" w:eastAsia="Calibri" w:hAnsi="Verdana" w:cs="Arial"/>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Pr>
          <w:rFonts w:ascii="Verdana" w:eastAsia="Calibri" w:hAnsi="Verdana" w:cs="Arial"/>
        </w:rPr>
        <w:lastRenderedPageBreak/>
        <w:t>claros, con el objeto de evitar que la Agencia actúe como</w:t>
      </w:r>
      <w:r>
        <w:rPr>
          <w:rFonts w:ascii="Verdana" w:eastAsia="Calibri" w:hAnsi="Verdana" w:cs="Arial"/>
          <w:color w:val="000000"/>
          <w:lang w:eastAsia="es-ES"/>
        </w:rPr>
        <w:t xml:space="preserve">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lang w:eastAsia="es-ES_tradnl"/>
        </w:rPr>
        <w:tab/>
      </w:r>
    </w:p>
    <w:p w14:paraId="3BCD3489" w14:textId="77777777" w:rsidR="001D7BA9" w:rsidRPr="00A77871" w:rsidRDefault="001D7BA9" w:rsidP="001D7BA9">
      <w:pPr>
        <w:spacing w:line="276" w:lineRule="auto"/>
        <w:jc w:val="both"/>
        <w:rPr>
          <w:rFonts w:ascii="Verdana" w:eastAsia="Calibri" w:hAnsi="Verdana" w:cs="Arial"/>
          <w:b/>
          <w:bCs/>
          <w:color w:val="000000"/>
          <w:lang w:eastAsia="es-ES"/>
        </w:rPr>
      </w:pPr>
      <w:r>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Pr>
          <w:rFonts w:ascii="Verdana" w:eastAsia="Calibri" w:hAnsi="Verdana" w:cs="Arial"/>
          <w:color w:val="7030A0"/>
          <w:lang w:eastAsia="es-ES"/>
        </w:rPr>
        <w:t xml:space="preserve"> </w:t>
      </w:r>
      <w:r>
        <w:rPr>
          <w:rFonts w:ascii="Verdana" w:eastAsia="Calibri" w:hAnsi="Verdana" w:cs="Arial"/>
          <w:color w:val="000000"/>
          <w:lang w:eastAsia="es-ES"/>
        </w:rPr>
        <w:t>problemas</w:t>
      </w:r>
      <w:r>
        <w:rPr>
          <w:rFonts w:ascii="Verdana" w:eastAsia="Calibri" w:hAnsi="Verdana" w:cs="Arial"/>
          <w:color w:val="7030A0"/>
          <w:lang w:eastAsia="es-ES"/>
        </w:rPr>
        <w:t xml:space="preserve"> </w:t>
      </w:r>
      <w:r>
        <w:rPr>
          <w:rFonts w:ascii="Verdana" w:eastAsia="Calibri" w:hAnsi="Verdana" w:cs="Arial"/>
          <w:color w:val="000000"/>
          <w:lang w:eastAsia="es-ES"/>
        </w:rPr>
        <w:t>jurídicos</w:t>
      </w:r>
      <w:r>
        <w:rPr>
          <w:rFonts w:ascii="Verdana" w:eastAsia="Calibri" w:hAnsi="Verdana" w:cs="Arial"/>
          <w:color w:val="7030A0"/>
          <w:lang w:eastAsia="es-ES"/>
        </w:rPr>
        <w:t xml:space="preserve"> </w:t>
      </w:r>
      <w:r>
        <w:rPr>
          <w:rFonts w:ascii="Verdana" w:eastAsia="Calibri" w:hAnsi="Verdana" w:cs="Arial"/>
          <w:color w:val="000000"/>
          <w:lang w:eastAsia="es-ES"/>
        </w:rPr>
        <w:t>de su consulta.</w:t>
      </w:r>
      <w:r>
        <w:rPr>
          <w:rFonts w:ascii="Verdana" w:eastAsia="Calibri" w:hAnsi="Verdana" w:cs="Arial"/>
          <w:b/>
          <w:bCs/>
          <w:color w:val="000000"/>
          <w:lang w:eastAsia="es-ES"/>
        </w:rPr>
        <w:t xml:space="preserve"> </w:t>
      </w:r>
    </w:p>
    <w:p w14:paraId="4A653C9E" w14:textId="77777777" w:rsidR="001D7BA9" w:rsidRPr="001B415F" w:rsidRDefault="001D7BA9" w:rsidP="001D7BA9">
      <w:pPr>
        <w:numPr>
          <w:ilvl w:val="0"/>
          <w:numId w:val="16"/>
        </w:numPr>
        <w:tabs>
          <w:tab w:val="left" w:pos="142"/>
          <w:tab w:val="left" w:pos="284"/>
        </w:tabs>
        <w:spacing w:after="0" w:line="276" w:lineRule="auto"/>
        <w:ind w:left="0" w:firstLine="357"/>
        <w:contextualSpacing/>
        <w:jc w:val="both"/>
        <w:rPr>
          <w:rFonts w:ascii="Verdana" w:eastAsia="Century Gothic" w:hAnsi="Verdana" w:cs="Century Gothic"/>
        </w:rPr>
      </w:pPr>
      <w:r>
        <w:rPr>
          <w:rFonts w:ascii="Verdana" w:eastAsia="Century Gothic" w:hAnsi="Verdana" w:cs="Century Gothic"/>
          <w:b/>
          <w:bCs/>
        </w:rPr>
        <w:t>Problema planteado:</w:t>
      </w:r>
    </w:p>
    <w:p w14:paraId="28D352DD" w14:textId="3B451094" w:rsidR="001D7BA9" w:rsidRDefault="001D7BA9" w:rsidP="001D7BA9">
      <w:pPr>
        <w:spacing w:before="24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w:t>
      </w:r>
      <w:r w:rsidRPr="006B2D5C">
        <w:rPr>
          <w:rFonts w:ascii="Verdana" w:eastAsia="Century Gothic" w:hAnsi="Verdana" w:cs="Century Gothic"/>
        </w:rPr>
        <w:t>¿La falta de ampliación de la garantía de cumplimiento, en lo relativo al amparo de cumplimiento, hasta la fecha de la liquidación impide que la entidad estatal efectúe la liquidación bilateral del contrato?</w:t>
      </w:r>
    </w:p>
    <w:p w14:paraId="4E1EBD7A" w14:textId="77777777" w:rsidR="001D7BA9" w:rsidRPr="003F0247" w:rsidRDefault="001D7BA9" w:rsidP="001D7BA9">
      <w:pPr>
        <w:numPr>
          <w:ilvl w:val="0"/>
          <w:numId w:val="16"/>
        </w:numPr>
        <w:tabs>
          <w:tab w:val="left" w:pos="142"/>
          <w:tab w:val="left" w:pos="284"/>
        </w:tabs>
        <w:spacing w:after="0" w:line="276" w:lineRule="auto"/>
        <w:ind w:left="0" w:firstLine="357"/>
        <w:contextualSpacing/>
        <w:jc w:val="both"/>
        <w:rPr>
          <w:rFonts w:ascii="Verdana" w:eastAsia="Century Gothic" w:hAnsi="Verdana" w:cs="Century Gothic"/>
          <w:b/>
          <w:bCs/>
        </w:rPr>
      </w:pPr>
      <w:r>
        <w:rPr>
          <w:rFonts w:ascii="Verdana" w:eastAsia="Century Gothic" w:hAnsi="Verdana" w:cs="Century Gothic"/>
          <w:b/>
          <w:bCs/>
        </w:rPr>
        <w:t xml:space="preserve"> Respuesta:</w:t>
      </w:r>
    </w:p>
    <w:p w14:paraId="0C57DF52" w14:textId="77777777" w:rsidR="001D7BA9" w:rsidRPr="00A57936" w:rsidRDefault="001D7BA9" w:rsidP="001D7BA9">
      <w:pPr>
        <w:tabs>
          <w:tab w:val="left" w:pos="142"/>
          <w:tab w:val="left" w:pos="284"/>
        </w:tabs>
        <w:spacing w:line="276" w:lineRule="auto"/>
        <w:contextualSpacing/>
        <w:jc w:val="both"/>
        <w:rPr>
          <w:rFonts w:ascii="Verdana" w:eastAsia="Century Gothic" w:hAnsi="Verdana" w:cs="Century Gothic"/>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D7BA9" w:rsidRPr="00A77871" w14:paraId="36B1AAAE" w14:textId="77777777" w:rsidTr="00D53F6C">
        <w:trPr>
          <w:jc w:val="center"/>
        </w:trPr>
        <w:tc>
          <w:tcPr>
            <w:tcW w:w="8828" w:type="dxa"/>
          </w:tcPr>
          <w:p w14:paraId="221EF2C8" w14:textId="77777777" w:rsidR="001D7BA9" w:rsidRPr="00BF04A6" w:rsidRDefault="001D7BA9" w:rsidP="00D53F6C">
            <w:pPr>
              <w:spacing w:after="120" w:line="276" w:lineRule="auto"/>
              <w:jc w:val="both"/>
              <w:rPr>
                <w:rFonts w:ascii="Verdana" w:hAnsi="Verdana"/>
                <w:color w:val="000000" w:themeColor="text1"/>
              </w:rPr>
            </w:pPr>
            <w:bookmarkStart w:id="2" w:name="_Hlk171694685"/>
            <w:r>
              <w:rPr>
                <w:rFonts w:ascii="Verdana" w:eastAsia="Calibri" w:hAnsi="Verdana"/>
                <w:color w:val="000000" w:themeColor="text1"/>
              </w:rPr>
              <w:t>Para resolver el problema jurídico planteado es menester iniciar precisando que, l</w:t>
            </w:r>
            <w:r>
              <w:rPr>
                <w:rFonts w:ascii="Verdana" w:hAnsi="Verdana"/>
                <w:color w:val="000000" w:themeColor="text1"/>
              </w:rPr>
              <w:t>a garantía de cumplimiento y la liquidación contractual son instituciones jurídicas distintas, en la medida en que persiguen finalidades diferentes. Por una parte, la garantía tiene por objeto amparar a la entidad estatal frente a los riesgos derivados del incumplimiento de las obligaciones garantizadas; por otra, la liquidación busca realizar el balance definitivo de la relación contractual, verificar el estado final de las obligaciones de las partes y determinar los saldos, ajustes y reconocimientos a que haya lugar.</w:t>
            </w:r>
          </w:p>
          <w:p w14:paraId="185499A8" w14:textId="77777777" w:rsidR="001D7BA9" w:rsidRPr="00BF04A6" w:rsidRDefault="001D7BA9" w:rsidP="006B2D5C">
            <w:pPr>
              <w:spacing w:after="120" w:line="276" w:lineRule="auto"/>
              <w:ind w:firstLine="709"/>
              <w:jc w:val="both"/>
              <w:rPr>
                <w:rFonts w:ascii="Verdana" w:hAnsi="Verdana"/>
                <w:color w:val="000000" w:themeColor="text1"/>
              </w:rPr>
            </w:pPr>
            <w:r>
              <w:rPr>
                <w:rFonts w:ascii="Verdana" w:hAnsi="Verdana"/>
                <w:color w:val="000000" w:themeColor="text1"/>
              </w:rPr>
              <w:t>En relación con la vigencia de la garantía, el artículo 2.2.1.2.3.1.12 del Decreto 1082 de 2015 establece expresamente que la garantía de cumplimiento del contrato debe tener una vigencia mínima hasta su liquidación. En consecuencia, la cobertura del amparo no se limita al plazo de ejecución de las prestaciones contractuales, sino que debe extenderse hasta la liquidación, de manera que la entidad estatal cuente con el respaldo exigido durante el período correspondiente.</w:t>
            </w:r>
          </w:p>
          <w:p w14:paraId="009781F3" w14:textId="77777777" w:rsidR="001D7BA9" w:rsidRPr="00BF04A6" w:rsidRDefault="001D7BA9" w:rsidP="006B2D5C">
            <w:pPr>
              <w:spacing w:after="120" w:line="276" w:lineRule="auto"/>
              <w:ind w:firstLine="709"/>
              <w:jc w:val="both"/>
              <w:rPr>
                <w:rFonts w:ascii="Verdana" w:hAnsi="Verdana"/>
                <w:color w:val="000000" w:themeColor="text1"/>
              </w:rPr>
            </w:pPr>
            <w:r>
              <w:rPr>
                <w:rFonts w:ascii="Verdana" w:hAnsi="Verdana"/>
                <w:color w:val="000000" w:themeColor="text1"/>
              </w:rPr>
              <w:lastRenderedPageBreak/>
              <w:t>Por consiguiente, corresponde a la entidad estatal verificar que la garantía constituida por el contratista cubra el término requerido y, cuando su vigencia resulte insuficiente, solicitar su ampliación o la adopción de las medidas necesarias para mantener el amparo en los términos legales y contractuales aplicables.</w:t>
            </w:r>
          </w:p>
          <w:p w14:paraId="4F60F86E" w14:textId="77777777" w:rsidR="001D7BA9" w:rsidRPr="00BF04A6" w:rsidRDefault="001D7BA9" w:rsidP="006B2D5C">
            <w:pPr>
              <w:spacing w:after="120" w:line="276" w:lineRule="auto"/>
              <w:ind w:firstLine="709"/>
              <w:jc w:val="both"/>
              <w:rPr>
                <w:rFonts w:ascii="Verdana" w:hAnsi="Verdana"/>
                <w:color w:val="000000" w:themeColor="text1"/>
              </w:rPr>
            </w:pPr>
            <w:r>
              <w:rPr>
                <w:rFonts w:ascii="Verdana" w:hAnsi="Verdana"/>
                <w:color w:val="000000" w:themeColor="text1"/>
              </w:rPr>
              <w:t xml:space="preserve">Por su parte, el inciso cuarto del artículo 60 de la Ley 80 de 1993 establece que, para la liquidación del contrato, se exigirá al contratista la extensión o ampliación de la garantía, si es del caso, para respaldar obligaciones relacionadas con la estabilidad de la obra, la calidad del bien o servicio suministrado, la provisión de repuestos y accesorios, el pago de salarios, prestaciones e indemnizaciones, la responsabilidad civil y, en general, aquellas obligaciones que deban cumplirse con posterioridad a la extinción del contrato. Esta disposición evidencia que las garantías constituyen un instrumento de protección del interés público y del patrimonio de la entidad estatal, en la medida en que permiten mantener la cobertura de los riesgos asociados a las obligaciones que subsisten después de la terminación contractual. </w:t>
            </w:r>
          </w:p>
          <w:p w14:paraId="562773CB" w14:textId="77777777" w:rsidR="001D7BA9" w:rsidRPr="00BF04A6" w:rsidRDefault="001D7BA9" w:rsidP="006B2D5C">
            <w:pPr>
              <w:spacing w:after="120" w:line="276" w:lineRule="auto"/>
              <w:ind w:firstLine="709"/>
              <w:jc w:val="both"/>
              <w:rPr>
                <w:rFonts w:ascii="Verdana" w:hAnsi="Verdana"/>
                <w:color w:val="000000" w:themeColor="text1"/>
              </w:rPr>
            </w:pPr>
            <w:r>
              <w:rPr>
                <w:rFonts w:ascii="Verdana" w:hAnsi="Verdana"/>
                <w:color w:val="000000" w:themeColor="text1"/>
              </w:rPr>
              <w:t>En ese sentido, la entidad estatal debe verificar la vigencia de los amparos correspondientes y exigir su extensión o ampliación cuando resulte necesario. No obstante, esta obligación debe distinguirse de la procedencia de la liquidación bilateral, pues la falta de ampliación de la garantía no constituye, por sí sola, un impedimento automático para adelantarla. En efecto, aunque la normativa establece el deber de mantener vigente la garantía y contempla la ampliación de los amparos cuando corresponda, no dispone expresamente que la sola ausencia de dicha ampliación imposibilite jurídicamente la suscripción del acta de liquidación.</w:t>
            </w:r>
          </w:p>
          <w:p w14:paraId="42922443" w14:textId="77777777" w:rsidR="001D7BA9" w:rsidRPr="00BF04A6" w:rsidRDefault="001D7BA9" w:rsidP="006B2D5C">
            <w:pPr>
              <w:spacing w:after="120" w:line="276" w:lineRule="auto"/>
              <w:ind w:firstLine="709"/>
              <w:jc w:val="both"/>
              <w:rPr>
                <w:rFonts w:ascii="Verdana" w:hAnsi="Verdana"/>
                <w:color w:val="000000" w:themeColor="text1"/>
              </w:rPr>
            </w:pPr>
            <w:r>
              <w:rPr>
                <w:rFonts w:ascii="Verdana" w:hAnsi="Verdana"/>
                <w:color w:val="000000" w:themeColor="text1"/>
              </w:rPr>
              <w:t xml:space="preserve">Así las cosas, cuando la garantía no haya sido ampliada, la entidad estatal deberá examinar las circunstancias particulares del caso antes de adoptar una decisión. Para ello, deberá considerar, entre otros aspectos, si existen obligaciones contractuales pendientes, cuáles son los riesgos que subsisten al momento de la liquidación, la naturaleza de las obligaciones amparadas, la existencia de reclamaciones o controversias pendientes y las consecuencias que podrían derivarse de la ausencia de cobertura. De igual manera, deberá evaluar las medidas contractuales y administrativas que </w:t>
            </w:r>
            <w:r>
              <w:rPr>
                <w:rFonts w:ascii="Verdana" w:hAnsi="Verdana"/>
                <w:color w:val="000000" w:themeColor="text1"/>
              </w:rPr>
              <w:lastRenderedPageBreak/>
              <w:t>resulten procedentes frente a la omisión del contratista de mantener vigente la garantía exigida por la ley y por el contrato.</w:t>
            </w:r>
          </w:p>
          <w:p w14:paraId="7B85FF4B" w14:textId="77777777" w:rsidR="001D7BA9" w:rsidRPr="00BF04A6" w:rsidRDefault="001D7BA9" w:rsidP="006B2D5C">
            <w:pPr>
              <w:spacing w:after="120" w:line="276" w:lineRule="auto"/>
              <w:ind w:firstLine="709"/>
              <w:jc w:val="both"/>
              <w:rPr>
                <w:rFonts w:ascii="Verdana" w:hAnsi="Verdana"/>
                <w:color w:val="000000" w:themeColor="text1"/>
              </w:rPr>
            </w:pPr>
            <w:r>
              <w:rPr>
                <w:rFonts w:ascii="Verdana" w:hAnsi="Verdana"/>
                <w:color w:val="000000" w:themeColor="text1"/>
              </w:rPr>
              <w:t>En consecuencia, la garantía de cumplimiento debe permanecer vigente hasta la liquidación del contrato y la entidad estatal tiene el deber de verificar y exigir el cumplimiento de esta obligación. Sin embargo, la falta de ampliación de la garantía no constituye, por sí sola, un impedimento legal automático para efectuar la liquidación bilateral, dado que dicha consecuencia no se encuentra expresamente prevista en la normativa aplicable. Por tanto, la entidad deberá determinar la procedencia de la liquidación y las medidas que correspondan atendiendo a las particularidades del contrato, las obligaciones pendientes y los riesgos jurídicos y contractuales identificados.</w:t>
            </w:r>
          </w:p>
          <w:p w14:paraId="5E9FE218" w14:textId="77777777" w:rsidR="001D7BA9" w:rsidRPr="00A54773" w:rsidRDefault="001D7BA9" w:rsidP="006B2D5C">
            <w:pPr>
              <w:spacing w:after="120" w:line="276" w:lineRule="auto"/>
              <w:ind w:firstLine="709"/>
              <w:jc w:val="both"/>
              <w:rPr>
                <w:rFonts w:ascii="Verdana" w:hAnsi="Verdana" w:cs="Arial"/>
                <w:lang w:val="es-ES"/>
              </w:rPr>
            </w:pPr>
            <w:r>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bookmarkEnd w:id="2"/>
    </w:tbl>
    <w:p w14:paraId="58EDA7A2" w14:textId="77777777" w:rsidR="001D7BA9" w:rsidRDefault="001D7BA9" w:rsidP="001D7BA9">
      <w:pPr>
        <w:tabs>
          <w:tab w:val="left" w:pos="142"/>
          <w:tab w:val="left" w:pos="284"/>
        </w:tabs>
        <w:spacing w:before="240" w:line="276" w:lineRule="auto"/>
        <w:ind w:left="357"/>
        <w:contextualSpacing/>
        <w:jc w:val="both"/>
        <w:rPr>
          <w:rFonts w:ascii="Verdana" w:eastAsia="Century Gothic" w:hAnsi="Verdana" w:cs="Century Gothic"/>
          <w:b/>
          <w:bCs/>
        </w:rPr>
      </w:pPr>
    </w:p>
    <w:p w14:paraId="3044C433" w14:textId="77777777" w:rsidR="001D7BA9" w:rsidRPr="00A77871" w:rsidRDefault="001D7BA9" w:rsidP="001D7BA9">
      <w:pPr>
        <w:numPr>
          <w:ilvl w:val="0"/>
          <w:numId w:val="16"/>
        </w:numPr>
        <w:tabs>
          <w:tab w:val="left" w:pos="142"/>
          <w:tab w:val="left" w:pos="284"/>
        </w:tabs>
        <w:spacing w:before="240" w:line="276" w:lineRule="auto"/>
        <w:ind w:left="0" w:firstLine="357"/>
        <w:contextualSpacing/>
        <w:jc w:val="both"/>
        <w:rPr>
          <w:rFonts w:ascii="Verdana" w:eastAsia="Century Gothic" w:hAnsi="Verdana" w:cs="Century Gothic"/>
          <w:b/>
          <w:bCs/>
        </w:rPr>
      </w:pPr>
      <w:r>
        <w:rPr>
          <w:rFonts w:ascii="Verdana" w:eastAsia="Century Gothic" w:hAnsi="Verdana" w:cs="Century Gothic"/>
          <w:b/>
          <w:bCs/>
        </w:rPr>
        <w:t>Razones de la respuesta:</w:t>
      </w:r>
    </w:p>
    <w:p w14:paraId="5927A3E7" w14:textId="77777777" w:rsidR="001D7BA9" w:rsidRDefault="001D7BA9" w:rsidP="001D7BA9">
      <w:pPr>
        <w:spacing w:before="240" w:line="276" w:lineRule="auto"/>
        <w:jc w:val="both"/>
        <w:rPr>
          <w:rFonts w:ascii="Verdana" w:eastAsia="Calibri" w:hAnsi="Verdana" w:cs="Arial"/>
        </w:rPr>
      </w:pPr>
      <w:r>
        <w:rPr>
          <w:rFonts w:ascii="Verdana" w:eastAsia="Calibri" w:hAnsi="Verdana" w:cs="Arial"/>
        </w:rPr>
        <w:t>Lo anterior se sustenta en las siguientes consideraciones:</w:t>
      </w:r>
    </w:p>
    <w:p w14:paraId="60C7CAC7" w14:textId="77777777" w:rsidR="001D7BA9" w:rsidRDefault="001D7BA9" w:rsidP="001D7BA9">
      <w:pPr>
        <w:spacing w:after="0" w:line="276" w:lineRule="auto"/>
        <w:jc w:val="both"/>
        <w:rPr>
          <w:rFonts w:ascii="Verdana" w:eastAsia="Calibri" w:hAnsi="Verdana" w:cs="Arial"/>
          <w:lang w:val="es-ES"/>
        </w:rPr>
      </w:pPr>
      <w:r>
        <w:rPr>
          <w:rFonts w:ascii="Verdana" w:eastAsia="Calibri" w:hAnsi="Verdana" w:cs="Arial"/>
          <w:lang w:val="es-ES"/>
        </w:rPr>
        <w:t xml:space="preserve">La liquidación del contrato estatal es el momento en el cual, una vez concluido el contrato las partes efectúan el ajuste de cuentas para determinar el balance económico, técnico y jurídico del negocio. Así lo manifestó el Consejo de Estado en la sentencia del 20 de octubre de 2014, en la que consideró, por un lado, que </w:t>
      </w:r>
      <w:r>
        <w:rPr>
          <w:rFonts w:ascii="Verdana" w:eastAsia="Calibri" w:hAnsi="Verdana" w:cs="Arial"/>
          <w:i/>
          <w:lang w:val="es-ES"/>
        </w:rPr>
        <w:t>liquidar</w:t>
      </w:r>
      <w:r>
        <w:rPr>
          <w:rFonts w:ascii="Verdana" w:eastAsia="Calibri" w:hAnsi="Verdana" w:cs="Arial"/>
          <w:lang w:val="es-ES"/>
        </w:rPr>
        <w:t xml:space="preserve"> supone un ajuste en relación con las cuentas y el estado de cumplimiento del contrato estatal y, por otro, que la </w:t>
      </w:r>
      <w:r>
        <w:rPr>
          <w:rFonts w:ascii="Verdana" w:eastAsia="Calibri" w:hAnsi="Verdana" w:cs="Arial"/>
          <w:i/>
          <w:lang w:val="es-ES"/>
        </w:rPr>
        <w:t>liquidación</w:t>
      </w:r>
      <w:r>
        <w:rPr>
          <w:rFonts w:ascii="Verdana" w:eastAsia="Calibri" w:hAnsi="Verdana" w:cs="Arial"/>
          <w:lang w:val="es-ES"/>
        </w:rPr>
        <w:t xml:space="preserve"> debe incluir el análisis de las condiciones de calidad y oportunidad en la entrega de los bienes, obras o servicios, así como el balance económico y el comportamiento financiero del negocio</w:t>
      </w:r>
      <w:r>
        <w:rPr>
          <w:rFonts w:ascii="Verdana" w:eastAsia="Calibri" w:hAnsi="Verdana" w:cs="Arial"/>
          <w:vertAlign w:val="superscript"/>
          <w:lang w:val="es-ES"/>
        </w:rPr>
        <w:footnoteReference w:id="1"/>
      </w:r>
      <w:r>
        <w:rPr>
          <w:rFonts w:ascii="Verdana" w:eastAsia="Calibri" w:hAnsi="Verdana" w:cs="Arial"/>
          <w:lang w:val="es-ES"/>
        </w:rPr>
        <w:t>. En tal sentido, explica:</w:t>
      </w:r>
    </w:p>
    <w:p w14:paraId="6BBB29C7" w14:textId="77777777" w:rsidR="001D7BA9" w:rsidRPr="005B1A5E" w:rsidRDefault="001D7BA9" w:rsidP="001D7BA9">
      <w:pPr>
        <w:spacing w:after="0" w:line="276" w:lineRule="auto"/>
        <w:jc w:val="both"/>
        <w:rPr>
          <w:rFonts w:ascii="Verdana" w:eastAsia="Times New Roman" w:hAnsi="Verdana" w:cs="Arial"/>
          <w:color w:val="000000"/>
          <w:lang w:eastAsia="es-CO"/>
        </w:rPr>
      </w:pPr>
    </w:p>
    <w:p w14:paraId="063EB04E" w14:textId="77777777" w:rsidR="001D7BA9" w:rsidRDefault="001D7BA9" w:rsidP="001D7BA9">
      <w:pPr>
        <w:spacing w:after="0" w:line="240" w:lineRule="auto"/>
        <w:ind w:left="709" w:right="616"/>
        <w:jc w:val="both"/>
        <w:rPr>
          <w:rFonts w:ascii="Verdana" w:eastAsia="Calibri" w:hAnsi="Verdana" w:cs="Arial"/>
          <w:sz w:val="20"/>
          <w:szCs w:val="20"/>
          <w:lang w:val="es-ES_tradnl"/>
        </w:rPr>
      </w:pPr>
      <w:r>
        <w:rPr>
          <w:rFonts w:ascii="Verdana" w:eastAsia="Calibri" w:hAnsi="Verdana" w:cs="Arial"/>
          <w:sz w:val="20"/>
          <w:szCs w:val="20"/>
          <w:lang w:val="es-ES_tradnl"/>
        </w:rPr>
        <w:t>“(…)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r>
        <w:rPr>
          <w:rFonts w:ascii="Verdana" w:eastAsia="Calibri" w:hAnsi="Verdana" w:cs="Arial"/>
          <w:sz w:val="20"/>
          <w:szCs w:val="20"/>
          <w:vertAlign w:val="superscript"/>
          <w:lang w:val="es-ES_tradnl"/>
        </w:rPr>
        <w:footnoteReference w:id="2"/>
      </w:r>
      <w:r>
        <w:rPr>
          <w:rFonts w:ascii="Verdana" w:eastAsia="Calibri" w:hAnsi="Verdana" w:cs="Arial"/>
          <w:sz w:val="20"/>
          <w:szCs w:val="20"/>
          <w:lang w:val="es-ES_tradnl"/>
        </w:rPr>
        <w:t>.</w:t>
      </w:r>
    </w:p>
    <w:p w14:paraId="2DFE614D" w14:textId="77777777" w:rsidR="001D7BA9" w:rsidRDefault="001D7BA9" w:rsidP="001D7BA9">
      <w:pPr>
        <w:spacing w:after="0" w:line="240" w:lineRule="auto"/>
        <w:ind w:right="616"/>
        <w:jc w:val="both"/>
        <w:rPr>
          <w:rFonts w:ascii="Verdana" w:eastAsia="Calibri" w:hAnsi="Verdana" w:cs="Arial"/>
          <w:sz w:val="20"/>
          <w:szCs w:val="20"/>
          <w:lang w:val="es-ES_tradnl"/>
        </w:rPr>
      </w:pPr>
    </w:p>
    <w:p w14:paraId="12E78CF5" w14:textId="77777777" w:rsidR="001D7BA9" w:rsidRDefault="001D7BA9" w:rsidP="001D7BA9">
      <w:pPr>
        <w:spacing w:after="120" w:line="276" w:lineRule="auto"/>
        <w:ind w:firstLine="709"/>
        <w:jc w:val="both"/>
        <w:rPr>
          <w:rFonts w:ascii="Verdana" w:eastAsia="Calibri" w:hAnsi="Verdana" w:cs="Arial"/>
          <w:lang w:val="es-ES"/>
        </w:rPr>
      </w:pPr>
      <w:r>
        <w:rPr>
          <w:rFonts w:ascii="Verdana" w:eastAsia="Calibri" w:hAnsi="Verdana" w:cs="Arial"/>
          <w:lang w:val="es-ES"/>
        </w:rPr>
        <w:t xml:space="preserve">Así mismo, se ha sostenido por parte de la Sección Tercera del Consejo de Estado que la liquidación del contrato “no es solo un </w:t>
      </w:r>
      <w:proofErr w:type="gramStart"/>
      <w:r>
        <w:rPr>
          <w:rFonts w:ascii="Verdana" w:eastAsia="Calibri" w:hAnsi="Verdana" w:cs="Arial"/>
          <w:lang w:val="es-ES"/>
        </w:rPr>
        <w:t>acta</w:t>
      </w:r>
      <w:proofErr w:type="gramEnd"/>
      <w:r>
        <w:rPr>
          <w:rFonts w:ascii="Verdana" w:eastAsia="Calibri" w:hAnsi="Verdana" w:cs="Arial"/>
          <w:lang w:val="es-ES"/>
        </w:rPr>
        <w:t xml:space="preserve"> sino que representa un acto jurídico en el que se vierte la síntesis de una actuación mancomunada de las partes en la búsqueda del cierre total y definitivo del contrato, sobre la evidencia de lo ocurrido y la voluntad explícita que ellas tengan para superar los obstáculos y llegar a los acuerdos que eventualmente impidan un cierre de consuno. Como apenas parece obvio, la liquidación puede revelar situaciones que en criterio de las partes constituyan incumplimientos o que no eran discernibles o evidentes al momento del recibo a satisfacción, así como aquellos que puedan surgir con posterioridad”</w:t>
      </w:r>
      <w:r>
        <w:rPr>
          <w:rStyle w:val="Refdenotaalpie"/>
          <w:rFonts w:ascii="Verdana" w:eastAsia="Calibri" w:hAnsi="Verdana" w:cs="Arial"/>
          <w:lang w:val="es-ES"/>
        </w:rPr>
        <w:footnoteReference w:id="3"/>
      </w:r>
      <w:r>
        <w:rPr>
          <w:rFonts w:ascii="Verdana" w:eastAsia="Calibri" w:hAnsi="Verdana" w:cs="Arial"/>
          <w:lang w:val="es-ES"/>
        </w:rPr>
        <w:t>.</w:t>
      </w:r>
    </w:p>
    <w:p w14:paraId="58175F81" w14:textId="77777777" w:rsidR="001D7BA9" w:rsidRPr="00C710A8" w:rsidRDefault="001D7BA9" w:rsidP="001D7BA9">
      <w:pPr>
        <w:spacing w:after="120" w:line="276" w:lineRule="auto"/>
        <w:ind w:firstLine="709"/>
        <w:jc w:val="both"/>
        <w:rPr>
          <w:rFonts w:ascii="Verdana" w:eastAsia="Calibri" w:hAnsi="Verdana" w:cs="Arial"/>
          <w:lang w:val="es-ES"/>
        </w:rPr>
      </w:pPr>
      <w:r>
        <w:rPr>
          <w:rFonts w:ascii="Verdana" w:eastAsia="Times New Roman" w:hAnsi="Verdana" w:cs="Arial"/>
          <w:lang w:val="es-ES_tradnl" w:eastAsia="es-ES"/>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realización. De acuerdo con el artículo 60 de la Ley 80 de 1993, los contratos de tracto sucesivo, aquellos cuyo cumplimiento o ejecución se prolongue en el tiempo y los demás que lo requieran “serán objeto de liquidación”. El mismo artículo </w:t>
      </w:r>
      <w:r>
        <w:rPr>
          <w:rFonts w:ascii="Verdana" w:eastAsia="Times New Roman" w:hAnsi="Verdana" w:cs="Arial"/>
          <w:lang w:val="es-ES_tradnl" w:eastAsia="es-ES"/>
        </w:rPr>
        <w:lastRenderedPageBreak/>
        <w:t>prescribe que no será obligatoria la liquidación en los contratos de prestación de servicios profesionales y de apoyo a la gestión. El artículo 11 de la Ley 1150 de 2007</w:t>
      </w:r>
      <w:r>
        <w:rPr>
          <w:rFonts w:ascii="Verdana" w:eastAsia="Times New Roman" w:hAnsi="Verdana" w:cs="Arial"/>
          <w:vertAlign w:val="superscript"/>
          <w:lang w:val="es-ES_tradnl" w:eastAsia="es-ES"/>
        </w:rPr>
        <w:footnoteReference w:id="4"/>
      </w:r>
      <w:r>
        <w:rPr>
          <w:rFonts w:ascii="Verdana" w:eastAsia="Times New Roman" w:hAnsi="Verdana" w:cs="Arial"/>
          <w:lang w:val="es-ES_tradnl" w:eastAsia="es-ES"/>
        </w:rPr>
        <w:t xml:space="preserve"> contiene las reglas de tipo procedimental para liquidar los contratos estatales, que se pasan a explicar. </w:t>
      </w:r>
    </w:p>
    <w:p w14:paraId="13B7C32A" w14:textId="77777777" w:rsidR="001D7BA9" w:rsidRPr="00E03546" w:rsidRDefault="001D7BA9" w:rsidP="001D7BA9">
      <w:pPr>
        <w:spacing w:after="120" w:line="276" w:lineRule="auto"/>
        <w:ind w:firstLine="709"/>
        <w:jc w:val="both"/>
        <w:rPr>
          <w:rFonts w:ascii="Verdana" w:eastAsia="Calibri" w:hAnsi="Verdana" w:cs="Arial"/>
          <w:lang w:val="es-ES"/>
        </w:rPr>
      </w:pPr>
      <w:r>
        <w:rPr>
          <w:rFonts w:ascii="Verdana" w:eastAsia="Calibri" w:hAnsi="Verdana" w:cs="Arial"/>
          <w:lang w:val="es-ES"/>
        </w:rPr>
        <w:t xml:space="preserve">En primer lugar, en ejercicio de la autonomía de la voluntad y de conformidad con la naturaleza, el objeto y el plazo del contrato, la entidad estatal puede definir en el pliego de condiciones o el documento equivalente el plazo para efectuar la liquidación de mutuo acuerdo. Al respecto, el artículo 11 de la Ley 1150 de 2007 señala que la liquidación por mutuo acuerdo se deberá realizar dentro del plazo previsto en “los pliegos de condiciones o sus equivalentes, o dentro del que acuerden las partes para el efecto”. De otro lado, cuando el artículo 11 de la Ley 1150 de 2007 hace referencia al término que “acuerden las partes” para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w:t>
      </w:r>
    </w:p>
    <w:p w14:paraId="0BC6D9EF" w14:textId="77777777" w:rsidR="001D7BA9" w:rsidRDefault="001D7BA9" w:rsidP="001D7BA9">
      <w:pPr>
        <w:spacing w:after="120" w:line="276" w:lineRule="auto"/>
        <w:ind w:firstLine="709"/>
        <w:jc w:val="both"/>
        <w:rPr>
          <w:rFonts w:ascii="Verdana" w:eastAsia="Calibri" w:hAnsi="Verdana" w:cs="Arial"/>
          <w:lang w:val="es-ES"/>
        </w:rPr>
      </w:pPr>
      <w:r>
        <w:rPr>
          <w:rFonts w:ascii="Verdana" w:eastAsia="Calibri" w:hAnsi="Verdana" w:cs="Arial"/>
          <w:lang w:val="es-ES"/>
        </w:rPr>
        <w:t xml:space="preserve">En segundo lugar, en ausencia de pacto, el artículo 11 de la Ley 1150 de 2007 dispone un término supletivo de cuatro (4) meses contados desde: i) el vencimiento del plazo previsto para la ejecución del contrato, </w:t>
      </w:r>
      <w:proofErr w:type="spellStart"/>
      <w:r>
        <w:rPr>
          <w:rFonts w:ascii="Verdana" w:eastAsia="Calibri" w:hAnsi="Verdana" w:cs="Arial"/>
          <w:lang w:val="es-ES"/>
        </w:rPr>
        <w:t>ii</w:t>
      </w:r>
      <w:proofErr w:type="spellEnd"/>
      <w:r>
        <w:rPr>
          <w:rFonts w:ascii="Verdana" w:eastAsia="Calibri" w:hAnsi="Verdana" w:cs="Arial"/>
          <w:lang w:val="es-ES"/>
        </w:rPr>
        <w:t xml:space="preserve">) la expedición del acto administrativo que ordene la terminación del contrato o </w:t>
      </w:r>
      <w:proofErr w:type="spellStart"/>
      <w:r>
        <w:rPr>
          <w:rFonts w:ascii="Verdana" w:eastAsia="Calibri" w:hAnsi="Verdana" w:cs="Arial"/>
          <w:lang w:val="es-ES"/>
        </w:rPr>
        <w:t>iii</w:t>
      </w:r>
      <w:proofErr w:type="spellEnd"/>
      <w:r>
        <w:rPr>
          <w:rFonts w:ascii="Verdana" w:eastAsia="Calibri" w:hAnsi="Verdana" w:cs="Arial"/>
          <w:lang w:val="es-ES"/>
        </w:rPr>
        <w:t xml:space="preserve">) la fecha del acuerdo que disponga la terminación del contrato. Ahora bien, el término de cuatro (4) meses previstos en el artículo 11 de la Ley 1150 de 2007, dado su </w:t>
      </w:r>
      <w:r>
        <w:rPr>
          <w:rFonts w:ascii="Verdana" w:eastAsia="Calibri" w:hAnsi="Verdana" w:cs="Arial"/>
          <w:lang w:val="es-ES"/>
        </w:rPr>
        <w:lastRenderedPageBreak/>
        <w:t xml:space="preserve">carácter supletivo, solo resulta aplicable ante la ausencia de regulación de este en el pliego de condiciones –documento equivalente– y ante la falta de acuerdo entre las partes en torno al plazo de liquidación bilateral. Durante este término el contratista puede solicitar que se adelante el trámite de liquidación. </w:t>
      </w:r>
    </w:p>
    <w:p w14:paraId="66A357B9" w14:textId="77777777" w:rsidR="001D7BA9" w:rsidRPr="000A3185" w:rsidRDefault="001D7BA9" w:rsidP="001D7BA9">
      <w:pPr>
        <w:spacing w:after="0" w:line="276" w:lineRule="auto"/>
        <w:ind w:firstLine="709"/>
        <w:jc w:val="both"/>
        <w:rPr>
          <w:rFonts w:ascii="Verdana" w:eastAsia="Calibri" w:hAnsi="Verdana" w:cs="Arial"/>
          <w:lang w:val="es-ES"/>
        </w:rPr>
      </w:pPr>
      <w:r>
        <w:rPr>
          <w:rFonts w:ascii="Verdana" w:eastAsia="Calibri" w:hAnsi="Verdana" w:cs="Arial"/>
          <w:lang w:val="es-ES"/>
        </w:rPr>
        <w:t>Sin embargo, es responsabilidad de la entidad estatal convocarlo para adelantar la liquidación de común acuerdo o notificarlo para que se presente a la liquidación</w:t>
      </w:r>
      <w:r>
        <w:rPr>
          <w:rFonts w:ascii="Verdana" w:eastAsia="Calibri" w:hAnsi="Verdana" w:cs="Arial"/>
          <w:vertAlign w:val="superscript"/>
          <w:lang w:val="es-ES"/>
        </w:rPr>
        <w:footnoteReference w:id="5"/>
      </w:r>
      <w:r>
        <w:rPr>
          <w:rFonts w:ascii="Verdana" w:eastAsia="Calibri" w:hAnsi="Verdana" w:cs="Arial"/>
          <w:lang w:val="es-ES"/>
        </w:rPr>
        <w:t>, de manera que el contrato pueda ser liquidado bilateralmente, bien sea en el plazo previsto en el pliego de condiciones, el acordado por las partes, o en los cuatro meses señalados en la Ley, según corresponda. Esta liquidación bilateral puede ser total o parcial</w:t>
      </w:r>
      <w:r>
        <w:rPr>
          <w:rFonts w:ascii="Verdana" w:eastAsia="Calibri" w:hAnsi="Verdana" w:cs="Arial"/>
          <w:vertAlign w:val="superscript"/>
          <w:lang w:val="es-ES"/>
        </w:rPr>
        <w:footnoteReference w:id="6"/>
      </w:r>
      <w:r>
        <w:rPr>
          <w:rFonts w:ascii="Verdana" w:eastAsia="Calibri" w:hAnsi="Verdana" w:cs="Arial"/>
          <w:lang w:val="es-ES"/>
        </w:rPr>
        <w:t>. Si no es posible efectuar la liquidación de manera bilateral en los términos anteriormente explicados, el ordenamiento jurídico prevé una habilitación competencial, de carácter subsidiario, para que la entidad estatal realice la liquidación unilateralmente. Sobre el punto, el Consejo de Estado ha señalado:</w:t>
      </w:r>
    </w:p>
    <w:p w14:paraId="2369535D" w14:textId="77777777" w:rsidR="001D7BA9" w:rsidRPr="000A3185" w:rsidRDefault="001D7BA9" w:rsidP="001D7BA9">
      <w:pPr>
        <w:spacing w:after="0" w:line="276" w:lineRule="auto"/>
        <w:ind w:firstLine="709"/>
        <w:jc w:val="both"/>
        <w:rPr>
          <w:rFonts w:ascii="Verdana" w:eastAsia="Calibri" w:hAnsi="Verdana" w:cs="Arial"/>
          <w:lang w:val="es-ES"/>
        </w:rPr>
      </w:pPr>
    </w:p>
    <w:p w14:paraId="1AAFD3A1" w14:textId="77777777" w:rsidR="001D7BA9" w:rsidRPr="00E03546" w:rsidRDefault="001D7BA9" w:rsidP="001D7BA9">
      <w:pPr>
        <w:spacing w:after="0" w:line="240" w:lineRule="auto"/>
        <w:ind w:left="709" w:right="618"/>
        <w:jc w:val="both"/>
        <w:rPr>
          <w:rFonts w:ascii="Verdana" w:eastAsia="Times New Roman" w:hAnsi="Verdana" w:cs="Arial"/>
          <w:sz w:val="20"/>
          <w:szCs w:val="20"/>
          <w:lang w:val="es-ES_tradnl" w:eastAsia="es-ES"/>
        </w:rPr>
      </w:pPr>
      <w:r>
        <w:rPr>
          <w:rFonts w:ascii="Verdana" w:eastAsia="Times New Roman" w:hAnsi="Verdana" w:cs="Arial"/>
          <w:sz w:val="20"/>
          <w:szCs w:val="20"/>
          <w:lang w:val="es-ES_tradnl" w:eastAsia="es-ES"/>
        </w:rPr>
        <w:t>“Al respecto 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Pr>
          <w:rFonts w:ascii="Verdana" w:eastAsia="Times New Roman" w:hAnsi="Verdana" w:cs="Arial"/>
          <w:sz w:val="20"/>
          <w:szCs w:val="20"/>
          <w:vertAlign w:val="superscript"/>
          <w:lang w:val="es-ES_tradnl" w:eastAsia="es-ES"/>
        </w:rPr>
        <w:footnoteReference w:id="7"/>
      </w:r>
      <w:r>
        <w:rPr>
          <w:rFonts w:ascii="Verdana" w:eastAsia="Times New Roman" w:hAnsi="Verdana" w:cs="Arial"/>
          <w:sz w:val="20"/>
          <w:szCs w:val="20"/>
          <w:lang w:val="es-ES_tradnl" w:eastAsia="es-ES"/>
        </w:rPr>
        <w:t xml:space="preserve">. </w:t>
      </w:r>
    </w:p>
    <w:p w14:paraId="66568DD8" w14:textId="77777777" w:rsidR="001D7BA9" w:rsidRPr="00E03546" w:rsidRDefault="001D7BA9" w:rsidP="001D7BA9">
      <w:pPr>
        <w:spacing w:after="0" w:line="240" w:lineRule="auto"/>
        <w:ind w:left="709" w:right="616"/>
        <w:jc w:val="both"/>
        <w:rPr>
          <w:rFonts w:ascii="Verdana" w:eastAsia="Times New Roman" w:hAnsi="Verdana" w:cs="Arial"/>
          <w:lang w:val="es-ES_tradnl" w:eastAsia="es-ES"/>
        </w:rPr>
      </w:pPr>
    </w:p>
    <w:p w14:paraId="218C86D0" w14:textId="77777777" w:rsidR="001D7BA9" w:rsidRPr="00E03546" w:rsidRDefault="001D7BA9" w:rsidP="001D7BA9">
      <w:pPr>
        <w:spacing w:after="0" w:line="276" w:lineRule="auto"/>
        <w:ind w:right="-68" w:firstLine="709"/>
        <w:jc w:val="both"/>
        <w:rPr>
          <w:rFonts w:ascii="Verdana" w:eastAsia="Times New Roman" w:hAnsi="Verdana" w:cs="Arial"/>
          <w:lang w:val="es-ES" w:eastAsia="es-ES"/>
        </w:rPr>
      </w:pPr>
      <w:r>
        <w:rPr>
          <w:rFonts w:ascii="Verdana" w:eastAsia="Times New Roman" w:hAnsi="Verdana" w:cs="Arial"/>
          <w:lang w:val="es-ES" w:eastAsia="es-ES"/>
        </w:rPr>
        <w:t xml:space="preserve">Por lo tanto, si no se logra la liquidación bilateral del contrato en el término convencional o subsidiario, la entidad estatal tiene la facultad de liquidarlo unilateralmente durante el término de dos (2) meses contados a partir del vencimiento del plazo que acuerden las partes para liquidar bilateralmente, o ante el silencio de estas, del vencimiento de los cuatro (4) meses establecidos </w:t>
      </w:r>
      <w:r>
        <w:rPr>
          <w:rFonts w:ascii="Verdana" w:eastAsia="Times New Roman" w:hAnsi="Verdana" w:cs="Arial"/>
          <w:lang w:val="es-ES" w:eastAsia="es-ES"/>
        </w:rPr>
        <w:lastRenderedPageBreak/>
        <w:t>por la ley</w:t>
      </w:r>
      <w:r>
        <w:rPr>
          <w:rFonts w:ascii="Verdana" w:eastAsia="Times New Roman" w:hAnsi="Verdana" w:cs="Arial"/>
          <w:vertAlign w:val="superscript"/>
          <w:lang w:val="es-ES" w:eastAsia="es-ES"/>
        </w:rPr>
        <w:footnoteReference w:id="8"/>
      </w:r>
      <w:r>
        <w:rPr>
          <w:rFonts w:ascii="Verdana" w:eastAsia="Times New Roman" w:hAnsi="Verdana" w:cs="Arial"/>
          <w:lang w:val="es-ES" w:eastAsia="es-ES"/>
        </w:rPr>
        <w:t xml:space="preserve">. Finalmente, transcurridos estos dos (2) meses, sin que se haya efectuado, la liquidación podrá realizarse en cualquier tiempo dentro de los dos años siguientes al vencimiento del término referido. Durante estos dos años la liquidación podrá hacerse de mutuo acuerdo, unilateralmente por la entidad, o podrá ser solicitada judicialmente. En este sentido, en decisión de unificación, el Consejo de Estado dijo: </w:t>
      </w:r>
    </w:p>
    <w:p w14:paraId="271CB042" w14:textId="77777777" w:rsidR="001D7BA9" w:rsidRPr="00E03546" w:rsidRDefault="001D7BA9" w:rsidP="001D7BA9">
      <w:pPr>
        <w:spacing w:after="0" w:line="276" w:lineRule="auto"/>
        <w:ind w:left="709" w:right="760"/>
        <w:jc w:val="both"/>
        <w:rPr>
          <w:rFonts w:ascii="Verdana" w:eastAsia="Times New Roman" w:hAnsi="Verdana" w:cs="Arial"/>
          <w:sz w:val="20"/>
          <w:szCs w:val="20"/>
          <w:lang w:val="es-ES_tradnl" w:eastAsia="es-ES"/>
        </w:rPr>
      </w:pPr>
    </w:p>
    <w:p w14:paraId="12A28D86" w14:textId="77777777" w:rsidR="001D7BA9" w:rsidRPr="00E03546" w:rsidRDefault="001D7BA9" w:rsidP="001D7BA9">
      <w:pPr>
        <w:spacing w:after="0" w:line="240" w:lineRule="auto"/>
        <w:ind w:left="709" w:right="709"/>
        <w:jc w:val="both"/>
        <w:rPr>
          <w:rFonts w:ascii="Verdana" w:eastAsia="Times New Roman" w:hAnsi="Verdana" w:cs="Arial"/>
          <w:sz w:val="20"/>
          <w:szCs w:val="20"/>
          <w:lang w:val="es-ES" w:eastAsia="es-ES"/>
        </w:rPr>
      </w:pPr>
      <w:r>
        <w:rPr>
          <w:rFonts w:ascii="Verdana" w:eastAsia="Times New Roman" w:hAnsi="Verdana" w:cs="Arial"/>
          <w:sz w:val="20"/>
          <w:szCs w:val="20"/>
          <w:lang w:val="es-ES" w:eastAsia="es-ES"/>
        </w:rPr>
        <w:t xml:space="preserve">“Como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Pr>
          <w:rFonts w:ascii="Verdana" w:eastAsia="Times New Roman" w:hAnsi="Verdana" w:cs="Arial"/>
          <w:sz w:val="20"/>
          <w:szCs w:val="20"/>
          <w:lang w:val="es-ES" w:eastAsia="es-ES"/>
        </w:rPr>
        <w:t>liquidatorio</w:t>
      </w:r>
      <w:proofErr w:type="spellEnd"/>
      <w:r>
        <w:rPr>
          <w:rFonts w:ascii="Verdana" w:eastAsia="Times New Roman" w:hAnsi="Verdana" w:cs="Arial"/>
          <w:sz w:val="20"/>
          <w:szCs w:val="20"/>
          <w:lang w:val="es-ES" w:eastAsia="es-ES"/>
        </w:rPr>
        <w:t xml:space="preserve"> se logre dentro del lapso de dos años contados a partir del vencimiento del término legalmente conocido para la liquidación unilateral, pues ese es el lapso que el ordenamiento ha fijado para el ejercicio oportuno de la acción”</w:t>
      </w:r>
      <w:r>
        <w:rPr>
          <w:rFonts w:ascii="Verdana" w:eastAsia="Times New Roman" w:hAnsi="Verdana" w:cs="Arial"/>
          <w:sz w:val="20"/>
          <w:szCs w:val="20"/>
          <w:vertAlign w:val="superscript"/>
          <w:lang w:val="es-ES" w:eastAsia="es-ES"/>
        </w:rPr>
        <w:footnoteReference w:id="9"/>
      </w:r>
      <w:r>
        <w:rPr>
          <w:rFonts w:ascii="Verdana" w:eastAsia="Times New Roman" w:hAnsi="Verdana" w:cs="Arial"/>
          <w:sz w:val="20"/>
          <w:szCs w:val="20"/>
          <w:lang w:val="es-ES" w:eastAsia="es-ES"/>
        </w:rPr>
        <w:t>.</w:t>
      </w:r>
    </w:p>
    <w:p w14:paraId="011C1457" w14:textId="77777777" w:rsidR="001D7BA9" w:rsidRPr="00E03546" w:rsidRDefault="001D7BA9" w:rsidP="001D7BA9">
      <w:pPr>
        <w:spacing w:after="0" w:line="276" w:lineRule="auto"/>
        <w:ind w:left="709" w:right="760"/>
        <w:jc w:val="both"/>
        <w:rPr>
          <w:rFonts w:ascii="Verdana" w:eastAsia="Times New Roman" w:hAnsi="Verdana" w:cs="Arial"/>
          <w:lang w:val="es-ES_tradnl" w:eastAsia="es-ES"/>
        </w:rPr>
      </w:pPr>
    </w:p>
    <w:p w14:paraId="2D450C19" w14:textId="77777777" w:rsidR="001D7BA9" w:rsidRPr="00E03546" w:rsidRDefault="001D7BA9" w:rsidP="001D7BA9">
      <w:pPr>
        <w:spacing w:after="120" w:line="276" w:lineRule="auto"/>
        <w:jc w:val="both"/>
        <w:rPr>
          <w:rFonts w:ascii="Verdana" w:eastAsia="Calibri" w:hAnsi="Verdana" w:cs="Arial"/>
          <w:lang w:val="es-ES_tradnl"/>
        </w:rPr>
      </w:pPr>
      <w:r>
        <w:rPr>
          <w:rFonts w:ascii="Verdana" w:eastAsia="Calibri" w:hAnsi="Verdana" w:cs="Arial"/>
          <w:lang w:val="es-ES_tradnl"/>
        </w:rPr>
        <w:tab/>
        <w:t>Así las cosas, es claro que el ordenamiento jurídico vigente permite la liquidación unilateral o bilateral, una vez vencido el plazo de dos meses para la liquidación unilateral de que trata el inciso segundo del artículo 11 de la Ley 1150 de 2007, siempre y cuando la liquidación se realice dentro del plazo de dos años “a partir del vencimiento del término legalmente conocido para la liquidación unilateral, pues este es el lapso que el ordenamiento ha fijado para el ejercicio oportuno de la acción”</w:t>
      </w:r>
      <w:r>
        <w:rPr>
          <w:rFonts w:ascii="Verdana" w:eastAsia="Calibri" w:hAnsi="Verdana" w:cs="Arial"/>
          <w:vertAlign w:val="superscript"/>
          <w:lang w:val="es-ES_tradnl"/>
        </w:rPr>
        <w:footnoteReference w:id="10"/>
      </w:r>
      <w:r>
        <w:rPr>
          <w:rFonts w:ascii="Verdana" w:eastAsia="Calibri" w:hAnsi="Verdana" w:cs="Arial"/>
          <w:lang w:val="es-ES_tradnl"/>
        </w:rPr>
        <w:t xml:space="preserve">. </w:t>
      </w:r>
    </w:p>
    <w:p w14:paraId="4CEDE14A" w14:textId="77777777" w:rsidR="001D7BA9" w:rsidRDefault="001D7BA9" w:rsidP="001D7BA9">
      <w:pPr>
        <w:spacing w:line="276" w:lineRule="auto"/>
        <w:ind w:firstLine="709"/>
        <w:jc w:val="both"/>
        <w:rPr>
          <w:rFonts w:ascii="Verdana" w:eastAsia="Calibri" w:hAnsi="Verdana" w:cs="Arial"/>
          <w:lang w:val="es-ES"/>
        </w:rPr>
      </w:pPr>
      <w:r>
        <w:rPr>
          <w:rFonts w:ascii="Verdana" w:eastAsia="Calibri" w:hAnsi="Verdana" w:cs="Arial"/>
          <w:lang w:val="es-ES"/>
        </w:rPr>
        <w:t xml:space="preserve">En suma, de acuerdo con el artículo 11 de la Ley 1150 de 2007, existen tres (3) tipos de liquidación: i) bilateral, </w:t>
      </w:r>
      <w:proofErr w:type="spellStart"/>
      <w:r>
        <w:rPr>
          <w:rFonts w:ascii="Verdana" w:eastAsia="Calibri" w:hAnsi="Verdana" w:cs="Arial"/>
          <w:lang w:val="es-ES"/>
        </w:rPr>
        <w:t>ii</w:t>
      </w:r>
      <w:proofErr w:type="spellEnd"/>
      <w:r>
        <w:rPr>
          <w:rFonts w:ascii="Verdana" w:eastAsia="Calibri" w:hAnsi="Verdana" w:cs="Arial"/>
          <w:lang w:val="es-ES"/>
        </w:rPr>
        <w:t xml:space="preserve">) unilateral y </w:t>
      </w:r>
      <w:proofErr w:type="spellStart"/>
      <w:r>
        <w:rPr>
          <w:rFonts w:ascii="Verdana" w:eastAsia="Calibri" w:hAnsi="Verdana" w:cs="Arial"/>
          <w:lang w:val="es-ES"/>
        </w:rPr>
        <w:t>iii</w:t>
      </w:r>
      <w:proofErr w:type="spellEnd"/>
      <w:r>
        <w:rPr>
          <w:rFonts w:ascii="Verdana" w:eastAsia="Calibri" w:hAnsi="Verdana" w:cs="Arial"/>
          <w:lang w:val="es-ES"/>
        </w:rPr>
        <w:t xml:space="preserve">)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w:t>
      </w:r>
      <w:r>
        <w:rPr>
          <w:rFonts w:ascii="Verdana" w:eastAsia="Calibri" w:hAnsi="Verdana" w:cs="Arial"/>
          <w:lang w:val="es-ES"/>
        </w:rPr>
        <w:lastRenderedPageBreak/>
        <w:t>Administrativo o un tribunal de arbitramento dentro de un proceso judicial de controversias contractuales, y puede darse con ocasión de una demanda del interesado solicitando dicha liquidación. Para ello, existe un plazo máximo de dos (2) años contados a partir de los dos meses establecidos en la Ley para realizar la liquidación unilateral, de conformidad con el citado auto de unificación jurisprudencial del Consejo de Estado.</w:t>
      </w:r>
    </w:p>
    <w:p w14:paraId="5CE8C0CA" w14:textId="77777777" w:rsidR="001D7BA9" w:rsidRDefault="001D7BA9" w:rsidP="001D7BA9">
      <w:pPr>
        <w:spacing w:after="120" w:line="276" w:lineRule="auto"/>
        <w:ind w:firstLine="709"/>
        <w:jc w:val="both"/>
        <w:rPr>
          <w:rFonts w:ascii="Verdana" w:eastAsia="Calibri" w:hAnsi="Verdana" w:cs="Arial"/>
          <w:lang w:val="es-ES"/>
        </w:rPr>
      </w:pPr>
      <w:r>
        <w:rPr>
          <w:rFonts w:ascii="Verdana" w:eastAsia="Calibri" w:hAnsi="Verdana" w:cs="Arial"/>
          <w:lang w:val="es-ES"/>
        </w:rPr>
        <w:t>Así las cosas, posterior a los términos referenciados en el párrafo precedente sin que se hubiese liquidado el contrato, ésta no podrá adelantarse dado que los plazos referidos son perentorios. Esto significa que con su vencimiento fenece la oportunidad de efectuarla ante la pérdida de competencia de la entidad para realizar el balance final del acuerdo de voluntades pactado.</w:t>
      </w:r>
    </w:p>
    <w:p w14:paraId="6838F2ED" w14:textId="6399D08F" w:rsidR="001D7BA9" w:rsidRPr="006144D7" w:rsidRDefault="001D7BA9" w:rsidP="001D7BA9">
      <w:pPr>
        <w:spacing w:after="120" w:line="276" w:lineRule="auto"/>
        <w:ind w:firstLine="709"/>
        <w:jc w:val="both"/>
        <w:rPr>
          <w:rFonts w:ascii="Verdana" w:hAnsi="Verdana" w:cs="Arial"/>
          <w:color w:val="000000" w:themeColor="text1"/>
          <w:lang w:val="es-ES_tradnl"/>
        </w:rPr>
      </w:pPr>
      <w:r>
        <w:rPr>
          <w:rFonts w:ascii="Verdana" w:eastAsia="Times New Roman" w:hAnsi="Verdana" w:cs="Arial"/>
          <w:bCs/>
          <w:color w:val="000000"/>
          <w:lang w:val="es-ES_tradnl" w:eastAsia="es-ES_tradnl"/>
        </w:rPr>
        <w:t xml:space="preserve">Ahora bien, respecto al tema de su consulta, la Guía de garantías en </w:t>
      </w:r>
      <w:r w:rsidRPr="006B2D5C">
        <w:rPr>
          <w:rFonts w:ascii="Verdana" w:eastAsia="Times New Roman" w:hAnsi="Verdana" w:cs="Arial"/>
          <w:bCs/>
          <w:color w:val="000000"/>
          <w:lang w:val="es-ES_tradnl" w:eastAsia="es-ES_tradnl"/>
        </w:rPr>
        <w:t>Procesos de Contratación, emitida por esta Agencia</w:t>
      </w:r>
      <w:r>
        <w:rPr>
          <w:rFonts w:ascii="Verdana" w:eastAsia="Times New Roman" w:hAnsi="Verdana" w:cs="Arial"/>
          <w:bCs/>
          <w:color w:val="000000"/>
          <w:lang w:val="es-ES_tradnl" w:eastAsia="es-ES_tradnl"/>
        </w:rPr>
        <w:t xml:space="preserve">, señala que </w:t>
      </w:r>
      <w:r>
        <w:rPr>
          <w:rFonts w:ascii="Verdana" w:eastAsia="Times New Roman" w:hAnsi="Verdana" w:cs="Arial"/>
          <w:bCs/>
          <w:i/>
          <w:iCs/>
          <w:color w:val="000000"/>
          <w:lang w:val="es-ES_tradnl" w:eastAsia="es-ES_tradnl"/>
        </w:rPr>
        <w:t>“Las garantías son instrumentos de cobertura de algunos Riesgos comunes en Procesos de Contratación”</w:t>
      </w:r>
      <w:r>
        <w:rPr>
          <w:rFonts w:ascii="Verdana" w:eastAsia="Times New Roman" w:hAnsi="Verdana" w:cs="Arial"/>
          <w:bCs/>
          <w:i/>
          <w:iCs/>
          <w:color w:val="000000"/>
          <w:vertAlign w:val="superscript"/>
          <w:lang w:val="es-ES_tradnl" w:eastAsia="es-ES_tradnl"/>
        </w:rPr>
        <w:footnoteReference w:id="11"/>
      </w:r>
      <w:r>
        <w:rPr>
          <w:rFonts w:ascii="Verdana" w:eastAsia="Times New Roman" w:hAnsi="Verdana" w:cs="Arial"/>
          <w:bCs/>
          <w:i/>
          <w:iCs/>
          <w:color w:val="000000"/>
          <w:lang w:val="es-ES_tradnl" w:eastAsia="es-ES_tradnl"/>
        </w:rPr>
        <w:t>.</w:t>
      </w:r>
      <w:r>
        <w:rPr>
          <w:rFonts w:ascii="Verdana" w:eastAsia="Times New Roman" w:hAnsi="Verdana" w:cs="Arial"/>
          <w:bCs/>
          <w:color w:val="000000"/>
          <w:lang w:val="es-ES_tradnl" w:eastAsia="es-ES_tradnl"/>
        </w:rPr>
        <w:t xml:space="preserve"> En relación con la garantía de cumplimiento</w:t>
      </w:r>
      <w:r>
        <w:rPr>
          <w:rFonts w:ascii="Verdana" w:eastAsia="Calibri" w:hAnsi="Verdana" w:cs="Arial"/>
          <w:color w:val="000000" w:themeColor="text1"/>
          <w:lang w:val="es-ES"/>
        </w:rPr>
        <w:t xml:space="preserve"> el contratista ampara los perjuicios que le pueda generar a la entidad el incumplimiento de las obligaciones derivadas del contrato</w:t>
      </w:r>
      <w:r>
        <w:rPr>
          <w:rStyle w:val="Refdenotaalpie"/>
          <w:rFonts w:ascii="Verdana" w:eastAsia="Calibri" w:hAnsi="Verdana" w:cs="Arial"/>
          <w:color w:val="000000" w:themeColor="text1"/>
        </w:rPr>
        <w:footnoteReference w:id="12"/>
      </w:r>
      <w:r>
        <w:rPr>
          <w:rFonts w:ascii="Verdana" w:eastAsia="Calibri" w:hAnsi="Verdana" w:cs="Arial"/>
          <w:color w:val="000000" w:themeColor="text1"/>
          <w:lang w:val="es-ES"/>
        </w:rPr>
        <w:t xml:space="preserve">. En esta medida, tienen como objetivo reparar los perjuicios causados por conductas atribuibles al contratista, por lo que estos últimos son un presupuesto necesario para el pago que cubre la garantía. </w:t>
      </w:r>
      <w:r>
        <w:rPr>
          <w:rFonts w:ascii="Verdana" w:hAnsi="Verdana" w:cs="Arial"/>
          <w:color w:val="000000" w:themeColor="text1"/>
          <w:lang w:val="es-ES_tradnl"/>
        </w:rPr>
        <w:t>Para estos efectos es única, ya que “(…) La prioridad (…) es que no haya garantías separadas para los diferentes riesgos, aunque existan varias garantías para diferentes proporciones del interés asegurado (…)”</w:t>
      </w:r>
      <w:r>
        <w:rPr>
          <w:rStyle w:val="Refdenotaalpie"/>
          <w:rFonts w:ascii="Verdana" w:hAnsi="Verdana" w:cs="Arial"/>
          <w:color w:val="000000" w:themeColor="text1"/>
          <w:lang w:val="es-ES_tradnl"/>
        </w:rPr>
        <w:footnoteReference w:id="13"/>
      </w:r>
      <w:r>
        <w:rPr>
          <w:rFonts w:ascii="Verdana" w:hAnsi="Verdana" w:cs="Arial"/>
          <w:color w:val="000000" w:themeColor="text1"/>
          <w:lang w:val="es-ES_tradnl"/>
        </w:rPr>
        <w:t>.</w:t>
      </w:r>
    </w:p>
    <w:p w14:paraId="6BCC5D5D" w14:textId="77777777" w:rsidR="001D7BA9" w:rsidRPr="006144D7" w:rsidRDefault="001D7BA9" w:rsidP="001D7BA9">
      <w:pPr>
        <w:spacing w:after="120" w:line="276" w:lineRule="auto"/>
        <w:ind w:firstLine="709"/>
        <w:jc w:val="both"/>
        <w:rPr>
          <w:rFonts w:ascii="Arial" w:eastAsia="Times New Roman" w:hAnsi="Arial" w:cs="Arial"/>
          <w:bCs/>
          <w:color w:val="000000"/>
          <w:szCs w:val="24"/>
          <w:lang w:val="es-ES_tradnl" w:eastAsia="es-ES_tradnl"/>
        </w:rPr>
      </w:pPr>
      <w:r>
        <w:rPr>
          <w:rFonts w:ascii="Verdana" w:eastAsia="Times New Roman" w:hAnsi="Verdana" w:cs="Arial"/>
          <w:bCs/>
          <w:color w:val="000000"/>
          <w:szCs w:val="24"/>
          <w:lang w:val="es-ES_tradnl" w:eastAsia="es-ES_tradnl"/>
        </w:rPr>
        <w:t xml:space="preserve">Como puede observarse, la finalidad y principal objetivo de la garantía de cumplimiento es proteger el patrimonio de la entidad de los potenciales riesgos y efectos derivados de un incumplimiento del contratista. Esta función, se </w:t>
      </w:r>
      <w:r>
        <w:rPr>
          <w:rFonts w:ascii="Verdana" w:eastAsia="Times New Roman" w:hAnsi="Verdana" w:cs="Arial"/>
          <w:bCs/>
          <w:color w:val="000000"/>
          <w:szCs w:val="24"/>
          <w:lang w:val="es-ES_tradnl" w:eastAsia="es-ES_tradnl"/>
        </w:rPr>
        <w:lastRenderedPageBreak/>
        <w:t xml:space="preserve">advierte, debe irradiar la comprensión de las normas sobre garantías en general y sobre su vigencia en particular. </w:t>
      </w:r>
    </w:p>
    <w:p w14:paraId="1A26AEE0" w14:textId="77777777" w:rsidR="001D7BA9" w:rsidRPr="006144D7" w:rsidRDefault="001D7BA9" w:rsidP="001D7BA9">
      <w:pPr>
        <w:spacing w:after="120" w:line="276" w:lineRule="auto"/>
        <w:ind w:firstLine="709"/>
        <w:jc w:val="both"/>
        <w:rPr>
          <w:rFonts w:ascii="Verdana" w:eastAsia="Times New Roman" w:hAnsi="Verdana" w:cs="Arial"/>
          <w:bCs/>
          <w:color w:val="000000"/>
          <w:szCs w:val="24"/>
          <w:lang w:val="es-ES_tradnl" w:eastAsia="es-ES_tradnl"/>
        </w:rPr>
      </w:pPr>
      <w:r>
        <w:rPr>
          <w:rFonts w:ascii="Verdana" w:eastAsia="Times New Roman" w:hAnsi="Verdana" w:cs="Arial"/>
          <w:bCs/>
          <w:color w:val="000000"/>
          <w:szCs w:val="24"/>
          <w:lang w:val="es-ES_tradnl" w:eastAsia="es-ES_tradnl"/>
        </w:rPr>
        <w:t>En efecto, según lo dispuesto en el artículo 2.2.1.2.3.1.7. del Decreto 1082 de 2015</w:t>
      </w:r>
      <w:r>
        <w:rPr>
          <w:rFonts w:ascii="Verdana" w:eastAsia="Times New Roman" w:hAnsi="Verdana" w:cs="Arial"/>
          <w:bCs/>
          <w:color w:val="000000"/>
          <w:szCs w:val="24"/>
          <w:vertAlign w:val="superscript"/>
          <w:lang w:val="es-ES_tradnl" w:eastAsia="es-ES_tradnl"/>
        </w:rPr>
        <w:footnoteReference w:id="14"/>
      </w:r>
      <w:r>
        <w:rPr>
          <w:rFonts w:ascii="Verdana" w:eastAsia="Times New Roman" w:hAnsi="Verdana" w:cs="Arial"/>
          <w:bCs/>
          <w:color w:val="000000"/>
          <w:szCs w:val="24"/>
          <w:lang w:val="es-ES_tradnl" w:eastAsia="es-ES_tradnl"/>
        </w:rPr>
        <w:t>, la garantía única de cumplimiento cuenta con varios amparos, que incluyen el de buen manejo y correcta inversión del anticipo; la devolución del pago anticipado; el amparo de cumplimiento del contrato; la garantía de pago de salarios, prestaciones sociales legales e indemnizaciones laborales, entre otros.</w:t>
      </w:r>
      <w:bookmarkStart w:id="3" w:name="_Hlk127975343"/>
    </w:p>
    <w:p w14:paraId="590F850A" w14:textId="77777777" w:rsidR="001D7BA9" w:rsidRPr="006144D7" w:rsidRDefault="001D7BA9" w:rsidP="001D7BA9">
      <w:pPr>
        <w:spacing w:after="120" w:line="276" w:lineRule="auto"/>
        <w:ind w:firstLine="709"/>
        <w:jc w:val="both"/>
        <w:rPr>
          <w:rFonts w:ascii="Verdana" w:eastAsia="Times New Roman" w:hAnsi="Verdana" w:cs="Arial"/>
          <w:color w:val="000000"/>
          <w:lang w:val="es-ES" w:eastAsia="es-ES"/>
        </w:rPr>
      </w:pPr>
      <w:r>
        <w:rPr>
          <w:rFonts w:ascii="Verdana" w:eastAsia="Times New Roman" w:hAnsi="Verdana" w:cs="Arial"/>
          <w:color w:val="000000" w:themeColor="text1"/>
          <w:lang w:val="es-ES" w:eastAsia="es-ES"/>
        </w:rPr>
        <w:t xml:space="preserve">Por tanto, el amparo de cumplimiento es uno de los múltiples amparos que conforman la garantía única de cumplimiento. Al tenor de lo preceptuado en el artículo 2.2.1.2.3.1.7. </w:t>
      </w:r>
      <w:proofErr w:type="spellStart"/>
      <w:r>
        <w:rPr>
          <w:rFonts w:ascii="Verdana" w:eastAsia="Times New Roman" w:hAnsi="Verdana" w:cs="Arial"/>
          <w:i/>
          <w:iCs/>
          <w:color w:val="000000" w:themeColor="text1"/>
          <w:lang w:val="es-ES" w:eastAsia="es-ES"/>
        </w:rPr>
        <w:t>ibídem</w:t>
      </w:r>
      <w:proofErr w:type="spellEnd"/>
      <w:r>
        <w:rPr>
          <w:rFonts w:ascii="Verdana" w:eastAsia="Times New Roman" w:hAnsi="Verdana" w:cs="Arial"/>
          <w:color w:val="000000" w:themeColor="text1"/>
          <w:lang w:val="es-ES" w:eastAsia="es-ES"/>
        </w:rPr>
        <w:t xml:space="preserve"> la garantía de cumplimiento debe proteger a la entidad de los perjuicios que se puedan ocasionar con el incumplimiento, total o parcial del contrato, del cumplimiento tardío o defectuoso, de los daños por entregas parciales de la obra, cuando el contrato no prevé entregas parciales, y </w:t>
      </w:r>
      <w:r>
        <w:rPr>
          <w:rFonts w:ascii="Verdana" w:eastAsia="Times New Roman" w:hAnsi="Verdana" w:cs="Arial"/>
          <w:color w:val="000000" w:themeColor="text1"/>
          <w:lang w:val="es-ES" w:eastAsia="es-ES"/>
        </w:rPr>
        <w:lastRenderedPageBreak/>
        <w:t xml:space="preserve">del valor de las multas y de la cláusula penal pecuniaria. De lo anterior se advierte que el amparo de cumplimiento tiene como objeto proteger a la entidad de los riesgos que puedan concretarse durante la etapa de ejecución del contrato y, más claramente, aquellos derivados de incumplimientos o conductas imputables al contratista. </w:t>
      </w:r>
      <w:bookmarkEnd w:id="3"/>
    </w:p>
    <w:p w14:paraId="436FBD47" w14:textId="77777777" w:rsidR="001D7BA9" w:rsidRPr="00221F65" w:rsidRDefault="001D7BA9" w:rsidP="001D7BA9">
      <w:pPr>
        <w:spacing w:after="120" w:line="276" w:lineRule="auto"/>
        <w:ind w:firstLine="709"/>
        <w:jc w:val="both"/>
        <w:rPr>
          <w:rFonts w:ascii="Verdana" w:eastAsia="Times New Roman" w:hAnsi="Verdana" w:cs="Arial"/>
          <w:bCs/>
          <w:color w:val="000000"/>
          <w:szCs w:val="24"/>
          <w:lang w:val="es-ES_tradnl" w:eastAsia="es-ES_tradnl"/>
        </w:rPr>
      </w:pPr>
      <w:r>
        <w:rPr>
          <w:rFonts w:ascii="Verdana" w:eastAsia="Times New Roman" w:hAnsi="Verdana" w:cs="Arial"/>
          <w:bCs/>
          <w:color w:val="000000"/>
          <w:szCs w:val="24"/>
          <w:lang w:val="es-ES_tradnl" w:eastAsia="es-ES_tradnl"/>
        </w:rPr>
        <w:t xml:space="preserve">De otra parte, en relación con la vigencia de las garantías, el artículo 2.2.1.2.3.1.12. del citado Decreto señala expresamente que </w:t>
      </w:r>
      <w:r>
        <w:rPr>
          <w:rFonts w:ascii="Verdana" w:eastAsia="Times New Roman" w:hAnsi="Verdana" w:cs="Arial"/>
          <w:bCs/>
          <w:i/>
          <w:iCs/>
          <w:color w:val="000000"/>
          <w:szCs w:val="24"/>
          <w:lang w:val="es-ES_tradnl" w:eastAsia="es-ES_tradnl"/>
        </w:rPr>
        <w:t>“[l]a garantía de cumplimiento del contrato debe tener una vigencia mínima hasta la liquidación del contrato”.</w:t>
      </w:r>
      <w:r>
        <w:rPr>
          <w:rFonts w:ascii="Verdana" w:eastAsia="Times New Roman" w:hAnsi="Verdana" w:cs="Arial"/>
          <w:bCs/>
          <w:color w:val="000000"/>
          <w:szCs w:val="24"/>
          <w:lang w:val="es-ES_tradnl" w:eastAsia="es-ES_tradnl"/>
        </w:rPr>
        <w:t xml:space="preserve"> </w:t>
      </w:r>
    </w:p>
    <w:p w14:paraId="30BD352B" w14:textId="77777777" w:rsidR="001D7BA9" w:rsidRPr="00221F65" w:rsidRDefault="001D7BA9" w:rsidP="001D7BA9">
      <w:pPr>
        <w:spacing w:after="120" w:line="276" w:lineRule="auto"/>
        <w:ind w:firstLine="709"/>
        <w:jc w:val="both"/>
        <w:rPr>
          <w:rFonts w:ascii="Verdana" w:eastAsia="Times New Roman" w:hAnsi="Verdana" w:cs="Arial"/>
          <w:color w:val="000000"/>
          <w:lang w:val="es-ES" w:eastAsia="es-ES"/>
        </w:rPr>
      </w:pPr>
      <w:r>
        <w:rPr>
          <w:rFonts w:ascii="Verdana" w:eastAsia="Times New Roman" w:hAnsi="Verdana" w:cs="Arial"/>
          <w:color w:val="000000" w:themeColor="text1"/>
          <w:lang w:val="es-ES" w:eastAsia="es-ES"/>
        </w:rPr>
        <w:t xml:space="preserve">Lo primero que debe ponerse de presente es que esta disposición no se refiere a la garantía única de cumplimiento en su totalidad, sino exclusivamente al amparo de cumplimiento, al que se viene haciendo referencia, lo cual explica que los artículos anteriores y subsiguientes establezcan términos diferentes para los demás amparos que conforman la garantía única de cumplimiento. Así, por ejemplo, el artículo 2.2.1.2.3.1.13 </w:t>
      </w:r>
      <w:r>
        <w:rPr>
          <w:rFonts w:ascii="Verdana" w:eastAsia="Times New Roman" w:hAnsi="Verdana" w:cs="Arial"/>
          <w:i/>
          <w:iCs/>
          <w:color w:val="000000" w:themeColor="text1"/>
          <w:lang w:val="es-ES" w:eastAsia="es-ES"/>
        </w:rPr>
        <w:t>Ibídem</w:t>
      </w:r>
      <w:r>
        <w:rPr>
          <w:rFonts w:ascii="Verdana" w:eastAsia="Times New Roman" w:hAnsi="Verdana" w:cs="Arial"/>
          <w:color w:val="000000" w:themeColor="text1"/>
          <w:lang w:val="es-ES" w:eastAsia="es-ES"/>
        </w:rPr>
        <w:t xml:space="preserve"> prescribe que la garantía de pago de salarios y prestaciones sociales debe estar vigente por el plazo del contrato y 3 años adicionales y, a su vez, el artículo 2.2.1.2.3.1.14 establece un término no inferior a 5 años para la garantía de estabilidad de la obra. </w:t>
      </w:r>
    </w:p>
    <w:p w14:paraId="65AD8D6F" w14:textId="1EE2F324" w:rsidR="001D7BA9" w:rsidRPr="00221F65" w:rsidRDefault="001D7BA9" w:rsidP="001D7BA9">
      <w:pPr>
        <w:spacing w:after="120" w:line="276" w:lineRule="auto"/>
        <w:ind w:firstLine="709"/>
        <w:jc w:val="both"/>
        <w:rPr>
          <w:rFonts w:ascii="Verdana" w:eastAsia="Times New Roman" w:hAnsi="Verdana" w:cs="Arial"/>
          <w:bCs/>
          <w:color w:val="000000"/>
          <w:szCs w:val="24"/>
          <w:lang w:val="es-ES_tradnl" w:eastAsia="es-ES_tradnl"/>
        </w:rPr>
      </w:pPr>
      <w:r>
        <w:rPr>
          <w:rFonts w:ascii="Verdana" w:eastAsia="Times New Roman" w:hAnsi="Verdana" w:cs="Arial"/>
          <w:bCs/>
          <w:color w:val="000000"/>
          <w:szCs w:val="24"/>
          <w:lang w:val="es-ES_tradnl" w:eastAsia="es-ES_tradnl"/>
        </w:rPr>
        <w:t>Al respecto, en Concepto C-</w:t>
      </w:r>
      <w:r w:rsidRPr="007959C3">
        <w:rPr>
          <w:rFonts w:ascii="Verdana" w:eastAsia="Times New Roman" w:hAnsi="Verdana" w:cs="Arial"/>
          <w:bCs/>
          <w:color w:val="000000"/>
          <w:szCs w:val="24"/>
          <w:lang w:val="es-ES_tradnl" w:eastAsia="es-ES_tradnl"/>
        </w:rPr>
        <w:t>479</w:t>
      </w:r>
      <w:r w:rsidRPr="006B2D5C">
        <w:rPr>
          <w:rFonts w:ascii="Verdana" w:eastAsia="Times New Roman" w:hAnsi="Verdana" w:cs="Arial"/>
          <w:bCs/>
          <w:color w:val="000000"/>
          <w:szCs w:val="24"/>
          <w:lang w:val="es-ES_tradnl" w:eastAsia="es-ES_tradnl"/>
        </w:rPr>
        <w:t xml:space="preserve"> del 27 de julio de 2020</w:t>
      </w:r>
      <w:r>
        <w:rPr>
          <w:rFonts w:ascii="Verdana" w:eastAsia="Times New Roman" w:hAnsi="Verdana" w:cs="Arial"/>
          <w:bCs/>
          <w:color w:val="000000"/>
          <w:szCs w:val="24"/>
          <w:lang w:val="es-ES_tradnl" w:eastAsia="es-ES_tradnl"/>
        </w:rPr>
        <w:t xml:space="preserve"> de esta Agencia, se precisó que hay dos conceptos jurídicos relevantes para comprender el alcance del artículo 2.2.1.2.3.1.12 del Decreto 1082 de 2015, esto es, de un lado, la vigencia de la garantía y, de otro, el plazo para su reclamación. Esta distinción es importante, pues para hacer una reclamación válida al garante no es indispensable que la garantía se encuentre vigente, sino que lo haya estado en el momento de la concreción de riesgo, como se pasa a explicar.</w:t>
      </w:r>
    </w:p>
    <w:p w14:paraId="4E17BADB" w14:textId="77777777" w:rsidR="001D7BA9" w:rsidRPr="00221F65" w:rsidRDefault="001D7BA9" w:rsidP="001D7BA9">
      <w:pPr>
        <w:spacing w:after="0" w:line="276" w:lineRule="auto"/>
        <w:ind w:firstLine="709"/>
        <w:jc w:val="both"/>
        <w:rPr>
          <w:rFonts w:ascii="Verdana" w:eastAsia="Times New Roman" w:hAnsi="Verdana" w:cs="Arial"/>
          <w:color w:val="000000"/>
          <w:lang w:val="es-ES" w:eastAsia="es-ES"/>
        </w:rPr>
      </w:pPr>
      <w:r>
        <w:rPr>
          <w:rFonts w:ascii="Verdana" w:eastAsia="Times New Roman" w:hAnsi="Verdana" w:cs="Arial"/>
          <w:color w:val="000000" w:themeColor="text1"/>
          <w:lang w:val="es-ES" w:eastAsia="es-ES"/>
        </w:rPr>
        <w:t xml:space="preserve">En relación con este aspecto, el artículo 1047 del Código de Comercio establece que la póliza debe expresar, entre otros, </w:t>
      </w:r>
      <w:r>
        <w:rPr>
          <w:rFonts w:ascii="Verdana" w:eastAsia="Times New Roman" w:hAnsi="Verdana" w:cs="Arial"/>
          <w:i/>
          <w:iCs/>
          <w:color w:val="000000" w:themeColor="text1"/>
          <w:lang w:val="es-ES" w:eastAsia="es-ES"/>
        </w:rPr>
        <w:t>“</w:t>
      </w:r>
      <w:proofErr w:type="spellStart"/>
      <w:r>
        <w:rPr>
          <w:rFonts w:ascii="Verdana" w:eastAsia="Times New Roman" w:hAnsi="Verdana" w:cs="Arial"/>
          <w:i/>
          <w:iCs/>
          <w:color w:val="000000" w:themeColor="text1"/>
          <w:lang w:val="es-ES" w:eastAsia="es-ES"/>
        </w:rPr>
        <w:t>ii</w:t>
      </w:r>
      <w:proofErr w:type="spellEnd"/>
      <w:r>
        <w:rPr>
          <w:rFonts w:ascii="Verdana" w:eastAsia="Times New Roman" w:hAnsi="Verdana" w:cs="Arial"/>
          <w:i/>
          <w:iCs/>
          <w:color w:val="000000" w:themeColor="text1"/>
          <w:lang w:val="es-ES" w:eastAsia="es-ES"/>
        </w:rPr>
        <w:t>) la vigencia del contrato, con indicación de las fechas y horas de iniciación y vencimiento, o el modo de determinar unas y otras”.</w:t>
      </w:r>
      <w:r>
        <w:rPr>
          <w:rFonts w:ascii="Verdana" w:eastAsia="Times New Roman" w:hAnsi="Verdana" w:cs="Arial"/>
          <w:color w:val="000000" w:themeColor="text1"/>
          <w:lang w:val="es-ES" w:eastAsia="es-ES"/>
        </w:rPr>
        <w:t xml:space="preserve"> El Consejo de Estado se pronunció sobre esta disposición en los siguientes términos: </w:t>
      </w:r>
    </w:p>
    <w:p w14:paraId="7F685419" w14:textId="77777777" w:rsidR="001D7BA9" w:rsidRPr="00221F65" w:rsidRDefault="001D7BA9" w:rsidP="001D7BA9">
      <w:pPr>
        <w:spacing w:after="0" w:line="240" w:lineRule="auto"/>
        <w:ind w:left="709" w:right="758"/>
        <w:jc w:val="both"/>
        <w:rPr>
          <w:rFonts w:ascii="Verdana" w:eastAsia="Times New Roman" w:hAnsi="Verdana" w:cs="Arial"/>
          <w:bCs/>
          <w:color w:val="000000"/>
          <w:sz w:val="21"/>
          <w:szCs w:val="21"/>
          <w:lang w:val="es-ES_tradnl" w:eastAsia="es-ES_tradnl"/>
        </w:rPr>
      </w:pPr>
    </w:p>
    <w:p w14:paraId="606F3C8A" w14:textId="77777777" w:rsidR="001D7BA9" w:rsidRPr="00221F65" w:rsidRDefault="001D7BA9" w:rsidP="001D7BA9">
      <w:pPr>
        <w:spacing w:after="0" w:line="240" w:lineRule="auto"/>
        <w:ind w:left="709" w:right="616"/>
        <w:jc w:val="both"/>
        <w:rPr>
          <w:rFonts w:ascii="Verdana" w:eastAsia="Times New Roman" w:hAnsi="Verdana" w:cs="Arial"/>
          <w:bCs/>
          <w:color w:val="000000"/>
          <w:sz w:val="20"/>
          <w:szCs w:val="20"/>
          <w:lang w:val="es-ES_tradnl" w:eastAsia="es-ES_tradnl"/>
        </w:rPr>
      </w:pPr>
      <w:r>
        <w:rPr>
          <w:rFonts w:ascii="Verdana" w:eastAsia="Times New Roman" w:hAnsi="Verdana" w:cs="Arial"/>
          <w:bCs/>
          <w:color w:val="000000"/>
          <w:sz w:val="20"/>
          <w:szCs w:val="20"/>
          <w:lang w:val="es-ES_tradnl" w:eastAsia="es-ES_tradnl"/>
        </w:rPr>
        <w:t xml:space="preserve">“Dada la naturaleza de la obligación que contrae el asegurador, resulta de la mayor importancia la determinación del momento exacto a partir del cual aquel asume el riesgo que le es trasladado y así mismo, la hora y el día hasta los cuales va tal asunción, puesto que únicamente estará obligado a ejecutar la prestación a su cargo cuando el riesgo se realice dentro de ese </w:t>
      </w:r>
      <w:r>
        <w:rPr>
          <w:rFonts w:ascii="Verdana" w:eastAsia="Times New Roman" w:hAnsi="Verdana" w:cs="Arial"/>
          <w:bCs/>
          <w:color w:val="000000"/>
          <w:sz w:val="20"/>
          <w:szCs w:val="20"/>
          <w:lang w:val="es-ES_tradnl" w:eastAsia="es-ES_tradnl"/>
        </w:rPr>
        <w:lastRenderedPageBreak/>
        <w:t>lapso, es decir si el siniestro se presenta dentro de esos límites temporales”</w:t>
      </w:r>
      <w:r>
        <w:rPr>
          <w:rFonts w:ascii="Verdana" w:eastAsia="Times New Roman" w:hAnsi="Verdana" w:cs="Arial"/>
          <w:bCs/>
          <w:color w:val="000000"/>
          <w:sz w:val="20"/>
          <w:szCs w:val="20"/>
          <w:vertAlign w:val="superscript"/>
          <w:lang w:val="es-ES_tradnl" w:eastAsia="es-ES_tradnl"/>
        </w:rPr>
        <w:footnoteReference w:id="15"/>
      </w:r>
      <w:r>
        <w:rPr>
          <w:rFonts w:ascii="Verdana" w:eastAsia="Times New Roman" w:hAnsi="Verdana" w:cs="Arial"/>
          <w:bCs/>
          <w:color w:val="000000"/>
          <w:sz w:val="20"/>
          <w:szCs w:val="20"/>
          <w:lang w:val="es-ES_tradnl" w:eastAsia="es-ES_tradnl"/>
        </w:rPr>
        <w:t xml:space="preserve">. </w:t>
      </w:r>
    </w:p>
    <w:p w14:paraId="267264E8" w14:textId="77777777" w:rsidR="001D7BA9" w:rsidRPr="00221F65" w:rsidRDefault="001D7BA9" w:rsidP="001D7BA9">
      <w:pPr>
        <w:spacing w:after="0" w:line="240" w:lineRule="auto"/>
        <w:ind w:left="709" w:right="760"/>
        <w:jc w:val="both"/>
        <w:rPr>
          <w:rFonts w:ascii="Verdana" w:eastAsia="Times New Roman" w:hAnsi="Verdana" w:cs="Arial"/>
          <w:bCs/>
          <w:color w:val="000000"/>
          <w:sz w:val="21"/>
          <w:szCs w:val="21"/>
          <w:lang w:val="es-ES_tradnl" w:eastAsia="es-ES_tradnl"/>
        </w:rPr>
      </w:pPr>
    </w:p>
    <w:p w14:paraId="0D95EBE8" w14:textId="77777777" w:rsidR="001D7BA9" w:rsidRPr="00221F65" w:rsidRDefault="001D7BA9" w:rsidP="001D7BA9">
      <w:pPr>
        <w:spacing w:after="120" w:line="276" w:lineRule="auto"/>
        <w:ind w:firstLine="709"/>
        <w:jc w:val="both"/>
        <w:rPr>
          <w:rFonts w:ascii="Verdana" w:eastAsia="Times New Roman" w:hAnsi="Verdana" w:cs="Arial"/>
          <w:color w:val="000000"/>
          <w:lang w:val="es-ES" w:eastAsia="es-ES"/>
        </w:rPr>
      </w:pPr>
      <w:r>
        <w:rPr>
          <w:rFonts w:ascii="Verdana" w:eastAsia="Times New Roman" w:hAnsi="Verdana" w:cs="Arial"/>
          <w:color w:val="000000" w:themeColor="text1"/>
          <w:lang w:val="es-ES" w:eastAsia="es-ES"/>
        </w:rPr>
        <w:t xml:space="preserve">Resulta claro que el riesgo que se traslada al garante solamente será aquel que se realice dentro del plazo de vigencia de la garantía, es decir, si el siniestro se presenta dentro de esos límites temporales el garante deberá asumir sus consecuencias. Sin embargo, ello no puede confundirse con el término para hacer la reclamación de un riesgo ocurrido durante el término de vigencia de la garantía, pues para ello resulta necesario recurrir a las normas sobre prescripción de las acciones. </w:t>
      </w:r>
    </w:p>
    <w:p w14:paraId="4B87CBAB" w14:textId="77777777" w:rsidR="001D7BA9" w:rsidRPr="00221F65" w:rsidRDefault="001D7BA9" w:rsidP="001D7BA9">
      <w:pPr>
        <w:spacing w:after="120" w:line="276" w:lineRule="auto"/>
        <w:ind w:firstLine="709"/>
        <w:jc w:val="both"/>
        <w:rPr>
          <w:rFonts w:ascii="Verdana" w:eastAsia="Times New Roman" w:hAnsi="Verdana" w:cs="Arial"/>
          <w:bCs/>
          <w:color w:val="000000"/>
          <w:szCs w:val="24"/>
          <w:lang w:val="es-ES_tradnl" w:eastAsia="es-ES_tradnl"/>
        </w:rPr>
      </w:pPr>
      <w:r>
        <w:rPr>
          <w:rFonts w:ascii="Verdana" w:eastAsia="Times New Roman" w:hAnsi="Verdana" w:cs="Arial"/>
          <w:bCs/>
          <w:color w:val="000000"/>
          <w:szCs w:val="24"/>
          <w:lang w:val="es-ES_tradnl" w:eastAsia="es-ES_tradnl"/>
        </w:rPr>
        <w:t>De otro lado, puede afirmarse que, en términos ideales, una vez culmina el plazo de ejecución, deja de existir también, en gran medida, el riesgo de incumplimiento por parte del contratista, pues los incumplimientos del contrato suelen ocurrir durante la etapa de cumplimiento, o ejecución de las obligaciones. Lo anterior no pretende desconocer que para ciertos contratos algunas obligaciones y su exigibilidad subsisten más allá del plazo acordado para la ejecución del objeto principal, tal puede ser el caso de los aportes a la seguridad social de los trabajadores vinculados a la ejecución del objeto del contrato. Sin perjuicio de lo anterior, el vencimiento del plazo de ejecución del contrato, cuando es suspensivo, sin que el contratista haya ejecutado sus obligaciones, también es determinante para constatar el incumplimiento del contratista. La apreciación general anterior, según lo explicado, indica que muchos de los incumplimientos pueden darse durante la ejecución del contrato, pero es posible que este también ocurra una vez vencido el plazo de ejecución.</w:t>
      </w:r>
    </w:p>
    <w:p w14:paraId="339D354A" w14:textId="77777777" w:rsidR="001D7BA9" w:rsidRPr="00221F65" w:rsidRDefault="001D7BA9" w:rsidP="001D7BA9">
      <w:pPr>
        <w:spacing w:after="120" w:line="276" w:lineRule="auto"/>
        <w:ind w:firstLine="709"/>
        <w:jc w:val="both"/>
        <w:rPr>
          <w:rFonts w:ascii="Verdana" w:eastAsia="Times New Roman" w:hAnsi="Verdana" w:cs="Arial"/>
          <w:bCs/>
          <w:color w:val="000000"/>
          <w:szCs w:val="24"/>
          <w:lang w:val="es-ES_tradnl" w:eastAsia="es-ES_tradnl"/>
        </w:rPr>
      </w:pPr>
      <w:r>
        <w:rPr>
          <w:rFonts w:ascii="Verdana" w:eastAsia="Times New Roman" w:hAnsi="Verdana" w:cs="Arial"/>
          <w:bCs/>
          <w:color w:val="000000"/>
          <w:szCs w:val="24"/>
          <w:lang w:val="es-ES_tradnl" w:eastAsia="es-ES_tradnl"/>
        </w:rPr>
        <w:t xml:space="preserve">Ahora bien, volviendo sobre la vigencia de la garantía de cumplimiento, en cuanto al amparo de cumplimiento del contrato, la norma reglamentaria citada con anterioridad es clara y exige que la garantía permanezca vigente hasta la liquidación del contrato, esto es, más allá del plazo de ejecución y de vigencia del contrato estatal. Por tanto, en virtud de dicha disposición, el contratista debe cumplir con la obligación consistente en mantener la vigencia mínima del amparo de cumplimiento hasta la liquidación del contrato. </w:t>
      </w:r>
    </w:p>
    <w:p w14:paraId="31122D61" w14:textId="77777777" w:rsidR="001D7BA9" w:rsidRPr="000948A2" w:rsidRDefault="001D7BA9" w:rsidP="001D7BA9">
      <w:pPr>
        <w:spacing w:after="120" w:line="276" w:lineRule="auto"/>
        <w:ind w:firstLine="709"/>
        <w:jc w:val="both"/>
        <w:rPr>
          <w:rFonts w:ascii="Verdana" w:eastAsia="Times New Roman" w:hAnsi="Verdana" w:cs="Arial"/>
          <w:color w:val="000000"/>
          <w:lang w:val="es-ES" w:eastAsia="es-ES"/>
        </w:rPr>
      </w:pPr>
      <w:r>
        <w:rPr>
          <w:rFonts w:ascii="Verdana" w:eastAsia="Times New Roman" w:hAnsi="Verdana" w:cs="Arial"/>
          <w:color w:val="000000" w:themeColor="text1"/>
          <w:lang w:val="es-ES" w:eastAsia="es-ES"/>
        </w:rPr>
        <w:t xml:space="preserve">Bajo estas consideraciones, existe la obligación por parte del contratista de mantener la vigencia de la garantía de cumplimiento, en cuanto al amparo </w:t>
      </w:r>
      <w:r>
        <w:rPr>
          <w:rFonts w:ascii="Verdana" w:eastAsia="Times New Roman" w:hAnsi="Verdana" w:cs="Arial"/>
          <w:color w:val="000000" w:themeColor="text1"/>
          <w:lang w:val="es-ES" w:eastAsia="es-ES"/>
        </w:rPr>
        <w:lastRenderedPageBreak/>
        <w:t>de cumplimiento del contrato, hasta la liquidación del contrato, para lo cual se deberá tener en cuenta lo dispuesto por el artículo 11 de la Ley 1150 de 2007, según el cual la liquidación de los contratos se hará de mutuo acuerdo dentro del término fijado en los pliegos de condiciones o sus equivalentes o dentro del que acuerden las partes para el efecto o en su ausencia, el término supletivo establecido para la liquidación bilateral de 4 meses a partir de la terminación del contrato, o los 2 meses siguientes para realizar la liquidación de forma unilateral. En este sentido, ante la falta de liquidación bilateral o unilateral del contrato en dichos plazos, el contratista debe cumplir con la previsión normativa referida, en el sentido de mantener la vigencia de la garantía de cumplimiento hasta la liquidación efectiva del contrato, sin perjuicio de interponer la demanda con la pretensión de liquidarlo judicialmente.</w:t>
      </w:r>
    </w:p>
    <w:p w14:paraId="21639F62" w14:textId="77777777" w:rsidR="001D7BA9" w:rsidRDefault="001D7BA9" w:rsidP="001D7BA9">
      <w:pPr>
        <w:spacing w:after="120" w:line="276" w:lineRule="auto"/>
        <w:ind w:firstLine="709"/>
        <w:jc w:val="both"/>
        <w:rPr>
          <w:rFonts w:ascii="Verdana" w:eastAsia="Times New Roman" w:hAnsi="Verdana" w:cs="Arial"/>
          <w:bCs/>
          <w:color w:val="000000"/>
          <w:szCs w:val="24"/>
          <w:lang w:val="es-ES_tradnl" w:eastAsia="es-ES_tradnl"/>
        </w:rPr>
      </w:pPr>
      <w:r>
        <w:rPr>
          <w:rFonts w:ascii="Verdana" w:eastAsia="Times New Roman" w:hAnsi="Verdana" w:cs="Arial"/>
          <w:bCs/>
          <w:color w:val="000000"/>
          <w:szCs w:val="24"/>
          <w:lang w:val="es-ES_tradnl" w:eastAsia="es-ES_tradnl"/>
        </w:rPr>
        <w:t xml:space="preserve">De esta manera, si el contrato establece un plazo de liquidación de mutuo acuerdo de conformidad con lo señalado por el artículo 2.2.1.2.3.1.12. del Decreto 1082 de 2015, la entidad deberá verificar que la garantía se encuentre vigente, por lo menos, hasta dicho plazo. Si no se pacta un plazo de liquidación, se deberá tener en cuenta los términos supletivos de la liquidación bilateral y unilateral del artículo 11 de la ley 1150 de 2007. En todo caso, si por alguna razón no se logra liquidar el contrato dentro de dicho plazo, el contratista tiene el deber de mantener vigente la garantía hasta la liquidación efectiva del contrato, pues el artículo 2.2.1.2.3.1.12 del Decreto 1082 de 2015 lo dispone expresamente. </w:t>
      </w:r>
    </w:p>
    <w:p w14:paraId="652E057B" w14:textId="77777777" w:rsidR="00C7030B" w:rsidRDefault="001D7BA9" w:rsidP="001D7BA9">
      <w:pPr>
        <w:spacing w:line="276" w:lineRule="auto"/>
        <w:ind w:firstLine="709"/>
        <w:jc w:val="both"/>
        <w:rPr>
          <w:rFonts w:ascii="Verdana" w:eastAsia="Times New Roman" w:hAnsi="Verdana" w:cs="Arial"/>
          <w:bCs/>
          <w:color w:val="000000"/>
          <w:szCs w:val="24"/>
          <w:lang w:val="es-ES_tradnl" w:eastAsia="es-ES_tradnl"/>
        </w:rPr>
      </w:pPr>
      <w:r w:rsidRPr="006B2D5C">
        <w:rPr>
          <w:rFonts w:ascii="Verdana" w:eastAsia="Times New Roman" w:hAnsi="Verdana" w:cs="Arial"/>
          <w:bCs/>
          <w:color w:val="000000"/>
          <w:szCs w:val="24"/>
          <w:lang w:val="es-ES_tradnl" w:eastAsia="es-ES_tradnl"/>
        </w:rPr>
        <w:t xml:space="preserve">Ahora bien, el deber del contratista de mantener vigente el amparo de cumplimiento hasta la liquidación no debe confundirse con la procedencia de la liquidación bilateral. Una cosa es la obligación de conservar o ampliar el amparo, que recae sobre el contratista y cuya inobservancia habilita a la entidad para adoptar las medidas que correspondan, y otra distinta es que la liquidación de común acuerdo exija, como condición de validez, que la garantía haya sido previamente ampliada. El ordenamiento no consagra esa exigencia. El artículo 60 de la Ley 80 de 1993 dispone que, para la liquidación, se exigirá al contratista la extensión o ampliación de la garantía “si es del caso”, esto es, únicamente cuando subsistan obligaciones posteriores a la extinción del contrato que deban quedar amparadas, como la estabilidad de la obra, la calidad del bien o servicio suministrado o el pago de salarios y prestaciones. De ahí que, cuando el objeto se ejecutó a satisfacción y no subsisten riesgos amparables con posterioridad, la ausencia de ampliación no impide por sí sola el cierre bilateral del negocio. </w:t>
      </w:r>
    </w:p>
    <w:p w14:paraId="05E62E79" w14:textId="381FCAD3" w:rsidR="001D7BA9" w:rsidRDefault="001D7BA9" w:rsidP="001D7BA9">
      <w:pPr>
        <w:spacing w:line="276" w:lineRule="auto"/>
        <w:ind w:firstLine="709"/>
        <w:jc w:val="both"/>
        <w:rPr>
          <w:rFonts w:ascii="Verdana" w:eastAsia="Times New Roman" w:hAnsi="Verdana" w:cs="Arial"/>
          <w:bCs/>
          <w:color w:val="000000"/>
          <w:szCs w:val="24"/>
          <w:lang w:val="es-ES_tradnl" w:eastAsia="es-ES_tradnl"/>
        </w:rPr>
      </w:pPr>
      <w:r w:rsidRPr="006B2D5C">
        <w:rPr>
          <w:rFonts w:ascii="Verdana" w:eastAsia="Times New Roman" w:hAnsi="Verdana" w:cs="Arial"/>
          <w:bCs/>
          <w:color w:val="000000"/>
          <w:szCs w:val="24"/>
          <w:lang w:val="es-ES_tradnl" w:eastAsia="es-ES_tradnl"/>
        </w:rPr>
        <w:lastRenderedPageBreak/>
        <w:t xml:space="preserve">A </w:t>
      </w:r>
      <w:r w:rsidR="00C7030B">
        <w:rPr>
          <w:rFonts w:ascii="Verdana" w:eastAsia="Times New Roman" w:hAnsi="Verdana" w:cs="Arial"/>
          <w:bCs/>
          <w:color w:val="000000"/>
          <w:szCs w:val="24"/>
          <w:lang w:val="es-ES_tradnl" w:eastAsia="es-ES_tradnl"/>
        </w:rPr>
        <w:t xml:space="preserve">lo anterior </w:t>
      </w:r>
      <w:r w:rsidRPr="006B2D5C">
        <w:rPr>
          <w:rFonts w:ascii="Verdana" w:eastAsia="Times New Roman" w:hAnsi="Verdana" w:cs="Arial"/>
          <w:bCs/>
          <w:color w:val="000000"/>
          <w:szCs w:val="24"/>
          <w:lang w:val="es-ES_tradnl" w:eastAsia="es-ES_tradnl"/>
        </w:rPr>
        <w:t xml:space="preserve">se </w:t>
      </w:r>
      <w:r w:rsidR="00C7030B">
        <w:rPr>
          <w:rFonts w:ascii="Verdana" w:eastAsia="Times New Roman" w:hAnsi="Verdana" w:cs="Arial"/>
          <w:bCs/>
          <w:color w:val="000000"/>
          <w:szCs w:val="24"/>
          <w:lang w:val="es-ES_tradnl" w:eastAsia="es-ES_tradnl"/>
        </w:rPr>
        <w:t>suma</w:t>
      </w:r>
      <w:r w:rsidRPr="006B2D5C">
        <w:rPr>
          <w:rFonts w:ascii="Verdana" w:eastAsia="Times New Roman" w:hAnsi="Verdana" w:cs="Arial"/>
          <w:bCs/>
          <w:color w:val="000000"/>
          <w:szCs w:val="24"/>
          <w:lang w:val="es-ES_tradnl" w:eastAsia="es-ES_tradnl"/>
        </w:rPr>
        <w:t xml:space="preserve"> la distinción entre la vigencia de la garantía y el plazo para su reclamación, precisada en el Concepto C-479 del 27 de julio de 2020, pues los siniestros ocurridos durante la vigencia del amparo pueden reclamarse al garante aun después de su vencimiento, con sujeción a las reglas de prescripción, de modo que la liquidación no priva a la entidad de la cobertura de los riesgos ya concretados. En esa dirección, en el Concepto C-158 de 2023 esta Agencia examinó un supuesto equivalente —la liquidación bilateral sin salvedades de un contrato ejecutado a satisfacción— y sostuvo que el deber de mantener vigente el amparo de cumplimiento no queda librado a la discrecionalidad de la entidad, sin erigir su ampliación en requisito de la liquidación. Por tanto, la entidad estatal deberá verificar en cada caso si subsisten obligaciones o riesgos que justifiquen exigir la extensión o ampliación de los amparos y, de ser así, requerirla al contratista e incorporar el compromiso correspondiente en el acta. La renuencia del contratista a ampliar la garantía habilita el proceso sancionatorio contractual, mas no constituye, por sí sola, un impedimento para suscribir el acta de liquidación bilateral.</w:t>
      </w:r>
    </w:p>
    <w:p w14:paraId="6A919073" w14:textId="77777777" w:rsidR="001D7BA9" w:rsidRPr="00726C0F" w:rsidRDefault="001D7BA9" w:rsidP="001D7BA9">
      <w:pPr>
        <w:spacing w:line="276" w:lineRule="auto"/>
        <w:ind w:firstLine="709"/>
        <w:jc w:val="both"/>
        <w:rPr>
          <w:rFonts w:ascii="Verdana" w:eastAsia="Times New Roman" w:hAnsi="Verdana" w:cs="Arial"/>
          <w:bCs/>
          <w:color w:val="000000"/>
          <w:szCs w:val="24"/>
          <w:lang w:val="es-ES_tradnl" w:eastAsia="es-ES_tradnl"/>
        </w:rPr>
      </w:pPr>
      <w:r>
        <w:rPr>
          <w:rFonts w:ascii="Verdana" w:eastAsia="Times New Roman" w:hAnsi="Verdana" w:cs="Arial"/>
          <w:bCs/>
          <w:color w:val="000000"/>
          <w:szCs w:val="24"/>
          <w:lang w:eastAsia="es-ES_tradnl"/>
        </w:rPr>
        <w:t>Por último, si el contratista obligado a ampliar la garantía de cumplimiento una vez finalizado el contrato estatal y bajo el inicio de la etapa de liquidación se abstiene de su actuar, la entidad estatal, de acuerdo con lo pactado dentro del contrato estatal, y si así se contempló, podrá iniciar un proceso sancionatorio administrativo de carácter contractual contemplado en el artículo 86 de la Ley 1474 de 2011 y el artículo 17 de la Ley 1150 de 2007. Aunado a lo anterior, deberá analizar si la garantía de cumplimiento tiene vigente el amparo relativo a cumplimiento del contrato, que de conformidad con lo dispuesto en el artículo 2.2.1.2.3.1.7 el amparo de cumplimiento del contrato cubrirá a la Entidad Estatal de los perjuicios derivados del incumplimiento total o parcial del contrato, cuando el incumplimiento es imputable al contratista; el cumplimiento tardío o defectuoso del contrato, cuando el incumplimiento es imputable al contratista; los daños imputables al contratista por entregas parciales de la obra, cuando el contrato no prevé entregas parciales; y el pago del valor de las multas y de la cláusula penal pecuniaria.</w:t>
      </w:r>
    </w:p>
    <w:p w14:paraId="6D5F8A54" w14:textId="77777777" w:rsidR="001D7BA9" w:rsidRPr="00A77871" w:rsidRDefault="001D7BA9" w:rsidP="001D7BA9">
      <w:pPr>
        <w:numPr>
          <w:ilvl w:val="0"/>
          <w:numId w:val="16"/>
        </w:numPr>
        <w:tabs>
          <w:tab w:val="left" w:pos="142"/>
          <w:tab w:val="left" w:pos="284"/>
        </w:tabs>
        <w:spacing w:before="240" w:line="276" w:lineRule="auto"/>
        <w:ind w:left="0" w:firstLine="357"/>
        <w:contextualSpacing/>
        <w:jc w:val="both"/>
        <w:rPr>
          <w:rFonts w:ascii="Verdana" w:eastAsia="Century Gothic" w:hAnsi="Verdana" w:cs="Century Gothic"/>
          <w:b/>
          <w:bCs/>
        </w:rPr>
      </w:pPr>
      <w:r>
        <w:rPr>
          <w:rFonts w:ascii="Verdana" w:eastAsia="Century Gothic" w:hAnsi="Verdana" w:cs="Century Gothic"/>
          <w:b/>
          <w:bCs/>
        </w:rPr>
        <w:t>Referencias normativas y jurisprudenciales:</w:t>
      </w:r>
    </w:p>
    <w:p w14:paraId="054AB0B4" w14:textId="77777777" w:rsidR="001D7BA9" w:rsidRPr="00A77871" w:rsidRDefault="001D7BA9" w:rsidP="001D7BA9">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D7BA9" w:rsidRPr="00A77871" w14:paraId="7459DB14" w14:textId="77777777" w:rsidTr="00D53F6C">
        <w:trPr>
          <w:trHeight w:val="410"/>
          <w:jc w:val="center"/>
        </w:trPr>
        <w:tc>
          <w:tcPr>
            <w:tcW w:w="8647" w:type="dxa"/>
          </w:tcPr>
          <w:p w14:paraId="1D69AA5B" w14:textId="77777777" w:rsidR="001D7BA9" w:rsidRPr="006A7ECF" w:rsidRDefault="001D7BA9" w:rsidP="00D53F6C">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Ley 80 de 1993. Artículo 60. </w:t>
            </w:r>
          </w:p>
          <w:p w14:paraId="79B92B0A" w14:textId="039662DB" w:rsidR="001D7BA9" w:rsidRPr="00C7030B" w:rsidRDefault="001D7BA9" w:rsidP="00D53F6C">
            <w:pPr>
              <w:pStyle w:val="Prrafodelista"/>
              <w:numPr>
                <w:ilvl w:val="0"/>
                <w:numId w:val="17"/>
              </w:numPr>
              <w:spacing w:line="276" w:lineRule="auto"/>
              <w:jc w:val="both"/>
              <w:rPr>
                <w:rFonts w:ascii="Verdana" w:eastAsia="Arial MT" w:hAnsi="Verdana" w:cs="Arial"/>
                <w:lang w:eastAsia="es-ES" w:bidi="es-ES"/>
              </w:rPr>
            </w:pPr>
            <w:r w:rsidRPr="006B2D5C">
              <w:rPr>
                <w:rFonts w:ascii="Verdana" w:eastAsia="Arial MT" w:hAnsi="Verdana" w:cs="Arial"/>
                <w:lang w:eastAsia="es-ES" w:bidi="es-ES"/>
              </w:rPr>
              <w:t>Ley 1150 de 2007. Artículos 11 y 17.</w:t>
            </w:r>
            <w:r w:rsidRPr="00C7030B">
              <w:rPr>
                <w:rFonts w:ascii="Verdana" w:eastAsia="Arial MT" w:hAnsi="Verdana" w:cs="Arial"/>
                <w:lang w:eastAsia="es-ES" w:bidi="es-ES"/>
              </w:rPr>
              <w:t xml:space="preserve"> </w:t>
            </w:r>
          </w:p>
          <w:p w14:paraId="4FB5117F" w14:textId="3B5B1691" w:rsidR="001D7BA9" w:rsidRPr="00C7030B" w:rsidRDefault="001D7BA9" w:rsidP="00D53F6C">
            <w:pPr>
              <w:pStyle w:val="Prrafodelista"/>
              <w:numPr>
                <w:ilvl w:val="0"/>
                <w:numId w:val="17"/>
              </w:numPr>
              <w:spacing w:line="276" w:lineRule="auto"/>
              <w:jc w:val="both"/>
              <w:rPr>
                <w:rFonts w:ascii="Verdana" w:eastAsia="Arial MT" w:hAnsi="Verdana" w:cs="Arial"/>
                <w:lang w:eastAsia="es-ES" w:bidi="es-ES"/>
              </w:rPr>
            </w:pPr>
            <w:r w:rsidRPr="00C7030B">
              <w:rPr>
                <w:rFonts w:ascii="Verdana" w:eastAsia="Arial MT" w:hAnsi="Verdana" w:cs="Arial"/>
                <w:lang w:eastAsia="es-ES" w:bidi="es-ES"/>
              </w:rPr>
              <w:lastRenderedPageBreak/>
              <w:t xml:space="preserve">Decreto 019 de 2012. Artículo 217. Decreto 1082 de 2015. Artículos: </w:t>
            </w:r>
            <w:r w:rsidRPr="00C7030B">
              <w:rPr>
                <w:rFonts w:ascii="Verdana" w:eastAsia="Times New Roman" w:hAnsi="Verdana" w:cs="Arial"/>
                <w:bCs/>
                <w:color w:val="000000"/>
                <w:szCs w:val="24"/>
                <w:lang w:val="es-ES_tradnl" w:eastAsia="es-ES_tradnl"/>
              </w:rPr>
              <w:t xml:space="preserve">2.2.1.2.3.1.7, </w:t>
            </w:r>
            <w:r w:rsidRPr="006B2D5C">
              <w:rPr>
                <w:rFonts w:ascii="Verdana" w:eastAsia="Times New Roman" w:hAnsi="Verdana" w:cs="Arial"/>
                <w:bCs/>
                <w:color w:val="000000"/>
                <w:szCs w:val="24"/>
                <w:lang w:val="es-ES_tradnl" w:eastAsia="es-ES_tradnl"/>
              </w:rPr>
              <w:t xml:space="preserve">2.2.1.2.3.1.12., 2.2.1.2.3.1.13 y 2.2.1.2.3.1.14. Ley 1474 de 2011. Artículo 86. </w:t>
            </w:r>
          </w:p>
          <w:p w14:paraId="706D2082" w14:textId="77777777" w:rsidR="001D7BA9" w:rsidRPr="004E2EB4" w:rsidRDefault="001D7BA9" w:rsidP="00D53F6C">
            <w:pPr>
              <w:pStyle w:val="Prrafodelista"/>
              <w:numPr>
                <w:ilvl w:val="0"/>
                <w:numId w:val="17"/>
              </w:numPr>
              <w:spacing w:line="276" w:lineRule="auto"/>
              <w:jc w:val="both"/>
              <w:rPr>
                <w:rFonts w:ascii="Verdana" w:eastAsia="Arial MT" w:hAnsi="Verdana" w:cs="Arial"/>
                <w:lang w:eastAsia="es-ES" w:bidi="es-ES"/>
              </w:rPr>
            </w:pPr>
            <w:r>
              <w:rPr>
                <w:rFonts w:ascii="Verdana" w:eastAsia="Times New Roman" w:hAnsi="Verdana" w:cs="Arial"/>
                <w:bCs/>
                <w:color w:val="000000"/>
                <w:szCs w:val="24"/>
                <w:lang w:val="es-ES_tradnl" w:eastAsia="es-ES_tradnl"/>
              </w:rPr>
              <w:t xml:space="preserve">Código de Comercio. Artículo: 1047. </w:t>
            </w:r>
          </w:p>
          <w:p w14:paraId="2585003B" w14:textId="77777777" w:rsidR="001D7BA9" w:rsidRDefault="001D7BA9" w:rsidP="00D53F6C">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Consejo de Estado. Sala de lo Contencioso Administrativo. Sección Tercera. Subsección C. Sentencia del 20 de octubre de 2014. Radicado No. 05001-23-31-000-1998-00038-01 (27.777). C.P: Enrique Gil Botero.</w:t>
            </w:r>
          </w:p>
          <w:p w14:paraId="7A66AB93" w14:textId="77777777" w:rsidR="001D7BA9" w:rsidRDefault="001D7BA9" w:rsidP="00D53F6C">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Consejo de Estado. Sala de lo Contencioso Administrativo. Sección Tercera. Subsección A. Sentencia del 1 de julio de 2025. Radicado: 25000-23-36-000-2021-00617-01 (72021) C.P: José Roberto Sáchica Méndez.</w:t>
            </w:r>
          </w:p>
          <w:p w14:paraId="4FD125EE" w14:textId="77777777" w:rsidR="001D7BA9" w:rsidRDefault="001D7BA9" w:rsidP="00D53F6C">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Consejo de Estado. Sala de Consulta y Servicio Civil. Concepto de 28 de junio de 2016. Radicación: 2253. C.P: Álvaro Namén Vargas.</w:t>
            </w:r>
          </w:p>
          <w:p w14:paraId="25A8FB4C" w14:textId="77777777" w:rsidR="001D7BA9" w:rsidRDefault="001D7BA9" w:rsidP="00D53F6C">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Consejo de Estado. Sala Plena de lo Contencioso Administrativo. Sección Tercera. Sala Plena. Auto de 1 de agosto de 2019. </w:t>
            </w:r>
            <w:proofErr w:type="spellStart"/>
            <w:r>
              <w:rPr>
                <w:rFonts w:ascii="Verdana" w:eastAsia="Arial MT" w:hAnsi="Verdana" w:cs="Arial"/>
                <w:lang w:eastAsia="es-ES" w:bidi="es-ES"/>
              </w:rPr>
              <w:t>Exp</w:t>
            </w:r>
            <w:proofErr w:type="spellEnd"/>
            <w:r>
              <w:rPr>
                <w:rFonts w:ascii="Verdana" w:eastAsia="Arial MT" w:hAnsi="Verdana" w:cs="Arial"/>
                <w:lang w:eastAsia="es-ES" w:bidi="es-ES"/>
              </w:rPr>
              <w:t>. 62009. C.P: Jaime Enrique Rodríguez Navas.</w:t>
            </w:r>
          </w:p>
          <w:p w14:paraId="5EBD524C" w14:textId="77777777" w:rsidR="001D7BA9" w:rsidRDefault="001D7BA9" w:rsidP="00D53F6C">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Consejo de Estado. Sala de lo Contenciosos Administrativo. Sección Tercera. Subsección B. Sentencia de 19 de junio de 2013. Radicado: 25000-23-26-000-2000-02019-01 (25472). C.P: Danilo Rojas Betancourth.  </w:t>
            </w:r>
          </w:p>
          <w:p w14:paraId="200B1696" w14:textId="77777777" w:rsidR="001D7BA9" w:rsidRPr="004E2EB4" w:rsidRDefault="001D7BA9" w:rsidP="00D53F6C">
            <w:pPr>
              <w:pStyle w:val="Prrafodelista"/>
              <w:numPr>
                <w:ilvl w:val="0"/>
                <w:numId w:val="17"/>
              </w:numPr>
              <w:spacing w:line="276" w:lineRule="auto"/>
              <w:jc w:val="both"/>
              <w:rPr>
                <w:rFonts w:ascii="Verdana" w:eastAsia="Arial MT" w:hAnsi="Verdana" w:cs="Arial"/>
                <w:lang w:eastAsia="es-ES" w:bidi="es-ES"/>
              </w:rPr>
            </w:pPr>
            <w:r>
              <w:rPr>
                <w:rFonts w:ascii="Verdana" w:hAnsi="Verdana" w:cs="Arial"/>
                <w:color w:val="000000"/>
              </w:rPr>
              <w:t xml:space="preserve">Colombia Compra Eficiente. Guía para la Liquidación de los Procesos de Contratación. </w:t>
            </w:r>
            <w:r>
              <w:rPr>
                <w:rFonts w:ascii="Verdana" w:hAnsi="Verdana" w:cs="Arial"/>
                <w:color w:val="000000"/>
                <w:lang w:val="es-CO"/>
              </w:rPr>
              <w:t xml:space="preserve">Disponible en: </w:t>
            </w:r>
            <w:hyperlink r:id="rId12" w:anchor=":~:text=Colombia%20Compra%20Eficiente%20presenta%20la%20Gu%C3%ADa%20para%20la,part%C3%ADcipes%20del%20sistema%20de%20compras%20y%20contrataci%C3%B3n%20p%C3%BAblica." w:history="1">
              <w:r>
                <w:rPr>
                  <w:rStyle w:val="Hipervnculo"/>
                  <w:rFonts w:ascii="Verdana" w:hAnsi="Verdana"/>
                  <w:lang w:val="es-CO"/>
                </w:rPr>
                <w:t>https://colombiacompra.gov.co/wp-content/uploads/2024/08/cce_guia_liquidacion_procesos.pdf</w:t>
              </w:r>
            </w:hyperlink>
          </w:p>
          <w:p w14:paraId="646E3E53" w14:textId="77777777" w:rsidR="001D7BA9" w:rsidRPr="00D31757" w:rsidRDefault="001D7BA9" w:rsidP="00D53F6C">
            <w:pPr>
              <w:numPr>
                <w:ilvl w:val="0"/>
                <w:numId w:val="17"/>
              </w:numPr>
              <w:spacing w:line="360" w:lineRule="auto"/>
              <w:jc w:val="both"/>
              <w:rPr>
                <w:rFonts w:ascii="Verdana" w:hAnsi="Verdana" w:cs="Arial"/>
              </w:rPr>
            </w:pPr>
            <w:r>
              <w:rPr>
                <w:rFonts w:ascii="Verdana" w:hAnsi="Verdana" w:cs="Arial"/>
                <w:color w:val="000000"/>
              </w:rPr>
              <w:t xml:space="preserve">Colombia Compra Eficiente. Guía de Garantías en Proceso de Contratación. Disponible en: </w:t>
            </w:r>
            <w:hyperlink r:id="rId13" w:tooltip="Dirección URL original: https://www.colombiacompra.gov.co/archivos/manual/guia-de-garantias-en-procesos-de-contratacion. Haga clic o pulse si confía en este vínculo." w:history="1">
              <w:r>
                <w:rPr>
                  <w:rStyle w:val="Hipervnculo"/>
                  <w:rFonts w:ascii="Verdana" w:hAnsi="Verdana"/>
                </w:rPr>
                <w:t>https://www.colombiacompra.gov.co/archivos/manual/guia-de-garantias-en-procesos-de-contratacion</w:t>
              </w:r>
            </w:hyperlink>
          </w:p>
        </w:tc>
      </w:tr>
    </w:tbl>
    <w:p w14:paraId="363681CE" w14:textId="77777777" w:rsidR="001D7BA9" w:rsidRDefault="001D7BA9" w:rsidP="001D7BA9">
      <w:pPr>
        <w:tabs>
          <w:tab w:val="left" w:pos="142"/>
          <w:tab w:val="left" w:pos="284"/>
        </w:tabs>
        <w:spacing w:before="240" w:line="276" w:lineRule="auto"/>
        <w:ind w:left="357"/>
        <w:contextualSpacing/>
        <w:jc w:val="both"/>
        <w:rPr>
          <w:rFonts w:ascii="Verdana" w:eastAsia="Century Gothic" w:hAnsi="Verdana" w:cs="Century Gothic"/>
          <w:b/>
          <w:bCs/>
        </w:rPr>
      </w:pPr>
    </w:p>
    <w:p w14:paraId="641E9945" w14:textId="77777777" w:rsidR="001D7BA9" w:rsidRPr="00271484" w:rsidRDefault="001D7BA9" w:rsidP="001D7BA9">
      <w:pPr>
        <w:numPr>
          <w:ilvl w:val="0"/>
          <w:numId w:val="16"/>
        </w:numPr>
        <w:tabs>
          <w:tab w:val="left" w:pos="142"/>
          <w:tab w:val="left" w:pos="284"/>
        </w:tabs>
        <w:spacing w:before="240" w:line="276" w:lineRule="auto"/>
        <w:ind w:left="0" w:firstLine="357"/>
        <w:contextualSpacing/>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04EAD951" w14:textId="77777777" w:rsidR="001D7BA9" w:rsidRDefault="001D7BA9" w:rsidP="001D7BA9">
      <w:pPr>
        <w:widowControl w:val="0"/>
        <w:autoSpaceDE w:val="0"/>
        <w:autoSpaceDN w:val="0"/>
        <w:spacing w:after="0" w:line="276" w:lineRule="auto"/>
        <w:jc w:val="both"/>
        <w:rPr>
          <w:rFonts w:ascii="Verdana" w:hAnsi="Verdana" w:cs="Arial"/>
          <w:shd w:val="clear" w:color="auto" w:fill="FFFFFF"/>
        </w:rPr>
      </w:pPr>
    </w:p>
    <w:p w14:paraId="409FA575" w14:textId="77777777" w:rsidR="001D7BA9" w:rsidRDefault="001D7BA9" w:rsidP="001D7BA9">
      <w:pPr>
        <w:widowControl w:val="0"/>
        <w:autoSpaceDE w:val="0"/>
        <w:autoSpaceDN w:val="0"/>
        <w:spacing w:after="0" w:line="276" w:lineRule="auto"/>
        <w:jc w:val="both"/>
        <w:rPr>
          <w:rFonts w:ascii="Verdana" w:hAnsi="Verdana" w:cs="Arial"/>
          <w:shd w:val="clear" w:color="auto" w:fill="FFFFFF"/>
        </w:rPr>
      </w:pPr>
      <w:r>
        <w:rPr>
          <w:rFonts w:ascii="Verdana" w:hAnsi="Verdana" w:cs="Arial"/>
          <w:shd w:val="clear" w:color="auto" w:fill="FFFFFF"/>
        </w:rPr>
        <w:t xml:space="preserve">Esta Subdirección se ha pronunciado sobre la liquidación y garantías de los contratos estatales en los conceptos 4201912000004908 del 27 de septiembre de 2019, CU-028 de 25 de febrero de 2020, C-221 de 21 de abril de 2020, C-078 del 17 de marzo de 2021, C-220 del 18 de mayo de 2021, C-444 del 23 de </w:t>
      </w:r>
      <w:r>
        <w:rPr>
          <w:rFonts w:ascii="Verdana" w:hAnsi="Verdana" w:cs="Arial"/>
          <w:shd w:val="clear" w:color="auto" w:fill="FFFFFF"/>
        </w:rPr>
        <w:lastRenderedPageBreak/>
        <w:t xml:space="preserve">julio de 2021, C-747 del 8 de noviembre de 2022, C-739 de del 29 de noviembre de 2022, C- 176 de 3 de mayo de 2023, C-158 del 6 de junio de 2023, C-326 del 15 de agosto de 2024, C-568 del 18 de octubre de 2024,  C-708 del 21 de noviembre de 2024, C-510 del 4 de junio de 2025, C- 1243 del 4 de octubre de 2025, C-198 del 19 de marzo de 2026, entre otros. </w:t>
      </w:r>
    </w:p>
    <w:p w14:paraId="479B59B6" w14:textId="77777777" w:rsidR="001D7BA9" w:rsidRPr="00DC069E" w:rsidRDefault="001D7BA9" w:rsidP="001D7BA9">
      <w:pPr>
        <w:widowControl w:val="0"/>
        <w:autoSpaceDE w:val="0"/>
        <w:autoSpaceDN w:val="0"/>
        <w:spacing w:before="240" w:after="0" w:line="276" w:lineRule="auto"/>
        <w:jc w:val="both"/>
        <w:rPr>
          <w:rFonts w:ascii="Verdana" w:eastAsia="Calibri" w:hAnsi="Verdana" w:cs="Times New Roman"/>
        </w:rPr>
      </w:pPr>
      <w:r>
        <w:rPr>
          <w:rFonts w:ascii="Verdana" w:eastAsia="Calibri" w:hAnsi="Verdana" w:cs="Times New Roman"/>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history="1">
        <w:r>
          <w:rPr>
            <w:rStyle w:val="Hipervnculo"/>
            <w:rFonts w:ascii="Verdana" w:eastAsia="Calibri" w:hAnsi="Verdana" w:cs="Times New Roman"/>
            <w:lang w:val="es-ES"/>
          </w:rPr>
          <w:t>https://relatoria.colombiacompra.gov.co/busqueda/conceptos</w:t>
        </w:r>
      </w:hyperlink>
      <w:r>
        <w:rPr>
          <w:rFonts w:ascii="Verdana" w:eastAsia="Calibri" w:hAnsi="Verdana" w:cs="Times New Roman"/>
        </w:rPr>
        <w:t xml:space="preserve">. </w:t>
      </w:r>
    </w:p>
    <w:p w14:paraId="2DCD7DA6" w14:textId="77777777" w:rsidR="001D7BA9" w:rsidRPr="00C509E0" w:rsidRDefault="001D7BA9" w:rsidP="001D7BA9">
      <w:pPr>
        <w:widowControl w:val="0"/>
        <w:autoSpaceDE w:val="0"/>
        <w:autoSpaceDN w:val="0"/>
        <w:spacing w:before="240" w:after="120" w:line="276" w:lineRule="auto"/>
        <w:jc w:val="both"/>
        <w:rPr>
          <w:rFonts w:ascii="Verdana" w:hAnsi="Verdana" w:cs="Arial"/>
          <w:shd w:val="clear" w:color="auto" w:fill="FFFFFF"/>
        </w:rPr>
      </w:pPr>
      <w:r>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Pr>
          <w:rFonts w:ascii="Verdana" w:hAnsi="Verdana"/>
          <w:b/>
          <w:bCs/>
        </w:rPr>
        <w:t>Guía para la Exigencia y Constitución de Garantías en los Procesos de Contratación</w:t>
      </w:r>
      <w:r>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tooltip="Dirección URL original: https://www.colombiacompra.gov.co/archivos/manual/guia-de-garantias-en-procesos-de-contratacion. Haga clic o pulse si confía en este vínculo." w:history="1">
        <w:r>
          <w:rPr>
            <w:rStyle w:val="Hipervnculo"/>
            <w:rFonts w:ascii="Verdana" w:hAnsi="Verdana"/>
          </w:rPr>
          <w:t>https://www.colombiacompra.gov.co/archivos/manual/guia-de-garantias-en-procesos-de-contratacion</w:t>
        </w:r>
      </w:hyperlink>
    </w:p>
    <w:p w14:paraId="3F5A1DAD" w14:textId="77777777" w:rsidR="001D7BA9" w:rsidRPr="008725C9" w:rsidRDefault="001D7BA9" w:rsidP="001D7BA9">
      <w:pPr>
        <w:spacing w:line="276" w:lineRule="auto"/>
        <w:jc w:val="both"/>
        <w:rPr>
          <w:rFonts w:ascii="Verdana" w:hAnsi="Verdana"/>
        </w:rPr>
      </w:pPr>
      <w:r>
        <w:rPr>
          <w:rFonts w:ascii="Verdana" w:hAnsi="Verdana"/>
        </w:rPr>
        <w:t>De otro lado, te contamos que el Decreto 287 del 19 de marzo de 2026 sustituyó los artículos 2.2.1.2.4.2.6., 2.2.1.2.4.2.7. y 2.2.1.2.4.2.8. del Decreto 1082 de 2015 y estructuró el </w:t>
      </w:r>
      <w:r>
        <w:rPr>
          <w:rFonts w:ascii="Verdana" w:hAnsi="Verdana"/>
          <w:b/>
          <w:bCs/>
        </w:rPr>
        <w:t>Sistema Integral de Preferencias en favor de las personas con discapacidad</w:t>
      </w:r>
      <w:r>
        <w:rPr>
          <w:rFonts w:ascii="Verdana" w:hAnsi="Verdana"/>
        </w:rPr>
        <w:t>, en cumplimiento del artículo 13 de la Ley Estatutaria 1618 de 2013. Para orientar su aplicación, esta Agencia expidió la </w:t>
      </w:r>
      <w:r>
        <w:rPr>
          <w:rFonts w:ascii="Verdana" w:hAnsi="Verdana"/>
          <w:b/>
          <w:bCs/>
        </w:rPr>
        <w:t>Circular Externa 003 del 12 de mayo de 2026, </w:t>
      </w:r>
      <w:r>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6" w:tooltip="Dirección URL original: https://www.colombiacompra.gov.co/archivos/circular/circular-externa-003-de-2026. Haga clic o pulse si confía en este vínculo." w:history="1">
        <w:r>
          <w:rPr>
            <w:rStyle w:val="Hipervnculo"/>
            <w:rFonts w:ascii="Verdana" w:hAnsi="Verdana"/>
          </w:rPr>
          <w:t>https://www.colombiacompra.gov.co/archivos/circular/circular-externa-003-de-2026</w:t>
        </w:r>
      </w:hyperlink>
    </w:p>
    <w:p w14:paraId="7F313D8D" w14:textId="77777777" w:rsidR="001D7BA9" w:rsidRPr="008725C9" w:rsidRDefault="001D7BA9" w:rsidP="001D7BA9">
      <w:pPr>
        <w:spacing w:line="276" w:lineRule="auto"/>
        <w:jc w:val="both"/>
        <w:rPr>
          <w:rFonts w:ascii="Verdana" w:hAnsi="Verdana"/>
        </w:rPr>
      </w:pPr>
      <w:r>
        <w:rPr>
          <w:rFonts w:ascii="Verdana" w:hAnsi="Verdana"/>
        </w:rPr>
        <w:lastRenderedPageBreak/>
        <w:t>Recuerda también que la</w:t>
      </w:r>
      <w:r>
        <w:rPr>
          <w:rFonts w:ascii="Verdana" w:hAnsi="Verdana"/>
          <w:b/>
          <w:bCs/>
        </w:rPr>
        <w:t> información sobre sanciones e inhabilidades </w:t>
      </w:r>
      <w:r>
        <w:rPr>
          <w:rFonts w:ascii="Verdana" w:hAnsi="Verdana"/>
        </w:rPr>
        <w:t>solo cumple su función preventiva si llega oportunamente a los registros públicos. Sobre este deber, esta Agencia expidió la </w:t>
      </w:r>
      <w:r>
        <w:rPr>
          <w:rFonts w:ascii="Verdana" w:hAnsi="Verdana"/>
          <w:b/>
          <w:bCs/>
        </w:rPr>
        <w:t>Circular Externa 002 del 5 de mayo de 2026,</w:t>
      </w:r>
      <w:r>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ooltip="Dirección URL original: https://www.colombiacompra.gov.co/archivos/circular/circular-externa-002-de-2026. Haga clic o pulse si confía en este vínculo." w:history="1">
        <w:r>
          <w:rPr>
            <w:rStyle w:val="Hipervnculo"/>
            <w:rFonts w:ascii="Verdana" w:hAnsi="Verdana"/>
          </w:rPr>
          <w:t>https://www.colombiacompra.gov.co/archivos/circular/circular-externa-002-de-2026</w:t>
        </w:r>
      </w:hyperlink>
    </w:p>
    <w:p w14:paraId="1F1343E9" w14:textId="77777777" w:rsidR="001D7BA9" w:rsidRPr="008725C9" w:rsidRDefault="001D7BA9" w:rsidP="001D7BA9">
      <w:pPr>
        <w:spacing w:line="276" w:lineRule="auto"/>
        <w:jc w:val="both"/>
        <w:rPr>
          <w:rFonts w:ascii="Verdana" w:hAnsi="Verdana"/>
        </w:rPr>
      </w:pPr>
      <w:r>
        <w:rPr>
          <w:rFonts w:ascii="Verdana" w:hAnsi="Verdana"/>
        </w:rPr>
        <w:t>Finalmente, si quieres seguir de cerca la actividad de la Agencia, la tercera edición de 2026 del</w:t>
      </w:r>
      <w:r>
        <w:rPr>
          <w:rFonts w:ascii="Verdana" w:hAnsi="Verdana"/>
          <w:b/>
          <w:bCs/>
        </w:rPr>
        <w:t> Radar de la Compra Pública</w:t>
      </w:r>
      <w:r>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tooltip="Dirección URL original: https://www.colombiacompra.gov.co/archivos/boletin/boletin-edicion-n-3-de-2026-radar-de-la-compra-publica. Haga clic o pulse si confía en este vínculo." w:history="1">
        <w:r>
          <w:rPr>
            <w:rStyle w:val="Hipervnculo"/>
            <w:rFonts w:ascii="Verdana" w:hAnsi="Verdana"/>
          </w:rPr>
          <w:t>https://www.colombiacompra.gov.co/archivos/boletin/boletin-edicion-n-3-de-2026-radar-de-la-compra-publica</w:t>
        </w:r>
      </w:hyperlink>
      <w:r>
        <w:rPr>
          <w:rFonts w:ascii="Verdana" w:hAnsi="Verdana"/>
        </w:rPr>
        <w:t>"</w:t>
      </w:r>
    </w:p>
    <w:p w14:paraId="4120F485" w14:textId="77777777" w:rsidR="001D7BA9" w:rsidRPr="00047700" w:rsidRDefault="001D7BA9" w:rsidP="001D7BA9">
      <w:pPr>
        <w:spacing w:line="276" w:lineRule="auto"/>
        <w:jc w:val="both"/>
        <w:rPr>
          <w:rFonts w:ascii="Verdana" w:hAnsi="Verdana"/>
        </w:rPr>
      </w:pPr>
      <w:r>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85178F8" w14:textId="77777777" w:rsidR="001D7BA9" w:rsidRPr="00D5657B" w:rsidRDefault="001D7BA9" w:rsidP="001D7BA9">
      <w:pPr>
        <w:pStyle w:val="Prrafodelista"/>
        <w:numPr>
          <w:ilvl w:val="0"/>
          <w:numId w:val="18"/>
        </w:numPr>
        <w:spacing w:after="0" w:line="276" w:lineRule="auto"/>
        <w:jc w:val="both"/>
        <w:rPr>
          <w:rFonts w:ascii="Verdana" w:eastAsia="Verdana" w:hAnsi="Verdana" w:cs="Verdana"/>
          <w:color w:val="4472C4" w:themeColor="accent1"/>
          <w:u w:val="single"/>
        </w:rPr>
      </w:pPr>
      <w:r>
        <w:rPr>
          <w:rFonts w:ascii="Verdana" w:eastAsia="Verdana" w:hAnsi="Verdana" w:cs="Verdana"/>
        </w:rPr>
        <w:t xml:space="preserve">Línea nacional gratuita o servicio a la ciudadanía (Mesa de servicio): </w:t>
      </w:r>
      <w:r>
        <w:rPr>
          <w:rStyle w:val="Hipervnculo"/>
          <w:rFonts w:ascii="Verdana" w:hAnsi="Verdana"/>
          <w:lang w:val="es-CO"/>
        </w:rPr>
        <w:t>01800 0520808</w:t>
      </w:r>
    </w:p>
    <w:p w14:paraId="589A9616" w14:textId="77777777" w:rsidR="001D7BA9" w:rsidRPr="00D5657B" w:rsidRDefault="001D7BA9" w:rsidP="001D7BA9">
      <w:pPr>
        <w:pStyle w:val="Prrafodelista"/>
        <w:numPr>
          <w:ilvl w:val="0"/>
          <w:numId w:val="18"/>
        </w:numPr>
        <w:spacing w:after="0" w:line="276" w:lineRule="auto"/>
        <w:jc w:val="both"/>
        <w:rPr>
          <w:rFonts w:ascii="Verdana" w:eastAsia="Verdana" w:hAnsi="Verdana" w:cs="Verdana"/>
          <w:color w:val="4472C4" w:themeColor="accent1"/>
          <w:u w:val="single"/>
          <w:lang w:val="es-CO"/>
        </w:rPr>
      </w:pPr>
      <w:r>
        <w:rPr>
          <w:rFonts w:ascii="Verdana" w:eastAsia="Verdana" w:hAnsi="Verdana" w:cs="Verdana"/>
          <w:lang w:val="es-CO"/>
        </w:rPr>
        <w:t xml:space="preserve">Línea en Bogotá (Mesa de servicio): </w:t>
      </w:r>
      <w:r>
        <w:rPr>
          <w:rStyle w:val="Hipervnculo"/>
          <w:rFonts w:ascii="Verdana" w:hAnsi="Verdana"/>
          <w:lang w:val="es-CO"/>
        </w:rPr>
        <w:t>+57 601 7456788</w:t>
      </w:r>
    </w:p>
    <w:p w14:paraId="3D7CBB95" w14:textId="77777777" w:rsidR="001D7BA9" w:rsidRPr="00D5657B" w:rsidRDefault="001D7BA9" w:rsidP="001D7BA9">
      <w:pPr>
        <w:pStyle w:val="Prrafodelista"/>
        <w:numPr>
          <w:ilvl w:val="0"/>
          <w:numId w:val="18"/>
        </w:numPr>
        <w:spacing w:after="0" w:line="276" w:lineRule="auto"/>
        <w:jc w:val="both"/>
        <w:rPr>
          <w:rFonts w:ascii="Verdana" w:eastAsia="Verdana" w:hAnsi="Verdana" w:cs="Verdana"/>
          <w:color w:val="0000FF"/>
          <w:u w:val="single"/>
          <w:lang w:val="es-CO"/>
        </w:rPr>
      </w:pPr>
      <w:r>
        <w:rPr>
          <w:rFonts w:ascii="Verdana" w:eastAsia="Verdana" w:hAnsi="Verdana" w:cs="Verdana"/>
          <w:lang w:val="es-CO"/>
        </w:rPr>
        <w:t xml:space="preserve">Correo de radicación de correspondencia: </w:t>
      </w:r>
      <w:hyperlink r:id="rId19" w:history="1">
        <w:r>
          <w:rPr>
            <w:rStyle w:val="Hipervnculo"/>
            <w:rFonts w:ascii="Verdana" w:eastAsia="Verdana" w:hAnsi="Verdana" w:cs="Verdana"/>
            <w:lang w:val="es-CO"/>
          </w:rPr>
          <w:t>ventanilladeradicacion@colombiacompra.gov.co</w:t>
        </w:r>
      </w:hyperlink>
    </w:p>
    <w:p w14:paraId="75352B0D" w14:textId="77777777" w:rsidR="001D7BA9" w:rsidRPr="00D5657B" w:rsidRDefault="001D7BA9" w:rsidP="001D7BA9">
      <w:pPr>
        <w:pStyle w:val="Prrafodelista"/>
        <w:numPr>
          <w:ilvl w:val="0"/>
          <w:numId w:val="18"/>
        </w:numPr>
        <w:spacing w:line="276" w:lineRule="auto"/>
        <w:jc w:val="both"/>
        <w:rPr>
          <w:rFonts w:ascii="Verdana" w:hAnsi="Verdana"/>
        </w:rPr>
      </w:pPr>
      <w:r>
        <w:rPr>
          <w:rFonts w:ascii="Verdana" w:eastAsia="Verdana" w:hAnsi="Verdana" w:cs="Verdana"/>
          <w:lang w:val="es-CO"/>
        </w:rPr>
        <w:t xml:space="preserve">Formulario web para PQRSD: </w:t>
      </w:r>
      <w:hyperlink r:id="rId20" w:history="1">
        <w:r>
          <w:rPr>
            <w:rStyle w:val="Hipervnculo"/>
            <w:rFonts w:ascii="Verdana" w:eastAsia="Verdana" w:hAnsi="Verdana" w:cs="Verdana"/>
            <w:lang w:val="es-CO"/>
          </w:rPr>
          <w:t>https://www.colombiacompra.gov.co/pqrsd/informacion-importante-antes-de-formular-una-pqrsd</w:t>
        </w:r>
      </w:hyperlink>
    </w:p>
    <w:p w14:paraId="13C18F75" w14:textId="77777777" w:rsidR="001D7BA9" w:rsidRPr="00047700" w:rsidRDefault="001D7BA9" w:rsidP="001D7BA9">
      <w:pPr>
        <w:spacing w:line="276" w:lineRule="auto"/>
        <w:jc w:val="both"/>
        <w:rPr>
          <w:rFonts w:ascii="Verdana" w:hAnsi="Verdana"/>
        </w:rPr>
      </w:pPr>
      <w:r>
        <w:rPr>
          <w:rFonts w:ascii="Verdana" w:hAnsi="Verdana"/>
        </w:rPr>
        <w:lastRenderedPageBreak/>
        <w:t xml:space="preserve">Evalúa el servicio que ofrece la Agencia por el canal de atención de PQRSD en el siguiente enlace: </w:t>
      </w:r>
      <w:hyperlink r:id="rId21" w:history="1">
        <w:r>
          <w:rPr>
            <w:rStyle w:val="Hipervnculo"/>
            <w:rFonts w:ascii="Verdana" w:hAnsi="Verdana"/>
          </w:rPr>
          <w:t>https://forms.office.com/r/pPHyWVs2SZ</w:t>
        </w:r>
      </w:hyperlink>
      <w:r>
        <w:rPr>
          <w:rFonts w:ascii="Verdana" w:hAnsi="Verdana"/>
        </w:rPr>
        <w:t>. ¡Ayúdanos a mejorar porque el compromiso es de todos!</w:t>
      </w:r>
    </w:p>
    <w:p w14:paraId="03A92731" w14:textId="77777777" w:rsidR="001D7BA9" w:rsidRPr="00047700" w:rsidRDefault="001D7BA9" w:rsidP="001D7BA9">
      <w:pPr>
        <w:spacing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0B51324F" w14:textId="77777777" w:rsidR="001D7BA9" w:rsidRPr="00D5657B" w:rsidRDefault="001D7BA9" w:rsidP="001D7BA9">
      <w:pPr>
        <w:spacing w:after="0" w:line="276" w:lineRule="auto"/>
        <w:jc w:val="both"/>
        <w:rPr>
          <w:rFonts w:ascii="Verdana" w:hAnsi="Verdana"/>
        </w:rPr>
      </w:pPr>
      <w:r>
        <w:rPr>
          <w:rFonts w:ascii="Verdana" w:hAnsi="Verdana"/>
        </w:rPr>
        <w:t xml:space="preserve">Twitter: </w:t>
      </w:r>
      <w:r>
        <w:rPr>
          <w:rStyle w:val="Hipervnculo"/>
          <w:rFonts w:ascii="Verdana" w:hAnsi="Verdana"/>
        </w:rPr>
        <w:t>@colombiacompra</w:t>
      </w:r>
      <w:r>
        <w:rPr>
          <w:rFonts w:ascii="Verdana" w:hAnsi="Verdana"/>
        </w:rPr>
        <w:t xml:space="preserve"> </w:t>
      </w:r>
    </w:p>
    <w:p w14:paraId="4503BA52" w14:textId="77777777" w:rsidR="001D7BA9" w:rsidRPr="00D5657B" w:rsidRDefault="001D7BA9" w:rsidP="001D7BA9">
      <w:pPr>
        <w:spacing w:after="0" w:line="276" w:lineRule="auto"/>
        <w:jc w:val="both"/>
        <w:rPr>
          <w:rFonts w:ascii="Verdana" w:hAnsi="Verdana"/>
        </w:rPr>
      </w:pPr>
      <w:r>
        <w:rPr>
          <w:rFonts w:ascii="Verdana" w:hAnsi="Verdana"/>
        </w:rPr>
        <w:t xml:space="preserve">Facebook: </w:t>
      </w:r>
      <w:proofErr w:type="spellStart"/>
      <w:r>
        <w:rPr>
          <w:rStyle w:val="Hipervnculo"/>
          <w:rFonts w:ascii="Verdana" w:hAnsi="Verdana"/>
        </w:rPr>
        <w:t>ColombiaCompraEficiente</w:t>
      </w:r>
      <w:proofErr w:type="spellEnd"/>
    </w:p>
    <w:p w14:paraId="3B0FA96A" w14:textId="77777777" w:rsidR="001D7BA9" w:rsidRPr="00D5657B" w:rsidRDefault="001D7BA9" w:rsidP="001D7BA9">
      <w:pPr>
        <w:spacing w:after="0" w:line="276" w:lineRule="auto"/>
        <w:jc w:val="both"/>
        <w:rPr>
          <w:rFonts w:ascii="Verdana" w:hAnsi="Verdana"/>
        </w:rPr>
      </w:pPr>
      <w:r>
        <w:rPr>
          <w:rFonts w:ascii="Verdana" w:hAnsi="Verdana"/>
        </w:rPr>
        <w:t xml:space="preserve">LinkedIn: </w:t>
      </w:r>
      <w:r>
        <w:rPr>
          <w:rStyle w:val="Hipervnculo"/>
          <w:rFonts w:ascii="Verdana" w:hAnsi="Verdana"/>
        </w:rPr>
        <w:t>Agencia Nacional de Contratación Pública - Colombia Compra Eficiente</w:t>
      </w:r>
      <w:r>
        <w:rPr>
          <w:rFonts w:ascii="Verdana" w:hAnsi="Verdana"/>
        </w:rPr>
        <w:t xml:space="preserve"> </w:t>
      </w:r>
    </w:p>
    <w:p w14:paraId="62E3283D" w14:textId="77777777" w:rsidR="001D7BA9" w:rsidRPr="00D5657B" w:rsidRDefault="001D7BA9" w:rsidP="001D7BA9">
      <w:pPr>
        <w:spacing w:line="276" w:lineRule="auto"/>
        <w:jc w:val="both"/>
        <w:rPr>
          <w:rFonts w:ascii="Verdana" w:hAnsi="Verdana"/>
        </w:rPr>
      </w:pPr>
      <w:r>
        <w:rPr>
          <w:rFonts w:ascii="Verdana" w:hAnsi="Verdana"/>
        </w:rPr>
        <w:t xml:space="preserve">Instagram: </w:t>
      </w:r>
      <w:r>
        <w:rPr>
          <w:rStyle w:val="Hipervnculo"/>
          <w:rFonts w:ascii="Verdana" w:hAnsi="Verdana"/>
        </w:rPr>
        <w:t>@colombiacompraeficiente_cce</w:t>
      </w:r>
    </w:p>
    <w:p w14:paraId="3F8B991B" w14:textId="77777777" w:rsidR="001D7BA9" w:rsidRPr="00A77871" w:rsidRDefault="001D7BA9" w:rsidP="001D7BA9">
      <w:pPr>
        <w:spacing w:after="0" w:line="276" w:lineRule="auto"/>
        <w:jc w:val="both"/>
        <w:rPr>
          <w:rFonts w:ascii="Verdana" w:eastAsia="Calibri" w:hAnsi="Verdana" w:cs="Times New Roman"/>
          <w:bCs/>
        </w:rPr>
      </w:pPr>
      <w:r>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97D7EB1" w14:textId="77777777" w:rsidR="001D7BA9" w:rsidRPr="0024624F" w:rsidRDefault="001D7BA9" w:rsidP="001D7BA9">
      <w:pPr>
        <w:spacing w:after="0"/>
        <w:rPr>
          <w:rFonts w:ascii="Verdana" w:eastAsia="Verdana" w:hAnsi="Verdana" w:cs="Verdana"/>
        </w:rPr>
      </w:pPr>
    </w:p>
    <w:p w14:paraId="0E723CFF" w14:textId="77777777" w:rsidR="001D7BA9" w:rsidRPr="00116940" w:rsidRDefault="001D7BA9" w:rsidP="001D7BA9">
      <w:pPr>
        <w:spacing w:after="0" w:line="240" w:lineRule="auto"/>
        <w:jc w:val="both"/>
        <w:rPr>
          <w:rFonts w:ascii="Verdana" w:eastAsia="Verdana" w:hAnsi="Verdana" w:cs="Verdana"/>
        </w:rPr>
      </w:pPr>
    </w:p>
    <w:p w14:paraId="5403309E" w14:textId="7A48AFCF" w:rsidR="005427DB" w:rsidRPr="005427DB" w:rsidRDefault="005427DB" w:rsidP="005427DB">
      <w:pPr>
        <w:spacing w:line="276" w:lineRule="auto"/>
        <w:jc w:val="both"/>
        <w:rPr>
          <w:rFonts w:ascii="Verdana" w:eastAsia="Times New Roman" w:hAnsi="Verdana" w:cs="Arial"/>
          <w:lang w:eastAsia="es-CO"/>
        </w:rPr>
      </w:pPr>
      <w:bookmarkStart w:id="4" w:name="_Hlk117695077"/>
      <w:r w:rsidRPr="005427DB">
        <w:rPr>
          <w:rFonts w:ascii="Verdana" w:eastAsia="Times New Roman" w:hAnsi="Verdana" w:cs="Arial"/>
          <w:lang w:eastAsia="es-CO"/>
        </w:rPr>
        <w:drawing>
          <wp:anchor distT="0" distB="0" distL="114300" distR="114300" simplePos="0" relativeHeight="251658240" behindDoc="1" locked="0" layoutInCell="1" allowOverlap="1" wp14:anchorId="261D7AF8" wp14:editId="73FA22B9">
            <wp:simplePos x="0" y="0"/>
            <wp:positionH relativeFrom="margin">
              <wp:align>center</wp:align>
            </wp:positionH>
            <wp:positionV relativeFrom="paragraph">
              <wp:posOffset>299097</wp:posOffset>
            </wp:positionV>
            <wp:extent cx="3166793" cy="1179316"/>
            <wp:effectExtent l="0" t="0" r="0" b="1905"/>
            <wp:wrapNone/>
            <wp:docPr id="96746678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66793" cy="11793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7BA9">
        <w:rPr>
          <w:rFonts w:ascii="Verdana" w:eastAsia="Times New Roman" w:hAnsi="Verdana" w:cs="Arial"/>
          <w:lang w:eastAsia="es-CO"/>
        </w:rPr>
        <w:t xml:space="preserve">Atentamente, </w:t>
      </w:r>
    </w:p>
    <w:p w14:paraId="4F9ABD4E" w14:textId="196D03E7" w:rsidR="001D7BA9" w:rsidRDefault="001D7BA9" w:rsidP="001D7BA9">
      <w:pPr>
        <w:spacing w:line="276" w:lineRule="auto"/>
        <w:jc w:val="both"/>
        <w:rPr>
          <w:rFonts w:ascii="Verdana" w:eastAsia="Times New Roman" w:hAnsi="Verdana" w:cs="Arial"/>
          <w:lang w:eastAsia="es-CO"/>
        </w:rPr>
      </w:pPr>
    </w:p>
    <w:bookmarkEnd w:id="4"/>
    <w:p w14:paraId="7E5D3BCA" w14:textId="77777777" w:rsidR="001D7BA9" w:rsidRDefault="001D7BA9" w:rsidP="001D7BA9">
      <w:pPr>
        <w:spacing w:after="0" w:line="240" w:lineRule="auto"/>
        <w:jc w:val="both"/>
        <w:textAlignment w:val="baseline"/>
        <w:rPr>
          <w:rFonts w:ascii="Verdana" w:eastAsia="Verdana" w:hAnsi="Verdana" w:cs="Verdana"/>
          <w:lang w:eastAsia="es-CO"/>
        </w:rPr>
      </w:pPr>
    </w:p>
    <w:p w14:paraId="59CBA825" w14:textId="77777777" w:rsidR="001D7BA9" w:rsidRDefault="001D7BA9" w:rsidP="001D7BA9">
      <w:pPr>
        <w:spacing w:after="0" w:line="240" w:lineRule="auto"/>
        <w:jc w:val="both"/>
        <w:textAlignment w:val="baseline"/>
        <w:rPr>
          <w:rFonts w:ascii="Verdana" w:eastAsia="Verdana" w:hAnsi="Verdana" w:cs="Verdana"/>
          <w:lang w:eastAsia="es-CO"/>
        </w:rPr>
      </w:pPr>
    </w:p>
    <w:p w14:paraId="74FE85B4" w14:textId="2940D4D7" w:rsidR="001D7BA9" w:rsidRDefault="001D7BA9" w:rsidP="001D7BA9">
      <w:pPr>
        <w:spacing w:after="0" w:line="240" w:lineRule="auto"/>
        <w:jc w:val="center"/>
        <w:textAlignment w:val="baseline"/>
        <w:rPr>
          <w:rFonts w:ascii="Verdana" w:eastAsia="Verdana" w:hAnsi="Verdana" w:cs="Verdana"/>
          <w:lang w:eastAsia="es-CO"/>
        </w:rPr>
      </w:pPr>
    </w:p>
    <w:p w14:paraId="635C4AAB" w14:textId="77777777" w:rsidR="001D7BA9" w:rsidRDefault="001D7BA9" w:rsidP="001D7BA9">
      <w:pPr>
        <w:spacing w:after="0" w:line="240" w:lineRule="auto"/>
        <w:jc w:val="center"/>
        <w:textAlignment w:val="baseline"/>
        <w:rPr>
          <w:rFonts w:ascii="Verdana" w:eastAsia="Verdana" w:hAnsi="Verdana" w:cs="Verdana"/>
          <w:lang w:eastAsia="es-CO"/>
        </w:rPr>
      </w:pPr>
    </w:p>
    <w:p w14:paraId="0A0BC01D" w14:textId="6FFD198D" w:rsidR="001D7BA9" w:rsidRPr="00085B1D" w:rsidRDefault="001D7BA9" w:rsidP="001D7BA9">
      <w:pPr>
        <w:spacing w:after="0" w:line="240" w:lineRule="auto"/>
        <w:jc w:val="center"/>
        <w:textAlignment w:val="baseline"/>
        <w:rPr>
          <w:rFonts w:ascii="Verdana" w:eastAsia="Verdana" w:hAnsi="Verdana" w:cs="Verdana"/>
          <w:b/>
          <w:bCs/>
          <w:lang w:eastAsia="es-CO"/>
        </w:rPr>
      </w:pPr>
    </w:p>
    <w:tbl>
      <w:tblPr>
        <w:tblStyle w:val="Tablaconcuadrcula"/>
        <w:tblpPr w:leftFromText="141" w:rightFromText="141" w:vertAnchor="text" w:horzAnchor="margin" w:tblpY="342"/>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D7BA9" w:rsidRPr="0029279E" w14:paraId="387E913F" w14:textId="77777777" w:rsidTr="00D53F6C">
        <w:trPr>
          <w:trHeight w:val="315"/>
        </w:trPr>
        <w:tc>
          <w:tcPr>
            <w:tcW w:w="893" w:type="dxa"/>
            <w:vAlign w:val="center"/>
            <w:hideMark/>
          </w:tcPr>
          <w:p w14:paraId="7FD5C0C5" w14:textId="77777777" w:rsidR="001D7BA9" w:rsidRPr="0029279E" w:rsidRDefault="001D7BA9" w:rsidP="00D53F6C">
            <w:pPr>
              <w:spacing w:line="276" w:lineRule="auto"/>
              <w:jc w:val="both"/>
              <w:rPr>
                <w:rFonts w:ascii="Verdana" w:eastAsia="Times New Roman" w:hAnsi="Verdana" w:cs="Arial"/>
                <w:color w:val="000000"/>
                <w:sz w:val="16"/>
                <w:szCs w:val="16"/>
                <w:lang w:eastAsia="es-ES"/>
              </w:rPr>
            </w:pPr>
            <w:r>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46513429" w14:textId="77777777" w:rsidR="001D7BA9" w:rsidRPr="0029279E" w:rsidRDefault="001D7BA9" w:rsidP="00D53F6C">
            <w:pPr>
              <w:spacing w:line="276" w:lineRule="auto"/>
              <w:jc w:val="both"/>
              <w:rPr>
                <w:rFonts w:ascii="Verdana" w:eastAsia="Arial" w:hAnsi="Verdana" w:cs="Arial"/>
                <w:color w:val="000000"/>
                <w:sz w:val="16"/>
                <w:szCs w:val="16"/>
              </w:rPr>
            </w:pPr>
            <w:r>
              <w:rPr>
                <w:rFonts w:ascii="Verdana" w:eastAsia="Arial" w:hAnsi="Verdana" w:cs="Arial"/>
                <w:color w:val="000000"/>
                <w:sz w:val="16"/>
                <w:szCs w:val="16"/>
              </w:rPr>
              <w:t>Ángela María Olmos Andrade</w:t>
            </w:r>
          </w:p>
          <w:p w14:paraId="344AE6A2" w14:textId="77777777" w:rsidR="001D7BA9" w:rsidRPr="0029279E" w:rsidRDefault="001D7BA9" w:rsidP="00D53F6C">
            <w:pPr>
              <w:spacing w:line="276" w:lineRule="auto"/>
              <w:jc w:val="both"/>
              <w:rPr>
                <w:rFonts w:ascii="Verdana" w:eastAsia="Arial" w:hAnsi="Verdana" w:cs="Arial"/>
                <w:color w:val="000000"/>
                <w:sz w:val="16"/>
                <w:szCs w:val="16"/>
              </w:rPr>
            </w:pPr>
            <w:r>
              <w:rPr>
                <w:rFonts w:ascii="Verdana" w:eastAsia="Arial" w:hAnsi="Verdana" w:cs="Arial"/>
                <w:color w:val="000000"/>
                <w:sz w:val="16"/>
                <w:szCs w:val="16"/>
              </w:rPr>
              <w:t>Analista T2 - 02 de la Subdirección de Gestión Contractual</w:t>
            </w:r>
          </w:p>
        </w:tc>
      </w:tr>
      <w:tr w:rsidR="001D7BA9" w:rsidRPr="0029279E" w14:paraId="51BF8430" w14:textId="77777777" w:rsidTr="00D53F6C">
        <w:trPr>
          <w:trHeight w:val="330"/>
        </w:trPr>
        <w:tc>
          <w:tcPr>
            <w:tcW w:w="893" w:type="dxa"/>
            <w:vAlign w:val="center"/>
            <w:hideMark/>
          </w:tcPr>
          <w:p w14:paraId="6A96E0CC" w14:textId="77777777" w:rsidR="001D7BA9" w:rsidRPr="0029279E" w:rsidRDefault="001D7BA9" w:rsidP="00D53F6C">
            <w:pPr>
              <w:spacing w:line="276" w:lineRule="auto"/>
              <w:jc w:val="both"/>
              <w:rPr>
                <w:rFonts w:ascii="Verdana" w:eastAsia="Times New Roman" w:hAnsi="Verdana" w:cs="Arial"/>
                <w:color w:val="000000"/>
                <w:sz w:val="16"/>
                <w:szCs w:val="16"/>
                <w:lang w:eastAsia="es-ES"/>
              </w:rPr>
            </w:pPr>
            <w:r>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393AD3D1" w14:textId="77777777" w:rsidR="001D7BA9" w:rsidRPr="0029279E" w:rsidRDefault="001D7BA9" w:rsidP="00D53F6C">
            <w:pPr>
              <w:spacing w:line="276" w:lineRule="auto"/>
              <w:jc w:val="both"/>
              <w:rPr>
                <w:rFonts w:ascii="Verdana" w:eastAsia="Times New Roman" w:hAnsi="Verdana" w:cs="Arial"/>
                <w:color w:val="000000"/>
                <w:sz w:val="16"/>
                <w:szCs w:val="16"/>
              </w:rPr>
            </w:pPr>
            <w:r>
              <w:rPr>
                <w:rFonts w:ascii="Verdana" w:eastAsia="Times New Roman" w:hAnsi="Verdana" w:cs="Arial"/>
                <w:color w:val="000000"/>
                <w:sz w:val="16"/>
                <w:szCs w:val="16"/>
              </w:rPr>
              <w:t>Alejandro Raúl Sarmiento Angulo</w:t>
            </w:r>
          </w:p>
          <w:p w14:paraId="20DCCD5F" w14:textId="77777777" w:rsidR="001D7BA9" w:rsidRPr="0029279E" w:rsidRDefault="001D7BA9" w:rsidP="00D53F6C">
            <w:pPr>
              <w:spacing w:line="276" w:lineRule="auto"/>
              <w:jc w:val="both"/>
              <w:textAlignment w:val="baseline"/>
              <w:rPr>
                <w:rFonts w:ascii="Verdana" w:eastAsia="Times New Roman" w:hAnsi="Verdana" w:cs="Arial"/>
                <w:color w:val="000000"/>
                <w:sz w:val="16"/>
                <w:szCs w:val="16"/>
              </w:rPr>
            </w:pPr>
            <w:r>
              <w:rPr>
                <w:rFonts w:ascii="Verdana" w:eastAsia="Times New Roman" w:hAnsi="Verdana" w:cs="Arial"/>
                <w:color w:val="000000"/>
                <w:sz w:val="16"/>
                <w:szCs w:val="16"/>
              </w:rPr>
              <w:t>Gestor T1 - 15 de la Subdirección de Gestión Contractual</w:t>
            </w:r>
          </w:p>
        </w:tc>
      </w:tr>
      <w:tr w:rsidR="001D7BA9" w:rsidRPr="0029279E" w14:paraId="1D083345" w14:textId="77777777" w:rsidTr="00D53F6C">
        <w:trPr>
          <w:trHeight w:val="300"/>
        </w:trPr>
        <w:tc>
          <w:tcPr>
            <w:tcW w:w="893" w:type="dxa"/>
            <w:vAlign w:val="center"/>
            <w:hideMark/>
          </w:tcPr>
          <w:p w14:paraId="3B3EF4A3" w14:textId="77777777" w:rsidR="001D7BA9" w:rsidRPr="0029279E" w:rsidRDefault="001D7BA9" w:rsidP="00D53F6C">
            <w:pPr>
              <w:spacing w:line="276" w:lineRule="auto"/>
              <w:jc w:val="both"/>
              <w:rPr>
                <w:rFonts w:ascii="Verdana" w:eastAsia="Times New Roman" w:hAnsi="Verdana" w:cs="Arial"/>
                <w:color w:val="000000"/>
                <w:sz w:val="16"/>
                <w:szCs w:val="16"/>
                <w:lang w:eastAsia="es-ES"/>
              </w:rPr>
            </w:pPr>
            <w:r>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793BEAD3" w14:textId="77777777" w:rsidR="001D7BA9" w:rsidRPr="0029279E" w:rsidRDefault="001D7BA9" w:rsidP="00D53F6C">
            <w:pPr>
              <w:spacing w:line="276" w:lineRule="auto"/>
              <w:jc w:val="both"/>
              <w:rPr>
                <w:rFonts w:ascii="Verdana" w:eastAsia="Times New Roman" w:hAnsi="Verdana" w:cs="Arial"/>
                <w:color w:val="000000"/>
                <w:sz w:val="16"/>
                <w:szCs w:val="16"/>
              </w:rPr>
            </w:pPr>
            <w:r>
              <w:rPr>
                <w:rFonts w:ascii="Verdana" w:eastAsia="Times New Roman" w:hAnsi="Verdana" w:cs="Arial"/>
                <w:color w:val="000000"/>
                <w:sz w:val="16"/>
                <w:szCs w:val="16"/>
              </w:rPr>
              <w:t>William Javier Murcia Acevedo</w:t>
            </w:r>
          </w:p>
          <w:p w14:paraId="0AACAA26" w14:textId="77777777" w:rsidR="001D7BA9" w:rsidRPr="0029279E" w:rsidRDefault="001D7BA9" w:rsidP="00D53F6C">
            <w:pPr>
              <w:spacing w:line="276" w:lineRule="auto"/>
              <w:jc w:val="both"/>
              <w:rPr>
                <w:rFonts w:ascii="Verdana" w:eastAsia="Times New Roman" w:hAnsi="Verdana" w:cs="Arial"/>
                <w:color w:val="000000"/>
                <w:sz w:val="16"/>
                <w:szCs w:val="16"/>
              </w:rPr>
            </w:pPr>
            <w:r>
              <w:rPr>
                <w:rFonts w:ascii="Verdana" w:eastAsia="Times New Roman" w:hAnsi="Verdana" w:cs="Arial"/>
                <w:color w:val="000000"/>
                <w:sz w:val="16"/>
                <w:szCs w:val="16"/>
              </w:rPr>
              <w:t>Subdirector de Gestión Contractual (E) ANCP – CCE</w:t>
            </w:r>
          </w:p>
        </w:tc>
      </w:tr>
    </w:tbl>
    <w:p w14:paraId="5EA3B222" w14:textId="77777777" w:rsidR="001D7BA9" w:rsidRPr="000E2B93" w:rsidRDefault="001D7BA9" w:rsidP="001D7BA9">
      <w:pPr>
        <w:spacing w:after="0" w:line="240" w:lineRule="auto"/>
        <w:textAlignment w:val="baseline"/>
        <w:rPr>
          <w:rFonts w:ascii="Verdana" w:eastAsia="Verdana" w:hAnsi="Verdana" w:cs="Verdana"/>
          <w:lang w:eastAsia="es-CO"/>
        </w:rPr>
      </w:pPr>
    </w:p>
    <w:p w14:paraId="48F5BAE9" w14:textId="77777777" w:rsidR="001D7BA9" w:rsidRPr="00111E8C" w:rsidRDefault="001D7BA9" w:rsidP="001D7BA9">
      <w:pPr>
        <w:spacing w:after="0" w:line="240" w:lineRule="auto"/>
        <w:jc w:val="both"/>
        <w:rPr>
          <w:rFonts w:ascii="Verdana" w:eastAsia="Verdana" w:hAnsi="Verdana" w:cs="Verdana"/>
        </w:rPr>
      </w:pPr>
    </w:p>
    <w:p w14:paraId="16106074" w14:textId="77777777" w:rsidR="001D7BA9" w:rsidRPr="000E2B93" w:rsidRDefault="001D7BA9" w:rsidP="001D7BA9">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bookmarkEnd w:id="0"/>
    </w:p>
    <w:p w14:paraId="69BC4D14" w14:textId="5D05B9D6" w:rsidR="00C15139" w:rsidRPr="001D7BA9" w:rsidRDefault="00C15139" w:rsidP="001D7BA9"/>
    <w:sectPr w:rsidR="00C15139" w:rsidRPr="001D7BA9"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DE98A" w14:textId="77777777" w:rsidR="005417E1" w:rsidRDefault="005417E1" w:rsidP="004A1847">
      <w:pPr>
        <w:spacing w:after="0" w:line="240" w:lineRule="auto"/>
      </w:pPr>
      <w:r>
        <w:separator/>
      </w:r>
    </w:p>
  </w:endnote>
  <w:endnote w:type="continuationSeparator" w:id="0">
    <w:p w14:paraId="0CECD396" w14:textId="77777777" w:rsidR="005417E1" w:rsidRDefault="005417E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DFEA9" w14:textId="77777777" w:rsidR="005417E1" w:rsidRDefault="005417E1" w:rsidP="004A1847">
      <w:pPr>
        <w:spacing w:after="0" w:line="240" w:lineRule="auto"/>
      </w:pPr>
      <w:r>
        <w:separator/>
      </w:r>
    </w:p>
  </w:footnote>
  <w:footnote w:type="continuationSeparator" w:id="0">
    <w:p w14:paraId="2DE4F7E5" w14:textId="77777777" w:rsidR="005417E1" w:rsidRDefault="005417E1" w:rsidP="004A1847">
      <w:pPr>
        <w:spacing w:after="0" w:line="240" w:lineRule="auto"/>
      </w:pPr>
      <w:r>
        <w:continuationSeparator/>
      </w:r>
    </w:p>
  </w:footnote>
  <w:footnote w:id="1">
    <w:p w14:paraId="56E976FD" w14:textId="77777777" w:rsidR="001D7BA9" w:rsidRPr="00FF20DB" w:rsidRDefault="001D7BA9" w:rsidP="001D7BA9">
      <w:pPr>
        <w:spacing w:after="0" w:line="240" w:lineRule="auto"/>
        <w:ind w:firstLine="709"/>
        <w:jc w:val="both"/>
        <w:rPr>
          <w:rFonts w:ascii="Verdana" w:hAnsi="Verdana" w:cs="Arial"/>
          <w:color w:val="000000"/>
          <w:sz w:val="16"/>
          <w:szCs w:val="16"/>
        </w:rPr>
      </w:pPr>
      <w:r w:rsidRPr="00FF20DB">
        <w:rPr>
          <w:rStyle w:val="Refdenotaalpie"/>
          <w:rFonts w:ascii="Verdana" w:hAnsi="Verdana" w:cs="Arial"/>
          <w:color w:val="000000"/>
          <w:sz w:val="16"/>
          <w:szCs w:val="16"/>
        </w:rPr>
        <w:footnoteRef/>
      </w:r>
      <w:r w:rsidRPr="00FF20DB">
        <w:rPr>
          <w:rFonts w:ascii="Verdana" w:hAnsi="Verdana" w:cs="Arial"/>
          <w:color w:val="000000"/>
          <w:sz w:val="16"/>
          <w:szCs w:val="16"/>
        </w:rPr>
        <w:t xml:space="preserve"> Consejo de Estado. Sala de lo Contencioso Administrativo. Sección Tercera. Subsección C. Sentencia del 20 de octubre de 2014. Radicado No. 05001-23-31-000-1998-00038-01 (27.777). C.P: Enrique Gil Botero.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2">
    <w:p w14:paraId="2B6AB83B" w14:textId="77777777" w:rsidR="001D7BA9" w:rsidRPr="00FF20DB" w:rsidRDefault="001D7BA9" w:rsidP="001D7BA9">
      <w:pPr>
        <w:pStyle w:val="Textonotapie"/>
        <w:ind w:firstLine="709"/>
        <w:jc w:val="both"/>
        <w:rPr>
          <w:rFonts w:ascii="Verdana" w:hAnsi="Verdana" w:cs="Arial"/>
          <w:color w:val="000000"/>
          <w:sz w:val="16"/>
          <w:szCs w:val="16"/>
        </w:rPr>
      </w:pPr>
      <w:r w:rsidRPr="00FF20DB">
        <w:rPr>
          <w:rStyle w:val="Refdenotaalpie"/>
          <w:rFonts w:ascii="Verdana" w:hAnsi="Verdana" w:cs="Arial"/>
          <w:color w:val="000000"/>
          <w:sz w:val="16"/>
          <w:szCs w:val="16"/>
        </w:rPr>
        <w:footnoteRef/>
      </w:r>
      <w:r w:rsidRPr="00FF20DB">
        <w:rPr>
          <w:rFonts w:ascii="Verdana" w:hAnsi="Verdana" w:cs="Arial"/>
          <w:color w:val="000000"/>
          <w:sz w:val="16"/>
          <w:szCs w:val="16"/>
        </w:rPr>
        <w:t xml:space="preserve"> </w:t>
      </w:r>
      <w:r w:rsidRPr="00FF20DB">
        <w:rPr>
          <w:rFonts w:ascii="Verdana" w:hAnsi="Verdana" w:cs="Arial"/>
          <w:i/>
          <w:color w:val="000000"/>
          <w:sz w:val="16"/>
          <w:szCs w:val="16"/>
        </w:rPr>
        <w:t>Ibidem</w:t>
      </w:r>
      <w:r w:rsidRPr="00FF20DB">
        <w:rPr>
          <w:rFonts w:ascii="Verdana" w:hAnsi="Verdana" w:cs="Arial"/>
          <w:color w:val="000000"/>
          <w:sz w:val="16"/>
          <w:szCs w:val="16"/>
        </w:rPr>
        <w:t>.</w:t>
      </w:r>
    </w:p>
  </w:footnote>
  <w:footnote w:id="3">
    <w:p w14:paraId="382A78CA" w14:textId="77777777" w:rsidR="001D7BA9" w:rsidRPr="00FF20DB" w:rsidRDefault="001D7BA9" w:rsidP="001D7BA9">
      <w:pPr>
        <w:pStyle w:val="Textonotapie"/>
        <w:ind w:firstLine="709"/>
        <w:jc w:val="both"/>
        <w:rPr>
          <w:rFonts w:ascii="Verdana" w:hAnsi="Verdana"/>
          <w:sz w:val="16"/>
          <w:szCs w:val="16"/>
        </w:rPr>
      </w:pPr>
      <w:r w:rsidRPr="00FF20DB">
        <w:rPr>
          <w:rStyle w:val="Refdenotaalpie"/>
          <w:rFonts w:ascii="Verdana" w:hAnsi="Verdana"/>
          <w:sz w:val="16"/>
          <w:szCs w:val="16"/>
        </w:rPr>
        <w:footnoteRef/>
      </w:r>
      <w:r w:rsidRPr="00FF20DB">
        <w:rPr>
          <w:rFonts w:ascii="Verdana" w:hAnsi="Verdana"/>
          <w:sz w:val="16"/>
          <w:szCs w:val="16"/>
        </w:rPr>
        <w:t xml:space="preserve"> Consejo de Estado. Sala de lo Contencioso Administrativo. Sección Tercera. Subsección A. Sentencia del 1 de julio de 2025. Radicado: 25000-23-36-000-2021-00617-01 (72021) C.P: José Roberto Sáchica Méndez. </w:t>
      </w:r>
    </w:p>
    <w:p w14:paraId="5068B08D" w14:textId="77777777" w:rsidR="001D7BA9" w:rsidRPr="00FF20DB" w:rsidRDefault="001D7BA9" w:rsidP="001D7BA9">
      <w:pPr>
        <w:pStyle w:val="Textonotapie"/>
        <w:ind w:firstLine="709"/>
        <w:rPr>
          <w:rFonts w:ascii="Verdana" w:hAnsi="Verdana"/>
          <w:sz w:val="16"/>
          <w:szCs w:val="16"/>
        </w:rPr>
      </w:pPr>
    </w:p>
  </w:footnote>
  <w:footnote w:id="4">
    <w:p w14:paraId="5B4A02E3" w14:textId="77777777" w:rsidR="001D7BA9" w:rsidRPr="00FF20DB" w:rsidRDefault="001D7BA9" w:rsidP="001D7BA9">
      <w:pPr>
        <w:pStyle w:val="Textonotapie"/>
        <w:ind w:firstLine="709"/>
        <w:jc w:val="both"/>
        <w:rPr>
          <w:rFonts w:ascii="Verdana" w:hAnsi="Verdana" w:cs="Arial"/>
          <w:color w:val="000000"/>
          <w:sz w:val="16"/>
          <w:szCs w:val="16"/>
          <w:lang w:val="es-ES"/>
        </w:rPr>
      </w:pPr>
      <w:r w:rsidRPr="00FF20DB">
        <w:rPr>
          <w:rStyle w:val="Refdenotaalpie"/>
          <w:rFonts w:ascii="Verdana" w:hAnsi="Verdana" w:cs="Arial"/>
          <w:color w:val="000000"/>
          <w:sz w:val="16"/>
          <w:szCs w:val="16"/>
        </w:rPr>
        <w:footnoteRef/>
      </w:r>
      <w:r w:rsidRPr="00FF20DB">
        <w:rPr>
          <w:rFonts w:ascii="Verdana" w:hAnsi="Verdana" w:cs="Arial"/>
          <w:color w:val="000000"/>
          <w:sz w:val="16"/>
          <w:szCs w:val="16"/>
        </w:rPr>
        <w:t xml:space="preserve"> </w:t>
      </w:r>
      <w:r w:rsidRPr="00FF20DB">
        <w:rPr>
          <w:rFonts w:ascii="Verdana" w:hAnsi="Verdana" w:cs="Arial"/>
          <w:color w:val="000000"/>
          <w:sz w:val="16"/>
          <w:szCs w:val="16"/>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415DAD5C" w14:textId="77777777" w:rsidR="001D7BA9" w:rsidRPr="00FF20DB" w:rsidRDefault="001D7BA9" w:rsidP="001D7BA9">
      <w:pPr>
        <w:pStyle w:val="Textonotapie"/>
        <w:ind w:firstLine="709"/>
        <w:jc w:val="both"/>
        <w:rPr>
          <w:rFonts w:ascii="Verdana" w:hAnsi="Verdana" w:cs="Arial"/>
          <w:color w:val="000000"/>
          <w:sz w:val="16"/>
          <w:szCs w:val="16"/>
          <w:lang w:val="es-ES"/>
        </w:rPr>
      </w:pPr>
      <w:r w:rsidRPr="00FF20DB">
        <w:rPr>
          <w:rFonts w:ascii="Verdana" w:hAnsi="Verdana" w:cs="Arial"/>
          <w:color w:val="000000"/>
          <w:sz w:val="16"/>
          <w:szCs w:val="16"/>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41D075AB" w14:textId="77777777" w:rsidR="001D7BA9" w:rsidRPr="00FF20DB" w:rsidRDefault="001D7BA9" w:rsidP="001D7BA9">
      <w:pPr>
        <w:pStyle w:val="Textonotapie"/>
        <w:ind w:firstLine="709"/>
        <w:jc w:val="both"/>
        <w:rPr>
          <w:rFonts w:ascii="Verdana" w:hAnsi="Verdana" w:cs="Arial"/>
          <w:color w:val="000000"/>
          <w:sz w:val="16"/>
          <w:szCs w:val="16"/>
          <w:lang w:val="es-ES"/>
        </w:rPr>
      </w:pPr>
      <w:r w:rsidRPr="00FF20DB">
        <w:rPr>
          <w:rFonts w:ascii="Verdana" w:hAnsi="Verdana" w:cs="Arial"/>
          <w:color w:val="000000"/>
          <w:sz w:val="16"/>
          <w:szCs w:val="16"/>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753EF364" w14:textId="77777777" w:rsidR="001D7BA9" w:rsidRPr="00FF20DB" w:rsidRDefault="001D7BA9" w:rsidP="001D7BA9">
      <w:pPr>
        <w:pStyle w:val="Textonotapie"/>
        <w:ind w:firstLine="709"/>
        <w:jc w:val="both"/>
        <w:rPr>
          <w:rFonts w:ascii="Verdana" w:hAnsi="Verdana" w:cs="Arial"/>
          <w:color w:val="000000"/>
          <w:sz w:val="16"/>
          <w:szCs w:val="16"/>
          <w:lang w:val="es-ES"/>
        </w:rPr>
      </w:pPr>
      <w:r w:rsidRPr="00FF20DB">
        <w:rPr>
          <w:rFonts w:ascii="Verdana" w:hAnsi="Verdana" w:cs="Arial"/>
          <w:color w:val="000000"/>
          <w:sz w:val="16"/>
          <w:szCs w:val="16"/>
          <w:lang w:val="es-ES"/>
        </w:rPr>
        <w:t>Los contratistas tendrán derecho a efectuar salvedades a la liquidación por mutuo acuerdo, y en este evento la liquidación unilateral solo procederá en relación con los aspectos que no hayan sido objeto de acuerdo”.</w:t>
      </w:r>
    </w:p>
    <w:p w14:paraId="0B0C2E1B" w14:textId="77777777" w:rsidR="001D7BA9" w:rsidRPr="00FF20DB" w:rsidRDefault="001D7BA9" w:rsidP="001D7BA9">
      <w:pPr>
        <w:pStyle w:val="Textonotapie"/>
        <w:ind w:firstLine="709"/>
        <w:jc w:val="both"/>
        <w:rPr>
          <w:rFonts w:ascii="Verdana" w:hAnsi="Verdana" w:cs="Arial"/>
          <w:color w:val="000000"/>
          <w:sz w:val="16"/>
          <w:szCs w:val="16"/>
          <w:lang w:val="es-ES"/>
        </w:rPr>
      </w:pPr>
    </w:p>
  </w:footnote>
  <w:footnote w:id="5">
    <w:p w14:paraId="6D516F23" w14:textId="77777777" w:rsidR="001D7BA9" w:rsidRPr="00FF20DB" w:rsidRDefault="001D7BA9" w:rsidP="001D7BA9">
      <w:pPr>
        <w:pStyle w:val="Textonotapie"/>
        <w:ind w:firstLine="709"/>
        <w:jc w:val="both"/>
        <w:rPr>
          <w:rFonts w:ascii="Verdana" w:hAnsi="Verdana" w:cs="Arial"/>
          <w:color w:val="000000"/>
          <w:sz w:val="16"/>
          <w:szCs w:val="16"/>
          <w:lang w:val="es-CO"/>
        </w:rPr>
      </w:pPr>
      <w:r w:rsidRPr="00FF20DB">
        <w:rPr>
          <w:rStyle w:val="Refdenotaalpie"/>
          <w:rFonts w:ascii="Verdana" w:hAnsi="Verdana" w:cs="Arial"/>
          <w:color w:val="000000"/>
          <w:sz w:val="16"/>
          <w:szCs w:val="16"/>
        </w:rPr>
        <w:footnoteRef/>
      </w:r>
      <w:r w:rsidRPr="00FF20DB">
        <w:rPr>
          <w:rFonts w:ascii="Verdana" w:hAnsi="Verdana" w:cs="Arial"/>
          <w:color w:val="000000"/>
          <w:sz w:val="16"/>
          <w:szCs w:val="16"/>
        </w:rPr>
        <w:t xml:space="preserve"> Colombia Compra Eficiente. Guía para la Liquidación de los Procesos de Contratación. </w:t>
      </w:r>
      <w:r w:rsidRPr="00FF20DB">
        <w:rPr>
          <w:rFonts w:ascii="Verdana" w:hAnsi="Verdana" w:cs="Arial"/>
          <w:color w:val="000000"/>
          <w:sz w:val="16"/>
          <w:szCs w:val="16"/>
          <w:lang w:val="es-CO"/>
        </w:rPr>
        <w:t xml:space="preserve">Disponible en: </w:t>
      </w:r>
      <w:hyperlink r:id="rId1" w:anchor=":~:text=Colombia%20Compra%20Eficiente%20presenta%20la%20Gu%C3%ADa%20para%20la,part%C3%ADcipes%20del%20sistema%20de%20compras%20y%20contrataci%C3%B3n%20p%C3%BAblica." w:history="1">
        <w:r w:rsidRPr="00FF20DB">
          <w:rPr>
            <w:rStyle w:val="Hipervnculo"/>
            <w:rFonts w:ascii="Verdana" w:hAnsi="Verdana"/>
            <w:sz w:val="16"/>
            <w:szCs w:val="16"/>
            <w:lang w:val="es-CO"/>
          </w:rPr>
          <w:t>https://colombiacompra.gov.co/wp-content/uploads/2024/08/cce_guia_liquidacion_procesos.pdf</w:t>
        </w:r>
      </w:hyperlink>
    </w:p>
  </w:footnote>
  <w:footnote w:id="6">
    <w:p w14:paraId="68218DCB" w14:textId="77777777" w:rsidR="001D7BA9" w:rsidRPr="00FF20DB" w:rsidRDefault="001D7BA9" w:rsidP="001D7BA9">
      <w:pPr>
        <w:pStyle w:val="Textonotapie"/>
        <w:ind w:firstLine="709"/>
        <w:jc w:val="both"/>
        <w:rPr>
          <w:rFonts w:ascii="Verdana" w:hAnsi="Verdana" w:cs="Arial"/>
          <w:color w:val="000000"/>
          <w:sz w:val="16"/>
          <w:szCs w:val="16"/>
        </w:rPr>
      </w:pPr>
      <w:r w:rsidRPr="00FF20DB">
        <w:rPr>
          <w:rStyle w:val="Refdenotaalpie"/>
          <w:rFonts w:ascii="Verdana" w:hAnsi="Verdana" w:cs="Arial"/>
          <w:color w:val="000000"/>
          <w:sz w:val="16"/>
          <w:szCs w:val="16"/>
        </w:rPr>
        <w:footnoteRef/>
      </w:r>
      <w:r w:rsidRPr="00FF20DB">
        <w:rPr>
          <w:rFonts w:ascii="Verdana" w:hAnsi="Verdana"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7">
    <w:p w14:paraId="6A499D27" w14:textId="77777777" w:rsidR="001D7BA9" w:rsidRPr="00FF20DB" w:rsidRDefault="001D7BA9" w:rsidP="001D7BA9">
      <w:pPr>
        <w:pStyle w:val="Textonotapie"/>
        <w:ind w:firstLine="709"/>
        <w:jc w:val="both"/>
        <w:rPr>
          <w:rFonts w:ascii="Verdana" w:hAnsi="Verdana" w:cs="Arial"/>
          <w:color w:val="000000"/>
          <w:sz w:val="16"/>
          <w:szCs w:val="16"/>
        </w:rPr>
      </w:pPr>
      <w:r w:rsidRPr="00FF20DB">
        <w:rPr>
          <w:rStyle w:val="Refdenotaalpie"/>
          <w:rFonts w:ascii="Verdana" w:hAnsi="Verdana" w:cs="Arial"/>
          <w:color w:val="000000"/>
          <w:sz w:val="16"/>
          <w:szCs w:val="16"/>
        </w:rPr>
        <w:footnoteRef/>
      </w:r>
      <w:r w:rsidRPr="00FF20DB">
        <w:rPr>
          <w:rFonts w:ascii="Verdana" w:hAnsi="Verdana" w:cs="Arial"/>
          <w:color w:val="000000"/>
          <w:sz w:val="16"/>
          <w:szCs w:val="16"/>
        </w:rPr>
        <w:t xml:space="preserve"> Consejo de Estado. Sala de Consulta y Servicio Civil. Concepto de 28 de junio de 2016. Radicación: 2253. C.P: Álvaro Namén Vargas. </w:t>
      </w:r>
    </w:p>
    <w:p w14:paraId="251EDD67" w14:textId="77777777" w:rsidR="001D7BA9" w:rsidRPr="00FF20DB" w:rsidRDefault="001D7BA9" w:rsidP="001D7BA9">
      <w:pPr>
        <w:pStyle w:val="Textonotapie"/>
        <w:ind w:firstLine="709"/>
        <w:jc w:val="both"/>
        <w:rPr>
          <w:rFonts w:ascii="Verdana" w:hAnsi="Verdana" w:cs="Arial"/>
          <w:color w:val="000000"/>
          <w:sz w:val="16"/>
          <w:szCs w:val="16"/>
        </w:rPr>
      </w:pPr>
    </w:p>
  </w:footnote>
  <w:footnote w:id="8">
    <w:p w14:paraId="2C20720A" w14:textId="77777777" w:rsidR="001D7BA9" w:rsidRPr="00FF20DB" w:rsidRDefault="001D7BA9" w:rsidP="001D7BA9">
      <w:pPr>
        <w:pStyle w:val="Textonotapie"/>
        <w:ind w:firstLine="709"/>
        <w:jc w:val="both"/>
        <w:rPr>
          <w:rFonts w:ascii="Verdana" w:hAnsi="Verdana" w:cs="Arial"/>
          <w:color w:val="000000"/>
          <w:sz w:val="16"/>
          <w:szCs w:val="16"/>
        </w:rPr>
      </w:pPr>
      <w:r w:rsidRPr="00FF20DB">
        <w:rPr>
          <w:rStyle w:val="Refdenotaalpie"/>
          <w:rFonts w:ascii="Verdana" w:hAnsi="Verdana" w:cs="Arial"/>
          <w:color w:val="000000"/>
          <w:sz w:val="16"/>
          <w:szCs w:val="16"/>
        </w:rPr>
        <w:footnoteRef/>
      </w:r>
      <w:r w:rsidRPr="00FF20DB">
        <w:rPr>
          <w:rFonts w:ascii="Verdana" w:hAnsi="Verdana" w:cs="Arial"/>
          <w:color w:val="000000"/>
          <w:sz w:val="16"/>
          <w:szCs w:val="16"/>
        </w:rPr>
        <w:t xml:space="preserve"> Es importante advertir que también durante estos dos meses se podrá realizar una liquidación bilateral, esto es, de mutuo acuerdo, lo cual significa que el plazo para hacer la liquidación bilateral no es un término perentorio, sino sencillamente indicativo.</w:t>
      </w:r>
    </w:p>
  </w:footnote>
  <w:footnote w:id="9">
    <w:p w14:paraId="73C3B741" w14:textId="77777777" w:rsidR="001D7BA9" w:rsidRPr="00FF20DB" w:rsidRDefault="001D7BA9" w:rsidP="001D7BA9">
      <w:pPr>
        <w:pStyle w:val="Textonotapie"/>
        <w:ind w:firstLine="709"/>
        <w:jc w:val="both"/>
        <w:rPr>
          <w:rFonts w:ascii="Verdana" w:hAnsi="Verdana" w:cs="Arial"/>
          <w:color w:val="000000"/>
          <w:sz w:val="16"/>
          <w:szCs w:val="16"/>
          <w:lang w:val="es-ES"/>
        </w:rPr>
      </w:pPr>
      <w:r w:rsidRPr="00FF20DB">
        <w:rPr>
          <w:rStyle w:val="Refdenotaalpie"/>
          <w:rFonts w:ascii="Verdana" w:hAnsi="Verdana" w:cs="Arial"/>
          <w:color w:val="000000"/>
          <w:sz w:val="16"/>
          <w:szCs w:val="16"/>
        </w:rPr>
        <w:footnoteRef/>
      </w:r>
      <w:r w:rsidRPr="00FF20DB">
        <w:rPr>
          <w:rFonts w:ascii="Verdana" w:hAnsi="Verdana" w:cs="Arial"/>
          <w:color w:val="000000"/>
          <w:sz w:val="16"/>
          <w:szCs w:val="16"/>
        </w:rPr>
        <w:t xml:space="preserve"> Consejo de Estado. Sala Plena de lo Contencioso Administrativo. Sección Tercera. Sala Plena. Auto de 1 de agosto de 2019. </w:t>
      </w:r>
      <w:proofErr w:type="spellStart"/>
      <w:r w:rsidRPr="00FF20DB">
        <w:rPr>
          <w:rFonts w:ascii="Verdana" w:hAnsi="Verdana" w:cs="Arial"/>
          <w:color w:val="000000"/>
          <w:sz w:val="16"/>
          <w:szCs w:val="16"/>
        </w:rPr>
        <w:t>Exp</w:t>
      </w:r>
      <w:proofErr w:type="spellEnd"/>
      <w:r w:rsidRPr="00FF20DB">
        <w:rPr>
          <w:rFonts w:ascii="Verdana" w:hAnsi="Verdana" w:cs="Arial"/>
          <w:color w:val="000000"/>
          <w:sz w:val="16"/>
          <w:szCs w:val="16"/>
        </w:rPr>
        <w:t>. 62009. C.P: Jaime Enrique Rodríguez Navas.</w:t>
      </w:r>
    </w:p>
  </w:footnote>
  <w:footnote w:id="10">
    <w:p w14:paraId="3F4AEFC6" w14:textId="24B76029" w:rsidR="001D7BA9" w:rsidRPr="00FF20DB" w:rsidRDefault="001D7BA9" w:rsidP="001D7BA9">
      <w:pPr>
        <w:pStyle w:val="Textonotapie"/>
        <w:ind w:firstLine="709"/>
        <w:jc w:val="both"/>
        <w:rPr>
          <w:rFonts w:ascii="Verdana" w:hAnsi="Verdana" w:cs="Arial"/>
          <w:sz w:val="16"/>
          <w:szCs w:val="16"/>
          <w:lang w:val="es-ES"/>
        </w:rPr>
      </w:pPr>
      <w:r w:rsidRPr="00FF20DB">
        <w:rPr>
          <w:rStyle w:val="Refdenotaalpie"/>
          <w:rFonts w:ascii="Verdana" w:hAnsi="Verdana" w:cs="Arial"/>
          <w:sz w:val="16"/>
          <w:szCs w:val="16"/>
        </w:rPr>
        <w:footnoteRef/>
      </w:r>
      <w:r w:rsidRPr="00FF20DB">
        <w:rPr>
          <w:rFonts w:ascii="Verdana" w:hAnsi="Verdana" w:cs="Arial"/>
          <w:sz w:val="16"/>
          <w:szCs w:val="16"/>
        </w:rPr>
        <w:t xml:space="preserve"> </w:t>
      </w:r>
      <w:r w:rsidRPr="00FF20DB">
        <w:rPr>
          <w:rFonts w:ascii="Verdana" w:hAnsi="Verdana" w:cs="Arial"/>
          <w:sz w:val="16"/>
          <w:szCs w:val="16"/>
          <w:lang w:val="es-ES"/>
        </w:rPr>
        <w:t>Ibidem.</w:t>
      </w:r>
    </w:p>
  </w:footnote>
  <w:footnote w:id="11">
    <w:p w14:paraId="38DD63C9" w14:textId="29F0D5D2" w:rsidR="001D7BA9" w:rsidRPr="00FF20DB" w:rsidRDefault="001D7BA9" w:rsidP="007959C3">
      <w:pPr>
        <w:pStyle w:val="Textonotapie"/>
        <w:ind w:firstLine="709"/>
        <w:jc w:val="both"/>
        <w:rPr>
          <w:rFonts w:ascii="Verdana" w:hAnsi="Verdana" w:cs="Arial"/>
          <w:color w:val="000000"/>
          <w:sz w:val="16"/>
          <w:szCs w:val="16"/>
        </w:rPr>
      </w:pPr>
      <w:r w:rsidRPr="007959C3">
        <w:rPr>
          <w:rStyle w:val="Refdenotaalpie"/>
          <w:rFonts w:ascii="Verdana" w:hAnsi="Verdana" w:cs="Arial"/>
          <w:color w:val="000000"/>
          <w:sz w:val="16"/>
          <w:szCs w:val="16"/>
        </w:rPr>
        <w:footnoteRef/>
      </w:r>
      <w:r w:rsidRPr="007959C3">
        <w:rPr>
          <w:rFonts w:ascii="Verdana" w:hAnsi="Verdana" w:cs="Arial"/>
          <w:color w:val="000000"/>
          <w:sz w:val="16"/>
          <w:szCs w:val="16"/>
        </w:rPr>
        <w:t xml:space="preserve"> </w:t>
      </w:r>
      <w:r w:rsidRPr="007959C3">
        <w:rPr>
          <w:rFonts w:ascii="Verdana" w:hAnsi="Verdana" w:cs="Arial"/>
          <w:color w:val="000000"/>
          <w:sz w:val="16"/>
          <w:szCs w:val="16"/>
          <w:lang w:val="es-ES"/>
        </w:rPr>
        <w:t xml:space="preserve">Colombia Compra Eficiente. Guía de Garantías en Proceso de Contratación. Disponible en: </w:t>
      </w:r>
      <w:hyperlink r:id="rId2" w:history="1">
        <w:r w:rsidRPr="006B2D5C">
          <w:rPr>
            <w:rStyle w:val="Hipervnculo"/>
            <w:rFonts w:ascii="Verdana" w:hAnsi="Verdana"/>
            <w:sz w:val="16"/>
            <w:szCs w:val="16"/>
            <w:lang w:val="es-CO"/>
          </w:rPr>
          <w:t>https://colombiacompra.gov.co/wp-content/uploads/2024/08/2016-Guia-de-garantias-en-Procesos-de-Contratacion-G-GPC-01.pdf</w:t>
        </w:r>
      </w:hyperlink>
    </w:p>
  </w:footnote>
  <w:footnote w:id="12">
    <w:p w14:paraId="2049DC3B" w14:textId="77777777" w:rsidR="001D7BA9" w:rsidRPr="00FF20DB" w:rsidRDefault="001D7BA9" w:rsidP="007959C3">
      <w:pPr>
        <w:pStyle w:val="Textonotapie"/>
        <w:ind w:firstLine="709"/>
        <w:jc w:val="both"/>
        <w:rPr>
          <w:rFonts w:ascii="Verdana" w:hAnsi="Verdana" w:cs="Arial"/>
          <w:sz w:val="16"/>
          <w:szCs w:val="16"/>
        </w:rPr>
      </w:pPr>
      <w:r w:rsidRPr="00FF20DB">
        <w:rPr>
          <w:rStyle w:val="Refdenotaalpie"/>
          <w:rFonts w:ascii="Verdana" w:hAnsi="Verdana" w:cs="Arial"/>
          <w:sz w:val="16"/>
          <w:szCs w:val="16"/>
        </w:rPr>
        <w:footnoteRef/>
      </w:r>
      <w:r w:rsidRPr="00FF20DB">
        <w:rPr>
          <w:rFonts w:ascii="Verdana" w:hAnsi="Verdana" w:cs="Arial"/>
          <w:sz w:val="16"/>
          <w:szCs w:val="16"/>
        </w:rPr>
        <w:t xml:space="preserve">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Sala de lo Contencioso Administrativo. Sección Tercera. Subsección A. Sentencia del 12 de febrero de 2015. Radicado: 25000-23-26-000-2003-00874-01 (28278). C.P: Carlos Alberto Zambrano Barrera.</w:t>
      </w:r>
    </w:p>
    <w:p w14:paraId="4C927E7A" w14:textId="77777777" w:rsidR="001D7BA9" w:rsidRPr="00FF20DB" w:rsidRDefault="001D7BA9" w:rsidP="001D7BA9">
      <w:pPr>
        <w:pStyle w:val="Textonotapie"/>
        <w:ind w:firstLine="709"/>
        <w:jc w:val="both"/>
        <w:rPr>
          <w:rFonts w:ascii="Verdana" w:hAnsi="Verdana" w:cs="Arial"/>
          <w:sz w:val="16"/>
          <w:szCs w:val="16"/>
        </w:rPr>
      </w:pPr>
    </w:p>
  </w:footnote>
  <w:footnote w:id="13">
    <w:p w14:paraId="2B0AED42" w14:textId="77777777" w:rsidR="001D7BA9" w:rsidRPr="00FF20DB" w:rsidRDefault="001D7BA9" w:rsidP="001D7BA9">
      <w:pPr>
        <w:pStyle w:val="Textonotapie"/>
        <w:ind w:firstLine="709"/>
        <w:jc w:val="both"/>
        <w:rPr>
          <w:rFonts w:ascii="Verdana" w:hAnsi="Verdana" w:cs="Arial"/>
          <w:color w:val="000000" w:themeColor="text1"/>
          <w:sz w:val="16"/>
          <w:szCs w:val="16"/>
        </w:rPr>
      </w:pPr>
      <w:r w:rsidRPr="00FF20DB">
        <w:rPr>
          <w:rStyle w:val="Refdenotaalpie"/>
          <w:rFonts w:ascii="Verdana" w:hAnsi="Verdana" w:cs="Arial"/>
          <w:color w:val="000000" w:themeColor="text1"/>
          <w:sz w:val="16"/>
          <w:szCs w:val="16"/>
        </w:rPr>
        <w:footnoteRef/>
      </w:r>
      <w:r w:rsidRPr="00FF20DB">
        <w:rPr>
          <w:rFonts w:ascii="Verdana" w:hAnsi="Verdana" w:cs="Arial"/>
          <w:color w:val="000000" w:themeColor="text1"/>
          <w:sz w:val="16"/>
          <w:szCs w:val="16"/>
        </w:rPr>
        <w:t xml:space="preserve"> ORDÓÑEZ </w:t>
      </w:r>
      <w:proofErr w:type="spellStart"/>
      <w:r w:rsidRPr="00FF20DB">
        <w:rPr>
          <w:rFonts w:ascii="Verdana" w:hAnsi="Verdana" w:cs="Arial"/>
          <w:color w:val="000000" w:themeColor="text1"/>
          <w:sz w:val="16"/>
          <w:szCs w:val="16"/>
        </w:rPr>
        <w:t>ORDÓÑEZ</w:t>
      </w:r>
      <w:proofErr w:type="spellEnd"/>
      <w:r w:rsidRPr="00FF20DB">
        <w:rPr>
          <w:rFonts w:ascii="Verdana" w:hAnsi="Verdana" w:cs="Arial"/>
          <w:color w:val="000000" w:themeColor="text1"/>
          <w:sz w:val="16"/>
          <w:szCs w:val="16"/>
        </w:rPr>
        <w:t>, Andrés E. Seguro de cumplimiento de los contratos estatales en Colombia. Bogotá: Universidad Externado de Colombia, 2011. p. 44.</w:t>
      </w:r>
    </w:p>
  </w:footnote>
  <w:footnote w:id="14">
    <w:p w14:paraId="5D3CB5C5" w14:textId="77777777" w:rsidR="001D7BA9" w:rsidRPr="00FF20DB" w:rsidRDefault="001D7BA9" w:rsidP="001D7BA9">
      <w:pPr>
        <w:pStyle w:val="Textonotapie"/>
        <w:ind w:firstLine="709"/>
        <w:jc w:val="both"/>
        <w:rPr>
          <w:rFonts w:ascii="Verdana" w:hAnsi="Verdana" w:cs="Arial"/>
          <w:color w:val="000000"/>
          <w:sz w:val="16"/>
          <w:szCs w:val="16"/>
        </w:rPr>
      </w:pPr>
      <w:r w:rsidRPr="00FF20DB">
        <w:rPr>
          <w:rStyle w:val="Refdenotaalpie"/>
          <w:rFonts w:ascii="Verdana" w:hAnsi="Verdana" w:cs="Arial"/>
          <w:color w:val="000000"/>
          <w:sz w:val="16"/>
          <w:szCs w:val="16"/>
        </w:rPr>
        <w:footnoteRef/>
      </w:r>
      <w:r w:rsidRPr="00FF20DB">
        <w:rPr>
          <w:rFonts w:ascii="Verdana" w:hAnsi="Verdana" w:cs="Arial"/>
          <w:color w:val="000000"/>
          <w:sz w:val="16"/>
          <w:szCs w:val="16"/>
        </w:rPr>
        <w:t xml:space="preserve"> La norma citada dispone: “Artículo 2.2.1.2.3.1.7. Garantía de cumplimiento. La garantía de cumplimiento del contrato debe cubrir:</w:t>
      </w:r>
    </w:p>
    <w:p w14:paraId="7D163AA0" w14:textId="77777777" w:rsidR="001D7BA9" w:rsidRPr="00FF20DB" w:rsidRDefault="001D7BA9" w:rsidP="001D7BA9">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“1.    Buen manejo y correcta inversión del anticipo. Este amparo cubre los perjuicios sufridos por la Entidad Estatal con ocasión de: (i) la no inversión del anticipo; (</w:t>
      </w:r>
      <w:proofErr w:type="spellStart"/>
      <w:r w:rsidRPr="00FF20DB">
        <w:rPr>
          <w:rFonts w:ascii="Verdana" w:hAnsi="Verdana" w:cs="Arial"/>
          <w:color w:val="000000"/>
          <w:sz w:val="16"/>
          <w:szCs w:val="16"/>
        </w:rPr>
        <w:t>ii</w:t>
      </w:r>
      <w:proofErr w:type="spellEnd"/>
      <w:r w:rsidRPr="00FF20DB">
        <w:rPr>
          <w:rFonts w:ascii="Verdana" w:hAnsi="Verdana" w:cs="Arial"/>
          <w:color w:val="000000"/>
          <w:sz w:val="16"/>
          <w:szCs w:val="16"/>
        </w:rPr>
        <w:t>) el uso indebido del anticipo; y (</w:t>
      </w:r>
      <w:proofErr w:type="spellStart"/>
      <w:r w:rsidRPr="00FF20DB">
        <w:rPr>
          <w:rFonts w:ascii="Verdana" w:hAnsi="Verdana" w:cs="Arial"/>
          <w:color w:val="000000"/>
          <w:sz w:val="16"/>
          <w:szCs w:val="16"/>
        </w:rPr>
        <w:t>iii</w:t>
      </w:r>
      <w:proofErr w:type="spellEnd"/>
      <w:r w:rsidRPr="00FF20DB">
        <w:rPr>
          <w:rFonts w:ascii="Verdana" w:hAnsi="Verdana" w:cs="Arial"/>
          <w:color w:val="000000"/>
          <w:sz w:val="16"/>
          <w:szCs w:val="16"/>
        </w:rPr>
        <w:t>) la apropiación indebida de los recursos recibidos en calidad de anticipo.</w:t>
      </w:r>
    </w:p>
    <w:p w14:paraId="58D41A30" w14:textId="77777777" w:rsidR="001D7BA9" w:rsidRPr="00FF20DB" w:rsidRDefault="001D7BA9" w:rsidP="001D7BA9">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“2.    Devolución del pago anticipado. Este amparo cubre los perjuicios sufridos por la Entidad Estatal por la no devolución total o parcial del dinero entregado al contratista a título de pago anticipado, cuando a ello hubiere lugar.</w:t>
      </w:r>
    </w:p>
    <w:p w14:paraId="5BFD8C43" w14:textId="77777777" w:rsidR="001D7BA9" w:rsidRPr="00FF20DB" w:rsidRDefault="001D7BA9" w:rsidP="001D7BA9">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“3.    Cumplimiento del contrato. Este amparo cubre a la Entidad Estatal de los perjuicios derivados de:</w:t>
      </w:r>
    </w:p>
    <w:p w14:paraId="28FAC49A" w14:textId="77777777" w:rsidR="001D7BA9" w:rsidRPr="00FF20DB" w:rsidRDefault="001D7BA9" w:rsidP="001D7BA9">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“3.1.   El incumplimiento total o parcial del contrato, cuando el incumplimiento es imputable al contratista;</w:t>
      </w:r>
    </w:p>
    <w:p w14:paraId="37550EC1" w14:textId="77777777" w:rsidR="001D7BA9" w:rsidRPr="00FF20DB" w:rsidRDefault="001D7BA9" w:rsidP="001D7BA9">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“3.2.   El cumplimiento tardío o defectuoso del contrato, cuando el incumplimiento es imputable al contratista;</w:t>
      </w:r>
    </w:p>
    <w:p w14:paraId="5523CE8A" w14:textId="77777777" w:rsidR="001D7BA9" w:rsidRPr="00FF20DB" w:rsidRDefault="001D7BA9" w:rsidP="001D7BA9">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“3.3.   Los daños imputables al contratista por entregas parciales de la obra, cuando el contrato no prevé entregas parciales; y</w:t>
      </w:r>
    </w:p>
    <w:p w14:paraId="59B76876" w14:textId="77777777" w:rsidR="001D7BA9" w:rsidRPr="00FF20DB" w:rsidRDefault="001D7BA9" w:rsidP="001D7BA9">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“3.4.   El pago del valor de las multas y de la cláusula penal pecuniaria.</w:t>
      </w:r>
    </w:p>
    <w:p w14:paraId="6C2F5905" w14:textId="77777777" w:rsidR="001D7BA9" w:rsidRPr="00FF20DB" w:rsidRDefault="001D7BA9" w:rsidP="001D7BA9">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6F771311" w14:textId="77777777" w:rsidR="001D7BA9" w:rsidRPr="00FF20DB" w:rsidRDefault="001D7BA9" w:rsidP="001D7BA9">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“La Entidad Estatal no debe exigir una garantía para cubrir este Riesgo en los contratos que se ejecuten fuera del territorio nacional con personal contratado bajo un régimen jurídico distinto al colombiano.</w:t>
      </w:r>
    </w:p>
    <w:p w14:paraId="462375ED" w14:textId="77777777" w:rsidR="001D7BA9" w:rsidRPr="00FF20DB" w:rsidRDefault="001D7BA9" w:rsidP="001D7BA9">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“5.    Estabilidad y calidad de la obra. Este amparo cubre a la Entidad Estatal de los perjuicios ocasionados por cualquier tipo de daño o deterioro, imputable al contratista, sufrido por la obra entregada a satisfacción.</w:t>
      </w:r>
    </w:p>
    <w:p w14:paraId="596FDD96" w14:textId="77777777" w:rsidR="001D7BA9" w:rsidRPr="00FF20DB" w:rsidRDefault="001D7BA9" w:rsidP="001D7BA9">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“6.    Calidad del servicio. Este amparo cubre a la Entidad Estatal por los perjuicios deri­vados de la deficiente calidad del servicio prestado.</w:t>
      </w:r>
    </w:p>
    <w:p w14:paraId="3394B130" w14:textId="77777777" w:rsidR="001D7BA9" w:rsidRPr="00FF20DB" w:rsidRDefault="001D7BA9" w:rsidP="001D7BA9">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“7.    Calidad y correcto funcionamiento de los bienes. Este amparo debe cubrir la calidad y el correcto funcionamiento de los bienes que recibe la Entidad Estatal en cumplimiento de un contrato.</w:t>
      </w:r>
    </w:p>
    <w:p w14:paraId="6A5E5547" w14:textId="77777777" w:rsidR="001D7BA9" w:rsidRPr="00FF20DB" w:rsidRDefault="001D7BA9" w:rsidP="001D7BA9">
      <w:pPr>
        <w:pStyle w:val="Textonotapie"/>
        <w:ind w:firstLine="709"/>
        <w:jc w:val="both"/>
        <w:rPr>
          <w:rFonts w:ascii="Verdana" w:hAnsi="Verdana" w:cs="Arial"/>
          <w:color w:val="000000"/>
          <w:sz w:val="16"/>
          <w:szCs w:val="16"/>
        </w:rPr>
      </w:pPr>
      <w:r w:rsidRPr="00FF20DB">
        <w:rPr>
          <w:rFonts w:ascii="Verdana" w:hAnsi="Verdana" w:cs="Arial"/>
          <w:color w:val="000000"/>
          <w:sz w:val="16"/>
          <w:szCs w:val="16"/>
        </w:rPr>
        <w:t>“8.    Los demás incumplimientos de obligaciones que la Entidad Estatal considere deben ser amparados de manera proporcional y acorde a la naturaleza del contrato”.</w:t>
      </w:r>
    </w:p>
    <w:p w14:paraId="3FFA72A3" w14:textId="77777777" w:rsidR="001D7BA9" w:rsidRPr="00FF20DB" w:rsidRDefault="001D7BA9" w:rsidP="001D7BA9">
      <w:pPr>
        <w:pStyle w:val="Textonotapie"/>
        <w:ind w:firstLine="709"/>
        <w:jc w:val="both"/>
        <w:rPr>
          <w:rFonts w:ascii="Verdana" w:hAnsi="Verdana" w:cs="Arial"/>
          <w:color w:val="000000"/>
          <w:sz w:val="16"/>
          <w:szCs w:val="16"/>
        </w:rPr>
      </w:pPr>
    </w:p>
  </w:footnote>
  <w:footnote w:id="15">
    <w:p w14:paraId="060CBBFF" w14:textId="77777777" w:rsidR="001D7BA9" w:rsidRPr="006A7ECF" w:rsidRDefault="001D7BA9" w:rsidP="001D7BA9">
      <w:pPr>
        <w:pStyle w:val="Textonotapie"/>
        <w:ind w:firstLine="709"/>
        <w:jc w:val="both"/>
        <w:rPr>
          <w:rFonts w:ascii="Verdana" w:hAnsi="Verdana" w:cs="Arial"/>
          <w:color w:val="000000"/>
          <w:sz w:val="16"/>
          <w:szCs w:val="16"/>
        </w:rPr>
      </w:pPr>
      <w:r w:rsidRPr="006A7ECF">
        <w:rPr>
          <w:rStyle w:val="Refdenotaalpie"/>
          <w:rFonts w:ascii="Verdana" w:hAnsi="Verdana" w:cs="Arial"/>
          <w:color w:val="000000"/>
          <w:sz w:val="16"/>
          <w:szCs w:val="16"/>
        </w:rPr>
        <w:footnoteRef/>
      </w:r>
      <w:r w:rsidRPr="006A7ECF">
        <w:rPr>
          <w:rFonts w:ascii="Verdana" w:hAnsi="Verdana" w:cs="Arial"/>
          <w:color w:val="000000"/>
          <w:sz w:val="16"/>
          <w:szCs w:val="16"/>
        </w:rPr>
        <w:t xml:space="preserve"> Consejo de Estado. Sala de lo Contenciosos Administrativo. Sección Tercera. Subsección B. Sentencia de 19 de junio de 2013. Radicado: </w:t>
      </w:r>
      <w:r w:rsidRPr="006A7ECF">
        <w:rPr>
          <w:rFonts w:ascii="Verdana" w:hAnsi="Verdana" w:cs="Arial"/>
          <w:color w:val="000000"/>
          <w:sz w:val="16"/>
          <w:szCs w:val="16"/>
          <w:lang w:val="es-CO"/>
        </w:rPr>
        <w:t>25000-23-26-000-2000-02019-01</w:t>
      </w:r>
      <w:r w:rsidRPr="006A7ECF">
        <w:rPr>
          <w:rFonts w:ascii="Verdana" w:hAnsi="Verdana" w:cs="Arial"/>
          <w:color w:val="000000"/>
          <w:sz w:val="16"/>
          <w:szCs w:val="16"/>
        </w:rPr>
        <w:t xml:space="preserve"> (25472). C.P: Danilo Rojas Betancourth.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1.5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9" w15:restartNumberingAfterBreak="0">
    <w:nsid w:val="46BF5F01"/>
    <w:multiLevelType w:val="hybridMultilevel"/>
    <w:tmpl w:val="EEB679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1934292"/>
    <w:multiLevelType w:val="hybridMultilevel"/>
    <w:tmpl w:val="80909676"/>
    <w:lvl w:ilvl="0" w:tplc="D452D83C">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9AE221C"/>
    <w:multiLevelType w:val="hybridMultilevel"/>
    <w:tmpl w:val="F44834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F371B4A"/>
    <w:multiLevelType w:val="hybridMultilevel"/>
    <w:tmpl w:val="F79E1380"/>
    <w:lvl w:ilvl="0" w:tplc="240A000F">
      <w:start w:val="1"/>
      <w:numFmt w:val="decimal"/>
      <w:lvlText w:val="%1."/>
      <w:lvlJc w:val="left"/>
      <w:pPr>
        <w:ind w:left="360" w:hanging="360"/>
      </w:pPr>
      <w:rPr>
        <w:rFonts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6"/>
  </w:num>
  <w:num w:numId="7" w16cid:durableId="1946422806">
    <w:abstractNumId w:val="4"/>
  </w:num>
  <w:num w:numId="8" w16cid:durableId="152644682">
    <w:abstractNumId w:val="15"/>
  </w:num>
  <w:num w:numId="9" w16cid:durableId="1317221377">
    <w:abstractNumId w:val="6"/>
  </w:num>
  <w:num w:numId="10" w16cid:durableId="1471245386">
    <w:abstractNumId w:val="14"/>
  </w:num>
  <w:num w:numId="11" w16cid:durableId="289172385">
    <w:abstractNumId w:val="7"/>
  </w:num>
  <w:num w:numId="12" w16cid:durableId="1470781324">
    <w:abstractNumId w:val="0"/>
  </w:num>
  <w:num w:numId="13" w16cid:durableId="1512908409">
    <w:abstractNumId w:val="2"/>
  </w:num>
  <w:num w:numId="14" w16cid:durableId="895897244">
    <w:abstractNumId w:val="17"/>
  </w:num>
  <w:num w:numId="15" w16cid:durableId="390349800">
    <w:abstractNumId w:val="13"/>
  </w:num>
  <w:num w:numId="16" w16cid:durableId="2040160837">
    <w:abstractNumId w:val="12"/>
  </w:num>
  <w:num w:numId="17" w16cid:durableId="903610564">
    <w:abstractNumId w:val="11"/>
  </w:num>
  <w:num w:numId="18" w16cid:durableId="136338707">
    <w:abstractNumId w:val="10"/>
  </w:num>
  <w:num w:numId="19" w16cid:durableId="1892304819">
    <w:abstractNumId w:val="8"/>
  </w:num>
  <w:num w:numId="20" w16cid:durableId="4876726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3893"/>
    <w:rsid w:val="00046945"/>
    <w:rsid w:val="00050CCC"/>
    <w:rsid w:val="00053BE1"/>
    <w:rsid w:val="00061B2A"/>
    <w:rsid w:val="00082362"/>
    <w:rsid w:val="00085B1D"/>
    <w:rsid w:val="000A683E"/>
    <w:rsid w:val="000B19B9"/>
    <w:rsid w:val="000B3FD9"/>
    <w:rsid w:val="000C5B5D"/>
    <w:rsid w:val="000D0334"/>
    <w:rsid w:val="000D0997"/>
    <w:rsid w:val="000D5DA7"/>
    <w:rsid w:val="000F6486"/>
    <w:rsid w:val="00111E8C"/>
    <w:rsid w:val="00116940"/>
    <w:rsid w:val="00121D5C"/>
    <w:rsid w:val="00125105"/>
    <w:rsid w:val="00127233"/>
    <w:rsid w:val="00150747"/>
    <w:rsid w:val="001511BF"/>
    <w:rsid w:val="0015699B"/>
    <w:rsid w:val="0016007A"/>
    <w:rsid w:val="001A33BF"/>
    <w:rsid w:val="001B37B2"/>
    <w:rsid w:val="001D7BA9"/>
    <w:rsid w:val="001E4177"/>
    <w:rsid w:val="001F0B24"/>
    <w:rsid w:val="001F7DC6"/>
    <w:rsid w:val="0022400B"/>
    <w:rsid w:val="0022762F"/>
    <w:rsid w:val="002421BB"/>
    <w:rsid w:val="0025416B"/>
    <w:rsid w:val="0025796E"/>
    <w:rsid w:val="002707A2"/>
    <w:rsid w:val="00282170"/>
    <w:rsid w:val="002951A0"/>
    <w:rsid w:val="002962BC"/>
    <w:rsid w:val="002A093D"/>
    <w:rsid w:val="002A0DD0"/>
    <w:rsid w:val="002A49AC"/>
    <w:rsid w:val="002A64FD"/>
    <w:rsid w:val="002B11A7"/>
    <w:rsid w:val="002B2FB3"/>
    <w:rsid w:val="002C7A84"/>
    <w:rsid w:val="002E1D1C"/>
    <w:rsid w:val="002E2BF8"/>
    <w:rsid w:val="002E4FD9"/>
    <w:rsid w:val="0030657A"/>
    <w:rsid w:val="00307FB1"/>
    <w:rsid w:val="00322A85"/>
    <w:rsid w:val="00324168"/>
    <w:rsid w:val="00330834"/>
    <w:rsid w:val="00330CB3"/>
    <w:rsid w:val="003448F4"/>
    <w:rsid w:val="00364B0D"/>
    <w:rsid w:val="00374F5E"/>
    <w:rsid w:val="00377E3E"/>
    <w:rsid w:val="003A273D"/>
    <w:rsid w:val="003A779E"/>
    <w:rsid w:val="003C0A78"/>
    <w:rsid w:val="003C4EC6"/>
    <w:rsid w:val="003D0F4D"/>
    <w:rsid w:val="003D5B0D"/>
    <w:rsid w:val="003E0499"/>
    <w:rsid w:val="003E3603"/>
    <w:rsid w:val="003E4F80"/>
    <w:rsid w:val="003E6439"/>
    <w:rsid w:val="003F0247"/>
    <w:rsid w:val="003F3941"/>
    <w:rsid w:val="00406575"/>
    <w:rsid w:val="00414C74"/>
    <w:rsid w:val="004206B7"/>
    <w:rsid w:val="0042722E"/>
    <w:rsid w:val="0043190D"/>
    <w:rsid w:val="0044528D"/>
    <w:rsid w:val="00466E39"/>
    <w:rsid w:val="0047270E"/>
    <w:rsid w:val="00493A91"/>
    <w:rsid w:val="004A1847"/>
    <w:rsid w:val="004A305D"/>
    <w:rsid w:val="004A7363"/>
    <w:rsid w:val="004D3AC6"/>
    <w:rsid w:val="004F21C4"/>
    <w:rsid w:val="004F685F"/>
    <w:rsid w:val="004F7389"/>
    <w:rsid w:val="00502F9F"/>
    <w:rsid w:val="0051092A"/>
    <w:rsid w:val="005417E1"/>
    <w:rsid w:val="005427DB"/>
    <w:rsid w:val="00552F71"/>
    <w:rsid w:val="005566E8"/>
    <w:rsid w:val="00574867"/>
    <w:rsid w:val="005802B5"/>
    <w:rsid w:val="0058163A"/>
    <w:rsid w:val="00591460"/>
    <w:rsid w:val="005A65E0"/>
    <w:rsid w:val="005B003A"/>
    <w:rsid w:val="005C22E2"/>
    <w:rsid w:val="005C3777"/>
    <w:rsid w:val="005C5CDC"/>
    <w:rsid w:val="005D476C"/>
    <w:rsid w:val="005E2434"/>
    <w:rsid w:val="005E7BD6"/>
    <w:rsid w:val="006200BF"/>
    <w:rsid w:val="006219F8"/>
    <w:rsid w:val="00624343"/>
    <w:rsid w:val="00626F32"/>
    <w:rsid w:val="006302F7"/>
    <w:rsid w:val="00646B9F"/>
    <w:rsid w:val="00647AC0"/>
    <w:rsid w:val="0065717C"/>
    <w:rsid w:val="00665D70"/>
    <w:rsid w:val="00674035"/>
    <w:rsid w:val="006900D9"/>
    <w:rsid w:val="00696D47"/>
    <w:rsid w:val="006A53A0"/>
    <w:rsid w:val="006B2D5C"/>
    <w:rsid w:val="006B3FB7"/>
    <w:rsid w:val="006B5781"/>
    <w:rsid w:val="006E71C2"/>
    <w:rsid w:val="006F0A28"/>
    <w:rsid w:val="00706C16"/>
    <w:rsid w:val="0072354A"/>
    <w:rsid w:val="007340C3"/>
    <w:rsid w:val="007351AF"/>
    <w:rsid w:val="0075235A"/>
    <w:rsid w:val="00756841"/>
    <w:rsid w:val="007649AB"/>
    <w:rsid w:val="00771D0C"/>
    <w:rsid w:val="007833AC"/>
    <w:rsid w:val="00786BEC"/>
    <w:rsid w:val="00787743"/>
    <w:rsid w:val="007959C3"/>
    <w:rsid w:val="007A195E"/>
    <w:rsid w:val="007B23CA"/>
    <w:rsid w:val="007B268C"/>
    <w:rsid w:val="007B7171"/>
    <w:rsid w:val="007C0C0F"/>
    <w:rsid w:val="007C3DC2"/>
    <w:rsid w:val="007E5497"/>
    <w:rsid w:val="007F4DE5"/>
    <w:rsid w:val="007F5721"/>
    <w:rsid w:val="00806982"/>
    <w:rsid w:val="00806F5F"/>
    <w:rsid w:val="00811FF7"/>
    <w:rsid w:val="00820278"/>
    <w:rsid w:val="008258C9"/>
    <w:rsid w:val="0084341E"/>
    <w:rsid w:val="00844AE9"/>
    <w:rsid w:val="00853ABB"/>
    <w:rsid w:val="008602EE"/>
    <w:rsid w:val="00867F95"/>
    <w:rsid w:val="008728B5"/>
    <w:rsid w:val="008806EE"/>
    <w:rsid w:val="008843B6"/>
    <w:rsid w:val="00891928"/>
    <w:rsid w:val="008A446D"/>
    <w:rsid w:val="008B25F1"/>
    <w:rsid w:val="008D180B"/>
    <w:rsid w:val="008F0EA7"/>
    <w:rsid w:val="0092085D"/>
    <w:rsid w:val="00923EEF"/>
    <w:rsid w:val="009419F9"/>
    <w:rsid w:val="0095685E"/>
    <w:rsid w:val="00961B09"/>
    <w:rsid w:val="00964E21"/>
    <w:rsid w:val="00965334"/>
    <w:rsid w:val="0097093E"/>
    <w:rsid w:val="00984C10"/>
    <w:rsid w:val="009A0DFA"/>
    <w:rsid w:val="009A1C6F"/>
    <w:rsid w:val="009B2D26"/>
    <w:rsid w:val="009C5525"/>
    <w:rsid w:val="009C5DE6"/>
    <w:rsid w:val="009C71FA"/>
    <w:rsid w:val="009C72E7"/>
    <w:rsid w:val="009C7C5F"/>
    <w:rsid w:val="009C7F7E"/>
    <w:rsid w:val="009D036E"/>
    <w:rsid w:val="009D3058"/>
    <w:rsid w:val="009F3A13"/>
    <w:rsid w:val="00A122D3"/>
    <w:rsid w:val="00A14468"/>
    <w:rsid w:val="00A17F13"/>
    <w:rsid w:val="00A20739"/>
    <w:rsid w:val="00A23AF9"/>
    <w:rsid w:val="00A33C78"/>
    <w:rsid w:val="00A37365"/>
    <w:rsid w:val="00A603B4"/>
    <w:rsid w:val="00A86CC6"/>
    <w:rsid w:val="00A94DD6"/>
    <w:rsid w:val="00AA42F1"/>
    <w:rsid w:val="00AB0ADB"/>
    <w:rsid w:val="00AB2AF4"/>
    <w:rsid w:val="00AC426D"/>
    <w:rsid w:val="00B00C0E"/>
    <w:rsid w:val="00B00C6E"/>
    <w:rsid w:val="00B01B1A"/>
    <w:rsid w:val="00B0381D"/>
    <w:rsid w:val="00B44A47"/>
    <w:rsid w:val="00B72CD3"/>
    <w:rsid w:val="00B72FFF"/>
    <w:rsid w:val="00B872FB"/>
    <w:rsid w:val="00B935A2"/>
    <w:rsid w:val="00BA4B0F"/>
    <w:rsid w:val="00BB6175"/>
    <w:rsid w:val="00BC3D36"/>
    <w:rsid w:val="00BD54A6"/>
    <w:rsid w:val="00BD59C5"/>
    <w:rsid w:val="00BD7F72"/>
    <w:rsid w:val="00BF04A6"/>
    <w:rsid w:val="00BF7425"/>
    <w:rsid w:val="00C04FB3"/>
    <w:rsid w:val="00C11D8B"/>
    <w:rsid w:val="00C15139"/>
    <w:rsid w:val="00C330EB"/>
    <w:rsid w:val="00C50D69"/>
    <w:rsid w:val="00C5365C"/>
    <w:rsid w:val="00C53918"/>
    <w:rsid w:val="00C7030B"/>
    <w:rsid w:val="00C754BE"/>
    <w:rsid w:val="00C76B1C"/>
    <w:rsid w:val="00C925AC"/>
    <w:rsid w:val="00C92E15"/>
    <w:rsid w:val="00CA5E33"/>
    <w:rsid w:val="00CB6357"/>
    <w:rsid w:val="00CC149E"/>
    <w:rsid w:val="00CC1B26"/>
    <w:rsid w:val="00CE13FF"/>
    <w:rsid w:val="00D10E24"/>
    <w:rsid w:val="00D15147"/>
    <w:rsid w:val="00D31757"/>
    <w:rsid w:val="00D348E3"/>
    <w:rsid w:val="00D361FD"/>
    <w:rsid w:val="00D423A2"/>
    <w:rsid w:val="00D430E3"/>
    <w:rsid w:val="00D44E26"/>
    <w:rsid w:val="00D520D8"/>
    <w:rsid w:val="00D63AC2"/>
    <w:rsid w:val="00D67664"/>
    <w:rsid w:val="00D7383B"/>
    <w:rsid w:val="00D7788A"/>
    <w:rsid w:val="00D862F5"/>
    <w:rsid w:val="00DA231B"/>
    <w:rsid w:val="00DC39FC"/>
    <w:rsid w:val="00DC54DF"/>
    <w:rsid w:val="00DD1BE5"/>
    <w:rsid w:val="00DF5254"/>
    <w:rsid w:val="00E02524"/>
    <w:rsid w:val="00E121B1"/>
    <w:rsid w:val="00E16408"/>
    <w:rsid w:val="00E20894"/>
    <w:rsid w:val="00E245AB"/>
    <w:rsid w:val="00E2764C"/>
    <w:rsid w:val="00E27F2E"/>
    <w:rsid w:val="00E50AFE"/>
    <w:rsid w:val="00E64C01"/>
    <w:rsid w:val="00E75C92"/>
    <w:rsid w:val="00E771DC"/>
    <w:rsid w:val="00E8772A"/>
    <w:rsid w:val="00E90F6B"/>
    <w:rsid w:val="00E92C27"/>
    <w:rsid w:val="00EA0E3D"/>
    <w:rsid w:val="00EC38A7"/>
    <w:rsid w:val="00EE1AA8"/>
    <w:rsid w:val="00EE1AF5"/>
    <w:rsid w:val="00EF1AEE"/>
    <w:rsid w:val="00F1471D"/>
    <w:rsid w:val="00F23FEA"/>
    <w:rsid w:val="00F31EDC"/>
    <w:rsid w:val="00F462B3"/>
    <w:rsid w:val="00F51BBE"/>
    <w:rsid w:val="00F5664F"/>
    <w:rsid w:val="00F666C4"/>
    <w:rsid w:val="00F76AFC"/>
    <w:rsid w:val="00F771B8"/>
    <w:rsid w:val="00F85744"/>
    <w:rsid w:val="00F95E5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B003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5B003A"/>
    <w:rPr>
      <w:rFonts w:ascii="Geomanist Light" w:hAnsi="Geomanist Light"/>
      <w:lang w:val="es-ES"/>
    </w:rPr>
  </w:style>
  <w:style w:type="paragraph" w:styleId="Sinespaciado">
    <w:name w:val="No Spacing"/>
    <w:uiPriority w:val="1"/>
    <w:qFormat/>
    <w:rsid w:val="005B003A"/>
    <w:pPr>
      <w:spacing w:after="0" w:line="240" w:lineRule="auto"/>
    </w:pPr>
  </w:style>
  <w:style w:type="paragraph" w:styleId="Textoindependiente">
    <w:name w:val="Body Text"/>
    <w:basedOn w:val="Normal"/>
    <w:link w:val="TextoindependienteCar"/>
    <w:uiPriority w:val="1"/>
    <w:qFormat/>
    <w:rsid w:val="005B003A"/>
    <w:pPr>
      <w:widowControl w:val="0"/>
      <w:autoSpaceDE w:val="0"/>
      <w:autoSpaceDN w:val="0"/>
      <w:spacing w:after="0" w:line="240" w:lineRule="auto"/>
      <w:ind w:firstLine="709"/>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5B003A"/>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 TargetMode="External"/><Relationship Id="rId18" Type="http://schemas.openxmlformats.org/officeDocument/2006/relationships/hyperlink" Target="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webSettings" Target="webSettings.xml"/><Relationship Id="rId12" Type="http://schemas.openxmlformats.org/officeDocument/2006/relationships/hyperlink" Target="https://colombiacompra.gov.co/wp-content/uploads/2024/08/cce_guia_liquidacion_procesos.pdf" TargetMode="External"/><Relationship Id="rId17" Type="http://schemas.openxmlformats.org/officeDocument/2006/relationships/hyperlink" Target="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alagueravaliente@gmail.com"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 TargetMode="External"/><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mailto:ventanilladeradicacion@colombiacompr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wp-content/uploads/2024/08/2016-Guia-de-garantias-en-Procesos-de-Contratacion-G-GPC-01.pdf" TargetMode="External"/><Relationship Id="rId1" Type="http://schemas.openxmlformats.org/officeDocument/2006/relationships/hyperlink" Target="https://colombiacompra.gov.co/wp-content/uploads/2024/08/cce_guia_liquidacion_proces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CD7419-E1F1-4114-9D3C-21D72D09C65D}"/>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211</TotalTime>
  <Pages>19</Pages>
  <Words>6763</Words>
  <Characters>37198</Characters>
  <Application>Microsoft Office Word</Application>
  <DocSecurity>0</DocSecurity>
  <Lines>309</Lines>
  <Paragraphs>87</Paragraphs>
  <ScaleCrop>false</ScaleCrop>
  <Company/>
  <LinksUpToDate>false</LinksUpToDate>
  <CharactersWithSpaces>43874</CharactersWithSpaces>
  <SharedDoc>false</SharedDoc>
  <HLinks>
    <vt:vector size="78" baseType="variant">
      <vt:variant>
        <vt:i4>4456513</vt:i4>
      </vt:variant>
      <vt:variant>
        <vt:i4>30</vt:i4>
      </vt:variant>
      <vt:variant>
        <vt:i4>0</vt:i4>
      </vt:variant>
      <vt:variant>
        <vt:i4>5</vt:i4>
      </vt:variant>
      <vt:variant>
        <vt:lpwstr>https://forms.office.com/r/pPHyWVs2SZ</vt:lpwstr>
      </vt:variant>
      <vt:variant>
        <vt:lpwstr/>
      </vt:variant>
      <vt:variant>
        <vt:i4>3407926</vt:i4>
      </vt:variant>
      <vt:variant>
        <vt:i4>27</vt:i4>
      </vt:variant>
      <vt:variant>
        <vt:i4>0</vt:i4>
      </vt:variant>
      <vt:variant>
        <vt:i4>5</vt:i4>
      </vt:variant>
      <vt:variant>
        <vt:lpwstr>https://www.colombiacompra.gov.co/pqrsd/informacion-importante-antes-de-formular-una-pqrsd</vt:lpwstr>
      </vt:variant>
      <vt:variant>
        <vt:lpwstr/>
      </vt:variant>
      <vt:variant>
        <vt:i4>4980779</vt:i4>
      </vt:variant>
      <vt:variant>
        <vt:i4>24</vt:i4>
      </vt:variant>
      <vt:variant>
        <vt:i4>0</vt:i4>
      </vt:variant>
      <vt:variant>
        <vt:i4>5</vt:i4>
      </vt:variant>
      <vt:variant>
        <vt:lpwstr>mailto:ventanilladeradicacion@colombiacompra.gov.co</vt:lpwstr>
      </vt:variant>
      <vt:variant>
        <vt:lpwstr/>
      </vt:variant>
      <vt:variant>
        <vt:i4>2752636</vt:i4>
      </vt:variant>
      <vt:variant>
        <vt:i4>21</vt:i4>
      </vt:variant>
      <vt:variant>
        <vt:i4>0</vt:i4>
      </vt:variant>
      <vt:variant>
        <vt:i4>5</vt:i4>
      </vt:variant>
      <vt:variant>
        <vt:lpwstr>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vt:lpwstr>
      </vt:variant>
      <vt:variant>
        <vt:lpwstr/>
      </vt:variant>
      <vt:variant>
        <vt:i4>7340154</vt:i4>
      </vt:variant>
      <vt:variant>
        <vt:i4>18</vt:i4>
      </vt:variant>
      <vt:variant>
        <vt:i4>0</vt:i4>
      </vt:variant>
      <vt:variant>
        <vt:i4>5</vt:i4>
      </vt:variant>
      <vt:variant>
        <vt:lpwstr>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vt:lpwstr>
      </vt:variant>
      <vt:variant>
        <vt:lpwstr/>
      </vt:variant>
      <vt:variant>
        <vt:i4>7405690</vt:i4>
      </vt:variant>
      <vt:variant>
        <vt:i4>15</vt:i4>
      </vt:variant>
      <vt:variant>
        <vt:i4>0</vt:i4>
      </vt:variant>
      <vt:variant>
        <vt:i4>5</vt:i4>
      </vt:variant>
      <vt:variant>
        <vt:lpwstr>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vt:lpwstr>
      </vt:variant>
      <vt:variant>
        <vt:lpwstr/>
      </vt:variant>
      <vt:variant>
        <vt:i4>2490427</vt:i4>
      </vt:variant>
      <vt:variant>
        <vt:i4>12</vt:i4>
      </vt:variant>
      <vt:variant>
        <vt:i4>0</vt:i4>
      </vt:variant>
      <vt:variant>
        <vt:i4>5</vt:i4>
      </vt:variant>
      <vt:variant>
        <vt:lpwstr>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2490427</vt:i4>
      </vt:variant>
      <vt:variant>
        <vt:i4>6</vt:i4>
      </vt:variant>
      <vt:variant>
        <vt:i4>0</vt:i4>
      </vt:variant>
      <vt:variant>
        <vt:i4>5</vt:i4>
      </vt:variant>
      <vt:variant>
        <vt:lpwstr>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vt:lpwstr>
      </vt:variant>
      <vt:variant>
        <vt:lpwstr/>
      </vt:variant>
      <vt:variant>
        <vt:i4>7667805</vt:i4>
      </vt:variant>
      <vt:variant>
        <vt:i4>3</vt:i4>
      </vt:variant>
      <vt:variant>
        <vt:i4>0</vt:i4>
      </vt:variant>
      <vt:variant>
        <vt:i4>5</vt:i4>
      </vt:variant>
      <vt:variant>
        <vt:lpwstr>https://colombiacompra.gov.co/wp-content/uploads/2024/08/cce_guia_liquidacion_procesos.pdf</vt:lpwstr>
      </vt:variant>
      <vt:variant>
        <vt:lpwstr>:~:text=Colombia%20Compra%20Eficiente%20presenta%20la%20Gu%C3%ADa%20para%20la,part%C3%ADcipes%20del%20sistema%20de%20compras%20y%20contrataci%C3%B3n%20p%C3%BAblica.</vt:lpwstr>
      </vt:variant>
      <vt:variant>
        <vt:i4>6815811</vt:i4>
      </vt:variant>
      <vt:variant>
        <vt:i4>0</vt:i4>
      </vt:variant>
      <vt:variant>
        <vt:i4>0</vt:i4>
      </vt:variant>
      <vt:variant>
        <vt:i4>5</vt:i4>
      </vt:variant>
      <vt:variant>
        <vt:lpwstr>mailto:balagueravaliente@gmail.com</vt:lpwstr>
      </vt:variant>
      <vt:variant>
        <vt:lpwstr/>
      </vt:variant>
      <vt:variant>
        <vt:i4>4456524</vt:i4>
      </vt:variant>
      <vt:variant>
        <vt:i4>3</vt:i4>
      </vt:variant>
      <vt:variant>
        <vt:i4>0</vt:i4>
      </vt:variant>
      <vt:variant>
        <vt:i4>5</vt:i4>
      </vt:variant>
      <vt:variant>
        <vt:lpwstr>https://colombiacompra.gov.co/wp-content/uploads/2024/08/2016-Guia-de-garantias-en-Procesos-de-Contratacion-G-GPC-01.pdf</vt:lpwstr>
      </vt:variant>
      <vt:variant>
        <vt:lpwstr/>
      </vt:variant>
      <vt:variant>
        <vt:i4>7667805</vt:i4>
      </vt:variant>
      <vt:variant>
        <vt:i4>0</vt:i4>
      </vt:variant>
      <vt:variant>
        <vt:i4>0</vt:i4>
      </vt:variant>
      <vt:variant>
        <vt:i4>5</vt:i4>
      </vt:variant>
      <vt:variant>
        <vt:lpwstr>https://colombiacompra.gov.co/wp-content/uploads/2024/08/cce_guia_liquidacion_procesos.pdf</vt:lpwstr>
      </vt:variant>
      <vt:variant>
        <vt:lpwstr>:~:text=Colombia%20Compra%20Eficiente%20presenta%20la%20Gu%C3%ADa%20para%20la,part%C3%ADcipes%20del%20sistema%20de%20compras%20y%20contrataci%C3%B3n%20p%C3%BAblica.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13</cp:revision>
  <cp:lastPrinted>2023-01-10T21:18:00Z</cp:lastPrinted>
  <dcterms:created xsi:type="dcterms:W3CDTF">2026-10-30T13:16:00Z</dcterms:created>
  <dcterms:modified xsi:type="dcterms:W3CDTF">2026-10-30T16:47:00Z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